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421729">
      <w:pPr>
        <w:keepNext w:val="0"/>
        <w:keepLines w:val="0"/>
        <w:pageBreakBefore w:val="0"/>
        <w:widowControl w:val="0"/>
        <w:kinsoku/>
        <w:wordWrap w:val="0"/>
        <w:overflowPunct/>
        <w:topLinePunct w:val="0"/>
        <w:autoSpaceDE/>
        <w:autoSpaceDN/>
        <w:bidi w:val="0"/>
        <w:adjustRightInd/>
        <w:snapToGrid/>
        <w:ind w:firstLine="0" w:firstLineChars="0"/>
        <w:jc w:val="center"/>
        <w:textAlignment w:val="auto"/>
        <w:outlineLvl w:val="9"/>
        <w:rPr>
          <w:b/>
          <w:bCs/>
          <w:color w:val="auto"/>
          <w:sz w:val="36"/>
          <w:szCs w:val="36"/>
        </w:rPr>
      </w:pPr>
      <w:r>
        <w:rPr>
          <w:rFonts w:hint="eastAsia"/>
          <w:b/>
          <w:bCs/>
          <w:color w:val="auto"/>
          <w:sz w:val="36"/>
          <w:szCs w:val="36"/>
        </w:rPr>
        <w:t>郑州大学水利与交通学院、黄河实验室（郑州大学）</w:t>
      </w:r>
    </w:p>
    <w:p w14:paraId="787F6D36">
      <w:pPr>
        <w:keepNext w:val="0"/>
        <w:keepLines w:val="0"/>
        <w:pageBreakBefore w:val="0"/>
        <w:widowControl w:val="0"/>
        <w:kinsoku/>
        <w:wordWrap w:val="0"/>
        <w:overflowPunct/>
        <w:topLinePunct w:val="0"/>
        <w:autoSpaceDE/>
        <w:autoSpaceDN/>
        <w:bidi w:val="0"/>
        <w:adjustRightInd/>
        <w:snapToGrid/>
        <w:ind w:firstLine="0" w:firstLineChars="0"/>
        <w:jc w:val="center"/>
        <w:textAlignment w:val="auto"/>
        <w:outlineLvl w:val="9"/>
        <w:rPr>
          <w:b/>
          <w:bCs/>
          <w:color w:val="auto"/>
          <w:sz w:val="36"/>
          <w:szCs w:val="36"/>
        </w:rPr>
      </w:pPr>
      <w:r>
        <w:rPr>
          <w:rFonts w:hint="eastAsia"/>
          <w:b/>
          <w:bCs/>
          <w:color w:val="auto"/>
          <w:sz w:val="36"/>
          <w:szCs w:val="36"/>
        </w:rPr>
        <w:t>地下管道灾变全过程多功能模拟试验系统项目</w:t>
      </w:r>
    </w:p>
    <w:p w14:paraId="4B8DB16B">
      <w:pPr>
        <w:rPr>
          <w:color w:val="auto"/>
        </w:rPr>
      </w:pPr>
    </w:p>
    <w:p w14:paraId="15DC3901">
      <w:pPr>
        <w:pStyle w:val="59"/>
        <w:jc w:val="center"/>
        <w:rPr>
          <w:rFonts w:hint="eastAsia" w:hAnsi="宋体" w:cs="黑体"/>
          <w:b/>
          <w:color w:val="auto"/>
          <w:spacing w:val="60"/>
          <w:sz w:val="21"/>
          <w:szCs w:val="21"/>
        </w:rPr>
      </w:pPr>
    </w:p>
    <w:p w14:paraId="3C839AC1">
      <w:pPr>
        <w:pStyle w:val="59"/>
        <w:jc w:val="center"/>
        <w:rPr>
          <w:rFonts w:hint="eastAsia" w:hAnsi="宋体" w:cs="黑体"/>
          <w:b/>
          <w:color w:val="auto"/>
          <w:spacing w:val="60"/>
          <w:sz w:val="84"/>
          <w:szCs w:val="84"/>
        </w:rPr>
      </w:pPr>
      <w:r>
        <w:rPr>
          <w:rFonts w:hint="eastAsia" w:hAnsi="宋体" w:cs="黑体"/>
          <w:b/>
          <w:color w:val="auto"/>
          <w:spacing w:val="60"/>
          <w:sz w:val="84"/>
          <w:szCs w:val="84"/>
        </w:rPr>
        <w:t>竞争性磋商文件</w:t>
      </w:r>
    </w:p>
    <w:p w14:paraId="1FD4AB37">
      <w:pPr>
        <w:rPr>
          <w:color w:val="auto"/>
        </w:rPr>
      </w:pPr>
    </w:p>
    <w:p w14:paraId="3CB9334C">
      <w:pPr>
        <w:ind w:firstLine="480"/>
        <w:jc w:val="center"/>
        <w:rPr>
          <w:color w:val="auto"/>
          <w:sz w:val="24"/>
          <w:szCs w:val="32"/>
        </w:rPr>
      </w:pPr>
      <w:r>
        <w:rPr>
          <w:rFonts w:hint="eastAsia"/>
          <w:color w:val="auto"/>
          <w:sz w:val="24"/>
          <w:szCs w:val="32"/>
        </w:rPr>
        <w:t>采购编号：</w:t>
      </w:r>
      <w:r>
        <w:rPr>
          <w:rFonts w:hint="eastAsia"/>
          <w:color w:val="auto"/>
          <w:sz w:val="24"/>
          <w:szCs w:val="32"/>
          <w:lang w:eastAsia="zh-CN"/>
        </w:rPr>
        <w:t>豫财磋商采购-2026-113</w:t>
      </w:r>
      <w:r>
        <w:rPr>
          <w:rFonts w:hint="eastAsia"/>
          <w:i/>
          <w:iCs/>
          <w:color w:val="auto"/>
          <w:sz w:val="24"/>
          <w:szCs w:val="32"/>
        </w:rPr>
        <w:t xml:space="preserve"> </w:t>
      </w:r>
    </w:p>
    <w:p w14:paraId="27F1CE0A">
      <w:pPr>
        <w:pStyle w:val="16"/>
        <w:rPr>
          <w:color w:val="auto"/>
        </w:rPr>
      </w:pPr>
      <w:r>
        <w:rPr>
          <w:rFonts w:hint="eastAsia"/>
          <w:color w:val="auto"/>
        </w:rPr>
        <w:t xml:space="preserve">                       </w:t>
      </w:r>
    </w:p>
    <w:p w14:paraId="027A30E6">
      <w:pPr>
        <w:pStyle w:val="16"/>
        <w:jc w:val="center"/>
        <w:rPr>
          <w:rFonts w:hint="eastAsia" w:ascii="宋体" w:hAnsi="宋体" w:cs="黑体"/>
          <w:color w:val="auto"/>
          <w:sz w:val="32"/>
          <w:szCs w:val="32"/>
        </w:rPr>
      </w:pPr>
      <w:r>
        <w:rPr>
          <w:color w:val="auto"/>
        </w:rPr>
        <w:drawing>
          <wp:inline distT="0" distB="0" distL="114300" distR="114300">
            <wp:extent cx="1750060" cy="1487805"/>
            <wp:effectExtent l="0" t="0" r="2540" b="17145"/>
            <wp:docPr id="1"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3"/>
                    <pic:cNvPicPr>
                      <a:picLocks noChangeAspect="1"/>
                    </pic:cNvPicPr>
                  </pic:nvPicPr>
                  <pic:blipFill>
                    <a:blip r:embed="rId25">
                      <a:lum contrast="20000"/>
                    </a:blip>
                    <a:stretch>
                      <a:fillRect/>
                    </a:stretch>
                  </pic:blipFill>
                  <pic:spPr>
                    <a:xfrm>
                      <a:off x="0" y="0"/>
                      <a:ext cx="1750060" cy="1487805"/>
                    </a:xfrm>
                    <a:prstGeom prst="rect">
                      <a:avLst/>
                    </a:prstGeom>
                    <a:solidFill>
                      <a:srgbClr val="FFFFFF"/>
                    </a:solidFill>
                    <a:ln>
                      <a:noFill/>
                    </a:ln>
                  </pic:spPr>
                </pic:pic>
              </a:graphicData>
            </a:graphic>
          </wp:inline>
        </w:drawing>
      </w:r>
    </w:p>
    <w:p w14:paraId="24B2A42C">
      <w:pPr>
        <w:pStyle w:val="59"/>
        <w:spacing w:line="360" w:lineRule="auto"/>
        <w:jc w:val="center"/>
        <w:rPr>
          <w:rFonts w:hint="eastAsia" w:hAnsi="宋体" w:cs="黑体"/>
          <w:b/>
          <w:color w:val="auto"/>
          <w:spacing w:val="60"/>
          <w:sz w:val="32"/>
          <w:szCs w:val="32"/>
        </w:rPr>
      </w:pPr>
    </w:p>
    <w:tbl>
      <w:tblPr>
        <w:tblStyle w:val="38"/>
        <w:tblpPr w:leftFromText="180" w:rightFromText="180" w:vertAnchor="text" w:horzAnchor="page" w:tblpX="1576" w:tblpY="3185"/>
        <w:tblOverlap w:val="never"/>
        <w:tblW w:w="7779" w:type="dxa"/>
        <w:tblInd w:w="0" w:type="dxa"/>
        <w:tblLayout w:type="fixed"/>
        <w:tblCellMar>
          <w:top w:w="0" w:type="dxa"/>
          <w:left w:w="108" w:type="dxa"/>
          <w:bottom w:w="0" w:type="dxa"/>
          <w:right w:w="108" w:type="dxa"/>
        </w:tblCellMar>
      </w:tblPr>
      <w:tblGrid>
        <w:gridCol w:w="2863"/>
        <w:gridCol w:w="4916"/>
      </w:tblGrid>
      <w:tr w14:paraId="543133F1">
        <w:tblPrEx>
          <w:tblCellMar>
            <w:top w:w="0" w:type="dxa"/>
            <w:left w:w="108" w:type="dxa"/>
            <w:bottom w:w="0" w:type="dxa"/>
            <w:right w:w="108" w:type="dxa"/>
          </w:tblCellMar>
        </w:tblPrEx>
        <w:trPr>
          <w:trHeight w:val="537" w:hRule="atLeast"/>
        </w:trPr>
        <w:tc>
          <w:tcPr>
            <w:tcW w:w="2863" w:type="dxa"/>
            <w:tcBorders>
              <w:top w:val="nil"/>
              <w:left w:val="nil"/>
              <w:bottom w:val="nil"/>
              <w:right w:val="nil"/>
            </w:tcBorders>
            <w:vAlign w:val="center"/>
          </w:tcPr>
          <w:p w14:paraId="745103CD">
            <w:pPr>
              <w:ind w:firstLine="562"/>
              <w:jc w:val="center"/>
              <w:rPr>
                <w:rFonts w:hint="eastAsia" w:ascii="宋体" w:hAnsi="宋体" w:cs="宋体"/>
                <w:b/>
                <w:bCs/>
                <w:color w:val="auto"/>
                <w:kern w:val="0"/>
                <w:sz w:val="28"/>
              </w:rPr>
            </w:pPr>
            <w:r>
              <w:rPr>
                <w:rFonts w:hint="eastAsia" w:ascii="宋体" w:hAnsi="宋体" w:cs="宋体"/>
                <w:b/>
                <w:bCs/>
                <w:color w:val="auto"/>
                <w:kern w:val="0"/>
                <w:sz w:val="28"/>
                <w:szCs w:val="28"/>
              </w:rPr>
              <w:t>采   购   人：</w:t>
            </w:r>
          </w:p>
        </w:tc>
        <w:tc>
          <w:tcPr>
            <w:tcW w:w="4916" w:type="dxa"/>
            <w:tcBorders>
              <w:top w:val="nil"/>
              <w:left w:val="nil"/>
              <w:bottom w:val="nil"/>
              <w:right w:val="nil"/>
            </w:tcBorders>
            <w:vAlign w:val="center"/>
          </w:tcPr>
          <w:p w14:paraId="630BBBD1">
            <w:pPr>
              <w:ind w:firstLine="562"/>
              <w:jc w:val="center"/>
              <w:rPr>
                <w:rFonts w:hint="eastAsia" w:ascii="宋体" w:hAnsi="宋体" w:cs="宋体"/>
                <w:b/>
                <w:bCs/>
                <w:color w:val="auto"/>
                <w:kern w:val="0"/>
                <w:sz w:val="28"/>
              </w:rPr>
            </w:pPr>
            <w:r>
              <w:rPr>
                <w:rFonts w:hint="eastAsia" w:ascii="宋体" w:hAnsi="宋体" w:cs="宋体"/>
                <w:b/>
                <w:bCs/>
                <w:color w:val="auto"/>
                <w:kern w:val="0"/>
                <w:sz w:val="28"/>
              </w:rPr>
              <w:t>郑  州  大  学</w:t>
            </w:r>
          </w:p>
        </w:tc>
      </w:tr>
      <w:tr w14:paraId="6BC125A1">
        <w:tblPrEx>
          <w:tblCellMar>
            <w:top w:w="0" w:type="dxa"/>
            <w:left w:w="108" w:type="dxa"/>
            <w:bottom w:w="0" w:type="dxa"/>
            <w:right w:w="108" w:type="dxa"/>
          </w:tblCellMar>
        </w:tblPrEx>
        <w:trPr>
          <w:trHeight w:val="520" w:hRule="atLeast"/>
        </w:trPr>
        <w:tc>
          <w:tcPr>
            <w:tcW w:w="2863" w:type="dxa"/>
            <w:tcBorders>
              <w:top w:val="nil"/>
              <w:left w:val="nil"/>
              <w:bottom w:val="nil"/>
              <w:right w:val="nil"/>
            </w:tcBorders>
            <w:vAlign w:val="center"/>
          </w:tcPr>
          <w:p w14:paraId="7EA2776B">
            <w:pPr>
              <w:pStyle w:val="19"/>
              <w:ind w:firstLine="562"/>
              <w:jc w:val="center"/>
              <w:rPr>
                <w:rFonts w:cs="宋体"/>
                <w:b/>
                <w:bCs/>
                <w:color w:val="auto"/>
                <w:kern w:val="0"/>
                <w:sz w:val="28"/>
              </w:rPr>
            </w:pPr>
            <w:r>
              <w:rPr>
                <w:rFonts w:hint="eastAsia" w:cs="宋体"/>
                <w:b/>
                <w:bCs/>
                <w:color w:val="auto"/>
                <w:kern w:val="0"/>
                <w:sz w:val="28"/>
                <w:szCs w:val="28"/>
              </w:rPr>
              <w:t>采购代理机构：</w:t>
            </w:r>
          </w:p>
        </w:tc>
        <w:tc>
          <w:tcPr>
            <w:tcW w:w="4916" w:type="dxa"/>
            <w:tcBorders>
              <w:top w:val="nil"/>
              <w:left w:val="nil"/>
              <w:bottom w:val="nil"/>
              <w:right w:val="nil"/>
            </w:tcBorders>
            <w:vAlign w:val="center"/>
          </w:tcPr>
          <w:p w14:paraId="39CC4007">
            <w:pPr>
              <w:ind w:firstLine="562"/>
              <w:jc w:val="center"/>
              <w:rPr>
                <w:rFonts w:hint="eastAsia" w:ascii="宋体" w:hAnsi="宋体" w:cs="宋体"/>
                <w:b/>
                <w:bCs/>
                <w:color w:val="auto"/>
                <w:kern w:val="0"/>
                <w:sz w:val="28"/>
              </w:rPr>
            </w:pPr>
            <w:r>
              <w:rPr>
                <w:rFonts w:hint="eastAsia" w:ascii="宋体" w:hAnsi="宋体" w:cs="宋体"/>
                <w:b/>
                <w:bCs/>
                <w:color w:val="auto"/>
                <w:kern w:val="0"/>
                <w:sz w:val="28"/>
              </w:rPr>
              <w:t>河南英华咨询有限公司</w:t>
            </w:r>
          </w:p>
        </w:tc>
      </w:tr>
      <w:tr w14:paraId="70BA698F">
        <w:tblPrEx>
          <w:tblCellMar>
            <w:top w:w="0" w:type="dxa"/>
            <w:left w:w="108" w:type="dxa"/>
            <w:bottom w:w="0" w:type="dxa"/>
            <w:right w:w="108" w:type="dxa"/>
          </w:tblCellMar>
        </w:tblPrEx>
        <w:trPr>
          <w:trHeight w:val="537" w:hRule="atLeast"/>
        </w:trPr>
        <w:tc>
          <w:tcPr>
            <w:tcW w:w="2863" w:type="dxa"/>
            <w:tcBorders>
              <w:top w:val="nil"/>
              <w:left w:val="nil"/>
              <w:bottom w:val="nil"/>
              <w:right w:val="nil"/>
            </w:tcBorders>
            <w:vAlign w:val="center"/>
          </w:tcPr>
          <w:p w14:paraId="6BCD9090">
            <w:pPr>
              <w:pStyle w:val="19"/>
              <w:ind w:firstLine="562"/>
              <w:jc w:val="center"/>
              <w:rPr>
                <w:rFonts w:cs="宋体"/>
                <w:b/>
                <w:bCs/>
                <w:color w:val="auto"/>
                <w:kern w:val="0"/>
                <w:sz w:val="28"/>
              </w:rPr>
            </w:pPr>
            <w:r>
              <w:rPr>
                <w:rFonts w:hint="eastAsia" w:cs="宋体"/>
                <w:b/>
                <w:bCs/>
                <w:color w:val="auto"/>
                <w:kern w:val="0"/>
                <w:sz w:val="28"/>
                <w:szCs w:val="28"/>
              </w:rPr>
              <w:t>日       期：</w:t>
            </w:r>
          </w:p>
        </w:tc>
        <w:tc>
          <w:tcPr>
            <w:tcW w:w="4916" w:type="dxa"/>
            <w:tcBorders>
              <w:top w:val="nil"/>
              <w:left w:val="nil"/>
              <w:bottom w:val="nil"/>
              <w:right w:val="nil"/>
            </w:tcBorders>
            <w:vAlign w:val="center"/>
          </w:tcPr>
          <w:p w14:paraId="482FE6EA">
            <w:pPr>
              <w:pStyle w:val="19"/>
              <w:ind w:firstLine="562"/>
              <w:jc w:val="center"/>
              <w:rPr>
                <w:rFonts w:cs="宋体"/>
                <w:b/>
                <w:bCs/>
                <w:color w:val="auto"/>
                <w:kern w:val="0"/>
                <w:sz w:val="28"/>
              </w:rPr>
            </w:pPr>
            <w:r>
              <w:rPr>
                <w:rFonts w:hint="eastAsia" w:cs="宋体"/>
                <w:b/>
                <w:color w:val="auto"/>
                <w:kern w:val="0"/>
                <w:sz w:val="28"/>
                <w:szCs w:val="32"/>
              </w:rPr>
              <w:t>二○二六年三月</w:t>
            </w:r>
          </w:p>
        </w:tc>
      </w:tr>
    </w:tbl>
    <w:p w14:paraId="3A7088E3">
      <w:pPr>
        <w:rPr>
          <w:color w:val="auto"/>
        </w:rPr>
      </w:pPr>
    </w:p>
    <w:p w14:paraId="0A4042B6">
      <w:pPr>
        <w:rPr>
          <w:color w:val="auto"/>
        </w:rPr>
      </w:pPr>
    </w:p>
    <w:p w14:paraId="5E4BF637">
      <w:pPr>
        <w:rPr>
          <w:color w:val="auto"/>
        </w:rPr>
      </w:pPr>
    </w:p>
    <w:p w14:paraId="23317B5E">
      <w:pPr>
        <w:rPr>
          <w:color w:val="auto"/>
        </w:rPr>
      </w:pPr>
    </w:p>
    <w:p w14:paraId="3C568164">
      <w:pPr>
        <w:rPr>
          <w:color w:val="auto"/>
        </w:rPr>
      </w:pPr>
    </w:p>
    <w:p w14:paraId="5DAEB4AA">
      <w:pPr>
        <w:rPr>
          <w:color w:val="auto"/>
        </w:rPr>
      </w:pPr>
    </w:p>
    <w:p w14:paraId="1255C7B6">
      <w:pPr>
        <w:rPr>
          <w:color w:val="auto"/>
        </w:rPr>
      </w:pPr>
    </w:p>
    <w:p w14:paraId="7FDB3E72">
      <w:pPr>
        <w:rPr>
          <w:color w:val="auto"/>
        </w:rPr>
      </w:pPr>
    </w:p>
    <w:p w14:paraId="18F7977F">
      <w:pPr>
        <w:rPr>
          <w:color w:val="auto"/>
        </w:rPr>
      </w:pPr>
    </w:p>
    <w:p w14:paraId="6D7BB52E">
      <w:pPr>
        <w:rPr>
          <w:color w:val="auto"/>
        </w:rPr>
      </w:pPr>
    </w:p>
    <w:p w14:paraId="3DE2A1F1">
      <w:pPr>
        <w:rPr>
          <w:color w:val="auto"/>
        </w:rPr>
      </w:pPr>
    </w:p>
    <w:p w14:paraId="3A6B7AAF">
      <w:pPr>
        <w:rPr>
          <w:color w:val="auto"/>
        </w:rPr>
      </w:pPr>
    </w:p>
    <w:p w14:paraId="484E6723">
      <w:pPr>
        <w:rPr>
          <w:color w:val="auto"/>
        </w:rPr>
      </w:pPr>
    </w:p>
    <w:p w14:paraId="02D78236">
      <w:pPr>
        <w:rPr>
          <w:color w:val="auto"/>
        </w:rPr>
      </w:pPr>
    </w:p>
    <w:p w14:paraId="20AAF296">
      <w:pPr>
        <w:rPr>
          <w:color w:val="auto"/>
        </w:rPr>
      </w:pPr>
    </w:p>
    <w:p w14:paraId="59293B56">
      <w:pPr>
        <w:rPr>
          <w:color w:val="auto"/>
        </w:rPr>
        <w:sectPr>
          <w:headerReference r:id="rId6" w:type="first"/>
          <w:headerReference r:id="rId5" w:type="default"/>
          <w:footerReference r:id="rId7" w:type="even"/>
          <w:pgSz w:w="11920" w:h="16840"/>
          <w:pgMar w:top="1440" w:right="1417" w:bottom="1440" w:left="1417" w:header="850" w:footer="964" w:gutter="284"/>
          <w:pgNumType w:start="0"/>
          <w:cols w:space="720" w:num="1"/>
          <w:titlePg/>
          <w:docGrid w:linePitch="286" w:charSpace="0"/>
        </w:sectPr>
      </w:pPr>
    </w:p>
    <w:p w14:paraId="1DD630BB">
      <w:pPr>
        <w:jc w:val="center"/>
        <w:rPr>
          <w:color w:val="auto"/>
          <w:lang w:bidi="zh-CN"/>
        </w:rPr>
      </w:pPr>
      <w:r>
        <w:rPr>
          <w:rFonts w:hint="eastAsia"/>
          <w:color w:val="auto"/>
          <w:lang w:bidi="zh-CN"/>
        </w:rPr>
        <w:t>河南省政府采购合同融资政策告知函</w:t>
      </w:r>
    </w:p>
    <w:p w14:paraId="3D182B48">
      <w:pPr>
        <w:rPr>
          <w:color w:val="auto"/>
        </w:rPr>
      </w:pPr>
    </w:p>
    <w:p w14:paraId="63414F95">
      <w:pPr>
        <w:rPr>
          <w:color w:val="auto"/>
        </w:rPr>
      </w:pPr>
      <w:r>
        <w:rPr>
          <w:rFonts w:hint="eastAsia"/>
          <w:color w:val="auto"/>
        </w:rPr>
        <w:t>各供应商：</w:t>
      </w:r>
    </w:p>
    <w:p w14:paraId="5B96EC95">
      <w:pPr>
        <w:rPr>
          <w:color w:val="auto"/>
        </w:rPr>
      </w:pPr>
      <w:r>
        <w:rPr>
          <w:rFonts w:hint="eastAsia"/>
          <w:color w:val="auto"/>
        </w:rPr>
        <w:t>欢迎贵公司参与河南省政府采购活动！</w:t>
      </w:r>
    </w:p>
    <w:p w14:paraId="47FEE7B8">
      <w:pPr>
        <w:rPr>
          <w:color w:val="auto"/>
        </w:rPr>
      </w:pPr>
      <w:r>
        <w:rPr>
          <w:rFonts w:hint="eastAsia"/>
          <w:color w:val="auto"/>
        </w:rPr>
        <w:t>政府采购合同融资是河南省财政厅支持中小微企业发展，针对参与政府采购活动的供应商融资难、融资贵问题推出的一项融资政策。贵公司若成为本次政府采购项目的成交供应商，可持政府采购合同向金融机构申请贷款，无需抵押、担保，融资机构将根据《河南省政府采购合同融资工作实施方案》（豫财购【2017】10号），按照双方自愿的原则提供便捷、优惠的贷款服务。</w:t>
      </w:r>
    </w:p>
    <w:p w14:paraId="190C64A6">
      <w:pPr>
        <w:rPr>
          <w:color w:val="auto"/>
        </w:rPr>
      </w:pPr>
      <w:r>
        <w:rPr>
          <w:rFonts w:hint="eastAsia"/>
          <w:color w:val="auto"/>
        </w:rPr>
        <w:t>贷款渠道和提供贷款的金融机构，可在河南省政府采购网“河南省政府采购合同融资平台”查询联系。</w:t>
      </w:r>
    </w:p>
    <w:p w14:paraId="0B7DEFE0">
      <w:pPr>
        <w:rPr>
          <w:color w:val="auto"/>
        </w:rPr>
      </w:pPr>
    </w:p>
    <w:p w14:paraId="7968275C">
      <w:pPr>
        <w:rPr>
          <w:color w:val="auto"/>
        </w:rPr>
      </w:pPr>
    </w:p>
    <w:p w14:paraId="2BBADD19">
      <w:pPr>
        <w:rPr>
          <w:color w:val="auto"/>
        </w:rPr>
      </w:pPr>
    </w:p>
    <w:p w14:paraId="3AC0D87B">
      <w:pPr>
        <w:rPr>
          <w:color w:val="auto"/>
        </w:rPr>
      </w:pPr>
    </w:p>
    <w:p w14:paraId="133DBCB4">
      <w:pPr>
        <w:rPr>
          <w:color w:val="auto"/>
        </w:rPr>
      </w:pPr>
      <w:r>
        <w:rPr>
          <w:rFonts w:hint="eastAsia"/>
          <w:color w:val="auto"/>
        </w:rPr>
        <w:br w:type="page"/>
      </w:r>
    </w:p>
    <w:p w14:paraId="427D0CF3">
      <w:pPr>
        <w:jc w:val="center"/>
        <w:rPr>
          <w:b/>
          <w:bCs/>
          <w:color w:val="auto"/>
          <w:sz w:val="32"/>
          <w:szCs w:val="40"/>
        </w:rPr>
      </w:pPr>
      <w:r>
        <w:rPr>
          <w:rFonts w:hint="eastAsia"/>
          <w:b/>
          <w:bCs/>
          <w:color w:val="auto"/>
          <w:sz w:val="32"/>
          <w:szCs w:val="40"/>
        </w:rPr>
        <w:t>目  录</w:t>
      </w:r>
    </w:p>
    <w:p w14:paraId="52668BA9">
      <w:pPr>
        <w:pStyle w:val="25"/>
        <w:rPr>
          <w:color w:val="auto"/>
        </w:rPr>
      </w:pPr>
    </w:p>
    <w:p w14:paraId="09717FAD">
      <w:pPr>
        <w:pStyle w:val="25"/>
        <w:tabs>
          <w:tab w:val="right" w:leader="dot" w:pos="9070"/>
        </w:tabs>
        <w:rPr>
          <w:color w:val="auto"/>
        </w:rPr>
      </w:pPr>
      <w:r>
        <w:rPr>
          <w:rFonts w:hint="eastAsia"/>
          <w:b/>
          <w:color w:val="auto"/>
        </w:rPr>
        <w:fldChar w:fldCharType="begin"/>
      </w:r>
      <w:r>
        <w:rPr>
          <w:rFonts w:hint="eastAsia"/>
          <w:b/>
          <w:color w:val="auto"/>
        </w:rPr>
        <w:instrText xml:space="preserve">TOC \o "1-1" \h \u </w:instrText>
      </w:r>
      <w:r>
        <w:rPr>
          <w:rFonts w:hint="eastAsia"/>
          <w:b/>
          <w:color w:val="auto"/>
        </w:rPr>
        <w:fldChar w:fldCharType="separate"/>
      </w:r>
      <w:r>
        <w:rPr>
          <w:rFonts w:hint="eastAsia"/>
          <w:color w:val="auto"/>
        </w:rPr>
        <w:fldChar w:fldCharType="begin"/>
      </w:r>
      <w:r>
        <w:rPr>
          <w:rFonts w:hint="eastAsia"/>
          <w:color w:val="auto"/>
        </w:rPr>
        <w:instrText xml:space="preserve"> HYPERLINK \l _Toc3898 </w:instrText>
      </w:r>
      <w:r>
        <w:rPr>
          <w:rFonts w:hint="eastAsia"/>
          <w:color w:val="auto"/>
        </w:rPr>
        <w:fldChar w:fldCharType="separate"/>
      </w:r>
      <w:r>
        <w:rPr>
          <w:rFonts w:hint="eastAsia"/>
          <w:color w:val="auto"/>
        </w:rPr>
        <w:t>第一章 竞争性磋商公告</w:t>
      </w:r>
      <w:r>
        <w:rPr>
          <w:color w:val="auto"/>
        </w:rPr>
        <w:tab/>
      </w:r>
      <w:r>
        <w:rPr>
          <w:color w:val="auto"/>
        </w:rPr>
        <w:fldChar w:fldCharType="begin"/>
      </w:r>
      <w:r>
        <w:rPr>
          <w:color w:val="auto"/>
        </w:rPr>
        <w:instrText xml:space="preserve"> PAGEREF _Toc3898 \h </w:instrText>
      </w:r>
      <w:r>
        <w:rPr>
          <w:color w:val="auto"/>
        </w:rPr>
        <w:fldChar w:fldCharType="separate"/>
      </w:r>
      <w:r>
        <w:rPr>
          <w:color w:val="auto"/>
        </w:rPr>
        <w:t>3</w:t>
      </w:r>
      <w:r>
        <w:rPr>
          <w:color w:val="auto"/>
        </w:rPr>
        <w:fldChar w:fldCharType="end"/>
      </w:r>
      <w:r>
        <w:rPr>
          <w:rFonts w:hint="eastAsia"/>
          <w:color w:val="auto"/>
        </w:rPr>
        <w:fldChar w:fldCharType="end"/>
      </w:r>
    </w:p>
    <w:p w14:paraId="4DDC8C93">
      <w:pPr>
        <w:pStyle w:val="25"/>
        <w:tabs>
          <w:tab w:val="right" w:leader="dot" w:pos="9070"/>
        </w:tabs>
        <w:rPr>
          <w:color w:val="auto"/>
        </w:rPr>
      </w:pPr>
      <w:r>
        <w:rPr>
          <w:rFonts w:hint="eastAsia"/>
          <w:color w:val="auto"/>
        </w:rPr>
        <w:fldChar w:fldCharType="begin"/>
      </w:r>
      <w:r>
        <w:rPr>
          <w:rFonts w:hint="eastAsia"/>
          <w:color w:val="auto"/>
        </w:rPr>
        <w:instrText xml:space="preserve"> HYPERLINK \l _Toc17009 </w:instrText>
      </w:r>
      <w:r>
        <w:rPr>
          <w:rFonts w:hint="eastAsia"/>
          <w:color w:val="auto"/>
        </w:rPr>
        <w:fldChar w:fldCharType="separate"/>
      </w:r>
      <w:r>
        <w:rPr>
          <w:rFonts w:hint="eastAsia"/>
          <w:color w:val="auto"/>
        </w:rPr>
        <w:t>第二章 供应商须知</w:t>
      </w:r>
      <w:r>
        <w:rPr>
          <w:color w:val="auto"/>
        </w:rPr>
        <w:tab/>
      </w:r>
      <w:r>
        <w:rPr>
          <w:color w:val="auto"/>
        </w:rPr>
        <w:fldChar w:fldCharType="begin"/>
      </w:r>
      <w:r>
        <w:rPr>
          <w:color w:val="auto"/>
        </w:rPr>
        <w:instrText xml:space="preserve"> PAGEREF _Toc17009 \h </w:instrText>
      </w:r>
      <w:r>
        <w:rPr>
          <w:color w:val="auto"/>
        </w:rPr>
        <w:fldChar w:fldCharType="separate"/>
      </w:r>
      <w:r>
        <w:rPr>
          <w:color w:val="auto"/>
        </w:rPr>
        <w:t>6</w:t>
      </w:r>
      <w:r>
        <w:rPr>
          <w:color w:val="auto"/>
        </w:rPr>
        <w:fldChar w:fldCharType="end"/>
      </w:r>
      <w:r>
        <w:rPr>
          <w:rFonts w:hint="eastAsia"/>
          <w:color w:val="auto"/>
        </w:rPr>
        <w:fldChar w:fldCharType="end"/>
      </w:r>
    </w:p>
    <w:p w14:paraId="19AC0BCF">
      <w:pPr>
        <w:pStyle w:val="25"/>
        <w:tabs>
          <w:tab w:val="right" w:leader="dot" w:pos="9070"/>
        </w:tabs>
        <w:rPr>
          <w:color w:val="auto"/>
        </w:rPr>
      </w:pPr>
      <w:r>
        <w:rPr>
          <w:rFonts w:hint="eastAsia"/>
          <w:color w:val="auto"/>
        </w:rPr>
        <w:fldChar w:fldCharType="begin"/>
      </w:r>
      <w:r>
        <w:rPr>
          <w:rFonts w:hint="eastAsia"/>
          <w:color w:val="auto"/>
        </w:rPr>
        <w:instrText xml:space="preserve"> HYPERLINK \l _Toc30534 </w:instrText>
      </w:r>
      <w:r>
        <w:rPr>
          <w:rFonts w:hint="eastAsia"/>
          <w:color w:val="auto"/>
        </w:rPr>
        <w:fldChar w:fldCharType="separate"/>
      </w:r>
      <w:r>
        <w:rPr>
          <w:rFonts w:hint="eastAsia"/>
          <w:color w:val="auto"/>
        </w:rPr>
        <w:t>第三章 采购需求</w:t>
      </w:r>
      <w:r>
        <w:rPr>
          <w:color w:val="auto"/>
        </w:rPr>
        <w:tab/>
      </w:r>
      <w:r>
        <w:rPr>
          <w:color w:val="auto"/>
        </w:rPr>
        <w:fldChar w:fldCharType="begin"/>
      </w:r>
      <w:r>
        <w:rPr>
          <w:color w:val="auto"/>
        </w:rPr>
        <w:instrText xml:space="preserve"> PAGEREF _Toc30534 \h </w:instrText>
      </w:r>
      <w:r>
        <w:rPr>
          <w:color w:val="auto"/>
        </w:rPr>
        <w:fldChar w:fldCharType="separate"/>
      </w:r>
      <w:r>
        <w:rPr>
          <w:color w:val="auto"/>
        </w:rPr>
        <w:t>21</w:t>
      </w:r>
      <w:r>
        <w:rPr>
          <w:color w:val="auto"/>
        </w:rPr>
        <w:fldChar w:fldCharType="end"/>
      </w:r>
      <w:r>
        <w:rPr>
          <w:rFonts w:hint="eastAsia"/>
          <w:color w:val="auto"/>
        </w:rPr>
        <w:fldChar w:fldCharType="end"/>
      </w:r>
    </w:p>
    <w:p w14:paraId="66D29C0F">
      <w:pPr>
        <w:pStyle w:val="25"/>
        <w:tabs>
          <w:tab w:val="right" w:leader="dot" w:pos="9070"/>
        </w:tabs>
        <w:rPr>
          <w:color w:val="auto"/>
        </w:rPr>
      </w:pPr>
      <w:r>
        <w:rPr>
          <w:rFonts w:hint="eastAsia"/>
          <w:color w:val="auto"/>
        </w:rPr>
        <w:fldChar w:fldCharType="begin"/>
      </w:r>
      <w:r>
        <w:rPr>
          <w:rFonts w:hint="eastAsia"/>
          <w:color w:val="auto"/>
        </w:rPr>
        <w:instrText xml:space="preserve"> HYPERLINK \l _Toc22478 </w:instrText>
      </w:r>
      <w:r>
        <w:rPr>
          <w:rFonts w:hint="eastAsia"/>
          <w:color w:val="auto"/>
        </w:rPr>
        <w:fldChar w:fldCharType="separate"/>
      </w:r>
      <w:r>
        <w:rPr>
          <w:rFonts w:hint="eastAsia"/>
          <w:color w:val="auto"/>
        </w:rPr>
        <w:t>第四章 磋商内容、磋商过程中可能实质性变动的内容</w:t>
      </w:r>
      <w:r>
        <w:rPr>
          <w:color w:val="auto"/>
        </w:rPr>
        <w:tab/>
      </w:r>
      <w:r>
        <w:rPr>
          <w:color w:val="auto"/>
        </w:rPr>
        <w:fldChar w:fldCharType="begin"/>
      </w:r>
      <w:r>
        <w:rPr>
          <w:color w:val="auto"/>
        </w:rPr>
        <w:instrText xml:space="preserve"> PAGEREF _Toc22478 \h </w:instrText>
      </w:r>
      <w:r>
        <w:rPr>
          <w:color w:val="auto"/>
        </w:rPr>
        <w:fldChar w:fldCharType="separate"/>
      </w:r>
      <w:r>
        <w:rPr>
          <w:color w:val="auto"/>
        </w:rPr>
        <w:t>26</w:t>
      </w:r>
      <w:r>
        <w:rPr>
          <w:color w:val="auto"/>
        </w:rPr>
        <w:fldChar w:fldCharType="end"/>
      </w:r>
      <w:r>
        <w:rPr>
          <w:rFonts w:hint="eastAsia"/>
          <w:color w:val="auto"/>
        </w:rPr>
        <w:fldChar w:fldCharType="end"/>
      </w:r>
    </w:p>
    <w:p w14:paraId="47729462">
      <w:pPr>
        <w:pStyle w:val="25"/>
        <w:tabs>
          <w:tab w:val="right" w:leader="dot" w:pos="9070"/>
        </w:tabs>
        <w:rPr>
          <w:color w:val="auto"/>
        </w:rPr>
      </w:pPr>
      <w:r>
        <w:rPr>
          <w:rFonts w:hint="eastAsia"/>
          <w:color w:val="auto"/>
        </w:rPr>
        <w:fldChar w:fldCharType="begin"/>
      </w:r>
      <w:r>
        <w:rPr>
          <w:rFonts w:hint="eastAsia"/>
          <w:color w:val="auto"/>
        </w:rPr>
        <w:instrText xml:space="preserve"> HYPERLINK \l _Toc14797 </w:instrText>
      </w:r>
      <w:r>
        <w:rPr>
          <w:rFonts w:hint="eastAsia"/>
          <w:color w:val="auto"/>
        </w:rPr>
        <w:fldChar w:fldCharType="separate"/>
      </w:r>
      <w:r>
        <w:rPr>
          <w:rFonts w:hint="eastAsia"/>
          <w:color w:val="auto"/>
        </w:rPr>
        <w:t>第五章 磋商程序、评审方法及评审标准</w:t>
      </w:r>
      <w:r>
        <w:rPr>
          <w:color w:val="auto"/>
        </w:rPr>
        <w:tab/>
      </w:r>
      <w:r>
        <w:rPr>
          <w:color w:val="auto"/>
        </w:rPr>
        <w:fldChar w:fldCharType="begin"/>
      </w:r>
      <w:r>
        <w:rPr>
          <w:color w:val="auto"/>
        </w:rPr>
        <w:instrText xml:space="preserve"> PAGEREF _Toc14797 \h </w:instrText>
      </w:r>
      <w:r>
        <w:rPr>
          <w:color w:val="auto"/>
        </w:rPr>
        <w:fldChar w:fldCharType="separate"/>
      </w:r>
      <w:r>
        <w:rPr>
          <w:color w:val="auto"/>
        </w:rPr>
        <w:t>27</w:t>
      </w:r>
      <w:r>
        <w:rPr>
          <w:color w:val="auto"/>
        </w:rPr>
        <w:fldChar w:fldCharType="end"/>
      </w:r>
      <w:r>
        <w:rPr>
          <w:rFonts w:hint="eastAsia"/>
          <w:color w:val="auto"/>
        </w:rPr>
        <w:fldChar w:fldCharType="end"/>
      </w:r>
    </w:p>
    <w:p w14:paraId="7F1FD404">
      <w:pPr>
        <w:pStyle w:val="25"/>
        <w:tabs>
          <w:tab w:val="right" w:leader="dot" w:pos="9070"/>
        </w:tabs>
        <w:rPr>
          <w:color w:val="auto"/>
        </w:rPr>
      </w:pPr>
      <w:r>
        <w:rPr>
          <w:rFonts w:hint="eastAsia"/>
          <w:color w:val="auto"/>
        </w:rPr>
        <w:fldChar w:fldCharType="begin"/>
      </w:r>
      <w:r>
        <w:rPr>
          <w:rFonts w:hint="eastAsia"/>
          <w:color w:val="auto"/>
        </w:rPr>
        <w:instrText xml:space="preserve"> HYPERLINK \l _Toc18173 </w:instrText>
      </w:r>
      <w:r>
        <w:rPr>
          <w:rFonts w:hint="eastAsia"/>
          <w:color w:val="auto"/>
        </w:rPr>
        <w:fldChar w:fldCharType="separate"/>
      </w:r>
      <w:r>
        <w:rPr>
          <w:rFonts w:hint="eastAsia"/>
          <w:color w:val="auto"/>
        </w:rPr>
        <w:t>第六章 合同条款及格式</w:t>
      </w:r>
      <w:r>
        <w:rPr>
          <w:color w:val="auto"/>
        </w:rPr>
        <w:tab/>
      </w:r>
      <w:r>
        <w:rPr>
          <w:color w:val="auto"/>
        </w:rPr>
        <w:fldChar w:fldCharType="begin"/>
      </w:r>
      <w:r>
        <w:rPr>
          <w:color w:val="auto"/>
        </w:rPr>
        <w:instrText xml:space="preserve"> PAGEREF _Toc18173 \h </w:instrText>
      </w:r>
      <w:r>
        <w:rPr>
          <w:color w:val="auto"/>
        </w:rPr>
        <w:fldChar w:fldCharType="separate"/>
      </w:r>
      <w:r>
        <w:rPr>
          <w:color w:val="auto"/>
        </w:rPr>
        <w:t>37</w:t>
      </w:r>
      <w:r>
        <w:rPr>
          <w:color w:val="auto"/>
        </w:rPr>
        <w:fldChar w:fldCharType="end"/>
      </w:r>
      <w:r>
        <w:rPr>
          <w:rFonts w:hint="eastAsia"/>
          <w:color w:val="auto"/>
        </w:rPr>
        <w:fldChar w:fldCharType="end"/>
      </w:r>
    </w:p>
    <w:p w14:paraId="57227E44">
      <w:pPr>
        <w:pStyle w:val="25"/>
        <w:tabs>
          <w:tab w:val="right" w:leader="dot" w:pos="9070"/>
        </w:tabs>
        <w:rPr>
          <w:color w:val="auto"/>
        </w:rPr>
      </w:pPr>
      <w:r>
        <w:rPr>
          <w:rFonts w:hint="eastAsia"/>
          <w:color w:val="auto"/>
        </w:rPr>
        <w:fldChar w:fldCharType="begin"/>
      </w:r>
      <w:r>
        <w:rPr>
          <w:rFonts w:hint="eastAsia"/>
          <w:color w:val="auto"/>
        </w:rPr>
        <w:instrText xml:space="preserve"> HYPERLINK \l _Toc3096 </w:instrText>
      </w:r>
      <w:r>
        <w:rPr>
          <w:rFonts w:hint="eastAsia"/>
          <w:color w:val="auto"/>
        </w:rPr>
        <w:fldChar w:fldCharType="separate"/>
      </w:r>
      <w:r>
        <w:rPr>
          <w:rFonts w:hint="eastAsia"/>
          <w:color w:val="auto"/>
        </w:rPr>
        <w:t>第七章 响应文件格式</w:t>
      </w:r>
      <w:r>
        <w:rPr>
          <w:color w:val="auto"/>
        </w:rPr>
        <w:tab/>
      </w:r>
      <w:r>
        <w:rPr>
          <w:color w:val="auto"/>
        </w:rPr>
        <w:fldChar w:fldCharType="begin"/>
      </w:r>
      <w:r>
        <w:rPr>
          <w:color w:val="auto"/>
        </w:rPr>
        <w:instrText xml:space="preserve"> PAGEREF _Toc3096 \h </w:instrText>
      </w:r>
      <w:r>
        <w:rPr>
          <w:color w:val="auto"/>
        </w:rPr>
        <w:fldChar w:fldCharType="separate"/>
      </w:r>
      <w:r>
        <w:rPr>
          <w:color w:val="auto"/>
        </w:rPr>
        <w:t>47</w:t>
      </w:r>
      <w:r>
        <w:rPr>
          <w:color w:val="auto"/>
        </w:rPr>
        <w:fldChar w:fldCharType="end"/>
      </w:r>
      <w:r>
        <w:rPr>
          <w:rFonts w:hint="eastAsia"/>
          <w:color w:val="auto"/>
        </w:rPr>
        <w:fldChar w:fldCharType="end"/>
      </w:r>
    </w:p>
    <w:p w14:paraId="4E191A66">
      <w:pPr>
        <w:rPr>
          <w:color w:val="auto"/>
        </w:rPr>
      </w:pPr>
      <w:r>
        <w:rPr>
          <w:rFonts w:hint="eastAsia"/>
          <w:color w:val="auto"/>
        </w:rPr>
        <w:fldChar w:fldCharType="end"/>
      </w:r>
    </w:p>
    <w:p w14:paraId="34168A8E">
      <w:pPr>
        <w:pStyle w:val="2"/>
        <w:ind w:firstLine="883"/>
        <w:rPr>
          <w:color w:val="auto"/>
        </w:rPr>
        <w:sectPr>
          <w:headerReference r:id="rId8" w:type="first"/>
          <w:footerReference r:id="rId10" w:type="first"/>
          <w:footerReference r:id="rId9" w:type="default"/>
          <w:pgSz w:w="11906" w:h="16838"/>
          <w:pgMar w:top="1418" w:right="1418" w:bottom="1134" w:left="1418" w:header="851" w:footer="992" w:gutter="0"/>
          <w:pgNumType w:start="1"/>
          <w:cols w:space="720" w:num="1"/>
          <w:titlePg/>
          <w:docGrid w:type="lines" w:linePitch="312" w:charSpace="0"/>
        </w:sectPr>
      </w:pPr>
      <w:bookmarkStart w:id="0" w:name="_Toc13450"/>
      <w:bookmarkStart w:id="1" w:name="_Toc433093351"/>
    </w:p>
    <w:p w14:paraId="5FCE38B5">
      <w:pPr>
        <w:pStyle w:val="2"/>
        <w:ind w:firstLine="883"/>
        <w:rPr>
          <w:color w:val="auto"/>
        </w:rPr>
      </w:pPr>
      <w:bookmarkStart w:id="2" w:name="_Toc15685"/>
      <w:bookmarkStart w:id="3" w:name="_Toc1950"/>
      <w:bookmarkStart w:id="4" w:name="_Toc3898"/>
      <w:r>
        <w:rPr>
          <w:rFonts w:hint="eastAsia"/>
          <w:color w:val="auto"/>
        </w:rPr>
        <w:t>第一章 竞争性磋商公告</w:t>
      </w:r>
      <w:bookmarkEnd w:id="0"/>
      <w:bookmarkEnd w:id="1"/>
      <w:bookmarkEnd w:id="2"/>
      <w:bookmarkEnd w:id="3"/>
      <w:bookmarkEnd w:id="4"/>
    </w:p>
    <w:p w14:paraId="056270C4">
      <w:pPr>
        <w:jc w:val="center"/>
        <w:rPr>
          <w:color w:val="auto"/>
        </w:rPr>
      </w:pPr>
      <w:bookmarkStart w:id="5" w:name="OLE_LINK2"/>
      <w:bookmarkStart w:id="6" w:name="_Toc433093352"/>
      <w:bookmarkStart w:id="7" w:name="_Toc30764"/>
      <w:r>
        <w:rPr>
          <w:rFonts w:hint="eastAsia"/>
          <w:color w:val="auto"/>
        </w:rPr>
        <w:t>郑州大学水利与交通学院、黄河实验室（郑州大学）地下管道灾变全过程多功能模拟试验系统项目-竞争性磋商公告</w:t>
      </w:r>
      <w:bookmarkEnd w:id="5"/>
    </w:p>
    <w:p w14:paraId="2C8CD018">
      <w:pPr>
        <w:ind w:firstLine="422"/>
        <w:rPr>
          <w:b/>
          <w:bCs/>
          <w:color w:val="auto"/>
        </w:rPr>
      </w:pPr>
      <w:r>
        <w:rPr>
          <w:rFonts w:hint="eastAsia"/>
          <w:b/>
          <w:bCs/>
          <w:color w:val="auto"/>
        </w:rPr>
        <w:t>项目概况</w:t>
      </w:r>
    </w:p>
    <w:p w14:paraId="3117E7BC">
      <w:pPr>
        <w:rPr>
          <w:color w:val="auto"/>
        </w:rPr>
      </w:pPr>
      <w:r>
        <w:rPr>
          <w:rFonts w:hint="eastAsia"/>
          <w:color w:val="auto"/>
        </w:rPr>
        <w:t>郑州大学水利与交通学院、黄河实验室（郑州大学）地下管道灾变全过程多功能模拟试验系统项目招标项目的潜在投标人应在河南省公共资源交易中心（https://hnsggzyjy.henan.gov.cn/）获取磋商文件，并于</w:t>
      </w:r>
      <w:r>
        <w:rPr>
          <w:rFonts w:hint="eastAsia"/>
          <w:color w:val="auto"/>
          <w:lang w:eastAsia="zh-CN"/>
        </w:rPr>
        <w:t>2026年04月07日</w:t>
      </w:r>
      <w:r>
        <w:rPr>
          <w:rFonts w:hint="eastAsia"/>
          <w:color w:val="auto"/>
        </w:rPr>
        <w:t>09时00分（北京时间）前递交响应文件。</w:t>
      </w:r>
    </w:p>
    <w:p w14:paraId="7D21E7EB">
      <w:pPr>
        <w:ind w:firstLine="422"/>
        <w:rPr>
          <w:b/>
          <w:bCs/>
          <w:color w:val="auto"/>
        </w:rPr>
      </w:pPr>
      <w:r>
        <w:rPr>
          <w:rFonts w:hint="eastAsia"/>
          <w:b/>
          <w:bCs/>
          <w:color w:val="auto"/>
        </w:rPr>
        <w:t xml:space="preserve">一、项目基本情况 </w:t>
      </w:r>
    </w:p>
    <w:p w14:paraId="18CB0D4C">
      <w:pPr>
        <w:rPr>
          <w:color w:val="auto"/>
        </w:rPr>
      </w:pPr>
      <w:r>
        <w:rPr>
          <w:rFonts w:hint="eastAsia"/>
          <w:color w:val="auto"/>
        </w:rPr>
        <w:t>1、采购项目编号：</w:t>
      </w:r>
      <w:r>
        <w:rPr>
          <w:rFonts w:hint="eastAsia"/>
          <w:color w:val="auto"/>
          <w:lang w:eastAsia="zh-CN"/>
        </w:rPr>
        <w:t>豫财磋商采购-2026-113</w:t>
      </w:r>
    </w:p>
    <w:p w14:paraId="40C9D7E1">
      <w:pPr>
        <w:rPr>
          <w:color w:val="auto"/>
        </w:rPr>
      </w:pPr>
      <w:r>
        <w:rPr>
          <w:rFonts w:hint="eastAsia"/>
          <w:color w:val="auto"/>
        </w:rPr>
        <w:t>2、采购项目名称：郑州大学水利与交通学院、黄河实验室（郑州大学）地下管道灾变全过程多功能模拟试验系统项目</w:t>
      </w:r>
    </w:p>
    <w:p w14:paraId="1A6BA037">
      <w:pPr>
        <w:rPr>
          <w:color w:val="auto"/>
        </w:rPr>
      </w:pPr>
      <w:r>
        <w:rPr>
          <w:rFonts w:hint="eastAsia"/>
          <w:color w:val="auto"/>
        </w:rPr>
        <w:t>3、采购方式：竞争性磋商</w:t>
      </w:r>
    </w:p>
    <w:p w14:paraId="2DEE30C7">
      <w:pPr>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4、预算金额：3200000.00元</w:t>
      </w:r>
    </w:p>
    <w:p w14:paraId="25D2111F">
      <w:pPr>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最高限价：3200000.00</w:t>
      </w:r>
    </w:p>
    <w:tbl>
      <w:tblPr>
        <w:tblStyle w:val="38"/>
        <w:tblpPr w:leftFromText="180" w:rightFromText="180" w:vertAnchor="text" w:horzAnchor="page" w:tblpX="1758" w:tblpY="446"/>
        <w:tblOverlap w:val="never"/>
        <w:tblW w:w="5000" w:type="pct"/>
        <w:tblCellSpacing w:w="0"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518"/>
        <w:gridCol w:w="2125"/>
        <w:gridCol w:w="3086"/>
        <w:gridCol w:w="1322"/>
        <w:gridCol w:w="1761"/>
      </w:tblGrid>
      <w:tr w14:paraId="0B397AC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94" w:type="pct"/>
            <w:tcBorders>
              <w:top w:val="single" w:color="auto" w:sz="4" w:space="0"/>
              <w:left w:val="single" w:color="auto" w:sz="6" w:space="0"/>
              <w:bottom w:val="single" w:color="auto" w:sz="4" w:space="0"/>
              <w:right w:val="single" w:color="auto" w:sz="4" w:space="0"/>
            </w:tcBorders>
            <w:vAlign w:val="center"/>
          </w:tcPr>
          <w:p w14:paraId="06E7890A">
            <w:pPr>
              <w:spacing w:line="240" w:lineRule="auto"/>
              <w:ind w:firstLine="0" w:firstLineChars="0"/>
              <w:jc w:val="center"/>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lang w:bidi="ar"/>
              </w:rPr>
              <w:t>序号</w:t>
            </w:r>
          </w:p>
        </w:tc>
        <w:tc>
          <w:tcPr>
            <w:tcW w:w="1205" w:type="pct"/>
            <w:tcBorders>
              <w:top w:val="single" w:color="auto" w:sz="4" w:space="0"/>
              <w:left w:val="single" w:color="auto" w:sz="4" w:space="0"/>
              <w:bottom w:val="single" w:color="auto" w:sz="4" w:space="0"/>
              <w:right w:val="single" w:color="auto" w:sz="4" w:space="0"/>
            </w:tcBorders>
            <w:vAlign w:val="center"/>
          </w:tcPr>
          <w:p w14:paraId="7B80EFA3">
            <w:pPr>
              <w:spacing w:line="240" w:lineRule="auto"/>
              <w:ind w:firstLine="0" w:firstLineChars="0"/>
              <w:jc w:val="center"/>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lang w:bidi="ar"/>
              </w:rPr>
              <w:t>包号</w:t>
            </w:r>
          </w:p>
        </w:tc>
        <w:tc>
          <w:tcPr>
            <w:tcW w:w="1750" w:type="pct"/>
            <w:tcBorders>
              <w:top w:val="single" w:color="auto" w:sz="4" w:space="0"/>
              <w:left w:val="single" w:color="auto" w:sz="4" w:space="0"/>
              <w:bottom w:val="single" w:color="auto" w:sz="4" w:space="0"/>
              <w:right w:val="single" w:color="auto" w:sz="4" w:space="0"/>
            </w:tcBorders>
            <w:vAlign w:val="center"/>
          </w:tcPr>
          <w:p w14:paraId="1C764A76">
            <w:pPr>
              <w:spacing w:line="240" w:lineRule="auto"/>
              <w:ind w:firstLine="0" w:firstLineChars="0"/>
              <w:jc w:val="center"/>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lang w:bidi="ar"/>
              </w:rPr>
              <w:t>包名称</w:t>
            </w:r>
          </w:p>
        </w:tc>
        <w:tc>
          <w:tcPr>
            <w:tcW w:w="750" w:type="pct"/>
            <w:tcBorders>
              <w:top w:val="single" w:color="auto" w:sz="4" w:space="0"/>
              <w:left w:val="single" w:color="auto" w:sz="4" w:space="0"/>
              <w:bottom w:val="single" w:color="auto" w:sz="4" w:space="0"/>
              <w:right w:val="single" w:color="auto" w:sz="4" w:space="0"/>
            </w:tcBorders>
            <w:vAlign w:val="center"/>
          </w:tcPr>
          <w:p w14:paraId="0113494B">
            <w:pPr>
              <w:spacing w:line="240" w:lineRule="auto"/>
              <w:ind w:firstLine="0" w:firstLineChars="0"/>
              <w:jc w:val="center"/>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lang w:bidi="ar"/>
              </w:rPr>
              <w:t>包预算（元）</w:t>
            </w:r>
          </w:p>
        </w:tc>
        <w:tc>
          <w:tcPr>
            <w:tcW w:w="999" w:type="pct"/>
            <w:tcBorders>
              <w:top w:val="single" w:color="auto" w:sz="4" w:space="0"/>
              <w:left w:val="single" w:color="auto" w:sz="4" w:space="0"/>
              <w:bottom w:val="single" w:color="auto" w:sz="4" w:space="0"/>
              <w:right w:val="single" w:color="auto" w:sz="4" w:space="0"/>
            </w:tcBorders>
            <w:vAlign w:val="center"/>
          </w:tcPr>
          <w:p w14:paraId="5BEF6D1B">
            <w:pPr>
              <w:spacing w:line="240" w:lineRule="auto"/>
              <w:ind w:firstLine="0" w:firstLineChars="0"/>
              <w:jc w:val="center"/>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lang w:bidi="ar"/>
              </w:rPr>
              <w:t>包最高限价（元）</w:t>
            </w:r>
          </w:p>
        </w:tc>
      </w:tr>
      <w:tr w14:paraId="42C2A50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94" w:type="pct"/>
            <w:tcBorders>
              <w:top w:val="single" w:color="auto" w:sz="4" w:space="0"/>
              <w:left w:val="single" w:color="auto" w:sz="4" w:space="0"/>
              <w:bottom w:val="single" w:color="auto" w:sz="4" w:space="0"/>
              <w:right w:val="single" w:color="auto" w:sz="4" w:space="0"/>
            </w:tcBorders>
            <w:vAlign w:val="center"/>
          </w:tcPr>
          <w:p w14:paraId="37270A2B">
            <w:pPr>
              <w:spacing w:line="240" w:lineRule="auto"/>
              <w:ind w:firstLine="0" w:firstLineChars="0"/>
              <w:jc w:val="center"/>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lang w:bidi="ar"/>
              </w:rPr>
              <w:t>1</w:t>
            </w:r>
          </w:p>
        </w:tc>
        <w:tc>
          <w:tcPr>
            <w:tcW w:w="1205" w:type="pct"/>
            <w:tcBorders>
              <w:top w:val="single" w:color="auto" w:sz="4" w:space="0"/>
              <w:left w:val="single" w:color="auto" w:sz="4" w:space="0"/>
              <w:bottom w:val="single" w:color="auto" w:sz="4" w:space="0"/>
              <w:right w:val="single" w:color="auto" w:sz="4" w:space="0"/>
            </w:tcBorders>
            <w:vAlign w:val="center"/>
          </w:tcPr>
          <w:p w14:paraId="6FBDD51B">
            <w:pPr>
              <w:spacing w:line="240" w:lineRule="auto"/>
              <w:ind w:firstLine="0" w:firstLineChars="0"/>
              <w:jc w:val="center"/>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豫政采(2)20260308-1</w:t>
            </w:r>
          </w:p>
        </w:tc>
        <w:tc>
          <w:tcPr>
            <w:tcW w:w="1750" w:type="pct"/>
            <w:tcBorders>
              <w:top w:val="single" w:color="auto" w:sz="4" w:space="0"/>
              <w:left w:val="single" w:color="auto" w:sz="4" w:space="0"/>
              <w:bottom w:val="single" w:color="auto" w:sz="4" w:space="0"/>
              <w:right w:val="single" w:color="auto" w:sz="4" w:space="0"/>
            </w:tcBorders>
            <w:vAlign w:val="center"/>
          </w:tcPr>
          <w:p w14:paraId="60A56391">
            <w:pPr>
              <w:spacing w:line="240" w:lineRule="auto"/>
              <w:ind w:firstLine="0" w:firstLineChars="0"/>
              <w:jc w:val="center"/>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郑州大学水利与交通学院、黄河实验室（郑州大学）地下管道灾变全过程多功能模拟试验系统项目</w:t>
            </w:r>
          </w:p>
        </w:tc>
        <w:tc>
          <w:tcPr>
            <w:tcW w:w="750" w:type="pct"/>
            <w:tcBorders>
              <w:top w:val="single" w:color="auto" w:sz="4" w:space="0"/>
              <w:left w:val="single" w:color="auto" w:sz="4" w:space="0"/>
              <w:bottom w:val="single" w:color="auto" w:sz="4" w:space="0"/>
              <w:right w:val="single" w:color="auto" w:sz="4" w:space="0"/>
            </w:tcBorders>
            <w:vAlign w:val="center"/>
          </w:tcPr>
          <w:p w14:paraId="43E9AE22">
            <w:pPr>
              <w:spacing w:line="240" w:lineRule="auto"/>
              <w:ind w:firstLine="0" w:firstLineChars="0"/>
              <w:jc w:val="center"/>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lang w:bidi="ar"/>
              </w:rPr>
              <w:t>3200000.00</w:t>
            </w:r>
          </w:p>
        </w:tc>
        <w:tc>
          <w:tcPr>
            <w:tcW w:w="999" w:type="pct"/>
            <w:tcBorders>
              <w:top w:val="single" w:color="auto" w:sz="4" w:space="0"/>
              <w:left w:val="single" w:color="auto" w:sz="4" w:space="0"/>
              <w:bottom w:val="single" w:color="auto" w:sz="4" w:space="0"/>
              <w:right w:val="single" w:color="auto" w:sz="4" w:space="0"/>
            </w:tcBorders>
            <w:vAlign w:val="center"/>
          </w:tcPr>
          <w:p w14:paraId="76CA1CE0">
            <w:pPr>
              <w:spacing w:line="240" w:lineRule="auto"/>
              <w:ind w:firstLine="0" w:firstLineChars="0"/>
              <w:jc w:val="center"/>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lang w:bidi="ar"/>
              </w:rPr>
              <w:t>3200000.00</w:t>
            </w:r>
          </w:p>
        </w:tc>
      </w:tr>
    </w:tbl>
    <w:p w14:paraId="4040D2EE">
      <w:pPr>
        <w:rPr>
          <w:color w:val="auto"/>
        </w:rPr>
      </w:pPr>
      <w:r>
        <w:rPr>
          <w:rFonts w:hint="eastAsia"/>
          <w:color w:val="auto"/>
        </w:rPr>
        <w:t>5、采购需求（包括但不限于标的的名称、数量、简要技术需求或服务要求等）</w:t>
      </w:r>
    </w:p>
    <w:p w14:paraId="11E8DDD0">
      <w:pPr>
        <w:rPr>
          <w:color w:val="auto"/>
        </w:rPr>
      </w:pPr>
      <w:r>
        <w:rPr>
          <w:rFonts w:hint="eastAsia"/>
          <w:color w:val="auto"/>
        </w:rPr>
        <w:t>5.1采购内容：</w:t>
      </w:r>
      <w:r>
        <w:rPr>
          <w:rFonts w:hint="eastAsia" w:ascii="宋体" w:hAnsi="宋体" w:cs="宋体"/>
          <w:color w:val="auto"/>
        </w:rPr>
        <w:t>地下管道灾变全过程多功能模拟试验系统</w:t>
      </w:r>
      <w:r>
        <w:rPr>
          <w:rFonts w:hint="eastAsia"/>
          <w:color w:val="auto"/>
        </w:rPr>
        <w:t>，包含但不限于设备的供货、运输、保险、装卸、搬运、安装、检测、售后保修及相关配套服务等。</w:t>
      </w:r>
    </w:p>
    <w:p w14:paraId="2D9236E0">
      <w:pPr>
        <w:rPr>
          <w:color w:val="auto"/>
        </w:rPr>
      </w:pPr>
      <w:r>
        <w:rPr>
          <w:rFonts w:hint="eastAsia"/>
          <w:color w:val="auto"/>
        </w:rPr>
        <w:t>5.2标段划分：本项目划分为1个标段。</w:t>
      </w:r>
    </w:p>
    <w:p w14:paraId="5D4FFFB2">
      <w:pPr>
        <w:rPr>
          <w:color w:val="auto"/>
        </w:rPr>
      </w:pPr>
      <w:r>
        <w:rPr>
          <w:rFonts w:hint="eastAsia"/>
          <w:color w:val="auto"/>
        </w:rPr>
        <w:t>5.3交货期：合同签订后150个日历天。</w:t>
      </w:r>
    </w:p>
    <w:p w14:paraId="61114513">
      <w:pPr>
        <w:rPr>
          <w:color w:val="auto"/>
          <w:kern w:val="0"/>
        </w:rPr>
      </w:pPr>
      <w:r>
        <w:rPr>
          <w:rFonts w:hint="eastAsia"/>
          <w:color w:val="auto"/>
          <w:kern w:val="0"/>
        </w:rPr>
        <w:t>5.4质量标准：</w:t>
      </w:r>
      <w:r>
        <w:rPr>
          <w:rFonts w:hint="eastAsia"/>
          <w:color w:val="auto"/>
        </w:rPr>
        <w:t>合格，达到国家及相关行业验收规范标准</w:t>
      </w:r>
      <w:r>
        <w:rPr>
          <w:rFonts w:hint="eastAsia"/>
          <w:color w:val="auto"/>
          <w:kern w:val="0"/>
        </w:rPr>
        <w:t>。</w:t>
      </w:r>
    </w:p>
    <w:p w14:paraId="6E93DBF1">
      <w:pPr>
        <w:rPr>
          <w:color w:val="auto"/>
        </w:rPr>
      </w:pPr>
      <w:r>
        <w:rPr>
          <w:rFonts w:hint="eastAsia"/>
          <w:color w:val="auto"/>
        </w:rPr>
        <w:t>5.5质保期：3年。</w:t>
      </w:r>
    </w:p>
    <w:p w14:paraId="396997EC">
      <w:pPr>
        <w:rPr>
          <w:color w:val="auto"/>
        </w:rPr>
      </w:pPr>
      <w:r>
        <w:rPr>
          <w:rFonts w:hint="eastAsia"/>
          <w:color w:val="auto"/>
        </w:rPr>
        <w:t>5.6交货地点：郑州大学。</w:t>
      </w:r>
    </w:p>
    <w:p w14:paraId="22F61DD1">
      <w:pPr>
        <w:rPr>
          <w:color w:val="auto"/>
        </w:rPr>
      </w:pPr>
      <w:r>
        <w:rPr>
          <w:rFonts w:hint="eastAsia"/>
          <w:color w:val="auto"/>
        </w:rPr>
        <w:t>6、合同履行期限：合同签订之日至质保期满。</w:t>
      </w:r>
    </w:p>
    <w:p w14:paraId="56E28FAD">
      <w:pPr>
        <w:rPr>
          <w:color w:val="auto"/>
        </w:rPr>
      </w:pPr>
      <w:r>
        <w:rPr>
          <w:rFonts w:hint="eastAsia"/>
          <w:color w:val="auto"/>
        </w:rPr>
        <w:t>7、本项目是否接受联合体投标：否</w:t>
      </w:r>
    </w:p>
    <w:p w14:paraId="4CAEB4E4">
      <w:pPr>
        <w:rPr>
          <w:color w:val="auto"/>
        </w:rPr>
      </w:pPr>
      <w:r>
        <w:rPr>
          <w:rFonts w:hint="eastAsia"/>
          <w:color w:val="auto"/>
        </w:rPr>
        <w:t>8、是否接受进口产品：否</w:t>
      </w:r>
    </w:p>
    <w:p w14:paraId="655E6EE2">
      <w:pPr>
        <w:rPr>
          <w:color w:val="auto"/>
        </w:rPr>
      </w:pPr>
      <w:r>
        <w:rPr>
          <w:rFonts w:hint="eastAsia"/>
          <w:color w:val="auto"/>
        </w:rPr>
        <w:t>9、是否专门面向中小企业：否</w:t>
      </w:r>
    </w:p>
    <w:p w14:paraId="72D0CF0E">
      <w:pPr>
        <w:rPr>
          <w:color w:val="auto"/>
        </w:rPr>
      </w:pPr>
      <w:r>
        <w:rPr>
          <w:rFonts w:hint="eastAsia"/>
          <w:color w:val="auto"/>
        </w:rPr>
        <w:t>二、申请人资格要求：</w:t>
      </w:r>
    </w:p>
    <w:p w14:paraId="4FA44F0F">
      <w:pPr>
        <w:rPr>
          <w:color w:val="auto"/>
        </w:rPr>
      </w:pPr>
      <w:r>
        <w:rPr>
          <w:rFonts w:hint="eastAsia"/>
          <w:color w:val="auto"/>
        </w:rPr>
        <w:t>1、满足《中华人民共和国政府采购法》第二十二条规定；</w:t>
      </w:r>
    </w:p>
    <w:p w14:paraId="6D79DFC4">
      <w:pPr>
        <w:rPr>
          <w:color w:val="auto"/>
        </w:rPr>
      </w:pPr>
      <w:r>
        <w:rPr>
          <w:rFonts w:hint="eastAsia"/>
          <w:color w:val="auto"/>
        </w:rPr>
        <w:t>2、落实政府采购政策满足的资格要求：</w:t>
      </w:r>
    </w:p>
    <w:p w14:paraId="778A62ED">
      <w:pPr>
        <w:rPr>
          <w:color w:val="auto"/>
        </w:rPr>
      </w:pPr>
      <w:r>
        <w:rPr>
          <w:rFonts w:hint="eastAsia"/>
          <w:color w:val="auto"/>
        </w:rPr>
        <w:t>无</w:t>
      </w:r>
    </w:p>
    <w:p w14:paraId="130220B3">
      <w:pPr>
        <w:rPr>
          <w:color w:val="auto"/>
        </w:rPr>
      </w:pPr>
      <w:r>
        <w:rPr>
          <w:rFonts w:hint="eastAsia"/>
          <w:color w:val="auto"/>
        </w:rPr>
        <w:t>3、本项目的特定资格要求</w:t>
      </w:r>
    </w:p>
    <w:p w14:paraId="53AD3D95">
      <w:pPr>
        <w:rPr>
          <w:color w:val="auto"/>
          <w:highlight w:val="yellow"/>
        </w:rPr>
      </w:pPr>
      <w:r>
        <w:rPr>
          <w:rFonts w:hint="eastAsia"/>
          <w:color w:val="auto"/>
        </w:rPr>
        <w:t>3.1、根据《关于在政府采购活动中查询及使用信用记录有关问题的通知》(财库[2016]125号)的规定，对列入失信被执行人、重大税收违法失信主体、政府采购严重违法失信行为记录名单的投标供应商，拒绝参与本项目政府采购活动。采购人、采购代理机构，通过“中国执行信息公开网”（zxgk.court.gov.cn/）网站查询“失信被执行人”，通过“信用中国”（www.creditchina.gov.cn）网站查询“重大税收违法失信主体”；通过“中国政府采购网”（www.ccgp.gov.cn/）查询“政府采购严重违法失信行为</w:t>
      </w:r>
      <w:r>
        <w:rPr>
          <w:rFonts w:hint="eastAsia" w:ascii="宋体" w:hAnsi="宋体" w:cs="宋体"/>
          <w:color w:val="auto"/>
          <w:szCs w:val="21"/>
          <w:shd w:val="clear" w:color="auto" w:fill="FFFFFF"/>
        </w:rPr>
        <w:t>记录名单</w:t>
      </w:r>
      <w:r>
        <w:rPr>
          <w:rFonts w:hint="eastAsia"/>
          <w:color w:val="auto"/>
        </w:rPr>
        <w:t>”等相关主体信用记录,信用信息查询记录及相关证据与其他采购文件一并保存。查询时间：开标后。</w:t>
      </w:r>
    </w:p>
    <w:p w14:paraId="38204CB4">
      <w:pPr>
        <w:rPr>
          <w:rFonts w:hint="eastAsia" w:asciiTheme="minorEastAsia" w:hAnsiTheme="minorEastAsia" w:eastAsiaTheme="minorEastAsia" w:cstheme="minorEastAsia"/>
          <w:color w:val="auto"/>
          <w:kern w:val="0"/>
        </w:rPr>
      </w:pPr>
      <w:r>
        <w:rPr>
          <w:rFonts w:hint="eastAsia"/>
          <w:color w:val="auto"/>
        </w:rPr>
        <w:t>3.2、单位负责人为同一人或者存在直接控股、管理关系的不同供应商，不得参加同一合同项下的政府采购活动。【提供“国家企业信用信息公示系统”中查询打印的相关材料并加盖公章（需包含公司基本信息、股东信息及股权变更信息)，查询日期在本公告发布日期之后】。</w:t>
      </w:r>
    </w:p>
    <w:p w14:paraId="4A2B6B7C">
      <w:pPr>
        <w:rPr>
          <w:color w:val="auto"/>
        </w:rPr>
      </w:pPr>
      <w:r>
        <w:rPr>
          <w:rFonts w:hint="eastAsia"/>
          <w:color w:val="auto"/>
        </w:rPr>
        <w:t xml:space="preserve">三、获取采购文件 </w:t>
      </w:r>
    </w:p>
    <w:p w14:paraId="7EC74291">
      <w:pPr>
        <w:rPr>
          <w:color w:val="auto"/>
        </w:rPr>
      </w:pPr>
      <w:r>
        <w:rPr>
          <w:rFonts w:hint="eastAsia"/>
          <w:color w:val="auto"/>
        </w:rPr>
        <w:t>1.时间：2026年</w:t>
      </w:r>
      <w:r>
        <w:rPr>
          <w:rFonts w:hint="eastAsia"/>
          <w:color w:val="auto"/>
          <w:lang w:val="en-US" w:eastAsia="zh-CN"/>
        </w:rPr>
        <w:t>03</w:t>
      </w:r>
      <w:r>
        <w:rPr>
          <w:rFonts w:hint="eastAsia"/>
          <w:color w:val="auto"/>
        </w:rPr>
        <w:t>月</w:t>
      </w:r>
      <w:r>
        <w:rPr>
          <w:rFonts w:hint="eastAsia"/>
          <w:color w:val="auto"/>
          <w:lang w:val="en-US" w:eastAsia="zh-CN"/>
        </w:rPr>
        <w:t>27</w:t>
      </w:r>
      <w:r>
        <w:rPr>
          <w:rFonts w:hint="eastAsia"/>
          <w:color w:val="auto"/>
        </w:rPr>
        <w:t>日 至 2026年</w:t>
      </w:r>
      <w:r>
        <w:rPr>
          <w:rFonts w:hint="eastAsia"/>
          <w:color w:val="auto"/>
          <w:lang w:val="en-US" w:eastAsia="zh-CN"/>
        </w:rPr>
        <w:t>04</w:t>
      </w:r>
      <w:r>
        <w:rPr>
          <w:rFonts w:hint="eastAsia"/>
          <w:color w:val="auto"/>
        </w:rPr>
        <w:t>月</w:t>
      </w:r>
      <w:r>
        <w:rPr>
          <w:rFonts w:hint="eastAsia"/>
          <w:color w:val="auto"/>
          <w:lang w:val="en-US" w:eastAsia="zh-CN"/>
        </w:rPr>
        <w:t>02</w:t>
      </w:r>
      <w:r>
        <w:rPr>
          <w:rFonts w:hint="eastAsia"/>
          <w:color w:val="auto"/>
        </w:rPr>
        <w:t>日(提供期限自文件获取时间起不得少于5个工作日)。每天上午00:00至12:00，下午12:00至23:59（北京时间，法定节假日除外。）</w:t>
      </w:r>
    </w:p>
    <w:p w14:paraId="3D51C2AA">
      <w:pPr>
        <w:rPr>
          <w:color w:val="auto"/>
        </w:rPr>
      </w:pPr>
      <w:r>
        <w:rPr>
          <w:rFonts w:hint="eastAsia"/>
          <w:color w:val="auto"/>
        </w:rPr>
        <w:t xml:space="preserve">2.地点：河南省公共资源交易中心（https://hnsggzyjy.henan.gov.cn/） </w:t>
      </w:r>
    </w:p>
    <w:p w14:paraId="04A5D5B1">
      <w:pPr>
        <w:rPr>
          <w:color w:val="auto"/>
        </w:rPr>
      </w:pPr>
      <w:r>
        <w:rPr>
          <w:rFonts w:hint="eastAsia"/>
          <w:color w:val="auto"/>
        </w:rPr>
        <w:t xml:space="preserve">3.方式：市场主体需要完成信息登记及CA数字证书办理，凭CA密钥登陆河南省公共资源交易中心市场主体系统并在规定时间内按网上提示下载磋商文件，获取磋商文件后，供应商请到河南省公共资源交易中心网站—公共服务—下载专区栏目下载最新版本的响应文件制作工具安装包，并使用安装后的最新版本响应文件制作工具制作电子响应文件。 </w:t>
      </w:r>
    </w:p>
    <w:p w14:paraId="6903AA49">
      <w:pPr>
        <w:rPr>
          <w:color w:val="auto"/>
        </w:rPr>
      </w:pPr>
      <w:r>
        <w:rPr>
          <w:rFonts w:hint="eastAsia"/>
          <w:color w:val="auto"/>
        </w:rPr>
        <w:t xml:space="preserve">4.售价：0元 </w:t>
      </w:r>
    </w:p>
    <w:p w14:paraId="4CA89B32">
      <w:pPr>
        <w:rPr>
          <w:color w:val="auto"/>
        </w:rPr>
      </w:pPr>
      <w:r>
        <w:rPr>
          <w:rFonts w:hint="eastAsia"/>
          <w:color w:val="auto"/>
        </w:rPr>
        <w:t xml:space="preserve">四、响应文件提交 </w:t>
      </w:r>
    </w:p>
    <w:p w14:paraId="7B569D7C">
      <w:pPr>
        <w:rPr>
          <w:color w:val="auto"/>
        </w:rPr>
      </w:pPr>
      <w:r>
        <w:rPr>
          <w:rFonts w:hint="eastAsia"/>
          <w:color w:val="auto"/>
        </w:rPr>
        <w:t>1.截止时间：</w:t>
      </w:r>
      <w:r>
        <w:rPr>
          <w:rFonts w:hint="eastAsia"/>
          <w:color w:val="auto"/>
          <w:lang w:eastAsia="zh-CN"/>
        </w:rPr>
        <w:t>2026年04月07日</w:t>
      </w:r>
      <w:r>
        <w:rPr>
          <w:rFonts w:hint="eastAsia"/>
          <w:color w:val="auto"/>
        </w:rPr>
        <w:t xml:space="preserve">09时00分（北京时间） </w:t>
      </w:r>
    </w:p>
    <w:p w14:paraId="44E49376">
      <w:pPr>
        <w:rPr>
          <w:color w:val="auto"/>
        </w:rPr>
      </w:pPr>
      <w:r>
        <w:rPr>
          <w:rFonts w:hint="eastAsia"/>
          <w:color w:val="auto"/>
        </w:rPr>
        <w:t xml:space="preserve">2.地点：加密电子响应文件须在响应截止时间前在河南省公共资源交易中心交易系统中加密上传成功。逾期上传的或者未上传至指定地点的响应文件，采购人不予受理。 </w:t>
      </w:r>
    </w:p>
    <w:p w14:paraId="0FF9E19F">
      <w:pPr>
        <w:rPr>
          <w:color w:val="auto"/>
        </w:rPr>
      </w:pPr>
      <w:r>
        <w:rPr>
          <w:rFonts w:hint="eastAsia"/>
          <w:color w:val="auto"/>
        </w:rPr>
        <w:t xml:space="preserve">五、响应文件开启 </w:t>
      </w:r>
    </w:p>
    <w:p w14:paraId="00515CBE">
      <w:pPr>
        <w:rPr>
          <w:color w:val="auto"/>
        </w:rPr>
      </w:pPr>
      <w:r>
        <w:rPr>
          <w:rFonts w:hint="eastAsia"/>
          <w:color w:val="auto"/>
        </w:rPr>
        <w:t>1.时间：</w:t>
      </w:r>
      <w:r>
        <w:rPr>
          <w:rFonts w:hint="eastAsia"/>
          <w:color w:val="auto"/>
          <w:lang w:eastAsia="zh-CN"/>
        </w:rPr>
        <w:t>2026年04月07日</w:t>
      </w:r>
      <w:r>
        <w:rPr>
          <w:rFonts w:hint="eastAsia"/>
          <w:color w:val="auto"/>
        </w:rPr>
        <w:t xml:space="preserve">09时00分（北京时间） </w:t>
      </w:r>
    </w:p>
    <w:p w14:paraId="4C5F9F8B">
      <w:pPr>
        <w:rPr>
          <w:rFonts w:hint="eastAsia"/>
          <w:color w:val="auto"/>
        </w:rPr>
      </w:pPr>
      <w:r>
        <w:rPr>
          <w:rFonts w:hint="eastAsia"/>
          <w:color w:val="auto"/>
        </w:rPr>
        <w:t>2.地点：河南省公共资源交易中心远程开标室(二)</w:t>
      </w:r>
      <w:r>
        <w:rPr>
          <w:rFonts w:hint="eastAsia"/>
          <w:color w:val="auto"/>
          <w:lang w:val="en-US" w:eastAsia="zh-CN"/>
        </w:rPr>
        <w:t>-</w:t>
      </w:r>
      <w:r>
        <w:rPr>
          <w:rFonts w:hint="eastAsia"/>
          <w:color w:val="auto"/>
        </w:rPr>
        <w:t>6。开启时，供应商必须持CA密钥对本单位的加密电子响应文件进行远程解密，逾期解密或超时解密将被拒绝。请参照河南省公共资源交易中心首页—公共服务—办事指南——《河南省公共资源交易平台不见面服务系统使用指南》。</w:t>
      </w:r>
    </w:p>
    <w:p w14:paraId="0B786C05">
      <w:pPr>
        <w:rPr>
          <w:rFonts w:hint="eastAsia"/>
          <w:color w:val="auto"/>
        </w:rPr>
      </w:pPr>
      <w:r>
        <w:rPr>
          <w:rFonts w:hint="eastAsia"/>
          <w:color w:val="auto"/>
        </w:rPr>
        <w:t xml:space="preserve">六、发布公告的媒介及招标公告期限 </w:t>
      </w:r>
    </w:p>
    <w:p w14:paraId="25D4B97C">
      <w:pPr>
        <w:rPr>
          <w:rFonts w:hint="eastAsia" w:asciiTheme="minorEastAsia" w:hAnsiTheme="minorEastAsia" w:eastAsiaTheme="minorEastAsia" w:cstheme="minorEastAsia"/>
          <w:color w:val="auto"/>
          <w:kern w:val="0"/>
        </w:rPr>
      </w:pPr>
      <w:r>
        <w:rPr>
          <w:rFonts w:hint="eastAsia" w:asciiTheme="minorEastAsia" w:hAnsiTheme="minorEastAsia" w:eastAsiaTheme="minorEastAsia" w:cstheme="minorEastAsia"/>
          <w:color w:val="auto"/>
          <w:kern w:val="0"/>
        </w:rPr>
        <w:t>本次招标公告在</w:t>
      </w:r>
      <w:r>
        <w:rPr>
          <w:rFonts w:hint="eastAsia"/>
          <w:color w:val="auto"/>
        </w:rPr>
        <w:t>《河南省政府采购网》、《河南省公共资源交易中心》、《郑州大学招标采购网》、</w:t>
      </w:r>
      <w:r>
        <w:rPr>
          <w:rFonts w:hint="eastAsia"/>
          <w:color w:val="auto"/>
          <w:shd w:val="clear" w:color="auto" w:fill="FFFFFF"/>
        </w:rPr>
        <w:t>《中国招标投标公共服务平台》</w:t>
      </w:r>
      <w:r>
        <w:rPr>
          <w:rFonts w:hint="eastAsia" w:asciiTheme="minorEastAsia" w:hAnsiTheme="minorEastAsia" w:eastAsiaTheme="minorEastAsia" w:cstheme="minorEastAsia"/>
          <w:color w:val="auto"/>
          <w:kern w:val="0"/>
        </w:rPr>
        <w:t>上发布，公告期限为三个工作日。</w:t>
      </w:r>
    </w:p>
    <w:p w14:paraId="6CDC9054">
      <w:pPr>
        <w:rPr>
          <w:color w:val="auto"/>
        </w:rPr>
      </w:pPr>
      <w:r>
        <w:rPr>
          <w:rFonts w:hint="eastAsia"/>
          <w:color w:val="auto"/>
        </w:rPr>
        <w:t xml:space="preserve">七、其他补充事宜 </w:t>
      </w:r>
    </w:p>
    <w:p w14:paraId="6499CEE4">
      <w:pPr>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本项目采用远程开标，供应商无需到河南省公共资源交易中心现场参加开标会议，开标采用“远程不见面”开标方式，供应商须在磋商文件确定的投标截止时间前,登录不见面开标大厅，在线准时参加开标活动，并在规定的时间内进行投标文件解密、答疑澄清等。</w:t>
      </w:r>
    </w:p>
    <w:p w14:paraId="7BA2DBB6">
      <w:pPr>
        <w:rPr>
          <w:color w:val="auto"/>
        </w:rPr>
      </w:pPr>
      <w:r>
        <w:rPr>
          <w:rFonts w:hint="eastAsia" w:asciiTheme="minorEastAsia" w:hAnsiTheme="minorEastAsia" w:eastAsiaTheme="minorEastAsia" w:cstheme="minorEastAsia"/>
          <w:color w:val="auto"/>
        </w:rPr>
        <w:t>2、采</w:t>
      </w:r>
      <w:r>
        <w:rPr>
          <w:rFonts w:hint="eastAsia"/>
          <w:color w:val="auto"/>
        </w:rPr>
        <w:t>购代理服务费收费标准：按照《河南省招标代理服务收费指导意见》（豫招协【2023】002号）的文件规定执行。中标人在领取中标通知书时向采购代理机构支付中标服务费。</w:t>
      </w:r>
    </w:p>
    <w:p w14:paraId="31D3E1FC">
      <w:pPr>
        <w:rPr>
          <w:color w:val="auto"/>
        </w:rPr>
      </w:pPr>
      <w:r>
        <w:rPr>
          <w:rFonts w:hint="eastAsia"/>
          <w:color w:val="auto"/>
        </w:rPr>
        <w:t xml:space="preserve">八、凡对本次招标提出询问，请按照以下方式联系 </w:t>
      </w:r>
    </w:p>
    <w:p w14:paraId="2891469B">
      <w:pPr>
        <w:rPr>
          <w:rFonts w:hint="eastAsia" w:asciiTheme="minorEastAsia" w:hAnsiTheme="minorEastAsia" w:eastAsiaTheme="minorEastAsia" w:cstheme="minorEastAsia"/>
          <w:color w:val="auto"/>
          <w:shd w:val="clear" w:color="auto" w:fill="FFFFFF"/>
        </w:rPr>
      </w:pPr>
      <w:bookmarkStart w:id="8" w:name="_Toc28359086"/>
      <w:bookmarkStart w:id="9" w:name="_Toc28359009"/>
      <w:r>
        <w:rPr>
          <w:rFonts w:hint="eastAsia" w:asciiTheme="minorEastAsia" w:hAnsiTheme="minorEastAsia" w:eastAsiaTheme="minorEastAsia" w:cstheme="minorEastAsia"/>
          <w:color w:val="auto"/>
          <w:shd w:val="clear" w:color="auto" w:fill="FFFFFF"/>
        </w:rPr>
        <w:t>1、采购人信息</w:t>
      </w:r>
    </w:p>
    <w:p w14:paraId="684E7BC7">
      <w:pPr>
        <w:rPr>
          <w:rFonts w:hint="eastAsia" w:asciiTheme="minorEastAsia" w:hAnsiTheme="minorEastAsia" w:eastAsiaTheme="minorEastAsia" w:cstheme="minorEastAsia"/>
          <w:color w:val="auto"/>
          <w:shd w:val="clear" w:color="auto" w:fill="FFFFFF"/>
        </w:rPr>
      </w:pPr>
      <w:r>
        <w:rPr>
          <w:rFonts w:hint="eastAsia" w:asciiTheme="minorEastAsia" w:hAnsiTheme="minorEastAsia" w:eastAsiaTheme="minorEastAsia" w:cstheme="minorEastAsia"/>
          <w:color w:val="auto"/>
          <w:shd w:val="clear" w:color="auto" w:fill="FFFFFF"/>
        </w:rPr>
        <w:t>名称：郑州大学</w:t>
      </w:r>
    </w:p>
    <w:p w14:paraId="25EF6879">
      <w:pPr>
        <w:rPr>
          <w:rFonts w:hint="eastAsia" w:asciiTheme="minorEastAsia" w:hAnsiTheme="minorEastAsia" w:eastAsiaTheme="minorEastAsia" w:cstheme="minorEastAsia"/>
          <w:color w:val="auto"/>
          <w:shd w:val="clear" w:color="auto" w:fill="FFFFFF"/>
        </w:rPr>
      </w:pPr>
      <w:r>
        <w:rPr>
          <w:rFonts w:hint="eastAsia" w:asciiTheme="minorEastAsia" w:hAnsiTheme="minorEastAsia" w:eastAsiaTheme="minorEastAsia" w:cstheme="minorEastAsia"/>
          <w:color w:val="auto"/>
          <w:shd w:val="clear" w:color="auto" w:fill="FFFFFF"/>
        </w:rPr>
        <w:t>地址：郑州市高新技术产业开发区科学大道100号</w:t>
      </w:r>
    </w:p>
    <w:p w14:paraId="6C87A200">
      <w:pPr>
        <w:rPr>
          <w:rFonts w:hint="eastAsia" w:asciiTheme="minorEastAsia" w:hAnsiTheme="minorEastAsia" w:eastAsiaTheme="minorEastAsia" w:cstheme="minorEastAsia"/>
          <w:color w:val="auto"/>
          <w:shd w:val="clear" w:color="auto" w:fill="FFFFFF"/>
        </w:rPr>
      </w:pPr>
      <w:r>
        <w:rPr>
          <w:rFonts w:hint="eastAsia" w:asciiTheme="minorEastAsia" w:hAnsiTheme="minorEastAsia" w:eastAsiaTheme="minorEastAsia" w:cstheme="minorEastAsia"/>
          <w:color w:val="auto"/>
          <w:shd w:val="clear" w:color="auto" w:fill="FFFFFF"/>
        </w:rPr>
        <w:t>联系人：李老师</w:t>
      </w:r>
    </w:p>
    <w:p w14:paraId="2A5ED51C">
      <w:pPr>
        <w:rPr>
          <w:rFonts w:hint="eastAsia" w:asciiTheme="minorEastAsia" w:hAnsiTheme="minorEastAsia" w:eastAsiaTheme="minorEastAsia" w:cstheme="minorEastAsia"/>
          <w:color w:val="auto"/>
          <w:shd w:val="clear" w:color="auto" w:fill="FFFFFF"/>
        </w:rPr>
      </w:pPr>
      <w:r>
        <w:rPr>
          <w:rFonts w:hint="eastAsia" w:asciiTheme="minorEastAsia" w:hAnsiTheme="minorEastAsia" w:eastAsiaTheme="minorEastAsia" w:cstheme="minorEastAsia"/>
          <w:color w:val="auto"/>
          <w:shd w:val="clear" w:color="auto" w:fill="FFFFFF"/>
        </w:rPr>
        <w:t>联系电话：</w:t>
      </w:r>
      <w:bookmarkEnd w:id="8"/>
      <w:bookmarkEnd w:id="9"/>
      <w:bookmarkStart w:id="10" w:name="_Toc49356039"/>
      <w:bookmarkStart w:id="11" w:name="_Toc35393807"/>
      <w:bookmarkStart w:id="12" w:name="_Toc28359020"/>
      <w:bookmarkStart w:id="13" w:name="_Toc28359097"/>
      <w:bookmarkStart w:id="14" w:name="_Toc35393638"/>
      <w:r>
        <w:rPr>
          <w:rFonts w:hint="eastAsia" w:asciiTheme="minorEastAsia" w:hAnsiTheme="minorEastAsia" w:eastAsiaTheme="minorEastAsia" w:cstheme="minorEastAsia"/>
          <w:color w:val="auto"/>
          <w:shd w:val="clear" w:color="auto" w:fill="FFFFFF"/>
        </w:rPr>
        <w:t>18137830708</w:t>
      </w:r>
    </w:p>
    <w:p w14:paraId="1322576F">
      <w:pPr>
        <w:rPr>
          <w:color w:val="auto"/>
          <w:shd w:val="clear" w:color="auto" w:fill="FFFFFF"/>
        </w:rPr>
      </w:pPr>
      <w:r>
        <w:rPr>
          <w:rFonts w:hint="eastAsia" w:asciiTheme="minorEastAsia" w:hAnsiTheme="minorEastAsia" w:eastAsiaTheme="minorEastAsia" w:cstheme="minorEastAsia"/>
          <w:color w:val="auto"/>
          <w:shd w:val="clear" w:color="auto" w:fill="FFFFFF"/>
        </w:rPr>
        <w:t>2、采购代</w:t>
      </w:r>
      <w:r>
        <w:rPr>
          <w:rFonts w:hint="eastAsia"/>
          <w:color w:val="auto"/>
          <w:shd w:val="clear" w:color="auto" w:fill="FFFFFF"/>
        </w:rPr>
        <w:t>理机构信息</w:t>
      </w:r>
      <w:bookmarkEnd w:id="10"/>
      <w:bookmarkEnd w:id="11"/>
      <w:bookmarkEnd w:id="12"/>
      <w:bookmarkEnd w:id="13"/>
      <w:bookmarkEnd w:id="14"/>
    </w:p>
    <w:p w14:paraId="27810302">
      <w:pPr>
        <w:rPr>
          <w:color w:val="auto"/>
          <w:shd w:val="clear" w:color="auto" w:fill="FFFFFF"/>
        </w:rPr>
      </w:pPr>
      <w:r>
        <w:rPr>
          <w:rFonts w:hint="eastAsia"/>
          <w:color w:val="auto"/>
          <w:shd w:val="clear" w:color="auto" w:fill="FFFFFF"/>
        </w:rPr>
        <w:t>名称：河南英华咨询有限公司</w:t>
      </w:r>
    </w:p>
    <w:p w14:paraId="1B5D3AB9">
      <w:pPr>
        <w:rPr>
          <w:rFonts w:hint="eastAsia" w:asciiTheme="minorEastAsia" w:hAnsiTheme="minorEastAsia" w:eastAsiaTheme="minorEastAsia" w:cstheme="minorEastAsia"/>
          <w:color w:val="auto"/>
          <w:shd w:val="clear" w:color="auto" w:fill="FFFFFF"/>
        </w:rPr>
      </w:pPr>
      <w:r>
        <w:rPr>
          <w:rFonts w:hint="eastAsia"/>
          <w:color w:val="auto"/>
          <w:shd w:val="clear" w:color="auto" w:fill="FFFFFF"/>
        </w:rPr>
        <w:t>地点</w:t>
      </w:r>
      <w:r>
        <w:rPr>
          <w:rFonts w:hint="eastAsia" w:asciiTheme="minorEastAsia" w:hAnsiTheme="minorEastAsia" w:eastAsiaTheme="minorEastAsia" w:cstheme="minorEastAsia"/>
          <w:color w:val="auto"/>
          <w:shd w:val="clear" w:color="auto" w:fill="FFFFFF"/>
        </w:rPr>
        <w:t>：郑州市电厂路河南省国家大学科技园（东区）16号楼C座21层</w:t>
      </w:r>
    </w:p>
    <w:p w14:paraId="62A27A43">
      <w:pPr>
        <w:rPr>
          <w:rFonts w:hint="eastAsia" w:asciiTheme="minorEastAsia" w:hAnsiTheme="minorEastAsia" w:eastAsiaTheme="minorEastAsia" w:cstheme="minorEastAsia"/>
          <w:color w:val="auto"/>
          <w:shd w:val="clear" w:color="auto" w:fill="FFFFFF"/>
        </w:rPr>
      </w:pPr>
      <w:r>
        <w:rPr>
          <w:rFonts w:hint="eastAsia" w:asciiTheme="minorEastAsia" w:hAnsiTheme="minorEastAsia" w:eastAsiaTheme="minorEastAsia" w:cstheme="minorEastAsia"/>
          <w:color w:val="auto"/>
          <w:shd w:val="clear" w:color="auto" w:fill="FFFFFF"/>
        </w:rPr>
        <w:t>联系人：娄利杰、古丹丹、闫少辉</w:t>
      </w:r>
    </w:p>
    <w:p w14:paraId="0E3938E1">
      <w:pPr>
        <w:rPr>
          <w:rFonts w:hint="eastAsia" w:asciiTheme="minorEastAsia" w:hAnsiTheme="minorEastAsia" w:eastAsiaTheme="minorEastAsia" w:cstheme="minorEastAsia"/>
          <w:color w:val="auto"/>
          <w:shd w:val="clear" w:color="auto" w:fill="FFFFFF"/>
        </w:rPr>
      </w:pPr>
      <w:r>
        <w:rPr>
          <w:rFonts w:hint="eastAsia" w:asciiTheme="minorEastAsia" w:hAnsiTheme="minorEastAsia" w:eastAsiaTheme="minorEastAsia" w:cstheme="minorEastAsia"/>
          <w:color w:val="auto"/>
          <w:shd w:val="clear" w:color="auto" w:fill="FFFFFF"/>
        </w:rPr>
        <w:t>联系电话：0371-63976218、0371-63940338</w:t>
      </w:r>
    </w:p>
    <w:p w14:paraId="4447CFBA">
      <w:pPr>
        <w:rPr>
          <w:rFonts w:hint="eastAsia" w:asciiTheme="minorEastAsia" w:hAnsiTheme="minorEastAsia" w:eastAsiaTheme="minorEastAsia" w:cstheme="minorEastAsia"/>
          <w:color w:val="auto"/>
          <w:shd w:val="clear" w:color="auto" w:fill="FFFFFF"/>
        </w:rPr>
      </w:pPr>
      <w:r>
        <w:rPr>
          <w:rFonts w:hint="eastAsia" w:asciiTheme="minorEastAsia" w:hAnsiTheme="minorEastAsia" w:eastAsiaTheme="minorEastAsia" w:cstheme="minorEastAsia"/>
          <w:color w:val="auto"/>
          <w:shd w:val="clear" w:color="auto" w:fill="FFFFFF"/>
        </w:rPr>
        <w:t>3、项目联系方式</w:t>
      </w:r>
    </w:p>
    <w:p w14:paraId="11F8F10F">
      <w:pPr>
        <w:rPr>
          <w:rFonts w:hint="eastAsia" w:asciiTheme="minorEastAsia" w:hAnsiTheme="minorEastAsia" w:eastAsiaTheme="minorEastAsia" w:cstheme="minorEastAsia"/>
          <w:color w:val="auto"/>
          <w:shd w:val="clear" w:color="auto" w:fill="FFFFFF"/>
        </w:rPr>
      </w:pPr>
      <w:r>
        <w:rPr>
          <w:rFonts w:hint="eastAsia" w:asciiTheme="minorEastAsia" w:hAnsiTheme="minorEastAsia" w:eastAsiaTheme="minorEastAsia" w:cstheme="minorEastAsia"/>
          <w:color w:val="auto"/>
          <w:shd w:val="clear" w:color="auto" w:fill="FFFFFF"/>
        </w:rPr>
        <w:t>项目联系人：娄利杰、古丹丹、闫少辉</w:t>
      </w:r>
    </w:p>
    <w:p w14:paraId="164481CD">
      <w:pPr>
        <w:rPr>
          <w:color w:val="auto"/>
        </w:rPr>
      </w:pPr>
      <w:r>
        <w:rPr>
          <w:rFonts w:hint="eastAsia" w:asciiTheme="minorEastAsia" w:hAnsiTheme="minorEastAsia" w:eastAsiaTheme="minorEastAsia" w:cstheme="minorEastAsia"/>
          <w:color w:val="auto"/>
          <w:shd w:val="clear" w:color="auto" w:fill="FFFFFF"/>
        </w:rPr>
        <w:t>联系方式：0371-63976218、0371-63940338</w:t>
      </w:r>
      <w:bookmarkStart w:id="15" w:name="_Toc20198"/>
      <w:bookmarkStart w:id="16" w:name="_Toc15172"/>
    </w:p>
    <w:p w14:paraId="734CA778">
      <w:pPr>
        <w:rPr>
          <w:rFonts w:hint="eastAsia"/>
          <w:color w:val="auto"/>
        </w:rPr>
      </w:pPr>
      <w:r>
        <w:rPr>
          <w:rFonts w:hint="eastAsia"/>
          <w:color w:val="auto"/>
        </w:rPr>
        <w:br w:type="page"/>
      </w:r>
    </w:p>
    <w:p w14:paraId="3BC24E39">
      <w:pPr>
        <w:pStyle w:val="2"/>
        <w:ind w:firstLine="883"/>
        <w:rPr>
          <w:color w:val="auto"/>
        </w:rPr>
      </w:pPr>
      <w:bookmarkStart w:id="17" w:name="_Toc17009"/>
      <w:r>
        <w:rPr>
          <w:rFonts w:hint="eastAsia"/>
          <w:color w:val="auto"/>
        </w:rPr>
        <w:t>第二章 供应商须知</w:t>
      </w:r>
      <w:bookmarkEnd w:id="6"/>
      <w:bookmarkEnd w:id="7"/>
      <w:bookmarkEnd w:id="15"/>
      <w:bookmarkEnd w:id="16"/>
      <w:bookmarkEnd w:id="17"/>
    </w:p>
    <w:p w14:paraId="283FB84D">
      <w:pPr>
        <w:pStyle w:val="3"/>
        <w:ind w:firstLine="643"/>
        <w:rPr>
          <w:color w:val="auto"/>
        </w:rPr>
      </w:pPr>
      <w:bookmarkStart w:id="18" w:name="_Toc4965"/>
      <w:bookmarkStart w:id="19" w:name="_Toc22715"/>
      <w:bookmarkStart w:id="20" w:name="_Toc320521148"/>
      <w:bookmarkStart w:id="21" w:name="_Toc19399"/>
      <w:bookmarkStart w:id="22" w:name="_Toc13442"/>
      <w:bookmarkStart w:id="23" w:name="_Toc433093353"/>
      <w:r>
        <w:rPr>
          <w:rFonts w:hint="eastAsia"/>
          <w:color w:val="auto"/>
        </w:rPr>
        <w:t>供应商须知前附表</w:t>
      </w:r>
      <w:bookmarkEnd w:id="18"/>
      <w:bookmarkEnd w:id="19"/>
      <w:bookmarkEnd w:id="20"/>
      <w:bookmarkEnd w:id="21"/>
      <w:bookmarkEnd w:id="22"/>
      <w:bookmarkEnd w:id="23"/>
    </w:p>
    <w:p w14:paraId="2F8E226A">
      <w:pPr>
        <w:ind w:firstLine="210" w:firstLineChars="100"/>
        <w:rPr>
          <w:color w:val="auto"/>
        </w:rPr>
      </w:pPr>
      <w:r>
        <w:rPr>
          <w:rFonts w:hint="eastAsia"/>
          <w:color w:val="auto"/>
        </w:rPr>
        <w:t>本表是本采购项目的具体资料，是对供应商须知的具体补充和修改，如有矛盾，应以本表为准。</w:t>
      </w:r>
    </w:p>
    <w:tbl>
      <w:tblPr>
        <w:tblStyle w:val="38"/>
        <w:tblW w:w="9585"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156"/>
        <w:gridCol w:w="2055"/>
        <w:gridCol w:w="6374"/>
      </w:tblGrid>
      <w:tr w14:paraId="488C612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1156" w:type="dxa"/>
            <w:tcBorders>
              <w:tl2br w:val="nil"/>
              <w:tr2bl w:val="nil"/>
            </w:tcBorders>
            <w:vAlign w:val="center"/>
          </w:tcPr>
          <w:p w14:paraId="7ACAF813">
            <w:pPr>
              <w:ind w:firstLine="0" w:firstLineChars="0"/>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条款号</w:t>
            </w:r>
          </w:p>
        </w:tc>
        <w:tc>
          <w:tcPr>
            <w:tcW w:w="2055" w:type="dxa"/>
            <w:tcBorders>
              <w:tl2br w:val="nil"/>
              <w:tr2bl w:val="nil"/>
            </w:tcBorders>
            <w:vAlign w:val="center"/>
          </w:tcPr>
          <w:p w14:paraId="579BDA40">
            <w:pPr>
              <w:jc w:val="center"/>
              <w:rPr>
                <w:color w:val="auto"/>
              </w:rPr>
            </w:pPr>
            <w:r>
              <w:rPr>
                <w:rFonts w:hint="eastAsia"/>
                <w:color w:val="auto"/>
              </w:rPr>
              <w:t>条款名称</w:t>
            </w:r>
          </w:p>
        </w:tc>
        <w:tc>
          <w:tcPr>
            <w:tcW w:w="6374" w:type="dxa"/>
            <w:tcBorders>
              <w:tl2br w:val="nil"/>
              <w:tr2bl w:val="nil"/>
            </w:tcBorders>
            <w:vAlign w:val="center"/>
          </w:tcPr>
          <w:p w14:paraId="1110B214">
            <w:pPr>
              <w:jc w:val="center"/>
              <w:rPr>
                <w:color w:val="auto"/>
              </w:rPr>
            </w:pPr>
            <w:r>
              <w:rPr>
                <w:rFonts w:hint="eastAsia"/>
                <w:color w:val="auto"/>
              </w:rPr>
              <w:t>编  列  内  容</w:t>
            </w:r>
          </w:p>
        </w:tc>
      </w:tr>
      <w:tr w14:paraId="37AF45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56" w:type="dxa"/>
            <w:tcBorders>
              <w:tl2br w:val="nil"/>
              <w:tr2bl w:val="nil"/>
            </w:tcBorders>
            <w:vAlign w:val="center"/>
          </w:tcPr>
          <w:p w14:paraId="4C784F11">
            <w:pPr>
              <w:ind w:firstLine="0" w:firstLineChars="0"/>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1.1.1</w:t>
            </w:r>
          </w:p>
        </w:tc>
        <w:tc>
          <w:tcPr>
            <w:tcW w:w="2055" w:type="dxa"/>
            <w:tcBorders>
              <w:tl2br w:val="nil"/>
              <w:tr2bl w:val="nil"/>
            </w:tcBorders>
            <w:vAlign w:val="center"/>
          </w:tcPr>
          <w:p w14:paraId="3E7E0B9A">
            <w:pPr>
              <w:rPr>
                <w:color w:val="auto"/>
              </w:rPr>
            </w:pPr>
            <w:r>
              <w:rPr>
                <w:rFonts w:hint="eastAsia"/>
                <w:color w:val="auto"/>
              </w:rPr>
              <w:t>采购人</w:t>
            </w:r>
          </w:p>
        </w:tc>
        <w:tc>
          <w:tcPr>
            <w:tcW w:w="6374" w:type="dxa"/>
            <w:tcBorders>
              <w:tl2br w:val="nil"/>
              <w:tr2bl w:val="nil"/>
            </w:tcBorders>
            <w:vAlign w:val="center"/>
          </w:tcPr>
          <w:p w14:paraId="048FF747">
            <w:pPr>
              <w:ind w:firstLine="0" w:firstLineChars="0"/>
              <w:jc w:val="left"/>
              <w:rPr>
                <w:color w:val="auto"/>
              </w:rPr>
            </w:pPr>
            <w:r>
              <w:rPr>
                <w:rFonts w:hint="eastAsia"/>
                <w:color w:val="auto"/>
              </w:rPr>
              <w:t>名称：郑州大学</w:t>
            </w:r>
          </w:p>
          <w:p w14:paraId="220E1A97">
            <w:pPr>
              <w:ind w:firstLine="0" w:firstLineChars="0"/>
              <w:jc w:val="left"/>
              <w:rPr>
                <w:color w:val="auto"/>
              </w:rPr>
            </w:pPr>
            <w:r>
              <w:rPr>
                <w:rFonts w:hint="eastAsia"/>
                <w:color w:val="auto"/>
              </w:rPr>
              <w:t>地址：郑州市高新技术产业开发区科学大道100号</w:t>
            </w:r>
          </w:p>
          <w:p w14:paraId="121EC463">
            <w:pPr>
              <w:ind w:firstLine="0" w:firstLineChars="0"/>
              <w:jc w:val="left"/>
              <w:rPr>
                <w:color w:val="auto"/>
              </w:rPr>
            </w:pPr>
            <w:r>
              <w:rPr>
                <w:rFonts w:hint="eastAsia"/>
                <w:color w:val="auto"/>
              </w:rPr>
              <w:t>联系人：李老师</w:t>
            </w:r>
          </w:p>
          <w:p w14:paraId="4160BFEA">
            <w:pPr>
              <w:ind w:firstLine="0" w:firstLineChars="0"/>
              <w:jc w:val="left"/>
              <w:rPr>
                <w:color w:val="auto"/>
              </w:rPr>
            </w:pPr>
            <w:r>
              <w:rPr>
                <w:rFonts w:hint="eastAsia"/>
                <w:color w:val="auto"/>
              </w:rPr>
              <w:t>联系电话：</w:t>
            </w:r>
            <w:r>
              <w:rPr>
                <w:rFonts w:hint="eastAsia" w:asciiTheme="minorEastAsia" w:hAnsiTheme="minorEastAsia" w:eastAsiaTheme="minorEastAsia" w:cstheme="minorEastAsia"/>
                <w:color w:val="auto"/>
                <w:shd w:val="clear" w:color="auto" w:fill="FFFFFF"/>
              </w:rPr>
              <w:t>18137830708</w:t>
            </w:r>
          </w:p>
        </w:tc>
      </w:tr>
      <w:tr w14:paraId="5AFBDFE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156" w:type="dxa"/>
            <w:tcBorders>
              <w:tl2br w:val="nil"/>
              <w:tr2bl w:val="nil"/>
            </w:tcBorders>
            <w:vAlign w:val="center"/>
          </w:tcPr>
          <w:p w14:paraId="5A085DFD">
            <w:pPr>
              <w:ind w:firstLine="0" w:firstLineChars="0"/>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1.1.2</w:t>
            </w:r>
          </w:p>
        </w:tc>
        <w:tc>
          <w:tcPr>
            <w:tcW w:w="2055" w:type="dxa"/>
            <w:tcBorders>
              <w:tl2br w:val="nil"/>
              <w:tr2bl w:val="nil"/>
            </w:tcBorders>
            <w:vAlign w:val="center"/>
          </w:tcPr>
          <w:p w14:paraId="0E0A8D80">
            <w:pPr>
              <w:ind w:firstLine="0" w:firstLineChars="0"/>
              <w:rPr>
                <w:color w:val="auto"/>
              </w:rPr>
            </w:pPr>
            <w:r>
              <w:rPr>
                <w:rFonts w:hint="eastAsia"/>
                <w:color w:val="auto"/>
              </w:rPr>
              <w:t>采购代理机构</w:t>
            </w:r>
          </w:p>
        </w:tc>
        <w:tc>
          <w:tcPr>
            <w:tcW w:w="6374" w:type="dxa"/>
            <w:tcBorders>
              <w:tl2br w:val="nil"/>
              <w:tr2bl w:val="nil"/>
            </w:tcBorders>
            <w:vAlign w:val="center"/>
          </w:tcPr>
          <w:p w14:paraId="45E33221">
            <w:pPr>
              <w:ind w:firstLine="0" w:firstLineChars="0"/>
              <w:jc w:val="left"/>
              <w:rPr>
                <w:color w:val="auto"/>
              </w:rPr>
            </w:pPr>
            <w:r>
              <w:rPr>
                <w:rFonts w:hint="eastAsia"/>
                <w:color w:val="auto"/>
              </w:rPr>
              <w:t>名称：河南英华咨询有限公司</w:t>
            </w:r>
          </w:p>
          <w:p w14:paraId="3806F288">
            <w:pPr>
              <w:ind w:firstLine="0" w:firstLineChars="0"/>
              <w:jc w:val="left"/>
              <w:rPr>
                <w:rFonts w:hint="eastAsia" w:asciiTheme="minorEastAsia" w:hAnsiTheme="minorEastAsia" w:eastAsiaTheme="minorEastAsia" w:cstheme="minorEastAsia"/>
                <w:color w:val="auto"/>
              </w:rPr>
            </w:pPr>
            <w:r>
              <w:rPr>
                <w:rFonts w:hint="eastAsia"/>
                <w:color w:val="auto"/>
              </w:rPr>
              <w:t>地点：郑州市电厂路河南省国家大学科技园（东区）16号楼C座21层</w:t>
            </w:r>
          </w:p>
          <w:p w14:paraId="7D931D60">
            <w:pPr>
              <w:ind w:firstLine="0" w:firstLineChars="0"/>
              <w:jc w:val="left"/>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联系人：娄利杰、古丹丹、闫少辉</w:t>
            </w:r>
          </w:p>
          <w:p w14:paraId="0FDAE124">
            <w:pPr>
              <w:ind w:firstLine="0" w:firstLineChars="0"/>
              <w:jc w:val="left"/>
              <w:rPr>
                <w:color w:val="auto"/>
              </w:rPr>
            </w:pPr>
            <w:r>
              <w:rPr>
                <w:rFonts w:hint="eastAsia" w:asciiTheme="minorEastAsia" w:hAnsiTheme="minorEastAsia" w:eastAsiaTheme="minorEastAsia" w:cstheme="minorEastAsia"/>
                <w:color w:val="auto"/>
              </w:rPr>
              <w:t>联系电话：0371-63976218、0371-63940338</w:t>
            </w:r>
          </w:p>
        </w:tc>
      </w:tr>
      <w:tr w14:paraId="164DE28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1156" w:type="dxa"/>
            <w:tcBorders>
              <w:tl2br w:val="nil"/>
              <w:tr2bl w:val="nil"/>
            </w:tcBorders>
            <w:vAlign w:val="center"/>
          </w:tcPr>
          <w:p w14:paraId="0BC9286A">
            <w:pPr>
              <w:ind w:firstLine="0" w:firstLineChars="0"/>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1.1.3</w:t>
            </w:r>
          </w:p>
        </w:tc>
        <w:tc>
          <w:tcPr>
            <w:tcW w:w="2055" w:type="dxa"/>
            <w:tcBorders>
              <w:tl2br w:val="nil"/>
              <w:tr2bl w:val="nil"/>
            </w:tcBorders>
            <w:vAlign w:val="center"/>
          </w:tcPr>
          <w:p w14:paraId="3F202447">
            <w:pPr>
              <w:ind w:firstLine="0" w:firstLineChars="0"/>
              <w:jc w:val="center"/>
              <w:rPr>
                <w:color w:val="auto"/>
              </w:rPr>
            </w:pPr>
            <w:r>
              <w:rPr>
                <w:rFonts w:hint="eastAsia"/>
                <w:color w:val="auto"/>
              </w:rPr>
              <w:t>采购项目名称</w:t>
            </w:r>
          </w:p>
        </w:tc>
        <w:tc>
          <w:tcPr>
            <w:tcW w:w="6374" w:type="dxa"/>
            <w:tcBorders>
              <w:tl2br w:val="nil"/>
              <w:tr2bl w:val="nil"/>
            </w:tcBorders>
            <w:vAlign w:val="center"/>
          </w:tcPr>
          <w:p w14:paraId="4F1C935B">
            <w:pPr>
              <w:ind w:firstLine="0" w:firstLineChars="0"/>
              <w:jc w:val="left"/>
              <w:rPr>
                <w:b/>
                <w:color w:val="auto"/>
              </w:rPr>
            </w:pPr>
            <w:r>
              <w:rPr>
                <w:rFonts w:hint="eastAsia"/>
                <w:color w:val="auto"/>
              </w:rPr>
              <w:t>郑州大学水利与交通学院、黄河实验室（郑州大学）地下管道灾变全过程多功能模拟试验系统项目</w:t>
            </w:r>
          </w:p>
        </w:tc>
      </w:tr>
      <w:tr w14:paraId="350DC2D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1156" w:type="dxa"/>
            <w:tcBorders>
              <w:tl2br w:val="nil"/>
              <w:tr2bl w:val="nil"/>
            </w:tcBorders>
            <w:vAlign w:val="center"/>
          </w:tcPr>
          <w:p w14:paraId="44F9028E">
            <w:pPr>
              <w:ind w:firstLine="0" w:firstLineChars="0"/>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1.1.4</w:t>
            </w:r>
          </w:p>
        </w:tc>
        <w:tc>
          <w:tcPr>
            <w:tcW w:w="2055" w:type="dxa"/>
            <w:tcBorders>
              <w:tl2br w:val="nil"/>
              <w:tr2bl w:val="nil"/>
            </w:tcBorders>
            <w:vAlign w:val="center"/>
          </w:tcPr>
          <w:p w14:paraId="1FE3D86E">
            <w:pPr>
              <w:ind w:firstLine="0" w:firstLineChars="0"/>
              <w:jc w:val="center"/>
              <w:rPr>
                <w:color w:val="auto"/>
              </w:rPr>
            </w:pPr>
            <w:r>
              <w:rPr>
                <w:rFonts w:hint="eastAsia"/>
                <w:color w:val="auto"/>
              </w:rPr>
              <w:t>采购项目实施地点</w:t>
            </w:r>
          </w:p>
        </w:tc>
        <w:tc>
          <w:tcPr>
            <w:tcW w:w="6374" w:type="dxa"/>
            <w:tcBorders>
              <w:tl2br w:val="nil"/>
              <w:tr2bl w:val="nil"/>
            </w:tcBorders>
            <w:vAlign w:val="center"/>
          </w:tcPr>
          <w:p w14:paraId="02F2BB72">
            <w:pPr>
              <w:ind w:firstLine="0" w:firstLineChars="0"/>
              <w:rPr>
                <w:color w:val="auto"/>
              </w:rPr>
            </w:pPr>
            <w:r>
              <w:rPr>
                <w:rFonts w:hint="eastAsia"/>
                <w:color w:val="auto"/>
              </w:rPr>
              <w:t>郑州大学</w:t>
            </w:r>
          </w:p>
        </w:tc>
      </w:tr>
      <w:tr w14:paraId="4A35BBE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1156" w:type="dxa"/>
            <w:tcBorders>
              <w:tl2br w:val="nil"/>
              <w:tr2bl w:val="nil"/>
            </w:tcBorders>
            <w:vAlign w:val="center"/>
          </w:tcPr>
          <w:p w14:paraId="6BF8249E">
            <w:pPr>
              <w:ind w:firstLine="0" w:firstLineChars="0"/>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1.1.5</w:t>
            </w:r>
          </w:p>
        </w:tc>
        <w:tc>
          <w:tcPr>
            <w:tcW w:w="2055" w:type="dxa"/>
            <w:tcBorders>
              <w:tl2br w:val="nil"/>
              <w:tr2bl w:val="nil"/>
            </w:tcBorders>
            <w:vAlign w:val="center"/>
          </w:tcPr>
          <w:p w14:paraId="29A1BDEE">
            <w:pPr>
              <w:ind w:firstLine="0" w:firstLineChars="0"/>
              <w:jc w:val="center"/>
              <w:rPr>
                <w:color w:val="auto"/>
              </w:rPr>
            </w:pPr>
            <w:r>
              <w:rPr>
                <w:rFonts w:hint="eastAsia"/>
                <w:color w:val="auto"/>
              </w:rPr>
              <w:t>采购方式</w:t>
            </w:r>
          </w:p>
        </w:tc>
        <w:tc>
          <w:tcPr>
            <w:tcW w:w="6374" w:type="dxa"/>
            <w:tcBorders>
              <w:tl2br w:val="nil"/>
              <w:tr2bl w:val="nil"/>
            </w:tcBorders>
            <w:vAlign w:val="center"/>
          </w:tcPr>
          <w:p w14:paraId="3D00291B">
            <w:pPr>
              <w:ind w:firstLine="0" w:firstLineChars="0"/>
              <w:rPr>
                <w:color w:val="auto"/>
              </w:rPr>
            </w:pPr>
            <w:r>
              <w:rPr>
                <w:rFonts w:hint="eastAsia"/>
                <w:color w:val="auto"/>
              </w:rPr>
              <w:t>竞争性磋商</w:t>
            </w:r>
          </w:p>
        </w:tc>
      </w:tr>
      <w:tr w14:paraId="7900D41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1156" w:type="dxa"/>
            <w:tcBorders>
              <w:tl2br w:val="nil"/>
              <w:tr2bl w:val="nil"/>
            </w:tcBorders>
            <w:vAlign w:val="center"/>
          </w:tcPr>
          <w:p w14:paraId="0A75CD75">
            <w:pPr>
              <w:ind w:firstLine="0" w:firstLineChars="0"/>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1.2.2</w:t>
            </w:r>
          </w:p>
        </w:tc>
        <w:tc>
          <w:tcPr>
            <w:tcW w:w="2055" w:type="dxa"/>
            <w:tcBorders>
              <w:tl2br w:val="nil"/>
              <w:tr2bl w:val="nil"/>
            </w:tcBorders>
            <w:vAlign w:val="center"/>
          </w:tcPr>
          <w:p w14:paraId="6457BABF">
            <w:pPr>
              <w:ind w:firstLine="0" w:firstLineChars="0"/>
              <w:rPr>
                <w:color w:val="auto"/>
              </w:rPr>
            </w:pPr>
            <w:r>
              <w:rPr>
                <w:rFonts w:hint="eastAsia"/>
                <w:color w:val="auto"/>
              </w:rPr>
              <w:t>项目预算金额和最高限价</w:t>
            </w:r>
          </w:p>
        </w:tc>
        <w:tc>
          <w:tcPr>
            <w:tcW w:w="6374" w:type="dxa"/>
            <w:tcBorders>
              <w:tl2br w:val="nil"/>
              <w:tr2bl w:val="nil"/>
            </w:tcBorders>
            <w:vAlign w:val="center"/>
          </w:tcPr>
          <w:p w14:paraId="14A428E6">
            <w:pPr>
              <w:ind w:firstLine="0" w:firstLineChars="0"/>
              <w:rPr>
                <w:color w:val="auto"/>
                <w:lang w:val="zh-CN"/>
              </w:rPr>
            </w:pPr>
            <w:r>
              <w:rPr>
                <w:rFonts w:hint="eastAsia"/>
                <w:color w:val="auto"/>
                <w:lang w:val="zh-CN"/>
              </w:rPr>
              <w:t>项目预算金额：</w:t>
            </w:r>
            <w:r>
              <w:rPr>
                <w:rFonts w:hint="eastAsia"/>
                <w:color w:val="auto"/>
              </w:rPr>
              <w:t>3200000.00</w:t>
            </w:r>
            <w:r>
              <w:rPr>
                <w:rFonts w:hint="eastAsia"/>
                <w:color w:val="auto"/>
                <w:lang w:val="zh-CN"/>
              </w:rPr>
              <w:t>元；</w:t>
            </w:r>
          </w:p>
          <w:p w14:paraId="78C1CE87">
            <w:pPr>
              <w:ind w:firstLine="0" w:firstLineChars="0"/>
              <w:rPr>
                <w:color w:val="auto"/>
                <w:lang w:val="zh-CN"/>
              </w:rPr>
            </w:pPr>
            <w:r>
              <w:rPr>
                <w:rFonts w:hint="eastAsia"/>
                <w:color w:val="auto"/>
                <w:lang w:val="zh-CN"/>
              </w:rPr>
              <w:t>最高限价：</w:t>
            </w:r>
            <w:r>
              <w:rPr>
                <w:rFonts w:hint="eastAsia"/>
                <w:color w:val="auto"/>
              </w:rPr>
              <w:t>3200000.00</w:t>
            </w:r>
            <w:r>
              <w:rPr>
                <w:rFonts w:hint="eastAsia"/>
                <w:color w:val="auto"/>
                <w:lang w:val="zh-CN"/>
              </w:rPr>
              <w:t>元。</w:t>
            </w:r>
          </w:p>
          <w:p w14:paraId="3E1CFC1E">
            <w:pPr>
              <w:ind w:firstLine="0" w:firstLineChars="0"/>
              <w:rPr>
                <w:color w:val="auto"/>
              </w:rPr>
            </w:pPr>
            <w:r>
              <w:rPr>
                <w:rFonts w:hint="eastAsia"/>
                <w:color w:val="auto"/>
              </w:rPr>
              <w:t>供应商的磋商总报价超过最高限价的，按</w:t>
            </w:r>
            <w:r>
              <w:rPr>
                <w:rFonts w:hint="eastAsia"/>
                <w:color w:val="auto"/>
                <w:lang w:val="zh-CN"/>
              </w:rPr>
              <w:t>无效响应文件</w:t>
            </w:r>
            <w:r>
              <w:rPr>
                <w:rFonts w:hint="eastAsia"/>
                <w:color w:val="auto"/>
              </w:rPr>
              <w:t>处理。</w:t>
            </w:r>
          </w:p>
        </w:tc>
      </w:tr>
      <w:tr w14:paraId="34BC54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1156" w:type="dxa"/>
            <w:tcBorders>
              <w:tl2br w:val="nil"/>
              <w:tr2bl w:val="nil"/>
            </w:tcBorders>
            <w:vAlign w:val="center"/>
          </w:tcPr>
          <w:p w14:paraId="2FD5D50B">
            <w:pPr>
              <w:ind w:firstLine="0" w:firstLineChars="0"/>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1.3.1</w:t>
            </w:r>
          </w:p>
        </w:tc>
        <w:tc>
          <w:tcPr>
            <w:tcW w:w="2055" w:type="dxa"/>
            <w:tcBorders>
              <w:tl2br w:val="nil"/>
              <w:tr2bl w:val="nil"/>
            </w:tcBorders>
            <w:vAlign w:val="center"/>
          </w:tcPr>
          <w:p w14:paraId="395ADA8B">
            <w:pPr>
              <w:rPr>
                <w:color w:val="auto"/>
              </w:rPr>
            </w:pPr>
            <w:r>
              <w:rPr>
                <w:rFonts w:hint="eastAsia"/>
                <w:color w:val="auto"/>
              </w:rPr>
              <w:t>采购内容</w:t>
            </w:r>
          </w:p>
        </w:tc>
        <w:tc>
          <w:tcPr>
            <w:tcW w:w="6374" w:type="dxa"/>
            <w:tcBorders>
              <w:tl2br w:val="nil"/>
              <w:tr2bl w:val="nil"/>
            </w:tcBorders>
            <w:vAlign w:val="center"/>
          </w:tcPr>
          <w:p w14:paraId="6D7ECE46">
            <w:pPr>
              <w:ind w:firstLine="0" w:firstLineChars="0"/>
              <w:rPr>
                <w:color w:val="auto"/>
              </w:rPr>
            </w:pPr>
            <w:r>
              <w:rPr>
                <w:rFonts w:hint="eastAsia"/>
                <w:color w:val="auto"/>
                <w:lang w:val="zh-CN"/>
              </w:rPr>
              <w:t>地下管道灾变全过程多功能模拟试验系统，包含但不限于设备的供货、运输、保险、装卸、搬运、安装、检测、售后保修及相关配套服务等。</w:t>
            </w:r>
          </w:p>
        </w:tc>
      </w:tr>
      <w:tr w14:paraId="140C20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0" w:hRule="atLeast"/>
          <w:jc w:val="center"/>
        </w:trPr>
        <w:tc>
          <w:tcPr>
            <w:tcW w:w="1156" w:type="dxa"/>
            <w:tcBorders>
              <w:tl2br w:val="nil"/>
              <w:tr2bl w:val="nil"/>
            </w:tcBorders>
            <w:vAlign w:val="center"/>
          </w:tcPr>
          <w:p w14:paraId="37F27ED3">
            <w:pPr>
              <w:ind w:firstLine="0" w:firstLineChars="0"/>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1.3.2</w:t>
            </w:r>
          </w:p>
        </w:tc>
        <w:tc>
          <w:tcPr>
            <w:tcW w:w="2055" w:type="dxa"/>
            <w:tcBorders>
              <w:tl2br w:val="nil"/>
              <w:tr2bl w:val="nil"/>
            </w:tcBorders>
            <w:vAlign w:val="center"/>
          </w:tcPr>
          <w:p w14:paraId="6CF82C48">
            <w:pPr>
              <w:ind w:firstLine="0" w:firstLineChars="0"/>
              <w:jc w:val="center"/>
              <w:rPr>
                <w:color w:val="auto"/>
                <w:lang w:val="zh-CN"/>
              </w:rPr>
            </w:pPr>
            <w:r>
              <w:rPr>
                <w:rFonts w:hint="eastAsia"/>
                <w:color w:val="auto"/>
                <w:lang w:val="zh-CN"/>
              </w:rPr>
              <w:t>交货期</w:t>
            </w:r>
          </w:p>
        </w:tc>
        <w:tc>
          <w:tcPr>
            <w:tcW w:w="6374" w:type="dxa"/>
            <w:tcBorders>
              <w:tl2br w:val="nil"/>
              <w:tr2bl w:val="nil"/>
            </w:tcBorders>
            <w:vAlign w:val="center"/>
          </w:tcPr>
          <w:p w14:paraId="07C7B8E0">
            <w:pPr>
              <w:ind w:firstLine="0" w:firstLineChars="0"/>
              <w:rPr>
                <w:color w:val="auto"/>
                <w:lang w:val="zh-CN"/>
              </w:rPr>
            </w:pPr>
            <w:r>
              <w:rPr>
                <w:rFonts w:hint="eastAsia"/>
                <w:color w:val="auto"/>
              </w:rPr>
              <w:t>合同签订后150个日历天</w:t>
            </w:r>
          </w:p>
        </w:tc>
      </w:tr>
      <w:tr w14:paraId="143BF46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156" w:type="dxa"/>
            <w:tcBorders>
              <w:tl2br w:val="nil"/>
              <w:tr2bl w:val="nil"/>
            </w:tcBorders>
            <w:vAlign w:val="center"/>
          </w:tcPr>
          <w:p w14:paraId="3045A2A9">
            <w:pPr>
              <w:ind w:firstLine="0" w:firstLineChars="0"/>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1.3.3</w:t>
            </w:r>
          </w:p>
        </w:tc>
        <w:tc>
          <w:tcPr>
            <w:tcW w:w="2055" w:type="dxa"/>
            <w:tcBorders>
              <w:tl2br w:val="nil"/>
              <w:tr2bl w:val="nil"/>
            </w:tcBorders>
            <w:vAlign w:val="center"/>
          </w:tcPr>
          <w:p w14:paraId="7A7E00C9">
            <w:pPr>
              <w:pStyle w:val="177"/>
              <w:jc w:val="center"/>
              <w:rPr>
                <w:rFonts w:hint="eastAsia"/>
                <w:color w:val="auto"/>
              </w:rPr>
            </w:pPr>
            <w:r>
              <w:rPr>
                <w:rFonts w:hint="eastAsia"/>
                <w:snapToGrid w:val="0"/>
                <w:color w:val="auto"/>
              </w:rPr>
              <w:t>质</w:t>
            </w:r>
            <w:r>
              <w:rPr>
                <w:rFonts w:hint="eastAsia" w:ascii="Times New Roman" w:hAnsi="Times New Roman"/>
                <w:color w:val="auto"/>
                <w:szCs w:val="24"/>
                <w:lang w:val="zh-CN"/>
              </w:rPr>
              <w:t>量标准</w:t>
            </w:r>
          </w:p>
        </w:tc>
        <w:tc>
          <w:tcPr>
            <w:tcW w:w="6374" w:type="dxa"/>
            <w:tcBorders>
              <w:tl2br w:val="nil"/>
              <w:tr2bl w:val="nil"/>
            </w:tcBorders>
            <w:vAlign w:val="center"/>
          </w:tcPr>
          <w:p w14:paraId="4EF12597">
            <w:pPr>
              <w:pStyle w:val="177"/>
              <w:rPr>
                <w:rFonts w:hint="eastAsia"/>
                <w:color w:val="auto"/>
              </w:rPr>
            </w:pPr>
            <w:r>
              <w:rPr>
                <w:rFonts w:hint="eastAsia"/>
                <w:color w:val="auto"/>
              </w:rPr>
              <w:t>合格，达到国家及相关行业验收规范标准。</w:t>
            </w:r>
          </w:p>
        </w:tc>
      </w:tr>
      <w:tr w14:paraId="4135EF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156" w:type="dxa"/>
            <w:tcBorders>
              <w:tl2br w:val="nil"/>
              <w:tr2bl w:val="nil"/>
            </w:tcBorders>
            <w:vAlign w:val="center"/>
          </w:tcPr>
          <w:p w14:paraId="5B1B4E55">
            <w:pPr>
              <w:ind w:firstLine="0" w:firstLineChars="0"/>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1.3.4</w:t>
            </w:r>
          </w:p>
        </w:tc>
        <w:tc>
          <w:tcPr>
            <w:tcW w:w="2055" w:type="dxa"/>
            <w:tcBorders>
              <w:tl2br w:val="nil"/>
              <w:tr2bl w:val="nil"/>
            </w:tcBorders>
            <w:vAlign w:val="center"/>
          </w:tcPr>
          <w:p w14:paraId="419900F3">
            <w:pPr>
              <w:pStyle w:val="177"/>
              <w:jc w:val="center"/>
              <w:rPr>
                <w:rFonts w:hint="eastAsia"/>
                <w:color w:val="auto"/>
              </w:rPr>
            </w:pPr>
            <w:r>
              <w:rPr>
                <w:rFonts w:hint="eastAsia"/>
                <w:snapToGrid w:val="0"/>
                <w:color w:val="auto"/>
              </w:rPr>
              <w:t>质保期</w:t>
            </w:r>
          </w:p>
        </w:tc>
        <w:tc>
          <w:tcPr>
            <w:tcW w:w="6374" w:type="dxa"/>
            <w:tcBorders>
              <w:tl2br w:val="nil"/>
              <w:tr2bl w:val="nil"/>
            </w:tcBorders>
            <w:vAlign w:val="center"/>
          </w:tcPr>
          <w:p w14:paraId="25C63D99">
            <w:pPr>
              <w:pStyle w:val="177"/>
              <w:rPr>
                <w:rFonts w:hint="eastAsia"/>
                <w:color w:val="auto"/>
              </w:rPr>
            </w:pPr>
            <w:r>
              <w:rPr>
                <w:rFonts w:hint="eastAsia"/>
                <w:color w:val="auto"/>
              </w:rPr>
              <w:t>3年</w:t>
            </w:r>
          </w:p>
        </w:tc>
      </w:tr>
      <w:tr w14:paraId="3F924F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156" w:type="dxa"/>
            <w:tcBorders>
              <w:tl2br w:val="nil"/>
              <w:tr2bl w:val="nil"/>
            </w:tcBorders>
            <w:vAlign w:val="center"/>
          </w:tcPr>
          <w:p w14:paraId="4D3E31F1">
            <w:pPr>
              <w:ind w:firstLine="0" w:firstLineChars="0"/>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1.4.2.4</w:t>
            </w:r>
          </w:p>
        </w:tc>
        <w:tc>
          <w:tcPr>
            <w:tcW w:w="2055" w:type="dxa"/>
            <w:tcBorders>
              <w:tl2br w:val="nil"/>
              <w:tr2bl w:val="nil"/>
            </w:tcBorders>
            <w:vAlign w:val="center"/>
          </w:tcPr>
          <w:p w14:paraId="660EBE8B">
            <w:pPr>
              <w:rPr>
                <w:color w:val="auto"/>
              </w:rPr>
            </w:pPr>
            <w:r>
              <w:rPr>
                <w:rFonts w:hint="eastAsia"/>
                <w:color w:val="auto"/>
              </w:rPr>
              <w:t>合格供应商</w:t>
            </w:r>
          </w:p>
        </w:tc>
        <w:tc>
          <w:tcPr>
            <w:tcW w:w="6374" w:type="dxa"/>
            <w:tcBorders>
              <w:tl2br w:val="nil"/>
              <w:tr2bl w:val="nil"/>
            </w:tcBorders>
            <w:vAlign w:val="center"/>
          </w:tcPr>
          <w:p w14:paraId="5EB0CC16">
            <w:pPr>
              <w:ind w:firstLine="0" w:firstLineChars="0"/>
              <w:rPr>
                <w:color w:val="auto"/>
              </w:rPr>
            </w:pPr>
            <w:r>
              <w:rPr>
                <w:rFonts w:hint="eastAsia"/>
                <w:color w:val="auto"/>
              </w:rPr>
              <w:t>符合《中华人民共和国政府采购法》《中华人民共和国政府采购实施条例》等法律法规和本磋商文件要求的合格供应商。</w:t>
            </w:r>
          </w:p>
        </w:tc>
      </w:tr>
      <w:tr w14:paraId="0D43BF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156" w:type="dxa"/>
            <w:tcBorders>
              <w:tl2br w:val="nil"/>
              <w:tr2bl w:val="nil"/>
            </w:tcBorders>
            <w:vAlign w:val="center"/>
          </w:tcPr>
          <w:p w14:paraId="6B10C1BC">
            <w:pPr>
              <w:ind w:firstLine="0" w:firstLineChars="0"/>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1.4.2.5</w:t>
            </w:r>
          </w:p>
        </w:tc>
        <w:tc>
          <w:tcPr>
            <w:tcW w:w="2055" w:type="dxa"/>
            <w:tcBorders>
              <w:tl2br w:val="nil"/>
              <w:tr2bl w:val="nil"/>
            </w:tcBorders>
            <w:vAlign w:val="center"/>
          </w:tcPr>
          <w:p w14:paraId="7CE5418E">
            <w:pPr>
              <w:ind w:firstLine="0" w:firstLineChars="0"/>
              <w:rPr>
                <w:color w:val="auto"/>
                <w:lang w:val="zh-CN"/>
              </w:rPr>
            </w:pPr>
            <w:r>
              <w:rPr>
                <w:rFonts w:hint="eastAsia"/>
                <w:color w:val="auto"/>
                <w:lang w:val="zh-CN"/>
              </w:rPr>
              <w:t>是否允许采购进口产品</w:t>
            </w:r>
          </w:p>
        </w:tc>
        <w:tc>
          <w:tcPr>
            <w:tcW w:w="6374" w:type="dxa"/>
            <w:tcBorders>
              <w:tl2br w:val="nil"/>
              <w:tr2bl w:val="nil"/>
            </w:tcBorders>
            <w:vAlign w:val="center"/>
          </w:tcPr>
          <w:p w14:paraId="0210D2F6">
            <w:pPr>
              <w:ind w:firstLine="0" w:firstLineChars="0"/>
              <w:rPr>
                <w:color w:val="auto"/>
                <w:lang w:val="zh-CN"/>
              </w:rPr>
            </w:pPr>
            <w:r>
              <w:rPr>
                <w:rFonts w:hint="eastAsia"/>
                <w:color w:val="auto"/>
                <w:lang w:val="zh-CN"/>
              </w:rPr>
              <w:t>□是</w:t>
            </w:r>
          </w:p>
          <w:p w14:paraId="5A79C9E8">
            <w:pPr>
              <w:ind w:firstLine="0" w:firstLineChars="0"/>
              <w:rPr>
                <w:color w:val="auto"/>
                <w:lang w:val="zh-CN"/>
              </w:rPr>
            </w:pPr>
            <w:r>
              <w:rPr>
                <w:rFonts w:hint="eastAsia"/>
                <w:color w:val="auto"/>
                <w:lang w:val="zh-CN"/>
              </w:rPr>
              <w:sym w:font="Wingdings 2" w:char="0052"/>
            </w:r>
            <w:r>
              <w:rPr>
                <w:rFonts w:hint="eastAsia"/>
                <w:color w:val="auto"/>
                <w:lang w:val="zh-CN"/>
              </w:rPr>
              <w:t>否</w:t>
            </w:r>
          </w:p>
        </w:tc>
      </w:tr>
      <w:tr w14:paraId="7AFE8F1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156" w:type="dxa"/>
            <w:tcBorders>
              <w:tl2br w:val="nil"/>
              <w:tr2bl w:val="nil"/>
            </w:tcBorders>
            <w:vAlign w:val="center"/>
          </w:tcPr>
          <w:p w14:paraId="7B11742D">
            <w:pPr>
              <w:ind w:firstLine="0" w:firstLineChars="0"/>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1.4.2.6</w:t>
            </w:r>
          </w:p>
        </w:tc>
        <w:tc>
          <w:tcPr>
            <w:tcW w:w="2055" w:type="dxa"/>
            <w:tcBorders>
              <w:tl2br w:val="nil"/>
              <w:tr2bl w:val="nil"/>
            </w:tcBorders>
            <w:vAlign w:val="center"/>
          </w:tcPr>
          <w:p w14:paraId="67A2EC4A">
            <w:pPr>
              <w:ind w:firstLine="0" w:firstLineChars="0"/>
              <w:rPr>
                <w:rFonts w:hint="eastAsia" w:asciiTheme="minorEastAsia" w:hAnsiTheme="minorEastAsia" w:eastAsiaTheme="minorEastAsia" w:cstheme="minorEastAsia"/>
                <w:color w:val="auto"/>
                <w:lang w:val="zh-CN"/>
              </w:rPr>
            </w:pPr>
            <w:r>
              <w:rPr>
                <w:rFonts w:hint="eastAsia" w:asciiTheme="minorEastAsia" w:hAnsiTheme="minorEastAsia" w:eastAsiaTheme="minorEastAsia" w:cstheme="minorEastAsia"/>
                <w:color w:val="auto"/>
                <w:lang w:val="zh-CN"/>
              </w:rPr>
              <w:t>是否为专门面向中小企业的预留份额的采购项目或者采购包</w:t>
            </w:r>
          </w:p>
        </w:tc>
        <w:tc>
          <w:tcPr>
            <w:tcW w:w="6374" w:type="dxa"/>
            <w:tcBorders>
              <w:tl2br w:val="nil"/>
              <w:tr2bl w:val="nil"/>
            </w:tcBorders>
            <w:vAlign w:val="center"/>
          </w:tcPr>
          <w:p w14:paraId="704FBC28">
            <w:pPr>
              <w:ind w:firstLine="0" w:firstLineChars="0"/>
              <w:rPr>
                <w:rFonts w:hint="eastAsia" w:asciiTheme="minorEastAsia" w:hAnsiTheme="minorEastAsia" w:eastAsiaTheme="minorEastAsia" w:cstheme="minorEastAsia"/>
                <w:color w:val="auto"/>
                <w:lang w:val="zh-CN"/>
              </w:rPr>
            </w:pPr>
            <w:r>
              <w:rPr>
                <w:rFonts w:hint="eastAsia" w:asciiTheme="minorEastAsia" w:hAnsiTheme="minorEastAsia" w:eastAsiaTheme="minorEastAsia" w:cstheme="minorEastAsia"/>
                <w:color w:val="auto"/>
                <w:lang w:val="zh-CN"/>
              </w:rPr>
              <w:t>1.是否为专门面向中小企业的预留份额的采购项目或者采购包：</w:t>
            </w:r>
          </w:p>
          <w:p w14:paraId="3DF22C3D">
            <w:pPr>
              <w:ind w:firstLine="0" w:firstLineChars="0"/>
              <w:rPr>
                <w:rFonts w:hint="eastAsia" w:asciiTheme="minorEastAsia" w:hAnsiTheme="minorEastAsia" w:eastAsiaTheme="minorEastAsia" w:cstheme="minorEastAsia"/>
                <w:color w:val="auto"/>
                <w:lang w:val="zh-CN"/>
              </w:rPr>
            </w:pPr>
            <w:r>
              <w:rPr>
                <w:rFonts w:hint="eastAsia" w:asciiTheme="minorEastAsia" w:hAnsiTheme="minorEastAsia" w:eastAsiaTheme="minorEastAsia" w:cstheme="minorEastAsia"/>
                <w:color w:val="auto"/>
                <w:lang w:val="zh-CN"/>
              </w:rPr>
              <w:t>□是。（明确该项目或相关采购包，以及相关标的及预算金额）</w:t>
            </w:r>
          </w:p>
          <w:p w14:paraId="0E97F49C">
            <w:pPr>
              <w:ind w:firstLine="0" w:firstLineChars="0"/>
              <w:rPr>
                <w:rFonts w:hint="eastAsia" w:asciiTheme="minorEastAsia" w:hAnsiTheme="minorEastAsia" w:eastAsiaTheme="minorEastAsia" w:cstheme="minorEastAsia"/>
                <w:color w:val="auto"/>
                <w:lang w:val="zh-CN"/>
              </w:rPr>
            </w:pPr>
            <w:r>
              <w:rPr>
                <w:rFonts w:hint="eastAsia" w:asciiTheme="minorEastAsia" w:hAnsiTheme="minorEastAsia" w:eastAsiaTheme="minorEastAsia" w:cstheme="minorEastAsia"/>
                <w:color w:val="auto"/>
                <w:lang w:val="zh-CN"/>
              </w:rPr>
              <w:sym w:font="Wingdings 2" w:char="0052"/>
            </w:r>
            <w:r>
              <w:rPr>
                <w:rFonts w:hint="eastAsia" w:asciiTheme="minorEastAsia" w:hAnsiTheme="minorEastAsia" w:eastAsiaTheme="minorEastAsia" w:cstheme="minorEastAsia"/>
                <w:color w:val="auto"/>
                <w:lang w:val="zh-CN"/>
              </w:rPr>
              <w:t>否（有关价格扣除比例或者价格分加分比例详见评审标准）</w:t>
            </w:r>
          </w:p>
          <w:p w14:paraId="768FACFB">
            <w:pPr>
              <w:ind w:firstLine="0" w:firstLineChars="0"/>
              <w:rPr>
                <w:rFonts w:hint="eastAsia" w:asciiTheme="minorEastAsia" w:hAnsiTheme="minorEastAsia" w:eastAsiaTheme="minorEastAsia" w:cstheme="minorEastAsia"/>
                <w:color w:val="auto"/>
                <w:lang w:val="zh-CN"/>
              </w:rPr>
            </w:pPr>
            <w:r>
              <w:rPr>
                <w:rFonts w:hint="eastAsia" w:asciiTheme="minorEastAsia" w:hAnsiTheme="minorEastAsia" w:eastAsiaTheme="minorEastAsia" w:cstheme="minorEastAsia"/>
                <w:color w:val="auto"/>
                <w:lang w:val="zh-CN"/>
              </w:rPr>
              <w:t>2.依据《政府采购促进中小企业发展管理办法》规定享受扶持政策获得政府采购合同的，小微企业不得将合同分包给大中型企业，中型企业不得将合同分包给大型企业；</w:t>
            </w:r>
          </w:p>
          <w:p w14:paraId="00EC0EC0">
            <w:pPr>
              <w:ind w:firstLine="0" w:firstLineChars="0"/>
              <w:rPr>
                <w:rFonts w:hint="eastAsia" w:asciiTheme="minorEastAsia" w:hAnsiTheme="minorEastAsia" w:eastAsiaTheme="minorEastAsia" w:cstheme="minorEastAsia"/>
                <w:color w:val="auto"/>
                <w:lang w:val="zh-CN"/>
              </w:rPr>
            </w:pPr>
            <w:r>
              <w:rPr>
                <w:rFonts w:hint="eastAsia" w:asciiTheme="minorEastAsia" w:hAnsiTheme="minorEastAsia" w:eastAsiaTheme="minorEastAsia" w:cstheme="minorEastAsia"/>
                <w:color w:val="auto"/>
                <w:lang w:val="zh-CN"/>
              </w:rPr>
              <w:t>3.采购标的对应的中小企业划分标准所属行业：</w:t>
            </w:r>
            <w:r>
              <w:rPr>
                <w:rFonts w:hint="eastAsia" w:asciiTheme="minorEastAsia" w:hAnsiTheme="minorEastAsia" w:eastAsiaTheme="minorEastAsia" w:cstheme="minorEastAsia"/>
                <w:color w:val="auto"/>
              </w:rPr>
              <w:t>工业</w:t>
            </w:r>
            <w:r>
              <w:rPr>
                <w:rFonts w:hint="eastAsia" w:asciiTheme="minorEastAsia" w:hAnsiTheme="minorEastAsia" w:eastAsiaTheme="minorEastAsia" w:cstheme="minorEastAsia"/>
                <w:color w:val="auto"/>
                <w:lang w:val="zh-CN"/>
              </w:rPr>
              <w:t>；</w:t>
            </w:r>
          </w:p>
        </w:tc>
      </w:tr>
      <w:tr w14:paraId="2ABCDF1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156" w:type="dxa"/>
            <w:vMerge w:val="restart"/>
            <w:tcBorders>
              <w:tl2br w:val="nil"/>
              <w:tr2bl w:val="nil"/>
            </w:tcBorders>
            <w:vAlign w:val="center"/>
          </w:tcPr>
          <w:p w14:paraId="12C3B601">
            <w:pPr>
              <w:ind w:firstLine="0" w:firstLineChars="0"/>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1.4.2.7</w:t>
            </w:r>
          </w:p>
        </w:tc>
        <w:tc>
          <w:tcPr>
            <w:tcW w:w="2055" w:type="dxa"/>
            <w:tcBorders>
              <w:tl2br w:val="nil"/>
              <w:tr2bl w:val="nil"/>
            </w:tcBorders>
            <w:vAlign w:val="center"/>
          </w:tcPr>
          <w:p w14:paraId="792A0B2B">
            <w:pPr>
              <w:ind w:firstLine="0" w:firstLineChars="0"/>
              <w:rPr>
                <w:color w:val="auto"/>
              </w:rPr>
            </w:pPr>
            <w:r>
              <w:rPr>
                <w:rFonts w:hint="eastAsia"/>
                <w:color w:val="auto"/>
              </w:rPr>
              <w:t>是否有政府强制采购的节能产品</w:t>
            </w:r>
          </w:p>
        </w:tc>
        <w:tc>
          <w:tcPr>
            <w:tcW w:w="6374" w:type="dxa"/>
            <w:tcBorders>
              <w:tl2br w:val="nil"/>
              <w:tr2bl w:val="nil"/>
            </w:tcBorders>
            <w:vAlign w:val="center"/>
          </w:tcPr>
          <w:p w14:paraId="5CFB6369">
            <w:pPr>
              <w:ind w:firstLine="0" w:firstLineChars="0"/>
              <w:rPr>
                <w:color w:val="auto"/>
              </w:rPr>
            </w:pPr>
            <w:r>
              <w:rPr>
                <w:rFonts w:hint="eastAsia"/>
                <w:color w:val="auto"/>
              </w:rPr>
              <w:t>□有，具体产品为：</w:t>
            </w:r>
          </w:p>
          <w:p w14:paraId="3321977A">
            <w:pPr>
              <w:ind w:firstLine="0" w:firstLineChars="0"/>
              <w:rPr>
                <w:color w:val="auto"/>
              </w:rPr>
            </w:pPr>
            <w:r>
              <w:rPr>
                <w:rFonts w:hint="eastAsia"/>
                <w:color w:val="auto"/>
              </w:rPr>
              <w:sym w:font="Wingdings 2" w:char="0052"/>
            </w:r>
            <w:r>
              <w:rPr>
                <w:rFonts w:hint="eastAsia"/>
                <w:color w:val="auto"/>
              </w:rPr>
              <w:t>无</w:t>
            </w:r>
          </w:p>
        </w:tc>
      </w:tr>
      <w:tr w14:paraId="4AEBA27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156" w:type="dxa"/>
            <w:vMerge w:val="continue"/>
            <w:tcBorders>
              <w:tl2br w:val="nil"/>
              <w:tr2bl w:val="nil"/>
            </w:tcBorders>
            <w:vAlign w:val="center"/>
          </w:tcPr>
          <w:p w14:paraId="2AC8336D">
            <w:pPr>
              <w:jc w:val="center"/>
              <w:rPr>
                <w:rFonts w:hint="eastAsia" w:asciiTheme="minorEastAsia" w:hAnsiTheme="minorEastAsia" w:eastAsiaTheme="minorEastAsia" w:cstheme="minorEastAsia"/>
                <w:color w:val="auto"/>
                <w:szCs w:val="21"/>
              </w:rPr>
            </w:pPr>
          </w:p>
        </w:tc>
        <w:tc>
          <w:tcPr>
            <w:tcW w:w="2055" w:type="dxa"/>
            <w:tcBorders>
              <w:tl2br w:val="nil"/>
              <w:tr2bl w:val="nil"/>
            </w:tcBorders>
            <w:vAlign w:val="center"/>
          </w:tcPr>
          <w:p w14:paraId="5D69B8E8">
            <w:pPr>
              <w:ind w:firstLine="0" w:firstLineChars="0"/>
              <w:rPr>
                <w:color w:val="auto"/>
              </w:rPr>
            </w:pPr>
            <w:r>
              <w:rPr>
                <w:rFonts w:hint="eastAsia"/>
                <w:color w:val="auto"/>
              </w:rPr>
              <w:t>是否有强制认证的信息安全产品、列入国家CCC认证</w:t>
            </w:r>
          </w:p>
        </w:tc>
        <w:tc>
          <w:tcPr>
            <w:tcW w:w="6374" w:type="dxa"/>
            <w:tcBorders>
              <w:tl2br w:val="nil"/>
              <w:tr2bl w:val="nil"/>
            </w:tcBorders>
            <w:vAlign w:val="center"/>
          </w:tcPr>
          <w:p w14:paraId="3BE79418">
            <w:pPr>
              <w:ind w:firstLine="0" w:firstLineChars="0"/>
              <w:rPr>
                <w:color w:val="auto"/>
              </w:rPr>
            </w:pPr>
            <w:r>
              <w:rPr>
                <w:rFonts w:hint="eastAsia"/>
                <w:color w:val="auto"/>
              </w:rPr>
              <w:t>□有，具体产品为：</w:t>
            </w:r>
          </w:p>
          <w:p w14:paraId="3E292134">
            <w:pPr>
              <w:ind w:firstLine="0" w:firstLineChars="0"/>
              <w:rPr>
                <w:color w:val="auto"/>
              </w:rPr>
            </w:pPr>
            <w:r>
              <w:rPr>
                <w:rFonts w:hint="eastAsia"/>
                <w:color w:val="auto"/>
              </w:rPr>
              <w:sym w:font="Wingdings 2" w:char="0052"/>
            </w:r>
            <w:r>
              <w:rPr>
                <w:rFonts w:hint="eastAsia"/>
                <w:color w:val="auto"/>
              </w:rPr>
              <w:t>无</w:t>
            </w:r>
          </w:p>
        </w:tc>
      </w:tr>
      <w:tr w14:paraId="005EA0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156" w:type="dxa"/>
            <w:tcBorders>
              <w:tl2br w:val="nil"/>
              <w:tr2bl w:val="nil"/>
            </w:tcBorders>
            <w:vAlign w:val="center"/>
          </w:tcPr>
          <w:p w14:paraId="4CC51350">
            <w:pPr>
              <w:ind w:firstLine="0" w:firstLineChars="0"/>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1.4.3</w:t>
            </w:r>
          </w:p>
        </w:tc>
        <w:tc>
          <w:tcPr>
            <w:tcW w:w="2055" w:type="dxa"/>
            <w:tcBorders>
              <w:tl2br w:val="nil"/>
              <w:tr2bl w:val="nil"/>
            </w:tcBorders>
            <w:vAlign w:val="center"/>
          </w:tcPr>
          <w:p w14:paraId="3F82BA9B">
            <w:pPr>
              <w:ind w:firstLine="0" w:firstLineChars="0"/>
              <w:rPr>
                <w:color w:val="auto"/>
              </w:rPr>
            </w:pPr>
            <w:r>
              <w:rPr>
                <w:rFonts w:hint="eastAsia"/>
                <w:color w:val="auto"/>
              </w:rPr>
              <w:t>是否允许联合体参加政府采购活动</w:t>
            </w:r>
          </w:p>
        </w:tc>
        <w:tc>
          <w:tcPr>
            <w:tcW w:w="6374" w:type="dxa"/>
            <w:tcBorders>
              <w:tl2br w:val="nil"/>
              <w:tr2bl w:val="nil"/>
            </w:tcBorders>
            <w:vAlign w:val="center"/>
          </w:tcPr>
          <w:p w14:paraId="153D9E48">
            <w:pPr>
              <w:ind w:firstLine="0" w:firstLineChars="0"/>
              <w:rPr>
                <w:color w:val="auto"/>
              </w:rPr>
            </w:pPr>
            <w:r>
              <w:rPr>
                <w:rFonts w:hint="eastAsia"/>
                <w:color w:val="auto"/>
              </w:rPr>
              <w:t>□是。以联合体形式参加的，联合协议中中小企业合同金额应当达到</w:t>
            </w:r>
            <w:r>
              <w:rPr>
                <w:rFonts w:hint="eastAsia"/>
                <w:color w:val="auto"/>
                <w:u w:val="single"/>
              </w:rPr>
              <w:t xml:space="preserve">     </w:t>
            </w:r>
            <w:r>
              <w:rPr>
                <w:rFonts w:hint="eastAsia"/>
                <w:color w:val="auto"/>
              </w:rPr>
              <w:t>%</w:t>
            </w:r>
          </w:p>
          <w:p w14:paraId="77EDFF0D">
            <w:pPr>
              <w:ind w:firstLine="0" w:firstLineChars="0"/>
              <w:rPr>
                <w:color w:val="auto"/>
              </w:rPr>
            </w:pPr>
            <w:r>
              <w:rPr>
                <w:rFonts w:hint="eastAsia"/>
                <w:color w:val="auto"/>
              </w:rPr>
              <w:sym w:font="Wingdings 2" w:char="0052"/>
            </w:r>
            <w:r>
              <w:rPr>
                <w:rFonts w:hint="eastAsia"/>
                <w:color w:val="auto"/>
              </w:rPr>
              <w:t>否</w:t>
            </w:r>
          </w:p>
        </w:tc>
      </w:tr>
      <w:tr w14:paraId="763A38F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156" w:type="dxa"/>
            <w:tcBorders>
              <w:tl2br w:val="nil"/>
              <w:tr2bl w:val="nil"/>
            </w:tcBorders>
            <w:vAlign w:val="center"/>
          </w:tcPr>
          <w:p w14:paraId="4934450D">
            <w:pPr>
              <w:ind w:firstLine="0" w:firstLineChars="0"/>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1.4.3.10</w:t>
            </w:r>
          </w:p>
        </w:tc>
        <w:tc>
          <w:tcPr>
            <w:tcW w:w="2055" w:type="dxa"/>
            <w:tcBorders>
              <w:tl2br w:val="nil"/>
              <w:tr2bl w:val="nil"/>
            </w:tcBorders>
            <w:vAlign w:val="center"/>
          </w:tcPr>
          <w:p w14:paraId="7549E7FA">
            <w:pPr>
              <w:ind w:firstLine="0" w:firstLineChars="0"/>
              <w:rPr>
                <w:color w:val="auto"/>
              </w:rPr>
            </w:pPr>
            <w:r>
              <w:rPr>
                <w:rFonts w:hint="eastAsia"/>
                <w:color w:val="auto"/>
              </w:rPr>
              <w:t>联合体的其他资格要求</w:t>
            </w:r>
          </w:p>
        </w:tc>
        <w:tc>
          <w:tcPr>
            <w:tcW w:w="6374" w:type="dxa"/>
            <w:tcBorders>
              <w:tl2br w:val="nil"/>
              <w:tr2bl w:val="nil"/>
            </w:tcBorders>
            <w:vAlign w:val="center"/>
          </w:tcPr>
          <w:p w14:paraId="2F554B65">
            <w:pPr>
              <w:ind w:firstLine="0" w:firstLineChars="0"/>
              <w:rPr>
                <w:color w:val="auto"/>
              </w:rPr>
            </w:pPr>
            <w:r>
              <w:rPr>
                <w:rFonts w:hint="eastAsia"/>
                <w:color w:val="auto"/>
              </w:rPr>
              <w:t>无</w:t>
            </w:r>
          </w:p>
        </w:tc>
      </w:tr>
      <w:tr w14:paraId="75D80F1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156" w:type="dxa"/>
            <w:tcBorders>
              <w:tl2br w:val="nil"/>
              <w:tr2bl w:val="nil"/>
            </w:tcBorders>
            <w:vAlign w:val="center"/>
          </w:tcPr>
          <w:p w14:paraId="32A8E67A">
            <w:pPr>
              <w:ind w:firstLine="0" w:firstLineChars="0"/>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1.7.1</w:t>
            </w:r>
          </w:p>
        </w:tc>
        <w:tc>
          <w:tcPr>
            <w:tcW w:w="2055" w:type="dxa"/>
            <w:tcBorders>
              <w:tl2br w:val="nil"/>
              <w:tr2bl w:val="nil"/>
            </w:tcBorders>
            <w:vAlign w:val="center"/>
          </w:tcPr>
          <w:p w14:paraId="149EA260">
            <w:pPr>
              <w:ind w:firstLine="0" w:firstLineChars="0"/>
              <w:rPr>
                <w:color w:val="auto"/>
              </w:rPr>
            </w:pPr>
            <w:r>
              <w:rPr>
                <w:rFonts w:hint="eastAsia"/>
                <w:color w:val="auto"/>
              </w:rPr>
              <w:t>现场考察、磋商前答疑会</w:t>
            </w:r>
          </w:p>
        </w:tc>
        <w:tc>
          <w:tcPr>
            <w:tcW w:w="6374" w:type="dxa"/>
            <w:tcBorders>
              <w:tl2br w:val="nil"/>
              <w:tr2bl w:val="nil"/>
            </w:tcBorders>
            <w:vAlign w:val="center"/>
          </w:tcPr>
          <w:p w14:paraId="24C7FE5D">
            <w:pPr>
              <w:ind w:firstLine="0" w:firstLineChars="0"/>
              <w:rPr>
                <w:color w:val="auto"/>
              </w:rPr>
            </w:pPr>
            <w:r>
              <w:rPr>
                <w:rFonts w:hint="eastAsia"/>
                <w:color w:val="auto"/>
              </w:rPr>
              <w:sym w:font="Wingdings 2" w:char="0052"/>
            </w:r>
            <w:r>
              <w:rPr>
                <w:rFonts w:hint="eastAsia"/>
                <w:color w:val="auto"/>
              </w:rPr>
              <w:t>不组织</w:t>
            </w:r>
          </w:p>
          <w:p w14:paraId="2776062F">
            <w:pPr>
              <w:ind w:firstLine="0" w:firstLineChars="0"/>
              <w:rPr>
                <w:color w:val="auto"/>
              </w:rPr>
            </w:pPr>
            <w:r>
              <w:rPr>
                <w:rFonts w:hint="eastAsia"/>
                <w:color w:val="auto"/>
              </w:rPr>
              <w:t>□组织</w:t>
            </w:r>
          </w:p>
        </w:tc>
      </w:tr>
      <w:tr w14:paraId="0DA7E0C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156" w:type="dxa"/>
            <w:tcBorders>
              <w:tl2br w:val="nil"/>
              <w:tr2bl w:val="nil"/>
            </w:tcBorders>
            <w:vAlign w:val="center"/>
          </w:tcPr>
          <w:p w14:paraId="7CC7D346">
            <w:pPr>
              <w:ind w:firstLine="0" w:firstLineChars="0"/>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1.8.1</w:t>
            </w:r>
          </w:p>
        </w:tc>
        <w:tc>
          <w:tcPr>
            <w:tcW w:w="2055" w:type="dxa"/>
            <w:tcBorders>
              <w:tl2br w:val="nil"/>
              <w:tr2bl w:val="nil"/>
            </w:tcBorders>
            <w:vAlign w:val="center"/>
          </w:tcPr>
          <w:p w14:paraId="19011041">
            <w:pPr>
              <w:ind w:firstLine="0" w:firstLineChars="0"/>
              <w:rPr>
                <w:color w:val="auto"/>
              </w:rPr>
            </w:pPr>
            <w:r>
              <w:rPr>
                <w:rFonts w:hint="eastAsia"/>
                <w:color w:val="auto"/>
              </w:rPr>
              <w:t>是否需要提供样品</w:t>
            </w:r>
          </w:p>
        </w:tc>
        <w:tc>
          <w:tcPr>
            <w:tcW w:w="6374" w:type="dxa"/>
            <w:tcBorders>
              <w:tl2br w:val="nil"/>
              <w:tr2bl w:val="nil"/>
            </w:tcBorders>
            <w:vAlign w:val="center"/>
          </w:tcPr>
          <w:p w14:paraId="58D94FC6">
            <w:pPr>
              <w:ind w:firstLine="0" w:firstLineChars="0"/>
              <w:rPr>
                <w:color w:val="auto"/>
              </w:rPr>
            </w:pPr>
            <w:r>
              <w:rPr>
                <w:rFonts w:hint="eastAsia"/>
                <w:color w:val="auto"/>
              </w:rPr>
              <w:t>□（是、否）</w:t>
            </w:r>
          </w:p>
          <w:p w14:paraId="23D647AE">
            <w:pPr>
              <w:rPr>
                <w:color w:val="auto"/>
              </w:rPr>
            </w:pPr>
            <w:r>
              <w:rPr>
                <w:rFonts w:hint="eastAsia"/>
                <w:color w:val="auto"/>
              </w:rPr>
              <w:t>提供样品要求包括：（样品的制作标准和要求、接收及退还，样品检测报告，检测机构、检测内容等内容）</w:t>
            </w:r>
          </w:p>
          <w:p w14:paraId="6E88B580">
            <w:pPr>
              <w:ind w:firstLine="0" w:firstLineChars="0"/>
              <w:rPr>
                <w:color w:val="auto"/>
              </w:rPr>
            </w:pPr>
            <w:r>
              <w:rPr>
                <w:rFonts w:hint="eastAsia"/>
                <w:color w:val="auto"/>
              </w:rPr>
              <w:sym w:font="Wingdings 2" w:char="0052"/>
            </w:r>
            <w:r>
              <w:rPr>
                <w:rFonts w:hint="eastAsia"/>
                <w:color w:val="auto"/>
              </w:rPr>
              <w:t>（否）</w:t>
            </w:r>
          </w:p>
        </w:tc>
      </w:tr>
      <w:tr w14:paraId="615EC1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156" w:type="dxa"/>
            <w:vMerge w:val="restart"/>
            <w:tcBorders>
              <w:tl2br w:val="nil"/>
              <w:tr2bl w:val="nil"/>
            </w:tcBorders>
            <w:vAlign w:val="center"/>
          </w:tcPr>
          <w:p w14:paraId="7C6797CC">
            <w:pPr>
              <w:ind w:firstLine="0" w:firstLineChars="0"/>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2.2.1</w:t>
            </w:r>
          </w:p>
        </w:tc>
        <w:tc>
          <w:tcPr>
            <w:tcW w:w="2055" w:type="dxa"/>
            <w:vMerge w:val="restart"/>
            <w:tcBorders>
              <w:tl2br w:val="nil"/>
              <w:tr2bl w:val="nil"/>
            </w:tcBorders>
            <w:vAlign w:val="center"/>
          </w:tcPr>
          <w:p w14:paraId="2D3754F6">
            <w:pPr>
              <w:ind w:firstLine="0" w:firstLineChars="0"/>
              <w:rPr>
                <w:color w:val="auto"/>
              </w:rPr>
            </w:pPr>
            <w:r>
              <w:rPr>
                <w:rFonts w:hint="eastAsia"/>
                <w:color w:val="auto"/>
              </w:rPr>
              <w:t>供应商对采购文件提出疑问的截止时间</w:t>
            </w:r>
          </w:p>
        </w:tc>
        <w:tc>
          <w:tcPr>
            <w:tcW w:w="6374" w:type="dxa"/>
            <w:tcBorders>
              <w:tl2br w:val="nil"/>
              <w:tr2bl w:val="nil"/>
            </w:tcBorders>
            <w:vAlign w:val="center"/>
          </w:tcPr>
          <w:p w14:paraId="3EC331EA">
            <w:pPr>
              <w:ind w:firstLine="0" w:firstLineChars="0"/>
              <w:rPr>
                <w:color w:val="auto"/>
              </w:rPr>
            </w:pPr>
            <w:r>
              <w:rPr>
                <w:rFonts w:hint="eastAsia"/>
                <w:color w:val="auto"/>
              </w:rPr>
              <w:t>时间：提交首次响应文件截止时间5日前</w:t>
            </w:r>
          </w:p>
        </w:tc>
      </w:tr>
      <w:tr w14:paraId="791248A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1156" w:type="dxa"/>
            <w:vMerge w:val="continue"/>
            <w:tcBorders>
              <w:tl2br w:val="nil"/>
              <w:tr2bl w:val="nil"/>
            </w:tcBorders>
            <w:vAlign w:val="center"/>
          </w:tcPr>
          <w:p w14:paraId="0B43E00C">
            <w:pPr>
              <w:jc w:val="center"/>
              <w:rPr>
                <w:rFonts w:hint="eastAsia" w:asciiTheme="minorEastAsia" w:hAnsiTheme="minorEastAsia" w:eastAsiaTheme="minorEastAsia" w:cstheme="minorEastAsia"/>
                <w:color w:val="auto"/>
                <w:szCs w:val="21"/>
              </w:rPr>
            </w:pPr>
          </w:p>
        </w:tc>
        <w:tc>
          <w:tcPr>
            <w:tcW w:w="2055" w:type="dxa"/>
            <w:vMerge w:val="continue"/>
            <w:tcBorders>
              <w:tl2br w:val="nil"/>
              <w:tr2bl w:val="nil"/>
            </w:tcBorders>
            <w:vAlign w:val="center"/>
          </w:tcPr>
          <w:p w14:paraId="45F6F27E">
            <w:pPr>
              <w:rPr>
                <w:color w:val="auto"/>
              </w:rPr>
            </w:pPr>
          </w:p>
        </w:tc>
        <w:tc>
          <w:tcPr>
            <w:tcW w:w="6374" w:type="dxa"/>
            <w:tcBorders>
              <w:tl2br w:val="nil"/>
              <w:tr2bl w:val="nil"/>
            </w:tcBorders>
            <w:vAlign w:val="center"/>
          </w:tcPr>
          <w:p w14:paraId="2DC1A637">
            <w:pPr>
              <w:ind w:firstLine="0" w:firstLineChars="0"/>
              <w:rPr>
                <w:color w:val="auto"/>
              </w:rPr>
            </w:pPr>
            <w:r>
              <w:rPr>
                <w:rFonts w:hint="eastAsia"/>
                <w:color w:val="auto"/>
              </w:rPr>
              <w:t>形式：在河南省公共资源交易中心电子交易平台进行提问，同时将问题的电子版（附加盖公章的扫描件和可编辑的Word电子版）上传。</w:t>
            </w:r>
          </w:p>
        </w:tc>
      </w:tr>
      <w:tr w14:paraId="0E70147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56" w:type="dxa"/>
            <w:tcBorders>
              <w:tl2br w:val="nil"/>
              <w:tr2bl w:val="nil"/>
            </w:tcBorders>
            <w:vAlign w:val="center"/>
          </w:tcPr>
          <w:p w14:paraId="4D7ACD45">
            <w:pPr>
              <w:ind w:firstLine="0" w:firstLineChars="0"/>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2.2.3</w:t>
            </w:r>
          </w:p>
        </w:tc>
        <w:tc>
          <w:tcPr>
            <w:tcW w:w="2055" w:type="dxa"/>
            <w:tcBorders>
              <w:tl2br w:val="nil"/>
              <w:tr2bl w:val="nil"/>
            </w:tcBorders>
            <w:vAlign w:val="center"/>
          </w:tcPr>
          <w:p w14:paraId="7B21A15C">
            <w:pPr>
              <w:ind w:firstLine="0" w:firstLineChars="0"/>
              <w:rPr>
                <w:color w:val="auto"/>
              </w:rPr>
            </w:pPr>
            <w:r>
              <w:rPr>
                <w:rFonts w:hint="eastAsia"/>
                <w:color w:val="auto"/>
              </w:rPr>
              <w:t>采购人书面澄清采购文件的时间</w:t>
            </w:r>
          </w:p>
        </w:tc>
        <w:tc>
          <w:tcPr>
            <w:tcW w:w="6374" w:type="dxa"/>
            <w:tcBorders>
              <w:tl2br w:val="nil"/>
              <w:tr2bl w:val="nil"/>
            </w:tcBorders>
            <w:vAlign w:val="center"/>
          </w:tcPr>
          <w:p w14:paraId="543849B2">
            <w:pPr>
              <w:ind w:firstLine="0" w:firstLineChars="0"/>
              <w:rPr>
                <w:color w:val="auto"/>
              </w:rPr>
            </w:pPr>
            <w:r>
              <w:rPr>
                <w:rFonts w:hint="eastAsia"/>
                <w:color w:val="auto"/>
              </w:rPr>
              <w:t>澄清或者修改的内容可能影响响应文件编制的，将在递交首次响应文件截止时间至少5日前（不足5日的应该顺延首次递交时间），以书面形式在河南省公共资源交易中心电子交易平台上发出。</w:t>
            </w:r>
          </w:p>
        </w:tc>
      </w:tr>
      <w:tr w14:paraId="746D1E1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56" w:type="dxa"/>
            <w:tcBorders>
              <w:tl2br w:val="nil"/>
              <w:tr2bl w:val="nil"/>
            </w:tcBorders>
            <w:vAlign w:val="center"/>
          </w:tcPr>
          <w:p w14:paraId="7CCF1603">
            <w:pPr>
              <w:ind w:firstLine="0" w:firstLineChars="0"/>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3.1.1</w:t>
            </w:r>
          </w:p>
        </w:tc>
        <w:tc>
          <w:tcPr>
            <w:tcW w:w="2055" w:type="dxa"/>
            <w:tcBorders>
              <w:tl2br w:val="nil"/>
              <w:tr2bl w:val="nil"/>
            </w:tcBorders>
            <w:vAlign w:val="center"/>
          </w:tcPr>
          <w:p w14:paraId="2F8C750A">
            <w:pPr>
              <w:ind w:firstLine="0" w:firstLineChars="0"/>
              <w:rPr>
                <w:color w:val="auto"/>
              </w:rPr>
            </w:pPr>
            <w:r>
              <w:rPr>
                <w:rFonts w:hint="eastAsia"/>
                <w:color w:val="auto"/>
              </w:rPr>
              <w:t>供应商参加不同包或标段采购活动的权利</w:t>
            </w:r>
            <w:r>
              <w:rPr>
                <w:rFonts w:hint="eastAsia"/>
                <w:color w:val="auto"/>
                <w:kern w:val="0"/>
                <w:lang w:val="zh-CN"/>
              </w:rPr>
              <w:t>（如需）</w:t>
            </w:r>
          </w:p>
        </w:tc>
        <w:tc>
          <w:tcPr>
            <w:tcW w:w="6374" w:type="dxa"/>
            <w:tcBorders>
              <w:tl2br w:val="nil"/>
              <w:tr2bl w:val="nil"/>
            </w:tcBorders>
            <w:vAlign w:val="center"/>
          </w:tcPr>
          <w:p w14:paraId="3A72D587">
            <w:pPr>
              <w:pStyle w:val="177"/>
              <w:rPr>
                <w:rFonts w:hint="eastAsia"/>
                <w:color w:val="auto"/>
              </w:rPr>
            </w:pPr>
            <w:r>
              <w:rPr>
                <w:rFonts w:hint="eastAsia"/>
                <w:color w:val="auto"/>
              </w:rPr>
              <w:t>如供应商可以参加</w:t>
            </w:r>
            <w:r>
              <w:rPr>
                <w:rFonts w:hint="eastAsia"/>
                <w:color w:val="auto"/>
                <w:u w:val="single"/>
              </w:rPr>
              <w:t xml:space="preserve">  /  </w:t>
            </w:r>
            <w:r>
              <w:rPr>
                <w:rFonts w:hint="eastAsia"/>
                <w:color w:val="auto"/>
              </w:rPr>
              <w:t>个包，可以成交</w:t>
            </w:r>
            <w:r>
              <w:rPr>
                <w:rFonts w:hint="eastAsia"/>
                <w:color w:val="auto"/>
                <w:u w:val="single"/>
              </w:rPr>
              <w:t xml:space="preserve">  /  </w:t>
            </w:r>
            <w:r>
              <w:rPr>
                <w:rFonts w:hint="eastAsia"/>
                <w:color w:val="auto"/>
              </w:rPr>
              <w:t>个包。</w:t>
            </w:r>
          </w:p>
          <w:p w14:paraId="62766E2A">
            <w:pPr>
              <w:rPr>
                <w:color w:val="auto"/>
              </w:rPr>
            </w:pPr>
            <w:r>
              <w:rPr>
                <w:rFonts w:hint="eastAsia"/>
                <w:color w:val="auto"/>
              </w:rPr>
              <w:t>根据评审时包号的先后顺序进行评审并推荐成交候选人，已被推荐为第一成交候选人的供应商，后续包不再推荐。</w:t>
            </w:r>
          </w:p>
        </w:tc>
      </w:tr>
      <w:tr w14:paraId="409CF7A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56" w:type="dxa"/>
            <w:tcBorders>
              <w:tl2br w:val="nil"/>
              <w:tr2bl w:val="nil"/>
            </w:tcBorders>
            <w:vAlign w:val="center"/>
          </w:tcPr>
          <w:p w14:paraId="19285A95">
            <w:pPr>
              <w:ind w:firstLine="0" w:firstLineChars="0"/>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3.2.3</w:t>
            </w:r>
          </w:p>
        </w:tc>
        <w:tc>
          <w:tcPr>
            <w:tcW w:w="2055" w:type="dxa"/>
            <w:tcBorders>
              <w:tl2br w:val="nil"/>
              <w:tr2bl w:val="nil"/>
            </w:tcBorders>
            <w:vAlign w:val="center"/>
          </w:tcPr>
          <w:p w14:paraId="3C27D448">
            <w:pPr>
              <w:ind w:firstLine="0" w:firstLineChars="0"/>
              <w:rPr>
                <w:color w:val="auto"/>
              </w:rPr>
            </w:pPr>
            <w:r>
              <w:rPr>
                <w:rFonts w:hint="eastAsia"/>
                <w:color w:val="auto"/>
              </w:rPr>
              <w:t>签字和盖章要求</w:t>
            </w:r>
          </w:p>
        </w:tc>
        <w:tc>
          <w:tcPr>
            <w:tcW w:w="6374" w:type="dxa"/>
            <w:tcBorders>
              <w:tl2br w:val="nil"/>
              <w:tr2bl w:val="nil"/>
            </w:tcBorders>
            <w:vAlign w:val="center"/>
          </w:tcPr>
          <w:p w14:paraId="5F0792F0">
            <w:pPr>
              <w:ind w:firstLine="0" w:firstLineChars="0"/>
              <w:rPr>
                <w:color w:val="auto"/>
              </w:rPr>
            </w:pPr>
            <w:r>
              <w:rPr>
                <w:rFonts w:hint="eastAsia"/>
                <w:color w:val="auto"/>
              </w:rPr>
              <w:t>按照磋商文件的要求进行签字或盖章。</w:t>
            </w:r>
          </w:p>
        </w:tc>
      </w:tr>
      <w:tr w14:paraId="0DCB749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56" w:type="dxa"/>
            <w:tcBorders>
              <w:tl2br w:val="nil"/>
              <w:tr2bl w:val="nil"/>
            </w:tcBorders>
            <w:vAlign w:val="center"/>
          </w:tcPr>
          <w:p w14:paraId="60D57BD0">
            <w:pPr>
              <w:ind w:firstLine="0" w:firstLineChars="0"/>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3.4.1</w:t>
            </w:r>
          </w:p>
        </w:tc>
        <w:tc>
          <w:tcPr>
            <w:tcW w:w="2055" w:type="dxa"/>
            <w:tcBorders>
              <w:tl2br w:val="nil"/>
              <w:tr2bl w:val="nil"/>
            </w:tcBorders>
            <w:vAlign w:val="center"/>
          </w:tcPr>
          <w:p w14:paraId="78FBB29A">
            <w:pPr>
              <w:rPr>
                <w:color w:val="auto"/>
              </w:rPr>
            </w:pPr>
            <w:r>
              <w:rPr>
                <w:rFonts w:hint="eastAsia"/>
                <w:color w:val="auto"/>
              </w:rPr>
              <w:t>响应报价</w:t>
            </w:r>
          </w:p>
        </w:tc>
        <w:tc>
          <w:tcPr>
            <w:tcW w:w="6374" w:type="dxa"/>
            <w:tcBorders>
              <w:tl2br w:val="nil"/>
              <w:tr2bl w:val="nil"/>
            </w:tcBorders>
            <w:vAlign w:val="center"/>
          </w:tcPr>
          <w:p w14:paraId="6AFFA831">
            <w:pPr>
              <w:ind w:firstLine="0" w:firstLineChars="0"/>
              <w:rPr>
                <w:color w:val="auto"/>
              </w:rPr>
            </w:pPr>
            <w:r>
              <w:rPr>
                <w:rFonts w:hint="eastAsia"/>
                <w:color w:val="auto"/>
              </w:rPr>
              <w:t>（1）磋商报价：本项目实施完成价（包括：保险费、实施、相关服务费、税费和相关费用等完成此项目的所有费用。）</w:t>
            </w:r>
          </w:p>
          <w:p w14:paraId="6CE44F84">
            <w:pPr>
              <w:ind w:firstLine="0" w:firstLineChars="0"/>
              <w:rPr>
                <w:color w:val="auto"/>
              </w:rPr>
            </w:pPr>
            <w:r>
              <w:rPr>
                <w:rFonts w:hint="eastAsia"/>
                <w:color w:val="auto"/>
              </w:rPr>
              <w:t>（2）相关费用：采购代理服务费。</w:t>
            </w:r>
          </w:p>
        </w:tc>
      </w:tr>
      <w:tr w14:paraId="37033A1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56" w:type="dxa"/>
            <w:tcBorders>
              <w:tl2br w:val="nil"/>
              <w:tr2bl w:val="nil"/>
            </w:tcBorders>
            <w:vAlign w:val="center"/>
          </w:tcPr>
          <w:p w14:paraId="51438AA8">
            <w:pPr>
              <w:ind w:firstLine="0" w:firstLineChars="0"/>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3.5</w:t>
            </w:r>
          </w:p>
        </w:tc>
        <w:tc>
          <w:tcPr>
            <w:tcW w:w="2055" w:type="dxa"/>
            <w:tcBorders>
              <w:tl2br w:val="nil"/>
              <w:tr2bl w:val="nil"/>
            </w:tcBorders>
            <w:vAlign w:val="center"/>
          </w:tcPr>
          <w:p w14:paraId="272B40C6">
            <w:pPr>
              <w:rPr>
                <w:color w:val="auto"/>
              </w:rPr>
            </w:pPr>
            <w:r>
              <w:rPr>
                <w:rFonts w:hint="eastAsia"/>
                <w:color w:val="auto"/>
              </w:rPr>
              <w:t>磋商保证金</w:t>
            </w:r>
          </w:p>
        </w:tc>
        <w:tc>
          <w:tcPr>
            <w:tcW w:w="6374" w:type="dxa"/>
            <w:tcBorders>
              <w:tl2br w:val="nil"/>
              <w:tr2bl w:val="nil"/>
            </w:tcBorders>
            <w:vAlign w:val="center"/>
          </w:tcPr>
          <w:p w14:paraId="4160BB6E">
            <w:pPr>
              <w:ind w:firstLine="0" w:firstLineChars="0"/>
              <w:rPr>
                <w:color w:val="auto"/>
              </w:rPr>
            </w:pPr>
            <w:r>
              <w:rPr>
                <w:rFonts w:hint="eastAsia"/>
                <w:color w:val="auto"/>
              </w:rPr>
              <w:t>参加本项目采购活动的供应商无需提交磋商保证金</w:t>
            </w:r>
          </w:p>
        </w:tc>
      </w:tr>
      <w:tr w14:paraId="5EF5A74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56" w:type="dxa"/>
            <w:tcBorders>
              <w:tl2br w:val="nil"/>
              <w:tr2bl w:val="nil"/>
            </w:tcBorders>
            <w:vAlign w:val="center"/>
          </w:tcPr>
          <w:p w14:paraId="11D830A4">
            <w:pPr>
              <w:ind w:firstLine="0" w:firstLineChars="0"/>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3.6.1</w:t>
            </w:r>
          </w:p>
        </w:tc>
        <w:tc>
          <w:tcPr>
            <w:tcW w:w="2055" w:type="dxa"/>
            <w:tcBorders>
              <w:tl2br w:val="nil"/>
              <w:tr2bl w:val="nil"/>
            </w:tcBorders>
            <w:vAlign w:val="center"/>
          </w:tcPr>
          <w:p w14:paraId="2DCEC478">
            <w:pPr>
              <w:ind w:firstLine="0" w:firstLineChars="0"/>
              <w:rPr>
                <w:color w:val="auto"/>
              </w:rPr>
            </w:pPr>
            <w:r>
              <w:rPr>
                <w:rFonts w:hint="eastAsia"/>
                <w:color w:val="auto"/>
              </w:rPr>
              <w:t>响应文件有效期</w:t>
            </w:r>
          </w:p>
        </w:tc>
        <w:tc>
          <w:tcPr>
            <w:tcW w:w="6374" w:type="dxa"/>
            <w:tcBorders>
              <w:tl2br w:val="nil"/>
              <w:tr2bl w:val="nil"/>
            </w:tcBorders>
            <w:vAlign w:val="center"/>
          </w:tcPr>
          <w:p w14:paraId="7053EE9B">
            <w:pPr>
              <w:ind w:firstLine="0" w:firstLineChars="0"/>
              <w:rPr>
                <w:color w:val="auto"/>
              </w:rPr>
            </w:pPr>
            <w:r>
              <w:rPr>
                <w:rFonts w:hint="eastAsia"/>
                <w:color w:val="auto"/>
              </w:rPr>
              <w:t>提交响应文件截止之日起</w:t>
            </w:r>
            <w:r>
              <w:rPr>
                <w:rFonts w:hint="eastAsia"/>
                <w:color w:val="auto"/>
                <w:u w:val="single"/>
              </w:rPr>
              <w:t>90</w:t>
            </w:r>
            <w:r>
              <w:rPr>
                <w:rFonts w:hint="eastAsia"/>
                <w:color w:val="auto"/>
              </w:rPr>
              <w:t>日历天</w:t>
            </w:r>
          </w:p>
        </w:tc>
      </w:tr>
      <w:tr w14:paraId="6B86A4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56" w:type="dxa"/>
            <w:vMerge w:val="restart"/>
            <w:tcBorders>
              <w:tl2br w:val="nil"/>
              <w:tr2bl w:val="nil"/>
            </w:tcBorders>
            <w:vAlign w:val="center"/>
          </w:tcPr>
          <w:p w14:paraId="111FD32C">
            <w:pPr>
              <w:ind w:firstLine="0" w:firstLineChars="0"/>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4.2.1</w:t>
            </w:r>
          </w:p>
        </w:tc>
        <w:tc>
          <w:tcPr>
            <w:tcW w:w="2055" w:type="dxa"/>
            <w:vMerge w:val="restart"/>
            <w:tcBorders>
              <w:tl2br w:val="nil"/>
              <w:tr2bl w:val="nil"/>
            </w:tcBorders>
            <w:vAlign w:val="center"/>
          </w:tcPr>
          <w:p w14:paraId="0CF4FA2E">
            <w:pPr>
              <w:ind w:firstLine="0" w:firstLineChars="0"/>
              <w:rPr>
                <w:color w:val="auto"/>
              </w:rPr>
            </w:pPr>
            <w:r>
              <w:rPr>
                <w:rFonts w:hint="eastAsia"/>
                <w:color w:val="auto"/>
              </w:rPr>
              <w:t>响应文件提交截止时间</w:t>
            </w:r>
          </w:p>
        </w:tc>
        <w:tc>
          <w:tcPr>
            <w:tcW w:w="6374" w:type="dxa"/>
            <w:tcBorders>
              <w:tl2br w:val="nil"/>
              <w:tr2bl w:val="nil"/>
            </w:tcBorders>
            <w:vAlign w:val="center"/>
          </w:tcPr>
          <w:p w14:paraId="2D2E7D38">
            <w:pPr>
              <w:ind w:firstLine="0" w:firstLineChars="0"/>
              <w:rPr>
                <w:color w:val="auto"/>
              </w:rPr>
            </w:pPr>
            <w:r>
              <w:rPr>
                <w:rFonts w:hint="eastAsia"/>
                <w:color w:val="auto"/>
                <w:lang w:val="zh-CN"/>
              </w:rPr>
              <w:t>截止</w:t>
            </w:r>
            <w:r>
              <w:rPr>
                <w:rFonts w:hint="eastAsia"/>
                <w:color w:val="auto"/>
                <w:highlight w:val="none"/>
                <w:lang w:val="zh-CN"/>
              </w:rPr>
              <w:t>时间：</w:t>
            </w:r>
            <w:r>
              <w:rPr>
                <w:rFonts w:hint="eastAsia"/>
                <w:color w:val="auto"/>
                <w:highlight w:val="none"/>
                <w:lang w:val="en-US" w:eastAsia="zh-CN"/>
              </w:rPr>
              <w:t>2026年04月07日</w:t>
            </w:r>
            <w:r>
              <w:rPr>
                <w:rFonts w:hint="eastAsia"/>
                <w:color w:val="auto"/>
                <w:highlight w:val="none"/>
                <w:lang w:val="zh-CN"/>
              </w:rPr>
              <w:t xml:space="preserve"> 9时 00 分（北京时间）</w:t>
            </w:r>
          </w:p>
        </w:tc>
      </w:tr>
      <w:tr w14:paraId="7FFA650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56" w:type="dxa"/>
            <w:vMerge w:val="continue"/>
            <w:tcBorders>
              <w:tl2br w:val="nil"/>
              <w:tr2bl w:val="nil"/>
            </w:tcBorders>
            <w:vAlign w:val="center"/>
          </w:tcPr>
          <w:p w14:paraId="27586CCB">
            <w:pPr>
              <w:jc w:val="center"/>
              <w:rPr>
                <w:rFonts w:hint="eastAsia" w:asciiTheme="minorEastAsia" w:hAnsiTheme="minorEastAsia" w:eastAsiaTheme="minorEastAsia" w:cstheme="minorEastAsia"/>
                <w:color w:val="auto"/>
                <w:szCs w:val="21"/>
              </w:rPr>
            </w:pPr>
          </w:p>
        </w:tc>
        <w:tc>
          <w:tcPr>
            <w:tcW w:w="2055" w:type="dxa"/>
            <w:vMerge w:val="continue"/>
            <w:tcBorders>
              <w:tl2br w:val="nil"/>
              <w:tr2bl w:val="nil"/>
            </w:tcBorders>
            <w:vAlign w:val="center"/>
          </w:tcPr>
          <w:p w14:paraId="0652621E">
            <w:pPr>
              <w:rPr>
                <w:color w:val="auto"/>
              </w:rPr>
            </w:pPr>
          </w:p>
        </w:tc>
        <w:tc>
          <w:tcPr>
            <w:tcW w:w="6374" w:type="dxa"/>
            <w:tcBorders>
              <w:tl2br w:val="nil"/>
              <w:tr2bl w:val="nil"/>
            </w:tcBorders>
            <w:vAlign w:val="center"/>
          </w:tcPr>
          <w:p w14:paraId="218ADF7C">
            <w:pPr>
              <w:pStyle w:val="177"/>
              <w:rPr>
                <w:rFonts w:hint="eastAsia"/>
                <w:color w:val="auto"/>
              </w:rPr>
            </w:pPr>
            <w:r>
              <w:rPr>
                <w:rFonts w:hint="eastAsia"/>
                <w:color w:val="auto"/>
              </w:rPr>
              <w:t>递交方式和份数：</w:t>
            </w:r>
          </w:p>
          <w:p w14:paraId="67AC4F91">
            <w:pPr>
              <w:pStyle w:val="177"/>
              <w:rPr>
                <w:rFonts w:hint="eastAsia"/>
                <w:color w:val="auto"/>
              </w:rPr>
            </w:pPr>
            <w:r>
              <w:rPr>
                <w:rFonts w:hint="eastAsia"/>
                <w:color w:val="auto"/>
              </w:rPr>
              <w:t>1.加密的电子响应文件壹份</w:t>
            </w:r>
          </w:p>
          <w:p w14:paraId="58755E5E">
            <w:pPr>
              <w:pStyle w:val="177"/>
              <w:rPr>
                <w:rFonts w:hint="eastAsia"/>
                <w:color w:val="auto"/>
              </w:rPr>
            </w:pPr>
            <w:r>
              <w:rPr>
                <w:rFonts w:hint="eastAsia"/>
                <w:color w:val="auto"/>
              </w:rPr>
              <w:t>2.响应文件制作要求按交易系统要求编制。</w:t>
            </w:r>
          </w:p>
          <w:p w14:paraId="29B21D2F">
            <w:pPr>
              <w:pStyle w:val="177"/>
              <w:rPr>
                <w:rFonts w:hint="eastAsia"/>
                <w:color w:val="auto"/>
              </w:rPr>
            </w:pPr>
            <w:r>
              <w:rPr>
                <w:rFonts w:hint="eastAsia"/>
                <w:color w:val="auto"/>
              </w:rPr>
              <w:t>3.采购文件格式所要求包含的全部资料应全部制作在响应文件内，严格按照本项目采购文件所有格式如实填写（不涉及的内容除外），不应存在漏项或缺项，否则将存在响应性文件被拒绝的风险。</w:t>
            </w:r>
          </w:p>
          <w:p w14:paraId="3116502B">
            <w:pPr>
              <w:pStyle w:val="177"/>
              <w:rPr>
                <w:rFonts w:hint="eastAsia"/>
                <w:color w:val="auto"/>
              </w:rPr>
            </w:pPr>
            <w:r>
              <w:rPr>
                <w:rFonts w:hint="eastAsia"/>
                <w:color w:val="auto"/>
              </w:rPr>
              <w:t>4.响应性文件以外的任何资料采购人和招标代理机构将拒收。</w:t>
            </w:r>
          </w:p>
          <w:p w14:paraId="400E4F06">
            <w:pPr>
              <w:pStyle w:val="177"/>
              <w:rPr>
                <w:rFonts w:hint="eastAsia"/>
                <w:color w:val="auto"/>
              </w:rPr>
            </w:pPr>
            <w:r>
              <w:rPr>
                <w:rFonts w:hint="eastAsia"/>
                <w:color w:val="auto"/>
              </w:rPr>
              <w:t>5.成交供应商在领取成交通知书时，向代理机构提交叁份与上传交易系统内容一致的纸质版响应文件。</w:t>
            </w:r>
          </w:p>
        </w:tc>
      </w:tr>
      <w:tr w14:paraId="04CDCE3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56" w:type="dxa"/>
            <w:tcBorders>
              <w:tl2br w:val="nil"/>
              <w:tr2bl w:val="nil"/>
            </w:tcBorders>
            <w:vAlign w:val="center"/>
          </w:tcPr>
          <w:p w14:paraId="4401D0AC">
            <w:pPr>
              <w:pStyle w:val="177"/>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5.1.1</w:t>
            </w:r>
          </w:p>
        </w:tc>
        <w:tc>
          <w:tcPr>
            <w:tcW w:w="2055" w:type="dxa"/>
            <w:tcBorders>
              <w:tl2br w:val="nil"/>
              <w:tr2bl w:val="nil"/>
            </w:tcBorders>
            <w:vAlign w:val="center"/>
          </w:tcPr>
          <w:p w14:paraId="14AF3353">
            <w:pPr>
              <w:pStyle w:val="177"/>
              <w:rPr>
                <w:rFonts w:hint="eastAsia"/>
                <w:color w:val="auto"/>
              </w:rPr>
            </w:pPr>
            <w:r>
              <w:rPr>
                <w:rFonts w:hint="eastAsia"/>
                <w:color w:val="auto"/>
              </w:rPr>
              <w:t>磋商会议时间、地点</w:t>
            </w:r>
          </w:p>
        </w:tc>
        <w:tc>
          <w:tcPr>
            <w:tcW w:w="6374" w:type="dxa"/>
            <w:tcBorders>
              <w:tl2br w:val="nil"/>
              <w:tr2bl w:val="nil"/>
            </w:tcBorders>
            <w:vAlign w:val="center"/>
          </w:tcPr>
          <w:p w14:paraId="2050ACA7">
            <w:pPr>
              <w:pStyle w:val="177"/>
              <w:rPr>
                <w:rFonts w:hint="eastAsia"/>
                <w:color w:val="auto"/>
              </w:rPr>
            </w:pPr>
            <w:r>
              <w:rPr>
                <w:rFonts w:hint="eastAsia"/>
                <w:color w:val="auto"/>
              </w:rPr>
              <w:t>磋商会议开始时间：同响应文件提交截止时间；</w:t>
            </w:r>
          </w:p>
          <w:p w14:paraId="51FC50AB">
            <w:pPr>
              <w:pStyle w:val="177"/>
              <w:rPr>
                <w:rFonts w:hint="eastAsia"/>
                <w:color w:val="auto"/>
              </w:rPr>
            </w:pPr>
            <w:r>
              <w:rPr>
                <w:rFonts w:hint="eastAsia"/>
                <w:color w:val="auto"/>
              </w:rPr>
              <w:t>地点：</w:t>
            </w:r>
            <w:r>
              <w:rPr>
                <w:rFonts w:hint="eastAsia"/>
                <w:snapToGrid w:val="0"/>
                <w:color w:val="auto"/>
              </w:rPr>
              <w:t>河南省公共资源交易中心远程开标室(二)-6</w:t>
            </w:r>
          </w:p>
          <w:p w14:paraId="57AF8D55">
            <w:pPr>
              <w:pStyle w:val="177"/>
              <w:rPr>
                <w:rFonts w:hint="eastAsia"/>
                <w:color w:val="auto"/>
              </w:rPr>
            </w:pPr>
            <w:r>
              <w:rPr>
                <w:rFonts w:hint="eastAsia"/>
                <w:color w:val="auto"/>
              </w:rPr>
              <w:t>供应商是否现场参加磋商会议：</w:t>
            </w:r>
            <w:r>
              <w:rPr>
                <w:rFonts w:hint="eastAsia"/>
                <w:color w:val="auto"/>
                <w:u w:val="single"/>
              </w:rPr>
              <w:t>否，远程</w:t>
            </w:r>
          </w:p>
        </w:tc>
      </w:tr>
      <w:tr w14:paraId="695D18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56" w:type="dxa"/>
            <w:tcBorders>
              <w:tl2br w:val="nil"/>
              <w:tr2bl w:val="nil"/>
            </w:tcBorders>
            <w:vAlign w:val="center"/>
          </w:tcPr>
          <w:p w14:paraId="666D1A1A">
            <w:pPr>
              <w:pStyle w:val="177"/>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5.1.2</w:t>
            </w:r>
          </w:p>
        </w:tc>
        <w:tc>
          <w:tcPr>
            <w:tcW w:w="2055" w:type="dxa"/>
            <w:tcBorders>
              <w:tl2br w:val="nil"/>
              <w:tr2bl w:val="nil"/>
            </w:tcBorders>
            <w:vAlign w:val="center"/>
          </w:tcPr>
          <w:p w14:paraId="028F3689">
            <w:pPr>
              <w:pStyle w:val="177"/>
              <w:rPr>
                <w:rFonts w:hint="eastAsia"/>
                <w:color w:val="auto"/>
              </w:rPr>
            </w:pPr>
            <w:r>
              <w:rPr>
                <w:rFonts w:hint="eastAsia"/>
                <w:color w:val="auto"/>
              </w:rPr>
              <w:t>电子响应文件解密时间</w:t>
            </w:r>
          </w:p>
        </w:tc>
        <w:tc>
          <w:tcPr>
            <w:tcW w:w="6374" w:type="dxa"/>
            <w:tcBorders>
              <w:tl2br w:val="nil"/>
              <w:tr2bl w:val="nil"/>
            </w:tcBorders>
            <w:vAlign w:val="center"/>
          </w:tcPr>
          <w:p w14:paraId="4B2BC623">
            <w:pPr>
              <w:pStyle w:val="177"/>
              <w:rPr>
                <w:rFonts w:hint="eastAsia"/>
                <w:color w:val="auto"/>
              </w:rPr>
            </w:pPr>
            <w:r>
              <w:rPr>
                <w:rFonts w:hint="eastAsia"/>
                <w:color w:val="auto"/>
              </w:rPr>
              <w:t>响应文件的解密开启：按交易中心系统指示操作</w:t>
            </w:r>
          </w:p>
        </w:tc>
      </w:tr>
      <w:tr w14:paraId="0E904E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56" w:type="dxa"/>
            <w:tcBorders>
              <w:tl2br w:val="nil"/>
              <w:tr2bl w:val="nil"/>
            </w:tcBorders>
            <w:vAlign w:val="center"/>
          </w:tcPr>
          <w:p w14:paraId="33833F39">
            <w:pPr>
              <w:pStyle w:val="177"/>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5.2.2</w:t>
            </w:r>
          </w:p>
        </w:tc>
        <w:tc>
          <w:tcPr>
            <w:tcW w:w="2055" w:type="dxa"/>
            <w:tcBorders>
              <w:tl2br w:val="nil"/>
              <w:tr2bl w:val="nil"/>
            </w:tcBorders>
            <w:vAlign w:val="center"/>
          </w:tcPr>
          <w:p w14:paraId="4D1D466C">
            <w:pPr>
              <w:pStyle w:val="177"/>
              <w:jc w:val="center"/>
              <w:rPr>
                <w:rFonts w:hint="eastAsia"/>
                <w:color w:val="auto"/>
              </w:rPr>
            </w:pPr>
            <w:r>
              <w:rPr>
                <w:rFonts w:hint="eastAsia"/>
                <w:color w:val="auto"/>
              </w:rPr>
              <w:t>磋商小组组成</w:t>
            </w:r>
          </w:p>
        </w:tc>
        <w:tc>
          <w:tcPr>
            <w:tcW w:w="6374" w:type="dxa"/>
            <w:tcBorders>
              <w:tl2br w:val="nil"/>
              <w:tr2bl w:val="nil"/>
            </w:tcBorders>
            <w:vAlign w:val="center"/>
          </w:tcPr>
          <w:p w14:paraId="77237978">
            <w:pPr>
              <w:pStyle w:val="177"/>
              <w:rPr>
                <w:rFonts w:hint="eastAsia"/>
                <w:color w:val="auto"/>
              </w:rPr>
            </w:pPr>
            <w:r>
              <w:rPr>
                <w:rFonts w:hint="eastAsia"/>
                <w:color w:val="auto"/>
              </w:rPr>
              <w:t>磋商小组的组建：由经济、技术专家和采购人代表</w:t>
            </w:r>
            <w:r>
              <w:rPr>
                <w:rFonts w:hint="eastAsia"/>
                <w:color w:val="auto"/>
                <w:u w:val="single"/>
              </w:rPr>
              <w:t xml:space="preserve"> 3 </w:t>
            </w:r>
            <w:r>
              <w:rPr>
                <w:rFonts w:hint="eastAsia"/>
                <w:color w:val="auto"/>
              </w:rPr>
              <w:t>人组成。</w:t>
            </w:r>
          </w:p>
          <w:p w14:paraId="26F7E170">
            <w:pPr>
              <w:pStyle w:val="177"/>
              <w:rPr>
                <w:rFonts w:hint="eastAsia"/>
                <w:color w:val="auto"/>
              </w:rPr>
            </w:pPr>
            <w:r>
              <w:rPr>
                <w:rFonts w:hint="eastAsia"/>
                <w:color w:val="auto"/>
              </w:rPr>
              <w:t>除采购人代表以外的从财政部门的政府采购专家库中随机抽取不少于评委会成员所有成员的三分之二。</w:t>
            </w:r>
          </w:p>
        </w:tc>
      </w:tr>
      <w:tr w14:paraId="2FF458C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56" w:type="dxa"/>
            <w:tcBorders>
              <w:tl2br w:val="nil"/>
              <w:tr2bl w:val="nil"/>
            </w:tcBorders>
            <w:vAlign w:val="center"/>
          </w:tcPr>
          <w:p w14:paraId="511E2D33">
            <w:pPr>
              <w:ind w:firstLine="0" w:firstLineChars="0"/>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5.3.1</w:t>
            </w:r>
          </w:p>
        </w:tc>
        <w:tc>
          <w:tcPr>
            <w:tcW w:w="2055" w:type="dxa"/>
            <w:tcBorders>
              <w:tl2br w:val="nil"/>
              <w:tr2bl w:val="nil"/>
            </w:tcBorders>
            <w:vAlign w:val="center"/>
          </w:tcPr>
          <w:p w14:paraId="0DB8E9CD">
            <w:pPr>
              <w:rPr>
                <w:color w:val="auto"/>
              </w:rPr>
            </w:pPr>
            <w:r>
              <w:rPr>
                <w:rFonts w:hint="eastAsia"/>
                <w:color w:val="auto"/>
              </w:rPr>
              <w:t>资格审查文件</w:t>
            </w:r>
          </w:p>
        </w:tc>
        <w:tc>
          <w:tcPr>
            <w:tcW w:w="6374" w:type="dxa"/>
            <w:tcBorders>
              <w:tl2br w:val="nil"/>
              <w:tr2bl w:val="nil"/>
            </w:tcBorders>
            <w:vAlign w:val="center"/>
          </w:tcPr>
          <w:p w14:paraId="09EE2302">
            <w:pPr>
              <w:rPr>
                <w:rFonts w:cs="宋体"/>
                <w:color w:val="auto"/>
              </w:rPr>
            </w:pPr>
            <w:r>
              <w:rPr>
                <w:rFonts w:hint="eastAsia" w:cs="宋体"/>
                <w:color w:val="auto"/>
              </w:rPr>
              <w:t>1、具有独立承担民事责任的能力（</w:t>
            </w:r>
            <w:r>
              <w:rPr>
                <w:rFonts w:hint="eastAsia"/>
                <w:color w:val="auto"/>
              </w:rPr>
              <w:t>提供法人或者其它组织的营业执照等证明文件，自然人的身份证明</w:t>
            </w:r>
            <w:r>
              <w:rPr>
                <w:rFonts w:hint="eastAsia" w:cs="宋体"/>
                <w:color w:val="auto"/>
              </w:rPr>
              <w:t>）</w:t>
            </w:r>
          </w:p>
          <w:p w14:paraId="0FC1CCC9">
            <w:pPr>
              <w:rPr>
                <w:rFonts w:hint="eastAsia" w:asciiTheme="minorEastAsia" w:hAnsiTheme="minorEastAsia" w:eastAsiaTheme="minorEastAsia" w:cstheme="minorEastAsia"/>
                <w:color w:val="auto"/>
              </w:rPr>
            </w:pPr>
            <w:r>
              <w:rPr>
                <w:rFonts w:hint="eastAsia"/>
                <w:color w:val="auto"/>
              </w:rPr>
              <w:t>2、</w:t>
            </w:r>
            <w:r>
              <w:rPr>
                <w:rFonts w:hint="eastAsia"/>
                <w:color w:val="auto"/>
                <w:kern w:val="0"/>
              </w:rPr>
              <w:t>具有良好的商业信誉和健全的</w:t>
            </w:r>
            <w:r>
              <w:rPr>
                <w:rFonts w:hint="eastAsia" w:asciiTheme="minorEastAsia" w:hAnsiTheme="minorEastAsia" w:eastAsiaTheme="minorEastAsia" w:cstheme="minorEastAsia"/>
                <w:color w:val="auto"/>
                <w:kern w:val="0"/>
              </w:rPr>
              <w:t>财务会计制度（</w:t>
            </w:r>
            <w:r>
              <w:rPr>
                <w:rFonts w:hint="eastAsia" w:asciiTheme="minorEastAsia" w:hAnsiTheme="minorEastAsia" w:eastAsiaTheme="minorEastAsia" w:cstheme="minorEastAsia"/>
                <w:color w:val="auto"/>
                <w:shd w:val="clear" w:color="auto" w:fill="FFFFFF"/>
              </w:rPr>
              <w:t>提供2024年度经审计的财务审计报告，成立时间较短不能提供的，应提交开户银行出具的资信证明。</w:t>
            </w:r>
            <w:r>
              <w:rPr>
                <w:rFonts w:hint="eastAsia" w:asciiTheme="minorEastAsia" w:hAnsiTheme="minorEastAsia" w:eastAsiaTheme="minorEastAsia" w:cstheme="minorEastAsia"/>
                <w:color w:val="auto"/>
                <w:kern w:val="0"/>
              </w:rPr>
              <w:t>）</w:t>
            </w:r>
          </w:p>
          <w:p w14:paraId="18D9F252">
            <w:pPr>
              <w:rPr>
                <w:color w:val="auto"/>
              </w:rPr>
            </w:pPr>
            <w:r>
              <w:rPr>
                <w:rFonts w:hint="eastAsia"/>
                <w:color w:val="auto"/>
              </w:rPr>
              <w:t>3、具有履行合同所必需的设备和专业技术能力（自行承诺，格式自拟，加盖供应商公章有效）</w:t>
            </w:r>
          </w:p>
          <w:p w14:paraId="7C31E936">
            <w:pPr>
              <w:rPr>
                <w:color w:val="auto"/>
              </w:rPr>
            </w:pPr>
            <w:r>
              <w:rPr>
                <w:rFonts w:hint="eastAsia"/>
                <w:color w:val="auto"/>
              </w:rPr>
              <w:t>4、有依法缴纳税收和社会保障资金的良好记录（供应商须提供2025年6月1日以来任意1个月份依法缴纳税收和社会保障资金的证明资料。依法免税或不需要缴纳社会保障资金的供应商，应提供相应文件证明其依法免税或不需要缴纳社会保障资金，成立不足1个月的提供成立以来的证明资料。）</w:t>
            </w:r>
          </w:p>
          <w:p w14:paraId="21CCAA04">
            <w:pPr>
              <w:rPr>
                <w:color w:val="auto"/>
                <w:kern w:val="0"/>
              </w:rPr>
            </w:pPr>
            <w:r>
              <w:rPr>
                <w:rFonts w:hint="eastAsia"/>
                <w:color w:val="auto"/>
                <w:kern w:val="0"/>
              </w:rPr>
              <w:t>5、</w:t>
            </w:r>
            <w:r>
              <w:rPr>
                <w:rFonts w:hint="eastAsia"/>
                <w:color w:val="auto"/>
              </w:rPr>
              <w:t>参加政府采购活动前三年内，在经营活动中没有重大违法记录</w:t>
            </w:r>
            <w:r>
              <w:rPr>
                <w:rFonts w:hint="eastAsia"/>
                <w:color w:val="auto"/>
                <w:kern w:val="0"/>
              </w:rPr>
              <w:t>（自行承诺，格式自拟，加盖供应商公章有效）</w:t>
            </w:r>
          </w:p>
          <w:p w14:paraId="43A3166C">
            <w:pPr>
              <w:rPr>
                <w:color w:val="auto"/>
              </w:rPr>
            </w:pPr>
            <w:r>
              <w:rPr>
                <w:rFonts w:hint="eastAsia"/>
                <w:color w:val="auto"/>
                <w:kern w:val="0"/>
              </w:rPr>
              <w:t>6、</w:t>
            </w:r>
            <w:r>
              <w:rPr>
                <w:rFonts w:hint="eastAsia"/>
                <w:color w:val="auto"/>
              </w:rPr>
              <w:t>根据《关于在政府采购活动中查询及使用信用记录有关问题的通知》(财库[2016]125号)的规定，对列入失信被执行人、重大税收违法失信主体、政府采购严重违法失信行为记录名单的投标供应商，拒绝参与本项目政府采购活动。采购人、采购代理机构，通过“中国执行信息公开网”（zxgk.court.gov.cn/）网站查询“失信被执行人”，通过“信用中国”（www.creditchina.gov.cn）网站查询“重大税收违法失信主体”；通过“中国政府采购网”（www.ccgp.gov.cn/）查询“政府采购严重违法失信行为</w:t>
            </w:r>
            <w:r>
              <w:rPr>
                <w:rFonts w:hint="eastAsia" w:ascii="宋体" w:hAnsi="宋体" w:cs="宋体"/>
                <w:color w:val="auto"/>
                <w:szCs w:val="21"/>
                <w:shd w:val="clear" w:color="auto" w:fill="FFFFFF"/>
              </w:rPr>
              <w:t>记录名单</w:t>
            </w:r>
            <w:r>
              <w:rPr>
                <w:rFonts w:hint="eastAsia"/>
                <w:color w:val="auto"/>
              </w:rPr>
              <w:t>”等相关主体信用记录,信用信息查询记录及相关证据与其他采购文件一并保存。查询时间：开标后。</w:t>
            </w:r>
          </w:p>
          <w:p w14:paraId="62A00533">
            <w:pPr>
              <w:rPr>
                <w:rFonts w:hint="eastAsia" w:asciiTheme="minorEastAsia" w:hAnsiTheme="minorEastAsia" w:eastAsiaTheme="minorEastAsia" w:cstheme="minorEastAsia"/>
                <w:snapToGrid w:val="0"/>
                <w:color w:val="auto"/>
                <w:kern w:val="0"/>
                <w:szCs w:val="21"/>
              </w:rPr>
            </w:pPr>
            <w:r>
              <w:rPr>
                <w:rFonts w:hint="eastAsia"/>
                <w:color w:val="auto"/>
              </w:rPr>
              <w:t>7、单位负责人为同一人或者存在直接控股、管理关系的不同供应商，不得参加同一合同项下的政府采购活动。【提供“国家企业信用信息公示系统”中查询打印的相关材料并加盖公章（需包含公司基本信息、股东信息及股权变更信息)，查询日期在本公告发布日期之后】。</w:t>
            </w:r>
          </w:p>
        </w:tc>
      </w:tr>
      <w:tr w14:paraId="310F19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56" w:type="dxa"/>
            <w:tcBorders>
              <w:tl2br w:val="nil"/>
              <w:tr2bl w:val="nil"/>
            </w:tcBorders>
            <w:vAlign w:val="center"/>
          </w:tcPr>
          <w:p w14:paraId="4BFFCA86">
            <w:pPr>
              <w:pStyle w:val="177"/>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5.3.2</w:t>
            </w:r>
          </w:p>
        </w:tc>
        <w:tc>
          <w:tcPr>
            <w:tcW w:w="2055" w:type="dxa"/>
            <w:tcBorders>
              <w:tl2br w:val="nil"/>
              <w:tr2bl w:val="nil"/>
            </w:tcBorders>
            <w:vAlign w:val="center"/>
          </w:tcPr>
          <w:p w14:paraId="2F0961E7">
            <w:pPr>
              <w:pStyle w:val="177"/>
              <w:rPr>
                <w:rFonts w:hint="eastAsia"/>
                <w:color w:val="auto"/>
              </w:rPr>
            </w:pPr>
            <w:r>
              <w:rPr>
                <w:rFonts w:hint="eastAsia"/>
                <w:color w:val="auto"/>
              </w:rPr>
              <w:t>供应商信用记录查询</w:t>
            </w:r>
          </w:p>
        </w:tc>
        <w:tc>
          <w:tcPr>
            <w:tcW w:w="6374" w:type="dxa"/>
            <w:tcBorders>
              <w:tl2br w:val="nil"/>
              <w:tr2bl w:val="nil"/>
            </w:tcBorders>
            <w:vAlign w:val="center"/>
          </w:tcPr>
          <w:p w14:paraId="15FDB1FD">
            <w:pPr>
              <w:pStyle w:val="177"/>
              <w:rPr>
                <w:rFonts w:hint="eastAsia"/>
                <w:color w:val="auto"/>
              </w:rPr>
            </w:pPr>
            <w:r>
              <w:rPr>
                <w:rFonts w:hint="eastAsia"/>
                <w:color w:val="auto"/>
              </w:rPr>
              <w:t>信用记录截止时间点：同响应文件提交截止时间；</w:t>
            </w:r>
          </w:p>
          <w:p w14:paraId="40A1ECEF">
            <w:pPr>
              <w:pStyle w:val="177"/>
              <w:rPr>
                <w:rFonts w:hint="eastAsia"/>
                <w:color w:val="auto"/>
              </w:rPr>
            </w:pPr>
            <w:r>
              <w:rPr>
                <w:rFonts w:hint="eastAsia"/>
                <w:color w:val="auto"/>
              </w:rPr>
              <w:t>信用记录查询时间：响应文件提交截止时间之后。</w:t>
            </w:r>
          </w:p>
          <w:p w14:paraId="1F0B653E">
            <w:pPr>
              <w:pStyle w:val="177"/>
              <w:rPr>
                <w:rFonts w:hint="eastAsia"/>
                <w:color w:val="auto"/>
              </w:rPr>
            </w:pPr>
            <w:r>
              <w:rPr>
                <w:rFonts w:hint="eastAsia"/>
                <w:color w:val="auto"/>
              </w:rPr>
              <w:t>1、查询渠道和截止时点：响应文件递交时间截止后，采购代理机构对供应商的信用记录在“中国执行信息公开网”网站查询“失信被执行人”；“信用中国”网站查询“重大税收违法失信主体”；“中国政府采购网”网站查询供应商“政府采购严重违法失信行为记录名单”进行查询。</w:t>
            </w:r>
          </w:p>
          <w:p w14:paraId="1337BBE4">
            <w:pPr>
              <w:pStyle w:val="177"/>
              <w:rPr>
                <w:rFonts w:hint="eastAsia"/>
                <w:color w:val="auto"/>
              </w:rPr>
            </w:pPr>
            <w:r>
              <w:rPr>
                <w:rFonts w:hint="eastAsia"/>
                <w:color w:val="auto"/>
              </w:rPr>
              <w:t>2、查询记录和证据留存的具体方式：供应商信用记录以采购代理机构查询结果为准，采购代理机构查询之后，网站信息发生的任何变更均不再作为评审依据，证据留存以采购代理机构查询时的查询网页截图为准并打印存档备查。</w:t>
            </w:r>
          </w:p>
          <w:p w14:paraId="5C2FCE6D">
            <w:pPr>
              <w:pStyle w:val="177"/>
              <w:rPr>
                <w:rFonts w:hint="eastAsia"/>
                <w:color w:val="auto"/>
              </w:rPr>
            </w:pPr>
            <w:r>
              <w:rPr>
                <w:rFonts w:hint="eastAsia"/>
                <w:color w:val="auto"/>
              </w:rPr>
              <w:t>3、使用规则：供应商存在不良信用记录的，其响应文件将被作为无效响应处理。</w:t>
            </w:r>
          </w:p>
        </w:tc>
      </w:tr>
      <w:tr w14:paraId="676439C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56" w:type="dxa"/>
            <w:tcBorders>
              <w:tl2br w:val="nil"/>
              <w:tr2bl w:val="nil"/>
            </w:tcBorders>
            <w:vAlign w:val="center"/>
          </w:tcPr>
          <w:p w14:paraId="2B41897A">
            <w:pPr>
              <w:pStyle w:val="177"/>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5.8</w:t>
            </w:r>
          </w:p>
        </w:tc>
        <w:tc>
          <w:tcPr>
            <w:tcW w:w="2055" w:type="dxa"/>
            <w:tcBorders>
              <w:tl2br w:val="nil"/>
              <w:tr2bl w:val="nil"/>
            </w:tcBorders>
            <w:vAlign w:val="center"/>
          </w:tcPr>
          <w:p w14:paraId="0C43E12B">
            <w:pPr>
              <w:pStyle w:val="177"/>
              <w:rPr>
                <w:rFonts w:hint="eastAsia"/>
                <w:color w:val="auto"/>
              </w:rPr>
            </w:pPr>
            <w:r>
              <w:rPr>
                <w:rFonts w:hint="eastAsia"/>
                <w:color w:val="auto"/>
              </w:rPr>
              <w:t>评审办法</w:t>
            </w:r>
          </w:p>
        </w:tc>
        <w:tc>
          <w:tcPr>
            <w:tcW w:w="6374" w:type="dxa"/>
            <w:tcBorders>
              <w:tl2br w:val="nil"/>
              <w:tr2bl w:val="nil"/>
            </w:tcBorders>
            <w:vAlign w:val="center"/>
          </w:tcPr>
          <w:p w14:paraId="2321EBEA">
            <w:pPr>
              <w:pStyle w:val="177"/>
              <w:rPr>
                <w:rFonts w:hint="eastAsia"/>
                <w:color w:val="auto"/>
              </w:rPr>
            </w:pPr>
            <w:r>
              <w:rPr>
                <w:rFonts w:hint="eastAsia"/>
                <w:color w:val="auto"/>
              </w:rPr>
              <w:t>综合评分法</w:t>
            </w:r>
          </w:p>
        </w:tc>
      </w:tr>
      <w:tr w14:paraId="5816DE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156" w:type="dxa"/>
            <w:tcBorders>
              <w:tl2br w:val="nil"/>
              <w:tr2bl w:val="nil"/>
            </w:tcBorders>
            <w:vAlign w:val="center"/>
          </w:tcPr>
          <w:p w14:paraId="0B0AB72F">
            <w:pPr>
              <w:pStyle w:val="177"/>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6.1.2</w:t>
            </w:r>
          </w:p>
        </w:tc>
        <w:tc>
          <w:tcPr>
            <w:tcW w:w="2055" w:type="dxa"/>
            <w:tcBorders>
              <w:tl2br w:val="nil"/>
              <w:tr2bl w:val="nil"/>
            </w:tcBorders>
            <w:vAlign w:val="center"/>
          </w:tcPr>
          <w:p w14:paraId="352238A7">
            <w:pPr>
              <w:pStyle w:val="177"/>
              <w:rPr>
                <w:rFonts w:hint="eastAsia"/>
                <w:color w:val="auto"/>
              </w:rPr>
            </w:pPr>
            <w:r>
              <w:rPr>
                <w:rFonts w:hint="eastAsia"/>
                <w:color w:val="auto"/>
              </w:rPr>
              <w:t>推荐成交候选供应商的数量</w:t>
            </w:r>
          </w:p>
        </w:tc>
        <w:tc>
          <w:tcPr>
            <w:tcW w:w="6374" w:type="dxa"/>
            <w:tcBorders>
              <w:tl2br w:val="nil"/>
              <w:tr2bl w:val="nil"/>
            </w:tcBorders>
            <w:vAlign w:val="center"/>
          </w:tcPr>
          <w:p w14:paraId="7CE42971">
            <w:pPr>
              <w:pStyle w:val="177"/>
              <w:rPr>
                <w:rFonts w:hint="eastAsia"/>
                <w:color w:val="auto"/>
              </w:rPr>
            </w:pPr>
            <w:r>
              <w:rPr>
                <w:rFonts w:hint="eastAsia"/>
                <w:color w:val="auto"/>
              </w:rPr>
              <w:t>3名</w:t>
            </w:r>
          </w:p>
        </w:tc>
      </w:tr>
      <w:tr w14:paraId="1168E9A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1156" w:type="dxa"/>
            <w:tcBorders>
              <w:tl2br w:val="nil"/>
              <w:tr2bl w:val="nil"/>
            </w:tcBorders>
            <w:vAlign w:val="center"/>
          </w:tcPr>
          <w:p w14:paraId="0071C100">
            <w:pPr>
              <w:pStyle w:val="177"/>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6.2.1</w:t>
            </w:r>
          </w:p>
        </w:tc>
        <w:tc>
          <w:tcPr>
            <w:tcW w:w="2055" w:type="dxa"/>
            <w:tcBorders>
              <w:tl2br w:val="nil"/>
              <w:tr2bl w:val="nil"/>
            </w:tcBorders>
            <w:vAlign w:val="center"/>
          </w:tcPr>
          <w:p w14:paraId="2705CD41">
            <w:pPr>
              <w:pStyle w:val="177"/>
              <w:rPr>
                <w:rFonts w:hint="eastAsia"/>
                <w:color w:val="auto"/>
              </w:rPr>
            </w:pPr>
            <w:r>
              <w:rPr>
                <w:rFonts w:hint="eastAsia"/>
                <w:color w:val="auto"/>
              </w:rPr>
              <w:t>确定成交供应商的方式</w:t>
            </w:r>
          </w:p>
        </w:tc>
        <w:tc>
          <w:tcPr>
            <w:tcW w:w="6374" w:type="dxa"/>
            <w:tcBorders>
              <w:tl2br w:val="nil"/>
              <w:tr2bl w:val="nil"/>
            </w:tcBorders>
            <w:vAlign w:val="center"/>
          </w:tcPr>
          <w:p w14:paraId="24A00F8E">
            <w:pPr>
              <w:pStyle w:val="177"/>
              <w:rPr>
                <w:rFonts w:hint="eastAsia"/>
                <w:color w:val="auto"/>
              </w:rPr>
            </w:pPr>
            <w:r>
              <w:rPr>
                <w:rFonts w:hint="eastAsia"/>
                <w:color w:val="auto"/>
              </w:rPr>
              <w:t>成交供应商数量：1名</w:t>
            </w:r>
          </w:p>
          <w:p w14:paraId="2B8190DE">
            <w:pPr>
              <w:pStyle w:val="177"/>
              <w:rPr>
                <w:rFonts w:hint="eastAsia"/>
                <w:color w:val="auto"/>
              </w:rPr>
            </w:pPr>
            <w:r>
              <w:rPr>
                <w:rFonts w:hint="eastAsia"/>
                <w:color w:val="auto"/>
              </w:rPr>
              <w:sym w:font="Wingdings 2" w:char="0052"/>
            </w:r>
            <w:r>
              <w:rPr>
                <w:rFonts w:hint="eastAsia"/>
                <w:color w:val="auto"/>
              </w:rPr>
              <w:t>采购人确定成交供应商</w:t>
            </w:r>
          </w:p>
          <w:p w14:paraId="249F616A">
            <w:pPr>
              <w:pStyle w:val="177"/>
              <w:rPr>
                <w:rFonts w:hint="eastAsia"/>
                <w:color w:val="auto"/>
              </w:rPr>
            </w:pPr>
            <w:r>
              <w:rPr>
                <w:rFonts w:hint="eastAsia"/>
                <w:color w:val="auto"/>
              </w:rPr>
              <w:t>□采购人委托磋商小组直接确定成交供应商</w:t>
            </w:r>
          </w:p>
        </w:tc>
      </w:tr>
      <w:tr w14:paraId="565A7B0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156" w:type="dxa"/>
            <w:tcBorders>
              <w:tl2br w:val="nil"/>
              <w:tr2bl w:val="nil"/>
            </w:tcBorders>
            <w:vAlign w:val="center"/>
          </w:tcPr>
          <w:p w14:paraId="00D8681A">
            <w:pPr>
              <w:pStyle w:val="177"/>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7.1</w:t>
            </w:r>
          </w:p>
        </w:tc>
        <w:tc>
          <w:tcPr>
            <w:tcW w:w="2055" w:type="dxa"/>
            <w:tcBorders>
              <w:tl2br w:val="nil"/>
              <w:tr2bl w:val="nil"/>
            </w:tcBorders>
            <w:vAlign w:val="center"/>
          </w:tcPr>
          <w:p w14:paraId="091E60AA">
            <w:pPr>
              <w:pStyle w:val="177"/>
              <w:rPr>
                <w:rFonts w:hint="eastAsia"/>
                <w:color w:val="auto"/>
              </w:rPr>
            </w:pPr>
            <w:r>
              <w:rPr>
                <w:rFonts w:hint="eastAsia"/>
                <w:color w:val="auto"/>
              </w:rPr>
              <w:t>合同签订时间</w:t>
            </w:r>
          </w:p>
        </w:tc>
        <w:tc>
          <w:tcPr>
            <w:tcW w:w="6374" w:type="dxa"/>
            <w:tcBorders>
              <w:tl2br w:val="nil"/>
              <w:tr2bl w:val="nil"/>
            </w:tcBorders>
            <w:vAlign w:val="center"/>
          </w:tcPr>
          <w:p w14:paraId="6D6EFFDC">
            <w:pPr>
              <w:pStyle w:val="177"/>
              <w:rPr>
                <w:rFonts w:hint="eastAsia"/>
                <w:color w:val="auto"/>
              </w:rPr>
            </w:pPr>
            <w:r>
              <w:rPr>
                <w:rFonts w:hint="eastAsia"/>
                <w:color w:val="auto"/>
              </w:rPr>
              <w:t>成交供应商应当自发出成交通知书之日起15日历天内</w:t>
            </w:r>
          </w:p>
        </w:tc>
      </w:tr>
      <w:tr w14:paraId="64920D0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1156" w:type="dxa"/>
            <w:tcBorders>
              <w:tl2br w:val="nil"/>
              <w:tr2bl w:val="nil"/>
            </w:tcBorders>
            <w:vAlign w:val="center"/>
          </w:tcPr>
          <w:p w14:paraId="682FA3B9">
            <w:pPr>
              <w:pStyle w:val="177"/>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8.1</w:t>
            </w:r>
          </w:p>
        </w:tc>
        <w:tc>
          <w:tcPr>
            <w:tcW w:w="2055" w:type="dxa"/>
            <w:tcBorders>
              <w:tl2br w:val="nil"/>
              <w:tr2bl w:val="nil"/>
            </w:tcBorders>
            <w:vAlign w:val="center"/>
          </w:tcPr>
          <w:p w14:paraId="06A8CFAB">
            <w:pPr>
              <w:pStyle w:val="177"/>
              <w:jc w:val="center"/>
              <w:rPr>
                <w:rFonts w:hint="eastAsia"/>
                <w:color w:val="auto"/>
              </w:rPr>
            </w:pPr>
            <w:r>
              <w:rPr>
                <w:rFonts w:hint="eastAsia"/>
                <w:color w:val="auto"/>
              </w:rPr>
              <w:t>履约保证金</w:t>
            </w:r>
          </w:p>
        </w:tc>
        <w:tc>
          <w:tcPr>
            <w:tcW w:w="6374" w:type="dxa"/>
            <w:tcBorders>
              <w:tl2br w:val="nil"/>
              <w:tr2bl w:val="nil"/>
            </w:tcBorders>
            <w:vAlign w:val="center"/>
          </w:tcPr>
          <w:p w14:paraId="15339656">
            <w:pPr>
              <w:ind w:firstLine="0" w:firstLineChars="0"/>
              <w:rPr>
                <w:rFonts w:hint="eastAsia" w:ascii="宋体" w:hAnsi="宋体" w:cs="宋体"/>
                <w:color w:val="auto"/>
                <w:szCs w:val="21"/>
              </w:rPr>
            </w:pPr>
            <w:r>
              <w:rPr>
                <w:rFonts w:hint="eastAsia" w:ascii="宋体" w:hAnsi="宋体" w:cs="宋体"/>
                <w:color w:val="auto"/>
                <w:szCs w:val="21"/>
              </w:rPr>
              <w:t>履约担保金额:合同总额的5%</w:t>
            </w:r>
          </w:p>
          <w:p w14:paraId="771B1218">
            <w:pPr>
              <w:ind w:firstLine="0" w:firstLineChars="0"/>
              <w:rPr>
                <w:color w:val="auto"/>
              </w:rPr>
            </w:pPr>
            <w:r>
              <w:rPr>
                <w:rFonts w:hint="eastAsia" w:ascii="宋体" w:hAnsi="宋体" w:cs="宋体"/>
                <w:color w:val="auto"/>
                <w:szCs w:val="21"/>
              </w:rPr>
              <w:t>履约担保方式:</w:t>
            </w:r>
            <w:r>
              <w:rPr>
                <w:rFonts w:hint="eastAsia"/>
                <w:color w:val="auto"/>
              </w:rPr>
              <w:t>乙方以银行保函方式在合同签订前向甲方采购单位提供履约担保，验收合格，正式交付使用后退还。</w:t>
            </w:r>
          </w:p>
        </w:tc>
      </w:tr>
      <w:tr w14:paraId="64B0202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1156" w:type="dxa"/>
            <w:tcBorders>
              <w:tl2br w:val="nil"/>
              <w:tr2bl w:val="nil"/>
            </w:tcBorders>
            <w:vAlign w:val="center"/>
          </w:tcPr>
          <w:p w14:paraId="520B2F3E">
            <w:pPr>
              <w:pStyle w:val="177"/>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9.1</w:t>
            </w:r>
          </w:p>
        </w:tc>
        <w:tc>
          <w:tcPr>
            <w:tcW w:w="2055" w:type="dxa"/>
            <w:tcBorders>
              <w:tl2br w:val="nil"/>
              <w:tr2bl w:val="nil"/>
            </w:tcBorders>
            <w:vAlign w:val="center"/>
          </w:tcPr>
          <w:p w14:paraId="12204BF9">
            <w:pPr>
              <w:pStyle w:val="177"/>
              <w:jc w:val="center"/>
              <w:rPr>
                <w:rFonts w:hint="eastAsia"/>
                <w:color w:val="auto"/>
                <w:highlight w:val="none"/>
              </w:rPr>
            </w:pPr>
            <w:r>
              <w:rPr>
                <w:rFonts w:hint="eastAsia"/>
                <w:color w:val="auto"/>
                <w:highlight w:val="none"/>
              </w:rPr>
              <w:t>预付款</w:t>
            </w:r>
          </w:p>
        </w:tc>
        <w:tc>
          <w:tcPr>
            <w:tcW w:w="6374" w:type="dxa"/>
            <w:tcBorders>
              <w:tl2br w:val="nil"/>
              <w:tr2bl w:val="nil"/>
            </w:tcBorders>
            <w:vAlign w:val="center"/>
          </w:tcPr>
          <w:p w14:paraId="7C0F38E4">
            <w:pPr>
              <w:pStyle w:val="177"/>
              <w:rPr>
                <w:rFonts w:hint="eastAsia"/>
                <w:color w:val="auto"/>
                <w:highlight w:val="none"/>
              </w:rPr>
            </w:pPr>
            <w:r>
              <w:rPr>
                <w:rFonts w:hint="eastAsia"/>
                <w:color w:val="auto"/>
                <w:highlight w:val="none"/>
              </w:rPr>
              <w:t>1.预付款比例为：</w:t>
            </w:r>
            <w:r>
              <w:rPr>
                <w:rFonts w:hint="eastAsia"/>
                <w:color w:val="auto"/>
                <w:highlight w:val="none"/>
                <w:u w:val="single"/>
              </w:rPr>
              <w:t>无预付款</w:t>
            </w:r>
          </w:p>
          <w:p w14:paraId="6F066DD3">
            <w:pPr>
              <w:pStyle w:val="177"/>
              <w:rPr>
                <w:rFonts w:hint="eastAsia"/>
                <w:color w:val="auto"/>
                <w:highlight w:val="none"/>
              </w:rPr>
            </w:pPr>
            <w:r>
              <w:rPr>
                <w:rFonts w:hint="eastAsia"/>
                <w:color w:val="auto"/>
                <w:highlight w:val="none"/>
              </w:rPr>
              <w:t>2.对中小企业在资金支付期限、预付款比例等方面的优惠措施；</w:t>
            </w:r>
            <w:r>
              <w:rPr>
                <w:rFonts w:hint="eastAsia"/>
                <w:color w:val="auto"/>
                <w:highlight w:val="none"/>
                <w:u w:val="single"/>
              </w:rPr>
              <w:t xml:space="preserve"> 无</w:t>
            </w:r>
          </w:p>
        </w:tc>
      </w:tr>
      <w:tr w14:paraId="37C4BF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156" w:type="dxa"/>
            <w:tcBorders>
              <w:tl2br w:val="nil"/>
              <w:tr2bl w:val="nil"/>
            </w:tcBorders>
            <w:vAlign w:val="center"/>
          </w:tcPr>
          <w:p w14:paraId="53CF472C">
            <w:pPr>
              <w:pStyle w:val="177"/>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10</w:t>
            </w:r>
          </w:p>
        </w:tc>
        <w:tc>
          <w:tcPr>
            <w:tcW w:w="2055" w:type="dxa"/>
            <w:tcBorders>
              <w:tl2br w:val="nil"/>
              <w:tr2bl w:val="nil"/>
            </w:tcBorders>
            <w:vAlign w:val="center"/>
          </w:tcPr>
          <w:p w14:paraId="51EA413E">
            <w:pPr>
              <w:pStyle w:val="177"/>
              <w:rPr>
                <w:rFonts w:hint="eastAsia"/>
                <w:color w:val="auto"/>
              </w:rPr>
            </w:pPr>
            <w:r>
              <w:rPr>
                <w:rFonts w:hint="eastAsia"/>
                <w:color w:val="auto"/>
              </w:rPr>
              <w:t>采购代理服务费</w:t>
            </w:r>
          </w:p>
        </w:tc>
        <w:tc>
          <w:tcPr>
            <w:tcW w:w="6374" w:type="dxa"/>
            <w:tcBorders>
              <w:tl2br w:val="nil"/>
              <w:tr2bl w:val="nil"/>
            </w:tcBorders>
            <w:vAlign w:val="center"/>
          </w:tcPr>
          <w:p w14:paraId="22D5D4B2">
            <w:pPr>
              <w:pStyle w:val="177"/>
              <w:rPr>
                <w:rFonts w:hint="eastAsia"/>
                <w:color w:val="auto"/>
              </w:rPr>
            </w:pPr>
            <w:r>
              <w:rPr>
                <w:rFonts w:hint="eastAsia"/>
                <w:color w:val="auto"/>
              </w:rPr>
              <w:t>采购代理服务费支付标准：按照《河南省招标代理服务收费指导意见》（豫招协【2023】002号）的文件规定执行。</w:t>
            </w:r>
          </w:p>
          <w:p w14:paraId="004D7D18">
            <w:pPr>
              <w:pStyle w:val="177"/>
              <w:rPr>
                <w:rFonts w:hint="eastAsia"/>
                <w:color w:val="auto"/>
              </w:rPr>
            </w:pPr>
            <w:r>
              <w:rPr>
                <w:rFonts w:hint="eastAsia"/>
                <w:color w:val="auto"/>
              </w:rPr>
              <w:t>支付时间：成交人在领取成交通知书时向采购代理机构支付代理服务费。</w:t>
            </w:r>
          </w:p>
        </w:tc>
      </w:tr>
      <w:tr w14:paraId="37F19F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1156" w:type="dxa"/>
            <w:tcBorders>
              <w:tl2br w:val="nil"/>
              <w:tr2bl w:val="nil"/>
            </w:tcBorders>
            <w:vAlign w:val="center"/>
          </w:tcPr>
          <w:p w14:paraId="11FA7EBC">
            <w:pPr>
              <w:pStyle w:val="177"/>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12</w:t>
            </w:r>
          </w:p>
        </w:tc>
        <w:tc>
          <w:tcPr>
            <w:tcW w:w="2055" w:type="dxa"/>
            <w:tcBorders>
              <w:tl2br w:val="nil"/>
              <w:tr2bl w:val="nil"/>
            </w:tcBorders>
            <w:vAlign w:val="center"/>
          </w:tcPr>
          <w:p w14:paraId="51DCB236">
            <w:pPr>
              <w:pStyle w:val="177"/>
              <w:rPr>
                <w:rFonts w:hint="eastAsia"/>
                <w:color w:val="auto"/>
              </w:rPr>
            </w:pPr>
            <w:r>
              <w:rPr>
                <w:rFonts w:hint="eastAsia"/>
                <w:color w:val="auto"/>
              </w:rPr>
              <w:t>质疑的提出与接收</w:t>
            </w:r>
          </w:p>
        </w:tc>
        <w:tc>
          <w:tcPr>
            <w:tcW w:w="6374" w:type="dxa"/>
            <w:tcBorders>
              <w:tl2br w:val="nil"/>
              <w:tr2bl w:val="nil"/>
            </w:tcBorders>
            <w:vAlign w:val="center"/>
          </w:tcPr>
          <w:p w14:paraId="1AAD9923">
            <w:pPr>
              <w:pStyle w:val="177"/>
              <w:rPr>
                <w:rFonts w:hint="eastAsia"/>
                <w:color w:val="auto"/>
              </w:rPr>
            </w:pPr>
            <w:r>
              <w:rPr>
                <w:rFonts w:hint="eastAsia"/>
                <w:color w:val="auto"/>
              </w:rPr>
              <w:t>①供应商认为自己的权益受到损害的，可以在知道或者应该知道其权益受到损害之日起七个工作日内，向采购代理机构提出质疑。</w:t>
            </w:r>
          </w:p>
          <w:p w14:paraId="10D88D30">
            <w:pPr>
              <w:pStyle w:val="177"/>
              <w:rPr>
                <w:rFonts w:hint="eastAsia"/>
                <w:color w:val="auto"/>
              </w:rPr>
            </w:pPr>
            <w:r>
              <w:rPr>
                <w:rFonts w:hint="eastAsia"/>
                <w:color w:val="auto"/>
              </w:rPr>
              <w:t>②质疑函的内容、格式：应符合《政府采购质疑和投诉办法》相关规定和财政部门制定的《政府采购质疑函范本》格式。</w:t>
            </w:r>
          </w:p>
          <w:p w14:paraId="5EAD2A20">
            <w:pPr>
              <w:pStyle w:val="177"/>
              <w:rPr>
                <w:rFonts w:hint="eastAsia"/>
                <w:color w:val="auto"/>
              </w:rPr>
            </w:pPr>
            <w:r>
              <w:rPr>
                <w:rFonts w:hint="eastAsia"/>
                <w:color w:val="auto"/>
              </w:rPr>
              <w:t>③供应商应在法定质疑期内一次性针对同一采购程序环节提出质疑，否则针对再次提出质疑将不予接收（采购程序环节分为：采购公告、采购文件、采购过程、成交结果）。</w:t>
            </w:r>
          </w:p>
          <w:p w14:paraId="3435F69A">
            <w:pPr>
              <w:pStyle w:val="177"/>
              <w:rPr>
                <w:rFonts w:hint="eastAsia"/>
                <w:color w:val="auto"/>
              </w:rPr>
            </w:pPr>
            <w:r>
              <w:rPr>
                <w:rFonts w:hint="eastAsia"/>
                <w:color w:val="auto"/>
              </w:rPr>
              <w:t>④接收质疑函的方式：接收加盖单位公章、法定的代表人签字（或加盖个人印章）的书面质疑函。</w:t>
            </w:r>
          </w:p>
          <w:p w14:paraId="154237C8">
            <w:pPr>
              <w:pStyle w:val="177"/>
              <w:rPr>
                <w:rFonts w:hint="eastAsia"/>
                <w:color w:val="auto"/>
              </w:rPr>
            </w:pPr>
            <w:r>
              <w:rPr>
                <w:rFonts w:hint="eastAsia"/>
                <w:color w:val="auto"/>
              </w:rPr>
              <w:t>⑤质疑函接收信息</w:t>
            </w:r>
          </w:p>
          <w:p w14:paraId="2862B239">
            <w:pPr>
              <w:ind w:firstLine="0" w:firstLineChars="0"/>
              <w:rPr>
                <w:color w:val="auto"/>
              </w:rPr>
            </w:pPr>
            <w:r>
              <w:rPr>
                <w:rFonts w:hint="eastAsia"/>
                <w:color w:val="auto"/>
              </w:rPr>
              <w:t>联系单位：河南英华咨询有限公司</w:t>
            </w:r>
          </w:p>
          <w:p w14:paraId="6D5C01E1">
            <w:pPr>
              <w:ind w:firstLine="0" w:firstLineChars="0"/>
              <w:rPr>
                <w:color w:val="auto"/>
              </w:rPr>
            </w:pPr>
            <w:r>
              <w:rPr>
                <w:rFonts w:hint="eastAsia"/>
                <w:color w:val="auto"/>
              </w:rPr>
              <w:t>联系部门：招标部</w:t>
            </w:r>
          </w:p>
          <w:p w14:paraId="7DC11862">
            <w:pPr>
              <w:ind w:firstLine="0" w:firstLineChars="0"/>
              <w:rPr>
                <w:color w:val="auto"/>
              </w:rPr>
            </w:pPr>
            <w:r>
              <w:rPr>
                <w:rFonts w:hint="eastAsia"/>
                <w:color w:val="auto"/>
              </w:rPr>
              <w:t>联系人员：娄利杰、古丹丹、闫少辉</w:t>
            </w:r>
          </w:p>
          <w:p w14:paraId="73D16D59">
            <w:pPr>
              <w:ind w:firstLine="0" w:firstLineChars="0"/>
              <w:rPr>
                <w:color w:val="auto"/>
              </w:rPr>
            </w:pPr>
            <w:r>
              <w:rPr>
                <w:rFonts w:hint="eastAsia"/>
                <w:color w:val="auto"/>
              </w:rPr>
              <w:t>联系电话：0371-63976218、0371-63940338</w:t>
            </w:r>
          </w:p>
          <w:p w14:paraId="445CD203">
            <w:pPr>
              <w:ind w:firstLine="0" w:firstLineChars="0"/>
              <w:rPr>
                <w:color w:val="auto"/>
              </w:rPr>
            </w:pPr>
            <w:r>
              <w:rPr>
                <w:rFonts w:hint="eastAsia"/>
                <w:color w:val="auto"/>
              </w:rPr>
              <w:t>通讯地址：郑州市高新技术开发区电厂路80号162幢21层64号</w:t>
            </w:r>
          </w:p>
        </w:tc>
      </w:tr>
      <w:tr w14:paraId="542F026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156" w:type="dxa"/>
            <w:tcBorders>
              <w:tl2br w:val="nil"/>
              <w:tr2bl w:val="nil"/>
            </w:tcBorders>
            <w:vAlign w:val="center"/>
          </w:tcPr>
          <w:p w14:paraId="4B7FAB64">
            <w:pPr>
              <w:pStyle w:val="177"/>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19</w:t>
            </w:r>
          </w:p>
        </w:tc>
        <w:tc>
          <w:tcPr>
            <w:tcW w:w="2055" w:type="dxa"/>
            <w:tcBorders>
              <w:tl2br w:val="nil"/>
              <w:tr2bl w:val="nil"/>
            </w:tcBorders>
            <w:vAlign w:val="center"/>
          </w:tcPr>
          <w:p w14:paraId="7BDEEB46">
            <w:pPr>
              <w:pStyle w:val="177"/>
              <w:rPr>
                <w:rFonts w:hint="eastAsia"/>
                <w:color w:val="auto"/>
              </w:rPr>
            </w:pPr>
            <w:r>
              <w:rPr>
                <w:rFonts w:hint="eastAsia"/>
                <w:color w:val="auto"/>
              </w:rPr>
              <w:t>是否允许合同分包</w:t>
            </w:r>
          </w:p>
        </w:tc>
        <w:tc>
          <w:tcPr>
            <w:tcW w:w="6374" w:type="dxa"/>
            <w:tcBorders>
              <w:tl2br w:val="nil"/>
              <w:tr2bl w:val="nil"/>
            </w:tcBorders>
            <w:vAlign w:val="center"/>
          </w:tcPr>
          <w:p w14:paraId="31F4D55D">
            <w:pPr>
              <w:pStyle w:val="177"/>
              <w:rPr>
                <w:rFonts w:hint="eastAsia"/>
                <w:color w:val="auto"/>
              </w:rPr>
            </w:pPr>
            <w:r>
              <w:rPr>
                <w:rFonts w:hint="eastAsia"/>
                <w:color w:val="auto"/>
              </w:rPr>
              <w:t>□是。合同分包时，分包意向协议中，中小企业合同金额应当达到</w:t>
            </w:r>
            <w:r>
              <w:rPr>
                <w:rFonts w:hint="eastAsia"/>
                <w:color w:val="auto"/>
                <w:u w:val="single"/>
              </w:rPr>
              <w:t xml:space="preserve">   </w:t>
            </w:r>
            <w:r>
              <w:rPr>
                <w:rFonts w:hint="eastAsia"/>
                <w:color w:val="auto"/>
              </w:rPr>
              <w:t>%</w:t>
            </w:r>
          </w:p>
          <w:p w14:paraId="18AA3138">
            <w:pPr>
              <w:pStyle w:val="177"/>
              <w:rPr>
                <w:rFonts w:hint="eastAsia"/>
                <w:color w:val="auto"/>
              </w:rPr>
            </w:pPr>
            <w:r>
              <w:rPr>
                <w:rFonts w:hint="eastAsia"/>
                <w:color w:val="auto"/>
              </w:rPr>
              <w:sym w:font="Wingdings 2" w:char="0052"/>
            </w:r>
            <w:r>
              <w:rPr>
                <w:rFonts w:hint="eastAsia"/>
                <w:color w:val="auto"/>
              </w:rPr>
              <w:t>否</w:t>
            </w:r>
          </w:p>
        </w:tc>
      </w:tr>
      <w:tr w14:paraId="25B183C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156" w:type="dxa"/>
            <w:tcBorders>
              <w:tl2br w:val="nil"/>
              <w:tr2bl w:val="nil"/>
            </w:tcBorders>
            <w:vAlign w:val="center"/>
          </w:tcPr>
          <w:p w14:paraId="2A7C8AE1">
            <w:pPr>
              <w:ind w:firstLine="0" w:firstLineChars="0"/>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21</w:t>
            </w:r>
          </w:p>
        </w:tc>
        <w:tc>
          <w:tcPr>
            <w:tcW w:w="8429" w:type="dxa"/>
            <w:gridSpan w:val="2"/>
            <w:tcBorders>
              <w:tl2br w:val="nil"/>
              <w:tr2bl w:val="nil"/>
            </w:tcBorders>
            <w:vAlign w:val="center"/>
          </w:tcPr>
          <w:p w14:paraId="06E8A293">
            <w:pPr>
              <w:rPr>
                <w:color w:val="auto"/>
              </w:rPr>
            </w:pPr>
            <w:r>
              <w:rPr>
                <w:rFonts w:hint="eastAsia"/>
                <w:color w:val="auto"/>
              </w:rPr>
              <w:t>需要补充的其他内容</w:t>
            </w:r>
          </w:p>
        </w:tc>
      </w:tr>
      <w:tr w14:paraId="298B3F0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1156" w:type="dxa"/>
            <w:tcBorders>
              <w:tl2br w:val="nil"/>
              <w:tr2bl w:val="nil"/>
            </w:tcBorders>
            <w:vAlign w:val="center"/>
          </w:tcPr>
          <w:p w14:paraId="2619EAE6">
            <w:pPr>
              <w:ind w:firstLine="0" w:firstLineChars="0"/>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21.1</w:t>
            </w:r>
          </w:p>
        </w:tc>
        <w:tc>
          <w:tcPr>
            <w:tcW w:w="2055" w:type="dxa"/>
            <w:tcBorders>
              <w:tl2br w:val="nil"/>
              <w:tr2bl w:val="nil"/>
            </w:tcBorders>
            <w:vAlign w:val="center"/>
          </w:tcPr>
          <w:p w14:paraId="4B553F76">
            <w:pPr>
              <w:rPr>
                <w:color w:val="auto"/>
              </w:rPr>
            </w:pPr>
            <w:r>
              <w:rPr>
                <w:rFonts w:hint="eastAsia"/>
                <w:color w:val="auto"/>
              </w:rPr>
              <w:t>磋商办法</w:t>
            </w:r>
          </w:p>
        </w:tc>
        <w:tc>
          <w:tcPr>
            <w:tcW w:w="6374" w:type="dxa"/>
            <w:tcBorders>
              <w:tl2br w:val="nil"/>
              <w:tr2bl w:val="nil"/>
            </w:tcBorders>
            <w:vAlign w:val="center"/>
          </w:tcPr>
          <w:p w14:paraId="20707DC4">
            <w:pPr>
              <w:rPr>
                <w:b/>
                <w:bCs/>
                <w:color w:val="auto"/>
              </w:rPr>
            </w:pPr>
            <w:r>
              <w:rPr>
                <w:rFonts w:hint="eastAsia"/>
                <w:color w:val="auto"/>
              </w:rPr>
              <w:t>1、磋商小组要求所有实质性响应的供应商</w:t>
            </w:r>
            <w:r>
              <w:rPr>
                <w:rFonts w:hint="eastAsia"/>
                <w:b/>
                <w:color w:val="auto"/>
              </w:rPr>
              <w:t>在规定时间内提交最后报价，</w:t>
            </w:r>
            <w:r>
              <w:rPr>
                <w:rFonts w:hint="eastAsia"/>
                <w:color w:val="auto"/>
              </w:rPr>
              <w:t>最后报价必须在磋商小组要求的时间内通过河南省公共资源交易中心登录远程开标大厅进行，不得以口头形式报价。</w:t>
            </w:r>
            <w:r>
              <w:rPr>
                <w:rFonts w:hint="eastAsia"/>
                <w:b/>
                <w:bCs/>
                <w:color w:val="auto"/>
              </w:rPr>
              <w:t>后次报价不得高于前次报价，最后报价是供应商响应文件的有效组成部分。</w:t>
            </w:r>
          </w:p>
          <w:p w14:paraId="16959143">
            <w:pPr>
              <w:rPr>
                <w:color w:val="auto"/>
              </w:rPr>
            </w:pPr>
            <w:r>
              <w:rPr>
                <w:rFonts w:hint="eastAsia"/>
                <w:color w:val="auto"/>
              </w:rPr>
              <w:t>2、经磋商确定提交最后报价的供应商后，由磋商小组采用综合评分法对提交最后报价的供应商的响应文件和最后报价进行综合评分。综合评分法是指响应文件满足磋商文件全部实质性要求且按评审因素的量化指标评审得分最高的供应商为成交供应商的评审办法。</w:t>
            </w:r>
          </w:p>
          <w:p w14:paraId="02F26EA4">
            <w:pPr>
              <w:rPr>
                <w:color w:val="auto"/>
              </w:rPr>
            </w:pPr>
            <w:r>
              <w:rPr>
                <w:rFonts w:hint="eastAsia"/>
                <w:color w:val="auto"/>
              </w:rPr>
              <w:t>3、供应商未在规定时间内提交最后磋商报价的，其响应文件按无效响应处理。</w:t>
            </w:r>
          </w:p>
        </w:tc>
      </w:tr>
      <w:tr w14:paraId="7418A52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1156" w:type="dxa"/>
            <w:vMerge w:val="restart"/>
            <w:tcBorders>
              <w:tl2br w:val="nil"/>
              <w:tr2bl w:val="nil"/>
            </w:tcBorders>
            <w:vAlign w:val="center"/>
          </w:tcPr>
          <w:p w14:paraId="5DFCD065">
            <w:pPr>
              <w:ind w:firstLine="0" w:firstLineChars="0"/>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21.2</w:t>
            </w:r>
          </w:p>
        </w:tc>
        <w:tc>
          <w:tcPr>
            <w:tcW w:w="2055" w:type="dxa"/>
            <w:tcBorders>
              <w:tl2br w:val="nil"/>
              <w:tr2bl w:val="nil"/>
            </w:tcBorders>
            <w:vAlign w:val="center"/>
          </w:tcPr>
          <w:p w14:paraId="46D3AB07">
            <w:pPr>
              <w:pStyle w:val="177"/>
              <w:rPr>
                <w:rFonts w:hint="eastAsia"/>
                <w:color w:val="auto"/>
              </w:rPr>
            </w:pPr>
            <w:r>
              <w:rPr>
                <w:rFonts w:hint="eastAsia"/>
                <w:color w:val="auto"/>
              </w:rPr>
              <w:t>优先采购节能产品（如有）</w:t>
            </w:r>
          </w:p>
        </w:tc>
        <w:tc>
          <w:tcPr>
            <w:tcW w:w="6374" w:type="dxa"/>
            <w:tcBorders>
              <w:tl2br w:val="nil"/>
              <w:tr2bl w:val="nil"/>
            </w:tcBorders>
            <w:vAlign w:val="center"/>
          </w:tcPr>
          <w:p w14:paraId="4154FA71">
            <w:pPr>
              <w:pStyle w:val="177"/>
              <w:rPr>
                <w:rFonts w:hint="eastAsia"/>
                <w:color w:val="auto"/>
              </w:rPr>
            </w:pPr>
            <w:r>
              <w:rPr>
                <w:rFonts w:hint="eastAsia"/>
                <w:color w:val="auto"/>
              </w:rPr>
              <w:t>如采购人所采购产品为《关于印发节能产品政府采购品目清单的通知》财库〔2019〕19号“节能产品政府采购品目清单”中，非标记“★”产品并经“机构名录”中的认证机构出具相应的产品认证证书的给于优先采购体现，详见磋商评审办法</w:t>
            </w:r>
          </w:p>
        </w:tc>
      </w:tr>
      <w:tr w14:paraId="77990A2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156" w:type="dxa"/>
            <w:vMerge w:val="continue"/>
            <w:tcBorders>
              <w:tl2br w:val="nil"/>
              <w:tr2bl w:val="nil"/>
            </w:tcBorders>
            <w:vAlign w:val="center"/>
          </w:tcPr>
          <w:p w14:paraId="7084BCC8">
            <w:pPr>
              <w:jc w:val="center"/>
              <w:rPr>
                <w:rFonts w:hint="eastAsia" w:asciiTheme="minorEastAsia" w:hAnsiTheme="minorEastAsia" w:eastAsiaTheme="minorEastAsia" w:cstheme="minorEastAsia"/>
                <w:color w:val="auto"/>
                <w:szCs w:val="21"/>
              </w:rPr>
            </w:pPr>
          </w:p>
        </w:tc>
        <w:tc>
          <w:tcPr>
            <w:tcW w:w="2055" w:type="dxa"/>
            <w:tcBorders>
              <w:tl2br w:val="nil"/>
              <w:tr2bl w:val="nil"/>
            </w:tcBorders>
            <w:vAlign w:val="center"/>
          </w:tcPr>
          <w:p w14:paraId="2F4B28FD">
            <w:pPr>
              <w:pStyle w:val="177"/>
              <w:rPr>
                <w:rFonts w:hint="eastAsia"/>
                <w:color w:val="auto"/>
              </w:rPr>
            </w:pPr>
            <w:r>
              <w:rPr>
                <w:rFonts w:hint="eastAsia"/>
                <w:color w:val="auto"/>
              </w:rPr>
              <w:t>优先采购环境标志产品（如有）</w:t>
            </w:r>
          </w:p>
        </w:tc>
        <w:tc>
          <w:tcPr>
            <w:tcW w:w="6374" w:type="dxa"/>
            <w:tcBorders>
              <w:tl2br w:val="nil"/>
              <w:tr2bl w:val="nil"/>
            </w:tcBorders>
            <w:vAlign w:val="center"/>
          </w:tcPr>
          <w:p w14:paraId="71702DC6">
            <w:pPr>
              <w:pStyle w:val="177"/>
              <w:rPr>
                <w:rFonts w:hint="eastAsia"/>
                <w:color w:val="auto"/>
              </w:rPr>
            </w:pPr>
            <w:r>
              <w:rPr>
                <w:rFonts w:hint="eastAsia"/>
                <w:color w:val="auto"/>
              </w:rPr>
              <w:t>采购人采购产品属于环境标志产品品目清单范围内，且供应商产品具有有效期内的环境标志产品认证证书，予以优先采购，具体优惠措施为：如果采购项目包有多种设备，在技术部分打分项中给于优先采购体现。详见磋商评审办法</w:t>
            </w:r>
          </w:p>
        </w:tc>
      </w:tr>
      <w:tr w14:paraId="6B8995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1156" w:type="dxa"/>
            <w:vMerge w:val="continue"/>
            <w:tcBorders>
              <w:tl2br w:val="nil"/>
              <w:tr2bl w:val="nil"/>
            </w:tcBorders>
            <w:vAlign w:val="center"/>
          </w:tcPr>
          <w:p w14:paraId="45275282">
            <w:pPr>
              <w:jc w:val="center"/>
              <w:rPr>
                <w:rFonts w:hint="eastAsia" w:asciiTheme="minorEastAsia" w:hAnsiTheme="minorEastAsia" w:eastAsiaTheme="minorEastAsia" w:cstheme="minorEastAsia"/>
                <w:color w:val="auto"/>
                <w:szCs w:val="21"/>
              </w:rPr>
            </w:pPr>
          </w:p>
        </w:tc>
        <w:tc>
          <w:tcPr>
            <w:tcW w:w="2055" w:type="dxa"/>
            <w:tcBorders>
              <w:tl2br w:val="nil"/>
              <w:tr2bl w:val="nil"/>
            </w:tcBorders>
            <w:vAlign w:val="center"/>
          </w:tcPr>
          <w:p w14:paraId="10952510">
            <w:pPr>
              <w:pStyle w:val="177"/>
              <w:rPr>
                <w:rFonts w:hint="eastAsia"/>
                <w:color w:val="auto"/>
              </w:rPr>
            </w:pPr>
            <w:r>
              <w:rPr>
                <w:rFonts w:hint="eastAsia"/>
                <w:color w:val="auto"/>
              </w:rPr>
              <w:t>优先采购列入无线局域网产品（如有）</w:t>
            </w:r>
          </w:p>
        </w:tc>
        <w:tc>
          <w:tcPr>
            <w:tcW w:w="6374" w:type="dxa"/>
            <w:tcBorders>
              <w:tl2br w:val="nil"/>
              <w:tr2bl w:val="nil"/>
            </w:tcBorders>
            <w:vAlign w:val="center"/>
          </w:tcPr>
          <w:p w14:paraId="44BB9680">
            <w:pPr>
              <w:pStyle w:val="177"/>
              <w:rPr>
                <w:rFonts w:hint="eastAsia"/>
                <w:color w:val="auto"/>
              </w:rPr>
            </w:pPr>
            <w:r>
              <w:rPr>
                <w:rFonts w:hint="eastAsia"/>
                <w:color w:val="auto"/>
              </w:rPr>
              <w:t>供应商产品列入“财政部国家发展改革委信息产业部关于印发无线局域网产品政府采购实施意见的通知财库［2005］366号”无线局域网产品清单的，予以优先采购，具体优惠措施为：如果采购项目包有多种设备，在技术部分打分项中给于优先采购体现。详见磋商评审办法</w:t>
            </w:r>
          </w:p>
        </w:tc>
      </w:tr>
      <w:tr w14:paraId="442E984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26" w:hRule="atLeast"/>
          <w:jc w:val="center"/>
        </w:trPr>
        <w:tc>
          <w:tcPr>
            <w:tcW w:w="1156" w:type="dxa"/>
            <w:tcBorders>
              <w:tl2br w:val="nil"/>
              <w:tr2bl w:val="nil"/>
            </w:tcBorders>
            <w:vAlign w:val="center"/>
          </w:tcPr>
          <w:p w14:paraId="18382F28">
            <w:pPr>
              <w:ind w:firstLine="0" w:firstLineChars="0"/>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21.3</w:t>
            </w:r>
          </w:p>
        </w:tc>
        <w:tc>
          <w:tcPr>
            <w:tcW w:w="2055" w:type="dxa"/>
            <w:tcBorders>
              <w:tl2br w:val="nil"/>
              <w:tr2bl w:val="nil"/>
            </w:tcBorders>
            <w:vAlign w:val="center"/>
          </w:tcPr>
          <w:p w14:paraId="3E75D019">
            <w:pPr>
              <w:ind w:firstLine="0" w:firstLineChars="0"/>
              <w:rPr>
                <w:color w:val="auto"/>
              </w:rPr>
            </w:pPr>
            <w:r>
              <w:rPr>
                <w:rFonts w:hint="eastAsia"/>
                <w:color w:val="auto"/>
              </w:rPr>
              <w:t>投标（响应）文件</w:t>
            </w:r>
          </w:p>
          <w:p w14:paraId="48BD1C42">
            <w:pPr>
              <w:pStyle w:val="177"/>
              <w:rPr>
                <w:rFonts w:hint="eastAsia"/>
                <w:color w:val="auto"/>
              </w:rPr>
            </w:pPr>
            <w:r>
              <w:rPr>
                <w:rFonts w:hint="eastAsia"/>
                <w:color w:val="auto"/>
              </w:rPr>
              <w:t>无效的其他情形</w:t>
            </w:r>
          </w:p>
        </w:tc>
        <w:tc>
          <w:tcPr>
            <w:tcW w:w="6374" w:type="dxa"/>
            <w:tcBorders>
              <w:tl2br w:val="nil"/>
              <w:tr2bl w:val="nil"/>
            </w:tcBorders>
            <w:vAlign w:val="center"/>
          </w:tcPr>
          <w:p w14:paraId="19F1ED44">
            <w:pPr>
              <w:pStyle w:val="177"/>
              <w:rPr>
                <w:rFonts w:hint="eastAsia"/>
                <w:snapToGrid w:val="0"/>
                <w:color w:val="auto"/>
              </w:rPr>
            </w:pPr>
            <w:r>
              <w:rPr>
                <w:rFonts w:hint="eastAsia"/>
                <w:snapToGrid w:val="0"/>
                <w:color w:val="auto"/>
              </w:rPr>
              <w:t>根据《河南省财政厅关于防范供应商串通投标促进政府采购公平竞争的通知》（豫财购﹝2021﹞6号）规定，参与同一个标段（包）的供应商存在下列情形之一的，其投标（响应）文件无效：</w:t>
            </w:r>
          </w:p>
          <w:p w14:paraId="712802A5">
            <w:pPr>
              <w:pStyle w:val="177"/>
              <w:rPr>
                <w:rFonts w:hint="eastAsia"/>
                <w:snapToGrid w:val="0"/>
                <w:color w:val="auto"/>
              </w:rPr>
            </w:pPr>
            <w:r>
              <w:rPr>
                <w:rFonts w:hint="eastAsia"/>
                <w:snapToGrid w:val="0"/>
                <w:color w:val="auto"/>
              </w:rPr>
              <w:t>（一）不同供应商的电子投标（响应）文件上传计算机的网卡MAC地址、CPU序列号和硬盘序列号等硬件信息相同的；</w:t>
            </w:r>
          </w:p>
          <w:p w14:paraId="26FA75F2">
            <w:pPr>
              <w:pStyle w:val="177"/>
              <w:rPr>
                <w:rFonts w:hint="eastAsia"/>
                <w:snapToGrid w:val="0"/>
                <w:color w:val="auto"/>
              </w:rPr>
            </w:pPr>
            <w:r>
              <w:rPr>
                <w:rFonts w:hint="eastAsia"/>
                <w:snapToGrid w:val="0"/>
                <w:color w:val="auto"/>
              </w:rPr>
              <w:t>（二）不同供应商的投标（响应）文件由同一电子设备编制、打印加密或者上传；</w:t>
            </w:r>
          </w:p>
          <w:p w14:paraId="718B7E15">
            <w:pPr>
              <w:pStyle w:val="177"/>
              <w:rPr>
                <w:rFonts w:hint="eastAsia"/>
                <w:snapToGrid w:val="0"/>
                <w:color w:val="auto"/>
              </w:rPr>
            </w:pPr>
            <w:r>
              <w:rPr>
                <w:rFonts w:hint="eastAsia"/>
                <w:snapToGrid w:val="0"/>
                <w:color w:val="auto"/>
              </w:rPr>
              <w:t>（三）不同供应商的投标（响应）文件由同一电子设备打印、复印；</w:t>
            </w:r>
          </w:p>
          <w:p w14:paraId="0F70DC2D">
            <w:pPr>
              <w:pStyle w:val="177"/>
              <w:rPr>
                <w:rFonts w:hint="eastAsia"/>
                <w:snapToGrid w:val="0"/>
                <w:color w:val="auto"/>
              </w:rPr>
            </w:pPr>
            <w:r>
              <w:rPr>
                <w:rFonts w:hint="eastAsia"/>
                <w:snapToGrid w:val="0"/>
                <w:color w:val="auto"/>
              </w:rPr>
              <w:t>（四）不同供应商的投标（响应）文件由同一人送达或者分发，或者不同供应商联系人为同一人或不同联系人的联系电话一致的；</w:t>
            </w:r>
          </w:p>
          <w:p w14:paraId="77BB573A">
            <w:pPr>
              <w:pStyle w:val="177"/>
              <w:rPr>
                <w:rFonts w:hint="eastAsia"/>
                <w:snapToGrid w:val="0"/>
                <w:color w:val="auto"/>
              </w:rPr>
            </w:pPr>
            <w:r>
              <w:rPr>
                <w:rFonts w:hint="eastAsia"/>
                <w:snapToGrid w:val="0"/>
                <w:color w:val="auto"/>
              </w:rPr>
              <w:t>（五）不同供应商的投标（响应）文件的内容存在两处以上细节错误一致；</w:t>
            </w:r>
          </w:p>
          <w:p w14:paraId="690E44B4">
            <w:pPr>
              <w:pStyle w:val="177"/>
              <w:rPr>
                <w:rFonts w:hint="eastAsia"/>
                <w:snapToGrid w:val="0"/>
                <w:color w:val="auto"/>
              </w:rPr>
            </w:pPr>
            <w:r>
              <w:rPr>
                <w:rFonts w:hint="eastAsia"/>
                <w:snapToGrid w:val="0"/>
                <w:color w:val="auto"/>
              </w:rPr>
              <w:t>（六）不同供应商的法定代表人、委托代理人、项目经理、项目负责人等由同一个单位缴纳社会保险或者领取报酬的；</w:t>
            </w:r>
          </w:p>
          <w:p w14:paraId="636E9850">
            <w:pPr>
              <w:pStyle w:val="177"/>
              <w:rPr>
                <w:rFonts w:hint="eastAsia"/>
                <w:snapToGrid w:val="0"/>
                <w:color w:val="auto"/>
              </w:rPr>
            </w:pPr>
            <w:r>
              <w:rPr>
                <w:rFonts w:hint="eastAsia"/>
                <w:snapToGrid w:val="0"/>
                <w:color w:val="auto"/>
              </w:rPr>
              <w:t>（七）不同供应商投标（响应）文件中法定代表人或者负责人签字出自同一人之手；</w:t>
            </w:r>
          </w:p>
          <w:p w14:paraId="24D6169F">
            <w:pPr>
              <w:pStyle w:val="177"/>
              <w:rPr>
                <w:rFonts w:hint="eastAsia"/>
                <w:color w:val="auto"/>
              </w:rPr>
            </w:pPr>
            <w:r>
              <w:rPr>
                <w:rFonts w:hint="eastAsia"/>
                <w:snapToGrid w:val="0"/>
                <w:color w:val="auto"/>
              </w:rPr>
              <w:t>（八）其它涉嫌串通的情形。</w:t>
            </w:r>
          </w:p>
        </w:tc>
      </w:tr>
      <w:tr w14:paraId="60C16A6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26" w:hRule="atLeast"/>
          <w:jc w:val="center"/>
        </w:trPr>
        <w:tc>
          <w:tcPr>
            <w:tcW w:w="1156" w:type="dxa"/>
            <w:tcBorders>
              <w:tl2br w:val="nil"/>
              <w:tr2bl w:val="nil"/>
            </w:tcBorders>
            <w:vAlign w:val="center"/>
          </w:tcPr>
          <w:p w14:paraId="4A9465FC">
            <w:pPr>
              <w:ind w:firstLine="0" w:firstLineChars="0"/>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21.4</w:t>
            </w:r>
          </w:p>
        </w:tc>
        <w:tc>
          <w:tcPr>
            <w:tcW w:w="2055" w:type="dxa"/>
            <w:tcBorders>
              <w:tl2br w:val="nil"/>
              <w:tr2bl w:val="nil"/>
            </w:tcBorders>
            <w:vAlign w:val="center"/>
          </w:tcPr>
          <w:p w14:paraId="3A1942FF">
            <w:pPr>
              <w:ind w:firstLine="0" w:firstLineChars="0"/>
              <w:rPr>
                <w:snapToGrid w:val="0"/>
                <w:color w:val="auto"/>
                <w:lang w:bidi="zh-CN"/>
              </w:rPr>
            </w:pPr>
            <w:r>
              <w:rPr>
                <w:rFonts w:hint="eastAsia"/>
                <w:snapToGrid w:val="0"/>
                <w:color w:val="auto"/>
                <w:lang w:bidi="zh-CN"/>
              </w:rPr>
              <w:t>关于规范非招标采购方式政府采购项目二次报价（或最终报价）的有关通知</w:t>
            </w:r>
          </w:p>
        </w:tc>
        <w:tc>
          <w:tcPr>
            <w:tcW w:w="6374" w:type="dxa"/>
            <w:tcBorders>
              <w:tl2br w:val="nil"/>
              <w:tr2bl w:val="nil"/>
            </w:tcBorders>
            <w:vAlign w:val="center"/>
          </w:tcPr>
          <w:p w14:paraId="762C114B">
            <w:pPr>
              <w:pStyle w:val="177"/>
              <w:rPr>
                <w:rFonts w:hint="eastAsia"/>
                <w:snapToGrid w:val="0"/>
                <w:color w:val="auto"/>
              </w:rPr>
            </w:pPr>
            <w:r>
              <w:rPr>
                <w:rFonts w:hint="eastAsia"/>
                <w:snapToGrid w:val="0"/>
                <w:color w:val="auto"/>
              </w:rPr>
              <w:t>各市场主体：</w:t>
            </w:r>
          </w:p>
          <w:p w14:paraId="13A0503A">
            <w:pPr>
              <w:pStyle w:val="177"/>
              <w:rPr>
                <w:rFonts w:hint="eastAsia"/>
                <w:snapToGrid w:val="0"/>
                <w:color w:val="auto"/>
              </w:rPr>
            </w:pPr>
            <w:r>
              <w:rPr>
                <w:rFonts w:hint="eastAsia"/>
                <w:snapToGrid w:val="0"/>
                <w:color w:val="auto"/>
              </w:rPr>
              <w:t>为规范非招标采购方式政府采购项目二次报价（或最终报价），现通知如下：</w:t>
            </w:r>
          </w:p>
          <w:p w14:paraId="08327CCB">
            <w:pPr>
              <w:pStyle w:val="177"/>
              <w:rPr>
                <w:rFonts w:hint="eastAsia"/>
                <w:snapToGrid w:val="0"/>
                <w:color w:val="auto"/>
              </w:rPr>
            </w:pPr>
            <w:r>
              <w:rPr>
                <w:rFonts w:hint="eastAsia"/>
                <w:snapToGrid w:val="0"/>
                <w:color w:val="auto"/>
              </w:rPr>
              <w:t xml:space="preserve">    一、采用竞争性谈判和竞争性磋商方式进行交易的项目，二次报价（或最终报价）通知信息以市场主体系统右上角</w:t>
            </w:r>
            <w:r>
              <w:rPr>
                <w:rFonts w:hint="eastAsia"/>
                <w:b/>
                <w:bCs/>
                <w:snapToGrid w:val="0"/>
                <w:color w:val="auto"/>
              </w:rPr>
              <w:t>系统提醒——开标提醒</w:t>
            </w:r>
            <w:r>
              <w:rPr>
                <w:rFonts w:hint="eastAsia"/>
                <w:snapToGrid w:val="0"/>
                <w:color w:val="auto"/>
              </w:rPr>
              <w:t>的推送时间为准！系统自评委点击发送二次报价（或最终报价）通知时开始计时，</w:t>
            </w:r>
            <w:r>
              <w:rPr>
                <w:rFonts w:hint="eastAsia"/>
                <w:b/>
                <w:bCs/>
                <w:snapToGrid w:val="0"/>
                <w:color w:val="auto"/>
              </w:rPr>
              <w:t>请各潜在投标人及时关注系统提醒，在规定的时间内完成二次报价（或最终报价）</w:t>
            </w:r>
            <w:r>
              <w:rPr>
                <w:rFonts w:hint="eastAsia"/>
                <w:snapToGrid w:val="0"/>
                <w:color w:val="auto"/>
              </w:rPr>
              <w:t>。</w:t>
            </w:r>
          </w:p>
          <w:p w14:paraId="13EA224F">
            <w:pPr>
              <w:pStyle w:val="177"/>
              <w:rPr>
                <w:rFonts w:hint="eastAsia"/>
                <w:snapToGrid w:val="0"/>
                <w:color w:val="auto"/>
              </w:rPr>
            </w:pPr>
            <w:r>
              <w:rPr>
                <w:rFonts w:hint="eastAsia"/>
                <w:snapToGrid w:val="0"/>
                <w:color w:val="auto"/>
              </w:rPr>
              <w:t xml:space="preserve">    二、评委点击发送二次报价（或最终报价）通知后，系统同时会以手机短信形式发送信息，手机短信提醒可能因运营商网络问题造成延误。无论收到手机短信提醒与否，均不作为二次报价（或最终报价）开始的依据。</w:t>
            </w:r>
          </w:p>
          <w:p w14:paraId="1832EAC5">
            <w:pPr>
              <w:pStyle w:val="177"/>
              <w:rPr>
                <w:rFonts w:hint="eastAsia"/>
                <w:snapToGrid w:val="0"/>
                <w:color w:val="auto"/>
              </w:rPr>
            </w:pPr>
            <w:r>
              <w:rPr>
                <w:rFonts w:hint="eastAsia"/>
                <w:snapToGrid w:val="0"/>
                <w:color w:val="auto"/>
              </w:rPr>
              <w:t>特此通知！</w:t>
            </w:r>
          </w:p>
          <w:p w14:paraId="746558A3">
            <w:pPr>
              <w:pStyle w:val="177"/>
              <w:rPr>
                <w:rFonts w:hint="eastAsia"/>
                <w:snapToGrid w:val="0"/>
                <w:color w:val="auto"/>
              </w:rPr>
            </w:pPr>
            <w:r>
              <w:rPr>
                <w:rFonts w:hint="eastAsia"/>
                <w:snapToGrid w:val="0"/>
                <w:color w:val="auto"/>
              </w:rPr>
              <w:t xml:space="preserve">                                河南省公共资源交易中心</w:t>
            </w:r>
          </w:p>
          <w:p w14:paraId="6F065395">
            <w:pPr>
              <w:rPr>
                <w:snapToGrid w:val="0"/>
                <w:color w:val="auto"/>
                <w:lang w:bidi="zh-CN"/>
              </w:rPr>
            </w:pPr>
            <w:r>
              <w:rPr>
                <w:rFonts w:hint="eastAsia"/>
                <w:snapToGrid w:val="0"/>
                <w:color w:val="auto"/>
              </w:rPr>
              <w:t xml:space="preserve">                                </w:t>
            </w:r>
            <w:r>
              <w:rPr>
                <w:rFonts w:hint="eastAsia" w:asciiTheme="minorEastAsia" w:hAnsiTheme="minorEastAsia" w:eastAsiaTheme="minorEastAsia" w:cstheme="minorEastAsia"/>
                <w:snapToGrid w:val="0"/>
                <w:color w:val="auto"/>
              </w:rPr>
              <w:t> 2023年3月20日</w:t>
            </w:r>
          </w:p>
        </w:tc>
      </w:tr>
      <w:tr w14:paraId="00E8EE1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26" w:hRule="atLeast"/>
          <w:jc w:val="center"/>
        </w:trPr>
        <w:tc>
          <w:tcPr>
            <w:tcW w:w="1156" w:type="dxa"/>
            <w:tcBorders>
              <w:tl2br w:val="nil"/>
              <w:tr2bl w:val="nil"/>
            </w:tcBorders>
            <w:vAlign w:val="center"/>
          </w:tcPr>
          <w:p w14:paraId="771B9ADA">
            <w:pPr>
              <w:jc w:val="center"/>
              <w:rPr>
                <w:rFonts w:hint="eastAsia" w:asciiTheme="minorEastAsia" w:hAnsiTheme="minorEastAsia" w:eastAsiaTheme="minorEastAsia" w:cstheme="minorEastAsia"/>
                <w:color w:val="auto"/>
                <w:szCs w:val="21"/>
              </w:rPr>
            </w:pPr>
            <w:bookmarkStart w:id="24" w:name="_Toc1315"/>
            <w:bookmarkStart w:id="25" w:name="_Toc16728"/>
            <w:r>
              <w:rPr>
                <w:rFonts w:hint="eastAsia" w:asciiTheme="minorEastAsia" w:hAnsiTheme="minorEastAsia" w:eastAsiaTheme="minorEastAsia" w:cstheme="minorEastAsia"/>
                <w:color w:val="auto"/>
                <w:szCs w:val="21"/>
              </w:rPr>
              <w:t>21.5</w:t>
            </w:r>
          </w:p>
        </w:tc>
        <w:tc>
          <w:tcPr>
            <w:tcW w:w="2055" w:type="dxa"/>
            <w:tcBorders>
              <w:tl2br w:val="nil"/>
              <w:tr2bl w:val="nil"/>
            </w:tcBorders>
            <w:vAlign w:val="center"/>
          </w:tcPr>
          <w:p w14:paraId="79108831">
            <w:pPr>
              <w:pStyle w:val="177"/>
              <w:rPr>
                <w:rFonts w:hint="eastAsia"/>
                <w:snapToGrid w:val="0"/>
                <w:color w:val="auto"/>
              </w:rPr>
            </w:pPr>
            <w:r>
              <w:rPr>
                <w:rFonts w:hint="eastAsia"/>
                <w:snapToGrid w:val="0"/>
                <w:color w:val="auto"/>
              </w:rPr>
              <w:t>需要补充的其它内容</w:t>
            </w:r>
          </w:p>
        </w:tc>
        <w:tc>
          <w:tcPr>
            <w:tcW w:w="6374" w:type="dxa"/>
            <w:tcBorders>
              <w:tl2br w:val="nil"/>
              <w:tr2bl w:val="nil"/>
            </w:tcBorders>
          </w:tcPr>
          <w:p w14:paraId="0A45A854">
            <w:pPr>
              <w:pStyle w:val="177"/>
              <w:rPr>
                <w:rFonts w:hint="eastAsia"/>
                <w:snapToGrid w:val="0"/>
                <w:color w:val="auto"/>
              </w:rPr>
            </w:pPr>
            <w:r>
              <w:rPr>
                <w:rFonts w:hint="eastAsia"/>
                <w:snapToGrid w:val="0"/>
                <w:color w:val="auto"/>
              </w:rPr>
              <w:t>对本国产品的支持政策：</w:t>
            </w:r>
          </w:p>
          <w:p w14:paraId="2D5760FA">
            <w:pPr>
              <w:pStyle w:val="177"/>
              <w:rPr>
                <w:rFonts w:hint="eastAsia"/>
                <w:snapToGrid w:val="0"/>
                <w:color w:val="auto"/>
              </w:rPr>
            </w:pPr>
            <w:r>
              <w:rPr>
                <w:rFonts w:hint="eastAsia"/>
                <w:snapToGrid w:val="0"/>
                <w:color w:val="auto"/>
              </w:rPr>
              <w:t>1、投标供应商须对其提供的产品出具《关于符合本国产品标准的声明函》或财政部会同有关部门规定的有关证明文件。</w:t>
            </w:r>
          </w:p>
          <w:p w14:paraId="0C303515">
            <w:pPr>
              <w:pStyle w:val="177"/>
              <w:rPr>
                <w:rFonts w:hint="eastAsia"/>
                <w:snapToGrid w:val="0"/>
                <w:color w:val="auto"/>
              </w:rPr>
            </w:pPr>
            <w:r>
              <w:rPr>
                <w:rFonts w:hint="eastAsia"/>
                <w:snapToGrid w:val="0"/>
                <w:color w:val="auto"/>
              </w:rPr>
              <w:t>2、政府采购活动中既有本国产品又有非本国产品参与竞争的，依法对本国产品给予价格评审优惠，对本国产品的报价给予 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 20%的价格扣除，用扣除后的价格参与评审。</w:t>
            </w:r>
          </w:p>
          <w:p w14:paraId="30712D70">
            <w:pPr>
              <w:pStyle w:val="177"/>
              <w:rPr>
                <w:rFonts w:hint="eastAsia"/>
                <w:snapToGrid w:val="0"/>
                <w:color w:val="auto"/>
              </w:rPr>
            </w:pPr>
            <w:r>
              <w:rPr>
                <w:rFonts w:hint="eastAsia"/>
                <w:snapToGrid w:val="0"/>
                <w:color w:val="auto"/>
              </w:rPr>
              <w:t>3、评标委员会须根据《国务院办公厅关于在政府采购中实施本国产品标准及相关政策的通知》（国办发〔2025〕34号）的规定，对供应商所出具的《关于符合本国产品标准的声明函》（以下简称《声明函》）的完整性、准确性进行审查，评审中发现《声明函》内容含义不明确、同类事项与投标（响应）文件表述不一致或者有明显文字错误等情况的，应当以书面形式要求供应商作出必要的澄清、说明或者补正。经澄清、说明或者补正的《声明函》仍然不符合《通知》规定要求的，供应商提供的相关产品视为不符合本国产品标准。</w:t>
            </w:r>
          </w:p>
        </w:tc>
      </w:tr>
    </w:tbl>
    <w:p w14:paraId="0303B2DE">
      <w:pPr>
        <w:rPr>
          <w:color w:val="auto"/>
        </w:rPr>
      </w:pPr>
      <w:r>
        <w:rPr>
          <w:rFonts w:hint="eastAsia"/>
          <w:color w:val="auto"/>
        </w:rPr>
        <w:t>注：表格中“□”项或“</w:t>
      </w:r>
      <w:r>
        <w:rPr>
          <w:rFonts w:hint="eastAsia"/>
          <w:color w:val="auto"/>
        </w:rPr>
        <w:sym w:font="Wingdings" w:char="F0FE"/>
      </w:r>
      <w:r>
        <w:rPr>
          <w:rFonts w:hint="eastAsia"/>
          <w:color w:val="auto"/>
        </w:rPr>
        <w:t>”项为被选中项。</w:t>
      </w:r>
    </w:p>
    <w:p w14:paraId="3FF1AA71">
      <w:pPr>
        <w:rPr>
          <w:color w:val="auto"/>
        </w:rPr>
        <w:sectPr>
          <w:footerReference r:id="rId12" w:type="first"/>
          <w:footerReference r:id="rId11" w:type="default"/>
          <w:pgSz w:w="11906" w:h="16838"/>
          <w:pgMar w:top="1418" w:right="1418" w:bottom="1417" w:left="1701" w:header="851" w:footer="992" w:gutter="0"/>
          <w:cols w:space="720" w:num="1"/>
          <w:docGrid w:type="lines" w:linePitch="312" w:charSpace="0"/>
        </w:sectPr>
      </w:pPr>
    </w:p>
    <w:bookmarkEnd w:id="24"/>
    <w:bookmarkEnd w:id="25"/>
    <w:p w14:paraId="35249471">
      <w:pPr>
        <w:pStyle w:val="4"/>
        <w:ind w:firstLine="643"/>
        <w:rPr>
          <w:color w:val="auto"/>
        </w:rPr>
      </w:pPr>
      <w:bookmarkStart w:id="26" w:name="_Toc70524419"/>
      <w:bookmarkStart w:id="27" w:name="_Toc433093354"/>
      <w:bookmarkStart w:id="28" w:name="_Toc11036"/>
      <w:r>
        <w:rPr>
          <w:rFonts w:hint="eastAsia"/>
          <w:color w:val="auto"/>
        </w:rPr>
        <w:t>1、总则</w:t>
      </w:r>
      <w:bookmarkEnd w:id="26"/>
    </w:p>
    <w:p w14:paraId="575F870B">
      <w:pPr>
        <w:pStyle w:val="94"/>
        <w:ind w:firstLine="420"/>
        <w:rPr>
          <w:rFonts w:hint="eastAsia"/>
          <w:b w:val="0"/>
          <w:bCs w:val="0"/>
          <w:color w:val="auto"/>
        </w:rPr>
      </w:pPr>
      <w:bookmarkStart w:id="29" w:name="BM1_1_项目概况"/>
      <w:bookmarkEnd w:id="29"/>
      <w:r>
        <w:rPr>
          <w:rFonts w:hint="eastAsia"/>
          <w:b w:val="0"/>
          <w:bCs w:val="0"/>
          <w:color w:val="auto"/>
        </w:rPr>
        <w:t>1.1项目概况</w:t>
      </w:r>
    </w:p>
    <w:p w14:paraId="06CCA297">
      <w:pPr>
        <w:pStyle w:val="94"/>
        <w:ind w:firstLine="420"/>
        <w:rPr>
          <w:rFonts w:hint="eastAsia"/>
          <w:b w:val="0"/>
          <w:bCs w:val="0"/>
          <w:color w:val="auto"/>
        </w:rPr>
      </w:pPr>
      <w:r>
        <w:rPr>
          <w:rFonts w:hint="eastAsia"/>
          <w:b w:val="0"/>
          <w:bCs w:val="0"/>
          <w:color w:val="auto"/>
        </w:rPr>
        <w:t>1.1.1采购人：是指依法进行政府采购的国家机关、事业单位、团体组织。本项目的采购人见：</w:t>
      </w:r>
      <w:r>
        <w:rPr>
          <w:rFonts w:hint="eastAsia"/>
          <w:b w:val="0"/>
          <w:bCs w:val="0"/>
          <w:color w:val="auto"/>
          <w:u w:val="single"/>
        </w:rPr>
        <w:t>供应商须知前附表</w:t>
      </w:r>
      <w:r>
        <w:rPr>
          <w:rFonts w:hint="eastAsia"/>
          <w:b w:val="0"/>
          <w:bCs w:val="0"/>
          <w:color w:val="auto"/>
        </w:rPr>
        <w:t>。</w:t>
      </w:r>
    </w:p>
    <w:p w14:paraId="73863C6A">
      <w:pPr>
        <w:pStyle w:val="94"/>
        <w:ind w:firstLine="420"/>
        <w:rPr>
          <w:rFonts w:hint="eastAsia"/>
          <w:b w:val="0"/>
          <w:bCs w:val="0"/>
          <w:color w:val="auto"/>
        </w:rPr>
      </w:pPr>
      <w:r>
        <w:rPr>
          <w:rFonts w:hint="eastAsia"/>
          <w:b w:val="0"/>
          <w:bCs w:val="0"/>
          <w:color w:val="auto"/>
        </w:rPr>
        <w:t>1.1.2采购代理机构是指：</w:t>
      </w:r>
      <w:r>
        <w:rPr>
          <w:rFonts w:hint="eastAsia"/>
          <w:b w:val="0"/>
          <w:bCs w:val="0"/>
          <w:color w:val="auto"/>
          <w:u w:val="single"/>
        </w:rPr>
        <w:t>见供应商须知前附表。</w:t>
      </w:r>
    </w:p>
    <w:p w14:paraId="7FC8AC3C">
      <w:pPr>
        <w:pStyle w:val="94"/>
        <w:ind w:firstLine="420"/>
        <w:rPr>
          <w:rFonts w:hint="eastAsia"/>
          <w:b w:val="0"/>
          <w:bCs w:val="0"/>
          <w:color w:val="auto"/>
        </w:rPr>
      </w:pPr>
      <w:r>
        <w:rPr>
          <w:rFonts w:hint="eastAsia"/>
          <w:b w:val="0"/>
          <w:bCs w:val="0"/>
          <w:color w:val="auto"/>
        </w:rPr>
        <w:t>1.1.3采购项目名称：</w:t>
      </w:r>
      <w:r>
        <w:rPr>
          <w:rFonts w:hint="eastAsia"/>
          <w:b w:val="0"/>
          <w:bCs w:val="0"/>
          <w:color w:val="auto"/>
          <w:u w:val="single"/>
        </w:rPr>
        <w:t>见供应商须知前附表</w:t>
      </w:r>
      <w:r>
        <w:rPr>
          <w:rFonts w:hint="eastAsia"/>
          <w:b w:val="0"/>
          <w:bCs w:val="0"/>
          <w:color w:val="auto"/>
        </w:rPr>
        <w:t>。</w:t>
      </w:r>
    </w:p>
    <w:p w14:paraId="50847235">
      <w:pPr>
        <w:pStyle w:val="94"/>
        <w:ind w:firstLine="420"/>
        <w:rPr>
          <w:rFonts w:hint="eastAsia"/>
          <w:b w:val="0"/>
          <w:bCs w:val="0"/>
          <w:color w:val="auto"/>
        </w:rPr>
      </w:pPr>
      <w:r>
        <w:rPr>
          <w:rFonts w:hint="eastAsia"/>
          <w:b w:val="0"/>
          <w:bCs w:val="0"/>
          <w:color w:val="auto"/>
        </w:rPr>
        <w:t>1.1.4采购项目实施地点：</w:t>
      </w:r>
      <w:r>
        <w:rPr>
          <w:rFonts w:hint="eastAsia"/>
          <w:b w:val="0"/>
          <w:bCs w:val="0"/>
          <w:color w:val="auto"/>
          <w:u w:val="single"/>
        </w:rPr>
        <w:t>见供应商须知前附表</w:t>
      </w:r>
      <w:r>
        <w:rPr>
          <w:rFonts w:hint="eastAsia"/>
          <w:b w:val="0"/>
          <w:bCs w:val="0"/>
          <w:color w:val="auto"/>
        </w:rPr>
        <w:t>。</w:t>
      </w:r>
    </w:p>
    <w:p w14:paraId="041E3133">
      <w:pPr>
        <w:pStyle w:val="94"/>
        <w:ind w:firstLine="420"/>
        <w:rPr>
          <w:rFonts w:hint="eastAsia"/>
          <w:b w:val="0"/>
          <w:bCs w:val="0"/>
          <w:color w:val="auto"/>
        </w:rPr>
      </w:pPr>
      <w:r>
        <w:rPr>
          <w:rFonts w:hint="eastAsia"/>
          <w:b w:val="0"/>
          <w:bCs w:val="0"/>
          <w:color w:val="auto"/>
        </w:rPr>
        <w:t>1.1.5采购方式：竞争性磋商。采购人、采购代理机构通过组建竞争性磋商小组（以下简称磋商小组）与符合条件的供应商就采购</w:t>
      </w:r>
      <w:r>
        <w:rPr>
          <w:rFonts w:hint="eastAsia"/>
          <w:b w:val="0"/>
          <w:bCs w:val="0"/>
          <w:color w:val="auto"/>
          <w:u w:val="single"/>
        </w:rPr>
        <w:t xml:space="preserve"> 货物 </w:t>
      </w:r>
      <w:r>
        <w:rPr>
          <w:rFonts w:hint="eastAsia"/>
          <w:b w:val="0"/>
          <w:bCs w:val="0"/>
          <w:color w:val="auto"/>
        </w:rPr>
        <w:t>事宜进行磋商，供应商按照竞争性磋商文件（以下简称采购文件）的要求提交响应文件和报价，采购人从磋商小组评审后提出的候选供应商名单中确定成交供应商。</w:t>
      </w:r>
    </w:p>
    <w:p w14:paraId="1552321E">
      <w:pPr>
        <w:pStyle w:val="94"/>
        <w:ind w:firstLine="420"/>
        <w:rPr>
          <w:rFonts w:hint="eastAsia"/>
          <w:b w:val="0"/>
          <w:bCs w:val="0"/>
          <w:color w:val="auto"/>
        </w:rPr>
      </w:pPr>
      <w:bookmarkStart w:id="30" w:name="BM1_2_资金来源"/>
      <w:bookmarkEnd w:id="30"/>
      <w:r>
        <w:rPr>
          <w:rFonts w:hint="eastAsia"/>
          <w:b w:val="0"/>
          <w:bCs w:val="0"/>
          <w:color w:val="auto"/>
        </w:rPr>
        <w:t>1.2资金来源</w:t>
      </w:r>
    </w:p>
    <w:p w14:paraId="0D597268">
      <w:pPr>
        <w:pStyle w:val="94"/>
        <w:ind w:firstLine="420"/>
        <w:rPr>
          <w:rFonts w:hint="eastAsia"/>
          <w:b w:val="0"/>
          <w:bCs w:val="0"/>
          <w:color w:val="auto"/>
        </w:rPr>
      </w:pPr>
      <w:r>
        <w:rPr>
          <w:rFonts w:hint="eastAsia"/>
          <w:b w:val="0"/>
          <w:bCs w:val="0"/>
          <w:color w:val="auto"/>
        </w:rPr>
        <w:t>1.2.1本项目的采购人已获得足以支付本次采购后所签订合同项下的资金（包括财政性资金和本项目采购中无法与财政性资金分割的非财政性资金）。</w:t>
      </w:r>
    </w:p>
    <w:p w14:paraId="3B86BA87">
      <w:pPr>
        <w:pStyle w:val="94"/>
        <w:ind w:firstLine="420"/>
        <w:rPr>
          <w:rFonts w:hint="eastAsia"/>
          <w:b w:val="0"/>
          <w:bCs w:val="0"/>
          <w:color w:val="auto"/>
        </w:rPr>
      </w:pPr>
      <w:r>
        <w:rPr>
          <w:rFonts w:hint="eastAsia"/>
          <w:b w:val="0"/>
          <w:bCs w:val="0"/>
          <w:color w:val="auto"/>
        </w:rPr>
        <w:t>1.2.2项目预算金额和最高限价（如有）见：</w:t>
      </w:r>
      <w:r>
        <w:rPr>
          <w:rFonts w:hint="eastAsia"/>
          <w:b w:val="0"/>
          <w:bCs w:val="0"/>
          <w:color w:val="auto"/>
          <w:u w:val="single"/>
        </w:rPr>
        <w:t>供应商须知前附表</w:t>
      </w:r>
      <w:r>
        <w:rPr>
          <w:rFonts w:hint="eastAsia"/>
          <w:b w:val="0"/>
          <w:bCs w:val="0"/>
          <w:color w:val="auto"/>
        </w:rPr>
        <w:t>。</w:t>
      </w:r>
    </w:p>
    <w:p w14:paraId="3AAE901B">
      <w:pPr>
        <w:pStyle w:val="94"/>
        <w:ind w:firstLine="420"/>
        <w:rPr>
          <w:rFonts w:hint="eastAsia"/>
          <w:b w:val="0"/>
          <w:bCs w:val="0"/>
          <w:color w:val="auto"/>
        </w:rPr>
      </w:pPr>
      <w:r>
        <w:rPr>
          <w:rFonts w:hint="eastAsia"/>
          <w:b w:val="0"/>
          <w:bCs w:val="0"/>
          <w:color w:val="auto"/>
        </w:rPr>
        <w:t>1.2.3供应商报价超过采购文件规定的预算金额或者最高限价的，其响应文件将被认定为无效响应文件。</w:t>
      </w:r>
    </w:p>
    <w:p w14:paraId="55DB2516">
      <w:pPr>
        <w:pStyle w:val="94"/>
        <w:ind w:firstLine="420"/>
        <w:rPr>
          <w:rFonts w:hint="eastAsia"/>
          <w:b w:val="0"/>
          <w:bCs w:val="0"/>
          <w:color w:val="auto"/>
        </w:rPr>
      </w:pPr>
      <w:bookmarkStart w:id="31" w:name="BM1_3_采购需求及其它相关要求"/>
      <w:bookmarkEnd w:id="31"/>
      <w:r>
        <w:rPr>
          <w:rFonts w:hint="eastAsia"/>
          <w:b w:val="0"/>
          <w:bCs w:val="0"/>
          <w:color w:val="auto"/>
        </w:rPr>
        <w:t>1.3采购内容及其它相关要求</w:t>
      </w:r>
    </w:p>
    <w:p w14:paraId="532AAF8F">
      <w:pPr>
        <w:pStyle w:val="94"/>
        <w:ind w:firstLine="420"/>
        <w:rPr>
          <w:rFonts w:hint="eastAsia"/>
          <w:b w:val="0"/>
          <w:bCs w:val="0"/>
          <w:color w:val="auto"/>
        </w:rPr>
      </w:pPr>
      <w:r>
        <w:rPr>
          <w:rFonts w:hint="eastAsia"/>
          <w:b w:val="0"/>
          <w:bCs w:val="0"/>
          <w:color w:val="auto"/>
        </w:rPr>
        <w:t>1.3.1采购内容：</w:t>
      </w:r>
      <w:r>
        <w:rPr>
          <w:rFonts w:hint="eastAsia"/>
          <w:b w:val="0"/>
          <w:bCs w:val="0"/>
          <w:color w:val="auto"/>
          <w:u w:val="single"/>
        </w:rPr>
        <w:t>见供应商须知前附表</w:t>
      </w:r>
    </w:p>
    <w:p w14:paraId="279DD060">
      <w:pPr>
        <w:pStyle w:val="94"/>
        <w:ind w:firstLine="420"/>
        <w:rPr>
          <w:rFonts w:hint="eastAsia"/>
          <w:b w:val="0"/>
          <w:bCs w:val="0"/>
          <w:color w:val="auto"/>
        </w:rPr>
      </w:pPr>
      <w:r>
        <w:rPr>
          <w:rFonts w:hint="eastAsia"/>
          <w:b w:val="0"/>
          <w:bCs w:val="0"/>
          <w:color w:val="auto"/>
        </w:rPr>
        <w:t>1.3.2交货期：</w:t>
      </w:r>
      <w:r>
        <w:rPr>
          <w:rFonts w:hint="eastAsia"/>
          <w:b w:val="0"/>
          <w:bCs w:val="0"/>
          <w:color w:val="auto"/>
          <w:u w:val="single"/>
        </w:rPr>
        <w:t>见供应商须知前附表</w:t>
      </w:r>
      <w:r>
        <w:rPr>
          <w:rFonts w:hint="eastAsia"/>
          <w:b w:val="0"/>
          <w:bCs w:val="0"/>
          <w:color w:val="auto"/>
        </w:rPr>
        <w:t>。</w:t>
      </w:r>
    </w:p>
    <w:p w14:paraId="6C4FBB07">
      <w:pPr>
        <w:pStyle w:val="94"/>
        <w:ind w:firstLine="420"/>
        <w:rPr>
          <w:rFonts w:hint="eastAsia"/>
          <w:b w:val="0"/>
          <w:bCs w:val="0"/>
          <w:color w:val="auto"/>
        </w:rPr>
      </w:pPr>
      <w:r>
        <w:rPr>
          <w:rFonts w:hint="eastAsia"/>
          <w:b w:val="0"/>
          <w:bCs w:val="0"/>
          <w:color w:val="auto"/>
        </w:rPr>
        <w:t>1.3.3质量标准：</w:t>
      </w:r>
      <w:r>
        <w:rPr>
          <w:rFonts w:hint="eastAsia"/>
          <w:b w:val="0"/>
          <w:bCs w:val="0"/>
          <w:color w:val="auto"/>
          <w:u w:val="single"/>
        </w:rPr>
        <w:t>见供应商须知前附表</w:t>
      </w:r>
      <w:r>
        <w:rPr>
          <w:rFonts w:hint="eastAsia"/>
          <w:b w:val="0"/>
          <w:bCs w:val="0"/>
          <w:color w:val="auto"/>
        </w:rPr>
        <w:t>。</w:t>
      </w:r>
    </w:p>
    <w:p w14:paraId="49C6F8AC">
      <w:pPr>
        <w:pStyle w:val="94"/>
        <w:ind w:firstLine="420"/>
        <w:rPr>
          <w:rFonts w:hint="eastAsia"/>
          <w:b w:val="0"/>
          <w:bCs w:val="0"/>
          <w:color w:val="auto"/>
        </w:rPr>
      </w:pPr>
      <w:r>
        <w:rPr>
          <w:rFonts w:hint="eastAsia"/>
          <w:b w:val="0"/>
          <w:bCs w:val="0"/>
          <w:color w:val="auto"/>
        </w:rPr>
        <w:t>1.3.4质保期：</w:t>
      </w:r>
      <w:r>
        <w:rPr>
          <w:rFonts w:hint="eastAsia"/>
          <w:b w:val="0"/>
          <w:bCs w:val="0"/>
          <w:color w:val="auto"/>
          <w:u w:val="single"/>
        </w:rPr>
        <w:t>见供应商须知前附表</w:t>
      </w:r>
      <w:r>
        <w:rPr>
          <w:rFonts w:hint="eastAsia"/>
          <w:b w:val="0"/>
          <w:bCs w:val="0"/>
          <w:color w:val="auto"/>
        </w:rPr>
        <w:t>。</w:t>
      </w:r>
    </w:p>
    <w:p w14:paraId="713EC582">
      <w:pPr>
        <w:pStyle w:val="94"/>
        <w:ind w:firstLine="420"/>
        <w:rPr>
          <w:rFonts w:hint="eastAsia"/>
          <w:b w:val="0"/>
          <w:bCs w:val="0"/>
          <w:color w:val="auto"/>
        </w:rPr>
      </w:pPr>
      <w:bookmarkStart w:id="32" w:name="BM1_4_对供应商的要求"/>
      <w:bookmarkEnd w:id="32"/>
      <w:r>
        <w:rPr>
          <w:rFonts w:hint="eastAsia"/>
          <w:b w:val="0"/>
          <w:bCs w:val="0"/>
          <w:color w:val="auto"/>
        </w:rPr>
        <w:t>1.4对供应商的要求</w:t>
      </w:r>
    </w:p>
    <w:p w14:paraId="102C0311">
      <w:pPr>
        <w:pStyle w:val="94"/>
        <w:ind w:firstLine="420"/>
        <w:rPr>
          <w:rFonts w:hint="eastAsia"/>
          <w:b w:val="0"/>
          <w:bCs w:val="0"/>
          <w:color w:val="auto"/>
        </w:rPr>
      </w:pPr>
      <w:r>
        <w:rPr>
          <w:rFonts w:hint="eastAsia"/>
          <w:b w:val="0"/>
          <w:bCs w:val="0"/>
          <w:color w:val="auto"/>
        </w:rPr>
        <w:t>1.4.1供应商（申请人）：是指向采购人提供货物的法人、非法人组织或者自然人。申请人与供应商含义相同，以下均称为供应商。</w:t>
      </w:r>
    </w:p>
    <w:p w14:paraId="037E59F4">
      <w:pPr>
        <w:pStyle w:val="94"/>
        <w:ind w:firstLine="420"/>
        <w:rPr>
          <w:rFonts w:hint="eastAsia"/>
          <w:b w:val="0"/>
          <w:bCs w:val="0"/>
          <w:color w:val="auto"/>
        </w:rPr>
      </w:pPr>
      <w:r>
        <w:rPr>
          <w:rFonts w:hint="eastAsia"/>
          <w:b w:val="0"/>
          <w:bCs w:val="0"/>
          <w:color w:val="auto"/>
        </w:rPr>
        <w:t>1.4.2本项目的供应商及其提供的货物须满足以下条件：</w:t>
      </w:r>
    </w:p>
    <w:p w14:paraId="214D90A7">
      <w:pPr>
        <w:pStyle w:val="94"/>
        <w:ind w:firstLine="420"/>
        <w:rPr>
          <w:rFonts w:hint="eastAsia"/>
          <w:b w:val="0"/>
          <w:bCs w:val="0"/>
          <w:color w:val="auto"/>
        </w:rPr>
      </w:pPr>
      <w:r>
        <w:rPr>
          <w:rFonts w:hint="eastAsia"/>
          <w:b w:val="0"/>
          <w:bCs w:val="0"/>
          <w:color w:val="auto"/>
        </w:rPr>
        <w:t>1.4.2.1在中华人民共和国境内注册（或中华人民共和国公民），能够独立承担民事责任，有生产或供应能力或施工能力的本国供应商。</w:t>
      </w:r>
    </w:p>
    <w:p w14:paraId="37B3142F">
      <w:pPr>
        <w:pStyle w:val="94"/>
        <w:ind w:firstLine="420"/>
        <w:rPr>
          <w:rFonts w:hint="eastAsia"/>
          <w:b w:val="0"/>
          <w:bCs w:val="0"/>
          <w:color w:val="auto"/>
        </w:rPr>
      </w:pPr>
      <w:r>
        <w:rPr>
          <w:rFonts w:hint="eastAsia"/>
          <w:b w:val="0"/>
          <w:bCs w:val="0"/>
          <w:color w:val="auto"/>
        </w:rPr>
        <w:t>1.4.2.2符合《中华人民共和国政府采购法》第二十二条关于供应商条件的规定。</w:t>
      </w:r>
    </w:p>
    <w:p w14:paraId="6C1A2DC8">
      <w:pPr>
        <w:pStyle w:val="94"/>
        <w:ind w:firstLine="420"/>
        <w:rPr>
          <w:rFonts w:hint="eastAsia"/>
          <w:b w:val="0"/>
          <w:bCs w:val="0"/>
          <w:color w:val="auto"/>
        </w:rPr>
      </w:pPr>
      <w:r>
        <w:rPr>
          <w:rFonts w:hint="eastAsia"/>
          <w:b w:val="0"/>
          <w:bCs w:val="0"/>
          <w:color w:val="auto"/>
        </w:rPr>
        <w:t>遵守本项目采购人本级和上级财政部门关于政府采购的有关规定。</w:t>
      </w:r>
    </w:p>
    <w:p w14:paraId="435B4246">
      <w:pPr>
        <w:pStyle w:val="94"/>
        <w:ind w:firstLine="420"/>
        <w:rPr>
          <w:rFonts w:hint="eastAsia"/>
          <w:b w:val="0"/>
          <w:bCs w:val="0"/>
          <w:color w:val="auto"/>
        </w:rPr>
      </w:pPr>
      <w:r>
        <w:rPr>
          <w:rFonts w:hint="eastAsia"/>
          <w:b w:val="0"/>
          <w:bCs w:val="0"/>
          <w:color w:val="auto"/>
        </w:rPr>
        <w:t>1.4.2.3以本项目竞争性磋商公告中规定的方式获取了本项目的竞争性磋商文件。</w:t>
      </w:r>
    </w:p>
    <w:p w14:paraId="1F0A5192">
      <w:pPr>
        <w:pStyle w:val="94"/>
        <w:ind w:firstLine="420"/>
        <w:rPr>
          <w:rFonts w:hint="eastAsia"/>
          <w:b w:val="0"/>
          <w:bCs w:val="0"/>
          <w:color w:val="auto"/>
        </w:rPr>
      </w:pPr>
      <w:r>
        <w:rPr>
          <w:rFonts w:hint="eastAsia"/>
          <w:b w:val="0"/>
          <w:bCs w:val="0"/>
          <w:color w:val="auto"/>
        </w:rPr>
        <w:t>1.4.2.4符合</w:t>
      </w:r>
      <w:r>
        <w:rPr>
          <w:rFonts w:hint="eastAsia"/>
          <w:b w:val="0"/>
          <w:bCs w:val="0"/>
          <w:color w:val="auto"/>
          <w:u w:val="single"/>
        </w:rPr>
        <w:t>供应商须知前附表</w:t>
      </w:r>
      <w:r>
        <w:rPr>
          <w:rFonts w:hint="eastAsia"/>
          <w:b w:val="0"/>
          <w:bCs w:val="0"/>
          <w:color w:val="auto"/>
        </w:rPr>
        <w:t>中规定的合格供应商的其他要求。</w:t>
      </w:r>
    </w:p>
    <w:p w14:paraId="69E81538">
      <w:pPr>
        <w:pStyle w:val="94"/>
        <w:ind w:firstLine="420"/>
        <w:rPr>
          <w:rFonts w:hint="eastAsia"/>
          <w:b w:val="0"/>
          <w:bCs w:val="0"/>
          <w:color w:val="auto"/>
        </w:rPr>
      </w:pPr>
      <w:r>
        <w:rPr>
          <w:rFonts w:hint="eastAsia"/>
          <w:b w:val="0"/>
          <w:bCs w:val="0"/>
          <w:color w:val="auto"/>
        </w:rPr>
        <w:t>1.4.2.5若</w:t>
      </w:r>
      <w:r>
        <w:rPr>
          <w:rFonts w:hint="eastAsia"/>
          <w:b w:val="0"/>
          <w:bCs w:val="0"/>
          <w:color w:val="auto"/>
          <w:u w:val="single"/>
        </w:rPr>
        <w:t>供应商须知前附表</w:t>
      </w:r>
      <w:r>
        <w:rPr>
          <w:rFonts w:hint="eastAsia"/>
          <w:b w:val="0"/>
          <w:bCs w:val="0"/>
          <w:color w:val="auto"/>
        </w:rPr>
        <w:t>中写明允许采购进口产品，但不限制满足采购文件要求的国内产品参与采购活动。</w:t>
      </w:r>
    </w:p>
    <w:p w14:paraId="0782F49E">
      <w:pPr>
        <w:pStyle w:val="94"/>
        <w:ind w:firstLine="420"/>
        <w:rPr>
          <w:rFonts w:hint="eastAsia"/>
          <w:b w:val="0"/>
          <w:bCs w:val="0"/>
          <w:color w:val="auto"/>
        </w:rPr>
      </w:pPr>
      <w:r>
        <w:rPr>
          <w:rFonts w:hint="eastAsia"/>
          <w:b w:val="0"/>
          <w:bCs w:val="0"/>
          <w:color w:val="auto"/>
        </w:rPr>
        <w:t>若</w:t>
      </w:r>
      <w:r>
        <w:rPr>
          <w:rFonts w:hint="eastAsia"/>
          <w:b w:val="0"/>
          <w:bCs w:val="0"/>
          <w:color w:val="auto"/>
          <w:u w:val="single"/>
        </w:rPr>
        <w:t>供应商须知前附表</w:t>
      </w:r>
      <w:r>
        <w:rPr>
          <w:rFonts w:hint="eastAsia"/>
          <w:b w:val="0"/>
          <w:bCs w:val="0"/>
          <w:color w:val="auto"/>
        </w:rPr>
        <w:t>中未写明允许采购进口产品，如供应商提供产品为进口产品，其响应文件将被认定为无效响应文件。</w:t>
      </w:r>
    </w:p>
    <w:p w14:paraId="45EEFAC2">
      <w:pPr>
        <w:pStyle w:val="94"/>
        <w:ind w:firstLine="420"/>
        <w:rPr>
          <w:rFonts w:hint="eastAsia"/>
          <w:b w:val="0"/>
          <w:bCs w:val="0"/>
          <w:color w:val="auto"/>
        </w:rPr>
      </w:pPr>
      <w:r>
        <w:rPr>
          <w:rFonts w:hint="eastAsia"/>
          <w:b w:val="0"/>
          <w:bCs w:val="0"/>
          <w:color w:val="auto"/>
        </w:rPr>
        <w:t>1.4.2.6若</w:t>
      </w:r>
      <w:r>
        <w:rPr>
          <w:rFonts w:hint="eastAsia"/>
          <w:b w:val="0"/>
          <w:bCs w:val="0"/>
          <w:color w:val="auto"/>
          <w:u w:val="single"/>
        </w:rPr>
        <w:t>供应商须知前附表</w:t>
      </w:r>
      <w:r>
        <w:rPr>
          <w:rFonts w:hint="eastAsia"/>
          <w:b w:val="0"/>
          <w:bCs w:val="0"/>
          <w:color w:val="auto"/>
        </w:rPr>
        <w:t>中写明专门面向中小企业采购的，如供应商为非中小企业或所提供产品为非中小企业产品，其响应文件将被认定为无效响应文件。</w:t>
      </w:r>
    </w:p>
    <w:p w14:paraId="7C16C881">
      <w:pPr>
        <w:pStyle w:val="94"/>
        <w:ind w:firstLine="420"/>
        <w:rPr>
          <w:rFonts w:hint="eastAsia"/>
          <w:b w:val="0"/>
          <w:bCs w:val="0"/>
          <w:color w:val="auto"/>
        </w:rPr>
      </w:pPr>
      <w:r>
        <w:rPr>
          <w:rFonts w:hint="eastAsia"/>
          <w:b w:val="0"/>
          <w:bCs w:val="0"/>
          <w:color w:val="auto"/>
        </w:rPr>
        <w:t>1.4.2.7若</w:t>
      </w:r>
      <w:r>
        <w:rPr>
          <w:rFonts w:hint="eastAsia"/>
          <w:b w:val="0"/>
          <w:bCs w:val="0"/>
          <w:color w:val="auto"/>
          <w:u w:val="single"/>
        </w:rPr>
        <w:t>供应商须知前附表</w:t>
      </w:r>
      <w:r>
        <w:rPr>
          <w:rFonts w:hint="eastAsia"/>
          <w:b w:val="0"/>
          <w:bCs w:val="0"/>
          <w:color w:val="auto"/>
        </w:rPr>
        <w:t>中写明采购的产品为财政部、发展改革委、生态环境部等部门发布的品目清单中属于实施政府强制采购品目清单范围的节能产品、信息安全产品、列入国家CCC认证等产品，供应商应按采购文件中的具体要求提供相关证明材料。</w:t>
      </w:r>
    </w:p>
    <w:p w14:paraId="1116E983">
      <w:pPr>
        <w:pStyle w:val="94"/>
        <w:ind w:firstLine="420"/>
        <w:rPr>
          <w:rFonts w:hint="eastAsia"/>
          <w:b w:val="0"/>
          <w:bCs w:val="0"/>
          <w:color w:val="auto"/>
        </w:rPr>
      </w:pPr>
      <w:r>
        <w:rPr>
          <w:rFonts w:hint="eastAsia"/>
          <w:b w:val="0"/>
          <w:bCs w:val="0"/>
          <w:color w:val="auto"/>
        </w:rPr>
        <w:t>1.4.3如</w:t>
      </w:r>
      <w:r>
        <w:rPr>
          <w:rFonts w:hint="eastAsia"/>
          <w:b w:val="0"/>
          <w:bCs w:val="0"/>
          <w:color w:val="auto"/>
          <w:u w:val="single"/>
        </w:rPr>
        <w:t>供应商须知前附表</w:t>
      </w:r>
      <w:r>
        <w:rPr>
          <w:rFonts w:hint="eastAsia"/>
          <w:b w:val="0"/>
          <w:bCs w:val="0"/>
          <w:color w:val="auto"/>
        </w:rPr>
        <w:t>中允许联合体参加采购活动，对联合体规定如下：</w:t>
      </w:r>
    </w:p>
    <w:p w14:paraId="370908C1">
      <w:pPr>
        <w:pStyle w:val="94"/>
        <w:ind w:firstLine="420"/>
        <w:rPr>
          <w:rFonts w:hint="eastAsia"/>
          <w:b w:val="0"/>
          <w:bCs w:val="0"/>
          <w:color w:val="auto"/>
        </w:rPr>
      </w:pPr>
      <w:r>
        <w:rPr>
          <w:rFonts w:hint="eastAsia"/>
          <w:b w:val="0"/>
          <w:bCs w:val="0"/>
          <w:color w:val="auto"/>
        </w:rPr>
        <w:t>1.4.3.1两个及以上供应商可以组成一个联合体，以一个供应商的身份参加采购活动。</w:t>
      </w:r>
    </w:p>
    <w:p w14:paraId="70A1967F">
      <w:pPr>
        <w:pStyle w:val="94"/>
        <w:ind w:firstLine="420"/>
        <w:rPr>
          <w:rFonts w:hint="eastAsia"/>
          <w:b w:val="0"/>
          <w:bCs w:val="0"/>
          <w:color w:val="auto"/>
        </w:rPr>
      </w:pPr>
      <w:r>
        <w:rPr>
          <w:rFonts w:hint="eastAsia"/>
          <w:b w:val="0"/>
          <w:bCs w:val="0"/>
          <w:color w:val="auto"/>
        </w:rPr>
        <w:t>1.4.3.2联合体各方均应符合《中华人民共和国政府采购法》第二十二条规定的条件。</w:t>
      </w:r>
    </w:p>
    <w:p w14:paraId="021783CC">
      <w:pPr>
        <w:pStyle w:val="94"/>
        <w:ind w:firstLine="420"/>
        <w:rPr>
          <w:rFonts w:hint="eastAsia"/>
          <w:b w:val="0"/>
          <w:bCs w:val="0"/>
          <w:color w:val="auto"/>
        </w:rPr>
      </w:pPr>
      <w:r>
        <w:rPr>
          <w:rFonts w:hint="eastAsia"/>
          <w:b w:val="0"/>
          <w:bCs w:val="0"/>
          <w:color w:val="auto"/>
        </w:rPr>
        <w:t>1.4.3.3采购人根据采购项目对供应商的特殊要求，联合体中至少应当有一方符合相关规定。</w:t>
      </w:r>
    </w:p>
    <w:p w14:paraId="5B27CDBF">
      <w:pPr>
        <w:pStyle w:val="94"/>
        <w:ind w:firstLine="420"/>
        <w:rPr>
          <w:rFonts w:hint="eastAsia"/>
          <w:b w:val="0"/>
          <w:bCs w:val="0"/>
          <w:color w:val="auto"/>
        </w:rPr>
      </w:pPr>
      <w:r>
        <w:rPr>
          <w:rFonts w:hint="eastAsia"/>
          <w:b w:val="0"/>
          <w:bCs w:val="0"/>
          <w:color w:val="auto"/>
        </w:rPr>
        <w:t>1.4.3.4联合体各方应当签订联合体共同参加采购活动协议，明确约定联合体各方承担的工作和相应的责任，并将联合体共同参加采购活动协议作为响应文件第一部分的内容提交。</w:t>
      </w:r>
    </w:p>
    <w:p w14:paraId="210D11C6">
      <w:pPr>
        <w:pStyle w:val="94"/>
        <w:ind w:firstLine="420"/>
        <w:rPr>
          <w:rFonts w:hint="eastAsia"/>
          <w:b w:val="0"/>
          <w:bCs w:val="0"/>
          <w:color w:val="auto"/>
        </w:rPr>
      </w:pPr>
      <w:r>
        <w:rPr>
          <w:rFonts w:hint="eastAsia"/>
          <w:b w:val="0"/>
          <w:bCs w:val="0"/>
          <w:color w:val="auto"/>
        </w:rPr>
        <w:t>1.4.3.5大中型企业、其他自然人、法人或者非法人组织与小型、微型企业组成联合体共同参加采购活动，联合体共同参加采购活动协议中应写明小型、微型企业所提供产品的合同金额占到联合体各方全部提供产品合同总金额的比例。</w:t>
      </w:r>
    </w:p>
    <w:p w14:paraId="0D6FAD4D">
      <w:pPr>
        <w:pStyle w:val="94"/>
        <w:ind w:firstLine="420"/>
        <w:rPr>
          <w:rFonts w:hint="eastAsia"/>
          <w:b w:val="0"/>
          <w:bCs w:val="0"/>
          <w:color w:val="auto"/>
        </w:rPr>
      </w:pPr>
      <w:r>
        <w:rPr>
          <w:rFonts w:hint="eastAsia"/>
          <w:b w:val="0"/>
          <w:bCs w:val="0"/>
          <w:color w:val="auto"/>
        </w:rPr>
        <w:t>1.4.3.6联合体中有同类资质的供应商按照联合体分工承担相同工作的，按照较低的资质等级确定联合体的资质等级。</w:t>
      </w:r>
    </w:p>
    <w:p w14:paraId="10582AAF">
      <w:pPr>
        <w:pStyle w:val="94"/>
        <w:ind w:firstLine="396"/>
        <w:rPr>
          <w:rFonts w:hint="eastAsia"/>
          <w:b w:val="0"/>
          <w:bCs w:val="0"/>
          <w:color w:val="auto"/>
          <w:spacing w:val="-6"/>
        </w:rPr>
      </w:pPr>
      <w:r>
        <w:rPr>
          <w:rFonts w:hint="eastAsia"/>
          <w:b w:val="0"/>
          <w:bCs w:val="0"/>
          <w:color w:val="auto"/>
          <w:spacing w:val="-6"/>
        </w:rPr>
        <w:t>1.4.3.7以联合体形式参加政府采购活动的，联合体各方不得再单独参加或者与其他供应商另外组成联合体参加本项目同一合同项下的采购活动，否则相关响应文件将被认定为无效响应文件。</w:t>
      </w:r>
    </w:p>
    <w:p w14:paraId="216A2889">
      <w:pPr>
        <w:pStyle w:val="94"/>
        <w:ind w:firstLine="420"/>
        <w:rPr>
          <w:rFonts w:hint="eastAsia"/>
          <w:b w:val="0"/>
          <w:bCs w:val="0"/>
          <w:color w:val="auto"/>
        </w:rPr>
      </w:pPr>
      <w:r>
        <w:rPr>
          <w:rFonts w:hint="eastAsia"/>
          <w:b w:val="0"/>
          <w:bCs w:val="0"/>
          <w:color w:val="auto"/>
        </w:rPr>
        <w:t>1.4.3.8两个以上的自然人、法人或者其他组织可以组成一个联合体，以一个供应商的身份共同参加政府采购活动。</w:t>
      </w:r>
    </w:p>
    <w:p w14:paraId="00A1C2A6">
      <w:pPr>
        <w:pStyle w:val="94"/>
        <w:ind w:firstLine="420"/>
        <w:rPr>
          <w:rFonts w:hint="eastAsia"/>
          <w:b w:val="0"/>
          <w:bCs w:val="0"/>
          <w:color w:val="auto"/>
        </w:rPr>
      </w:pPr>
      <w:r>
        <w:rPr>
          <w:rFonts w:hint="eastAsia"/>
          <w:b w:val="0"/>
          <w:bCs w:val="0"/>
          <w:color w:val="auto"/>
        </w:rPr>
        <w:t>1.4.3.9联合体成交的，联合体各方应共同与采购人签订采购合同，就采购合同约定的事项对采购人承担连带责任。</w:t>
      </w:r>
    </w:p>
    <w:p w14:paraId="58B51A98">
      <w:pPr>
        <w:pStyle w:val="94"/>
        <w:ind w:firstLine="420"/>
        <w:rPr>
          <w:rFonts w:hint="eastAsia"/>
          <w:b w:val="0"/>
          <w:bCs w:val="0"/>
          <w:color w:val="auto"/>
        </w:rPr>
      </w:pPr>
      <w:r>
        <w:rPr>
          <w:rFonts w:hint="eastAsia"/>
          <w:b w:val="0"/>
          <w:bCs w:val="0"/>
          <w:color w:val="auto"/>
        </w:rPr>
        <w:t>1.4.3.10对联合体的其他资格要求见</w:t>
      </w:r>
      <w:r>
        <w:rPr>
          <w:rFonts w:hint="eastAsia"/>
          <w:b w:val="0"/>
          <w:bCs w:val="0"/>
          <w:color w:val="auto"/>
          <w:u w:val="single"/>
        </w:rPr>
        <w:t>供应商须知前附表</w:t>
      </w:r>
      <w:r>
        <w:rPr>
          <w:rFonts w:hint="eastAsia"/>
          <w:b w:val="0"/>
          <w:bCs w:val="0"/>
          <w:color w:val="auto"/>
        </w:rPr>
        <w:t>。</w:t>
      </w:r>
    </w:p>
    <w:p w14:paraId="36CA0D37">
      <w:pPr>
        <w:pStyle w:val="94"/>
        <w:ind w:firstLine="420"/>
        <w:rPr>
          <w:rFonts w:hint="eastAsia"/>
          <w:b w:val="0"/>
          <w:bCs w:val="0"/>
          <w:color w:val="auto"/>
        </w:rPr>
      </w:pPr>
      <w:r>
        <w:rPr>
          <w:rFonts w:hint="eastAsia"/>
          <w:b w:val="0"/>
          <w:bCs w:val="0"/>
          <w:color w:val="auto"/>
        </w:rPr>
        <w:t>1.4.3.11单位负责人为同一人或者存在直接控股、管理关系的不同供应商参与本项目同一合同项下采购活动的，其相关响应文件将被认定为无效响应文件。</w:t>
      </w:r>
    </w:p>
    <w:p w14:paraId="0069CDAD">
      <w:pPr>
        <w:pStyle w:val="94"/>
        <w:ind w:firstLine="420"/>
        <w:rPr>
          <w:rFonts w:hint="eastAsia"/>
          <w:b w:val="0"/>
          <w:bCs w:val="0"/>
          <w:color w:val="auto"/>
        </w:rPr>
      </w:pPr>
      <w:r>
        <w:rPr>
          <w:rFonts w:hint="eastAsia"/>
          <w:b w:val="0"/>
          <w:bCs w:val="0"/>
          <w:color w:val="auto"/>
        </w:rPr>
        <w:t>1.4.3.12供应商在磋商过程中（在确定成交人之前）不得向采购人提供、给予任何有价值的物品，影响其正常决策行为。一经发现，其响应文件将被认定为无效响应文件。</w:t>
      </w:r>
      <w:bookmarkStart w:id="33" w:name="BM1_5_监督管理部门"/>
      <w:bookmarkEnd w:id="33"/>
    </w:p>
    <w:p w14:paraId="76041F64">
      <w:pPr>
        <w:pStyle w:val="94"/>
        <w:ind w:firstLine="420"/>
        <w:rPr>
          <w:rFonts w:hint="eastAsia"/>
          <w:b w:val="0"/>
          <w:bCs w:val="0"/>
          <w:color w:val="auto"/>
        </w:rPr>
      </w:pPr>
      <w:r>
        <w:rPr>
          <w:rFonts w:hint="eastAsia"/>
          <w:b w:val="0"/>
          <w:bCs w:val="0"/>
          <w:color w:val="auto"/>
        </w:rPr>
        <w:t>1.5监督管理部门</w:t>
      </w:r>
    </w:p>
    <w:p w14:paraId="17352C5A">
      <w:pPr>
        <w:pStyle w:val="94"/>
        <w:ind w:firstLine="420"/>
        <w:rPr>
          <w:rFonts w:hint="eastAsia"/>
          <w:b w:val="0"/>
          <w:bCs w:val="0"/>
          <w:color w:val="auto"/>
        </w:rPr>
      </w:pPr>
      <w:bookmarkStart w:id="34" w:name="BM1_6_供应商参加磋商的费用"/>
      <w:bookmarkEnd w:id="34"/>
      <w:r>
        <w:rPr>
          <w:rFonts w:hint="eastAsia"/>
          <w:b w:val="0"/>
          <w:bCs w:val="0"/>
          <w:color w:val="auto"/>
        </w:rPr>
        <w:t>本次采购活动的监督管理部门为：采购人所属单位的监督部门。</w:t>
      </w:r>
    </w:p>
    <w:p w14:paraId="6DF345A5">
      <w:pPr>
        <w:pStyle w:val="94"/>
        <w:ind w:firstLine="420"/>
        <w:rPr>
          <w:rFonts w:hint="eastAsia"/>
          <w:b w:val="0"/>
          <w:bCs w:val="0"/>
          <w:color w:val="auto"/>
        </w:rPr>
      </w:pPr>
      <w:r>
        <w:rPr>
          <w:rFonts w:hint="eastAsia"/>
          <w:b w:val="0"/>
          <w:bCs w:val="0"/>
          <w:color w:val="auto"/>
        </w:rPr>
        <w:t>1.6供应商参加磋商的费用</w:t>
      </w:r>
    </w:p>
    <w:p w14:paraId="28C3B9B0">
      <w:pPr>
        <w:pStyle w:val="94"/>
        <w:ind w:firstLine="420"/>
        <w:rPr>
          <w:rFonts w:hint="eastAsia"/>
          <w:b w:val="0"/>
          <w:bCs w:val="0"/>
          <w:color w:val="auto"/>
        </w:rPr>
      </w:pPr>
      <w:r>
        <w:rPr>
          <w:rFonts w:hint="eastAsia"/>
          <w:b w:val="0"/>
          <w:bCs w:val="0"/>
          <w:color w:val="auto"/>
        </w:rPr>
        <w:t>不论磋商的结果如何，供应商准备和参加本次政府采购活动发生的费用均应自行承担。</w:t>
      </w:r>
    </w:p>
    <w:p w14:paraId="77B75A65">
      <w:pPr>
        <w:pStyle w:val="94"/>
        <w:ind w:firstLine="420"/>
        <w:rPr>
          <w:rFonts w:hint="eastAsia"/>
          <w:b w:val="0"/>
          <w:bCs w:val="0"/>
          <w:color w:val="auto"/>
        </w:rPr>
      </w:pPr>
      <w:bookmarkStart w:id="35" w:name="BM1_7现场考察、磋商前答疑会"/>
      <w:bookmarkEnd w:id="35"/>
      <w:r>
        <w:rPr>
          <w:rFonts w:hint="eastAsia"/>
          <w:b w:val="0"/>
          <w:bCs w:val="0"/>
          <w:color w:val="auto"/>
        </w:rPr>
        <w:t>1.7现场考察、磋商前答疑会</w:t>
      </w:r>
    </w:p>
    <w:p w14:paraId="5013BD24">
      <w:pPr>
        <w:pStyle w:val="94"/>
        <w:ind w:firstLine="420"/>
        <w:rPr>
          <w:rFonts w:hint="eastAsia"/>
          <w:b w:val="0"/>
          <w:bCs w:val="0"/>
          <w:color w:val="auto"/>
        </w:rPr>
      </w:pPr>
      <w:r>
        <w:rPr>
          <w:rFonts w:hint="eastAsia"/>
          <w:b w:val="0"/>
          <w:bCs w:val="0"/>
          <w:color w:val="auto"/>
        </w:rPr>
        <w:t>1.7.1</w:t>
      </w:r>
      <w:r>
        <w:rPr>
          <w:rFonts w:hint="eastAsia"/>
          <w:b w:val="0"/>
          <w:bCs w:val="0"/>
          <w:color w:val="auto"/>
          <w:u w:val="single"/>
        </w:rPr>
        <w:t>供应商须知前附表</w:t>
      </w:r>
      <w:r>
        <w:rPr>
          <w:rFonts w:hint="eastAsia"/>
          <w:b w:val="0"/>
          <w:bCs w:val="0"/>
          <w:color w:val="auto"/>
        </w:rPr>
        <w:t>规定组织现场考察或磋商前答疑会的，采购人按供应商须知表1.7.1条规定的时间、地点组织供应商现场考察或磋商前答疑会，或者在领取采购文件期限截止后以书面形式通知所有获取采购文件的潜在供应商。</w:t>
      </w:r>
    </w:p>
    <w:p w14:paraId="204BF003">
      <w:pPr>
        <w:pStyle w:val="94"/>
        <w:ind w:firstLine="420"/>
        <w:rPr>
          <w:rFonts w:hint="eastAsia"/>
          <w:b w:val="0"/>
          <w:bCs w:val="0"/>
          <w:color w:val="auto"/>
        </w:rPr>
      </w:pPr>
      <w:r>
        <w:rPr>
          <w:rFonts w:hint="eastAsia"/>
          <w:b w:val="0"/>
          <w:bCs w:val="0"/>
          <w:color w:val="auto"/>
        </w:rPr>
        <w:t>1.7.2由于未参加现场考察或磋商前答疑而导致对项目实际情况不了解，影响技术文件编制、</w:t>
      </w:r>
      <w:r>
        <w:rPr>
          <w:color w:val="auto"/>
        </w:rPr>
        <w:fldChar w:fldCharType="begin"/>
      </w:r>
      <w:r>
        <w:rPr>
          <w:color w:val="auto"/>
        </w:rPr>
        <w:instrText xml:space="preserve"> HYPERLINK "https://www.baidu.com/s?wd=%E6%8A%95%E6%A0%87%E6%8A%A5%E4%BB%B7&amp;amp;tn=44039180_cpr&amp;amp;fenlei=mv6quAkxTZn0IZRqIHckPjm4nH00T1dWuyfdP1u9uyPBrjKhmvDv0ZwV5Hcvrjm3rH6sPfKWUMw85HfYnjn4nH6sgvPsT6KdThsqpZwYTjCEQLGCpyw9Uz4Bmy-bIi4WUvYETgN-TLwGUv3EPj63P1RkPH6Y" \h </w:instrText>
      </w:r>
      <w:r>
        <w:rPr>
          <w:color w:val="auto"/>
        </w:rPr>
        <w:fldChar w:fldCharType="separate"/>
      </w:r>
      <w:r>
        <w:rPr>
          <w:rFonts w:hint="eastAsia"/>
          <w:b w:val="0"/>
          <w:bCs w:val="0"/>
          <w:color w:val="auto"/>
        </w:rPr>
        <w:t>响应报价</w:t>
      </w:r>
      <w:r>
        <w:rPr>
          <w:rFonts w:hint="eastAsia"/>
          <w:b w:val="0"/>
          <w:bCs w:val="0"/>
          <w:color w:val="auto"/>
        </w:rPr>
        <w:fldChar w:fldCharType="end"/>
      </w:r>
      <w:r>
        <w:rPr>
          <w:rFonts w:hint="eastAsia"/>
          <w:b w:val="0"/>
          <w:bCs w:val="0"/>
          <w:color w:val="auto"/>
        </w:rPr>
        <w:t>准确性、综合因素响应不全面等问题的，由供应商自行承担相应后果。</w:t>
      </w:r>
    </w:p>
    <w:p w14:paraId="1C436614">
      <w:pPr>
        <w:pStyle w:val="94"/>
        <w:ind w:firstLine="420"/>
        <w:rPr>
          <w:rFonts w:hint="eastAsia"/>
          <w:b w:val="0"/>
          <w:bCs w:val="0"/>
          <w:color w:val="auto"/>
        </w:rPr>
      </w:pPr>
      <w:r>
        <w:rPr>
          <w:rFonts w:hint="eastAsia"/>
          <w:b w:val="0"/>
          <w:bCs w:val="0"/>
          <w:color w:val="auto"/>
        </w:rPr>
        <w:t>1.7.3采购人在现场考察或磋商前答疑会中介绍的项目场地和相关的周边环境情况，仅供供应商在编制响应文件时参考，采购人不对供应商据此作出的判断和决策负责。</w:t>
      </w:r>
    </w:p>
    <w:p w14:paraId="60AFCF93">
      <w:pPr>
        <w:pStyle w:val="94"/>
        <w:ind w:firstLine="420"/>
        <w:rPr>
          <w:rFonts w:hint="eastAsia"/>
          <w:b w:val="0"/>
          <w:bCs w:val="0"/>
          <w:color w:val="auto"/>
        </w:rPr>
      </w:pPr>
      <w:r>
        <w:rPr>
          <w:rFonts w:hint="eastAsia"/>
          <w:b w:val="0"/>
          <w:bCs w:val="0"/>
          <w:color w:val="auto"/>
        </w:rPr>
        <w:t>1.7.4现场考察及磋商前答疑会所发生的费用及一切责任由供应商自行承担。</w:t>
      </w:r>
      <w:bookmarkStart w:id="36" w:name="BM1_8_样品"/>
      <w:bookmarkEnd w:id="36"/>
    </w:p>
    <w:p w14:paraId="53BB3116">
      <w:pPr>
        <w:pStyle w:val="94"/>
        <w:ind w:firstLine="420"/>
        <w:rPr>
          <w:rFonts w:hint="eastAsia"/>
          <w:b w:val="0"/>
          <w:bCs w:val="0"/>
          <w:color w:val="auto"/>
        </w:rPr>
      </w:pPr>
      <w:r>
        <w:rPr>
          <w:rFonts w:hint="eastAsia"/>
          <w:b w:val="0"/>
          <w:bCs w:val="0"/>
          <w:color w:val="auto"/>
        </w:rPr>
        <w:t>1.8样品</w:t>
      </w:r>
    </w:p>
    <w:p w14:paraId="4F570E67">
      <w:pPr>
        <w:pStyle w:val="94"/>
        <w:ind w:firstLine="420"/>
        <w:rPr>
          <w:rFonts w:hint="eastAsia"/>
          <w:b w:val="0"/>
          <w:bCs w:val="0"/>
          <w:color w:val="auto"/>
        </w:rPr>
      </w:pPr>
      <w:r>
        <w:rPr>
          <w:rFonts w:hint="eastAsia"/>
          <w:b w:val="0"/>
          <w:bCs w:val="0"/>
          <w:color w:val="auto"/>
        </w:rPr>
        <w:t>1.8.1原则上采购人、采购代理机构不要求供应商提供样品。除仅凭书面方式不能准确描述采购需求，或者需要对样品进行主观判断以确认是否满足采购需求等特殊情况除外。</w:t>
      </w:r>
      <w:bookmarkStart w:id="37" w:name="BM1_9_适用法律"/>
      <w:bookmarkEnd w:id="37"/>
    </w:p>
    <w:p w14:paraId="59D07775">
      <w:pPr>
        <w:pStyle w:val="94"/>
        <w:ind w:firstLine="420"/>
        <w:rPr>
          <w:rFonts w:hint="eastAsia"/>
          <w:b w:val="0"/>
          <w:bCs w:val="0"/>
          <w:color w:val="auto"/>
        </w:rPr>
      </w:pPr>
      <w:r>
        <w:rPr>
          <w:rFonts w:hint="eastAsia"/>
          <w:b w:val="0"/>
          <w:bCs w:val="0"/>
          <w:color w:val="auto"/>
        </w:rPr>
        <w:t>1.9适用法律</w:t>
      </w:r>
    </w:p>
    <w:p w14:paraId="2D83AEE1">
      <w:pPr>
        <w:pStyle w:val="94"/>
        <w:ind w:firstLine="420"/>
        <w:rPr>
          <w:rFonts w:hint="eastAsia"/>
          <w:b w:val="0"/>
          <w:bCs w:val="0"/>
          <w:color w:val="auto"/>
        </w:rPr>
      </w:pPr>
      <w:r>
        <w:rPr>
          <w:rFonts w:hint="eastAsia"/>
          <w:b w:val="0"/>
          <w:bCs w:val="0"/>
          <w:color w:val="auto"/>
        </w:rPr>
        <w:t>1.9.1本项目采购人、采购代理机构、供应商、磋商小组的相关行为均受《中华人民共和国政府采购法》《中华人民共和国政府采购法实施条例》《政府采购竞争性磋商采购方式管理暂行办法》财库〔2014〕214号文、《财政部关于政府采购竞争性磋商采购方式管理暂行办法有关问题的补充通知》财库〔2015〕124号文及本项目本级和上级财政部门政府采购有关规定的约束和保护。</w:t>
      </w:r>
      <w:bookmarkStart w:id="38" w:name="BM1_10_保密"/>
      <w:bookmarkEnd w:id="38"/>
    </w:p>
    <w:p w14:paraId="2FD8AC61">
      <w:pPr>
        <w:pStyle w:val="94"/>
        <w:rPr>
          <w:rFonts w:hint="eastAsia"/>
          <w:color w:val="auto"/>
        </w:rPr>
      </w:pPr>
      <w:r>
        <w:rPr>
          <w:rFonts w:hint="eastAsia"/>
          <w:color w:val="auto"/>
        </w:rPr>
        <w:t>1.10保密</w:t>
      </w:r>
    </w:p>
    <w:p w14:paraId="2659D962">
      <w:pPr>
        <w:pStyle w:val="16"/>
        <w:rPr>
          <w:color w:val="auto"/>
        </w:rPr>
      </w:pPr>
      <w:r>
        <w:rPr>
          <w:rFonts w:hint="eastAsia"/>
          <w:color w:val="auto"/>
        </w:rPr>
        <w:t>参与采购活动的各方应对采购文件和响应文件中的商业和技术等秘密保密，违者应对由此造成的后果承担法律责任。</w:t>
      </w:r>
    </w:p>
    <w:p w14:paraId="5FF55DC4">
      <w:pPr>
        <w:pStyle w:val="4"/>
        <w:ind w:firstLine="643"/>
        <w:rPr>
          <w:color w:val="auto"/>
        </w:rPr>
      </w:pPr>
      <w:bookmarkStart w:id="39" w:name="BM2、采购文件"/>
      <w:bookmarkEnd w:id="39"/>
      <w:bookmarkStart w:id="40" w:name="_Toc70524420"/>
      <w:r>
        <w:rPr>
          <w:rFonts w:hint="eastAsia"/>
          <w:color w:val="auto"/>
        </w:rPr>
        <w:t>2、采购文件</w:t>
      </w:r>
      <w:bookmarkEnd w:id="40"/>
    </w:p>
    <w:p w14:paraId="631B07E2">
      <w:pPr>
        <w:pStyle w:val="94"/>
        <w:rPr>
          <w:rFonts w:hint="eastAsia"/>
          <w:color w:val="auto"/>
        </w:rPr>
      </w:pPr>
      <w:bookmarkStart w:id="41" w:name="BM2_1_采购文件构成"/>
      <w:bookmarkEnd w:id="41"/>
      <w:r>
        <w:rPr>
          <w:rFonts w:hint="eastAsia"/>
          <w:color w:val="auto"/>
        </w:rPr>
        <w:t>2.1采购文件构成</w:t>
      </w:r>
    </w:p>
    <w:p w14:paraId="1F0A6795">
      <w:pPr>
        <w:pStyle w:val="94"/>
        <w:rPr>
          <w:rFonts w:hint="eastAsia"/>
          <w:color w:val="auto"/>
        </w:rPr>
      </w:pPr>
      <w:r>
        <w:rPr>
          <w:rFonts w:hint="eastAsia"/>
          <w:color w:val="auto"/>
        </w:rPr>
        <w:t>2.1.1采购文件共七章，构成如下：</w:t>
      </w:r>
    </w:p>
    <w:p w14:paraId="6D3489FB">
      <w:pPr>
        <w:pStyle w:val="94"/>
        <w:rPr>
          <w:rFonts w:hint="eastAsia"/>
          <w:color w:val="auto"/>
        </w:rPr>
      </w:pPr>
      <w:r>
        <w:rPr>
          <w:rFonts w:hint="eastAsia"/>
          <w:color w:val="auto"/>
        </w:rPr>
        <w:t>第一章 竞争性磋商公告</w:t>
      </w:r>
    </w:p>
    <w:p w14:paraId="139E4DA2">
      <w:pPr>
        <w:pStyle w:val="94"/>
        <w:rPr>
          <w:rFonts w:hint="eastAsia"/>
          <w:color w:val="auto"/>
        </w:rPr>
      </w:pPr>
      <w:r>
        <w:rPr>
          <w:rFonts w:hint="eastAsia"/>
          <w:color w:val="auto"/>
        </w:rPr>
        <w:t>第二章 供应商须知</w:t>
      </w:r>
    </w:p>
    <w:p w14:paraId="3B15059C">
      <w:pPr>
        <w:pStyle w:val="94"/>
        <w:rPr>
          <w:rFonts w:hint="eastAsia"/>
          <w:color w:val="auto"/>
        </w:rPr>
      </w:pPr>
      <w:r>
        <w:rPr>
          <w:rFonts w:hint="eastAsia"/>
          <w:color w:val="auto"/>
        </w:rPr>
        <w:t>第三章 采购需求</w:t>
      </w:r>
    </w:p>
    <w:p w14:paraId="30850FA2">
      <w:pPr>
        <w:pStyle w:val="94"/>
        <w:rPr>
          <w:rFonts w:hint="eastAsia"/>
          <w:color w:val="auto"/>
        </w:rPr>
      </w:pPr>
      <w:r>
        <w:rPr>
          <w:rFonts w:hint="eastAsia"/>
          <w:color w:val="auto"/>
        </w:rPr>
        <w:t>第四章 磋商内容、磋商过程中可能实质性变动的内容</w:t>
      </w:r>
    </w:p>
    <w:p w14:paraId="7BB58B25">
      <w:pPr>
        <w:pStyle w:val="94"/>
        <w:rPr>
          <w:rFonts w:hint="eastAsia" w:eastAsiaTheme="minorEastAsia"/>
          <w:color w:val="auto"/>
          <w:lang w:val="en-US" w:eastAsia="zh-CN"/>
        </w:rPr>
      </w:pPr>
      <w:r>
        <w:rPr>
          <w:rFonts w:hint="eastAsia"/>
          <w:color w:val="auto"/>
        </w:rPr>
        <w:t>第五章 磋商程序、评审方法</w:t>
      </w:r>
      <w:r>
        <w:rPr>
          <w:rFonts w:hint="eastAsia"/>
          <w:color w:val="auto"/>
          <w:lang w:eastAsia="zh-CN"/>
        </w:rPr>
        <w:t>及评审标准</w:t>
      </w:r>
    </w:p>
    <w:p w14:paraId="7EA80DB6">
      <w:pPr>
        <w:pStyle w:val="94"/>
        <w:rPr>
          <w:rFonts w:hint="eastAsia"/>
          <w:color w:val="auto"/>
        </w:rPr>
      </w:pPr>
      <w:r>
        <w:rPr>
          <w:rFonts w:hint="eastAsia"/>
          <w:color w:val="auto"/>
        </w:rPr>
        <w:t>第六章 合同条款及格式</w:t>
      </w:r>
    </w:p>
    <w:p w14:paraId="10230850">
      <w:pPr>
        <w:pStyle w:val="94"/>
        <w:rPr>
          <w:rFonts w:hint="eastAsia"/>
          <w:color w:val="auto"/>
        </w:rPr>
      </w:pPr>
      <w:r>
        <w:rPr>
          <w:rFonts w:hint="eastAsia"/>
          <w:color w:val="auto"/>
        </w:rPr>
        <w:t>第七章 响应文件格式</w:t>
      </w:r>
    </w:p>
    <w:p w14:paraId="2B02AF05">
      <w:pPr>
        <w:pStyle w:val="16"/>
        <w:rPr>
          <w:color w:val="auto"/>
        </w:rPr>
      </w:pPr>
      <w:r>
        <w:rPr>
          <w:rFonts w:hint="eastAsia"/>
          <w:color w:val="auto"/>
        </w:rPr>
        <w:t>2.1.2采购文件中有不一致（或矛盾）的，有澄清的部分以最终的澄清更正内容为准；未澄清的，按照竞争性磋商公告、供应商须知、采购需求、“磋商程序、评审方法及评审标准”、合同条款及格式、响应文件格式的顺序进行解释，排名在前的具有优先解释权。第二章供应商须知中，如果</w:t>
      </w:r>
      <w:r>
        <w:rPr>
          <w:rFonts w:hint="eastAsia"/>
          <w:b/>
          <w:bCs/>
          <w:color w:val="auto"/>
          <w:u w:val="single"/>
        </w:rPr>
        <w:t>供应商须知前附表</w:t>
      </w:r>
      <w:r>
        <w:rPr>
          <w:rFonts w:hint="eastAsia"/>
          <w:color w:val="auto"/>
        </w:rPr>
        <w:t>的内容与供应商须知中的内容有不一致（或矛盾）的</w:t>
      </w:r>
      <w:r>
        <w:rPr>
          <w:rFonts w:hint="eastAsia"/>
          <w:b/>
          <w:bCs/>
          <w:color w:val="auto"/>
        </w:rPr>
        <w:t>以</w:t>
      </w:r>
      <w:r>
        <w:rPr>
          <w:rFonts w:hint="eastAsia"/>
          <w:b/>
          <w:bCs/>
          <w:color w:val="auto"/>
          <w:u w:val="single"/>
        </w:rPr>
        <w:t>供应商须知前附表</w:t>
      </w:r>
      <w:r>
        <w:rPr>
          <w:rFonts w:hint="eastAsia"/>
          <w:b/>
          <w:bCs/>
          <w:color w:val="auto"/>
        </w:rPr>
        <w:t>为准</w:t>
      </w:r>
      <w:r>
        <w:rPr>
          <w:rFonts w:hint="eastAsia"/>
          <w:color w:val="auto"/>
        </w:rPr>
        <w:t>。</w:t>
      </w:r>
    </w:p>
    <w:p w14:paraId="21011102">
      <w:pPr>
        <w:pStyle w:val="16"/>
        <w:rPr>
          <w:color w:val="auto"/>
        </w:rPr>
      </w:pPr>
      <w:r>
        <w:rPr>
          <w:rFonts w:hint="eastAsia"/>
          <w:color w:val="auto"/>
        </w:rPr>
        <w:t>2.1.3供应商应认真阅读采购文件中所有的事项、格式、条款和技术规范等。如供应商没有按照采购文件要求提交全部资料，或者响应文件没有对采购文件的实质性要求做出响应，其响应文件将被认定为无效响应文件。</w:t>
      </w:r>
    </w:p>
    <w:p w14:paraId="40F64A6D">
      <w:pPr>
        <w:pStyle w:val="94"/>
        <w:rPr>
          <w:rFonts w:hint="eastAsia"/>
          <w:color w:val="auto"/>
        </w:rPr>
      </w:pPr>
      <w:bookmarkStart w:id="42" w:name="BM2_2_采购文件的澄清与修改"/>
      <w:bookmarkEnd w:id="42"/>
      <w:r>
        <w:rPr>
          <w:rFonts w:hint="eastAsia"/>
          <w:color w:val="auto"/>
        </w:rPr>
        <w:t>2.2采购文件的澄清与修改</w:t>
      </w:r>
    </w:p>
    <w:p w14:paraId="43920320">
      <w:pPr>
        <w:pStyle w:val="16"/>
        <w:rPr>
          <w:color w:val="auto"/>
        </w:rPr>
      </w:pPr>
      <w:r>
        <w:rPr>
          <w:rFonts w:hint="eastAsia"/>
          <w:color w:val="auto"/>
        </w:rPr>
        <w:t>2.2.1供应商应仔细阅读和检查采购文件的全部内容。如发现缺页或附件不全，应及时向采购人（或采购代理机构）提出，以便补齐。如有疑问，应在</w:t>
      </w:r>
      <w:r>
        <w:rPr>
          <w:rFonts w:hint="eastAsia"/>
          <w:b/>
          <w:bCs/>
          <w:color w:val="auto"/>
          <w:u w:val="single"/>
        </w:rPr>
        <w:t>供应商须知前附表</w:t>
      </w:r>
      <w:r>
        <w:rPr>
          <w:rFonts w:hint="eastAsia"/>
          <w:color w:val="auto"/>
        </w:rPr>
        <w:t>规定的时间在交易平台上进行提问，要求采购人对采购文件予以澄清。</w:t>
      </w:r>
    </w:p>
    <w:p w14:paraId="538EC00F">
      <w:pPr>
        <w:pStyle w:val="16"/>
        <w:rPr>
          <w:color w:val="auto"/>
        </w:rPr>
      </w:pPr>
      <w:r>
        <w:rPr>
          <w:rFonts w:hint="eastAsia"/>
          <w:color w:val="auto"/>
        </w:rPr>
        <w:t>2.2.2采购人或采购代理机构可主动地或在解答供应商提出的澄清问题时对采购文件进行澄清或修改。采购代理机构将以发布澄清（更正）公告的方式，澄清或修改采购文件，澄清或修改的内容作为采购文件的组成部分。澄清或者修改的内容可能影响响应文件编制的，应当在递交首次响应文件截止时间至少3个工作日前，在原公告发布媒体上发布变更公告（或澄清公告），不足3个工作日的，应当顺延首次递交响应文件截止时间。</w:t>
      </w:r>
    </w:p>
    <w:p w14:paraId="266AECB2">
      <w:pPr>
        <w:pStyle w:val="16"/>
        <w:rPr>
          <w:color w:val="auto"/>
        </w:rPr>
      </w:pPr>
      <w:r>
        <w:rPr>
          <w:rFonts w:hint="eastAsia"/>
          <w:color w:val="auto"/>
        </w:rPr>
        <w:t>2.2.3采购文件的澄清将在</w:t>
      </w:r>
      <w:r>
        <w:rPr>
          <w:rFonts w:hint="eastAsia"/>
          <w:b/>
          <w:bCs/>
          <w:color w:val="auto"/>
          <w:u w:val="single"/>
        </w:rPr>
        <w:t>供应商须知前附表</w:t>
      </w:r>
      <w:r>
        <w:rPr>
          <w:rFonts w:hint="eastAsia"/>
          <w:color w:val="auto"/>
        </w:rPr>
        <w:t>规定的时间在交易平台上公布给供应商，但不指明澄清问题的来源。</w:t>
      </w:r>
    </w:p>
    <w:p w14:paraId="6F073C0F">
      <w:pPr>
        <w:pStyle w:val="16"/>
        <w:rPr>
          <w:color w:val="auto"/>
        </w:rPr>
      </w:pPr>
      <w:r>
        <w:rPr>
          <w:rFonts w:hint="eastAsia"/>
          <w:color w:val="auto"/>
        </w:rPr>
        <w:t>2.2.4采购人、采购代理机构对已发出的采购文件进行的澄清、更正或修改，澄清、更正或修改的内容将作为采购文件的组成部分。采购代理机构将通过公共资源交易中心交易平台“变更（澄清或更正）公告”和系统内部“答疑文件”告知供应商，各供应商须重新下载最新的答疑、变更（澄清或更正）文件，以此编制响应文件。</w:t>
      </w:r>
    </w:p>
    <w:p w14:paraId="0397EBA9">
      <w:pPr>
        <w:pStyle w:val="16"/>
        <w:rPr>
          <w:color w:val="auto"/>
        </w:rPr>
      </w:pPr>
      <w:r>
        <w:rPr>
          <w:rFonts w:hint="eastAsia"/>
          <w:color w:val="auto"/>
        </w:rPr>
        <w:t>2.2.5交易中心平台供应商信息在磋商开始前具有保密性，供应商在响应文件提交截止时间前应当自行查看项目进展、答疑、变更（澄清或更正）通知、澄清及回复，因供应商未及时查看而造成的后果自负。</w:t>
      </w:r>
    </w:p>
    <w:p w14:paraId="76386E8F">
      <w:pPr>
        <w:pStyle w:val="94"/>
        <w:rPr>
          <w:rFonts w:hint="eastAsia"/>
          <w:color w:val="auto"/>
        </w:rPr>
      </w:pPr>
      <w:bookmarkStart w:id="43" w:name="BM2_3_采购文件的解释"/>
      <w:bookmarkEnd w:id="43"/>
      <w:r>
        <w:rPr>
          <w:rFonts w:hint="eastAsia"/>
          <w:color w:val="auto"/>
        </w:rPr>
        <w:t>2.3采购文件的解释</w:t>
      </w:r>
    </w:p>
    <w:p w14:paraId="6DF65EAE">
      <w:pPr>
        <w:pStyle w:val="16"/>
        <w:rPr>
          <w:color w:val="auto"/>
        </w:rPr>
      </w:pPr>
      <w:r>
        <w:rPr>
          <w:rFonts w:hint="eastAsia"/>
          <w:color w:val="auto"/>
        </w:rPr>
        <w:t>采购文件的最终解释权归采购人，所有解释均依据本采购文件及有关的法律、法规；在磋商时，若出现采购文件无明确说明和处理的情况时，由磋商小组讨论确定处理方案；磋商小组成员之间对处理方案有争议时，采取少数服从多数的投票方式确定。</w:t>
      </w:r>
    </w:p>
    <w:p w14:paraId="1F9B276F">
      <w:pPr>
        <w:pStyle w:val="94"/>
        <w:rPr>
          <w:rFonts w:hint="eastAsia"/>
          <w:color w:val="auto"/>
        </w:rPr>
      </w:pPr>
      <w:bookmarkStart w:id="44" w:name="BM2_4_响应文件提交截止时间的顺延"/>
      <w:bookmarkEnd w:id="44"/>
      <w:r>
        <w:rPr>
          <w:rFonts w:hint="eastAsia"/>
          <w:color w:val="auto"/>
        </w:rPr>
        <w:t>2.4响应文件提交截止时间的顺延</w:t>
      </w:r>
    </w:p>
    <w:p w14:paraId="1E44884C">
      <w:pPr>
        <w:pStyle w:val="16"/>
        <w:rPr>
          <w:color w:val="auto"/>
        </w:rPr>
      </w:pPr>
      <w:r>
        <w:rPr>
          <w:rFonts w:hint="eastAsia"/>
          <w:color w:val="auto"/>
        </w:rPr>
        <w:t>为使供应商有足够的时间对采购文件的澄清或者修改部分进行研究而准备编制响应文件或因其他原因，采购人将依法决定是否顺延响应文件提交截止时间。</w:t>
      </w:r>
    </w:p>
    <w:p w14:paraId="462D7D36">
      <w:pPr>
        <w:pStyle w:val="4"/>
        <w:ind w:firstLine="643"/>
        <w:rPr>
          <w:color w:val="auto"/>
        </w:rPr>
      </w:pPr>
      <w:bookmarkStart w:id="45" w:name="BM3、响应文件编制"/>
      <w:bookmarkEnd w:id="45"/>
      <w:bookmarkStart w:id="46" w:name="_Toc70524421"/>
      <w:r>
        <w:rPr>
          <w:rFonts w:hint="eastAsia"/>
          <w:color w:val="auto"/>
        </w:rPr>
        <w:t>3、响应文件编制</w:t>
      </w:r>
      <w:bookmarkEnd w:id="46"/>
    </w:p>
    <w:p w14:paraId="5A2963E5">
      <w:pPr>
        <w:pStyle w:val="94"/>
        <w:rPr>
          <w:rFonts w:hint="eastAsia"/>
          <w:color w:val="auto"/>
        </w:rPr>
      </w:pPr>
      <w:bookmarkStart w:id="47" w:name="BM3_1_供应商参加磋商的响应范围及响应文件中的标准和计量单位的使用"/>
      <w:bookmarkEnd w:id="47"/>
      <w:r>
        <w:rPr>
          <w:rFonts w:hint="eastAsia"/>
          <w:color w:val="auto"/>
        </w:rPr>
        <w:t>3.1供应商参加磋商的响应范围及响应文件中的标准和计量单位的使用</w:t>
      </w:r>
    </w:p>
    <w:p w14:paraId="00EA3BE3">
      <w:pPr>
        <w:pStyle w:val="16"/>
        <w:rPr>
          <w:color w:val="auto"/>
        </w:rPr>
      </w:pPr>
      <w:r>
        <w:rPr>
          <w:rFonts w:hint="eastAsia"/>
          <w:color w:val="auto"/>
        </w:rPr>
        <w:t>3.1.1采购项目分为两个及以上不同“包”或“标段”的，供应商可以同时参加各个“包”或“标段”的采购活动，除非在供应商须知前附表中另有规定。</w:t>
      </w:r>
    </w:p>
    <w:p w14:paraId="350811F6">
      <w:pPr>
        <w:pStyle w:val="16"/>
        <w:rPr>
          <w:color w:val="auto"/>
        </w:rPr>
      </w:pPr>
      <w:r>
        <w:rPr>
          <w:rFonts w:hint="eastAsia"/>
          <w:color w:val="auto"/>
        </w:rPr>
        <w:t>3.1.2采购项目分为两个及以上不同“包”或“标段”的，供应商应当以采购文件中的“包”或“标段”为单位编制响应文件；供应商应当对所响应“包”或“标段”采购文件中的“采购需求”所列的所有采购内容进行响应及报价，如仅对“包”或“标段”中的部分内容进行响应（或报价），其该包（或标段）的响应文件将被认定为无效响应文件。竞争性磋商文件中允许的偏差除外。</w:t>
      </w:r>
    </w:p>
    <w:p w14:paraId="11A5E170">
      <w:pPr>
        <w:pStyle w:val="16"/>
        <w:rPr>
          <w:color w:val="auto"/>
        </w:rPr>
      </w:pPr>
      <w:r>
        <w:rPr>
          <w:rFonts w:hint="eastAsia"/>
          <w:color w:val="auto"/>
        </w:rPr>
        <w:t>3.1.3无论采购文件中是否要求，供应商所提供的货物均应符合国家强制性标准。</w:t>
      </w:r>
    </w:p>
    <w:p w14:paraId="23C64737">
      <w:pPr>
        <w:pStyle w:val="16"/>
        <w:rPr>
          <w:color w:val="auto"/>
        </w:rPr>
      </w:pPr>
      <w:r>
        <w:rPr>
          <w:rFonts w:hint="eastAsia"/>
          <w:color w:val="auto"/>
        </w:rPr>
        <w:t>3.1.4除采购文件中有特殊要求外，响应文件中所使用的计量单位，应采用中华人民共和国法定计量单位。</w:t>
      </w:r>
    </w:p>
    <w:p w14:paraId="08A6C9AF">
      <w:pPr>
        <w:pStyle w:val="16"/>
        <w:rPr>
          <w:color w:val="auto"/>
        </w:rPr>
      </w:pPr>
      <w:r>
        <w:rPr>
          <w:rFonts w:hint="eastAsia"/>
          <w:color w:val="auto"/>
        </w:rPr>
        <w:t>3.1.5</w:t>
      </w:r>
      <w:r>
        <w:rPr>
          <w:rFonts w:hint="eastAsia"/>
          <w:b/>
          <w:bCs/>
          <w:color w:val="auto"/>
        </w:rPr>
        <w:t>磋商语言文字</w:t>
      </w:r>
      <w:r>
        <w:rPr>
          <w:rFonts w:hint="eastAsia"/>
          <w:color w:val="auto"/>
        </w:rPr>
        <w:t>：响应文件以及供应商所有与采购人及采购代理机构就磋商来往的文件、资料均使用中文。如果供应商提供有外文资料应附有相应的中文译本，并以中文译本为准。</w:t>
      </w:r>
    </w:p>
    <w:p w14:paraId="0193FF5B">
      <w:pPr>
        <w:pStyle w:val="94"/>
        <w:rPr>
          <w:rFonts w:hint="eastAsia"/>
          <w:color w:val="auto"/>
        </w:rPr>
      </w:pPr>
      <w:bookmarkStart w:id="48" w:name="BM3_2_响应文件组成"/>
      <w:bookmarkEnd w:id="48"/>
      <w:r>
        <w:rPr>
          <w:rFonts w:hint="eastAsia"/>
          <w:color w:val="auto"/>
        </w:rPr>
        <w:t>3.2响应文件组成</w:t>
      </w:r>
    </w:p>
    <w:p w14:paraId="25B7E771">
      <w:pPr>
        <w:pStyle w:val="16"/>
        <w:rPr>
          <w:color w:val="auto"/>
        </w:rPr>
      </w:pPr>
      <w:r>
        <w:rPr>
          <w:rFonts w:hint="eastAsia"/>
          <w:color w:val="auto"/>
        </w:rPr>
        <w:t>3.2.1供应商应完整地按照采购文件第七章“响应文件格式”中提供的格式及要求编写响应文件，采购文件提供标准格式的按标准格式填列，未提供标准格式的可自行拟定。</w:t>
      </w:r>
    </w:p>
    <w:p w14:paraId="1B369DAD">
      <w:pPr>
        <w:pStyle w:val="16"/>
        <w:rPr>
          <w:color w:val="auto"/>
        </w:rPr>
      </w:pPr>
      <w:r>
        <w:rPr>
          <w:rFonts w:hint="eastAsia"/>
          <w:color w:val="auto"/>
        </w:rPr>
        <w:t>3.2.2具体详见采购文件第七章“响应文件格式”。响应文件中资格审查和符合性审查涉及的事项不满足采购文件要求的，其响应文件将被认定为无效响应文件。</w:t>
      </w:r>
    </w:p>
    <w:p w14:paraId="194BC559">
      <w:pPr>
        <w:pStyle w:val="16"/>
        <w:rPr>
          <w:color w:val="auto"/>
        </w:rPr>
      </w:pPr>
      <w:r>
        <w:rPr>
          <w:rFonts w:hint="eastAsia"/>
          <w:color w:val="auto"/>
        </w:rPr>
        <w:t>3.2.3电子响应文件的签字或盖章：供应商必须按照采购文件的要求签字、盖章或加盖电子章。</w:t>
      </w:r>
    </w:p>
    <w:p w14:paraId="0ADEB676">
      <w:pPr>
        <w:pStyle w:val="94"/>
        <w:rPr>
          <w:rFonts w:hint="eastAsia"/>
          <w:color w:val="auto"/>
        </w:rPr>
      </w:pPr>
      <w:bookmarkStart w:id="49" w:name="BM3_3__供应商证明所提供标的的合格性和符合采购文件规定的技术文件"/>
      <w:bookmarkEnd w:id="49"/>
      <w:r>
        <w:rPr>
          <w:rFonts w:hint="eastAsia"/>
          <w:color w:val="auto"/>
        </w:rPr>
        <w:t>3.3供应商证明所提供标的的合格性和符合采购文件规定的技术文件</w:t>
      </w:r>
    </w:p>
    <w:p w14:paraId="1D0A7927">
      <w:pPr>
        <w:pStyle w:val="16"/>
        <w:rPr>
          <w:color w:val="auto"/>
        </w:rPr>
      </w:pPr>
      <w:r>
        <w:rPr>
          <w:rFonts w:hint="eastAsia"/>
          <w:color w:val="auto"/>
        </w:rPr>
        <w:t>3.3.1供应商应按采购文件中的具体要求提交证明文件，证明所提供标的符合采购文件的规定。该证明文件是响应文件的技术文件。</w:t>
      </w:r>
    </w:p>
    <w:p w14:paraId="35D68E0F">
      <w:pPr>
        <w:pStyle w:val="16"/>
        <w:rPr>
          <w:color w:val="auto"/>
        </w:rPr>
      </w:pPr>
      <w:r>
        <w:rPr>
          <w:rFonts w:hint="eastAsia"/>
          <w:color w:val="auto"/>
        </w:rPr>
        <w:t>3.3.2上款所述的证明文件，可以是文字资料、图纸和数据，包括：</w:t>
      </w:r>
    </w:p>
    <w:p w14:paraId="03149478">
      <w:pPr>
        <w:pStyle w:val="16"/>
        <w:rPr>
          <w:color w:val="auto"/>
        </w:rPr>
      </w:pPr>
      <w:r>
        <w:rPr>
          <w:rFonts w:hint="eastAsia"/>
          <w:color w:val="auto"/>
        </w:rPr>
        <w:t>3.3.2.1货物主要技术指标和性能的详细说明；</w:t>
      </w:r>
    </w:p>
    <w:p w14:paraId="479069DA">
      <w:pPr>
        <w:pStyle w:val="16"/>
        <w:rPr>
          <w:color w:val="auto"/>
        </w:rPr>
      </w:pPr>
      <w:r>
        <w:rPr>
          <w:rFonts w:hint="eastAsia"/>
          <w:color w:val="auto"/>
        </w:rPr>
        <w:t>3.3.3供应商应注意采购人在采购文件中指出的材料和设备的品牌、型号仅起说明作用，并没有任何倾向性或限制性。评审时不以上述品牌、型号作为评审因素判定其响应文件是否为有效的标准。提供任何品牌的供应商均可依法参加本项目的采购活动。</w:t>
      </w:r>
    </w:p>
    <w:p w14:paraId="0A39BB20">
      <w:pPr>
        <w:pStyle w:val="16"/>
        <w:rPr>
          <w:color w:val="auto"/>
        </w:rPr>
      </w:pPr>
      <w:r>
        <w:rPr>
          <w:rFonts w:hint="eastAsia"/>
          <w:color w:val="auto"/>
        </w:rPr>
        <w:t>3.3.4若采购文件未明确要求提供相应技术证明文件的，供应商可不提供。</w:t>
      </w:r>
    </w:p>
    <w:p w14:paraId="63CC6675">
      <w:pPr>
        <w:pStyle w:val="94"/>
        <w:rPr>
          <w:rFonts w:hint="eastAsia"/>
          <w:color w:val="auto"/>
        </w:rPr>
      </w:pPr>
      <w:bookmarkStart w:id="50" w:name="BM3_4响应报价"/>
      <w:bookmarkEnd w:id="50"/>
      <w:r>
        <w:rPr>
          <w:rFonts w:hint="eastAsia"/>
          <w:color w:val="auto"/>
        </w:rPr>
        <w:t>3.4响应报价</w:t>
      </w:r>
    </w:p>
    <w:p w14:paraId="33837A4F">
      <w:pPr>
        <w:pStyle w:val="16"/>
        <w:rPr>
          <w:color w:val="auto"/>
        </w:rPr>
      </w:pPr>
      <w:r>
        <w:rPr>
          <w:rFonts w:hint="eastAsia"/>
          <w:color w:val="auto"/>
        </w:rPr>
        <w:t>3.4.1供应商的响应报价（及最后报价）应当包括满足所响应“包”或“标段”所应提供的货物等全部内容（除非在供应商须知前附表中另有规定）。所有报价均应以人民币报价。供应商的报价应遵守《中华人民共和国价格法》。</w:t>
      </w:r>
    </w:p>
    <w:p w14:paraId="55F80070">
      <w:pPr>
        <w:pStyle w:val="16"/>
        <w:rPr>
          <w:color w:val="auto"/>
        </w:rPr>
      </w:pPr>
      <w:r>
        <w:rPr>
          <w:rFonts w:hint="eastAsia"/>
          <w:color w:val="auto"/>
        </w:rPr>
        <w:t>3.4.2供应商应参考采购人所提供的采购范围及工作内容、质量要求、采购预算等全部内容，结合本项目实际情况和供应商自身成本、市场行情等因素，自主报价。不得低于企业成本报价，且不得高于采购人给定的预算价或最高限价，否则响应文件将被认定为无效响应文件。</w:t>
      </w:r>
    </w:p>
    <w:p w14:paraId="2635BD6D">
      <w:pPr>
        <w:pStyle w:val="16"/>
        <w:rPr>
          <w:color w:val="auto"/>
        </w:rPr>
      </w:pPr>
      <w:r>
        <w:rPr>
          <w:rFonts w:hint="eastAsia"/>
          <w:color w:val="auto"/>
        </w:rPr>
        <w:t>3.4.3供应商应当按照采购文件提供的报价表格式如实填写各项货物的单价、分项总价和总报价。供应商应认真填报所有项目的单价和合价，响应文件中若有漏项、漏报，采购人视为供应商的报价在总报价中已经包括；供应商提交最后报价后，如果被确定为成交人，该供应商所报价格，在合同履行过程中是固定不变的，除因采购人原因引起的变更外，不予调整。供应商报价有算术错误的，其风险由供应商承担。</w:t>
      </w:r>
    </w:p>
    <w:p w14:paraId="76B0D849">
      <w:pPr>
        <w:pStyle w:val="16"/>
        <w:rPr>
          <w:color w:val="auto"/>
        </w:rPr>
      </w:pPr>
      <w:r>
        <w:rPr>
          <w:rFonts w:hint="eastAsia"/>
          <w:color w:val="auto"/>
        </w:rPr>
        <w:t>3.4.4供应商的最后报价应当包括：所提供货物需要缴纳的所有税费的价格，所提供服务、培训和采购文件要求提供的其它内容等费用及交付采购人使用前发生的其它费用。</w:t>
      </w:r>
    </w:p>
    <w:p w14:paraId="7966529D">
      <w:pPr>
        <w:pStyle w:val="16"/>
        <w:rPr>
          <w:color w:val="auto"/>
        </w:rPr>
      </w:pPr>
      <w:r>
        <w:rPr>
          <w:rFonts w:hint="eastAsia"/>
          <w:color w:val="auto"/>
        </w:rPr>
        <w:t>3.4.5除非采购文件另有规定，每一“包”或“标段”只允许有一个最后总报价，任何有选择的最后总报价或替代方案将导致响应文件无效。</w:t>
      </w:r>
    </w:p>
    <w:p w14:paraId="657C5907">
      <w:pPr>
        <w:pStyle w:val="16"/>
        <w:rPr>
          <w:color w:val="auto"/>
        </w:rPr>
      </w:pPr>
      <w:r>
        <w:rPr>
          <w:rFonts w:hint="eastAsia"/>
          <w:color w:val="auto"/>
        </w:rPr>
        <w:t>3.4.6供应商在提交最后总报价后，不得以任何理由再对最后总报价予以修改，最后总报价在响应文件有效期内是固定的，除采购文件中约定的原因外，不能随意改变。</w:t>
      </w:r>
    </w:p>
    <w:p w14:paraId="6E705574">
      <w:pPr>
        <w:pStyle w:val="16"/>
        <w:rPr>
          <w:color w:val="auto"/>
        </w:rPr>
      </w:pPr>
      <w:r>
        <w:rPr>
          <w:rFonts w:hint="eastAsia"/>
          <w:color w:val="auto"/>
        </w:rPr>
        <w:t>3.4.7供应商在报价时应考虑期间的物价上涨，政策性调整等诸多因素以及由此引起的费用变动并计入总报价（包含最后总报价）。</w:t>
      </w:r>
    </w:p>
    <w:p w14:paraId="668B4344">
      <w:pPr>
        <w:pStyle w:val="16"/>
        <w:rPr>
          <w:color w:val="auto"/>
        </w:rPr>
      </w:pPr>
      <w:r>
        <w:rPr>
          <w:rFonts w:hint="eastAsia"/>
          <w:color w:val="auto"/>
        </w:rPr>
        <w:t>3.4.8采购人不接受具有附加条件的最后总报价或多个方案的最后总报价。</w:t>
      </w:r>
    </w:p>
    <w:p w14:paraId="07A078EC">
      <w:pPr>
        <w:pStyle w:val="16"/>
        <w:rPr>
          <w:color w:val="auto"/>
        </w:rPr>
      </w:pPr>
      <w:r>
        <w:rPr>
          <w:rFonts w:hint="eastAsia"/>
          <w:color w:val="auto"/>
        </w:rPr>
        <w:t>3.4.9供应商的最后总报价应是采购人指定地点交付（全部货物内容）的包括交付前发生的各种税费、以及伴随的其它服务费总报价。</w:t>
      </w:r>
    </w:p>
    <w:p w14:paraId="324BBAD2">
      <w:pPr>
        <w:pStyle w:val="16"/>
        <w:rPr>
          <w:color w:val="auto"/>
        </w:rPr>
      </w:pPr>
      <w:r>
        <w:rPr>
          <w:rFonts w:hint="eastAsia"/>
          <w:color w:val="auto"/>
        </w:rPr>
        <w:t>3.4.10供应商的最后总报价应是由供应商计算的完成采购文件中规定的全部工作内容所需一切费用的期望值。</w:t>
      </w:r>
    </w:p>
    <w:p w14:paraId="1E4ACFE6">
      <w:pPr>
        <w:pStyle w:val="94"/>
        <w:rPr>
          <w:rFonts w:hint="eastAsia"/>
          <w:color w:val="auto"/>
        </w:rPr>
      </w:pPr>
      <w:bookmarkStart w:id="51" w:name="BM3_5_磋商保证金"/>
      <w:bookmarkEnd w:id="51"/>
      <w:r>
        <w:rPr>
          <w:rFonts w:hint="eastAsia"/>
          <w:color w:val="auto"/>
        </w:rPr>
        <w:t>3.5磋商保证金</w:t>
      </w:r>
    </w:p>
    <w:p w14:paraId="37167A94">
      <w:pPr>
        <w:pStyle w:val="16"/>
        <w:rPr>
          <w:color w:val="auto"/>
        </w:rPr>
      </w:pPr>
      <w:bookmarkStart w:id="52" w:name="BM3_6_响应文件有效期"/>
      <w:bookmarkEnd w:id="52"/>
      <w:r>
        <w:rPr>
          <w:rFonts w:hint="eastAsia"/>
          <w:color w:val="auto"/>
        </w:rPr>
        <w:t>见供应商须知前附表。</w:t>
      </w:r>
    </w:p>
    <w:p w14:paraId="7469594D">
      <w:pPr>
        <w:pStyle w:val="94"/>
        <w:rPr>
          <w:rFonts w:hint="eastAsia"/>
          <w:color w:val="auto"/>
        </w:rPr>
      </w:pPr>
      <w:r>
        <w:rPr>
          <w:rFonts w:hint="eastAsia"/>
          <w:color w:val="auto"/>
        </w:rPr>
        <w:t>3.6响应文件有效期</w:t>
      </w:r>
    </w:p>
    <w:p w14:paraId="0893E180">
      <w:pPr>
        <w:pStyle w:val="16"/>
        <w:rPr>
          <w:color w:val="auto"/>
        </w:rPr>
      </w:pPr>
      <w:r>
        <w:rPr>
          <w:rFonts w:hint="eastAsia"/>
          <w:color w:val="auto"/>
        </w:rPr>
        <w:t>3.6.1响应文件应在供应商须知前附表中规定时间内保持有效。响应文件有效期不满足要求的响应文件，将被认定为无效响应文件。</w:t>
      </w:r>
    </w:p>
    <w:p w14:paraId="2C3EAF29">
      <w:pPr>
        <w:pStyle w:val="16"/>
        <w:rPr>
          <w:color w:val="auto"/>
        </w:rPr>
      </w:pPr>
      <w:r>
        <w:rPr>
          <w:rFonts w:hint="eastAsia"/>
          <w:color w:val="auto"/>
        </w:rPr>
        <w:t>3.6.2因特殊原因，采购人或采购代理机构可在原响应文件有效期截止之前，要求供应商延长响应文件的有效期。接受该要求的供应商将不会被要求和允许修正其响应文件。供应商也可以拒绝延长响应文件有效期的要求，且不承担任何责任。上述要求和答复都应以书面形式提交。</w:t>
      </w:r>
    </w:p>
    <w:p w14:paraId="7BD2928E">
      <w:pPr>
        <w:pStyle w:val="94"/>
        <w:rPr>
          <w:rFonts w:hint="eastAsia"/>
          <w:color w:val="auto"/>
        </w:rPr>
      </w:pPr>
      <w:bookmarkStart w:id="53" w:name="BM3_7_响应文件的制作"/>
      <w:bookmarkEnd w:id="53"/>
      <w:r>
        <w:rPr>
          <w:rFonts w:hint="eastAsia"/>
          <w:color w:val="auto"/>
        </w:rPr>
        <w:t>3.7响应文件的制作</w:t>
      </w:r>
    </w:p>
    <w:p w14:paraId="584D498C">
      <w:pPr>
        <w:pStyle w:val="16"/>
        <w:rPr>
          <w:color w:val="auto"/>
        </w:rPr>
      </w:pPr>
      <w:r>
        <w:rPr>
          <w:rFonts w:hint="eastAsia"/>
          <w:color w:val="auto"/>
        </w:rPr>
        <w:t>3.7.1供应商在制作电子响应文件时，按照公共资源交易中心提供的“投标文件制作工具”制作电子响应文件。具体查询公共资源交易中心网站主页→办事指南及下载专区。</w:t>
      </w:r>
    </w:p>
    <w:p w14:paraId="280B525B">
      <w:pPr>
        <w:pStyle w:val="16"/>
        <w:rPr>
          <w:b/>
          <w:bCs/>
          <w:color w:val="auto"/>
          <w:u w:val="single"/>
        </w:rPr>
      </w:pPr>
      <w:r>
        <w:rPr>
          <w:rFonts w:hint="eastAsia"/>
          <w:color w:val="auto"/>
        </w:rPr>
        <w:t>3.7.2响应文件格式所要求包含的全部资料应全部制作在响应文件内（格式中写明可以不提供的除外），严格按照本项目采购文件中提供的所有格式如实填写（不涉及的内容除外），不应存在漏项或缺项，否则将存在响应文件被拒绝的风险。</w:t>
      </w:r>
      <w:r>
        <w:rPr>
          <w:rFonts w:hint="eastAsia"/>
          <w:b/>
          <w:bCs/>
          <w:color w:val="auto"/>
          <w:u w:val="single"/>
        </w:rPr>
        <w:t>响应函（磋商函）及报价一览表，须严格按照格式编辑，并作为电子评审系统上传的依据。</w:t>
      </w:r>
    </w:p>
    <w:p w14:paraId="5563465F">
      <w:pPr>
        <w:pStyle w:val="94"/>
        <w:ind w:firstLine="420"/>
        <w:rPr>
          <w:rFonts w:hint="eastAsia"/>
          <w:b w:val="0"/>
          <w:bCs w:val="0"/>
          <w:color w:val="auto"/>
        </w:rPr>
      </w:pPr>
      <w:r>
        <w:rPr>
          <w:rFonts w:hint="eastAsia"/>
          <w:b w:val="0"/>
          <w:bCs w:val="0"/>
          <w:color w:val="auto"/>
        </w:rPr>
        <w:t>3.7.3供应商编辑电子响应文件时，根据采购文件要求用法人 CA 数字证书和企业 CA数字证书进行签章制作；最后一步生成电子响应文件时，只能用本单位的企业 CA数字证书。</w:t>
      </w:r>
    </w:p>
    <w:p w14:paraId="5C8F9821">
      <w:pPr>
        <w:pStyle w:val="94"/>
        <w:ind w:firstLine="420"/>
        <w:rPr>
          <w:rFonts w:hint="eastAsia"/>
          <w:b w:val="0"/>
          <w:bCs w:val="0"/>
          <w:color w:val="auto"/>
        </w:rPr>
      </w:pPr>
      <w:r>
        <w:rPr>
          <w:rFonts w:hint="eastAsia"/>
          <w:b w:val="0"/>
          <w:bCs w:val="0"/>
          <w:color w:val="auto"/>
        </w:rPr>
        <w:t>3.7.4供应商须在响应文件提交截止时间前制作并提交响应文件。加密的电子响应文件，应在响应文件提交截止时间前通过“公共资源交易中心”电子交易平台内上传。</w:t>
      </w:r>
    </w:p>
    <w:p w14:paraId="0BCC203B">
      <w:pPr>
        <w:pStyle w:val="94"/>
        <w:ind w:firstLine="420"/>
        <w:rPr>
          <w:rFonts w:hint="eastAsia"/>
          <w:b w:val="0"/>
          <w:bCs w:val="0"/>
          <w:color w:val="auto"/>
        </w:rPr>
      </w:pPr>
      <w:r>
        <w:rPr>
          <w:rFonts w:hint="eastAsia"/>
          <w:b w:val="0"/>
          <w:bCs w:val="0"/>
          <w:color w:val="auto"/>
        </w:rPr>
        <w:t>3.7.5加密的电子响应文件为“公共资源交易中心”网站提供的“投标文件制作工具”软件制作生成的加密版响应文件。</w:t>
      </w:r>
    </w:p>
    <w:p w14:paraId="30FD1CAD">
      <w:pPr>
        <w:pStyle w:val="94"/>
        <w:ind w:firstLine="420"/>
        <w:rPr>
          <w:rFonts w:hint="eastAsia"/>
          <w:b w:val="0"/>
          <w:bCs w:val="0"/>
          <w:color w:val="auto"/>
        </w:rPr>
      </w:pPr>
      <w:r>
        <w:rPr>
          <w:rFonts w:hint="eastAsia"/>
          <w:b w:val="0"/>
          <w:bCs w:val="0"/>
          <w:color w:val="auto"/>
        </w:rPr>
        <w:t>3.7.6响应文件的修改：供应商如果对响应文件进行了修改，则应在修改处加盖企业（单位）的电子签章。</w:t>
      </w:r>
    </w:p>
    <w:p w14:paraId="7941D6E3">
      <w:pPr>
        <w:pStyle w:val="4"/>
        <w:ind w:firstLine="643"/>
        <w:rPr>
          <w:color w:val="auto"/>
        </w:rPr>
      </w:pPr>
      <w:bookmarkStart w:id="54" w:name="BM4、响应文件的提交"/>
      <w:bookmarkEnd w:id="54"/>
      <w:bookmarkStart w:id="55" w:name="_Toc70524422"/>
      <w:r>
        <w:rPr>
          <w:rFonts w:hint="eastAsia"/>
          <w:color w:val="auto"/>
        </w:rPr>
        <w:t>4、响应文件的提交</w:t>
      </w:r>
      <w:bookmarkEnd w:id="55"/>
    </w:p>
    <w:p w14:paraId="6DDDAB96">
      <w:pPr>
        <w:pStyle w:val="94"/>
        <w:ind w:firstLine="420"/>
        <w:rPr>
          <w:rFonts w:hint="eastAsia"/>
          <w:b w:val="0"/>
          <w:bCs w:val="0"/>
          <w:color w:val="auto"/>
        </w:rPr>
      </w:pPr>
      <w:bookmarkStart w:id="56" w:name="BM4_1_响应文件的密封和标记"/>
      <w:bookmarkEnd w:id="56"/>
      <w:r>
        <w:rPr>
          <w:rFonts w:hint="eastAsia"/>
          <w:b w:val="0"/>
          <w:bCs w:val="0"/>
          <w:color w:val="auto"/>
        </w:rPr>
        <w:t>4.1响应文件的密封和标记</w:t>
      </w:r>
    </w:p>
    <w:p w14:paraId="6C0C93B3">
      <w:pPr>
        <w:pStyle w:val="94"/>
        <w:ind w:firstLine="420"/>
        <w:rPr>
          <w:rFonts w:hint="eastAsia"/>
          <w:b w:val="0"/>
          <w:bCs w:val="0"/>
          <w:color w:val="auto"/>
        </w:rPr>
      </w:pPr>
      <w:r>
        <w:rPr>
          <w:rFonts w:hint="eastAsia"/>
          <w:b w:val="0"/>
          <w:bCs w:val="0"/>
          <w:color w:val="auto"/>
        </w:rPr>
        <w:t>4.1.1因采用全程不见面磋商、评审方式，故电子响应文件按本采购文件第4.2.2条要求加密上传到指定平台。</w:t>
      </w:r>
    </w:p>
    <w:p w14:paraId="398B1DC2">
      <w:pPr>
        <w:pStyle w:val="94"/>
        <w:ind w:firstLine="420"/>
        <w:rPr>
          <w:rFonts w:hint="eastAsia"/>
          <w:b w:val="0"/>
          <w:bCs w:val="0"/>
          <w:color w:val="auto"/>
        </w:rPr>
      </w:pPr>
      <w:bookmarkStart w:id="57" w:name="BM4_2_响应文件提交截止时间"/>
      <w:bookmarkEnd w:id="57"/>
      <w:r>
        <w:rPr>
          <w:rFonts w:hint="eastAsia"/>
          <w:b w:val="0"/>
          <w:bCs w:val="0"/>
          <w:color w:val="auto"/>
        </w:rPr>
        <w:t>4.2响应文件提交截止时间</w:t>
      </w:r>
    </w:p>
    <w:p w14:paraId="29016C53">
      <w:pPr>
        <w:pStyle w:val="94"/>
        <w:ind w:firstLine="420"/>
        <w:rPr>
          <w:rFonts w:hint="eastAsia"/>
          <w:b w:val="0"/>
          <w:bCs w:val="0"/>
          <w:color w:val="auto"/>
        </w:rPr>
      </w:pPr>
      <w:r>
        <w:rPr>
          <w:rFonts w:hint="eastAsia"/>
          <w:b w:val="0"/>
          <w:bCs w:val="0"/>
          <w:color w:val="auto"/>
        </w:rPr>
        <w:t>4.2.1响应文件提交截止时间</w:t>
      </w:r>
      <w:r>
        <w:rPr>
          <w:rFonts w:hint="eastAsia"/>
          <w:b w:val="0"/>
          <w:bCs w:val="0"/>
          <w:color w:val="auto"/>
          <w:u w:val="single"/>
        </w:rPr>
        <w:t>见供应商须知前附表</w:t>
      </w:r>
      <w:r>
        <w:rPr>
          <w:rFonts w:hint="eastAsia"/>
          <w:b w:val="0"/>
          <w:bCs w:val="0"/>
          <w:color w:val="auto"/>
        </w:rPr>
        <w:t>。</w:t>
      </w:r>
    </w:p>
    <w:p w14:paraId="36A5859E">
      <w:pPr>
        <w:pStyle w:val="94"/>
        <w:ind w:firstLine="420"/>
        <w:rPr>
          <w:rFonts w:hint="eastAsia"/>
          <w:b w:val="0"/>
          <w:bCs w:val="0"/>
          <w:color w:val="auto"/>
        </w:rPr>
      </w:pPr>
      <w:r>
        <w:rPr>
          <w:rFonts w:hint="eastAsia"/>
          <w:b w:val="0"/>
          <w:bCs w:val="0"/>
          <w:color w:val="auto"/>
        </w:rPr>
        <w:t>4.2.2加密的电子响应文件应在响应文件提交截止时间前通过“公共资源交易中心”电子交易平台上传。</w:t>
      </w:r>
    </w:p>
    <w:p w14:paraId="0703D399">
      <w:pPr>
        <w:pStyle w:val="94"/>
        <w:ind w:firstLine="420"/>
        <w:rPr>
          <w:rFonts w:hint="eastAsia"/>
          <w:b w:val="0"/>
          <w:bCs w:val="0"/>
          <w:color w:val="auto"/>
        </w:rPr>
      </w:pPr>
      <w:r>
        <w:rPr>
          <w:rFonts w:hint="eastAsia"/>
          <w:b w:val="0"/>
          <w:bCs w:val="0"/>
          <w:color w:val="auto"/>
        </w:rPr>
        <w:t>4.2.3采购人和采购代理机构可以按本章第2.2.2条、2.4条的规定，通过修改采购文件自行决定是否酌情延长响应文件提交截止时间的期限。如果采购人和采购代理机构延长了响应文件提交截止时间的期限，供应商提交响应文件的截止时间则以延长后的时间为准。</w:t>
      </w:r>
    </w:p>
    <w:p w14:paraId="38D935DA">
      <w:pPr>
        <w:rPr>
          <w:color w:val="auto"/>
        </w:rPr>
      </w:pPr>
      <w:r>
        <w:rPr>
          <w:rFonts w:hint="eastAsia" w:asciiTheme="minorEastAsia" w:hAnsiTheme="minorEastAsia" w:eastAsiaTheme="minorEastAsia" w:cstheme="minorEastAsia"/>
          <w:color w:val="auto"/>
          <w:szCs w:val="21"/>
        </w:rPr>
        <w:t>4.2.4迟交</w:t>
      </w:r>
      <w:r>
        <w:rPr>
          <w:rFonts w:hint="eastAsia"/>
          <w:color w:val="auto"/>
        </w:rPr>
        <w:t>的响应文件</w:t>
      </w:r>
    </w:p>
    <w:p w14:paraId="7FF3B88B">
      <w:pPr>
        <w:rPr>
          <w:color w:val="auto"/>
        </w:rPr>
      </w:pPr>
      <w:r>
        <w:rPr>
          <w:rFonts w:hint="eastAsia"/>
          <w:color w:val="auto"/>
        </w:rPr>
        <w:t>采购人和采购代理机构将拒绝在规定的时间内未上传、未解密的响应文件。</w:t>
      </w:r>
      <w:bookmarkStart w:id="58" w:name="BM4_3__响应文件的提交、修改与撤回"/>
      <w:bookmarkEnd w:id="58"/>
    </w:p>
    <w:p w14:paraId="43FBB038">
      <w:pPr>
        <w:pStyle w:val="94"/>
        <w:ind w:firstLine="420"/>
        <w:rPr>
          <w:rFonts w:hint="eastAsia"/>
          <w:b w:val="0"/>
          <w:bCs w:val="0"/>
          <w:color w:val="auto"/>
        </w:rPr>
      </w:pPr>
      <w:r>
        <w:rPr>
          <w:rFonts w:hint="eastAsia"/>
          <w:b w:val="0"/>
          <w:bCs w:val="0"/>
          <w:color w:val="auto"/>
        </w:rPr>
        <w:t>4.3响应文件的提交、修改与撤回</w:t>
      </w:r>
    </w:p>
    <w:p w14:paraId="29A43AC6">
      <w:pPr>
        <w:rPr>
          <w:color w:val="auto"/>
        </w:rPr>
      </w:pPr>
      <w:r>
        <w:rPr>
          <w:rFonts w:hint="eastAsia"/>
          <w:color w:val="auto"/>
        </w:rPr>
        <w:t>4.3.1响应文件的提交</w:t>
      </w:r>
    </w:p>
    <w:p w14:paraId="1C6F7D06">
      <w:pPr>
        <w:pStyle w:val="94"/>
        <w:ind w:firstLine="420"/>
        <w:rPr>
          <w:rFonts w:hint="eastAsia"/>
          <w:b w:val="0"/>
          <w:bCs w:val="0"/>
          <w:color w:val="auto"/>
        </w:rPr>
      </w:pPr>
      <w:r>
        <w:rPr>
          <w:rFonts w:hint="eastAsia"/>
          <w:b w:val="0"/>
          <w:bCs w:val="0"/>
          <w:color w:val="auto"/>
        </w:rPr>
        <w:t>4.3.1.1供应商应在响应文件提交截止时间前上传加密的电子响应文件到公共资源交易中心系统的指定位置。请供应商在上传时认真检查上传的响应文件是否完整、正确。</w:t>
      </w:r>
    </w:p>
    <w:p w14:paraId="7C1C0067">
      <w:pPr>
        <w:pStyle w:val="94"/>
        <w:ind w:firstLine="420"/>
        <w:rPr>
          <w:rFonts w:hint="eastAsia"/>
          <w:b w:val="0"/>
          <w:bCs w:val="0"/>
          <w:color w:val="auto"/>
        </w:rPr>
      </w:pPr>
      <w:r>
        <w:rPr>
          <w:rFonts w:hint="eastAsia"/>
          <w:b w:val="0"/>
          <w:bCs w:val="0"/>
          <w:color w:val="auto"/>
        </w:rPr>
        <w:t>4.3.1.2供应商因交易中心投标系统问题无法上传电子响应文件时，请在工作时间与公共资源交易中心联系。</w:t>
      </w:r>
    </w:p>
    <w:p w14:paraId="59487C95">
      <w:pPr>
        <w:rPr>
          <w:color w:val="auto"/>
        </w:rPr>
      </w:pPr>
      <w:r>
        <w:rPr>
          <w:rFonts w:hint="eastAsia"/>
          <w:color w:val="auto"/>
        </w:rPr>
        <w:t>4.3.2响应文件的修改和撤回</w:t>
      </w:r>
    </w:p>
    <w:p w14:paraId="4CE0420F">
      <w:pPr>
        <w:rPr>
          <w:color w:val="auto"/>
        </w:rPr>
      </w:pPr>
      <w:r>
        <w:rPr>
          <w:rFonts w:hint="eastAsia"/>
          <w:color w:val="auto"/>
        </w:rPr>
        <w:t>4.3.2.1供应商在提交响应文件后，在响应文件提交截止时间之前可以修改或撤回其响应文件。</w:t>
      </w:r>
    </w:p>
    <w:p w14:paraId="525322CC">
      <w:pPr>
        <w:pStyle w:val="94"/>
        <w:ind w:firstLine="420"/>
        <w:rPr>
          <w:rFonts w:hint="eastAsia"/>
          <w:b w:val="0"/>
          <w:bCs w:val="0"/>
          <w:color w:val="auto"/>
        </w:rPr>
      </w:pPr>
      <w:r>
        <w:rPr>
          <w:rFonts w:hint="eastAsia"/>
          <w:b w:val="0"/>
          <w:bCs w:val="0"/>
          <w:color w:val="auto"/>
        </w:rPr>
        <w:t>4.3.2.2供应商在提交了最后报价之后至供应商在响应文件中载明的响应文件有效期满期间，供应商不得撤回（撤销）其响应文件。</w:t>
      </w:r>
    </w:p>
    <w:p w14:paraId="5A6AD4C8">
      <w:pPr>
        <w:pStyle w:val="4"/>
        <w:ind w:firstLine="643"/>
        <w:rPr>
          <w:color w:val="auto"/>
        </w:rPr>
      </w:pPr>
      <w:bookmarkStart w:id="59" w:name="BM5、磋商及评审"/>
      <w:bookmarkEnd w:id="59"/>
      <w:bookmarkStart w:id="60" w:name="_Toc70524423"/>
      <w:r>
        <w:rPr>
          <w:rFonts w:hint="eastAsia"/>
          <w:color w:val="auto"/>
        </w:rPr>
        <w:t>5、磋商及评审</w:t>
      </w:r>
      <w:bookmarkEnd w:id="60"/>
    </w:p>
    <w:p w14:paraId="4F71F358">
      <w:pPr>
        <w:pStyle w:val="94"/>
        <w:ind w:firstLine="420"/>
        <w:rPr>
          <w:rFonts w:hint="eastAsia"/>
          <w:b w:val="0"/>
          <w:bCs w:val="0"/>
          <w:color w:val="auto"/>
        </w:rPr>
      </w:pPr>
      <w:bookmarkStart w:id="61" w:name="BM5_1磋商会议"/>
      <w:bookmarkEnd w:id="61"/>
      <w:r>
        <w:rPr>
          <w:rFonts w:hint="eastAsia"/>
          <w:b w:val="0"/>
          <w:bCs w:val="0"/>
          <w:color w:val="auto"/>
        </w:rPr>
        <w:t>5.1磋商会议</w:t>
      </w:r>
    </w:p>
    <w:p w14:paraId="61914604">
      <w:pPr>
        <w:pStyle w:val="94"/>
        <w:ind w:firstLine="420"/>
        <w:rPr>
          <w:rFonts w:hint="eastAsia"/>
          <w:b w:val="0"/>
          <w:bCs w:val="0"/>
          <w:color w:val="auto"/>
        </w:rPr>
      </w:pPr>
      <w:r>
        <w:rPr>
          <w:rFonts w:hint="eastAsia"/>
          <w:b w:val="0"/>
          <w:bCs w:val="0"/>
          <w:color w:val="auto"/>
        </w:rPr>
        <w:t>5.1.1采购人和采购代理机构将在“</w:t>
      </w:r>
      <w:r>
        <w:rPr>
          <w:rFonts w:hint="eastAsia"/>
          <w:b w:val="0"/>
          <w:bCs w:val="0"/>
          <w:color w:val="auto"/>
          <w:u w:val="single"/>
        </w:rPr>
        <w:t>供应商须知前附表</w:t>
      </w:r>
      <w:r>
        <w:rPr>
          <w:rFonts w:hint="eastAsia"/>
          <w:b w:val="0"/>
          <w:bCs w:val="0"/>
          <w:color w:val="auto"/>
        </w:rPr>
        <w:t>”中规定的时间和地点组织磋商会议。供应商无需到现场参加磋商会议，磋商会议采用“远程不见面”方式，供应商须在采购文件规定的响应文件提交截止时间前，登录远程开标大厅，在线准时参加磋商会议活动，并在规定的时间内对响应文件进行解密、答疑澄清（如需要）、最后报价等（除非在</w:t>
      </w:r>
      <w:r>
        <w:rPr>
          <w:rFonts w:hint="eastAsia"/>
          <w:b w:val="0"/>
          <w:bCs w:val="0"/>
          <w:color w:val="auto"/>
          <w:u w:val="single"/>
        </w:rPr>
        <w:t>供应商须知前附表中另有规定</w:t>
      </w:r>
      <w:r>
        <w:rPr>
          <w:rFonts w:hint="eastAsia"/>
          <w:b w:val="0"/>
          <w:bCs w:val="0"/>
          <w:color w:val="auto"/>
        </w:rPr>
        <w:t>）。</w:t>
      </w:r>
    </w:p>
    <w:p w14:paraId="1D37F97F">
      <w:pPr>
        <w:pStyle w:val="94"/>
        <w:ind w:firstLine="420"/>
        <w:rPr>
          <w:rFonts w:hint="eastAsia"/>
          <w:b w:val="0"/>
          <w:bCs w:val="0"/>
          <w:color w:val="auto"/>
        </w:rPr>
      </w:pPr>
      <w:r>
        <w:rPr>
          <w:rFonts w:hint="eastAsia"/>
          <w:b w:val="0"/>
          <w:bCs w:val="0"/>
          <w:color w:val="auto"/>
        </w:rPr>
        <w:t>5.1.2供应商须在</w:t>
      </w:r>
      <w:r>
        <w:rPr>
          <w:rFonts w:hint="eastAsia"/>
          <w:b w:val="0"/>
          <w:bCs w:val="0"/>
          <w:color w:val="auto"/>
          <w:u w:val="single"/>
        </w:rPr>
        <w:t>供应商须知前附表</w:t>
      </w:r>
      <w:r>
        <w:rPr>
          <w:rFonts w:hint="eastAsia"/>
          <w:b w:val="0"/>
          <w:bCs w:val="0"/>
          <w:color w:val="auto"/>
        </w:rPr>
        <w:t>规定的时间内完成响应文件的解密。由于供应商的自身原因，在规定时间内解密不成功的，其响应文件将被拒绝。</w:t>
      </w:r>
    </w:p>
    <w:p w14:paraId="076B4226">
      <w:pPr>
        <w:pStyle w:val="94"/>
        <w:ind w:firstLine="420"/>
        <w:rPr>
          <w:rFonts w:hint="eastAsia"/>
          <w:b w:val="0"/>
          <w:bCs w:val="0"/>
          <w:color w:val="auto"/>
        </w:rPr>
      </w:pPr>
      <w:r>
        <w:rPr>
          <w:rFonts w:hint="eastAsia"/>
          <w:b w:val="0"/>
          <w:bCs w:val="0"/>
          <w:color w:val="auto"/>
        </w:rPr>
        <w:t>5.1.3供应商在“公共资源交易中心”网站下载采购文件成功后，如未在采购文件规定的“响应文件提交截止时间”前成功上传或误传加密的响应文件，而导致的解密失败，其响应文件将被拒绝。</w:t>
      </w:r>
    </w:p>
    <w:p w14:paraId="38D56A72">
      <w:pPr>
        <w:pStyle w:val="94"/>
        <w:ind w:firstLine="420"/>
        <w:rPr>
          <w:rFonts w:hint="eastAsia"/>
          <w:b w:val="0"/>
          <w:bCs w:val="0"/>
          <w:color w:val="auto"/>
        </w:rPr>
      </w:pPr>
      <w:r>
        <w:rPr>
          <w:rFonts w:hint="eastAsia"/>
          <w:b w:val="0"/>
          <w:bCs w:val="0"/>
          <w:color w:val="auto"/>
        </w:rPr>
        <w:t>5.1.4供应商代表对磋商会议过程有疑义的，应当在磋商开始前通过交易系统提出询问。</w:t>
      </w:r>
    </w:p>
    <w:p w14:paraId="6E616B8E">
      <w:pPr>
        <w:pStyle w:val="94"/>
        <w:ind w:firstLine="420"/>
        <w:rPr>
          <w:rFonts w:hint="eastAsia"/>
          <w:b w:val="0"/>
          <w:bCs w:val="0"/>
          <w:color w:val="auto"/>
        </w:rPr>
      </w:pPr>
      <w:r>
        <w:rPr>
          <w:rFonts w:hint="eastAsia"/>
          <w:b w:val="0"/>
          <w:bCs w:val="0"/>
          <w:color w:val="auto"/>
        </w:rPr>
        <w:t>5.1.5在</w:t>
      </w:r>
      <w:r>
        <w:rPr>
          <w:rFonts w:hint="eastAsia"/>
          <w:b w:val="0"/>
          <w:bCs w:val="0"/>
          <w:color w:val="auto"/>
          <w:u w:val="single"/>
        </w:rPr>
        <w:t>供应商须知前附表</w:t>
      </w:r>
      <w:r>
        <w:rPr>
          <w:rFonts w:hint="eastAsia"/>
          <w:b w:val="0"/>
          <w:bCs w:val="0"/>
          <w:color w:val="auto"/>
        </w:rPr>
        <w:t>规定的时间内完成响应文件解密的供应商不足3家的，将不再进行磋商（特殊情况除外）。</w:t>
      </w:r>
      <w:bookmarkStart w:id="62" w:name="BM5_2_组建磋商小组"/>
      <w:bookmarkEnd w:id="62"/>
    </w:p>
    <w:p w14:paraId="2A68261E">
      <w:pPr>
        <w:pStyle w:val="94"/>
        <w:ind w:firstLine="420"/>
        <w:rPr>
          <w:rFonts w:hint="eastAsia"/>
          <w:b w:val="0"/>
          <w:bCs w:val="0"/>
          <w:color w:val="auto"/>
        </w:rPr>
      </w:pPr>
      <w:r>
        <w:rPr>
          <w:rFonts w:hint="eastAsia"/>
          <w:b w:val="0"/>
          <w:bCs w:val="0"/>
          <w:color w:val="auto"/>
        </w:rPr>
        <w:t>5.2组建磋商小组</w:t>
      </w:r>
    </w:p>
    <w:p w14:paraId="788B065E">
      <w:pPr>
        <w:pStyle w:val="94"/>
        <w:ind w:firstLine="420"/>
        <w:rPr>
          <w:rFonts w:hint="eastAsia"/>
          <w:b w:val="0"/>
          <w:bCs w:val="0"/>
          <w:color w:val="auto"/>
        </w:rPr>
      </w:pPr>
      <w:r>
        <w:rPr>
          <w:rFonts w:hint="eastAsia"/>
          <w:b w:val="0"/>
          <w:bCs w:val="0"/>
          <w:color w:val="auto"/>
        </w:rPr>
        <w:t>5.2.1采购人与采购代理机构将按照《中华人民共和国政府采购法》《中华人民共和国政府采购法实施条例》《政府采购竞争性磋商采购方式管理暂行办法》财库〔2014〕214号文及本项目本级和上级财政部门的有关规定依法组建竞争性磋商小组（以下简称磋商小组），负责本项目的磋商及评审工作。</w:t>
      </w:r>
    </w:p>
    <w:p w14:paraId="08802A34">
      <w:pPr>
        <w:pStyle w:val="94"/>
        <w:ind w:firstLine="420"/>
        <w:rPr>
          <w:rFonts w:hint="eastAsia"/>
          <w:b w:val="0"/>
          <w:bCs w:val="0"/>
          <w:color w:val="auto"/>
        </w:rPr>
      </w:pPr>
      <w:r>
        <w:rPr>
          <w:rFonts w:hint="eastAsia"/>
          <w:b w:val="0"/>
          <w:bCs w:val="0"/>
          <w:color w:val="auto"/>
        </w:rPr>
        <w:t>5.2.2磋商小组由采购人代表和评审专家组成，成员人数为三人以上单数。其中，评审专家不得少于成员总数的三分之二。具体成员人数见</w:t>
      </w:r>
      <w:r>
        <w:rPr>
          <w:rFonts w:hint="eastAsia"/>
          <w:b w:val="0"/>
          <w:bCs w:val="0"/>
          <w:color w:val="auto"/>
          <w:u w:val="single"/>
        </w:rPr>
        <w:t>供应商须知前附表</w:t>
      </w:r>
      <w:r>
        <w:rPr>
          <w:rFonts w:hint="eastAsia"/>
          <w:b w:val="0"/>
          <w:bCs w:val="0"/>
          <w:color w:val="auto"/>
        </w:rPr>
        <w:t>。</w:t>
      </w:r>
    </w:p>
    <w:p w14:paraId="37DFCFA7">
      <w:pPr>
        <w:pStyle w:val="94"/>
        <w:ind w:firstLine="420"/>
        <w:rPr>
          <w:rFonts w:hint="eastAsia"/>
          <w:b w:val="0"/>
          <w:bCs w:val="0"/>
          <w:color w:val="auto"/>
        </w:rPr>
      </w:pPr>
      <w:bookmarkStart w:id="63" w:name="BM5_3资格审查"/>
      <w:bookmarkEnd w:id="63"/>
      <w:r>
        <w:rPr>
          <w:rFonts w:hint="eastAsia"/>
          <w:b w:val="0"/>
          <w:bCs w:val="0"/>
          <w:color w:val="auto"/>
        </w:rPr>
        <w:t>5.3资格审查</w:t>
      </w:r>
    </w:p>
    <w:p w14:paraId="202E0D71">
      <w:pPr>
        <w:pStyle w:val="94"/>
        <w:ind w:firstLine="420"/>
        <w:rPr>
          <w:rFonts w:hint="eastAsia"/>
          <w:b w:val="0"/>
          <w:bCs w:val="0"/>
          <w:color w:val="auto"/>
        </w:rPr>
      </w:pPr>
      <w:r>
        <w:rPr>
          <w:rFonts w:hint="eastAsia"/>
          <w:b w:val="0"/>
          <w:bCs w:val="0"/>
          <w:color w:val="auto"/>
        </w:rPr>
        <w:t>5.3.1磋商小组依据法律法规和采购文件中规定的内容，对供应商的资格（提交的资格证明材料见</w:t>
      </w:r>
      <w:r>
        <w:rPr>
          <w:rFonts w:hint="eastAsia"/>
          <w:b w:val="0"/>
          <w:bCs w:val="0"/>
          <w:color w:val="auto"/>
          <w:u w:val="single"/>
        </w:rPr>
        <w:t>供应商须知前附表</w:t>
      </w:r>
      <w:r>
        <w:rPr>
          <w:rFonts w:hint="eastAsia"/>
          <w:b w:val="0"/>
          <w:bCs w:val="0"/>
          <w:color w:val="auto"/>
        </w:rPr>
        <w:t>）进行审查。未通过资格审查的供应商不能进入下一阶段评审；通过资格审查的供应商不足3家的（特殊情况下不足2家的），不得进入下一阶段评审。</w:t>
      </w:r>
    </w:p>
    <w:p w14:paraId="21C65E60">
      <w:pPr>
        <w:pStyle w:val="16"/>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特殊情况：采用竞争性磋商采购方式采购“市场竞争不充分的科研项目，以及需要扶持的科技成果转化项目”，通过资格审查的供应商不足2家的，不得进入下一阶段评审。采用竞争性磋商采购方式采购的政府购买服务项目（含政府和社会资本合作项目），在采购过程中符合要求的供应商（社会资本）只有2家的，竞争性磋商采购活动可以继续进行。采购过程中符合要求的供应商（社会资本）只有1家的，采购人（项目实施机构）或者采购代理机构应当终止竞争性磋商采购活动，发布项目终止公告并说明原因，重新开展采购活动。</w:t>
      </w:r>
    </w:p>
    <w:p w14:paraId="521F56CD">
      <w:pPr>
        <w:pStyle w:val="94"/>
        <w:ind w:firstLine="420"/>
        <w:rPr>
          <w:rFonts w:hint="eastAsia"/>
          <w:b w:val="0"/>
          <w:bCs w:val="0"/>
          <w:color w:val="auto"/>
        </w:rPr>
      </w:pPr>
      <w:r>
        <w:rPr>
          <w:rFonts w:hint="eastAsia"/>
          <w:b w:val="0"/>
          <w:bCs w:val="0"/>
          <w:color w:val="auto"/>
        </w:rPr>
        <w:t>5.3.2采购人或采购代理机构将按照</w:t>
      </w:r>
      <w:r>
        <w:rPr>
          <w:rFonts w:hint="eastAsia"/>
          <w:b w:val="0"/>
          <w:bCs w:val="0"/>
          <w:color w:val="auto"/>
          <w:u w:val="single"/>
        </w:rPr>
        <w:t>供应商须知前附表</w:t>
      </w:r>
      <w:r>
        <w:rPr>
          <w:rFonts w:hint="eastAsia"/>
          <w:b w:val="0"/>
          <w:bCs w:val="0"/>
          <w:color w:val="auto"/>
        </w:rPr>
        <w:t>中规定的时间查询供应商的信用记录。供应商存在不良信用记录的，其响应文件将被认定为无效响应文件。</w:t>
      </w:r>
    </w:p>
    <w:p w14:paraId="1751CCB8">
      <w:pPr>
        <w:pStyle w:val="94"/>
        <w:ind w:firstLine="420"/>
        <w:rPr>
          <w:rFonts w:hint="eastAsia"/>
          <w:b w:val="0"/>
          <w:bCs w:val="0"/>
          <w:color w:val="auto"/>
        </w:rPr>
      </w:pPr>
      <w:r>
        <w:rPr>
          <w:rFonts w:hint="eastAsia"/>
          <w:b w:val="0"/>
          <w:bCs w:val="0"/>
          <w:color w:val="auto"/>
        </w:rPr>
        <w:t>5.3.2.1供应商的信用记录在“中国执行信息公开网”网站查询“失信被执行人”；“信用中国”网站查询“重大税收违法失信主体”；“中国政府采购网”网站查询供应商“政府采购严重违法失信行为记录名单”进行查询。以及存在《中华人民共和国政府采购法实施条例》第十九条规定的行政处罚记录。</w:t>
      </w:r>
    </w:p>
    <w:p w14:paraId="382764F1">
      <w:pPr>
        <w:pStyle w:val="16"/>
        <w:rPr>
          <w:color w:val="auto"/>
        </w:rPr>
      </w:pPr>
      <w:r>
        <w:rPr>
          <w:rFonts w:hint="eastAsia"/>
          <w:color w:val="auto"/>
        </w:rPr>
        <w:t>以联合体形式参加政府采购活动的，联合体任何成员存在以上不良信用记录的，联合体响应文件将被认定为无效响应文件。</w:t>
      </w:r>
    </w:p>
    <w:p w14:paraId="5A5850EF">
      <w:pPr>
        <w:pStyle w:val="94"/>
        <w:ind w:firstLine="420"/>
        <w:rPr>
          <w:rFonts w:hint="eastAsia"/>
          <w:b w:val="0"/>
          <w:bCs w:val="0"/>
          <w:color w:val="auto"/>
        </w:rPr>
      </w:pPr>
      <w:r>
        <w:rPr>
          <w:rFonts w:hint="eastAsia"/>
          <w:b w:val="0"/>
          <w:bCs w:val="0"/>
          <w:color w:val="auto"/>
        </w:rPr>
        <w:t>5.3.2.2查询及记录方式：采购人或采购代理机构经办人将查询网页打印并存档备查。供应商不良信用记录以采购人或采购代理机构查询结果为准。供应商自行提供的与网站信息不一致的其他证明材料亦不作为资格审查依据。在磋商文件规定的查询时间之外，网站信息发生的任何变更均不作为资格审查依据。</w:t>
      </w:r>
    </w:p>
    <w:p w14:paraId="0925C36F">
      <w:pPr>
        <w:pStyle w:val="94"/>
        <w:ind w:firstLine="420"/>
        <w:rPr>
          <w:rFonts w:hint="eastAsia"/>
          <w:b w:val="0"/>
          <w:bCs w:val="0"/>
          <w:color w:val="auto"/>
        </w:rPr>
      </w:pPr>
      <w:bookmarkStart w:id="64" w:name="BM5_4_响应文件符合性审查与澄清"/>
      <w:bookmarkEnd w:id="64"/>
      <w:r>
        <w:rPr>
          <w:rFonts w:hint="eastAsia"/>
          <w:b w:val="0"/>
          <w:bCs w:val="0"/>
          <w:color w:val="auto"/>
        </w:rPr>
        <w:t>5.4响应文件符合性审查与澄清</w:t>
      </w:r>
    </w:p>
    <w:p w14:paraId="08C72E4D">
      <w:pPr>
        <w:pStyle w:val="94"/>
        <w:ind w:firstLine="420"/>
        <w:rPr>
          <w:rFonts w:hint="eastAsia"/>
          <w:color w:val="auto"/>
        </w:rPr>
      </w:pPr>
      <w:r>
        <w:rPr>
          <w:rFonts w:hint="eastAsia"/>
          <w:b w:val="0"/>
          <w:bCs w:val="0"/>
          <w:color w:val="auto"/>
        </w:rPr>
        <w:t>5.4.1符合性审查是指依据采购文件的规定，从商务和技术角度对响应文件的有效性、完整性和响应程度进行审查，以确定是否对采购文件的实质性要求做出响应。供应商应当按照采购文件中的相关要求，提交符合性证明材料。未通过符合性审查的供应商不能进入下一阶段评审，其响应文件将被认定为无效响应文件；通过符合性审查的供应商数量不足3家的（特殊情况下不足2家的），不得作进一步的比较和评价。</w:t>
      </w:r>
    </w:p>
    <w:p w14:paraId="5C48038E">
      <w:pPr>
        <w:pStyle w:val="16"/>
        <w:ind w:firstLine="422"/>
        <w:rPr>
          <w:color w:val="auto"/>
        </w:rPr>
      </w:pPr>
      <w:r>
        <w:rPr>
          <w:rFonts w:hint="eastAsia"/>
          <w:b/>
          <w:bCs/>
          <w:color w:val="auto"/>
        </w:rPr>
        <w:t>特殊情况：</w:t>
      </w:r>
      <w:r>
        <w:rPr>
          <w:rFonts w:hint="eastAsia"/>
          <w:color w:val="auto"/>
        </w:rPr>
        <w:t>采用竞争性磋商采购方式采购“市场竞争不充分的科研项目，以及需要扶持的科技成果转化项目”，通过符合性审查的供应商不足2家的，不得进入下一阶段评审。采用竞争性磋商采购方式采购的政府购买服务项目（含政府和社会资本合作项目），在采购过程中符合要求的供应商（社会资本）只有2家的，竞争性磋商采购活动可以继续进行。采购过程中符合要求的供应商（社会资本）只有1家的，采购人（项目实施机构）或者采购代理机构应当终止竞争性磋商采购活动，发布项目终止公告并说明原因，重新开展采购活动。</w:t>
      </w:r>
    </w:p>
    <w:p w14:paraId="51BD58A5">
      <w:pPr>
        <w:pStyle w:val="16"/>
        <w:rPr>
          <w:color w:val="auto"/>
        </w:rPr>
      </w:pPr>
      <w:r>
        <w:rPr>
          <w:rFonts w:hint="eastAsia"/>
          <w:color w:val="auto"/>
        </w:rPr>
        <w:t>5.4.2响应文件的澄清</w:t>
      </w:r>
    </w:p>
    <w:p w14:paraId="67FE87A8">
      <w:pPr>
        <w:pStyle w:val="94"/>
        <w:ind w:firstLine="420"/>
        <w:rPr>
          <w:rFonts w:hint="eastAsia"/>
          <w:b w:val="0"/>
          <w:bCs w:val="0"/>
          <w:color w:val="auto"/>
        </w:rPr>
      </w:pPr>
      <w:r>
        <w:rPr>
          <w:rFonts w:hint="eastAsia"/>
          <w:b w:val="0"/>
          <w:bCs w:val="0"/>
          <w:color w:val="auto"/>
        </w:rPr>
        <w:t>5.4.2.1在磋商期间，磋商小组可以书面要求供应商对其响应文件中含义不明确、同类问题表述不一致或者有明显文字和计算错误的内容等作必要的澄清、说明或更正。供应商的澄清、说明或更正应在磋商小组规定的时间内以书面方式进行，并不得超出响应文件范围或者改变响应文件的实质性内容。供应商拒不进行澄清、说明、更正的，或者不能在规定时间内作出书面澄清、说明、更正的，其响应文件将被作为无效响应文件处理。</w:t>
      </w:r>
    </w:p>
    <w:p w14:paraId="2AA73071">
      <w:pPr>
        <w:pStyle w:val="16"/>
        <w:rPr>
          <w:color w:val="auto"/>
        </w:rPr>
      </w:pPr>
      <w:r>
        <w:rPr>
          <w:rFonts w:hint="eastAsia"/>
          <w:color w:val="auto"/>
        </w:rPr>
        <w:t>磋商小组要求供应商澄清、说明或者更正响应文件将以书面形式作出，并在交易系统中向供应商发出，供应商在收到该要求后，应在磋商小组规定时间内在交易系统中做出相应的回复，如果磋商小组在规定时间内没有收到供应商的回复则视为该供应商没有回复。</w:t>
      </w:r>
    </w:p>
    <w:p w14:paraId="6AFA34EB">
      <w:pPr>
        <w:pStyle w:val="94"/>
        <w:ind w:firstLine="420"/>
        <w:rPr>
          <w:rFonts w:hint="eastAsia"/>
          <w:b w:val="0"/>
          <w:bCs w:val="0"/>
          <w:color w:val="auto"/>
        </w:rPr>
      </w:pPr>
      <w:r>
        <w:rPr>
          <w:rFonts w:hint="eastAsia"/>
          <w:b w:val="0"/>
          <w:bCs w:val="0"/>
          <w:color w:val="auto"/>
        </w:rPr>
        <w:t>5.4.2.2供应商应当在采购文件中确定的响应文件递交截止时间前，登录远程开标大厅，在线准时参加磋商活动并根据需要进行文件答疑澄清等。</w:t>
      </w:r>
    </w:p>
    <w:p w14:paraId="1BCCFB5B">
      <w:pPr>
        <w:pStyle w:val="94"/>
        <w:ind w:firstLine="420"/>
        <w:rPr>
          <w:rFonts w:hint="eastAsia"/>
          <w:b w:val="0"/>
          <w:bCs w:val="0"/>
          <w:color w:val="auto"/>
        </w:rPr>
      </w:pPr>
      <w:r>
        <w:rPr>
          <w:rFonts w:hint="eastAsia"/>
          <w:b w:val="0"/>
          <w:bCs w:val="0"/>
          <w:color w:val="auto"/>
        </w:rPr>
        <w:t>5.4.2.3供应商的澄清、说明或者更正应当加盖单位的电子签章及法定代表人（或单位负责人）的电子签章。供应商为自然人的，应当由本人签字并附身份证明。</w:t>
      </w:r>
    </w:p>
    <w:p w14:paraId="21D39FC3">
      <w:pPr>
        <w:pStyle w:val="94"/>
        <w:ind w:firstLine="420"/>
        <w:rPr>
          <w:rFonts w:hint="eastAsia"/>
          <w:b w:val="0"/>
          <w:bCs w:val="0"/>
          <w:color w:val="auto"/>
        </w:rPr>
      </w:pPr>
      <w:r>
        <w:rPr>
          <w:rFonts w:hint="eastAsia"/>
          <w:b w:val="0"/>
          <w:bCs w:val="0"/>
          <w:color w:val="auto"/>
        </w:rPr>
        <w:t>5.4.2.4响应文件的澄清、说明或者更正不得对响应文件的内容进行实质性修改。</w:t>
      </w:r>
    </w:p>
    <w:p w14:paraId="4EA4BD2D">
      <w:pPr>
        <w:pStyle w:val="94"/>
        <w:ind w:firstLine="420"/>
        <w:rPr>
          <w:rFonts w:hint="eastAsia"/>
          <w:b w:val="0"/>
          <w:bCs w:val="0"/>
          <w:color w:val="auto"/>
        </w:rPr>
      </w:pPr>
      <w:r>
        <w:rPr>
          <w:rFonts w:hint="eastAsia"/>
          <w:b w:val="0"/>
          <w:bCs w:val="0"/>
          <w:color w:val="auto"/>
        </w:rPr>
        <w:t>5.4.2.5供应商的澄清、说明或更正将作为响应文件的一部分并取代响应文件中被澄清的部分。</w:t>
      </w:r>
    </w:p>
    <w:p w14:paraId="20FA502D">
      <w:pPr>
        <w:pStyle w:val="94"/>
        <w:ind w:firstLine="420"/>
        <w:rPr>
          <w:rFonts w:hint="eastAsia"/>
          <w:b w:val="0"/>
          <w:bCs w:val="0"/>
          <w:color w:val="auto"/>
        </w:rPr>
      </w:pPr>
      <w:bookmarkStart w:id="65" w:name="BM5_5磋商"/>
      <w:bookmarkEnd w:id="65"/>
      <w:r>
        <w:rPr>
          <w:rFonts w:hint="eastAsia"/>
          <w:b w:val="0"/>
          <w:bCs w:val="0"/>
          <w:color w:val="auto"/>
        </w:rPr>
        <w:t>5.5磋商</w:t>
      </w:r>
    </w:p>
    <w:p w14:paraId="3DE2863F">
      <w:pPr>
        <w:pStyle w:val="94"/>
        <w:ind w:firstLine="420"/>
        <w:rPr>
          <w:rFonts w:hint="eastAsia"/>
          <w:b w:val="0"/>
          <w:bCs w:val="0"/>
          <w:color w:val="auto"/>
        </w:rPr>
      </w:pPr>
      <w:r>
        <w:rPr>
          <w:rFonts w:hint="eastAsia"/>
          <w:b w:val="0"/>
          <w:bCs w:val="0"/>
          <w:color w:val="auto"/>
        </w:rPr>
        <w:t>5.5.1磋商小组所有成员应当集中与单一供应商分别进行磋商。磋商小组将根据采购文件规定的程序、评定成交的标准等事项与实质性响应采购文件要求的供应商分别进行磋商。在磋商中，磋商的任何一方不得透露与磋商有关的其他供应商的技术资料、价格和其他信息。</w:t>
      </w:r>
    </w:p>
    <w:p w14:paraId="3644E5B2">
      <w:pPr>
        <w:pStyle w:val="94"/>
        <w:ind w:firstLine="420"/>
        <w:rPr>
          <w:rFonts w:hint="eastAsia"/>
          <w:b w:val="0"/>
          <w:bCs w:val="0"/>
          <w:color w:val="auto"/>
        </w:rPr>
      </w:pPr>
      <w:r>
        <w:rPr>
          <w:rFonts w:hint="eastAsia"/>
          <w:b w:val="0"/>
          <w:bCs w:val="0"/>
          <w:color w:val="auto"/>
        </w:rPr>
        <w:t>5.5.2在磋商过程中，磋商小组可以根据采购文件和磋商情况，经采购人代表确认后变动采购需求中的技术、服务要求以及合同草案条款等实质性内容，但不得变动磋商文件中的其他内容。</w:t>
      </w:r>
    </w:p>
    <w:p w14:paraId="0C2CAA18">
      <w:pPr>
        <w:pStyle w:val="94"/>
        <w:ind w:firstLine="420"/>
        <w:rPr>
          <w:rFonts w:hint="eastAsia"/>
          <w:b w:val="0"/>
          <w:bCs w:val="0"/>
          <w:color w:val="auto"/>
        </w:rPr>
      </w:pPr>
      <w:r>
        <w:rPr>
          <w:rFonts w:hint="eastAsia"/>
          <w:b w:val="0"/>
          <w:bCs w:val="0"/>
          <w:color w:val="auto"/>
        </w:rPr>
        <w:t>5.5.3对采购文件作出实质性变动是采购文件的有效组成部分，磋商小组将及时以书面形式同时通知所有参加磋商的供应商。</w:t>
      </w:r>
    </w:p>
    <w:p w14:paraId="288618B0">
      <w:pPr>
        <w:pStyle w:val="94"/>
        <w:ind w:firstLine="420"/>
        <w:rPr>
          <w:rFonts w:hint="eastAsia"/>
          <w:b w:val="0"/>
          <w:bCs w:val="0"/>
          <w:color w:val="auto"/>
        </w:rPr>
      </w:pPr>
      <w:r>
        <w:rPr>
          <w:rFonts w:hint="eastAsia"/>
          <w:b w:val="0"/>
          <w:bCs w:val="0"/>
          <w:color w:val="auto"/>
        </w:rPr>
        <w:t>5.5.4如果采购文件作出实质性变动，供应商应当按照采购文件的变动情况和磋商小组的要求重新提交响应文件，并按要求加盖电子签章，供应商为自然人的，应当由本人签字并附身份证明。</w:t>
      </w:r>
      <w:bookmarkStart w:id="66" w:name="BM5_6_最后报价"/>
      <w:bookmarkEnd w:id="66"/>
    </w:p>
    <w:p w14:paraId="3B6DD3BB">
      <w:pPr>
        <w:pStyle w:val="94"/>
        <w:ind w:firstLine="420"/>
        <w:rPr>
          <w:rFonts w:hint="eastAsia"/>
          <w:b w:val="0"/>
          <w:bCs w:val="0"/>
          <w:color w:val="auto"/>
        </w:rPr>
      </w:pPr>
      <w:r>
        <w:rPr>
          <w:rFonts w:hint="eastAsia"/>
          <w:b w:val="0"/>
          <w:bCs w:val="0"/>
          <w:color w:val="auto"/>
        </w:rPr>
        <w:t>5.6最后报价</w:t>
      </w:r>
    </w:p>
    <w:p w14:paraId="7F6084D2">
      <w:pPr>
        <w:pStyle w:val="94"/>
        <w:ind w:firstLine="420"/>
        <w:rPr>
          <w:rFonts w:hint="eastAsia"/>
          <w:b w:val="0"/>
          <w:bCs w:val="0"/>
          <w:color w:val="auto"/>
        </w:rPr>
      </w:pPr>
      <w:r>
        <w:rPr>
          <w:rFonts w:hint="eastAsia"/>
          <w:b w:val="0"/>
          <w:bCs w:val="0"/>
          <w:color w:val="auto"/>
        </w:rPr>
        <w:t>5.6.1采购文件能够详细列明采购标的的技术、服务要求的，磋商结束后，磋商小组将要求所有实质性响应的供应商在规定时间内提交最后报价。供应商在接到磋商小组的通知后，未在规定的时间内提交最后报价的，视为该供应商退出磋商。磋商小组将不再评审该供应商递交的响应文件。</w:t>
      </w:r>
    </w:p>
    <w:p w14:paraId="34D46EF7">
      <w:pPr>
        <w:pStyle w:val="16"/>
        <w:rPr>
          <w:color w:val="auto"/>
        </w:rPr>
      </w:pPr>
      <w:r>
        <w:rPr>
          <w:rFonts w:hint="eastAsia"/>
          <w:color w:val="auto"/>
        </w:rPr>
        <w:t>采购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w:t>
      </w:r>
    </w:p>
    <w:p w14:paraId="54B1CB2D">
      <w:pPr>
        <w:pStyle w:val="16"/>
        <w:rPr>
          <w:color w:val="auto"/>
        </w:rPr>
      </w:pPr>
      <w:r>
        <w:rPr>
          <w:rFonts w:hint="eastAsia"/>
          <w:color w:val="auto"/>
        </w:rPr>
        <w:t>提交最后报价的供应商不得少于3家，本须知第5.6.2条规定的情形除外。</w:t>
      </w:r>
    </w:p>
    <w:p w14:paraId="43CC6832">
      <w:pPr>
        <w:pStyle w:val="94"/>
        <w:ind w:firstLine="420"/>
        <w:rPr>
          <w:rFonts w:hint="eastAsia"/>
          <w:b w:val="0"/>
          <w:bCs w:val="0"/>
          <w:color w:val="auto"/>
        </w:rPr>
      </w:pPr>
      <w:r>
        <w:rPr>
          <w:rFonts w:hint="eastAsia"/>
          <w:b w:val="0"/>
          <w:bCs w:val="0"/>
          <w:color w:val="auto"/>
        </w:rPr>
        <w:t>5.6.2采用竞争性磋商方式开展采购的“市场竞争不充分的科研项目，以及需要扶持的科技成果转化项目”，提交最后报价的供应商可以为2家。</w:t>
      </w:r>
    </w:p>
    <w:p w14:paraId="13C620C1">
      <w:pPr>
        <w:pStyle w:val="16"/>
        <w:rPr>
          <w:color w:val="auto"/>
        </w:rPr>
      </w:pPr>
      <w:r>
        <w:rPr>
          <w:rFonts w:hint="eastAsia"/>
          <w:color w:val="auto"/>
        </w:rPr>
        <w:t>采用竞争性磋商采购方式采购的政府购买服务项目（含政府和社会资本合作项目），在采购过程中符合要求的供应商（社会资本）只有2家的，竞争性磋商采购活动可以继续进行。采购过程中符合要求的供应商（社会资本）只有1家的，采购人（项目实施机构）或者采购代理机构应当终止竞争性磋商采购活动，发布项目终止公告并说明原因，重新开展采购活动。</w:t>
      </w:r>
    </w:p>
    <w:p w14:paraId="32E356BE">
      <w:pPr>
        <w:pStyle w:val="94"/>
        <w:ind w:firstLine="420"/>
        <w:rPr>
          <w:rFonts w:hint="eastAsia"/>
          <w:b w:val="0"/>
          <w:bCs w:val="0"/>
          <w:color w:val="auto"/>
        </w:rPr>
      </w:pPr>
      <w:r>
        <w:rPr>
          <w:rFonts w:hint="eastAsia"/>
          <w:b w:val="0"/>
          <w:bCs w:val="0"/>
          <w:color w:val="auto"/>
        </w:rPr>
        <w:t>5.6.3最后报价是供应商响应文件的有效组成部分，且以最后报价为准。大写金额和小写金额不一致的，以大写金额为准；报价有算术错误的，其风险由供应商承担。</w:t>
      </w:r>
    </w:p>
    <w:p w14:paraId="56838D91">
      <w:pPr>
        <w:pStyle w:val="94"/>
        <w:ind w:firstLine="420"/>
        <w:rPr>
          <w:rFonts w:hint="eastAsia"/>
          <w:b w:val="0"/>
          <w:bCs w:val="0"/>
          <w:color w:val="auto"/>
        </w:rPr>
      </w:pPr>
      <w:r>
        <w:rPr>
          <w:rFonts w:hint="eastAsia"/>
          <w:b w:val="0"/>
          <w:bCs w:val="0"/>
          <w:color w:val="auto"/>
        </w:rPr>
        <w:t>5.6.4已提交响应文件的供应商，在提交最后报价之前，可以根据磋商情况退出磋商，退出磋商不视为撤回响应文件，退出磋商不影响退出磋商的供应商对已经递交的响应文件承担法律、法规和采购文件中规定的相应责任。</w:t>
      </w:r>
    </w:p>
    <w:p w14:paraId="0FDAC5A7">
      <w:pPr>
        <w:pStyle w:val="94"/>
        <w:ind w:firstLine="420"/>
        <w:rPr>
          <w:rFonts w:hint="eastAsia"/>
          <w:b w:val="0"/>
          <w:bCs w:val="0"/>
          <w:color w:val="auto"/>
        </w:rPr>
      </w:pPr>
      <w:r>
        <w:rPr>
          <w:rFonts w:hint="eastAsia"/>
          <w:b w:val="0"/>
          <w:bCs w:val="0"/>
          <w:color w:val="auto"/>
        </w:rPr>
        <w:t>5.6.5磋商小组认为某供应商的报价明显低于其他通过符合性审查供应商的报价，有可能影响产品质量或者不能诚信履约的，磋商小组将通过交易系统向该供应商发出通知，要求该供应商通过交易系统（接到通知后30分钟内）提供书面说明，并提交相关证明材料，供应商不能证明其报价合理性的，磋商小组将其响应文件作为无效响应文件处理。</w:t>
      </w:r>
    </w:p>
    <w:p w14:paraId="56DD4034">
      <w:pPr>
        <w:pStyle w:val="16"/>
        <w:rPr>
          <w:color w:val="auto"/>
        </w:rPr>
      </w:pPr>
      <w:r>
        <w:rPr>
          <w:rFonts w:hint="eastAsia"/>
          <w:color w:val="auto"/>
        </w:rPr>
        <w:t>供应商的书面说明材料包含货物本身成本、人工费用、税费等，以及最后报价不会影响产品质量或诚信履约能力的说明等。</w:t>
      </w:r>
    </w:p>
    <w:p w14:paraId="00F4EF00">
      <w:pPr>
        <w:pStyle w:val="16"/>
        <w:ind w:firstLine="396"/>
        <w:rPr>
          <w:color w:val="auto"/>
          <w:spacing w:val="-6"/>
        </w:rPr>
      </w:pPr>
      <w:r>
        <w:rPr>
          <w:rFonts w:hint="eastAsia"/>
          <w:color w:val="auto"/>
          <w:spacing w:val="-6"/>
        </w:rPr>
        <w:t>供应商的书面说明材料应当加盖供应商单位及法定代表人（或负责人）的电子签章，否则无效。</w:t>
      </w:r>
    </w:p>
    <w:p w14:paraId="4F8179E3">
      <w:pPr>
        <w:pStyle w:val="16"/>
        <w:rPr>
          <w:color w:val="auto"/>
        </w:rPr>
      </w:pPr>
      <w:r>
        <w:rPr>
          <w:rFonts w:hint="eastAsia"/>
          <w:color w:val="auto"/>
        </w:rPr>
        <w:t>供应商提供书面说明后，磋商小组应当结合采购项目采购需求、专业实际情况、供应商财务状况、与其他供应商比较情况等就供应商的书面说明进行审查评价。供应商如有下列情况的，磋商小组将其响应文件作为无效处理：</w:t>
      </w:r>
    </w:p>
    <w:p w14:paraId="352DDDB9">
      <w:pPr>
        <w:pStyle w:val="16"/>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（1）拒绝或者变相拒绝提供有效书面说明；</w:t>
      </w:r>
    </w:p>
    <w:p w14:paraId="3B9FC27F">
      <w:pPr>
        <w:pStyle w:val="16"/>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（2）书面说明不能证明其报价合理性的；</w:t>
      </w:r>
    </w:p>
    <w:p w14:paraId="7AF55621">
      <w:pPr>
        <w:pStyle w:val="16"/>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（3）书面说明或相关证明材料不被磋商小组认可的；</w:t>
      </w:r>
    </w:p>
    <w:p w14:paraId="30F62195">
      <w:pPr>
        <w:rPr>
          <w:color w:val="auto"/>
        </w:rPr>
      </w:pPr>
      <w:r>
        <w:rPr>
          <w:rFonts w:hint="eastAsia" w:asciiTheme="minorEastAsia" w:hAnsiTheme="minorEastAsia" w:eastAsiaTheme="minorEastAsia" w:cstheme="minorEastAsia"/>
          <w:color w:val="auto"/>
        </w:rPr>
        <w:t>（4）未在规定</w:t>
      </w:r>
      <w:r>
        <w:rPr>
          <w:rFonts w:hint="eastAsia"/>
          <w:color w:val="auto"/>
        </w:rPr>
        <w:t>时间内提供书面说明或相关证明材料的。</w:t>
      </w:r>
      <w:bookmarkStart w:id="67" w:name="BM5_7_无效响应文件的规定"/>
      <w:bookmarkEnd w:id="67"/>
    </w:p>
    <w:p w14:paraId="6D7312B0">
      <w:pPr>
        <w:pStyle w:val="94"/>
        <w:rPr>
          <w:rFonts w:hint="eastAsia"/>
          <w:color w:val="auto"/>
        </w:rPr>
      </w:pPr>
      <w:r>
        <w:rPr>
          <w:rFonts w:hint="eastAsia"/>
          <w:color w:val="auto"/>
        </w:rPr>
        <w:t>5.7无效响应文件的规定</w:t>
      </w:r>
    </w:p>
    <w:p w14:paraId="72A0E7AA">
      <w:pPr>
        <w:pStyle w:val="94"/>
        <w:ind w:firstLine="420"/>
        <w:rPr>
          <w:rFonts w:hint="eastAsia"/>
          <w:b w:val="0"/>
          <w:bCs w:val="0"/>
          <w:color w:val="auto"/>
        </w:rPr>
      </w:pPr>
      <w:r>
        <w:rPr>
          <w:rFonts w:hint="eastAsia"/>
          <w:b w:val="0"/>
          <w:bCs w:val="0"/>
          <w:color w:val="auto"/>
        </w:rPr>
        <w:t>5.7.1在评审之前，根据采购文件的规定，磋商小组将审查每份响应文件是否实质性响应了采购文件的要求。供应商不得通过修正或撤销不符合要求的偏离，从而使其响应文件成为实质上响应采购文件。磋商小组决定响应文件是否符合要求是否实质性响应只根据采购文件要求、响应文件内容及政府采购的相关法律法规、财政主管部门的相关文件。</w:t>
      </w:r>
    </w:p>
    <w:p w14:paraId="21E45D2B">
      <w:pPr>
        <w:pStyle w:val="94"/>
        <w:ind w:firstLine="420"/>
        <w:rPr>
          <w:rFonts w:hint="eastAsia"/>
          <w:b w:val="0"/>
          <w:bCs w:val="0"/>
          <w:color w:val="auto"/>
        </w:rPr>
      </w:pPr>
      <w:r>
        <w:rPr>
          <w:rFonts w:hint="eastAsia"/>
          <w:b w:val="0"/>
          <w:bCs w:val="0"/>
          <w:color w:val="auto"/>
        </w:rPr>
        <w:t>5.7.2如果响应文件没有对采购文件的实质性要求进行响应，将作为无效响应处理，供应商不得再对响应文件进行任何修正从而使其响应成为实质上响应。</w:t>
      </w:r>
    </w:p>
    <w:p w14:paraId="50D71090">
      <w:pPr>
        <w:pStyle w:val="94"/>
        <w:ind w:firstLine="420"/>
        <w:rPr>
          <w:rFonts w:hint="eastAsia"/>
          <w:b w:val="0"/>
          <w:bCs w:val="0"/>
          <w:color w:val="auto"/>
        </w:rPr>
      </w:pPr>
      <w:r>
        <w:rPr>
          <w:rFonts w:hint="eastAsia"/>
          <w:b w:val="0"/>
          <w:bCs w:val="0"/>
          <w:color w:val="auto"/>
        </w:rPr>
        <w:t>5.7.3如发现下列情况之一的，其响应文件将被认定为无效响应文件：</w:t>
      </w:r>
    </w:p>
    <w:p w14:paraId="65A34B43">
      <w:pPr>
        <w:pStyle w:val="94"/>
        <w:ind w:firstLine="420"/>
        <w:rPr>
          <w:rFonts w:hint="eastAsia"/>
          <w:b w:val="0"/>
          <w:bCs w:val="0"/>
          <w:color w:val="auto"/>
        </w:rPr>
      </w:pPr>
      <w:r>
        <w:rPr>
          <w:rFonts w:hint="eastAsia"/>
          <w:b w:val="0"/>
          <w:bCs w:val="0"/>
          <w:color w:val="auto"/>
        </w:rPr>
        <w:t>5.7.3.1供应商未按磋商文件要求签字或加盖电子签章的；</w:t>
      </w:r>
    </w:p>
    <w:p w14:paraId="448B3935">
      <w:pPr>
        <w:pStyle w:val="94"/>
        <w:ind w:firstLine="420"/>
        <w:rPr>
          <w:rFonts w:hint="eastAsia"/>
          <w:b w:val="0"/>
          <w:bCs w:val="0"/>
          <w:color w:val="auto"/>
        </w:rPr>
      </w:pPr>
      <w:r>
        <w:rPr>
          <w:rFonts w:hint="eastAsia"/>
          <w:b w:val="0"/>
          <w:bCs w:val="0"/>
          <w:color w:val="auto"/>
        </w:rPr>
        <w:t>5.7.3.2供应商的报价超过了采购文件中规定的预算金额或者最高限价的；</w:t>
      </w:r>
    </w:p>
    <w:p w14:paraId="2C1E875D">
      <w:pPr>
        <w:pStyle w:val="94"/>
        <w:ind w:firstLine="420"/>
        <w:rPr>
          <w:rFonts w:hint="eastAsia"/>
          <w:b w:val="0"/>
          <w:bCs w:val="0"/>
          <w:color w:val="auto"/>
        </w:rPr>
      </w:pPr>
      <w:r>
        <w:rPr>
          <w:rFonts w:hint="eastAsia"/>
          <w:b w:val="0"/>
          <w:bCs w:val="0"/>
          <w:color w:val="auto"/>
        </w:rPr>
        <w:t>5.7.3.3不具备采购文件中规定的资格要求的；</w:t>
      </w:r>
    </w:p>
    <w:p w14:paraId="2A3BBDD9">
      <w:pPr>
        <w:pStyle w:val="94"/>
        <w:ind w:firstLine="420"/>
        <w:rPr>
          <w:rFonts w:hint="eastAsia"/>
          <w:b w:val="0"/>
          <w:bCs w:val="0"/>
          <w:color w:val="auto"/>
        </w:rPr>
      </w:pPr>
      <w:r>
        <w:rPr>
          <w:rFonts w:hint="eastAsia"/>
          <w:b w:val="0"/>
          <w:bCs w:val="0"/>
          <w:color w:val="auto"/>
        </w:rPr>
        <w:t>5.7.3.4不同供应商递交的响应文件制作机器码一致的；</w:t>
      </w:r>
    </w:p>
    <w:p w14:paraId="50EEF71C">
      <w:pPr>
        <w:pStyle w:val="94"/>
        <w:ind w:firstLine="420"/>
        <w:rPr>
          <w:rFonts w:hint="eastAsia"/>
          <w:b w:val="0"/>
          <w:bCs w:val="0"/>
          <w:color w:val="auto"/>
        </w:rPr>
      </w:pPr>
      <w:r>
        <w:rPr>
          <w:rFonts w:hint="eastAsia"/>
          <w:b w:val="0"/>
          <w:bCs w:val="0"/>
          <w:color w:val="auto"/>
        </w:rPr>
        <w:t>5.7.3.5未满足采购文件中商务和技术条款的实质性要求；</w:t>
      </w:r>
    </w:p>
    <w:p w14:paraId="7A8ADFBC">
      <w:pPr>
        <w:pStyle w:val="94"/>
        <w:ind w:firstLine="420"/>
        <w:rPr>
          <w:rFonts w:hint="eastAsia"/>
          <w:b w:val="0"/>
          <w:bCs w:val="0"/>
          <w:color w:val="auto"/>
        </w:rPr>
      </w:pPr>
      <w:r>
        <w:rPr>
          <w:rFonts w:hint="eastAsia"/>
          <w:b w:val="0"/>
          <w:bCs w:val="0"/>
          <w:color w:val="auto"/>
        </w:rPr>
        <w:t>5.7.3.6属于供应商之间串通，或者依法被视为供应商之间串通；</w:t>
      </w:r>
    </w:p>
    <w:p w14:paraId="3CB62516">
      <w:pPr>
        <w:pStyle w:val="94"/>
        <w:ind w:firstLine="420"/>
        <w:rPr>
          <w:rFonts w:hint="eastAsia"/>
          <w:b w:val="0"/>
          <w:bCs w:val="0"/>
          <w:color w:val="auto"/>
        </w:rPr>
      </w:pPr>
      <w:r>
        <w:rPr>
          <w:rFonts w:hint="eastAsia"/>
          <w:b w:val="0"/>
          <w:bCs w:val="0"/>
          <w:color w:val="auto"/>
        </w:rPr>
        <w:t>5.7.3.7磋商小组认为供应商的报价明显低于其他符合要求供应商的报价，有可能影响履约的，且供应商未按照磋商小组要求提供证明其报价合理性的相关材料；</w:t>
      </w:r>
    </w:p>
    <w:p w14:paraId="32B98526">
      <w:pPr>
        <w:pStyle w:val="94"/>
        <w:ind w:firstLine="420"/>
        <w:rPr>
          <w:rFonts w:hint="eastAsia"/>
          <w:b w:val="0"/>
          <w:bCs w:val="0"/>
          <w:color w:val="auto"/>
        </w:rPr>
      </w:pPr>
      <w:r>
        <w:rPr>
          <w:rFonts w:hint="eastAsia"/>
          <w:b w:val="0"/>
          <w:bCs w:val="0"/>
          <w:color w:val="auto"/>
        </w:rPr>
        <w:t>5.7.3.8响应文件含有采购人不能接受的附加条件的；</w:t>
      </w:r>
    </w:p>
    <w:p w14:paraId="1235D993">
      <w:pPr>
        <w:pStyle w:val="94"/>
        <w:ind w:firstLine="420"/>
        <w:rPr>
          <w:rFonts w:hint="eastAsia"/>
          <w:b w:val="0"/>
          <w:bCs w:val="0"/>
          <w:color w:val="auto"/>
        </w:rPr>
      </w:pPr>
      <w:r>
        <w:rPr>
          <w:rFonts w:hint="eastAsia"/>
          <w:b w:val="0"/>
          <w:bCs w:val="0"/>
          <w:color w:val="auto"/>
        </w:rPr>
        <w:t>5.7.3.9属于法律、法规和采购文件中规定的其他无效响应情形的。</w:t>
      </w:r>
      <w:bookmarkStart w:id="68" w:name="BM5_8_响应文件的评审"/>
      <w:bookmarkEnd w:id="68"/>
    </w:p>
    <w:p w14:paraId="36E89CEB">
      <w:pPr>
        <w:pStyle w:val="94"/>
        <w:ind w:firstLine="420"/>
        <w:rPr>
          <w:rFonts w:hint="eastAsia"/>
          <w:b w:val="0"/>
          <w:bCs w:val="0"/>
          <w:color w:val="auto"/>
        </w:rPr>
      </w:pPr>
      <w:r>
        <w:rPr>
          <w:rFonts w:hint="eastAsia"/>
          <w:b w:val="0"/>
          <w:bCs w:val="0"/>
          <w:color w:val="auto"/>
        </w:rPr>
        <w:t>5.8响应文件的评审</w:t>
      </w:r>
    </w:p>
    <w:p w14:paraId="14D8A5E9">
      <w:pPr>
        <w:pStyle w:val="94"/>
        <w:ind w:firstLine="420"/>
        <w:rPr>
          <w:rFonts w:hint="eastAsia"/>
          <w:b w:val="0"/>
          <w:bCs w:val="0"/>
          <w:color w:val="auto"/>
        </w:rPr>
      </w:pPr>
      <w:r>
        <w:rPr>
          <w:rFonts w:hint="eastAsia"/>
          <w:b w:val="0"/>
          <w:bCs w:val="0"/>
          <w:color w:val="auto"/>
        </w:rPr>
        <w:t>5.8.1磋商小组成员将按照客观、公正、审慎的原则，根据采购文件规定的评审程序、评审方法和评审标准进行独立评审。经符合性审查合格的响应文件，磋商小组将对其技术部分和商务部分作进一步的评审。未实质性响应采购文件的响应文件按无效响应处理，磋商小组将告知提交响应文件的供应商。</w:t>
      </w:r>
    </w:p>
    <w:p w14:paraId="56619A82">
      <w:pPr>
        <w:pStyle w:val="16"/>
        <w:rPr>
          <w:color w:val="auto"/>
        </w:rPr>
      </w:pPr>
      <w:r>
        <w:rPr>
          <w:rFonts w:hint="eastAsia"/>
          <w:color w:val="auto"/>
        </w:rPr>
        <w:t>经磋商确定最终采购需求和提交最后报价的供应商后，由磋商小组采用综合评分法对提交最后报价的供应商的响应文件和最后报价进行综合评分。</w:t>
      </w:r>
    </w:p>
    <w:p w14:paraId="79715646">
      <w:pPr>
        <w:pStyle w:val="16"/>
        <w:rPr>
          <w:color w:val="auto"/>
        </w:rPr>
      </w:pPr>
      <w:r>
        <w:rPr>
          <w:rFonts w:hint="eastAsia"/>
          <w:color w:val="auto"/>
        </w:rPr>
        <w:t>评审时，磋商小组各成员应当独立对每个有效响应的文件进行评价、打分，然后汇总每个供应商每项评分因素的得分。以磋商小组所有成员打分的算数平均值作为供应商的最终得分，按最终得分由高到低的顺序推荐成交候选人。分值计算保留小数点后两位，第三位四舍五入。</w:t>
      </w:r>
    </w:p>
    <w:p w14:paraId="0C07AE99">
      <w:pPr>
        <w:pStyle w:val="94"/>
        <w:ind w:firstLine="420"/>
        <w:rPr>
          <w:rFonts w:hint="eastAsia"/>
          <w:b w:val="0"/>
          <w:bCs w:val="0"/>
          <w:color w:val="auto"/>
        </w:rPr>
      </w:pPr>
      <w:r>
        <w:rPr>
          <w:rFonts w:hint="eastAsia"/>
          <w:b w:val="0"/>
          <w:bCs w:val="0"/>
          <w:color w:val="auto"/>
        </w:rPr>
        <w:t>5.8.2评审严格按照采购文件的要求和标准进行，采用综合评分法进行评审。详细评审标准见采购文件磋商程序、评审方法及评审标准；</w:t>
      </w:r>
    </w:p>
    <w:p w14:paraId="1DC1DE1A">
      <w:pPr>
        <w:pStyle w:val="16"/>
        <w:rPr>
          <w:color w:val="auto"/>
        </w:rPr>
      </w:pPr>
      <w:r>
        <w:rPr>
          <w:rFonts w:hint="eastAsia"/>
          <w:color w:val="auto"/>
        </w:rPr>
        <w:t>综合评分法，是指响应文件满足磋商文件全部实质性要求且按评审因素的量化指标评审得分最高的供应商为成交候选供应商的评审方法。</w:t>
      </w:r>
    </w:p>
    <w:p w14:paraId="31725FF7">
      <w:pPr>
        <w:pStyle w:val="94"/>
        <w:rPr>
          <w:rFonts w:hint="eastAsia"/>
          <w:color w:val="auto"/>
        </w:rPr>
      </w:pPr>
      <w:bookmarkStart w:id="69" w:name="BM5_9_采购文件执行的政府采购政策"/>
      <w:bookmarkEnd w:id="69"/>
      <w:r>
        <w:rPr>
          <w:rFonts w:hint="eastAsia"/>
          <w:color w:val="auto"/>
        </w:rPr>
        <w:t>5.9采购文件执行的政府采购政策</w:t>
      </w:r>
    </w:p>
    <w:p w14:paraId="0BD85C61">
      <w:pPr>
        <w:pStyle w:val="16"/>
        <w:rPr>
          <w:color w:val="auto"/>
        </w:rPr>
      </w:pPr>
      <w:r>
        <w:rPr>
          <w:rFonts w:hint="eastAsia"/>
          <w:color w:val="auto"/>
        </w:rPr>
        <w:t>本项目需要执行的政府采购政策：详见采购文件第五章磋商程序、评审方法及评审标准。</w:t>
      </w:r>
    </w:p>
    <w:p w14:paraId="065C99F5">
      <w:pPr>
        <w:pStyle w:val="94"/>
        <w:rPr>
          <w:rFonts w:hint="eastAsia"/>
          <w:color w:val="auto"/>
        </w:rPr>
      </w:pPr>
      <w:bookmarkStart w:id="70" w:name="BM5_10终止本次磋商"/>
      <w:bookmarkEnd w:id="70"/>
      <w:r>
        <w:rPr>
          <w:rFonts w:hint="eastAsia"/>
          <w:color w:val="auto"/>
        </w:rPr>
        <w:t>5.10终止本次磋商</w:t>
      </w:r>
    </w:p>
    <w:p w14:paraId="298AFFA2">
      <w:pPr>
        <w:pStyle w:val="16"/>
        <w:rPr>
          <w:color w:val="auto"/>
        </w:rPr>
      </w:pPr>
      <w:r>
        <w:rPr>
          <w:rFonts w:hint="eastAsia"/>
          <w:color w:val="auto"/>
        </w:rPr>
        <w:t>出现下列情形之一的，采购人或采购代理机构应当终止本次竞争性磋商。</w:t>
      </w:r>
    </w:p>
    <w:p w14:paraId="547DA319">
      <w:pPr>
        <w:pStyle w:val="16"/>
        <w:rPr>
          <w:color w:val="auto"/>
        </w:rPr>
      </w:pPr>
      <w:r>
        <w:rPr>
          <w:rFonts w:hint="eastAsia"/>
          <w:color w:val="auto"/>
        </w:rPr>
        <w:t>（1）因情况变化，不再符合规定的竞争性磋商采购方式适用情形的；</w:t>
      </w:r>
    </w:p>
    <w:p w14:paraId="72E6C73A">
      <w:pPr>
        <w:pStyle w:val="16"/>
        <w:rPr>
          <w:color w:val="auto"/>
        </w:rPr>
      </w:pPr>
      <w:r>
        <w:rPr>
          <w:rFonts w:hint="eastAsia"/>
          <w:color w:val="auto"/>
        </w:rPr>
        <w:t>（2）出现影响采购公正的违法、违规行为的；</w:t>
      </w:r>
    </w:p>
    <w:p w14:paraId="1A75F169">
      <w:pPr>
        <w:pStyle w:val="16"/>
        <w:rPr>
          <w:color w:val="auto"/>
        </w:rPr>
      </w:pPr>
      <w:r>
        <w:rPr>
          <w:rFonts w:hint="eastAsia"/>
          <w:color w:val="auto"/>
        </w:rPr>
        <w:t>（3）在采购过程中符合要求的供应商不足3家的（特殊情况下为不足2家的）。</w:t>
      </w:r>
    </w:p>
    <w:p w14:paraId="39BB0E01">
      <w:pPr>
        <w:pStyle w:val="16"/>
        <w:rPr>
          <w:color w:val="auto"/>
        </w:rPr>
      </w:pPr>
      <w:r>
        <w:rPr>
          <w:rFonts w:hint="eastAsia"/>
          <w:color w:val="auto"/>
        </w:rPr>
        <w:t>（4）因重大变故，采购任务取消的。</w:t>
      </w:r>
    </w:p>
    <w:p w14:paraId="5815136E">
      <w:pPr>
        <w:pStyle w:val="94"/>
        <w:rPr>
          <w:rFonts w:hint="eastAsia"/>
          <w:color w:val="auto"/>
        </w:rPr>
      </w:pPr>
      <w:bookmarkStart w:id="71" w:name="BM5_11保密要求"/>
      <w:bookmarkEnd w:id="71"/>
      <w:r>
        <w:rPr>
          <w:rFonts w:hint="eastAsia"/>
          <w:color w:val="auto"/>
        </w:rPr>
        <w:t>5.11保密要求</w:t>
      </w:r>
    </w:p>
    <w:p w14:paraId="3B973F59">
      <w:pPr>
        <w:pStyle w:val="94"/>
        <w:rPr>
          <w:rFonts w:hint="eastAsia"/>
          <w:color w:val="auto"/>
        </w:rPr>
      </w:pPr>
      <w:r>
        <w:rPr>
          <w:rFonts w:hint="eastAsia"/>
          <w:color w:val="auto"/>
        </w:rPr>
        <w:t>5.11.1评审将在严格保密的情况下进行。</w:t>
      </w:r>
    </w:p>
    <w:p w14:paraId="346611C0">
      <w:pPr>
        <w:pStyle w:val="94"/>
        <w:rPr>
          <w:rFonts w:hint="eastAsia"/>
          <w:color w:val="auto"/>
        </w:rPr>
      </w:pPr>
      <w:r>
        <w:rPr>
          <w:rFonts w:hint="eastAsia"/>
          <w:color w:val="auto"/>
        </w:rPr>
        <w:t>5.11.2有关人员应当遵守评审工作纪律，不得泄露评审文件、评审情况和评审过程中获悉的国家秘密、商业秘密。</w:t>
      </w:r>
    </w:p>
    <w:p w14:paraId="4AC3B31D">
      <w:pPr>
        <w:pStyle w:val="4"/>
        <w:ind w:firstLine="643"/>
        <w:rPr>
          <w:color w:val="auto"/>
        </w:rPr>
      </w:pPr>
      <w:bookmarkStart w:id="72" w:name="BM6、确定成交供应商"/>
      <w:bookmarkEnd w:id="72"/>
      <w:bookmarkStart w:id="73" w:name="_Toc70524424"/>
      <w:r>
        <w:rPr>
          <w:rFonts w:hint="eastAsia"/>
          <w:color w:val="auto"/>
        </w:rPr>
        <w:t>6、确定成交供应商</w:t>
      </w:r>
      <w:bookmarkEnd w:id="73"/>
    </w:p>
    <w:p w14:paraId="50BB3A7F">
      <w:pPr>
        <w:pStyle w:val="94"/>
        <w:rPr>
          <w:rFonts w:hint="eastAsia"/>
          <w:color w:val="auto"/>
        </w:rPr>
      </w:pPr>
      <w:bookmarkStart w:id="74" w:name="BM6_1_成交候选供应商的确定原则及标准"/>
      <w:bookmarkEnd w:id="74"/>
      <w:r>
        <w:rPr>
          <w:rFonts w:hint="eastAsia"/>
          <w:color w:val="auto"/>
        </w:rPr>
        <w:t>6.1成交候选供应商的确定原则及标准</w:t>
      </w:r>
    </w:p>
    <w:p w14:paraId="39C0079C">
      <w:pPr>
        <w:pStyle w:val="94"/>
        <w:ind w:firstLine="420"/>
        <w:rPr>
          <w:rFonts w:hint="eastAsia"/>
          <w:b w:val="0"/>
          <w:bCs w:val="0"/>
          <w:color w:val="auto"/>
        </w:rPr>
      </w:pPr>
      <w:r>
        <w:rPr>
          <w:rFonts w:hint="eastAsia"/>
          <w:b w:val="0"/>
          <w:bCs w:val="0"/>
          <w:color w:val="auto"/>
        </w:rPr>
        <w:t>6.1.1除第6.3条规定外，磋商结束后，除了算数修正和落实政府采购政策需进行的价格扣除外，不对供应商的最后报价进行任何调整。评审结果按照得分由高至低的顺序排序。得分相同的，按修正和扣除后的最后报价由低到高顺序排列。具体处理办法详见磋商程序、评审方法及评审标准。</w:t>
      </w:r>
    </w:p>
    <w:p w14:paraId="16F0AD9D">
      <w:pPr>
        <w:pStyle w:val="94"/>
        <w:ind w:firstLine="420"/>
        <w:rPr>
          <w:rFonts w:hint="eastAsia"/>
          <w:b w:val="0"/>
          <w:bCs w:val="0"/>
          <w:color w:val="auto"/>
        </w:rPr>
      </w:pPr>
      <w:r>
        <w:rPr>
          <w:rFonts w:hint="eastAsia"/>
          <w:b w:val="0"/>
          <w:bCs w:val="0"/>
          <w:color w:val="auto"/>
        </w:rPr>
        <w:t>6.1.2磋商小组将按</w:t>
      </w:r>
      <w:r>
        <w:rPr>
          <w:rFonts w:hint="eastAsia"/>
          <w:b w:val="0"/>
          <w:bCs w:val="0"/>
          <w:color w:val="auto"/>
          <w:u w:val="single"/>
        </w:rPr>
        <w:t>供应商须知表</w:t>
      </w:r>
      <w:r>
        <w:rPr>
          <w:rFonts w:hint="eastAsia"/>
          <w:b w:val="0"/>
          <w:bCs w:val="0"/>
          <w:color w:val="auto"/>
        </w:rPr>
        <w:t>中规定的数量推荐成交候选供应商或按</w:t>
      </w:r>
      <w:r>
        <w:rPr>
          <w:rFonts w:hint="eastAsia"/>
          <w:b w:val="0"/>
          <w:bCs w:val="0"/>
          <w:color w:val="auto"/>
          <w:u w:val="single"/>
        </w:rPr>
        <w:t>供应商须知前附表</w:t>
      </w:r>
      <w:r>
        <w:rPr>
          <w:rFonts w:hint="eastAsia"/>
          <w:b w:val="0"/>
          <w:bCs w:val="0"/>
          <w:color w:val="auto"/>
        </w:rPr>
        <w:t>中规定，由采购人或磋商小组直接确定成交供应商。</w:t>
      </w:r>
    </w:p>
    <w:p w14:paraId="2A410D85">
      <w:pPr>
        <w:pStyle w:val="94"/>
        <w:ind w:firstLine="420"/>
        <w:rPr>
          <w:rFonts w:hint="eastAsia"/>
          <w:b w:val="0"/>
          <w:bCs w:val="0"/>
          <w:color w:val="auto"/>
        </w:rPr>
      </w:pPr>
      <w:r>
        <w:rPr>
          <w:rFonts w:hint="eastAsia"/>
          <w:b w:val="0"/>
          <w:bCs w:val="0"/>
          <w:color w:val="auto"/>
        </w:rPr>
        <w:t>6.1.3因推荐成交候选供应商名单产生其他问题，由磋商小组集体研究处理。</w:t>
      </w:r>
      <w:bookmarkStart w:id="75" w:name="BM6_2_确定成交供应商"/>
      <w:bookmarkEnd w:id="75"/>
    </w:p>
    <w:p w14:paraId="1CB0649C">
      <w:pPr>
        <w:pStyle w:val="94"/>
        <w:rPr>
          <w:rFonts w:hint="eastAsia"/>
          <w:color w:val="auto"/>
        </w:rPr>
      </w:pPr>
      <w:r>
        <w:rPr>
          <w:rFonts w:hint="eastAsia"/>
          <w:color w:val="auto"/>
        </w:rPr>
        <w:t>6.2确定成交供应商</w:t>
      </w:r>
    </w:p>
    <w:p w14:paraId="36107E7A">
      <w:pPr>
        <w:pStyle w:val="16"/>
        <w:rPr>
          <w:color w:val="auto"/>
        </w:rPr>
      </w:pPr>
      <w:r>
        <w:rPr>
          <w:rFonts w:hint="eastAsia"/>
          <w:color w:val="auto"/>
        </w:rPr>
        <w:t>6.2.1采购人在收到评审报告5个工作日内，从评审报告提出的成交候选供应商中，根据质量和服务均能满足采购文件实质性响应要求且综合得分最高的原则确定成交供应商，也可以书面授权磋商小组直接确定成交供应商。本项目成交供应商确定方式详见</w:t>
      </w:r>
      <w:r>
        <w:rPr>
          <w:rFonts w:hint="eastAsia"/>
          <w:b/>
          <w:bCs/>
          <w:color w:val="auto"/>
          <w:u w:val="single"/>
        </w:rPr>
        <w:t>供应商须知表6.2.1条</w:t>
      </w:r>
      <w:r>
        <w:rPr>
          <w:rFonts w:hint="eastAsia"/>
          <w:color w:val="auto"/>
        </w:rPr>
        <w:t>。</w:t>
      </w:r>
    </w:p>
    <w:p w14:paraId="31D0E4F0">
      <w:pPr>
        <w:pStyle w:val="94"/>
        <w:rPr>
          <w:rFonts w:hint="eastAsia"/>
          <w:color w:val="auto"/>
        </w:rPr>
      </w:pPr>
      <w:bookmarkStart w:id="76" w:name="BM6_3采购任务取消"/>
      <w:bookmarkEnd w:id="76"/>
      <w:r>
        <w:rPr>
          <w:rFonts w:hint="eastAsia"/>
          <w:color w:val="auto"/>
        </w:rPr>
        <w:t>6.3采购任务取消</w:t>
      </w:r>
    </w:p>
    <w:p w14:paraId="35EBA421">
      <w:pPr>
        <w:pStyle w:val="16"/>
        <w:rPr>
          <w:color w:val="auto"/>
        </w:rPr>
      </w:pPr>
      <w:r>
        <w:rPr>
          <w:rFonts w:hint="eastAsia"/>
          <w:color w:val="auto"/>
        </w:rPr>
        <w:t>因重大变故采购任务取消时，采购人有权拒绝任何供应商成交，且对受影响的供应商不承担任何责任。</w:t>
      </w:r>
    </w:p>
    <w:p w14:paraId="2C0450C5">
      <w:pPr>
        <w:pStyle w:val="94"/>
        <w:rPr>
          <w:rFonts w:hint="eastAsia"/>
          <w:color w:val="auto"/>
        </w:rPr>
      </w:pPr>
      <w:bookmarkStart w:id="77" w:name="BM6_4_发出成交通知书"/>
      <w:bookmarkEnd w:id="77"/>
      <w:r>
        <w:rPr>
          <w:rFonts w:hint="eastAsia"/>
          <w:color w:val="auto"/>
        </w:rPr>
        <w:t>6.4发出成交通知书</w:t>
      </w:r>
    </w:p>
    <w:p w14:paraId="3C9B53AF">
      <w:pPr>
        <w:pStyle w:val="16"/>
        <w:rPr>
          <w:color w:val="auto"/>
        </w:rPr>
      </w:pPr>
      <w:r>
        <w:rPr>
          <w:rFonts w:hint="eastAsia"/>
          <w:color w:val="auto"/>
        </w:rPr>
        <w:t>采购人或者采购代理机构应当在成交供应商确定之日起2个工作日内，在相关网站公告成交结果，同时向成交供应商发出成交通知书，成交通知书是合同的组成部分。</w:t>
      </w:r>
    </w:p>
    <w:p w14:paraId="2DE62A4E">
      <w:pPr>
        <w:pStyle w:val="4"/>
        <w:ind w:firstLine="643"/>
        <w:rPr>
          <w:color w:val="auto"/>
        </w:rPr>
      </w:pPr>
      <w:bookmarkStart w:id="78" w:name="BM7、签订合同"/>
      <w:bookmarkEnd w:id="78"/>
      <w:bookmarkStart w:id="79" w:name="_Toc70524425"/>
      <w:r>
        <w:rPr>
          <w:rFonts w:hint="eastAsia"/>
          <w:color w:val="auto"/>
        </w:rPr>
        <w:t>7、签订合同</w:t>
      </w:r>
      <w:bookmarkEnd w:id="79"/>
    </w:p>
    <w:p w14:paraId="71F1C1FB">
      <w:pPr>
        <w:pStyle w:val="94"/>
        <w:ind w:firstLine="420"/>
        <w:rPr>
          <w:rFonts w:hint="eastAsia"/>
          <w:b w:val="0"/>
          <w:bCs w:val="0"/>
          <w:color w:val="auto"/>
        </w:rPr>
      </w:pPr>
      <w:r>
        <w:rPr>
          <w:rFonts w:hint="eastAsia"/>
          <w:b w:val="0"/>
          <w:bCs w:val="0"/>
          <w:color w:val="auto"/>
        </w:rPr>
        <w:t>7.1成交供应商应当自发出成交通知书之日起15日历天内（另有规定的除外），按照采购文件确定的合同文本以及采购标的、规格型号、采购金额、采购数量、技术和服务要求等事项与采购人签订政府采购合同。</w:t>
      </w:r>
    </w:p>
    <w:p w14:paraId="62ABBD9B">
      <w:pPr>
        <w:pStyle w:val="94"/>
        <w:ind w:firstLine="420"/>
        <w:rPr>
          <w:rFonts w:hint="eastAsia"/>
          <w:b w:val="0"/>
          <w:bCs w:val="0"/>
          <w:color w:val="auto"/>
        </w:rPr>
      </w:pPr>
      <w:r>
        <w:rPr>
          <w:rFonts w:hint="eastAsia"/>
          <w:b w:val="0"/>
          <w:bCs w:val="0"/>
          <w:color w:val="auto"/>
        </w:rPr>
        <w:t>7.2除不可抗力等因素外，成交通知书发出后，采购人改变成交结果，或者成交供应商拒绝签订政府采购合同的，应当承担相应的法律责任。</w:t>
      </w:r>
    </w:p>
    <w:p w14:paraId="7195D439">
      <w:pPr>
        <w:pStyle w:val="94"/>
        <w:ind w:firstLine="420"/>
        <w:rPr>
          <w:rFonts w:hint="eastAsia"/>
          <w:b w:val="0"/>
          <w:bCs w:val="0"/>
          <w:color w:val="auto"/>
        </w:rPr>
      </w:pPr>
      <w:r>
        <w:rPr>
          <w:rFonts w:hint="eastAsia"/>
          <w:b w:val="0"/>
          <w:bCs w:val="0"/>
          <w:color w:val="auto"/>
        </w:rPr>
        <w:t>7.3采购文件、成交供应商的响应文件及其澄清文件等，均为签订合同的依据。所签订的合同不得对采购文件确定的事项和成交供应商响应文件作实质性修改。采购人不得向成交供应商提出超出采购文件以外的任何不合理的要求，作为签订合同的条件，不得与成交供应商订立背离采购文件确定的合同文本以及采购标的、规格型号、采购金额、采购数量、技术和服务要求等实质性内容的协议。</w:t>
      </w:r>
    </w:p>
    <w:p w14:paraId="1BFB84A6">
      <w:pPr>
        <w:pStyle w:val="94"/>
        <w:ind w:firstLine="420"/>
        <w:rPr>
          <w:rFonts w:hint="eastAsia"/>
          <w:b w:val="0"/>
          <w:bCs w:val="0"/>
          <w:color w:val="auto"/>
        </w:rPr>
      </w:pPr>
      <w:r>
        <w:rPr>
          <w:rFonts w:hint="eastAsia"/>
          <w:b w:val="0"/>
          <w:bCs w:val="0"/>
          <w:color w:val="auto"/>
        </w:rPr>
        <w:t>7.4如成交供应商拒绝与采购人签订合同的，成交供应商须按“供应商参加磋商采购活动的承诺书”中的承诺内容向采购人和采购代理机构支付赔偿；采购人可以按照评审报告推荐的成交候选供应商名单排序，确定下一成交候选供应商为成交供应商，也可以重新开展政府采购活动。拒绝签订政府采购合同的成交供应商不得参加对该项目重新开展的采购活动。</w:t>
      </w:r>
    </w:p>
    <w:p w14:paraId="1B1C8430">
      <w:pPr>
        <w:pStyle w:val="94"/>
        <w:ind w:firstLine="420"/>
        <w:rPr>
          <w:rFonts w:hint="eastAsia"/>
          <w:b w:val="0"/>
          <w:bCs w:val="0"/>
          <w:color w:val="auto"/>
        </w:rPr>
      </w:pPr>
      <w:r>
        <w:rPr>
          <w:rFonts w:hint="eastAsia"/>
          <w:b w:val="0"/>
          <w:bCs w:val="0"/>
          <w:color w:val="auto"/>
        </w:rPr>
        <w:t>7.5当出现法律法规规定的成交无效或成交结果无效情形时，采购人可以按照评审报告推荐的成交候选供应商名单排序，确定下一成交候选供应商为成交供应商，也可以重新开展政府采购活动。</w:t>
      </w:r>
    </w:p>
    <w:p w14:paraId="3007DB89">
      <w:pPr>
        <w:pStyle w:val="4"/>
        <w:ind w:firstLine="643"/>
        <w:rPr>
          <w:color w:val="auto"/>
        </w:rPr>
      </w:pPr>
      <w:bookmarkStart w:id="80" w:name="BM8、履约保证金"/>
      <w:bookmarkEnd w:id="80"/>
      <w:bookmarkStart w:id="81" w:name="_Toc70524426"/>
      <w:r>
        <w:rPr>
          <w:rFonts w:hint="eastAsia"/>
          <w:color w:val="auto"/>
        </w:rPr>
        <w:t>8、履约保证金</w:t>
      </w:r>
      <w:bookmarkEnd w:id="81"/>
    </w:p>
    <w:p w14:paraId="387DF627">
      <w:pPr>
        <w:pStyle w:val="94"/>
        <w:ind w:firstLine="420"/>
        <w:rPr>
          <w:rFonts w:hint="eastAsia"/>
          <w:b w:val="0"/>
          <w:bCs w:val="0"/>
          <w:color w:val="auto"/>
        </w:rPr>
      </w:pPr>
      <w:r>
        <w:rPr>
          <w:rFonts w:hint="eastAsia"/>
          <w:b w:val="0"/>
          <w:bCs w:val="0"/>
          <w:color w:val="auto"/>
        </w:rPr>
        <w:t>8.1如果需要交纳履约保证金，成交供应商应按照</w:t>
      </w:r>
      <w:r>
        <w:rPr>
          <w:rFonts w:hint="eastAsia"/>
          <w:b w:val="0"/>
          <w:bCs w:val="0"/>
          <w:color w:val="auto"/>
          <w:u w:val="single"/>
        </w:rPr>
        <w:t>供应商须知前附表</w:t>
      </w:r>
      <w:r>
        <w:rPr>
          <w:rFonts w:hint="eastAsia"/>
          <w:b w:val="0"/>
          <w:bCs w:val="0"/>
          <w:color w:val="auto"/>
        </w:rPr>
        <w:t>中的规定向采购人提供履约保证金。经采购人同意，成交供应商也可以自愿采用其他履约保证金的提供方式。</w:t>
      </w:r>
    </w:p>
    <w:p w14:paraId="535918C6">
      <w:pPr>
        <w:pStyle w:val="94"/>
        <w:ind w:firstLine="420"/>
        <w:rPr>
          <w:rFonts w:hint="eastAsia"/>
          <w:b w:val="0"/>
          <w:bCs w:val="0"/>
          <w:color w:val="auto"/>
        </w:rPr>
      </w:pPr>
      <w:r>
        <w:rPr>
          <w:rFonts w:hint="eastAsia"/>
          <w:b w:val="0"/>
          <w:bCs w:val="0"/>
          <w:color w:val="auto"/>
        </w:rPr>
        <w:t>8.2政府采购利用担保试点范围内的项目，成交供应商也可以按照财政部门的规定，向采购人提供合格的履约担保函。</w:t>
      </w:r>
    </w:p>
    <w:p w14:paraId="1C183F45">
      <w:pPr>
        <w:pStyle w:val="94"/>
        <w:ind w:firstLine="420"/>
        <w:rPr>
          <w:rFonts w:hint="eastAsia"/>
          <w:b w:val="0"/>
          <w:bCs w:val="0"/>
          <w:color w:val="auto"/>
        </w:rPr>
      </w:pPr>
      <w:r>
        <w:rPr>
          <w:rFonts w:hint="eastAsia"/>
          <w:b w:val="0"/>
          <w:bCs w:val="0"/>
          <w:color w:val="auto"/>
        </w:rPr>
        <w:t>8.3如果成交供应商没有按照上述履约保证金的规定执行，将视为拒绝签订合同并放弃成交资格，应当按照《供应商参加磋商采购活动的承诺书》中的承诺向采购人和采购代理机构支付赔偿。在此情况下，采购人可确定下一成交候选供应商为成交供应商，也可以重新开展采购活动。</w:t>
      </w:r>
    </w:p>
    <w:p w14:paraId="693FFDA6">
      <w:pPr>
        <w:pStyle w:val="4"/>
        <w:ind w:firstLine="643"/>
        <w:rPr>
          <w:color w:val="auto"/>
        </w:rPr>
      </w:pPr>
      <w:bookmarkStart w:id="82" w:name="BM9、预付款"/>
      <w:bookmarkEnd w:id="82"/>
      <w:bookmarkStart w:id="83" w:name="_Toc70524427"/>
      <w:r>
        <w:rPr>
          <w:rFonts w:hint="eastAsia"/>
          <w:color w:val="auto"/>
        </w:rPr>
        <w:t>9、预付款</w:t>
      </w:r>
      <w:bookmarkEnd w:id="83"/>
    </w:p>
    <w:p w14:paraId="56F2C35D">
      <w:pPr>
        <w:pStyle w:val="94"/>
        <w:ind w:firstLine="420"/>
        <w:rPr>
          <w:rFonts w:hint="eastAsia"/>
          <w:b w:val="0"/>
          <w:bCs w:val="0"/>
          <w:color w:val="auto"/>
        </w:rPr>
      </w:pPr>
      <w:r>
        <w:rPr>
          <w:rFonts w:hint="eastAsia"/>
          <w:b w:val="0"/>
          <w:bCs w:val="0"/>
          <w:color w:val="auto"/>
        </w:rPr>
        <w:t>9.1预付款是在指政府采购合同签订后、履行前，采购人向成交供应商预先支付部分合同款项，预付款比例按照</w:t>
      </w:r>
      <w:r>
        <w:rPr>
          <w:rFonts w:hint="eastAsia"/>
          <w:b w:val="0"/>
          <w:bCs w:val="0"/>
          <w:color w:val="auto"/>
          <w:u w:val="single"/>
        </w:rPr>
        <w:t>供应商须知前附表</w:t>
      </w:r>
      <w:r>
        <w:rPr>
          <w:rFonts w:hint="eastAsia"/>
          <w:b w:val="0"/>
          <w:bCs w:val="0"/>
          <w:color w:val="auto"/>
        </w:rPr>
        <w:t>规定执行。</w:t>
      </w:r>
    </w:p>
    <w:p w14:paraId="3A3D9C81">
      <w:pPr>
        <w:pStyle w:val="94"/>
        <w:ind w:firstLine="420"/>
        <w:rPr>
          <w:rFonts w:hint="eastAsia"/>
          <w:b w:val="0"/>
          <w:bCs w:val="0"/>
          <w:color w:val="auto"/>
        </w:rPr>
      </w:pPr>
      <w:r>
        <w:rPr>
          <w:rFonts w:hint="eastAsia"/>
          <w:b w:val="0"/>
          <w:bCs w:val="0"/>
          <w:color w:val="auto"/>
        </w:rPr>
        <w:t>9.2如采购人要求，成交供应商在收到预付款前，需向采购人提供预付款保函。预付款保函是指成交供应商向银行或者有资质的专业的担保机构申请，由其向采购人出具的确保预付款直接或者间接用于政府采购合同履约或者保障政府采购履约质量的银行保函或者担保保函等。</w:t>
      </w:r>
    </w:p>
    <w:p w14:paraId="68A9D2E8">
      <w:pPr>
        <w:pStyle w:val="4"/>
        <w:ind w:firstLine="643"/>
        <w:rPr>
          <w:color w:val="auto"/>
        </w:rPr>
      </w:pPr>
      <w:bookmarkStart w:id="84" w:name="BM10、采购代理服务费"/>
      <w:bookmarkEnd w:id="84"/>
      <w:bookmarkStart w:id="85" w:name="_Toc70524428"/>
      <w:r>
        <w:rPr>
          <w:rFonts w:hint="eastAsia"/>
          <w:color w:val="auto"/>
        </w:rPr>
        <w:t>10、采购代理服务费</w:t>
      </w:r>
      <w:bookmarkEnd w:id="85"/>
    </w:p>
    <w:p w14:paraId="560D0A83">
      <w:pPr>
        <w:pStyle w:val="16"/>
        <w:rPr>
          <w:color w:val="auto"/>
        </w:rPr>
      </w:pPr>
      <w:r>
        <w:rPr>
          <w:rFonts w:hint="eastAsia"/>
          <w:color w:val="auto"/>
        </w:rPr>
        <w:t>成交供应商须按照供应商须知表10条规定，向采购代理机构支付采购代理服务费。</w:t>
      </w:r>
    </w:p>
    <w:p w14:paraId="4D592393">
      <w:pPr>
        <w:pStyle w:val="4"/>
        <w:ind w:firstLine="643"/>
        <w:rPr>
          <w:color w:val="auto"/>
        </w:rPr>
      </w:pPr>
      <w:bookmarkStart w:id="86" w:name="BM11、政府采购信用担保"/>
      <w:bookmarkEnd w:id="86"/>
      <w:bookmarkStart w:id="87" w:name="_Toc70524429"/>
      <w:r>
        <w:rPr>
          <w:rFonts w:hint="eastAsia"/>
          <w:color w:val="auto"/>
        </w:rPr>
        <w:t>11、政府采购信用担保</w:t>
      </w:r>
      <w:bookmarkEnd w:id="87"/>
    </w:p>
    <w:p w14:paraId="6FB68C07">
      <w:pPr>
        <w:pStyle w:val="94"/>
        <w:ind w:firstLine="420"/>
        <w:rPr>
          <w:rFonts w:hint="eastAsia"/>
          <w:b w:val="0"/>
          <w:bCs w:val="0"/>
          <w:color w:val="auto"/>
        </w:rPr>
      </w:pPr>
      <w:r>
        <w:rPr>
          <w:rFonts w:hint="eastAsia"/>
          <w:b w:val="0"/>
          <w:bCs w:val="0"/>
          <w:color w:val="auto"/>
        </w:rPr>
        <w:t>11.1如属于政府采购信用担保试点范围内，中小型企业供应商可以自由按照财政部门的规定，采用履约担保和融资担保。</w:t>
      </w:r>
    </w:p>
    <w:p w14:paraId="4926C946">
      <w:pPr>
        <w:pStyle w:val="94"/>
        <w:ind w:firstLine="420"/>
        <w:rPr>
          <w:rFonts w:hint="eastAsia"/>
          <w:b w:val="0"/>
          <w:bCs w:val="0"/>
          <w:color w:val="auto"/>
        </w:rPr>
      </w:pPr>
      <w:r>
        <w:rPr>
          <w:rFonts w:hint="eastAsia"/>
          <w:b w:val="0"/>
          <w:bCs w:val="0"/>
          <w:color w:val="auto"/>
        </w:rPr>
        <w:t>11.2供应商递交的履约担保函应符合本采购文件的规定。</w:t>
      </w:r>
    </w:p>
    <w:p w14:paraId="70046F73">
      <w:pPr>
        <w:pStyle w:val="94"/>
        <w:ind w:firstLine="420"/>
        <w:rPr>
          <w:rFonts w:hint="eastAsia"/>
          <w:b w:val="0"/>
          <w:bCs w:val="0"/>
          <w:color w:val="auto"/>
        </w:rPr>
      </w:pPr>
      <w:r>
        <w:rPr>
          <w:rFonts w:hint="eastAsia"/>
          <w:b w:val="0"/>
          <w:bCs w:val="0"/>
          <w:color w:val="auto"/>
        </w:rPr>
        <w:t>11.3成交供应商可以采取融资担保的形式为政府采购项目履约进行融资。</w:t>
      </w:r>
    </w:p>
    <w:p w14:paraId="753473A1">
      <w:pPr>
        <w:pStyle w:val="4"/>
        <w:ind w:firstLine="643"/>
        <w:rPr>
          <w:color w:val="auto"/>
        </w:rPr>
      </w:pPr>
      <w:bookmarkStart w:id="88" w:name="BM12、质疑的提出与接收"/>
      <w:bookmarkEnd w:id="88"/>
      <w:bookmarkStart w:id="89" w:name="_Toc70524430"/>
      <w:r>
        <w:rPr>
          <w:rFonts w:hint="eastAsia"/>
          <w:color w:val="auto"/>
        </w:rPr>
        <w:t>12、质疑的提出与接收</w:t>
      </w:r>
      <w:bookmarkEnd w:id="89"/>
    </w:p>
    <w:p w14:paraId="7844D435">
      <w:pPr>
        <w:pStyle w:val="94"/>
        <w:ind w:firstLine="420"/>
        <w:rPr>
          <w:rFonts w:hint="eastAsia"/>
          <w:b w:val="0"/>
          <w:bCs w:val="0"/>
          <w:color w:val="auto"/>
        </w:rPr>
      </w:pPr>
      <w:r>
        <w:rPr>
          <w:rFonts w:hint="eastAsia"/>
          <w:b w:val="0"/>
          <w:bCs w:val="0"/>
          <w:color w:val="auto"/>
        </w:rPr>
        <w:t>12.1供应商认为采购文件、采购过程和成交结果使自己的权益受到损害的，可以根据《中华人民共和国政府采购法》《中华人民共和国政府采购法实施条例》《政府采购竞争性磋商采购方式暂行办法》和《政府采购质疑和投诉办法》等有关规定，依法向采购人或其委托的采购代理机构提出质疑。</w:t>
      </w:r>
    </w:p>
    <w:p w14:paraId="038DE4AD">
      <w:pPr>
        <w:pStyle w:val="94"/>
        <w:ind w:firstLine="420"/>
        <w:rPr>
          <w:rFonts w:hint="eastAsia"/>
          <w:b w:val="0"/>
          <w:bCs w:val="0"/>
          <w:color w:val="auto"/>
        </w:rPr>
      </w:pPr>
      <w:r>
        <w:rPr>
          <w:rFonts w:hint="eastAsia"/>
          <w:b w:val="0"/>
          <w:bCs w:val="0"/>
          <w:color w:val="auto"/>
        </w:rPr>
        <w:t>12.2质疑供应商应按照财政部门制定的《政府采购质疑函范本》格式（可从财政部官方网站下载）和《政府采购质疑和投诉办法》的要求，在法定质疑期内以书面形式提出质疑，针对同一采购程序环节的质疑应一次性提出。超出法定质疑期的、重复提出的、分次提出的或内容、形式不符合《政府采购质疑和投诉办法》的，质疑供应商将依法承担不利后果。</w:t>
      </w:r>
    </w:p>
    <w:p w14:paraId="758A7837">
      <w:pPr>
        <w:pStyle w:val="94"/>
        <w:ind w:firstLine="420"/>
        <w:rPr>
          <w:rFonts w:hint="eastAsia"/>
          <w:b w:val="0"/>
          <w:bCs w:val="0"/>
          <w:color w:val="auto"/>
        </w:rPr>
      </w:pPr>
      <w:r>
        <w:rPr>
          <w:rFonts w:hint="eastAsia"/>
          <w:b w:val="0"/>
          <w:bCs w:val="0"/>
          <w:color w:val="auto"/>
        </w:rPr>
        <w:t>12.3采购代理机构质疑函接收部门、联系电话和通讯地址，见</w:t>
      </w:r>
      <w:r>
        <w:rPr>
          <w:rFonts w:hint="eastAsia"/>
          <w:b w:val="0"/>
          <w:bCs w:val="0"/>
          <w:color w:val="auto"/>
          <w:u w:val="single"/>
        </w:rPr>
        <w:t>供应商须知表</w:t>
      </w:r>
      <w:r>
        <w:rPr>
          <w:rFonts w:hint="eastAsia"/>
          <w:b w:val="0"/>
          <w:bCs w:val="0"/>
          <w:color w:val="auto"/>
        </w:rPr>
        <w:t>12条。</w:t>
      </w:r>
    </w:p>
    <w:p w14:paraId="5C32DF19">
      <w:pPr>
        <w:pStyle w:val="4"/>
        <w:ind w:firstLine="643"/>
        <w:rPr>
          <w:color w:val="auto"/>
        </w:rPr>
      </w:pPr>
      <w:bookmarkStart w:id="90" w:name="BM13、知识产权"/>
      <w:bookmarkEnd w:id="90"/>
      <w:bookmarkStart w:id="91" w:name="_Toc70524431"/>
      <w:r>
        <w:rPr>
          <w:rFonts w:hint="eastAsia"/>
          <w:color w:val="auto"/>
        </w:rPr>
        <w:t>13、知识产权</w:t>
      </w:r>
      <w:bookmarkEnd w:id="91"/>
    </w:p>
    <w:p w14:paraId="26A5AB82">
      <w:pPr>
        <w:pStyle w:val="16"/>
        <w:rPr>
          <w:color w:val="auto"/>
        </w:rPr>
      </w:pPr>
      <w:r>
        <w:rPr>
          <w:rFonts w:hint="eastAsia"/>
          <w:color w:val="auto"/>
        </w:rPr>
        <w:t>供应商须保证采购人在中华人民共和国境内使用供应商所提供的货物或其任何一部分时，不会产生因第三方提出侵犯其专利权、商标权或其它知识产权而引起的法律或经济纠纷。如供应商不拥有相应的知识产权，则在响应报价中必须包括合法获取该知识产权的一切相关费用。如因此导致采购人损失的，供应商须承担全部赔偿责任。</w:t>
      </w:r>
    </w:p>
    <w:p w14:paraId="3CB16382">
      <w:pPr>
        <w:pStyle w:val="4"/>
        <w:ind w:firstLine="643"/>
        <w:rPr>
          <w:color w:val="auto"/>
        </w:rPr>
      </w:pPr>
      <w:bookmarkStart w:id="92" w:name="BM14、供应商的赔偿责任"/>
      <w:bookmarkEnd w:id="92"/>
      <w:bookmarkStart w:id="93" w:name="_Toc70524432"/>
      <w:r>
        <w:rPr>
          <w:rFonts w:hint="eastAsia"/>
          <w:color w:val="auto"/>
        </w:rPr>
        <w:t>14、供应商的赔偿责任</w:t>
      </w:r>
      <w:bookmarkEnd w:id="93"/>
    </w:p>
    <w:p w14:paraId="7C433E6D">
      <w:pPr>
        <w:pStyle w:val="16"/>
        <w:rPr>
          <w:color w:val="auto"/>
        </w:rPr>
      </w:pPr>
      <w:r>
        <w:rPr>
          <w:rFonts w:hint="eastAsia"/>
          <w:color w:val="auto"/>
        </w:rPr>
        <w:t>有下列情形之一的，给采购人造成的损失的，成交供应商还应当予以赔偿。</w:t>
      </w:r>
    </w:p>
    <w:p w14:paraId="3ABED163">
      <w:pPr>
        <w:pStyle w:val="16"/>
        <w:rPr>
          <w:color w:val="auto"/>
        </w:rPr>
      </w:pPr>
      <w:r>
        <w:rPr>
          <w:rFonts w:hint="eastAsia"/>
          <w:color w:val="auto"/>
        </w:rPr>
        <w:t>（1）供应商在提交响应文件截止时间后撤回（撤销）响应文件的（不包括在提交最后报价之前退出磋商的）；</w:t>
      </w:r>
    </w:p>
    <w:p w14:paraId="45738B1F">
      <w:pPr>
        <w:pStyle w:val="16"/>
        <w:rPr>
          <w:color w:val="auto"/>
        </w:rPr>
      </w:pPr>
      <w:r>
        <w:rPr>
          <w:rFonts w:hint="eastAsia"/>
          <w:color w:val="auto"/>
        </w:rPr>
        <w:t>（2）供应商在响应文件中提供虚假材料的；</w:t>
      </w:r>
    </w:p>
    <w:p w14:paraId="7CACFB06">
      <w:pPr>
        <w:pStyle w:val="16"/>
        <w:rPr>
          <w:color w:val="auto"/>
        </w:rPr>
      </w:pPr>
      <w:r>
        <w:rPr>
          <w:rFonts w:hint="eastAsia"/>
          <w:color w:val="auto"/>
        </w:rPr>
        <w:t>（3）除因不可抗力或采购文件认可的情形以外，成交供应商不与采购人签订合同的；</w:t>
      </w:r>
    </w:p>
    <w:p w14:paraId="1327226C">
      <w:pPr>
        <w:pStyle w:val="16"/>
        <w:rPr>
          <w:color w:val="auto"/>
        </w:rPr>
      </w:pPr>
      <w:r>
        <w:rPr>
          <w:rFonts w:hint="eastAsia"/>
          <w:color w:val="auto"/>
        </w:rPr>
        <w:t>（4）供应商与采购人、其他供应商或者采购代理机构恶意串通的；</w:t>
      </w:r>
    </w:p>
    <w:p w14:paraId="5F604BD8">
      <w:pPr>
        <w:pStyle w:val="16"/>
        <w:rPr>
          <w:color w:val="auto"/>
        </w:rPr>
      </w:pPr>
      <w:r>
        <w:rPr>
          <w:rFonts w:hint="eastAsia"/>
          <w:color w:val="auto"/>
        </w:rPr>
        <w:t>（5）磋商文件规定的其他情形。</w:t>
      </w:r>
    </w:p>
    <w:p w14:paraId="0C4A89AB">
      <w:pPr>
        <w:pStyle w:val="4"/>
        <w:ind w:firstLine="643"/>
        <w:rPr>
          <w:color w:val="auto"/>
        </w:rPr>
      </w:pPr>
      <w:bookmarkStart w:id="94" w:name="BM15、廉洁自律规定"/>
      <w:bookmarkEnd w:id="94"/>
      <w:bookmarkStart w:id="95" w:name="_Toc70524433"/>
      <w:r>
        <w:rPr>
          <w:rFonts w:hint="eastAsia"/>
          <w:color w:val="auto"/>
        </w:rPr>
        <w:t>15、廉洁自律规定</w:t>
      </w:r>
      <w:bookmarkEnd w:id="95"/>
    </w:p>
    <w:p w14:paraId="229023B0">
      <w:pPr>
        <w:pStyle w:val="94"/>
        <w:ind w:firstLine="420"/>
        <w:rPr>
          <w:rFonts w:hint="eastAsia"/>
          <w:b w:val="0"/>
          <w:bCs w:val="0"/>
          <w:color w:val="auto"/>
        </w:rPr>
      </w:pPr>
      <w:r>
        <w:rPr>
          <w:rFonts w:hint="eastAsia"/>
          <w:b w:val="0"/>
          <w:bCs w:val="0"/>
          <w:color w:val="auto"/>
        </w:rPr>
        <w:t>15.1采购代理机构工作人员不得以不正当手段获取政府采购代理业务，不得与采购人、供应商恶意串通操纵政府采购活动。</w:t>
      </w:r>
    </w:p>
    <w:p w14:paraId="0EB5E41E">
      <w:pPr>
        <w:pStyle w:val="94"/>
        <w:ind w:firstLine="420"/>
        <w:rPr>
          <w:rFonts w:hint="eastAsia"/>
          <w:b w:val="0"/>
          <w:bCs w:val="0"/>
          <w:color w:val="auto"/>
        </w:rPr>
      </w:pPr>
      <w:r>
        <w:rPr>
          <w:rFonts w:hint="eastAsia"/>
          <w:b w:val="0"/>
          <w:bCs w:val="0"/>
          <w:color w:val="auto"/>
        </w:rPr>
        <w:t>15.2采购代理机构工作人员不得接受采购人或者供应商组织的宴请、旅游、娱乐，不得收受礼品、现金、有价证券等，不得向采购人或者供应商报销应当由个人承担的费用。</w:t>
      </w:r>
    </w:p>
    <w:p w14:paraId="72FD09D1">
      <w:pPr>
        <w:pStyle w:val="94"/>
        <w:ind w:firstLine="420"/>
        <w:rPr>
          <w:rFonts w:hint="eastAsia"/>
          <w:b w:val="0"/>
          <w:bCs w:val="0"/>
          <w:color w:val="auto"/>
        </w:rPr>
      </w:pPr>
      <w:r>
        <w:rPr>
          <w:rFonts w:hint="eastAsia"/>
          <w:b w:val="0"/>
          <w:bCs w:val="0"/>
          <w:color w:val="auto"/>
        </w:rPr>
        <w:t>15.3为强化内部监督机制，供应商可按</w:t>
      </w:r>
      <w:r>
        <w:rPr>
          <w:rFonts w:hint="eastAsia"/>
          <w:b w:val="0"/>
          <w:bCs w:val="0"/>
          <w:color w:val="auto"/>
          <w:u w:val="single"/>
        </w:rPr>
        <w:t>供应商须知前附表</w:t>
      </w:r>
      <w:r>
        <w:rPr>
          <w:rFonts w:hint="eastAsia"/>
          <w:b w:val="0"/>
          <w:bCs w:val="0"/>
          <w:color w:val="auto"/>
        </w:rPr>
        <w:t>中代理机构的反腐倡廉监督电话/邮箱，反映采购代理机构的廉洁自律等问题。</w:t>
      </w:r>
    </w:p>
    <w:p w14:paraId="706E9C98">
      <w:pPr>
        <w:pStyle w:val="4"/>
        <w:ind w:firstLine="643"/>
        <w:rPr>
          <w:color w:val="auto"/>
        </w:rPr>
      </w:pPr>
      <w:bookmarkStart w:id="96" w:name="BM16、人员回避"/>
      <w:bookmarkEnd w:id="96"/>
      <w:bookmarkStart w:id="97" w:name="_Toc70524434"/>
      <w:r>
        <w:rPr>
          <w:rFonts w:hint="eastAsia"/>
          <w:color w:val="auto"/>
        </w:rPr>
        <w:t>16、人员回避</w:t>
      </w:r>
      <w:bookmarkEnd w:id="97"/>
    </w:p>
    <w:p w14:paraId="5E7A7538">
      <w:pPr>
        <w:pStyle w:val="16"/>
        <w:rPr>
          <w:color w:val="auto"/>
        </w:rPr>
      </w:pPr>
      <w:r>
        <w:rPr>
          <w:rFonts w:hint="eastAsia"/>
          <w:color w:val="auto"/>
        </w:rPr>
        <w:t>供应商认为采购人员及其相关人员有法律法规所列与其他供应商有利害关系的，可以向采购人或采购代理机构书面提出回避申请，并说明理由。</w:t>
      </w:r>
    </w:p>
    <w:p w14:paraId="1AEFC4E1">
      <w:pPr>
        <w:pStyle w:val="4"/>
        <w:ind w:firstLine="643"/>
        <w:rPr>
          <w:color w:val="auto"/>
        </w:rPr>
      </w:pPr>
      <w:bookmarkStart w:id="98" w:name="BM17、纪律和监督"/>
      <w:bookmarkEnd w:id="98"/>
      <w:bookmarkStart w:id="99" w:name="_Toc70524435"/>
      <w:r>
        <w:rPr>
          <w:rFonts w:hint="eastAsia"/>
          <w:color w:val="auto"/>
        </w:rPr>
        <w:t>17、纪律和监督</w:t>
      </w:r>
      <w:bookmarkEnd w:id="99"/>
    </w:p>
    <w:p w14:paraId="7B60B5EA">
      <w:pPr>
        <w:pStyle w:val="94"/>
        <w:rPr>
          <w:rFonts w:hint="eastAsia"/>
          <w:color w:val="auto"/>
        </w:rPr>
      </w:pPr>
      <w:bookmarkStart w:id="100" w:name="BM17_1对采购人的纪律要求"/>
      <w:bookmarkEnd w:id="100"/>
      <w:r>
        <w:rPr>
          <w:rFonts w:hint="eastAsia"/>
          <w:color w:val="auto"/>
        </w:rPr>
        <w:t>17.1对采购人的纪律要求</w:t>
      </w:r>
    </w:p>
    <w:p w14:paraId="482FCB77">
      <w:pPr>
        <w:pStyle w:val="16"/>
        <w:rPr>
          <w:color w:val="auto"/>
        </w:rPr>
      </w:pPr>
      <w:r>
        <w:rPr>
          <w:rFonts w:hint="eastAsia"/>
          <w:color w:val="auto"/>
        </w:rPr>
        <w:t>采购人不得泄漏采购活动中应当保密的情况和资料，不得与供应商串通损害国家利益、社会公共利益或者他人合法权益。</w:t>
      </w:r>
    </w:p>
    <w:p w14:paraId="6C9D7F00">
      <w:pPr>
        <w:pStyle w:val="94"/>
        <w:rPr>
          <w:rFonts w:hint="eastAsia"/>
          <w:color w:val="auto"/>
        </w:rPr>
      </w:pPr>
      <w:bookmarkStart w:id="101" w:name="BM17_2对供应商的纪律要求"/>
      <w:bookmarkEnd w:id="101"/>
      <w:r>
        <w:rPr>
          <w:rFonts w:hint="eastAsia"/>
          <w:color w:val="auto"/>
        </w:rPr>
        <w:t>17.2对供应商的纪律要求</w:t>
      </w:r>
    </w:p>
    <w:p w14:paraId="711E1CFB">
      <w:pPr>
        <w:pStyle w:val="16"/>
        <w:rPr>
          <w:color w:val="auto"/>
        </w:rPr>
      </w:pPr>
      <w:r>
        <w:rPr>
          <w:rFonts w:hint="eastAsia"/>
          <w:color w:val="auto"/>
        </w:rPr>
        <w:t>供应商不得相互串通或者与采购人串通，不得向采购人或者磋商小组成员行贿谋取成交，不得以他人名义参加采购活动或者以其他方式弄虚作假骗取成交；供应商不得以任何方式干扰、影响采购工作。</w:t>
      </w:r>
    </w:p>
    <w:p w14:paraId="2B4ABE4C">
      <w:pPr>
        <w:pStyle w:val="94"/>
        <w:rPr>
          <w:rFonts w:hint="eastAsia"/>
          <w:color w:val="auto"/>
        </w:rPr>
      </w:pPr>
      <w:bookmarkStart w:id="102" w:name="BM17_3对磋商小组成员的纪律要求"/>
      <w:bookmarkEnd w:id="102"/>
      <w:r>
        <w:rPr>
          <w:rFonts w:hint="eastAsia"/>
          <w:color w:val="auto"/>
        </w:rPr>
        <w:t>17.3对磋商小组成员的纪律要求</w:t>
      </w:r>
    </w:p>
    <w:p w14:paraId="6D733FD9">
      <w:pPr>
        <w:pStyle w:val="16"/>
        <w:rPr>
          <w:color w:val="auto"/>
        </w:rPr>
      </w:pPr>
      <w:r>
        <w:rPr>
          <w:rFonts w:hint="eastAsia"/>
          <w:color w:val="auto"/>
        </w:rPr>
        <w:t>磋商小组成员不得收受他人的财物或者其他好处，不得向他人透漏对响应文件的评审和比较、成交候选人的推荐情况以及评审有关的其他情况。在评审过程中，磋商小组成员不得擅离职守，影响评审程序正常进行，不得使用第五章“磋商程序、评审方法和标准”没有规定的评审因素和标准进行评审。</w:t>
      </w:r>
    </w:p>
    <w:p w14:paraId="79656AA7">
      <w:pPr>
        <w:pStyle w:val="94"/>
        <w:rPr>
          <w:rFonts w:hint="eastAsia"/>
          <w:color w:val="auto"/>
        </w:rPr>
      </w:pPr>
      <w:bookmarkStart w:id="103" w:name="BM17_4对与评审活动有关的工作人员的纪律要求"/>
      <w:bookmarkEnd w:id="103"/>
      <w:r>
        <w:rPr>
          <w:rFonts w:hint="eastAsia"/>
          <w:color w:val="auto"/>
        </w:rPr>
        <w:t>17.4对与评审活动有关的工作人员的纪律要求</w:t>
      </w:r>
    </w:p>
    <w:p w14:paraId="42B98E91">
      <w:pPr>
        <w:pStyle w:val="16"/>
        <w:rPr>
          <w:color w:val="auto"/>
        </w:rPr>
      </w:pPr>
      <w:r>
        <w:rPr>
          <w:rFonts w:hint="eastAsia"/>
          <w:color w:val="auto"/>
        </w:rPr>
        <w:t>与评审活动有关的工作人员不得收受他人的财物或者其他好处，不得向他人透漏对响应文件的评审和比较、成交候选人的推荐情况以及评审有关的其他情况。在评审过程中，与评审活动有关的工作人员不得擅离职守，影响评审程序正常进行。</w:t>
      </w:r>
    </w:p>
    <w:p w14:paraId="639F1AEE">
      <w:pPr>
        <w:pStyle w:val="4"/>
        <w:ind w:firstLine="643"/>
        <w:rPr>
          <w:color w:val="auto"/>
        </w:rPr>
      </w:pPr>
      <w:bookmarkStart w:id="104" w:name="BM18、履约验收"/>
      <w:bookmarkEnd w:id="104"/>
      <w:bookmarkStart w:id="105" w:name="_Toc70524436"/>
      <w:r>
        <w:rPr>
          <w:rFonts w:hint="eastAsia"/>
          <w:color w:val="auto"/>
        </w:rPr>
        <w:t>18、履约验收</w:t>
      </w:r>
      <w:bookmarkEnd w:id="105"/>
    </w:p>
    <w:p w14:paraId="69D8F686">
      <w:pPr>
        <w:pStyle w:val="16"/>
        <w:rPr>
          <w:color w:val="auto"/>
        </w:rPr>
      </w:pPr>
      <w:r>
        <w:rPr>
          <w:rFonts w:hint="eastAsia"/>
          <w:color w:val="auto"/>
        </w:rPr>
        <w:t>本项目采购人将严格按照国家及相关行业法律法规的要求进行验收。</w:t>
      </w:r>
    </w:p>
    <w:p w14:paraId="43765942">
      <w:pPr>
        <w:pStyle w:val="4"/>
        <w:ind w:firstLine="643"/>
        <w:rPr>
          <w:color w:val="auto"/>
        </w:rPr>
      </w:pPr>
      <w:bookmarkStart w:id="106" w:name="_Toc70524437"/>
      <w:r>
        <w:rPr>
          <w:rFonts w:hint="eastAsia"/>
          <w:color w:val="auto"/>
        </w:rPr>
        <w:t>19、合同分包</w:t>
      </w:r>
      <w:bookmarkEnd w:id="106"/>
    </w:p>
    <w:p w14:paraId="2E4B0601">
      <w:pPr>
        <w:pStyle w:val="94"/>
        <w:ind w:firstLine="420"/>
        <w:rPr>
          <w:rFonts w:hint="eastAsia"/>
          <w:b w:val="0"/>
          <w:bCs w:val="0"/>
          <w:color w:val="auto"/>
        </w:rPr>
      </w:pPr>
      <w:r>
        <w:rPr>
          <w:rFonts w:hint="eastAsia"/>
          <w:b w:val="0"/>
          <w:bCs w:val="0"/>
          <w:color w:val="auto"/>
        </w:rPr>
        <w:t>19.1经采购人同意，成交供应商可以依法采取分包方式履行合同，但必须在响应文件中事前载明。这种要求应当在合同签订之前征得采购人同意，并且分包供应商履行的分包项目的品牌、规格型号及技术要求等，必须与成交的一致。分包履行合同的部分应当为采购项目的非主体、非关键性工作，不属于成交供应商的主要合同义务。</w:t>
      </w:r>
    </w:p>
    <w:p w14:paraId="0F3223B7">
      <w:pPr>
        <w:pStyle w:val="94"/>
        <w:ind w:firstLine="420"/>
        <w:rPr>
          <w:rFonts w:hint="eastAsia"/>
          <w:b w:val="0"/>
          <w:bCs w:val="0"/>
          <w:color w:val="auto"/>
        </w:rPr>
      </w:pPr>
      <w:r>
        <w:rPr>
          <w:rFonts w:hint="eastAsia"/>
          <w:b w:val="0"/>
          <w:bCs w:val="0"/>
          <w:color w:val="auto"/>
        </w:rPr>
        <w:t>19.2采购合同实行分包履行的，成交供应商就采购项目和分包项目向采购人负责，分包供应商就分包项目承担责任。</w:t>
      </w:r>
    </w:p>
    <w:p w14:paraId="1190E4AC">
      <w:pPr>
        <w:pStyle w:val="94"/>
        <w:ind w:firstLine="420"/>
        <w:rPr>
          <w:rFonts w:hint="eastAsia"/>
          <w:b w:val="0"/>
          <w:bCs w:val="0"/>
          <w:color w:val="auto"/>
        </w:rPr>
      </w:pPr>
      <w:r>
        <w:rPr>
          <w:rFonts w:hint="eastAsia"/>
          <w:b w:val="0"/>
          <w:bCs w:val="0"/>
          <w:color w:val="auto"/>
        </w:rPr>
        <w:t>19.3中小企业依据《政府采购促进中小企业发展管理办法》（财库[2020]46号）规定的政策获取政府采购合同后，小型、微型企业不得分包给大型、中型企业，中型企业不得分包给大型企业。</w:t>
      </w:r>
    </w:p>
    <w:p w14:paraId="7EA14F01">
      <w:pPr>
        <w:pStyle w:val="4"/>
        <w:ind w:firstLine="643"/>
        <w:rPr>
          <w:color w:val="auto"/>
        </w:rPr>
      </w:pPr>
      <w:bookmarkStart w:id="107" w:name="_Toc70524438"/>
      <w:r>
        <w:rPr>
          <w:rFonts w:hint="eastAsia"/>
          <w:color w:val="auto"/>
        </w:rPr>
        <w:t>20、合同转包</w:t>
      </w:r>
      <w:bookmarkEnd w:id="107"/>
    </w:p>
    <w:p w14:paraId="0D60E63B">
      <w:pPr>
        <w:pStyle w:val="16"/>
        <w:rPr>
          <w:color w:val="auto"/>
        </w:rPr>
      </w:pPr>
      <w:r>
        <w:rPr>
          <w:rFonts w:hint="eastAsia"/>
          <w:color w:val="auto"/>
        </w:rPr>
        <w:t>本采购项目严禁成交供应商将任何政府采购合同义务转包。本项目所称转包，是指成交供应商将政府采购合同义务转让给第三人，并退出现有政府采购合同当事人双方的权利义务关系，受让人（即第三人）成为政府采购合同的另一方当事人的行为。成交供应商转包的，视同拒绝履行政府采购合同义务，将依法追究法律责任。</w:t>
      </w:r>
      <w:bookmarkStart w:id="108" w:name="BM21、需要补充的其他内容"/>
      <w:bookmarkEnd w:id="108"/>
    </w:p>
    <w:p w14:paraId="596D2B7E">
      <w:pPr>
        <w:pStyle w:val="4"/>
        <w:ind w:firstLine="643"/>
        <w:rPr>
          <w:color w:val="auto"/>
        </w:rPr>
      </w:pPr>
      <w:bookmarkStart w:id="109" w:name="_Toc70524439"/>
      <w:r>
        <w:rPr>
          <w:rFonts w:hint="eastAsia"/>
          <w:color w:val="auto"/>
        </w:rPr>
        <w:t>21、需要补充的其他内容</w:t>
      </w:r>
      <w:bookmarkEnd w:id="109"/>
    </w:p>
    <w:p w14:paraId="4C2A543E">
      <w:pPr>
        <w:rPr>
          <w:color w:val="auto"/>
        </w:rPr>
      </w:pPr>
      <w:r>
        <w:rPr>
          <w:rFonts w:hint="eastAsia"/>
          <w:color w:val="auto"/>
        </w:rPr>
        <w:t>需要补充的其他内容：</w:t>
      </w:r>
      <w:r>
        <w:rPr>
          <w:rFonts w:hint="eastAsia"/>
          <w:b/>
          <w:bCs/>
          <w:color w:val="auto"/>
          <w:u w:val="single"/>
        </w:rPr>
        <w:t>见供应商须知前附表</w:t>
      </w:r>
      <w:r>
        <w:rPr>
          <w:rFonts w:hint="eastAsia"/>
          <w:color w:val="auto"/>
        </w:rPr>
        <w:t>。</w:t>
      </w:r>
    </w:p>
    <w:p w14:paraId="0EEEB5B4">
      <w:pPr>
        <w:rPr>
          <w:color w:val="auto"/>
        </w:rPr>
      </w:pPr>
      <w:bookmarkStart w:id="110" w:name="_Toc19555"/>
      <w:bookmarkStart w:id="111" w:name="_Toc28961"/>
      <w:r>
        <w:rPr>
          <w:rFonts w:hint="eastAsia"/>
          <w:color w:val="auto"/>
        </w:rPr>
        <w:br w:type="page"/>
      </w:r>
    </w:p>
    <w:p w14:paraId="76BD726F">
      <w:pPr>
        <w:pStyle w:val="2"/>
        <w:ind w:firstLine="883"/>
        <w:rPr>
          <w:i/>
          <w:iCs/>
          <w:color w:val="auto"/>
        </w:rPr>
      </w:pPr>
      <w:bookmarkStart w:id="112" w:name="_Toc30534"/>
      <w:r>
        <w:rPr>
          <w:rFonts w:hint="eastAsia"/>
          <w:color w:val="auto"/>
        </w:rPr>
        <w:t xml:space="preserve">第三章 </w:t>
      </w:r>
      <w:bookmarkStart w:id="113" w:name="_Toc9249"/>
      <w:r>
        <w:rPr>
          <w:rFonts w:hint="eastAsia"/>
          <w:color w:val="auto"/>
        </w:rPr>
        <w:t>采购需求</w:t>
      </w:r>
      <w:bookmarkEnd w:id="110"/>
      <w:bookmarkEnd w:id="112"/>
    </w:p>
    <w:p w14:paraId="5CDC076E">
      <w:pPr>
        <w:rPr>
          <w:color w:val="auto"/>
        </w:rPr>
      </w:pPr>
      <w:r>
        <w:rPr>
          <w:rFonts w:hint="eastAsia"/>
          <w:color w:val="auto"/>
        </w:rPr>
        <w:t>一、项目相关要求：</w:t>
      </w:r>
    </w:p>
    <w:p w14:paraId="0015F197">
      <w:pPr>
        <w:rPr>
          <w:color w:val="auto"/>
        </w:rPr>
      </w:pPr>
      <w:r>
        <w:rPr>
          <w:rFonts w:hint="eastAsia"/>
          <w:color w:val="auto"/>
        </w:rPr>
        <w:t>1．磋商文件中为简述货物的品质、基本性能而标示的品牌型号或指标与某产品相同的仅供供应商选择货物时在质量水平上的参考，不具有限制性，评标以功能和性能为主，供应商可提供品质和功能相同的或优于同类产品的货物或方案。</w:t>
      </w:r>
    </w:p>
    <w:p w14:paraId="64E1CD2C">
      <w:pPr>
        <w:rPr>
          <w:color w:val="auto"/>
        </w:rPr>
      </w:pPr>
      <w:r>
        <w:rPr>
          <w:rFonts w:hint="eastAsia"/>
          <w:color w:val="auto"/>
        </w:rPr>
        <w:t>2.在完成安装、调试、检测后，供应商须提供中文版的技术资料（包括操作手册、使用说明等）。验收的技术标准应达到制造(生产)厂商标明的技术指标，个别不能测试的指标另作详细的文字说明。检测的标准依据国家有关规定执行。</w:t>
      </w:r>
    </w:p>
    <w:p w14:paraId="45890E57">
      <w:pPr>
        <w:rPr>
          <w:color w:val="auto"/>
        </w:rPr>
      </w:pPr>
      <w:r>
        <w:rPr>
          <w:rFonts w:hint="eastAsia"/>
          <w:color w:val="auto"/>
        </w:rPr>
        <w:t>3.除磋商文件要求提供的备件、专用工具和消耗品外，对于磋商文件中没有列出，而对系统、设备的正常运行和维护必不可少的备件、专用工具和消耗品，供应商应列出详细清单，并报出单项价格，所有备件必须符合国家标准及行业要求。</w:t>
      </w:r>
    </w:p>
    <w:p w14:paraId="35F802A9">
      <w:pPr>
        <w:rPr>
          <w:color w:val="auto"/>
        </w:rPr>
      </w:pPr>
      <w:r>
        <w:rPr>
          <w:rFonts w:hint="eastAsia"/>
          <w:color w:val="auto"/>
        </w:rPr>
        <w:t>4.售后服务及保修</w:t>
      </w:r>
    </w:p>
    <w:p w14:paraId="068AEC2F">
      <w:pPr>
        <w:rPr>
          <w:color w:val="auto"/>
        </w:rPr>
      </w:pPr>
      <w:r>
        <w:rPr>
          <w:rFonts w:hint="eastAsia"/>
          <w:color w:val="auto"/>
        </w:rPr>
        <w:t>4.1除技术要求中特殊要求外，进口设备质保期一年，国产设备质量保证期3年，期间中标人要保修除消耗品以外的所有设备等。在质量保证期内，如果系统发生故障，中标人要调查故障原因并修复直至满足最终验收指标和性能的要求，或者更换整个或部分有缺陷的材料。除设备损耗品外其余服务都应是免费的。保修期外，仪器终身维修。</w:t>
      </w:r>
    </w:p>
    <w:p w14:paraId="1A9371F0">
      <w:pPr>
        <w:rPr>
          <w:color w:val="auto"/>
        </w:rPr>
      </w:pPr>
      <w:r>
        <w:rPr>
          <w:rFonts w:hint="eastAsia"/>
          <w:color w:val="auto"/>
        </w:rPr>
        <w:t>4.2设备安装同时进行现场培训，掌握基本操作并说明使用注意事项。</w:t>
      </w:r>
    </w:p>
    <w:p w14:paraId="2586B3C5">
      <w:pPr>
        <w:pStyle w:val="94"/>
        <w:ind w:firstLineChars="0"/>
        <w:rPr>
          <w:rFonts w:hint="eastAsia"/>
          <w:b w:val="0"/>
          <w:bCs w:val="0"/>
          <w:color w:val="auto"/>
        </w:rPr>
      </w:pPr>
      <w:r>
        <w:rPr>
          <w:rFonts w:hint="eastAsia"/>
          <w:b w:val="0"/>
          <w:bCs w:val="0"/>
          <w:color w:val="auto"/>
        </w:rPr>
        <w:t>5.本次采购项目均为交钥匙工程，所需的一切设备、材料、设备基础以及施工费用等，全部包含在投标报价之中，采购人不再追加任何费用。</w:t>
      </w:r>
    </w:p>
    <w:p w14:paraId="3BAB4D28">
      <w:pPr>
        <w:rPr>
          <w:color w:val="auto"/>
        </w:rPr>
      </w:pPr>
      <w:r>
        <w:rPr>
          <w:rFonts w:hint="eastAsia"/>
          <w:color w:val="auto"/>
        </w:rPr>
        <w:t>二、</w:t>
      </w:r>
      <w:bookmarkStart w:id="114" w:name="_Hlk79421130"/>
      <w:r>
        <w:rPr>
          <w:rFonts w:hint="eastAsia"/>
          <w:color w:val="auto"/>
        </w:rPr>
        <w:t>设备名称、技术参数功能及要求</w:t>
      </w:r>
    </w:p>
    <w:bookmarkEnd w:id="114"/>
    <w:p w14:paraId="35BBC109">
      <w:pPr>
        <w:rPr>
          <w:color w:val="auto"/>
        </w:rPr>
      </w:pPr>
      <w:r>
        <w:rPr>
          <w:rFonts w:hint="eastAsia"/>
          <w:color w:val="auto"/>
        </w:rPr>
        <w:t>采购设备名称：地下管道灾变全过程多功能模拟试验系统，1套</w:t>
      </w:r>
    </w:p>
    <w:p w14:paraId="7EE95760">
      <w:pPr>
        <w:ind w:firstLine="422"/>
        <w:rPr>
          <w:b/>
          <w:bCs/>
          <w:color w:val="auto"/>
        </w:rPr>
      </w:pPr>
      <w:r>
        <w:rPr>
          <w:rFonts w:hint="eastAsia"/>
          <w:b/>
          <w:bCs/>
          <w:color w:val="auto"/>
        </w:rPr>
        <w:t>技术参数功能及要求：</w:t>
      </w:r>
    </w:p>
    <w:p w14:paraId="33250437">
      <w:pPr>
        <w:ind w:firstLine="482"/>
        <w:rPr>
          <w:rFonts w:hint="eastAsia" w:ascii="宋体" w:hAnsi="宋体"/>
          <w:b/>
          <w:bCs/>
          <w:color w:val="auto"/>
          <w:sz w:val="24"/>
        </w:rPr>
      </w:pPr>
      <w:r>
        <w:rPr>
          <w:rFonts w:hint="eastAsia" w:ascii="宋体" w:hAnsi="宋体"/>
          <w:b/>
          <w:bCs/>
          <w:color w:val="auto"/>
          <w:sz w:val="24"/>
        </w:rPr>
        <w:t>(一)、设备主要组成结构﹑技术参数及功能</w:t>
      </w:r>
    </w:p>
    <w:p w14:paraId="2E1F739E">
      <w:pPr>
        <w:ind w:firstLine="480"/>
        <w:rPr>
          <w:rFonts w:hint="eastAsia" w:ascii="宋体" w:hAnsi="宋体"/>
          <w:color w:val="auto"/>
          <w:sz w:val="21"/>
          <w:szCs w:val="21"/>
        </w:rPr>
      </w:pPr>
      <w:r>
        <w:rPr>
          <w:rFonts w:hint="eastAsia" w:ascii="宋体" w:hAnsi="宋体"/>
          <w:color w:val="auto"/>
          <w:sz w:val="21"/>
          <w:szCs w:val="21"/>
        </w:rPr>
        <w:t>本系统主要分为以下几个组成单元：载荷加载系统、模型箱、管道内压加载系统、温度加载及控制系统、地下水位模拟装置、管道内高低温水加载系统、动态控制系统及软件。</w:t>
      </w:r>
    </w:p>
    <w:p w14:paraId="6CD1502F">
      <w:pPr>
        <w:ind w:left="424" w:leftChars="202" w:firstLine="480"/>
        <w:rPr>
          <w:rFonts w:hint="eastAsia" w:ascii="宋体" w:hAnsi="宋体"/>
          <w:b/>
          <w:bCs/>
          <w:color w:val="auto"/>
          <w:sz w:val="21"/>
          <w:szCs w:val="21"/>
        </w:rPr>
      </w:pPr>
      <w:r>
        <w:rPr>
          <w:rFonts w:hint="eastAsia" w:ascii="宋体" w:hAnsi="宋体"/>
          <w:b/>
          <w:bCs/>
          <w:color w:val="auto"/>
          <w:sz w:val="21"/>
          <w:szCs w:val="21"/>
        </w:rPr>
        <w:t>A载荷加载系统</w:t>
      </w:r>
    </w:p>
    <w:p w14:paraId="1B9AC430">
      <w:pPr>
        <w:ind w:left="424" w:leftChars="202" w:firstLine="480"/>
        <w:rPr>
          <w:rFonts w:hint="eastAsia" w:ascii="宋体" w:hAnsi="宋体"/>
          <w:color w:val="auto"/>
          <w:sz w:val="21"/>
          <w:szCs w:val="21"/>
        </w:rPr>
      </w:pPr>
      <w:r>
        <w:rPr>
          <w:rFonts w:hint="eastAsia" w:ascii="宋体" w:hAnsi="宋体"/>
          <w:color w:val="auto"/>
          <w:sz w:val="21"/>
          <w:szCs w:val="21"/>
        </w:rPr>
        <w:t>1、承载框架：1套</w:t>
      </w:r>
    </w:p>
    <w:p w14:paraId="3710D60D">
      <w:pPr>
        <w:ind w:left="424" w:leftChars="202" w:firstLine="480"/>
        <w:rPr>
          <w:rFonts w:hint="eastAsia" w:ascii="宋体" w:hAnsi="宋体"/>
          <w:color w:val="auto"/>
          <w:sz w:val="21"/>
          <w:szCs w:val="21"/>
        </w:rPr>
      </w:pPr>
      <w:r>
        <w:rPr>
          <w:rFonts w:hint="eastAsia" w:ascii="宋体" w:hAnsi="宋体"/>
          <w:color w:val="auto"/>
          <w:sz w:val="21"/>
          <w:szCs w:val="21"/>
        </w:rPr>
        <w:t>1.1 模型箱采用整体焊接结构，箱体内部为不锈钢材质；</w:t>
      </w:r>
    </w:p>
    <w:p w14:paraId="4FAE433B">
      <w:pPr>
        <w:ind w:left="424" w:leftChars="202" w:firstLine="480"/>
        <w:rPr>
          <w:rFonts w:ascii="宋体" w:hAnsi="宋体"/>
          <w:color w:val="auto"/>
          <w:sz w:val="21"/>
          <w:szCs w:val="21"/>
        </w:rPr>
      </w:pPr>
      <w:r>
        <w:rPr>
          <w:rFonts w:hint="eastAsia" w:ascii="宋体" w:hAnsi="宋体"/>
          <w:color w:val="auto"/>
          <w:sz w:val="21"/>
          <w:szCs w:val="21"/>
        </w:rPr>
        <w:t>1.2 双门式加载架和加载横梁组成的承载框架，强度不低于Q345的高强度结构钢，尺寸满足模型箱加载需求；</w:t>
      </w:r>
    </w:p>
    <w:p w14:paraId="6023136A">
      <w:pPr>
        <w:ind w:left="424" w:leftChars="202" w:firstLine="480"/>
        <w:rPr>
          <w:rFonts w:ascii="宋体" w:hAnsi="宋体"/>
          <w:color w:val="auto"/>
          <w:sz w:val="21"/>
          <w:szCs w:val="21"/>
        </w:rPr>
      </w:pPr>
      <w:r>
        <w:rPr>
          <w:rFonts w:hint="eastAsia" w:ascii="宋体" w:hAnsi="宋体"/>
          <w:color w:val="auto"/>
          <w:sz w:val="21"/>
          <w:szCs w:val="21"/>
        </w:rPr>
        <w:t>*1.3 垂直方向加载装置在加载横梁上可移动，方便装样拆样操作；</w:t>
      </w:r>
    </w:p>
    <w:p w14:paraId="560C0DC9">
      <w:pPr>
        <w:ind w:left="424" w:leftChars="202" w:firstLine="480"/>
        <w:rPr>
          <w:rFonts w:hint="eastAsia" w:ascii="宋体" w:hAnsi="宋体"/>
          <w:color w:val="auto"/>
          <w:sz w:val="21"/>
          <w:szCs w:val="21"/>
        </w:rPr>
      </w:pPr>
      <w:r>
        <w:rPr>
          <w:rFonts w:hint="eastAsia" w:ascii="宋体" w:hAnsi="宋体"/>
          <w:color w:val="auto"/>
          <w:sz w:val="21"/>
          <w:szCs w:val="21"/>
        </w:rPr>
        <w:t>*1.4 加载横梁可自动调整高度，满足不同管道埋深需求。</w:t>
      </w:r>
    </w:p>
    <w:p w14:paraId="3C1C9C5C">
      <w:pPr>
        <w:ind w:left="424" w:leftChars="202" w:firstLine="480"/>
        <w:rPr>
          <w:rFonts w:hint="eastAsia" w:ascii="宋体" w:hAnsi="宋体"/>
          <w:color w:val="auto"/>
          <w:sz w:val="21"/>
          <w:szCs w:val="21"/>
        </w:rPr>
      </w:pPr>
      <w:r>
        <w:rPr>
          <w:rFonts w:hint="eastAsia" w:ascii="宋体" w:hAnsi="宋体"/>
          <w:color w:val="auto"/>
          <w:sz w:val="21"/>
          <w:szCs w:val="21"/>
        </w:rPr>
        <w:t>1.5双门式加载机架，四立柱结构，工作台带竖向T型槽，便于立柱安装。</w:t>
      </w:r>
    </w:p>
    <w:p w14:paraId="5EFDD804">
      <w:pPr>
        <w:ind w:left="424" w:leftChars="202" w:firstLine="480"/>
        <w:rPr>
          <w:rFonts w:hint="eastAsia" w:ascii="宋体" w:hAnsi="宋体"/>
          <w:color w:val="auto"/>
          <w:sz w:val="21"/>
          <w:szCs w:val="21"/>
        </w:rPr>
      </w:pPr>
      <w:r>
        <w:rPr>
          <w:rFonts w:hint="eastAsia" w:ascii="宋体" w:hAnsi="宋体"/>
          <w:color w:val="auto"/>
          <w:sz w:val="21"/>
          <w:szCs w:val="21"/>
        </w:rPr>
        <w:t>2、垂直方向加载装置：3套</w:t>
      </w:r>
    </w:p>
    <w:p w14:paraId="64361D89">
      <w:pPr>
        <w:ind w:left="424" w:leftChars="202" w:firstLine="480"/>
        <w:rPr>
          <w:rFonts w:hint="eastAsia" w:ascii="宋体" w:hAnsi="宋体"/>
          <w:color w:val="auto"/>
          <w:sz w:val="21"/>
          <w:szCs w:val="21"/>
        </w:rPr>
      </w:pPr>
      <w:r>
        <w:rPr>
          <w:rFonts w:hint="eastAsia" w:ascii="宋体" w:hAnsi="宋体"/>
          <w:color w:val="auto"/>
          <w:sz w:val="21"/>
          <w:szCs w:val="21"/>
        </w:rPr>
        <w:t>*2.1 垂直方向电液伺服作动器：≥350kN；</w:t>
      </w:r>
    </w:p>
    <w:p w14:paraId="478FE280">
      <w:pPr>
        <w:ind w:left="424" w:leftChars="202" w:firstLine="480"/>
        <w:rPr>
          <w:rFonts w:hint="eastAsia" w:ascii="宋体" w:hAnsi="宋体"/>
          <w:color w:val="auto"/>
          <w:sz w:val="21"/>
          <w:szCs w:val="21"/>
        </w:rPr>
      </w:pPr>
      <w:r>
        <w:rPr>
          <w:rFonts w:hint="eastAsia" w:ascii="宋体" w:hAnsi="宋体"/>
          <w:color w:val="auto"/>
          <w:sz w:val="21"/>
          <w:szCs w:val="21"/>
        </w:rPr>
        <w:t>*2.2 试验力测量范围：4%～100%FS；</w:t>
      </w:r>
    </w:p>
    <w:p w14:paraId="08DA7C40">
      <w:pPr>
        <w:ind w:left="424" w:leftChars="202" w:firstLine="480"/>
        <w:rPr>
          <w:rFonts w:hint="eastAsia" w:ascii="宋体" w:hAnsi="宋体"/>
          <w:color w:val="auto"/>
          <w:sz w:val="21"/>
          <w:szCs w:val="21"/>
        </w:rPr>
      </w:pPr>
      <w:r>
        <w:rPr>
          <w:rFonts w:hint="eastAsia" w:ascii="宋体" w:hAnsi="宋体"/>
          <w:color w:val="auto"/>
          <w:sz w:val="21"/>
          <w:szCs w:val="21"/>
        </w:rPr>
        <w:t>*2.3 试验力静态测量示值相对误差：±1%；</w:t>
      </w:r>
    </w:p>
    <w:p w14:paraId="3145566D">
      <w:pPr>
        <w:ind w:left="424" w:leftChars="202" w:firstLine="480"/>
        <w:rPr>
          <w:rFonts w:hint="eastAsia" w:ascii="宋体" w:hAnsi="宋体"/>
          <w:color w:val="auto"/>
          <w:sz w:val="21"/>
          <w:szCs w:val="21"/>
        </w:rPr>
      </w:pPr>
      <w:r>
        <w:rPr>
          <w:rFonts w:hint="eastAsia" w:ascii="宋体" w:hAnsi="宋体"/>
          <w:color w:val="auto"/>
          <w:sz w:val="21"/>
          <w:szCs w:val="21"/>
        </w:rPr>
        <w:t>*2.4 试验力动态幅值测量相对误差：±2%；</w:t>
      </w:r>
    </w:p>
    <w:p w14:paraId="3DBD1ADA">
      <w:pPr>
        <w:ind w:left="424" w:leftChars="202" w:firstLine="480"/>
        <w:rPr>
          <w:rFonts w:hint="eastAsia" w:ascii="宋体" w:hAnsi="宋体"/>
          <w:color w:val="auto"/>
          <w:sz w:val="21"/>
          <w:szCs w:val="21"/>
        </w:rPr>
      </w:pPr>
      <w:r>
        <w:rPr>
          <w:rFonts w:hint="eastAsia" w:ascii="宋体" w:hAnsi="宋体"/>
          <w:color w:val="auto"/>
          <w:sz w:val="21"/>
          <w:szCs w:val="21"/>
        </w:rPr>
        <w:t>*2.5 作动器行程：±200mm；</w:t>
      </w:r>
    </w:p>
    <w:p w14:paraId="0473E0F9">
      <w:pPr>
        <w:ind w:left="424" w:leftChars="202" w:firstLine="480"/>
        <w:rPr>
          <w:rFonts w:hint="eastAsia" w:ascii="宋体" w:hAnsi="宋体"/>
          <w:color w:val="auto"/>
          <w:sz w:val="21"/>
          <w:szCs w:val="21"/>
        </w:rPr>
      </w:pPr>
      <w:r>
        <w:rPr>
          <w:rFonts w:hint="eastAsia" w:ascii="宋体" w:hAnsi="宋体"/>
          <w:color w:val="auto"/>
          <w:sz w:val="21"/>
          <w:szCs w:val="21"/>
        </w:rPr>
        <w:t>*2.6 内置式磁致伸缩位移传感器测量误差：±0.1%FS；</w:t>
      </w:r>
    </w:p>
    <w:p w14:paraId="765AB439">
      <w:pPr>
        <w:ind w:left="424" w:leftChars="202" w:firstLine="480"/>
        <w:rPr>
          <w:rFonts w:hint="eastAsia" w:ascii="宋体" w:hAnsi="宋体"/>
          <w:color w:val="auto"/>
          <w:sz w:val="21"/>
          <w:szCs w:val="21"/>
        </w:rPr>
      </w:pPr>
      <w:r>
        <w:rPr>
          <w:rFonts w:hint="eastAsia" w:ascii="宋体" w:hAnsi="宋体"/>
          <w:color w:val="auto"/>
          <w:sz w:val="21"/>
          <w:szCs w:val="21"/>
        </w:rPr>
        <w:t>*2.7 试验频率范围：0～20Hz；</w:t>
      </w:r>
    </w:p>
    <w:p w14:paraId="5CD752B6">
      <w:pPr>
        <w:ind w:left="424" w:leftChars="202" w:firstLine="480"/>
        <w:rPr>
          <w:rFonts w:hint="eastAsia" w:ascii="宋体" w:hAnsi="宋体"/>
          <w:color w:val="auto"/>
          <w:sz w:val="21"/>
          <w:szCs w:val="21"/>
        </w:rPr>
      </w:pPr>
      <w:r>
        <w:rPr>
          <w:rFonts w:hint="eastAsia" w:ascii="宋体" w:hAnsi="宋体"/>
          <w:color w:val="auto"/>
          <w:sz w:val="21"/>
          <w:szCs w:val="21"/>
        </w:rPr>
        <w:t>*2.8 配置内置式磁致伸缩位移传感器，量程：±200mm；</w:t>
      </w:r>
    </w:p>
    <w:p w14:paraId="74764E36">
      <w:pPr>
        <w:ind w:left="424" w:leftChars="202" w:firstLine="480"/>
        <w:rPr>
          <w:rFonts w:hint="eastAsia" w:ascii="宋体" w:hAnsi="宋体"/>
          <w:color w:val="auto"/>
          <w:sz w:val="21"/>
          <w:szCs w:val="21"/>
        </w:rPr>
      </w:pPr>
      <w:r>
        <w:rPr>
          <w:rFonts w:hint="eastAsia" w:ascii="宋体" w:hAnsi="宋体"/>
          <w:color w:val="auto"/>
          <w:sz w:val="21"/>
          <w:szCs w:val="21"/>
        </w:rPr>
        <w:t>2.9  配置动态负荷传感器；</w:t>
      </w:r>
    </w:p>
    <w:p w14:paraId="1BE99183">
      <w:pPr>
        <w:ind w:left="424" w:leftChars="202" w:firstLine="480"/>
        <w:rPr>
          <w:rFonts w:hint="eastAsia" w:ascii="宋体" w:hAnsi="宋体"/>
          <w:color w:val="auto"/>
          <w:sz w:val="21"/>
          <w:szCs w:val="21"/>
        </w:rPr>
      </w:pPr>
      <w:r>
        <w:rPr>
          <w:rFonts w:hint="eastAsia" w:ascii="宋体" w:hAnsi="宋体"/>
          <w:color w:val="auto"/>
          <w:sz w:val="21"/>
          <w:szCs w:val="21"/>
        </w:rPr>
        <w:t>2.10 配置电液伺服阀；</w:t>
      </w:r>
    </w:p>
    <w:p w14:paraId="7539403C">
      <w:pPr>
        <w:ind w:left="424" w:leftChars="202" w:firstLine="480"/>
        <w:rPr>
          <w:rFonts w:hint="eastAsia" w:ascii="宋体" w:hAnsi="宋体"/>
          <w:color w:val="auto"/>
          <w:sz w:val="21"/>
          <w:szCs w:val="21"/>
        </w:rPr>
      </w:pPr>
      <w:r>
        <w:rPr>
          <w:rFonts w:hint="eastAsia" w:ascii="宋体" w:hAnsi="宋体"/>
          <w:color w:val="auto"/>
          <w:sz w:val="21"/>
          <w:szCs w:val="21"/>
        </w:rPr>
        <w:t>2.11 作动器前端配置球面压头压板。</w:t>
      </w:r>
    </w:p>
    <w:p w14:paraId="7C1EDD6C">
      <w:pPr>
        <w:ind w:left="424" w:leftChars="202" w:firstLine="480"/>
        <w:rPr>
          <w:rFonts w:hint="eastAsia" w:ascii="宋体" w:hAnsi="宋体"/>
          <w:color w:val="auto"/>
          <w:sz w:val="21"/>
          <w:szCs w:val="21"/>
        </w:rPr>
      </w:pPr>
      <w:r>
        <w:rPr>
          <w:rFonts w:hint="eastAsia" w:ascii="宋体" w:hAnsi="宋体"/>
          <w:color w:val="auto"/>
          <w:sz w:val="21"/>
          <w:szCs w:val="21"/>
        </w:rPr>
        <w:t>3、液压源</w:t>
      </w:r>
    </w:p>
    <w:p w14:paraId="7376C6A6">
      <w:pPr>
        <w:ind w:left="424" w:leftChars="202" w:firstLine="480"/>
        <w:rPr>
          <w:rFonts w:hint="eastAsia" w:ascii="宋体" w:hAnsi="宋体"/>
          <w:color w:val="auto"/>
          <w:sz w:val="21"/>
          <w:szCs w:val="21"/>
        </w:rPr>
      </w:pPr>
      <w:r>
        <w:rPr>
          <w:rFonts w:hint="eastAsia" w:ascii="宋体" w:hAnsi="宋体"/>
          <w:color w:val="auto"/>
          <w:sz w:val="21"/>
          <w:szCs w:val="21"/>
        </w:rPr>
        <w:t>*3.1 液压源总流量：≥200L/min；</w:t>
      </w:r>
    </w:p>
    <w:p w14:paraId="6E85AC57">
      <w:pPr>
        <w:ind w:left="424" w:leftChars="202" w:firstLine="480"/>
        <w:rPr>
          <w:rFonts w:hint="eastAsia" w:ascii="宋体" w:hAnsi="宋体"/>
          <w:color w:val="auto"/>
          <w:sz w:val="21"/>
          <w:szCs w:val="21"/>
        </w:rPr>
      </w:pPr>
      <w:r>
        <w:rPr>
          <w:rFonts w:hint="eastAsia" w:ascii="宋体" w:hAnsi="宋体"/>
          <w:color w:val="auto"/>
          <w:sz w:val="21"/>
          <w:szCs w:val="21"/>
        </w:rPr>
        <w:t>3.2 液压源压力：≥21MPa；</w:t>
      </w:r>
    </w:p>
    <w:p w14:paraId="0DFDEF22">
      <w:pPr>
        <w:ind w:left="424" w:leftChars="202" w:firstLine="480"/>
        <w:rPr>
          <w:rFonts w:hint="eastAsia" w:ascii="宋体" w:hAnsi="宋体"/>
          <w:color w:val="auto"/>
          <w:sz w:val="21"/>
          <w:szCs w:val="21"/>
        </w:rPr>
      </w:pPr>
      <w:r>
        <w:rPr>
          <w:rFonts w:hint="eastAsia" w:ascii="宋体" w:hAnsi="宋体"/>
          <w:color w:val="auto"/>
          <w:sz w:val="21"/>
          <w:szCs w:val="21"/>
        </w:rPr>
        <w:t>3.3 液压源启动可近控/远控操作；</w:t>
      </w:r>
    </w:p>
    <w:p w14:paraId="3EDDAD50">
      <w:pPr>
        <w:ind w:left="424" w:leftChars="202" w:firstLine="480"/>
        <w:rPr>
          <w:rFonts w:hint="eastAsia" w:ascii="宋体" w:hAnsi="宋体"/>
          <w:color w:val="auto"/>
          <w:sz w:val="21"/>
          <w:szCs w:val="21"/>
        </w:rPr>
      </w:pPr>
      <w:r>
        <w:rPr>
          <w:rFonts w:hint="eastAsia" w:ascii="宋体" w:hAnsi="宋体"/>
          <w:color w:val="auto"/>
          <w:sz w:val="21"/>
          <w:szCs w:val="21"/>
        </w:rPr>
        <w:t xml:space="preserve">3.4 </w:t>
      </w:r>
      <w:bookmarkStart w:id="115" w:name="OLE_LINK8"/>
      <w:r>
        <w:rPr>
          <w:rFonts w:hint="eastAsia" w:ascii="宋体" w:hAnsi="宋体"/>
          <w:color w:val="auto"/>
          <w:sz w:val="21"/>
          <w:szCs w:val="21"/>
        </w:rPr>
        <w:t>采用</w:t>
      </w:r>
      <w:bookmarkEnd w:id="115"/>
      <w:r>
        <w:rPr>
          <w:rFonts w:hint="eastAsia" w:ascii="宋体" w:hAnsi="宋体"/>
          <w:color w:val="auto"/>
          <w:sz w:val="21"/>
          <w:szCs w:val="21"/>
        </w:rPr>
        <w:t>≤5u过滤系统，提高油液清洁度，保证设备的可靠运行；</w:t>
      </w:r>
    </w:p>
    <w:p w14:paraId="0A52A46E">
      <w:pPr>
        <w:ind w:left="424" w:leftChars="202" w:firstLine="480"/>
        <w:rPr>
          <w:rFonts w:hint="eastAsia" w:ascii="宋体" w:hAnsi="宋体"/>
          <w:color w:val="auto"/>
          <w:sz w:val="21"/>
          <w:szCs w:val="21"/>
        </w:rPr>
      </w:pPr>
      <w:r>
        <w:rPr>
          <w:rFonts w:hint="eastAsia" w:ascii="宋体" w:hAnsi="宋体"/>
          <w:color w:val="auto"/>
          <w:sz w:val="21"/>
          <w:szCs w:val="21"/>
        </w:rPr>
        <w:t>3.5 具有超压、超温、液位超限、过滤器堵塞等液压参数的显示与保护功能；</w:t>
      </w:r>
    </w:p>
    <w:p w14:paraId="699A251B">
      <w:pPr>
        <w:ind w:left="424" w:leftChars="202" w:firstLine="480"/>
        <w:rPr>
          <w:rFonts w:hint="eastAsia" w:ascii="宋体" w:hAnsi="宋体"/>
          <w:color w:val="auto"/>
          <w:sz w:val="21"/>
          <w:szCs w:val="21"/>
        </w:rPr>
      </w:pPr>
      <w:r>
        <w:rPr>
          <w:rFonts w:hint="eastAsia" w:ascii="宋体" w:hAnsi="宋体"/>
          <w:color w:val="auto"/>
          <w:sz w:val="21"/>
          <w:szCs w:val="21"/>
        </w:rPr>
        <w:t>3.6 具有液压油源故障报警功能；</w:t>
      </w:r>
    </w:p>
    <w:p w14:paraId="2EDF1DAD">
      <w:pPr>
        <w:ind w:left="424" w:leftChars="202" w:firstLine="480"/>
        <w:rPr>
          <w:rFonts w:hint="eastAsia" w:ascii="宋体" w:hAnsi="宋体"/>
          <w:color w:val="auto"/>
          <w:sz w:val="21"/>
          <w:szCs w:val="21"/>
        </w:rPr>
      </w:pPr>
      <w:r>
        <w:rPr>
          <w:rFonts w:hint="eastAsia" w:ascii="宋体" w:hAnsi="宋体"/>
          <w:color w:val="auto"/>
          <w:sz w:val="21"/>
          <w:szCs w:val="21"/>
        </w:rPr>
        <w:t>3.7 液压源采用PLC智能控制器：包含油泵电机启动，油温控制，液位控制、油压控制、报警系统、带有触摸液晶显示器和远程网络控制功能；</w:t>
      </w:r>
    </w:p>
    <w:p w14:paraId="5CEA24B6">
      <w:pPr>
        <w:ind w:left="424" w:leftChars="202" w:firstLine="480"/>
        <w:rPr>
          <w:rFonts w:hint="eastAsia" w:ascii="宋体" w:hAnsi="宋体"/>
          <w:color w:val="auto"/>
          <w:sz w:val="21"/>
          <w:szCs w:val="21"/>
        </w:rPr>
      </w:pPr>
      <w:r>
        <w:rPr>
          <w:rFonts w:hint="eastAsia" w:ascii="宋体" w:hAnsi="宋体"/>
          <w:color w:val="auto"/>
          <w:sz w:val="21"/>
          <w:szCs w:val="21"/>
        </w:rPr>
        <w:t>3.8 液压源采用组合设计，后期根据需要，可以扩充液压泵组，加大液压源流量。</w:t>
      </w:r>
    </w:p>
    <w:p w14:paraId="43B79068">
      <w:pPr>
        <w:ind w:left="424" w:leftChars="202" w:firstLine="480"/>
        <w:rPr>
          <w:rFonts w:hint="eastAsia" w:ascii="宋体" w:hAnsi="宋体"/>
          <w:color w:val="auto"/>
          <w:sz w:val="21"/>
          <w:szCs w:val="21"/>
        </w:rPr>
      </w:pPr>
      <w:r>
        <w:rPr>
          <w:rFonts w:hint="eastAsia" w:ascii="宋体" w:hAnsi="宋体"/>
          <w:color w:val="auto"/>
          <w:sz w:val="21"/>
          <w:szCs w:val="21"/>
        </w:rPr>
        <w:t>4、分配器及管路</w:t>
      </w:r>
    </w:p>
    <w:p w14:paraId="25956F29">
      <w:pPr>
        <w:ind w:left="424" w:leftChars="202" w:firstLine="480"/>
        <w:rPr>
          <w:rFonts w:hint="eastAsia" w:ascii="宋体" w:hAnsi="宋体"/>
          <w:color w:val="auto"/>
          <w:sz w:val="21"/>
          <w:szCs w:val="21"/>
        </w:rPr>
      </w:pPr>
      <w:r>
        <w:rPr>
          <w:rFonts w:hint="eastAsia" w:ascii="宋体" w:hAnsi="宋体"/>
          <w:color w:val="auto"/>
          <w:sz w:val="21"/>
          <w:szCs w:val="21"/>
        </w:rPr>
        <w:t>4.1 配置3通道的油路分配器，分配器上安装有蓄能器和过滤器；</w:t>
      </w:r>
    </w:p>
    <w:p w14:paraId="43FDC751">
      <w:pPr>
        <w:ind w:left="424" w:leftChars="202" w:firstLine="480"/>
        <w:rPr>
          <w:rFonts w:hint="eastAsia" w:ascii="宋体" w:hAnsi="宋体"/>
          <w:color w:val="auto"/>
          <w:sz w:val="21"/>
          <w:szCs w:val="21"/>
        </w:rPr>
      </w:pPr>
      <w:r>
        <w:rPr>
          <w:rFonts w:hint="eastAsia" w:ascii="宋体" w:hAnsi="宋体"/>
          <w:color w:val="auto"/>
          <w:sz w:val="21"/>
          <w:szCs w:val="21"/>
        </w:rPr>
        <w:t>4.2 分配器每路进出油口上安装高压球阀；</w:t>
      </w:r>
    </w:p>
    <w:p w14:paraId="51FBF7FB">
      <w:pPr>
        <w:ind w:left="424" w:leftChars="202" w:firstLine="480"/>
        <w:rPr>
          <w:rFonts w:hint="eastAsia" w:ascii="宋体" w:hAnsi="宋体"/>
          <w:color w:val="auto"/>
          <w:sz w:val="21"/>
          <w:szCs w:val="21"/>
        </w:rPr>
      </w:pPr>
      <w:r>
        <w:rPr>
          <w:rFonts w:hint="eastAsia" w:ascii="宋体" w:hAnsi="宋体"/>
          <w:color w:val="auto"/>
          <w:sz w:val="21"/>
          <w:szCs w:val="21"/>
        </w:rPr>
        <w:t>4.3 分配器每个油路上均安装有安全保护阀组；</w:t>
      </w:r>
    </w:p>
    <w:p w14:paraId="445F0B5B">
      <w:pPr>
        <w:ind w:left="424" w:leftChars="202" w:firstLine="480"/>
        <w:rPr>
          <w:rFonts w:hint="eastAsia" w:ascii="宋体" w:hAnsi="宋体"/>
          <w:color w:val="auto"/>
          <w:sz w:val="21"/>
          <w:szCs w:val="21"/>
        </w:rPr>
      </w:pPr>
      <w:r>
        <w:rPr>
          <w:rFonts w:hint="eastAsia" w:ascii="宋体" w:hAnsi="宋体"/>
          <w:color w:val="auto"/>
          <w:sz w:val="21"/>
          <w:szCs w:val="21"/>
        </w:rPr>
        <w:t>4.4 液压源与分配器间采用软管连接；</w:t>
      </w:r>
    </w:p>
    <w:p w14:paraId="1A360F2D">
      <w:pPr>
        <w:ind w:left="424" w:leftChars="202" w:firstLine="480"/>
        <w:rPr>
          <w:rFonts w:hint="eastAsia" w:ascii="宋体" w:hAnsi="宋体"/>
          <w:color w:val="auto"/>
          <w:sz w:val="21"/>
          <w:szCs w:val="21"/>
        </w:rPr>
      </w:pPr>
      <w:r>
        <w:rPr>
          <w:rFonts w:hint="eastAsia" w:ascii="宋体" w:hAnsi="宋体"/>
          <w:color w:val="auto"/>
          <w:sz w:val="21"/>
          <w:szCs w:val="21"/>
        </w:rPr>
        <w:t>4.5 分配器与各个作动器间采用软管连接；</w:t>
      </w:r>
    </w:p>
    <w:p w14:paraId="6CCE536B">
      <w:pPr>
        <w:ind w:left="424" w:leftChars="202" w:firstLine="480"/>
        <w:rPr>
          <w:rFonts w:hint="eastAsia" w:ascii="宋体" w:hAnsi="宋体"/>
          <w:color w:val="auto"/>
          <w:sz w:val="21"/>
          <w:szCs w:val="21"/>
        </w:rPr>
      </w:pPr>
      <w:r>
        <w:rPr>
          <w:rFonts w:hint="eastAsia" w:ascii="宋体" w:hAnsi="宋体"/>
          <w:color w:val="auto"/>
          <w:sz w:val="21"/>
          <w:szCs w:val="21"/>
        </w:rPr>
        <w:t>*4.6 安装满足液压源压力的溢流阀及压力表，能同时单独控制每个通道的启动、停止及高、低油压工作状态；</w:t>
      </w:r>
    </w:p>
    <w:p w14:paraId="57C513A0">
      <w:pPr>
        <w:ind w:left="424" w:leftChars="202" w:firstLine="480"/>
        <w:rPr>
          <w:rFonts w:hint="eastAsia" w:ascii="宋体" w:hAnsi="宋体"/>
          <w:color w:val="auto"/>
          <w:sz w:val="21"/>
          <w:szCs w:val="21"/>
        </w:rPr>
      </w:pPr>
      <w:r>
        <w:rPr>
          <w:rFonts w:hint="eastAsia" w:ascii="宋体" w:hAnsi="宋体"/>
          <w:color w:val="auto"/>
          <w:sz w:val="21"/>
          <w:szCs w:val="21"/>
        </w:rPr>
        <w:t>5、液压源冷却系统</w:t>
      </w:r>
    </w:p>
    <w:p w14:paraId="7FA1BB01">
      <w:pPr>
        <w:ind w:left="424" w:leftChars="202" w:firstLine="480"/>
        <w:rPr>
          <w:rFonts w:hint="eastAsia" w:ascii="宋体" w:hAnsi="宋体"/>
          <w:color w:val="auto"/>
          <w:sz w:val="21"/>
          <w:szCs w:val="21"/>
        </w:rPr>
      </w:pPr>
      <w:r>
        <w:rPr>
          <w:rFonts w:hint="eastAsia" w:ascii="宋体" w:hAnsi="宋体"/>
          <w:color w:val="auto"/>
          <w:sz w:val="21"/>
          <w:szCs w:val="21"/>
        </w:rPr>
        <w:t>5.1 冷却系统采用风冷式工业冷水机，功率不小于25P，确保液压油温度不超过50℃；</w:t>
      </w:r>
    </w:p>
    <w:p w14:paraId="0024CD91">
      <w:pPr>
        <w:ind w:left="424" w:leftChars="202" w:firstLine="480"/>
        <w:rPr>
          <w:rFonts w:hint="eastAsia" w:ascii="宋体" w:hAnsi="宋体"/>
          <w:color w:val="auto"/>
          <w:sz w:val="21"/>
          <w:szCs w:val="21"/>
        </w:rPr>
      </w:pPr>
      <w:r>
        <w:rPr>
          <w:rFonts w:hint="eastAsia" w:ascii="宋体" w:hAnsi="宋体"/>
          <w:color w:val="auto"/>
          <w:sz w:val="21"/>
          <w:szCs w:val="21"/>
        </w:rPr>
        <w:t>5.2 冷却水循环使用；</w:t>
      </w:r>
    </w:p>
    <w:p w14:paraId="4923BFAF">
      <w:pPr>
        <w:ind w:left="424" w:leftChars="202" w:firstLine="480"/>
        <w:rPr>
          <w:rFonts w:hint="eastAsia" w:ascii="宋体" w:hAnsi="宋体"/>
          <w:color w:val="auto"/>
          <w:sz w:val="21"/>
          <w:szCs w:val="21"/>
        </w:rPr>
      </w:pPr>
      <w:r>
        <w:rPr>
          <w:rFonts w:hint="eastAsia" w:ascii="宋体" w:hAnsi="宋体"/>
          <w:color w:val="auto"/>
          <w:sz w:val="21"/>
          <w:szCs w:val="21"/>
        </w:rPr>
        <w:t>5.3 冷水机组与油水冷却器间的冷却水管采用PPR水管连接，可靠、整洁、美观。</w:t>
      </w:r>
    </w:p>
    <w:p w14:paraId="78D2BCB3">
      <w:pPr>
        <w:ind w:left="424" w:leftChars="202" w:firstLine="480"/>
        <w:rPr>
          <w:rFonts w:hint="eastAsia" w:ascii="宋体" w:hAnsi="宋体"/>
          <w:b/>
          <w:bCs/>
          <w:color w:val="auto"/>
          <w:sz w:val="21"/>
          <w:szCs w:val="21"/>
        </w:rPr>
      </w:pPr>
      <w:r>
        <w:rPr>
          <w:rFonts w:hint="eastAsia" w:ascii="宋体" w:hAnsi="宋体"/>
          <w:b/>
          <w:bCs/>
          <w:color w:val="auto"/>
          <w:sz w:val="21"/>
          <w:szCs w:val="21"/>
        </w:rPr>
        <w:t>B模型箱</w:t>
      </w:r>
    </w:p>
    <w:p w14:paraId="034C236B">
      <w:pPr>
        <w:ind w:left="424" w:leftChars="202" w:firstLine="480"/>
        <w:rPr>
          <w:rFonts w:hint="eastAsia" w:ascii="宋体" w:hAnsi="宋体"/>
          <w:color w:val="auto"/>
          <w:sz w:val="21"/>
          <w:szCs w:val="21"/>
        </w:rPr>
      </w:pPr>
      <w:r>
        <w:rPr>
          <w:rFonts w:hint="eastAsia" w:ascii="宋体" w:hAnsi="宋体"/>
          <w:color w:val="auto"/>
          <w:sz w:val="21"/>
          <w:szCs w:val="21"/>
        </w:rPr>
        <w:t>*1 模型箱尺寸：≥7.5m×3.0m×3.0m（长、宽、高）；</w:t>
      </w:r>
    </w:p>
    <w:p w14:paraId="4DDC34F2">
      <w:pPr>
        <w:ind w:left="424" w:leftChars="202" w:firstLine="480"/>
        <w:rPr>
          <w:rFonts w:hint="eastAsia" w:ascii="宋体" w:hAnsi="宋体"/>
          <w:color w:val="auto"/>
          <w:sz w:val="21"/>
          <w:szCs w:val="21"/>
        </w:rPr>
      </w:pPr>
      <w:r>
        <w:rPr>
          <w:rFonts w:hint="eastAsia" w:ascii="宋体" w:hAnsi="宋体"/>
          <w:color w:val="auto"/>
          <w:sz w:val="21"/>
          <w:szCs w:val="21"/>
        </w:rPr>
        <w:t>2 模型箱采用整体焊接结构，箱体内部为不锈钢材质；</w:t>
      </w:r>
    </w:p>
    <w:p w14:paraId="727CFCF0">
      <w:pPr>
        <w:ind w:left="424" w:leftChars="202" w:firstLine="480"/>
        <w:rPr>
          <w:rFonts w:ascii="宋体" w:hAnsi="宋体"/>
          <w:color w:val="auto"/>
          <w:sz w:val="21"/>
          <w:szCs w:val="21"/>
        </w:rPr>
      </w:pPr>
      <w:r>
        <w:rPr>
          <w:rFonts w:hint="eastAsia" w:ascii="宋体" w:hAnsi="宋体"/>
          <w:color w:val="auto"/>
          <w:sz w:val="21"/>
          <w:szCs w:val="21"/>
        </w:rPr>
        <w:t>*3 在模型箱体含保温层，厚度不大于100mm；</w:t>
      </w:r>
    </w:p>
    <w:p w14:paraId="59AB4007">
      <w:pPr>
        <w:ind w:left="424" w:leftChars="202" w:firstLine="480"/>
        <w:rPr>
          <w:rFonts w:hint="eastAsia" w:ascii="宋体" w:hAnsi="宋体"/>
          <w:color w:val="auto"/>
          <w:sz w:val="21"/>
          <w:szCs w:val="21"/>
        </w:rPr>
      </w:pPr>
      <w:r>
        <w:rPr>
          <w:rFonts w:hint="eastAsia" w:ascii="宋体" w:hAnsi="宋体"/>
          <w:color w:val="auto"/>
          <w:sz w:val="21"/>
          <w:szCs w:val="21"/>
        </w:rPr>
        <w:t>4 模型箱可安装管道尺寸：DN400，DN500，DN600；</w:t>
      </w:r>
    </w:p>
    <w:p w14:paraId="101AD3D9">
      <w:pPr>
        <w:ind w:left="424" w:leftChars="202" w:firstLine="480"/>
        <w:rPr>
          <w:rFonts w:hint="eastAsia" w:ascii="宋体" w:hAnsi="宋体"/>
          <w:color w:val="auto"/>
          <w:sz w:val="21"/>
          <w:szCs w:val="21"/>
        </w:rPr>
      </w:pPr>
      <w:r>
        <w:rPr>
          <w:rFonts w:hint="eastAsia" w:ascii="宋体" w:hAnsi="宋体"/>
          <w:color w:val="auto"/>
          <w:sz w:val="21"/>
          <w:szCs w:val="21"/>
        </w:rPr>
        <w:t>*5 模型箱配置管道与箱体出口密封装置，确保地下水加载过程中不漏水；</w:t>
      </w:r>
    </w:p>
    <w:p w14:paraId="74641F2D">
      <w:pPr>
        <w:ind w:left="424" w:leftChars="202" w:firstLine="480"/>
        <w:rPr>
          <w:rFonts w:hint="eastAsia" w:ascii="宋体" w:hAnsi="宋体"/>
          <w:color w:val="auto"/>
          <w:sz w:val="21"/>
          <w:szCs w:val="21"/>
        </w:rPr>
      </w:pPr>
      <w:r>
        <w:rPr>
          <w:rFonts w:hint="eastAsia" w:ascii="宋体" w:hAnsi="宋体"/>
          <w:color w:val="auto"/>
          <w:sz w:val="21"/>
          <w:szCs w:val="21"/>
        </w:rPr>
        <w:t>*6 模型箱带横向固定装置，箱体一侧可打开，方便机械装填；</w:t>
      </w:r>
    </w:p>
    <w:p w14:paraId="594E395D">
      <w:pPr>
        <w:ind w:left="424" w:leftChars="202" w:firstLine="480"/>
        <w:rPr>
          <w:rFonts w:hint="eastAsia" w:ascii="宋体" w:hAnsi="宋体"/>
          <w:b/>
          <w:bCs/>
          <w:color w:val="auto"/>
          <w:sz w:val="21"/>
          <w:szCs w:val="21"/>
        </w:rPr>
      </w:pPr>
      <w:r>
        <w:rPr>
          <w:rFonts w:hint="eastAsia" w:ascii="宋体" w:hAnsi="宋体"/>
          <w:b/>
          <w:bCs/>
          <w:color w:val="auto"/>
          <w:sz w:val="21"/>
          <w:szCs w:val="21"/>
        </w:rPr>
        <w:t>C管道内压加载系统</w:t>
      </w:r>
    </w:p>
    <w:p w14:paraId="35FFC1E4">
      <w:pPr>
        <w:ind w:left="424" w:leftChars="202" w:firstLine="480"/>
        <w:rPr>
          <w:rFonts w:hint="eastAsia" w:ascii="宋体" w:hAnsi="宋体"/>
          <w:color w:val="auto"/>
          <w:sz w:val="21"/>
          <w:szCs w:val="21"/>
        </w:rPr>
      </w:pPr>
      <w:r>
        <w:rPr>
          <w:rFonts w:hint="eastAsia" w:ascii="宋体" w:hAnsi="宋体"/>
          <w:color w:val="auto"/>
          <w:sz w:val="21"/>
          <w:szCs w:val="21"/>
        </w:rPr>
        <w:t>*1压力范围：≥3.0MPa；</w:t>
      </w:r>
    </w:p>
    <w:p w14:paraId="6302E7C3">
      <w:pPr>
        <w:ind w:left="424" w:leftChars="202" w:firstLine="480"/>
        <w:rPr>
          <w:rFonts w:hint="eastAsia" w:ascii="宋体" w:hAnsi="宋体"/>
          <w:color w:val="auto"/>
          <w:sz w:val="21"/>
          <w:szCs w:val="21"/>
        </w:rPr>
      </w:pPr>
      <w:r>
        <w:rPr>
          <w:rFonts w:hint="eastAsia" w:ascii="宋体" w:hAnsi="宋体"/>
          <w:color w:val="auto"/>
          <w:sz w:val="21"/>
          <w:szCs w:val="21"/>
        </w:rPr>
        <w:t>*2 内压测量范围：4%～100%FS；</w:t>
      </w:r>
    </w:p>
    <w:p w14:paraId="44D9C231">
      <w:pPr>
        <w:ind w:left="424" w:leftChars="202" w:firstLine="480"/>
        <w:rPr>
          <w:rFonts w:hint="eastAsia" w:ascii="宋体" w:hAnsi="宋体"/>
          <w:color w:val="auto"/>
          <w:sz w:val="21"/>
          <w:szCs w:val="21"/>
        </w:rPr>
      </w:pPr>
      <w:r>
        <w:rPr>
          <w:rFonts w:hint="eastAsia" w:ascii="宋体" w:hAnsi="宋体"/>
          <w:color w:val="auto"/>
          <w:sz w:val="21"/>
          <w:szCs w:val="21"/>
        </w:rPr>
        <w:t>*3 内压测量误差：±1%；</w:t>
      </w:r>
    </w:p>
    <w:p w14:paraId="46DFBDA7">
      <w:pPr>
        <w:ind w:left="424" w:leftChars="202" w:firstLine="480"/>
        <w:rPr>
          <w:rFonts w:hint="eastAsia" w:ascii="宋体" w:hAnsi="宋体"/>
          <w:color w:val="auto"/>
          <w:sz w:val="21"/>
          <w:szCs w:val="21"/>
        </w:rPr>
      </w:pPr>
      <w:r>
        <w:rPr>
          <w:rFonts w:hint="eastAsia" w:ascii="宋体" w:hAnsi="宋体"/>
          <w:color w:val="auto"/>
          <w:sz w:val="21"/>
          <w:szCs w:val="21"/>
        </w:rPr>
        <w:t xml:space="preserve">4 配置压力传感器； </w:t>
      </w:r>
    </w:p>
    <w:p w14:paraId="267FB32C">
      <w:pPr>
        <w:ind w:left="424" w:leftChars="202" w:firstLine="480"/>
        <w:rPr>
          <w:rFonts w:hint="eastAsia" w:ascii="宋体" w:hAnsi="宋体"/>
          <w:color w:val="auto"/>
          <w:sz w:val="21"/>
          <w:szCs w:val="21"/>
        </w:rPr>
      </w:pPr>
      <w:r>
        <w:rPr>
          <w:rFonts w:hint="eastAsia" w:ascii="宋体" w:hAnsi="宋体"/>
          <w:color w:val="auto"/>
          <w:sz w:val="21"/>
          <w:szCs w:val="21"/>
        </w:rPr>
        <w:t>5 配置管道内注水装置连接管路阀门及压力表。</w:t>
      </w:r>
    </w:p>
    <w:p w14:paraId="3AB66114">
      <w:pPr>
        <w:ind w:left="424" w:leftChars="202" w:firstLine="480"/>
        <w:rPr>
          <w:rFonts w:hint="eastAsia" w:ascii="宋体" w:hAnsi="宋体"/>
          <w:b/>
          <w:bCs/>
          <w:color w:val="auto"/>
          <w:sz w:val="21"/>
          <w:szCs w:val="21"/>
        </w:rPr>
      </w:pPr>
      <w:r>
        <w:rPr>
          <w:rFonts w:hint="eastAsia" w:ascii="宋体" w:hAnsi="宋体"/>
          <w:b/>
          <w:bCs/>
          <w:color w:val="auto"/>
          <w:sz w:val="21"/>
          <w:szCs w:val="21"/>
        </w:rPr>
        <w:t>D温度加载及控制系统</w:t>
      </w:r>
    </w:p>
    <w:p w14:paraId="1F758198">
      <w:pPr>
        <w:ind w:left="424" w:leftChars="202" w:firstLine="480"/>
        <w:rPr>
          <w:rFonts w:hint="eastAsia" w:ascii="宋体" w:hAnsi="宋体"/>
          <w:color w:val="auto"/>
          <w:sz w:val="21"/>
          <w:szCs w:val="21"/>
        </w:rPr>
      </w:pPr>
      <w:r>
        <w:rPr>
          <w:rFonts w:hint="eastAsia" w:ascii="宋体" w:hAnsi="宋体"/>
          <w:color w:val="auto"/>
          <w:sz w:val="21"/>
          <w:szCs w:val="21"/>
        </w:rPr>
        <w:t>*1温度范围：-5℃～+30℃，模拟季节性地下环境温度变化；</w:t>
      </w:r>
    </w:p>
    <w:p w14:paraId="029C3998">
      <w:pPr>
        <w:ind w:left="424" w:leftChars="202" w:firstLine="480"/>
        <w:rPr>
          <w:rFonts w:hint="eastAsia" w:ascii="宋体" w:hAnsi="宋体"/>
          <w:color w:val="auto"/>
          <w:sz w:val="21"/>
          <w:szCs w:val="21"/>
        </w:rPr>
      </w:pPr>
      <w:r>
        <w:rPr>
          <w:rFonts w:hint="eastAsia" w:ascii="宋体" w:hAnsi="宋体"/>
          <w:color w:val="auto"/>
          <w:sz w:val="21"/>
          <w:szCs w:val="21"/>
        </w:rPr>
        <w:t>2温度加载采用螺杆式冷水机组和耐高低温不锈钢传热循环管路进行。</w:t>
      </w:r>
    </w:p>
    <w:p w14:paraId="147E8B09">
      <w:pPr>
        <w:ind w:left="424" w:leftChars="202" w:firstLine="480"/>
        <w:rPr>
          <w:rFonts w:hint="eastAsia" w:ascii="宋体" w:hAnsi="宋体"/>
          <w:b/>
          <w:bCs/>
          <w:color w:val="auto"/>
          <w:sz w:val="21"/>
          <w:szCs w:val="21"/>
        </w:rPr>
      </w:pPr>
      <w:r>
        <w:rPr>
          <w:rFonts w:hint="eastAsia" w:ascii="宋体" w:hAnsi="宋体"/>
          <w:b/>
          <w:bCs/>
          <w:color w:val="auto"/>
          <w:sz w:val="21"/>
          <w:szCs w:val="21"/>
        </w:rPr>
        <w:t>E地下水位模拟装置</w:t>
      </w:r>
    </w:p>
    <w:p w14:paraId="5F81026B">
      <w:pPr>
        <w:ind w:left="424" w:leftChars="202" w:firstLine="480"/>
        <w:rPr>
          <w:rFonts w:hint="eastAsia" w:ascii="宋体" w:hAnsi="宋体"/>
          <w:color w:val="auto"/>
          <w:sz w:val="21"/>
          <w:szCs w:val="21"/>
        </w:rPr>
      </w:pPr>
      <w:r>
        <w:rPr>
          <w:rFonts w:hint="eastAsia" w:ascii="宋体" w:hAnsi="宋体"/>
          <w:color w:val="auto"/>
          <w:sz w:val="21"/>
          <w:szCs w:val="21"/>
        </w:rPr>
        <w:t>1可模拟地下水位高低变化（模拟季节性水位变化）；</w:t>
      </w:r>
    </w:p>
    <w:p w14:paraId="7EAC46C6">
      <w:pPr>
        <w:ind w:left="424" w:leftChars="202" w:firstLine="480"/>
        <w:rPr>
          <w:rFonts w:hint="eastAsia" w:ascii="宋体" w:hAnsi="宋体"/>
          <w:color w:val="auto"/>
          <w:sz w:val="21"/>
          <w:szCs w:val="21"/>
        </w:rPr>
      </w:pPr>
      <w:r>
        <w:rPr>
          <w:rFonts w:hint="eastAsia" w:ascii="宋体" w:hAnsi="宋体"/>
          <w:color w:val="auto"/>
          <w:sz w:val="21"/>
          <w:szCs w:val="21"/>
        </w:rPr>
        <w:t>2水位高度范围：0～3m；</w:t>
      </w:r>
    </w:p>
    <w:p w14:paraId="2FB66278">
      <w:pPr>
        <w:ind w:left="424" w:leftChars="202" w:firstLine="480"/>
        <w:rPr>
          <w:rFonts w:hint="eastAsia" w:ascii="宋体" w:hAnsi="宋体"/>
          <w:color w:val="auto"/>
          <w:sz w:val="21"/>
          <w:szCs w:val="21"/>
        </w:rPr>
      </w:pPr>
      <w:r>
        <w:rPr>
          <w:rFonts w:hint="eastAsia" w:ascii="宋体" w:hAnsi="宋体"/>
          <w:color w:val="auto"/>
          <w:sz w:val="21"/>
          <w:szCs w:val="21"/>
        </w:rPr>
        <w:t>3 需配备储水仓</w:t>
      </w:r>
      <w:r>
        <w:rPr>
          <w:rFonts w:hint="eastAsia" w:ascii="宋体" w:hAnsi="宋体" w:cs="宋体"/>
          <w:color w:val="auto"/>
          <w:sz w:val="21"/>
          <w:szCs w:val="21"/>
        </w:rPr>
        <w:t>﹑</w:t>
      </w:r>
      <w:r>
        <w:rPr>
          <w:rFonts w:hint="eastAsia" w:ascii="宋体" w:hAnsi="宋体"/>
          <w:color w:val="auto"/>
          <w:sz w:val="21"/>
          <w:szCs w:val="21"/>
        </w:rPr>
        <w:t>进水和排水装置，保证外排水不带泥沙。</w:t>
      </w:r>
    </w:p>
    <w:p w14:paraId="06391EE4">
      <w:pPr>
        <w:ind w:left="424" w:leftChars="202" w:firstLine="480"/>
        <w:rPr>
          <w:rFonts w:hint="eastAsia" w:ascii="宋体" w:hAnsi="宋体"/>
          <w:b/>
          <w:bCs/>
          <w:color w:val="auto"/>
          <w:sz w:val="21"/>
          <w:szCs w:val="21"/>
        </w:rPr>
      </w:pPr>
      <w:r>
        <w:rPr>
          <w:rFonts w:hint="eastAsia" w:ascii="宋体" w:hAnsi="宋体"/>
          <w:b/>
          <w:bCs/>
          <w:color w:val="auto"/>
          <w:sz w:val="21"/>
          <w:szCs w:val="21"/>
        </w:rPr>
        <w:t>F管道内高低温水加载系统</w:t>
      </w:r>
    </w:p>
    <w:p w14:paraId="0E0D3C68">
      <w:pPr>
        <w:ind w:left="424" w:leftChars="202" w:firstLine="480"/>
        <w:rPr>
          <w:rFonts w:hint="eastAsia" w:ascii="宋体" w:hAnsi="宋体"/>
          <w:color w:val="auto"/>
          <w:sz w:val="21"/>
          <w:szCs w:val="21"/>
        </w:rPr>
      </w:pPr>
      <w:r>
        <w:rPr>
          <w:rFonts w:hint="eastAsia" w:ascii="宋体" w:hAnsi="宋体"/>
          <w:color w:val="auto"/>
          <w:sz w:val="21"/>
          <w:szCs w:val="21"/>
        </w:rPr>
        <w:t>*1恒温箱温度范围：0℃～+100℃；</w:t>
      </w:r>
    </w:p>
    <w:p w14:paraId="684E16C0">
      <w:pPr>
        <w:ind w:left="424" w:leftChars="202" w:firstLine="480"/>
        <w:rPr>
          <w:rFonts w:hint="eastAsia" w:ascii="宋体" w:hAnsi="宋体"/>
          <w:color w:val="auto"/>
          <w:sz w:val="21"/>
          <w:szCs w:val="21"/>
        </w:rPr>
      </w:pPr>
      <w:r>
        <w:rPr>
          <w:rFonts w:hint="eastAsia" w:ascii="宋体" w:hAnsi="宋体"/>
          <w:color w:val="auto"/>
          <w:sz w:val="21"/>
          <w:szCs w:val="21"/>
        </w:rPr>
        <w:t>*2管内水循环过程中需保证管内温度恒定在试验值；</w:t>
      </w:r>
    </w:p>
    <w:p w14:paraId="2534FF68">
      <w:pPr>
        <w:ind w:left="424" w:leftChars="202" w:firstLine="480"/>
        <w:rPr>
          <w:rFonts w:hint="eastAsia" w:ascii="宋体" w:hAnsi="宋体"/>
          <w:color w:val="auto"/>
          <w:sz w:val="21"/>
          <w:szCs w:val="21"/>
        </w:rPr>
      </w:pPr>
      <w:r>
        <w:rPr>
          <w:rFonts w:hint="eastAsia" w:ascii="宋体" w:hAnsi="宋体"/>
          <w:color w:val="auto"/>
          <w:sz w:val="21"/>
          <w:szCs w:val="21"/>
        </w:rPr>
        <w:t>*3恒温水箱容积满足最大管径DN600的试验需求。</w:t>
      </w:r>
    </w:p>
    <w:p w14:paraId="7BA36239">
      <w:pPr>
        <w:ind w:left="424" w:leftChars="202" w:firstLine="480"/>
        <w:rPr>
          <w:rFonts w:hint="eastAsia" w:ascii="宋体" w:hAnsi="宋体"/>
          <w:b/>
          <w:bCs/>
          <w:color w:val="auto"/>
          <w:sz w:val="21"/>
          <w:szCs w:val="21"/>
        </w:rPr>
      </w:pPr>
      <w:r>
        <w:rPr>
          <w:rFonts w:hint="eastAsia" w:ascii="宋体" w:hAnsi="宋体"/>
          <w:b/>
          <w:bCs/>
          <w:color w:val="auto"/>
          <w:sz w:val="21"/>
          <w:szCs w:val="21"/>
        </w:rPr>
        <w:t>G动态控制系统及软件</w:t>
      </w:r>
    </w:p>
    <w:p w14:paraId="594821CB">
      <w:pPr>
        <w:ind w:left="424" w:leftChars="202" w:firstLine="480"/>
        <w:rPr>
          <w:rFonts w:hint="eastAsia" w:ascii="宋体" w:hAnsi="宋体"/>
          <w:color w:val="auto"/>
          <w:sz w:val="21"/>
          <w:szCs w:val="21"/>
        </w:rPr>
      </w:pPr>
      <w:r>
        <w:rPr>
          <w:rFonts w:hint="eastAsia" w:ascii="宋体" w:hAnsi="宋体"/>
          <w:color w:val="auto"/>
          <w:sz w:val="21"/>
          <w:szCs w:val="21"/>
        </w:rPr>
        <w:t>1 三通道电液伺服动态控制器；</w:t>
      </w:r>
    </w:p>
    <w:p w14:paraId="0DCE3BDB">
      <w:pPr>
        <w:ind w:left="424" w:leftChars="202" w:firstLine="480"/>
        <w:rPr>
          <w:rFonts w:hint="eastAsia" w:ascii="宋体" w:hAnsi="宋体"/>
          <w:color w:val="auto"/>
          <w:sz w:val="21"/>
          <w:szCs w:val="21"/>
        </w:rPr>
      </w:pPr>
      <w:r>
        <w:rPr>
          <w:rFonts w:hint="eastAsia" w:ascii="宋体" w:hAnsi="宋体"/>
          <w:color w:val="auto"/>
          <w:sz w:val="21"/>
          <w:szCs w:val="21"/>
        </w:rPr>
        <w:t>*1.1 试验频率：0～20Hz；</w:t>
      </w:r>
    </w:p>
    <w:p w14:paraId="1A325D19">
      <w:pPr>
        <w:ind w:left="424" w:leftChars="202" w:firstLine="480"/>
        <w:rPr>
          <w:rFonts w:hint="eastAsia" w:ascii="宋体" w:hAnsi="宋体"/>
          <w:color w:val="auto"/>
          <w:sz w:val="21"/>
          <w:szCs w:val="21"/>
        </w:rPr>
      </w:pPr>
      <w:r>
        <w:rPr>
          <w:rFonts w:hint="eastAsia" w:ascii="宋体" w:hAnsi="宋体"/>
          <w:color w:val="auto"/>
          <w:sz w:val="21"/>
          <w:szCs w:val="21"/>
        </w:rPr>
        <w:t>1.2 试验波形：正弦波、三角波、斜波、梯形波、组合波等；</w:t>
      </w:r>
    </w:p>
    <w:p w14:paraId="76D4B6FF">
      <w:pPr>
        <w:ind w:left="424" w:leftChars="202" w:firstLine="480"/>
        <w:rPr>
          <w:rFonts w:hint="eastAsia" w:ascii="宋体" w:hAnsi="宋体"/>
          <w:color w:val="auto"/>
          <w:sz w:val="21"/>
          <w:szCs w:val="21"/>
        </w:rPr>
      </w:pPr>
      <w:r>
        <w:rPr>
          <w:rFonts w:hint="eastAsia" w:ascii="宋体" w:hAnsi="宋体"/>
          <w:color w:val="auto"/>
          <w:sz w:val="21"/>
          <w:szCs w:val="21"/>
        </w:rPr>
        <w:t>1.</w:t>
      </w:r>
      <w:r>
        <w:rPr>
          <w:rFonts w:hint="eastAsia" w:ascii="宋体" w:hAnsi="宋体"/>
          <w:color w:val="auto"/>
          <w:sz w:val="21"/>
          <w:szCs w:val="21"/>
          <w:lang w:val="en-US" w:eastAsia="zh-CN"/>
        </w:rPr>
        <w:t>3</w:t>
      </w:r>
      <w:r>
        <w:rPr>
          <w:rFonts w:hint="eastAsia" w:ascii="宋体" w:hAnsi="宋体"/>
          <w:color w:val="auto"/>
          <w:sz w:val="21"/>
          <w:szCs w:val="21"/>
        </w:rPr>
        <w:t xml:space="preserve"> 控制系统有自诊断功能、PID参数调整、超载、超压保护等自动保护功能；</w:t>
      </w:r>
    </w:p>
    <w:p w14:paraId="5BB5391C">
      <w:pPr>
        <w:ind w:left="424" w:leftChars="202" w:firstLine="480"/>
        <w:rPr>
          <w:rFonts w:hint="eastAsia" w:ascii="宋体" w:hAnsi="宋体"/>
          <w:color w:val="auto"/>
          <w:sz w:val="21"/>
          <w:szCs w:val="21"/>
        </w:rPr>
      </w:pPr>
      <w:r>
        <w:rPr>
          <w:rFonts w:hint="eastAsia" w:ascii="宋体" w:hAnsi="宋体"/>
          <w:color w:val="auto"/>
          <w:sz w:val="21"/>
          <w:szCs w:val="21"/>
        </w:rPr>
        <w:t>*1</w:t>
      </w:r>
      <w:bookmarkStart w:id="306" w:name="_GoBack"/>
      <w:bookmarkEnd w:id="306"/>
      <w:r>
        <w:rPr>
          <w:rFonts w:hint="eastAsia" w:ascii="宋体" w:hAnsi="宋体"/>
          <w:color w:val="auto"/>
          <w:sz w:val="21"/>
          <w:szCs w:val="21"/>
        </w:rPr>
        <w:t>.</w:t>
      </w:r>
      <w:r>
        <w:rPr>
          <w:rFonts w:hint="eastAsia" w:ascii="宋体" w:hAnsi="宋体"/>
          <w:color w:val="auto"/>
          <w:sz w:val="21"/>
          <w:szCs w:val="21"/>
          <w:lang w:val="en-US" w:eastAsia="zh-CN"/>
        </w:rPr>
        <w:t>4</w:t>
      </w:r>
      <w:r>
        <w:rPr>
          <w:rFonts w:hint="eastAsia" w:ascii="宋体" w:hAnsi="宋体"/>
          <w:color w:val="auto"/>
          <w:sz w:val="21"/>
          <w:szCs w:val="21"/>
        </w:rPr>
        <w:t xml:space="preserve"> 控制方式：负荷、位移等控制方式；</w:t>
      </w:r>
    </w:p>
    <w:p w14:paraId="60A2D2FE">
      <w:pPr>
        <w:ind w:left="424" w:leftChars="202" w:firstLine="480"/>
        <w:rPr>
          <w:rFonts w:hint="eastAsia" w:ascii="宋体" w:hAnsi="宋体"/>
          <w:color w:val="auto"/>
          <w:sz w:val="21"/>
          <w:szCs w:val="21"/>
        </w:rPr>
      </w:pPr>
      <w:r>
        <w:rPr>
          <w:rFonts w:hint="eastAsia" w:ascii="宋体" w:hAnsi="宋体"/>
          <w:color w:val="auto"/>
          <w:sz w:val="21"/>
          <w:szCs w:val="21"/>
        </w:rPr>
        <w:t>1</w:t>
      </w:r>
      <w:r>
        <w:rPr>
          <w:rFonts w:hint="eastAsia" w:ascii="宋体" w:hAnsi="宋体"/>
          <w:color w:val="auto"/>
          <w:sz w:val="21"/>
          <w:szCs w:val="21"/>
          <w:lang w:val="en-US" w:eastAsia="zh-CN"/>
        </w:rPr>
        <w:t>.5</w:t>
      </w:r>
      <w:r>
        <w:rPr>
          <w:rFonts w:hint="eastAsia" w:ascii="宋体" w:hAnsi="宋体"/>
          <w:color w:val="auto"/>
          <w:sz w:val="21"/>
          <w:szCs w:val="21"/>
        </w:rPr>
        <w:t xml:space="preserve"> 试验控制选择：等幅疲劳、程序块疲劳、静态试验、自定义编辑加载路径分级加载试验；</w:t>
      </w:r>
    </w:p>
    <w:p w14:paraId="07E657F5">
      <w:pPr>
        <w:ind w:left="424" w:leftChars="202" w:firstLine="480"/>
        <w:rPr>
          <w:rFonts w:hint="eastAsia" w:ascii="宋体" w:hAnsi="宋体"/>
          <w:color w:val="auto"/>
          <w:sz w:val="21"/>
          <w:szCs w:val="21"/>
        </w:rPr>
      </w:pPr>
      <w:r>
        <w:rPr>
          <w:rFonts w:hint="eastAsia" w:ascii="宋体" w:hAnsi="宋体"/>
          <w:color w:val="auto"/>
          <w:sz w:val="21"/>
          <w:szCs w:val="21"/>
        </w:rPr>
        <w:t>1.</w:t>
      </w:r>
      <w:r>
        <w:rPr>
          <w:rFonts w:hint="eastAsia" w:ascii="宋体" w:hAnsi="宋体"/>
          <w:color w:val="auto"/>
          <w:sz w:val="21"/>
          <w:szCs w:val="21"/>
          <w:lang w:val="en-US" w:eastAsia="zh-CN"/>
        </w:rPr>
        <w:t>6</w:t>
      </w:r>
      <w:r>
        <w:rPr>
          <w:rFonts w:hint="eastAsia" w:ascii="宋体" w:hAnsi="宋体"/>
          <w:color w:val="auto"/>
          <w:sz w:val="21"/>
          <w:szCs w:val="21"/>
        </w:rPr>
        <w:t>块波疲劳试验循环数：单循环、大循环；</w:t>
      </w:r>
    </w:p>
    <w:p w14:paraId="02B7B7C7">
      <w:pPr>
        <w:ind w:left="424" w:leftChars="202" w:firstLine="480"/>
        <w:rPr>
          <w:rFonts w:hint="eastAsia" w:ascii="宋体" w:hAnsi="宋体"/>
          <w:color w:val="auto"/>
          <w:sz w:val="21"/>
          <w:szCs w:val="21"/>
        </w:rPr>
      </w:pPr>
      <w:r>
        <w:rPr>
          <w:rFonts w:hint="eastAsia" w:ascii="宋体" w:hAnsi="宋体"/>
          <w:color w:val="auto"/>
          <w:sz w:val="21"/>
          <w:szCs w:val="21"/>
        </w:rPr>
        <w:t>1.</w:t>
      </w:r>
      <w:r>
        <w:rPr>
          <w:rFonts w:hint="eastAsia" w:ascii="宋体" w:hAnsi="宋体"/>
          <w:color w:val="auto"/>
          <w:sz w:val="21"/>
          <w:szCs w:val="21"/>
          <w:lang w:val="en-US" w:eastAsia="zh-CN"/>
        </w:rPr>
        <w:t>7</w:t>
      </w:r>
      <w:r>
        <w:rPr>
          <w:rFonts w:hint="eastAsia" w:ascii="宋体" w:hAnsi="宋体"/>
          <w:color w:val="auto"/>
          <w:sz w:val="21"/>
          <w:szCs w:val="21"/>
        </w:rPr>
        <w:t xml:space="preserve"> 保护方式：负荷、位移；</w:t>
      </w:r>
    </w:p>
    <w:p w14:paraId="4F955AFC">
      <w:pPr>
        <w:ind w:left="424" w:leftChars="202" w:firstLine="480"/>
        <w:rPr>
          <w:rFonts w:hint="eastAsia" w:ascii="宋体" w:hAnsi="宋体"/>
          <w:color w:val="auto"/>
          <w:sz w:val="21"/>
          <w:szCs w:val="21"/>
        </w:rPr>
      </w:pPr>
      <w:r>
        <w:rPr>
          <w:rFonts w:hint="eastAsia" w:ascii="宋体" w:hAnsi="宋体"/>
          <w:color w:val="auto"/>
          <w:sz w:val="21"/>
          <w:szCs w:val="21"/>
        </w:rPr>
        <w:t>1.</w:t>
      </w:r>
      <w:r>
        <w:rPr>
          <w:rFonts w:hint="eastAsia" w:ascii="宋体" w:hAnsi="宋体"/>
          <w:color w:val="auto"/>
          <w:sz w:val="21"/>
          <w:szCs w:val="21"/>
          <w:lang w:val="en-US" w:eastAsia="zh-CN"/>
        </w:rPr>
        <w:t>8</w:t>
      </w:r>
      <w:r>
        <w:rPr>
          <w:rFonts w:hint="eastAsia" w:ascii="宋体" w:hAnsi="宋体"/>
          <w:color w:val="auto"/>
          <w:sz w:val="21"/>
          <w:szCs w:val="21"/>
        </w:rPr>
        <w:t>控制系统能自动标定准确度(负荷、位移)、自动调零；</w:t>
      </w:r>
    </w:p>
    <w:p w14:paraId="62B6BD46">
      <w:pPr>
        <w:ind w:left="424" w:leftChars="202" w:firstLine="480"/>
        <w:rPr>
          <w:rFonts w:hint="eastAsia" w:ascii="宋体" w:hAnsi="宋体"/>
          <w:color w:val="auto"/>
          <w:sz w:val="21"/>
          <w:szCs w:val="21"/>
        </w:rPr>
      </w:pPr>
      <w:r>
        <w:rPr>
          <w:rFonts w:hint="eastAsia" w:ascii="宋体" w:hAnsi="宋体"/>
          <w:color w:val="auto"/>
          <w:sz w:val="21"/>
          <w:szCs w:val="21"/>
        </w:rPr>
        <w:t>1.</w:t>
      </w:r>
      <w:r>
        <w:rPr>
          <w:rFonts w:hint="eastAsia" w:ascii="宋体" w:hAnsi="宋体"/>
          <w:color w:val="auto"/>
          <w:sz w:val="21"/>
          <w:szCs w:val="21"/>
          <w:lang w:val="en-US" w:eastAsia="zh-CN"/>
        </w:rPr>
        <w:t>9</w:t>
      </w:r>
      <w:r>
        <w:rPr>
          <w:rFonts w:hint="eastAsia" w:ascii="宋体" w:hAnsi="宋体"/>
          <w:color w:val="auto"/>
          <w:sz w:val="21"/>
          <w:szCs w:val="21"/>
        </w:rPr>
        <w:t xml:space="preserve"> 全数字显示负荷、位移、试验频率、疲劳次数等多个工程量。</w:t>
      </w:r>
    </w:p>
    <w:p w14:paraId="58BE7C2B">
      <w:pPr>
        <w:ind w:firstLine="482"/>
        <w:rPr>
          <w:rFonts w:hint="eastAsia" w:ascii="宋体" w:hAnsi="宋体"/>
          <w:b/>
          <w:bCs/>
          <w:color w:val="auto"/>
          <w:sz w:val="21"/>
          <w:szCs w:val="21"/>
        </w:rPr>
      </w:pPr>
      <w:r>
        <w:rPr>
          <w:rFonts w:hint="eastAsia" w:ascii="宋体" w:hAnsi="宋体"/>
          <w:b/>
          <w:bCs/>
          <w:color w:val="auto"/>
          <w:sz w:val="21"/>
          <w:szCs w:val="21"/>
        </w:rPr>
        <w:t>(二)、控制软件</w:t>
      </w:r>
    </w:p>
    <w:p w14:paraId="7188A2E8">
      <w:pPr>
        <w:ind w:left="424" w:leftChars="202" w:firstLine="480"/>
        <w:rPr>
          <w:rFonts w:hint="eastAsia" w:ascii="宋体" w:hAnsi="宋体"/>
          <w:color w:val="auto"/>
          <w:sz w:val="21"/>
          <w:szCs w:val="21"/>
        </w:rPr>
      </w:pPr>
      <w:r>
        <w:rPr>
          <w:rFonts w:hint="eastAsia" w:ascii="宋体" w:hAnsi="宋体"/>
          <w:color w:val="auto"/>
          <w:sz w:val="21"/>
          <w:szCs w:val="21"/>
        </w:rPr>
        <w:t>2.</w:t>
      </w:r>
      <w:r>
        <w:rPr>
          <w:rFonts w:hint="eastAsia" w:ascii="宋体" w:hAnsi="宋体"/>
          <w:color w:val="auto"/>
          <w:sz w:val="21"/>
          <w:szCs w:val="21"/>
          <w:lang w:val="en-US" w:eastAsia="zh-CN"/>
        </w:rPr>
        <w:t>1</w:t>
      </w:r>
      <w:r>
        <w:rPr>
          <w:rFonts w:hint="eastAsia" w:ascii="宋体" w:hAnsi="宋体"/>
          <w:color w:val="auto"/>
          <w:sz w:val="21"/>
          <w:szCs w:val="21"/>
        </w:rPr>
        <w:t xml:space="preserve"> 设定传感器的零位及增益进行传感器的标定；</w:t>
      </w:r>
    </w:p>
    <w:p w14:paraId="11592290">
      <w:pPr>
        <w:ind w:left="424" w:leftChars="202" w:firstLine="480"/>
        <w:rPr>
          <w:rFonts w:hint="eastAsia" w:ascii="宋体" w:hAnsi="宋体"/>
          <w:color w:val="auto"/>
          <w:sz w:val="21"/>
          <w:szCs w:val="21"/>
        </w:rPr>
      </w:pPr>
      <w:r>
        <w:rPr>
          <w:rFonts w:hint="eastAsia" w:ascii="宋体" w:hAnsi="宋体"/>
          <w:color w:val="auto"/>
          <w:sz w:val="21"/>
          <w:szCs w:val="21"/>
        </w:rPr>
        <w:t>2.</w:t>
      </w:r>
      <w:r>
        <w:rPr>
          <w:rFonts w:hint="eastAsia" w:ascii="宋体" w:hAnsi="宋体"/>
          <w:color w:val="auto"/>
          <w:sz w:val="21"/>
          <w:szCs w:val="21"/>
          <w:lang w:val="en-US" w:eastAsia="zh-CN"/>
        </w:rPr>
        <w:t>2</w:t>
      </w:r>
      <w:r>
        <w:rPr>
          <w:rFonts w:hint="eastAsia" w:ascii="宋体" w:hAnsi="宋体"/>
          <w:color w:val="auto"/>
          <w:sz w:val="21"/>
          <w:szCs w:val="21"/>
        </w:rPr>
        <w:t xml:space="preserve"> 系统安全保护软件；</w:t>
      </w:r>
    </w:p>
    <w:p w14:paraId="04AB5A62">
      <w:pPr>
        <w:ind w:left="424" w:leftChars="202" w:firstLine="480"/>
        <w:rPr>
          <w:rFonts w:hint="eastAsia" w:ascii="宋体" w:hAnsi="宋体"/>
          <w:color w:val="auto"/>
          <w:sz w:val="21"/>
          <w:szCs w:val="21"/>
        </w:rPr>
      </w:pPr>
      <w:r>
        <w:rPr>
          <w:rFonts w:hint="eastAsia" w:ascii="宋体" w:hAnsi="宋体"/>
          <w:color w:val="auto"/>
          <w:sz w:val="21"/>
          <w:szCs w:val="21"/>
        </w:rPr>
        <w:t>2.</w:t>
      </w:r>
      <w:r>
        <w:rPr>
          <w:rFonts w:hint="eastAsia" w:ascii="宋体" w:hAnsi="宋体"/>
          <w:color w:val="auto"/>
          <w:sz w:val="21"/>
          <w:szCs w:val="21"/>
          <w:lang w:val="en-US" w:eastAsia="zh-CN"/>
        </w:rPr>
        <w:t>3</w:t>
      </w:r>
      <w:r>
        <w:rPr>
          <w:rFonts w:hint="eastAsia" w:ascii="宋体" w:hAnsi="宋体"/>
          <w:color w:val="auto"/>
          <w:sz w:val="21"/>
          <w:szCs w:val="21"/>
        </w:rPr>
        <w:t xml:space="preserve"> 动态、静力试验谱载荷谱设定软件；</w:t>
      </w:r>
    </w:p>
    <w:p w14:paraId="1734ECAA">
      <w:pPr>
        <w:ind w:left="424" w:leftChars="202" w:firstLine="480"/>
        <w:rPr>
          <w:rFonts w:hint="eastAsia" w:ascii="宋体" w:hAnsi="宋体"/>
          <w:color w:val="auto"/>
          <w:sz w:val="21"/>
          <w:szCs w:val="21"/>
        </w:rPr>
      </w:pPr>
      <w:r>
        <w:rPr>
          <w:rFonts w:hint="eastAsia" w:ascii="宋体" w:hAnsi="宋体"/>
          <w:color w:val="auto"/>
          <w:sz w:val="21"/>
          <w:szCs w:val="21"/>
        </w:rPr>
        <w:t>2.</w:t>
      </w:r>
      <w:r>
        <w:rPr>
          <w:rFonts w:hint="eastAsia" w:ascii="宋体" w:hAnsi="宋体"/>
          <w:color w:val="auto"/>
          <w:sz w:val="21"/>
          <w:szCs w:val="21"/>
          <w:lang w:val="en-US" w:eastAsia="zh-CN"/>
        </w:rPr>
        <w:t>4</w:t>
      </w:r>
      <w:r>
        <w:rPr>
          <w:rFonts w:hint="eastAsia" w:ascii="宋体" w:hAnsi="宋体"/>
          <w:color w:val="auto"/>
          <w:sz w:val="21"/>
          <w:szCs w:val="21"/>
        </w:rPr>
        <w:t xml:space="preserve"> 系统控制方式：负荷和位移等控制方式，可相互平滑切换；</w:t>
      </w:r>
    </w:p>
    <w:p w14:paraId="388C30C5">
      <w:pPr>
        <w:ind w:left="424" w:leftChars="202" w:firstLine="480"/>
        <w:rPr>
          <w:rFonts w:hint="eastAsia" w:ascii="宋体" w:hAnsi="宋体"/>
          <w:color w:val="auto"/>
          <w:sz w:val="21"/>
          <w:szCs w:val="21"/>
        </w:rPr>
      </w:pPr>
      <w:r>
        <w:rPr>
          <w:rFonts w:hint="eastAsia" w:ascii="宋体" w:hAnsi="宋体"/>
          <w:color w:val="auto"/>
          <w:sz w:val="21"/>
          <w:szCs w:val="21"/>
        </w:rPr>
        <w:t>2.</w:t>
      </w:r>
      <w:r>
        <w:rPr>
          <w:rFonts w:hint="eastAsia" w:ascii="宋体" w:hAnsi="宋体"/>
          <w:color w:val="auto"/>
          <w:sz w:val="21"/>
          <w:szCs w:val="21"/>
          <w:lang w:val="en-US" w:eastAsia="zh-CN"/>
        </w:rPr>
        <w:t>5</w:t>
      </w:r>
      <w:r>
        <w:rPr>
          <w:rFonts w:hint="eastAsia" w:ascii="宋体" w:hAnsi="宋体"/>
          <w:color w:val="auto"/>
          <w:sz w:val="21"/>
          <w:szCs w:val="21"/>
        </w:rPr>
        <w:t xml:space="preserve"> 系统诊断：可以在试验开始前检测系统的各类硬件故障；</w:t>
      </w:r>
    </w:p>
    <w:p w14:paraId="72978F46">
      <w:pPr>
        <w:ind w:left="424" w:leftChars="202" w:firstLine="480"/>
        <w:rPr>
          <w:rFonts w:hint="eastAsia" w:ascii="宋体" w:hAnsi="宋体"/>
          <w:color w:val="auto"/>
          <w:sz w:val="21"/>
          <w:szCs w:val="21"/>
        </w:rPr>
      </w:pPr>
      <w:r>
        <w:rPr>
          <w:rFonts w:hint="eastAsia" w:ascii="宋体" w:hAnsi="宋体"/>
          <w:color w:val="auto"/>
          <w:sz w:val="21"/>
          <w:szCs w:val="21"/>
        </w:rPr>
        <w:t>2.</w:t>
      </w:r>
      <w:r>
        <w:rPr>
          <w:rFonts w:hint="eastAsia" w:ascii="宋体" w:hAnsi="宋体"/>
          <w:color w:val="auto"/>
          <w:sz w:val="21"/>
          <w:szCs w:val="21"/>
          <w:lang w:val="en-US" w:eastAsia="zh-CN"/>
        </w:rPr>
        <w:t>6</w:t>
      </w:r>
      <w:r>
        <w:rPr>
          <w:rFonts w:hint="eastAsia" w:ascii="宋体" w:hAnsi="宋体"/>
          <w:color w:val="auto"/>
          <w:sz w:val="21"/>
          <w:szCs w:val="21"/>
        </w:rPr>
        <w:t xml:space="preserve"> 通道分配：可任意设定试验所占用的通道；</w:t>
      </w:r>
    </w:p>
    <w:p w14:paraId="5B195350">
      <w:pPr>
        <w:ind w:left="424" w:leftChars="202" w:firstLine="480"/>
        <w:rPr>
          <w:rFonts w:hint="eastAsia" w:ascii="宋体" w:hAnsi="宋体"/>
          <w:color w:val="auto"/>
          <w:sz w:val="21"/>
          <w:szCs w:val="21"/>
        </w:rPr>
      </w:pPr>
      <w:r>
        <w:rPr>
          <w:rFonts w:hint="eastAsia" w:ascii="宋体" w:hAnsi="宋体"/>
          <w:color w:val="auto"/>
          <w:sz w:val="21"/>
          <w:szCs w:val="21"/>
        </w:rPr>
        <w:t>2.</w:t>
      </w:r>
      <w:r>
        <w:rPr>
          <w:rFonts w:hint="eastAsia" w:ascii="宋体" w:hAnsi="宋体"/>
          <w:color w:val="auto"/>
          <w:sz w:val="21"/>
          <w:szCs w:val="21"/>
          <w:lang w:val="en-US" w:eastAsia="zh-CN"/>
        </w:rPr>
        <w:t>7</w:t>
      </w:r>
      <w:r>
        <w:rPr>
          <w:rFonts w:hint="eastAsia" w:ascii="宋体" w:hAnsi="宋体"/>
          <w:color w:val="auto"/>
          <w:sz w:val="21"/>
          <w:szCs w:val="21"/>
        </w:rPr>
        <w:t xml:space="preserve"> 试验参数的设置：控制方式及相关参数、卸载时间、试验开始点等；</w:t>
      </w:r>
    </w:p>
    <w:p w14:paraId="6071FB71">
      <w:pPr>
        <w:ind w:left="424" w:leftChars="202" w:firstLine="480"/>
        <w:rPr>
          <w:rFonts w:hint="eastAsia" w:ascii="宋体" w:hAnsi="宋体"/>
          <w:color w:val="auto"/>
          <w:sz w:val="21"/>
          <w:szCs w:val="21"/>
        </w:rPr>
      </w:pPr>
      <w:r>
        <w:rPr>
          <w:rFonts w:hint="eastAsia" w:ascii="宋体" w:hAnsi="宋体"/>
          <w:color w:val="auto"/>
          <w:sz w:val="21"/>
          <w:szCs w:val="21"/>
        </w:rPr>
        <w:t>2.</w:t>
      </w:r>
      <w:r>
        <w:rPr>
          <w:rFonts w:hint="eastAsia" w:ascii="宋体" w:hAnsi="宋体"/>
          <w:color w:val="auto"/>
          <w:sz w:val="21"/>
          <w:szCs w:val="21"/>
          <w:lang w:val="en-US" w:eastAsia="zh-CN"/>
        </w:rPr>
        <w:t>8</w:t>
      </w:r>
      <w:r>
        <w:rPr>
          <w:rFonts w:hint="eastAsia" w:ascii="宋体" w:hAnsi="宋体"/>
          <w:color w:val="auto"/>
          <w:sz w:val="21"/>
          <w:szCs w:val="21"/>
        </w:rPr>
        <w:t xml:space="preserve"> 试验选择：试验可以同时控制多个通道；</w:t>
      </w:r>
    </w:p>
    <w:p w14:paraId="05D7B7F6">
      <w:pPr>
        <w:ind w:left="424" w:leftChars="202" w:firstLine="480"/>
        <w:rPr>
          <w:rFonts w:hint="eastAsia" w:ascii="宋体" w:hAnsi="宋体"/>
          <w:color w:val="auto"/>
          <w:sz w:val="21"/>
          <w:szCs w:val="21"/>
        </w:rPr>
      </w:pPr>
      <w:r>
        <w:rPr>
          <w:rFonts w:hint="eastAsia" w:ascii="宋体" w:hAnsi="宋体"/>
          <w:color w:val="auto"/>
          <w:sz w:val="21"/>
          <w:szCs w:val="21"/>
        </w:rPr>
        <w:t>2.</w:t>
      </w:r>
      <w:r>
        <w:rPr>
          <w:rFonts w:hint="eastAsia" w:ascii="宋体" w:hAnsi="宋体"/>
          <w:color w:val="auto"/>
          <w:sz w:val="21"/>
          <w:szCs w:val="21"/>
          <w:lang w:val="en-US" w:eastAsia="zh-CN"/>
        </w:rPr>
        <w:t>9</w:t>
      </w:r>
      <w:r>
        <w:rPr>
          <w:rFonts w:hint="eastAsia" w:ascii="宋体" w:hAnsi="宋体"/>
          <w:color w:val="auto"/>
          <w:sz w:val="21"/>
          <w:szCs w:val="21"/>
        </w:rPr>
        <w:t xml:space="preserve"> 曲线显示：曲线的类型、范围、时间长度可选；在同一曲线显示框中可同时显示多条曲线，并可同时打开曲线显示框；</w:t>
      </w:r>
    </w:p>
    <w:p w14:paraId="0146C7B2">
      <w:pPr>
        <w:ind w:left="424" w:leftChars="202" w:firstLine="480"/>
        <w:rPr>
          <w:rFonts w:hint="eastAsia" w:ascii="宋体" w:hAnsi="宋体"/>
          <w:color w:val="auto"/>
          <w:sz w:val="21"/>
          <w:szCs w:val="21"/>
        </w:rPr>
      </w:pPr>
      <w:r>
        <w:rPr>
          <w:rFonts w:hint="eastAsia" w:ascii="宋体" w:hAnsi="宋体"/>
          <w:color w:val="auto"/>
          <w:sz w:val="21"/>
          <w:szCs w:val="21"/>
        </w:rPr>
        <w:t>2.</w:t>
      </w:r>
      <w:r>
        <w:rPr>
          <w:rFonts w:hint="eastAsia" w:ascii="宋体" w:hAnsi="宋体"/>
          <w:color w:val="auto"/>
          <w:sz w:val="21"/>
          <w:szCs w:val="21"/>
          <w:lang w:val="en-US" w:eastAsia="zh-CN"/>
        </w:rPr>
        <w:t>10</w:t>
      </w:r>
      <w:r>
        <w:rPr>
          <w:rFonts w:hint="eastAsia" w:ascii="宋体" w:hAnsi="宋体"/>
          <w:color w:val="auto"/>
          <w:sz w:val="21"/>
          <w:szCs w:val="21"/>
        </w:rPr>
        <w:t xml:space="preserve"> 试验报告：用户可以随时打开或关闭数据报告、运行状态报告、试验开始点报告、卸载报告等；</w:t>
      </w:r>
    </w:p>
    <w:p w14:paraId="6B7A51DC">
      <w:pPr>
        <w:ind w:left="424" w:leftChars="202" w:firstLine="480"/>
        <w:rPr>
          <w:rFonts w:hint="eastAsia" w:ascii="宋体" w:hAnsi="宋体"/>
          <w:color w:val="auto"/>
          <w:sz w:val="21"/>
          <w:szCs w:val="21"/>
        </w:rPr>
      </w:pPr>
      <w:r>
        <w:rPr>
          <w:rFonts w:hint="eastAsia" w:ascii="宋体" w:hAnsi="宋体"/>
          <w:color w:val="auto"/>
          <w:sz w:val="21"/>
          <w:szCs w:val="21"/>
        </w:rPr>
        <w:t>2.1</w:t>
      </w:r>
      <w:r>
        <w:rPr>
          <w:rFonts w:hint="eastAsia" w:ascii="宋体" w:hAnsi="宋体"/>
          <w:color w:val="auto"/>
          <w:sz w:val="21"/>
          <w:szCs w:val="21"/>
          <w:lang w:val="en-US" w:eastAsia="zh-CN"/>
        </w:rPr>
        <w:t>1</w:t>
      </w:r>
      <w:r>
        <w:rPr>
          <w:rFonts w:hint="eastAsia" w:ascii="宋体" w:hAnsi="宋体"/>
          <w:color w:val="auto"/>
          <w:sz w:val="21"/>
          <w:szCs w:val="21"/>
        </w:rPr>
        <w:t xml:space="preserve"> 数据存储：试验的数据可以根据用户的需要可以随时保存，且数据可以用其他的标准软件进行数据处理及分析。在试验的过程中，用户可以随时干预试验，如调整PID参数，阀控参数、保持、加速、增幅、减幅、卸载等，以保证试验的精确性；</w:t>
      </w:r>
    </w:p>
    <w:p w14:paraId="30BCBB0F">
      <w:pPr>
        <w:ind w:left="424" w:leftChars="202" w:firstLine="480"/>
        <w:rPr>
          <w:rFonts w:hint="eastAsia" w:ascii="宋体" w:hAnsi="宋体"/>
          <w:color w:val="auto"/>
          <w:sz w:val="21"/>
          <w:szCs w:val="21"/>
        </w:rPr>
      </w:pPr>
      <w:r>
        <w:rPr>
          <w:rFonts w:hint="eastAsia" w:ascii="宋体" w:hAnsi="宋体"/>
          <w:color w:val="auto"/>
          <w:sz w:val="21"/>
          <w:szCs w:val="21"/>
        </w:rPr>
        <w:t>2.1</w:t>
      </w:r>
      <w:r>
        <w:rPr>
          <w:rFonts w:hint="eastAsia" w:ascii="宋体" w:hAnsi="宋体"/>
          <w:color w:val="auto"/>
          <w:sz w:val="21"/>
          <w:szCs w:val="21"/>
          <w:lang w:val="en-US" w:eastAsia="zh-CN"/>
        </w:rPr>
        <w:t>2</w:t>
      </w:r>
      <w:r>
        <w:rPr>
          <w:rFonts w:hint="eastAsia" w:ascii="宋体" w:hAnsi="宋体"/>
          <w:color w:val="auto"/>
          <w:sz w:val="21"/>
          <w:szCs w:val="21"/>
        </w:rPr>
        <w:t xml:space="preserve"> 控制软件保护功能，在本系统出现故障时，能记录并保存异常信息，并根据用户的设置采取保载，快速卸载或缩回等安全保护动作，尽可能保证试验件不出现意外损坏；</w:t>
      </w:r>
    </w:p>
    <w:p w14:paraId="40524FF5">
      <w:pPr>
        <w:ind w:left="424" w:leftChars="202" w:firstLine="480"/>
        <w:rPr>
          <w:rFonts w:hint="eastAsia" w:ascii="宋体" w:hAnsi="宋体"/>
          <w:color w:val="auto"/>
          <w:sz w:val="21"/>
          <w:szCs w:val="21"/>
        </w:rPr>
      </w:pPr>
      <w:r>
        <w:rPr>
          <w:rFonts w:hint="eastAsia" w:ascii="宋体" w:hAnsi="宋体"/>
          <w:color w:val="auto"/>
          <w:sz w:val="21"/>
          <w:szCs w:val="21"/>
        </w:rPr>
        <w:t>2.1</w:t>
      </w:r>
      <w:bookmarkStart w:id="116" w:name="OLE_LINK1"/>
      <w:r>
        <w:rPr>
          <w:rFonts w:hint="eastAsia" w:ascii="宋体" w:hAnsi="宋体"/>
          <w:color w:val="auto"/>
          <w:sz w:val="21"/>
          <w:szCs w:val="21"/>
          <w:lang w:val="en-US" w:eastAsia="zh-CN"/>
        </w:rPr>
        <w:t>3</w:t>
      </w:r>
      <w:r>
        <w:rPr>
          <w:rFonts w:hint="eastAsia" w:ascii="宋体" w:hAnsi="宋体"/>
          <w:color w:val="auto"/>
          <w:sz w:val="21"/>
          <w:szCs w:val="21"/>
        </w:rPr>
        <w:t xml:space="preserve"> 控制软件对用户进行分级管理</w:t>
      </w:r>
      <w:bookmarkEnd w:id="116"/>
      <w:r>
        <w:rPr>
          <w:rFonts w:hint="eastAsia" w:ascii="宋体" w:hAnsi="宋体"/>
          <w:color w:val="auto"/>
          <w:sz w:val="21"/>
          <w:szCs w:val="21"/>
        </w:rPr>
        <w:t>，不同级别的用户有不同的操作权限；</w:t>
      </w:r>
    </w:p>
    <w:p w14:paraId="74D935EC">
      <w:pPr>
        <w:ind w:left="424" w:leftChars="202" w:firstLine="480"/>
        <w:rPr>
          <w:rFonts w:hint="eastAsia" w:ascii="宋体" w:hAnsi="宋体"/>
          <w:b/>
          <w:bCs/>
          <w:color w:val="auto"/>
          <w:sz w:val="21"/>
          <w:szCs w:val="21"/>
        </w:rPr>
      </w:pPr>
      <w:r>
        <w:rPr>
          <w:rFonts w:hint="eastAsia" w:ascii="宋体" w:hAnsi="宋体"/>
          <w:color w:val="auto"/>
          <w:sz w:val="21"/>
          <w:szCs w:val="21"/>
        </w:rPr>
        <w:t>2.1</w:t>
      </w:r>
      <w:r>
        <w:rPr>
          <w:rFonts w:hint="eastAsia" w:ascii="宋体" w:hAnsi="宋体"/>
          <w:color w:val="auto"/>
          <w:sz w:val="21"/>
          <w:szCs w:val="21"/>
          <w:lang w:val="en-US" w:eastAsia="zh-CN"/>
        </w:rPr>
        <w:t>4</w:t>
      </w:r>
      <w:r>
        <w:rPr>
          <w:rFonts w:hint="eastAsia" w:ascii="宋体" w:hAnsi="宋体"/>
          <w:color w:val="auto"/>
          <w:sz w:val="21"/>
          <w:szCs w:val="21"/>
        </w:rPr>
        <w:t xml:space="preserve"> 控制软件具有可靠的续航试验功能，当因意外情况导致试验中断时，用户可以在中断的试验步重启继续试验，保证试验数据的安全。</w:t>
      </w:r>
    </w:p>
    <w:p w14:paraId="4D0B1717">
      <w:pPr>
        <w:ind w:firstLine="482"/>
        <w:rPr>
          <w:rFonts w:hint="eastAsia" w:ascii="宋体" w:hAnsi="宋体"/>
          <w:b/>
          <w:bCs/>
          <w:color w:val="auto"/>
          <w:sz w:val="21"/>
          <w:szCs w:val="21"/>
        </w:rPr>
      </w:pPr>
      <w:r>
        <w:rPr>
          <w:rFonts w:hint="eastAsia" w:ascii="宋体" w:hAnsi="宋体"/>
          <w:b/>
          <w:bCs/>
          <w:color w:val="auto"/>
          <w:sz w:val="21"/>
          <w:szCs w:val="21"/>
        </w:rPr>
        <w:t>(三)、其他要求</w:t>
      </w:r>
    </w:p>
    <w:p w14:paraId="3D81A818">
      <w:pPr>
        <w:ind w:firstLine="480"/>
        <w:rPr>
          <w:rFonts w:hint="eastAsia" w:ascii="宋体" w:hAnsi="宋体"/>
          <w:color w:val="auto"/>
          <w:sz w:val="21"/>
          <w:szCs w:val="21"/>
        </w:rPr>
      </w:pPr>
      <w:r>
        <w:rPr>
          <w:rFonts w:hint="eastAsia" w:ascii="宋体" w:hAnsi="宋体"/>
          <w:color w:val="auto"/>
          <w:sz w:val="21"/>
          <w:szCs w:val="21"/>
        </w:rPr>
        <w:t>▲此设备为非标定制存在适配及技术风险，投标时须提供生产厂家盖章的：技术方案书（含详细方案及配置）、设计图（效果图或实物图）、售后服务承诺（含免费质保三年承诺），否则视为不响应本项目实质性要求）。</w:t>
      </w:r>
    </w:p>
    <w:p w14:paraId="5F156A8E">
      <w:pPr>
        <w:rPr>
          <w:color w:val="auto"/>
        </w:rPr>
      </w:pPr>
      <w:r>
        <w:rPr>
          <w:rFonts w:hint="eastAsia"/>
          <w:color w:val="auto"/>
        </w:rPr>
        <w:br w:type="page"/>
      </w:r>
    </w:p>
    <w:bookmarkEnd w:id="113"/>
    <w:p w14:paraId="53A5AC31">
      <w:pPr>
        <w:pStyle w:val="2"/>
        <w:ind w:firstLine="883"/>
        <w:rPr>
          <w:color w:val="auto"/>
        </w:rPr>
      </w:pPr>
      <w:bookmarkStart w:id="117" w:name="_Toc22478"/>
      <w:r>
        <w:rPr>
          <w:rFonts w:hint="eastAsia"/>
          <w:color w:val="auto"/>
        </w:rPr>
        <w:t>第四章 磋商内容、磋商过程中可能实质性变动的内容</w:t>
      </w:r>
      <w:bookmarkEnd w:id="111"/>
      <w:bookmarkEnd w:id="117"/>
    </w:p>
    <w:p w14:paraId="15CBAF24">
      <w:pPr>
        <w:pStyle w:val="16"/>
        <w:rPr>
          <w:color w:val="auto"/>
        </w:rPr>
      </w:pPr>
    </w:p>
    <w:p w14:paraId="420ABBAA">
      <w:pPr>
        <w:pStyle w:val="94"/>
        <w:rPr>
          <w:rFonts w:hint="eastAsia"/>
          <w:color w:val="auto"/>
        </w:rPr>
      </w:pPr>
      <w:r>
        <w:rPr>
          <w:rFonts w:hint="eastAsia"/>
          <w:color w:val="auto"/>
        </w:rPr>
        <w:t>1.磋商小组根据与供应商磋商情况可能实质性变动的内容：</w:t>
      </w:r>
      <w:r>
        <w:rPr>
          <w:rFonts w:hint="eastAsia"/>
          <w:color w:val="auto"/>
          <w:u w:val="single"/>
        </w:rPr>
        <w:t xml:space="preserve">  无  </w:t>
      </w:r>
    </w:p>
    <w:p w14:paraId="30CE3C74">
      <w:pPr>
        <w:pStyle w:val="94"/>
        <w:rPr>
          <w:rFonts w:hint="eastAsia"/>
          <w:color w:val="auto"/>
        </w:rPr>
      </w:pPr>
      <w:r>
        <w:rPr>
          <w:rFonts w:hint="eastAsia"/>
          <w:color w:val="auto"/>
        </w:rPr>
        <w:t>2.不得变动采购文件中的其他内容。</w:t>
      </w:r>
    </w:p>
    <w:p w14:paraId="72F203DB">
      <w:pPr>
        <w:rPr>
          <w:color w:val="auto"/>
        </w:rPr>
      </w:pPr>
      <w:r>
        <w:rPr>
          <w:rFonts w:hint="eastAsia"/>
          <w:color w:val="auto"/>
        </w:rPr>
        <w:br w:type="page"/>
      </w:r>
    </w:p>
    <w:p w14:paraId="498AE0F8">
      <w:pPr>
        <w:pStyle w:val="2"/>
        <w:ind w:firstLine="883"/>
        <w:rPr>
          <w:color w:val="auto"/>
        </w:rPr>
      </w:pPr>
      <w:bookmarkStart w:id="118" w:name="_Toc24143"/>
      <w:bookmarkStart w:id="119" w:name="_Toc14797"/>
      <w:r>
        <w:rPr>
          <w:rFonts w:hint="eastAsia"/>
          <w:color w:val="auto"/>
        </w:rPr>
        <w:t>第五章 磋商程序、评审方法及评审标准</w:t>
      </w:r>
      <w:bookmarkEnd w:id="118"/>
      <w:bookmarkEnd w:id="119"/>
    </w:p>
    <w:p w14:paraId="6FE56009">
      <w:pPr>
        <w:pStyle w:val="16"/>
        <w:rPr>
          <w:color w:val="auto"/>
        </w:rPr>
      </w:pPr>
    </w:p>
    <w:p w14:paraId="4DA22038">
      <w:pPr>
        <w:pStyle w:val="16"/>
        <w:rPr>
          <w:color w:val="auto"/>
        </w:rPr>
      </w:pPr>
      <w:r>
        <w:rPr>
          <w:rFonts w:hint="eastAsia"/>
          <w:color w:val="auto"/>
        </w:rPr>
        <w:t>磋商小组将按照本项目采购文件及相关法律法规的规定进行磋商及评审工作，采购代理机构负责磋商的组织工作。</w:t>
      </w:r>
    </w:p>
    <w:p w14:paraId="5FBAF45C">
      <w:pPr>
        <w:pStyle w:val="6"/>
        <w:ind w:firstLine="562"/>
        <w:rPr>
          <w:rFonts w:hint="eastAsia"/>
          <w:color w:val="auto"/>
        </w:rPr>
      </w:pPr>
      <w:r>
        <w:rPr>
          <w:rFonts w:hint="eastAsia"/>
          <w:color w:val="auto"/>
        </w:rPr>
        <w:t>一、磋商及评审依据</w:t>
      </w:r>
    </w:p>
    <w:p w14:paraId="223D5C78">
      <w:pPr>
        <w:pStyle w:val="16"/>
        <w:rPr>
          <w:color w:val="auto"/>
        </w:rPr>
      </w:pPr>
      <w:r>
        <w:rPr>
          <w:rFonts w:hint="eastAsia"/>
          <w:color w:val="auto"/>
        </w:rPr>
        <w:t>1、法律法规的相关规定；</w:t>
      </w:r>
    </w:p>
    <w:p w14:paraId="2711226A">
      <w:pPr>
        <w:pStyle w:val="16"/>
        <w:rPr>
          <w:color w:val="auto"/>
        </w:rPr>
      </w:pPr>
      <w:r>
        <w:rPr>
          <w:rFonts w:hint="eastAsia"/>
          <w:color w:val="auto"/>
        </w:rPr>
        <w:t>2、本级或上级政府采购主管部门的相关规定；</w:t>
      </w:r>
    </w:p>
    <w:p w14:paraId="57620689">
      <w:pPr>
        <w:rPr>
          <w:color w:val="auto"/>
        </w:rPr>
      </w:pPr>
      <w:r>
        <w:rPr>
          <w:rFonts w:hint="eastAsia"/>
          <w:color w:val="auto"/>
        </w:rPr>
        <w:t>3、本项目采购文件。</w:t>
      </w:r>
    </w:p>
    <w:p w14:paraId="66A1A14A">
      <w:pPr>
        <w:pStyle w:val="6"/>
        <w:ind w:firstLine="562"/>
        <w:rPr>
          <w:rFonts w:hint="eastAsia"/>
          <w:color w:val="auto"/>
        </w:rPr>
      </w:pPr>
      <w:r>
        <w:rPr>
          <w:rFonts w:hint="eastAsia"/>
          <w:color w:val="auto"/>
        </w:rPr>
        <w:t>二、磋商原则</w:t>
      </w:r>
    </w:p>
    <w:p w14:paraId="61B586D2">
      <w:pPr>
        <w:pStyle w:val="16"/>
        <w:rPr>
          <w:color w:val="auto"/>
        </w:rPr>
      </w:pPr>
      <w:r>
        <w:rPr>
          <w:rFonts w:hint="eastAsia"/>
          <w:color w:val="auto"/>
        </w:rPr>
        <w:t>磋商小组成员应当按照客观、公正、审慎的原则，根据磋商文件规定的评审程序、评审方法和评审标准进行独立评审。</w:t>
      </w:r>
    </w:p>
    <w:p w14:paraId="0C02188F">
      <w:pPr>
        <w:pStyle w:val="6"/>
        <w:ind w:firstLine="562"/>
        <w:rPr>
          <w:rFonts w:hint="eastAsia"/>
          <w:color w:val="auto"/>
        </w:rPr>
      </w:pPr>
      <w:r>
        <w:rPr>
          <w:rFonts w:hint="eastAsia"/>
          <w:color w:val="auto"/>
        </w:rPr>
        <w:t>三、组建磋商小组</w:t>
      </w:r>
    </w:p>
    <w:p w14:paraId="4774D980">
      <w:pPr>
        <w:pStyle w:val="16"/>
        <w:rPr>
          <w:color w:val="auto"/>
        </w:rPr>
      </w:pPr>
      <w:r>
        <w:rPr>
          <w:rFonts w:hint="eastAsia"/>
          <w:color w:val="auto"/>
        </w:rPr>
        <w:t xml:space="preserve">1、采购人与采购代理机构将按照相关法律法规及财政部门的有关规定依法组建竞争性磋商小组（以下简称磋商小组），负责本项目的磋商及评审工作； </w:t>
      </w:r>
    </w:p>
    <w:p w14:paraId="68C8DC23">
      <w:pPr>
        <w:pStyle w:val="16"/>
        <w:rPr>
          <w:color w:val="auto"/>
        </w:rPr>
      </w:pPr>
      <w:r>
        <w:rPr>
          <w:rFonts w:hint="eastAsia"/>
          <w:color w:val="auto"/>
        </w:rPr>
        <w:t>2、磋商小组由采购人代表和评审专家组成，成员人数为三人。其中，评审专家不得少于成员总数的三分之二。技术复杂、专业性强的采购项目，评审专家中应当包含1名法律专家。具体成员人数见供应商须知前附表。评审专家于磋商开始前在政府采购专家库中随机抽取，并依法组建磋商小组。在成交人确定前，有关人员对磋商小组成员名单必须严格保密，与供应商有利害关系的人员不得进入磋商小组；</w:t>
      </w:r>
    </w:p>
    <w:p w14:paraId="7CB22658">
      <w:pPr>
        <w:pStyle w:val="16"/>
        <w:rPr>
          <w:color w:val="auto"/>
        </w:rPr>
      </w:pPr>
      <w:r>
        <w:rPr>
          <w:rFonts w:hint="eastAsia"/>
          <w:color w:val="auto"/>
        </w:rPr>
        <w:t>3、参加评审的人员应严格遵守国家有关保密的法律、法规和规定，并接受有关部门的监督；</w:t>
      </w:r>
    </w:p>
    <w:p w14:paraId="5975F2EE">
      <w:pPr>
        <w:pStyle w:val="16"/>
        <w:ind w:firstLine="396"/>
        <w:rPr>
          <w:color w:val="auto"/>
          <w:spacing w:val="-6"/>
        </w:rPr>
      </w:pPr>
      <w:r>
        <w:rPr>
          <w:rFonts w:hint="eastAsia"/>
          <w:color w:val="auto"/>
          <w:spacing w:val="-6"/>
        </w:rPr>
        <w:t>4、根据相关法律法规的规定，参加评审的有关人员应对整个磋商、评审过程保密，不得泄露；</w:t>
      </w:r>
    </w:p>
    <w:p w14:paraId="1CF58322">
      <w:pPr>
        <w:pStyle w:val="16"/>
        <w:rPr>
          <w:color w:val="auto"/>
        </w:rPr>
      </w:pPr>
      <w:r>
        <w:rPr>
          <w:rFonts w:hint="eastAsia"/>
          <w:color w:val="auto"/>
        </w:rPr>
        <w:t>5、磋商小组成员应按规定的程序进行磋商及评审；</w:t>
      </w:r>
    </w:p>
    <w:p w14:paraId="11B46DB2">
      <w:pPr>
        <w:pStyle w:val="16"/>
        <w:ind w:firstLine="396"/>
        <w:rPr>
          <w:color w:val="auto"/>
          <w:spacing w:val="-6"/>
        </w:rPr>
      </w:pPr>
      <w:r>
        <w:rPr>
          <w:rFonts w:hint="eastAsia"/>
          <w:color w:val="auto"/>
          <w:spacing w:val="-6"/>
        </w:rPr>
        <w:t>6、磋商小组将对确定为实质上响应磋商文件要求的供应商进行磋商并对其响应文件进行评审；</w:t>
      </w:r>
    </w:p>
    <w:p w14:paraId="51E0FDEF">
      <w:pPr>
        <w:rPr>
          <w:color w:val="auto"/>
        </w:rPr>
      </w:pPr>
      <w:r>
        <w:rPr>
          <w:rFonts w:hint="eastAsia"/>
          <w:color w:val="auto"/>
        </w:rPr>
        <w:t>7、供应商对评审专家施加影响的任何行为，都将被取消成交资格。</w:t>
      </w:r>
    </w:p>
    <w:p w14:paraId="3F7AA379">
      <w:pPr>
        <w:rPr>
          <w:color w:val="auto"/>
        </w:rPr>
      </w:pPr>
      <w:r>
        <w:rPr>
          <w:rFonts w:hint="eastAsia"/>
          <w:color w:val="auto"/>
        </w:rPr>
        <w:t>四、磋商及评审程序如下：</w:t>
      </w:r>
    </w:p>
    <w:p w14:paraId="5EDE3724">
      <w:pPr>
        <w:pStyle w:val="16"/>
        <w:rPr>
          <w:color w:val="auto"/>
        </w:rPr>
      </w:pPr>
      <w:r>
        <w:rPr>
          <w:rFonts w:hint="eastAsia"/>
          <w:color w:val="auto"/>
        </w:rPr>
        <w:t>1、资格审查</w:t>
      </w:r>
    </w:p>
    <w:p w14:paraId="0DF64649">
      <w:pPr>
        <w:pStyle w:val="16"/>
        <w:rPr>
          <w:color w:val="auto"/>
        </w:rPr>
      </w:pPr>
      <w:r>
        <w:rPr>
          <w:rFonts w:hint="eastAsia"/>
          <w:color w:val="auto"/>
        </w:rPr>
        <w:t>磋商小组应依据法律法规和磋商文件的规定，对响应文件是否按照规定要求提供资格性证明材料、是否属于禁止参加磋商的供应商等进行审查，以确定供应商是否具备磋商资格。</w:t>
      </w:r>
    </w:p>
    <w:tbl>
      <w:tblPr>
        <w:tblStyle w:val="39"/>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629"/>
        <w:gridCol w:w="7374"/>
      </w:tblGrid>
      <w:tr w14:paraId="5A1CA6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1674" w:type="dxa"/>
            <w:tcBorders>
              <w:tl2br w:val="nil"/>
              <w:tr2bl w:val="nil"/>
            </w:tcBorders>
            <w:vAlign w:val="center"/>
          </w:tcPr>
          <w:p w14:paraId="3BF308B4">
            <w:pPr>
              <w:pStyle w:val="177"/>
              <w:jc w:val="center"/>
              <w:rPr>
                <w:rFonts w:hint="eastAsia"/>
                <w:color w:val="auto"/>
              </w:rPr>
            </w:pPr>
            <w:r>
              <w:rPr>
                <w:rFonts w:hint="eastAsia"/>
                <w:color w:val="auto"/>
              </w:rPr>
              <w:t>评审因素</w:t>
            </w:r>
          </w:p>
        </w:tc>
        <w:tc>
          <w:tcPr>
            <w:tcW w:w="7614" w:type="dxa"/>
            <w:tcBorders>
              <w:tl2br w:val="nil"/>
              <w:tr2bl w:val="nil"/>
            </w:tcBorders>
            <w:vAlign w:val="center"/>
          </w:tcPr>
          <w:p w14:paraId="75A1C558">
            <w:pPr>
              <w:pStyle w:val="177"/>
              <w:jc w:val="center"/>
              <w:rPr>
                <w:rFonts w:hint="eastAsia"/>
                <w:color w:val="auto"/>
              </w:rPr>
            </w:pPr>
            <w:r>
              <w:rPr>
                <w:rFonts w:hint="eastAsia"/>
                <w:color w:val="auto"/>
              </w:rPr>
              <w:t>评审标准</w:t>
            </w:r>
          </w:p>
        </w:tc>
      </w:tr>
      <w:tr w14:paraId="40773CF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674" w:type="dxa"/>
            <w:tcBorders>
              <w:tl2br w:val="nil"/>
              <w:tr2bl w:val="nil"/>
            </w:tcBorders>
            <w:vAlign w:val="center"/>
          </w:tcPr>
          <w:p w14:paraId="1831F484">
            <w:pPr>
              <w:ind w:firstLine="0" w:firstLineChars="0"/>
              <w:jc w:val="center"/>
              <w:rPr>
                <w:rFonts w:ascii="Calibri" w:hAnsi="Calibri"/>
                <w:color w:val="auto"/>
              </w:rPr>
            </w:pPr>
            <w:r>
              <w:rPr>
                <w:rFonts w:hint="eastAsia" w:ascii="Calibri" w:hAnsi="Calibri"/>
                <w:color w:val="auto"/>
              </w:rPr>
              <w:t>资格性审查</w:t>
            </w:r>
          </w:p>
        </w:tc>
        <w:tc>
          <w:tcPr>
            <w:tcW w:w="7614" w:type="dxa"/>
            <w:tcBorders>
              <w:tl2br w:val="nil"/>
              <w:tr2bl w:val="nil"/>
            </w:tcBorders>
          </w:tcPr>
          <w:p w14:paraId="4F7E26FF">
            <w:pPr>
              <w:rPr>
                <w:rFonts w:ascii="Calibri" w:hAnsi="Calibri" w:cs="宋体"/>
                <w:color w:val="auto"/>
              </w:rPr>
            </w:pPr>
            <w:r>
              <w:rPr>
                <w:rFonts w:hint="eastAsia" w:ascii="Calibri" w:hAnsi="Calibri" w:cs="宋体"/>
                <w:color w:val="auto"/>
              </w:rPr>
              <w:t>1、具有独立承担民事责任的能力（</w:t>
            </w:r>
            <w:r>
              <w:rPr>
                <w:rFonts w:hint="eastAsia" w:ascii="Calibri" w:hAnsi="Calibri"/>
                <w:color w:val="auto"/>
              </w:rPr>
              <w:t>提供法人或者其它组织的营业执照等证明文件，自然人的身份证明</w:t>
            </w:r>
            <w:r>
              <w:rPr>
                <w:rFonts w:hint="eastAsia" w:ascii="Calibri" w:hAnsi="Calibri" w:cs="宋体"/>
                <w:color w:val="auto"/>
              </w:rPr>
              <w:t>）</w:t>
            </w:r>
          </w:p>
          <w:p w14:paraId="35AAE392">
            <w:pPr>
              <w:rPr>
                <w:rFonts w:hint="eastAsia" w:asciiTheme="minorEastAsia" w:hAnsiTheme="minorEastAsia" w:eastAsiaTheme="minorEastAsia" w:cstheme="minorEastAsia"/>
                <w:color w:val="auto"/>
              </w:rPr>
            </w:pPr>
            <w:r>
              <w:rPr>
                <w:rFonts w:hint="eastAsia" w:ascii="Calibri" w:hAnsi="Calibri"/>
                <w:color w:val="auto"/>
              </w:rPr>
              <w:t>2、</w:t>
            </w:r>
            <w:r>
              <w:rPr>
                <w:rFonts w:hint="eastAsia" w:ascii="Calibri" w:hAnsi="Calibri"/>
                <w:color w:val="auto"/>
                <w:kern w:val="0"/>
              </w:rPr>
              <w:t>具有良好的商业信誉和健全的</w:t>
            </w:r>
            <w:r>
              <w:rPr>
                <w:rFonts w:hint="eastAsia" w:asciiTheme="minorEastAsia" w:hAnsiTheme="minorEastAsia" w:eastAsiaTheme="minorEastAsia" w:cstheme="minorEastAsia"/>
                <w:color w:val="auto"/>
                <w:kern w:val="0"/>
              </w:rPr>
              <w:t>财务会计制度（</w:t>
            </w:r>
            <w:r>
              <w:rPr>
                <w:rFonts w:hint="eastAsia" w:asciiTheme="minorEastAsia" w:hAnsiTheme="minorEastAsia" w:eastAsiaTheme="minorEastAsia" w:cstheme="minorEastAsia"/>
                <w:color w:val="auto"/>
                <w:shd w:val="clear" w:color="auto" w:fill="FFFFFF"/>
              </w:rPr>
              <w:t>提供2024年度经审计的财务审计报告，成立时间较短不能提供的，应提交开户银行出具的资信证明。</w:t>
            </w:r>
            <w:r>
              <w:rPr>
                <w:rFonts w:hint="eastAsia" w:asciiTheme="minorEastAsia" w:hAnsiTheme="minorEastAsia" w:eastAsiaTheme="minorEastAsia" w:cstheme="minorEastAsia"/>
                <w:color w:val="auto"/>
                <w:kern w:val="0"/>
              </w:rPr>
              <w:t>）</w:t>
            </w:r>
          </w:p>
          <w:p w14:paraId="77E93732">
            <w:pPr>
              <w:rPr>
                <w:rFonts w:ascii="Calibri" w:hAnsi="Calibri"/>
                <w:color w:val="auto"/>
              </w:rPr>
            </w:pPr>
            <w:r>
              <w:rPr>
                <w:rFonts w:hint="eastAsia" w:ascii="Calibri" w:hAnsi="Calibri"/>
                <w:color w:val="auto"/>
              </w:rPr>
              <w:t>3、具有履行合同所必需的设备和专业技术能力（自行承诺，格式自拟，加盖供应商公章有效）</w:t>
            </w:r>
          </w:p>
          <w:p w14:paraId="48F76D3A">
            <w:pPr>
              <w:rPr>
                <w:rFonts w:ascii="Calibri" w:hAnsi="Calibri"/>
                <w:color w:val="auto"/>
              </w:rPr>
            </w:pPr>
            <w:r>
              <w:rPr>
                <w:rFonts w:hint="eastAsia" w:ascii="Calibri" w:hAnsi="Calibri"/>
                <w:color w:val="auto"/>
              </w:rPr>
              <w:t>4、有依法缴纳税收和社会保障资金的良好记录（供应商须提供2025年6月1日以来任意1个月份依法缴纳税收和社会保障资金的证明资料。依法免税或不需要缴纳社会保障资金的供应商，应提供相应文件证明其依法免税或不需要缴纳社会保障资金，成立不足1个月的提供成立以来的证明资料。）</w:t>
            </w:r>
          </w:p>
          <w:p w14:paraId="572631D8">
            <w:pPr>
              <w:rPr>
                <w:rFonts w:ascii="Calibri" w:hAnsi="Calibri"/>
                <w:color w:val="auto"/>
                <w:kern w:val="0"/>
              </w:rPr>
            </w:pPr>
            <w:r>
              <w:rPr>
                <w:rFonts w:hint="eastAsia" w:ascii="Calibri" w:hAnsi="Calibri"/>
                <w:color w:val="auto"/>
                <w:kern w:val="0"/>
              </w:rPr>
              <w:t>5、</w:t>
            </w:r>
            <w:r>
              <w:rPr>
                <w:rFonts w:hint="eastAsia" w:ascii="Calibri" w:hAnsi="Calibri"/>
                <w:color w:val="auto"/>
              </w:rPr>
              <w:t>参加政府采购活动前三年内，在经营活动中没有重大违法记录</w:t>
            </w:r>
            <w:r>
              <w:rPr>
                <w:rFonts w:hint="eastAsia" w:ascii="Calibri" w:hAnsi="Calibri"/>
                <w:color w:val="auto"/>
                <w:kern w:val="0"/>
              </w:rPr>
              <w:t>（自行承诺，格式自拟，加盖供应商公章有效）</w:t>
            </w:r>
          </w:p>
          <w:p w14:paraId="6F531B42">
            <w:pPr>
              <w:rPr>
                <w:rFonts w:ascii="Calibri" w:hAnsi="Calibri"/>
                <w:color w:val="auto"/>
              </w:rPr>
            </w:pPr>
            <w:r>
              <w:rPr>
                <w:rFonts w:hint="eastAsia" w:ascii="Calibri" w:hAnsi="Calibri"/>
                <w:color w:val="auto"/>
                <w:kern w:val="0"/>
              </w:rPr>
              <w:t>6、</w:t>
            </w:r>
            <w:r>
              <w:rPr>
                <w:rFonts w:hint="eastAsia" w:ascii="Calibri" w:hAnsi="Calibri"/>
                <w:color w:val="auto"/>
              </w:rPr>
              <w:t>根据《关于在政府采购活动中查询及使用信用记录有关问题的通知》(财库[2016]125号)的规定，对列入失信被执行人、重大税收违法失信主体、政府采购严重违法失信行为记录名单的投标供应商，拒绝参与本项目政府采购活动。采购人、采购代理机构，通过“中国执行信息公开网”（zxgk.court.gov.cn/）网站查询“失信被执行人”，通过“信用中国”（www.creditchina.gov.cn）网站查询“重大税收违法失信主体”；通过“中国政府采购网”（www.ccgp.gov.cn/）查询“政府采购严重违法失信行为</w:t>
            </w:r>
            <w:r>
              <w:rPr>
                <w:rFonts w:hint="eastAsia" w:ascii="宋体" w:hAnsi="宋体" w:cs="宋体"/>
                <w:color w:val="auto"/>
                <w:szCs w:val="21"/>
                <w:shd w:val="clear" w:color="auto" w:fill="FFFFFF"/>
              </w:rPr>
              <w:t>记录名单</w:t>
            </w:r>
            <w:r>
              <w:rPr>
                <w:rFonts w:hint="eastAsia" w:ascii="Calibri" w:hAnsi="Calibri"/>
                <w:color w:val="auto"/>
              </w:rPr>
              <w:t>”等相关主体信用记录,信用信息查询记录及相关证据与其他采购文件一并保存。查询时间：开标后。</w:t>
            </w:r>
          </w:p>
          <w:p w14:paraId="6249B37A">
            <w:pPr>
              <w:rPr>
                <w:rFonts w:hint="eastAsia" w:asciiTheme="minorEastAsia" w:hAnsiTheme="minorEastAsia" w:eastAsiaTheme="minorEastAsia" w:cstheme="minorEastAsia"/>
                <w:color w:val="auto"/>
              </w:rPr>
            </w:pPr>
            <w:r>
              <w:rPr>
                <w:rFonts w:hint="eastAsia" w:ascii="Calibri" w:hAnsi="Calibri"/>
                <w:color w:val="auto"/>
              </w:rPr>
              <w:t>7、单位负责人为同一人或者存在直接控股、管理关系的不同供应商，不得参加同一合同项下的政府采购活动。【提供“国家企业信用信息公示系统”中查询打印的相关材料并加盖公章（需包含公司基本信息、股东信息及股权变更信息)，查询日期在本公告发布日期之后】。</w:t>
            </w:r>
          </w:p>
        </w:tc>
      </w:tr>
    </w:tbl>
    <w:p w14:paraId="3969B96D">
      <w:pPr>
        <w:rPr>
          <w:color w:val="auto"/>
          <w:lang w:val="zh-CN" w:bidi="zh-CN"/>
        </w:rPr>
      </w:pPr>
      <w:r>
        <w:rPr>
          <w:rFonts w:hint="eastAsia"/>
          <w:color w:val="auto"/>
          <w:lang w:val="zh-CN" w:bidi="zh-CN"/>
        </w:rPr>
        <w:t>2、响应性文件的符合性审查与澄清</w:t>
      </w:r>
    </w:p>
    <w:p w14:paraId="27FB5634">
      <w:pPr>
        <w:pStyle w:val="16"/>
        <w:rPr>
          <w:color w:val="auto"/>
          <w:lang w:val="zh-CN" w:bidi="zh-CN"/>
        </w:rPr>
      </w:pPr>
      <w:r>
        <w:rPr>
          <w:rFonts w:hint="eastAsia"/>
          <w:color w:val="auto"/>
          <w:lang w:val="zh-CN" w:bidi="zh-CN"/>
        </w:rPr>
        <w:t>磋商小组应依据磋商文件规定的实质性要求，对符合资格的响应文件进行有效性、完整性和响应程度的符合性审查。</w:t>
      </w:r>
    </w:p>
    <w:p w14:paraId="7026C6EE">
      <w:pPr>
        <w:pStyle w:val="16"/>
        <w:rPr>
          <w:color w:val="auto"/>
        </w:rPr>
      </w:pPr>
      <w:r>
        <w:rPr>
          <w:rFonts w:hint="eastAsia"/>
          <w:color w:val="auto"/>
        </w:rPr>
        <w:t>符合性审查表</w:t>
      </w:r>
    </w:p>
    <w:tbl>
      <w:tblPr>
        <w:tblStyle w:val="38"/>
        <w:tblW w:w="5114" w:type="pct"/>
        <w:jc w:val="center"/>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autofit"/>
        <w:tblCellMar>
          <w:top w:w="0" w:type="dxa"/>
          <w:left w:w="0" w:type="dxa"/>
          <w:bottom w:w="0" w:type="dxa"/>
          <w:right w:w="0" w:type="dxa"/>
        </w:tblCellMar>
      </w:tblPr>
      <w:tblGrid>
        <w:gridCol w:w="983"/>
        <w:gridCol w:w="2599"/>
        <w:gridCol w:w="5436"/>
      </w:tblGrid>
      <w:tr w14:paraId="1A3A2B57">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54" w:hRule="exact"/>
          <w:jc w:val="center"/>
        </w:trPr>
        <w:tc>
          <w:tcPr>
            <w:tcW w:w="5000" w:type="pct"/>
            <w:gridSpan w:val="3"/>
            <w:tcBorders>
              <w:bottom w:val="single" w:color="000000" w:sz="6" w:space="0"/>
            </w:tcBorders>
            <w:vAlign w:val="center"/>
          </w:tcPr>
          <w:p w14:paraId="1AAA8197">
            <w:pPr>
              <w:pStyle w:val="177"/>
              <w:jc w:val="center"/>
              <w:rPr>
                <w:rFonts w:hint="eastAsia"/>
                <w:color w:val="auto"/>
              </w:rPr>
            </w:pPr>
            <w:r>
              <w:rPr>
                <w:rFonts w:hint="eastAsia"/>
                <w:color w:val="auto"/>
              </w:rPr>
              <w:t>审查事项</w:t>
            </w:r>
          </w:p>
        </w:tc>
      </w:tr>
      <w:tr w14:paraId="2E8C7A93">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54" w:hRule="exact"/>
          <w:jc w:val="center"/>
        </w:trPr>
        <w:tc>
          <w:tcPr>
            <w:tcW w:w="545" w:type="pct"/>
            <w:tcBorders>
              <w:top w:val="single" w:color="000000" w:sz="6" w:space="0"/>
              <w:bottom w:val="single" w:color="000000" w:sz="6" w:space="0"/>
              <w:right w:val="single" w:color="000000" w:sz="6" w:space="0"/>
            </w:tcBorders>
            <w:vAlign w:val="center"/>
          </w:tcPr>
          <w:p w14:paraId="449D65E6">
            <w:pPr>
              <w:pStyle w:val="177"/>
              <w:jc w:val="center"/>
              <w:rPr>
                <w:rFonts w:hint="eastAsia"/>
                <w:color w:val="auto"/>
              </w:rPr>
            </w:pPr>
            <w:r>
              <w:rPr>
                <w:rFonts w:hint="eastAsia"/>
                <w:color w:val="auto"/>
              </w:rPr>
              <w:t>序号</w:t>
            </w:r>
          </w:p>
        </w:tc>
        <w:tc>
          <w:tcPr>
            <w:tcW w:w="1440" w:type="pct"/>
            <w:tcBorders>
              <w:top w:val="single" w:color="000000" w:sz="6" w:space="0"/>
              <w:left w:val="single" w:color="000000" w:sz="6" w:space="0"/>
              <w:bottom w:val="single" w:color="000000" w:sz="6" w:space="0"/>
              <w:right w:val="single" w:color="000000" w:sz="6" w:space="0"/>
            </w:tcBorders>
            <w:vAlign w:val="center"/>
          </w:tcPr>
          <w:p w14:paraId="655AF25B">
            <w:pPr>
              <w:pStyle w:val="177"/>
              <w:jc w:val="center"/>
              <w:rPr>
                <w:rFonts w:hint="eastAsia"/>
                <w:color w:val="auto"/>
              </w:rPr>
            </w:pPr>
            <w:r>
              <w:rPr>
                <w:rFonts w:hint="eastAsia"/>
                <w:color w:val="auto"/>
              </w:rPr>
              <w:t>采购文件要求</w:t>
            </w:r>
          </w:p>
        </w:tc>
        <w:tc>
          <w:tcPr>
            <w:tcW w:w="3013" w:type="pct"/>
            <w:tcBorders>
              <w:top w:val="single" w:color="000000" w:sz="6" w:space="0"/>
              <w:left w:val="single" w:color="000000" w:sz="6" w:space="0"/>
              <w:bottom w:val="single" w:color="000000" w:sz="6" w:space="0"/>
            </w:tcBorders>
            <w:vAlign w:val="center"/>
          </w:tcPr>
          <w:p w14:paraId="6D108A09">
            <w:pPr>
              <w:pStyle w:val="177"/>
              <w:jc w:val="center"/>
              <w:rPr>
                <w:rFonts w:hint="eastAsia"/>
                <w:color w:val="auto"/>
              </w:rPr>
            </w:pPr>
            <w:r>
              <w:rPr>
                <w:rFonts w:hint="eastAsia"/>
                <w:color w:val="auto"/>
              </w:rPr>
              <w:t>评审标准</w:t>
            </w:r>
          </w:p>
        </w:tc>
      </w:tr>
      <w:tr w14:paraId="5E150342">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54" w:hRule="exact"/>
          <w:jc w:val="center"/>
        </w:trPr>
        <w:tc>
          <w:tcPr>
            <w:tcW w:w="545" w:type="pct"/>
            <w:tcBorders>
              <w:top w:val="single" w:color="000000" w:sz="6" w:space="0"/>
              <w:bottom w:val="single" w:color="000000" w:sz="6" w:space="0"/>
              <w:right w:val="single" w:color="000000" w:sz="6" w:space="0"/>
            </w:tcBorders>
            <w:vAlign w:val="center"/>
          </w:tcPr>
          <w:p w14:paraId="5E472441">
            <w:pPr>
              <w:pStyle w:val="177"/>
              <w:jc w:val="center"/>
              <w:rPr>
                <w:rFonts w:hint="eastAsia"/>
                <w:color w:val="auto"/>
              </w:rPr>
            </w:pPr>
            <w:r>
              <w:rPr>
                <w:rFonts w:hint="eastAsia"/>
                <w:color w:val="auto"/>
              </w:rPr>
              <w:t>1</w:t>
            </w:r>
          </w:p>
        </w:tc>
        <w:tc>
          <w:tcPr>
            <w:tcW w:w="1440" w:type="pct"/>
            <w:tcBorders>
              <w:top w:val="single" w:color="000000" w:sz="6" w:space="0"/>
              <w:left w:val="single" w:color="000000" w:sz="6" w:space="0"/>
              <w:bottom w:val="single" w:color="000000" w:sz="6" w:space="0"/>
              <w:right w:val="single" w:color="000000" w:sz="6" w:space="0"/>
            </w:tcBorders>
            <w:vAlign w:val="center"/>
          </w:tcPr>
          <w:p w14:paraId="6A46BD0F">
            <w:pPr>
              <w:pStyle w:val="177"/>
              <w:jc w:val="center"/>
              <w:rPr>
                <w:rFonts w:hint="eastAsia"/>
                <w:color w:val="auto"/>
              </w:rPr>
            </w:pPr>
            <w:r>
              <w:rPr>
                <w:rFonts w:hint="eastAsia"/>
                <w:color w:val="auto"/>
              </w:rPr>
              <w:t>响应文件制作机器码</w:t>
            </w:r>
          </w:p>
        </w:tc>
        <w:tc>
          <w:tcPr>
            <w:tcW w:w="3013" w:type="pct"/>
            <w:tcBorders>
              <w:top w:val="single" w:color="000000" w:sz="6" w:space="0"/>
              <w:left w:val="single" w:color="000000" w:sz="6" w:space="0"/>
              <w:bottom w:val="single" w:color="000000" w:sz="6" w:space="0"/>
            </w:tcBorders>
            <w:vAlign w:val="center"/>
          </w:tcPr>
          <w:p w14:paraId="36CFD46C">
            <w:pPr>
              <w:pStyle w:val="177"/>
              <w:rPr>
                <w:rFonts w:hint="eastAsia"/>
                <w:color w:val="auto"/>
              </w:rPr>
            </w:pPr>
            <w:r>
              <w:rPr>
                <w:rFonts w:hint="eastAsia"/>
                <w:color w:val="auto"/>
              </w:rPr>
              <w:t>不同响应文件制作机器码不一致</w:t>
            </w:r>
          </w:p>
        </w:tc>
      </w:tr>
      <w:tr w14:paraId="77586AF1">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54" w:hRule="exact"/>
          <w:jc w:val="center"/>
        </w:trPr>
        <w:tc>
          <w:tcPr>
            <w:tcW w:w="545" w:type="pct"/>
            <w:tcBorders>
              <w:top w:val="single" w:color="000000" w:sz="6" w:space="0"/>
              <w:bottom w:val="single" w:color="000000" w:sz="6" w:space="0"/>
              <w:right w:val="single" w:color="000000" w:sz="6" w:space="0"/>
            </w:tcBorders>
            <w:vAlign w:val="center"/>
          </w:tcPr>
          <w:p w14:paraId="672AD484">
            <w:pPr>
              <w:pStyle w:val="177"/>
              <w:jc w:val="center"/>
              <w:rPr>
                <w:rFonts w:hint="eastAsia"/>
                <w:color w:val="auto"/>
              </w:rPr>
            </w:pPr>
            <w:r>
              <w:rPr>
                <w:rFonts w:hint="eastAsia"/>
                <w:color w:val="auto"/>
              </w:rPr>
              <w:t>2</w:t>
            </w:r>
          </w:p>
        </w:tc>
        <w:tc>
          <w:tcPr>
            <w:tcW w:w="1440" w:type="pct"/>
            <w:tcBorders>
              <w:top w:val="single" w:color="000000" w:sz="6" w:space="0"/>
              <w:left w:val="single" w:color="000000" w:sz="6" w:space="0"/>
              <w:bottom w:val="single" w:color="000000" w:sz="6" w:space="0"/>
              <w:right w:val="single" w:color="000000" w:sz="6" w:space="0"/>
            </w:tcBorders>
            <w:vAlign w:val="center"/>
          </w:tcPr>
          <w:p w14:paraId="7127A81D">
            <w:pPr>
              <w:pStyle w:val="177"/>
              <w:jc w:val="center"/>
              <w:rPr>
                <w:rFonts w:hint="eastAsia"/>
                <w:color w:val="auto"/>
              </w:rPr>
            </w:pPr>
            <w:r>
              <w:rPr>
                <w:rFonts w:hint="eastAsia"/>
                <w:color w:val="auto"/>
              </w:rPr>
              <w:t>供应商名称</w:t>
            </w:r>
          </w:p>
        </w:tc>
        <w:tc>
          <w:tcPr>
            <w:tcW w:w="3013" w:type="pct"/>
            <w:tcBorders>
              <w:top w:val="single" w:color="000000" w:sz="6" w:space="0"/>
              <w:left w:val="single" w:color="000000" w:sz="6" w:space="0"/>
              <w:bottom w:val="single" w:color="000000" w:sz="6" w:space="0"/>
            </w:tcBorders>
            <w:vAlign w:val="center"/>
          </w:tcPr>
          <w:p w14:paraId="19694A69">
            <w:pPr>
              <w:pStyle w:val="177"/>
              <w:rPr>
                <w:rFonts w:hint="eastAsia"/>
                <w:color w:val="auto"/>
              </w:rPr>
            </w:pPr>
            <w:r>
              <w:rPr>
                <w:rFonts w:hint="eastAsia"/>
                <w:color w:val="auto"/>
              </w:rPr>
              <w:t>与营业执照一致或其它相关资料上的名称一致</w:t>
            </w:r>
          </w:p>
        </w:tc>
      </w:tr>
      <w:tr w14:paraId="4402453A">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54" w:hRule="exact"/>
          <w:jc w:val="center"/>
        </w:trPr>
        <w:tc>
          <w:tcPr>
            <w:tcW w:w="545" w:type="pct"/>
            <w:tcBorders>
              <w:top w:val="single" w:color="000000" w:sz="6" w:space="0"/>
              <w:bottom w:val="single" w:color="000000" w:sz="4" w:space="0"/>
              <w:right w:val="single" w:color="000000" w:sz="6" w:space="0"/>
            </w:tcBorders>
            <w:vAlign w:val="center"/>
          </w:tcPr>
          <w:p w14:paraId="160BA6B9">
            <w:pPr>
              <w:pStyle w:val="177"/>
              <w:jc w:val="center"/>
              <w:rPr>
                <w:rFonts w:hint="eastAsia"/>
                <w:color w:val="auto"/>
              </w:rPr>
            </w:pPr>
            <w:r>
              <w:rPr>
                <w:rFonts w:hint="eastAsia"/>
                <w:color w:val="auto"/>
              </w:rPr>
              <w:t>3</w:t>
            </w:r>
          </w:p>
        </w:tc>
        <w:tc>
          <w:tcPr>
            <w:tcW w:w="1440" w:type="pct"/>
            <w:tcBorders>
              <w:top w:val="single" w:color="000000" w:sz="6" w:space="0"/>
              <w:left w:val="single" w:color="000000" w:sz="6" w:space="0"/>
              <w:bottom w:val="single" w:color="000000" w:sz="4" w:space="0"/>
              <w:right w:val="single" w:color="000000" w:sz="6" w:space="0"/>
            </w:tcBorders>
            <w:vAlign w:val="center"/>
          </w:tcPr>
          <w:p w14:paraId="5807D4C2">
            <w:pPr>
              <w:pStyle w:val="177"/>
              <w:jc w:val="center"/>
              <w:rPr>
                <w:rFonts w:hint="eastAsia"/>
                <w:color w:val="auto"/>
              </w:rPr>
            </w:pPr>
            <w:r>
              <w:rPr>
                <w:rFonts w:hint="eastAsia"/>
                <w:color w:val="auto"/>
              </w:rPr>
              <w:t>响应文件签字盖章</w:t>
            </w:r>
          </w:p>
        </w:tc>
        <w:tc>
          <w:tcPr>
            <w:tcW w:w="3013" w:type="pct"/>
            <w:tcBorders>
              <w:top w:val="single" w:color="000000" w:sz="6" w:space="0"/>
              <w:left w:val="single" w:color="000000" w:sz="6" w:space="0"/>
              <w:bottom w:val="single" w:color="000000" w:sz="4" w:space="0"/>
            </w:tcBorders>
            <w:vAlign w:val="center"/>
          </w:tcPr>
          <w:p w14:paraId="3F79F03E">
            <w:pPr>
              <w:pStyle w:val="177"/>
              <w:rPr>
                <w:rFonts w:hint="eastAsia"/>
                <w:color w:val="auto"/>
              </w:rPr>
            </w:pPr>
            <w:r>
              <w:rPr>
                <w:rFonts w:hint="eastAsia"/>
                <w:color w:val="auto"/>
              </w:rPr>
              <w:t>按照采购文件中的要求签字盖章。</w:t>
            </w:r>
          </w:p>
        </w:tc>
      </w:tr>
      <w:tr w14:paraId="4D62A916">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54" w:hRule="exact"/>
          <w:jc w:val="center"/>
        </w:trPr>
        <w:tc>
          <w:tcPr>
            <w:tcW w:w="545" w:type="pct"/>
            <w:tcBorders>
              <w:top w:val="single" w:color="000000" w:sz="4" w:space="0"/>
              <w:bottom w:val="single" w:color="000000" w:sz="6" w:space="0"/>
              <w:right w:val="single" w:color="000000" w:sz="6" w:space="0"/>
            </w:tcBorders>
            <w:vAlign w:val="center"/>
          </w:tcPr>
          <w:p w14:paraId="26269F95">
            <w:pPr>
              <w:pStyle w:val="177"/>
              <w:jc w:val="center"/>
              <w:rPr>
                <w:rFonts w:hint="eastAsia"/>
                <w:color w:val="auto"/>
              </w:rPr>
            </w:pPr>
            <w:r>
              <w:rPr>
                <w:rFonts w:hint="eastAsia"/>
                <w:color w:val="auto"/>
              </w:rPr>
              <w:t>4</w:t>
            </w:r>
          </w:p>
        </w:tc>
        <w:tc>
          <w:tcPr>
            <w:tcW w:w="1440" w:type="pct"/>
            <w:tcBorders>
              <w:top w:val="single" w:color="000000" w:sz="4" w:space="0"/>
              <w:left w:val="single" w:color="000000" w:sz="6" w:space="0"/>
              <w:bottom w:val="single" w:color="000000" w:sz="6" w:space="0"/>
              <w:right w:val="single" w:color="000000" w:sz="6" w:space="0"/>
            </w:tcBorders>
            <w:vAlign w:val="center"/>
          </w:tcPr>
          <w:p w14:paraId="32C4E4FB">
            <w:pPr>
              <w:pStyle w:val="177"/>
              <w:jc w:val="center"/>
              <w:rPr>
                <w:rFonts w:hint="eastAsia"/>
                <w:color w:val="auto"/>
              </w:rPr>
            </w:pPr>
            <w:r>
              <w:rPr>
                <w:rFonts w:hint="eastAsia"/>
                <w:color w:val="auto"/>
              </w:rPr>
              <w:t>交货期</w:t>
            </w:r>
          </w:p>
        </w:tc>
        <w:tc>
          <w:tcPr>
            <w:tcW w:w="3013" w:type="pct"/>
            <w:tcBorders>
              <w:top w:val="single" w:color="000000" w:sz="4" w:space="0"/>
              <w:left w:val="single" w:color="000000" w:sz="6" w:space="0"/>
              <w:bottom w:val="single" w:color="000000" w:sz="6" w:space="0"/>
            </w:tcBorders>
            <w:vAlign w:val="center"/>
          </w:tcPr>
          <w:p w14:paraId="46914075">
            <w:pPr>
              <w:pStyle w:val="177"/>
              <w:rPr>
                <w:rFonts w:hint="eastAsia"/>
                <w:color w:val="auto"/>
              </w:rPr>
            </w:pPr>
            <w:r>
              <w:rPr>
                <w:rFonts w:hint="eastAsia"/>
                <w:color w:val="auto"/>
              </w:rPr>
              <w:t>符合第二章“供应商须知”第1.3.2项规定</w:t>
            </w:r>
          </w:p>
        </w:tc>
      </w:tr>
      <w:tr w14:paraId="08B7F7C1">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54" w:hRule="exact"/>
          <w:jc w:val="center"/>
        </w:trPr>
        <w:tc>
          <w:tcPr>
            <w:tcW w:w="545" w:type="pct"/>
            <w:tcBorders>
              <w:top w:val="single" w:color="000000" w:sz="4" w:space="0"/>
              <w:bottom w:val="single" w:color="000000" w:sz="6" w:space="0"/>
              <w:right w:val="single" w:color="000000" w:sz="6" w:space="0"/>
            </w:tcBorders>
            <w:vAlign w:val="center"/>
          </w:tcPr>
          <w:p w14:paraId="5CFD9000">
            <w:pPr>
              <w:pStyle w:val="177"/>
              <w:jc w:val="center"/>
              <w:rPr>
                <w:rFonts w:hint="eastAsia"/>
                <w:color w:val="auto"/>
              </w:rPr>
            </w:pPr>
            <w:r>
              <w:rPr>
                <w:rFonts w:hint="eastAsia"/>
                <w:color w:val="auto"/>
              </w:rPr>
              <w:t>5</w:t>
            </w:r>
          </w:p>
        </w:tc>
        <w:tc>
          <w:tcPr>
            <w:tcW w:w="1440" w:type="pct"/>
            <w:tcBorders>
              <w:top w:val="single" w:color="000000" w:sz="4" w:space="0"/>
              <w:left w:val="single" w:color="000000" w:sz="6" w:space="0"/>
              <w:bottom w:val="single" w:color="000000" w:sz="6" w:space="0"/>
              <w:right w:val="single" w:color="000000" w:sz="6" w:space="0"/>
            </w:tcBorders>
            <w:vAlign w:val="center"/>
          </w:tcPr>
          <w:p w14:paraId="068A3622">
            <w:pPr>
              <w:pStyle w:val="177"/>
              <w:jc w:val="center"/>
              <w:rPr>
                <w:rFonts w:hint="eastAsia"/>
                <w:color w:val="auto"/>
              </w:rPr>
            </w:pPr>
            <w:r>
              <w:rPr>
                <w:rFonts w:hint="eastAsia"/>
                <w:color w:val="auto"/>
              </w:rPr>
              <w:t>质量标准</w:t>
            </w:r>
          </w:p>
        </w:tc>
        <w:tc>
          <w:tcPr>
            <w:tcW w:w="3013" w:type="pct"/>
            <w:tcBorders>
              <w:top w:val="single" w:color="000000" w:sz="4" w:space="0"/>
              <w:left w:val="single" w:color="000000" w:sz="6" w:space="0"/>
              <w:bottom w:val="single" w:color="000000" w:sz="6" w:space="0"/>
            </w:tcBorders>
            <w:vAlign w:val="center"/>
          </w:tcPr>
          <w:p w14:paraId="7F4B5990">
            <w:pPr>
              <w:pStyle w:val="177"/>
              <w:rPr>
                <w:rFonts w:hint="eastAsia"/>
                <w:color w:val="auto"/>
              </w:rPr>
            </w:pPr>
            <w:r>
              <w:rPr>
                <w:rFonts w:hint="eastAsia"/>
                <w:color w:val="auto"/>
              </w:rPr>
              <w:t>符合第二章“供应商须知”第1.3.3项规定</w:t>
            </w:r>
          </w:p>
        </w:tc>
      </w:tr>
      <w:tr w14:paraId="7E9A37C6">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54" w:hRule="exact"/>
          <w:jc w:val="center"/>
        </w:trPr>
        <w:tc>
          <w:tcPr>
            <w:tcW w:w="545" w:type="pct"/>
            <w:tcBorders>
              <w:top w:val="single" w:color="000000" w:sz="4" w:space="0"/>
              <w:bottom w:val="single" w:color="000000" w:sz="6" w:space="0"/>
              <w:right w:val="single" w:color="000000" w:sz="6" w:space="0"/>
            </w:tcBorders>
            <w:vAlign w:val="center"/>
          </w:tcPr>
          <w:p w14:paraId="14A86622">
            <w:pPr>
              <w:pStyle w:val="177"/>
              <w:jc w:val="center"/>
              <w:rPr>
                <w:rFonts w:hint="eastAsia"/>
                <w:color w:val="auto"/>
              </w:rPr>
            </w:pPr>
            <w:r>
              <w:rPr>
                <w:rFonts w:hint="eastAsia"/>
                <w:color w:val="auto"/>
              </w:rPr>
              <w:t>6</w:t>
            </w:r>
          </w:p>
        </w:tc>
        <w:tc>
          <w:tcPr>
            <w:tcW w:w="1440" w:type="pct"/>
            <w:tcBorders>
              <w:top w:val="single" w:color="000000" w:sz="4" w:space="0"/>
              <w:left w:val="single" w:color="000000" w:sz="6" w:space="0"/>
              <w:bottom w:val="single" w:color="000000" w:sz="6" w:space="0"/>
              <w:right w:val="single" w:color="000000" w:sz="6" w:space="0"/>
            </w:tcBorders>
            <w:vAlign w:val="center"/>
          </w:tcPr>
          <w:p w14:paraId="1B62D09D">
            <w:pPr>
              <w:pStyle w:val="177"/>
              <w:jc w:val="center"/>
              <w:rPr>
                <w:rFonts w:hint="eastAsia"/>
                <w:color w:val="auto"/>
              </w:rPr>
            </w:pPr>
            <w:r>
              <w:rPr>
                <w:rFonts w:hint="eastAsia"/>
                <w:color w:val="auto"/>
              </w:rPr>
              <w:t>质保期</w:t>
            </w:r>
          </w:p>
        </w:tc>
        <w:tc>
          <w:tcPr>
            <w:tcW w:w="3013" w:type="pct"/>
            <w:tcBorders>
              <w:top w:val="single" w:color="000000" w:sz="4" w:space="0"/>
              <w:left w:val="single" w:color="000000" w:sz="6" w:space="0"/>
              <w:bottom w:val="single" w:color="000000" w:sz="6" w:space="0"/>
            </w:tcBorders>
            <w:vAlign w:val="center"/>
          </w:tcPr>
          <w:p w14:paraId="38E9DB98">
            <w:pPr>
              <w:pStyle w:val="177"/>
              <w:rPr>
                <w:rFonts w:hint="eastAsia"/>
                <w:color w:val="auto"/>
              </w:rPr>
            </w:pPr>
            <w:r>
              <w:rPr>
                <w:rFonts w:hint="eastAsia"/>
                <w:color w:val="auto"/>
              </w:rPr>
              <w:t>符合第二章“供应商须知”第1.3.4项规定</w:t>
            </w:r>
          </w:p>
        </w:tc>
      </w:tr>
      <w:tr w14:paraId="0FEB84B7">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54" w:hRule="exact"/>
          <w:jc w:val="center"/>
        </w:trPr>
        <w:tc>
          <w:tcPr>
            <w:tcW w:w="545" w:type="pct"/>
            <w:tcBorders>
              <w:top w:val="single" w:color="000000" w:sz="4" w:space="0"/>
              <w:bottom w:val="single" w:color="000000" w:sz="6" w:space="0"/>
              <w:right w:val="single" w:color="000000" w:sz="6" w:space="0"/>
            </w:tcBorders>
            <w:vAlign w:val="center"/>
          </w:tcPr>
          <w:p w14:paraId="7D5A93CC">
            <w:pPr>
              <w:pStyle w:val="177"/>
              <w:jc w:val="center"/>
              <w:rPr>
                <w:rFonts w:hint="eastAsia"/>
                <w:color w:val="auto"/>
              </w:rPr>
            </w:pPr>
            <w:r>
              <w:rPr>
                <w:rFonts w:hint="eastAsia"/>
                <w:color w:val="auto"/>
              </w:rPr>
              <w:t>7</w:t>
            </w:r>
          </w:p>
        </w:tc>
        <w:tc>
          <w:tcPr>
            <w:tcW w:w="1440" w:type="pct"/>
            <w:tcBorders>
              <w:top w:val="single" w:color="000000" w:sz="4" w:space="0"/>
              <w:left w:val="single" w:color="000000" w:sz="6" w:space="0"/>
              <w:bottom w:val="single" w:color="000000" w:sz="6" w:space="0"/>
              <w:right w:val="single" w:color="000000" w:sz="6" w:space="0"/>
            </w:tcBorders>
            <w:vAlign w:val="center"/>
          </w:tcPr>
          <w:p w14:paraId="16E4F678">
            <w:pPr>
              <w:pStyle w:val="177"/>
              <w:jc w:val="center"/>
              <w:rPr>
                <w:rFonts w:hint="eastAsia"/>
                <w:color w:val="auto"/>
              </w:rPr>
            </w:pPr>
            <w:r>
              <w:rPr>
                <w:rFonts w:hint="eastAsia"/>
                <w:color w:val="auto"/>
              </w:rPr>
              <w:t>响应报价</w:t>
            </w:r>
          </w:p>
        </w:tc>
        <w:tc>
          <w:tcPr>
            <w:tcW w:w="3013" w:type="pct"/>
            <w:tcBorders>
              <w:top w:val="single" w:color="000000" w:sz="4" w:space="0"/>
              <w:left w:val="single" w:color="000000" w:sz="6" w:space="0"/>
              <w:bottom w:val="single" w:color="000000" w:sz="6" w:space="0"/>
            </w:tcBorders>
            <w:vAlign w:val="center"/>
          </w:tcPr>
          <w:p w14:paraId="68D008B9">
            <w:pPr>
              <w:pStyle w:val="177"/>
              <w:rPr>
                <w:rFonts w:hint="eastAsia"/>
                <w:color w:val="auto"/>
              </w:rPr>
            </w:pPr>
            <w:r>
              <w:rPr>
                <w:rFonts w:hint="eastAsia"/>
                <w:color w:val="auto"/>
              </w:rPr>
              <w:t>报价未超过竞争性磋商文件规定的预算金额或最高限价</w:t>
            </w:r>
          </w:p>
        </w:tc>
      </w:tr>
      <w:tr w14:paraId="3CA21E18">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54" w:hRule="exact"/>
          <w:jc w:val="center"/>
        </w:trPr>
        <w:tc>
          <w:tcPr>
            <w:tcW w:w="545" w:type="pct"/>
            <w:tcBorders>
              <w:top w:val="single" w:color="000000" w:sz="6" w:space="0"/>
              <w:bottom w:val="single" w:color="000000" w:sz="4" w:space="0"/>
              <w:right w:val="single" w:color="000000" w:sz="6" w:space="0"/>
            </w:tcBorders>
            <w:vAlign w:val="center"/>
          </w:tcPr>
          <w:p w14:paraId="594F1C59">
            <w:pPr>
              <w:pStyle w:val="177"/>
              <w:jc w:val="center"/>
              <w:rPr>
                <w:rFonts w:hint="eastAsia"/>
                <w:color w:val="auto"/>
              </w:rPr>
            </w:pPr>
            <w:r>
              <w:rPr>
                <w:rFonts w:hint="eastAsia"/>
                <w:color w:val="auto"/>
              </w:rPr>
              <w:t>8</w:t>
            </w:r>
          </w:p>
        </w:tc>
        <w:tc>
          <w:tcPr>
            <w:tcW w:w="1440" w:type="pct"/>
            <w:tcBorders>
              <w:top w:val="single" w:color="000000" w:sz="6" w:space="0"/>
              <w:left w:val="single" w:color="000000" w:sz="6" w:space="0"/>
              <w:bottom w:val="single" w:color="000000" w:sz="4" w:space="0"/>
              <w:right w:val="single" w:color="000000" w:sz="6" w:space="0"/>
            </w:tcBorders>
            <w:vAlign w:val="center"/>
          </w:tcPr>
          <w:p w14:paraId="4AFF6131">
            <w:pPr>
              <w:pStyle w:val="177"/>
              <w:jc w:val="center"/>
              <w:rPr>
                <w:rFonts w:hint="eastAsia"/>
                <w:color w:val="auto"/>
              </w:rPr>
            </w:pPr>
            <w:r>
              <w:rPr>
                <w:rFonts w:hint="eastAsia"/>
                <w:color w:val="auto"/>
              </w:rPr>
              <w:t>响应文件有效期</w:t>
            </w:r>
          </w:p>
        </w:tc>
        <w:tc>
          <w:tcPr>
            <w:tcW w:w="3013" w:type="pct"/>
            <w:tcBorders>
              <w:top w:val="single" w:color="000000" w:sz="6" w:space="0"/>
              <w:left w:val="single" w:color="000000" w:sz="6" w:space="0"/>
              <w:bottom w:val="single" w:color="000000" w:sz="4" w:space="0"/>
            </w:tcBorders>
            <w:vAlign w:val="center"/>
          </w:tcPr>
          <w:p w14:paraId="42406CFE">
            <w:pPr>
              <w:pStyle w:val="177"/>
              <w:rPr>
                <w:rFonts w:hint="eastAsia"/>
                <w:color w:val="auto"/>
              </w:rPr>
            </w:pPr>
            <w:r>
              <w:rPr>
                <w:rFonts w:hint="eastAsia"/>
                <w:color w:val="auto"/>
              </w:rPr>
              <w:t>符合竞争性磋商文件要求</w:t>
            </w:r>
          </w:p>
        </w:tc>
      </w:tr>
      <w:tr w14:paraId="22F112E5">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54" w:hRule="exact"/>
          <w:jc w:val="center"/>
        </w:trPr>
        <w:tc>
          <w:tcPr>
            <w:tcW w:w="545" w:type="pct"/>
            <w:tcBorders>
              <w:top w:val="single" w:color="000000" w:sz="4" w:space="0"/>
              <w:bottom w:val="single" w:color="000000" w:sz="6" w:space="0"/>
              <w:right w:val="single" w:color="000000" w:sz="6" w:space="0"/>
            </w:tcBorders>
            <w:vAlign w:val="center"/>
          </w:tcPr>
          <w:p w14:paraId="3269660C">
            <w:pPr>
              <w:pStyle w:val="177"/>
              <w:jc w:val="center"/>
              <w:rPr>
                <w:rFonts w:hint="eastAsia"/>
                <w:color w:val="auto"/>
              </w:rPr>
            </w:pPr>
            <w:r>
              <w:rPr>
                <w:rFonts w:hint="eastAsia"/>
                <w:color w:val="auto"/>
              </w:rPr>
              <w:t>9</w:t>
            </w:r>
          </w:p>
        </w:tc>
        <w:tc>
          <w:tcPr>
            <w:tcW w:w="1440" w:type="pct"/>
            <w:tcBorders>
              <w:top w:val="single" w:color="000000" w:sz="4" w:space="0"/>
              <w:left w:val="single" w:color="000000" w:sz="6" w:space="0"/>
              <w:bottom w:val="single" w:color="000000" w:sz="6" w:space="0"/>
              <w:right w:val="single" w:color="000000" w:sz="6" w:space="0"/>
            </w:tcBorders>
            <w:vAlign w:val="center"/>
          </w:tcPr>
          <w:p w14:paraId="107CA058">
            <w:pPr>
              <w:pStyle w:val="177"/>
              <w:jc w:val="center"/>
              <w:rPr>
                <w:rFonts w:hint="eastAsia"/>
                <w:color w:val="auto"/>
              </w:rPr>
            </w:pPr>
            <w:r>
              <w:rPr>
                <w:rFonts w:hint="eastAsia"/>
                <w:color w:val="auto"/>
              </w:rPr>
              <w:t>其他</w:t>
            </w:r>
          </w:p>
        </w:tc>
        <w:tc>
          <w:tcPr>
            <w:tcW w:w="3013" w:type="pct"/>
            <w:tcBorders>
              <w:top w:val="single" w:color="000000" w:sz="4" w:space="0"/>
              <w:left w:val="single" w:color="000000" w:sz="6" w:space="0"/>
              <w:bottom w:val="single" w:color="000000" w:sz="6" w:space="0"/>
            </w:tcBorders>
            <w:vAlign w:val="center"/>
          </w:tcPr>
          <w:p w14:paraId="18201C79">
            <w:pPr>
              <w:pStyle w:val="177"/>
              <w:rPr>
                <w:rFonts w:hint="eastAsia"/>
                <w:color w:val="auto"/>
              </w:rPr>
            </w:pPr>
            <w:r>
              <w:rPr>
                <w:rFonts w:hint="eastAsia"/>
                <w:color w:val="auto"/>
              </w:rPr>
              <w:t>竞争性磋商文件中其他要求</w:t>
            </w:r>
          </w:p>
        </w:tc>
      </w:tr>
      <w:tr w14:paraId="30F2FA04">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54" w:hRule="exact"/>
          <w:jc w:val="center"/>
        </w:trPr>
        <w:tc>
          <w:tcPr>
            <w:tcW w:w="1986" w:type="pct"/>
            <w:gridSpan w:val="2"/>
            <w:tcBorders>
              <w:top w:val="single" w:color="000000" w:sz="6" w:space="0"/>
              <w:right w:val="single" w:color="000000" w:sz="6" w:space="0"/>
            </w:tcBorders>
            <w:vAlign w:val="center"/>
          </w:tcPr>
          <w:p w14:paraId="156E92DE">
            <w:pPr>
              <w:pStyle w:val="177"/>
              <w:jc w:val="center"/>
              <w:rPr>
                <w:rFonts w:hint="eastAsia"/>
                <w:color w:val="auto"/>
              </w:rPr>
            </w:pPr>
            <w:r>
              <w:rPr>
                <w:rFonts w:hint="eastAsia"/>
                <w:color w:val="auto"/>
              </w:rPr>
              <w:t>结论</w:t>
            </w:r>
          </w:p>
        </w:tc>
        <w:tc>
          <w:tcPr>
            <w:tcW w:w="3013" w:type="pct"/>
            <w:tcBorders>
              <w:top w:val="single" w:color="000000" w:sz="6" w:space="0"/>
              <w:left w:val="single" w:color="000000" w:sz="6" w:space="0"/>
            </w:tcBorders>
            <w:vAlign w:val="center"/>
          </w:tcPr>
          <w:p w14:paraId="4E05008D">
            <w:pPr>
              <w:pStyle w:val="177"/>
              <w:rPr>
                <w:rFonts w:hint="eastAsia"/>
                <w:color w:val="auto"/>
              </w:rPr>
            </w:pPr>
          </w:p>
        </w:tc>
      </w:tr>
      <w:bookmarkEnd w:id="27"/>
      <w:bookmarkEnd w:id="28"/>
    </w:tbl>
    <w:p w14:paraId="746E284B">
      <w:pPr>
        <w:rPr>
          <w:color w:val="auto"/>
        </w:rPr>
      </w:pPr>
      <w:bookmarkStart w:id="120" w:name="_Toc8185"/>
      <w:bookmarkStart w:id="121" w:name="_Toc8429"/>
      <w:bookmarkStart w:id="122" w:name="_Toc409023136"/>
      <w:r>
        <w:rPr>
          <w:rFonts w:hint="eastAsia"/>
          <w:color w:val="auto"/>
        </w:rPr>
        <w:t>备注：结论填写通过或不通过。</w:t>
      </w:r>
    </w:p>
    <w:p w14:paraId="410CB1F8">
      <w:pPr>
        <w:pStyle w:val="16"/>
        <w:rPr>
          <w:color w:val="auto"/>
        </w:rPr>
      </w:pPr>
      <w:r>
        <w:rPr>
          <w:rFonts w:hint="eastAsia"/>
          <w:color w:val="auto"/>
        </w:rPr>
        <w:t>3、磋商</w:t>
      </w:r>
    </w:p>
    <w:p w14:paraId="1F144027">
      <w:pPr>
        <w:pStyle w:val="16"/>
        <w:rPr>
          <w:color w:val="auto"/>
        </w:rPr>
      </w:pPr>
      <w:r>
        <w:rPr>
          <w:rFonts w:hint="eastAsia"/>
          <w:color w:val="auto"/>
        </w:rPr>
        <w:t>3.1磋商小组所有成员集中与单一供应商分别进行一轮或多轮磋商，并给予所有参加磋商的供应商平等的磋商机会。磋商顺序以随机的方式确定。磋商过程中，磋商小组可以根据磋商情况调整磋商轮次。</w:t>
      </w:r>
    </w:p>
    <w:p w14:paraId="66EDCF77">
      <w:pPr>
        <w:pStyle w:val="16"/>
        <w:rPr>
          <w:color w:val="auto"/>
        </w:rPr>
      </w:pPr>
      <w:r>
        <w:rPr>
          <w:rFonts w:hint="eastAsia"/>
          <w:color w:val="auto"/>
        </w:rPr>
        <w:t>3.2每轮磋商开始前，磋商小组应根据磋商文件的规定，并结合各供应商的响应文件拟定磋商内容。</w:t>
      </w:r>
    </w:p>
    <w:p w14:paraId="4C3CE404">
      <w:pPr>
        <w:pStyle w:val="16"/>
        <w:rPr>
          <w:color w:val="auto"/>
        </w:rPr>
      </w:pPr>
      <w:r>
        <w:rPr>
          <w:rFonts w:hint="eastAsia"/>
          <w:color w:val="auto"/>
        </w:rPr>
        <w:t>3.3在磋商过程中，磋商小组可以根据磋商文件和磋商情况实质性变动磋商文件的技术、服务要求以及合同草案条款，但不得变动磋商文件中的其他内容。实质性变动的内容，须经采购人代表书面确认。</w:t>
      </w:r>
    </w:p>
    <w:p w14:paraId="57045AD9">
      <w:pPr>
        <w:pStyle w:val="16"/>
        <w:rPr>
          <w:color w:val="auto"/>
        </w:rPr>
      </w:pPr>
      <w:r>
        <w:rPr>
          <w:rFonts w:hint="eastAsia"/>
          <w:color w:val="auto"/>
        </w:rPr>
        <w:t>3.4对磋商文件做出的实质性变动是磋商文件的有效组成部分，磋商小组应当及时以书面形式同时通知所有参加磋商的供应商。</w:t>
      </w:r>
    </w:p>
    <w:p w14:paraId="5D1E182A">
      <w:pPr>
        <w:pStyle w:val="16"/>
        <w:rPr>
          <w:color w:val="auto"/>
        </w:rPr>
      </w:pPr>
      <w:r>
        <w:rPr>
          <w:rFonts w:hint="eastAsia"/>
          <w:color w:val="auto"/>
        </w:rPr>
        <w:t>3.5磋商过程中，磋商文件变动的，供应商应当按照磋商文件的变动情况和磋商小组的要求重新提交响应文件，并由其法定代表人/主要负责人/本人或其授权代表签字或者加盖公章。磋商过程中，供应商根据磋商情况自行决定变更其响应文件的，磋商小组不得拒绝，并应当给予供应商必要的时间，但是供应商变更其响应文件，应当以有利于满足磋商文件要求为原则，不得变更为不利于满足磋商文件规定，否则，其响应文件作为无效处理。</w:t>
      </w:r>
    </w:p>
    <w:p w14:paraId="6691DB39">
      <w:pPr>
        <w:pStyle w:val="16"/>
        <w:rPr>
          <w:color w:val="auto"/>
        </w:rPr>
      </w:pPr>
      <w:r>
        <w:rPr>
          <w:rFonts w:hint="eastAsia"/>
          <w:color w:val="auto"/>
        </w:rPr>
        <w:t>3.6磋商过程中，磋商的任何一方不得透露与磋商有关的其他供应商的技术资料、价格和其他信息。</w:t>
      </w:r>
    </w:p>
    <w:p w14:paraId="0493FCFE">
      <w:pPr>
        <w:pStyle w:val="16"/>
        <w:rPr>
          <w:color w:val="auto"/>
        </w:rPr>
      </w:pPr>
      <w:r>
        <w:rPr>
          <w:rFonts w:hint="eastAsia"/>
          <w:color w:val="auto"/>
        </w:rPr>
        <w:t>3.7磋商过程中，磋商小组发现或者知晓供应商存在违法、违纪行为的，磋商小组应当将该供应商响应文件作无效处理，不允许其提交最后报价。</w:t>
      </w:r>
    </w:p>
    <w:p w14:paraId="3C5D433D">
      <w:pPr>
        <w:pStyle w:val="16"/>
        <w:rPr>
          <w:color w:val="auto"/>
        </w:rPr>
      </w:pPr>
      <w:r>
        <w:rPr>
          <w:rFonts w:hint="eastAsia"/>
          <w:color w:val="auto"/>
        </w:rPr>
        <w:t>4、提交最终报价</w:t>
      </w:r>
    </w:p>
    <w:p w14:paraId="60E94004">
      <w:pPr>
        <w:pStyle w:val="16"/>
        <w:rPr>
          <w:color w:val="auto"/>
        </w:rPr>
      </w:pPr>
      <w:r>
        <w:rPr>
          <w:rFonts w:hint="eastAsia"/>
          <w:color w:val="auto"/>
        </w:rPr>
        <w:t>4.1根据《政府采购竞争性磋商采购方式管理暂行办法》规定，磋商结束后，磋商小组要求所有实质性响应的供应商在规定时间内提交最后报价。</w:t>
      </w:r>
    </w:p>
    <w:p w14:paraId="6F49D6E1">
      <w:pPr>
        <w:pStyle w:val="16"/>
        <w:rPr>
          <w:color w:val="auto"/>
        </w:rPr>
      </w:pPr>
      <w:r>
        <w:rPr>
          <w:rFonts w:hint="eastAsia"/>
          <w:color w:val="auto"/>
        </w:rPr>
        <w:t>4.2根据财库〔2015〕124号《财政部关于政府采购竞争性磋商采购方式管理暂行办法有关问题的补充通知》，采用竞争性磋商采购方式采购政府购买服务的项目（含政府和社会资本合作项目），提交最后报价的供应商可以为2家。</w:t>
      </w:r>
    </w:p>
    <w:p w14:paraId="7EC5787C">
      <w:pPr>
        <w:pStyle w:val="16"/>
        <w:rPr>
          <w:color w:val="auto"/>
        </w:rPr>
      </w:pPr>
      <w:r>
        <w:rPr>
          <w:rFonts w:hint="eastAsia"/>
          <w:color w:val="auto"/>
        </w:rPr>
        <w:t>5、比较与评价</w:t>
      </w:r>
    </w:p>
    <w:p w14:paraId="78AC2BE6">
      <w:pPr>
        <w:pStyle w:val="16"/>
        <w:rPr>
          <w:color w:val="auto"/>
        </w:rPr>
      </w:pPr>
      <w:r>
        <w:rPr>
          <w:rFonts w:hint="eastAsia"/>
          <w:color w:val="auto"/>
        </w:rPr>
        <w:t>5.1经磋商确定最终采购需求和提交最后报价的供应商后，由磋商小组采用综合评分法对提交最后报价的供应商的响应文件和最后报价进行综合评分。</w:t>
      </w:r>
    </w:p>
    <w:p w14:paraId="001D0454">
      <w:pPr>
        <w:pStyle w:val="16"/>
        <w:rPr>
          <w:color w:val="auto"/>
        </w:rPr>
      </w:pPr>
      <w:r>
        <w:rPr>
          <w:rFonts w:hint="eastAsia"/>
          <w:color w:val="auto"/>
        </w:rPr>
        <w:t>综合评分法，是指响应文件满足磋商文件全部实质性要求且按评审因素的量化指标评审得分最高的供应商为成交候选供应商的评审方法。</w:t>
      </w:r>
    </w:p>
    <w:p w14:paraId="743BC209">
      <w:pPr>
        <w:pStyle w:val="16"/>
        <w:rPr>
          <w:color w:val="auto"/>
        </w:rPr>
      </w:pPr>
      <w:r>
        <w:rPr>
          <w:rFonts w:hint="eastAsia"/>
          <w:color w:val="auto"/>
        </w:rPr>
        <w:t>5.2磋商小组应当根据综合评分情况，按照评审得分由高到低顺序推荐3名成交候选供应商，并编写评审报告。评审得分相同的，按照最后报价由低到高的顺序推荐。评审得分且最后报价相同的，按照技术指标优劣顺序推荐。评审报告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338FC3F7">
      <w:pPr>
        <w:pStyle w:val="16"/>
        <w:rPr>
          <w:color w:val="auto"/>
        </w:rPr>
      </w:pPr>
      <w:r>
        <w:rPr>
          <w:rFonts w:hint="eastAsia"/>
          <w:color w:val="auto"/>
        </w:rPr>
        <w:t>五、评审标准中应考虑下列因素：</w:t>
      </w:r>
    </w:p>
    <w:p w14:paraId="2D5DA3C9">
      <w:pPr>
        <w:pStyle w:val="16"/>
        <w:rPr>
          <w:color w:val="auto"/>
        </w:rPr>
      </w:pPr>
      <w:r>
        <w:rPr>
          <w:rFonts w:hint="eastAsia"/>
          <w:color w:val="auto"/>
        </w:rPr>
        <w:t>1、需落实的政府采购政策性规定（关于小微企业、监狱企业、残疾人企业）：</w:t>
      </w:r>
    </w:p>
    <w:p w14:paraId="7C6133AD">
      <w:pPr>
        <w:pStyle w:val="16"/>
        <w:rPr>
          <w:color w:val="auto"/>
        </w:rPr>
      </w:pPr>
      <w:r>
        <w:rPr>
          <w:rFonts w:hint="eastAsia"/>
          <w:color w:val="auto"/>
        </w:rPr>
        <w:t>1.1《政府采购促进中小企业发展管理办法》（财库[2020]46号）；</w:t>
      </w:r>
    </w:p>
    <w:p w14:paraId="38087600">
      <w:pPr>
        <w:pStyle w:val="16"/>
        <w:rPr>
          <w:color w:val="auto"/>
        </w:rPr>
      </w:pPr>
      <w:r>
        <w:rPr>
          <w:rFonts w:hint="eastAsia"/>
          <w:color w:val="auto"/>
        </w:rPr>
        <w:t>1.2《财政部司法部关于政府采购支持监狱企业发展有关问题的通知》（财库〔2014〕68号）；</w:t>
      </w:r>
    </w:p>
    <w:p w14:paraId="37A3A51C">
      <w:pPr>
        <w:pStyle w:val="16"/>
        <w:rPr>
          <w:color w:val="auto"/>
        </w:rPr>
      </w:pPr>
      <w:r>
        <w:rPr>
          <w:rFonts w:hint="eastAsia"/>
          <w:color w:val="auto"/>
        </w:rPr>
        <w:t>1.3《三部门联合发布关于促进残疾人就业政府采购政策的通知》（财库〔2017〕141号）。</w:t>
      </w:r>
    </w:p>
    <w:p w14:paraId="1C01E51C">
      <w:pPr>
        <w:pStyle w:val="16"/>
        <w:rPr>
          <w:color w:val="auto"/>
        </w:rPr>
      </w:pPr>
      <w:r>
        <w:rPr>
          <w:rFonts w:hint="eastAsia"/>
          <w:color w:val="auto"/>
        </w:rPr>
        <w:t>2.1对于小微企业、监狱企业、残疾人企业的价格折扣</w:t>
      </w:r>
    </w:p>
    <w:p w14:paraId="0FBF3705">
      <w:pPr>
        <w:pStyle w:val="16"/>
        <w:rPr>
          <w:color w:val="auto"/>
        </w:rPr>
      </w:pPr>
      <w:r>
        <w:rPr>
          <w:rFonts w:hint="eastAsia"/>
          <w:color w:val="auto"/>
        </w:rPr>
        <w:t>2.1.1对于非专门面向中小企业采购的项目，在满足价格扣除条件且在响应文件中按要求提交了《中小企业声明函》的，对最后报价给予价格扣除，用扣除后的价格参与评审（仅作为价格扣除条件，不作为成交价）。最后报价扣除比例如下：</w:t>
      </w:r>
    </w:p>
    <w:p w14:paraId="35AE781C">
      <w:pPr>
        <w:pStyle w:val="16"/>
        <w:rPr>
          <w:color w:val="auto"/>
        </w:rPr>
      </w:pPr>
      <w:r>
        <w:rPr>
          <w:rFonts w:hint="eastAsia"/>
          <w:color w:val="auto"/>
        </w:rPr>
        <w:t>（1）非联合体参加采购活动</w:t>
      </w:r>
    </w:p>
    <w:p w14:paraId="014293FB">
      <w:pPr>
        <w:pStyle w:val="16"/>
        <w:rPr>
          <w:color w:val="auto"/>
        </w:rPr>
      </w:pPr>
      <w:r>
        <w:rPr>
          <w:rFonts w:hint="eastAsia"/>
          <w:color w:val="auto"/>
        </w:rPr>
        <w:t>小型和微型企业相应产品、服务最后报价的</w:t>
      </w:r>
      <w:r>
        <w:rPr>
          <w:rFonts w:hint="eastAsia"/>
          <w:color w:val="auto"/>
          <w:u w:val="single"/>
        </w:rPr>
        <w:t xml:space="preserve"> 10 </w:t>
      </w:r>
      <w:r>
        <w:rPr>
          <w:rFonts w:hint="eastAsia"/>
          <w:color w:val="auto"/>
        </w:rPr>
        <w:t>%</w:t>
      </w:r>
    </w:p>
    <w:p w14:paraId="7233B46F">
      <w:pPr>
        <w:pStyle w:val="16"/>
        <w:rPr>
          <w:color w:val="auto"/>
        </w:rPr>
      </w:pPr>
      <w:r>
        <w:rPr>
          <w:rFonts w:hint="eastAsia"/>
          <w:color w:val="auto"/>
        </w:rPr>
        <w:t>（2）联合体参加采购活动</w:t>
      </w:r>
    </w:p>
    <w:p w14:paraId="449E05A1">
      <w:pPr>
        <w:pStyle w:val="16"/>
        <w:rPr>
          <w:color w:val="auto"/>
        </w:rPr>
      </w:pPr>
      <w:r>
        <w:rPr>
          <w:rFonts w:hint="eastAsia"/>
          <w:color w:val="auto"/>
        </w:rPr>
        <w:t>大中型企业和其他自然人、法人或者其他组织与小型、微型企业组成联合体共同参加非专门面向中小企业的政府采购活动的，联合体报价协议中约定，小型、微型企业的协议合同金额占到联合体报价协议合同总金额30%以上的，最后报价扣除2%）。</w:t>
      </w:r>
    </w:p>
    <w:p w14:paraId="7D4AC7E1">
      <w:pPr>
        <w:pStyle w:val="16"/>
        <w:rPr>
          <w:color w:val="auto"/>
        </w:rPr>
      </w:pPr>
      <w:r>
        <w:rPr>
          <w:rFonts w:hint="eastAsia"/>
          <w:color w:val="auto"/>
        </w:rPr>
        <w:t>联合体各方均为小型、微型企业的，联合体视同为小型、微型企业，按第本款（1）条规定享受扶持政策。组成联合体的大中型企业和其他自然人、法人或者其他组织，与小型、微型企业之间不得存在投资关系。</w:t>
      </w:r>
    </w:p>
    <w:p w14:paraId="38E2ED23">
      <w:pPr>
        <w:pStyle w:val="16"/>
        <w:rPr>
          <w:color w:val="auto"/>
        </w:rPr>
      </w:pPr>
      <w:r>
        <w:rPr>
          <w:rFonts w:hint="eastAsia"/>
          <w:color w:val="auto"/>
        </w:rPr>
        <w:t>2.1.2监狱企业视同小型、微型企业，在满足价格扣除条件且在响应文件中按要求提交了省级以上监狱管理局、戒毒管理局（含新疆生产建设兵团）出具的属于监狱企业的证明文件的，对其最后报价按本章2.1.1条款的比例予以扣除，用扣除后的价格参与评审。</w:t>
      </w:r>
    </w:p>
    <w:p w14:paraId="74B02EDB">
      <w:pPr>
        <w:pStyle w:val="16"/>
        <w:rPr>
          <w:color w:val="auto"/>
        </w:rPr>
      </w:pPr>
      <w:r>
        <w:rPr>
          <w:rFonts w:hint="eastAsia"/>
          <w:color w:val="auto"/>
        </w:rPr>
        <w:t>2.1.3残疾人福利性单位视同小型、微型企业，在满足价格扣除条件且在响应文件中提供了《残疾人福利性单位声明函》的，对其最后报价按本章2.1.1条款的比例予以扣除，用扣除后的价格参与评审。</w:t>
      </w:r>
    </w:p>
    <w:p w14:paraId="26026AEA">
      <w:pPr>
        <w:pStyle w:val="16"/>
        <w:rPr>
          <w:color w:val="auto"/>
        </w:rPr>
      </w:pPr>
      <w:r>
        <w:rPr>
          <w:rFonts w:hint="eastAsia"/>
          <w:color w:val="auto"/>
        </w:rPr>
        <w:t>2.1.4“小型、微型企业”、“监狱企业”、“残疾人福利单位”等，只享受一次价格折扣，不重复享受政策。</w:t>
      </w:r>
    </w:p>
    <w:p w14:paraId="45CC6774">
      <w:pPr>
        <w:pStyle w:val="16"/>
        <w:rPr>
          <w:color w:val="auto"/>
        </w:rPr>
      </w:pPr>
      <w:r>
        <w:rPr>
          <w:rFonts w:hint="eastAsia"/>
          <w:color w:val="auto"/>
        </w:rPr>
        <w:t>3、政府采购节能产品、环境标志产品、强制采购产品、信息安全产品的要求。无。</w:t>
      </w:r>
    </w:p>
    <w:p w14:paraId="4DA99BD1">
      <w:pPr>
        <w:pStyle w:val="16"/>
        <w:rPr>
          <w:color w:val="auto"/>
        </w:rPr>
      </w:pPr>
      <w:r>
        <w:rPr>
          <w:rFonts w:hint="eastAsia"/>
          <w:color w:val="auto"/>
        </w:rPr>
        <w:t>4、其他政府采购政策要求：无</w:t>
      </w:r>
    </w:p>
    <w:p w14:paraId="7ECB701F">
      <w:pPr>
        <w:pStyle w:val="16"/>
        <w:rPr>
          <w:color w:val="auto"/>
        </w:rPr>
      </w:pPr>
      <w:r>
        <w:rPr>
          <w:rFonts w:hint="eastAsia"/>
          <w:color w:val="auto"/>
        </w:rPr>
        <w:t>5、同品牌处理办法：</w:t>
      </w:r>
    </w:p>
    <w:p w14:paraId="5D99553D">
      <w:pPr>
        <w:pStyle w:val="16"/>
        <w:rPr>
          <w:color w:val="auto"/>
        </w:rPr>
      </w:pPr>
      <w:r>
        <w:rPr>
          <w:rFonts w:hint="eastAsia"/>
          <w:color w:val="auto"/>
        </w:rPr>
        <w:t>（1）如果为单一产品采购项目，提供相同品牌产品且通过资格审查、符合性审查的不同供应商参加同一合同项下投标的，按一家供应商计算，评审后得分最高的同品牌供应商获得中标人推荐资格；评审得分相同的，报价得分最高的获得中标人推荐资格，其他同品牌供应商不作为成交候选人。</w:t>
      </w:r>
    </w:p>
    <w:p w14:paraId="5E67E84A">
      <w:pPr>
        <w:pStyle w:val="16"/>
        <w:rPr>
          <w:color w:val="auto"/>
        </w:rPr>
      </w:pPr>
      <w:r>
        <w:rPr>
          <w:rFonts w:hint="eastAsia"/>
          <w:color w:val="auto"/>
        </w:rPr>
        <w:t>（2）非单一产品采购项目，将在磋商文件中载明核心产品。多家供应商提供的核心产品品牌相同的，按（1）“单一产品采购项目”规定处理。</w:t>
      </w:r>
    </w:p>
    <w:p w14:paraId="534744A2">
      <w:pPr>
        <w:pStyle w:val="16"/>
        <w:rPr>
          <w:color w:val="auto"/>
        </w:rPr>
      </w:pPr>
      <w:r>
        <w:rPr>
          <w:rFonts w:hint="eastAsia"/>
          <w:color w:val="auto"/>
        </w:rPr>
        <w:t>6、异常低价审查:全部通过符合性审查供应商，评审中出现下列情形之一的，评审委员会应当启动异常低价投标(响应)审查程序：</w:t>
      </w:r>
    </w:p>
    <w:p w14:paraId="7020EE50">
      <w:pPr>
        <w:pStyle w:val="16"/>
        <w:rPr>
          <w:color w:val="auto"/>
        </w:rPr>
      </w:pPr>
      <w:r>
        <w:rPr>
          <w:rFonts w:hint="eastAsia"/>
          <w:color w:val="auto"/>
        </w:rPr>
        <w:t>6.1投标(响应)报价低于全部通过符合性审查供应商投标(响应)报价平均值50%的，即投标(响应)报价&lt;全部通过符合性审查供应商投标(响应)报价平均值×50%；</w:t>
      </w:r>
    </w:p>
    <w:p w14:paraId="3A636FBE">
      <w:pPr>
        <w:pStyle w:val="16"/>
        <w:rPr>
          <w:color w:val="auto"/>
        </w:rPr>
      </w:pPr>
      <w:r>
        <w:rPr>
          <w:rFonts w:hint="eastAsia"/>
          <w:color w:val="auto"/>
        </w:rPr>
        <w:t>6.2投标(响应)报价低于通过符合性审查的次低报价供应商投标(响应)报价50%的，即投标(响应)报价&lt;通过符合性审查的次低报价供应商投标(响应)报价×50%；</w:t>
      </w:r>
    </w:p>
    <w:p w14:paraId="13C2AF75">
      <w:pPr>
        <w:pStyle w:val="16"/>
        <w:ind w:firstLine="396"/>
        <w:rPr>
          <w:color w:val="auto"/>
          <w:spacing w:val="-6"/>
        </w:rPr>
      </w:pPr>
      <w:r>
        <w:rPr>
          <w:rFonts w:hint="eastAsia"/>
          <w:color w:val="auto"/>
          <w:spacing w:val="-6"/>
        </w:rPr>
        <w:t>6.3投标(响应)报价低于采购项目最高限价45%的，即投标(响应)报价&lt;采购项目最高限价×45%；</w:t>
      </w:r>
    </w:p>
    <w:p w14:paraId="2ED1D068">
      <w:pPr>
        <w:pStyle w:val="16"/>
        <w:rPr>
          <w:color w:val="auto"/>
        </w:rPr>
      </w:pPr>
      <w:r>
        <w:rPr>
          <w:rFonts w:hint="eastAsia"/>
          <w:color w:val="auto"/>
        </w:rPr>
        <w:t>6.4评审委员会基于专业判断，认为供应商报价过低，有可能影响产品质量或者不能诚信履约的其他情形。</w:t>
      </w:r>
    </w:p>
    <w:p w14:paraId="4234E266">
      <w:pPr>
        <w:pStyle w:val="16"/>
        <w:rPr>
          <w:color w:val="auto"/>
        </w:rPr>
      </w:pPr>
      <w:r>
        <w:rPr>
          <w:rFonts w:hint="eastAsia"/>
          <w:color w:val="auto"/>
        </w:rPr>
        <w:t>注: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01DE3AE0">
      <w:pPr>
        <w:pStyle w:val="16"/>
        <w:rPr>
          <w:color w:val="auto"/>
        </w:rPr>
      </w:pPr>
      <w:r>
        <w:rPr>
          <w:rFonts w:hint="eastAsia"/>
          <w:color w:val="auto"/>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4585525B">
      <w:pPr>
        <w:pStyle w:val="16"/>
        <w:rPr>
          <w:color w:val="auto"/>
        </w:rPr>
      </w:pPr>
      <w:r>
        <w:rPr>
          <w:rFonts w:hint="eastAsia"/>
          <w:color w:val="auto"/>
        </w:rPr>
        <w:t>7、成交候选人并列时的处理方式：</w:t>
      </w:r>
    </w:p>
    <w:p w14:paraId="26B542A2">
      <w:pPr>
        <w:pStyle w:val="16"/>
        <w:rPr>
          <w:color w:val="auto"/>
        </w:rPr>
      </w:pPr>
      <w:r>
        <w:rPr>
          <w:rFonts w:hint="eastAsia"/>
          <w:color w:val="auto"/>
        </w:rPr>
        <w:t>根据采购需求、商务、技术均能满足磋商文件要求，按</w:t>
      </w:r>
      <w:r>
        <w:rPr>
          <w:rFonts w:hint="eastAsia"/>
          <w:color w:val="auto"/>
          <w:lang w:eastAsia="zh-CN"/>
        </w:rPr>
        <w:t>磋商小组</w:t>
      </w:r>
      <w:r>
        <w:rPr>
          <w:rFonts w:hint="eastAsia"/>
          <w:color w:val="auto"/>
        </w:rPr>
        <w:t>评出的综合得分，由高到低顺序排列，推荐3名成交候选人。（如最得分相同的，按投标报价由低到高顺序排列。得分且投标报价相同的由评委根据质量和服务等因素综合评审后，推荐成交候选人。）</w:t>
      </w:r>
    </w:p>
    <w:p w14:paraId="12C9F59B">
      <w:pPr>
        <w:pStyle w:val="16"/>
        <w:rPr>
          <w:color w:val="auto"/>
        </w:rPr>
      </w:pPr>
      <w:r>
        <w:rPr>
          <w:rFonts w:hint="eastAsia"/>
          <w:color w:val="auto"/>
        </w:rPr>
        <w:t>六、综合评分标准</w:t>
      </w:r>
    </w:p>
    <w:p w14:paraId="68DFE9FD">
      <w:pPr>
        <w:pStyle w:val="16"/>
        <w:rPr>
          <w:color w:val="auto"/>
        </w:rPr>
      </w:pPr>
      <w:r>
        <w:rPr>
          <w:rFonts w:hint="eastAsia"/>
          <w:color w:val="auto"/>
        </w:rPr>
        <w:t>磋商小组将根据评分标准，分别对通过符合性审查、资格性审查且提交了最后报价的供应商，进行综合评分。具体评分标准如下：</w:t>
      </w:r>
    </w:p>
    <w:tbl>
      <w:tblPr>
        <w:tblStyle w:val="38"/>
        <w:tblW w:w="5442"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0" w:type="dxa"/>
          <w:bottom w:w="0" w:type="dxa"/>
          <w:right w:w="0" w:type="dxa"/>
        </w:tblCellMar>
      </w:tblPr>
      <w:tblGrid>
        <w:gridCol w:w="764"/>
        <w:gridCol w:w="1290"/>
        <w:gridCol w:w="1472"/>
        <w:gridCol w:w="5198"/>
        <w:gridCol w:w="872"/>
      </w:tblGrid>
      <w:tr w14:paraId="3DB0E0A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837" w:type="pct"/>
            <w:gridSpan w:val="3"/>
            <w:tcBorders>
              <w:tl2br w:val="nil"/>
              <w:tr2bl w:val="nil"/>
            </w:tcBorders>
            <w:vAlign w:val="center"/>
          </w:tcPr>
          <w:p w14:paraId="71206EF7">
            <w:pPr>
              <w:jc w:val="center"/>
              <w:rPr>
                <w:color w:val="auto"/>
                <w:lang w:val="zh-CN" w:bidi="zh-CN"/>
              </w:rPr>
            </w:pPr>
            <w:r>
              <w:rPr>
                <w:rFonts w:hint="eastAsia"/>
                <w:color w:val="auto"/>
              </w:rPr>
              <w:t>条款内容</w:t>
            </w:r>
          </w:p>
        </w:tc>
        <w:tc>
          <w:tcPr>
            <w:tcW w:w="3162" w:type="pct"/>
            <w:gridSpan w:val="2"/>
            <w:tcBorders>
              <w:tl2br w:val="nil"/>
              <w:tr2bl w:val="nil"/>
            </w:tcBorders>
            <w:vAlign w:val="center"/>
          </w:tcPr>
          <w:p w14:paraId="044DF4B1">
            <w:pPr>
              <w:pStyle w:val="177"/>
              <w:jc w:val="center"/>
              <w:rPr>
                <w:rFonts w:hint="eastAsia"/>
                <w:color w:val="auto"/>
              </w:rPr>
            </w:pPr>
            <w:r>
              <w:rPr>
                <w:rFonts w:hint="eastAsia"/>
                <w:color w:val="auto"/>
              </w:rPr>
              <w:t>编列内容</w:t>
            </w:r>
          </w:p>
        </w:tc>
      </w:tr>
      <w:tr w14:paraId="606758A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837" w:type="pct"/>
            <w:gridSpan w:val="3"/>
            <w:tcBorders>
              <w:tl2br w:val="nil"/>
              <w:tr2bl w:val="nil"/>
            </w:tcBorders>
            <w:vAlign w:val="center"/>
          </w:tcPr>
          <w:p w14:paraId="45A6280D">
            <w:pPr>
              <w:ind w:firstLine="0" w:firstLineChars="0"/>
              <w:jc w:val="center"/>
              <w:rPr>
                <w:color w:val="auto"/>
                <w:highlight w:val="none"/>
              </w:rPr>
            </w:pPr>
            <w:r>
              <w:rPr>
                <w:rFonts w:hint="eastAsia"/>
                <w:color w:val="auto"/>
                <w:highlight w:val="none"/>
              </w:rPr>
              <w:t>分值构成（总分100分）</w:t>
            </w:r>
          </w:p>
        </w:tc>
        <w:tc>
          <w:tcPr>
            <w:tcW w:w="3162" w:type="pct"/>
            <w:gridSpan w:val="2"/>
            <w:tcBorders>
              <w:tl2br w:val="nil"/>
              <w:tr2bl w:val="nil"/>
            </w:tcBorders>
            <w:vAlign w:val="center"/>
          </w:tcPr>
          <w:p w14:paraId="125B50F8">
            <w:pPr>
              <w:ind w:firstLine="0" w:firstLineChars="0"/>
              <w:rPr>
                <w:rFonts w:hint="eastAsia" w:asciiTheme="minorEastAsia" w:hAnsiTheme="minorEastAsia" w:eastAsiaTheme="minorEastAsia" w:cstheme="minorEastAsia"/>
                <w:color w:val="auto"/>
                <w:highlight w:val="none"/>
              </w:rPr>
            </w:pPr>
            <w:r>
              <w:rPr>
                <w:rFonts w:hint="eastAsia"/>
                <w:color w:val="auto"/>
                <w:highlight w:val="none"/>
              </w:rPr>
              <w:t>磋商报价</w:t>
            </w:r>
            <w:r>
              <w:rPr>
                <w:rFonts w:hint="eastAsia" w:asciiTheme="minorEastAsia" w:hAnsiTheme="minorEastAsia" w:eastAsiaTheme="minorEastAsia" w:cstheme="minorEastAsia"/>
                <w:color w:val="auto"/>
                <w:highlight w:val="none"/>
              </w:rPr>
              <w:t>：30分</w:t>
            </w:r>
          </w:p>
          <w:p w14:paraId="543DF031">
            <w:pPr>
              <w:ind w:firstLine="0" w:firstLineChars="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技术部分：50分</w:t>
            </w:r>
          </w:p>
          <w:p w14:paraId="6734672F">
            <w:pPr>
              <w:ind w:firstLine="0" w:firstLineChars="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综合部分：20分</w:t>
            </w:r>
          </w:p>
        </w:tc>
      </w:tr>
      <w:tr w14:paraId="6E7EA85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98" w:type="pct"/>
            <w:tcBorders>
              <w:tl2br w:val="nil"/>
              <w:tr2bl w:val="nil"/>
            </w:tcBorders>
            <w:vAlign w:val="center"/>
          </w:tcPr>
          <w:p w14:paraId="77C1E68C">
            <w:pPr>
              <w:pStyle w:val="177"/>
              <w:jc w:val="center"/>
              <w:rPr>
                <w:rFonts w:hint="eastAsia"/>
                <w:color w:val="auto"/>
              </w:rPr>
            </w:pPr>
            <w:r>
              <w:rPr>
                <w:rFonts w:hint="eastAsia"/>
                <w:color w:val="auto"/>
              </w:rPr>
              <w:t>序号</w:t>
            </w:r>
          </w:p>
        </w:tc>
        <w:tc>
          <w:tcPr>
            <w:tcW w:w="672" w:type="pct"/>
            <w:tcBorders>
              <w:tl2br w:val="nil"/>
              <w:tr2bl w:val="nil"/>
            </w:tcBorders>
            <w:vAlign w:val="center"/>
          </w:tcPr>
          <w:p w14:paraId="64B672CE">
            <w:pPr>
              <w:pStyle w:val="177"/>
              <w:jc w:val="center"/>
              <w:rPr>
                <w:rFonts w:hint="eastAsia"/>
                <w:color w:val="auto"/>
              </w:rPr>
            </w:pPr>
            <w:r>
              <w:rPr>
                <w:rFonts w:hint="eastAsia"/>
                <w:color w:val="auto"/>
              </w:rPr>
              <w:t>评审项</w:t>
            </w:r>
          </w:p>
        </w:tc>
        <w:tc>
          <w:tcPr>
            <w:tcW w:w="765" w:type="pct"/>
            <w:tcBorders>
              <w:tl2br w:val="nil"/>
              <w:tr2bl w:val="nil"/>
            </w:tcBorders>
            <w:vAlign w:val="center"/>
          </w:tcPr>
          <w:p w14:paraId="465F430B">
            <w:pPr>
              <w:pStyle w:val="177"/>
              <w:jc w:val="center"/>
              <w:rPr>
                <w:rFonts w:hint="eastAsia"/>
                <w:color w:val="auto"/>
              </w:rPr>
            </w:pPr>
            <w:r>
              <w:rPr>
                <w:rFonts w:hint="eastAsia"/>
                <w:color w:val="auto"/>
              </w:rPr>
              <w:t>评审项目</w:t>
            </w:r>
          </w:p>
        </w:tc>
        <w:tc>
          <w:tcPr>
            <w:tcW w:w="2708" w:type="pct"/>
            <w:tcBorders>
              <w:tl2br w:val="nil"/>
              <w:tr2bl w:val="nil"/>
            </w:tcBorders>
            <w:vAlign w:val="center"/>
          </w:tcPr>
          <w:p w14:paraId="4F9BE0A6">
            <w:pPr>
              <w:pStyle w:val="177"/>
              <w:jc w:val="center"/>
              <w:rPr>
                <w:rFonts w:hint="eastAsia"/>
                <w:color w:val="auto"/>
              </w:rPr>
            </w:pPr>
            <w:r>
              <w:rPr>
                <w:rFonts w:hint="eastAsia"/>
                <w:color w:val="auto"/>
              </w:rPr>
              <w:t>评分标准</w:t>
            </w:r>
          </w:p>
        </w:tc>
        <w:tc>
          <w:tcPr>
            <w:tcW w:w="453" w:type="pct"/>
            <w:tcBorders>
              <w:tl2br w:val="nil"/>
              <w:tr2bl w:val="nil"/>
            </w:tcBorders>
            <w:vAlign w:val="center"/>
          </w:tcPr>
          <w:p w14:paraId="2A063079">
            <w:pPr>
              <w:pStyle w:val="177"/>
              <w:jc w:val="center"/>
              <w:rPr>
                <w:rFonts w:hint="eastAsia"/>
                <w:color w:val="auto"/>
              </w:rPr>
            </w:pPr>
            <w:r>
              <w:rPr>
                <w:rFonts w:hint="eastAsia"/>
                <w:color w:val="auto"/>
              </w:rPr>
              <w:t>满分</w:t>
            </w:r>
          </w:p>
          <w:p w14:paraId="4A7E6893">
            <w:pPr>
              <w:pStyle w:val="177"/>
              <w:jc w:val="center"/>
              <w:rPr>
                <w:rFonts w:hint="eastAsia"/>
                <w:color w:val="auto"/>
              </w:rPr>
            </w:pPr>
            <w:r>
              <w:rPr>
                <w:rFonts w:hint="eastAsia"/>
                <w:color w:val="auto"/>
              </w:rPr>
              <w:t>分值</w:t>
            </w:r>
          </w:p>
        </w:tc>
      </w:tr>
      <w:tr w14:paraId="2F611B1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98" w:type="pct"/>
            <w:tcBorders>
              <w:tl2br w:val="nil"/>
              <w:tr2bl w:val="nil"/>
            </w:tcBorders>
            <w:vAlign w:val="center"/>
          </w:tcPr>
          <w:p w14:paraId="0C0D02C0">
            <w:pPr>
              <w:pStyle w:val="177"/>
              <w:jc w:val="center"/>
              <w:rPr>
                <w:rFonts w:hint="eastAsia"/>
                <w:color w:val="auto"/>
              </w:rPr>
            </w:pPr>
            <w:r>
              <w:rPr>
                <w:rFonts w:hint="eastAsia"/>
                <w:color w:val="auto"/>
              </w:rPr>
              <w:t>1</w:t>
            </w:r>
          </w:p>
        </w:tc>
        <w:tc>
          <w:tcPr>
            <w:tcW w:w="672" w:type="pct"/>
            <w:tcBorders>
              <w:tl2br w:val="nil"/>
              <w:tr2bl w:val="nil"/>
            </w:tcBorders>
            <w:vAlign w:val="center"/>
          </w:tcPr>
          <w:p w14:paraId="6A2F3E03">
            <w:pPr>
              <w:pStyle w:val="177"/>
              <w:jc w:val="center"/>
              <w:rPr>
                <w:rFonts w:hint="eastAsia"/>
                <w:color w:val="auto"/>
              </w:rPr>
            </w:pPr>
            <w:r>
              <w:rPr>
                <w:rFonts w:hint="eastAsia"/>
                <w:color w:val="auto"/>
              </w:rPr>
              <w:t>报价部分</w:t>
            </w:r>
          </w:p>
          <w:p w14:paraId="316AF71F">
            <w:pPr>
              <w:pStyle w:val="177"/>
              <w:jc w:val="center"/>
              <w:rPr>
                <w:rFonts w:hint="eastAsia"/>
                <w:color w:val="auto"/>
              </w:rPr>
            </w:pPr>
            <w:r>
              <w:rPr>
                <w:rFonts w:hint="eastAsia"/>
                <w:color w:val="auto"/>
              </w:rPr>
              <w:t>（30分）</w:t>
            </w:r>
          </w:p>
        </w:tc>
        <w:tc>
          <w:tcPr>
            <w:tcW w:w="765" w:type="pct"/>
            <w:tcBorders>
              <w:tl2br w:val="nil"/>
              <w:tr2bl w:val="nil"/>
            </w:tcBorders>
            <w:vAlign w:val="center"/>
          </w:tcPr>
          <w:p w14:paraId="6F9727AA">
            <w:pPr>
              <w:pStyle w:val="177"/>
              <w:jc w:val="center"/>
              <w:rPr>
                <w:rFonts w:hint="eastAsia"/>
                <w:color w:val="auto"/>
              </w:rPr>
            </w:pPr>
            <w:r>
              <w:rPr>
                <w:rFonts w:hint="eastAsia"/>
                <w:color w:val="auto"/>
              </w:rPr>
              <w:t>报价得分</w:t>
            </w:r>
          </w:p>
        </w:tc>
        <w:tc>
          <w:tcPr>
            <w:tcW w:w="2708" w:type="pct"/>
            <w:tcBorders>
              <w:tl2br w:val="nil"/>
              <w:tr2bl w:val="nil"/>
            </w:tcBorders>
            <w:vAlign w:val="center"/>
          </w:tcPr>
          <w:p w14:paraId="14D9A8EF">
            <w:pPr>
              <w:ind w:firstLine="396"/>
              <w:rPr>
                <w:color w:val="auto"/>
              </w:rPr>
            </w:pPr>
            <w:r>
              <w:rPr>
                <w:rFonts w:hint="eastAsia"/>
                <w:color w:val="auto"/>
                <w:spacing w:val="-6"/>
              </w:rPr>
              <w:t>价格分采用低价优先法计算，即满足磋商文件要求且评审报价（评审报价为</w:t>
            </w:r>
            <w:r>
              <w:rPr>
                <w:rFonts w:hint="eastAsia"/>
                <w:color w:val="auto"/>
                <w:spacing w:val="-6"/>
                <w:kern w:val="0"/>
                <w:lang w:val="zh-CN"/>
              </w:rPr>
              <w:t>最</w:t>
            </w:r>
            <w:r>
              <w:rPr>
                <w:rFonts w:hint="eastAsia"/>
                <w:color w:val="auto"/>
                <w:spacing w:val="-6"/>
                <w:kern w:val="0"/>
              </w:rPr>
              <w:t>后</w:t>
            </w:r>
            <w:r>
              <w:rPr>
                <w:rFonts w:hint="eastAsia"/>
                <w:color w:val="auto"/>
                <w:spacing w:val="-6"/>
                <w:kern w:val="0"/>
                <w:lang w:val="zh-CN"/>
              </w:rPr>
              <w:t>磋商报价执行政府采购政策报价折扣原则扣除后的价格</w:t>
            </w:r>
            <w:r>
              <w:rPr>
                <w:rFonts w:hint="eastAsia"/>
                <w:color w:val="auto"/>
                <w:spacing w:val="-6"/>
              </w:rPr>
              <w:t>）最低的价格为磋商基准价，其价格分为满分。其他供应商的价格分统一按照下列公式计算：</w:t>
            </w:r>
          </w:p>
          <w:p w14:paraId="7D329C2E">
            <w:pPr>
              <w:rPr>
                <w:color w:val="auto"/>
              </w:rPr>
            </w:pPr>
            <w:r>
              <w:rPr>
                <w:rFonts w:hint="eastAsia"/>
                <w:color w:val="auto"/>
              </w:rPr>
              <w:t>磋商报价得分=（磋商基准价/最后磋商报价）×30</w:t>
            </w:r>
          </w:p>
          <w:p w14:paraId="199E9C3B">
            <w:pPr>
              <w:rPr>
                <w:color w:val="auto"/>
                <w:highlight w:val="none"/>
              </w:rPr>
            </w:pPr>
            <w:r>
              <w:rPr>
                <w:rFonts w:hint="eastAsia"/>
                <w:color w:val="auto"/>
                <w:kern w:val="0"/>
              </w:rPr>
              <w:t>备注：1.</w:t>
            </w:r>
            <w:r>
              <w:rPr>
                <w:rFonts w:hint="eastAsia"/>
                <w:color w:val="auto"/>
                <w:kern w:val="0"/>
                <w:lang w:val="zh-CN"/>
              </w:rPr>
              <w:t>本项目执行政府采购政策最</w:t>
            </w:r>
            <w:r>
              <w:rPr>
                <w:rFonts w:hint="eastAsia"/>
                <w:color w:val="auto"/>
                <w:kern w:val="0"/>
              </w:rPr>
              <w:t>后</w:t>
            </w:r>
            <w:r>
              <w:rPr>
                <w:rFonts w:hint="eastAsia"/>
                <w:color w:val="auto"/>
                <w:kern w:val="0"/>
                <w:lang w:val="zh-CN"/>
              </w:rPr>
              <w:t>磋商报价折扣原则。</w:t>
            </w:r>
            <w:r>
              <w:rPr>
                <w:rFonts w:hint="eastAsia"/>
                <w:color w:val="auto"/>
              </w:rPr>
              <w:t>根据《政府采购促进中小企业发展管理办法》(财库</w:t>
            </w:r>
            <w:r>
              <w:rPr>
                <w:rFonts w:hint="eastAsia"/>
                <w:color w:val="auto"/>
                <w:highlight w:val="none"/>
              </w:rPr>
              <w:t>[2020]46号)的规定，对小型和微型企业的价格给予10%的扣除，用扣除后的价格参与评审及排序。</w:t>
            </w:r>
          </w:p>
          <w:p w14:paraId="74DC3F4C">
            <w:pPr>
              <w:pStyle w:val="177"/>
              <w:numPr>
                <w:ilvl w:val="0"/>
                <w:numId w:val="0"/>
              </w:numPr>
              <w:ind w:firstLine="0" w:firstLineChars="0"/>
              <w:rPr>
                <w:rFonts w:hint="eastAsia"/>
                <w:color w:val="auto"/>
                <w:highlight w:val="none"/>
              </w:rPr>
            </w:pPr>
            <w:r>
              <w:rPr>
                <w:rFonts w:hint="eastAsia" w:ascii="宋体" w:hAnsi="宋体" w:eastAsia="宋体" w:cs="Times New Roman"/>
                <w:color w:val="auto"/>
                <w:kern w:val="2"/>
                <w:sz w:val="21"/>
                <w:szCs w:val="20"/>
                <w:highlight w:val="none"/>
                <w:lang w:val="en-US" w:eastAsia="zh-CN" w:bidi="ar-SA"/>
              </w:rPr>
              <w:t>2.</w:t>
            </w:r>
            <w:r>
              <w:rPr>
                <w:rFonts w:hint="eastAsia"/>
                <w:color w:val="auto"/>
                <w:highlight w:val="none"/>
              </w:rPr>
              <w:t>政府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40754BD5">
            <w:pPr>
              <w:pStyle w:val="16"/>
              <w:numPr>
                <w:ilvl w:val="0"/>
                <w:numId w:val="0"/>
              </w:numPr>
              <w:ind w:firstLine="0" w:firstLineChars="0"/>
              <w:rPr>
                <w:color w:val="auto"/>
              </w:rPr>
            </w:pPr>
            <w:r>
              <w:rPr>
                <w:rFonts w:ascii="Times New Roman" w:hAnsi="Times New Roman" w:eastAsia="宋体" w:cs="Times New Roman"/>
                <w:color w:val="auto"/>
                <w:kern w:val="2"/>
                <w:sz w:val="21"/>
                <w:szCs w:val="24"/>
                <w:lang w:val="en-US" w:eastAsia="zh-CN" w:bidi="ar-SA"/>
              </w:rPr>
              <w:t>3.</w:t>
            </w:r>
            <w:r>
              <w:rPr>
                <w:rFonts w:hint="eastAsia"/>
                <w:color w:val="auto"/>
              </w:rPr>
              <w:t>异常低价审查:全部通过符合性审查供应商，评审中出现下列情形之一的，评审委员会应当启动异常低价投标(响应)审查程序：</w:t>
            </w:r>
          </w:p>
          <w:p w14:paraId="6EEB02B8">
            <w:pPr>
              <w:pStyle w:val="16"/>
              <w:rPr>
                <w:color w:val="auto"/>
              </w:rPr>
            </w:pPr>
            <w:r>
              <w:rPr>
                <w:rFonts w:hint="eastAsia"/>
                <w:color w:val="auto"/>
              </w:rPr>
              <w:t>3.1投标(响应)报价低于全部通过符合性审查供应商投标(响应)报价平均值50%的，即投标(响应)报价&lt;全部通过符合性审查供应商投标(响应)报价平均值×50%；</w:t>
            </w:r>
          </w:p>
          <w:p w14:paraId="48D42C9A">
            <w:pPr>
              <w:pStyle w:val="16"/>
              <w:rPr>
                <w:color w:val="auto"/>
              </w:rPr>
            </w:pPr>
            <w:r>
              <w:rPr>
                <w:rFonts w:hint="eastAsia"/>
                <w:color w:val="auto"/>
              </w:rPr>
              <w:t>3.2投标(响应)报价低于通过符合性审查的次低报价供应商投标(响应)报价50%的，即投标(响应)报价&lt;通过符合性审查的次低报价供应商投标(响应)报价×50%；</w:t>
            </w:r>
          </w:p>
          <w:p w14:paraId="0EBFEF2F">
            <w:pPr>
              <w:pStyle w:val="16"/>
              <w:ind w:firstLine="396"/>
              <w:rPr>
                <w:color w:val="auto"/>
                <w:spacing w:val="-6"/>
              </w:rPr>
            </w:pPr>
            <w:r>
              <w:rPr>
                <w:rFonts w:hint="eastAsia"/>
                <w:color w:val="auto"/>
                <w:spacing w:val="-6"/>
              </w:rPr>
              <w:t>3.3投标(响应)报价低于采购项目最高限价45%的，即投标(响应)报价&lt;采购项目最高限价×45%；</w:t>
            </w:r>
          </w:p>
          <w:p w14:paraId="74478C61">
            <w:pPr>
              <w:pStyle w:val="16"/>
              <w:rPr>
                <w:color w:val="auto"/>
              </w:rPr>
            </w:pPr>
            <w:r>
              <w:rPr>
                <w:rFonts w:hint="eastAsia"/>
                <w:color w:val="auto"/>
              </w:rPr>
              <w:t>3.4评审委员会基于专业判断，认为供应商报价过低，有可能影响产品质量或者不能诚信履约的其他情形。</w:t>
            </w:r>
          </w:p>
          <w:p w14:paraId="6002E9D8">
            <w:pPr>
              <w:widowControl/>
              <w:adjustRightInd w:val="0"/>
              <w:snapToGrid w:val="0"/>
              <w:rPr>
                <w:rFonts w:hint="eastAsia"/>
                <w:color w:val="auto"/>
              </w:rPr>
            </w:pPr>
            <w:r>
              <w:rPr>
                <w:rFonts w:hint="eastAsia"/>
                <w:color w:val="auto"/>
                <w:szCs w:val="21"/>
              </w:rPr>
              <w:t>采购人可以结合具体项目实际情况，提高上述第1项至第3项中启动异常低价投标（响应）审查的数值标准，但是最高不得超过65%。</w:t>
            </w:r>
          </w:p>
          <w:p w14:paraId="77E148D1">
            <w:pPr>
              <w:pStyle w:val="16"/>
              <w:rPr>
                <w:color w:val="auto"/>
              </w:rPr>
            </w:pPr>
            <w:r>
              <w:rPr>
                <w:rFonts w:hint="eastAsia"/>
                <w:color w:val="auto"/>
              </w:rPr>
              <w:t>注:评审委员会启动异常低价投标(响应)审查后，属于前述第</w:t>
            </w:r>
            <w:r>
              <w:rPr>
                <w:rFonts w:hint="eastAsia"/>
                <w:color w:val="auto"/>
                <w:lang w:val="en-US" w:eastAsia="zh-CN"/>
              </w:rPr>
              <w:t>3.</w:t>
            </w:r>
            <w:r>
              <w:rPr>
                <w:rFonts w:hint="eastAsia"/>
                <w:color w:val="auto"/>
              </w:rPr>
              <w:t>1项至第</w:t>
            </w:r>
            <w:r>
              <w:rPr>
                <w:rFonts w:hint="eastAsia"/>
                <w:color w:val="auto"/>
                <w:lang w:val="en-US" w:eastAsia="zh-CN"/>
              </w:rPr>
              <w:t>3.</w:t>
            </w:r>
            <w:r>
              <w:rPr>
                <w:rFonts w:hint="eastAsia"/>
                <w:color w:val="auto"/>
              </w:rPr>
              <w:t>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18B36334">
            <w:pPr>
              <w:pStyle w:val="16"/>
              <w:rPr>
                <w:color w:val="auto"/>
              </w:rPr>
            </w:pPr>
            <w:r>
              <w:rPr>
                <w:rFonts w:hint="eastAsia"/>
                <w:color w:val="auto"/>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tc>
        <w:tc>
          <w:tcPr>
            <w:tcW w:w="453" w:type="pct"/>
            <w:tcBorders>
              <w:tl2br w:val="nil"/>
              <w:tr2bl w:val="nil"/>
            </w:tcBorders>
            <w:vAlign w:val="center"/>
          </w:tcPr>
          <w:p w14:paraId="34F17D4F">
            <w:pPr>
              <w:pStyle w:val="177"/>
              <w:jc w:val="center"/>
              <w:rPr>
                <w:rFonts w:hint="eastAsia"/>
                <w:color w:val="auto"/>
              </w:rPr>
            </w:pPr>
            <w:r>
              <w:rPr>
                <w:rFonts w:hint="eastAsia"/>
                <w:color w:val="auto"/>
              </w:rPr>
              <w:t>30分</w:t>
            </w:r>
          </w:p>
        </w:tc>
      </w:tr>
      <w:tr w14:paraId="55B1599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98" w:type="pct"/>
            <w:tcBorders>
              <w:tl2br w:val="nil"/>
              <w:tr2bl w:val="nil"/>
            </w:tcBorders>
            <w:vAlign w:val="center"/>
          </w:tcPr>
          <w:p w14:paraId="3B59F217">
            <w:pPr>
              <w:pStyle w:val="177"/>
              <w:jc w:val="center"/>
              <w:rPr>
                <w:rFonts w:hint="eastAsia"/>
                <w:color w:val="auto"/>
              </w:rPr>
            </w:pPr>
            <w:r>
              <w:rPr>
                <w:rFonts w:hint="eastAsia"/>
                <w:color w:val="auto"/>
              </w:rPr>
              <w:t>2</w:t>
            </w:r>
          </w:p>
        </w:tc>
        <w:tc>
          <w:tcPr>
            <w:tcW w:w="672" w:type="pct"/>
            <w:tcBorders>
              <w:tl2br w:val="nil"/>
              <w:tr2bl w:val="nil"/>
            </w:tcBorders>
            <w:vAlign w:val="center"/>
          </w:tcPr>
          <w:p w14:paraId="04A92BEF">
            <w:pPr>
              <w:pStyle w:val="177"/>
              <w:jc w:val="center"/>
              <w:rPr>
                <w:rFonts w:hint="eastAsia"/>
                <w:color w:val="auto"/>
                <w:highlight w:val="none"/>
              </w:rPr>
            </w:pPr>
            <w:r>
              <w:rPr>
                <w:rFonts w:hint="eastAsia"/>
                <w:color w:val="auto"/>
                <w:highlight w:val="none"/>
              </w:rPr>
              <w:t>技术部分</w:t>
            </w:r>
          </w:p>
          <w:p w14:paraId="69071F8D">
            <w:pPr>
              <w:pStyle w:val="177"/>
              <w:jc w:val="center"/>
              <w:rPr>
                <w:rFonts w:hint="eastAsia"/>
                <w:color w:val="auto"/>
                <w:highlight w:val="none"/>
              </w:rPr>
            </w:pPr>
            <w:r>
              <w:rPr>
                <w:rFonts w:hint="eastAsia"/>
                <w:color w:val="auto"/>
                <w:highlight w:val="none"/>
              </w:rPr>
              <w:t>（50分）</w:t>
            </w:r>
          </w:p>
        </w:tc>
        <w:tc>
          <w:tcPr>
            <w:tcW w:w="765" w:type="pct"/>
            <w:tcBorders>
              <w:tl2br w:val="nil"/>
              <w:tr2bl w:val="nil"/>
            </w:tcBorders>
            <w:vAlign w:val="center"/>
          </w:tcPr>
          <w:p w14:paraId="5152591C">
            <w:pPr>
              <w:ind w:firstLine="0" w:firstLineChars="0"/>
              <w:jc w:val="center"/>
              <w:rPr>
                <w:color w:val="auto"/>
                <w:highlight w:val="none"/>
                <w:lang w:val="zh-CN" w:bidi="zh-CN"/>
              </w:rPr>
            </w:pPr>
            <w:r>
              <w:rPr>
                <w:rFonts w:hint="eastAsia"/>
                <w:color w:val="auto"/>
                <w:highlight w:val="none"/>
              </w:rPr>
              <w:t>技术指标响应情况</w:t>
            </w:r>
          </w:p>
        </w:tc>
        <w:tc>
          <w:tcPr>
            <w:tcW w:w="2708" w:type="pct"/>
            <w:tcBorders>
              <w:tl2br w:val="nil"/>
              <w:tr2bl w:val="nil"/>
            </w:tcBorders>
            <w:vAlign w:val="center"/>
          </w:tcPr>
          <w:p w14:paraId="5F316ECC">
            <w:pPr>
              <w:autoSpaceDE w:val="0"/>
              <w:autoSpaceDN w:val="0"/>
              <w:adjustRightInd w:val="0"/>
              <w:spacing w:line="400" w:lineRule="exact"/>
              <w:jc w:val="left"/>
              <w:rPr>
                <w:rFonts w:hint="eastAsia" w:cs="宋体" w:asciiTheme="minorEastAsia" w:hAnsiTheme="minorEastAsia" w:eastAsiaTheme="minorEastAsia"/>
                <w:color w:val="auto"/>
                <w:szCs w:val="21"/>
                <w:highlight w:val="none"/>
              </w:rPr>
            </w:pPr>
            <w:r>
              <w:rPr>
                <w:rFonts w:hint="eastAsia" w:cs="宋体" w:asciiTheme="minorEastAsia" w:hAnsiTheme="minorEastAsia" w:eastAsiaTheme="minorEastAsia"/>
                <w:color w:val="auto"/>
                <w:szCs w:val="21"/>
                <w:highlight w:val="none"/>
                <w:lang w:eastAsia="zh-CN"/>
              </w:rPr>
              <w:t>磋商小组</w:t>
            </w:r>
            <w:r>
              <w:rPr>
                <w:rFonts w:hint="eastAsia" w:cs="宋体" w:asciiTheme="minorEastAsia" w:hAnsiTheme="minorEastAsia" w:eastAsiaTheme="minorEastAsia"/>
                <w:color w:val="auto"/>
                <w:szCs w:val="21"/>
                <w:highlight w:val="none"/>
              </w:rPr>
              <w:t>根据</w:t>
            </w:r>
            <w:r>
              <w:rPr>
                <w:rFonts w:hint="eastAsia" w:cs="宋体" w:asciiTheme="minorEastAsia" w:hAnsiTheme="minorEastAsia" w:eastAsiaTheme="minorEastAsia"/>
                <w:color w:val="auto"/>
                <w:szCs w:val="21"/>
                <w:highlight w:val="none"/>
                <w:lang w:eastAsia="zh-CN"/>
              </w:rPr>
              <w:t>竞争性磋商文件</w:t>
            </w:r>
            <w:r>
              <w:rPr>
                <w:rFonts w:hint="eastAsia" w:cs="宋体" w:asciiTheme="minorEastAsia" w:hAnsiTheme="minorEastAsia" w:eastAsiaTheme="minorEastAsia"/>
                <w:color w:val="auto"/>
                <w:szCs w:val="21"/>
                <w:highlight w:val="none"/>
              </w:rPr>
              <w:t>要求，</w:t>
            </w:r>
            <w:r>
              <w:rPr>
                <w:rFonts w:hint="eastAsia" w:cs="宋体" w:asciiTheme="minorEastAsia" w:hAnsiTheme="minorEastAsia" w:eastAsiaTheme="minorEastAsia"/>
                <w:color w:val="auto"/>
                <w:szCs w:val="21"/>
                <w:highlight w:val="none"/>
                <w:lang w:eastAsia="zh-CN"/>
              </w:rPr>
              <w:t>供应商</w:t>
            </w:r>
            <w:r>
              <w:rPr>
                <w:rFonts w:hint="eastAsia" w:cs="宋体" w:asciiTheme="minorEastAsia" w:hAnsiTheme="minorEastAsia" w:eastAsiaTheme="minorEastAsia"/>
                <w:color w:val="auto"/>
                <w:szCs w:val="21"/>
                <w:highlight w:val="none"/>
              </w:rPr>
              <w:t>提供的</w:t>
            </w:r>
            <w:r>
              <w:rPr>
                <w:rFonts w:hint="eastAsia" w:cs="宋体" w:asciiTheme="minorEastAsia" w:hAnsiTheme="minorEastAsia" w:eastAsiaTheme="minorEastAsia"/>
                <w:color w:val="auto"/>
                <w:szCs w:val="21"/>
                <w:highlight w:val="none"/>
                <w:lang w:eastAsia="zh-CN"/>
              </w:rPr>
              <w:t>响应</w:t>
            </w:r>
            <w:r>
              <w:rPr>
                <w:rFonts w:hint="eastAsia" w:cs="宋体" w:asciiTheme="minorEastAsia" w:hAnsiTheme="minorEastAsia" w:eastAsiaTheme="minorEastAsia"/>
                <w:color w:val="auto"/>
                <w:szCs w:val="21"/>
                <w:highlight w:val="none"/>
              </w:rPr>
              <w:t>产品的技术指标说明材料，来判断</w:t>
            </w:r>
            <w:r>
              <w:rPr>
                <w:rFonts w:hint="eastAsia" w:cs="宋体" w:asciiTheme="minorEastAsia" w:hAnsiTheme="minorEastAsia" w:eastAsiaTheme="minorEastAsia"/>
                <w:color w:val="auto"/>
                <w:szCs w:val="21"/>
                <w:highlight w:val="none"/>
                <w:lang w:eastAsia="zh-CN"/>
              </w:rPr>
              <w:t>供应商</w:t>
            </w:r>
            <w:r>
              <w:rPr>
                <w:rFonts w:hint="eastAsia" w:cs="宋体" w:asciiTheme="minorEastAsia" w:hAnsiTheme="minorEastAsia" w:eastAsiaTheme="minorEastAsia"/>
                <w:color w:val="auto"/>
                <w:szCs w:val="21"/>
                <w:highlight w:val="none"/>
              </w:rPr>
              <w:t>所投产品是否满足</w:t>
            </w:r>
            <w:r>
              <w:rPr>
                <w:rFonts w:hint="eastAsia" w:cs="宋体" w:asciiTheme="minorEastAsia" w:hAnsiTheme="minorEastAsia" w:eastAsiaTheme="minorEastAsia"/>
                <w:color w:val="auto"/>
                <w:szCs w:val="21"/>
                <w:highlight w:val="none"/>
                <w:lang w:eastAsia="zh-CN"/>
              </w:rPr>
              <w:t>竞争性磋商文件</w:t>
            </w:r>
            <w:r>
              <w:rPr>
                <w:rFonts w:hint="eastAsia" w:cs="宋体" w:asciiTheme="minorEastAsia" w:hAnsiTheme="minorEastAsia" w:eastAsiaTheme="minorEastAsia"/>
                <w:color w:val="auto"/>
                <w:szCs w:val="21"/>
                <w:highlight w:val="none"/>
              </w:rPr>
              <w:t>的要求。</w:t>
            </w:r>
          </w:p>
          <w:p w14:paraId="067469F8">
            <w:pPr>
              <w:autoSpaceDE w:val="0"/>
              <w:autoSpaceDN w:val="0"/>
              <w:adjustRightInd w:val="0"/>
              <w:spacing w:line="400" w:lineRule="exact"/>
              <w:jc w:val="left"/>
              <w:rPr>
                <w:rFonts w:hint="eastAsia" w:cs="宋体" w:asciiTheme="minorEastAsia" w:hAnsiTheme="minorEastAsia" w:eastAsiaTheme="minorEastAsia"/>
                <w:color w:val="auto"/>
                <w:szCs w:val="21"/>
                <w:highlight w:val="none"/>
              </w:rPr>
            </w:pPr>
            <w:r>
              <w:rPr>
                <w:rFonts w:hint="eastAsia" w:cs="宋体" w:asciiTheme="minorEastAsia" w:hAnsiTheme="minorEastAsia" w:eastAsiaTheme="minorEastAsia"/>
                <w:color w:val="auto"/>
                <w:szCs w:val="21"/>
                <w:highlight w:val="none"/>
              </w:rPr>
              <w:t>技术参数中加“▲”的条款为实质性要求，不参与评分，</w:t>
            </w:r>
            <w:r>
              <w:rPr>
                <w:rFonts w:hint="eastAsia" w:cs="宋体" w:asciiTheme="minorEastAsia" w:hAnsiTheme="minorEastAsia" w:eastAsiaTheme="minorEastAsia"/>
                <w:color w:val="auto"/>
                <w:szCs w:val="21"/>
                <w:highlight w:val="none"/>
                <w:lang w:eastAsia="zh-CN"/>
              </w:rPr>
              <w:t>供应商</w:t>
            </w:r>
            <w:r>
              <w:rPr>
                <w:rFonts w:hint="eastAsia" w:cs="宋体" w:asciiTheme="minorEastAsia" w:hAnsiTheme="minorEastAsia" w:eastAsiaTheme="minorEastAsia"/>
                <w:color w:val="auto"/>
                <w:szCs w:val="21"/>
                <w:highlight w:val="none"/>
              </w:rPr>
              <w:t>未满足，按无效标处理，</w:t>
            </w:r>
            <w:r>
              <w:rPr>
                <w:rFonts w:hint="eastAsia" w:cs="宋体" w:asciiTheme="minorEastAsia" w:hAnsiTheme="minorEastAsia" w:eastAsiaTheme="minorEastAsia"/>
                <w:color w:val="auto"/>
                <w:szCs w:val="21"/>
                <w:highlight w:val="none"/>
                <w:lang w:eastAsia="zh-CN"/>
              </w:rPr>
              <w:t>磋商小组</w:t>
            </w:r>
            <w:r>
              <w:rPr>
                <w:rFonts w:hint="eastAsia" w:cs="宋体" w:asciiTheme="minorEastAsia" w:hAnsiTheme="minorEastAsia" w:eastAsiaTheme="minorEastAsia"/>
                <w:color w:val="auto"/>
                <w:szCs w:val="21"/>
                <w:highlight w:val="none"/>
              </w:rPr>
              <w:t>将否决其投标。</w:t>
            </w:r>
            <w:r>
              <w:rPr>
                <w:rFonts w:hint="eastAsia" w:cs="宋体" w:asciiTheme="minorEastAsia" w:hAnsiTheme="minorEastAsia" w:eastAsiaTheme="minorEastAsia"/>
                <w:color w:val="auto"/>
                <w:szCs w:val="21"/>
                <w:highlight w:val="none"/>
                <w:lang w:eastAsia="zh-CN"/>
              </w:rPr>
              <w:t>供应商</w:t>
            </w:r>
            <w:r>
              <w:rPr>
                <w:rFonts w:hint="eastAsia" w:cs="宋体" w:asciiTheme="minorEastAsia" w:hAnsiTheme="minorEastAsia" w:eastAsiaTheme="minorEastAsia"/>
                <w:color w:val="auto"/>
                <w:szCs w:val="21"/>
                <w:highlight w:val="none"/>
              </w:rPr>
              <w:t>所投设备参数均满足</w:t>
            </w:r>
            <w:r>
              <w:rPr>
                <w:rFonts w:hint="eastAsia" w:cs="宋体" w:asciiTheme="minorEastAsia" w:hAnsiTheme="minorEastAsia" w:eastAsiaTheme="minorEastAsia"/>
                <w:color w:val="auto"/>
                <w:szCs w:val="21"/>
                <w:highlight w:val="none"/>
                <w:lang w:eastAsia="zh-CN"/>
              </w:rPr>
              <w:t>竞争性磋商文件</w:t>
            </w:r>
            <w:r>
              <w:rPr>
                <w:rFonts w:hint="eastAsia" w:cs="宋体" w:asciiTheme="minorEastAsia" w:hAnsiTheme="minorEastAsia" w:eastAsiaTheme="minorEastAsia"/>
                <w:color w:val="auto"/>
                <w:szCs w:val="21"/>
                <w:highlight w:val="none"/>
              </w:rPr>
              <w:t>要求得50分。</w:t>
            </w:r>
          </w:p>
          <w:p w14:paraId="3B120B1D">
            <w:pPr>
              <w:autoSpaceDE w:val="0"/>
              <w:autoSpaceDN w:val="0"/>
              <w:adjustRightInd w:val="0"/>
              <w:spacing w:line="400" w:lineRule="exact"/>
              <w:jc w:val="left"/>
              <w:rPr>
                <w:rFonts w:hint="eastAsia" w:cs="宋体" w:asciiTheme="minorEastAsia" w:hAnsiTheme="minorEastAsia" w:eastAsiaTheme="minorEastAsia"/>
                <w:color w:val="auto"/>
                <w:szCs w:val="21"/>
                <w:highlight w:val="none"/>
              </w:rPr>
            </w:pPr>
            <w:r>
              <w:rPr>
                <w:rFonts w:hint="eastAsia" w:cs="宋体" w:asciiTheme="minorEastAsia" w:hAnsiTheme="minorEastAsia" w:eastAsiaTheme="minorEastAsia"/>
                <w:color w:val="auto"/>
                <w:szCs w:val="21"/>
                <w:highlight w:val="none"/>
              </w:rPr>
              <w:t>其中：</w:t>
            </w:r>
          </w:p>
          <w:p w14:paraId="3E411DF8">
            <w:pPr>
              <w:autoSpaceDE w:val="0"/>
              <w:autoSpaceDN w:val="0"/>
              <w:adjustRightInd w:val="0"/>
              <w:spacing w:line="400" w:lineRule="exact"/>
              <w:jc w:val="left"/>
              <w:rPr>
                <w:rFonts w:hint="eastAsia" w:cs="宋体" w:asciiTheme="minorEastAsia" w:hAnsiTheme="minorEastAsia" w:eastAsiaTheme="minorEastAsia"/>
                <w:color w:val="auto"/>
                <w:szCs w:val="21"/>
                <w:highlight w:val="none"/>
              </w:rPr>
            </w:pPr>
            <w:r>
              <w:rPr>
                <w:rFonts w:hint="eastAsia" w:cs="宋体" w:asciiTheme="minorEastAsia" w:hAnsiTheme="minorEastAsia" w:eastAsiaTheme="minorEastAsia"/>
                <w:color w:val="auto"/>
                <w:szCs w:val="21"/>
                <w:highlight w:val="none"/>
              </w:rPr>
              <w:t>1．技术参数中标注“*”的属于关键参数，有一项不满足</w:t>
            </w:r>
            <w:r>
              <w:rPr>
                <w:rFonts w:hint="eastAsia" w:cs="宋体" w:asciiTheme="minorEastAsia" w:hAnsiTheme="minorEastAsia" w:eastAsiaTheme="minorEastAsia"/>
                <w:color w:val="auto"/>
                <w:szCs w:val="21"/>
                <w:highlight w:val="none"/>
                <w:lang w:eastAsia="zh-CN"/>
              </w:rPr>
              <w:t>竞争性磋商文件</w:t>
            </w:r>
            <w:r>
              <w:rPr>
                <w:rFonts w:hint="eastAsia" w:cs="宋体" w:asciiTheme="minorEastAsia" w:hAnsiTheme="minorEastAsia" w:eastAsiaTheme="minorEastAsia"/>
                <w:color w:val="auto"/>
                <w:szCs w:val="21"/>
                <w:highlight w:val="none"/>
              </w:rPr>
              <w:t>要求的扣</w:t>
            </w:r>
            <w:r>
              <w:rPr>
                <w:rFonts w:hint="eastAsia" w:cs="宋体" w:asciiTheme="minorEastAsia" w:hAnsiTheme="minorEastAsia" w:eastAsiaTheme="minorEastAsia"/>
                <w:color w:val="auto"/>
                <w:szCs w:val="21"/>
                <w:highlight w:val="none"/>
                <w:lang w:val="en-US" w:eastAsia="zh-CN"/>
              </w:rPr>
              <w:t>1</w:t>
            </w:r>
            <w:r>
              <w:rPr>
                <w:rFonts w:hint="eastAsia" w:cs="宋体" w:asciiTheme="minorEastAsia" w:hAnsiTheme="minorEastAsia" w:eastAsiaTheme="minorEastAsia"/>
                <w:color w:val="auto"/>
                <w:szCs w:val="21"/>
                <w:highlight w:val="none"/>
              </w:rPr>
              <w:t>分，扣完为止；</w:t>
            </w:r>
          </w:p>
          <w:p w14:paraId="6327830A">
            <w:pPr>
              <w:autoSpaceDE w:val="0"/>
              <w:autoSpaceDN w:val="0"/>
              <w:adjustRightInd w:val="0"/>
              <w:spacing w:line="400" w:lineRule="exact"/>
              <w:jc w:val="left"/>
              <w:rPr>
                <w:rFonts w:hint="eastAsia" w:cs="宋体" w:asciiTheme="minorEastAsia" w:hAnsiTheme="minorEastAsia" w:eastAsiaTheme="minorEastAsia"/>
                <w:color w:val="auto"/>
                <w:szCs w:val="21"/>
                <w:highlight w:val="none"/>
              </w:rPr>
            </w:pPr>
            <w:r>
              <w:rPr>
                <w:rFonts w:hint="eastAsia" w:cs="宋体" w:asciiTheme="minorEastAsia" w:hAnsiTheme="minorEastAsia" w:eastAsiaTheme="minorEastAsia"/>
                <w:color w:val="auto"/>
                <w:szCs w:val="21"/>
                <w:highlight w:val="none"/>
              </w:rPr>
              <w:t>2．未加“*”的为一般参数，有一项不满足</w:t>
            </w:r>
            <w:r>
              <w:rPr>
                <w:rFonts w:hint="eastAsia" w:cs="宋体" w:asciiTheme="minorEastAsia" w:hAnsiTheme="minorEastAsia" w:eastAsiaTheme="minorEastAsia"/>
                <w:color w:val="auto"/>
                <w:szCs w:val="21"/>
                <w:highlight w:val="none"/>
                <w:lang w:eastAsia="zh-CN"/>
              </w:rPr>
              <w:t>竞争性磋商文件</w:t>
            </w:r>
            <w:r>
              <w:rPr>
                <w:rFonts w:hint="eastAsia" w:cs="宋体" w:asciiTheme="minorEastAsia" w:hAnsiTheme="minorEastAsia" w:eastAsiaTheme="minorEastAsia"/>
                <w:color w:val="auto"/>
                <w:szCs w:val="21"/>
                <w:highlight w:val="none"/>
              </w:rPr>
              <w:t>要求的扣</w:t>
            </w:r>
            <w:r>
              <w:rPr>
                <w:rFonts w:hint="eastAsia" w:cs="宋体" w:asciiTheme="minorEastAsia" w:hAnsiTheme="minorEastAsia" w:eastAsiaTheme="minorEastAsia"/>
                <w:color w:val="auto"/>
                <w:szCs w:val="21"/>
                <w:highlight w:val="none"/>
                <w:lang w:val="en-US" w:eastAsia="zh-CN"/>
              </w:rPr>
              <w:t>0.5</w:t>
            </w:r>
            <w:r>
              <w:rPr>
                <w:rFonts w:hint="eastAsia" w:cs="宋体" w:asciiTheme="minorEastAsia" w:hAnsiTheme="minorEastAsia" w:eastAsiaTheme="minorEastAsia"/>
                <w:color w:val="auto"/>
                <w:szCs w:val="21"/>
                <w:highlight w:val="none"/>
              </w:rPr>
              <w:t>分，扣完为止。</w:t>
            </w:r>
          </w:p>
          <w:p w14:paraId="7DDB0F90">
            <w:pPr>
              <w:rPr>
                <w:rFonts w:hint="eastAsia" w:asciiTheme="minorEastAsia" w:hAnsiTheme="minorEastAsia" w:eastAsiaTheme="minorEastAsia"/>
                <w:color w:val="auto"/>
                <w:szCs w:val="21"/>
                <w:highlight w:val="none"/>
              </w:rPr>
            </w:pPr>
            <w:r>
              <w:rPr>
                <w:rFonts w:hint="eastAsia" w:cs="宋体" w:asciiTheme="minorEastAsia" w:hAnsiTheme="minorEastAsia" w:eastAsiaTheme="minorEastAsia"/>
                <w:color w:val="auto"/>
                <w:szCs w:val="21"/>
                <w:highlight w:val="none"/>
              </w:rPr>
              <w:t>注：要求提供相关技术证明材料,否则视为无效证明文件。</w:t>
            </w:r>
          </w:p>
        </w:tc>
        <w:tc>
          <w:tcPr>
            <w:tcW w:w="453" w:type="pct"/>
            <w:tcBorders>
              <w:tl2br w:val="nil"/>
              <w:tr2bl w:val="nil"/>
            </w:tcBorders>
            <w:vAlign w:val="center"/>
          </w:tcPr>
          <w:p w14:paraId="57F10DF5">
            <w:pPr>
              <w:pStyle w:val="177"/>
              <w:jc w:val="center"/>
              <w:rPr>
                <w:rFonts w:hint="eastAsia" w:asciiTheme="minorEastAsia" w:hAnsiTheme="minorEastAsia" w:eastAsiaTheme="minorEastAsia" w:cstheme="minorEastAsia"/>
                <w:color w:val="auto"/>
                <w:highlight w:val="none"/>
              </w:rPr>
            </w:pPr>
            <w:r>
              <w:rPr>
                <w:rFonts w:hint="eastAsia"/>
                <w:color w:val="auto"/>
                <w:highlight w:val="none"/>
              </w:rPr>
              <w:t>50分</w:t>
            </w:r>
          </w:p>
        </w:tc>
      </w:tr>
      <w:tr w14:paraId="5A1D5EF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98" w:type="pct"/>
            <w:vMerge w:val="restart"/>
            <w:tcBorders>
              <w:tl2br w:val="nil"/>
              <w:tr2bl w:val="nil"/>
            </w:tcBorders>
            <w:vAlign w:val="center"/>
          </w:tcPr>
          <w:p w14:paraId="0FC659FC">
            <w:pPr>
              <w:pStyle w:val="177"/>
              <w:jc w:val="center"/>
              <w:rPr>
                <w:rFonts w:hint="eastAsia"/>
                <w:color w:val="auto"/>
              </w:rPr>
            </w:pPr>
            <w:r>
              <w:rPr>
                <w:rFonts w:hint="eastAsia"/>
                <w:color w:val="auto"/>
              </w:rPr>
              <w:t>3</w:t>
            </w:r>
          </w:p>
        </w:tc>
        <w:tc>
          <w:tcPr>
            <w:tcW w:w="672" w:type="pct"/>
            <w:vMerge w:val="restart"/>
            <w:tcBorders>
              <w:tl2br w:val="nil"/>
              <w:tr2bl w:val="nil"/>
            </w:tcBorders>
            <w:vAlign w:val="center"/>
          </w:tcPr>
          <w:p w14:paraId="4776DC82">
            <w:pPr>
              <w:pStyle w:val="177"/>
              <w:jc w:val="center"/>
              <w:rPr>
                <w:rFonts w:hint="eastAsia"/>
                <w:color w:val="auto"/>
                <w:highlight w:val="none"/>
              </w:rPr>
            </w:pPr>
            <w:r>
              <w:rPr>
                <w:rFonts w:hint="eastAsia"/>
                <w:color w:val="auto"/>
                <w:highlight w:val="none"/>
              </w:rPr>
              <w:t>综合部分</w:t>
            </w:r>
          </w:p>
          <w:p w14:paraId="35F63767">
            <w:pPr>
              <w:pStyle w:val="177"/>
              <w:jc w:val="center"/>
              <w:rPr>
                <w:rFonts w:hint="eastAsia"/>
                <w:color w:val="auto"/>
                <w:highlight w:val="none"/>
              </w:rPr>
            </w:pPr>
            <w:r>
              <w:rPr>
                <w:rFonts w:hint="eastAsia"/>
                <w:color w:val="auto"/>
                <w:highlight w:val="none"/>
              </w:rPr>
              <w:t>（20分）</w:t>
            </w:r>
          </w:p>
        </w:tc>
        <w:tc>
          <w:tcPr>
            <w:tcW w:w="765" w:type="pct"/>
            <w:tcBorders>
              <w:tl2br w:val="nil"/>
              <w:tr2bl w:val="nil"/>
            </w:tcBorders>
            <w:vAlign w:val="center"/>
          </w:tcPr>
          <w:p w14:paraId="41B82B88">
            <w:pPr>
              <w:pStyle w:val="11"/>
              <w:spacing w:line="400" w:lineRule="exact"/>
              <w:ind w:firstLine="0" w:firstLineChars="0"/>
              <w:jc w:val="center"/>
              <w:rPr>
                <w:rFonts w:hint="eastAsia" w:asciiTheme="minorEastAsia" w:hAnsiTheme="minorEastAsia" w:eastAsiaTheme="minorEastAsia" w:cstheme="minorEastAsia"/>
                <w:color w:val="auto"/>
                <w:szCs w:val="24"/>
                <w:highlight w:val="none"/>
              </w:rPr>
            </w:pPr>
            <w:r>
              <w:rPr>
                <w:rFonts w:hint="eastAsia" w:hAnsi="宋体" w:cs="宋体"/>
                <w:color w:val="auto"/>
                <w:szCs w:val="24"/>
                <w:highlight w:val="none"/>
              </w:rPr>
              <w:t>企业</w:t>
            </w:r>
            <w:r>
              <w:rPr>
                <w:rFonts w:hint="eastAsia" w:asciiTheme="minorEastAsia" w:hAnsiTheme="minorEastAsia" w:eastAsiaTheme="minorEastAsia" w:cstheme="minorEastAsia"/>
                <w:color w:val="auto"/>
                <w:szCs w:val="24"/>
                <w:highlight w:val="none"/>
              </w:rPr>
              <w:t>业绩</w:t>
            </w:r>
          </w:p>
          <w:p w14:paraId="516AD453">
            <w:pPr>
              <w:pStyle w:val="11"/>
              <w:spacing w:line="400" w:lineRule="exact"/>
              <w:ind w:firstLine="0" w:firstLineChars="0"/>
              <w:jc w:val="center"/>
              <w:rPr>
                <w:rFonts w:hint="eastAsia" w:hAnsi="宋体" w:cs="宋体"/>
                <w:color w:val="auto"/>
                <w:szCs w:val="24"/>
                <w:highlight w:val="none"/>
              </w:rPr>
            </w:pPr>
            <w:r>
              <w:rPr>
                <w:rFonts w:hint="eastAsia" w:asciiTheme="minorEastAsia" w:hAnsiTheme="minorEastAsia" w:eastAsiaTheme="minorEastAsia" w:cstheme="minorEastAsia"/>
                <w:color w:val="auto"/>
                <w:szCs w:val="24"/>
                <w:highlight w:val="none"/>
              </w:rPr>
              <w:t>（3分）</w:t>
            </w:r>
          </w:p>
        </w:tc>
        <w:tc>
          <w:tcPr>
            <w:tcW w:w="2708" w:type="pct"/>
            <w:tcBorders>
              <w:tl2br w:val="nil"/>
              <w:tr2bl w:val="nil"/>
            </w:tcBorders>
            <w:vAlign w:val="center"/>
          </w:tcPr>
          <w:p w14:paraId="0A605EC7">
            <w:pPr>
              <w:pStyle w:val="11"/>
              <w:spacing w:line="400" w:lineRule="exact"/>
              <w:rPr>
                <w:rFonts w:hint="eastAsia"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2023年1月以来（以合同签订日期为准）供应商具有类似业绩项目，每提供一份得1分，最多得3分，未提供不得分。</w:t>
            </w:r>
          </w:p>
          <w:p w14:paraId="2E20BDFA">
            <w:pPr>
              <w:pStyle w:val="11"/>
              <w:spacing w:line="400" w:lineRule="exact"/>
              <w:rPr>
                <w:rFonts w:hint="eastAsia" w:asciiTheme="minorEastAsia" w:hAnsiTheme="minorEastAsia" w:eastAsiaTheme="minorEastAsia" w:cstheme="minorEastAsia"/>
                <w:color w:val="auto"/>
                <w:highlight w:val="none"/>
              </w:rPr>
            </w:pPr>
            <w:r>
              <w:rPr>
                <w:rFonts w:hint="eastAsia" w:cs="宋体" w:asciiTheme="minorEastAsia" w:hAnsiTheme="minorEastAsia" w:eastAsiaTheme="minorEastAsia"/>
                <w:color w:val="auto"/>
                <w:highlight w:val="none"/>
              </w:rPr>
              <w:t>业绩需包含：合同、中标通知书、中标公告截图，否则不得分。</w:t>
            </w:r>
          </w:p>
        </w:tc>
        <w:tc>
          <w:tcPr>
            <w:tcW w:w="453" w:type="pct"/>
            <w:tcBorders>
              <w:tl2br w:val="nil"/>
              <w:tr2bl w:val="nil"/>
            </w:tcBorders>
            <w:vAlign w:val="center"/>
          </w:tcPr>
          <w:p w14:paraId="3924F6D0">
            <w:pPr>
              <w:ind w:firstLine="0" w:firstLineChars="0"/>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3分</w:t>
            </w:r>
          </w:p>
        </w:tc>
      </w:tr>
      <w:tr w14:paraId="12F206A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98" w:type="pct"/>
            <w:vMerge w:val="continue"/>
            <w:tcBorders>
              <w:tl2br w:val="nil"/>
              <w:tr2bl w:val="nil"/>
            </w:tcBorders>
            <w:vAlign w:val="center"/>
          </w:tcPr>
          <w:p w14:paraId="33D19FB9">
            <w:pPr>
              <w:pStyle w:val="177"/>
              <w:rPr>
                <w:rFonts w:hint="eastAsia"/>
                <w:color w:val="auto"/>
              </w:rPr>
            </w:pPr>
          </w:p>
        </w:tc>
        <w:tc>
          <w:tcPr>
            <w:tcW w:w="672" w:type="pct"/>
            <w:vMerge w:val="continue"/>
            <w:tcBorders>
              <w:tl2br w:val="nil"/>
              <w:tr2bl w:val="nil"/>
            </w:tcBorders>
            <w:vAlign w:val="center"/>
          </w:tcPr>
          <w:p w14:paraId="0BE93C33">
            <w:pPr>
              <w:pStyle w:val="177"/>
              <w:rPr>
                <w:rFonts w:hint="eastAsia"/>
                <w:color w:val="auto"/>
                <w:highlight w:val="none"/>
              </w:rPr>
            </w:pPr>
          </w:p>
        </w:tc>
        <w:tc>
          <w:tcPr>
            <w:tcW w:w="765" w:type="pct"/>
            <w:tcBorders>
              <w:tl2br w:val="nil"/>
              <w:tr2bl w:val="nil"/>
            </w:tcBorders>
            <w:vAlign w:val="center"/>
          </w:tcPr>
          <w:p w14:paraId="0DB728A7">
            <w:pPr>
              <w:pStyle w:val="11"/>
              <w:spacing w:line="400" w:lineRule="exact"/>
              <w:ind w:firstLine="0" w:firstLineChars="0"/>
              <w:jc w:val="center"/>
              <w:rPr>
                <w:rFonts w:hint="eastAsia" w:asciiTheme="minorEastAsia" w:hAnsiTheme="minorEastAsia" w:eastAsiaTheme="minorEastAsia" w:cstheme="minorEastAsia"/>
                <w:color w:val="auto"/>
                <w:szCs w:val="24"/>
                <w:highlight w:val="none"/>
              </w:rPr>
            </w:pPr>
            <w:r>
              <w:rPr>
                <w:rFonts w:hint="eastAsia" w:hAnsi="宋体" w:cs="宋体"/>
                <w:color w:val="auto"/>
                <w:szCs w:val="24"/>
                <w:highlight w:val="none"/>
              </w:rPr>
              <w:t>售</w:t>
            </w:r>
            <w:r>
              <w:rPr>
                <w:rFonts w:hint="eastAsia" w:asciiTheme="minorEastAsia" w:hAnsiTheme="minorEastAsia" w:eastAsiaTheme="minorEastAsia" w:cstheme="minorEastAsia"/>
                <w:color w:val="auto"/>
                <w:szCs w:val="24"/>
                <w:highlight w:val="none"/>
              </w:rPr>
              <w:t>后服务</w:t>
            </w:r>
          </w:p>
          <w:p w14:paraId="469F4404">
            <w:pPr>
              <w:pStyle w:val="11"/>
              <w:spacing w:line="400" w:lineRule="exact"/>
              <w:ind w:firstLine="0" w:firstLineChars="0"/>
              <w:jc w:val="center"/>
              <w:rPr>
                <w:rFonts w:hint="eastAsia" w:hAnsi="宋体" w:cs="宋体"/>
                <w:color w:val="auto"/>
                <w:szCs w:val="24"/>
                <w:highlight w:val="none"/>
              </w:rPr>
            </w:pPr>
            <w:r>
              <w:rPr>
                <w:rFonts w:hint="eastAsia" w:asciiTheme="minorEastAsia" w:hAnsiTheme="minorEastAsia" w:eastAsiaTheme="minorEastAsia" w:cstheme="minorEastAsia"/>
                <w:color w:val="auto"/>
                <w:szCs w:val="24"/>
                <w:highlight w:val="none"/>
              </w:rPr>
              <w:t>（6分）</w:t>
            </w:r>
          </w:p>
        </w:tc>
        <w:tc>
          <w:tcPr>
            <w:tcW w:w="2708" w:type="pct"/>
            <w:tcBorders>
              <w:tl2br w:val="nil"/>
              <w:tr2bl w:val="nil"/>
            </w:tcBorders>
            <w:vAlign w:val="center"/>
          </w:tcPr>
          <w:p w14:paraId="670133E1">
            <w:pPr>
              <w:pStyle w:val="11"/>
              <w:spacing w:line="400" w:lineRule="exact"/>
              <w:rPr>
                <w:rFonts w:hint="eastAsia"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(1)培训方案</w:t>
            </w:r>
            <w:bookmarkStart w:id="123" w:name="OLE_LINK4"/>
            <w:r>
              <w:rPr>
                <w:rFonts w:hint="eastAsia" w:cs="宋体" w:asciiTheme="minorEastAsia" w:hAnsiTheme="minorEastAsia" w:eastAsiaTheme="minorEastAsia"/>
                <w:color w:val="auto"/>
                <w:highlight w:val="none"/>
              </w:rPr>
              <w:t>(2分)</w:t>
            </w:r>
            <w:bookmarkEnd w:id="123"/>
          </w:p>
          <w:p w14:paraId="34302431">
            <w:pPr>
              <w:pStyle w:val="11"/>
              <w:spacing w:line="400" w:lineRule="exact"/>
              <w:rPr>
                <w:rFonts w:hint="eastAsia"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提供详尽的培训方案（包括：使用操作培训和维护培训及提供其他形式培训的详细情况，具体至方式、内容、地点、时间、准备资料、承诺达到的效果等），根据供应商所提供的培训方案的科学性、合理性、完整性、可行性等方面进行评分。科学、完整、先进得2分；内容完整、较为可行得1分；缺项不得分。</w:t>
            </w:r>
          </w:p>
          <w:p w14:paraId="35E94365">
            <w:pPr>
              <w:pStyle w:val="11"/>
              <w:spacing w:line="400" w:lineRule="exact"/>
              <w:rPr>
                <w:rFonts w:hint="eastAsia"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（2）售后服务能力</w:t>
            </w:r>
            <w:r>
              <w:rPr>
                <w:rFonts w:cs="宋体" w:asciiTheme="minorEastAsia" w:hAnsiTheme="minorEastAsia" w:eastAsiaTheme="minorEastAsia"/>
                <w:color w:val="auto"/>
                <w:highlight w:val="none"/>
              </w:rPr>
              <w:t>(2</w:t>
            </w:r>
            <w:r>
              <w:rPr>
                <w:rFonts w:hint="eastAsia" w:cs="宋体" w:asciiTheme="minorEastAsia" w:hAnsiTheme="minorEastAsia" w:eastAsiaTheme="minorEastAsia"/>
                <w:color w:val="auto"/>
                <w:highlight w:val="none"/>
              </w:rPr>
              <w:t>分</w:t>
            </w:r>
            <w:r>
              <w:rPr>
                <w:rFonts w:cs="宋体" w:asciiTheme="minorEastAsia" w:hAnsiTheme="minorEastAsia" w:eastAsiaTheme="minorEastAsia"/>
                <w:color w:val="auto"/>
                <w:highlight w:val="none"/>
              </w:rPr>
              <w:t>)</w:t>
            </w:r>
          </w:p>
          <w:p w14:paraId="50CB3A21">
            <w:pPr>
              <w:pStyle w:val="11"/>
              <w:spacing w:line="400" w:lineRule="exact"/>
              <w:rPr>
                <w:rFonts w:hint="eastAsia"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提供详细的售后服务方案（包括售后服务响应时限、售后服务方式、售后服务承诺、质量保证期等）综合比较在下列范围内打分：优秀</w:t>
            </w:r>
            <w:bookmarkStart w:id="124" w:name="OLE_LINK5"/>
            <w:r>
              <w:rPr>
                <w:rFonts w:hint="eastAsia" w:cs="宋体" w:asciiTheme="minorEastAsia" w:hAnsiTheme="minorEastAsia" w:eastAsiaTheme="minorEastAsia"/>
                <w:color w:val="auto"/>
                <w:highlight w:val="none"/>
              </w:rPr>
              <w:t>且年巡检不低于2次</w:t>
            </w:r>
            <w:bookmarkEnd w:id="124"/>
            <w:r>
              <w:rPr>
                <w:rFonts w:hint="eastAsia" w:cs="宋体" w:asciiTheme="minorEastAsia" w:hAnsiTheme="minorEastAsia" w:eastAsiaTheme="minorEastAsia"/>
                <w:color w:val="auto"/>
                <w:highlight w:val="none"/>
              </w:rPr>
              <w:t>得2分；一般且年巡检不足得1分,缺项不得分。</w:t>
            </w:r>
          </w:p>
          <w:p w14:paraId="1F81E5EC">
            <w:pPr>
              <w:pStyle w:val="11"/>
              <w:spacing w:line="400" w:lineRule="exact"/>
              <w:rPr>
                <w:rFonts w:hint="eastAsia"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（3）质量保证措施(2分)</w:t>
            </w:r>
          </w:p>
          <w:p w14:paraId="555E51B8">
            <w:pPr>
              <w:pStyle w:val="11"/>
              <w:spacing w:line="400" w:lineRule="exact"/>
              <w:rPr>
                <w:rFonts w:hint="eastAsia" w:asciiTheme="minorEastAsia" w:hAnsiTheme="minorEastAsia" w:eastAsiaTheme="minorEastAsia" w:cstheme="minorEastAsia"/>
                <w:color w:val="auto"/>
                <w:highlight w:val="none"/>
              </w:rPr>
            </w:pPr>
            <w:r>
              <w:rPr>
                <w:rFonts w:hint="eastAsia" w:cs="宋体" w:asciiTheme="minorEastAsia" w:hAnsiTheme="minorEastAsia" w:eastAsiaTheme="minorEastAsia"/>
                <w:color w:val="auto"/>
                <w:highlight w:val="none"/>
              </w:rPr>
              <w:t>质量保证措施具体完善，有完善的售后服务，各阶段服务计划详尽，质保期、维护保养期服务（包括费用）承诺可靠、具体，备件供应齐全，承诺可靠齐全的得2分，承诺可靠基本齐全的得1分，承诺差的不得分。</w:t>
            </w:r>
          </w:p>
        </w:tc>
        <w:tc>
          <w:tcPr>
            <w:tcW w:w="453" w:type="pct"/>
            <w:tcBorders>
              <w:tl2br w:val="nil"/>
              <w:tr2bl w:val="nil"/>
            </w:tcBorders>
            <w:vAlign w:val="center"/>
          </w:tcPr>
          <w:p w14:paraId="1E71E885">
            <w:pPr>
              <w:ind w:firstLine="0" w:firstLineChars="0"/>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6分</w:t>
            </w:r>
          </w:p>
        </w:tc>
      </w:tr>
      <w:tr w14:paraId="75BAAD4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98" w:type="pct"/>
            <w:vMerge w:val="continue"/>
            <w:tcBorders>
              <w:tl2br w:val="nil"/>
              <w:tr2bl w:val="nil"/>
            </w:tcBorders>
            <w:vAlign w:val="center"/>
          </w:tcPr>
          <w:p w14:paraId="69F590A0">
            <w:pPr>
              <w:pStyle w:val="177"/>
              <w:rPr>
                <w:rFonts w:hint="eastAsia"/>
                <w:color w:val="auto"/>
              </w:rPr>
            </w:pPr>
          </w:p>
        </w:tc>
        <w:tc>
          <w:tcPr>
            <w:tcW w:w="672" w:type="pct"/>
            <w:vMerge w:val="continue"/>
            <w:tcBorders>
              <w:tl2br w:val="nil"/>
              <w:tr2bl w:val="nil"/>
            </w:tcBorders>
            <w:vAlign w:val="center"/>
          </w:tcPr>
          <w:p w14:paraId="0CBA3C2B">
            <w:pPr>
              <w:pStyle w:val="177"/>
              <w:rPr>
                <w:rFonts w:hint="eastAsia"/>
                <w:color w:val="auto"/>
              </w:rPr>
            </w:pPr>
          </w:p>
        </w:tc>
        <w:tc>
          <w:tcPr>
            <w:tcW w:w="765" w:type="pct"/>
            <w:tcBorders>
              <w:tl2br w:val="nil"/>
              <w:tr2bl w:val="nil"/>
            </w:tcBorders>
            <w:vAlign w:val="center"/>
          </w:tcPr>
          <w:p w14:paraId="5FA302A1">
            <w:pPr>
              <w:pStyle w:val="11"/>
              <w:spacing w:line="400" w:lineRule="exact"/>
              <w:ind w:firstLine="0" w:firstLineChars="0"/>
              <w:jc w:val="center"/>
              <w:rPr>
                <w:rFonts w:hint="eastAsia" w:hAnsi="宋体" w:cs="宋体"/>
                <w:color w:val="auto"/>
                <w:szCs w:val="24"/>
                <w:highlight w:val="none"/>
              </w:rPr>
            </w:pPr>
            <w:r>
              <w:rPr>
                <w:rFonts w:hint="eastAsia" w:asciiTheme="minorEastAsia" w:hAnsiTheme="minorEastAsia" w:eastAsiaTheme="minorEastAsia" w:cstheme="minorEastAsia"/>
                <w:color w:val="auto"/>
                <w:szCs w:val="24"/>
                <w:highlight w:val="none"/>
              </w:rPr>
              <w:t>技术证明材料（6分）</w:t>
            </w:r>
          </w:p>
        </w:tc>
        <w:tc>
          <w:tcPr>
            <w:tcW w:w="2708" w:type="pct"/>
            <w:tcBorders>
              <w:tl2br w:val="nil"/>
              <w:tr2bl w:val="nil"/>
            </w:tcBorders>
            <w:vAlign w:val="center"/>
          </w:tcPr>
          <w:p w14:paraId="0BA8BF7F">
            <w:pPr>
              <w:pStyle w:val="11"/>
              <w:spacing w:line="400" w:lineRule="exact"/>
              <w:ind w:firstLine="0" w:firstLineChars="0"/>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(1)提供的技术方案及图纸详细、逻辑合理、技术清晰，得6分。</w:t>
            </w:r>
          </w:p>
          <w:p w14:paraId="0AC9751E">
            <w:pPr>
              <w:pStyle w:val="11"/>
              <w:spacing w:line="400" w:lineRule="exact"/>
              <w:ind w:firstLine="0" w:firstLineChars="0"/>
              <w:rPr>
                <w:rFonts w:hint="eastAsia"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(2)提供的技术方案及图纸详细、逻辑较为合理、技术较为清晰，得</w:t>
            </w:r>
            <w:r>
              <w:rPr>
                <w:rFonts w:hint="eastAsia" w:cs="宋体" w:asciiTheme="minorEastAsia" w:hAnsiTheme="minorEastAsia" w:eastAsiaTheme="minorEastAsia"/>
                <w:color w:val="auto"/>
                <w:highlight w:val="none"/>
                <w:lang w:val="en-US" w:eastAsia="zh-CN"/>
              </w:rPr>
              <w:t>4</w:t>
            </w:r>
            <w:r>
              <w:rPr>
                <w:rFonts w:hint="eastAsia" w:cs="宋体" w:asciiTheme="minorEastAsia" w:hAnsiTheme="minorEastAsia" w:eastAsiaTheme="minorEastAsia"/>
                <w:color w:val="auto"/>
                <w:highlight w:val="none"/>
              </w:rPr>
              <w:t>分。</w:t>
            </w:r>
          </w:p>
          <w:p w14:paraId="63C718EB">
            <w:pPr>
              <w:pStyle w:val="11"/>
              <w:spacing w:line="400" w:lineRule="exact"/>
              <w:ind w:firstLine="0" w:firstLineChars="0"/>
              <w:rPr>
                <w:rFonts w:hint="eastAsia"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(3)提供合理但是缺少内容的，得</w:t>
            </w:r>
            <w:r>
              <w:rPr>
                <w:rFonts w:hint="eastAsia" w:cs="宋体" w:asciiTheme="minorEastAsia" w:hAnsiTheme="minorEastAsia" w:eastAsiaTheme="minorEastAsia"/>
                <w:color w:val="auto"/>
                <w:highlight w:val="none"/>
                <w:lang w:val="en-US" w:eastAsia="zh-CN"/>
              </w:rPr>
              <w:t>2</w:t>
            </w:r>
            <w:r>
              <w:rPr>
                <w:rFonts w:hint="eastAsia" w:cs="宋体" w:asciiTheme="minorEastAsia" w:hAnsiTheme="minorEastAsia" w:eastAsiaTheme="minorEastAsia"/>
                <w:color w:val="auto"/>
                <w:highlight w:val="none"/>
              </w:rPr>
              <w:t>分。</w:t>
            </w:r>
          </w:p>
          <w:p w14:paraId="6813C889">
            <w:pPr>
              <w:pStyle w:val="11"/>
              <w:spacing w:line="400" w:lineRule="exact"/>
              <w:ind w:firstLine="0" w:firstLineChars="0"/>
              <w:rPr>
                <w:rFonts w:hint="eastAsia" w:cs="宋体" w:asciiTheme="minorEastAsia" w:hAnsiTheme="minorEastAsia" w:eastAsiaTheme="minorEastAsia"/>
                <w:color w:val="auto"/>
                <w:highlight w:val="none"/>
              </w:rPr>
            </w:pPr>
            <w:r>
              <w:rPr>
                <w:rFonts w:cs="宋体" w:asciiTheme="minorEastAsia" w:hAnsiTheme="minorEastAsia" w:eastAsiaTheme="minorEastAsia"/>
                <w:color w:val="auto"/>
                <w:highlight w:val="none"/>
              </w:rPr>
              <w:t>(</w:t>
            </w:r>
            <w:r>
              <w:rPr>
                <w:rFonts w:hint="eastAsia" w:cs="宋体" w:asciiTheme="minorEastAsia" w:hAnsiTheme="minorEastAsia" w:eastAsiaTheme="minorEastAsia"/>
                <w:color w:val="auto"/>
                <w:highlight w:val="none"/>
              </w:rPr>
              <w:t>4</w:t>
            </w:r>
            <w:r>
              <w:rPr>
                <w:rFonts w:cs="宋体" w:asciiTheme="minorEastAsia" w:hAnsiTheme="minorEastAsia" w:eastAsiaTheme="minorEastAsia"/>
                <w:color w:val="auto"/>
                <w:highlight w:val="none"/>
              </w:rPr>
              <w:t>)</w:t>
            </w:r>
            <w:r>
              <w:rPr>
                <w:rFonts w:hint="eastAsia" w:cs="宋体" w:asciiTheme="minorEastAsia" w:hAnsiTheme="minorEastAsia" w:eastAsiaTheme="minorEastAsia"/>
                <w:color w:val="auto"/>
                <w:highlight w:val="none"/>
              </w:rPr>
              <w:t>衔接不畅、逻辑轮乱，不得分。</w:t>
            </w:r>
          </w:p>
        </w:tc>
        <w:tc>
          <w:tcPr>
            <w:tcW w:w="453" w:type="pct"/>
            <w:tcBorders>
              <w:tl2br w:val="nil"/>
              <w:tr2bl w:val="nil"/>
            </w:tcBorders>
            <w:vAlign w:val="center"/>
          </w:tcPr>
          <w:p w14:paraId="5A010F74">
            <w:pPr>
              <w:ind w:firstLine="0" w:firstLineChars="0"/>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6分</w:t>
            </w:r>
          </w:p>
        </w:tc>
      </w:tr>
      <w:tr w14:paraId="58BDB6A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98" w:type="pct"/>
            <w:vMerge w:val="continue"/>
            <w:tcBorders>
              <w:tl2br w:val="nil"/>
              <w:tr2bl w:val="nil"/>
            </w:tcBorders>
            <w:vAlign w:val="center"/>
          </w:tcPr>
          <w:p w14:paraId="159587D5">
            <w:pPr>
              <w:pStyle w:val="177"/>
              <w:rPr>
                <w:rFonts w:hint="eastAsia"/>
                <w:color w:val="auto"/>
              </w:rPr>
            </w:pPr>
          </w:p>
        </w:tc>
        <w:tc>
          <w:tcPr>
            <w:tcW w:w="672" w:type="pct"/>
            <w:vMerge w:val="continue"/>
            <w:tcBorders>
              <w:tl2br w:val="nil"/>
              <w:tr2bl w:val="nil"/>
            </w:tcBorders>
            <w:vAlign w:val="center"/>
          </w:tcPr>
          <w:p w14:paraId="2488BB8A">
            <w:pPr>
              <w:pStyle w:val="177"/>
              <w:rPr>
                <w:rFonts w:hint="eastAsia"/>
                <w:color w:val="auto"/>
              </w:rPr>
            </w:pPr>
          </w:p>
        </w:tc>
        <w:tc>
          <w:tcPr>
            <w:tcW w:w="765" w:type="pct"/>
            <w:tcBorders>
              <w:tl2br w:val="nil"/>
              <w:tr2bl w:val="nil"/>
            </w:tcBorders>
            <w:vAlign w:val="center"/>
          </w:tcPr>
          <w:p w14:paraId="2C8F69B6">
            <w:pPr>
              <w:pStyle w:val="11"/>
              <w:spacing w:line="400" w:lineRule="exact"/>
              <w:ind w:firstLine="0" w:firstLineChars="0"/>
              <w:jc w:val="center"/>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交货期</w:t>
            </w:r>
          </w:p>
          <w:p w14:paraId="14D73706">
            <w:pPr>
              <w:pStyle w:val="11"/>
              <w:spacing w:line="400" w:lineRule="exact"/>
              <w:ind w:firstLine="0" w:firstLineChars="0"/>
              <w:jc w:val="center"/>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（1分）</w:t>
            </w:r>
          </w:p>
        </w:tc>
        <w:tc>
          <w:tcPr>
            <w:tcW w:w="2708" w:type="pct"/>
            <w:tcBorders>
              <w:tl2br w:val="nil"/>
              <w:tr2bl w:val="nil"/>
            </w:tcBorders>
            <w:vAlign w:val="center"/>
          </w:tcPr>
          <w:p w14:paraId="1F6694BC">
            <w:pPr>
              <w:pStyle w:val="11"/>
              <w:spacing w:line="400" w:lineRule="exact"/>
              <w:ind w:firstLine="0" w:firstLineChars="0"/>
              <w:rPr>
                <w:rFonts w:hint="eastAsia" w:cs="宋体" w:asciiTheme="minorEastAsia" w:hAnsiTheme="minorEastAsia" w:eastAsiaTheme="minorEastAsia"/>
                <w:bCs/>
                <w:color w:val="auto"/>
                <w:highlight w:val="none"/>
              </w:rPr>
            </w:pPr>
            <w:r>
              <w:rPr>
                <w:rFonts w:hint="eastAsia" w:cs="宋体" w:asciiTheme="minorEastAsia" w:hAnsiTheme="minorEastAsia" w:eastAsiaTheme="minorEastAsia"/>
                <w:bCs/>
                <w:color w:val="auto"/>
                <w:highlight w:val="none"/>
              </w:rPr>
              <w:t>在满足</w:t>
            </w:r>
            <w:r>
              <w:rPr>
                <w:rFonts w:hint="eastAsia" w:cs="宋体" w:asciiTheme="minorEastAsia" w:hAnsiTheme="minorEastAsia" w:eastAsiaTheme="minorEastAsia"/>
                <w:bCs/>
                <w:color w:val="auto"/>
                <w:highlight w:val="none"/>
                <w:lang w:eastAsia="zh-CN"/>
              </w:rPr>
              <w:t>竞争性磋商文件</w:t>
            </w:r>
            <w:r>
              <w:rPr>
                <w:rFonts w:hint="eastAsia" w:cs="宋体" w:asciiTheme="minorEastAsia" w:hAnsiTheme="minorEastAsia" w:eastAsiaTheme="minorEastAsia"/>
                <w:bCs/>
                <w:color w:val="auto"/>
                <w:highlight w:val="none"/>
              </w:rPr>
              <w:t>交货期要求的基础上，每提前10日历天得0.5分，最高得1分。</w:t>
            </w:r>
          </w:p>
        </w:tc>
        <w:tc>
          <w:tcPr>
            <w:tcW w:w="453" w:type="pct"/>
            <w:tcBorders>
              <w:tl2br w:val="nil"/>
              <w:tr2bl w:val="nil"/>
            </w:tcBorders>
            <w:vAlign w:val="center"/>
          </w:tcPr>
          <w:p w14:paraId="3D64A293">
            <w:pPr>
              <w:ind w:firstLine="0" w:firstLineChars="0"/>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1分</w:t>
            </w:r>
          </w:p>
        </w:tc>
      </w:tr>
      <w:tr w14:paraId="41D6312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98" w:type="pct"/>
            <w:vMerge w:val="continue"/>
            <w:tcBorders>
              <w:tl2br w:val="nil"/>
              <w:tr2bl w:val="nil"/>
            </w:tcBorders>
            <w:vAlign w:val="center"/>
          </w:tcPr>
          <w:p w14:paraId="0115B317">
            <w:pPr>
              <w:pStyle w:val="177"/>
              <w:rPr>
                <w:rFonts w:hint="eastAsia"/>
                <w:color w:val="auto"/>
              </w:rPr>
            </w:pPr>
          </w:p>
        </w:tc>
        <w:tc>
          <w:tcPr>
            <w:tcW w:w="672" w:type="pct"/>
            <w:vMerge w:val="continue"/>
            <w:tcBorders>
              <w:tl2br w:val="nil"/>
              <w:tr2bl w:val="nil"/>
            </w:tcBorders>
            <w:vAlign w:val="center"/>
          </w:tcPr>
          <w:p w14:paraId="38841B39">
            <w:pPr>
              <w:pStyle w:val="177"/>
              <w:rPr>
                <w:rFonts w:hint="eastAsia"/>
                <w:color w:val="auto"/>
              </w:rPr>
            </w:pPr>
          </w:p>
        </w:tc>
        <w:tc>
          <w:tcPr>
            <w:tcW w:w="765" w:type="pct"/>
            <w:tcBorders>
              <w:tl2br w:val="nil"/>
              <w:tr2bl w:val="nil"/>
            </w:tcBorders>
            <w:vAlign w:val="center"/>
          </w:tcPr>
          <w:p w14:paraId="3F153772">
            <w:pPr>
              <w:ind w:firstLine="0" w:firstLineChars="0"/>
              <w:jc w:val="center"/>
              <w:rPr>
                <w:rFonts w:hint="eastAsia" w:asciiTheme="minorEastAsia" w:hAnsiTheme="minorEastAsia" w:eastAsiaTheme="minorEastAsia" w:cstheme="minorEastAsia"/>
                <w:color w:val="auto"/>
                <w:highlight w:val="none"/>
              </w:rPr>
            </w:pPr>
            <w:bookmarkStart w:id="125" w:name="OLE_LINK7"/>
            <w:r>
              <w:rPr>
                <w:rFonts w:hint="eastAsia" w:asciiTheme="minorEastAsia" w:hAnsiTheme="minorEastAsia" w:eastAsiaTheme="minorEastAsia" w:cstheme="minorEastAsia"/>
                <w:color w:val="auto"/>
                <w:szCs w:val="21"/>
                <w:highlight w:val="none"/>
              </w:rPr>
              <w:t>质量保证期外承诺</w:t>
            </w:r>
            <w:bookmarkEnd w:id="125"/>
            <w:r>
              <w:rPr>
                <w:rFonts w:hint="eastAsia" w:asciiTheme="minorEastAsia" w:hAnsiTheme="minorEastAsia" w:eastAsiaTheme="minorEastAsia" w:cstheme="minorEastAsia"/>
                <w:color w:val="auto"/>
                <w:szCs w:val="21"/>
                <w:highlight w:val="none"/>
              </w:rPr>
              <w:t>（1分）</w:t>
            </w:r>
          </w:p>
        </w:tc>
        <w:tc>
          <w:tcPr>
            <w:tcW w:w="2708" w:type="pct"/>
            <w:tcBorders>
              <w:tl2br w:val="nil"/>
              <w:tr2bl w:val="nil"/>
            </w:tcBorders>
            <w:vAlign w:val="center"/>
          </w:tcPr>
          <w:p w14:paraId="2BFCD846">
            <w:pPr>
              <w:pStyle w:val="11"/>
              <w:spacing w:line="400" w:lineRule="exact"/>
              <w:ind w:firstLine="0" w:firstLineChars="0"/>
              <w:rPr>
                <w:rFonts w:hint="eastAsia"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在满足</w:t>
            </w:r>
            <w:r>
              <w:rPr>
                <w:rFonts w:hint="eastAsia" w:cs="宋体" w:asciiTheme="minorEastAsia" w:hAnsiTheme="minorEastAsia" w:eastAsiaTheme="minorEastAsia"/>
                <w:bCs/>
                <w:color w:val="auto"/>
                <w:highlight w:val="none"/>
                <w:lang w:eastAsia="zh-CN"/>
              </w:rPr>
              <w:t>竞争性磋商文件</w:t>
            </w:r>
            <w:r>
              <w:rPr>
                <w:rFonts w:hint="eastAsia" w:cs="宋体" w:asciiTheme="minorEastAsia" w:hAnsiTheme="minorEastAsia" w:eastAsiaTheme="minorEastAsia"/>
                <w:color w:val="auto"/>
                <w:highlight w:val="none"/>
              </w:rPr>
              <w:t>质量保证期要求的基础上，每增加1年加0.5分，最高得1分。</w:t>
            </w:r>
          </w:p>
        </w:tc>
        <w:tc>
          <w:tcPr>
            <w:tcW w:w="453" w:type="pct"/>
            <w:tcBorders>
              <w:tl2br w:val="nil"/>
              <w:tr2bl w:val="nil"/>
            </w:tcBorders>
            <w:vAlign w:val="center"/>
          </w:tcPr>
          <w:p w14:paraId="1E01B053">
            <w:pPr>
              <w:ind w:firstLine="0" w:firstLineChars="0"/>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1分</w:t>
            </w:r>
          </w:p>
        </w:tc>
      </w:tr>
      <w:tr w14:paraId="76427FD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98" w:type="pct"/>
            <w:vMerge w:val="continue"/>
            <w:tcBorders>
              <w:tl2br w:val="nil"/>
              <w:tr2bl w:val="nil"/>
            </w:tcBorders>
            <w:vAlign w:val="center"/>
          </w:tcPr>
          <w:p w14:paraId="51286634">
            <w:pPr>
              <w:pStyle w:val="177"/>
              <w:rPr>
                <w:rFonts w:hint="eastAsia"/>
                <w:color w:val="auto"/>
              </w:rPr>
            </w:pPr>
          </w:p>
        </w:tc>
        <w:tc>
          <w:tcPr>
            <w:tcW w:w="672" w:type="pct"/>
            <w:vMerge w:val="continue"/>
            <w:tcBorders>
              <w:tl2br w:val="nil"/>
              <w:tr2bl w:val="nil"/>
            </w:tcBorders>
            <w:vAlign w:val="center"/>
          </w:tcPr>
          <w:p w14:paraId="15E5CC35">
            <w:pPr>
              <w:pStyle w:val="177"/>
              <w:rPr>
                <w:rFonts w:hint="eastAsia"/>
                <w:color w:val="auto"/>
              </w:rPr>
            </w:pPr>
          </w:p>
        </w:tc>
        <w:tc>
          <w:tcPr>
            <w:tcW w:w="765" w:type="pct"/>
            <w:tcBorders>
              <w:tl2br w:val="nil"/>
              <w:tr2bl w:val="nil"/>
            </w:tcBorders>
            <w:vAlign w:val="center"/>
          </w:tcPr>
          <w:p w14:paraId="2BD7D5A3">
            <w:pPr>
              <w:pStyle w:val="11"/>
              <w:spacing w:line="400" w:lineRule="exact"/>
              <w:ind w:firstLine="0" w:firstLineChars="0"/>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技术质量证书（3分）</w:t>
            </w:r>
          </w:p>
        </w:tc>
        <w:tc>
          <w:tcPr>
            <w:tcW w:w="2708" w:type="pct"/>
            <w:tcBorders>
              <w:tl2br w:val="nil"/>
              <w:tr2bl w:val="nil"/>
            </w:tcBorders>
            <w:vAlign w:val="center"/>
          </w:tcPr>
          <w:p w14:paraId="122B9387">
            <w:pPr>
              <w:pStyle w:val="16"/>
              <w:spacing w:line="360" w:lineRule="auto"/>
              <w:ind w:firstLine="0" w:firstLineChars="0"/>
              <w:rPr>
                <w:rFonts w:hint="eastAsia" w:cs="宋体" w:asciiTheme="minorEastAsia" w:hAnsiTheme="minorEastAsia" w:eastAsiaTheme="minorEastAsia"/>
                <w:bCs/>
                <w:color w:val="auto"/>
                <w:kern w:val="2"/>
                <w:sz w:val="21"/>
                <w:szCs w:val="21"/>
                <w:highlight w:val="none"/>
                <w:lang w:val="en-US" w:eastAsia="zh-CN" w:bidi="ar-SA"/>
              </w:rPr>
            </w:pPr>
            <w:r>
              <w:rPr>
                <w:rFonts w:hint="eastAsia" w:cs="宋体" w:asciiTheme="minorEastAsia" w:hAnsiTheme="minorEastAsia" w:eastAsiaTheme="minorEastAsia"/>
                <w:color w:val="auto"/>
                <w:szCs w:val="21"/>
                <w:highlight w:val="none"/>
              </w:rPr>
              <w:t>设备为非标品，所响应的公司为高新技术企业、所投设备包含有知识产权专利、质量</w:t>
            </w:r>
            <w:r>
              <w:rPr>
                <w:rFonts w:hint="eastAsia" w:cs="宋体" w:asciiTheme="minorEastAsia" w:hAnsiTheme="minorEastAsia" w:eastAsiaTheme="minorEastAsia"/>
                <w:color w:val="auto"/>
                <w:szCs w:val="21"/>
                <w:highlight w:val="none"/>
                <w:lang w:val="en-US" w:eastAsia="zh-CN"/>
              </w:rPr>
              <w:t>管理</w:t>
            </w:r>
            <w:r>
              <w:rPr>
                <w:rFonts w:hint="eastAsia" w:cs="宋体" w:asciiTheme="minorEastAsia" w:hAnsiTheme="minorEastAsia" w:eastAsiaTheme="minorEastAsia"/>
                <w:color w:val="auto"/>
                <w:szCs w:val="21"/>
                <w:highlight w:val="none"/>
              </w:rPr>
              <w:t>体系认证证书，</w:t>
            </w:r>
            <w:bookmarkStart w:id="126" w:name="OLE_LINK3"/>
            <w:r>
              <w:rPr>
                <w:rFonts w:hint="eastAsia" w:cs="宋体" w:asciiTheme="minorEastAsia" w:hAnsiTheme="minorEastAsia" w:eastAsiaTheme="minorEastAsia"/>
                <w:color w:val="auto"/>
                <w:szCs w:val="21"/>
                <w:highlight w:val="none"/>
              </w:rPr>
              <w:t>每提供一项得1</w:t>
            </w:r>
            <w:r>
              <w:rPr>
                <w:rFonts w:hint="eastAsia" w:cs="宋体" w:asciiTheme="minorEastAsia" w:hAnsiTheme="minorEastAsia" w:eastAsiaTheme="minorEastAsia"/>
                <w:bCs/>
                <w:color w:val="auto"/>
                <w:kern w:val="2"/>
                <w:sz w:val="21"/>
                <w:szCs w:val="21"/>
                <w:highlight w:val="none"/>
                <w:lang w:val="en-US" w:eastAsia="zh-CN" w:bidi="ar-SA"/>
              </w:rPr>
              <w:t>分，最高得3分</w:t>
            </w:r>
            <w:bookmarkEnd w:id="126"/>
            <w:r>
              <w:rPr>
                <w:rFonts w:hint="eastAsia" w:cs="宋体" w:asciiTheme="minorEastAsia" w:hAnsiTheme="minorEastAsia" w:eastAsiaTheme="minorEastAsia"/>
                <w:bCs/>
                <w:color w:val="auto"/>
                <w:kern w:val="2"/>
                <w:sz w:val="21"/>
                <w:szCs w:val="21"/>
                <w:highlight w:val="none"/>
                <w:lang w:val="en-US" w:eastAsia="zh-CN" w:bidi="ar-SA"/>
              </w:rPr>
              <w:t>。</w:t>
            </w:r>
          </w:p>
          <w:p w14:paraId="3E59C601">
            <w:pPr>
              <w:pStyle w:val="16"/>
              <w:spacing w:line="360" w:lineRule="auto"/>
              <w:ind w:firstLine="0" w:firstLineChars="0"/>
              <w:rPr>
                <w:rFonts w:hint="default" w:cs="宋体" w:asciiTheme="minorEastAsia" w:hAnsiTheme="minorEastAsia" w:eastAsiaTheme="minorEastAsia"/>
                <w:color w:val="auto"/>
                <w:szCs w:val="21"/>
                <w:highlight w:val="none"/>
                <w:lang w:val="en-US" w:eastAsia="zh-CN"/>
              </w:rPr>
            </w:pPr>
            <w:r>
              <w:rPr>
                <w:rFonts w:hint="eastAsia" w:cs="宋体" w:asciiTheme="minorEastAsia" w:hAnsiTheme="minorEastAsia" w:eastAsiaTheme="minorEastAsia"/>
                <w:bCs/>
                <w:color w:val="auto"/>
                <w:kern w:val="2"/>
                <w:sz w:val="21"/>
                <w:szCs w:val="21"/>
                <w:highlight w:val="none"/>
                <w:lang w:val="en-US" w:eastAsia="zh-CN" w:bidi="ar-SA"/>
              </w:rPr>
              <w:t>注：提供证书扫描件或复印件。</w:t>
            </w:r>
          </w:p>
        </w:tc>
        <w:tc>
          <w:tcPr>
            <w:tcW w:w="453" w:type="pct"/>
            <w:tcBorders>
              <w:tl2br w:val="nil"/>
              <w:tr2bl w:val="nil"/>
            </w:tcBorders>
            <w:vAlign w:val="center"/>
          </w:tcPr>
          <w:p w14:paraId="2CC75632">
            <w:pPr>
              <w:ind w:firstLine="0" w:firstLineChars="0"/>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3分</w:t>
            </w:r>
          </w:p>
        </w:tc>
      </w:tr>
      <w:bookmarkEnd w:id="120"/>
      <w:bookmarkEnd w:id="121"/>
      <w:bookmarkEnd w:id="122"/>
    </w:tbl>
    <w:p w14:paraId="702E9C50">
      <w:pPr>
        <w:rPr>
          <w:color w:val="auto"/>
          <w:sz w:val="44"/>
          <w:szCs w:val="44"/>
        </w:rPr>
      </w:pPr>
      <w:bookmarkStart w:id="127" w:name="_Toc27572"/>
      <w:bookmarkStart w:id="128" w:name="_Toc13881"/>
      <w:bookmarkStart w:id="129" w:name="_Toc433093356"/>
      <w:bookmarkStart w:id="130" w:name="_Toc9960"/>
      <w:r>
        <w:rPr>
          <w:rFonts w:hint="eastAsia"/>
          <w:color w:val="auto"/>
        </w:rPr>
        <w:br w:type="page"/>
      </w:r>
    </w:p>
    <w:p w14:paraId="472FA12C">
      <w:pPr>
        <w:pStyle w:val="2"/>
        <w:ind w:firstLine="883"/>
        <w:rPr>
          <w:color w:val="auto"/>
        </w:rPr>
      </w:pPr>
      <w:bookmarkStart w:id="131" w:name="_Toc18173"/>
      <w:r>
        <w:rPr>
          <w:rFonts w:hint="eastAsia"/>
          <w:color w:val="auto"/>
        </w:rPr>
        <w:t xml:space="preserve">第六章 </w:t>
      </w:r>
      <w:bookmarkEnd w:id="127"/>
      <w:bookmarkEnd w:id="128"/>
      <w:bookmarkEnd w:id="129"/>
      <w:r>
        <w:rPr>
          <w:rFonts w:hint="eastAsia"/>
          <w:color w:val="auto"/>
        </w:rPr>
        <w:t>合同条款及格式</w:t>
      </w:r>
      <w:bookmarkEnd w:id="130"/>
      <w:bookmarkEnd w:id="131"/>
    </w:p>
    <w:p w14:paraId="0946F56C">
      <w:pPr>
        <w:rPr>
          <w:bCs/>
          <w:color w:val="auto"/>
        </w:rPr>
      </w:pPr>
      <w:bookmarkStart w:id="132" w:name="_Toc26298"/>
      <w:bookmarkStart w:id="133" w:name="_Toc10084"/>
      <w:bookmarkStart w:id="134" w:name="_Toc24009"/>
      <w:r>
        <w:rPr>
          <w:rFonts w:hint="eastAsia"/>
          <w:color w:val="auto"/>
        </w:rPr>
        <w:t>合同编号：（成交项目编号）</w:t>
      </w:r>
      <w:bookmarkEnd w:id="132"/>
      <w:bookmarkEnd w:id="133"/>
      <w:bookmarkEnd w:id="134"/>
    </w:p>
    <w:p w14:paraId="0241DAF3">
      <w:pPr>
        <w:rPr>
          <w:color w:val="auto"/>
        </w:rPr>
      </w:pPr>
      <w:bookmarkStart w:id="135" w:name="_Toc24690"/>
      <w:bookmarkStart w:id="136" w:name="_Toc14090"/>
      <w:bookmarkStart w:id="137" w:name="_Toc15779"/>
      <w:bookmarkStart w:id="138" w:name="_Toc20486"/>
      <w:bookmarkStart w:id="139" w:name="_Toc27408"/>
      <w:r>
        <w:rPr>
          <w:rFonts w:hint="eastAsia"/>
          <w:color w:val="auto"/>
        </w:rPr>
        <w:t>郑州大学政府采购货物合同</w:t>
      </w:r>
      <w:bookmarkEnd w:id="135"/>
      <w:bookmarkEnd w:id="136"/>
      <w:bookmarkEnd w:id="137"/>
      <w:bookmarkEnd w:id="138"/>
      <w:bookmarkEnd w:id="139"/>
    </w:p>
    <w:p w14:paraId="33793DEC">
      <w:pPr>
        <w:rPr>
          <w:color w:val="auto"/>
        </w:rPr>
      </w:pPr>
      <w:bookmarkStart w:id="140" w:name="_Toc11302"/>
      <w:bookmarkStart w:id="141" w:name="_Toc16783"/>
      <w:bookmarkStart w:id="142" w:name="_Toc7181"/>
      <w:bookmarkStart w:id="143" w:name="_Toc13561"/>
      <w:bookmarkStart w:id="144" w:name="_Toc22334"/>
      <w:r>
        <w:rPr>
          <w:rFonts w:hint="eastAsia"/>
          <w:color w:val="auto"/>
        </w:rPr>
        <w:t>（10万元及以上模板）</w:t>
      </w:r>
      <w:bookmarkEnd w:id="140"/>
      <w:bookmarkEnd w:id="141"/>
      <w:bookmarkEnd w:id="142"/>
      <w:bookmarkEnd w:id="143"/>
      <w:bookmarkEnd w:id="144"/>
    </w:p>
    <w:p w14:paraId="4D494F91">
      <w:pPr>
        <w:rPr>
          <w:color w:val="auto"/>
        </w:rPr>
      </w:pPr>
    </w:p>
    <w:p w14:paraId="107E4D70">
      <w:pPr>
        <w:rPr>
          <w:color w:val="auto"/>
        </w:rPr>
      </w:pPr>
      <w:r>
        <w:rPr>
          <w:rFonts w:hint="eastAsia"/>
          <w:color w:val="auto"/>
        </w:rPr>
        <w:t xml:space="preserve">甲方（全称）：     郑州大学                   </w:t>
      </w:r>
    </w:p>
    <w:p w14:paraId="586D7A68">
      <w:pPr>
        <w:rPr>
          <w:color w:val="auto"/>
        </w:rPr>
      </w:pPr>
      <w:r>
        <w:rPr>
          <w:rFonts w:hint="eastAsia"/>
          <w:color w:val="auto"/>
        </w:rPr>
        <w:t xml:space="preserve">乙方（全称）：    </w:t>
      </w:r>
      <w:r>
        <w:rPr>
          <w:rFonts w:hint="eastAsia"/>
          <w:color w:val="auto"/>
          <w:spacing w:val="10"/>
          <w:kern w:val="0"/>
        </w:rPr>
        <w:t xml:space="preserve">             </w:t>
      </w:r>
      <w:r>
        <w:rPr>
          <w:rFonts w:hint="eastAsia"/>
          <w:color w:val="auto"/>
        </w:rPr>
        <w:t xml:space="preserve">             </w:t>
      </w:r>
    </w:p>
    <w:p w14:paraId="7AFDD4E0">
      <w:pPr>
        <w:rPr>
          <w:color w:val="auto"/>
        </w:rPr>
      </w:pPr>
      <w:r>
        <w:rPr>
          <w:rFonts w:hint="eastAsia"/>
          <w:color w:val="auto"/>
        </w:rPr>
        <w:t>根据《中华人民共和国民法典》《中华人民共和国政府采购法》及有关法律规定，遵循平等、自愿、公平和诚实信用的原则，双方同意按照下述条款订立本合同，共同信守。</w:t>
      </w:r>
    </w:p>
    <w:p w14:paraId="76DC8132">
      <w:pPr>
        <w:rPr>
          <w:color w:val="auto"/>
        </w:rPr>
      </w:pPr>
      <w:bookmarkStart w:id="145" w:name="_Toc26952"/>
      <w:bookmarkStart w:id="146" w:name="_Toc21498"/>
      <w:bookmarkStart w:id="147" w:name="_Toc5130"/>
      <w:bookmarkStart w:id="148" w:name="_Toc4078"/>
      <w:r>
        <w:rPr>
          <w:rFonts w:hint="eastAsia"/>
          <w:color w:val="auto"/>
        </w:rPr>
        <w:t>一、供货范围及分项价格表（详见附件1、附件2）</w:t>
      </w:r>
      <w:bookmarkEnd w:id="145"/>
      <w:bookmarkEnd w:id="146"/>
      <w:bookmarkEnd w:id="147"/>
      <w:bookmarkEnd w:id="148"/>
    </w:p>
    <w:p w14:paraId="045543B1">
      <w:pPr>
        <w:rPr>
          <w:color w:val="auto"/>
        </w:rPr>
      </w:pPr>
      <w:r>
        <w:rPr>
          <w:rFonts w:hint="eastAsia"/>
          <w:color w:val="auto"/>
        </w:rPr>
        <w:t>1.本合同所指货物包括原材料、燃料、设备、产品、硬件、软件、安装材料、备件及专用器具、文件资料等，详见附件1、附件2，此附件是合同中不可分割的部分。</w:t>
      </w:r>
    </w:p>
    <w:p w14:paraId="56129FC3">
      <w:pPr>
        <w:rPr>
          <w:color w:val="auto"/>
        </w:rPr>
      </w:pPr>
      <w:r>
        <w:rPr>
          <w:rFonts w:hint="eastAsia"/>
          <w:color w:val="auto"/>
        </w:rPr>
        <w:t>2.本合同总价包括但不限于货物价款、包装、运输、装卸、保险费、安装及相关材料费、调试费、软件费、检验费、培训费等各种伴随服务的费用以及税金等。合同总价之外，甲方不再另行支付任何费用。</w:t>
      </w:r>
    </w:p>
    <w:p w14:paraId="2387DA1A">
      <w:pPr>
        <w:rPr>
          <w:color w:val="auto"/>
        </w:rPr>
      </w:pPr>
      <w:bookmarkStart w:id="149" w:name="_Toc15856"/>
      <w:bookmarkStart w:id="150" w:name="_Toc31830"/>
      <w:bookmarkStart w:id="151" w:name="_Toc3649"/>
      <w:bookmarkStart w:id="152" w:name="_Toc13295"/>
      <w:r>
        <w:rPr>
          <w:rFonts w:hint="eastAsia"/>
          <w:color w:val="auto"/>
        </w:rPr>
        <w:t>二、质量及技术规格要求</w:t>
      </w:r>
      <w:bookmarkEnd w:id="149"/>
      <w:bookmarkEnd w:id="150"/>
      <w:bookmarkEnd w:id="151"/>
      <w:bookmarkEnd w:id="152"/>
    </w:p>
    <w:p w14:paraId="2DC6DE41">
      <w:pPr>
        <w:rPr>
          <w:color w:val="auto"/>
        </w:rPr>
      </w:pPr>
      <w:r>
        <w:rPr>
          <w:rFonts w:hint="eastAsia"/>
          <w:color w:val="auto"/>
        </w:rPr>
        <w:t>乙方须按合同要求提供全新货物（包括零部件、附件、备品备件等）货物的质量标准、规格型号、具体配置、数量等应符合磋商文件要求，其产品为原厂生产，且应达到乙方投标文件及澄清文件中承诺的技术标准。</w:t>
      </w:r>
    </w:p>
    <w:p w14:paraId="4149300A">
      <w:pPr>
        <w:rPr>
          <w:color w:val="auto"/>
        </w:rPr>
      </w:pPr>
      <w:r>
        <w:rPr>
          <w:rFonts w:hint="eastAsia"/>
          <w:color w:val="auto"/>
        </w:rPr>
        <w:t>乙方应在本合同生效后7个工作日内向甲方提供安装计划及质量控制规范；并于</w:t>
      </w:r>
      <w:r>
        <w:rPr>
          <w:rFonts w:hint="eastAsia"/>
          <w:color w:val="auto"/>
          <w:u w:val="single"/>
        </w:rPr>
        <w:t xml:space="preserve">     </w:t>
      </w:r>
      <w:r>
        <w:rPr>
          <w:rFonts w:hint="eastAsia"/>
          <w:color w:val="auto"/>
        </w:rPr>
        <w:t>月</w:t>
      </w:r>
      <w:r>
        <w:rPr>
          <w:rFonts w:hint="eastAsia"/>
          <w:color w:val="auto"/>
          <w:u w:val="single"/>
        </w:rPr>
        <w:t xml:space="preserve">     </w:t>
      </w:r>
      <w:r>
        <w:rPr>
          <w:rFonts w:hint="eastAsia"/>
          <w:color w:val="auto"/>
        </w:rPr>
        <w:t>日前进驻安装现场；所有货物运送到甲方指定地点后，双方在</w:t>
      </w:r>
      <w:r>
        <w:rPr>
          <w:rFonts w:hint="eastAsia"/>
          <w:color w:val="auto"/>
          <w:u w:val="single"/>
        </w:rPr>
        <w:t xml:space="preserve">     </w:t>
      </w:r>
      <w:r>
        <w:rPr>
          <w:rFonts w:hint="eastAsia"/>
          <w:color w:val="auto"/>
        </w:rPr>
        <w:t>日内共同验收并签署验收意见。如甲方无正当理由，不得拒绝接收；在安装调试过程中，甲方有权采取适当的方式对乙方货物质量标准、规格型号、具体配置、数量以及安装质量和进度等进行检查。甲方如果发现乙方所供货物不符合合同约定，甲方有权单方解除合同，由此产生的一切费用由乙方承担。</w:t>
      </w:r>
    </w:p>
    <w:p w14:paraId="2FC4D3F7">
      <w:pPr>
        <w:rPr>
          <w:color w:val="auto"/>
        </w:rPr>
      </w:pPr>
      <w:bookmarkStart w:id="153" w:name="_Toc13360"/>
      <w:bookmarkStart w:id="154" w:name="_Toc7569"/>
      <w:bookmarkStart w:id="155" w:name="_Toc29912"/>
      <w:bookmarkStart w:id="156" w:name="_Toc13437"/>
      <w:r>
        <w:rPr>
          <w:rFonts w:hint="eastAsia"/>
          <w:color w:val="auto"/>
        </w:rPr>
        <w:t>三、包装与运输</w:t>
      </w:r>
      <w:bookmarkEnd w:id="153"/>
      <w:bookmarkEnd w:id="154"/>
      <w:bookmarkEnd w:id="155"/>
      <w:bookmarkEnd w:id="156"/>
    </w:p>
    <w:p w14:paraId="2D046686">
      <w:pPr>
        <w:rPr>
          <w:color w:val="auto"/>
        </w:rPr>
      </w:pPr>
      <w:r>
        <w:rPr>
          <w:rFonts w:hint="eastAsia"/>
          <w:color w:val="auto"/>
        </w:rPr>
        <w:t>货物交付使用前发生的所有与货物相关的运输、安装及安全保障事项等均由乙方负责；货物包装应符合抗震、防潮、防冻、防锈以及长途运输等要求，对由于包装不当或防护措施不力而导致的货物损坏、损失、腐蚀等损失均由乙方承担；在货物备交付使用前所发生的所有与货物相关的经济纠纷及法律责任均与甲方无关。</w:t>
      </w:r>
    </w:p>
    <w:p w14:paraId="1CDDFA93">
      <w:pPr>
        <w:rPr>
          <w:color w:val="auto"/>
        </w:rPr>
      </w:pPr>
      <w:bookmarkStart w:id="157" w:name="_Toc20620"/>
      <w:bookmarkStart w:id="158" w:name="_Toc11699"/>
      <w:bookmarkStart w:id="159" w:name="_Toc13286"/>
      <w:bookmarkStart w:id="160" w:name="_Toc12737"/>
      <w:r>
        <w:rPr>
          <w:rFonts w:hint="eastAsia"/>
          <w:color w:val="auto"/>
        </w:rPr>
        <w:t>四、质保期与售后服务（详见附件3）</w:t>
      </w:r>
      <w:bookmarkEnd w:id="157"/>
      <w:bookmarkEnd w:id="158"/>
      <w:bookmarkEnd w:id="159"/>
      <w:bookmarkEnd w:id="160"/>
    </w:p>
    <w:p w14:paraId="0AE28F5B">
      <w:pPr>
        <w:rPr>
          <w:color w:val="auto"/>
        </w:rPr>
      </w:pPr>
      <w:r>
        <w:rPr>
          <w:rFonts w:hint="eastAsia"/>
          <w:color w:val="auto"/>
        </w:rPr>
        <w:t>1.所有设备免费质保期为</w:t>
      </w:r>
      <w:r>
        <w:rPr>
          <w:rFonts w:hint="eastAsia"/>
          <w:b/>
          <w:bCs/>
          <w:color w:val="auto"/>
          <w:u w:val="single"/>
        </w:rPr>
        <w:t xml:space="preserve">      </w:t>
      </w:r>
      <w:r>
        <w:rPr>
          <w:rFonts w:hint="eastAsia"/>
          <w:color w:val="auto"/>
        </w:rPr>
        <w:t>年（自验收合格并交付给甲方之日起计算），终身维护、维修。</w:t>
      </w:r>
    </w:p>
    <w:p w14:paraId="30A24125">
      <w:pPr>
        <w:rPr>
          <w:color w:val="auto"/>
        </w:rPr>
      </w:pPr>
      <w:r>
        <w:rPr>
          <w:rFonts w:hint="eastAsia"/>
          <w:color w:val="auto"/>
        </w:rPr>
        <w:t>2.在质保期内，因产品质量造成的问题，乙方免费提供配件并现场维修，且所提供的任何零配件必须是其原设备厂家生产的或经其认可的。产品存在质量问题，甲方有权要求乙方换货。</w:t>
      </w:r>
    </w:p>
    <w:p w14:paraId="5BA9ECED">
      <w:pPr>
        <w:rPr>
          <w:color w:val="auto"/>
        </w:rPr>
      </w:pPr>
      <w:r>
        <w:rPr>
          <w:rFonts w:hint="eastAsia"/>
          <w:color w:val="auto"/>
        </w:rPr>
        <w:t>3.乙方须提供一年</w:t>
      </w:r>
      <w:r>
        <w:rPr>
          <w:rFonts w:hint="eastAsia"/>
          <w:color w:val="auto"/>
          <w:u w:val="single"/>
        </w:rPr>
        <w:t xml:space="preserve">    </w:t>
      </w:r>
      <w:r>
        <w:rPr>
          <w:rFonts w:hint="eastAsia"/>
          <w:color w:val="auto"/>
        </w:rPr>
        <w:t>次全免费（配件+人力）对产品设备的维护保养。</w:t>
      </w:r>
    </w:p>
    <w:p w14:paraId="20F31AB0">
      <w:pPr>
        <w:rPr>
          <w:color w:val="auto"/>
        </w:rPr>
      </w:pPr>
      <w:r>
        <w:rPr>
          <w:rFonts w:hint="eastAsia"/>
          <w:color w:val="auto"/>
        </w:rPr>
        <w:t>4.乙方承诺凡设备出现故障，自接到甲方报修电话1小时内响应，3小时内到达现场，24小时内解决故障问题。保修期外只收取甲方零配件成本费，其他免费。</w:t>
      </w:r>
    </w:p>
    <w:p w14:paraId="29539C91">
      <w:pPr>
        <w:rPr>
          <w:color w:val="auto"/>
        </w:rPr>
      </w:pPr>
      <w:r>
        <w:rPr>
          <w:rFonts w:hint="eastAsia"/>
          <w:color w:val="auto"/>
        </w:rPr>
        <w:t>5.乙方未在规定时间内提供原配件或认可的替代配件，甲方有权自行购买，费用由乙方承担。</w:t>
      </w:r>
    </w:p>
    <w:p w14:paraId="07AA3D39">
      <w:pPr>
        <w:rPr>
          <w:color w:val="auto"/>
          <w:u w:val="single"/>
        </w:rPr>
      </w:pPr>
      <w:r>
        <w:rPr>
          <w:rFonts w:hint="eastAsia"/>
          <w:color w:val="auto"/>
        </w:rPr>
        <w:t>6.其它：</w:t>
      </w:r>
    </w:p>
    <w:p w14:paraId="28FB5F51">
      <w:pPr>
        <w:rPr>
          <w:color w:val="auto"/>
        </w:rPr>
      </w:pPr>
      <w:bookmarkStart w:id="161" w:name="_Toc8565"/>
      <w:bookmarkStart w:id="162" w:name="_Toc15018"/>
      <w:bookmarkStart w:id="163" w:name="_Toc16784"/>
      <w:bookmarkStart w:id="164" w:name="_Toc23672"/>
      <w:r>
        <w:rPr>
          <w:rFonts w:hint="eastAsia"/>
          <w:color w:val="auto"/>
        </w:rPr>
        <w:t>五、技术服务</w:t>
      </w:r>
      <w:bookmarkEnd w:id="161"/>
      <w:bookmarkEnd w:id="162"/>
      <w:bookmarkEnd w:id="163"/>
      <w:bookmarkEnd w:id="164"/>
    </w:p>
    <w:p w14:paraId="4E847553">
      <w:pPr>
        <w:rPr>
          <w:color w:val="auto"/>
        </w:rPr>
      </w:pPr>
      <w:r>
        <w:rPr>
          <w:rFonts w:hint="eastAsia"/>
          <w:color w:val="auto"/>
        </w:rPr>
        <w:t>1.乙方向甲方免费提供标准安装调试及</w:t>
      </w:r>
      <w:r>
        <w:rPr>
          <w:rFonts w:hint="eastAsia"/>
          <w:color w:val="auto"/>
          <w:u w:val="single"/>
        </w:rPr>
        <w:t xml:space="preserve">   </w:t>
      </w:r>
      <w:r>
        <w:rPr>
          <w:rFonts w:hint="eastAsia"/>
          <w:color w:val="auto"/>
        </w:rPr>
        <w:t>人次国内操作培训。</w:t>
      </w:r>
    </w:p>
    <w:p w14:paraId="4A95D542">
      <w:pPr>
        <w:rPr>
          <w:color w:val="auto"/>
        </w:rPr>
      </w:pPr>
      <w:r>
        <w:rPr>
          <w:rFonts w:hint="eastAsia"/>
          <w:color w:val="auto"/>
        </w:rPr>
        <w:t>2.乙方向甲方提供设备详细技术、维修及使用资料。</w:t>
      </w:r>
    </w:p>
    <w:p w14:paraId="7123123A">
      <w:pPr>
        <w:rPr>
          <w:color w:val="auto"/>
        </w:rPr>
      </w:pPr>
      <w:r>
        <w:rPr>
          <w:rFonts w:hint="eastAsia"/>
          <w:color w:val="auto"/>
        </w:rPr>
        <w:t>3.软件免费升级和使用。</w:t>
      </w:r>
    </w:p>
    <w:p w14:paraId="697F1F52">
      <w:pPr>
        <w:rPr>
          <w:color w:val="auto"/>
        </w:rPr>
      </w:pPr>
      <w:r>
        <w:rPr>
          <w:rFonts w:hint="eastAsia"/>
          <w:color w:val="auto"/>
        </w:rPr>
        <w:t xml:space="preserve">4.乙方有责任对甲方相关人员实施免费的现场培训或集中培训措施，保证甲方相关人员能够独立操作、熟练使用、维护和管理有关设备。  </w:t>
      </w:r>
    </w:p>
    <w:p w14:paraId="4CE18E7D">
      <w:pPr>
        <w:rPr>
          <w:color w:val="auto"/>
        </w:rPr>
      </w:pPr>
      <w:bookmarkStart w:id="165" w:name="_Toc10141"/>
      <w:bookmarkStart w:id="166" w:name="_Toc16071"/>
      <w:bookmarkStart w:id="167" w:name="_Toc1337"/>
      <w:bookmarkStart w:id="168" w:name="_Toc23933"/>
      <w:r>
        <w:rPr>
          <w:rFonts w:hint="eastAsia"/>
          <w:color w:val="auto"/>
        </w:rPr>
        <w:t>六、知识产权</w:t>
      </w:r>
      <w:bookmarkEnd w:id="165"/>
      <w:bookmarkEnd w:id="166"/>
      <w:bookmarkEnd w:id="167"/>
      <w:bookmarkEnd w:id="168"/>
    </w:p>
    <w:p w14:paraId="04243B5D">
      <w:pPr>
        <w:rPr>
          <w:color w:val="auto"/>
        </w:rPr>
      </w:pPr>
      <w:r>
        <w:rPr>
          <w:rFonts w:hint="eastAsia"/>
          <w:color w:val="auto"/>
        </w:rPr>
        <w:t>乙方应保证甲方在使用该货物或货物的任何一部分时免受第三方提出的侵犯其知识产权、商业秘密权或其他任何权利的起诉。如因此给甲方造成损失，已方承诺赔付甲方遭受的一切损失。</w:t>
      </w:r>
    </w:p>
    <w:p w14:paraId="7D060C1D">
      <w:pPr>
        <w:rPr>
          <w:color w:val="auto"/>
        </w:rPr>
      </w:pPr>
      <w:bookmarkStart w:id="169" w:name="_Toc31661"/>
      <w:bookmarkStart w:id="170" w:name="_Toc23778"/>
      <w:bookmarkStart w:id="171" w:name="_Toc18464"/>
      <w:bookmarkStart w:id="172" w:name="_Toc31535"/>
      <w:r>
        <w:rPr>
          <w:rFonts w:hint="eastAsia"/>
          <w:color w:val="auto"/>
        </w:rPr>
        <w:t>七、免税</w:t>
      </w:r>
      <w:bookmarkEnd w:id="169"/>
      <w:bookmarkEnd w:id="170"/>
      <w:bookmarkEnd w:id="171"/>
      <w:bookmarkEnd w:id="172"/>
    </w:p>
    <w:p w14:paraId="6C0BB09D">
      <w:pPr>
        <w:rPr>
          <w:color w:val="auto"/>
        </w:rPr>
      </w:pPr>
      <w:bookmarkStart w:id="173" w:name="_Toc6227"/>
      <w:bookmarkStart w:id="174" w:name="_Toc23148"/>
      <w:bookmarkStart w:id="175" w:name="_Toc1410"/>
      <w:bookmarkStart w:id="176" w:name="_Toc3640"/>
      <w:r>
        <w:rPr>
          <w:rFonts w:hint="eastAsia"/>
          <w:color w:val="auto"/>
        </w:rPr>
        <w:t>1.属于进口产品，用于教学和科研目的的，成交价为免税价格。</w:t>
      </w:r>
      <w:bookmarkEnd w:id="173"/>
      <w:bookmarkEnd w:id="174"/>
      <w:bookmarkEnd w:id="175"/>
      <w:bookmarkEnd w:id="176"/>
    </w:p>
    <w:p w14:paraId="17836F73">
      <w:pPr>
        <w:rPr>
          <w:color w:val="auto"/>
        </w:rPr>
      </w:pPr>
      <w:r>
        <w:rPr>
          <w:rFonts w:hint="eastAsia"/>
          <w:color w:val="auto"/>
        </w:rPr>
        <w:t xml:space="preserve">    </w:t>
      </w:r>
      <w:bookmarkStart w:id="177" w:name="_Toc21134"/>
      <w:bookmarkStart w:id="178" w:name="_Toc11656"/>
      <w:bookmarkStart w:id="179" w:name="_Toc27640"/>
      <w:bookmarkStart w:id="180" w:name="_Toc19622"/>
      <w:r>
        <w:rPr>
          <w:rFonts w:hint="eastAsia"/>
          <w:color w:val="auto"/>
        </w:rPr>
        <w:t>2.免税产品应由甲乙双方依据海关的要求签订委托进口代理协议，确认甲乙双方的责任与义务。委托进口代理协议作为本合同的不可分割部分。</w:t>
      </w:r>
      <w:bookmarkEnd w:id="177"/>
      <w:bookmarkEnd w:id="178"/>
      <w:bookmarkEnd w:id="179"/>
      <w:bookmarkEnd w:id="180"/>
    </w:p>
    <w:p w14:paraId="28573E5C">
      <w:pPr>
        <w:rPr>
          <w:color w:val="auto"/>
        </w:rPr>
      </w:pPr>
      <w:bookmarkStart w:id="181" w:name="_Toc21471"/>
      <w:bookmarkStart w:id="182" w:name="_Toc9034"/>
      <w:bookmarkStart w:id="183" w:name="_Toc1324"/>
      <w:bookmarkStart w:id="184" w:name="_Toc32592"/>
      <w:r>
        <w:rPr>
          <w:rFonts w:hint="eastAsia"/>
          <w:color w:val="auto"/>
        </w:rPr>
        <w:t>3.免税产品通关时乙方必须进行商检，未商检的，造成的损失由乙方承担。</w:t>
      </w:r>
      <w:bookmarkEnd w:id="181"/>
      <w:bookmarkEnd w:id="182"/>
      <w:bookmarkEnd w:id="183"/>
      <w:bookmarkEnd w:id="184"/>
    </w:p>
    <w:p w14:paraId="36001003">
      <w:pPr>
        <w:rPr>
          <w:color w:val="auto"/>
        </w:rPr>
      </w:pPr>
      <w:bookmarkStart w:id="185" w:name="_Toc18795"/>
      <w:bookmarkStart w:id="186" w:name="_Toc24836"/>
      <w:bookmarkStart w:id="187" w:name="_Toc2361"/>
      <w:bookmarkStart w:id="188" w:name="_Toc25340"/>
      <w:r>
        <w:rPr>
          <w:rFonts w:hint="eastAsia"/>
          <w:color w:val="auto"/>
        </w:rPr>
        <w:t>八、交货时间、地点与方式</w:t>
      </w:r>
      <w:bookmarkEnd w:id="185"/>
      <w:bookmarkEnd w:id="186"/>
      <w:bookmarkEnd w:id="187"/>
      <w:bookmarkEnd w:id="188"/>
    </w:p>
    <w:p w14:paraId="3B730C98">
      <w:pPr>
        <w:rPr>
          <w:color w:val="auto"/>
        </w:rPr>
      </w:pPr>
      <w:r>
        <w:rPr>
          <w:rFonts w:hint="eastAsia"/>
          <w:color w:val="auto"/>
        </w:rPr>
        <w:t>1.乙方于</w:t>
      </w:r>
      <w:r>
        <w:rPr>
          <w:rFonts w:hint="eastAsia"/>
          <w:color w:val="auto"/>
          <w:u w:val="single"/>
        </w:rPr>
        <w:t xml:space="preserve">    </w:t>
      </w:r>
      <w:r>
        <w:rPr>
          <w:rFonts w:hint="eastAsia"/>
          <w:color w:val="auto"/>
        </w:rPr>
        <w:t>年</w:t>
      </w:r>
      <w:r>
        <w:rPr>
          <w:rFonts w:hint="eastAsia"/>
          <w:color w:val="auto"/>
          <w:u w:val="single"/>
        </w:rPr>
        <w:t xml:space="preserve">   </w:t>
      </w:r>
      <w:r>
        <w:rPr>
          <w:rFonts w:hint="eastAsia"/>
          <w:color w:val="auto"/>
        </w:rPr>
        <w:t>月</w:t>
      </w:r>
      <w:r>
        <w:rPr>
          <w:rFonts w:hint="eastAsia"/>
          <w:color w:val="auto"/>
          <w:u w:val="single"/>
        </w:rPr>
        <w:t xml:space="preserve">   </w:t>
      </w:r>
      <w:r>
        <w:rPr>
          <w:rFonts w:hint="eastAsia"/>
          <w:color w:val="auto"/>
        </w:rPr>
        <w:t>日之前将货物按甲方要求在甲方指定地点交货、安装、调试完毕，并具备使用条件，未经甲方允许每推迟一天，按合同总额的千分之五支付违约金。</w:t>
      </w:r>
    </w:p>
    <w:p w14:paraId="47B70453">
      <w:pPr>
        <w:rPr>
          <w:color w:val="auto"/>
        </w:rPr>
      </w:pPr>
      <w:r>
        <w:rPr>
          <w:rFonts w:hint="eastAsia"/>
          <w:color w:val="auto"/>
        </w:rPr>
        <w:t>2.乙方负责所供货物包装、运输、安装和调试，并承担所发生的费用；甲方为乙方现场安装提供水、电等便利条件。</w:t>
      </w:r>
    </w:p>
    <w:p w14:paraId="532DCD93">
      <w:pPr>
        <w:rPr>
          <w:color w:val="auto"/>
        </w:rPr>
      </w:pPr>
      <w:r>
        <w:rPr>
          <w:rFonts w:hint="eastAsia"/>
          <w:color w:val="auto"/>
        </w:rPr>
        <w:t>3.安装过程中若发生安全事故由乙方承担。</w:t>
      </w:r>
    </w:p>
    <w:p w14:paraId="1F34700C">
      <w:pPr>
        <w:rPr>
          <w:color w:val="auto"/>
        </w:rPr>
      </w:pPr>
      <w:r>
        <w:rPr>
          <w:rFonts w:hint="eastAsia"/>
          <w:color w:val="auto"/>
        </w:rPr>
        <w:t>4.乙方安装人员应服从甲方的管理，遵守国家法律法规和学校相关制度，否则一切后果均由乙方承担。</w:t>
      </w:r>
    </w:p>
    <w:p w14:paraId="39BB4890">
      <w:pPr>
        <w:rPr>
          <w:color w:val="auto"/>
        </w:rPr>
      </w:pPr>
      <w:r>
        <w:rPr>
          <w:rFonts w:hint="eastAsia"/>
          <w:color w:val="auto"/>
        </w:rPr>
        <w:t>5.货物交付使用前，乙方负责对提供货物进行看管，并承担货物的丢失、损毁等风险。</w:t>
      </w:r>
    </w:p>
    <w:p w14:paraId="60DB8BBC">
      <w:pPr>
        <w:rPr>
          <w:color w:val="auto"/>
        </w:rPr>
      </w:pPr>
      <w:bookmarkStart w:id="189" w:name="_Toc25634"/>
      <w:bookmarkStart w:id="190" w:name="_Toc228"/>
      <w:bookmarkStart w:id="191" w:name="_Toc9545"/>
      <w:bookmarkStart w:id="192" w:name="_Toc15782"/>
      <w:r>
        <w:rPr>
          <w:rFonts w:hint="eastAsia"/>
          <w:color w:val="auto"/>
        </w:rPr>
        <w:t>九、验收方式</w:t>
      </w:r>
      <w:bookmarkEnd w:id="189"/>
      <w:bookmarkEnd w:id="190"/>
      <w:bookmarkEnd w:id="191"/>
      <w:bookmarkEnd w:id="192"/>
    </w:p>
    <w:p w14:paraId="618C99D0">
      <w:pPr>
        <w:rPr>
          <w:color w:val="auto"/>
        </w:rPr>
      </w:pPr>
      <w:bookmarkStart w:id="193" w:name="_Toc29330"/>
      <w:bookmarkStart w:id="194" w:name="_Toc6660"/>
      <w:bookmarkStart w:id="195" w:name="_Toc4630"/>
      <w:bookmarkStart w:id="196" w:name="_Toc1323"/>
      <w:r>
        <w:rPr>
          <w:rFonts w:hint="eastAsia"/>
          <w:color w:val="auto"/>
        </w:rPr>
        <w:t>1.初步验收。甲方按合同所列质量标准、规格型号、技术参数以及数量等在现场验收，并填写初步验收单（详见附件4）。验收时，甲方有权提出采用技术和破坏相结合的方法。</w:t>
      </w:r>
      <w:bookmarkEnd w:id="193"/>
      <w:bookmarkEnd w:id="194"/>
      <w:bookmarkEnd w:id="195"/>
      <w:bookmarkEnd w:id="196"/>
    </w:p>
    <w:p w14:paraId="69F5BDB1">
      <w:pPr>
        <w:rPr>
          <w:color w:val="auto"/>
        </w:rPr>
      </w:pPr>
      <w:bookmarkStart w:id="197" w:name="_Toc4716"/>
      <w:bookmarkStart w:id="198" w:name="_Toc20481"/>
      <w:bookmarkStart w:id="199" w:name="_Toc28956"/>
      <w:bookmarkStart w:id="200" w:name="_Toc2284"/>
      <w:r>
        <w:rPr>
          <w:rFonts w:hint="eastAsia"/>
          <w:color w:val="auto"/>
        </w:rPr>
        <w:t>乙方应向甲方移交所供设备完整的使用说明书、合格证及相关资料。乙方在所有设备（工程）安装调试、软件安装完毕后，开展现场培训，使用户能够独立熟练操作使用仪器或设备，尔后由供需双方共同初步验收；甲乙双方如产生异议，由第三方重新进行验收。如果乙方提供的货物与合同不符，甲方有权拒绝验收，由此所产生的一切费用由乙方承担。</w:t>
      </w:r>
      <w:bookmarkEnd w:id="197"/>
      <w:bookmarkEnd w:id="198"/>
      <w:bookmarkEnd w:id="199"/>
      <w:bookmarkEnd w:id="200"/>
    </w:p>
    <w:p w14:paraId="137B162E">
      <w:pPr>
        <w:rPr>
          <w:color w:val="auto"/>
        </w:rPr>
      </w:pPr>
      <w:bookmarkStart w:id="201" w:name="_Toc23553"/>
      <w:bookmarkStart w:id="202" w:name="_Toc22441"/>
      <w:bookmarkStart w:id="203" w:name="_Toc7750"/>
      <w:bookmarkStart w:id="204" w:name="_Toc10401"/>
      <w:r>
        <w:rPr>
          <w:rFonts w:hint="eastAsia"/>
          <w:color w:val="auto"/>
        </w:rPr>
        <w:t>2.正式验收：依据河南省财政厅“《关于加强政府采购合同监督管理工作的通知》【豫财购（2010）24号】”文件要求，政府采购合同金额50万元以上的货物采购项目，由使用单位初验合格后，向国有资产管理处提出验收申请，由采购单位领导牵头，会同财务、审计、资产管理及专家成立验收专家组进行正式验收。学校验收通过后，才能支付合同款项。</w:t>
      </w:r>
      <w:bookmarkEnd w:id="201"/>
      <w:bookmarkEnd w:id="202"/>
      <w:bookmarkEnd w:id="203"/>
      <w:bookmarkEnd w:id="204"/>
    </w:p>
    <w:p w14:paraId="740EA53F">
      <w:pPr>
        <w:rPr>
          <w:color w:val="auto"/>
        </w:rPr>
      </w:pPr>
      <w:bookmarkStart w:id="205" w:name="_Toc29290"/>
      <w:bookmarkStart w:id="206" w:name="_Toc26980"/>
      <w:bookmarkStart w:id="207" w:name="_Toc11948"/>
      <w:bookmarkStart w:id="208" w:name="_Toc14247"/>
      <w:r>
        <w:rPr>
          <w:rFonts w:hint="eastAsia"/>
          <w:color w:val="auto"/>
        </w:rPr>
        <w:t>十、付款方式及条件</w:t>
      </w:r>
      <w:bookmarkEnd w:id="205"/>
      <w:bookmarkEnd w:id="206"/>
      <w:bookmarkEnd w:id="207"/>
      <w:bookmarkEnd w:id="208"/>
    </w:p>
    <w:p w14:paraId="70E6471D">
      <w:pPr>
        <w:rPr>
          <w:color w:val="auto"/>
          <w:highlight w:val="none"/>
        </w:rPr>
      </w:pPr>
      <w:r>
        <w:rPr>
          <w:rFonts w:hint="eastAsia"/>
          <w:color w:val="auto"/>
          <w:highlight w:val="none"/>
        </w:rPr>
        <w:t>1.本合同总价款（大写）为：                 （小写：¥     元）。</w:t>
      </w:r>
    </w:p>
    <w:p w14:paraId="4D430CA9">
      <w:pPr>
        <w:rPr>
          <w:color w:val="auto"/>
          <w:highlight w:val="none"/>
        </w:rPr>
      </w:pPr>
      <w:r>
        <w:rPr>
          <w:rFonts w:hint="eastAsia"/>
          <w:color w:val="auto"/>
          <w:highlight w:val="none"/>
        </w:rPr>
        <w:t>2.付款方式：货物验收合格后，经审计后，甲方向乙方支付审定金额的95％；质保期满，甲方向乙方支付剩余的全部货款。</w:t>
      </w:r>
    </w:p>
    <w:p w14:paraId="2049833E">
      <w:pPr>
        <w:rPr>
          <w:color w:val="auto"/>
        </w:rPr>
      </w:pPr>
      <w:bookmarkStart w:id="209" w:name="_Toc4713"/>
      <w:bookmarkStart w:id="210" w:name="_Toc26309"/>
      <w:bookmarkStart w:id="211" w:name="_Toc16700"/>
      <w:bookmarkStart w:id="212" w:name="_Toc24085"/>
      <w:r>
        <w:rPr>
          <w:rFonts w:hint="eastAsia"/>
          <w:color w:val="auto"/>
        </w:rPr>
        <w:t>十一、履约担保</w:t>
      </w:r>
      <w:bookmarkEnd w:id="209"/>
      <w:bookmarkEnd w:id="210"/>
      <w:bookmarkEnd w:id="211"/>
      <w:bookmarkEnd w:id="212"/>
    </w:p>
    <w:p w14:paraId="3F3C9ED1">
      <w:pPr>
        <w:rPr>
          <w:color w:val="auto"/>
        </w:rPr>
      </w:pPr>
      <w:bookmarkStart w:id="213" w:name="_Toc15814"/>
      <w:bookmarkStart w:id="214" w:name="_Toc30536"/>
      <w:bookmarkStart w:id="215" w:name="_Toc12717"/>
      <w:bookmarkStart w:id="216" w:name="_Toc28479"/>
      <w:r>
        <w:rPr>
          <w:rFonts w:hint="eastAsia"/>
          <w:color w:val="auto"/>
        </w:rPr>
        <w:t>合同履约</w:t>
      </w:r>
      <w:r>
        <w:rPr>
          <w:rFonts w:hint="eastAsia" w:asciiTheme="minorEastAsia" w:hAnsiTheme="minorEastAsia" w:eastAsiaTheme="minorEastAsia" w:cstheme="minorEastAsia"/>
          <w:color w:val="auto"/>
        </w:rPr>
        <w:t>担保条款(100万元以下不强制提供保函或现金履约担保)</w:t>
      </w:r>
      <w:bookmarkEnd w:id="213"/>
      <w:bookmarkEnd w:id="214"/>
      <w:bookmarkEnd w:id="215"/>
      <w:bookmarkEnd w:id="216"/>
    </w:p>
    <w:p w14:paraId="13A581BC">
      <w:pPr>
        <w:rPr>
          <w:color w:val="auto"/>
        </w:rPr>
      </w:pPr>
      <w:bookmarkStart w:id="217" w:name="_Toc31355"/>
      <w:bookmarkStart w:id="218" w:name="_Toc6300"/>
      <w:bookmarkStart w:id="219" w:name="_Toc7256"/>
      <w:bookmarkStart w:id="220" w:name="_Toc21791"/>
      <w:r>
        <w:rPr>
          <w:rFonts w:hint="eastAsia"/>
          <w:color w:val="auto"/>
        </w:rPr>
        <w:t>履约担保金额:合同总额的5%</w:t>
      </w:r>
      <w:bookmarkEnd w:id="217"/>
      <w:bookmarkEnd w:id="218"/>
      <w:bookmarkEnd w:id="219"/>
      <w:bookmarkEnd w:id="220"/>
    </w:p>
    <w:p w14:paraId="4F6EB98D">
      <w:pPr>
        <w:rPr>
          <w:color w:val="auto"/>
        </w:rPr>
      </w:pPr>
      <w:bookmarkStart w:id="221" w:name="_Toc21956"/>
      <w:bookmarkStart w:id="222" w:name="_Toc26206"/>
      <w:bookmarkStart w:id="223" w:name="_Toc6795"/>
      <w:bookmarkStart w:id="224" w:name="_Toc29396"/>
      <w:r>
        <w:rPr>
          <w:rFonts w:hint="eastAsia"/>
          <w:color w:val="auto"/>
        </w:rPr>
        <w:t>履约担保方式:乙方以银行保函方式在合同签订前向甲方采购单位提供履约担保，验收合格，正式交付使用后退还。</w:t>
      </w:r>
      <w:bookmarkEnd w:id="221"/>
      <w:bookmarkEnd w:id="222"/>
      <w:bookmarkEnd w:id="223"/>
      <w:bookmarkEnd w:id="224"/>
    </w:p>
    <w:p w14:paraId="65D12F29">
      <w:pPr>
        <w:rPr>
          <w:color w:val="auto"/>
        </w:rPr>
      </w:pPr>
      <w:bookmarkStart w:id="225" w:name="_Toc28176"/>
      <w:bookmarkStart w:id="226" w:name="_Toc27767"/>
      <w:bookmarkStart w:id="227" w:name="_Toc8638"/>
      <w:bookmarkStart w:id="228" w:name="_Toc31518"/>
      <w:r>
        <w:rPr>
          <w:rFonts w:hint="eastAsia"/>
          <w:color w:val="auto"/>
        </w:rPr>
        <w:t>十二、违约责任</w:t>
      </w:r>
      <w:bookmarkEnd w:id="225"/>
      <w:bookmarkEnd w:id="226"/>
      <w:bookmarkEnd w:id="227"/>
      <w:bookmarkEnd w:id="228"/>
    </w:p>
    <w:p w14:paraId="250B290A">
      <w:pPr>
        <w:rPr>
          <w:color w:val="auto"/>
        </w:rPr>
      </w:pPr>
      <w:r>
        <w:rPr>
          <w:rFonts w:hint="eastAsia"/>
          <w:color w:val="auto"/>
        </w:rPr>
        <w:t>乙方所交的货物产地、品牌、型号、规格、质量以及技术标准、数量等不符合合同要求，甲方有权拒收，由此产生的一切费用由乙方负责；因货物更换而造成逾期交货，则按逾期交货处理，乙方应向甲方每天支付合同标总额日千分之五的违约金。</w:t>
      </w:r>
    </w:p>
    <w:p w14:paraId="383222C0">
      <w:pPr>
        <w:rPr>
          <w:color w:val="auto"/>
        </w:rPr>
      </w:pPr>
      <w:r>
        <w:rPr>
          <w:rFonts w:hint="eastAsia"/>
          <w:color w:val="auto"/>
        </w:rPr>
        <w:t>甲方无正当理由拒收设备，应向乙方偿付拒收设备款额百分之五的违约金。甲方逾期付款，应向乙方支付本合同标的总额的日万分之四的违约金。</w:t>
      </w:r>
    </w:p>
    <w:p w14:paraId="766BE97A">
      <w:pPr>
        <w:rPr>
          <w:color w:val="auto"/>
        </w:rPr>
      </w:pPr>
      <w:bookmarkStart w:id="229" w:name="_Toc4139"/>
      <w:bookmarkStart w:id="230" w:name="_Toc16501"/>
      <w:bookmarkStart w:id="231" w:name="_Toc18713"/>
      <w:bookmarkStart w:id="232" w:name="_Toc4500"/>
      <w:r>
        <w:rPr>
          <w:rFonts w:hint="eastAsia"/>
          <w:color w:val="auto"/>
        </w:rPr>
        <w:t>十三、其它</w:t>
      </w:r>
      <w:bookmarkEnd w:id="229"/>
      <w:bookmarkEnd w:id="230"/>
      <w:bookmarkEnd w:id="231"/>
      <w:bookmarkEnd w:id="232"/>
    </w:p>
    <w:p w14:paraId="24E8E356">
      <w:pPr>
        <w:rPr>
          <w:color w:val="auto"/>
        </w:rPr>
      </w:pPr>
      <w:r>
        <w:rPr>
          <w:rFonts w:hint="eastAsia"/>
          <w:color w:val="auto"/>
        </w:rPr>
        <w:t>1.组成本合同的文件及解释顺序为：本合同及其附件、双方签字并盖章的补充协议和文件；投标书及其附件；磋商文件及补充通知；成交通知书；国家、行业或企业（以最高的为准）标准、规范及有关技术文件；投标书及其附件。</w:t>
      </w:r>
    </w:p>
    <w:p w14:paraId="15661105">
      <w:pPr>
        <w:rPr>
          <w:color w:val="auto"/>
        </w:rPr>
      </w:pPr>
      <w:r>
        <w:rPr>
          <w:rFonts w:hint="eastAsia"/>
          <w:color w:val="auto"/>
        </w:rPr>
        <w:t>2.双方在执行合同时产生纠纷，协商解决；协商不成，向甲方所在地人民法院提起诉讼。</w:t>
      </w:r>
    </w:p>
    <w:p w14:paraId="07A797D4">
      <w:pPr>
        <w:rPr>
          <w:color w:val="auto"/>
        </w:rPr>
      </w:pPr>
      <w:r>
        <w:rPr>
          <w:rFonts w:hint="eastAsia"/>
          <w:color w:val="auto"/>
        </w:rPr>
        <w:t>3.本合同共</w:t>
      </w:r>
      <w:r>
        <w:rPr>
          <w:rFonts w:hint="eastAsia"/>
          <w:color w:val="auto"/>
          <w:u w:val="single"/>
        </w:rPr>
        <w:t xml:space="preserve">    </w:t>
      </w:r>
      <w:r>
        <w:rPr>
          <w:rFonts w:hint="eastAsia"/>
          <w:color w:val="auto"/>
        </w:rPr>
        <w:t>页，一式</w:t>
      </w:r>
      <w:r>
        <w:rPr>
          <w:rFonts w:hint="eastAsia"/>
          <w:color w:val="auto"/>
          <w:u w:val="single"/>
        </w:rPr>
        <w:t xml:space="preserve">   </w:t>
      </w:r>
      <w:r>
        <w:rPr>
          <w:rFonts w:hint="eastAsia"/>
          <w:color w:val="auto"/>
        </w:rPr>
        <w:t>份，甲方执</w:t>
      </w:r>
      <w:r>
        <w:rPr>
          <w:rFonts w:hint="eastAsia"/>
          <w:color w:val="auto"/>
          <w:u w:val="single"/>
        </w:rPr>
        <w:t xml:space="preserve">   </w:t>
      </w:r>
      <w:r>
        <w:rPr>
          <w:rFonts w:hint="eastAsia"/>
          <w:color w:val="auto"/>
        </w:rPr>
        <w:t>份（用于合同备案、进口产品免税、验收、报账等事项），乙方执</w:t>
      </w:r>
      <w:r>
        <w:rPr>
          <w:rFonts w:hint="eastAsia"/>
          <w:color w:val="auto"/>
          <w:u w:val="single"/>
        </w:rPr>
        <w:t xml:space="preserve">    </w:t>
      </w:r>
      <w:r>
        <w:rPr>
          <w:rFonts w:hint="eastAsia"/>
          <w:color w:val="auto"/>
        </w:rPr>
        <w:t>份，招标公司执</w:t>
      </w:r>
      <w:r>
        <w:rPr>
          <w:rFonts w:hint="eastAsia"/>
          <w:color w:val="auto"/>
          <w:u w:val="single"/>
        </w:rPr>
        <w:t xml:space="preserve">   </w:t>
      </w:r>
      <w:r>
        <w:rPr>
          <w:rFonts w:hint="eastAsia"/>
          <w:color w:val="auto"/>
        </w:rPr>
        <w:t>份。</w:t>
      </w:r>
    </w:p>
    <w:p w14:paraId="43785D88">
      <w:pPr>
        <w:rPr>
          <w:color w:val="auto"/>
        </w:rPr>
      </w:pPr>
      <w:r>
        <w:rPr>
          <w:rFonts w:hint="eastAsia"/>
          <w:color w:val="auto"/>
        </w:rPr>
        <w:t>4.本合同未尽事宜，甲方双方可签订补充协议，与本合同具有同等法律效力。</w:t>
      </w:r>
    </w:p>
    <w:p w14:paraId="7BA9091D">
      <w:pPr>
        <w:rPr>
          <w:color w:val="auto"/>
        </w:rPr>
      </w:pPr>
      <w:r>
        <w:rPr>
          <w:rFonts w:hint="eastAsia"/>
          <w:color w:val="auto"/>
        </w:rPr>
        <w:t>5.本合同经双方法定代表人或其授权代理人签字并加盖单位公章后生效。</w:t>
      </w:r>
    </w:p>
    <w:p w14:paraId="1ECF8E28">
      <w:pPr>
        <w:rPr>
          <w:color w:val="auto"/>
        </w:rPr>
      </w:pPr>
      <w:r>
        <w:rPr>
          <w:rFonts w:hint="eastAsia"/>
          <w:color w:val="auto"/>
        </w:rPr>
        <w:t>6.法律文书接收地址（乙方）：</w:t>
      </w:r>
    </w:p>
    <w:p w14:paraId="1B8D484F">
      <w:pPr>
        <w:rPr>
          <w:color w:val="auto"/>
        </w:rPr>
      </w:pPr>
    </w:p>
    <w:p w14:paraId="161BC5E2">
      <w:pPr>
        <w:rPr>
          <w:color w:val="auto"/>
        </w:rPr>
      </w:pPr>
      <w:r>
        <w:rPr>
          <w:rFonts w:hint="eastAsia"/>
          <w:color w:val="auto"/>
        </w:rPr>
        <w:t xml:space="preserve">甲方：                                乙方： </w:t>
      </w:r>
    </w:p>
    <w:p w14:paraId="42833802">
      <w:pPr>
        <w:rPr>
          <w:color w:val="auto"/>
        </w:rPr>
      </w:pPr>
      <w:r>
        <w:rPr>
          <w:rFonts w:hint="eastAsia"/>
          <w:color w:val="auto"/>
        </w:rPr>
        <w:t xml:space="preserve">地址：                                地址: </w:t>
      </w:r>
    </w:p>
    <w:p w14:paraId="3F087473">
      <w:pPr>
        <w:rPr>
          <w:color w:val="auto"/>
        </w:rPr>
      </w:pPr>
      <w:r>
        <w:rPr>
          <w:rFonts w:hint="eastAsia"/>
          <w:color w:val="auto"/>
        </w:rPr>
        <w:t>签字代表（或委托代理人）：            签字代表：</w:t>
      </w:r>
    </w:p>
    <w:p w14:paraId="426843CF">
      <w:pPr>
        <w:rPr>
          <w:color w:val="auto"/>
          <w:kern w:val="0"/>
        </w:rPr>
      </w:pPr>
      <w:r>
        <w:rPr>
          <w:rFonts w:hint="eastAsia"/>
          <w:color w:val="auto"/>
        </w:rPr>
        <w:t>电话：                                电话：</w:t>
      </w:r>
    </w:p>
    <w:p w14:paraId="34FE227C">
      <w:pPr>
        <w:rPr>
          <w:color w:val="auto"/>
        </w:rPr>
      </w:pPr>
      <w:r>
        <w:rPr>
          <w:rFonts w:hint="eastAsia"/>
          <w:color w:val="auto"/>
        </w:rPr>
        <w:t>开户银行：                            开户银行：</w:t>
      </w:r>
    </w:p>
    <w:p w14:paraId="147DB110">
      <w:pPr>
        <w:rPr>
          <w:color w:val="auto"/>
        </w:rPr>
      </w:pPr>
      <w:r>
        <w:rPr>
          <w:rFonts w:hint="eastAsia"/>
          <w:color w:val="auto"/>
        </w:rPr>
        <w:t>账号：                                账号：</w:t>
      </w:r>
    </w:p>
    <w:p w14:paraId="34FE6743">
      <w:pPr>
        <w:rPr>
          <w:color w:val="auto"/>
        </w:rPr>
      </w:pPr>
      <w:r>
        <w:rPr>
          <w:rFonts w:hint="eastAsia"/>
          <w:color w:val="auto"/>
        </w:rPr>
        <w:t xml:space="preserve">合同签署日期：       年    月    日                </w:t>
      </w:r>
    </w:p>
    <w:p w14:paraId="1ECC54E0">
      <w:pPr>
        <w:rPr>
          <w:color w:val="auto"/>
        </w:rPr>
        <w:sectPr>
          <w:footerReference r:id="rId13" w:type="default"/>
          <w:pgSz w:w="11906" w:h="16838"/>
          <w:pgMar w:top="1418" w:right="1418" w:bottom="1418" w:left="1701" w:header="851" w:footer="992" w:gutter="0"/>
          <w:pgNumType w:start="1"/>
          <w:cols w:space="720" w:num="1"/>
          <w:docGrid w:type="lines" w:linePitch="312" w:charSpace="0"/>
        </w:sectPr>
      </w:pPr>
    </w:p>
    <w:p w14:paraId="1FE0DF8E">
      <w:pPr>
        <w:rPr>
          <w:color w:val="auto"/>
          <w:kern w:val="0"/>
        </w:rPr>
      </w:pPr>
      <w:r>
        <w:rPr>
          <w:rFonts w:hint="eastAsia"/>
          <w:color w:val="auto"/>
        </w:rPr>
        <w:t>附件1</w:t>
      </w:r>
      <w:r>
        <w:rPr>
          <w:rFonts w:hint="eastAsia"/>
          <w:color w:val="auto"/>
          <w:kern w:val="0"/>
        </w:rPr>
        <w:t xml:space="preserve">： </w:t>
      </w:r>
    </w:p>
    <w:p w14:paraId="10ED1DAF">
      <w:pPr>
        <w:rPr>
          <w:color w:val="auto"/>
        </w:rPr>
      </w:pPr>
      <w:r>
        <w:rPr>
          <w:rFonts w:hint="eastAsia"/>
          <w:color w:val="auto"/>
        </w:rPr>
        <w:t xml:space="preserve">供货范围及分项价格表 </w:t>
      </w:r>
    </w:p>
    <w:p w14:paraId="739886E8">
      <w:pPr>
        <w:rPr>
          <w:color w:val="auto"/>
          <w:kern w:val="0"/>
        </w:rPr>
      </w:pPr>
      <w:r>
        <w:rPr>
          <w:rFonts w:hint="eastAsia"/>
          <w:color w:val="auto"/>
        </w:rPr>
        <w:t xml:space="preserve">                                                                                                              单位：元</w:t>
      </w:r>
    </w:p>
    <w:tbl>
      <w:tblPr>
        <w:tblStyle w:val="38"/>
        <w:tblW w:w="142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5"/>
        <w:gridCol w:w="918"/>
        <w:gridCol w:w="1209"/>
        <w:gridCol w:w="1260"/>
        <w:gridCol w:w="1620"/>
        <w:gridCol w:w="2160"/>
        <w:gridCol w:w="1182"/>
        <w:gridCol w:w="970"/>
        <w:gridCol w:w="1050"/>
        <w:gridCol w:w="1260"/>
        <w:gridCol w:w="1710"/>
      </w:tblGrid>
      <w:tr w14:paraId="562AC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tblHeader/>
          <w:jc w:val="center"/>
        </w:trPr>
        <w:tc>
          <w:tcPr>
            <w:tcW w:w="885" w:type="dxa"/>
            <w:vAlign w:val="center"/>
          </w:tcPr>
          <w:p w14:paraId="3D7C654C">
            <w:pPr>
              <w:ind w:firstLine="0" w:firstLineChars="0"/>
              <w:jc w:val="center"/>
              <w:rPr>
                <w:color w:val="auto"/>
              </w:rPr>
            </w:pPr>
            <w:r>
              <w:rPr>
                <w:rFonts w:hint="eastAsia"/>
                <w:color w:val="auto"/>
              </w:rPr>
              <w:t>序号</w:t>
            </w:r>
          </w:p>
        </w:tc>
        <w:tc>
          <w:tcPr>
            <w:tcW w:w="2127" w:type="dxa"/>
            <w:gridSpan w:val="2"/>
            <w:vAlign w:val="center"/>
          </w:tcPr>
          <w:p w14:paraId="6846E78E">
            <w:pPr>
              <w:ind w:firstLine="0" w:firstLineChars="0"/>
              <w:jc w:val="center"/>
              <w:rPr>
                <w:color w:val="auto"/>
              </w:rPr>
            </w:pPr>
            <w:r>
              <w:rPr>
                <w:rFonts w:hint="eastAsia"/>
                <w:color w:val="auto"/>
              </w:rPr>
              <w:t>设备名称</w:t>
            </w:r>
          </w:p>
        </w:tc>
        <w:tc>
          <w:tcPr>
            <w:tcW w:w="1260" w:type="dxa"/>
            <w:vAlign w:val="center"/>
          </w:tcPr>
          <w:p w14:paraId="032E0F5A">
            <w:pPr>
              <w:ind w:firstLine="0" w:firstLineChars="0"/>
              <w:jc w:val="center"/>
              <w:rPr>
                <w:color w:val="auto"/>
              </w:rPr>
            </w:pPr>
            <w:r>
              <w:rPr>
                <w:rFonts w:hint="eastAsia"/>
                <w:color w:val="auto"/>
              </w:rPr>
              <w:t>品牌型号</w:t>
            </w:r>
          </w:p>
        </w:tc>
        <w:tc>
          <w:tcPr>
            <w:tcW w:w="1620" w:type="dxa"/>
            <w:vAlign w:val="center"/>
          </w:tcPr>
          <w:p w14:paraId="190F9E3A">
            <w:pPr>
              <w:ind w:firstLine="0" w:firstLineChars="0"/>
              <w:jc w:val="center"/>
              <w:rPr>
                <w:color w:val="auto"/>
              </w:rPr>
            </w:pPr>
            <w:r>
              <w:rPr>
                <w:rFonts w:hint="eastAsia"/>
                <w:color w:val="auto"/>
              </w:rPr>
              <w:t>制造厂（商）</w:t>
            </w:r>
          </w:p>
        </w:tc>
        <w:tc>
          <w:tcPr>
            <w:tcW w:w="2160" w:type="dxa"/>
            <w:vAlign w:val="center"/>
          </w:tcPr>
          <w:p w14:paraId="0735E933">
            <w:pPr>
              <w:ind w:firstLine="0" w:firstLineChars="0"/>
              <w:jc w:val="center"/>
              <w:rPr>
                <w:color w:val="auto"/>
              </w:rPr>
            </w:pPr>
            <w:r>
              <w:rPr>
                <w:rFonts w:hint="eastAsia"/>
                <w:color w:val="auto"/>
              </w:rPr>
              <w:t>原产地（国）</w:t>
            </w:r>
          </w:p>
        </w:tc>
        <w:tc>
          <w:tcPr>
            <w:tcW w:w="1182" w:type="dxa"/>
            <w:vAlign w:val="center"/>
          </w:tcPr>
          <w:p w14:paraId="3A3FF0A4">
            <w:pPr>
              <w:ind w:firstLine="0" w:firstLineChars="0"/>
              <w:jc w:val="center"/>
              <w:rPr>
                <w:color w:val="auto"/>
              </w:rPr>
            </w:pPr>
            <w:r>
              <w:rPr>
                <w:rFonts w:hint="eastAsia"/>
                <w:color w:val="auto"/>
              </w:rPr>
              <w:t>数量</w:t>
            </w:r>
          </w:p>
        </w:tc>
        <w:tc>
          <w:tcPr>
            <w:tcW w:w="970" w:type="dxa"/>
            <w:vAlign w:val="center"/>
          </w:tcPr>
          <w:p w14:paraId="41FF9660">
            <w:pPr>
              <w:ind w:firstLine="0" w:firstLineChars="0"/>
              <w:jc w:val="center"/>
              <w:rPr>
                <w:color w:val="auto"/>
              </w:rPr>
            </w:pPr>
            <w:r>
              <w:rPr>
                <w:rFonts w:hint="eastAsia"/>
                <w:color w:val="auto"/>
              </w:rPr>
              <w:t>单位</w:t>
            </w:r>
          </w:p>
        </w:tc>
        <w:tc>
          <w:tcPr>
            <w:tcW w:w="1050" w:type="dxa"/>
            <w:vAlign w:val="center"/>
          </w:tcPr>
          <w:p w14:paraId="0538AFB4">
            <w:pPr>
              <w:ind w:firstLine="0" w:firstLineChars="0"/>
              <w:jc w:val="center"/>
              <w:rPr>
                <w:color w:val="auto"/>
              </w:rPr>
            </w:pPr>
            <w:r>
              <w:rPr>
                <w:rFonts w:hint="eastAsia"/>
                <w:color w:val="auto"/>
              </w:rPr>
              <w:t>单价</w:t>
            </w:r>
          </w:p>
        </w:tc>
        <w:tc>
          <w:tcPr>
            <w:tcW w:w="1260" w:type="dxa"/>
            <w:vAlign w:val="center"/>
          </w:tcPr>
          <w:p w14:paraId="6AB94329">
            <w:pPr>
              <w:ind w:firstLine="0" w:firstLineChars="0"/>
              <w:jc w:val="center"/>
              <w:rPr>
                <w:color w:val="auto"/>
              </w:rPr>
            </w:pPr>
            <w:r>
              <w:rPr>
                <w:rFonts w:hint="eastAsia"/>
                <w:color w:val="auto"/>
              </w:rPr>
              <w:t>合价</w:t>
            </w:r>
          </w:p>
        </w:tc>
        <w:tc>
          <w:tcPr>
            <w:tcW w:w="1710" w:type="dxa"/>
            <w:vAlign w:val="center"/>
          </w:tcPr>
          <w:p w14:paraId="605273A1">
            <w:pPr>
              <w:ind w:firstLine="0" w:firstLineChars="0"/>
              <w:jc w:val="center"/>
              <w:rPr>
                <w:color w:val="auto"/>
              </w:rPr>
            </w:pPr>
            <w:r>
              <w:rPr>
                <w:rFonts w:hint="eastAsia"/>
                <w:color w:val="auto"/>
              </w:rPr>
              <w:t>备注</w:t>
            </w:r>
          </w:p>
        </w:tc>
      </w:tr>
      <w:tr w14:paraId="4BF06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885" w:type="dxa"/>
            <w:vAlign w:val="center"/>
          </w:tcPr>
          <w:p w14:paraId="42C8B3DC">
            <w:pPr>
              <w:ind w:firstLine="0" w:firstLineChars="0"/>
              <w:jc w:val="center"/>
              <w:rPr>
                <w:color w:val="auto"/>
              </w:rPr>
            </w:pPr>
            <w:r>
              <w:rPr>
                <w:rFonts w:hint="eastAsia"/>
                <w:color w:val="auto"/>
              </w:rPr>
              <w:t>1</w:t>
            </w:r>
          </w:p>
        </w:tc>
        <w:tc>
          <w:tcPr>
            <w:tcW w:w="2127" w:type="dxa"/>
            <w:gridSpan w:val="2"/>
            <w:vAlign w:val="center"/>
          </w:tcPr>
          <w:p w14:paraId="28A8C92D">
            <w:pPr>
              <w:jc w:val="center"/>
              <w:rPr>
                <w:color w:val="auto"/>
              </w:rPr>
            </w:pPr>
          </w:p>
        </w:tc>
        <w:tc>
          <w:tcPr>
            <w:tcW w:w="1260" w:type="dxa"/>
            <w:vAlign w:val="center"/>
          </w:tcPr>
          <w:p w14:paraId="6E3A9D69">
            <w:pPr>
              <w:jc w:val="center"/>
              <w:rPr>
                <w:color w:val="auto"/>
              </w:rPr>
            </w:pPr>
          </w:p>
        </w:tc>
        <w:tc>
          <w:tcPr>
            <w:tcW w:w="1620" w:type="dxa"/>
            <w:vAlign w:val="center"/>
          </w:tcPr>
          <w:p w14:paraId="59B5ABB8">
            <w:pPr>
              <w:jc w:val="center"/>
              <w:rPr>
                <w:color w:val="auto"/>
              </w:rPr>
            </w:pPr>
          </w:p>
        </w:tc>
        <w:tc>
          <w:tcPr>
            <w:tcW w:w="2160" w:type="dxa"/>
            <w:vAlign w:val="center"/>
          </w:tcPr>
          <w:p w14:paraId="2989A54F">
            <w:pPr>
              <w:jc w:val="center"/>
              <w:rPr>
                <w:color w:val="auto"/>
              </w:rPr>
            </w:pPr>
          </w:p>
        </w:tc>
        <w:tc>
          <w:tcPr>
            <w:tcW w:w="1182" w:type="dxa"/>
            <w:vAlign w:val="center"/>
          </w:tcPr>
          <w:p w14:paraId="20979E05">
            <w:pPr>
              <w:jc w:val="center"/>
              <w:rPr>
                <w:color w:val="auto"/>
              </w:rPr>
            </w:pPr>
          </w:p>
        </w:tc>
        <w:tc>
          <w:tcPr>
            <w:tcW w:w="970" w:type="dxa"/>
            <w:vAlign w:val="center"/>
          </w:tcPr>
          <w:p w14:paraId="7395E2E1">
            <w:pPr>
              <w:jc w:val="center"/>
              <w:rPr>
                <w:color w:val="auto"/>
              </w:rPr>
            </w:pPr>
          </w:p>
        </w:tc>
        <w:tc>
          <w:tcPr>
            <w:tcW w:w="1050" w:type="dxa"/>
            <w:vAlign w:val="center"/>
          </w:tcPr>
          <w:p w14:paraId="582DD35D">
            <w:pPr>
              <w:jc w:val="center"/>
              <w:rPr>
                <w:color w:val="auto"/>
              </w:rPr>
            </w:pPr>
          </w:p>
        </w:tc>
        <w:tc>
          <w:tcPr>
            <w:tcW w:w="1260" w:type="dxa"/>
            <w:vAlign w:val="center"/>
          </w:tcPr>
          <w:p w14:paraId="711279EA">
            <w:pPr>
              <w:jc w:val="center"/>
              <w:rPr>
                <w:color w:val="auto"/>
              </w:rPr>
            </w:pPr>
          </w:p>
        </w:tc>
        <w:tc>
          <w:tcPr>
            <w:tcW w:w="1710" w:type="dxa"/>
            <w:vAlign w:val="center"/>
          </w:tcPr>
          <w:p w14:paraId="6CDBEBC2">
            <w:pPr>
              <w:ind w:firstLine="0" w:firstLineChars="0"/>
              <w:jc w:val="center"/>
              <w:rPr>
                <w:color w:val="auto"/>
              </w:rPr>
            </w:pPr>
            <w:r>
              <w:rPr>
                <w:rFonts w:hint="eastAsia"/>
                <w:color w:val="auto"/>
              </w:rPr>
              <w:t>是否免税</w:t>
            </w:r>
          </w:p>
        </w:tc>
      </w:tr>
      <w:tr w14:paraId="5F5B2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885" w:type="dxa"/>
            <w:vAlign w:val="center"/>
          </w:tcPr>
          <w:p w14:paraId="606307AF">
            <w:pPr>
              <w:ind w:firstLine="0" w:firstLineChars="0"/>
              <w:jc w:val="center"/>
              <w:rPr>
                <w:color w:val="auto"/>
              </w:rPr>
            </w:pPr>
            <w:r>
              <w:rPr>
                <w:rFonts w:hint="eastAsia"/>
                <w:color w:val="auto"/>
              </w:rPr>
              <w:t>2</w:t>
            </w:r>
          </w:p>
        </w:tc>
        <w:tc>
          <w:tcPr>
            <w:tcW w:w="2127" w:type="dxa"/>
            <w:gridSpan w:val="2"/>
            <w:vAlign w:val="center"/>
          </w:tcPr>
          <w:p w14:paraId="522AA6BB">
            <w:pPr>
              <w:jc w:val="center"/>
              <w:rPr>
                <w:color w:val="auto"/>
              </w:rPr>
            </w:pPr>
          </w:p>
        </w:tc>
        <w:tc>
          <w:tcPr>
            <w:tcW w:w="1260" w:type="dxa"/>
            <w:vAlign w:val="center"/>
          </w:tcPr>
          <w:p w14:paraId="494B2BD3">
            <w:pPr>
              <w:jc w:val="center"/>
              <w:rPr>
                <w:color w:val="auto"/>
              </w:rPr>
            </w:pPr>
          </w:p>
        </w:tc>
        <w:tc>
          <w:tcPr>
            <w:tcW w:w="1620" w:type="dxa"/>
            <w:vAlign w:val="center"/>
          </w:tcPr>
          <w:p w14:paraId="63DD19F6">
            <w:pPr>
              <w:jc w:val="center"/>
              <w:rPr>
                <w:color w:val="auto"/>
              </w:rPr>
            </w:pPr>
          </w:p>
        </w:tc>
        <w:tc>
          <w:tcPr>
            <w:tcW w:w="2160" w:type="dxa"/>
            <w:vAlign w:val="center"/>
          </w:tcPr>
          <w:p w14:paraId="3439EA2E">
            <w:pPr>
              <w:jc w:val="center"/>
              <w:rPr>
                <w:color w:val="auto"/>
              </w:rPr>
            </w:pPr>
          </w:p>
        </w:tc>
        <w:tc>
          <w:tcPr>
            <w:tcW w:w="1182" w:type="dxa"/>
            <w:vAlign w:val="center"/>
          </w:tcPr>
          <w:p w14:paraId="2CD9AB32">
            <w:pPr>
              <w:jc w:val="center"/>
              <w:rPr>
                <w:color w:val="auto"/>
              </w:rPr>
            </w:pPr>
          </w:p>
        </w:tc>
        <w:tc>
          <w:tcPr>
            <w:tcW w:w="970" w:type="dxa"/>
            <w:vAlign w:val="center"/>
          </w:tcPr>
          <w:p w14:paraId="358977C1">
            <w:pPr>
              <w:jc w:val="center"/>
              <w:rPr>
                <w:color w:val="auto"/>
              </w:rPr>
            </w:pPr>
          </w:p>
        </w:tc>
        <w:tc>
          <w:tcPr>
            <w:tcW w:w="1050" w:type="dxa"/>
            <w:vAlign w:val="center"/>
          </w:tcPr>
          <w:p w14:paraId="75C3F1BD">
            <w:pPr>
              <w:jc w:val="center"/>
              <w:rPr>
                <w:color w:val="auto"/>
              </w:rPr>
            </w:pPr>
          </w:p>
        </w:tc>
        <w:tc>
          <w:tcPr>
            <w:tcW w:w="1260" w:type="dxa"/>
            <w:vAlign w:val="center"/>
          </w:tcPr>
          <w:p w14:paraId="791DDC90">
            <w:pPr>
              <w:jc w:val="center"/>
              <w:rPr>
                <w:color w:val="auto"/>
              </w:rPr>
            </w:pPr>
          </w:p>
        </w:tc>
        <w:tc>
          <w:tcPr>
            <w:tcW w:w="1710" w:type="dxa"/>
            <w:vAlign w:val="center"/>
          </w:tcPr>
          <w:p w14:paraId="09A378BA">
            <w:pPr>
              <w:jc w:val="center"/>
              <w:rPr>
                <w:color w:val="auto"/>
              </w:rPr>
            </w:pPr>
          </w:p>
        </w:tc>
      </w:tr>
      <w:tr w14:paraId="34377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885" w:type="dxa"/>
            <w:vAlign w:val="center"/>
          </w:tcPr>
          <w:p w14:paraId="46F9C3C2">
            <w:pPr>
              <w:ind w:firstLine="0" w:firstLineChars="0"/>
              <w:jc w:val="center"/>
              <w:rPr>
                <w:color w:val="auto"/>
              </w:rPr>
            </w:pPr>
            <w:r>
              <w:rPr>
                <w:rFonts w:hint="eastAsia"/>
                <w:color w:val="auto"/>
              </w:rPr>
              <w:t>3</w:t>
            </w:r>
          </w:p>
        </w:tc>
        <w:tc>
          <w:tcPr>
            <w:tcW w:w="2127" w:type="dxa"/>
            <w:gridSpan w:val="2"/>
            <w:vAlign w:val="center"/>
          </w:tcPr>
          <w:p w14:paraId="76D7B2FA">
            <w:pPr>
              <w:jc w:val="center"/>
              <w:rPr>
                <w:color w:val="auto"/>
              </w:rPr>
            </w:pPr>
          </w:p>
        </w:tc>
        <w:tc>
          <w:tcPr>
            <w:tcW w:w="1260" w:type="dxa"/>
            <w:vAlign w:val="center"/>
          </w:tcPr>
          <w:p w14:paraId="4BFA284A">
            <w:pPr>
              <w:jc w:val="center"/>
              <w:rPr>
                <w:color w:val="auto"/>
              </w:rPr>
            </w:pPr>
          </w:p>
        </w:tc>
        <w:tc>
          <w:tcPr>
            <w:tcW w:w="1620" w:type="dxa"/>
            <w:vAlign w:val="center"/>
          </w:tcPr>
          <w:p w14:paraId="56E8884E">
            <w:pPr>
              <w:jc w:val="center"/>
              <w:rPr>
                <w:color w:val="auto"/>
              </w:rPr>
            </w:pPr>
          </w:p>
        </w:tc>
        <w:tc>
          <w:tcPr>
            <w:tcW w:w="2160" w:type="dxa"/>
            <w:vAlign w:val="center"/>
          </w:tcPr>
          <w:p w14:paraId="31C207FB">
            <w:pPr>
              <w:jc w:val="center"/>
              <w:rPr>
                <w:color w:val="auto"/>
              </w:rPr>
            </w:pPr>
          </w:p>
        </w:tc>
        <w:tc>
          <w:tcPr>
            <w:tcW w:w="1182" w:type="dxa"/>
            <w:vAlign w:val="center"/>
          </w:tcPr>
          <w:p w14:paraId="7BB8F462">
            <w:pPr>
              <w:jc w:val="center"/>
              <w:rPr>
                <w:color w:val="auto"/>
              </w:rPr>
            </w:pPr>
          </w:p>
        </w:tc>
        <w:tc>
          <w:tcPr>
            <w:tcW w:w="970" w:type="dxa"/>
            <w:vAlign w:val="center"/>
          </w:tcPr>
          <w:p w14:paraId="01844965">
            <w:pPr>
              <w:jc w:val="center"/>
              <w:rPr>
                <w:color w:val="auto"/>
              </w:rPr>
            </w:pPr>
          </w:p>
        </w:tc>
        <w:tc>
          <w:tcPr>
            <w:tcW w:w="1050" w:type="dxa"/>
            <w:vAlign w:val="center"/>
          </w:tcPr>
          <w:p w14:paraId="4B00497C">
            <w:pPr>
              <w:jc w:val="center"/>
              <w:rPr>
                <w:color w:val="auto"/>
              </w:rPr>
            </w:pPr>
          </w:p>
        </w:tc>
        <w:tc>
          <w:tcPr>
            <w:tcW w:w="1260" w:type="dxa"/>
            <w:vAlign w:val="center"/>
          </w:tcPr>
          <w:p w14:paraId="650FF0D0">
            <w:pPr>
              <w:jc w:val="center"/>
              <w:rPr>
                <w:color w:val="auto"/>
              </w:rPr>
            </w:pPr>
          </w:p>
        </w:tc>
        <w:tc>
          <w:tcPr>
            <w:tcW w:w="1710" w:type="dxa"/>
            <w:vAlign w:val="center"/>
          </w:tcPr>
          <w:p w14:paraId="2F964DE8">
            <w:pPr>
              <w:jc w:val="center"/>
              <w:rPr>
                <w:color w:val="auto"/>
              </w:rPr>
            </w:pPr>
          </w:p>
        </w:tc>
      </w:tr>
      <w:tr w14:paraId="7E0FC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885" w:type="dxa"/>
            <w:vAlign w:val="center"/>
          </w:tcPr>
          <w:p w14:paraId="4EFBC7FE">
            <w:pPr>
              <w:ind w:firstLine="0" w:firstLineChars="0"/>
              <w:jc w:val="center"/>
              <w:rPr>
                <w:color w:val="auto"/>
              </w:rPr>
            </w:pPr>
            <w:r>
              <w:rPr>
                <w:rFonts w:hint="eastAsia"/>
                <w:color w:val="auto"/>
              </w:rPr>
              <w:t>4</w:t>
            </w:r>
          </w:p>
        </w:tc>
        <w:tc>
          <w:tcPr>
            <w:tcW w:w="2127" w:type="dxa"/>
            <w:gridSpan w:val="2"/>
            <w:vAlign w:val="center"/>
          </w:tcPr>
          <w:p w14:paraId="2C3430EB">
            <w:pPr>
              <w:jc w:val="center"/>
              <w:rPr>
                <w:color w:val="auto"/>
              </w:rPr>
            </w:pPr>
          </w:p>
        </w:tc>
        <w:tc>
          <w:tcPr>
            <w:tcW w:w="1260" w:type="dxa"/>
            <w:vAlign w:val="center"/>
          </w:tcPr>
          <w:p w14:paraId="69457272">
            <w:pPr>
              <w:jc w:val="center"/>
              <w:rPr>
                <w:color w:val="auto"/>
              </w:rPr>
            </w:pPr>
          </w:p>
        </w:tc>
        <w:tc>
          <w:tcPr>
            <w:tcW w:w="1620" w:type="dxa"/>
            <w:vAlign w:val="center"/>
          </w:tcPr>
          <w:p w14:paraId="28447FC5">
            <w:pPr>
              <w:jc w:val="center"/>
              <w:rPr>
                <w:color w:val="auto"/>
              </w:rPr>
            </w:pPr>
          </w:p>
        </w:tc>
        <w:tc>
          <w:tcPr>
            <w:tcW w:w="2160" w:type="dxa"/>
            <w:vAlign w:val="center"/>
          </w:tcPr>
          <w:p w14:paraId="66E661CF">
            <w:pPr>
              <w:jc w:val="center"/>
              <w:rPr>
                <w:color w:val="auto"/>
              </w:rPr>
            </w:pPr>
          </w:p>
        </w:tc>
        <w:tc>
          <w:tcPr>
            <w:tcW w:w="1182" w:type="dxa"/>
            <w:vAlign w:val="center"/>
          </w:tcPr>
          <w:p w14:paraId="2F4339B6">
            <w:pPr>
              <w:jc w:val="center"/>
              <w:rPr>
                <w:color w:val="auto"/>
              </w:rPr>
            </w:pPr>
          </w:p>
        </w:tc>
        <w:tc>
          <w:tcPr>
            <w:tcW w:w="970" w:type="dxa"/>
            <w:vAlign w:val="center"/>
          </w:tcPr>
          <w:p w14:paraId="4109CA18">
            <w:pPr>
              <w:jc w:val="center"/>
              <w:rPr>
                <w:color w:val="auto"/>
              </w:rPr>
            </w:pPr>
          </w:p>
        </w:tc>
        <w:tc>
          <w:tcPr>
            <w:tcW w:w="1050" w:type="dxa"/>
            <w:vAlign w:val="center"/>
          </w:tcPr>
          <w:p w14:paraId="2F9ABF6E">
            <w:pPr>
              <w:jc w:val="center"/>
              <w:rPr>
                <w:color w:val="auto"/>
              </w:rPr>
            </w:pPr>
          </w:p>
        </w:tc>
        <w:tc>
          <w:tcPr>
            <w:tcW w:w="1260" w:type="dxa"/>
            <w:vAlign w:val="center"/>
          </w:tcPr>
          <w:p w14:paraId="5EAEA817">
            <w:pPr>
              <w:jc w:val="center"/>
              <w:rPr>
                <w:color w:val="auto"/>
              </w:rPr>
            </w:pPr>
          </w:p>
        </w:tc>
        <w:tc>
          <w:tcPr>
            <w:tcW w:w="1710" w:type="dxa"/>
            <w:vAlign w:val="center"/>
          </w:tcPr>
          <w:p w14:paraId="6D735EFB">
            <w:pPr>
              <w:jc w:val="center"/>
              <w:rPr>
                <w:color w:val="auto"/>
              </w:rPr>
            </w:pPr>
          </w:p>
        </w:tc>
      </w:tr>
      <w:tr w14:paraId="27AC1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885" w:type="dxa"/>
            <w:vAlign w:val="center"/>
          </w:tcPr>
          <w:p w14:paraId="3D74228A">
            <w:pPr>
              <w:ind w:firstLine="0" w:firstLineChars="0"/>
              <w:jc w:val="center"/>
              <w:rPr>
                <w:color w:val="auto"/>
              </w:rPr>
            </w:pPr>
            <w:r>
              <w:rPr>
                <w:rFonts w:hint="eastAsia"/>
                <w:color w:val="auto"/>
              </w:rPr>
              <w:t>...</w:t>
            </w:r>
          </w:p>
        </w:tc>
        <w:tc>
          <w:tcPr>
            <w:tcW w:w="2127" w:type="dxa"/>
            <w:gridSpan w:val="2"/>
            <w:vAlign w:val="center"/>
          </w:tcPr>
          <w:p w14:paraId="2B5DCD98">
            <w:pPr>
              <w:jc w:val="center"/>
              <w:rPr>
                <w:color w:val="auto"/>
              </w:rPr>
            </w:pPr>
          </w:p>
        </w:tc>
        <w:tc>
          <w:tcPr>
            <w:tcW w:w="1260" w:type="dxa"/>
            <w:vAlign w:val="center"/>
          </w:tcPr>
          <w:p w14:paraId="48A5024E">
            <w:pPr>
              <w:jc w:val="center"/>
              <w:rPr>
                <w:color w:val="auto"/>
              </w:rPr>
            </w:pPr>
          </w:p>
        </w:tc>
        <w:tc>
          <w:tcPr>
            <w:tcW w:w="1620" w:type="dxa"/>
            <w:vAlign w:val="center"/>
          </w:tcPr>
          <w:p w14:paraId="7D564C1D">
            <w:pPr>
              <w:jc w:val="center"/>
              <w:rPr>
                <w:color w:val="auto"/>
              </w:rPr>
            </w:pPr>
          </w:p>
        </w:tc>
        <w:tc>
          <w:tcPr>
            <w:tcW w:w="2160" w:type="dxa"/>
            <w:vAlign w:val="center"/>
          </w:tcPr>
          <w:p w14:paraId="72B2F64F">
            <w:pPr>
              <w:jc w:val="center"/>
              <w:rPr>
                <w:color w:val="auto"/>
              </w:rPr>
            </w:pPr>
          </w:p>
        </w:tc>
        <w:tc>
          <w:tcPr>
            <w:tcW w:w="1182" w:type="dxa"/>
            <w:vAlign w:val="center"/>
          </w:tcPr>
          <w:p w14:paraId="56A0259D">
            <w:pPr>
              <w:jc w:val="center"/>
              <w:rPr>
                <w:color w:val="auto"/>
              </w:rPr>
            </w:pPr>
          </w:p>
        </w:tc>
        <w:tc>
          <w:tcPr>
            <w:tcW w:w="970" w:type="dxa"/>
            <w:vAlign w:val="center"/>
          </w:tcPr>
          <w:p w14:paraId="58CFEE0C">
            <w:pPr>
              <w:jc w:val="center"/>
              <w:rPr>
                <w:color w:val="auto"/>
              </w:rPr>
            </w:pPr>
          </w:p>
        </w:tc>
        <w:tc>
          <w:tcPr>
            <w:tcW w:w="1050" w:type="dxa"/>
            <w:vAlign w:val="center"/>
          </w:tcPr>
          <w:p w14:paraId="3BEC1F6C">
            <w:pPr>
              <w:jc w:val="center"/>
              <w:rPr>
                <w:color w:val="auto"/>
              </w:rPr>
            </w:pPr>
          </w:p>
        </w:tc>
        <w:tc>
          <w:tcPr>
            <w:tcW w:w="1260" w:type="dxa"/>
            <w:vAlign w:val="center"/>
          </w:tcPr>
          <w:p w14:paraId="6C7E3CA3">
            <w:pPr>
              <w:jc w:val="center"/>
              <w:rPr>
                <w:color w:val="auto"/>
              </w:rPr>
            </w:pPr>
          </w:p>
        </w:tc>
        <w:tc>
          <w:tcPr>
            <w:tcW w:w="1710" w:type="dxa"/>
            <w:vAlign w:val="center"/>
          </w:tcPr>
          <w:p w14:paraId="41E92137">
            <w:pPr>
              <w:jc w:val="center"/>
              <w:rPr>
                <w:color w:val="auto"/>
              </w:rPr>
            </w:pPr>
          </w:p>
        </w:tc>
      </w:tr>
      <w:tr w14:paraId="53C67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1803" w:type="dxa"/>
            <w:gridSpan w:val="2"/>
            <w:vAlign w:val="center"/>
          </w:tcPr>
          <w:p w14:paraId="10540634">
            <w:pPr>
              <w:rPr>
                <w:color w:val="auto"/>
              </w:rPr>
            </w:pPr>
          </w:p>
        </w:tc>
        <w:tc>
          <w:tcPr>
            <w:tcW w:w="12421" w:type="dxa"/>
            <w:gridSpan w:val="9"/>
            <w:vAlign w:val="center"/>
          </w:tcPr>
          <w:p w14:paraId="027EC133">
            <w:pPr>
              <w:rPr>
                <w:color w:val="auto"/>
              </w:rPr>
            </w:pPr>
            <w:r>
              <w:rPr>
                <w:rFonts w:hint="eastAsia"/>
                <w:color w:val="auto"/>
              </w:rPr>
              <w:t>合计：  小写：￥         元     大写：人民币</w:t>
            </w:r>
            <w:r>
              <w:rPr>
                <w:rFonts w:hint="eastAsia"/>
                <w:b/>
                <w:bCs/>
                <w:color w:val="auto"/>
                <w:kern w:val="0"/>
              </w:rPr>
              <w:t xml:space="preserve">         </w:t>
            </w:r>
            <w:r>
              <w:rPr>
                <w:rFonts w:hint="eastAsia"/>
                <w:color w:val="auto"/>
              </w:rPr>
              <w:t>元整</w:t>
            </w:r>
          </w:p>
        </w:tc>
      </w:tr>
    </w:tbl>
    <w:p w14:paraId="0124464A">
      <w:pPr>
        <w:rPr>
          <w:color w:val="auto"/>
        </w:rPr>
      </w:pPr>
      <w:r>
        <w:rPr>
          <w:rFonts w:hint="eastAsia"/>
          <w:color w:val="auto"/>
        </w:rPr>
        <w:t xml:space="preserve">                            </w:t>
      </w:r>
      <w:r>
        <w:rPr>
          <w:rFonts w:hint="eastAsia"/>
          <w:b/>
          <w:bCs/>
          <w:color w:val="auto"/>
        </w:rPr>
        <w:t xml:space="preserve">               </w:t>
      </w:r>
      <w:r>
        <w:rPr>
          <w:rFonts w:hint="eastAsia"/>
          <w:color w:val="auto"/>
        </w:rPr>
        <w:t xml:space="preserve">                       </w:t>
      </w:r>
    </w:p>
    <w:p w14:paraId="67A938CE">
      <w:pPr>
        <w:rPr>
          <w:color w:val="auto"/>
        </w:rPr>
      </w:pPr>
    </w:p>
    <w:p w14:paraId="61F53251">
      <w:pPr>
        <w:rPr>
          <w:color w:val="auto"/>
        </w:rPr>
        <w:sectPr>
          <w:headerReference r:id="rId14" w:type="default"/>
          <w:footerReference r:id="rId15" w:type="default"/>
          <w:pgSz w:w="16838" w:h="11906" w:orient="landscape"/>
          <w:pgMar w:top="1440" w:right="1080" w:bottom="1440" w:left="1080" w:header="851" w:footer="992" w:gutter="0"/>
          <w:cols w:space="720" w:num="1"/>
          <w:docGrid w:type="linesAndChars" w:linePitch="312" w:charSpace="0"/>
        </w:sectPr>
      </w:pPr>
    </w:p>
    <w:p w14:paraId="16983FEB">
      <w:pPr>
        <w:rPr>
          <w:color w:val="auto"/>
        </w:rPr>
      </w:pPr>
      <w:r>
        <w:rPr>
          <w:rFonts w:hint="eastAsia"/>
          <w:color w:val="auto"/>
        </w:rPr>
        <w:t>附件2：</w:t>
      </w:r>
    </w:p>
    <w:p w14:paraId="69D8E2D3">
      <w:pPr>
        <w:rPr>
          <w:color w:val="auto"/>
          <w:kern w:val="0"/>
        </w:rPr>
      </w:pPr>
      <w:r>
        <w:rPr>
          <w:rFonts w:hint="eastAsia"/>
          <w:color w:val="auto"/>
          <w:kern w:val="0"/>
        </w:rPr>
        <w:t>设备</w:t>
      </w:r>
      <w:r>
        <w:rPr>
          <w:rFonts w:hint="eastAsia"/>
          <w:color w:val="auto"/>
        </w:rPr>
        <w:t>技术规格参数、功能描述及</w:t>
      </w:r>
      <w:r>
        <w:rPr>
          <w:rFonts w:hint="eastAsia"/>
          <w:color w:val="auto"/>
          <w:kern w:val="0"/>
        </w:rPr>
        <w:t>配置清单表</w:t>
      </w:r>
    </w:p>
    <w:tbl>
      <w:tblPr>
        <w:tblStyle w:val="3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4"/>
        <w:gridCol w:w="1346"/>
        <w:gridCol w:w="8374"/>
        <w:gridCol w:w="1260"/>
        <w:gridCol w:w="1980"/>
      </w:tblGrid>
      <w:tr w14:paraId="25AE9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14" w:type="dxa"/>
            <w:vAlign w:val="center"/>
          </w:tcPr>
          <w:p w14:paraId="4082AB4B">
            <w:pPr>
              <w:ind w:firstLine="0" w:firstLineChars="0"/>
              <w:jc w:val="center"/>
              <w:rPr>
                <w:color w:val="auto"/>
              </w:rPr>
            </w:pPr>
            <w:r>
              <w:rPr>
                <w:rFonts w:hint="eastAsia"/>
                <w:color w:val="auto"/>
              </w:rPr>
              <w:t>序号</w:t>
            </w:r>
          </w:p>
        </w:tc>
        <w:tc>
          <w:tcPr>
            <w:tcW w:w="1346" w:type="dxa"/>
          </w:tcPr>
          <w:p w14:paraId="6FF232A3">
            <w:pPr>
              <w:ind w:firstLine="0" w:firstLineChars="0"/>
              <w:jc w:val="center"/>
              <w:rPr>
                <w:color w:val="auto"/>
              </w:rPr>
            </w:pPr>
            <w:r>
              <w:rPr>
                <w:rFonts w:hint="eastAsia"/>
                <w:color w:val="auto"/>
              </w:rPr>
              <w:t>设备名称</w:t>
            </w:r>
          </w:p>
        </w:tc>
        <w:tc>
          <w:tcPr>
            <w:tcW w:w="8374" w:type="dxa"/>
          </w:tcPr>
          <w:p w14:paraId="398D819D">
            <w:pPr>
              <w:ind w:firstLine="0" w:firstLineChars="0"/>
              <w:jc w:val="center"/>
              <w:rPr>
                <w:color w:val="auto"/>
                <w:kern w:val="0"/>
              </w:rPr>
            </w:pPr>
            <w:r>
              <w:rPr>
                <w:rFonts w:hint="eastAsia"/>
                <w:color w:val="auto"/>
                <w:kern w:val="0"/>
              </w:rPr>
              <w:t>具体</w:t>
            </w:r>
            <w:r>
              <w:rPr>
                <w:rFonts w:hint="eastAsia"/>
                <w:color w:val="auto"/>
              </w:rPr>
              <w:t>技术规格参数、功能描述及</w:t>
            </w:r>
            <w:r>
              <w:rPr>
                <w:rFonts w:hint="eastAsia"/>
                <w:color w:val="auto"/>
                <w:kern w:val="0"/>
              </w:rPr>
              <w:t>配置清单描述</w:t>
            </w:r>
          </w:p>
        </w:tc>
        <w:tc>
          <w:tcPr>
            <w:tcW w:w="1260" w:type="dxa"/>
          </w:tcPr>
          <w:p w14:paraId="04B23B2E">
            <w:pPr>
              <w:ind w:firstLine="0" w:firstLineChars="0"/>
              <w:jc w:val="center"/>
              <w:rPr>
                <w:color w:val="auto"/>
              </w:rPr>
            </w:pPr>
            <w:r>
              <w:rPr>
                <w:rFonts w:hint="eastAsia"/>
                <w:color w:val="auto"/>
              </w:rPr>
              <w:t>单位</w:t>
            </w:r>
          </w:p>
        </w:tc>
        <w:tc>
          <w:tcPr>
            <w:tcW w:w="1980" w:type="dxa"/>
          </w:tcPr>
          <w:p w14:paraId="449510B4">
            <w:pPr>
              <w:ind w:firstLine="0" w:firstLineChars="0"/>
              <w:jc w:val="center"/>
              <w:rPr>
                <w:color w:val="auto"/>
              </w:rPr>
            </w:pPr>
            <w:r>
              <w:rPr>
                <w:rFonts w:hint="eastAsia"/>
                <w:color w:val="auto"/>
              </w:rPr>
              <w:t>数量</w:t>
            </w:r>
          </w:p>
        </w:tc>
      </w:tr>
      <w:tr w14:paraId="7C285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14" w:type="dxa"/>
            <w:vAlign w:val="center"/>
          </w:tcPr>
          <w:p w14:paraId="36E429AD">
            <w:pPr>
              <w:rPr>
                <w:color w:val="auto"/>
              </w:rPr>
            </w:pPr>
            <w:r>
              <w:rPr>
                <w:rFonts w:hint="eastAsia"/>
                <w:color w:val="auto"/>
              </w:rPr>
              <w:t>1</w:t>
            </w:r>
          </w:p>
        </w:tc>
        <w:tc>
          <w:tcPr>
            <w:tcW w:w="1346" w:type="dxa"/>
          </w:tcPr>
          <w:p w14:paraId="6A1FA949">
            <w:pPr>
              <w:rPr>
                <w:color w:val="auto"/>
              </w:rPr>
            </w:pPr>
          </w:p>
        </w:tc>
        <w:tc>
          <w:tcPr>
            <w:tcW w:w="8374" w:type="dxa"/>
          </w:tcPr>
          <w:p w14:paraId="5BAE54BF">
            <w:pPr>
              <w:rPr>
                <w:color w:val="auto"/>
              </w:rPr>
            </w:pPr>
          </w:p>
        </w:tc>
        <w:tc>
          <w:tcPr>
            <w:tcW w:w="1260" w:type="dxa"/>
          </w:tcPr>
          <w:p w14:paraId="49F60D8F">
            <w:pPr>
              <w:rPr>
                <w:color w:val="auto"/>
              </w:rPr>
            </w:pPr>
          </w:p>
        </w:tc>
        <w:tc>
          <w:tcPr>
            <w:tcW w:w="1980" w:type="dxa"/>
          </w:tcPr>
          <w:p w14:paraId="7F730F8C">
            <w:pPr>
              <w:rPr>
                <w:color w:val="auto"/>
              </w:rPr>
            </w:pPr>
          </w:p>
        </w:tc>
      </w:tr>
      <w:tr w14:paraId="1CB4C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14" w:type="dxa"/>
            <w:vAlign w:val="center"/>
          </w:tcPr>
          <w:p w14:paraId="339ACA03">
            <w:pPr>
              <w:rPr>
                <w:color w:val="auto"/>
              </w:rPr>
            </w:pPr>
            <w:r>
              <w:rPr>
                <w:rFonts w:hint="eastAsia"/>
                <w:color w:val="auto"/>
              </w:rPr>
              <w:t>2</w:t>
            </w:r>
          </w:p>
        </w:tc>
        <w:tc>
          <w:tcPr>
            <w:tcW w:w="1346" w:type="dxa"/>
          </w:tcPr>
          <w:p w14:paraId="5444A76F">
            <w:pPr>
              <w:rPr>
                <w:color w:val="auto"/>
              </w:rPr>
            </w:pPr>
          </w:p>
        </w:tc>
        <w:tc>
          <w:tcPr>
            <w:tcW w:w="8374" w:type="dxa"/>
          </w:tcPr>
          <w:p w14:paraId="68D83F10">
            <w:pPr>
              <w:rPr>
                <w:color w:val="auto"/>
              </w:rPr>
            </w:pPr>
          </w:p>
        </w:tc>
        <w:tc>
          <w:tcPr>
            <w:tcW w:w="1260" w:type="dxa"/>
          </w:tcPr>
          <w:p w14:paraId="4AF83EAD">
            <w:pPr>
              <w:rPr>
                <w:color w:val="auto"/>
              </w:rPr>
            </w:pPr>
          </w:p>
        </w:tc>
        <w:tc>
          <w:tcPr>
            <w:tcW w:w="1980" w:type="dxa"/>
          </w:tcPr>
          <w:p w14:paraId="308941F9">
            <w:pPr>
              <w:rPr>
                <w:color w:val="auto"/>
              </w:rPr>
            </w:pPr>
          </w:p>
        </w:tc>
      </w:tr>
      <w:tr w14:paraId="4E1C2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14" w:type="dxa"/>
            <w:vAlign w:val="center"/>
          </w:tcPr>
          <w:p w14:paraId="5D3A8CB2">
            <w:pPr>
              <w:rPr>
                <w:color w:val="auto"/>
              </w:rPr>
            </w:pPr>
            <w:r>
              <w:rPr>
                <w:rFonts w:hint="eastAsia"/>
                <w:color w:val="auto"/>
              </w:rPr>
              <w:t>3</w:t>
            </w:r>
          </w:p>
        </w:tc>
        <w:tc>
          <w:tcPr>
            <w:tcW w:w="1346" w:type="dxa"/>
          </w:tcPr>
          <w:p w14:paraId="2A346E0B">
            <w:pPr>
              <w:rPr>
                <w:color w:val="auto"/>
              </w:rPr>
            </w:pPr>
          </w:p>
        </w:tc>
        <w:tc>
          <w:tcPr>
            <w:tcW w:w="8374" w:type="dxa"/>
          </w:tcPr>
          <w:p w14:paraId="386E6C9F">
            <w:pPr>
              <w:rPr>
                <w:color w:val="auto"/>
              </w:rPr>
            </w:pPr>
          </w:p>
        </w:tc>
        <w:tc>
          <w:tcPr>
            <w:tcW w:w="1260" w:type="dxa"/>
          </w:tcPr>
          <w:p w14:paraId="7F49D451">
            <w:pPr>
              <w:rPr>
                <w:color w:val="auto"/>
              </w:rPr>
            </w:pPr>
          </w:p>
        </w:tc>
        <w:tc>
          <w:tcPr>
            <w:tcW w:w="1980" w:type="dxa"/>
          </w:tcPr>
          <w:p w14:paraId="4E632F58">
            <w:pPr>
              <w:rPr>
                <w:color w:val="auto"/>
              </w:rPr>
            </w:pPr>
          </w:p>
        </w:tc>
      </w:tr>
      <w:tr w14:paraId="24453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14" w:type="dxa"/>
            <w:vAlign w:val="center"/>
          </w:tcPr>
          <w:p w14:paraId="2A69E1C4">
            <w:pPr>
              <w:rPr>
                <w:color w:val="auto"/>
              </w:rPr>
            </w:pPr>
            <w:r>
              <w:rPr>
                <w:rFonts w:hint="eastAsia"/>
                <w:color w:val="auto"/>
              </w:rPr>
              <w:t>4</w:t>
            </w:r>
          </w:p>
        </w:tc>
        <w:tc>
          <w:tcPr>
            <w:tcW w:w="1346" w:type="dxa"/>
          </w:tcPr>
          <w:p w14:paraId="3B06E269">
            <w:pPr>
              <w:rPr>
                <w:color w:val="auto"/>
              </w:rPr>
            </w:pPr>
          </w:p>
        </w:tc>
        <w:tc>
          <w:tcPr>
            <w:tcW w:w="8374" w:type="dxa"/>
          </w:tcPr>
          <w:p w14:paraId="1228B78E">
            <w:pPr>
              <w:rPr>
                <w:color w:val="auto"/>
              </w:rPr>
            </w:pPr>
          </w:p>
        </w:tc>
        <w:tc>
          <w:tcPr>
            <w:tcW w:w="1260" w:type="dxa"/>
          </w:tcPr>
          <w:p w14:paraId="3F167B28">
            <w:pPr>
              <w:rPr>
                <w:color w:val="auto"/>
              </w:rPr>
            </w:pPr>
          </w:p>
        </w:tc>
        <w:tc>
          <w:tcPr>
            <w:tcW w:w="1980" w:type="dxa"/>
          </w:tcPr>
          <w:p w14:paraId="5C7F8CB0">
            <w:pPr>
              <w:rPr>
                <w:color w:val="auto"/>
              </w:rPr>
            </w:pPr>
          </w:p>
        </w:tc>
      </w:tr>
      <w:tr w14:paraId="03058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14" w:type="dxa"/>
            <w:vAlign w:val="center"/>
          </w:tcPr>
          <w:p w14:paraId="0D4F57B4">
            <w:pPr>
              <w:rPr>
                <w:color w:val="auto"/>
              </w:rPr>
            </w:pPr>
            <w:r>
              <w:rPr>
                <w:rFonts w:hint="eastAsia"/>
                <w:color w:val="auto"/>
              </w:rPr>
              <w:t>5</w:t>
            </w:r>
          </w:p>
        </w:tc>
        <w:tc>
          <w:tcPr>
            <w:tcW w:w="1346" w:type="dxa"/>
          </w:tcPr>
          <w:p w14:paraId="37E456DA">
            <w:pPr>
              <w:rPr>
                <w:color w:val="auto"/>
              </w:rPr>
            </w:pPr>
          </w:p>
        </w:tc>
        <w:tc>
          <w:tcPr>
            <w:tcW w:w="8374" w:type="dxa"/>
          </w:tcPr>
          <w:p w14:paraId="4DE4C774">
            <w:pPr>
              <w:rPr>
                <w:color w:val="auto"/>
              </w:rPr>
            </w:pPr>
          </w:p>
        </w:tc>
        <w:tc>
          <w:tcPr>
            <w:tcW w:w="1260" w:type="dxa"/>
          </w:tcPr>
          <w:p w14:paraId="5CC49A4F">
            <w:pPr>
              <w:rPr>
                <w:color w:val="auto"/>
              </w:rPr>
            </w:pPr>
          </w:p>
        </w:tc>
        <w:tc>
          <w:tcPr>
            <w:tcW w:w="1980" w:type="dxa"/>
          </w:tcPr>
          <w:p w14:paraId="7D60BB7C">
            <w:pPr>
              <w:rPr>
                <w:color w:val="auto"/>
              </w:rPr>
            </w:pPr>
          </w:p>
        </w:tc>
      </w:tr>
      <w:tr w14:paraId="6760A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14" w:type="dxa"/>
            <w:vAlign w:val="center"/>
          </w:tcPr>
          <w:p w14:paraId="0741CAE5">
            <w:pPr>
              <w:rPr>
                <w:color w:val="auto"/>
              </w:rPr>
            </w:pPr>
            <w:r>
              <w:rPr>
                <w:rFonts w:hint="eastAsia"/>
                <w:color w:val="auto"/>
              </w:rPr>
              <w:t>6</w:t>
            </w:r>
          </w:p>
        </w:tc>
        <w:tc>
          <w:tcPr>
            <w:tcW w:w="1346" w:type="dxa"/>
          </w:tcPr>
          <w:p w14:paraId="02116BB2">
            <w:pPr>
              <w:rPr>
                <w:color w:val="auto"/>
              </w:rPr>
            </w:pPr>
          </w:p>
        </w:tc>
        <w:tc>
          <w:tcPr>
            <w:tcW w:w="8374" w:type="dxa"/>
          </w:tcPr>
          <w:p w14:paraId="715D2E1E">
            <w:pPr>
              <w:rPr>
                <w:color w:val="auto"/>
              </w:rPr>
            </w:pPr>
          </w:p>
        </w:tc>
        <w:tc>
          <w:tcPr>
            <w:tcW w:w="1260" w:type="dxa"/>
          </w:tcPr>
          <w:p w14:paraId="1EBF3B21">
            <w:pPr>
              <w:rPr>
                <w:color w:val="auto"/>
              </w:rPr>
            </w:pPr>
          </w:p>
        </w:tc>
        <w:tc>
          <w:tcPr>
            <w:tcW w:w="1980" w:type="dxa"/>
          </w:tcPr>
          <w:p w14:paraId="294C18D0">
            <w:pPr>
              <w:rPr>
                <w:color w:val="auto"/>
              </w:rPr>
            </w:pPr>
          </w:p>
        </w:tc>
      </w:tr>
      <w:tr w14:paraId="6BA10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14" w:type="dxa"/>
            <w:vAlign w:val="center"/>
          </w:tcPr>
          <w:p w14:paraId="016976F8">
            <w:pPr>
              <w:rPr>
                <w:color w:val="auto"/>
              </w:rPr>
            </w:pPr>
            <w:r>
              <w:rPr>
                <w:rFonts w:hint="eastAsia"/>
                <w:color w:val="auto"/>
              </w:rPr>
              <w:t>7</w:t>
            </w:r>
          </w:p>
        </w:tc>
        <w:tc>
          <w:tcPr>
            <w:tcW w:w="1346" w:type="dxa"/>
          </w:tcPr>
          <w:p w14:paraId="4605C5AF">
            <w:pPr>
              <w:rPr>
                <w:color w:val="auto"/>
              </w:rPr>
            </w:pPr>
          </w:p>
        </w:tc>
        <w:tc>
          <w:tcPr>
            <w:tcW w:w="8374" w:type="dxa"/>
          </w:tcPr>
          <w:p w14:paraId="667DB040">
            <w:pPr>
              <w:rPr>
                <w:color w:val="auto"/>
              </w:rPr>
            </w:pPr>
          </w:p>
        </w:tc>
        <w:tc>
          <w:tcPr>
            <w:tcW w:w="1260" w:type="dxa"/>
          </w:tcPr>
          <w:p w14:paraId="7EDF7F35">
            <w:pPr>
              <w:rPr>
                <w:color w:val="auto"/>
              </w:rPr>
            </w:pPr>
          </w:p>
        </w:tc>
        <w:tc>
          <w:tcPr>
            <w:tcW w:w="1980" w:type="dxa"/>
          </w:tcPr>
          <w:p w14:paraId="5F200D09">
            <w:pPr>
              <w:rPr>
                <w:color w:val="auto"/>
              </w:rPr>
            </w:pPr>
          </w:p>
        </w:tc>
      </w:tr>
      <w:tr w14:paraId="0B93C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14" w:type="dxa"/>
            <w:vAlign w:val="center"/>
          </w:tcPr>
          <w:p w14:paraId="1C2F0A90">
            <w:pPr>
              <w:rPr>
                <w:color w:val="auto"/>
              </w:rPr>
            </w:pPr>
            <w:r>
              <w:rPr>
                <w:rFonts w:hint="eastAsia"/>
                <w:color w:val="auto"/>
              </w:rPr>
              <w:t>8</w:t>
            </w:r>
          </w:p>
        </w:tc>
        <w:tc>
          <w:tcPr>
            <w:tcW w:w="1346" w:type="dxa"/>
          </w:tcPr>
          <w:p w14:paraId="53B505F6">
            <w:pPr>
              <w:rPr>
                <w:color w:val="auto"/>
              </w:rPr>
            </w:pPr>
          </w:p>
        </w:tc>
        <w:tc>
          <w:tcPr>
            <w:tcW w:w="8374" w:type="dxa"/>
          </w:tcPr>
          <w:p w14:paraId="62B28B6D">
            <w:pPr>
              <w:rPr>
                <w:color w:val="auto"/>
              </w:rPr>
            </w:pPr>
          </w:p>
        </w:tc>
        <w:tc>
          <w:tcPr>
            <w:tcW w:w="1260" w:type="dxa"/>
          </w:tcPr>
          <w:p w14:paraId="769BC55D">
            <w:pPr>
              <w:rPr>
                <w:color w:val="auto"/>
              </w:rPr>
            </w:pPr>
          </w:p>
        </w:tc>
        <w:tc>
          <w:tcPr>
            <w:tcW w:w="1980" w:type="dxa"/>
          </w:tcPr>
          <w:p w14:paraId="50EF68C9">
            <w:pPr>
              <w:rPr>
                <w:color w:val="auto"/>
              </w:rPr>
            </w:pPr>
          </w:p>
        </w:tc>
      </w:tr>
      <w:tr w14:paraId="351CA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14" w:type="dxa"/>
            <w:vAlign w:val="center"/>
          </w:tcPr>
          <w:p w14:paraId="3F0701D6">
            <w:pPr>
              <w:rPr>
                <w:color w:val="auto"/>
              </w:rPr>
            </w:pPr>
            <w:r>
              <w:rPr>
                <w:rFonts w:hint="eastAsia"/>
                <w:color w:val="auto"/>
              </w:rPr>
              <w:t>...</w:t>
            </w:r>
          </w:p>
        </w:tc>
        <w:tc>
          <w:tcPr>
            <w:tcW w:w="1346" w:type="dxa"/>
          </w:tcPr>
          <w:p w14:paraId="0ADE370D">
            <w:pPr>
              <w:rPr>
                <w:color w:val="auto"/>
              </w:rPr>
            </w:pPr>
          </w:p>
        </w:tc>
        <w:tc>
          <w:tcPr>
            <w:tcW w:w="8374" w:type="dxa"/>
          </w:tcPr>
          <w:p w14:paraId="09F2AC11">
            <w:pPr>
              <w:rPr>
                <w:color w:val="auto"/>
              </w:rPr>
            </w:pPr>
          </w:p>
        </w:tc>
        <w:tc>
          <w:tcPr>
            <w:tcW w:w="1260" w:type="dxa"/>
          </w:tcPr>
          <w:p w14:paraId="3DBFC073">
            <w:pPr>
              <w:rPr>
                <w:color w:val="auto"/>
              </w:rPr>
            </w:pPr>
          </w:p>
        </w:tc>
        <w:tc>
          <w:tcPr>
            <w:tcW w:w="1980" w:type="dxa"/>
          </w:tcPr>
          <w:p w14:paraId="0046BF11">
            <w:pPr>
              <w:rPr>
                <w:color w:val="auto"/>
              </w:rPr>
            </w:pPr>
          </w:p>
        </w:tc>
      </w:tr>
    </w:tbl>
    <w:p w14:paraId="273F6AD8">
      <w:pPr>
        <w:rPr>
          <w:color w:val="auto"/>
        </w:rPr>
        <w:sectPr>
          <w:pgSz w:w="16838" w:h="11906" w:orient="landscape"/>
          <w:pgMar w:top="1440" w:right="1080" w:bottom="1440" w:left="1080" w:header="851" w:footer="992" w:gutter="0"/>
          <w:cols w:space="720" w:num="1"/>
          <w:docGrid w:type="linesAndChars" w:linePitch="312" w:charSpace="0"/>
        </w:sectPr>
      </w:pPr>
      <w:r>
        <w:rPr>
          <w:rFonts w:hint="eastAsia"/>
          <w:color w:val="auto"/>
        </w:rPr>
        <w:t xml:space="preserve">           </w:t>
      </w:r>
    </w:p>
    <w:p w14:paraId="46F2990A">
      <w:pPr>
        <w:rPr>
          <w:color w:val="auto"/>
        </w:rPr>
      </w:pPr>
      <w:r>
        <w:rPr>
          <w:rFonts w:hint="eastAsia"/>
          <w:color w:val="auto"/>
        </w:rPr>
        <w:t xml:space="preserve">附件3：                  </w:t>
      </w:r>
    </w:p>
    <w:p w14:paraId="63E5F3CA">
      <w:pPr>
        <w:rPr>
          <w:color w:val="auto"/>
        </w:rPr>
      </w:pPr>
      <w:r>
        <w:rPr>
          <w:rFonts w:hint="eastAsia"/>
          <w:color w:val="auto"/>
        </w:rPr>
        <w:t xml:space="preserve">                   售后服务计划及保障措施</w:t>
      </w:r>
    </w:p>
    <w:p w14:paraId="07C68073">
      <w:pPr>
        <w:rPr>
          <w:color w:val="auto"/>
        </w:rPr>
      </w:pPr>
    </w:p>
    <w:p w14:paraId="653A7D1D">
      <w:pPr>
        <w:rPr>
          <w:color w:val="auto"/>
        </w:rPr>
      </w:pPr>
    </w:p>
    <w:p w14:paraId="0FDEAA5D">
      <w:pPr>
        <w:rPr>
          <w:color w:val="auto"/>
        </w:rPr>
      </w:pPr>
    </w:p>
    <w:p w14:paraId="6C3A69AE">
      <w:pPr>
        <w:rPr>
          <w:color w:val="auto"/>
        </w:rPr>
      </w:pPr>
    </w:p>
    <w:p w14:paraId="17F52562">
      <w:pPr>
        <w:rPr>
          <w:color w:val="auto"/>
        </w:rPr>
      </w:pPr>
    </w:p>
    <w:p w14:paraId="32A7ED1B">
      <w:pPr>
        <w:rPr>
          <w:color w:val="auto"/>
        </w:rPr>
      </w:pPr>
    </w:p>
    <w:p w14:paraId="6F3FE9BD">
      <w:pPr>
        <w:rPr>
          <w:color w:val="auto"/>
        </w:rPr>
      </w:pPr>
    </w:p>
    <w:p w14:paraId="01F6FC10">
      <w:pPr>
        <w:rPr>
          <w:color w:val="auto"/>
        </w:rPr>
      </w:pPr>
    </w:p>
    <w:p w14:paraId="7B30A3C9">
      <w:pPr>
        <w:rPr>
          <w:color w:val="auto"/>
        </w:rPr>
      </w:pPr>
    </w:p>
    <w:p w14:paraId="14085C26">
      <w:pPr>
        <w:rPr>
          <w:color w:val="auto"/>
        </w:rPr>
      </w:pPr>
    </w:p>
    <w:p w14:paraId="1FC3C73E">
      <w:pPr>
        <w:rPr>
          <w:color w:val="auto"/>
        </w:rPr>
      </w:pPr>
    </w:p>
    <w:p w14:paraId="34BF5A29">
      <w:pPr>
        <w:rPr>
          <w:color w:val="auto"/>
        </w:rPr>
      </w:pPr>
    </w:p>
    <w:p w14:paraId="2BF2990F">
      <w:pPr>
        <w:rPr>
          <w:color w:val="auto"/>
        </w:rPr>
      </w:pPr>
    </w:p>
    <w:p w14:paraId="14E696D7">
      <w:pPr>
        <w:rPr>
          <w:color w:val="auto"/>
        </w:rPr>
      </w:pPr>
    </w:p>
    <w:p w14:paraId="6D356708">
      <w:pPr>
        <w:rPr>
          <w:color w:val="auto"/>
        </w:rPr>
      </w:pPr>
    </w:p>
    <w:p w14:paraId="34BE8F33">
      <w:pPr>
        <w:rPr>
          <w:color w:val="auto"/>
        </w:rPr>
      </w:pPr>
    </w:p>
    <w:p w14:paraId="0D886395">
      <w:pPr>
        <w:rPr>
          <w:color w:val="auto"/>
        </w:rPr>
      </w:pPr>
    </w:p>
    <w:p w14:paraId="44610C9E">
      <w:pPr>
        <w:rPr>
          <w:color w:val="auto"/>
        </w:rPr>
      </w:pPr>
    </w:p>
    <w:p w14:paraId="5A2DD9CC">
      <w:pPr>
        <w:rPr>
          <w:color w:val="auto"/>
        </w:rPr>
      </w:pPr>
    </w:p>
    <w:p w14:paraId="2C093D21">
      <w:pPr>
        <w:rPr>
          <w:color w:val="auto"/>
        </w:rPr>
      </w:pPr>
      <w:r>
        <w:rPr>
          <w:rFonts w:hint="eastAsia"/>
          <w:color w:val="auto"/>
        </w:rPr>
        <w:t xml:space="preserve">                           （由制造商及成交商签字盖章确认）</w:t>
      </w:r>
      <w:r>
        <w:rPr>
          <w:rFonts w:hint="eastAsia"/>
          <w:color w:val="auto"/>
        </w:rPr>
        <w:br w:type="page"/>
      </w:r>
      <w:r>
        <w:rPr>
          <w:rFonts w:hint="eastAsia"/>
          <w:color w:val="auto"/>
        </w:rPr>
        <w:t xml:space="preserve">附件4：       </w:t>
      </w:r>
    </w:p>
    <w:p w14:paraId="797AE28B">
      <w:pPr>
        <w:rPr>
          <w:color w:val="auto"/>
        </w:rPr>
      </w:pPr>
      <w:r>
        <w:rPr>
          <w:rFonts w:hint="eastAsia"/>
          <w:color w:val="auto"/>
        </w:rPr>
        <w:t xml:space="preserve">             郑州大学仪器设备初步验收单</w:t>
      </w:r>
    </w:p>
    <w:p w14:paraId="7A51DA3D">
      <w:pPr>
        <w:rPr>
          <w:color w:val="auto"/>
        </w:rPr>
      </w:pPr>
      <w:r>
        <w:rPr>
          <w:rFonts w:hint="eastAsia"/>
          <w:color w:val="auto"/>
        </w:rPr>
        <w:t>No.                                         年   月   日</w:t>
      </w:r>
    </w:p>
    <w:tbl>
      <w:tblPr>
        <w:tblStyle w:val="38"/>
        <w:tblW w:w="0" w:type="auto"/>
        <w:tblInd w:w="-106"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68"/>
        <w:gridCol w:w="538"/>
        <w:gridCol w:w="91"/>
        <w:gridCol w:w="1038"/>
        <w:gridCol w:w="452"/>
        <w:gridCol w:w="1249"/>
        <w:gridCol w:w="696"/>
        <w:gridCol w:w="783"/>
        <w:gridCol w:w="576"/>
        <w:gridCol w:w="371"/>
        <w:gridCol w:w="325"/>
        <w:gridCol w:w="382"/>
        <w:gridCol w:w="498"/>
        <w:gridCol w:w="1608"/>
      </w:tblGrid>
      <w:tr w14:paraId="62AA5A4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1206" w:type="dxa"/>
            <w:gridSpan w:val="2"/>
            <w:tcBorders>
              <w:tl2br w:val="nil"/>
              <w:tr2bl w:val="nil"/>
            </w:tcBorders>
            <w:vAlign w:val="center"/>
          </w:tcPr>
          <w:p w14:paraId="312E5E28">
            <w:pPr>
              <w:ind w:firstLine="0" w:firstLineChars="0"/>
              <w:rPr>
                <w:color w:val="auto"/>
              </w:rPr>
            </w:pPr>
            <w:r>
              <w:rPr>
                <w:rFonts w:hint="eastAsia"/>
                <w:color w:val="auto"/>
              </w:rPr>
              <w:t>使用单位</w:t>
            </w:r>
          </w:p>
        </w:tc>
        <w:tc>
          <w:tcPr>
            <w:tcW w:w="1581" w:type="dxa"/>
            <w:gridSpan w:val="3"/>
            <w:tcBorders>
              <w:tl2br w:val="nil"/>
              <w:tr2bl w:val="nil"/>
            </w:tcBorders>
            <w:vAlign w:val="center"/>
          </w:tcPr>
          <w:p w14:paraId="5ADEF215">
            <w:pPr>
              <w:rPr>
                <w:color w:val="auto"/>
              </w:rPr>
            </w:pPr>
          </w:p>
        </w:tc>
        <w:tc>
          <w:tcPr>
            <w:tcW w:w="1249" w:type="dxa"/>
            <w:tcBorders>
              <w:tl2br w:val="nil"/>
              <w:tr2bl w:val="nil"/>
            </w:tcBorders>
            <w:vAlign w:val="center"/>
          </w:tcPr>
          <w:p w14:paraId="35F9E965">
            <w:pPr>
              <w:ind w:firstLine="0" w:firstLineChars="0"/>
              <w:rPr>
                <w:color w:val="auto"/>
              </w:rPr>
            </w:pPr>
            <w:r>
              <w:rPr>
                <w:rFonts w:hint="eastAsia"/>
                <w:color w:val="auto"/>
              </w:rPr>
              <w:t>使用人</w:t>
            </w:r>
          </w:p>
        </w:tc>
        <w:tc>
          <w:tcPr>
            <w:tcW w:w="1479" w:type="dxa"/>
            <w:gridSpan w:val="2"/>
            <w:tcBorders>
              <w:tl2br w:val="nil"/>
              <w:tr2bl w:val="nil"/>
            </w:tcBorders>
            <w:vAlign w:val="center"/>
          </w:tcPr>
          <w:p w14:paraId="4F7B9265">
            <w:pPr>
              <w:rPr>
                <w:color w:val="auto"/>
              </w:rPr>
            </w:pPr>
          </w:p>
        </w:tc>
        <w:tc>
          <w:tcPr>
            <w:tcW w:w="1654" w:type="dxa"/>
            <w:gridSpan w:val="4"/>
            <w:tcBorders>
              <w:tl2br w:val="nil"/>
              <w:tr2bl w:val="nil"/>
            </w:tcBorders>
            <w:vAlign w:val="center"/>
          </w:tcPr>
          <w:p w14:paraId="52AC0A33">
            <w:pPr>
              <w:ind w:firstLine="0" w:firstLineChars="0"/>
              <w:rPr>
                <w:color w:val="auto"/>
              </w:rPr>
            </w:pPr>
            <w:r>
              <w:rPr>
                <w:rFonts w:hint="eastAsia"/>
                <w:color w:val="auto"/>
              </w:rPr>
              <w:t>合同编号</w:t>
            </w:r>
          </w:p>
        </w:tc>
        <w:tc>
          <w:tcPr>
            <w:tcW w:w="2106" w:type="dxa"/>
            <w:gridSpan w:val="2"/>
            <w:tcBorders>
              <w:tl2br w:val="nil"/>
              <w:tr2bl w:val="nil"/>
            </w:tcBorders>
            <w:vAlign w:val="center"/>
          </w:tcPr>
          <w:p w14:paraId="2D103ABE">
            <w:pPr>
              <w:rPr>
                <w:color w:val="auto"/>
              </w:rPr>
            </w:pPr>
          </w:p>
        </w:tc>
      </w:tr>
      <w:tr w14:paraId="2213A7A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1206" w:type="dxa"/>
            <w:gridSpan w:val="2"/>
            <w:tcBorders>
              <w:tl2br w:val="nil"/>
              <w:tr2bl w:val="nil"/>
            </w:tcBorders>
            <w:vAlign w:val="center"/>
          </w:tcPr>
          <w:p w14:paraId="3C56F631">
            <w:pPr>
              <w:ind w:firstLine="0" w:firstLineChars="0"/>
              <w:rPr>
                <w:color w:val="auto"/>
              </w:rPr>
            </w:pPr>
            <w:r>
              <w:rPr>
                <w:rFonts w:hint="eastAsia"/>
                <w:color w:val="auto"/>
              </w:rPr>
              <w:t>供货商</w:t>
            </w:r>
          </w:p>
        </w:tc>
        <w:tc>
          <w:tcPr>
            <w:tcW w:w="4309" w:type="dxa"/>
            <w:gridSpan w:val="6"/>
            <w:tcBorders>
              <w:tl2br w:val="nil"/>
              <w:tr2bl w:val="nil"/>
            </w:tcBorders>
            <w:vAlign w:val="center"/>
          </w:tcPr>
          <w:p w14:paraId="6F2F94CF">
            <w:pPr>
              <w:rPr>
                <w:color w:val="auto"/>
              </w:rPr>
            </w:pPr>
          </w:p>
        </w:tc>
        <w:tc>
          <w:tcPr>
            <w:tcW w:w="1654" w:type="dxa"/>
            <w:gridSpan w:val="4"/>
            <w:tcBorders>
              <w:tl2br w:val="nil"/>
              <w:tr2bl w:val="nil"/>
            </w:tcBorders>
            <w:vAlign w:val="center"/>
          </w:tcPr>
          <w:p w14:paraId="0F6CAF54">
            <w:pPr>
              <w:ind w:firstLine="0" w:firstLineChars="0"/>
              <w:rPr>
                <w:color w:val="auto"/>
              </w:rPr>
            </w:pPr>
            <w:r>
              <w:rPr>
                <w:rFonts w:hint="eastAsia"/>
                <w:color w:val="auto"/>
              </w:rPr>
              <w:t>合同总金额</w:t>
            </w:r>
          </w:p>
        </w:tc>
        <w:tc>
          <w:tcPr>
            <w:tcW w:w="2106" w:type="dxa"/>
            <w:gridSpan w:val="2"/>
            <w:tcBorders>
              <w:tl2br w:val="nil"/>
              <w:tr2bl w:val="nil"/>
            </w:tcBorders>
            <w:vAlign w:val="center"/>
          </w:tcPr>
          <w:p w14:paraId="578EF32B">
            <w:pPr>
              <w:rPr>
                <w:color w:val="auto"/>
              </w:rPr>
            </w:pPr>
          </w:p>
        </w:tc>
      </w:tr>
      <w:tr w14:paraId="0634B89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9275" w:type="dxa"/>
            <w:gridSpan w:val="14"/>
            <w:tcBorders>
              <w:tl2br w:val="nil"/>
              <w:tr2bl w:val="nil"/>
            </w:tcBorders>
            <w:vAlign w:val="center"/>
          </w:tcPr>
          <w:p w14:paraId="671405F0">
            <w:pPr>
              <w:rPr>
                <w:color w:val="auto"/>
              </w:rPr>
            </w:pPr>
            <w:r>
              <w:rPr>
                <w:rFonts w:hint="eastAsia"/>
                <w:color w:val="auto"/>
              </w:rPr>
              <w:t>设备明细（品名、型号、规格、生产厂家、数量、金额等，不够可另附表）</w:t>
            </w:r>
          </w:p>
        </w:tc>
      </w:tr>
      <w:tr w14:paraId="1083C3F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68" w:type="dxa"/>
            <w:tcBorders>
              <w:tl2br w:val="nil"/>
              <w:tr2bl w:val="nil"/>
            </w:tcBorders>
            <w:vAlign w:val="center"/>
          </w:tcPr>
          <w:p w14:paraId="2F99F14A">
            <w:pPr>
              <w:spacing w:line="240" w:lineRule="auto"/>
              <w:ind w:firstLine="0" w:firstLineChars="0"/>
              <w:jc w:val="center"/>
              <w:rPr>
                <w:color w:val="auto"/>
              </w:rPr>
            </w:pPr>
            <w:r>
              <w:rPr>
                <w:rFonts w:hint="eastAsia"/>
                <w:color w:val="auto"/>
              </w:rPr>
              <w:t>序号</w:t>
            </w:r>
          </w:p>
        </w:tc>
        <w:tc>
          <w:tcPr>
            <w:tcW w:w="1667" w:type="dxa"/>
            <w:gridSpan w:val="3"/>
            <w:tcBorders>
              <w:tl2br w:val="nil"/>
              <w:tr2bl w:val="nil"/>
            </w:tcBorders>
            <w:vAlign w:val="center"/>
          </w:tcPr>
          <w:p w14:paraId="3FCA7076">
            <w:pPr>
              <w:spacing w:line="240" w:lineRule="auto"/>
              <w:ind w:firstLine="0" w:firstLineChars="0"/>
              <w:jc w:val="center"/>
              <w:rPr>
                <w:color w:val="auto"/>
              </w:rPr>
            </w:pPr>
            <w:r>
              <w:rPr>
                <w:rFonts w:hint="eastAsia"/>
                <w:color w:val="auto"/>
              </w:rPr>
              <w:t>品名</w:t>
            </w:r>
          </w:p>
        </w:tc>
        <w:tc>
          <w:tcPr>
            <w:tcW w:w="2397" w:type="dxa"/>
            <w:gridSpan w:val="3"/>
            <w:tcBorders>
              <w:tl2br w:val="nil"/>
              <w:tr2bl w:val="nil"/>
            </w:tcBorders>
            <w:vAlign w:val="center"/>
          </w:tcPr>
          <w:p w14:paraId="54492AC5">
            <w:pPr>
              <w:spacing w:line="240" w:lineRule="auto"/>
              <w:ind w:firstLine="0" w:firstLineChars="0"/>
              <w:jc w:val="center"/>
              <w:rPr>
                <w:color w:val="auto"/>
              </w:rPr>
            </w:pPr>
            <w:r>
              <w:rPr>
                <w:rFonts w:hint="eastAsia"/>
                <w:color w:val="auto"/>
              </w:rPr>
              <w:t>技术参数（规格型号）</w:t>
            </w:r>
          </w:p>
        </w:tc>
        <w:tc>
          <w:tcPr>
            <w:tcW w:w="1359" w:type="dxa"/>
            <w:gridSpan w:val="2"/>
            <w:tcBorders>
              <w:tl2br w:val="nil"/>
              <w:tr2bl w:val="nil"/>
            </w:tcBorders>
            <w:vAlign w:val="center"/>
          </w:tcPr>
          <w:p w14:paraId="15FAA17C">
            <w:pPr>
              <w:spacing w:line="240" w:lineRule="auto"/>
              <w:ind w:firstLine="0" w:firstLineChars="0"/>
              <w:jc w:val="center"/>
              <w:rPr>
                <w:color w:val="auto"/>
              </w:rPr>
            </w:pPr>
            <w:r>
              <w:rPr>
                <w:rFonts w:hint="eastAsia"/>
                <w:color w:val="auto"/>
              </w:rPr>
              <w:t>生产厂家（产地）</w:t>
            </w:r>
          </w:p>
        </w:tc>
        <w:tc>
          <w:tcPr>
            <w:tcW w:w="696" w:type="dxa"/>
            <w:gridSpan w:val="2"/>
            <w:tcBorders>
              <w:tl2br w:val="nil"/>
              <w:tr2bl w:val="nil"/>
            </w:tcBorders>
            <w:vAlign w:val="center"/>
          </w:tcPr>
          <w:p w14:paraId="4B11C453">
            <w:pPr>
              <w:spacing w:line="240" w:lineRule="auto"/>
              <w:ind w:firstLine="0" w:firstLineChars="0"/>
              <w:jc w:val="center"/>
              <w:rPr>
                <w:color w:val="auto"/>
              </w:rPr>
            </w:pPr>
            <w:r>
              <w:rPr>
                <w:rFonts w:hint="eastAsia"/>
                <w:color w:val="auto"/>
              </w:rPr>
              <w:t>数量</w:t>
            </w:r>
          </w:p>
        </w:tc>
        <w:tc>
          <w:tcPr>
            <w:tcW w:w="880" w:type="dxa"/>
            <w:gridSpan w:val="2"/>
            <w:tcBorders>
              <w:tl2br w:val="nil"/>
              <w:tr2bl w:val="nil"/>
            </w:tcBorders>
            <w:vAlign w:val="center"/>
          </w:tcPr>
          <w:p w14:paraId="03A5796D">
            <w:pPr>
              <w:spacing w:line="240" w:lineRule="auto"/>
              <w:ind w:firstLine="0" w:firstLineChars="0"/>
              <w:jc w:val="center"/>
              <w:rPr>
                <w:color w:val="auto"/>
              </w:rPr>
            </w:pPr>
            <w:r>
              <w:rPr>
                <w:rFonts w:hint="eastAsia"/>
                <w:color w:val="auto"/>
              </w:rPr>
              <w:t>单位</w:t>
            </w:r>
          </w:p>
        </w:tc>
        <w:tc>
          <w:tcPr>
            <w:tcW w:w="1608" w:type="dxa"/>
            <w:tcBorders>
              <w:tl2br w:val="nil"/>
              <w:tr2bl w:val="nil"/>
            </w:tcBorders>
            <w:vAlign w:val="center"/>
          </w:tcPr>
          <w:p w14:paraId="7E2FF2D5">
            <w:pPr>
              <w:spacing w:line="240" w:lineRule="auto"/>
              <w:ind w:firstLine="0" w:firstLineChars="0"/>
              <w:jc w:val="center"/>
              <w:rPr>
                <w:color w:val="auto"/>
              </w:rPr>
            </w:pPr>
            <w:r>
              <w:rPr>
                <w:rFonts w:hint="eastAsia"/>
                <w:color w:val="auto"/>
              </w:rPr>
              <w:t>金额</w:t>
            </w:r>
          </w:p>
        </w:tc>
      </w:tr>
      <w:tr w14:paraId="7BAFF3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668" w:type="dxa"/>
            <w:tcBorders>
              <w:tl2br w:val="nil"/>
              <w:tr2bl w:val="nil"/>
            </w:tcBorders>
            <w:vAlign w:val="center"/>
          </w:tcPr>
          <w:p w14:paraId="2A020532">
            <w:pPr>
              <w:rPr>
                <w:color w:val="auto"/>
              </w:rPr>
            </w:pPr>
          </w:p>
        </w:tc>
        <w:tc>
          <w:tcPr>
            <w:tcW w:w="1667" w:type="dxa"/>
            <w:gridSpan w:val="3"/>
            <w:tcBorders>
              <w:tl2br w:val="nil"/>
              <w:tr2bl w:val="nil"/>
            </w:tcBorders>
            <w:vAlign w:val="center"/>
          </w:tcPr>
          <w:p w14:paraId="2A8E0B8F">
            <w:pPr>
              <w:rPr>
                <w:color w:val="auto"/>
              </w:rPr>
            </w:pPr>
          </w:p>
        </w:tc>
        <w:tc>
          <w:tcPr>
            <w:tcW w:w="2397" w:type="dxa"/>
            <w:gridSpan w:val="3"/>
            <w:tcBorders>
              <w:tl2br w:val="nil"/>
              <w:tr2bl w:val="nil"/>
            </w:tcBorders>
            <w:vAlign w:val="center"/>
          </w:tcPr>
          <w:p w14:paraId="265E2FDD">
            <w:pPr>
              <w:rPr>
                <w:color w:val="auto"/>
              </w:rPr>
            </w:pPr>
          </w:p>
        </w:tc>
        <w:tc>
          <w:tcPr>
            <w:tcW w:w="1359" w:type="dxa"/>
            <w:gridSpan w:val="2"/>
            <w:tcBorders>
              <w:tl2br w:val="nil"/>
              <w:tr2bl w:val="nil"/>
            </w:tcBorders>
            <w:vAlign w:val="center"/>
          </w:tcPr>
          <w:p w14:paraId="065EECA2">
            <w:pPr>
              <w:rPr>
                <w:color w:val="auto"/>
              </w:rPr>
            </w:pPr>
          </w:p>
        </w:tc>
        <w:tc>
          <w:tcPr>
            <w:tcW w:w="696" w:type="dxa"/>
            <w:gridSpan w:val="2"/>
            <w:tcBorders>
              <w:tl2br w:val="nil"/>
              <w:tr2bl w:val="nil"/>
            </w:tcBorders>
            <w:vAlign w:val="center"/>
          </w:tcPr>
          <w:p w14:paraId="02A8B0F0">
            <w:pPr>
              <w:rPr>
                <w:color w:val="auto"/>
              </w:rPr>
            </w:pPr>
          </w:p>
        </w:tc>
        <w:tc>
          <w:tcPr>
            <w:tcW w:w="880" w:type="dxa"/>
            <w:gridSpan w:val="2"/>
            <w:tcBorders>
              <w:tl2br w:val="nil"/>
              <w:tr2bl w:val="nil"/>
            </w:tcBorders>
            <w:vAlign w:val="center"/>
          </w:tcPr>
          <w:p w14:paraId="1C988F80">
            <w:pPr>
              <w:rPr>
                <w:color w:val="auto"/>
              </w:rPr>
            </w:pPr>
          </w:p>
        </w:tc>
        <w:tc>
          <w:tcPr>
            <w:tcW w:w="1608" w:type="dxa"/>
            <w:tcBorders>
              <w:tl2br w:val="nil"/>
              <w:tr2bl w:val="nil"/>
            </w:tcBorders>
            <w:vAlign w:val="center"/>
          </w:tcPr>
          <w:p w14:paraId="23C5F0B4">
            <w:pPr>
              <w:rPr>
                <w:color w:val="auto"/>
              </w:rPr>
            </w:pPr>
          </w:p>
        </w:tc>
      </w:tr>
      <w:tr w14:paraId="565FDC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668" w:type="dxa"/>
            <w:tcBorders>
              <w:tl2br w:val="nil"/>
              <w:tr2bl w:val="nil"/>
            </w:tcBorders>
            <w:vAlign w:val="center"/>
          </w:tcPr>
          <w:p w14:paraId="2822DB02">
            <w:pPr>
              <w:rPr>
                <w:color w:val="auto"/>
              </w:rPr>
            </w:pPr>
          </w:p>
        </w:tc>
        <w:tc>
          <w:tcPr>
            <w:tcW w:w="1667" w:type="dxa"/>
            <w:gridSpan w:val="3"/>
            <w:tcBorders>
              <w:tl2br w:val="nil"/>
              <w:tr2bl w:val="nil"/>
            </w:tcBorders>
            <w:vAlign w:val="center"/>
          </w:tcPr>
          <w:p w14:paraId="5C389C17">
            <w:pPr>
              <w:rPr>
                <w:color w:val="auto"/>
              </w:rPr>
            </w:pPr>
          </w:p>
        </w:tc>
        <w:tc>
          <w:tcPr>
            <w:tcW w:w="2397" w:type="dxa"/>
            <w:gridSpan w:val="3"/>
            <w:tcBorders>
              <w:tl2br w:val="nil"/>
              <w:tr2bl w:val="nil"/>
            </w:tcBorders>
            <w:vAlign w:val="center"/>
          </w:tcPr>
          <w:p w14:paraId="02C8F953">
            <w:pPr>
              <w:rPr>
                <w:color w:val="auto"/>
              </w:rPr>
            </w:pPr>
          </w:p>
        </w:tc>
        <w:tc>
          <w:tcPr>
            <w:tcW w:w="1359" w:type="dxa"/>
            <w:gridSpan w:val="2"/>
            <w:tcBorders>
              <w:tl2br w:val="nil"/>
              <w:tr2bl w:val="nil"/>
            </w:tcBorders>
            <w:vAlign w:val="center"/>
          </w:tcPr>
          <w:p w14:paraId="731185E5">
            <w:pPr>
              <w:rPr>
                <w:color w:val="auto"/>
              </w:rPr>
            </w:pPr>
          </w:p>
        </w:tc>
        <w:tc>
          <w:tcPr>
            <w:tcW w:w="696" w:type="dxa"/>
            <w:gridSpan w:val="2"/>
            <w:tcBorders>
              <w:tl2br w:val="nil"/>
              <w:tr2bl w:val="nil"/>
            </w:tcBorders>
            <w:vAlign w:val="center"/>
          </w:tcPr>
          <w:p w14:paraId="024A8A7F">
            <w:pPr>
              <w:rPr>
                <w:color w:val="auto"/>
              </w:rPr>
            </w:pPr>
          </w:p>
        </w:tc>
        <w:tc>
          <w:tcPr>
            <w:tcW w:w="880" w:type="dxa"/>
            <w:gridSpan w:val="2"/>
            <w:tcBorders>
              <w:tl2br w:val="nil"/>
              <w:tr2bl w:val="nil"/>
            </w:tcBorders>
            <w:vAlign w:val="center"/>
          </w:tcPr>
          <w:p w14:paraId="00AFEEB3">
            <w:pPr>
              <w:rPr>
                <w:color w:val="auto"/>
              </w:rPr>
            </w:pPr>
          </w:p>
        </w:tc>
        <w:tc>
          <w:tcPr>
            <w:tcW w:w="1608" w:type="dxa"/>
            <w:tcBorders>
              <w:tl2br w:val="nil"/>
              <w:tr2bl w:val="nil"/>
            </w:tcBorders>
            <w:vAlign w:val="center"/>
          </w:tcPr>
          <w:p w14:paraId="78650438">
            <w:pPr>
              <w:rPr>
                <w:color w:val="auto"/>
              </w:rPr>
            </w:pPr>
          </w:p>
        </w:tc>
      </w:tr>
      <w:tr w14:paraId="6C94A5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668" w:type="dxa"/>
            <w:tcBorders>
              <w:tl2br w:val="nil"/>
              <w:tr2bl w:val="nil"/>
            </w:tcBorders>
            <w:vAlign w:val="center"/>
          </w:tcPr>
          <w:p w14:paraId="368FE4CD">
            <w:pPr>
              <w:rPr>
                <w:color w:val="auto"/>
              </w:rPr>
            </w:pPr>
          </w:p>
        </w:tc>
        <w:tc>
          <w:tcPr>
            <w:tcW w:w="1667" w:type="dxa"/>
            <w:gridSpan w:val="3"/>
            <w:tcBorders>
              <w:tl2br w:val="nil"/>
              <w:tr2bl w:val="nil"/>
            </w:tcBorders>
            <w:vAlign w:val="center"/>
          </w:tcPr>
          <w:p w14:paraId="49495680">
            <w:pPr>
              <w:rPr>
                <w:color w:val="auto"/>
              </w:rPr>
            </w:pPr>
          </w:p>
        </w:tc>
        <w:tc>
          <w:tcPr>
            <w:tcW w:w="2397" w:type="dxa"/>
            <w:gridSpan w:val="3"/>
            <w:tcBorders>
              <w:tl2br w:val="nil"/>
              <w:tr2bl w:val="nil"/>
            </w:tcBorders>
            <w:vAlign w:val="center"/>
          </w:tcPr>
          <w:p w14:paraId="1D885806">
            <w:pPr>
              <w:rPr>
                <w:color w:val="auto"/>
              </w:rPr>
            </w:pPr>
          </w:p>
        </w:tc>
        <w:tc>
          <w:tcPr>
            <w:tcW w:w="1359" w:type="dxa"/>
            <w:gridSpan w:val="2"/>
            <w:tcBorders>
              <w:tl2br w:val="nil"/>
              <w:tr2bl w:val="nil"/>
            </w:tcBorders>
            <w:vAlign w:val="center"/>
          </w:tcPr>
          <w:p w14:paraId="12A5AAC2">
            <w:pPr>
              <w:rPr>
                <w:color w:val="auto"/>
              </w:rPr>
            </w:pPr>
          </w:p>
        </w:tc>
        <w:tc>
          <w:tcPr>
            <w:tcW w:w="696" w:type="dxa"/>
            <w:gridSpan w:val="2"/>
            <w:tcBorders>
              <w:tl2br w:val="nil"/>
              <w:tr2bl w:val="nil"/>
            </w:tcBorders>
            <w:vAlign w:val="center"/>
          </w:tcPr>
          <w:p w14:paraId="7894A060">
            <w:pPr>
              <w:rPr>
                <w:color w:val="auto"/>
              </w:rPr>
            </w:pPr>
          </w:p>
        </w:tc>
        <w:tc>
          <w:tcPr>
            <w:tcW w:w="880" w:type="dxa"/>
            <w:gridSpan w:val="2"/>
            <w:tcBorders>
              <w:tl2br w:val="nil"/>
              <w:tr2bl w:val="nil"/>
            </w:tcBorders>
            <w:vAlign w:val="center"/>
          </w:tcPr>
          <w:p w14:paraId="78D98326">
            <w:pPr>
              <w:rPr>
                <w:color w:val="auto"/>
              </w:rPr>
            </w:pPr>
          </w:p>
        </w:tc>
        <w:tc>
          <w:tcPr>
            <w:tcW w:w="1608" w:type="dxa"/>
            <w:tcBorders>
              <w:tl2br w:val="nil"/>
              <w:tr2bl w:val="nil"/>
            </w:tcBorders>
            <w:vAlign w:val="center"/>
          </w:tcPr>
          <w:p w14:paraId="4B8947CF">
            <w:pPr>
              <w:rPr>
                <w:color w:val="auto"/>
              </w:rPr>
            </w:pPr>
          </w:p>
        </w:tc>
      </w:tr>
      <w:tr w14:paraId="3B49AA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668" w:type="dxa"/>
            <w:vMerge w:val="restart"/>
            <w:tcBorders>
              <w:tl2br w:val="nil"/>
              <w:tr2bl w:val="nil"/>
            </w:tcBorders>
            <w:textDirection w:val="tbRlV"/>
            <w:vAlign w:val="center"/>
          </w:tcPr>
          <w:p w14:paraId="1D9F9B11">
            <w:pPr>
              <w:rPr>
                <w:color w:val="auto"/>
              </w:rPr>
            </w:pPr>
            <w:r>
              <w:rPr>
                <w:rFonts w:hint="eastAsia"/>
                <w:color w:val="auto"/>
              </w:rPr>
              <w:t>实 物 验 收 情 况</w:t>
            </w:r>
          </w:p>
        </w:tc>
        <w:tc>
          <w:tcPr>
            <w:tcW w:w="8607" w:type="dxa"/>
            <w:gridSpan w:val="13"/>
            <w:tcBorders>
              <w:tl2br w:val="nil"/>
              <w:tr2bl w:val="nil"/>
            </w:tcBorders>
          </w:tcPr>
          <w:p w14:paraId="0F0C9F70">
            <w:pPr>
              <w:rPr>
                <w:color w:val="auto"/>
              </w:rPr>
            </w:pPr>
            <w:r>
              <w:rPr>
                <w:rFonts w:hint="eastAsia"/>
                <w:color w:val="auto"/>
              </w:rPr>
              <w:t>外观质量（有无残损，程度如何）。</w:t>
            </w:r>
          </w:p>
          <w:p w14:paraId="724D515E">
            <w:pPr>
              <w:rPr>
                <w:color w:val="auto"/>
              </w:rPr>
            </w:pPr>
          </w:p>
          <w:p w14:paraId="1B378082">
            <w:pPr>
              <w:rPr>
                <w:color w:val="auto"/>
              </w:rPr>
            </w:pPr>
          </w:p>
        </w:tc>
      </w:tr>
      <w:tr w14:paraId="680BB9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383" w:hRule="atLeast"/>
        </w:trPr>
        <w:tc>
          <w:tcPr>
            <w:tcW w:w="668" w:type="dxa"/>
            <w:vMerge w:val="continue"/>
            <w:tcBorders>
              <w:tl2br w:val="nil"/>
              <w:tr2bl w:val="nil"/>
            </w:tcBorders>
            <w:vAlign w:val="center"/>
          </w:tcPr>
          <w:p w14:paraId="14194891">
            <w:pPr>
              <w:rPr>
                <w:color w:val="auto"/>
              </w:rPr>
            </w:pPr>
          </w:p>
        </w:tc>
        <w:tc>
          <w:tcPr>
            <w:tcW w:w="8607" w:type="dxa"/>
            <w:gridSpan w:val="13"/>
            <w:tcBorders>
              <w:tl2br w:val="nil"/>
              <w:tr2bl w:val="nil"/>
            </w:tcBorders>
          </w:tcPr>
          <w:p w14:paraId="29019E8C">
            <w:pPr>
              <w:rPr>
                <w:color w:val="auto"/>
              </w:rPr>
            </w:pPr>
            <w:r>
              <w:rPr>
                <w:rFonts w:hint="eastAsia"/>
                <w:color w:val="auto"/>
              </w:rPr>
              <w:t>清点数量（主机、配件、型号、规格、产地是否与招投标文件、合同、发票、装箱单的数量相同，若有出入，说明缺件名称、规格、数量、金额）。</w:t>
            </w:r>
          </w:p>
          <w:p w14:paraId="3E2C195B">
            <w:pPr>
              <w:rPr>
                <w:color w:val="auto"/>
              </w:rPr>
            </w:pPr>
          </w:p>
          <w:p w14:paraId="3CD59040">
            <w:pPr>
              <w:rPr>
                <w:color w:val="auto"/>
              </w:rPr>
            </w:pPr>
          </w:p>
        </w:tc>
      </w:tr>
      <w:tr w14:paraId="5DC32EF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23" w:hRule="atLeast"/>
        </w:trPr>
        <w:tc>
          <w:tcPr>
            <w:tcW w:w="668" w:type="dxa"/>
            <w:vMerge w:val="continue"/>
            <w:tcBorders>
              <w:tl2br w:val="nil"/>
              <w:tr2bl w:val="nil"/>
            </w:tcBorders>
            <w:vAlign w:val="center"/>
          </w:tcPr>
          <w:p w14:paraId="24C7CEDE">
            <w:pPr>
              <w:rPr>
                <w:color w:val="auto"/>
              </w:rPr>
            </w:pPr>
          </w:p>
        </w:tc>
        <w:tc>
          <w:tcPr>
            <w:tcW w:w="8607" w:type="dxa"/>
            <w:gridSpan w:val="13"/>
            <w:tcBorders>
              <w:tl2br w:val="nil"/>
              <w:tr2bl w:val="nil"/>
            </w:tcBorders>
          </w:tcPr>
          <w:p w14:paraId="2057E0A2">
            <w:pPr>
              <w:rPr>
                <w:color w:val="auto"/>
              </w:rPr>
            </w:pPr>
            <w:r>
              <w:rPr>
                <w:rFonts w:hint="eastAsia"/>
                <w:color w:val="auto"/>
              </w:rPr>
              <w:t>仪器设备安装调试及使用人员培训情况（是否完成整套设备安装、有无安装缺陷，使用人员是否经过培训）。</w:t>
            </w:r>
          </w:p>
          <w:p w14:paraId="6651735A">
            <w:pPr>
              <w:rPr>
                <w:color w:val="auto"/>
              </w:rPr>
            </w:pPr>
          </w:p>
        </w:tc>
      </w:tr>
      <w:tr w14:paraId="5E6FD68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782" w:hRule="atLeast"/>
        </w:trPr>
        <w:tc>
          <w:tcPr>
            <w:tcW w:w="668" w:type="dxa"/>
            <w:tcBorders>
              <w:tl2br w:val="nil"/>
              <w:tr2bl w:val="nil"/>
            </w:tcBorders>
            <w:textDirection w:val="tbRlV"/>
            <w:vAlign w:val="center"/>
          </w:tcPr>
          <w:p w14:paraId="23EEA44F">
            <w:pPr>
              <w:rPr>
                <w:color w:val="auto"/>
              </w:rPr>
            </w:pPr>
            <w:r>
              <w:rPr>
                <w:rFonts w:hint="eastAsia"/>
                <w:color w:val="auto"/>
              </w:rPr>
              <w:t>技术验收情况</w:t>
            </w:r>
          </w:p>
        </w:tc>
        <w:tc>
          <w:tcPr>
            <w:tcW w:w="8607" w:type="dxa"/>
            <w:gridSpan w:val="13"/>
            <w:tcBorders>
              <w:tl2br w:val="nil"/>
              <w:tr2bl w:val="nil"/>
            </w:tcBorders>
          </w:tcPr>
          <w:p w14:paraId="152242F8">
            <w:pPr>
              <w:rPr>
                <w:color w:val="auto"/>
              </w:rPr>
            </w:pPr>
            <w:r>
              <w:rPr>
                <w:rFonts w:hint="eastAsia"/>
                <w:color w:val="auto"/>
              </w:rPr>
              <w:t>依据合同约定技术条款逐一测定设备的性能和各项技术指标，所测结果是否与合同约定技术条款规定的一样，性能是否稳定，配件是否齐全，是否有安全隐患，具体说明。</w:t>
            </w:r>
          </w:p>
        </w:tc>
      </w:tr>
      <w:tr w14:paraId="0EDA167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040" w:hRule="atLeast"/>
        </w:trPr>
        <w:tc>
          <w:tcPr>
            <w:tcW w:w="668" w:type="dxa"/>
            <w:tcBorders>
              <w:tl2br w:val="nil"/>
              <w:tr2bl w:val="nil"/>
            </w:tcBorders>
            <w:textDirection w:val="tbRlV"/>
            <w:vAlign w:val="center"/>
          </w:tcPr>
          <w:p w14:paraId="03858F87">
            <w:pPr>
              <w:rPr>
                <w:color w:val="auto"/>
              </w:rPr>
            </w:pPr>
            <w:r>
              <w:rPr>
                <w:rFonts w:hint="eastAsia"/>
                <w:color w:val="auto"/>
              </w:rPr>
              <w:t>初步验收情况</w:t>
            </w:r>
          </w:p>
        </w:tc>
        <w:tc>
          <w:tcPr>
            <w:tcW w:w="8607" w:type="dxa"/>
            <w:gridSpan w:val="13"/>
            <w:tcBorders>
              <w:tl2br w:val="nil"/>
              <w:tr2bl w:val="nil"/>
            </w:tcBorders>
            <w:vAlign w:val="center"/>
          </w:tcPr>
          <w:p w14:paraId="35DFCE0A">
            <w:pPr>
              <w:rPr>
                <w:color w:val="auto"/>
              </w:rPr>
            </w:pPr>
            <w:r>
              <w:rPr>
                <w:rFonts w:hint="eastAsia"/>
                <w:color w:val="auto"/>
              </w:rPr>
              <w:t>□通过验收                  □整改后再组织验收</w:t>
            </w:r>
          </w:p>
          <w:p w14:paraId="65F01E9C">
            <w:pPr>
              <w:rPr>
                <w:color w:val="auto"/>
              </w:rPr>
            </w:pPr>
          </w:p>
          <w:p w14:paraId="47D343BA">
            <w:pPr>
              <w:rPr>
                <w:color w:val="auto"/>
              </w:rPr>
            </w:pPr>
            <w:r>
              <w:rPr>
                <w:rFonts w:hint="eastAsia"/>
                <w:color w:val="auto"/>
              </w:rPr>
              <w:t>□不通过验收  索赔要求      □其他结论</w:t>
            </w:r>
          </w:p>
        </w:tc>
      </w:tr>
      <w:tr w14:paraId="2259A3F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463" w:hRule="atLeast"/>
        </w:trPr>
        <w:tc>
          <w:tcPr>
            <w:tcW w:w="1297" w:type="dxa"/>
            <w:gridSpan w:val="3"/>
            <w:tcBorders>
              <w:tl2br w:val="nil"/>
              <w:tr2bl w:val="nil"/>
            </w:tcBorders>
            <w:vAlign w:val="center"/>
          </w:tcPr>
          <w:p w14:paraId="5F9D3357">
            <w:pPr>
              <w:ind w:firstLine="0" w:firstLineChars="0"/>
              <w:rPr>
                <w:color w:val="auto"/>
              </w:rPr>
            </w:pPr>
            <w:r>
              <w:rPr>
                <w:rFonts w:hint="eastAsia"/>
                <w:color w:val="auto"/>
              </w:rPr>
              <w:t>验收小组</w:t>
            </w:r>
          </w:p>
          <w:p w14:paraId="2CC77576">
            <w:pPr>
              <w:ind w:firstLine="0" w:firstLineChars="0"/>
              <w:rPr>
                <w:color w:val="auto"/>
              </w:rPr>
            </w:pPr>
            <w:r>
              <w:rPr>
                <w:rFonts w:hint="eastAsia"/>
                <w:color w:val="auto"/>
              </w:rPr>
              <w:t>成员签字</w:t>
            </w:r>
          </w:p>
        </w:tc>
        <w:tc>
          <w:tcPr>
            <w:tcW w:w="4218" w:type="dxa"/>
            <w:gridSpan w:val="5"/>
            <w:tcBorders>
              <w:tl2br w:val="nil"/>
              <w:tr2bl w:val="nil"/>
            </w:tcBorders>
            <w:vAlign w:val="center"/>
          </w:tcPr>
          <w:p w14:paraId="7AF1F612">
            <w:pPr>
              <w:rPr>
                <w:color w:val="auto"/>
              </w:rPr>
            </w:pPr>
          </w:p>
        </w:tc>
        <w:tc>
          <w:tcPr>
            <w:tcW w:w="947" w:type="dxa"/>
            <w:gridSpan w:val="2"/>
            <w:tcBorders>
              <w:tl2br w:val="nil"/>
              <w:tr2bl w:val="nil"/>
            </w:tcBorders>
            <w:vAlign w:val="center"/>
          </w:tcPr>
          <w:p w14:paraId="2F7A184F">
            <w:pPr>
              <w:ind w:firstLine="0" w:firstLineChars="0"/>
              <w:rPr>
                <w:color w:val="auto"/>
              </w:rPr>
            </w:pPr>
            <w:r>
              <w:rPr>
                <w:rFonts w:hint="eastAsia"/>
                <w:color w:val="auto"/>
              </w:rPr>
              <w:t>供货商</w:t>
            </w:r>
          </w:p>
          <w:p w14:paraId="7A036DA1">
            <w:pPr>
              <w:ind w:firstLine="0" w:firstLineChars="0"/>
              <w:rPr>
                <w:color w:val="auto"/>
              </w:rPr>
            </w:pPr>
            <w:r>
              <w:rPr>
                <w:rFonts w:hint="eastAsia"/>
                <w:color w:val="auto"/>
              </w:rPr>
              <w:t>授权代表签字</w:t>
            </w:r>
          </w:p>
        </w:tc>
        <w:tc>
          <w:tcPr>
            <w:tcW w:w="2813" w:type="dxa"/>
            <w:gridSpan w:val="4"/>
            <w:tcBorders>
              <w:tl2br w:val="nil"/>
              <w:tr2bl w:val="nil"/>
            </w:tcBorders>
            <w:vAlign w:val="center"/>
          </w:tcPr>
          <w:p w14:paraId="7091BF02">
            <w:pPr>
              <w:rPr>
                <w:color w:val="auto"/>
              </w:rPr>
            </w:pPr>
          </w:p>
        </w:tc>
      </w:tr>
    </w:tbl>
    <w:p w14:paraId="63F323E6">
      <w:pPr>
        <w:rPr>
          <w:color w:val="auto"/>
        </w:rPr>
      </w:pPr>
    </w:p>
    <w:p w14:paraId="01B5161C">
      <w:pPr>
        <w:rPr>
          <w:color w:val="auto"/>
        </w:rPr>
      </w:pPr>
      <w:r>
        <w:rPr>
          <w:rFonts w:hint="eastAsia"/>
          <w:color w:val="auto"/>
        </w:rPr>
        <w:br w:type="page"/>
      </w:r>
    </w:p>
    <w:p w14:paraId="1B1DE4B3">
      <w:pPr>
        <w:rPr>
          <w:color w:val="auto"/>
        </w:rPr>
      </w:pPr>
      <w:r>
        <w:rPr>
          <w:rFonts w:hint="eastAsia"/>
          <w:color w:val="auto"/>
        </w:rPr>
        <w:t xml:space="preserve">附件5：                </w:t>
      </w:r>
    </w:p>
    <w:p w14:paraId="64DB672B">
      <w:pPr>
        <w:rPr>
          <w:color w:val="auto"/>
        </w:rPr>
      </w:pPr>
      <w:r>
        <w:rPr>
          <w:rFonts w:hint="eastAsia"/>
          <w:color w:val="auto"/>
        </w:rPr>
        <w:t xml:space="preserve">                      成交通知书 </w:t>
      </w:r>
    </w:p>
    <w:p w14:paraId="5011B9AE">
      <w:pPr>
        <w:rPr>
          <w:color w:val="auto"/>
        </w:rPr>
      </w:pPr>
    </w:p>
    <w:p w14:paraId="530D38FA">
      <w:pPr>
        <w:rPr>
          <w:color w:val="auto"/>
        </w:rPr>
      </w:pPr>
    </w:p>
    <w:p w14:paraId="3D4FB6D2">
      <w:pPr>
        <w:rPr>
          <w:color w:val="auto"/>
        </w:rPr>
      </w:pPr>
    </w:p>
    <w:p w14:paraId="362574A0">
      <w:pPr>
        <w:rPr>
          <w:color w:val="auto"/>
        </w:rPr>
      </w:pPr>
    </w:p>
    <w:p w14:paraId="55F7EBE6">
      <w:pPr>
        <w:rPr>
          <w:color w:val="auto"/>
        </w:rPr>
      </w:pPr>
    </w:p>
    <w:p w14:paraId="2321C53A">
      <w:pPr>
        <w:rPr>
          <w:color w:val="auto"/>
        </w:rPr>
      </w:pPr>
    </w:p>
    <w:p w14:paraId="61980069">
      <w:pPr>
        <w:rPr>
          <w:color w:val="auto"/>
        </w:rPr>
      </w:pPr>
    </w:p>
    <w:p w14:paraId="1F549AC8">
      <w:pPr>
        <w:rPr>
          <w:color w:val="auto"/>
        </w:rPr>
      </w:pPr>
    </w:p>
    <w:p w14:paraId="0BC2ADF2">
      <w:pPr>
        <w:rPr>
          <w:color w:val="auto"/>
        </w:rPr>
      </w:pPr>
    </w:p>
    <w:p w14:paraId="4697D4BC">
      <w:pPr>
        <w:rPr>
          <w:color w:val="auto"/>
        </w:rPr>
      </w:pPr>
    </w:p>
    <w:p w14:paraId="49C91680">
      <w:pPr>
        <w:rPr>
          <w:color w:val="auto"/>
        </w:rPr>
      </w:pPr>
    </w:p>
    <w:p w14:paraId="4270FD0C">
      <w:pPr>
        <w:rPr>
          <w:color w:val="auto"/>
        </w:rPr>
      </w:pPr>
    </w:p>
    <w:p w14:paraId="03A89951">
      <w:pPr>
        <w:rPr>
          <w:color w:val="auto"/>
        </w:rPr>
      </w:pPr>
    </w:p>
    <w:p w14:paraId="760E77BD">
      <w:pPr>
        <w:rPr>
          <w:color w:val="auto"/>
        </w:rPr>
      </w:pPr>
    </w:p>
    <w:p w14:paraId="24147A29">
      <w:pPr>
        <w:rPr>
          <w:color w:val="auto"/>
        </w:rPr>
      </w:pPr>
    </w:p>
    <w:p w14:paraId="409F2AF8">
      <w:pPr>
        <w:rPr>
          <w:color w:val="auto"/>
        </w:rPr>
      </w:pPr>
    </w:p>
    <w:p w14:paraId="35404F26">
      <w:pPr>
        <w:rPr>
          <w:color w:val="auto"/>
        </w:rPr>
      </w:pPr>
    </w:p>
    <w:p w14:paraId="7F294396">
      <w:pPr>
        <w:rPr>
          <w:color w:val="auto"/>
        </w:rPr>
      </w:pPr>
    </w:p>
    <w:p w14:paraId="6D12C913">
      <w:pPr>
        <w:rPr>
          <w:color w:val="auto"/>
        </w:rPr>
      </w:pPr>
    </w:p>
    <w:p w14:paraId="04B8DA36">
      <w:pPr>
        <w:rPr>
          <w:color w:val="auto"/>
        </w:rPr>
      </w:pPr>
    </w:p>
    <w:p w14:paraId="42980A48">
      <w:pPr>
        <w:rPr>
          <w:color w:val="auto"/>
        </w:rPr>
      </w:pPr>
    </w:p>
    <w:p w14:paraId="5DCF3CA1">
      <w:pPr>
        <w:rPr>
          <w:color w:val="auto"/>
        </w:rPr>
      </w:pPr>
    </w:p>
    <w:p w14:paraId="7255C979">
      <w:pPr>
        <w:rPr>
          <w:color w:val="auto"/>
        </w:rPr>
      </w:pPr>
    </w:p>
    <w:p w14:paraId="601F10C1">
      <w:pPr>
        <w:rPr>
          <w:color w:val="auto"/>
        </w:rPr>
      </w:pPr>
    </w:p>
    <w:p w14:paraId="22D2A83D">
      <w:pPr>
        <w:rPr>
          <w:color w:val="auto"/>
        </w:rPr>
      </w:pPr>
    </w:p>
    <w:p w14:paraId="068CE3C3">
      <w:pPr>
        <w:rPr>
          <w:color w:val="auto"/>
        </w:rPr>
      </w:pPr>
    </w:p>
    <w:p w14:paraId="660A5AC6">
      <w:pPr>
        <w:pStyle w:val="11"/>
        <w:rPr>
          <w:color w:val="auto"/>
        </w:rPr>
      </w:pPr>
      <w:bookmarkStart w:id="233" w:name="_Toc433093363"/>
      <w:bookmarkStart w:id="234" w:name="_Toc27934"/>
    </w:p>
    <w:p w14:paraId="36493AD7">
      <w:pPr>
        <w:rPr>
          <w:color w:val="auto"/>
        </w:rPr>
      </w:pPr>
      <w:bookmarkStart w:id="235" w:name="_Toc5466"/>
      <w:bookmarkStart w:id="236" w:name="_Toc1280"/>
      <w:r>
        <w:rPr>
          <w:rFonts w:hint="eastAsia"/>
          <w:color w:val="auto"/>
        </w:rPr>
        <w:br w:type="page"/>
      </w:r>
    </w:p>
    <w:p w14:paraId="32632CF0">
      <w:pPr>
        <w:pStyle w:val="2"/>
        <w:ind w:firstLine="883"/>
        <w:rPr>
          <w:color w:val="auto"/>
        </w:rPr>
      </w:pPr>
      <w:bookmarkStart w:id="237" w:name="_Toc3096"/>
      <w:r>
        <w:rPr>
          <w:rFonts w:hint="eastAsia"/>
          <w:color w:val="auto"/>
        </w:rPr>
        <w:t>第七章 响应文件格式</w:t>
      </w:r>
      <w:bookmarkEnd w:id="233"/>
      <w:bookmarkEnd w:id="234"/>
      <w:bookmarkEnd w:id="235"/>
      <w:bookmarkEnd w:id="236"/>
      <w:bookmarkEnd w:id="237"/>
    </w:p>
    <w:p w14:paraId="21BFBD12">
      <w:pPr>
        <w:rPr>
          <w:color w:val="auto"/>
        </w:rPr>
      </w:pPr>
      <w:bookmarkStart w:id="238" w:name="_Toc433093364"/>
      <w:bookmarkStart w:id="239" w:name="_Toc453668259"/>
      <w:bookmarkStart w:id="240" w:name="_Toc7721"/>
      <w:bookmarkStart w:id="241" w:name="_Toc9988"/>
      <w:bookmarkStart w:id="242" w:name="_Toc331793699"/>
      <w:bookmarkStart w:id="243" w:name="_Toc8619"/>
      <w:r>
        <w:rPr>
          <w:rFonts w:hint="eastAsia"/>
          <w:color w:val="auto"/>
        </w:rPr>
        <w:t>封面格式：</w:t>
      </w:r>
      <w:bookmarkEnd w:id="238"/>
      <w:bookmarkEnd w:id="239"/>
      <w:bookmarkEnd w:id="240"/>
      <w:bookmarkEnd w:id="241"/>
      <w:bookmarkEnd w:id="242"/>
      <w:bookmarkEnd w:id="243"/>
    </w:p>
    <w:p w14:paraId="53C512C3">
      <w:pPr>
        <w:rPr>
          <w:color w:val="auto"/>
        </w:rPr>
      </w:pPr>
    </w:p>
    <w:p w14:paraId="4A6D97A9">
      <w:pPr>
        <w:jc w:val="center"/>
        <w:rPr>
          <w:color w:val="auto"/>
        </w:rPr>
      </w:pPr>
      <w:r>
        <w:rPr>
          <w:rFonts w:hint="eastAsia"/>
          <w:color w:val="auto"/>
        </w:rPr>
        <w:t>***************项目</w:t>
      </w:r>
    </w:p>
    <w:p w14:paraId="695FF98C">
      <w:pPr>
        <w:rPr>
          <w:color w:val="auto"/>
        </w:rPr>
      </w:pPr>
    </w:p>
    <w:p w14:paraId="21F550D2">
      <w:pPr>
        <w:rPr>
          <w:color w:val="auto"/>
        </w:rPr>
      </w:pPr>
    </w:p>
    <w:p w14:paraId="5B2A3D69">
      <w:pPr>
        <w:rPr>
          <w:color w:val="auto"/>
        </w:rPr>
      </w:pPr>
    </w:p>
    <w:p w14:paraId="7E82DD07">
      <w:pPr>
        <w:rPr>
          <w:color w:val="auto"/>
        </w:rPr>
      </w:pPr>
    </w:p>
    <w:p w14:paraId="7D66475B">
      <w:pPr>
        <w:pStyle w:val="16"/>
        <w:ind w:firstLine="0" w:firstLineChars="0"/>
        <w:rPr>
          <w:color w:val="auto"/>
        </w:rPr>
      </w:pPr>
    </w:p>
    <w:p w14:paraId="57CC6AF7">
      <w:pPr>
        <w:jc w:val="center"/>
        <w:rPr>
          <w:color w:val="auto"/>
        </w:rPr>
      </w:pPr>
      <w:r>
        <w:rPr>
          <w:rFonts w:hint="eastAsia"/>
          <w:color w:val="auto"/>
        </w:rPr>
        <w:t>响应文件</w:t>
      </w:r>
    </w:p>
    <w:p w14:paraId="583057C7">
      <w:pPr>
        <w:rPr>
          <w:color w:val="auto"/>
        </w:rPr>
      </w:pPr>
    </w:p>
    <w:p w14:paraId="51A44329">
      <w:pPr>
        <w:rPr>
          <w:color w:val="auto"/>
        </w:rPr>
      </w:pPr>
    </w:p>
    <w:p w14:paraId="25B15BE1">
      <w:pPr>
        <w:rPr>
          <w:color w:val="auto"/>
        </w:rPr>
      </w:pPr>
    </w:p>
    <w:p w14:paraId="201E945E">
      <w:pPr>
        <w:rPr>
          <w:color w:val="auto"/>
        </w:rPr>
      </w:pPr>
    </w:p>
    <w:p w14:paraId="502E9484">
      <w:pPr>
        <w:rPr>
          <w:color w:val="auto"/>
        </w:rPr>
      </w:pPr>
    </w:p>
    <w:p w14:paraId="260478E7">
      <w:pPr>
        <w:rPr>
          <w:color w:val="auto"/>
        </w:rPr>
      </w:pPr>
    </w:p>
    <w:p w14:paraId="149EED71">
      <w:pPr>
        <w:rPr>
          <w:color w:val="auto"/>
        </w:rPr>
      </w:pPr>
    </w:p>
    <w:p w14:paraId="3007D262">
      <w:pPr>
        <w:rPr>
          <w:color w:val="auto"/>
        </w:rPr>
      </w:pPr>
    </w:p>
    <w:p w14:paraId="371EB445">
      <w:pPr>
        <w:rPr>
          <w:color w:val="auto"/>
        </w:rPr>
      </w:pPr>
    </w:p>
    <w:p w14:paraId="2FF69D86">
      <w:pPr>
        <w:rPr>
          <w:color w:val="auto"/>
        </w:rPr>
      </w:pPr>
    </w:p>
    <w:p w14:paraId="2305EB15">
      <w:pPr>
        <w:rPr>
          <w:color w:val="auto"/>
        </w:rPr>
      </w:pPr>
    </w:p>
    <w:p w14:paraId="35185075">
      <w:pPr>
        <w:rPr>
          <w:color w:val="auto"/>
        </w:rPr>
      </w:pPr>
    </w:p>
    <w:p w14:paraId="00D36B74">
      <w:pPr>
        <w:rPr>
          <w:color w:val="auto"/>
        </w:rPr>
      </w:pPr>
    </w:p>
    <w:p w14:paraId="49CDF78A">
      <w:pPr>
        <w:rPr>
          <w:color w:val="auto"/>
        </w:rPr>
      </w:pPr>
    </w:p>
    <w:p w14:paraId="7D9E3E06">
      <w:pPr>
        <w:rPr>
          <w:color w:val="auto"/>
        </w:rPr>
      </w:pPr>
    </w:p>
    <w:p w14:paraId="3ABE7021">
      <w:pPr>
        <w:rPr>
          <w:color w:val="auto"/>
        </w:rPr>
      </w:pPr>
    </w:p>
    <w:p w14:paraId="36E076E2">
      <w:pPr>
        <w:rPr>
          <w:color w:val="auto"/>
        </w:rPr>
      </w:pPr>
    </w:p>
    <w:p w14:paraId="5C3D8E39">
      <w:pPr>
        <w:jc w:val="center"/>
        <w:rPr>
          <w:color w:val="auto"/>
        </w:rPr>
      </w:pPr>
      <w:r>
        <w:rPr>
          <w:rFonts w:hint="eastAsia"/>
          <w:color w:val="auto"/>
        </w:rPr>
        <w:t>供应商：                      （盖企业电子章）</w:t>
      </w:r>
    </w:p>
    <w:p w14:paraId="4085FD8B">
      <w:pPr>
        <w:jc w:val="center"/>
        <w:rPr>
          <w:color w:val="auto"/>
        </w:rPr>
      </w:pPr>
      <w:r>
        <w:rPr>
          <w:rFonts w:hint="eastAsia"/>
          <w:color w:val="auto"/>
        </w:rPr>
        <w:t>法定代表人或其委托代理人：</w:t>
      </w:r>
      <w:r>
        <w:rPr>
          <w:rFonts w:hint="eastAsia"/>
          <w:color w:val="auto"/>
          <w:u w:val="single"/>
        </w:rPr>
        <w:t xml:space="preserve">         </w:t>
      </w:r>
      <w:r>
        <w:rPr>
          <w:rFonts w:hint="eastAsia"/>
          <w:color w:val="auto"/>
        </w:rPr>
        <w:t>（签字或盖章或电子签章）</w:t>
      </w:r>
    </w:p>
    <w:p w14:paraId="6F5C995B">
      <w:pPr>
        <w:jc w:val="center"/>
        <w:rPr>
          <w:color w:val="auto"/>
        </w:rPr>
      </w:pPr>
    </w:p>
    <w:p w14:paraId="4E742C6C">
      <w:pPr>
        <w:jc w:val="center"/>
        <w:rPr>
          <w:color w:val="auto"/>
        </w:rPr>
      </w:pPr>
      <w:r>
        <w:rPr>
          <w:rFonts w:hint="eastAsia"/>
          <w:color w:val="auto"/>
        </w:rPr>
        <w:t>年   月   日</w:t>
      </w:r>
    </w:p>
    <w:p w14:paraId="59D90885">
      <w:pPr>
        <w:jc w:val="center"/>
        <w:rPr>
          <w:color w:val="auto"/>
        </w:rPr>
      </w:pPr>
    </w:p>
    <w:p w14:paraId="7628B59F">
      <w:pPr>
        <w:rPr>
          <w:color w:val="auto"/>
        </w:rPr>
      </w:pPr>
    </w:p>
    <w:p w14:paraId="12CC96C4">
      <w:pPr>
        <w:widowControl/>
        <w:wordWrap/>
        <w:spacing w:line="240" w:lineRule="auto"/>
        <w:ind w:firstLine="0" w:firstLineChars="0"/>
        <w:jc w:val="left"/>
        <w:rPr>
          <w:color w:val="auto"/>
        </w:rPr>
      </w:pPr>
      <w:r>
        <w:rPr>
          <w:color w:val="auto"/>
        </w:rPr>
        <w:br w:type="page"/>
      </w:r>
    </w:p>
    <w:p w14:paraId="4DC0965F">
      <w:pPr>
        <w:jc w:val="center"/>
        <w:rPr>
          <w:color w:val="auto"/>
        </w:rPr>
      </w:pPr>
      <w:r>
        <w:rPr>
          <w:rFonts w:hint="eastAsia"/>
          <w:color w:val="auto"/>
        </w:rPr>
        <w:t>目   录</w:t>
      </w:r>
    </w:p>
    <w:p w14:paraId="7055AB0D">
      <w:pPr>
        <w:rPr>
          <w:color w:val="auto"/>
        </w:rPr>
      </w:pPr>
      <w:r>
        <w:rPr>
          <w:rFonts w:hint="eastAsia"/>
          <w:color w:val="auto"/>
        </w:rPr>
        <w:t>一、磋商响应函及磋商报价一览表</w:t>
      </w:r>
    </w:p>
    <w:p w14:paraId="21900B2F">
      <w:pPr>
        <w:rPr>
          <w:color w:val="auto"/>
        </w:rPr>
      </w:pPr>
      <w:r>
        <w:rPr>
          <w:rFonts w:hint="eastAsia"/>
          <w:color w:val="auto"/>
        </w:rPr>
        <w:t>二、法定代表人身份证明书</w:t>
      </w:r>
    </w:p>
    <w:p w14:paraId="2E09CE7C">
      <w:pPr>
        <w:rPr>
          <w:color w:val="auto"/>
        </w:rPr>
      </w:pPr>
      <w:r>
        <w:rPr>
          <w:rFonts w:hint="eastAsia"/>
          <w:color w:val="auto"/>
        </w:rPr>
        <w:t>三、法定代表人授权委托书</w:t>
      </w:r>
    </w:p>
    <w:p w14:paraId="49433EAB">
      <w:pPr>
        <w:rPr>
          <w:color w:val="auto"/>
        </w:rPr>
      </w:pPr>
      <w:r>
        <w:rPr>
          <w:rFonts w:hint="eastAsia"/>
          <w:color w:val="auto"/>
        </w:rPr>
        <w:t>四、承诺书</w:t>
      </w:r>
    </w:p>
    <w:p w14:paraId="33C7F4DF">
      <w:pPr>
        <w:rPr>
          <w:color w:val="auto"/>
        </w:rPr>
      </w:pPr>
      <w:r>
        <w:rPr>
          <w:rFonts w:hint="eastAsia"/>
          <w:color w:val="auto"/>
        </w:rPr>
        <w:t>五、资格审查资料</w:t>
      </w:r>
    </w:p>
    <w:p w14:paraId="1909E52F">
      <w:pPr>
        <w:rPr>
          <w:color w:val="auto"/>
        </w:rPr>
      </w:pPr>
      <w:r>
        <w:rPr>
          <w:rFonts w:hint="eastAsia"/>
          <w:color w:val="auto"/>
        </w:rPr>
        <w:t>六、分项报价表</w:t>
      </w:r>
    </w:p>
    <w:p w14:paraId="2BA9EB35">
      <w:pPr>
        <w:rPr>
          <w:color w:val="auto"/>
        </w:rPr>
      </w:pPr>
      <w:r>
        <w:rPr>
          <w:rFonts w:hint="eastAsia"/>
          <w:color w:val="auto"/>
        </w:rPr>
        <w:t>七、技术文件</w:t>
      </w:r>
    </w:p>
    <w:p w14:paraId="30B10D66">
      <w:pPr>
        <w:rPr>
          <w:color w:val="auto"/>
        </w:rPr>
      </w:pPr>
      <w:r>
        <w:rPr>
          <w:rFonts w:hint="eastAsia"/>
          <w:color w:val="auto"/>
        </w:rPr>
        <w:t>八、综合证明文件</w:t>
      </w:r>
    </w:p>
    <w:p w14:paraId="135BBDED">
      <w:pPr>
        <w:rPr>
          <w:color w:val="auto"/>
        </w:rPr>
      </w:pPr>
      <w:r>
        <w:rPr>
          <w:rFonts w:hint="eastAsia"/>
          <w:color w:val="auto"/>
        </w:rPr>
        <w:t>九、其他资料</w:t>
      </w:r>
    </w:p>
    <w:p w14:paraId="4191E598">
      <w:pPr>
        <w:rPr>
          <w:color w:val="auto"/>
        </w:rPr>
      </w:pPr>
      <w:r>
        <w:rPr>
          <w:rFonts w:hint="eastAsia"/>
          <w:color w:val="auto"/>
        </w:rPr>
        <w:t>十、政府采购相关政策文件</w:t>
      </w:r>
    </w:p>
    <w:p w14:paraId="1521D06A">
      <w:pPr>
        <w:pStyle w:val="6"/>
        <w:ind w:firstLine="422"/>
        <w:rPr>
          <w:rFonts w:hint="eastAsia"/>
          <w:color w:val="auto"/>
          <w:szCs w:val="21"/>
        </w:rPr>
      </w:pPr>
      <w:r>
        <w:rPr>
          <w:rFonts w:hint="eastAsia"/>
          <w:color w:val="auto"/>
          <w:sz w:val="21"/>
          <w:szCs w:val="21"/>
        </w:rPr>
        <w:br w:type="page"/>
      </w:r>
      <w:r>
        <w:rPr>
          <w:rFonts w:hint="eastAsia"/>
          <w:color w:val="auto"/>
        </w:rPr>
        <w:t>一、磋商响应函及磋商报价一览表</w:t>
      </w:r>
    </w:p>
    <w:p w14:paraId="4D451DF7">
      <w:pPr>
        <w:pStyle w:val="94"/>
        <w:rPr>
          <w:rFonts w:hint="eastAsia"/>
          <w:color w:val="auto"/>
        </w:rPr>
      </w:pPr>
      <w:bookmarkStart w:id="244" w:name="_Toc13613"/>
      <w:bookmarkStart w:id="245" w:name="_Toc20026"/>
      <w:bookmarkStart w:id="246" w:name="_Toc32602"/>
      <w:bookmarkStart w:id="247" w:name="_Toc27802"/>
      <w:bookmarkStart w:id="248" w:name="_Toc23737"/>
      <w:r>
        <w:rPr>
          <w:rFonts w:hint="eastAsia"/>
          <w:color w:val="auto"/>
        </w:rPr>
        <w:t>1.磋商响应函</w:t>
      </w:r>
      <w:bookmarkEnd w:id="244"/>
      <w:bookmarkEnd w:id="245"/>
      <w:bookmarkEnd w:id="246"/>
      <w:bookmarkEnd w:id="247"/>
      <w:bookmarkEnd w:id="248"/>
    </w:p>
    <w:p w14:paraId="6F9B740E">
      <w:pPr>
        <w:rPr>
          <w:color w:val="auto"/>
        </w:rPr>
      </w:pPr>
      <w:r>
        <w:rPr>
          <w:rFonts w:hint="eastAsia"/>
          <w:color w:val="auto"/>
        </w:rPr>
        <w:t>致：        （填写采购人名称）</w:t>
      </w:r>
    </w:p>
    <w:p w14:paraId="39C0296F">
      <w:pPr>
        <w:pStyle w:val="16"/>
        <w:rPr>
          <w:color w:val="auto"/>
        </w:rPr>
      </w:pPr>
      <w:r>
        <w:rPr>
          <w:rFonts w:hint="eastAsia"/>
          <w:color w:val="auto"/>
        </w:rPr>
        <w:t>我们获取了</w:t>
      </w:r>
      <w:r>
        <w:rPr>
          <w:rFonts w:hint="eastAsia"/>
          <w:color w:val="auto"/>
          <w:u w:val="single"/>
        </w:rPr>
        <w:t xml:space="preserve">                （填写项且名称）</w:t>
      </w:r>
      <w:r>
        <w:rPr>
          <w:rFonts w:hint="eastAsia"/>
          <w:color w:val="auto"/>
        </w:rPr>
        <w:t>的竞争性磋商文件，经详细研究竞争性磋商文件的全部内容，委托代理人</w:t>
      </w:r>
      <w:r>
        <w:rPr>
          <w:rFonts w:hint="eastAsia"/>
          <w:color w:val="auto"/>
          <w:u w:val="single"/>
        </w:rPr>
        <w:t xml:space="preserve">           </w:t>
      </w:r>
      <w:r>
        <w:rPr>
          <w:rFonts w:hint="eastAsia"/>
          <w:color w:val="auto"/>
        </w:rPr>
        <w:t>（姓名）经正式授权并代表供应商</w:t>
      </w:r>
      <w:r>
        <w:rPr>
          <w:rFonts w:hint="eastAsia"/>
          <w:color w:val="auto"/>
          <w:u w:val="single"/>
        </w:rPr>
        <w:t xml:space="preserve">                  </w:t>
      </w:r>
      <w:r>
        <w:rPr>
          <w:rFonts w:hint="eastAsia"/>
          <w:color w:val="auto"/>
        </w:rPr>
        <w:t>（名称）决定参加该项目的磋商采购活动并按要求提交响应文件。我方郑重声明以下诸点并负法律责任：</w:t>
      </w:r>
    </w:p>
    <w:p w14:paraId="1C0253FA">
      <w:pPr>
        <w:rPr>
          <w:color w:val="auto"/>
        </w:rPr>
      </w:pPr>
      <w:r>
        <w:rPr>
          <w:rFonts w:hint="eastAsia"/>
          <w:color w:val="auto"/>
        </w:rPr>
        <w:t>（1）愿意按照竞争性磋商文件中规定的条款和要求，提供完成竞争性磋商文件规定的全部工作，磋商总报价为（大写）</w:t>
      </w:r>
      <w:r>
        <w:rPr>
          <w:rFonts w:hint="eastAsia"/>
          <w:color w:val="auto"/>
          <w:u w:val="single"/>
        </w:rPr>
        <w:t xml:space="preserve">      </w:t>
      </w:r>
      <w:r>
        <w:rPr>
          <w:rFonts w:hint="eastAsia"/>
          <w:color w:val="auto"/>
        </w:rPr>
        <w:t>元人民币（小写RMB￥：</w:t>
      </w:r>
      <w:r>
        <w:rPr>
          <w:rFonts w:hint="eastAsia"/>
          <w:color w:val="auto"/>
          <w:u w:val="single"/>
        </w:rPr>
        <w:t xml:space="preserve">        </w:t>
      </w:r>
      <w:r>
        <w:rPr>
          <w:rFonts w:hint="eastAsia"/>
          <w:color w:val="auto"/>
        </w:rPr>
        <w:t>元）；交货期：</w:t>
      </w:r>
      <w:r>
        <w:rPr>
          <w:rFonts w:hint="eastAsia"/>
          <w:color w:val="auto"/>
          <w:u w:val="single"/>
        </w:rPr>
        <w:t xml:space="preserve">          </w:t>
      </w:r>
      <w:r>
        <w:rPr>
          <w:rFonts w:hint="eastAsia"/>
          <w:color w:val="auto"/>
        </w:rPr>
        <w:t xml:space="preserve"> 。</w:t>
      </w:r>
    </w:p>
    <w:p w14:paraId="205C70B1">
      <w:pPr>
        <w:rPr>
          <w:color w:val="auto"/>
        </w:rPr>
      </w:pPr>
      <w:r>
        <w:rPr>
          <w:rFonts w:hint="eastAsia"/>
          <w:color w:val="auto"/>
        </w:rPr>
        <w:t>（2）响应文件有效期为自响应文件递交截止之日起90日历天。</w:t>
      </w:r>
    </w:p>
    <w:p w14:paraId="155C0C19">
      <w:pPr>
        <w:pStyle w:val="16"/>
        <w:rPr>
          <w:color w:val="auto"/>
        </w:rPr>
      </w:pPr>
      <w:r>
        <w:rPr>
          <w:rFonts w:hint="eastAsia"/>
          <w:color w:val="auto"/>
        </w:rPr>
        <w:t>（3）如我方的响应文件被接受，我们将履行竞争性磋商文件中规定的各项要求。</w:t>
      </w:r>
    </w:p>
    <w:p w14:paraId="0748CDBD">
      <w:pPr>
        <w:pStyle w:val="16"/>
        <w:rPr>
          <w:color w:val="auto"/>
        </w:rPr>
      </w:pPr>
      <w:r>
        <w:rPr>
          <w:rFonts w:hint="eastAsia"/>
          <w:color w:val="auto"/>
        </w:rPr>
        <w:t>（4）我方已经详细审查了本项目竞争性磋商文件的全部内容，包括所有补充通知、更正等（如果有的话），如有需要澄清（或异议）的问题，我方同意按竞争性磋商文件规定的时间向采购人提出。逾期不提，我方同意放弃对这方面有不明及误解的权利。</w:t>
      </w:r>
    </w:p>
    <w:p w14:paraId="0F09770C">
      <w:pPr>
        <w:pStyle w:val="16"/>
        <w:rPr>
          <w:color w:val="auto"/>
        </w:rPr>
      </w:pPr>
      <w:r>
        <w:rPr>
          <w:rFonts w:hint="eastAsia"/>
          <w:color w:val="auto"/>
        </w:rPr>
        <w:t>（5）我方按照竞争性磋商文件的要求提供相关数据或资料，完全理解采购人不一定接受报价最低的响应文件。</w:t>
      </w:r>
    </w:p>
    <w:p w14:paraId="7928C15A">
      <w:pPr>
        <w:pStyle w:val="16"/>
        <w:rPr>
          <w:color w:val="auto"/>
        </w:rPr>
      </w:pPr>
      <w:r>
        <w:rPr>
          <w:rFonts w:hint="eastAsia"/>
          <w:color w:val="auto"/>
        </w:rPr>
        <w:t>（6）按照竞争性磋商文件的规定，在收到成交通知书时向采购代理机构一次性支付采购代理服务费。</w:t>
      </w:r>
    </w:p>
    <w:p w14:paraId="2B8E8A2A">
      <w:pPr>
        <w:pStyle w:val="16"/>
        <w:rPr>
          <w:color w:val="auto"/>
        </w:rPr>
      </w:pPr>
      <w:r>
        <w:rPr>
          <w:rFonts w:hint="eastAsia"/>
          <w:color w:val="auto"/>
        </w:rPr>
        <w:t>（7）完全理解并无条件承担成交后不与采购人签订合同的法律后果。</w:t>
      </w:r>
    </w:p>
    <w:p w14:paraId="16573976">
      <w:pPr>
        <w:pStyle w:val="16"/>
        <w:rPr>
          <w:color w:val="auto"/>
        </w:rPr>
      </w:pPr>
      <w:r>
        <w:rPr>
          <w:rFonts w:hint="eastAsia"/>
          <w:color w:val="auto"/>
        </w:rPr>
        <w:t>（8）我方愿按《中华人民共和国民法典》履行自己的全部责任和义务。</w:t>
      </w:r>
    </w:p>
    <w:p w14:paraId="2B44334B">
      <w:pPr>
        <w:pStyle w:val="16"/>
        <w:rPr>
          <w:color w:val="auto"/>
        </w:rPr>
      </w:pPr>
      <w:r>
        <w:rPr>
          <w:rFonts w:hint="eastAsia"/>
          <w:color w:val="auto"/>
        </w:rPr>
        <w:t>（9）我方在此声明，所递交的响应文件中所有内容及资料均真实、有效、准确。如有弄虚作假情况出现，愿意按照竞争性磋商文件中的相关规定承担责任并接受相关处罚。</w:t>
      </w:r>
    </w:p>
    <w:p w14:paraId="72708C66">
      <w:pPr>
        <w:pStyle w:val="16"/>
        <w:rPr>
          <w:color w:val="auto"/>
        </w:rPr>
      </w:pPr>
    </w:p>
    <w:p w14:paraId="62C7222F">
      <w:pPr>
        <w:pStyle w:val="16"/>
        <w:rPr>
          <w:color w:val="auto"/>
        </w:rPr>
      </w:pPr>
      <w:r>
        <w:rPr>
          <w:rFonts w:hint="eastAsia"/>
          <w:color w:val="auto"/>
        </w:rPr>
        <w:t>与本供应商有关的正式通讯地址：</w:t>
      </w:r>
      <w:r>
        <w:rPr>
          <w:rFonts w:hint="eastAsia"/>
          <w:color w:val="auto"/>
          <w:u w:val="single"/>
        </w:rPr>
        <w:t xml:space="preserve"> </w:t>
      </w:r>
      <w:r>
        <w:rPr>
          <w:rFonts w:hint="eastAsia"/>
          <w:color w:val="auto"/>
          <w:u w:val="single"/>
        </w:rPr>
        <w:tab/>
      </w:r>
      <w:r>
        <w:rPr>
          <w:rFonts w:hint="eastAsia"/>
          <w:color w:val="auto"/>
          <w:u w:val="single"/>
        </w:rPr>
        <w:t xml:space="preserve">      </w:t>
      </w:r>
    </w:p>
    <w:p w14:paraId="0C774C1B">
      <w:pPr>
        <w:pStyle w:val="16"/>
        <w:rPr>
          <w:color w:val="auto"/>
        </w:rPr>
      </w:pPr>
      <w:r>
        <w:rPr>
          <w:rFonts w:hint="eastAsia"/>
          <w:color w:val="auto"/>
        </w:rPr>
        <w:t xml:space="preserve">联系电话： </w:t>
      </w:r>
      <w:r>
        <w:rPr>
          <w:rFonts w:hint="eastAsia"/>
          <w:color w:val="auto"/>
        </w:rPr>
        <w:tab/>
      </w:r>
      <w:r>
        <w:rPr>
          <w:rFonts w:hint="eastAsia"/>
          <w:color w:val="auto"/>
        </w:rPr>
        <w:t xml:space="preserve">                    </w:t>
      </w:r>
    </w:p>
    <w:p w14:paraId="57AF51EB">
      <w:pPr>
        <w:pStyle w:val="16"/>
        <w:rPr>
          <w:color w:val="auto"/>
        </w:rPr>
      </w:pPr>
      <w:r>
        <w:rPr>
          <w:rFonts w:hint="eastAsia"/>
          <w:color w:val="auto"/>
        </w:rPr>
        <w:t xml:space="preserve">供应商电子邮箱： </w:t>
      </w:r>
      <w:r>
        <w:rPr>
          <w:rFonts w:hint="eastAsia"/>
          <w:color w:val="auto"/>
        </w:rPr>
        <w:tab/>
      </w:r>
      <w:r>
        <w:rPr>
          <w:rFonts w:hint="eastAsia"/>
          <w:color w:val="auto"/>
        </w:rPr>
        <w:t xml:space="preserve">             </w:t>
      </w:r>
    </w:p>
    <w:p w14:paraId="7BE6815B">
      <w:pPr>
        <w:rPr>
          <w:color w:val="auto"/>
        </w:rPr>
      </w:pPr>
      <w:r>
        <w:rPr>
          <w:rFonts w:hint="eastAsia"/>
          <w:color w:val="auto"/>
        </w:rPr>
        <w:t xml:space="preserve">供应商（盖企业电子章）：                                   </w:t>
      </w:r>
    </w:p>
    <w:p w14:paraId="54FD69DB">
      <w:pPr>
        <w:rPr>
          <w:color w:val="auto"/>
        </w:rPr>
      </w:pPr>
      <w:r>
        <w:rPr>
          <w:rFonts w:hint="eastAsia"/>
          <w:color w:val="auto"/>
        </w:rPr>
        <w:t>法定代表人或其委托代理人（签字或盖章或电子签章）：</w:t>
      </w:r>
      <w:r>
        <w:rPr>
          <w:rFonts w:hint="eastAsia"/>
          <w:color w:val="auto"/>
          <w:u w:val="single"/>
        </w:rPr>
        <w:t xml:space="preserve">           </w:t>
      </w:r>
    </w:p>
    <w:p w14:paraId="18D2E2AF">
      <w:pPr>
        <w:rPr>
          <w:color w:val="auto"/>
        </w:rPr>
      </w:pPr>
      <w:r>
        <w:rPr>
          <w:rFonts w:hint="eastAsia"/>
          <w:color w:val="auto"/>
        </w:rPr>
        <w:t xml:space="preserve">日期：   </w:t>
      </w:r>
      <w:r>
        <w:rPr>
          <w:rFonts w:hint="eastAsia"/>
          <w:color w:val="auto"/>
        </w:rPr>
        <w:tab/>
      </w:r>
      <w:r>
        <w:rPr>
          <w:rFonts w:hint="eastAsia"/>
          <w:color w:val="auto"/>
        </w:rPr>
        <w:t xml:space="preserve">年    </w:t>
      </w:r>
      <w:r>
        <w:rPr>
          <w:rFonts w:hint="eastAsia"/>
          <w:color w:val="auto"/>
        </w:rPr>
        <w:tab/>
      </w:r>
      <w:r>
        <w:rPr>
          <w:rFonts w:hint="eastAsia"/>
          <w:color w:val="auto"/>
        </w:rPr>
        <w:t xml:space="preserve">月    </w:t>
      </w:r>
      <w:r>
        <w:rPr>
          <w:rFonts w:hint="eastAsia"/>
          <w:color w:val="auto"/>
        </w:rPr>
        <w:tab/>
      </w:r>
      <w:r>
        <w:rPr>
          <w:rFonts w:hint="eastAsia"/>
          <w:color w:val="auto"/>
        </w:rPr>
        <w:t>日</w:t>
      </w:r>
    </w:p>
    <w:p w14:paraId="6D4F0B2B">
      <w:pPr>
        <w:ind w:firstLine="0" w:firstLineChars="0"/>
        <w:rPr>
          <w:color w:val="auto"/>
        </w:rPr>
      </w:pPr>
      <w:bookmarkStart w:id="249" w:name="_Toc29216"/>
      <w:bookmarkStart w:id="250" w:name="_Toc29258"/>
      <w:bookmarkStart w:id="251" w:name="_Toc18949"/>
      <w:bookmarkStart w:id="252" w:name="_Toc26579"/>
      <w:bookmarkStart w:id="253" w:name="_Toc4181"/>
    </w:p>
    <w:p w14:paraId="0C6C6849">
      <w:pPr>
        <w:rPr>
          <w:rFonts w:hint="eastAsia" w:asciiTheme="minorEastAsia" w:hAnsiTheme="minorEastAsia" w:eastAsiaTheme="minorEastAsia" w:cstheme="minorEastAsia"/>
          <w:color w:val="auto"/>
          <w:szCs w:val="21"/>
        </w:rPr>
      </w:pPr>
      <w:r>
        <w:rPr>
          <w:rFonts w:hint="eastAsia"/>
          <w:color w:val="auto"/>
        </w:rPr>
        <w:br w:type="page"/>
      </w:r>
    </w:p>
    <w:p w14:paraId="35E96F25">
      <w:pPr>
        <w:pStyle w:val="94"/>
        <w:rPr>
          <w:rFonts w:hint="eastAsia"/>
          <w:color w:val="auto"/>
        </w:rPr>
      </w:pPr>
      <w:r>
        <w:rPr>
          <w:rFonts w:hint="eastAsia"/>
          <w:color w:val="auto"/>
        </w:rPr>
        <w:t>2.磋商报价一览表</w:t>
      </w:r>
      <w:bookmarkEnd w:id="249"/>
      <w:bookmarkEnd w:id="250"/>
      <w:bookmarkEnd w:id="251"/>
      <w:bookmarkEnd w:id="252"/>
      <w:bookmarkEnd w:id="253"/>
    </w:p>
    <w:tbl>
      <w:tblPr>
        <w:tblStyle w:val="38"/>
        <w:tblW w:w="9459" w:type="dxa"/>
        <w:jc w:val="center"/>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2607"/>
        <w:gridCol w:w="6852"/>
      </w:tblGrid>
      <w:tr w14:paraId="41CDB819">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850" w:hRule="exact"/>
          <w:jc w:val="center"/>
        </w:trPr>
        <w:tc>
          <w:tcPr>
            <w:tcW w:w="2607" w:type="dxa"/>
            <w:tcBorders>
              <w:bottom w:val="single" w:color="000000" w:sz="4" w:space="0"/>
              <w:right w:val="single" w:color="000000" w:sz="6" w:space="0"/>
            </w:tcBorders>
            <w:vAlign w:val="center"/>
          </w:tcPr>
          <w:p w14:paraId="5759A1E0">
            <w:pPr>
              <w:pStyle w:val="177"/>
              <w:jc w:val="center"/>
              <w:rPr>
                <w:rFonts w:hint="eastAsia"/>
                <w:color w:val="auto"/>
              </w:rPr>
            </w:pPr>
            <w:r>
              <w:rPr>
                <w:rFonts w:hint="eastAsia"/>
                <w:color w:val="auto"/>
              </w:rPr>
              <w:t>项目名称</w:t>
            </w:r>
          </w:p>
        </w:tc>
        <w:tc>
          <w:tcPr>
            <w:tcW w:w="6852" w:type="dxa"/>
            <w:tcBorders>
              <w:left w:val="single" w:color="000000" w:sz="6" w:space="0"/>
              <w:bottom w:val="single" w:color="000000" w:sz="4" w:space="0"/>
            </w:tcBorders>
            <w:vAlign w:val="center"/>
          </w:tcPr>
          <w:p w14:paraId="24A3FA80">
            <w:pPr>
              <w:pStyle w:val="177"/>
              <w:rPr>
                <w:rFonts w:hint="eastAsia"/>
                <w:color w:val="auto"/>
              </w:rPr>
            </w:pPr>
          </w:p>
        </w:tc>
      </w:tr>
      <w:tr w14:paraId="18404AA3">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850" w:hRule="exact"/>
          <w:jc w:val="center"/>
        </w:trPr>
        <w:tc>
          <w:tcPr>
            <w:tcW w:w="2607" w:type="dxa"/>
            <w:tcBorders>
              <w:top w:val="single" w:color="000000" w:sz="4" w:space="0"/>
              <w:bottom w:val="single" w:color="000000" w:sz="4" w:space="0"/>
              <w:right w:val="single" w:color="000000" w:sz="6" w:space="0"/>
            </w:tcBorders>
            <w:vAlign w:val="center"/>
          </w:tcPr>
          <w:p w14:paraId="0C1C6862">
            <w:pPr>
              <w:pStyle w:val="177"/>
              <w:jc w:val="center"/>
              <w:rPr>
                <w:rFonts w:hint="eastAsia"/>
                <w:color w:val="auto"/>
              </w:rPr>
            </w:pPr>
            <w:r>
              <w:rPr>
                <w:rFonts w:hint="eastAsia"/>
                <w:color w:val="auto"/>
              </w:rPr>
              <w:t>供应商名称</w:t>
            </w:r>
          </w:p>
        </w:tc>
        <w:tc>
          <w:tcPr>
            <w:tcW w:w="6852" w:type="dxa"/>
            <w:tcBorders>
              <w:top w:val="single" w:color="000000" w:sz="4" w:space="0"/>
              <w:left w:val="single" w:color="000000" w:sz="6" w:space="0"/>
              <w:bottom w:val="single" w:color="000000" w:sz="4" w:space="0"/>
            </w:tcBorders>
            <w:vAlign w:val="center"/>
          </w:tcPr>
          <w:p w14:paraId="38DD2E26">
            <w:pPr>
              <w:pStyle w:val="177"/>
              <w:rPr>
                <w:rFonts w:hint="eastAsia"/>
                <w:color w:val="auto"/>
              </w:rPr>
            </w:pPr>
          </w:p>
        </w:tc>
      </w:tr>
      <w:tr w14:paraId="657C043A">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850" w:hRule="exact"/>
          <w:jc w:val="center"/>
        </w:trPr>
        <w:tc>
          <w:tcPr>
            <w:tcW w:w="2607" w:type="dxa"/>
            <w:tcBorders>
              <w:top w:val="single" w:color="000000" w:sz="4" w:space="0"/>
              <w:bottom w:val="single" w:color="000000" w:sz="6" w:space="0"/>
              <w:right w:val="single" w:color="000000" w:sz="6" w:space="0"/>
            </w:tcBorders>
            <w:vAlign w:val="center"/>
          </w:tcPr>
          <w:p w14:paraId="757C1917">
            <w:pPr>
              <w:pStyle w:val="177"/>
              <w:jc w:val="center"/>
              <w:rPr>
                <w:rFonts w:hint="eastAsia"/>
                <w:color w:val="auto"/>
              </w:rPr>
            </w:pPr>
            <w:r>
              <w:rPr>
                <w:rFonts w:hint="eastAsia"/>
                <w:color w:val="auto"/>
              </w:rPr>
              <w:t>磋商内容</w:t>
            </w:r>
          </w:p>
        </w:tc>
        <w:tc>
          <w:tcPr>
            <w:tcW w:w="6852" w:type="dxa"/>
            <w:tcBorders>
              <w:top w:val="single" w:color="000000" w:sz="4" w:space="0"/>
              <w:left w:val="single" w:color="000000" w:sz="6" w:space="0"/>
              <w:bottom w:val="single" w:color="000000" w:sz="6" w:space="0"/>
            </w:tcBorders>
            <w:vAlign w:val="center"/>
          </w:tcPr>
          <w:p w14:paraId="34DB8B4E">
            <w:pPr>
              <w:pStyle w:val="177"/>
              <w:rPr>
                <w:rFonts w:hint="eastAsia"/>
                <w:color w:val="auto"/>
              </w:rPr>
            </w:pPr>
          </w:p>
        </w:tc>
      </w:tr>
      <w:tr w14:paraId="0B2EE41A">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850" w:hRule="exact"/>
          <w:jc w:val="center"/>
        </w:trPr>
        <w:tc>
          <w:tcPr>
            <w:tcW w:w="2607" w:type="dxa"/>
            <w:tcBorders>
              <w:top w:val="single" w:color="000000" w:sz="6" w:space="0"/>
              <w:bottom w:val="single" w:color="000000" w:sz="4" w:space="0"/>
              <w:right w:val="single" w:color="000000" w:sz="6" w:space="0"/>
            </w:tcBorders>
            <w:vAlign w:val="center"/>
          </w:tcPr>
          <w:p w14:paraId="61BB1D8E">
            <w:pPr>
              <w:pStyle w:val="177"/>
              <w:jc w:val="center"/>
              <w:rPr>
                <w:rFonts w:hint="eastAsia"/>
                <w:color w:val="auto"/>
              </w:rPr>
            </w:pPr>
            <w:r>
              <w:rPr>
                <w:rFonts w:hint="eastAsia"/>
                <w:color w:val="auto"/>
              </w:rPr>
              <w:t>报价（大写）</w:t>
            </w:r>
          </w:p>
        </w:tc>
        <w:tc>
          <w:tcPr>
            <w:tcW w:w="6852" w:type="dxa"/>
            <w:tcBorders>
              <w:top w:val="single" w:color="000000" w:sz="6" w:space="0"/>
              <w:left w:val="single" w:color="000000" w:sz="6" w:space="0"/>
              <w:bottom w:val="single" w:color="000000" w:sz="6" w:space="0"/>
            </w:tcBorders>
            <w:vAlign w:val="center"/>
          </w:tcPr>
          <w:p w14:paraId="6269AD6C">
            <w:pPr>
              <w:pStyle w:val="177"/>
              <w:rPr>
                <w:rFonts w:hint="eastAsia"/>
                <w:color w:val="auto"/>
              </w:rPr>
            </w:pPr>
          </w:p>
        </w:tc>
      </w:tr>
      <w:tr w14:paraId="416BF372">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850" w:hRule="exact"/>
          <w:jc w:val="center"/>
        </w:trPr>
        <w:tc>
          <w:tcPr>
            <w:tcW w:w="2607" w:type="dxa"/>
            <w:tcBorders>
              <w:top w:val="nil"/>
              <w:bottom w:val="single" w:color="000000" w:sz="4" w:space="0"/>
              <w:right w:val="single" w:color="000000" w:sz="6" w:space="0"/>
            </w:tcBorders>
            <w:vAlign w:val="center"/>
          </w:tcPr>
          <w:p w14:paraId="20F16116">
            <w:pPr>
              <w:jc w:val="center"/>
              <w:rPr>
                <w:color w:val="auto"/>
              </w:rPr>
            </w:pPr>
            <w:r>
              <w:rPr>
                <w:rFonts w:hint="eastAsia"/>
                <w:color w:val="auto"/>
              </w:rPr>
              <w:t>报价（小写）</w:t>
            </w:r>
          </w:p>
        </w:tc>
        <w:tc>
          <w:tcPr>
            <w:tcW w:w="6852" w:type="dxa"/>
            <w:tcBorders>
              <w:top w:val="single" w:color="000000" w:sz="6" w:space="0"/>
              <w:left w:val="single" w:color="000000" w:sz="6" w:space="0"/>
              <w:bottom w:val="single" w:color="000000" w:sz="4" w:space="0"/>
            </w:tcBorders>
            <w:vAlign w:val="center"/>
          </w:tcPr>
          <w:p w14:paraId="67263FD6">
            <w:pPr>
              <w:pStyle w:val="177"/>
              <w:rPr>
                <w:rFonts w:hint="eastAsia"/>
                <w:color w:val="auto"/>
              </w:rPr>
            </w:pPr>
          </w:p>
        </w:tc>
      </w:tr>
      <w:tr w14:paraId="6E25D045">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850" w:hRule="exact"/>
          <w:jc w:val="center"/>
        </w:trPr>
        <w:tc>
          <w:tcPr>
            <w:tcW w:w="2607" w:type="dxa"/>
            <w:tcBorders>
              <w:top w:val="single" w:color="000000" w:sz="4" w:space="0"/>
              <w:bottom w:val="single" w:color="000000" w:sz="4" w:space="0"/>
              <w:right w:val="single" w:color="000000" w:sz="6" w:space="0"/>
            </w:tcBorders>
            <w:vAlign w:val="center"/>
          </w:tcPr>
          <w:p w14:paraId="65673C2C">
            <w:pPr>
              <w:pStyle w:val="177"/>
              <w:jc w:val="center"/>
              <w:rPr>
                <w:rFonts w:hint="eastAsia"/>
                <w:color w:val="auto"/>
              </w:rPr>
            </w:pPr>
            <w:r>
              <w:rPr>
                <w:rFonts w:hint="eastAsia"/>
                <w:color w:val="auto"/>
              </w:rPr>
              <w:t>交货期</w:t>
            </w:r>
          </w:p>
        </w:tc>
        <w:tc>
          <w:tcPr>
            <w:tcW w:w="6852" w:type="dxa"/>
            <w:tcBorders>
              <w:top w:val="single" w:color="000000" w:sz="4" w:space="0"/>
              <w:left w:val="single" w:color="000000" w:sz="6" w:space="0"/>
              <w:bottom w:val="single" w:color="000000" w:sz="4" w:space="0"/>
            </w:tcBorders>
          </w:tcPr>
          <w:p w14:paraId="447C4312">
            <w:pPr>
              <w:pStyle w:val="177"/>
              <w:rPr>
                <w:rFonts w:hint="eastAsia"/>
                <w:color w:val="auto"/>
              </w:rPr>
            </w:pPr>
          </w:p>
        </w:tc>
      </w:tr>
      <w:tr w14:paraId="428070A9">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850" w:hRule="exact"/>
          <w:jc w:val="center"/>
        </w:trPr>
        <w:tc>
          <w:tcPr>
            <w:tcW w:w="2607" w:type="dxa"/>
            <w:tcBorders>
              <w:top w:val="single" w:color="000000" w:sz="4" w:space="0"/>
              <w:bottom w:val="single" w:color="000000" w:sz="4" w:space="0"/>
              <w:right w:val="single" w:color="000000" w:sz="6" w:space="0"/>
            </w:tcBorders>
            <w:vAlign w:val="center"/>
          </w:tcPr>
          <w:p w14:paraId="3BB3D2E4">
            <w:pPr>
              <w:pStyle w:val="177"/>
              <w:jc w:val="center"/>
              <w:rPr>
                <w:rFonts w:hint="eastAsia"/>
                <w:color w:val="auto"/>
              </w:rPr>
            </w:pPr>
            <w:r>
              <w:rPr>
                <w:rFonts w:hint="eastAsia"/>
                <w:color w:val="auto"/>
              </w:rPr>
              <w:t>质量标准</w:t>
            </w:r>
          </w:p>
        </w:tc>
        <w:tc>
          <w:tcPr>
            <w:tcW w:w="6852" w:type="dxa"/>
            <w:tcBorders>
              <w:top w:val="single" w:color="000000" w:sz="4" w:space="0"/>
              <w:left w:val="single" w:color="000000" w:sz="6" w:space="0"/>
              <w:bottom w:val="single" w:color="000000" w:sz="4" w:space="0"/>
            </w:tcBorders>
          </w:tcPr>
          <w:p w14:paraId="7CAE36FD">
            <w:pPr>
              <w:pStyle w:val="177"/>
              <w:rPr>
                <w:rFonts w:hint="eastAsia"/>
                <w:color w:val="auto"/>
              </w:rPr>
            </w:pPr>
          </w:p>
        </w:tc>
      </w:tr>
      <w:tr w14:paraId="6D2C507B">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850" w:hRule="exact"/>
          <w:jc w:val="center"/>
        </w:trPr>
        <w:tc>
          <w:tcPr>
            <w:tcW w:w="2607" w:type="dxa"/>
            <w:tcBorders>
              <w:top w:val="single" w:color="000000" w:sz="4" w:space="0"/>
              <w:bottom w:val="single" w:color="000000" w:sz="4" w:space="0"/>
              <w:right w:val="single" w:color="000000" w:sz="6" w:space="0"/>
            </w:tcBorders>
            <w:vAlign w:val="center"/>
          </w:tcPr>
          <w:p w14:paraId="546EDAD6">
            <w:pPr>
              <w:pStyle w:val="177"/>
              <w:jc w:val="center"/>
              <w:rPr>
                <w:rFonts w:hint="eastAsia"/>
                <w:color w:val="auto"/>
              </w:rPr>
            </w:pPr>
            <w:r>
              <w:rPr>
                <w:rFonts w:hint="eastAsia"/>
                <w:color w:val="auto"/>
              </w:rPr>
              <w:t>质保期</w:t>
            </w:r>
          </w:p>
        </w:tc>
        <w:tc>
          <w:tcPr>
            <w:tcW w:w="6852" w:type="dxa"/>
            <w:tcBorders>
              <w:top w:val="single" w:color="000000" w:sz="4" w:space="0"/>
              <w:left w:val="single" w:color="000000" w:sz="6" w:space="0"/>
              <w:bottom w:val="single" w:color="000000" w:sz="4" w:space="0"/>
            </w:tcBorders>
          </w:tcPr>
          <w:p w14:paraId="3BCE1C9C">
            <w:pPr>
              <w:pStyle w:val="177"/>
              <w:rPr>
                <w:rFonts w:hint="eastAsia"/>
                <w:color w:val="auto"/>
              </w:rPr>
            </w:pPr>
          </w:p>
        </w:tc>
      </w:tr>
      <w:tr w14:paraId="0076788D">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850" w:hRule="exact"/>
          <w:jc w:val="center"/>
        </w:trPr>
        <w:tc>
          <w:tcPr>
            <w:tcW w:w="2607" w:type="dxa"/>
            <w:tcBorders>
              <w:top w:val="single" w:color="000000" w:sz="4" w:space="0"/>
              <w:bottom w:val="single" w:color="000000" w:sz="4" w:space="0"/>
              <w:right w:val="single" w:color="000000" w:sz="6" w:space="0"/>
            </w:tcBorders>
            <w:vAlign w:val="center"/>
          </w:tcPr>
          <w:p w14:paraId="58186748">
            <w:pPr>
              <w:pStyle w:val="177"/>
              <w:jc w:val="center"/>
              <w:rPr>
                <w:rFonts w:hint="eastAsia"/>
                <w:color w:val="auto"/>
              </w:rPr>
            </w:pPr>
            <w:r>
              <w:rPr>
                <w:rFonts w:hint="eastAsia"/>
                <w:color w:val="auto"/>
              </w:rPr>
              <w:t>磋商有效期</w:t>
            </w:r>
          </w:p>
        </w:tc>
        <w:tc>
          <w:tcPr>
            <w:tcW w:w="6852" w:type="dxa"/>
            <w:tcBorders>
              <w:top w:val="single" w:color="000000" w:sz="4" w:space="0"/>
              <w:left w:val="single" w:color="000000" w:sz="6" w:space="0"/>
              <w:bottom w:val="single" w:color="000000" w:sz="4" w:space="0"/>
            </w:tcBorders>
            <w:vAlign w:val="center"/>
          </w:tcPr>
          <w:p w14:paraId="3B3F24E0">
            <w:pPr>
              <w:pStyle w:val="177"/>
              <w:rPr>
                <w:rFonts w:hint="eastAsia"/>
                <w:color w:val="auto"/>
              </w:rPr>
            </w:pPr>
          </w:p>
        </w:tc>
      </w:tr>
      <w:tr w14:paraId="34ADD918">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850" w:hRule="exact"/>
          <w:jc w:val="center"/>
        </w:trPr>
        <w:tc>
          <w:tcPr>
            <w:tcW w:w="2607" w:type="dxa"/>
            <w:tcBorders>
              <w:top w:val="single" w:color="000000" w:sz="4" w:space="0"/>
              <w:bottom w:val="single" w:color="000000" w:sz="4" w:space="0"/>
              <w:right w:val="single" w:color="000000" w:sz="6" w:space="0"/>
            </w:tcBorders>
            <w:vAlign w:val="center"/>
          </w:tcPr>
          <w:p w14:paraId="5BFB5E29">
            <w:pPr>
              <w:rPr>
                <w:b/>
                <w:color w:val="auto"/>
              </w:rPr>
            </w:pPr>
            <w:r>
              <w:rPr>
                <w:rFonts w:hint="eastAsia"/>
                <w:color w:val="auto"/>
              </w:rPr>
              <w:t>付款方式是否响应</w:t>
            </w:r>
          </w:p>
        </w:tc>
        <w:tc>
          <w:tcPr>
            <w:tcW w:w="6852" w:type="dxa"/>
            <w:tcBorders>
              <w:top w:val="single" w:color="000000" w:sz="4" w:space="0"/>
              <w:left w:val="single" w:color="000000" w:sz="6" w:space="0"/>
              <w:bottom w:val="single" w:color="000000" w:sz="4" w:space="0"/>
            </w:tcBorders>
            <w:vAlign w:val="center"/>
          </w:tcPr>
          <w:p w14:paraId="555839CA">
            <w:pPr>
              <w:rPr>
                <w:color w:val="auto"/>
              </w:rPr>
            </w:pPr>
            <w:r>
              <w:rPr>
                <w:rFonts w:ascii="Segoe UI Symbol" w:hAnsi="Segoe UI Symbol" w:cs="Segoe UI Symbol"/>
                <w:color w:val="auto"/>
              </w:rPr>
              <w:t>☑</w:t>
            </w:r>
            <w:r>
              <w:rPr>
                <w:rFonts w:hint="eastAsia"/>
                <w:color w:val="auto"/>
              </w:rPr>
              <w:t>是  □否</w:t>
            </w:r>
          </w:p>
        </w:tc>
      </w:tr>
      <w:tr w14:paraId="18BA45E5">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850" w:hRule="exact"/>
          <w:jc w:val="center"/>
        </w:trPr>
        <w:tc>
          <w:tcPr>
            <w:tcW w:w="2607" w:type="dxa"/>
            <w:tcBorders>
              <w:top w:val="single" w:color="000000" w:sz="4" w:space="0"/>
              <w:right w:val="single" w:color="000000" w:sz="6" w:space="0"/>
            </w:tcBorders>
            <w:vAlign w:val="center"/>
          </w:tcPr>
          <w:p w14:paraId="0C6E37FA">
            <w:pPr>
              <w:pStyle w:val="177"/>
              <w:jc w:val="center"/>
              <w:rPr>
                <w:rFonts w:hint="eastAsia"/>
                <w:color w:val="auto"/>
              </w:rPr>
            </w:pPr>
            <w:r>
              <w:rPr>
                <w:rFonts w:hint="eastAsia"/>
                <w:color w:val="auto"/>
              </w:rPr>
              <w:t>其他声明</w:t>
            </w:r>
          </w:p>
        </w:tc>
        <w:tc>
          <w:tcPr>
            <w:tcW w:w="6852" w:type="dxa"/>
            <w:tcBorders>
              <w:top w:val="single" w:color="000000" w:sz="4" w:space="0"/>
              <w:left w:val="single" w:color="000000" w:sz="6" w:space="0"/>
            </w:tcBorders>
            <w:vAlign w:val="center"/>
          </w:tcPr>
          <w:p w14:paraId="7B662584">
            <w:pPr>
              <w:pStyle w:val="177"/>
              <w:rPr>
                <w:rFonts w:hint="eastAsia"/>
                <w:color w:val="auto"/>
              </w:rPr>
            </w:pPr>
            <w:r>
              <w:rPr>
                <w:rFonts w:hint="eastAsia"/>
                <w:color w:val="auto"/>
              </w:rPr>
              <w:t>（没有可写“无”）</w:t>
            </w:r>
          </w:p>
        </w:tc>
      </w:tr>
    </w:tbl>
    <w:p w14:paraId="3D182F4B">
      <w:pPr>
        <w:pStyle w:val="16"/>
        <w:rPr>
          <w:color w:val="auto"/>
        </w:rPr>
      </w:pPr>
    </w:p>
    <w:p w14:paraId="63DB2690">
      <w:pPr>
        <w:pStyle w:val="16"/>
        <w:rPr>
          <w:color w:val="auto"/>
        </w:rPr>
      </w:pPr>
    </w:p>
    <w:p w14:paraId="696345BD">
      <w:pPr>
        <w:rPr>
          <w:color w:val="auto"/>
        </w:rPr>
      </w:pPr>
      <w:bookmarkStart w:id="254" w:name="_bookmark31"/>
      <w:bookmarkEnd w:id="254"/>
      <w:bookmarkStart w:id="255" w:name="3、法定代表人身份证明书"/>
      <w:bookmarkEnd w:id="255"/>
      <w:r>
        <w:rPr>
          <w:rFonts w:hint="eastAsia"/>
          <w:color w:val="auto"/>
        </w:rPr>
        <w:t>供应商：                 （盖企业电子章）</w:t>
      </w:r>
    </w:p>
    <w:p w14:paraId="2077654A">
      <w:pPr>
        <w:rPr>
          <w:color w:val="auto"/>
        </w:rPr>
      </w:pPr>
      <w:r>
        <w:rPr>
          <w:rFonts w:hint="eastAsia"/>
          <w:color w:val="auto"/>
        </w:rPr>
        <w:t>法定代表人或其委托代理人（签字或盖章或电子签章）：</w:t>
      </w:r>
      <w:r>
        <w:rPr>
          <w:rFonts w:hint="eastAsia"/>
          <w:color w:val="auto"/>
          <w:u w:val="single"/>
        </w:rPr>
        <w:t xml:space="preserve">        </w:t>
      </w:r>
    </w:p>
    <w:p w14:paraId="1F758481">
      <w:pPr>
        <w:rPr>
          <w:color w:val="auto"/>
        </w:rPr>
      </w:pPr>
      <w:r>
        <w:rPr>
          <w:rFonts w:hint="eastAsia"/>
          <w:color w:val="auto"/>
        </w:rPr>
        <w:t xml:space="preserve">日期：   </w:t>
      </w:r>
      <w:r>
        <w:rPr>
          <w:rFonts w:hint="eastAsia"/>
          <w:color w:val="auto"/>
        </w:rPr>
        <w:tab/>
      </w:r>
      <w:r>
        <w:rPr>
          <w:rFonts w:hint="eastAsia"/>
          <w:color w:val="auto"/>
        </w:rPr>
        <w:t xml:space="preserve">年    </w:t>
      </w:r>
      <w:r>
        <w:rPr>
          <w:rFonts w:hint="eastAsia"/>
          <w:color w:val="auto"/>
        </w:rPr>
        <w:tab/>
      </w:r>
      <w:r>
        <w:rPr>
          <w:rFonts w:hint="eastAsia"/>
          <w:color w:val="auto"/>
        </w:rPr>
        <w:t xml:space="preserve">月    </w:t>
      </w:r>
      <w:r>
        <w:rPr>
          <w:rFonts w:hint="eastAsia"/>
          <w:color w:val="auto"/>
        </w:rPr>
        <w:tab/>
      </w:r>
      <w:r>
        <w:rPr>
          <w:rFonts w:hint="eastAsia"/>
          <w:color w:val="auto"/>
        </w:rPr>
        <w:t>日</w:t>
      </w:r>
    </w:p>
    <w:p w14:paraId="7A68FA50">
      <w:pPr>
        <w:rPr>
          <w:color w:val="auto"/>
        </w:rPr>
        <w:sectPr>
          <w:footerReference r:id="rId16" w:type="default"/>
          <w:pgSz w:w="11910" w:h="16840"/>
          <w:pgMar w:top="1440" w:right="1417" w:bottom="1440" w:left="1417" w:header="0" w:footer="1000" w:gutter="0"/>
          <w:cols w:space="0" w:num="1"/>
        </w:sectPr>
      </w:pPr>
    </w:p>
    <w:p w14:paraId="2857CAC5">
      <w:pPr>
        <w:pStyle w:val="6"/>
        <w:ind w:firstLine="562"/>
        <w:rPr>
          <w:rFonts w:hint="eastAsia"/>
          <w:bCs/>
          <w:color w:val="auto"/>
        </w:rPr>
      </w:pPr>
      <w:bookmarkStart w:id="256" w:name="4、供应商参加磋商采购活动的承诺书"/>
      <w:bookmarkEnd w:id="256"/>
      <w:bookmarkStart w:id="257" w:name="_bookmark32"/>
      <w:bookmarkEnd w:id="257"/>
      <w:r>
        <w:rPr>
          <w:rFonts w:hint="eastAsia"/>
          <w:color w:val="auto"/>
        </w:rPr>
        <w:t>二、法定代表人身份证明书</w:t>
      </w:r>
    </w:p>
    <w:p w14:paraId="4B0ABD36">
      <w:pPr>
        <w:pStyle w:val="16"/>
        <w:rPr>
          <w:color w:val="auto"/>
        </w:rPr>
      </w:pPr>
      <w:r>
        <w:rPr>
          <w:rFonts w:hint="eastAsia"/>
          <w:color w:val="auto"/>
        </w:rPr>
        <w:t xml:space="preserve">供应商名称： </w:t>
      </w:r>
      <w:r>
        <w:rPr>
          <w:rFonts w:hint="eastAsia"/>
          <w:color w:val="auto"/>
        </w:rPr>
        <w:tab/>
      </w:r>
      <w:r>
        <w:rPr>
          <w:rFonts w:hint="eastAsia"/>
          <w:color w:val="auto"/>
        </w:rPr>
        <w:tab/>
      </w:r>
      <w:r>
        <w:rPr>
          <w:rFonts w:hint="eastAsia"/>
          <w:color w:val="auto"/>
        </w:rPr>
        <w:tab/>
      </w:r>
      <w:r>
        <w:rPr>
          <w:rFonts w:hint="eastAsia"/>
          <w:color w:val="auto"/>
        </w:rPr>
        <w:tab/>
      </w:r>
      <w:r>
        <w:rPr>
          <w:rFonts w:hint="eastAsia"/>
          <w:color w:val="auto"/>
        </w:rPr>
        <w:tab/>
      </w:r>
      <w:r>
        <w:rPr>
          <w:rFonts w:hint="eastAsia"/>
          <w:color w:val="auto"/>
        </w:rPr>
        <w:t xml:space="preserve"> </w:t>
      </w:r>
    </w:p>
    <w:p w14:paraId="76098BB1">
      <w:pPr>
        <w:pStyle w:val="16"/>
        <w:rPr>
          <w:color w:val="auto"/>
        </w:rPr>
      </w:pPr>
      <w:r>
        <w:rPr>
          <w:rFonts w:hint="eastAsia"/>
          <w:color w:val="auto"/>
        </w:rPr>
        <w:t xml:space="preserve">单位性质： </w:t>
      </w:r>
      <w:r>
        <w:rPr>
          <w:rFonts w:hint="eastAsia"/>
          <w:color w:val="auto"/>
        </w:rPr>
        <w:tab/>
      </w:r>
      <w:r>
        <w:rPr>
          <w:rFonts w:hint="eastAsia"/>
          <w:color w:val="auto"/>
        </w:rPr>
        <w:tab/>
      </w:r>
      <w:r>
        <w:rPr>
          <w:rFonts w:hint="eastAsia"/>
          <w:color w:val="auto"/>
        </w:rPr>
        <w:tab/>
      </w:r>
      <w:r>
        <w:rPr>
          <w:rFonts w:hint="eastAsia"/>
          <w:color w:val="auto"/>
        </w:rPr>
        <w:tab/>
      </w:r>
      <w:r>
        <w:rPr>
          <w:rFonts w:hint="eastAsia"/>
          <w:color w:val="auto"/>
        </w:rPr>
        <w:t xml:space="preserve"> </w:t>
      </w:r>
    </w:p>
    <w:p w14:paraId="674105A7">
      <w:pPr>
        <w:pStyle w:val="16"/>
        <w:rPr>
          <w:color w:val="auto"/>
        </w:rPr>
      </w:pPr>
      <w:r>
        <w:rPr>
          <w:rFonts w:hint="eastAsia"/>
          <w:color w:val="auto"/>
        </w:rPr>
        <w:t xml:space="preserve">地    址： </w:t>
      </w:r>
      <w:r>
        <w:rPr>
          <w:rFonts w:hint="eastAsia"/>
          <w:color w:val="auto"/>
        </w:rPr>
        <w:tab/>
      </w:r>
      <w:r>
        <w:rPr>
          <w:rFonts w:hint="eastAsia"/>
          <w:color w:val="auto"/>
        </w:rPr>
        <w:tab/>
      </w:r>
      <w:r>
        <w:rPr>
          <w:rFonts w:hint="eastAsia"/>
          <w:color w:val="auto"/>
        </w:rPr>
        <w:tab/>
      </w:r>
      <w:r>
        <w:rPr>
          <w:rFonts w:hint="eastAsia"/>
          <w:color w:val="auto"/>
        </w:rPr>
        <w:tab/>
      </w:r>
      <w:r>
        <w:rPr>
          <w:rFonts w:hint="eastAsia"/>
          <w:color w:val="auto"/>
        </w:rPr>
        <w:tab/>
      </w:r>
      <w:r>
        <w:rPr>
          <w:rFonts w:hint="eastAsia"/>
          <w:color w:val="auto"/>
        </w:rPr>
        <w:t xml:space="preserve"> </w:t>
      </w:r>
    </w:p>
    <w:p w14:paraId="4482B75A">
      <w:pPr>
        <w:pStyle w:val="16"/>
        <w:rPr>
          <w:color w:val="auto"/>
        </w:rPr>
      </w:pPr>
      <w:r>
        <w:rPr>
          <w:rFonts w:hint="eastAsia"/>
          <w:color w:val="auto"/>
        </w:rPr>
        <w:t>成立时间：</w:t>
      </w:r>
      <w:r>
        <w:rPr>
          <w:rFonts w:hint="eastAsia"/>
          <w:color w:val="auto"/>
          <w:u w:val="single"/>
        </w:rPr>
        <w:t xml:space="preserve"> </w:t>
      </w:r>
      <w:r>
        <w:rPr>
          <w:rFonts w:hint="eastAsia"/>
          <w:color w:val="auto"/>
          <w:u w:val="single"/>
        </w:rPr>
        <w:tab/>
      </w:r>
      <w:r>
        <w:rPr>
          <w:rFonts w:hint="eastAsia"/>
          <w:color w:val="auto"/>
        </w:rPr>
        <w:t>年</w:t>
      </w:r>
      <w:r>
        <w:rPr>
          <w:rFonts w:hint="eastAsia"/>
          <w:color w:val="auto"/>
          <w:u w:val="single"/>
        </w:rPr>
        <w:t xml:space="preserve"> </w:t>
      </w:r>
      <w:r>
        <w:rPr>
          <w:rFonts w:hint="eastAsia"/>
          <w:color w:val="auto"/>
          <w:u w:val="single"/>
        </w:rPr>
        <w:tab/>
      </w:r>
      <w:r>
        <w:rPr>
          <w:rFonts w:hint="eastAsia"/>
          <w:color w:val="auto"/>
        </w:rPr>
        <w:t>月</w:t>
      </w:r>
      <w:r>
        <w:rPr>
          <w:rFonts w:hint="eastAsia"/>
          <w:color w:val="auto"/>
          <w:u w:val="single"/>
        </w:rPr>
        <w:t xml:space="preserve"> </w:t>
      </w:r>
      <w:r>
        <w:rPr>
          <w:rFonts w:hint="eastAsia"/>
          <w:color w:val="auto"/>
          <w:u w:val="single"/>
        </w:rPr>
        <w:tab/>
      </w:r>
      <w:r>
        <w:rPr>
          <w:rFonts w:hint="eastAsia"/>
          <w:color w:val="auto"/>
        </w:rPr>
        <w:t>日</w:t>
      </w:r>
    </w:p>
    <w:p w14:paraId="65C0CFCF">
      <w:pPr>
        <w:pStyle w:val="16"/>
        <w:rPr>
          <w:color w:val="auto"/>
        </w:rPr>
      </w:pPr>
      <w:r>
        <w:rPr>
          <w:rFonts w:hint="eastAsia"/>
          <w:color w:val="auto"/>
        </w:rPr>
        <w:t>经营期限：</w:t>
      </w:r>
      <w:r>
        <w:rPr>
          <w:rFonts w:hint="eastAsia"/>
          <w:color w:val="auto"/>
          <w:u w:val="single"/>
        </w:rPr>
        <w:t xml:space="preserve"> </w:t>
      </w:r>
      <w:r>
        <w:rPr>
          <w:rFonts w:hint="eastAsia"/>
          <w:color w:val="auto"/>
          <w:u w:val="single"/>
        </w:rPr>
        <w:tab/>
      </w:r>
    </w:p>
    <w:p w14:paraId="30F1296B">
      <w:pPr>
        <w:rPr>
          <w:color w:val="auto"/>
          <w:lang w:val="zh-CN" w:bidi="zh-CN"/>
        </w:rPr>
      </w:pPr>
      <w:r>
        <w:rPr>
          <w:rFonts w:hint="eastAsia"/>
          <w:color w:val="auto"/>
          <w:lang w:val="zh-CN" w:bidi="zh-CN"/>
        </w:rPr>
        <w:t xml:space="preserve">姓    名：                    性        别：                    </w:t>
      </w:r>
    </w:p>
    <w:p w14:paraId="2ECEB2F5">
      <w:pPr>
        <w:rPr>
          <w:color w:val="auto"/>
          <w:lang w:val="zh-CN" w:bidi="zh-CN"/>
        </w:rPr>
      </w:pPr>
      <w:r>
        <w:rPr>
          <w:rFonts w:hint="eastAsia"/>
          <w:color w:val="auto"/>
          <w:lang w:val="zh-CN" w:bidi="zh-CN"/>
        </w:rPr>
        <w:t xml:space="preserve">年    龄：                    职        务：                    </w:t>
      </w:r>
    </w:p>
    <w:p w14:paraId="4AB4269D">
      <w:pPr>
        <w:rPr>
          <w:color w:val="auto"/>
          <w:lang w:val="zh-CN" w:bidi="zh-CN"/>
        </w:rPr>
      </w:pPr>
      <w:r>
        <w:rPr>
          <w:rFonts w:hint="eastAsia"/>
          <w:color w:val="auto"/>
          <w:lang w:val="zh-CN" w:bidi="zh-CN"/>
        </w:rPr>
        <w:t>系                                              （供应商名称）的法定代表人。</w:t>
      </w:r>
    </w:p>
    <w:p w14:paraId="7C3A250E">
      <w:pPr>
        <w:pStyle w:val="16"/>
        <w:rPr>
          <w:color w:val="auto"/>
        </w:rPr>
      </w:pPr>
    </w:p>
    <w:p w14:paraId="5DAC89FD">
      <w:pPr>
        <w:rPr>
          <w:color w:val="auto"/>
          <w:lang w:val="zh-CN" w:bidi="zh-CN"/>
        </w:rPr>
      </w:pPr>
      <w:r>
        <w:rPr>
          <w:rFonts w:hint="eastAsia"/>
          <w:color w:val="auto"/>
          <w:lang w:val="zh-CN" w:bidi="zh-CN"/>
        </w:rPr>
        <w:t>特此证明。</w:t>
      </w:r>
    </w:p>
    <w:p w14:paraId="3F368B26">
      <w:pPr>
        <w:rPr>
          <w:color w:val="auto"/>
          <w:lang w:val="zh-CN" w:bidi="zh-CN"/>
        </w:rPr>
      </w:pPr>
    </w:p>
    <w:p w14:paraId="2A84FB49">
      <w:pPr>
        <w:rPr>
          <w:color w:val="auto"/>
          <w:lang w:val="zh-CN" w:bidi="zh-CN"/>
        </w:rPr>
      </w:pPr>
      <w:r>
        <w:rPr>
          <w:rFonts w:hint="eastAsia"/>
          <w:color w:val="auto"/>
          <w:lang w:val="zh-CN" w:bidi="zh-CN"/>
        </w:rPr>
        <w:t>附：法定代表人身份证</w:t>
      </w:r>
    </w:p>
    <w:p w14:paraId="4AA8E820">
      <w:pPr>
        <w:pStyle w:val="16"/>
        <w:rPr>
          <w:color w:val="auto"/>
        </w:rPr>
      </w:pPr>
    </w:p>
    <w:p w14:paraId="4CDDEDD7">
      <w:pPr>
        <w:pStyle w:val="16"/>
        <w:rPr>
          <w:color w:val="auto"/>
        </w:rPr>
      </w:pPr>
    </w:p>
    <w:p w14:paraId="78FA1F41">
      <w:pPr>
        <w:rPr>
          <w:color w:val="auto"/>
        </w:rPr>
      </w:pPr>
      <w:bookmarkStart w:id="258" w:name="_bookmark33"/>
      <w:bookmarkEnd w:id="258"/>
      <w:r>
        <w:rPr>
          <w:rFonts w:hint="eastAsia"/>
          <w:color w:val="auto"/>
        </w:rPr>
        <w:t>供应商：                          （盖企业电子章）</w:t>
      </w:r>
    </w:p>
    <w:p w14:paraId="2E8DEBC3">
      <w:pPr>
        <w:rPr>
          <w:color w:val="auto"/>
        </w:rPr>
      </w:pPr>
      <w:r>
        <w:rPr>
          <w:rFonts w:hint="eastAsia"/>
          <w:color w:val="auto"/>
        </w:rPr>
        <w:t xml:space="preserve">         年        月        日  </w:t>
      </w:r>
    </w:p>
    <w:p w14:paraId="159A6817">
      <w:pPr>
        <w:rPr>
          <w:color w:val="auto"/>
          <w:lang w:val="zh-CN" w:bidi="zh-CN"/>
        </w:rPr>
      </w:pPr>
      <w:r>
        <w:rPr>
          <w:rFonts w:hint="eastAsia"/>
          <w:color w:val="auto"/>
          <w:lang w:val="zh-CN" w:bidi="zh-CN"/>
        </w:rPr>
        <w:br w:type="page"/>
      </w:r>
    </w:p>
    <w:p w14:paraId="5F98026F">
      <w:pPr>
        <w:pStyle w:val="6"/>
        <w:ind w:firstLine="562"/>
        <w:rPr>
          <w:rFonts w:hint="eastAsia"/>
          <w:bCs/>
          <w:color w:val="auto"/>
          <w:lang w:val="zh-CN"/>
        </w:rPr>
      </w:pPr>
      <w:r>
        <w:rPr>
          <w:rFonts w:hint="eastAsia"/>
          <w:color w:val="auto"/>
          <w:lang w:val="zh-CN"/>
        </w:rPr>
        <w:t>三、法定代表人授权委托书</w:t>
      </w:r>
    </w:p>
    <w:p w14:paraId="65A2527C">
      <w:pPr>
        <w:rPr>
          <w:color w:val="auto"/>
        </w:rPr>
      </w:pPr>
      <w:r>
        <w:rPr>
          <w:rFonts w:hint="eastAsia"/>
          <w:color w:val="auto"/>
        </w:rPr>
        <w:t>本人</w:t>
      </w:r>
      <w:r>
        <w:rPr>
          <w:rFonts w:hint="eastAsia"/>
          <w:color w:val="auto"/>
          <w:u w:val="single"/>
        </w:rPr>
        <w:t xml:space="preserve"> </w:t>
      </w:r>
      <w:r>
        <w:rPr>
          <w:rFonts w:hint="eastAsia"/>
          <w:color w:val="auto"/>
          <w:u w:val="single"/>
        </w:rPr>
        <w:tab/>
      </w:r>
      <w:r>
        <w:rPr>
          <w:rFonts w:hint="eastAsia"/>
          <w:color w:val="auto"/>
          <w:u w:val="single"/>
        </w:rPr>
        <w:t xml:space="preserve">  </w:t>
      </w:r>
      <w:r>
        <w:rPr>
          <w:rFonts w:hint="eastAsia"/>
          <w:color w:val="auto"/>
        </w:rPr>
        <w:t>（姓名）系</w:t>
      </w:r>
      <w:r>
        <w:rPr>
          <w:rFonts w:hint="eastAsia"/>
          <w:color w:val="auto"/>
          <w:u w:val="single"/>
        </w:rPr>
        <w:t xml:space="preserve">        </w:t>
      </w:r>
      <w:r>
        <w:rPr>
          <w:rFonts w:hint="eastAsia"/>
          <w:color w:val="auto"/>
          <w:u w:val="single"/>
        </w:rPr>
        <w:tab/>
      </w:r>
      <w:r>
        <w:rPr>
          <w:rFonts w:hint="eastAsia"/>
          <w:color w:val="auto"/>
        </w:rPr>
        <w:t>（供应商名称）的法定代表人，现委托</w:t>
      </w:r>
      <w:r>
        <w:rPr>
          <w:rFonts w:hint="eastAsia"/>
          <w:color w:val="auto"/>
          <w:u w:val="single"/>
        </w:rPr>
        <w:t xml:space="preserve">   </w:t>
      </w:r>
      <w:r>
        <w:rPr>
          <w:rFonts w:hint="eastAsia"/>
          <w:color w:val="auto"/>
          <w:u w:val="single"/>
        </w:rPr>
        <w:tab/>
      </w:r>
      <w:r>
        <w:rPr>
          <w:rFonts w:hint="eastAsia"/>
          <w:color w:val="auto"/>
        </w:rPr>
        <w:t>（姓名）为我方代理人。代理人根据授权，以我方名义签署、澄清、说明、补正、递交、撤回、 修改</w:t>
      </w:r>
      <w:r>
        <w:rPr>
          <w:rFonts w:hint="eastAsia"/>
          <w:color w:val="auto"/>
          <w:u w:val="single"/>
        </w:rPr>
        <w:t xml:space="preserve">        （项目名称）</w:t>
      </w:r>
      <w:r>
        <w:rPr>
          <w:rFonts w:hint="eastAsia"/>
          <w:color w:val="auto"/>
        </w:rPr>
        <w:t>响应文件、签订合同和处理有关事宜，其法律后果由我方承担。</w:t>
      </w:r>
    </w:p>
    <w:p w14:paraId="1F434A0C">
      <w:pPr>
        <w:rPr>
          <w:color w:val="auto"/>
        </w:rPr>
      </w:pPr>
      <w:r>
        <w:rPr>
          <w:rFonts w:hint="eastAsia"/>
          <w:color w:val="auto"/>
        </w:rPr>
        <w:t xml:space="preserve">委托期限：                   </w:t>
      </w:r>
    </w:p>
    <w:p w14:paraId="737C7085">
      <w:pPr>
        <w:rPr>
          <w:color w:val="auto"/>
        </w:rPr>
      </w:pPr>
      <w:r>
        <w:rPr>
          <w:rFonts w:hint="eastAsia"/>
          <w:color w:val="auto"/>
        </w:rPr>
        <w:t xml:space="preserve">代理人无转委托权。 </w:t>
      </w:r>
    </w:p>
    <w:p w14:paraId="07F58712">
      <w:pPr>
        <w:rPr>
          <w:color w:val="auto"/>
        </w:rPr>
      </w:pPr>
      <w:r>
        <w:rPr>
          <w:rFonts w:hint="eastAsia"/>
          <w:color w:val="auto"/>
        </w:rPr>
        <w:t>附：法定代表人身份证及委托代理人身份证</w:t>
      </w:r>
    </w:p>
    <w:p w14:paraId="714B6E9D">
      <w:pPr>
        <w:rPr>
          <w:color w:val="auto"/>
        </w:rPr>
      </w:pPr>
    </w:p>
    <w:p w14:paraId="75DF7C43">
      <w:pPr>
        <w:rPr>
          <w:color w:val="auto"/>
        </w:rPr>
      </w:pPr>
    </w:p>
    <w:p w14:paraId="19AF00AA">
      <w:pPr>
        <w:rPr>
          <w:color w:val="auto"/>
        </w:rPr>
      </w:pPr>
      <w:r>
        <w:rPr>
          <w:rFonts w:hint="eastAsia"/>
          <w:color w:val="auto"/>
        </w:rPr>
        <w:t>供应商：                          （盖企业电子章）</w:t>
      </w:r>
    </w:p>
    <w:p w14:paraId="69B94A01">
      <w:pPr>
        <w:rPr>
          <w:color w:val="auto"/>
        </w:rPr>
      </w:pPr>
      <w:r>
        <w:rPr>
          <w:rFonts w:hint="eastAsia"/>
          <w:color w:val="auto"/>
        </w:rPr>
        <w:t>法定代表人：</w:t>
      </w:r>
      <w:r>
        <w:rPr>
          <w:rFonts w:hint="eastAsia"/>
          <w:color w:val="auto"/>
          <w:u w:val="single"/>
        </w:rPr>
        <w:t xml:space="preserve">              </w:t>
      </w:r>
      <w:r>
        <w:rPr>
          <w:rFonts w:hint="eastAsia"/>
          <w:color w:val="auto"/>
        </w:rPr>
        <w:t>（签字或盖章或电子签章）</w:t>
      </w:r>
    </w:p>
    <w:p w14:paraId="0458F6D0">
      <w:pPr>
        <w:rPr>
          <w:color w:val="auto"/>
        </w:rPr>
      </w:pPr>
      <w:r>
        <w:rPr>
          <w:rFonts w:hint="eastAsia"/>
          <w:color w:val="auto"/>
        </w:rPr>
        <w:t xml:space="preserve">身份证号码：                            </w:t>
      </w:r>
      <w:r>
        <w:rPr>
          <w:rFonts w:hint="eastAsia"/>
          <w:color w:val="auto"/>
        </w:rPr>
        <w:tab/>
      </w:r>
    </w:p>
    <w:p w14:paraId="640132FF">
      <w:pPr>
        <w:rPr>
          <w:color w:val="auto"/>
        </w:rPr>
      </w:pPr>
      <w:r>
        <w:rPr>
          <w:rFonts w:hint="eastAsia"/>
          <w:color w:val="auto"/>
        </w:rPr>
        <w:t>委托代理人：</w:t>
      </w:r>
      <w:r>
        <w:rPr>
          <w:rFonts w:hint="eastAsia"/>
          <w:color w:val="auto"/>
          <w:u w:val="single"/>
        </w:rPr>
        <w:t xml:space="preserve">              </w:t>
      </w:r>
      <w:r>
        <w:rPr>
          <w:rFonts w:hint="eastAsia"/>
          <w:color w:val="auto"/>
        </w:rPr>
        <w:t>（签字或盖章或电子签章）</w:t>
      </w:r>
    </w:p>
    <w:p w14:paraId="1D0E4BA3">
      <w:pPr>
        <w:rPr>
          <w:color w:val="auto"/>
        </w:rPr>
      </w:pPr>
      <w:r>
        <w:rPr>
          <w:rFonts w:hint="eastAsia"/>
          <w:color w:val="auto"/>
        </w:rPr>
        <w:t xml:space="preserve">身份证号码：                             </w:t>
      </w:r>
    </w:p>
    <w:p w14:paraId="48786E60">
      <w:pPr>
        <w:rPr>
          <w:color w:val="auto"/>
        </w:rPr>
      </w:pPr>
    </w:p>
    <w:p w14:paraId="4F2F41A0">
      <w:pPr>
        <w:rPr>
          <w:color w:val="auto"/>
        </w:rPr>
      </w:pPr>
      <w:r>
        <w:rPr>
          <w:rFonts w:hint="eastAsia"/>
          <w:color w:val="auto"/>
        </w:rPr>
        <w:t xml:space="preserve">    </w:t>
      </w:r>
      <w:r>
        <w:rPr>
          <w:rFonts w:hint="eastAsia"/>
          <w:color w:val="auto"/>
        </w:rPr>
        <w:tab/>
      </w:r>
      <w:r>
        <w:rPr>
          <w:rFonts w:hint="eastAsia"/>
          <w:color w:val="auto"/>
        </w:rPr>
        <w:t xml:space="preserve">年  </w:t>
      </w:r>
      <w:r>
        <w:rPr>
          <w:rFonts w:hint="eastAsia"/>
          <w:color w:val="auto"/>
        </w:rPr>
        <w:tab/>
      </w:r>
      <w:r>
        <w:rPr>
          <w:rFonts w:hint="eastAsia"/>
          <w:color w:val="auto"/>
        </w:rPr>
        <w:t xml:space="preserve">月  </w:t>
      </w:r>
      <w:r>
        <w:rPr>
          <w:rFonts w:hint="eastAsia"/>
          <w:color w:val="auto"/>
        </w:rPr>
        <w:tab/>
      </w:r>
      <w:r>
        <w:rPr>
          <w:rFonts w:hint="eastAsia"/>
          <w:color w:val="auto"/>
        </w:rPr>
        <w:t>日</w:t>
      </w:r>
    </w:p>
    <w:p w14:paraId="62F56E6A">
      <w:pPr>
        <w:rPr>
          <w:color w:val="auto"/>
          <w:lang w:bidi="zh-CN"/>
        </w:rPr>
      </w:pPr>
      <w:r>
        <w:rPr>
          <w:rFonts w:hint="eastAsia"/>
          <w:color w:val="auto"/>
          <w:lang w:bidi="zh-CN"/>
        </w:rPr>
        <w:br w:type="page"/>
      </w:r>
    </w:p>
    <w:p w14:paraId="7C99C9CC">
      <w:pPr>
        <w:pStyle w:val="6"/>
        <w:ind w:firstLine="562"/>
        <w:rPr>
          <w:rFonts w:hint="eastAsia"/>
          <w:bCs/>
          <w:color w:val="auto"/>
        </w:rPr>
      </w:pPr>
      <w:r>
        <w:rPr>
          <w:rFonts w:hint="eastAsia"/>
          <w:color w:val="auto"/>
        </w:rPr>
        <w:t>四、承诺书</w:t>
      </w:r>
    </w:p>
    <w:p w14:paraId="32DF8987">
      <w:pPr>
        <w:keepNext/>
        <w:keepLines/>
        <w:ind w:right="437" w:firstLine="560"/>
        <w:jc w:val="center"/>
        <w:rPr>
          <w:color w:val="auto"/>
          <w:sz w:val="28"/>
          <w:szCs w:val="36"/>
        </w:rPr>
      </w:pPr>
      <w:r>
        <w:rPr>
          <w:rFonts w:hint="eastAsia"/>
          <w:color w:val="auto"/>
          <w:sz w:val="28"/>
          <w:szCs w:val="36"/>
        </w:rPr>
        <w:t>反商业贿赂承诺书</w:t>
      </w:r>
    </w:p>
    <w:p w14:paraId="44ABC19B">
      <w:pPr>
        <w:rPr>
          <w:color w:val="auto"/>
        </w:rPr>
      </w:pPr>
      <w:r>
        <w:rPr>
          <w:rFonts w:hint="eastAsia"/>
          <w:color w:val="auto"/>
        </w:rPr>
        <w:t>我公司承诺：</w:t>
      </w:r>
    </w:p>
    <w:p w14:paraId="0C2F2EAE">
      <w:pPr>
        <w:rPr>
          <w:color w:val="auto"/>
        </w:rPr>
      </w:pPr>
      <w:r>
        <w:rPr>
          <w:rFonts w:hint="eastAsia"/>
          <w:color w:val="auto"/>
        </w:rPr>
        <w:t>在                            采购活动中，我公司保证做到：</w:t>
      </w:r>
    </w:p>
    <w:p w14:paraId="091E74BF">
      <w:pPr>
        <w:rPr>
          <w:color w:val="auto"/>
        </w:rPr>
      </w:pPr>
      <w:r>
        <w:rPr>
          <w:rFonts w:hint="eastAsia"/>
          <w:color w:val="auto"/>
        </w:rPr>
        <w:t>一、公平竞争参加本次采购活动。</w:t>
      </w:r>
    </w:p>
    <w:p w14:paraId="70718B51">
      <w:pPr>
        <w:rPr>
          <w:color w:val="auto"/>
        </w:rPr>
      </w:pPr>
      <w:r>
        <w:rPr>
          <w:rFonts w:hint="eastAsia"/>
          <w:color w:val="auto"/>
        </w:rPr>
        <w:t>二、杜绝任何形式的商业贿赂行为。不向国家工作人员、政府采购代理机构工作人员、评审专家及其亲属提供礼品礼金、有价证券、购物券、回扣、佣金、咨询费、劳务费、赞助费、宣传费、宴请；不为其报销各种消费凭证，不支付其旅游、娱乐等费用。</w:t>
      </w:r>
    </w:p>
    <w:p w14:paraId="4EFA8AA7">
      <w:pPr>
        <w:rPr>
          <w:color w:val="auto"/>
        </w:rPr>
      </w:pPr>
      <w:r>
        <w:rPr>
          <w:rFonts w:hint="eastAsia"/>
          <w:color w:val="auto"/>
        </w:rPr>
        <w:t>三、若出现上述行为，我公司及参与磋商的工作人员愿意接受按照国家法律法规等有关规定给予的处罚。</w:t>
      </w:r>
    </w:p>
    <w:p w14:paraId="7CA5F59E">
      <w:pPr>
        <w:pStyle w:val="16"/>
        <w:rPr>
          <w:color w:val="auto"/>
        </w:rPr>
      </w:pPr>
    </w:p>
    <w:p w14:paraId="05CC9D25">
      <w:pPr>
        <w:pStyle w:val="16"/>
        <w:rPr>
          <w:color w:val="auto"/>
        </w:rPr>
      </w:pPr>
    </w:p>
    <w:p w14:paraId="15B559E7">
      <w:pPr>
        <w:pStyle w:val="16"/>
        <w:rPr>
          <w:color w:val="auto"/>
        </w:rPr>
      </w:pPr>
    </w:p>
    <w:p w14:paraId="6946B501">
      <w:pPr>
        <w:rPr>
          <w:color w:val="auto"/>
        </w:rPr>
      </w:pPr>
      <w:bookmarkStart w:id="259" w:name="第二部分商务及技术文件"/>
      <w:bookmarkEnd w:id="259"/>
      <w:bookmarkStart w:id="260" w:name="_bookmark40"/>
      <w:bookmarkEnd w:id="260"/>
      <w:r>
        <w:rPr>
          <w:rFonts w:hint="eastAsia"/>
          <w:color w:val="auto"/>
        </w:rPr>
        <w:t>供应商：                 （盖企业电子章）</w:t>
      </w:r>
    </w:p>
    <w:p w14:paraId="589AC925">
      <w:pPr>
        <w:rPr>
          <w:color w:val="auto"/>
        </w:rPr>
      </w:pPr>
      <w:r>
        <w:rPr>
          <w:rFonts w:hint="eastAsia"/>
          <w:color w:val="auto"/>
        </w:rPr>
        <w:t>法定代表人或其委托代理人：</w:t>
      </w:r>
      <w:r>
        <w:rPr>
          <w:rFonts w:hint="eastAsia"/>
          <w:color w:val="auto"/>
          <w:u w:val="single"/>
        </w:rPr>
        <w:t xml:space="preserve">        </w:t>
      </w:r>
      <w:r>
        <w:rPr>
          <w:rFonts w:hint="eastAsia"/>
          <w:color w:val="auto"/>
        </w:rPr>
        <w:t>（签字或盖章或电子签章）</w:t>
      </w:r>
    </w:p>
    <w:p w14:paraId="45236BDB">
      <w:pPr>
        <w:rPr>
          <w:color w:val="auto"/>
        </w:rPr>
      </w:pPr>
      <w:r>
        <w:rPr>
          <w:rFonts w:hint="eastAsia"/>
          <w:color w:val="auto"/>
        </w:rPr>
        <w:t xml:space="preserve">日期：   </w:t>
      </w:r>
      <w:r>
        <w:rPr>
          <w:rFonts w:hint="eastAsia"/>
          <w:color w:val="auto"/>
        </w:rPr>
        <w:tab/>
      </w:r>
      <w:r>
        <w:rPr>
          <w:rFonts w:hint="eastAsia"/>
          <w:color w:val="auto"/>
        </w:rPr>
        <w:t xml:space="preserve">年    </w:t>
      </w:r>
      <w:r>
        <w:rPr>
          <w:rFonts w:hint="eastAsia"/>
          <w:color w:val="auto"/>
        </w:rPr>
        <w:tab/>
      </w:r>
      <w:r>
        <w:rPr>
          <w:rFonts w:hint="eastAsia"/>
          <w:color w:val="auto"/>
        </w:rPr>
        <w:t xml:space="preserve">月    </w:t>
      </w:r>
      <w:r>
        <w:rPr>
          <w:rFonts w:hint="eastAsia"/>
          <w:color w:val="auto"/>
        </w:rPr>
        <w:tab/>
      </w:r>
      <w:r>
        <w:rPr>
          <w:rFonts w:hint="eastAsia"/>
          <w:color w:val="auto"/>
        </w:rPr>
        <w:t>日</w:t>
      </w:r>
    </w:p>
    <w:p w14:paraId="7AED7B1C">
      <w:pPr>
        <w:rPr>
          <w:color w:val="auto"/>
        </w:rPr>
      </w:pPr>
    </w:p>
    <w:p w14:paraId="0398D71D">
      <w:pPr>
        <w:rPr>
          <w:color w:val="auto"/>
          <w:lang w:val="zh-CN"/>
        </w:rPr>
      </w:pPr>
    </w:p>
    <w:p w14:paraId="1981236B">
      <w:pPr>
        <w:rPr>
          <w:color w:val="auto"/>
          <w:lang w:val="zh-CN"/>
        </w:rPr>
      </w:pPr>
    </w:p>
    <w:p w14:paraId="0A3875F9">
      <w:pPr>
        <w:rPr>
          <w:color w:val="auto"/>
          <w:lang w:val="zh-CN"/>
        </w:rPr>
      </w:pPr>
    </w:p>
    <w:p w14:paraId="33128A7B">
      <w:pPr>
        <w:rPr>
          <w:color w:val="auto"/>
          <w:lang w:val="zh-CN"/>
        </w:rPr>
      </w:pPr>
    </w:p>
    <w:p w14:paraId="69574CEC">
      <w:pPr>
        <w:rPr>
          <w:color w:val="auto"/>
          <w:lang w:val="zh-CN"/>
        </w:rPr>
      </w:pPr>
    </w:p>
    <w:p w14:paraId="552EFB6F">
      <w:pPr>
        <w:rPr>
          <w:color w:val="auto"/>
          <w:lang w:val="zh-CN"/>
        </w:rPr>
      </w:pPr>
    </w:p>
    <w:p w14:paraId="0670BB47">
      <w:pPr>
        <w:rPr>
          <w:color w:val="auto"/>
          <w:lang w:val="zh-CN"/>
        </w:rPr>
      </w:pPr>
    </w:p>
    <w:p w14:paraId="2DCD4020">
      <w:pPr>
        <w:rPr>
          <w:color w:val="auto"/>
          <w:lang w:val="zh-CN"/>
        </w:rPr>
      </w:pPr>
    </w:p>
    <w:p w14:paraId="3621E158">
      <w:pPr>
        <w:rPr>
          <w:color w:val="auto"/>
          <w:lang w:val="zh-CN"/>
        </w:rPr>
      </w:pPr>
    </w:p>
    <w:p w14:paraId="4CCEBF04">
      <w:pPr>
        <w:rPr>
          <w:color w:val="auto"/>
          <w:lang w:val="zh-CN" w:bidi="zh-CN"/>
        </w:rPr>
      </w:pPr>
    </w:p>
    <w:p w14:paraId="3282D252">
      <w:pPr>
        <w:rPr>
          <w:color w:val="auto"/>
          <w:lang w:val="zh-CN" w:bidi="zh-CN"/>
        </w:rPr>
      </w:pPr>
    </w:p>
    <w:p w14:paraId="5FCB73C5">
      <w:pPr>
        <w:rPr>
          <w:color w:val="auto"/>
          <w:lang w:val="zh-CN" w:bidi="zh-CN"/>
        </w:rPr>
      </w:pPr>
    </w:p>
    <w:p w14:paraId="1B25408F">
      <w:pPr>
        <w:rPr>
          <w:color w:val="auto"/>
          <w:lang w:val="zh-CN" w:bidi="zh-CN"/>
        </w:rPr>
      </w:pPr>
    </w:p>
    <w:p w14:paraId="7F2A6851">
      <w:pPr>
        <w:rPr>
          <w:color w:val="auto"/>
          <w:lang w:val="zh-CN" w:bidi="zh-CN"/>
        </w:rPr>
      </w:pPr>
    </w:p>
    <w:p w14:paraId="18F0D860">
      <w:pPr>
        <w:rPr>
          <w:color w:val="auto"/>
          <w:lang w:val="zh-CN" w:bidi="zh-CN"/>
        </w:rPr>
      </w:pPr>
      <w:r>
        <w:rPr>
          <w:rFonts w:hint="eastAsia"/>
          <w:color w:val="auto"/>
          <w:lang w:val="zh-CN" w:bidi="zh-CN"/>
        </w:rPr>
        <w:br w:type="page"/>
      </w:r>
    </w:p>
    <w:p w14:paraId="6AA9928B">
      <w:pPr>
        <w:spacing w:line="288" w:lineRule="auto"/>
        <w:jc w:val="center"/>
        <w:rPr>
          <w:color w:val="auto"/>
          <w:lang w:val="zh-CN"/>
        </w:rPr>
      </w:pPr>
      <w:r>
        <w:rPr>
          <w:rFonts w:hint="eastAsia"/>
          <w:color w:val="auto"/>
          <w:lang w:val="zh-CN"/>
        </w:rPr>
        <w:t>供应商参加磋商采购活动的承诺书</w:t>
      </w:r>
    </w:p>
    <w:p w14:paraId="0667DD21">
      <w:pPr>
        <w:spacing w:line="288" w:lineRule="auto"/>
        <w:rPr>
          <w:color w:val="auto"/>
        </w:rPr>
      </w:pPr>
      <w:bookmarkStart w:id="261" w:name="_bookmark34"/>
      <w:bookmarkEnd w:id="261"/>
      <w:r>
        <w:rPr>
          <w:rFonts w:hint="eastAsia"/>
          <w:color w:val="auto"/>
        </w:rPr>
        <w:t xml:space="preserve">致： （填写采购人名称） </w:t>
      </w:r>
    </w:p>
    <w:p w14:paraId="599AED6A">
      <w:pPr>
        <w:spacing w:line="288" w:lineRule="auto"/>
        <w:rPr>
          <w:color w:val="auto"/>
        </w:rPr>
      </w:pPr>
      <w:r>
        <w:rPr>
          <w:rFonts w:hint="eastAsia"/>
          <w:color w:val="auto"/>
        </w:rPr>
        <w:t>我（单位/本人，以下统称我单位）自愿参加</w:t>
      </w:r>
      <w:r>
        <w:rPr>
          <w:rFonts w:hint="eastAsia"/>
          <w:color w:val="auto"/>
          <w:u w:val="single"/>
        </w:rPr>
        <w:t xml:space="preserve">    （项目名称）</w:t>
      </w:r>
      <w:r>
        <w:rPr>
          <w:rFonts w:hint="eastAsia"/>
          <w:color w:val="auto"/>
        </w:rPr>
        <w:t>的磋商采购活动， 作为参加本次采购活动的供应商，根据竞争性磋商文件的要求，现郑重承诺如下：</w:t>
      </w:r>
    </w:p>
    <w:p w14:paraId="2792DEB7">
      <w:pPr>
        <w:spacing w:line="288" w:lineRule="auto"/>
        <w:rPr>
          <w:color w:val="auto"/>
        </w:rPr>
      </w:pPr>
      <w:r>
        <w:rPr>
          <w:rFonts w:hint="eastAsia"/>
          <w:color w:val="auto"/>
        </w:rPr>
        <w:t>一、我单位完全接受和满足本项目竞争性磋商文件中规定的实质性要求，如对采购（磋商）文件有异议，已经在收到采购（磋商）文件之日起或采购（磋商）文件公告期限届满之日起七个工作日内依法进行维权救济，不存在对采购（磋商）文件有异议的同时又参加本项目的磋商采购活动以求侥幸成为成交人或者为实现其他非法目的的行为。</w:t>
      </w:r>
    </w:p>
    <w:p w14:paraId="4876D8D7">
      <w:pPr>
        <w:spacing w:line="288" w:lineRule="auto"/>
        <w:rPr>
          <w:color w:val="auto"/>
        </w:rPr>
      </w:pPr>
      <w:r>
        <w:rPr>
          <w:rFonts w:hint="eastAsia"/>
          <w:color w:val="auto"/>
        </w:rPr>
        <w:t>二、我单位参加本次磋商采购活动，不存在和其他供应商在同一合同项下的采购项目中，同时委托同一个自然人、同一家庭的人员、同一单位的人员作为代理人的行为。</w:t>
      </w:r>
    </w:p>
    <w:p w14:paraId="12697917">
      <w:pPr>
        <w:spacing w:line="288" w:lineRule="auto"/>
        <w:rPr>
          <w:color w:val="auto"/>
        </w:rPr>
      </w:pPr>
      <w:r>
        <w:rPr>
          <w:rFonts w:hint="eastAsia"/>
          <w:color w:val="auto"/>
        </w:rPr>
        <w:t>三、参加本次磋商采购活动前，在近三年内我单位和其法定代表人（或负责人）没有行贿犯罪行为。</w:t>
      </w:r>
    </w:p>
    <w:p w14:paraId="735717AE">
      <w:pPr>
        <w:spacing w:line="288" w:lineRule="auto"/>
        <w:rPr>
          <w:color w:val="auto"/>
        </w:rPr>
      </w:pPr>
      <w:r>
        <w:rPr>
          <w:rFonts w:hint="eastAsia"/>
          <w:color w:val="auto"/>
        </w:rPr>
        <w:t>四、我单位在此申明：保证本次响应文件中提供的所有内容、资料、陈述是正确的、真实的、有效的、合法的，并愿意承担相关法律责任。</w:t>
      </w:r>
    </w:p>
    <w:p w14:paraId="6F34747B">
      <w:pPr>
        <w:spacing w:line="288" w:lineRule="auto"/>
        <w:rPr>
          <w:color w:val="auto"/>
        </w:rPr>
      </w:pPr>
      <w:r>
        <w:rPr>
          <w:rFonts w:hint="eastAsia"/>
          <w:color w:val="auto"/>
        </w:rPr>
        <w:t>五、如本项目磋商采购过程中需要提供样品，则我单位提供的样品即为成交后将要提供的成交产品，我单位对提供样品的性能和质量负责，因样品存在缺陷或者不符合竞争性磋商文件要求导致未能成交的，我单位愿意承担相应不利后果。</w:t>
      </w:r>
    </w:p>
    <w:p w14:paraId="4A657FB4">
      <w:pPr>
        <w:spacing w:line="288" w:lineRule="auto"/>
        <w:rPr>
          <w:color w:val="auto"/>
        </w:rPr>
      </w:pPr>
      <w:r>
        <w:rPr>
          <w:rFonts w:hint="eastAsia"/>
          <w:color w:val="auto"/>
        </w:rPr>
        <w:t>六、存在以下行为之一的愿意接受相关部门的处理：</w:t>
      </w:r>
    </w:p>
    <w:p w14:paraId="32E10152">
      <w:pPr>
        <w:spacing w:line="288" w:lineRule="auto"/>
        <w:rPr>
          <w:color w:val="auto"/>
        </w:rPr>
      </w:pPr>
      <w:r>
        <w:rPr>
          <w:rFonts w:hint="eastAsia"/>
          <w:color w:val="auto"/>
        </w:rPr>
        <w:t>1、我单位在响应文件有效期内撤销响应文件的（不包括在提交最后报价前退出磋商的情况）；</w:t>
      </w:r>
    </w:p>
    <w:p w14:paraId="7CFC73F6">
      <w:pPr>
        <w:spacing w:line="288" w:lineRule="auto"/>
        <w:rPr>
          <w:color w:val="auto"/>
        </w:rPr>
      </w:pPr>
      <w:r>
        <w:rPr>
          <w:rFonts w:hint="eastAsia"/>
          <w:color w:val="auto"/>
        </w:rPr>
        <w:t>2、我单位在采购人确定成交人以前放弃成交候选人资格的；</w:t>
      </w:r>
    </w:p>
    <w:p w14:paraId="7BF9A803">
      <w:pPr>
        <w:spacing w:line="288" w:lineRule="auto"/>
        <w:rPr>
          <w:color w:val="auto"/>
        </w:rPr>
      </w:pPr>
      <w:r>
        <w:rPr>
          <w:rFonts w:hint="eastAsia"/>
          <w:color w:val="auto"/>
        </w:rPr>
        <w:t>3、由于我单位的原因未能按照竞争性磋商文件的规定与采购人签订合同；</w:t>
      </w:r>
    </w:p>
    <w:p w14:paraId="33AF80D7">
      <w:pPr>
        <w:spacing w:line="288" w:lineRule="auto"/>
        <w:rPr>
          <w:color w:val="auto"/>
        </w:rPr>
      </w:pPr>
      <w:r>
        <w:rPr>
          <w:rFonts w:hint="eastAsia"/>
          <w:color w:val="auto"/>
        </w:rPr>
        <w:t>4、由于我单位的原因未能按照竞争性磋商文件的规定交纳履约保证金；</w:t>
      </w:r>
    </w:p>
    <w:p w14:paraId="6EEE746C">
      <w:pPr>
        <w:spacing w:line="288" w:lineRule="auto"/>
        <w:rPr>
          <w:color w:val="auto"/>
        </w:rPr>
      </w:pPr>
      <w:r>
        <w:rPr>
          <w:rFonts w:hint="eastAsia"/>
          <w:color w:val="auto"/>
        </w:rPr>
        <w:t>5、我单位在响应文件中提供虚假材料；</w:t>
      </w:r>
    </w:p>
    <w:p w14:paraId="4CF5358A">
      <w:pPr>
        <w:spacing w:line="288" w:lineRule="auto"/>
        <w:rPr>
          <w:color w:val="auto"/>
        </w:rPr>
      </w:pPr>
      <w:r>
        <w:rPr>
          <w:rFonts w:hint="eastAsia"/>
          <w:color w:val="auto"/>
        </w:rPr>
        <w:t>6、我单位与采购人、其他供应商或者采购代理机构恶意串通的；</w:t>
      </w:r>
    </w:p>
    <w:p w14:paraId="7613D4F5">
      <w:pPr>
        <w:spacing w:line="288" w:lineRule="auto"/>
        <w:rPr>
          <w:color w:val="auto"/>
        </w:rPr>
      </w:pPr>
      <w:r>
        <w:rPr>
          <w:rFonts w:hint="eastAsia"/>
          <w:color w:val="auto"/>
        </w:rPr>
        <w:t>7、在响应文件有效期内，我单位在政府采购活动中有违法、违规、违纪行为。</w:t>
      </w:r>
    </w:p>
    <w:p w14:paraId="71DDB56F">
      <w:pPr>
        <w:spacing w:line="288" w:lineRule="auto"/>
        <w:rPr>
          <w:color w:val="auto"/>
        </w:rPr>
      </w:pPr>
      <w:r>
        <w:rPr>
          <w:rFonts w:hint="eastAsia"/>
          <w:color w:val="auto"/>
        </w:rPr>
        <w:t>七、如果我单位知晓上述行为的法律后果，承认本承诺书作为采购人及采购代理机构要求我单位履行违约赔偿义务的依据作用。</w:t>
      </w:r>
    </w:p>
    <w:p w14:paraId="61865C08">
      <w:pPr>
        <w:spacing w:line="288" w:lineRule="auto"/>
        <w:rPr>
          <w:color w:val="auto"/>
        </w:rPr>
      </w:pPr>
      <w:r>
        <w:rPr>
          <w:rFonts w:hint="eastAsia"/>
          <w:color w:val="auto"/>
        </w:rPr>
        <w:t>由此产生的一切法律后果和责任由我单位承担。我单位声明放弃对此提出任何异议和追索的权利。</w:t>
      </w:r>
    </w:p>
    <w:p w14:paraId="7A8590B8">
      <w:pPr>
        <w:spacing w:line="288" w:lineRule="auto"/>
        <w:rPr>
          <w:color w:val="auto"/>
        </w:rPr>
      </w:pPr>
      <w:r>
        <w:rPr>
          <w:rFonts w:hint="eastAsia"/>
          <w:color w:val="auto"/>
        </w:rPr>
        <w:t>我单位对上述承诺的内容事项真实性负责。如经查实上述承诺的内容事项存在虚假，我单位愿意接受以提供虚假材料谋取成交而被追究法律责任。</w:t>
      </w:r>
    </w:p>
    <w:p w14:paraId="710DDFAC">
      <w:pPr>
        <w:rPr>
          <w:color w:val="auto"/>
        </w:rPr>
      </w:pPr>
    </w:p>
    <w:p w14:paraId="3C4ABB00">
      <w:pPr>
        <w:rPr>
          <w:color w:val="auto"/>
        </w:rPr>
      </w:pPr>
    </w:p>
    <w:p w14:paraId="19F4D009">
      <w:pPr>
        <w:rPr>
          <w:color w:val="auto"/>
        </w:rPr>
      </w:pPr>
    </w:p>
    <w:p w14:paraId="5FDDA55C">
      <w:pPr>
        <w:rPr>
          <w:color w:val="auto"/>
        </w:rPr>
      </w:pPr>
    </w:p>
    <w:p w14:paraId="551DAE2F">
      <w:pPr>
        <w:rPr>
          <w:color w:val="auto"/>
        </w:rPr>
      </w:pPr>
      <w:r>
        <w:rPr>
          <w:rFonts w:hint="eastAsia"/>
          <w:color w:val="auto"/>
        </w:rPr>
        <w:t>供应商：                    （盖企业电子章）</w:t>
      </w:r>
    </w:p>
    <w:p w14:paraId="6EB03343">
      <w:pPr>
        <w:rPr>
          <w:color w:val="auto"/>
        </w:rPr>
      </w:pPr>
      <w:r>
        <w:rPr>
          <w:rFonts w:hint="eastAsia"/>
          <w:color w:val="auto"/>
        </w:rPr>
        <w:t>法定代表人或其委托代理人：</w:t>
      </w:r>
      <w:r>
        <w:rPr>
          <w:rFonts w:hint="eastAsia"/>
          <w:color w:val="auto"/>
          <w:u w:val="single"/>
        </w:rPr>
        <w:t xml:space="preserve">        </w:t>
      </w:r>
      <w:r>
        <w:rPr>
          <w:rFonts w:hint="eastAsia"/>
          <w:color w:val="auto"/>
        </w:rPr>
        <w:t>（签字或盖章或电子签章）</w:t>
      </w:r>
    </w:p>
    <w:p w14:paraId="78AB8AA5">
      <w:pPr>
        <w:rPr>
          <w:color w:val="auto"/>
        </w:rPr>
      </w:pPr>
      <w:r>
        <w:rPr>
          <w:rFonts w:hint="eastAsia"/>
          <w:color w:val="auto"/>
        </w:rPr>
        <w:t xml:space="preserve">    日期：       年     月     日</w:t>
      </w:r>
    </w:p>
    <w:p w14:paraId="67F2DF24">
      <w:pPr>
        <w:rPr>
          <w:color w:val="auto"/>
          <w:lang w:bidi="zh-CN"/>
        </w:rPr>
      </w:pPr>
      <w:r>
        <w:rPr>
          <w:rFonts w:hint="eastAsia"/>
          <w:color w:val="auto"/>
        </w:rPr>
        <w:br w:type="page"/>
      </w:r>
    </w:p>
    <w:p w14:paraId="6B674403">
      <w:pPr>
        <w:pStyle w:val="6"/>
        <w:ind w:firstLine="562"/>
        <w:rPr>
          <w:rFonts w:hint="eastAsia"/>
          <w:bCs/>
          <w:color w:val="auto"/>
        </w:rPr>
      </w:pPr>
      <w:r>
        <w:rPr>
          <w:rFonts w:hint="eastAsia"/>
          <w:color w:val="auto"/>
        </w:rPr>
        <w:t>五、资格审查资料</w:t>
      </w:r>
    </w:p>
    <w:p w14:paraId="73A9226B">
      <w:pPr>
        <w:rPr>
          <w:rFonts w:cs="宋体"/>
          <w:color w:val="auto"/>
        </w:rPr>
      </w:pPr>
      <w:r>
        <w:rPr>
          <w:rFonts w:hint="eastAsia" w:cs="宋体"/>
          <w:color w:val="auto"/>
        </w:rPr>
        <w:t>1、具有独立承担民事责任的能力（</w:t>
      </w:r>
      <w:r>
        <w:rPr>
          <w:rFonts w:hint="eastAsia"/>
          <w:color w:val="auto"/>
        </w:rPr>
        <w:t>提供法人或者其它组织的营业执照等证明文件，自然人的身份证明</w:t>
      </w:r>
      <w:r>
        <w:rPr>
          <w:rFonts w:hint="eastAsia" w:cs="宋体"/>
          <w:color w:val="auto"/>
        </w:rPr>
        <w:t>）</w:t>
      </w:r>
    </w:p>
    <w:p w14:paraId="3A9A627A">
      <w:pPr>
        <w:rPr>
          <w:rFonts w:hint="eastAsia" w:asciiTheme="minorEastAsia" w:hAnsiTheme="minorEastAsia" w:eastAsiaTheme="minorEastAsia" w:cstheme="minorEastAsia"/>
          <w:color w:val="auto"/>
        </w:rPr>
      </w:pPr>
      <w:r>
        <w:rPr>
          <w:rFonts w:hint="eastAsia"/>
          <w:color w:val="auto"/>
        </w:rPr>
        <w:t>2、</w:t>
      </w:r>
      <w:r>
        <w:rPr>
          <w:rFonts w:hint="eastAsia"/>
          <w:color w:val="auto"/>
          <w:kern w:val="0"/>
        </w:rPr>
        <w:t>具有良好的商业信誉和健全的</w:t>
      </w:r>
      <w:r>
        <w:rPr>
          <w:rFonts w:hint="eastAsia" w:asciiTheme="minorEastAsia" w:hAnsiTheme="minorEastAsia" w:eastAsiaTheme="minorEastAsia" w:cstheme="minorEastAsia"/>
          <w:color w:val="auto"/>
          <w:kern w:val="0"/>
        </w:rPr>
        <w:t>财务会计制度（</w:t>
      </w:r>
      <w:r>
        <w:rPr>
          <w:rFonts w:hint="eastAsia" w:asciiTheme="minorEastAsia" w:hAnsiTheme="minorEastAsia" w:eastAsiaTheme="minorEastAsia" w:cstheme="minorEastAsia"/>
          <w:color w:val="auto"/>
          <w:shd w:val="clear" w:color="auto" w:fill="FFFFFF"/>
        </w:rPr>
        <w:t>提供2024年度经审计的财务审计报告，成立时间较短不能提供的，应提交开户银行出具的资信证明。</w:t>
      </w:r>
      <w:r>
        <w:rPr>
          <w:rFonts w:hint="eastAsia" w:asciiTheme="minorEastAsia" w:hAnsiTheme="minorEastAsia" w:eastAsiaTheme="minorEastAsia" w:cstheme="minorEastAsia"/>
          <w:color w:val="auto"/>
          <w:kern w:val="0"/>
        </w:rPr>
        <w:t>）</w:t>
      </w:r>
    </w:p>
    <w:p w14:paraId="4FC0A2AF">
      <w:pPr>
        <w:rPr>
          <w:color w:val="auto"/>
        </w:rPr>
      </w:pPr>
      <w:r>
        <w:rPr>
          <w:rFonts w:hint="eastAsia"/>
          <w:color w:val="auto"/>
        </w:rPr>
        <w:t>3、具有履行合同所必需的设备和专业技术能力（自行承诺，格式自拟，加盖供应商公章有效）</w:t>
      </w:r>
    </w:p>
    <w:p w14:paraId="2C2DEE8A">
      <w:pPr>
        <w:rPr>
          <w:color w:val="auto"/>
        </w:rPr>
      </w:pPr>
      <w:r>
        <w:rPr>
          <w:rFonts w:hint="eastAsia"/>
          <w:color w:val="auto"/>
        </w:rPr>
        <w:t>4、有依法缴纳税收和社会保障资金的良好记录（供应商须提供2025年6月1日以来任意1个月份依法缴纳税收和社会保障资金的证明资料。依法免税或不需要缴纳社会保障资金的供应商，应提供相应文件证明其依法免税或不需要缴纳社会保障资金，成立不足1个月的提供成立以来的证明资料。）</w:t>
      </w:r>
    </w:p>
    <w:p w14:paraId="7924EB3D">
      <w:pPr>
        <w:rPr>
          <w:color w:val="auto"/>
          <w:kern w:val="0"/>
        </w:rPr>
      </w:pPr>
      <w:r>
        <w:rPr>
          <w:rFonts w:hint="eastAsia"/>
          <w:color w:val="auto"/>
          <w:kern w:val="0"/>
        </w:rPr>
        <w:t>5、</w:t>
      </w:r>
      <w:r>
        <w:rPr>
          <w:rFonts w:hint="eastAsia"/>
          <w:color w:val="auto"/>
        </w:rPr>
        <w:t>参加政府采购活动前三年内，在经营活动中没有重大违法记录</w:t>
      </w:r>
      <w:r>
        <w:rPr>
          <w:rFonts w:hint="eastAsia"/>
          <w:color w:val="auto"/>
          <w:kern w:val="0"/>
        </w:rPr>
        <w:t>（自行承诺，格式自拟，加盖供应商公章有效）</w:t>
      </w:r>
    </w:p>
    <w:p w14:paraId="18616B77">
      <w:pPr>
        <w:rPr>
          <w:color w:val="auto"/>
        </w:rPr>
      </w:pPr>
      <w:r>
        <w:rPr>
          <w:rFonts w:hint="eastAsia"/>
          <w:color w:val="auto"/>
          <w:kern w:val="0"/>
        </w:rPr>
        <w:t>6、</w:t>
      </w:r>
      <w:r>
        <w:rPr>
          <w:rFonts w:hint="eastAsia"/>
          <w:color w:val="auto"/>
        </w:rPr>
        <w:t>根据《关于在政府采购活动中查询及使用信用记录有关问题的通知》(财库[2016]125号)的规定，对列入失信被执行人、重大税收违法失信主体、政府采购严重违法失信行为记录名单的投标供应商，拒绝参与本项目政府采购活动。采购人、采购代理机构，通过“中国执行信息公开网”（zxgk.court.gov.cn/）网站查询“失信被执行人”，通过“信用中国”（www.creditchina.gov.cn）网站查询“重大税收违法失信主体”；通过“中国政府采购网”（www.ccgp.gov.cn/）查询“政府采购严重违法失信行为</w:t>
      </w:r>
      <w:r>
        <w:rPr>
          <w:rFonts w:hint="eastAsia" w:ascii="宋体" w:hAnsi="宋体" w:cs="宋体"/>
          <w:color w:val="auto"/>
          <w:szCs w:val="21"/>
          <w:shd w:val="clear" w:color="auto" w:fill="FFFFFF"/>
        </w:rPr>
        <w:t>记录名单</w:t>
      </w:r>
      <w:r>
        <w:rPr>
          <w:rFonts w:hint="eastAsia"/>
          <w:color w:val="auto"/>
        </w:rPr>
        <w:t>”等相关主体信用记录,信用信息查询记录及相关证据与其他采购文件一并保存。查询时间：开标后。</w:t>
      </w:r>
    </w:p>
    <w:p w14:paraId="6C6461B6">
      <w:pPr>
        <w:rPr>
          <w:color w:val="auto"/>
        </w:rPr>
      </w:pPr>
      <w:r>
        <w:rPr>
          <w:rFonts w:hint="eastAsia"/>
          <w:color w:val="auto"/>
        </w:rPr>
        <w:t>7、单位负责人为同一人或者存在直接控股、管理关系的不同供应商，不得参加同一合同项下的政府采购活动。【提供“国家企业信用信息公示系统”中查询打印的相关材料并加盖公章（需包含公司基本信息、股东信息及股权变更信息)，查询日期在本公告发布日期之后】。</w:t>
      </w:r>
    </w:p>
    <w:p w14:paraId="620566C5">
      <w:pPr>
        <w:rPr>
          <w:color w:val="auto"/>
        </w:rPr>
      </w:pPr>
      <w:r>
        <w:rPr>
          <w:rFonts w:hint="eastAsia" w:asciiTheme="minorEastAsia" w:hAnsiTheme="minorEastAsia" w:eastAsiaTheme="minorEastAsia" w:cstheme="minorEastAsia"/>
          <w:color w:val="auto"/>
        </w:rPr>
        <w:t>8.供应</w:t>
      </w:r>
      <w:r>
        <w:rPr>
          <w:rFonts w:hint="eastAsia"/>
          <w:color w:val="auto"/>
        </w:rPr>
        <w:t>商须知前附表要求的其他资格证明文件</w:t>
      </w:r>
    </w:p>
    <w:p w14:paraId="044483E3">
      <w:pPr>
        <w:rPr>
          <w:color w:val="auto"/>
        </w:rPr>
        <w:sectPr>
          <w:pgSz w:w="11910" w:h="16840"/>
          <w:pgMar w:top="1440" w:right="1417" w:bottom="1440" w:left="1417" w:header="0" w:footer="1000" w:gutter="0"/>
          <w:cols w:space="0" w:num="1"/>
        </w:sectPr>
      </w:pPr>
    </w:p>
    <w:p w14:paraId="538459A8">
      <w:pPr>
        <w:pStyle w:val="6"/>
        <w:ind w:firstLine="562"/>
        <w:rPr>
          <w:rFonts w:hint="eastAsia"/>
          <w:bCs/>
          <w:color w:val="auto"/>
        </w:rPr>
      </w:pPr>
      <w:r>
        <w:rPr>
          <w:rFonts w:hint="eastAsia"/>
          <w:color w:val="auto"/>
        </w:rPr>
        <w:t>六、分项报价明细表</w:t>
      </w:r>
    </w:p>
    <w:p w14:paraId="177052BB">
      <w:pPr>
        <w:rPr>
          <w:color w:val="auto"/>
          <w:lang w:bidi="zh-CN"/>
        </w:rPr>
      </w:pPr>
    </w:p>
    <w:p w14:paraId="4B229B76">
      <w:pPr>
        <w:rPr>
          <w:color w:val="auto"/>
        </w:rPr>
      </w:pPr>
      <w:r>
        <w:rPr>
          <w:rFonts w:hint="eastAsia"/>
          <w:color w:val="auto"/>
        </w:rPr>
        <w:t>单位： 人民币元</w:t>
      </w:r>
    </w:p>
    <w:tbl>
      <w:tblPr>
        <w:tblStyle w:val="38"/>
        <w:tblW w:w="973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22"/>
        <w:gridCol w:w="2338"/>
        <w:gridCol w:w="1551"/>
        <w:gridCol w:w="1343"/>
        <w:gridCol w:w="1113"/>
        <w:gridCol w:w="1005"/>
        <w:gridCol w:w="900"/>
        <w:gridCol w:w="765"/>
      </w:tblGrid>
      <w:tr w14:paraId="67DD3B8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722" w:type="dxa"/>
            <w:tcBorders>
              <w:tl2br w:val="nil"/>
              <w:tr2bl w:val="nil"/>
            </w:tcBorders>
            <w:noWrap/>
            <w:vAlign w:val="center"/>
          </w:tcPr>
          <w:p w14:paraId="09B2DB4E">
            <w:pPr>
              <w:ind w:firstLine="0" w:firstLineChars="0"/>
              <w:jc w:val="center"/>
              <w:rPr>
                <w:color w:val="auto"/>
              </w:rPr>
            </w:pPr>
            <w:r>
              <w:rPr>
                <w:rFonts w:hint="eastAsia"/>
                <w:color w:val="auto"/>
              </w:rPr>
              <w:t>序号</w:t>
            </w:r>
          </w:p>
        </w:tc>
        <w:tc>
          <w:tcPr>
            <w:tcW w:w="2338" w:type="dxa"/>
            <w:tcBorders>
              <w:tl2br w:val="nil"/>
              <w:tr2bl w:val="nil"/>
            </w:tcBorders>
            <w:noWrap/>
            <w:vAlign w:val="center"/>
          </w:tcPr>
          <w:p w14:paraId="2D940638">
            <w:pPr>
              <w:ind w:firstLine="0" w:firstLineChars="0"/>
              <w:jc w:val="center"/>
              <w:rPr>
                <w:color w:val="auto"/>
              </w:rPr>
            </w:pPr>
            <w:r>
              <w:rPr>
                <w:rFonts w:hint="eastAsia"/>
                <w:color w:val="auto"/>
              </w:rPr>
              <w:t>名称</w:t>
            </w:r>
          </w:p>
        </w:tc>
        <w:tc>
          <w:tcPr>
            <w:tcW w:w="1551" w:type="dxa"/>
            <w:tcBorders>
              <w:tl2br w:val="nil"/>
              <w:tr2bl w:val="nil"/>
            </w:tcBorders>
            <w:noWrap/>
            <w:vAlign w:val="center"/>
          </w:tcPr>
          <w:p w14:paraId="22BF65BE">
            <w:pPr>
              <w:ind w:firstLine="0" w:firstLineChars="0"/>
              <w:jc w:val="center"/>
              <w:rPr>
                <w:color w:val="auto"/>
              </w:rPr>
            </w:pPr>
            <w:r>
              <w:rPr>
                <w:rFonts w:hint="eastAsia"/>
                <w:color w:val="auto"/>
              </w:rPr>
              <w:t>品牌</w:t>
            </w:r>
          </w:p>
        </w:tc>
        <w:tc>
          <w:tcPr>
            <w:tcW w:w="1343" w:type="dxa"/>
            <w:tcBorders>
              <w:tl2br w:val="nil"/>
              <w:tr2bl w:val="nil"/>
            </w:tcBorders>
            <w:noWrap/>
            <w:vAlign w:val="center"/>
          </w:tcPr>
          <w:p w14:paraId="23AEE3DF">
            <w:pPr>
              <w:ind w:firstLine="0" w:firstLineChars="0"/>
              <w:jc w:val="center"/>
              <w:rPr>
                <w:color w:val="auto"/>
              </w:rPr>
            </w:pPr>
            <w:r>
              <w:rPr>
                <w:rFonts w:hint="eastAsia"/>
                <w:color w:val="auto"/>
              </w:rPr>
              <w:t>制造商名称</w:t>
            </w:r>
          </w:p>
        </w:tc>
        <w:tc>
          <w:tcPr>
            <w:tcW w:w="1113" w:type="dxa"/>
            <w:tcBorders>
              <w:tl2br w:val="nil"/>
              <w:tr2bl w:val="nil"/>
            </w:tcBorders>
            <w:noWrap/>
            <w:vAlign w:val="center"/>
          </w:tcPr>
          <w:p w14:paraId="07689E2F">
            <w:pPr>
              <w:ind w:firstLine="0" w:firstLineChars="0"/>
              <w:jc w:val="center"/>
              <w:rPr>
                <w:color w:val="auto"/>
              </w:rPr>
            </w:pPr>
            <w:r>
              <w:rPr>
                <w:rFonts w:hint="eastAsia"/>
                <w:color w:val="auto"/>
              </w:rPr>
              <w:t>规格型号</w:t>
            </w:r>
          </w:p>
        </w:tc>
        <w:tc>
          <w:tcPr>
            <w:tcW w:w="1005" w:type="dxa"/>
            <w:tcBorders>
              <w:tl2br w:val="nil"/>
              <w:tr2bl w:val="nil"/>
            </w:tcBorders>
            <w:noWrap/>
            <w:vAlign w:val="center"/>
          </w:tcPr>
          <w:p w14:paraId="53891F14">
            <w:pPr>
              <w:ind w:firstLine="0" w:firstLineChars="0"/>
              <w:jc w:val="center"/>
              <w:rPr>
                <w:color w:val="auto"/>
              </w:rPr>
            </w:pPr>
            <w:r>
              <w:rPr>
                <w:rFonts w:hint="eastAsia"/>
                <w:color w:val="auto"/>
              </w:rPr>
              <w:t>数量</w:t>
            </w:r>
          </w:p>
        </w:tc>
        <w:tc>
          <w:tcPr>
            <w:tcW w:w="900" w:type="dxa"/>
            <w:tcBorders>
              <w:tl2br w:val="nil"/>
              <w:tr2bl w:val="nil"/>
            </w:tcBorders>
            <w:noWrap/>
            <w:vAlign w:val="center"/>
          </w:tcPr>
          <w:p w14:paraId="4E7A3056">
            <w:pPr>
              <w:ind w:firstLine="0" w:firstLineChars="0"/>
              <w:jc w:val="center"/>
              <w:rPr>
                <w:color w:val="auto"/>
              </w:rPr>
            </w:pPr>
            <w:r>
              <w:rPr>
                <w:rFonts w:hint="eastAsia"/>
                <w:color w:val="auto"/>
              </w:rPr>
              <w:t>单价</w:t>
            </w:r>
          </w:p>
        </w:tc>
        <w:tc>
          <w:tcPr>
            <w:tcW w:w="765" w:type="dxa"/>
            <w:tcBorders>
              <w:tl2br w:val="nil"/>
              <w:tr2bl w:val="nil"/>
            </w:tcBorders>
            <w:noWrap/>
            <w:vAlign w:val="center"/>
          </w:tcPr>
          <w:p w14:paraId="409D2690">
            <w:pPr>
              <w:ind w:firstLine="0" w:firstLineChars="0"/>
              <w:jc w:val="center"/>
              <w:rPr>
                <w:color w:val="auto"/>
              </w:rPr>
            </w:pPr>
            <w:r>
              <w:rPr>
                <w:rFonts w:hint="eastAsia"/>
                <w:color w:val="auto"/>
              </w:rPr>
              <w:t>合计</w:t>
            </w:r>
          </w:p>
        </w:tc>
      </w:tr>
      <w:tr w14:paraId="7BBAF65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722" w:type="dxa"/>
            <w:tcBorders>
              <w:tl2br w:val="nil"/>
              <w:tr2bl w:val="nil"/>
            </w:tcBorders>
            <w:noWrap/>
            <w:vAlign w:val="center"/>
          </w:tcPr>
          <w:p w14:paraId="2D4276E0">
            <w:pPr>
              <w:rPr>
                <w:color w:val="auto"/>
              </w:rPr>
            </w:pPr>
          </w:p>
        </w:tc>
        <w:tc>
          <w:tcPr>
            <w:tcW w:w="2338" w:type="dxa"/>
            <w:tcBorders>
              <w:tl2br w:val="nil"/>
              <w:tr2bl w:val="nil"/>
            </w:tcBorders>
            <w:noWrap/>
            <w:vAlign w:val="center"/>
          </w:tcPr>
          <w:p w14:paraId="69D7435E">
            <w:pPr>
              <w:rPr>
                <w:color w:val="auto"/>
              </w:rPr>
            </w:pPr>
          </w:p>
        </w:tc>
        <w:tc>
          <w:tcPr>
            <w:tcW w:w="1551" w:type="dxa"/>
            <w:tcBorders>
              <w:tl2br w:val="nil"/>
              <w:tr2bl w:val="nil"/>
            </w:tcBorders>
            <w:noWrap/>
            <w:vAlign w:val="center"/>
          </w:tcPr>
          <w:p w14:paraId="02405EBE">
            <w:pPr>
              <w:rPr>
                <w:color w:val="auto"/>
              </w:rPr>
            </w:pPr>
          </w:p>
        </w:tc>
        <w:tc>
          <w:tcPr>
            <w:tcW w:w="1343" w:type="dxa"/>
            <w:tcBorders>
              <w:tl2br w:val="nil"/>
              <w:tr2bl w:val="nil"/>
            </w:tcBorders>
            <w:noWrap/>
            <w:vAlign w:val="center"/>
          </w:tcPr>
          <w:p w14:paraId="7A7F6095">
            <w:pPr>
              <w:rPr>
                <w:color w:val="auto"/>
              </w:rPr>
            </w:pPr>
          </w:p>
        </w:tc>
        <w:tc>
          <w:tcPr>
            <w:tcW w:w="1113" w:type="dxa"/>
            <w:tcBorders>
              <w:tl2br w:val="nil"/>
              <w:tr2bl w:val="nil"/>
            </w:tcBorders>
            <w:noWrap/>
            <w:vAlign w:val="center"/>
          </w:tcPr>
          <w:p w14:paraId="03A931DD">
            <w:pPr>
              <w:rPr>
                <w:color w:val="auto"/>
              </w:rPr>
            </w:pPr>
          </w:p>
        </w:tc>
        <w:tc>
          <w:tcPr>
            <w:tcW w:w="1005" w:type="dxa"/>
            <w:tcBorders>
              <w:tl2br w:val="nil"/>
              <w:tr2bl w:val="nil"/>
            </w:tcBorders>
            <w:noWrap/>
            <w:vAlign w:val="center"/>
          </w:tcPr>
          <w:p w14:paraId="0CEAADE6">
            <w:pPr>
              <w:rPr>
                <w:color w:val="auto"/>
              </w:rPr>
            </w:pPr>
          </w:p>
        </w:tc>
        <w:tc>
          <w:tcPr>
            <w:tcW w:w="900" w:type="dxa"/>
            <w:tcBorders>
              <w:tl2br w:val="nil"/>
              <w:tr2bl w:val="nil"/>
            </w:tcBorders>
            <w:noWrap/>
            <w:vAlign w:val="center"/>
          </w:tcPr>
          <w:p w14:paraId="221E1664">
            <w:pPr>
              <w:rPr>
                <w:color w:val="auto"/>
              </w:rPr>
            </w:pPr>
          </w:p>
        </w:tc>
        <w:tc>
          <w:tcPr>
            <w:tcW w:w="765" w:type="dxa"/>
            <w:tcBorders>
              <w:tl2br w:val="nil"/>
              <w:tr2bl w:val="nil"/>
            </w:tcBorders>
            <w:noWrap/>
            <w:vAlign w:val="center"/>
          </w:tcPr>
          <w:p w14:paraId="774DB8E4">
            <w:pPr>
              <w:rPr>
                <w:color w:val="auto"/>
              </w:rPr>
            </w:pPr>
          </w:p>
        </w:tc>
      </w:tr>
      <w:tr w14:paraId="2148CB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722" w:type="dxa"/>
            <w:tcBorders>
              <w:tl2br w:val="nil"/>
              <w:tr2bl w:val="nil"/>
            </w:tcBorders>
            <w:noWrap/>
            <w:vAlign w:val="center"/>
          </w:tcPr>
          <w:p w14:paraId="4E8A5195">
            <w:pPr>
              <w:rPr>
                <w:color w:val="auto"/>
              </w:rPr>
            </w:pPr>
          </w:p>
        </w:tc>
        <w:tc>
          <w:tcPr>
            <w:tcW w:w="2338" w:type="dxa"/>
            <w:tcBorders>
              <w:tl2br w:val="nil"/>
              <w:tr2bl w:val="nil"/>
            </w:tcBorders>
            <w:noWrap/>
            <w:vAlign w:val="center"/>
          </w:tcPr>
          <w:p w14:paraId="2B68AE73">
            <w:pPr>
              <w:rPr>
                <w:color w:val="auto"/>
              </w:rPr>
            </w:pPr>
          </w:p>
        </w:tc>
        <w:tc>
          <w:tcPr>
            <w:tcW w:w="1551" w:type="dxa"/>
            <w:tcBorders>
              <w:tl2br w:val="nil"/>
              <w:tr2bl w:val="nil"/>
            </w:tcBorders>
            <w:noWrap/>
            <w:vAlign w:val="center"/>
          </w:tcPr>
          <w:p w14:paraId="69F94C23">
            <w:pPr>
              <w:rPr>
                <w:color w:val="auto"/>
              </w:rPr>
            </w:pPr>
          </w:p>
        </w:tc>
        <w:tc>
          <w:tcPr>
            <w:tcW w:w="1343" w:type="dxa"/>
            <w:tcBorders>
              <w:tl2br w:val="nil"/>
              <w:tr2bl w:val="nil"/>
            </w:tcBorders>
            <w:noWrap/>
            <w:vAlign w:val="center"/>
          </w:tcPr>
          <w:p w14:paraId="1BEADD2B">
            <w:pPr>
              <w:rPr>
                <w:color w:val="auto"/>
              </w:rPr>
            </w:pPr>
          </w:p>
        </w:tc>
        <w:tc>
          <w:tcPr>
            <w:tcW w:w="1113" w:type="dxa"/>
            <w:tcBorders>
              <w:tl2br w:val="nil"/>
              <w:tr2bl w:val="nil"/>
            </w:tcBorders>
            <w:noWrap/>
            <w:vAlign w:val="center"/>
          </w:tcPr>
          <w:p w14:paraId="1C33772A">
            <w:pPr>
              <w:rPr>
                <w:color w:val="auto"/>
              </w:rPr>
            </w:pPr>
          </w:p>
        </w:tc>
        <w:tc>
          <w:tcPr>
            <w:tcW w:w="1005" w:type="dxa"/>
            <w:tcBorders>
              <w:tl2br w:val="nil"/>
              <w:tr2bl w:val="nil"/>
            </w:tcBorders>
            <w:noWrap/>
            <w:vAlign w:val="center"/>
          </w:tcPr>
          <w:p w14:paraId="7D6F571A">
            <w:pPr>
              <w:rPr>
                <w:color w:val="auto"/>
              </w:rPr>
            </w:pPr>
          </w:p>
        </w:tc>
        <w:tc>
          <w:tcPr>
            <w:tcW w:w="900" w:type="dxa"/>
            <w:tcBorders>
              <w:tl2br w:val="nil"/>
              <w:tr2bl w:val="nil"/>
            </w:tcBorders>
            <w:noWrap/>
            <w:vAlign w:val="center"/>
          </w:tcPr>
          <w:p w14:paraId="336D8046">
            <w:pPr>
              <w:rPr>
                <w:color w:val="auto"/>
              </w:rPr>
            </w:pPr>
          </w:p>
        </w:tc>
        <w:tc>
          <w:tcPr>
            <w:tcW w:w="765" w:type="dxa"/>
            <w:tcBorders>
              <w:tl2br w:val="nil"/>
              <w:tr2bl w:val="nil"/>
            </w:tcBorders>
            <w:noWrap/>
            <w:vAlign w:val="center"/>
          </w:tcPr>
          <w:p w14:paraId="0ADED2C7">
            <w:pPr>
              <w:rPr>
                <w:color w:val="auto"/>
              </w:rPr>
            </w:pPr>
          </w:p>
        </w:tc>
      </w:tr>
      <w:tr w14:paraId="7A92CF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722" w:type="dxa"/>
            <w:tcBorders>
              <w:tl2br w:val="nil"/>
              <w:tr2bl w:val="nil"/>
            </w:tcBorders>
            <w:noWrap/>
            <w:vAlign w:val="center"/>
          </w:tcPr>
          <w:p w14:paraId="00B3B19D">
            <w:pPr>
              <w:rPr>
                <w:color w:val="auto"/>
              </w:rPr>
            </w:pPr>
          </w:p>
        </w:tc>
        <w:tc>
          <w:tcPr>
            <w:tcW w:w="2338" w:type="dxa"/>
            <w:tcBorders>
              <w:tl2br w:val="nil"/>
              <w:tr2bl w:val="nil"/>
            </w:tcBorders>
            <w:noWrap/>
            <w:vAlign w:val="center"/>
          </w:tcPr>
          <w:p w14:paraId="08B18BC9">
            <w:pPr>
              <w:rPr>
                <w:color w:val="auto"/>
              </w:rPr>
            </w:pPr>
          </w:p>
        </w:tc>
        <w:tc>
          <w:tcPr>
            <w:tcW w:w="1551" w:type="dxa"/>
            <w:tcBorders>
              <w:tl2br w:val="nil"/>
              <w:tr2bl w:val="nil"/>
            </w:tcBorders>
            <w:noWrap/>
            <w:vAlign w:val="center"/>
          </w:tcPr>
          <w:p w14:paraId="1E4C56E5">
            <w:pPr>
              <w:rPr>
                <w:color w:val="auto"/>
              </w:rPr>
            </w:pPr>
          </w:p>
        </w:tc>
        <w:tc>
          <w:tcPr>
            <w:tcW w:w="1343" w:type="dxa"/>
            <w:tcBorders>
              <w:tl2br w:val="nil"/>
              <w:tr2bl w:val="nil"/>
            </w:tcBorders>
            <w:noWrap/>
            <w:vAlign w:val="center"/>
          </w:tcPr>
          <w:p w14:paraId="71AE48FF">
            <w:pPr>
              <w:rPr>
                <w:color w:val="auto"/>
              </w:rPr>
            </w:pPr>
          </w:p>
        </w:tc>
        <w:tc>
          <w:tcPr>
            <w:tcW w:w="1113" w:type="dxa"/>
            <w:tcBorders>
              <w:tl2br w:val="nil"/>
              <w:tr2bl w:val="nil"/>
            </w:tcBorders>
            <w:noWrap/>
            <w:vAlign w:val="center"/>
          </w:tcPr>
          <w:p w14:paraId="463350DD">
            <w:pPr>
              <w:rPr>
                <w:color w:val="auto"/>
              </w:rPr>
            </w:pPr>
          </w:p>
        </w:tc>
        <w:tc>
          <w:tcPr>
            <w:tcW w:w="1005" w:type="dxa"/>
            <w:tcBorders>
              <w:tl2br w:val="nil"/>
              <w:tr2bl w:val="nil"/>
            </w:tcBorders>
            <w:noWrap/>
            <w:vAlign w:val="center"/>
          </w:tcPr>
          <w:p w14:paraId="39B21802">
            <w:pPr>
              <w:rPr>
                <w:color w:val="auto"/>
              </w:rPr>
            </w:pPr>
          </w:p>
        </w:tc>
        <w:tc>
          <w:tcPr>
            <w:tcW w:w="900" w:type="dxa"/>
            <w:tcBorders>
              <w:tl2br w:val="nil"/>
              <w:tr2bl w:val="nil"/>
            </w:tcBorders>
            <w:noWrap/>
            <w:vAlign w:val="center"/>
          </w:tcPr>
          <w:p w14:paraId="004FE9E2">
            <w:pPr>
              <w:rPr>
                <w:color w:val="auto"/>
              </w:rPr>
            </w:pPr>
          </w:p>
        </w:tc>
        <w:tc>
          <w:tcPr>
            <w:tcW w:w="765" w:type="dxa"/>
            <w:tcBorders>
              <w:tl2br w:val="nil"/>
              <w:tr2bl w:val="nil"/>
            </w:tcBorders>
            <w:noWrap/>
            <w:vAlign w:val="center"/>
          </w:tcPr>
          <w:p w14:paraId="14CC3ED3">
            <w:pPr>
              <w:rPr>
                <w:color w:val="auto"/>
              </w:rPr>
            </w:pPr>
          </w:p>
        </w:tc>
      </w:tr>
      <w:tr w14:paraId="359233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722" w:type="dxa"/>
            <w:tcBorders>
              <w:tl2br w:val="nil"/>
              <w:tr2bl w:val="nil"/>
            </w:tcBorders>
            <w:noWrap/>
            <w:vAlign w:val="center"/>
          </w:tcPr>
          <w:p w14:paraId="6D24396A">
            <w:pPr>
              <w:rPr>
                <w:color w:val="auto"/>
              </w:rPr>
            </w:pPr>
          </w:p>
        </w:tc>
        <w:tc>
          <w:tcPr>
            <w:tcW w:w="2338" w:type="dxa"/>
            <w:tcBorders>
              <w:tl2br w:val="nil"/>
              <w:tr2bl w:val="nil"/>
            </w:tcBorders>
            <w:noWrap/>
            <w:vAlign w:val="center"/>
          </w:tcPr>
          <w:p w14:paraId="21BB9205">
            <w:pPr>
              <w:rPr>
                <w:color w:val="auto"/>
              </w:rPr>
            </w:pPr>
          </w:p>
        </w:tc>
        <w:tc>
          <w:tcPr>
            <w:tcW w:w="1551" w:type="dxa"/>
            <w:tcBorders>
              <w:tl2br w:val="nil"/>
              <w:tr2bl w:val="nil"/>
            </w:tcBorders>
            <w:noWrap/>
            <w:vAlign w:val="center"/>
          </w:tcPr>
          <w:p w14:paraId="33DD7CB2">
            <w:pPr>
              <w:rPr>
                <w:color w:val="auto"/>
              </w:rPr>
            </w:pPr>
          </w:p>
        </w:tc>
        <w:tc>
          <w:tcPr>
            <w:tcW w:w="1343" w:type="dxa"/>
            <w:tcBorders>
              <w:tl2br w:val="nil"/>
              <w:tr2bl w:val="nil"/>
            </w:tcBorders>
            <w:noWrap/>
            <w:vAlign w:val="center"/>
          </w:tcPr>
          <w:p w14:paraId="530578F4">
            <w:pPr>
              <w:rPr>
                <w:color w:val="auto"/>
              </w:rPr>
            </w:pPr>
          </w:p>
        </w:tc>
        <w:tc>
          <w:tcPr>
            <w:tcW w:w="1113" w:type="dxa"/>
            <w:tcBorders>
              <w:tl2br w:val="nil"/>
              <w:tr2bl w:val="nil"/>
            </w:tcBorders>
            <w:noWrap/>
            <w:vAlign w:val="center"/>
          </w:tcPr>
          <w:p w14:paraId="13FDFCA3">
            <w:pPr>
              <w:rPr>
                <w:color w:val="auto"/>
              </w:rPr>
            </w:pPr>
          </w:p>
        </w:tc>
        <w:tc>
          <w:tcPr>
            <w:tcW w:w="1005" w:type="dxa"/>
            <w:tcBorders>
              <w:tl2br w:val="nil"/>
              <w:tr2bl w:val="nil"/>
            </w:tcBorders>
            <w:noWrap/>
            <w:vAlign w:val="center"/>
          </w:tcPr>
          <w:p w14:paraId="11D1C472">
            <w:pPr>
              <w:rPr>
                <w:color w:val="auto"/>
              </w:rPr>
            </w:pPr>
          </w:p>
        </w:tc>
        <w:tc>
          <w:tcPr>
            <w:tcW w:w="900" w:type="dxa"/>
            <w:tcBorders>
              <w:tl2br w:val="nil"/>
              <w:tr2bl w:val="nil"/>
            </w:tcBorders>
            <w:noWrap/>
            <w:vAlign w:val="center"/>
          </w:tcPr>
          <w:p w14:paraId="376A0AFA">
            <w:pPr>
              <w:rPr>
                <w:color w:val="auto"/>
              </w:rPr>
            </w:pPr>
          </w:p>
        </w:tc>
        <w:tc>
          <w:tcPr>
            <w:tcW w:w="765" w:type="dxa"/>
            <w:tcBorders>
              <w:tl2br w:val="nil"/>
              <w:tr2bl w:val="nil"/>
            </w:tcBorders>
            <w:noWrap/>
            <w:vAlign w:val="center"/>
          </w:tcPr>
          <w:p w14:paraId="7A33F02F">
            <w:pPr>
              <w:rPr>
                <w:color w:val="auto"/>
              </w:rPr>
            </w:pPr>
          </w:p>
        </w:tc>
      </w:tr>
      <w:tr w14:paraId="395EA9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722" w:type="dxa"/>
            <w:tcBorders>
              <w:tl2br w:val="nil"/>
              <w:tr2bl w:val="nil"/>
            </w:tcBorders>
            <w:noWrap/>
            <w:vAlign w:val="center"/>
          </w:tcPr>
          <w:p w14:paraId="44C83240">
            <w:pPr>
              <w:rPr>
                <w:color w:val="auto"/>
              </w:rPr>
            </w:pPr>
          </w:p>
        </w:tc>
        <w:tc>
          <w:tcPr>
            <w:tcW w:w="2338" w:type="dxa"/>
            <w:tcBorders>
              <w:tl2br w:val="nil"/>
              <w:tr2bl w:val="nil"/>
            </w:tcBorders>
            <w:noWrap/>
            <w:vAlign w:val="center"/>
          </w:tcPr>
          <w:p w14:paraId="4F3C8A14">
            <w:pPr>
              <w:rPr>
                <w:color w:val="auto"/>
              </w:rPr>
            </w:pPr>
          </w:p>
        </w:tc>
        <w:tc>
          <w:tcPr>
            <w:tcW w:w="1551" w:type="dxa"/>
            <w:tcBorders>
              <w:tl2br w:val="nil"/>
              <w:tr2bl w:val="nil"/>
            </w:tcBorders>
            <w:noWrap/>
            <w:vAlign w:val="center"/>
          </w:tcPr>
          <w:p w14:paraId="608A1062">
            <w:pPr>
              <w:rPr>
                <w:color w:val="auto"/>
              </w:rPr>
            </w:pPr>
          </w:p>
        </w:tc>
        <w:tc>
          <w:tcPr>
            <w:tcW w:w="1343" w:type="dxa"/>
            <w:tcBorders>
              <w:tl2br w:val="nil"/>
              <w:tr2bl w:val="nil"/>
            </w:tcBorders>
            <w:noWrap/>
            <w:vAlign w:val="center"/>
          </w:tcPr>
          <w:p w14:paraId="2BA367C1">
            <w:pPr>
              <w:rPr>
                <w:color w:val="auto"/>
              </w:rPr>
            </w:pPr>
          </w:p>
        </w:tc>
        <w:tc>
          <w:tcPr>
            <w:tcW w:w="1113" w:type="dxa"/>
            <w:tcBorders>
              <w:tl2br w:val="nil"/>
              <w:tr2bl w:val="nil"/>
            </w:tcBorders>
            <w:noWrap/>
            <w:vAlign w:val="center"/>
          </w:tcPr>
          <w:p w14:paraId="36D01D06">
            <w:pPr>
              <w:rPr>
                <w:color w:val="auto"/>
              </w:rPr>
            </w:pPr>
          </w:p>
        </w:tc>
        <w:tc>
          <w:tcPr>
            <w:tcW w:w="1005" w:type="dxa"/>
            <w:tcBorders>
              <w:tl2br w:val="nil"/>
              <w:tr2bl w:val="nil"/>
            </w:tcBorders>
            <w:noWrap/>
            <w:vAlign w:val="center"/>
          </w:tcPr>
          <w:p w14:paraId="68F634B6">
            <w:pPr>
              <w:rPr>
                <w:color w:val="auto"/>
              </w:rPr>
            </w:pPr>
          </w:p>
        </w:tc>
        <w:tc>
          <w:tcPr>
            <w:tcW w:w="900" w:type="dxa"/>
            <w:tcBorders>
              <w:tl2br w:val="nil"/>
              <w:tr2bl w:val="nil"/>
            </w:tcBorders>
            <w:noWrap/>
            <w:vAlign w:val="center"/>
          </w:tcPr>
          <w:p w14:paraId="48511989">
            <w:pPr>
              <w:rPr>
                <w:color w:val="auto"/>
              </w:rPr>
            </w:pPr>
          </w:p>
        </w:tc>
        <w:tc>
          <w:tcPr>
            <w:tcW w:w="765" w:type="dxa"/>
            <w:tcBorders>
              <w:tl2br w:val="nil"/>
              <w:tr2bl w:val="nil"/>
            </w:tcBorders>
            <w:noWrap/>
            <w:vAlign w:val="center"/>
          </w:tcPr>
          <w:p w14:paraId="6A4D7A6D">
            <w:pPr>
              <w:rPr>
                <w:color w:val="auto"/>
              </w:rPr>
            </w:pPr>
          </w:p>
        </w:tc>
      </w:tr>
      <w:tr w14:paraId="38EE804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722" w:type="dxa"/>
            <w:tcBorders>
              <w:tl2br w:val="nil"/>
              <w:tr2bl w:val="nil"/>
            </w:tcBorders>
            <w:noWrap/>
            <w:vAlign w:val="center"/>
          </w:tcPr>
          <w:p w14:paraId="7FA2F1C7">
            <w:pPr>
              <w:rPr>
                <w:color w:val="auto"/>
              </w:rPr>
            </w:pPr>
          </w:p>
        </w:tc>
        <w:tc>
          <w:tcPr>
            <w:tcW w:w="2338" w:type="dxa"/>
            <w:tcBorders>
              <w:tl2br w:val="nil"/>
              <w:tr2bl w:val="nil"/>
            </w:tcBorders>
            <w:noWrap/>
            <w:vAlign w:val="center"/>
          </w:tcPr>
          <w:p w14:paraId="292266FD">
            <w:pPr>
              <w:rPr>
                <w:color w:val="auto"/>
              </w:rPr>
            </w:pPr>
          </w:p>
        </w:tc>
        <w:tc>
          <w:tcPr>
            <w:tcW w:w="1551" w:type="dxa"/>
            <w:tcBorders>
              <w:tl2br w:val="nil"/>
              <w:tr2bl w:val="nil"/>
            </w:tcBorders>
            <w:noWrap/>
            <w:vAlign w:val="center"/>
          </w:tcPr>
          <w:p w14:paraId="27D5CFF4">
            <w:pPr>
              <w:rPr>
                <w:color w:val="auto"/>
              </w:rPr>
            </w:pPr>
          </w:p>
        </w:tc>
        <w:tc>
          <w:tcPr>
            <w:tcW w:w="1343" w:type="dxa"/>
            <w:tcBorders>
              <w:tl2br w:val="nil"/>
              <w:tr2bl w:val="nil"/>
            </w:tcBorders>
            <w:noWrap/>
            <w:vAlign w:val="center"/>
          </w:tcPr>
          <w:p w14:paraId="50978786">
            <w:pPr>
              <w:rPr>
                <w:color w:val="auto"/>
              </w:rPr>
            </w:pPr>
          </w:p>
        </w:tc>
        <w:tc>
          <w:tcPr>
            <w:tcW w:w="1113" w:type="dxa"/>
            <w:tcBorders>
              <w:tl2br w:val="nil"/>
              <w:tr2bl w:val="nil"/>
            </w:tcBorders>
            <w:noWrap/>
            <w:vAlign w:val="center"/>
          </w:tcPr>
          <w:p w14:paraId="60370F3F">
            <w:pPr>
              <w:rPr>
                <w:color w:val="auto"/>
              </w:rPr>
            </w:pPr>
          </w:p>
        </w:tc>
        <w:tc>
          <w:tcPr>
            <w:tcW w:w="1005" w:type="dxa"/>
            <w:tcBorders>
              <w:tl2br w:val="nil"/>
              <w:tr2bl w:val="nil"/>
            </w:tcBorders>
            <w:noWrap/>
            <w:vAlign w:val="center"/>
          </w:tcPr>
          <w:p w14:paraId="3B50CF7C">
            <w:pPr>
              <w:rPr>
                <w:color w:val="auto"/>
              </w:rPr>
            </w:pPr>
          </w:p>
        </w:tc>
        <w:tc>
          <w:tcPr>
            <w:tcW w:w="900" w:type="dxa"/>
            <w:tcBorders>
              <w:tl2br w:val="nil"/>
              <w:tr2bl w:val="nil"/>
            </w:tcBorders>
            <w:noWrap/>
            <w:vAlign w:val="center"/>
          </w:tcPr>
          <w:p w14:paraId="26349B98">
            <w:pPr>
              <w:rPr>
                <w:color w:val="auto"/>
              </w:rPr>
            </w:pPr>
          </w:p>
        </w:tc>
        <w:tc>
          <w:tcPr>
            <w:tcW w:w="765" w:type="dxa"/>
            <w:tcBorders>
              <w:tl2br w:val="nil"/>
              <w:tr2bl w:val="nil"/>
            </w:tcBorders>
            <w:noWrap/>
            <w:vAlign w:val="center"/>
          </w:tcPr>
          <w:p w14:paraId="4B41DE00">
            <w:pPr>
              <w:rPr>
                <w:color w:val="auto"/>
              </w:rPr>
            </w:pPr>
          </w:p>
        </w:tc>
      </w:tr>
      <w:tr w14:paraId="2C1E338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722" w:type="dxa"/>
            <w:tcBorders>
              <w:tl2br w:val="nil"/>
              <w:tr2bl w:val="nil"/>
            </w:tcBorders>
            <w:noWrap/>
            <w:vAlign w:val="center"/>
          </w:tcPr>
          <w:p w14:paraId="30BC6C01">
            <w:pPr>
              <w:rPr>
                <w:color w:val="auto"/>
              </w:rPr>
            </w:pPr>
          </w:p>
        </w:tc>
        <w:tc>
          <w:tcPr>
            <w:tcW w:w="2338" w:type="dxa"/>
            <w:tcBorders>
              <w:tl2br w:val="nil"/>
              <w:tr2bl w:val="nil"/>
            </w:tcBorders>
            <w:noWrap/>
            <w:vAlign w:val="center"/>
          </w:tcPr>
          <w:p w14:paraId="47882307">
            <w:pPr>
              <w:rPr>
                <w:color w:val="auto"/>
              </w:rPr>
            </w:pPr>
          </w:p>
        </w:tc>
        <w:tc>
          <w:tcPr>
            <w:tcW w:w="1551" w:type="dxa"/>
            <w:tcBorders>
              <w:tl2br w:val="nil"/>
              <w:tr2bl w:val="nil"/>
            </w:tcBorders>
            <w:noWrap/>
            <w:vAlign w:val="center"/>
          </w:tcPr>
          <w:p w14:paraId="4CB49404">
            <w:pPr>
              <w:rPr>
                <w:color w:val="auto"/>
              </w:rPr>
            </w:pPr>
          </w:p>
        </w:tc>
        <w:tc>
          <w:tcPr>
            <w:tcW w:w="1343" w:type="dxa"/>
            <w:tcBorders>
              <w:tl2br w:val="nil"/>
              <w:tr2bl w:val="nil"/>
            </w:tcBorders>
            <w:noWrap/>
            <w:vAlign w:val="center"/>
          </w:tcPr>
          <w:p w14:paraId="469F3A70">
            <w:pPr>
              <w:rPr>
                <w:color w:val="auto"/>
              </w:rPr>
            </w:pPr>
          </w:p>
        </w:tc>
        <w:tc>
          <w:tcPr>
            <w:tcW w:w="1113" w:type="dxa"/>
            <w:tcBorders>
              <w:tl2br w:val="nil"/>
              <w:tr2bl w:val="nil"/>
            </w:tcBorders>
            <w:noWrap/>
            <w:vAlign w:val="center"/>
          </w:tcPr>
          <w:p w14:paraId="6591C47C">
            <w:pPr>
              <w:rPr>
                <w:color w:val="auto"/>
              </w:rPr>
            </w:pPr>
          </w:p>
        </w:tc>
        <w:tc>
          <w:tcPr>
            <w:tcW w:w="1005" w:type="dxa"/>
            <w:tcBorders>
              <w:tl2br w:val="nil"/>
              <w:tr2bl w:val="nil"/>
            </w:tcBorders>
            <w:noWrap/>
            <w:vAlign w:val="center"/>
          </w:tcPr>
          <w:p w14:paraId="242BB52C">
            <w:pPr>
              <w:rPr>
                <w:color w:val="auto"/>
              </w:rPr>
            </w:pPr>
          </w:p>
        </w:tc>
        <w:tc>
          <w:tcPr>
            <w:tcW w:w="900" w:type="dxa"/>
            <w:tcBorders>
              <w:tl2br w:val="nil"/>
              <w:tr2bl w:val="nil"/>
            </w:tcBorders>
            <w:noWrap/>
            <w:vAlign w:val="center"/>
          </w:tcPr>
          <w:p w14:paraId="3BD21095">
            <w:pPr>
              <w:rPr>
                <w:color w:val="auto"/>
              </w:rPr>
            </w:pPr>
          </w:p>
        </w:tc>
        <w:tc>
          <w:tcPr>
            <w:tcW w:w="765" w:type="dxa"/>
            <w:tcBorders>
              <w:tl2br w:val="nil"/>
              <w:tr2bl w:val="nil"/>
            </w:tcBorders>
            <w:noWrap/>
            <w:vAlign w:val="center"/>
          </w:tcPr>
          <w:p w14:paraId="04D2F56E">
            <w:pPr>
              <w:rPr>
                <w:color w:val="auto"/>
              </w:rPr>
            </w:pPr>
          </w:p>
        </w:tc>
      </w:tr>
      <w:tr w14:paraId="36B8BA1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52" w:hRule="exact"/>
          <w:jc w:val="center"/>
        </w:trPr>
        <w:tc>
          <w:tcPr>
            <w:tcW w:w="722" w:type="dxa"/>
            <w:tcBorders>
              <w:tl2br w:val="nil"/>
              <w:tr2bl w:val="nil"/>
            </w:tcBorders>
            <w:noWrap/>
            <w:vAlign w:val="center"/>
          </w:tcPr>
          <w:p w14:paraId="1DAAE50F">
            <w:pPr>
              <w:rPr>
                <w:color w:val="auto"/>
              </w:rPr>
            </w:pPr>
          </w:p>
        </w:tc>
        <w:tc>
          <w:tcPr>
            <w:tcW w:w="2338" w:type="dxa"/>
            <w:tcBorders>
              <w:tl2br w:val="nil"/>
              <w:tr2bl w:val="nil"/>
            </w:tcBorders>
            <w:noWrap/>
            <w:vAlign w:val="center"/>
          </w:tcPr>
          <w:p w14:paraId="40223A54">
            <w:pPr>
              <w:ind w:firstLine="0" w:firstLineChars="0"/>
              <w:jc w:val="center"/>
              <w:rPr>
                <w:color w:val="auto"/>
              </w:rPr>
            </w:pPr>
            <w:r>
              <w:rPr>
                <w:rFonts w:hint="eastAsia"/>
                <w:color w:val="auto"/>
              </w:rPr>
              <w:t>备品备件及易损件</w:t>
            </w:r>
          </w:p>
          <w:p w14:paraId="7C248619">
            <w:pPr>
              <w:ind w:firstLine="0" w:firstLineChars="0"/>
              <w:jc w:val="center"/>
              <w:rPr>
                <w:color w:val="auto"/>
              </w:rPr>
            </w:pPr>
            <w:r>
              <w:rPr>
                <w:rFonts w:hint="eastAsia"/>
                <w:color w:val="auto"/>
              </w:rPr>
              <w:t>（如有）</w:t>
            </w:r>
          </w:p>
        </w:tc>
        <w:tc>
          <w:tcPr>
            <w:tcW w:w="1551" w:type="dxa"/>
            <w:tcBorders>
              <w:tl2br w:val="nil"/>
              <w:tr2bl w:val="nil"/>
            </w:tcBorders>
            <w:noWrap/>
            <w:vAlign w:val="center"/>
          </w:tcPr>
          <w:p w14:paraId="20396844">
            <w:pPr>
              <w:rPr>
                <w:color w:val="auto"/>
              </w:rPr>
            </w:pPr>
          </w:p>
        </w:tc>
        <w:tc>
          <w:tcPr>
            <w:tcW w:w="1343" w:type="dxa"/>
            <w:tcBorders>
              <w:tl2br w:val="nil"/>
              <w:tr2bl w:val="nil"/>
            </w:tcBorders>
            <w:noWrap/>
            <w:vAlign w:val="center"/>
          </w:tcPr>
          <w:p w14:paraId="5561C3DB">
            <w:pPr>
              <w:rPr>
                <w:color w:val="auto"/>
              </w:rPr>
            </w:pPr>
          </w:p>
        </w:tc>
        <w:tc>
          <w:tcPr>
            <w:tcW w:w="1113" w:type="dxa"/>
            <w:tcBorders>
              <w:tl2br w:val="nil"/>
              <w:tr2bl w:val="nil"/>
            </w:tcBorders>
            <w:noWrap/>
            <w:vAlign w:val="center"/>
          </w:tcPr>
          <w:p w14:paraId="22A38985">
            <w:pPr>
              <w:rPr>
                <w:color w:val="auto"/>
              </w:rPr>
            </w:pPr>
          </w:p>
        </w:tc>
        <w:tc>
          <w:tcPr>
            <w:tcW w:w="1005" w:type="dxa"/>
            <w:tcBorders>
              <w:tl2br w:val="nil"/>
              <w:tr2bl w:val="nil"/>
            </w:tcBorders>
            <w:noWrap/>
            <w:vAlign w:val="center"/>
          </w:tcPr>
          <w:p w14:paraId="76DF6870">
            <w:pPr>
              <w:rPr>
                <w:color w:val="auto"/>
              </w:rPr>
            </w:pPr>
          </w:p>
        </w:tc>
        <w:tc>
          <w:tcPr>
            <w:tcW w:w="900" w:type="dxa"/>
            <w:tcBorders>
              <w:tl2br w:val="nil"/>
              <w:tr2bl w:val="nil"/>
            </w:tcBorders>
            <w:noWrap/>
            <w:vAlign w:val="center"/>
          </w:tcPr>
          <w:p w14:paraId="73B68892">
            <w:pPr>
              <w:rPr>
                <w:color w:val="auto"/>
              </w:rPr>
            </w:pPr>
          </w:p>
        </w:tc>
        <w:tc>
          <w:tcPr>
            <w:tcW w:w="765" w:type="dxa"/>
            <w:tcBorders>
              <w:tl2br w:val="nil"/>
              <w:tr2bl w:val="nil"/>
            </w:tcBorders>
            <w:noWrap/>
            <w:vAlign w:val="center"/>
          </w:tcPr>
          <w:p w14:paraId="3CA23ADB">
            <w:pPr>
              <w:rPr>
                <w:color w:val="auto"/>
              </w:rPr>
            </w:pPr>
          </w:p>
        </w:tc>
      </w:tr>
      <w:tr w14:paraId="597ADB0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722" w:type="dxa"/>
            <w:tcBorders>
              <w:tl2br w:val="nil"/>
              <w:tr2bl w:val="nil"/>
            </w:tcBorders>
            <w:noWrap/>
            <w:vAlign w:val="center"/>
          </w:tcPr>
          <w:p w14:paraId="67C8496A">
            <w:pPr>
              <w:rPr>
                <w:color w:val="auto"/>
              </w:rPr>
            </w:pPr>
          </w:p>
        </w:tc>
        <w:tc>
          <w:tcPr>
            <w:tcW w:w="2338" w:type="dxa"/>
            <w:tcBorders>
              <w:tl2br w:val="nil"/>
              <w:tr2bl w:val="nil"/>
            </w:tcBorders>
            <w:noWrap/>
            <w:vAlign w:val="center"/>
          </w:tcPr>
          <w:p w14:paraId="09B55CC6">
            <w:pPr>
              <w:ind w:firstLine="0" w:firstLineChars="0"/>
              <w:jc w:val="center"/>
              <w:rPr>
                <w:color w:val="auto"/>
              </w:rPr>
            </w:pPr>
            <w:r>
              <w:rPr>
                <w:rFonts w:hint="eastAsia"/>
                <w:color w:val="auto"/>
              </w:rPr>
              <w:t>专用工具（如有）</w:t>
            </w:r>
          </w:p>
        </w:tc>
        <w:tc>
          <w:tcPr>
            <w:tcW w:w="1551" w:type="dxa"/>
            <w:tcBorders>
              <w:tl2br w:val="nil"/>
              <w:tr2bl w:val="nil"/>
            </w:tcBorders>
            <w:noWrap/>
            <w:vAlign w:val="center"/>
          </w:tcPr>
          <w:p w14:paraId="0DB4D5AD">
            <w:pPr>
              <w:rPr>
                <w:color w:val="auto"/>
              </w:rPr>
            </w:pPr>
          </w:p>
        </w:tc>
        <w:tc>
          <w:tcPr>
            <w:tcW w:w="1343" w:type="dxa"/>
            <w:tcBorders>
              <w:tl2br w:val="nil"/>
              <w:tr2bl w:val="nil"/>
            </w:tcBorders>
            <w:noWrap/>
            <w:vAlign w:val="center"/>
          </w:tcPr>
          <w:p w14:paraId="6D75F4BC">
            <w:pPr>
              <w:rPr>
                <w:color w:val="auto"/>
              </w:rPr>
            </w:pPr>
          </w:p>
        </w:tc>
        <w:tc>
          <w:tcPr>
            <w:tcW w:w="1113" w:type="dxa"/>
            <w:tcBorders>
              <w:tl2br w:val="nil"/>
              <w:tr2bl w:val="nil"/>
            </w:tcBorders>
            <w:noWrap/>
            <w:vAlign w:val="center"/>
          </w:tcPr>
          <w:p w14:paraId="613AB48D">
            <w:pPr>
              <w:rPr>
                <w:color w:val="auto"/>
              </w:rPr>
            </w:pPr>
          </w:p>
        </w:tc>
        <w:tc>
          <w:tcPr>
            <w:tcW w:w="1005" w:type="dxa"/>
            <w:tcBorders>
              <w:tl2br w:val="nil"/>
              <w:tr2bl w:val="nil"/>
            </w:tcBorders>
            <w:noWrap/>
            <w:vAlign w:val="center"/>
          </w:tcPr>
          <w:p w14:paraId="242D6090">
            <w:pPr>
              <w:rPr>
                <w:color w:val="auto"/>
              </w:rPr>
            </w:pPr>
          </w:p>
        </w:tc>
        <w:tc>
          <w:tcPr>
            <w:tcW w:w="900" w:type="dxa"/>
            <w:tcBorders>
              <w:tl2br w:val="nil"/>
              <w:tr2bl w:val="nil"/>
            </w:tcBorders>
            <w:noWrap/>
            <w:vAlign w:val="center"/>
          </w:tcPr>
          <w:p w14:paraId="7BDE37E5">
            <w:pPr>
              <w:rPr>
                <w:color w:val="auto"/>
              </w:rPr>
            </w:pPr>
          </w:p>
        </w:tc>
        <w:tc>
          <w:tcPr>
            <w:tcW w:w="765" w:type="dxa"/>
            <w:tcBorders>
              <w:tl2br w:val="nil"/>
              <w:tr2bl w:val="nil"/>
            </w:tcBorders>
            <w:noWrap/>
            <w:vAlign w:val="center"/>
          </w:tcPr>
          <w:p w14:paraId="17134641">
            <w:pPr>
              <w:rPr>
                <w:color w:val="auto"/>
              </w:rPr>
            </w:pPr>
          </w:p>
        </w:tc>
      </w:tr>
      <w:tr w14:paraId="5A3F4F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722" w:type="dxa"/>
            <w:tcBorders>
              <w:tl2br w:val="nil"/>
              <w:tr2bl w:val="nil"/>
            </w:tcBorders>
            <w:noWrap/>
            <w:vAlign w:val="center"/>
          </w:tcPr>
          <w:p w14:paraId="59320E02">
            <w:pPr>
              <w:rPr>
                <w:color w:val="auto"/>
              </w:rPr>
            </w:pPr>
          </w:p>
        </w:tc>
        <w:tc>
          <w:tcPr>
            <w:tcW w:w="2338" w:type="dxa"/>
            <w:tcBorders>
              <w:tl2br w:val="nil"/>
              <w:tr2bl w:val="nil"/>
            </w:tcBorders>
            <w:noWrap/>
            <w:vAlign w:val="center"/>
          </w:tcPr>
          <w:p w14:paraId="70505AD6">
            <w:pPr>
              <w:rPr>
                <w:color w:val="auto"/>
              </w:rPr>
            </w:pPr>
            <w:r>
              <w:rPr>
                <w:rFonts w:hint="eastAsia"/>
                <w:color w:val="auto"/>
              </w:rPr>
              <w:t>……</w:t>
            </w:r>
          </w:p>
        </w:tc>
        <w:tc>
          <w:tcPr>
            <w:tcW w:w="1551" w:type="dxa"/>
            <w:tcBorders>
              <w:tl2br w:val="nil"/>
              <w:tr2bl w:val="nil"/>
            </w:tcBorders>
            <w:noWrap/>
            <w:vAlign w:val="center"/>
          </w:tcPr>
          <w:p w14:paraId="55B9A419">
            <w:pPr>
              <w:rPr>
                <w:color w:val="auto"/>
              </w:rPr>
            </w:pPr>
          </w:p>
        </w:tc>
        <w:tc>
          <w:tcPr>
            <w:tcW w:w="1343" w:type="dxa"/>
            <w:tcBorders>
              <w:tl2br w:val="nil"/>
              <w:tr2bl w:val="nil"/>
            </w:tcBorders>
            <w:noWrap/>
            <w:vAlign w:val="center"/>
          </w:tcPr>
          <w:p w14:paraId="4DD943B3">
            <w:pPr>
              <w:rPr>
                <w:color w:val="auto"/>
              </w:rPr>
            </w:pPr>
          </w:p>
        </w:tc>
        <w:tc>
          <w:tcPr>
            <w:tcW w:w="1113" w:type="dxa"/>
            <w:tcBorders>
              <w:tl2br w:val="nil"/>
              <w:tr2bl w:val="nil"/>
            </w:tcBorders>
            <w:noWrap/>
            <w:vAlign w:val="center"/>
          </w:tcPr>
          <w:p w14:paraId="23070418">
            <w:pPr>
              <w:rPr>
                <w:color w:val="auto"/>
              </w:rPr>
            </w:pPr>
          </w:p>
        </w:tc>
        <w:tc>
          <w:tcPr>
            <w:tcW w:w="1005" w:type="dxa"/>
            <w:tcBorders>
              <w:tl2br w:val="nil"/>
              <w:tr2bl w:val="nil"/>
            </w:tcBorders>
            <w:noWrap/>
            <w:vAlign w:val="center"/>
          </w:tcPr>
          <w:p w14:paraId="5F34CCEE">
            <w:pPr>
              <w:rPr>
                <w:color w:val="auto"/>
              </w:rPr>
            </w:pPr>
          </w:p>
        </w:tc>
        <w:tc>
          <w:tcPr>
            <w:tcW w:w="900" w:type="dxa"/>
            <w:tcBorders>
              <w:tl2br w:val="nil"/>
              <w:tr2bl w:val="nil"/>
            </w:tcBorders>
            <w:noWrap/>
            <w:vAlign w:val="center"/>
          </w:tcPr>
          <w:p w14:paraId="07A6B9DB">
            <w:pPr>
              <w:rPr>
                <w:color w:val="auto"/>
              </w:rPr>
            </w:pPr>
          </w:p>
        </w:tc>
        <w:tc>
          <w:tcPr>
            <w:tcW w:w="765" w:type="dxa"/>
            <w:tcBorders>
              <w:tl2br w:val="nil"/>
              <w:tr2bl w:val="nil"/>
            </w:tcBorders>
            <w:noWrap/>
            <w:vAlign w:val="center"/>
          </w:tcPr>
          <w:p w14:paraId="2234AF8C">
            <w:pPr>
              <w:rPr>
                <w:color w:val="auto"/>
              </w:rPr>
            </w:pPr>
          </w:p>
        </w:tc>
      </w:tr>
      <w:tr w14:paraId="41E4076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3060" w:type="dxa"/>
            <w:gridSpan w:val="2"/>
            <w:vMerge w:val="restart"/>
            <w:tcBorders>
              <w:tl2br w:val="nil"/>
              <w:tr2bl w:val="nil"/>
            </w:tcBorders>
            <w:noWrap/>
            <w:vAlign w:val="center"/>
          </w:tcPr>
          <w:p w14:paraId="49C85A3F">
            <w:pPr>
              <w:rPr>
                <w:color w:val="auto"/>
              </w:rPr>
            </w:pPr>
            <w:r>
              <w:rPr>
                <w:rFonts w:hint="eastAsia"/>
                <w:color w:val="auto"/>
              </w:rPr>
              <w:t>总计金额</w:t>
            </w:r>
          </w:p>
        </w:tc>
        <w:tc>
          <w:tcPr>
            <w:tcW w:w="6677" w:type="dxa"/>
            <w:gridSpan w:val="6"/>
            <w:tcBorders>
              <w:tl2br w:val="nil"/>
              <w:tr2bl w:val="nil"/>
            </w:tcBorders>
            <w:noWrap/>
            <w:vAlign w:val="center"/>
          </w:tcPr>
          <w:p w14:paraId="263B0964">
            <w:pPr>
              <w:rPr>
                <w:color w:val="auto"/>
              </w:rPr>
            </w:pPr>
            <w:r>
              <w:rPr>
                <w:rFonts w:hint="eastAsia"/>
                <w:color w:val="auto"/>
              </w:rPr>
              <w:t>大写</w:t>
            </w:r>
          </w:p>
        </w:tc>
      </w:tr>
      <w:tr w14:paraId="5699A5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3060" w:type="dxa"/>
            <w:gridSpan w:val="2"/>
            <w:vMerge w:val="continue"/>
            <w:tcBorders>
              <w:tl2br w:val="nil"/>
              <w:tr2bl w:val="nil"/>
            </w:tcBorders>
            <w:noWrap/>
            <w:vAlign w:val="center"/>
          </w:tcPr>
          <w:p w14:paraId="63FC346F">
            <w:pPr>
              <w:rPr>
                <w:color w:val="auto"/>
              </w:rPr>
            </w:pPr>
          </w:p>
        </w:tc>
        <w:tc>
          <w:tcPr>
            <w:tcW w:w="6677" w:type="dxa"/>
            <w:gridSpan w:val="6"/>
            <w:tcBorders>
              <w:tl2br w:val="nil"/>
              <w:tr2bl w:val="nil"/>
            </w:tcBorders>
            <w:noWrap/>
            <w:vAlign w:val="center"/>
          </w:tcPr>
          <w:p w14:paraId="5D746D80">
            <w:pPr>
              <w:rPr>
                <w:color w:val="auto"/>
              </w:rPr>
            </w:pPr>
            <w:r>
              <w:rPr>
                <w:rFonts w:hint="eastAsia"/>
                <w:color w:val="auto"/>
              </w:rPr>
              <w:t>小写</w:t>
            </w:r>
          </w:p>
        </w:tc>
      </w:tr>
    </w:tbl>
    <w:p w14:paraId="5F7EB063">
      <w:pPr>
        <w:pStyle w:val="16"/>
        <w:rPr>
          <w:color w:val="auto"/>
        </w:rPr>
      </w:pPr>
      <w:r>
        <w:rPr>
          <w:rFonts w:hint="eastAsia"/>
          <w:color w:val="auto"/>
        </w:rPr>
        <w:t>注：1.该表中内容可自行扩展，内容可自行细化。</w:t>
      </w:r>
    </w:p>
    <w:p w14:paraId="1A41B084">
      <w:pPr>
        <w:pStyle w:val="16"/>
        <w:rPr>
          <w:color w:val="auto"/>
        </w:rPr>
      </w:pPr>
      <w:r>
        <w:rPr>
          <w:rFonts w:hint="eastAsia"/>
          <w:color w:val="auto"/>
        </w:rPr>
        <w:t>2.供应商对所报相关内容的真实性负责，采购代理机构有权将相关内容进行公示，因弄虚作假导致的后果由供应商自行承担。</w:t>
      </w:r>
    </w:p>
    <w:p w14:paraId="651D76AB">
      <w:pPr>
        <w:rPr>
          <w:color w:val="auto"/>
        </w:rPr>
      </w:pPr>
    </w:p>
    <w:p w14:paraId="365E593C">
      <w:pPr>
        <w:pStyle w:val="16"/>
        <w:rPr>
          <w:color w:val="auto"/>
        </w:rPr>
      </w:pPr>
    </w:p>
    <w:p w14:paraId="5C9227D7">
      <w:pPr>
        <w:rPr>
          <w:color w:val="auto"/>
        </w:rPr>
      </w:pPr>
      <w:r>
        <w:rPr>
          <w:rFonts w:hint="eastAsia"/>
          <w:color w:val="auto"/>
        </w:rPr>
        <w:t>供应商：                    （盖企业电子章）</w:t>
      </w:r>
    </w:p>
    <w:p w14:paraId="6E0F4329">
      <w:pPr>
        <w:rPr>
          <w:color w:val="auto"/>
        </w:rPr>
      </w:pPr>
      <w:r>
        <w:rPr>
          <w:rFonts w:hint="eastAsia"/>
          <w:color w:val="auto"/>
        </w:rPr>
        <w:t>法定代表人或其委托代理人：</w:t>
      </w:r>
      <w:r>
        <w:rPr>
          <w:rFonts w:hint="eastAsia"/>
          <w:color w:val="auto"/>
          <w:u w:val="single"/>
        </w:rPr>
        <w:t xml:space="preserve">        </w:t>
      </w:r>
      <w:r>
        <w:rPr>
          <w:rFonts w:hint="eastAsia"/>
          <w:color w:val="auto"/>
        </w:rPr>
        <w:t>（签字或盖章或电子签章）</w:t>
      </w:r>
    </w:p>
    <w:p w14:paraId="5A9076DA">
      <w:pPr>
        <w:rPr>
          <w:color w:val="auto"/>
        </w:rPr>
        <w:sectPr>
          <w:footerReference r:id="rId17" w:type="default"/>
          <w:pgSz w:w="11910" w:h="16840"/>
          <w:pgMar w:top="1440" w:right="1417" w:bottom="1440" w:left="1417" w:header="0" w:footer="1000" w:gutter="0"/>
          <w:cols w:space="0" w:num="1"/>
        </w:sectPr>
      </w:pPr>
      <w:r>
        <w:rPr>
          <w:rFonts w:hint="eastAsia"/>
          <w:color w:val="auto"/>
        </w:rPr>
        <w:t xml:space="preserve">日期：   </w:t>
      </w:r>
      <w:r>
        <w:rPr>
          <w:rFonts w:hint="eastAsia"/>
          <w:color w:val="auto"/>
        </w:rPr>
        <w:tab/>
      </w:r>
      <w:r>
        <w:rPr>
          <w:rFonts w:hint="eastAsia"/>
          <w:color w:val="auto"/>
        </w:rPr>
        <w:t xml:space="preserve">年    </w:t>
      </w:r>
      <w:r>
        <w:rPr>
          <w:rFonts w:hint="eastAsia"/>
          <w:color w:val="auto"/>
        </w:rPr>
        <w:tab/>
      </w:r>
      <w:r>
        <w:rPr>
          <w:rFonts w:hint="eastAsia"/>
          <w:color w:val="auto"/>
        </w:rPr>
        <w:t xml:space="preserve">月    </w:t>
      </w:r>
      <w:r>
        <w:rPr>
          <w:rFonts w:hint="eastAsia"/>
          <w:color w:val="auto"/>
        </w:rPr>
        <w:tab/>
      </w:r>
      <w:r>
        <w:rPr>
          <w:rFonts w:hint="eastAsia"/>
          <w:color w:val="auto"/>
        </w:rPr>
        <w:t xml:space="preserve">日    </w:t>
      </w:r>
    </w:p>
    <w:p w14:paraId="732C65E1">
      <w:pPr>
        <w:pStyle w:val="6"/>
        <w:ind w:firstLine="562"/>
        <w:rPr>
          <w:rFonts w:hint="eastAsia"/>
          <w:bCs/>
          <w:color w:val="auto"/>
        </w:rPr>
      </w:pPr>
      <w:bookmarkStart w:id="262" w:name="_bookmark39"/>
      <w:bookmarkEnd w:id="262"/>
      <w:bookmarkStart w:id="263" w:name="11、采购代理服务费交纳承诺函"/>
      <w:bookmarkEnd w:id="263"/>
      <w:bookmarkStart w:id="264" w:name="5、符合《政府采购促进中小企业发展管理办法》、《关于政府采购支持监狱企业发展有关"/>
      <w:bookmarkEnd w:id="264"/>
      <w:bookmarkStart w:id="265" w:name="_bookmark44"/>
      <w:bookmarkEnd w:id="265"/>
      <w:bookmarkStart w:id="266" w:name="_bookmark45"/>
      <w:bookmarkEnd w:id="266"/>
      <w:r>
        <w:rPr>
          <w:rFonts w:hint="eastAsia"/>
          <w:color w:val="auto"/>
        </w:rPr>
        <w:t>七、技术文件</w:t>
      </w:r>
    </w:p>
    <w:p w14:paraId="094D5D08">
      <w:pPr>
        <w:rPr>
          <w:color w:val="auto"/>
        </w:rPr>
      </w:pPr>
      <w:r>
        <w:rPr>
          <w:rFonts w:hint="eastAsia"/>
          <w:color w:val="auto"/>
        </w:rPr>
        <w:t>1.货物规格一览表</w:t>
      </w:r>
    </w:p>
    <w:tbl>
      <w:tblPr>
        <w:tblStyle w:val="38"/>
        <w:tblW w:w="9130"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
      <w:tblGrid>
        <w:gridCol w:w="570"/>
        <w:gridCol w:w="1626"/>
        <w:gridCol w:w="764"/>
        <w:gridCol w:w="712"/>
        <w:gridCol w:w="1476"/>
        <w:gridCol w:w="1476"/>
        <w:gridCol w:w="1476"/>
        <w:gridCol w:w="1030"/>
      </w:tblGrid>
      <w:tr w14:paraId="43467B4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627" w:hRule="atLeast"/>
        </w:trPr>
        <w:tc>
          <w:tcPr>
            <w:tcW w:w="570" w:type="dxa"/>
            <w:tcBorders>
              <w:tl2br w:val="nil"/>
              <w:tr2bl w:val="nil"/>
            </w:tcBorders>
            <w:vAlign w:val="center"/>
          </w:tcPr>
          <w:p w14:paraId="77F6ABC8">
            <w:pPr>
              <w:ind w:firstLine="0" w:firstLineChars="0"/>
              <w:jc w:val="center"/>
              <w:rPr>
                <w:color w:val="auto"/>
              </w:rPr>
            </w:pPr>
            <w:r>
              <w:rPr>
                <w:rFonts w:hint="eastAsia"/>
                <w:color w:val="auto"/>
              </w:rPr>
              <w:t>序号</w:t>
            </w:r>
          </w:p>
        </w:tc>
        <w:tc>
          <w:tcPr>
            <w:tcW w:w="1626" w:type="dxa"/>
            <w:tcBorders>
              <w:tl2br w:val="nil"/>
              <w:tr2bl w:val="nil"/>
            </w:tcBorders>
            <w:vAlign w:val="center"/>
          </w:tcPr>
          <w:p w14:paraId="4D291A7B">
            <w:pPr>
              <w:ind w:firstLine="0" w:firstLineChars="0"/>
              <w:jc w:val="center"/>
              <w:rPr>
                <w:color w:val="auto"/>
              </w:rPr>
            </w:pPr>
            <w:r>
              <w:rPr>
                <w:rFonts w:hint="eastAsia"/>
                <w:color w:val="auto"/>
              </w:rPr>
              <w:t>产品或配置名称</w:t>
            </w:r>
          </w:p>
        </w:tc>
        <w:tc>
          <w:tcPr>
            <w:tcW w:w="764" w:type="dxa"/>
            <w:tcBorders>
              <w:tl2br w:val="nil"/>
              <w:tr2bl w:val="nil"/>
            </w:tcBorders>
            <w:vAlign w:val="center"/>
          </w:tcPr>
          <w:p w14:paraId="3CE9C038">
            <w:pPr>
              <w:ind w:firstLine="0" w:firstLineChars="0"/>
              <w:jc w:val="center"/>
              <w:rPr>
                <w:color w:val="auto"/>
              </w:rPr>
            </w:pPr>
            <w:r>
              <w:rPr>
                <w:rFonts w:hint="eastAsia"/>
                <w:color w:val="auto"/>
              </w:rPr>
              <w:t>品牌</w:t>
            </w:r>
          </w:p>
        </w:tc>
        <w:tc>
          <w:tcPr>
            <w:tcW w:w="712" w:type="dxa"/>
            <w:tcBorders>
              <w:tl2br w:val="nil"/>
              <w:tr2bl w:val="nil"/>
            </w:tcBorders>
            <w:vAlign w:val="center"/>
          </w:tcPr>
          <w:p w14:paraId="6E7FEE85">
            <w:pPr>
              <w:ind w:firstLine="0" w:firstLineChars="0"/>
              <w:jc w:val="center"/>
              <w:rPr>
                <w:color w:val="auto"/>
              </w:rPr>
            </w:pPr>
            <w:r>
              <w:rPr>
                <w:rFonts w:hint="eastAsia"/>
                <w:color w:val="auto"/>
              </w:rPr>
              <w:t>型号</w:t>
            </w:r>
          </w:p>
        </w:tc>
        <w:tc>
          <w:tcPr>
            <w:tcW w:w="1476" w:type="dxa"/>
            <w:tcBorders>
              <w:tl2br w:val="nil"/>
              <w:tr2bl w:val="nil"/>
            </w:tcBorders>
            <w:vAlign w:val="center"/>
          </w:tcPr>
          <w:p w14:paraId="3CEE5DC7">
            <w:pPr>
              <w:ind w:firstLine="0" w:firstLineChars="0"/>
              <w:jc w:val="center"/>
              <w:rPr>
                <w:color w:val="auto"/>
              </w:rPr>
            </w:pPr>
            <w:r>
              <w:rPr>
                <w:rFonts w:hint="eastAsia"/>
                <w:color w:val="auto"/>
              </w:rPr>
              <w:t>规格参数</w:t>
            </w:r>
          </w:p>
        </w:tc>
        <w:tc>
          <w:tcPr>
            <w:tcW w:w="1476" w:type="dxa"/>
            <w:tcBorders>
              <w:tl2br w:val="nil"/>
              <w:tr2bl w:val="nil"/>
            </w:tcBorders>
            <w:vAlign w:val="center"/>
          </w:tcPr>
          <w:p w14:paraId="1F905FB4">
            <w:pPr>
              <w:ind w:firstLine="0" w:firstLineChars="0"/>
              <w:jc w:val="center"/>
              <w:rPr>
                <w:color w:val="auto"/>
              </w:rPr>
            </w:pPr>
            <w:r>
              <w:rPr>
                <w:rFonts w:hint="eastAsia"/>
                <w:color w:val="auto"/>
              </w:rPr>
              <w:t>制造厂（商）</w:t>
            </w:r>
          </w:p>
        </w:tc>
        <w:tc>
          <w:tcPr>
            <w:tcW w:w="1476" w:type="dxa"/>
            <w:tcBorders>
              <w:tl2br w:val="nil"/>
              <w:tr2bl w:val="nil"/>
            </w:tcBorders>
            <w:vAlign w:val="center"/>
          </w:tcPr>
          <w:p w14:paraId="00B45004">
            <w:pPr>
              <w:ind w:firstLine="0" w:firstLineChars="0"/>
              <w:jc w:val="center"/>
              <w:rPr>
                <w:color w:val="auto"/>
              </w:rPr>
            </w:pPr>
            <w:r>
              <w:rPr>
                <w:rFonts w:hint="eastAsia"/>
                <w:color w:val="auto"/>
              </w:rPr>
              <w:t>产地</w:t>
            </w:r>
          </w:p>
        </w:tc>
        <w:tc>
          <w:tcPr>
            <w:tcW w:w="1030" w:type="dxa"/>
            <w:tcBorders>
              <w:tl2br w:val="nil"/>
              <w:tr2bl w:val="nil"/>
            </w:tcBorders>
            <w:vAlign w:val="center"/>
          </w:tcPr>
          <w:p w14:paraId="206E51D7">
            <w:pPr>
              <w:ind w:firstLine="0" w:firstLineChars="0"/>
              <w:jc w:val="center"/>
              <w:rPr>
                <w:color w:val="auto"/>
              </w:rPr>
            </w:pPr>
            <w:r>
              <w:rPr>
                <w:rFonts w:hint="eastAsia"/>
                <w:color w:val="auto"/>
              </w:rPr>
              <w:t>备注</w:t>
            </w:r>
          </w:p>
        </w:tc>
      </w:tr>
      <w:tr w14:paraId="1D647CB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40" w:hRule="atLeast"/>
        </w:trPr>
        <w:tc>
          <w:tcPr>
            <w:tcW w:w="570" w:type="dxa"/>
            <w:tcBorders>
              <w:tl2br w:val="nil"/>
              <w:tr2bl w:val="nil"/>
            </w:tcBorders>
            <w:vAlign w:val="center"/>
          </w:tcPr>
          <w:p w14:paraId="01F40D6E">
            <w:pPr>
              <w:rPr>
                <w:color w:val="auto"/>
              </w:rPr>
            </w:pPr>
          </w:p>
        </w:tc>
        <w:tc>
          <w:tcPr>
            <w:tcW w:w="1626" w:type="dxa"/>
            <w:tcBorders>
              <w:tl2br w:val="nil"/>
              <w:tr2bl w:val="nil"/>
            </w:tcBorders>
            <w:vAlign w:val="center"/>
          </w:tcPr>
          <w:p w14:paraId="0AB3DA6E">
            <w:pPr>
              <w:rPr>
                <w:color w:val="auto"/>
              </w:rPr>
            </w:pPr>
          </w:p>
        </w:tc>
        <w:tc>
          <w:tcPr>
            <w:tcW w:w="764" w:type="dxa"/>
            <w:tcBorders>
              <w:tl2br w:val="nil"/>
              <w:tr2bl w:val="nil"/>
            </w:tcBorders>
            <w:vAlign w:val="center"/>
          </w:tcPr>
          <w:p w14:paraId="30CF5A8C">
            <w:pPr>
              <w:rPr>
                <w:color w:val="auto"/>
              </w:rPr>
            </w:pPr>
          </w:p>
        </w:tc>
        <w:tc>
          <w:tcPr>
            <w:tcW w:w="712" w:type="dxa"/>
            <w:tcBorders>
              <w:tl2br w:val="nil"/>
              <w:tr2bl w:val="nil"/>
            </w:tcBorders>
            <w:vAlign w:val="center"/>
          </w:tcPr>
          <w:p w14:paraId="1DD17A41">
            <w:pPr>
              <w:rPr>
                <w:color w:val="auto"/>
              </w:rPr>
            </w:pPr>
          </w:p>
        </w:tc>
        <w:tc>
          <w:tcPr>
            <w:tcW w:w="1476" w:type="dxa"/>
            <w:tcBorders>
              <w:tl2br w:val="nil"/>
              <w:tr2bl w:val="nil"/>
            </w:tcBorders>
            <w:vAlign w:val="center"/>
          </w:tcPr>
          <w:p w14:paraId="084BCC32">
            <w:pPr>
              <w:rPr>
                <w:color w:val="auto"/>
              </w:rPr>
            </w:pPr>
          </w:p>
        </w:tc>
        <w:tc>
          <w:tcPr>
            <w:tcW w:w="1476" w:type="dxa"/>
            <w:tcBorders>
              <w:tl2br w:val="nil"/>
              <w:tr2bl w:val="nil"/>
            </w:tcBorders>
            <w:vAlign w:val="center"/>
          </w:tcPr>
          <w:p w14:paraId="5EE55B50">
            <w:pPr>
              <w:rPr>
                <w:color w:val="auto"/>
              </w:rPr>
            </w:pPr>
          </w:p>
        </w:tc>
        <w:tc>
          <w:tcPr>
            <w:tcW w:w="1476" w:type="dxa"/>
            <w:tcBorders>
              <w:tl2br w:val="nil"/>
              <w:tr2bl w:val="nil"/>
            </w:tcBorders>
            <w:vAlign w:val="center"/>
          </w:tcPr>
          <w:p w14:paraId="1FECF6A6">
            <w:pPr>
              <w:rPr>
                <w:color w:val="auto"/>
              </w:rPr>
            </w:pPr>
          </w:p>
        </w:tc>
        <w:tc>
          <w:tcPr>
            <w:tcW w:w="1030" w:type="dxa"/>
            <w:tcBorders>
              <w:tl2br w:val="nil"/>
              <w:tr2bl w:val="nil"/>
            </w:tcBorders>
            <w:vAlign w:val="center"/>
          </w:tcPr>
          <w:p w14:paraId="60BF13B9">
            <w:pPr>
              <w:rPr>
                <w:color w:val="auto"/>
              </w:rPr>
            </w:pPr>
          </w:p>
        </w:tc>
      </w:tr>
      <w:tr w14:paraId="2F11CDA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40" w:hRule="atLeast"/>
        </w:trPr>
        <w:tc>
          <w:tcPr>
            <w:tcW w:w="570" w:type="dxa"/>
            <w:tcBorders>
              <w:tl2br w:val="nil"/>
              <w:tr2bl w:val="nil"/>
            </w:tcBorders>
            <w:vAlign w:val="center"/>
          </w:tcPr>
          <w:p w14:paraId="33126B60">
            <w:pPr>
              <w:rPr>
                <w:color w:val="auto"/>
              </w:rPr>
            </w:pPr>
          </w:p>
        </w:tc>
        <w:tc>
          <w:tcPr>
            <w:tcW w:w="1626" w:type="dxa"/>
            <w:tcBorders>
              <w:tl2br w:val="nil"/>
              <w:tr2bl w:val="nil"/>
            </w:tcBorders>
            <w:vAlign w:val="center"/>
          </w:tcPr>
          <w:p w14:paraId="64AE205C">
            <w:pPr>
              <w:rPr>
                <w:color w:val="auto"/>
              </w:rPr>
            </w:pPr>
          </w:p>
        </w:tc>
        <w:tc>
          <w:tcPr>
            <w:tcW w:w="764" w:type="dxa"/>
            <w:tcBorders>
              <w:tl2br w:val="nil"/>
              <w:tr2bl w:val="nil"/>
            </w:tcBorders>
            <w:vAlign w:val="center"/>
          </w:tcPr>
          <w:p w14:paraId="071C4523">
            <w:pPr>
              <w:rPr>
                <w:color w:val="auto"/>
              </w:rPr>
            </w:pPr>
          </w:p>
        </w:tc>
        <w:tc>
          <w:tcPr>
            <w:tcW w:w="712" w:type="dxa"/>
            <w:tcBorders>
              <w:tl2br w:val="nil"/>
              <w:tr2bl w:val="nil"/>
            </w:tcBorders>
            <w:vAlign w:val="center"/>
          </w:tcPr>
          <w:p w14:paraId="62950FC7">
            <w:pPr>
              <w:rPr>
                <w:color w:val="auto"/>
              </w:rPr>
            </w:pPr>
          </w:p>
        </w:tc>
        <w:tc>
          <w:tcPr>
            <w:tcW w:w="1476" w:type="dxa"/>
            <w:tcBorders>
              <w:tl2br w:val="nil"/>
              <w:tr2bl w:val="nil"/>
            </w:tcBorders>
            <w:vAlign w:val="center"/>
          </w:tcPr>
          <w:p w14:paraId="0B8B2AC0">
            <w:pPr>
              <w:rPr>
                <w:color w:val="auto"/>
              </w:rPr>
            </w:pPr>
          </w:p>
        </w:tc>
        <w:tc>
          <w:tcPr>
            <w:tcW w:w="1476" w:type="dxa"/>
            <w:tcBorders>
              <w:tl2br w:val="nil"/>
              <w:tr2bl w:val="nil"/>
            </w:tcBorders>
            <w:vAlign w:val="center"/>
          </w:tcPr>
          <w:p w14:paraId="74F3B8FA">
            <w:pPr>
              <w:rPr>
                <w:color w:val="auto"/>
              </w:rPr>
            </w:pPr>
          </w:p>
        </w:tc>
        <w:tc>
          <w:tcPr>
            <w:tcW w:w="1476" w:type="dxa"/>
            <w:tcBorders>
              <w:tl2br w:val="nil"/>
              <w:tr2bl w:val="nil"/>
            </w:tcBorders>
            <w:vAlign w:val="center"/>
          </w:tcPr>
          <w:p w14:paraId="450C359F">
            <w:pPr>
              <w:rPr>
                <w:color w:val="auto"/>
              </w:rPr>
            </w:pPr>
          </w:p>
        </w:tc>
        <w:tc>
          <w:tcPr>
            <w:tcW w:w="1030" w:type="dxa"/>
            <w:tcBorders>
              <w:tl2br w:val="nil"/>
              <w:tr2bl w:val="nil"/>
            </w:tcBorders>
            <w:vAlign w:val="center"/>
          </w:tcPr>
          <w:p w14:paraId="0071F6B2">
            <w:pPr>
              <w:rPr>
                <w:color w:val="auto"/>
              </w:rPr>
            </w:pPr>
          </w:p>
        </w:tc>
      </w:tr>
      <w:tr w14:paraId="004FB24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40" w:hRule="atLeast"/>
        </w:trPr>
        <w:tc>
          <w:tcPr>
            <w:tcW w:w="570" w:type="dxa"/>
            <w:tcBorders>
              <w:tl2br w:val="nil"/>
              <w:tr2bl w:val="nil"/>
            </w:tcBorders>
            <w:vAlign w:val="center"/>
          </w:tcPr>
          <w:p w14:paraId="590B41FB">
            <w:pPr>
              <w:rPr>
                <w:color w:val="auto"/>
              </w:rPr>
            </w:pPr>
          </w:p>
        </w:tc>
        <w:tc>
          <w:tcPr>
            <w:tcW w:w="1626" w:type="dxa"/>
            <w:tcBorders>
              <w:tl2br w:val="nil"/>
              <w:tr2bl w:val="nil"/>
            </w:tcBorders>
            <w:vAlign w:val="center"/>
          </w:tcPr>
          <w:p w14:paraId="1FEF1603">
            <w:pPr>
              <w:rPr>
                <w:color w:val="auto"/>
              </w:rPr>
            </w:pPr>
          </w:p>
        </w:tc>
        <w:tc>
          <w:tcPr>
            <w:tcW w:w="764" w:type="dxa"/>
            <w:tcBorders>
              <w:tl2br w:val="nil"/>
              <w:tr2bl w:val="nil"/>
            </w:tcBorders>
            <w:vAlign w:val="center"/>
          </w:tcPr>
          <w:p w14:paraId="322C2863">
            <w:pPr>
              <w:rPr>
                <w:color w:val="auto"/>
              </w:rPr>
            </w:pPr>
          </w:p>
        </w:tc>
        <w:tc>
          <w:tcPr>
            <w:tcW w:w="712" w:type="dxa"/>
            <w:tcBorders>
              <w:tl2br w:val="nil"/>
              <w:tr2bl w:val="nil"/>
            </w:tcBorders>
            <w:vAlign w:val="center"/>
          </w:tcPr>
          <w:p w14:paraId="631639C0">
            <w:pPr>
              <w:rPr>
                <w:color w:val="auto"/>
              </w:rPr>
            </w:pPr>
          </w:p>
        </w:tc>
        <w:tc>
          <w:tcPr>
            <w:tcW w:w="1476" w:type="dxa"/>
            <w:tcBorders>
              <w:tl2br w:val="nil"/>
              <w:tr2bl w:val="nil"/>
            </w:tcBorders>
            <w:vAlign w:val="center"/>
          </w:tcPr>
          <w:p w14:paraId="66B26825">
            <w:pPr>
              <w:rPr>
                <w:color w:val="auto"/>
              </w:rPr>
            </w:pPr>
          </w:p>
        </w:tc>
        <w:tc>
          <w:tcPr>
            <w:tcW w:w="1476" w:type="dxa"/>
            <w:tcBorders>
              <w:tl2br w:val="nil"/>
              <w:tr2bl w:val="nil"/>
            </w:tcBorders>
            <w:vAlign w:val="center"/>
          </w:tcPr>
          <w:p w14:paraId="655234C5">
            <w:pPr>
              <w:rPr>
                <w:color w:val="auto"/>
              </w:rPr>
            </w:pPr>
          </w:p>
        </w:tc>
        <w:tc>
          <w:tcPr>
            <w:tcW w:w="1476" w:type="dxa"/>
            <w:tcBorders>
              <w:tl2br w:val="nil"/>
              <w:tr2bl w:val="nil"/>
            </w:tcBorders>
            <w:vAlign w:val="center"/>
          </w:tcPr>
          <w:p w14:paraId="1DBF67E6">
            <w:pPr>
              <w:rPr>
                <w:color w:val="auto"/>
              </w:rPr>
            </w:pPr>
          </w:p>
        </w:tc>
        <w:tc>
          <w:tcPr>
            <w:tcW w:w="1030" w:type="dxa"/>
            <w:tcBorders>
              <w:tl2br w:val="nil"/>
              <w:tr2bl w:val="nil"/>
            </w:tcBorders>
            <w:vAlign w:val="center"/>
          </w:tcPr>
          <w:p w14:paraId="53019F78">
            <w:pPr>
              <w:rPr>
                <w:color w:val="auto"/>
              </w:rPr>
            </w:pPr>
          </w:p>
        </w:tc>
      </w:tr>
      <w:tr w14:paraId="06C0677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40" w:hRule="atLeast"/>
        </w:trPr>
        <w:tc>
          <w:tcPr>
            <w:tcW w:w="570" w:type="dxa"/>
            <w:tcBorders>
              <w:tl2br w:val="nil"/>
              <w:tr2bl w:val="nil"/>
            </w:tcBorders>
            <w:vAlign w:val="center"/>
          </w:tcPr>
          <w:p w14:paraId="0C775F62">
            <w:pPr>
              <w:rPr>
                <w:color w:val="auto"/>
              </w:rPr>
            </w:pPr>
          </w:p>
        </w:tc>
        <w:tc>
          <w:tcPr>
            <w:tcW w:w="1626" w:type="dxa"/>
            <w:tcBorders>
              <w:tl2br w:val="nil"/>
              <w:tr2bl w:val="nil"/>
            </w:tcBorders>
            <w:vAlign w:val="center"/>
          </w:tcPr>
          <w:p w14:paraId="5A92E34E">
            <w:pPr>
              <w:rPr>
                <w:color w:val="auto"/>
              </w:rPr>
            </w:pPr>
          </w:p>
        </w:tc>
        <w:tc>
          <w:tcPr>
            <w:tcW w:w="764" w:type="dxa"/>
            <w:tcBorders>
              <w:tl2br w:val="nil"/>
              <w:tr2bl w:val="nil"/>
            </w:tcBorders>
            <w:vAlign w:val="center"/>
          </w:tcPr>
          <w:p w14:paraId="50271219">
            <w:pPr>
              <w:rPr>
                <w:color w:val="auto"/>
              </w:rPr>
            </w:pPr>
          </w:p>
        </w:tc>
        <w:tc>
          <w:tcPr>
            <w:tcW w:w="712" w:type="dxa"/>
            <w:tcBorders>
              <w:tl2br w:val="nil"/>
              <w:tr2bl w:val="nil"/>
            </w:tcBorders>
            <w:vAlign w:val="center"/>
          </w:tcPr>
          <w:p w14:paraId="05EE33C9">
            <w:pPr>
              <w:rPr>
                <w:color w:val="auto"/>
              </w:rPr>
            </w:pPr>
          </w:p>
        </w:tc>
        <w:tc>
          <w:tcPr>
            <w:tcW w:w="1476" w:type="dxa"/>
            <w:tcBorders>
              <w:tl2br w:val="nil"/>
              <w:tr2bl w:val="nil"/>
            </w:tcBorders>
            <w:vAlign w:val="center"/>
          </w:tcPr>
          <w:p w14:paraId="1E454C4F">
            <w:pPr>
              <w:rPr>
                <w:color w:val="auto"/>
              </w:rPr>
            </w:pPr>
          </w:p>
        </w:tc>
        <w:tc>
          <w:tcPr>
            <w:tcW w:w="1476" w:type="dxa"/>
            <w:tcBorders>
              <w:tl2br w:val="nil"/>
              <w:tr2bl w:val="nil"/>
            </w:tcBorders>
            <w:vAlign w:val="center"/>
          </w:tcPr>
          <w:p w14:paraId="638D4591">
            <w:pPr>
              <w:rPr>
                <w:color w:val="auto"/>
              </w:rPr>
            </w:pPr>
          </w:p>
        </w:tc>
        <w:tc>
          <w:tcPr>
            <w:tcW w:w="1476" w:type="dxa"/>
            <w:tcBorders>
              <w:tl2br w:val="nil"/>
              <w:tr2bl w:val="nil"/>
            </w:tcBorders>
            <w:vAlign w:val="center"/>
          </w:tcPr>
          <w:p w14:paraId="3DB2C7D5">
            <w:pPr>
              <w:rPr>
                <w:color w:val="auto"/>
              </w:rPr>
            </w:pPr>
          </w:p>
        </w:tc>
        <w:tc>
          <w:tcPr>
            <w:tcW w:w="1030" w:type="dxa"/>
            <w:tcBorders>
              <w:tl2br w:val="nil"/>
              <w:tr2bl w:val="nil"/>
            </w:tcBorders>
            <w:vAlign w:val="center"/>
          </w:tcPr>
          <w:p w14:paraId="0EA90F66">
            <w:pPr>
              <w:rPr>
                <w:color w:val="auto"/>
              </w:rPr>
            </w:pPr>
          </w:p>
        </w:tc>
      </w:tr>
      <w:tr w14:paraId="546B46B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40" w:hRule="atLeast"/>
        </w:trPr>
        <w:tc>
          <w:tcPr>
            <w:tcW w:w="570" w:type="dxa"/>
            <w:tcBorders>
              <w:tl2br w:val="nil"/>
              <w:tr2bl w:val="nil"/>
            </w:tcBorders>
            <w:vAlign w:val="center"/>
          </w:tcPr>
          <w:p w14:paraId="1E4D140C">
            <w:pPr>
              <w:rPr>
                <w:color w:val="auto"/>
              </w:rPr>
            </w:pPr>
          </w:p>
        </w:tc>
        <w:tc>
          <w:tcPr>
            <w:tcW w:w="1626" w:type="dxa"/>
            <w:tcBorders>
              <w:tl2br w:val="nil"/>
              <w:tr2bl w:val="nil"/>
            </w:tcBorders>
            <w:vAlign w:val="center"/>
          </w:tcPr>
          <w:p w14:paraId="0E06DA78">
            <w:pPr>
              <w:rPr>
                <w:color w:val="auto"/>
              </w:rPr>
            </w:pPr>
          </w:p>
        </w:tc>
        <w:tc>
          <w:tcPr>
            <w:tcW w:w="764" w:type="dxa"/>
            <w:tcBorders>
              <w:tl2br w:val="nil"/>
              <w:tr2bl w:val="nil"/>
            </w:tcBorders>
            <w:vAlign w:val="center"/>
          </w:tcPr>
          <w:p w14:paraId="37F7D35C">
            <w:pPr>
              <w:rPr>
                <w:color w:val="auto"/>
              </w:rPr>
            </w:pPr>
          </w:p>
        </w:tc>
        <w:tc>
          <w:tcPr>
            <w:tcW w:w="712" w:type="dxa"/>
            <w:tcBorders>
              <w:tl2br w:val="nil"/>
              <w:tr2bl w:val="nil"/>
            </w:tcBorders>
            <w:vAlign w:val="center"/>
          </w:tcPr>
          <w:p w14:paraId="397438E1">
            <w:pPr>
              <w:rPr>
                <w:color w:val="auto"/>
              </w:rPr>
            </w:pPr>
          </w:p>
        </w:tc>
        <w:tc>
          <w:tcPr>
            <w:tcW w:w="1476" w:type="dxa"/>
            <w:tcBorders>
              <w:tl2br w:val="nil"/>
              <w:tr2bl w:val="nil"/>
            </w:tcBorders>
            <w:vAlign w:val="center"/>
          </w:tcPr>
          <w:p w14:paraId="3AB6DC04">
            <w:pPr>
              <w:rPr>
                <w:color w:val="auto"/>
              </w:rPr>
            </w:pPr>
          </w:p>
        </w:tc>
        <w:tc>
          <w:tcPr>
            <w:tcW w:w="1476" w:type="dxa"/>
            <w:tcBorders>
              <w:tl2br w:val="nil"/>
              <w:tr2bl w:val="nil"/>
            </w:tcBorders>
            <w:vAlign w:val="center"/>
          </w:tcPr>
          <w:p w14:paraId="14235BD9">
            <w:pPr>
              <w:rPr>
                <w:color w:val="auto"/>
              </w:rPr>
            </w:pPr>
          </w:p>
        </w:tc>
        <w:tc>
          <w:tcPr>
            <w:tcW w:w="1476" w:type="dxa"/>
            <w:tcBorders>
              <w:tl2br w:val="nil"/>
              <w:tr2bl w:val="nil"/>
            </w:tcBorders>
            <w:vAlign w:val="center"/>
          </w:tcPr>
          <w:p w14:paraId="2B8757DE">
            <w:pPr>
              <w:rPr>
                <w:color w:val="auto"/>
              </w:rPr>
            </w:pPr>
          </w:p>
        </w:tc>
        <w:tc>
          <w:tcPr>
            <w:tcW w:w="1030" w:type="dxa"/>
            <w:tcBorders>
              <w:tl2br w:val="nil"/>
              <w:tr2bl w:val="nil"/>
            </w:tcBorders>
            <w:vAlign w:val="center"/>
          </w:tcPr>
          <w:p w14:paraId="0242B6CB">
            <w:pPr>
              <w:rPr>
                <w:color w:val="auto"/>
              </w:rPr>
            </w:pPr>
          </w:p>
        </w:tc>
      </w:tr>
      <w:tr w14:paraId="1DDEE1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40" w:hRule="atLeast"/>
        </w:trPr>
        <w:tc>
          <w:tcPr>
            <w:tcW w:w="570" w:type="dxa"/>
            <w:tcBorders>
              <w:tl2br w:val="nil"/>
              <w:tr2bl w:val="nil"/>
            </w:tcBorders>
            <w:vAlign w:val="center"/>
          </w:tcPr>
          <w:p w14:paraId="328594F5">
            <w:pPr>
              <w:rPr>
                <w:color w:val="auto"/>
              </w:rPr>
            </w:pPr>
          </w:p>
        </w:tc>
        <w:tc>
          <w:tcPr>
            <w:tcW w:w="1626" w:type="dxa"/>
            <w:tcBorders>
              <w:tl2br w:val="nil"/>
              <w:tr2bl w:val="nil"/>
            </w:tcBorders>
            <w:vAlign w:val="center"/>
          </w:tcPr>
          <w:p w14:paraId="49B052BF">
            <w:pPr>
              <w:rPr>
                <w:color w:val="auto"/>
              </w:rPr>
            </w:pPr>
          </w:p>
        </w:tc>
        <w:tc>
          <w:tcPr>
            <w:tcW w:w="764" w:type="dxa"/>
            <w:tcBorders>
              <w:tl2br w:val="nil"/>
              <w:tr2bl w:val="nil"/>
            </w:tcBorders>
            <w:vAlign w:val="center"/>
          </w:tcPr>
          <w:p w14:paraId="0C6337C4">
            <w:pPr>
              <w:rPr>
                <w:color w:val="auto"/>
              </w:rPr>
            </w:pPr>
          </w:p>
        </w:tc>
        <w:tc>
          <w:tcPr>
            <w:tcW w:w="712" w:type="dxa"/>
            <w:tcBorders>
              <w:tl2br w:val="nil"/>
              <w:tr2bl w:val="nil"/>
            </w:tcBorders>
            <w:vAlign w:val="center"/>
          </w:tcPr>
          <w:p w14:paraId="555F0D87">
            <w:pPr>
              <w:rPr>
                <w:color w:val="auto"/>
              </w:rPr>
            </w:pPr>
          </w:p>
        </w:tc>
        <w:tc>
          <w:tcPr>
            <w:tcW w:w="1476" w:type="dxa"/>
            <w:tcBorders>
              <w:tl2br w:val="nil"/>
              <w:tr2bl w:val="nil"/>
            </w:tcBorders>
            <w:vAlign w:val="center"/>
          </w:tcPr>
          <w:p w14:paraId="3A96DE24">
            <w:pPr>
              <w:rPr>
                <w:color w:val="auto"/>
              </w:rPr>
            </w:pPr>
          </w:p>
        </w:tc>
        <w:tc>
          <w:tcPr>
            <w:tcW w:w="1476" w:type="dxa"/>
            <w:tcBorders>
              <w:tl2br w:val="nil"/>
              <w:tr2bl w:val="nil"/>
            </w:tcBorders>
            <w:vAlign w:val="center"/>
          </w:tcPr>
          <w:p w14:paraId="48D4ECB6">
            <w:pPr>
              <w:rPr>
                <w:color w:val="auto"/>
              </w:rPr>
            </w:pPr>
          </w:p>
        </w:tc>
        <w:tc>
          <w:tcPr>
            <w:tcW w:w="1476" w:type="dxa"/>
            <w:tcBorders>
              <w:tl2br w:val="nil"/>
              <w:tr2bl w:val="nil"/>
            </w:tcBorders>
            <w:vAlign w:val="center"/>
          </w:tcPr>
          <w:p w14:paraId="2B89CF98">
            <w:pPr>
              <w:rPr>
                <w:color w:val="auto"/>
              </w:rPr>
            </w:pPr>
          </w:p>
        </w:tc>
        <w:tc>
          <w:tcPr>
            <w:tcW w:w="1030" w:type="dxa"/>
            <w:tcBorders>
              <w:tl2br w:val="nil"/>
              <w:tr2bl w:val="nil"/>
            </w:tcBorders>
            <w:vAlign w:val="center"/>
          </w:tcPr>
          <w:p w14:paraId="60EDCD03">
            <w:pPr>
              <w:rPr>
                <w:color w:val="auto"/>
              </w:rPr>
            </w:pPr>
          </w:p>
        </w:tc>
      </w:tr>
    </w:tbl>
    <w:p w14:paraId="0A753DEF">
      <w:pPr>
        <w:rPr>
          <w:color w:val="auto"/>
        </w:rPr>
      </w:pPr>
    </w:p>
    <w:p w14:paraId="4ED5A4D5">
      <w:pPr>
        <w:rPr>
          <w:color w:val="auto"/>
        </w:rPr>
      </w:pPr>
      <w:r>
        <w:rPr>
          <w:rFonts w:hint="eastAsia"/>
          <w:color w:val="auto"/>
        </w:rPr>
        <w:t>注：该表中内容可自行扩展，内容可自行细化。</w:t>
      </w:r>
    </w:p>
    <w:p w14:paraId="75216341">
      <w:pPr>
        <w:pStyle w:val="16"/>
        <w:rPr>
          <w:color w:val="auto"/>
        </w:rPr>
      </w:pPr>
    </w:p>
    <w:p w14:paraId="1CE9B9B0">
      <w:pPr>
        <w:pStyle w:val="16"/>
        <w:rPr>
          <w:color w:val="auto"/>
          <w:lang w:bidi="zh-CN"/>
        </w:rPr>
      </w:pPr>
    </w:p>
    <w:p w14:paraId="4D855F31">
      <w:pPr>
        <w:pStyle w:val="30"/>
        <w:rPr>
          <w:color w:val="auto"/>
          <w:lang w:bidi="zh-CN"/>
        </w:rPr>
      </w:pPr>
    </w:p>
    <w:p w14:paraId="10A1B4DE">
      <w:pPr>
        <w:rPr>
          <w:color w:val="auto"/>
        </w:rPr>
      </w:pPr>
      <w:r>
        <w:rPr>
          <w:rFonts w:hint="eastAsia"/>
          <w:color w:val="auto"/>
        </w:rPr>
        <w:t>供应商：                    （盖企业电子章）</w:t>
      </w:r>
    </w:p>
    <w:p w14:paraId="26A468DD">
      <w:pPr>
        <w:rPr>
          <w:color w:val="auto"/>
        </w:rPr>
      </w:pPr>
      <w:r>
        <w:rPr>
          <w:rFonts w:hint="eastAsia"/>
          <w:color w:val="auto"/>
        </w:rPr>
        <w:t>法定代表人或其委托代理人：</w:t>
      </w:r>
      <w:r>
        <w:rPr>
          <w:rFonts w:hint="eastAsia"/>
          <w:color w:val="auto"/>
          <w:u w:val="single"/>
        </w:rPr>
        <w:t xml:space="preserve">        </w:t>
      </w:r>
      <w:r>
        <w:rPr>
          <w:rFonts w:hint="eastAsia"/>
          <w:color w:val="auto"/>
        </w:rPr>
        <w:t>（签字或盖章或电子签章）</w:t>
      </w:r>
    </w:p>
    <w:p w14:paraId="0C57B351">
      <w:pPr>
        <w:rPr>
          <w:color w:val="auto"/>
        </w:rPr>
        <w:sectPr>
          <w:footerReference r:id="rId18" w:type="default"/>
          <w:pgSz w:w="11910" w:h="16840"/>
          <w:pgMar w:top="1440" w:right="1417" w:bottom="1440" w:left="1417" w:header="0" w:footer="1000" w:gutter="0"/>
          <w:cols w:space="0" w:num="1"/>
        </w:sectPr>
      </w:pPr>
      <w:r>
        <w:rPr>
          <w:rFonts w:hint="eastAsia"/>
          <w:color w:val="auto"/>
        </w:rPr>
        <w:t xml:space="preserve">日期：   </w:t>
      </w:r>
      <w:r>
        <w:rPr>
          <w:rFonts w:hint="eastAsia"/>
          <w:color w:val="auto"/>
        </w:rPr>
        <w:tab/>
      </w:r>
      <w:r>
        <w:rPr>
          <w:rFonts w:hint="eastAsia"/>
          <w:color w:val="auto"/>
        </w:rPr>
        <w:t xml:space="preserve">年    </w:t>
      </w:r>
      <w:r>
        <w:rPr>
          <w:rFonts w:hint="eastAsia"/>
          <w:color w:val="auto"/>
        </w:rPr>
        <w:tab/>
      </w:r>
      <w:r>
        <w:rPr>
          <w:rFonts w:hint="eastAsia"/>
          <w:color w:val="auto"/>
        </w:rPr>
        <w:t xml:space="preserve">月    </w:t>
      </w:r>
      <w:r>
        <w:rPr>
          <w:rFonts w:hint="eastAsia"/>
          <w:color w:val="auto"/>
        </w:rPr>
        <w:tab/>
      </w:r>
      <w:r>
        <w:rPr>
          <w:rFonts w:hint="eastAsia"/>
          <w:color w:val="auto"/>
        </w:rPr>
        <w:t xml:space="preserve">日    </w:t>
      </w:r>
    </w:p>
    <w:p w14:paraId="1B86D36A">
      <w:pPr>
        <w:rPr>
          <w:color w:val="auto"/>
        </w:rPr>
      </w:pPr>
      <w:bookmarkStart w:id="267" w:name="_Toc23700"/>
      <w:r>
        <w:rPr>
          <w:rFonts w:hint="eastAsia"/>
          <w:color w:val="auto"/>
        </w:rPr>
        <w:t>2.技术条款偏离表</w:t>
      </w:r>
      <w:bookmarkEnd w:id="267"/>
    </w:p>
    <w:tbl>
      <w:tblPr>
        <w:tblStyle w:val="38"/>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65"/>
        <w:gridCol w:w="2215"/>
        <w:gridCol w:w="2168"/>
        <w:gridCol w:w="2302"/>
        <w:gridCol w:w="2304"/>
      </w:tblGrid>
      <w:tr w14:paraId="7DF44E2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91" w:hRule="atLeast"/>
          <w:jc w:val="center"/>
        </w:trPr>
        <w:tc>
          <w:tcPr>
            <w:tcW w:w="865" w:type="dxa"/>
            <w:tcBorders>
              <w:tl2br w:val="nil"/>
              <w:tr2bl w:val="nil"/>
            </w:tcBorders>
            <w:noWrap/>
            <w:vAlign w:val="center"/>
          </w:tcPr>
          <w:p w14:paraId="1E694AB3">
            <w:pPr>
              <w:ind w:firstLine="0" w:firstLineChars="0"/>
              <w:jc w:val="center"/>
              <w:rPr>
                <w:color w:val="auto"/>
              </w:rPr>
            </w:pPr>
            <w:r>
              <w:rPr>
                <w:rFonts w:hint="eastAsia"/>
                <w:color w:val="auto"/>
              </w:rPr>
              <w:t>序号</w:t>
            </w:r>
          </w:p>
        </w:tc>
        <w:tc>
          <w:tcPr>
            <w:tcW w:w="2215" w:type="dxa"/>
            <w:tcBorders>
              <w:tl2br w:val="nil"/>
              <w:tr2bl w:val="nil"/>
            </w:tcBorders>
            <w:noWrap/>
            <w:vAlign w:val="center"/>
          </w:tcPr>
          <w:p w14:paraId="4863698D">
            <w:pPr>
              <w:ind w:firstLine="0" w:firstLineChars="0"/>
              <w:jc w:val="center"/>
              <w:rPr>
                <w:color w:val="auto"/>
              </w:rPr>
            </w:pPr>
            <w:r>
              <w:rPr>
                <w:rFonts w:hint="eastAsia"/>
                <w:color w:val="auto"/>
              </w:rPr>
              <w:t>名称</w:t>
            </w:r>
          </w:p>
        </w:tc>
        <w:tc>
          <w:tcPr>
            <w:tcW w:w="2168" w:type="dxa"/>
            <w:tcBorders>
              <w:tl2br w:val="nil"/>
              <w:tr2bl w:val="nil"/>
            </w:tcBorders>
            <w:noWrap/>
            <w:vAlign w:val="center"/>
          </w:tcPr>
          <w:p w14:paraId="28D52CBA">
            <w:pPr>
              <w:ind w:firstLine="0" w:firstLineChars="0"/>
              <w:jc w:val="center"/>
              <w:rPr>
                <w:color w:val="auto"/>
              </w:rPr>
            </w:pPr>
            <w:r>
              <w:rPr>
                <w:rFonts w:hint="eastAsia"/>
                <w:color w:val="auto"/>
              </w:rPr>
              <w:t>磋商文件技术要求</w:t>
            </w:r>
          </w:p>
        </w:tc>
        <w:tc>
          <w:tcPr>
            <w:tcW w:w="2302" w:type="dxa"/>
            <w:tcBorders>
              <w:tl2br w:val="nil"/>
              <w:tr2bl w:val="nil"/>
            </w:tcBorders>
            <w:noWrap/>
            <w:vAlign w:val="center"/>
          </w:tcPr>
          <w:p w14:paraId="1521A1A2">
            <w:pPr>
              <w:ind w:firstLine="0" w:firstLineChars="0"/>
              <w:jc w:val="center"/>
              <w:rPr>
                <w:color w:val="auto"/>
              </w:rPr>
            </w:pPr>
            <w:r>
              <w:rPr>
                <w:rFonts w:hint="eastAsia"/>
                <w:color w:val="auto"/>
              </w:rPr>
              <w:t>响应文件技术要求</w:t>
            </w:r>
          </w:p>
        </w:tc>
        <w:tc>
          <w:tcPr>
            <w:tcW w:w="2304" w:type="dxa"/>
            <w:tcBorders>
              <w:tl2br w:val="nil"/>
              <w:tr2bl w:val="nil"/>
            </w:tcBorders>
            <w:noWrap/>
            <w:vAlign w:val="center"/>
          </w:tcPr>
          <w:p w14:paraId="464270F5">
            <w:pPr>
              <w:ind w:firstLine="0" w:firstLineChars="0"/>
              <w:jc w:val="center"/>
              <w:rPr>
                <w:color w:val="auto"/>
              </w:rPr>
            </w:pPr>
            <w:r>
              <w:rPr>
                <w:rFonts w:hint="eastAsia"/>
                <w:color w:val="auto"/>
              </w:rPr>
              <w:t>偏离情况</w:t>
            </w:r>
          </w:p>
        </w:tc>
      </w:tr>
      <w:tr w14:paraId="520558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865" w:type="dxa"/>
            <w:tcBorders>
              <w:tl2br w:val="nil"/>
              <w:tr2bl w:val="nil"/>
            </w:tcBorders>
            <w:noWrap/>
            <w:vAlign w:val="center"/>
          </w:tcPr>
          <w:p w14:paraId="2068191F">
            <w:pPr>
              <w:rPr>
                <w:color w:val="auto"/>
              </w:rPr>
            </w:pPr>
          </w:p>
        </w:tc>
        <w:tc>
          <w:tcPr>
            <w:tcW w:w="2215" w:type="dxa"/>
            <w:tcBorders>
              <w:tl2br w:val="nil"/>
              <w:tr2bl w:val="nil"/>
            </w:tcBorders>
            <w:noWrap/>
            <w:vAlign w:val="center"/>
          </w:tcPr>
          <w:p w14:paraId="54988F01">
            <w:pPr>
              <w:rPr>
                <w:color w:val="auto"/>
              </w:rPr>
            </w:pPr>
          </w:p>
        </w:tc>
        <w:tc>
          <w:tcPr>
            <w:tcW w:w="2168" w:type="dxa"/>
            <w:tcBorders>
              <w:tl2br w:val="nil"/>
              <w:tr2bl w:val="nil"/>
            </w:tcBorders>
            <w:noWrap/>
            <w:vAlign w:val="center"/>
          </w:tcPr>
          <w:p w14:paraId="7BB303E8">
            <w:pPr>
              <w:rPr>
                <w:color w:val="auto"/>
              </w:rPr>
            </w:pPr>
          </w:p>
        </w:tc>
        <w:tc>
          <w:tcPr>
            <w:tcW w:w="2302" w:type="dxa"/>
            <w:tcBorders>
              <w:tl2br w:val="nil"/>
              <w:tr2bl w:val="nil"/>
            </w:tcBorders>
            <w:noWrap/>
            <w:vAlign w:val="center"/>
          </w:tcPr>
          <w:p w14:paraId="1DA9E6BA">
            <w:pPr>
              <w:rPr>
                <w:color w:val="auto"/>
              </w:rPr>
            </w:pPr>
          </w:p>
        </w:tc>
        <w:tc>
          <w:tcPr>
            <w:tcW w:w="2304" w:type="dxa"/>
            <w:tcBorders>
              <w:tl2br w:val="nil"/>
              <w:tr2bl w:val="nil"/>
            </w:tcBorders>
            <w:noWrap/>
            <w:vAlign w:val="center"/>
          </w:tcPr>
          <w:p w14:paraId="1A052266">
            <w:pPr>
              <w:rPr>
                <w:color w:val="auto"/>
              </w:rPr>
            </w:pPr>
          </w:p>
        </w:tc>
      </w:tr>
      <w:tr w14:paraId="4AA8C00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865" w:type="dxa"/>
            <w:tcBorders>
              <w:tl2br w:val="nil"/>
              <w:tr2bl w:val="nil"/>
            </w:tcBorders>
            <w:noWrap/>
            <w:vAlign w:val="center"/>
          </w:tcPr>
          <w:p w14:paraId="3228CD54">
            <w:pPr>
              <w:rPr>
                <w:color w:val="auto"/>
              </w:rPr>
            </w:pPr>
          </w:p>
        </w:tc>
        <w:tc>
          <w:tcPr>
            <w:tcW w:w="2215" w:type="dxa"/>
            <w:tcBorders>
              <w:tl2br w:val="nil"/>
              <w:tr2bl w:val="nil"/>
            </w:tcBorders>
            <w:noWrap/>
            <w:vAlign w:val="center"/>
          </w:tcPr>
          <w:p w14:paraId="6259E47C">
            <w:pPr>
              <w:rPr>
                <w:color w:val="auto"/>
              </w:rPr>
            </w:pPr>
          </w:p>
        </w:tc>
        <w:tc>
          <w:tcPr>
            <w:tcW w:w="2168" w:type="dxa"/>
            <w:tcBorders>
              <w:tl2br w:val="nil"/>
              <w:tr2bl w:val="nil"/>
            </w:tcBorders>
            <w:noWrap/>
            <w:vAlign w:val="center"/>
          </w:tcPr>
          <w:p w14:paraId="2D9F4223">
            <w:pPr>
              <w:rPr>
                <w:color w:val="auto"/>
              </w:rPr>
            </w:pPr>
          </w:p>
        </w:tc>
        <w:tc>
          <w:tcPr>
            <w:tcW w:w="2302" w:type="dxa"/>
            <w:tcBorders>
              <w:tl2br w:val="nil"/>
              <w:tr2bl w:val="nil"/>
            </w:tcBorders>
            <w:noWrap/>
            <w:vAlign w:val="center"/>
          </w:tcPr>
          <w:p w14:paraId="51B9116E">
            <w:pPr>
              <w:rPr>
                <w:color w:val="auto"/>
              </w:rPr>
            </w:pPr>
          </w:p>
        </w:tc>
        <w:tc>
          <w:tcPr>
            <w:tcW w:w="2304" w:type="dxa"/>
            <w:tcBorders>
              <w:tl2br w:val="nil"/>
              <w:tr2bl w:val="nil"/>
            </w:tcBorders>
            <w:noWrap/>
            <w:vAlign w:val="center"/>
          </w:tcPr>
          <w:p w14:paraId="43DE8533">
            <w:pPr>
              <w:rPr>
                <w:color w:val="auto"/>
              </w:rPr>
            </w:pPr>
          </w:p>
        </w:tc>
      </w:tr>
      <w:tr w14:paraId="3303C8C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865" w:type="dxa"/>
            <w:tcBorders>
              <w:tl2br w:val="nil"/>
              <w:tr2bl w:val="nil"/>
            </w:tcBorders>
            <w:noWrap/>
            <w:vAlign w:val="center"/>
          </w:tcPr>
          <w:p w14:paraId="46DAD555">
            <w:pPr>
              <w:rPr>
                <w:color w:val="auto"/>
              </w:rPr>
            </w:pPr>
          </w:p>
        </w:tc>
        <w:tc>
          <w:tcPr>
            <w:tcW w:w="2215" w:type="dxa"/>
            <w:tcBorders>
              <w:tl2br w:val="nil"/>
              <w:tr2bl w:val="nil"/>
            </w:tcBorders>
            <w:noWrap/>
            <w:vAlign w:val="center"/>
          </w:tcPr>
          <w:p w14:paraId="5436F817">
            <w:pPr>
              <w:rPr>
                <w:color w:val="auto"/>
              </w:rPr>
            </w:pPr>
          </w:p>
        </w:tc>
        <w:tc>
          <w:tcPr>
            <w:tcW w:w="2168" w:type="dxa"/>
            <w:tcBorders>
              <w:tl2br w:val="nil"/>
              <w:tr2bl w:val="nil"/>
            </w:tcBorders>
            <w:noWrap/>
            <w:vAlign w:val="center"/>
          </w:tcPr>
          <w:p w14:paraId="5BD87EDE">
            <w:pPr>
              <w:rPr>
                <w:color w:val="auto"/>
              </w:rPr>
            </w:pPr>
          </w:p>
        </w:tc>
        <w:tc>
          <w:tcPr>
            <w:tcW w:w="2302" w:type="dxa"/>
            <w:tcBorders>
              <w:tl2br w:val="nil"/>
              <w:tr2bl w:val="nil"/>
            </w:tcBorders>
            <w:noWrap/>
            <w:vAlign w:val="center"/>
          </w:tcPr>
          <w:p w14:paraId="1B87F5CC">
            <w:pPr>
              <w:rPr>
                <w:color w:val="auto"/>
              </w:rPr>
            </w:pPr>
          </w:p>
        </w:tc>
        <w:tc>
          <w:tcPr>
            <w:tcW w:w="2304" w:type="dxa"/>
            <w:tcBorders>
              <w:tl2br w:val="nil"/>
              <w:tr2bl w:val="nil"/>
            </w:tcBorders>
            <w:noWrap/>
            <w:vAlign w:val="center"/>
          </w:tcPr>
          <w:p w14:paraId="49ED6335">
            <w:pPr>
              <w:rPr>
                <w:color w:val="auto"/>
              </w:rPr>
            </w:pPr>
          </w:p>
        </w:tc>
      </w:tr>
      <w:tr w14:paraId="75934A5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865" w:type="dxa"/>
            <w:tcBorders>
              <w:tl2br w:val="nil"/>
              <w:tr2bl w:val="nil"/>
            </w:tcBorders>
            <w:noWrap/>
            <w:vAlign w:val="center"/>
          </w:tcPr>
          <w:p w14:paraId="3339B8E2">
            <w:pPr>
              <w:rPr>
                <w:color w:val="auto"/>
              </w:rPr>
            </w:pPr>
          </w:p>
        </w:tc>
        <w:tc>
          <w:tcPr>
            <w:tcW w:w="2215" w:type="dxa"/>
            <w:tcBorders>
              <w:tl2br w:val="nil"/>
              <w:tr2bl w:val="nil"/>
            </w:tcBorders>
            <w:noWrap/>
            <w:vAlign w:val="center"/>
          </w:tcPr>
          <w:p w14:paraId="487679FD">
            <w:pPr>
              <w:rPr>
                <w:color w:val="auto"/>
              </w:rPr>
            </w:pPr>
          </w:p>
        </w:tc>
        <w:tc>
          <w:tcPr>
            <w:tcW w:w="2168" w:type="dxa"/>
            <w:tcBorders>
              <w:tl2br w:val="nil"/>
              <w:tr2bl w:val="nil"/>
            </w:tcBorders>
            <w:noWrap/>
            <w:vAlign w:val="center"/>
          </w:tcPr>
          <w:p w14:paraId="0432A81E">
            <w:pPr>
              <w:rPr>
                <w:color w:val="auto"/>
              </w:rPr>
            </w:pPr>
          </w:p>
        </w:tc>
        <w:tc>
          <w:tcPr>
            <w:tcW w:w="2302" w:type="dxa"/>
            <w:tcBorders>
              <w:tl2br w:val="nil"/>
              <w:tr2bl w:val="nil"/>
            </w:tcBorders>
            <w:noWrap/>
            <w:vAlign w:val="center"/>
          </w:tcPr>
          <w:p w14:paraId="26684C22">
            <w:pPr>
              <w:rPr>
                <w:color w:val="auto"/>
              </w:rPr>
            </w:pPr>
          </w:p>
        </w:tc>
        <w:tc>
          <w:tcPr>
            <w:tcW w:w="2304" w:type="dxa"/>
            <w:tcBorders>
              <w:tl2br w:val="nil"/>
              <w:tr2bl w:val="nil"/>
            </w:tcBorders>
            <w:noWrap/>
            <w:vAlign w:val="center"/>
          </w:tcPr>
          <w:p w14:paraId="0A3D87E6">
            <w:pPr>
              <w:rPr>
                <w:color w:val="auto"/>
              </w:rPr>
            </w:pPr>
          </w:p>
        </w:tc>
      </w:tr>
      <w:tr w14:paraId="06DA10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865" w:type="dxa"/>
            <w:tcBorders>
              <w:tl2br w:val="nil"/>
              <w:tr2bl w:val="nil"/>
            </w:tcBorders>
            <w:noWrap/>
            <w:vAlign w:val="center"/>
          </w:tcPr>
          <w:p w14:paraId="2E979F88">
            <w:pPr>
              <w:rPr>
                <w:color w:val="auto"/>
              </w:rPr>
            </w:pPr>
          </w:p>
        </w:tc>
        <w:tc>
          <w:tcPr>
            <w:tcW w:w="2215" w:type="dxa"/>
            <w:tcBorders>
              <w:tl2br w:val="nil"/>
              <w:tr2bl w:val="nil"/>
            </w:tcBorders>
            <w:noWrap/>
            <w:vAlign w:val="center"/>
          </w:tcPr>
          <w:p w14:paraId="09CFF99A">
            <w:pPr>
              <w:rPr>
                <w:color w:val="auto"/>
              </w:rPr>
            </w:pPr>
          </w:p>
        </w:tc>
        <w:tc>
          <w:tcPr>
            <w:tcW w:w="2168" w:type="dxa"/>
            <w:tcBorders>
              <w:tl2br w:val="nil"/>
              <w:tr2bl w:val="nil"/>
            </w:tcBorders>
            <w:noWrap/>
            <w:vAlign w:val="center"/>
          </w:tcPr>
          <w:p w14:paraId="0AA75095">
            <w:pPr>
              <w:rPr>
                <w:color w:val="auto"/>
              </w:rPr>
            </w:pPr>
          </w:p>
        </w:tc>
        <w:tc>
          <w:tcPr>
            <w:tcW w:w="2302" w:type="dxa"/>
            <w:tcBorders>
              <w:tl2br w:val="nil"/>
              <w:tr2bl w:val="nil"/>
            </w:tcBorders>
            <w:noWrap/>
            <w:vAlign w:val="center"/>
          </w:tcPr>
          <w:p w14:paraId="4FCB0A1E">
            <w:pPr>
              <w:rPr>
                <w:color w:val="auto"/>
              </w:rPr>
            </w:pPr>
          </w:p>
        </w:tc>
        <w:tc>
          <w:tcPr>
            <w:tcW w:w="2304" w:type="dxa"/>
            <w:tcBorders>
              <w:tl2br w:val="nil"/>
              <w:tr2bl w:val="nil"/>
            </w:tcBorders>
            <w:noWrap/>
            <w:vAlign w:val="center"/>
          </w:tcPr>
          <w:p w14:paraId="3B4FFE42">
            <w:pPr>
              <w:rPr>
                <w:color w:val="auto"/>
              </w:rPr>
            </w:pPr>
          </w:p>
        </w:tc>
      </w:tr>
      <w:tr w14:paraId="548D217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865" w:type="dxa"/>
            <w:tcBorders>
              <w:tl2br w:val="nil"/>
              <w:tr2bl w:val="nil"/>
            </w:tcBorders>
            <w:noWrap/>
            <w:vAlign w:val="center"/>
          </w:tcPr>
          <w:p w14:paraId="76AE6520">
            <w:pPr>
              <w:rPr>
                <w:color w:val="auto"/>
              </w:rPr>
            </w:pPr>
          </w:p>
        </w:tc>
        <w:tc>
          <w:tcPr>
            <w:tcW w:w="2215" w:type="dxa"/>
            <w:tcBorders>
              <w:tl2br w:val="nil"/>
              <w:tr2bl w:val="nil"/>
            </w:tcBorders>
            <w:noWrap/>
            <w:vAlign w:val="center"/>
          </w:tcPr>
          <w:p w14:paraId="1B6A82D3">
            <w:pPr>
              <w:rPr>
                <w:color w:val="auto"/>
              </w:rPr>
            </w:pPr>
          </w:p>
        </w:tc>
        <w:tc>
          <w:tcPr>
            <w:tcW w:w="2168" w:type="dxa"/>
            <w:tcBorders>
              <w:tl2br w:val="nil"/>
              <w:tr2bl w:val="nil"/>
            </w:tcBorders>
            <w:noWrap/>
            <w:vAlign w:val="center"/>
          </w:tcPr>
          <w:p w14:paraId="6029986A">
            <w:pPr>
              <w:rPr>
                <w:color w:val="auto"/>
              </w:rPr>
            </w:pPr>
          </w:p>
        </w:tc>
        <w:tc>
          <w:tcPr>
            <w:tcW w:w="2302" w:type="dxa"/>
            <w:tcBorders>
              <w:tl2br w:val="nil"/>
              <w:tr2bl w:val="nil"/>
            </w:tcBorders>
            <w:noWrap/>
            <w:vAlign w:val="center"/>
          </w:tcPr>
          <w:p w14:paraId="36C90A74">
            <w:pPr>
              <w:rPr>
                <w:color w:val="auto"/>
              </w:rPr>
            </w:pPr>
          </w:p>
        </w:tc>
        <w:tc>
          <w:tcPr>
            <w:tcW w:w="2304" w:type="dxa"/>
            <w:tcBorders>
              <w:tl2br w:val="nil"/>
              <w:tr2bl w:val="nil"/>
            </w:tcBorders>
            <w:noWrap/>
            <w:vAlign w:val="center"/>
          </w:tcPr>
          <w:p w14:paraId="59A2C5DA">
            <w:pPr>
              <w:rPr>
                <w:color w:val="auto"/>
              </w:rPr>
            </w:pPr>
          </w:p>
        </w:tc>
      </w:tr>
      <w:tr w14:paraId="3D9556D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865" w:type="dxa"/>
            <w:tcBorders>
              <w:tl2br w:val="nil"/>
              <w:tr2bl w:val="nil"/>
            </w:tcBorders>
            <w:noWrap/>
            <w:vAlign w:val="center"/>
          </w:tcPr>
          <w:p w14:paraId="454AF528">
            <w:pPr>
              <w:rPr>
                <w:color w:val="auto"/>
              </w:rPr>
            </w:pPr>
          </w:p>
        </w:tc>
        <w:tc>
          <w:tcPr>
            <w:tcW w:w="2215" w:type="dxa"/>
            <w:tcBorders>
              <w:tl2br w:val="nil"/>
              <w:tr2bl w:val="nil"/>
            </w:tcBorders>
            <w:noWrap/>
            <w:vAlign w:val="center"/>
          </w:tcPr>
          <w:p w14:paraId="67ABC836">
            <w:pPr>
              <w:rPr>
                <w:color w:val="auto"/>
              </w:rPr>
            </w:pPr>
          </w:p>
        </w:tc>
        <w:tc>
          <w:tcPr>
            <w:tcW w:w="2168" w:type="dxa"/>
            <w:tcBorders>
              <w:tl2br w:val="nil"/>
              <w:tr2bl w:val="nil"/>
            </w:tcBorders>
            <w:noWrap/>
            <w:vAlign w:val="center"/>
          </w:tcPr>
          <w:p w14:paraId="442CA0CD">
            <w:pPr>
              <w:rPr>
                <w:color w:val="auto"/>
              </w:rPr>
            </w:pPr>
          </w:p>
        </w:tc>
        <w:tc>
          <w:tcPr>
            <w:tcW w:w="2302" w:type="dxa"/>
            <w:tcBorders>
              <w:tl2br w:val="nil"/>
              <w:tr2bl w:val="nil"/>
            </w:tcBorders>
            <w:noWrap/>
            <w:vAlign w:val="center"/>
          </w:tcPr>
          <w:p w14:paraId="7F21A280">
            <w:pPr>
              <w:rPr>
                <w:color w:val="auto"/>
              </w:rPr>
            </w:pPr>
          </w:p>
        </w:tc>
        <w:tc>
          <w:tcPr>
            <w:tcW w:w="2304" w:type="dxa"/>
            <w:tcBorders>
              <w:tl2br w:val="nil"/>
              <w:tr2bl w:val="nil"/>
            </w:tcBorders>
            <w:noWrap/>
            <w:vAlign w:val="center"/>
          </w:tcPr>
          <w:p w14:paraId="4863F406">
            <w:pPr>
              <w:rPr>
                <w:color w:val="auto"/>
              </w:rPr>
            </w:pPr>
          </w:p>
        </w:tc>
      </w:tr>
      <w:tr w14:paraId="6502C1B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865" w:type="dxa"/>
            <w:tcBorders>
              <w:tl2br w:val="nil"/>
              <w:tr2bl w:val="nil"/>
            </w:tcBorders>
            <w:noWrap/>
            <w:vAlign w:val="center"/>
          </w:tcPr>
          <w:p w14:paraId="2530FC40">
            <w:pPr>
              <w:rPr>
                <w:color w:val="auto"/>
              </w:rPr>
            </w:pPr>
          </w:p>
        </w:tc>
        <w:tc>
          <w:tcPr>
            <w:tcW w:w="2215" w:type="dxa"/>
            <w:tcBorders>
              <w:tl2br w:val="nil"/>
              <w:tr2bl w:val="nil"/>
            </w:tcBorders>
            <w:noWrap/>
            <w:vAlign w:val="center"/>
          </w:tcPr>
          <w:p w14:paraId="6349F90B">
            <w:pPr>
              <w:rPr>
                <w:color w:val="auto"/>
              </w:rPr>
            </w:pPr>
          </w:p>
        </w:tc>
        <w:tc>
          <w:tcPr>
            <w:tcW w:w="2168" w:type="dxa"/>
            <w:tcBorders>
              <w:tl2br w:val="nil"/>
              <w:tr2bl w:val="nil"/>
            </w:tcBorders>
            <w:noWrap/>
            <w:vAlign w:val="center"/>
          </w:tcPr>
          <w:p w14:paraId="27E3F403">
            <w:pPr>
              <w:rPr>
                <w:color w:val="auto"/>
              </w:rPr>
            </w:pPr>
          </w:p>
        </w:tc>
        <w:tc>
          <w:tcPr>
            <w:tcW w:w="2302" w:type="dxa"/>
            <w:tcBorders>
              <w:tl2br w:val="nil"/>
              <w:tr2bl w:val="nil"/>
            </w:tcBorders>
            <w:noWrap/>
            <w:vAlign w:val="center"/>
          </w:tcPr>
          <w:p w14:paraId="6F14E8D6">
            <w:pPr>
              <w:rPr>
                <w:color w:val="auto"/>
              </w:rPr>
            </w:pPr>
          </w:p>
        </w:tc>
        <w:tc>
          <w:tcPr>
            <w:tcW w:w="2304" w:type="dxa"/>
            <w:tcBorders>
              <w:tl2br w:val="nil"/>
              <w:tr2bl w:val="nil"/>
            </w:tcBorders>
            <w:noWrap/>
            <w:vAlign w:val="center"/>
          </w:tcPr>
          <w:p w14:paraId="10353A1A">
            <w:pPr>
              <w:rPr>
                <w:color w:val="auto"/>
              </w:rPr>
            </w:pPr>
          </w:p>
        </w:tc>
      </w:tr>
      <w:tr w14:paraId="3935A86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865" w:type="dxa"/>
            <w:tcBorders>
              <w:tl2br w:val="nil"/>
              <w:tr2bl w:val="nil"/>
            </w:tcBorders>
            <w:noWrap/>
            <w:vAlign w:val="center"/>
          </w:tcPr>
          <w:p w14:paraId="35CDCA18">
            <w:pPr>
              <w:rPr>
                <w:color w:val="auto"/>
              </w:rPr>
            </w:pPr>
          </w:p>
        </w:tc>
        <w:tc>
          <w:tcPr>
            <w:tcW w:w="2215" w:type="dxa"/>
            <w:tcBorders>
              <w:tl2br w:val="nil"/>
              <w:tr2bl w:val="nil"/>
            </w:tcBorders>
            <w:noWrap/>
            <w:vAlign w:val="center"/>
          </w:tcPr>
          <w:p w14:paraId="32CEBAEF">
            <w:pPr>
              <w:rPr>
                <w:color w:val="auto"/>
              </w:rPr>
            </w:pPr>
          </w:p>
        </w:tc>
        <w:tc>
          <w:tcPr>
            <w:tcW w:w="2168" w:type="dxa"/>
            <w:tcBorders>
              <w:tl2br w:val="nil"/>
              <w:tr2bl w:val="nil"/>
            </w:tcBorders>
            <w:noWrap/>
            <w:vAlign w:val="center"/>
          </w:tcPr>
          <w:p w14:paraId="3FE62FDA">
            <w:pPr>
              <w:rPr>
                <w:color w:val="auto"/>
              </w:rPr>
            </w:pPr>
          </w:p>
        </w:tc>
        <w:tc>
          <w:tcPr>
            <w:tcW w:w="2302" w:type="dxa"/>
            <w:tcBorders>
              <w:tl2br w:val="nil"/>
              <w:tr2bl w:val="nil"/>
            </w:tcBorders>
            <w:noWrap/>
            <w:vAlign w:val="center"/>
          </w:tcPr>
          <w:p w14:paraId="7CC68D8A">
            <w:pPr>
              <w:rPr>
                <w:color w:val="auto"/>
              </w:rPr>
            </w:pPr>
          </w:p>
        </w:tc>
        <w:tc>
          <w:tcPr>
            <w:tcW w:w="2304" w:type="dxa"/>
            <w:tcBorders>
              <w:tl2br w:val="nil"/>
              <w:tr2bl w:val="nil"/>
            </w:tcBorders>
            <w:noWrap/>
            <w:vAlign w:val="center"/>
          </w:tcPr>
          <w:p w14:paraId="6830F50B">
            <w:pPr>
              <w:rPr>
                <w:color w:val="auto"/>
              </w:rPr>
            </w:pPr>
          </w:p>
        </w:tc>
      </w:tr>
    </w:tbl>
    <w:p w14:paraId="5A8A1F21">
      <w:pPr>
        <w:pStyle w:val="30"/>
        <w:rPr>
          <w:color w:val="auto"/>
        </w:rPr>
      </w:pPr>
      <w:bookmarkStart w:id="268" w:name="_Hlk5693446"/>
      <w:r>
        <w:rPr>
          <w:rFonts w:hint="eastAsia"/>
          <w:color w:val="auto"/>
        </w:rPr>
        <w:t>注：</w:t>
      </w:r>
      <w:bookmarkEnd w:id="268"/>
      <w:r>
        <w:rPr>
          <w:rFonts w:hint="eastAsia"/>
          <w:color w:val="auto"/>
        </w:rPr>
        <w:t>1.产品（货物）名称的排列顺序应与竞争性磋商文件中提供的产品（货物）名称排列顺序一致。</w:t>
      </w:r>
    </w:p>
    <w:p w14:paraId="7FD9192A">
      <w:pPr>
        <w:pStyle w:val="13"/>
        <w:rPr>
          <w:color w:val="auto"/>
        </w:rPr>
      </w:pPr>
      <w:r>
        <w:rPr>
          <w:rFonts w:hint="eastAsia"/>
          <w:color w:val="auto"/>
        </w:rPr>
        <w:t>2.“偏离情况”一栏中，偏离必须用 “正偏离、负偏离或无偏离”三个名称中的一种进行标注。</w:t>
      </w:r>
    </w:p>
    <w:p w14:paraId="46A75AD7">
      <w:pPr>
        <w:pStyle w:val="13"/>
        <w:rPr>
          <w:color w:val="auto"/>
        </w:rPr>
      </w:pPr>
      <w:r>
        <w:rPr>
          <w:rFonts w:hint="eastAsia"/>
          <w:color w:val="auto"/>
        </w:rPr>
        <w:t>3.供应商应按照磋商文件要求，根据项目内容作出全面响应。对响应有偏离的，则说明偏离的内容。</w:t>
      </w:r>
    </w:p>
    <w:p w14:paraId="1D54CA3E">
      <w:pPr>
        <w:rPr>
          <w:color w:val="auto"/>
        </w:rPr>
      </w:pPr>
    </w:p>
    <w:p w14:paraId="58DF61B9">
      <w:pPr>
        <w:pStyle w:val="13"/>
        <w:rPr>
          <w:color w:val="auto"/>
        </w:rPr>
      </w:pPr>
    </w:p>
    <w:p w14:paraId="0CB4CEB3">
      <w:pPr>
        <w:rPr>
          <w:color w:val="auto"/>
        </w:rPr>
      </w:pPr>
    </w:p>
    <w:p w14:paraId="0F6A705D">
      <w:pPr>
        <w:pStyle w:val="13"/>
        <w:rPr>
          <w:color w:val="auto"/>
        </w:rPr>
      </w:pPr>
    </w:p>
    <w:p w14:paraId="01655045">
      <w:pPr>
        <w:rPr>
          <w:color w:val="auto"/>
        </w:rPr>
      </w:pPr>
    </w:p>
    <w:p w14:paraId="26C50830">
      <w:pPr>
        <w:pStyle w:val="13"/>
        <w:rPr>
          <w:color w:val="auto"/>
        </w:rPr>
      </w:pPr>
    </w:p>
    <w:p w14:paraId="6FD7D7DA">
      <w:pPr>
        <w:ind w:firstLine="0" w:firstLineChars="0"/>
        <w:rPr>
          <w:color w:val="auto"/>
        </w:rPr>
      </w:pPr>
    </w:p>
    <w:p w14:paraId="4680B74D">
      <w:pPr>
        <w:keepNext w:val="0"/>
        <w:keepLines w:val="0"/>
        <w:pageBreakBefore w:val="0"/>
        <w:widowControl w:val="0"/>
        <w:kinsoku/>
        <w:wordWrap w:val="0"/>
        <w:overflowPunct/>
        <w:topLinePunct w:val="0"/>
        <w:autoSpaceDE/>
        <w:autoSpaceDN/>
        <w:bidi w:val="0"/>
        <w:adjustRightInd/>
        <w:snapToGrid/>
        <w:ind w:firstLine="562"/>
        <w:textAlignment w:val="auto"/>
        <w:outlineLvl w:val="4"/>
        <w:rPr>
          <w:rFonts w:hint="eastAsia" w:asciiTheme="minorEastAsia" w:hAnsiTheme="minorEastAsia" w:eastAsiaTheme="minorEastAsia" w:cstheme="minorEastAsia"/>
          <w:b/>
          <w:color w:val="auto"/>
          <w:kern w:val="0"/>
          <w:sz w:val="28"/>
          <w:szCs w:val="28"/>
          <w:lang w:bidi="zh-CN"/>
        </w:rPr>
      </w:pPr>
      <w:r>
        <w:rPr>
          <w:rFonts w:hint="eastAsia" w:asciiTheme="minorEastAsia" w:hAnsiTheme="minorEastAsia" w:eastAsiaTheme="minorEastAsia" w:cstheme="minorEastAsia"/>
          <w:b/>
          <w:color w:val="auto"/>
          <w:kern w:val="0"/>
          <w:sz w:val="28"/>
          <w:szCs w:val="28"/>
          <w:lang w:bidi="zh-CN"/>
        </w:rPr>
        <w:t>八、综合证明文件</w:t>
      </w:r>
    </w:p>
    <w:p w14:paraId="5304D2D3">
      <w:pPr>
        <w:rPr>
          <w:color w:val="auto"/>
        </w:rPr>
      </w:pPr>
    </w:p>
    <w:p w14:paraId="7B18B7EC">
      <w:pPr>
        <w:rPr>
          <w:color w:val="auto"/>
        </w:rPr>
      </w:pPr>
      <w:r>
        <w:rPr>
          <w:rFonts w:hint="eastAsia"/>
          <w:color w:val="auto"/>
        </w:rPr>
        <w:t>按照采购需求及评分标准“综合部分”编写，格式自拟。</w:t>
      </w:r>
    </w:p>
    <w:p w14:paraId="7E54DFAD">
      <w:pPr>
        <w:rPr>
          <w:color w:val="auto"/>
        </w:rPr>
      </w:pPr>
    </w:p>
    <w:p w14:paraId="1915F54C">
      <w:pPr>
        <w:rPr>
          <w:color w:val="auto"/>
        </w:rPr>
      </w:pPr>
    </w:p>
    <w:p w14:paraId="7A702B6A">
      <w:pPr>
        <w:rPr>
          <w:color w:val="auto"/>
        </w:rPr>
      </w:pPr>
      <w:bookmarkStart w:id="269" w:name="_bookmark41"/>
      <w:bookmarkEnd w:id="269"/>
      <w:bookmarkStart w:id="270" w:name="1.磋商响应函"/>
      <w:bookmarkEnd w:id="270"/>
    </w:p>
    <w:p w14:paraId="3C3E744C">
      <w:pPr>
        <w:rPr>
          <w:color w:val="auto"/>
        </w:rPr>
      </w:pPr>
    </w:p>
    <w:p w14:paraId="43006BF0">
      <w:pPr>
        <w:rPr>
          <w:color w:val="auto"/>
        </w:rPr>
      </w:pPr>
    </w:p>
    <w:p w14:paraId="0239B859">
      <w:pPr>
        <w:rPr>
          <w:color w:val="auto"/>
        </w:rPr>
      </w:pPr>
    </w:p>
    <w:p w14:paraId="7B61DFDB">
      <w:pPr>
        <w:rPr>
          <w:color w:val="auto"/>
        </w:rPr>
      </w:pPr>
    </w:p>
    <w:p w14:paraId="74D5D73C">
      <w:pPr>
        <w:rPr>
          <w:color w:val="auto"/>
        </w:rPr>
      </w:pPr>
    </w:p>
    <w:p w14:paraId="4AAF0152">
      <w:pPr>
        <w:rPr>
          <w:color w:val="auto"/>
        </w:rPr>
      </w:pPr>
    </w:p>
    <w:p w14:paraId="36D28F9D">
      <w:pPr>
        <w:rPr>
          <w:color w:val="auto"/>
        </w:rPr>
      </w:pPr>
    </w:p>
    <w:p w14:paraId="46DC584B">
      <w:pPr>
        <w:rPr>
          <w:color w:val="auto"/>
        </w:rPr>
      </w:pPr>
    </w:p>
    <w:p w14:paraId="0E34226C">
      <w:pPr>
        <w:rPr>
          <w:color w:val="auto"/>
        </w:rPr>
      </w:pPr>
    </w:p>
    <w:p w14:paraId="01192F4D">
      <w:pPr>
        <w:rPr>
          <w:color w:val="auto"/>
        </w:rPr>
      </w:pPr>
    </w:p>
    <w:p w14:paraId="3E385AF0">
      <w:pPr>
        <w:rPr>
          <w:color w:val="auto"/>
        </w:rPr>
      </w:pPr>
    </w:p>
    <w:p w14:paraId="13058B59">
      <w:pPr>
        <w:rPr>
          <w:color w:val="auto"/>
        </w:rPr>
      </w:pPr>
    </w:p>
    <w:p w14:paraId="56BF9253">
      <w:pPr>
        <w:rPr>
          <w:color w:val="auto"/>
        </w:rPr>
      </w:pPr>
    </w:p>
    <w:p w14:paraId="0E5D4E73">
      <w:pPr>
        <w:rPr>
          <w:color w:val="auto"/>
        </w:rPr>
      </w:pPr>
    </w:p>
    <w:p w14:paraId="2C975284">
      <w:pPr>
        <w:rPr>
          <w:color w:val="auto"/>
        </w:rPr>
      </w:pPr>
    </w:p>
    <w:p w14:paraId="44456965">
      <w:pPr>
        <w:rPr>
          <w:color w:val="auto"/>
        </w:rPr>
      </w:pPr>
    </w:p>
    <w:p w14:paraId="35E9208F">
      <w:pPr>
        <w:rPr>
          <w:color w:val="auto"/>
          <w:lang w:bidi="zh-CN"/>
        </w:rPr>
      </w:pPr>
      <w:r>
        <w:rPr>
          <w:rFonts w:hint="eastAsia"/>
          <w:color w:val="auto"/>
          <w:lang w:bidi="zh-CN"/>
        </w:rPr>
        <w:br w:type="page"/>
      </w:r>
    </w:p>
    <w:p w14:paraId="4B92D1C2">
      <w:pPr>
        <w:pStyle w:val="6"/>
        <w:ind w:firstLine="562"/>
        <w:rPr>
          <w:rFonts w:hint="eastAsia"/>
          <w:bCs/>
          <w:color w:val="auto"/>
        </w:rPr>
      </w:pPr>
      <w:r>
        <w:rPr>
          <w:rFonts w:hint="eastAsia"/>
          <w:color w:val="auto"/>
        </w:rPr>
        <w:t>九、其他资料</w:t>
      </w:r>
    </w:p>
    <w:p w14:paraId="5A85E813">
      <w:pPr>
        <w:rPr>
          <w:color w:val="auto"/>
        </w:rPr>
      </w:pPr>
    </w:p>
    <w:p w14:paraId="5E25109E">
      <w:pPr>
        <w:pStyle w:val="94"/>
        <w:rPr>
          <w:rFonts w:hint="eastAsia"/>
          <w:color w:val="auto"/>
        </w:rPr>
      </w:pPr>
      <w:bookmarkStart w:id="271" w:name="5-2供应商为监狱企业声明函"/>
      <w:bookmarkEnd w:id="271"/>
      <w:bookmarkStart w:id="272" w:name="_bookmark47"/>
      <w:bookmarkEnd w:id="272"/>
      <w:bookmarkStart w:id="273" w:name="_Toc10142"/>
      <w:bookmarkStart w:id="274" w:name="_Toc13241"/>
      <w:bookmarkStart w:id="275" w:name="_Toc32496"/>
      <w:bookmarkStart w:id="276" w:name="_Toc2211"/>
      <w:bookmarkStart w:id="277" w:name="_Toc13736"/>
      <w:r>
        <w:rPr>
          <w:rFonts w:hint="eastAsia"/>
          <w:color w:val="auto"/>
        </w:rPr>
        <w:t>供应商认为有必要的其它资料（如有）</w:t>
      </w:r>
      <w:bookmarkEnd w:id="273"/>
      <w:bookmarkEnd w:id="274"/>
      <w:bookmarkEnd w:id="275"/>
    </w:p>
    <w:p w14:paraId="4EFB76EE">
      <w:pPr>
        <w:rPr>
          <w:color w:val="auto"/>
          <w:lang w:bidi="zh-CN"/>
        </w:rPr>
      </w:pPr>
      <w:r>
        <w:rPr>
          <w:rFonts w:hint="eastAsia"/>
          <w:color w:val="auto"/>
          <w:lang w:bidi="zh-CN"/>
        </w:rPr>
        <w:br w:type="page"/>
      </w:r>
    </w:p>
    <w:p w14:paraId="200E7A21">
      <w:pPr>
        <w:pStyle w:val="6"/>
        <w:ind w:firstLine="562"/>
        <w:rPr>
          <w:rFonts w:hint="eastAsia"/>
          <w:bCs/>
          <w:color w:val="auto"/>
        </w:rPr>
      </w:pPr>
      <w:r>
        <w:rPr>
          <w:rFonts w:hint="eastAsia"/>
          <w:color w:val="auto"/>
        </w:rPr>
        <w:t>十、政府采购相关政策文件</w:t>
      </w:r>
    </w:p>
    <w:p w14:paraId="66700C84">
      <w:pPr>
        <w:pStyle w:val="111"/>
        <w:ind w:firstLine="520"/>
        <w:rPr>
          <w:rStyle w:val="224"/>
          <w:rFonts w:hint="eastAsia"/>
          <w:b/>
          <w:bCs/>
          <w:color w:val="auto"/>
        </w:rPr>
      </w:pPr>
      <w:r>
        <w:rPr>
          <w:rStyle w:val="224"/>
          <w:rFonts w:hint="eastAsia"/>
          <w:b/>
          <w:bCs/>
          <w:color w:val="auto"/>
        </w:rPr>
        <w:t>符合《政府采购促进中小企业发展管理办法》</w:t>
      </w:r>
    </w:p>
    <w:p w14:paraId="739D1D8F">
      <w:pPr>
        <w:pStyle w:val="111"/>
        <w:ind w:firstLine="520"/>
        <w:rPr>
          <w:rStyle w:val="224"/>
          <w:rFonts w:hint="eastAsia"/>
          <w:b/>
          <w:bCs/>
          <w:color w:val="auto"/>
        </w:rPr>
      </w:pPr>
      <w:bookmarkStart w:id="278" w:name="《关于政府采购支持监狱企业发展有关问题的通知》"/>
      <w:bookmarkEnd w:id="278"/>
      <w:bookmarkStart w:id="279" w:name="_Toc70524596"/>
      <w:r>
        <w:rPr>
          <w:rStyle w:val="224"/>
          <w:rFonts w:hint="eastAsia"/>
          <w:b/>
          <w:bCs/>
          <w:color w:val="auto"/>
        </w:rPr>
        <w:t>《关于政府采购支持监狱企业发展有关问题的通知》</w:t>
      </w:r>
      <w:bookmarkEnd w:id="279"/>
    </w:p>
    <w:p w14:paraId="6D83EF95">
      <w:pPr>
        <w:pStyle w:val="111"/>
        <w:ind w:firstLine="520"/>
        <w:rPr>
          <w:rStyle w:val="224"/>
          <w:rFonts w:hint="eastAsia"/>
          <w:b/>
          <w:bCs/>
          <w:color w:val="auto"/>
        </w:rPr>
      </w:pPr>
      <w:bookmarkStart w:id="280" w:name="《三部门联合发布关于促进残疾人就业政府采购政策的通知》"/>
      <w:bookmarkEnd w:id="280"/>
      <w:bookmarkStart w:id="281" w:name="_Toc70524597"/>
      <w:r>
        <w:rPr>
          <w:rStyle w:val="224"/>
          <w:rFonts w:hint="eastAsia"/>
          <w:b/>
          <w:bCs/>
          <w:color w:val="auto"/>
        </w:rPr>
        <w:t>《三部门联合发布关于促进残疾人就业政府采购政策的通知》</w:t>
      </w:r>
      <w:bookmarkStart w:id="282" w:name="价格扣减条件的供应商须提交资料"/>
      <w:bookmarkEnd w:id="282"/>
      <w:r>
        <w:rPr>
          <w:rStyle w:val="224"/>
          <w:rFonts w:hint="eastAsia"/>
          <w:b/>
          <w:bCs/>
          <w:color w:val="auto"/>
        </w:rPr>
        <w:t>价格扣减条件的供应商须提交资料</w:t>
      </w:r>
      <w:bookmarkEnd w:id="281"/>
    </w:p>
    <w:p w14:paraId="798B120C">
      <w:pPr>
        <w:rPr>
          <w:color w:val="auto"/>
        </w:rPr>
      </w:pPr>
    </w:p>
    <w:p w14:paraId="67405E5A">
      <w:pPr>
        <w:rPr>
          <w:color w:val="auto"/>
        </w:rPr>
      </w:pPr>
      <w:r>
        <w:rPr>
          <w:rFonts w:hint="eastAsia"/>
          <w:color w:val="auto"/>
        </w:rPr>
        <w:t>1.</w:t>
      </w:r>
      <w:bookmarkEnd w:id="276"/>
      <w:bookmarkEnd w:id="277"/>
      <w:bookmarkStart w:id="283" w:name="5-3供应商为残疾人福利性单位声明函"/>
      <w:bookmarkEnd w:id="283"/>
      <w:bookmarkStart w:id="284" w:name="_bookmark48"/>
      <w:bookmarkEnd w:id="284"/>
      <w:bookmarkStart w:id="285" w:name="_Toc61274051"/>
      <w:bookmarkStart w:id="286" w:name="_Toc13818"/>
      <w:r>
        <w:rPr>
          <w:rFonts w:hint="eastAsia"/>
          <w:color w:val="auto"/>
        </w:rPr>
        <w:t>中小企业声明函（货物）</w:t>
      </w:r>
      <w:bookmarkEnd w:id="285"/>
      <w:r>
        <w:rPr>
          <w:rFonts w:hint="eastAsia"/>
          <w:color w:val="auto"/>
        </w:rPr>
        <w:t>（如有）</w:t>
      </w:r>
    </w:p>
    <w:p w14:paraId="2B70969C">
      <w:pPr>
        <w:rPr>
          <w:color w:val="auto"/>
        </w:rPr>
      </w:pPr>
    </w:p>
    <w:p w14:paraId="194EB870">
      <w:pPr>
        <w:rPr>
          <w:color w:val="auto"/>
        </w:rPr>
      </w:pPr>
      <w:r>
        <w:rPr>
          <w:rFonts w:hint="eastAsia"/>
          <w:color w:val="auto"/>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7C066B63">
      <w:pPr>
        <w:pStyle w:val="94"/>
        <w:numPr>
          <w:ilvl w:val="0"/>
          <w:numId w:val="1"/>
        </w:numPr>
        <w:ind w:firstLineChars="0"/>
        <w:rPr>
          <w:rFonts w:hint="eastAsia"/>
          <w:color w:val="auto"/>
        </w:rPr>
      </w:pPr>
      <w:r>
        <w:rPr>
          <w:rFonts w:hint="eastAsia"/>
          <w:color w:val="auto"/>
          <w:u w:val="single"/>
        </w:rPr>
        <w:t>（标的名称）</w:t>
      </w:r>
      <w:r>
        <w:rPr>
          <w:rFonts w:hint="eastAsia"/>
          <w:color w:val="auto"/>
        </w:rPr>
        <w:t>，属于</w:t>
      </w:r>
      <w:r>
        <w:rPr>
          <w:rFonts w:hint="eastAsia"/>
          <w:color w:val="auto"/>
          <w:u w:val="single"/>
        </w:rPr>
        <w:t>（采购文件中明确的所属行业）</w:t>
      </w:r>
      <w:r>
        <w:rPr>
          <w:rFonts w:hint="eastAsia"/>
          <w:color w:val="auto"/>
        </w:rPr>
        <w:t>行业；制造商为（企业名称），从业人员</w:t>
      </w:r>
      <w:r>
        <w:rPr>
          <w:rFonts w:hint="eastAsia"/>
          <w:color w:val="auto"/>
          <w:u w:val="single"/>
        </w:rPr>
        <w:t xml:space="preserve">     </w:t>
      </w:r>
      <w:r>
        <w:rPr>
          <w:rFonts w:hint="eastAsia"/>
          <w:color w:val="auto"/>
        </w:rPr>
        <w:t>人，营业收入为</w:t>
      </w:r>
      <w:r>
        <w:rPr>
          <w:rFonts w:hint="eastAsia"/>
          <w:color w:val="auto"/>
          <w:u w:val="single"/>
        </w:rPr>
        <w:t xml:space="preserve">     </w:t>
      </w:r>
      <w:r>
        <w:rPr>
          <w:rFonts w:hint="eastAsia"/>
          <w:color w:val="auto"/>
        </w:rPr>
        <w:t>万元，资产总额为</w:t>
      </w:r>
      <w:r>
        <w:rPr>
          <w:rFonts w:hint="eastAsia"/>
          <w:color w:val="auto"/>
          <w:u w:val="single"/>
        </w:rPr>
        <w:t xml:space="preserve">      </w:t>
      </w:r>
      <w:r>
        <w:rPr>
          <w:rFonts w:hint="eastAsia"/>
          <w:color w:val="auto"/>
        </w:rPr>
        <w:t xml:space="preserve">万元，属于（中型企业、小型企业、微型企业）； </w:t>
      </w:r>
    </w:p>
    <w:p w14:paraId="1D52B8D7">
      <w:pPr>
        <w:pStyle w:val="94"/>
        <w:numPr>
          <w:ilvl w:val="0"/>
          <w:numId w:val="1"/>
        </w:numPr>
        <w:ind w:firstLineChars="0"/>
        <w:rPr>
          <w:rFonts w:hint="eastAsia"/>
          <w:color w:val="auto"/>
        </w:rPr>
      </w:pPr>
      <w:r>
        <w:rPr>
          <w:rFonts w:hint="eastAsia"/>
          <w:color w:val="auto"/>
          <w:u w:val="single"/>
        </w:rPr>
        <w:t>（标的名称）</w:t>
      </w:r>
      <w:r>
        <w:rPr>
          <w:rFonts w:hint="eastAsia"/>
          <w:color w:val="auto"/>
        </w:rPr>
        <w:t>，属于</w:t>
      </w:r>
      <w:r>
        <w:rPr>
          <w:rFonts w:hint="eastAsia"/>
          <w:color w:val="auto"/>
          <w:u w:val="single"/>
        </w:rPr>
        <w:t>（采购文件中明确的所属行业）</w:t>
      </w:r>
      <w:r>
        <w:rPr>
          <w:rFonts w:hint="eastAsia"/>
          <w:color w:val="auto"/>
        </w:rPr>
        <w:t>行业；制造商为（企业名称），从业人员</w:t>
      </w:r>
      <w:r>
        <w:rPr>
          <w:rFonts w:hint="eastAsia"/>
          <w:color w:val="auto"/>
          <w:u w:val="single"/>
        </w:rPr>
        <w:t xml:space="preserve">     </w:t>
      </w:r>
      <w:r>
        <w:rPr>
          <w:rFonts w:hint="eastAsia"/>
          <w:color w:val="auto"/>
        </w:rPr>
        <w:t>人，营业收入为</w:t>
      </w:r>
      <w:r>
        <w:rPr>
          <w:rFonts w:hint="eastAsia"/>
          <w:color w:val="auto"/>
          <w:u w:val="single"/>
        </w:rPr>
        <w:t xml:space="preserve">     </w:t>
      </w:r>
      <w:r>
        <w:rPr>
          <w:rFonts w:hint="eastAsia"/>
          <w:color w:val="auto"/>
        </w:rPr>
        <w:t>万元，资产总额为</w:t>
      </w:r>
      <w:r>
        <w:rPr>
          <w:rFonts w:hint="eastAsia"/>
          <w:color w:val="auto"/>
          <w:u w:val="single"/>
        </w:rPr>
        <w:t xml:space="preserve">      </w:t>
      </w:r>
      <w:r>
        <w:rPr>
          <w:rFonts w:hint="eastAsia"/>
          <w:color w:val="auto"/>
        </w:rPr>
        <w:t>万元，属于（中型企业、小型企业、微型企业）</w:t>
      </w:r>
    </w:p>
    <w:p w14:paraId="0989DDF6">
      <w:pPr>
        <w:rPr>
          <w:color w:val="auto"/>
        </w:rPr>
      </w:pPr>
      <w:r>
        <w:rPr>
          <w:rFonts w:hint="eastAsia"/>
          <w:color w:val="auto"/>
        </w:rPr>
        <w:t>……</w:t>
      </w:r>
    </w:p>
    <w:p w14:paraId="0914CF48">
      <w:pPr>
        <w:rPr>
          <w:color w:val="auto"/>
        </w:rPr>
      </w:pPr>
      <w:r>
        <w:rPr>
          <w:rFonts w:hint="eastAsia"/>
          <w:color w:val="auto"/>
        </w:rPr>
        <w:t>以上企业，不属于大企业的分支机构，不存在控股股东为大企业的情形，也不存在与大企业的负责人为同一人的情形。</w:t>
      </w:r>
    </w:p>
    <w:p w14:paraId="7E60B75F">
      <w:pPr>
        <w:rPr>
          <w:color w:val="auto"/>
        </w:rPr>
      </w:pPr>
      <w:r>
        <w:rPr>
          <w:rFonts w:hint="eastAsia"/>
          <w:color w:val="auto"/>
        </w:rPr>
        <w:t>本企业对上述声明内容的真实性负责。如有虚假，将依法承担相应责任。</w:t>
      </w:r>
    </w:p>
    <w:p w14:paraId="5F67BCE2">
      <w:pPr>
        <w:rPr>
          <w:color w:val="auto"/>
        </w:rPr>
      </w:pPr>
    </w:p>
    <w:p w14:paraId="29C6103B">
      <w:pPr>
        <w:rPr>
          <w:color w:val="auto"/>
          <w:u w:val="single"/>
        </w:rPr>
      </w:pPr>
      <w:r>
        <w:rPr>
          <w:rFonts w:hint="eastAsia"/>
          <w:color w:val="auto"/>
        </w:rPr>
        <w:t>企业名称（盖电子签章）：</w:t>
      </w:r>
    </w:p>
    <w:p w14:paraId="2E697104">
      <w:pPr>
        <w:rPr>
          <w:color w:val="auto"/>
        </w:rPr>
      </w:pPr>
    </w:p>
    <w:p w14:paraId="1E21682B">
      <w:pPr>
        <w:rPr>
          <w:color w:val="auto"/>
        </w:rPr>
      </w:pPr>
      <w:r>
        <w:rPr>
          <w:rFonts w:hint="eastAsia"/>
          <w:color w:val="auto"/>
        </w:rPr>
        <w:t>日 期：</w:t>
      </w:r>
    </w:p>
    <w:p w14:paraId="02A5F891">
      <w:pPr>
        <w:rPr>
          <w:color w:val="auto"/>
        </w:rPr>
      </w:pPr>
    </w:p>
    <w:p w14:paraId="343D75F8">
      <w:pPr>
        <w:pStyle w:val="16"/>
        <w:rPr>
          <w:color w:val="auto"/>
        </w:rPr>
      </w:pPr>
    </w:p>
    <w:p w14:paraId="34E373C7">
      <w:pPr>
        <w:rPr>
          <w:color w:val="auto"/>
        </w:rPr>
      </w:pPr>
      <w:r>
        <w:rPr>
          <w:rFonts w:hint="eastAsia"/>
          <w:color w:val="auto"/>
        </w:rPr>
        <w:t>从业人员、营业收入、资产总额填报上一年度数据，无上一年度数据的新成立企业可不填报。</w:t>
      </w:r>
    </w:p>
    <w:p w14:paraId="14DD6B1E">
      <w:pPr>
        <w:rPr>
          <w:color w:val="auto"/>
          <w:lang w:bidi="zh-CN"/>
        </w:rPr>
      </w:pPr>
      <w:bookmarkStart w:id="287" w:name="_Toc3076"/>
    </w:p>
    <w:p w14:paraId="0D631EDD">
      <w:pPr>
        <w:rPr>
          <w:color w:val="auto"/>
          <w:lang w:bidi="zh-CN"/>
        </w:rPr>
      </w:pPr>
    </w:p>
    <w:p w14:paraId="2EA3CA45">
      <w:pPr>
        <w:rPr>
          <w:color w:val="auto"/>
          <w:lang w:bidi="zh-CN"/>
        </w:rPr>
      </w:pPr>
    </w:p>
    <w:p w14:paraId="5C938591">
      <w:pPr>
        <w:rPr>
          <w:color w:val="auto"/>
          <w:lang w:bidi="zh-CN"/>
        </w:rPr>
      </w:pPr>
    </w:p>
    <w:p w14:paraId="2277F6FA">
      <w:pPr>
        <w:rPr>
          <w:color w:val="auto"/>
          <w:lang w:bidi="zh-CN"/>
        </w:rPr>
      </w:pPr>
    </w:p>
    <w:p w14:paraId="6F4A8C7D">
      <w:pPr>
        <w:rPr>
          <w:color w:val="auto"/>
          <w:lang w:val="zh-CN" w:bidi="zh-CN"/>
        </w:rPr>
      </w:pPr>
      <w:r>
        <w:rPr>
          <w:rFonts w:hint="eastAsia"/>
          <w:color w:val="auto"/>
          <w:lang w:bidi="zh-CN"/>
        </w:rPr>
        <w:t>2.</w:t>
      </w:r>
      <w:bookmarkEnd w:id="286"/>
      <w:bookmarkEnd w:id="287"/>
      <w:r>
        <w:rPr>
          <w:rFonts w:hint="eastAsia"/>
          <w:color w:val="auto"/>
          <w:lang w:val="zh-CN" w:bidi="zh-CN"/>
        </w:rPr>
        <w:t>监狱企业（如有）</w:t>
      </w:r>
    </w:p>
    <w:p w14:paraId="19FC960B">
      <w:pPr>
        <w:rPr>
          <w:color w:val="auto"/>
        </w:rPr>
      </w:pPr>
      <w:r>
        <w:rPr>
          <w:rFonts w:hint="eastAsia"/>
          <w:color w:val="auto"/>
        </w:rPr>
        <w:t xml:space="preserve">政府采购政策 </w:t>
      </w:r>
    </w:p>
    <w:p w14:paraId="0A14D694">
      <w:pPr>
        <w:rPr>
          <w:color w:val="auto"/>
        </w:rPr>
      </w:pPr>
      <w:r>
        <w:rPr>
          <w:rFonts w:hint="eastAsia"/>
          <w:color w:val="auto"/>
        </w:rPr>
        <w:t xml:space="preserve">《财政部、司法部关于政府采购支持监狱企业发展有关问题的通知》（财库【2014】68 号） </w:t>
      </w:r>
    </w:p>
    <w:p w14:paraId="5C78902E">
      <w:pPr>
        <w:rPr>
          <w:color w:val="auto"/>
        </w:rPr>
      </w:pPr>
      <w:r>
        <w:rPr>
          <w:rFonts w:hint="eastAsia"/>
          <w:color w:val="auto"/>
        </w:rPr>
        <w:t xml:space="preserve">关于监狱企业：视同小微企业。 </w:t>
      </w:r>
    </w:p>
    <w:p w14:paraId="18401931">
      <w:pPr>
        <w:rPr>
          <w:color w:val="auto"/>
        </w:rPr>
      </w:pPr>
      <w:r>
        <w:rPr>
          <w:rFonts w:hint="eastAsia"/>
          <w:color w:val="auto"/>
        </w:rPr>
        <w:t xml:space="preserve">证明材料 </w:t>
      </w:r>
    </w:p>
    <w:p w14:paraId="6E133687">
      <w:pPr>
        <w:rPr>
          <w:color w:val="auto"/>
        </w:rPr>
      </w:pPr>
      <w:r>
        <w:rPr>
          <w:rFonts w:hint="eastAsia"/>
          <w:color w:val="auto"/>
        </w:rPr>
        <w:t xml:space="preserve">提供由省级以上监狱管理局、戒毒管理局（含新疆生产建设兵团）出具的属于监狱企业的证明文件，否则评审时不予价格扣除优惠。 </w:t>
      </w:r>
    </w:p>
    <w:p w14:paraId="721FCF0D">
      <w:pPr>
        <w:rPr>
          <w:color w:val="auto"/>
        </w:rPr>
      </w:pPr>
      <w:bookmarkStart w:id="288" w:name="_Toc17977"/>
      <w:bookmarkStart w:id="289" w:name="_Toc20787"/>
      <w:bookmarkStart w:id="290" w:name="_Toc8552"/>
      <w:bookmarkStart w:id="291" w:name="_Toc22181"/>
      <w:bookmarkStart w:id="292" w:name="_Toc16120"/>
      <w:r>
        <w:rPr>
          <w:rFonts w:hint="eastAsia"/>
          <w:color w:val="auto"/>
        </w:rPr>
        <w:br w:type="page"/>
      </w:r>
    </w:p>
    <w:p w14:paraId="49572939">
      <w:pPr>
        <w:rPr>
          <w:color w:val="auto"/>
          <w:lang w:bidi="zh-CN"/>
        </w:rPr>
      </w:pPr>
      <w:r>
        <w:rPr>
          <w:rFonts w:hint="eastAsia"/>
          <w:color w:val="auto"/>
          <w:lang w:bidi="zh-CN"/>
        </w:rPr>
        <w:t>3.残疾人福利性单位（如有）</w:t>
      </w:r>
      <w:bookmarkEnd w:id="288"/>
      <w:bookmarkEnd w:id="289"/>
      <w:bookmarkEnd w:id="290"/>
      <w:bookmarkEnd w:id="291"/>
      <w:bookmarkEnd w:id="292"/>
    </w:p>
    <w:p w14:paraId="2FD54128">
      <w:pPr>
        <w:rPr>
          <w:color w:val="auto"/>
        </w:rPr>
      </w:pPr>
      <w:r>
        <w:rPr>
          <w:rFonts w:hint="eastAsia"/>
          <w:color w:val="auto"/>
        </w:rPr>
        <w:t xml:space="preserve">政府采购政策 </w:t>
      </w:r>
    </w:p>
    <w:p w14:paraId="23316005">
      <w:pPr>
        <w:rPr>
          <w:color w:val="auto"/>
        </w:rPr>
      </w:pPr>
      <w:r>
        <w:rPr>
          <w:rFonts w:hint="eastAsia"/>
          <w:color w:val="auto"/>
        </w:rPr>
        <w:t xml:space="preserve">《关于促进残疾人就业政府采购政策的通知》（财库〔2017〕141 号） </w:t>
      </w:r>
    </w:p>
    <w:p w14:paraId="383D540B">
      <w:pPr>
        <w:rPr>
          <w:color w:val="auto"/>
        </w:rPr>
      </w:pPr>
      <w:r>
        <w:rPr>
          <w:rFonts w:hint="eastAsia"/>
          <w:color w:val="auto"/>
        </w:rPr>
        <w:t>关于残疾人福利性单位：视同小微企业。残疾人福利性单位属于小型、微型企业的，不重复享受政策。</w:t>
      </w:r>
    </w:p>
    <w:p w14:paraId="23CDF4A0">
      <w:pPr>
        <w:rPr>
          <w:color w:val="auto"/>
        </w:rPr>
      </w:pPr>
      <w:r>
        <w:rPr>
          <w:rFonts w:hint="eastAsia"/>
          <w:color w:val="auto"/>
        </w:rPr>
        <w:t>证明材料</w:t>
      </w:r>
    </w:p>
    <w:p w14:paraId="2F2E74AB">
      <w:pPr>
        <w:rPr>
          <w:color w:val="auto"/>
        </w:rPr>
      </w:pPr>
      <w:r>
        <w:rPr>
          <w:rFonts w:hint="eastAsia"/>
          <w:color w:val="auto"/>
        </w:rPr>
        <w:t>提供《残疾人福利性单位声明函》，否则评审时不予价格扣除优惠。</w:t>
      </w:r>
    </w:p>
    <w:p w14:paraId="243E9618">
      <w:pPr>
        <w:pStyle w:val="16"/>
        <w:rPr>
          <w:color w:val="auto"/>
        </w:rPr>
      </w:pPr>
    </w:p>
    <w:p w14:paraId="1010E59F">
      <w:pPr>
        <w:rPr>
          <w:color w:val="auto"/>
        </w:rPr>
        <w:sectPr>
          <w:footerReference r:id="rId19" w:type="default"/>
          <w:pgSz w:w="11910" w:h="16840"/>
          <w:pgMar w:top="1440" w:right="1417" w:bottom="1440" w:left="1417" w:header="0" w:footer="1000" w:gutter="0"/>
          <w:cols w:space="0" w:num="1"/>
        </w:sectPr>
      </w:pPr>
    </w:p>
    <w:p w14:paraId="7345C280">
      <w:pPr>
        <w:rPr>
          <w:color w:val="auto"/>
          <w:lang w:bidi="zh-CN"/>
        </w:rPr>
      </w:pPr>
      <w:bookmarkStart w:id="293" w:name="8.针对本次采购需求的实施方案、售后服务承诺、培训计划"/>
      <w:bookmarkEnd w:id="293"/>
      <w:bookmarkStart w:id="294" w:name="7.供应商类似项目业绩"/>
      <w:bookmarkEnd w:id="294"/>
      <w:bookmarkStart w:id="295" w:name="_bookmark50"/>
      <w:bookmarkEnd w:id="295"/>
      <w:bookmarkStart w:id="296" w:name="_bookmark51"/>
      <w:bookmarkEnd w:id="296"/>
      <w:bookmarkStart w:id="297" w:name="_bookmark52"/>
      <w:bookmarkEnd w:id="297"/>
      <w:r>
        <w:rPr>
          <w:rFonts w:hint="eastAsia"/>
          <w:color w:val="auto"/>
          <w:lang w:bidi="zh-CN"/>
        </w:rPr>
        <w:t>4.节能产品（如有）</w:t>
      </w:r>
    </w:p>
    <w:p w14:paraId="56439C1D">
      <w:pPr>
        <w:rPr>
          <w:color w:val="auto"/>
        </w:rPr>
      </w:pPr>
      <w:r>
        <w:rPr>
          <w:rFonts w:hint="eastAsia"/>
          <w:color w:val="auto"/>
        </w:rPr>
        <w:t xml:space="preserve">政府采购政策： </w:t>
      </w:r>
    </w:p>
    <w:p w14:paraId="7AC8E8DC">
      <w:pPr>
        <w:rPr>
          <w:color w:val="auto"/>
        </w:rPr>
      </w:pPr>
      <w:r>
        <w:rPr>
          <w:rFonts w:hint="eastAsia"/>
          <w:color w:val="auto"/>
        </w:rPr>
        <w:t xml:space="preserve">《关于调整优化节能产品环境标志产品政府采购执行机制的通知》（财库〔2019〕9号） </w:t>
      </w:r>
    </w:p>
    <w:p w14:paraId="089A4872">
      <w:pPr>
        <w:rPr>
          <w:color w:val="auto"/>
        </w:rPr>
      </w:pPr>
      <w:r>
        <w:rPr>
          <w:rFonts w:hint="eastAsia"/>
          <w:color w:val="auto"/>
        </w:rPr>
        <w:t xml:space="preserve">《关于印发节能产品政府采购品目清单的通知》（财库〔2019〕19号） </w:t>
      </w:r>
    </w:p>
    <w:p w14:paraId="21D9EF18">
      <w:pPr>
        <w:rPr>
          <w:color w:val="auto"/>
        </w:rPr>
      </w:pPr>
      <w:r>
        <w:rPr>
          <w:rFonts w:hint="eastAsia"/>
          <w:color w:val="auto"/>
        </w:rPr>
        <w:t>证明材料</w:t>
      </w:r>
    </w:p>
    <w:p w14:paraId="40B62F9B">
      <w:pPr>
        <w:rPr>
          <w:color w:val="auto"/>
        </w:rPr>
      </w:pPr>
      <w:r>
        <w:rPr>
          <w:rFonts w:hint="eastAsia"/>
          <w:color w:val="auto"/>
        </w:rPr>
        <w:t>品目清单中“★”标注的为政府强制采购产品，如采购人所采购产品为政府强制采购节能产品的，供应商应提供国家确定的认证机构出具的、处于有效期之内的节能产品认证证书，否则其投标将被认定为投标无效。</w:t>
      </w:r>
    </w:p>
    <w:p w14:paraId="284D1684">
      <w:pPr>
        <w:rPr>
          <w:color w:val="auto"/>
        </w:rPr>
      </w:pPr>
      <w:r>
        <w:rPr>
          <w:rFonts w:hint="eastAsia"/>
          <w:color w:val="auto"/>
        </w:rPr>
        <w:t>品目清单中非“★”标注的为政府优先采购产品，如采购人所采购产品为政府优先采购节能产品的，供应商应提供国家确定的认证机构出具的、处于有效期之内的节能产品认证证书，否则将不给于优先采购体现。</w:t>
      </w:r>
    </w:p>
    <w:p w14:paraId="30658B30">
      <w:pPr>
        <w:rPr>
          <w:color w:val="auto"/>
        </w:rPr>
      </w:pPr>
    </w:p>
    <w:p w14:paraId="429983FC">
      <w:pPr>
        <w:rPr>
          <w:color w:val="auto"/>
          <w:lang w:bidi="zh-CN"/>
        </w:rPr>
      </w:pPr>
      <w:r>
        <w:rPr>
          <w:rFonts w:hint="eastAsia"/>
          <w:color w:val="auto"/>
          <w:lang w:bidi="zh-CN"/>
        </w:rPr>
        <w:t>5.环境标志产品（如有）</w:t>
      </w:r>
    </w:p>
    <w:p w14:paraId="16692255">
      <w:pPr>
        <w:rPr>
          <w:color w:val="auto"/>
        </w:rPr>
      </w:pPr>
      <w:r>
        <w:rPr>
          <w:rFonts w:hint="eastAsia"/>
          <w:color w:val="auto"/>
        </w:rPr>
        <w:t xml:space="preserve">政府采购政策： </w:t>
      </w:r>
    </w:p>
    <w:p w14:paraId="5A56CACE">
      <w:pPr>
        <w:rPr>
          <w:color w:val="auto"/>
        </w:rPr>
      </w:pPr>
      <w:r>
        <w:rPr>
          <w:rFonts w:hint="eastAsia"/>
          <w:color w:val="auto"/>
        </w:rPr>
        <w:t xml:space="preserve">《关于调整优化节能产品环境标志产品政府采购执行机制的通知》（财库〔2019〕9号） </w:t>
      </w:r>
    </w:p>
    <w:p w14:paraId="4EAF15F4">
      <w:pPr>
        <w:rPr>
          <w:color w:val="auto"/>
        </w:rPr>
      </w:pPr>
      <w:r>
        <w:rPr>
          <w:rFonts w:hint="eastAsia"/>
          <w:color w:val="auto"/>
        </w:rPr>
        <w:t xml:space="preserve">《关于印发环境标志产品政府采购品目清单的通知》（财库〔2019〕18号） </w:t>
      </w:r>
    </w:p>
    <w:p w14:paraId="2DEA18AB">
      <w:pPr>
        <w:rPr>
          <w:color w:val="auto"/>
        </w:rPr>
      </w:pPr>
      <w:r>
        <w:rPr>
          <w:rFonts w:hint="eastAsia"/>
          <w:color w:val="auto"/>
        </w:rPr>
        <w:t>证明材料</w:t>
      </w:r>
    </w:p>
    <w:p w14:paraId="08C12899">
      <w:pPr>
        <w:rPr>
          <w:color w:val="auto"/>
        </w:rPr>
      </w:pPr>
      <w:r>
        <w:rPr>
          <w:rFonts w:hint="eastAsia"/>
          <w:color w:val="auto"/>
        </w:rPr>
        <w:t>品目清单中“★”标注的为政府强制采购产品，如采购人所采购产品为政府强制采购环境标志产品的，供应商应提供国家确定的认证机构出具的、处于有效期之内的环境标志产品认证证书，否则其投标将被认定为投标无效。</w:t>
      </w:r>
    </w:p>
    <w:p w14:paraId="753F2C34">
      <w:pPr>
        <w:rPr>
          <w:color w:val="auto"/>
        </w:rPr>
      </w:pPr>
      <w:r>
        <w:rPr>
          <w:rFonts w:hint="eastAsia"/>
          <w:color w:val="auto"/>
        </w:rPr>
        <w:t>品目清单中非“★”标注的为政府优先采购产品，如采购人所采购产品为政府优先采购环境标志产品的，供应商应提供国家确定的认证机构出具的、处于有效期之内的环境标志产品认证证书，否则将不给于优先采购体现。</w:t>
      </w:r>
    </w:p>
    <w:p w14:paraId="138FB0B1">
      <w:pPr>
        <w:rPr>
          <w:color w:val="auto"/>
        </w:rPr>
      </w:pPr>
    </w:p>
    <w:p w14:paraId="0A7A3C10">
      <w:pPr>
        <w:rPr>
          <w:color w:val="auto"/>
        </w:rPr>
      </w:pPr>
    </w:p>
    <w:p w14:paraId="0E5EE96A">
      <w:pPr>
        <w:rPr>
          <w:color w:val="auto"/>
        </w:rPr>
      </w:pPr>
    </w:p>
    <w:p w14:paraId="6A2D3271">
      <w:pPr>
        <w:rPr>
          <w:color w:val="auto"/>
        </w:rPr>
      </w:pPr>
    </w:p>
    <w:p w14:paraId="62F4F5F6">
      <w:pPr>
        <w:rPr>
          <w:color w:val="auto"/>
        </w:rPr>
      </w:pPr>
    </w:p>
    <w:p w14:paraId="6A8CC132">
      <w:pPr>
        <w:rPr>
          <w:color w:val="auto"/>
        </w:rPr>
      </w:pPr>
    </w:p>
    <w:p w14:paraId="34DC8B68">
      <w:pPr>
        <w:rPr>
          <w:color w:val="auto"/>
        </w:rPr>
      </w:pPr>
    </w:p>
    <w:p w14:paraId="0BDCF25F">
      <w:pPr>
        <w:rPr>
          <w:color w:val="auto"/>
        </w:rPr>
      </w:pPr>
    </w:p>
    <w:p w14:paraId="364AD4F8">
      <w:pPr>
        <w:rPr>
          <w:color w:val="auto"/>
        </w:rPr>
      </w:pPr>
    </w:p>
    <w:p w14:paraId="6FD8F93F">
      <w:pPr>
        <w:rPr>
          <w:color w:val="auto"/>
        </w:rPr>
      </w:pPr>
    </w:p>
    <w:p w14:paraId="71DEC6D7">
      <w:pPr>
        <w:rPr>
          <w:color w:val="auto"/>
        </w:rPr>
      </w:pPr>
      <w:r>
        <w:rPr>
          <w:rFonts w:hint="eastAsia"/>
          <w:color w:val="auto"/>
        </w:rPr>
        <w:br w:type="page"/>
      </w:r>
    </w:p>
    <w:p w14:paraId="0A7F281C">
      <w:pPr>
        <w:rPr>
          <w:color w:val="auto"/>
        </w:rPr>
      </w:pPr>
      <w:r>
        <w:rPr>
          <w:color w:val="auto"/>
        </w:rPr>
        <w:t>关于符合本国产品标准的声明函</w:t>
      </w:r>
    </w:p>
    <w:p w14:paraId="4B327358">
      <w:pPr>
        <w:pStyle w:val="16"/>
        <w:rPr>
          <w:color w:val="auto"/>
        </w:rPr>
      </w:pPr>
    </w:p>
    <w:p w14:paraId="697FC125">
      <w:pPr>
        <w:ind w:firstLine="460"/>
        <w:rPr>
          <w:color w:val="auto"/>
        </w:rPr>
      </w:pPr>
      <w:r>
        <w:rPr>
          <w:color w:val="auto"/>
          <w:spacing w:val="10"/>
        </w:rPr>
        <w:t>本公司（单位）郑重声明，根据《国务院办公厅关于在政府采</w:t>
      </w:r>
      <w:r>
        <w:rPr>
          <w:color w:val="auto"/>
          <w:spacing w:val="9"/>
        </w:rPr>
        <w:t>购中实施本国产品标准及相关</w:t>
      </w:r>
      <w:r>
        <w:rPr>
          <w:color w:val="auto"/>
        </w:rPr>
        <w:t>政策的通知》（国办发〔2025〕34</w:t>
      </w:r>
      <w:r>
        <w:rPr>
          <w:color w:val="auto"/>
          <w:spacing w:val="-33"/>
        </w:rPr>
        <w:t xml:space="preserve"> </w:t>
      </w:r>
      <w:r>
        <w:rPr>
          <w:color w:val="auto"/>
        </w:rPr>
        <w:t>号）的规定，本公司（单位）提供的以下产品属于本国产品。</w:t>
      </w:r>
      <w:r>
        <w:rPr>
          <w:color w:val="auto"/>
          <w:spacing w:val="7"/>
        </w:rPr>
        <w:t>具体情况如下：</w:t>
      </w:r>
    </w:p>
    <w:p w14:paraId="6521A1E6">
      <w:pPr>
        <w:rPr>
          <w:color w:val="auto"/>
        </w:rPr>
      </w:pPr>
      <w:r>
        <w:rPr>
          <w:color w:val="auto"/>
        </w:rPr>
        <w:t>1.（产品名称</w:t>
      </w:r>
      <w:r>
        <w:rPr>
          <w:color w:val="auto"/>
          <w:spacing w:val="-24"/>
        </w:rPr>
        <w:t xml:space="preserve"> </w:t>
      </w:r>
      <w:r>
        <w:rPr>
          <w:color w:val="auto"/>
        </w:rPr>
        <w:t>1）1，生产厂为（厂名）2，厂址为（生产</w:t>
      </w:r>
      <w:r>
        <w:rPr>
          <w:color w:val="auto"/>
          <w:spacing w:val="7"/>
        </w:rPr>
        <w:t>厂址）。（产品名称</w:t>
      </w:r>
      <w:r>
        <w:rPr>
          <w:color w:val="auto"/>
          <w:spacing w:val="-23"/>
        </w:rPr>
        <w:t xml:space="preserve"> </w:t>
      </w:r>
      <w:r>
        <w:rPr>
          <w:color w:val="auto"/>
          <w:spacing w:val="7"/>
        </w:rPr>
        <w:t>1）的中国境内</w:t>
      </w:r>
      <w:r>
        <w:rPr>
          <w:color w:val="auto"/>
          <w:spacing w:val="9"/>
        </w:rPr>
        <w:t>生产的组件成本占比≥（规定比例）3。（产品</w:t>
      </w:r>
      <w:r>
        <w:rPr>
          <w:color w:val="auto"/>
        </w:rPr>
        <w:t>名称</w:t>
      </w:r>
      <w:r>
        <w:rPr>
          <w:color w:val="auto"/>
          <w:spacing w:val="-24"/>
        </w:rPr>
        <w:t xml:space="preserve"> </w:t>
      </w:r>
      <w:r>
        <w:rPr>
          <w:color w:val="auto"/>
        </w:rPr>
        <w:t>1）的（关键组件）4</w:t>
      </w:r>
      <w:r>
        <w:rPr>
          <w:color w:val="auto"/>
          <w:position w:val="10"/>
          <w:sz w:val="10"/>
          <w:szCs w:val="10"/>
        </w:rPr>
        <w:t>4</w:t>
      </w:r>
      <w:r>
        <w:rPr>
          <w:color w:val="auto"/>
          <w:spacing w:val="-16"/>
          <w:position w:val="10"/>
          <w:sz w:val="10"/>
          <w:szCs w:val="10"/>
        </w:rPr>
        <w:t xml:space="preserve"> </w:t>
      </w:r>
      <w:r>
        <w:rPr>
          <w:color w:val="auto"/>
        </w:rPr>
        <w:t>在中国境内生产。（产</w:t>
      </w:r>
      <w:r>
        <w:rPr>
          <w:color w:val="auto"/>
          <w:spacing w:val="6"/>
        </w:rPr>
        <w:t>品名称</w:t>
      </w:r>
      <w:r>
        <w:rPr>
          <w:color w:val="auto"/>
          <w:spacing w:val="-6"/>
        </w:rPr>
        <w:t xml:space="preserve"> </w:t>
      </w:r>
      <w:r>
        <w:rPr>
          <w:color w:val="auto"/>
          <w:spacing w:val="6"/>
        </w:rPr>
        <w:t>1）的（关键工序）5</w:t>
      </w:r>
      <w:r>
        <w:rPr>
          <w:color w:val="auto"/>
          <w:spacing w:val="6"/>
          <w:position w:val="10"/>
          <w:sz w:val="10"/>
          <w:szCs w:val="10"/>
        </w:rPr>
        <w:t>5</w:t>
      </w:r>
      <w:r>
        <w:rPr>
          <w:color w:val="auto"/>
          <w:spacing w:val="-16"/>
          <w:position w:val="10"/>
          <w:sz w:val="10"/>
          <w:szCs w:val="10"/>
        </w:rPr>
        <w:t xml:space="preserve"> </w:t>
      </w:r>
      <w:r>
        <w:rPr>
          <w:color w:val="auto"/>
          <w:spacing w:val="6"/>
        </w:rPr>
        <w:t>在中国境内完成。</w:t>
      </w:r>
    </w:p>
    <w:p w14:paraId="564CDF40">
      <w:pPr>
        <w:rPr>
          <w:color w:val="auto"/>
        </w:rPr>
      </w:pPr>
      <w:r>
        <w:rPr>
          <w:color w:val="auto"/>
        </w:rPr>
        <w:t>2.（产品名称</w:t>
      </w:r>
      <w:r>
        <w:rPr>
          <w:color w:val="auto"/>
          <w:spacing w:val="-37"/>
        </w:rPr>
        <w:t xml:space="preserve"> </w:t>
      </w:r>
      <w:r>
        <w:rPr>
          <w:color w:val="auto"/>
        </w:rPr>
        <w:t>2）1，生产厂为（厂名）2，厂址</w:t>
      </w:r>
      <w:r>
        <w:rPr>
          <w:color w:val="auto"/>
          <w:spacing w:val="8"/>
        </w:rPr>
        <w:t>为（生产厂址）。（产品名称</w:t>
      </w:r>
      <w:r>
        <w:rPr>
          <w:color w:val="auto"/>
          <w:spacing w:val="-36"/>
        </w:rPr>
        <w:t xml:space="preserve"> </w:t>
      </w:r>
      <w:r>
        <w:rPr>
          <w:color w:val="auto"/>
          <w:spacing w:val="8"/>
        </w:rPr>
        <w:t>2）的中国境内</w:t>
      </w:r>
      <w:r>
        <w:rPr>
          <w:color w:val="auto"/>
        </w:rPr>
        <w:t>生产的组件成本占比≥（规定比例）3。（产品名称</w:t>
      </w:r>
      <w:r>
        <w:rPr>
          <w:color w:val="auto"/>
          <w:spacing w:val="-37"/>
        </w:rPr>
        <w:t xml:space="preserve"> </w:t>
      </w:r>
      <w:r>
        <w:rPr>
          <w:color w:val="auto"/>
        </w:rPr>
        <w:t>2）的（关键组件）4</w:t>
      </w:r>
      <w:r>
        <w:rPr>
          <w:color w:val="auto"/>
          <w:spacing w:val="-39"/>
        </w:rPr>
        <w:t xml:space="preserve"> </w:t>
      </w:r>
      <w:r>
        <w:rPr>
          <w:color w:val="auto"/>
        </w:rPr>
        <w:t>在中国境内</w:t>
      </w:r>
      <w:r>
        <w:rPr>
          <w:color w:val="auto"/>
          <w:spacing w:val="8"/>
        </w:rPr>
        <w:t>生产。（产</w:t>
      </w:r>
      <w:r>
        <w:rPr>
          <w:color w:val="auto"/>
          <w:spacing w:val="7"/>
        </w:rPr>
        <w:t>品名称</w:t>
      </w:r>
      <w:r>
        <w:rPr>
          <w:color w:val="auto"/>
          <w:spacing w:val="-25"/>
        </w:rPr>
        <w:t xml:space="preserve"> </w:t>
      </w:r>
      <w:r>
        <w:rPr>
          <w:color w:val="auto"/>
          <w:spacing w:val="7"/>
        </w:rPr>
        <w:t>2）的（关键工序）5</w:t>
      </w:r>
      <w:r>
        <w:rPr>
          <w:color w:val="auto"/>
          <w:spacing w:val="-39"/>
        </w:rPr>
        <w:t xml:space="preserve"> </w:t>
      </w:r>
      <w:r>
        <w:rPr>
          <w:color w:val="auto"/>
          <w:spacing w:val="7"/>
        </w:rPr>
        <w:t>在中国境内完成。</w:t>
      </w:r>
    </w:p>
    <w:p w14:paraId="5E1D8D43">
      <w:pPr>
        <w:rPr>
          <w:color w:val="auto"/>
        </w:rPr>
      </w:pPr>
      <w:r>
        <w:rPr>
          <w:color w:val="auto"/>
        </w:rPr>
        <w:t>……</w:t>
      </w:r>
    </w:p>
    <w:p w14:paraId="2EC13C93">
      <w:pPr>
        <w:rPr>
          <w:color w:val="auto"/>
        </w:rPr>
      </w:pPr>
      <w:r>
        <w:rPr>
          <w:color w:val="auto"/>
        </w:rPr>
        <w:t>本公司（单位）对上述声明内容的真实性负责。如有虚假，愿承担相应法律责任。</w:t>
      </w:r>
    </w:p>
    <w:p w14:paraId="463DA932">
      <w:pPr>
        <w:pStyle w:val="16"/>
        <w:rPr>
          <w:color w:val="auto"/>
        </w:rPr>
      </w:pPr>
    </w:p>
    <w:p w14:paraId="4690BC2E">
      <w:pPr>
        <w:pStyle w:val="16"/>
        <w:rPr>
          <w:color w:val="auto"/>
        </w:rPr>
      </w:pPr>
    </w:p>
    <w:p w14:paraId="39900275">
      <w:pPr>
        <w:rPr>
          <w:color w:val="auto"/>
        </w:rPr>
      </w:pPr>
      <w:r>
        <w:rPr>
          <w:color w:val="auto"/>
        </w:rPr>
        <w:t>公司（单位）名称（盖单位公章</w:t>
      </w:r>
      <w:r>
        <w:rPr>
          <w:color w:val="auto"/>
          <w:spacing w:val="5"/>
        </w:rPr>
        <w:t>）：</w:t>
      </w:r>
    </w:p>
    <w:p w14:paraId="64BB22DC">
      <w:pPr>
        <w:ind w:firstLine="396"/>
        <w:rPr>
          <w:color w:val="auto"/>
        </w:rPr>
      </w:pPr>
      <w:r>
        <w:rPr>
          <w:color w:val="auto"/>
          <w:spacing w:val="-6"/>
        </w:rPr>
        <w:t>日期：</w:t>
      </w:r>
      <w:r>
        <w:rPr>
          <w:color w:val="auto"/>
        </w:rPr>
        <w:t xml:space="preserve">      </w:t>
      </w:r>
      <w:r>
        <w:rPr>
          <w:color w:val="auto"/>
          <w:spacing w:val="-6"/>
        </w:rPr>
        <w:t>年</w:t>
      </w:r>
      <w:r>
        <w:rPr>
          <w:color w:val="auto"/>
        </w:rPr>
        <w:t xml:space="preserve">    </w:t>
      </w:r>
      <w:r>
        <w:rPr>
          <w:color w:val="auto"/>
          <w:spacing w:val="-6"/>
        </w:rPr>
        <w:t>月</w:t>
      </w:r>
      <w:r>
        <w:rPr>
          <w:color w:val="auto"/>
          <w:spacing w:val="28"/>
        </w:rPr>
        <w:t xml:space="preserve">  </w:t>
      </w:r>
      <w:r>
        <w:rPr>
          <w:color w:val="auto"/>
          <w:spacing w:val="-6"/>
        </w:rPr>
        <w:t>日</w:t>
      </w:r>
    </w:p>
    <w:p w14:paraId="7A354263">
      <w:pPr>
        <w:pStyle w:val="16"/>
        <w:rPr>
          <w:color w:val="auto"/>
        </w:rPr>
      </w:pPr>
    </w:p>
    <w:p w14:paraId="6840C274">
      <w:pPr>
        <w:pStyle w:val="16"/>
        <w:rPr>
          <w:color w:val="auto"/>
        </w:rPr>
      </w:pPr>
    </w:p>
    <w:p w14:paraId="1770CAF6">
      <w:pPr>
        <w:pStyle w:val="16"/>
        <w:rPr>
          <w:color w:val="auto"/>
        </w:rPr>
      </w:pPr>
      <w:r>
        <w:rPr>
          <w:color w:val="auto"/>
        </w:rPr>
        <w:drawing>
          <wp:anchor distT="0" distB="0" distL="0" distR="0" simplePos="0" relativeHeight="251667456" behindDoc="0" locked="0" layoutInCell="1" allowOverlap="1">
            <wp:simplePos x="0" y="0"/>
            <wp:positionH relativeFrom="column">
              <wp:posOffset>0</wp:posOffset>
            </wp:positionH>
            <wp:positionV relativeFrom="paragraph">
              <wp:posOffset>165100</wp:posOffset>
            </wp:positionV>
            <wp:extent cx="1371600" cy="6350"/>
            <wp:effectExtent l="0" t="0" r="0" b="0"/>
            <wp:wrapNone/>
            <wp:docPr id="18" name="IM 8"/>
            <wp:cNvGraphicFramePr/>
            <a:graphic xmlns:a="http://schemas.openxmlformats.org/drawingml/2006/main">
              <a:graphicData uri="http://schemas.openxmlformats.org/drawingml/2006/picture">
                <pic:pic xmlns:pic="http://schemas.openxmlformats.org/drawingml/2006/picture">
                  <pic:nvPicPr>
                    <pic:cNvPr id="18" name="IM 8"/>
                    <pic:cNvPicPr/>
                  </pic:nvPicPr>
                  <pic:blipFill>
                    <a:blip r:embed="rId26"/>
                    <a:stretch>
                      <a:fillRect/>
                    </a:stretch>
                  </pic:blipFill>
                  <pic:spPr>
                    <a:xfrm>
                      <a:off x="0" y="0"/>
                      <a:ext cx="1371599" cy="6350"/>
                    </a:xfrm>
                    <a:prstGeom prst="rect">
                      <a:avLst/>
                    </a:prstGeom>
                  </pic:spPr>
                </pic:pic>
              </a:graphicData>
            </a:graphic>
          </wp:anchor>
        </w:drawing>
      </w:r>
    </w:p>
    <w:p w14:paraId="5D270BA5">
      <w:pPr>
        <w:rPr>
          <w:color w:val="auto"/>
        </w:rPr>
      </w:pPr>
      <w:r>
        <w:rPr>
          <w:color w:val="auto"/>
        </w:rPr>
        <w:t>1.产品如有型号，请在“产品名称</w:t>
      </w:r>
      <w:r>
        <w:rPr>
          <w:color w:val="auto"/>
          <w:spacing w:val="-54"/>
        </w:rPr>
        <w:t xml:space="preserve"> </w:t>
      </w:r>
      <w:r>
        <w:rPr>
          <w:color w:val="auto"/>
        </w:rPr>
        <w:t>”栏一并填写。</w:t>
      </w:r>
    </w:p>
    <w:p w14:paraId="3DF68F56">
      <w:pPr>
        <w:rPr>
          <w:color w:val="auto"/>
        </w:rPr>
      </w:pPr>
      <w:r>
        <w:rPr>
          <w:color w:val="auto"/>
        </w:rPr>
        <w:t>2.生产厂名与厂址应与生产厂营业执照载明的相关信息保持一</w:t>
      </w:r>
      <w:r>
        <w:rPr>
          <w:color w:val="auto"/>
          <w:spacing w:val="8"/>
        </w:rPr>
        <w:t>致。</w:t>
      </w:r>
    </w:p>
    <w:p w14:paraId="36E59A47">
      <w:pPr>
        <w:rPr>
          <w:color w:val="auto"/>
        </w:rPr>
      </w:pPr>
      <w:r>
        <w:rPr>
          <w:color w:val="auto"/>
        </w:rPr>
        <w:t>3.该产品的中国境内生产的组件成本占比相关要求实施前，“规定比例</w:t>
      </w:r>
      <w:r>
        <w:rPr>
          <w:color w:val="auto"/>
          <w:spacing w:val="-53"/>
        </w:rPr>
        <w:t xml:space="preserve"> </w:t>
      </w:r>
      <w:r>
        <w:rPr>
          <w:color w:val="auto"/>
        </w:rPr>
        <w:t>”栏可不填，下同。</w:t>
      </w:r>
    </w:p>
    <w:p w14:paraId="215C6CF0">
      <w:pPr>
        <w:rPr>
          <w:color w:val="auto"/>
        </w:rPr>
      </w:pPr>
      <w:r>
        <w:rPr>
          <w:color w:val="auto"/>
        </w:rPr>
        <w:t>4.该产品的关键组件要求实施前，“关键组件</w:t>
      </w:r>
      <w:r>
        <w:rPr>
          <w:color w:val="auto"/>
          <w:spacing w:val="-69"/>
        </w:rPr>
        <w:t xml:space="preserve"> </w:t>
      </w:r>
      <w:r>
        <w:rPr>
          <w:color w:val="auto"/>
        </w:rPr>
        <w:t>”栏可不填，下同。</w:t>
      </w:r>
    </w:p>
    <w:p w14:paraId="71CBF02D">
      <w:pPr>
        <w:rPr>
          <w:color w:val="auto"/>
        </w:rPr>
      </w:pPr>
      <w:r>
        <w:rPr>
          <w:color w:val="auto"/>
        </w:rPr>
        <w:t>5.该产品的关键工序要求实施前，“关键工序</w:t>
      </w:r>
      <w:r>
        <w:rPr>
          <w:color w:val="auto"/>
          <w:spacing w:val="-70"/>
        </w:rPr>
        <w:t xml:space="preserve"> </w:t>
      </w:r>
      <w:r>
        <w:rPr>
          <w:color w:val="auto"/>
        </w:rPr>
        <w:t>”栏可不填</w:t>
      </w:r>
      <w:r>
        <w:rPr>
          <w:color w:val="auto"/>
          <w:spacing w:val="7"/>
        </w:rPr>
        <w:t>，下同。</w:t>
      </w:r>
    </w:p>
    <w:p w14:paraId="37C9E902">
      <w:pPr>
        <w:rPr>
          <w:color w:val="auto"/>
        </w:rPr>
        <w:sectPr>
          <w:footerReference r:id="rId20" w:type="default"/>
          <w:pgSz w:w="11910" w:h="16840"/>
          <w:pgMar w:top="1431" w:right="1405" w:bottom="997" w:left="1579" w:header="0" w:footer="835" w:gutter="0"/>
          <w:cols w:space="720" w:num="1"/>
        </w:sectPr>
      </w:pPr>
    </w:p>
    <w:p w14:paraId="57FCB28A">
      <w:pPr>
        <w:rPr>
          <w:color w:val="auto"/>
        </w:rPr>
      </w:pPr>
    </w:p>
    <w:p w14:paraId="145A368C">
      <w:pPr>
        <w:rPr>
          <w:color w:val="auto"/>
        </w:rPr>
      </w:pPr>
      <w:r>
        <w:rPr>
          <w:rFonts w:hint="eastAsia"/>
          <w:color w:val="auto"/>
        </w:rPr>
        <w:t>财政部 发展改革委 生态环境部 市场监管总局</w:t>
      </w:r>
    </w:p>
    <w:p w14:paraId="63EB473D">
      <w:pPr>
        <w:rPr>
          <w:color w:val="auto"/>
        </w:rPr>
      </w:pPr>
      <w:bookmarkStart w:id="298" w:name="_Toc14857"/>
      <w:bookmarkEnd w:id="298"/>
      <w:bookmarkStart w:id="299" w:name="_Toc7934"/>
      <w:bookmarkEnd w:id="299"/>
      <w:r>
        <w:rPr>
          <w:rFonts w:hint="eastAsia"/>
          <w:color w:val="auto"/>
        </w:rPr>
        <w:t>关于调整优化节能产品、环境标志产品政府采购执行机制的通知</w:t>
      </w:r>
    </w:p>
    <w:p w14:paraId="5418D9B5">
      <w:pPr>
        <w:rPr>
          <w:color w:val="auto"/>
        </w:rPr>
      </w:pPr>
      <w:bookmarkStart w:id="300" w:name="_Toc2419"/>
      <w:bookmarkEnd w:id="300"/>
      <w:bookmarkStart w:id="301" w:name="_Toc29414"/>
      <w:bookmarkEnd w:id="301"/>
      <w:r>
        <w:rPr>
          <w:rFonts w:hint="eastAsia"/>
          <w:color w:val="auto"/>
        </w:rPr>
        <w:t>财库〔2019〕9号</w:t>
      </w:r>
    </w:p>
    <w:p w14:paraId="5864D9D5">
      <w:pPr>
        <w:rPr>
          <w:color w:val="auto"/>
        </w:rPr>
      </w:pPr>
    </w:p>
    <w:p w14:paraId="30059B7E">
      <w:pPr>
        <w:rPr>
          <w:color w:val="auto"/>
          <w:shd w:val="clear" w:color="auto" w:fill="FFFFFF"/>
        </w:rPr>
      </w:pPr>
      <w:r>
        <w:rPr>
          <w:rFonts w:hint="eastAsia"/>
          <w:color w:val="auto"/>
          <w:shd w:val="clear" w:color="auto" w:fill="FFFFFF"/>
        </w:rPr>
        <w:t>有关中央预算单位，各省、自治区、直辖市、计划单列市财政厅（局）、发展改革委（经信委、工信委、工信厅、经信局）、生态环境厅（局）、市场监管部门，新疆生产建设兵团财政局、发展改革委、工信委、环境保护局、市场监管局：</w:t>
      </w:r>
    </w:p>
    <w:p w14:paraId="622B05D1">
      <w:pPr>
        <w:rPr>
          <w:color w:val="auto"/>
          <w:shd w:val="clear" w:color="auto" w:fill="FFFFFF"/>
        </w:rPr>
      </w:pPr>
      <w:r>
        <w:rPr>
          <w:rFonts w:hint="eastAsia"/>
          <w:color w:val="auto"/>
          <w:shd w:val="clear" w:color="auto" w:fill="FFFFFF"/>
        </w:rPr>
        <w:t>　　为落实“放管服”改革要求，完善政府绿色采购政策，简化节能（节水）产品、环境标志产品政府采购执行机制，优化供应商参与政府采购活动的市场环境，现就节能产品、环境标志产品政府采购有关事项通知如下：</w:t>
      </w:r>
    </w:p>
    <w:p w14:paraId="278B02FC">
      <w:pPr>
        <w:rPr>
          <w:color w:val="auto"/>
          <w:shd w:val="clear" w:color="auto" w:fill="FFFFFF"/>
        </w:rPr>
      </w:pPr>
      <w:r>
        <w:rPr>
          <w:rFonts w:hint="eastAsia"/>
          <w:color w:val="auto"/>
          <w:shd w:val="clear" w:color="auto" w:fill="FFFFFF"/>
        </w:rPr>
        <w:t>　　一、对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不再发布“节能产品政府采购清单”和“环境标志产品政府采购清单”。</w:t>
      </w:r>
    </w:p>
    <w:p w14:paraId="1AFE5225">
      <w:pPr>
        <w:rPr>
          <w:color w:val="auto"/>
          <w:shd w:val="clear" w:color="auto" w:fill="FFFFFF"/>
        </w:rPr>
      </w:pPr>
      <w:r>
        <w:rPr>
          <w:rFonts w:hint="eastAsia"/>
          <w:color w:val="auto"/>
          <w:shd w:val="clear" w:color="auto" w:fill="FFFFFF"/>
        </w:rPr>
        <w:t>　　二、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w:t>
      </w:r>
    </w:p>
    <w:p w14:paraId="29A20BB1">
      <w:pPr>
        <w:rPr>
          <w:color w:val="auto"/>
          <w:shd w:val="clear" w:color="auto" w:fill="FFFFFF"/>
        </w:rPr>
      </w:pPr>
      <w:r>
        <w:rPr>
          <w:rFonts w:hint="eastAsia"/>
          <w:color w:val="auto"/>
          <w:shd w:val="clear" w:color="auto" w:fill="FFFFFF"/>
        </w:rPr>
        <w:t>　　三、逐步扩大节能产品、环境标志产品认证机构范围。根据认证机构发展状况，市场监管总局商有关部门按照试点先行、逐步放开、有序竞争的原则，逐步增加实施节能产品、环境标志产品认证的机构。加强对相关认证市场监管力度，推行“双随机、一公开”监管，建立认证机构信用监管机制，严厉打击认证违法行为。</w:t>
      </w:r>
    </w:p>
    <w:p w14:paraId="48A74C42">
      <w:pPr>
        <w:rPr>
          <w:color w:val="auto"/>
          <w:shd w:val="clear" w:color="auto" w:fill="FFFFFF"/>
        </w:rPr>
      </w:pPr>
      <w:r>
        <w:rPr>
          <w:rFonts w:hint="eastAsia"/>
          <w:color w:val="auto"/>
          <w:shd w:val="clear" w:color="auto" w:fill="FFFFFF"/>
        </w:rPr>
        <w:t>　　四、发布认证机构和获证产品信息。市场监管总局组织建立节能产品、环境标志产品认证结果信息发布平台，公布相关认证机构和获证产品信息。节能产品、环境标志产品认证机构应当建立健全数据共享机制，及时向认证结果信息发布平台提供相关信息。中国政府采购网（www.ccgp.gov.cn）建立与认证结果信息发布平台的链接，方便采购人和采购代理机构查询、了解认证机构和获证产品相关情况。</w:t>
      </w:r>
    </w:p>
    <w:p w14:paraId="55255A57">
      <w:pPr>
        <w:rPr>
          <w:color w:val="auto"/>
          <w:shd w:val="clear" w:color="auto" w:fill="FFFFFF"/>
        </w:rPr>
      </w:pPr>
      <w:r>
        <w:rPr>
          <w:rFonts w:hint="eastAsia"/>
          <w:color w:val="auto"/>
          <w:shd w:val="clear" w:color="auto" w:fill="FFFFFF"/>
        </w:rPr>
        <w:t>　　五、加大政府绿色采购力度。对于已列入品目清单的产品类别，采购人可在采购需求中提出更高的节约资源和保护环境要求，对符合条件的获证产品给予优先待遇。对于未列入品目清单的产品类别，鼓励采购人综合考虑节能、节水、环保、循环、低碳、再生、有机等因素，参考相关国家标准、行业标准或团体标准，在采购需求中提出相关绿色采购要求，促进绿色产品推广应用。</w:t>
      </w:r>
    </w:p>
    <w:p w14:paraId="150797B2">
      <w:pPr>
        <w:rPr>
          <w:color w:val="auto"/>
          <w:shd w:val="clear" w:color="auto" w:fill="FFFFFF"/>
        </w:rPr>
      </w:pPr>
      <w:r>
        <w:rPr>
          <w:rFonts w:hint="eastAsia"/>
          <w:color w:val="auto"/>
          <w:shd w:val="clear" w:color="auto" w:fill="FFFFFF"/>
        </w:rPr>
        <w:t>　　六、本通知自2019年4月1日起执行。《财政部 生态环境部关于调整公布第二十二期环境标志产品政府采购清单的通知》（财库〔2018〕70号）和《财政部 国家发展改革委关于调整公布第二十四期节能产品政府采购清单的通知》（财库〔2018〕73号）同时停止执行。</w:t>
      </w:r>
    </w:p>
    <w:p w14:paraId="5F534434">
      <w:pPr>
        <w:rPr>
          <w:color w:val="auto"/>
          <w:shd w:val="clear" w:color="auto" w:fill="FFFFFF"/>
        </w:rPr>
      </w:pPr>
      <w:r>
        <w:rPr>
          <w:rFonts w:hint="eastAsia"/>
          <w:color w:val="auto"/>
          <w:shd w:val="clear" w:color="auto" w:fill="FFFFFF"/>
        </w:rPr>
        <w:t> </w:t>
      </w:r>
    </w:p>
    <w:p w14:paraId="186C761B">
      <w:pPr>
        <w:rPr>
          <w:color w:val="auto"/>
          <w:shd w:val="clear" w:color="auto" w:fill="FFFFFF"/>
        </w:rPr>
      </w:pPr>
      <w:r>
        <w:rPr>
          <w:rFonts w:hint="eastAsia"/>
          <w:color w:val="auto"/>
          <w:shd w:val="clear" w:color="auto" w:fill="FFFFFF"/>
        </w:rPr>
        <w:t> </w:t>
      </w:r>
    </w:p>
    <w:p w14:paraId="13FB9CEA">
      <w:pPr>
        <w:rPr>
          <w:color w:val="auto"/>
          <w:shd w:val="clear" w:color="auto" w:fill="FFFFFF"/>
        </w:rPr>
      </w:pPr>
      <w:r>
        <w:rPr>
          <w:rFonts w:hint="eastAsia"/>
          <w:color w:val="auto"/>
          <w:shd w:val="clear" w:color="auto" w:fill="FFFFFF"/>
        </w:rPr>
        <w:t>　　财政部 发展改革委 生态环境部 市场监管总局</w:t>
      </w:r>
    </w:p>
    <w:p w14:paraId="36BF6BD7">
      <w:pPr>
        <w:rPr>
          <w:color w:val="auto"/>
          <w:shd w:val="clear" w:color="auto" w:fill="FFFFFF"/>
        </w:rPr>
      </w:pPr>
      <w:r>
        <w:rPr>
          <w:rFonts w:hint="eastAsia"/>
          <w:color w:val="auto"/>
          <w:shd w:val="clear" w:color="auto" w:fill="FFFFFF"/>
        </w:rPr>
        <w:t>　　2019年2月1日</w:t>
      </w:r>
    </w:p>
    <w:p w14:paraId="6898DEBC">
      <w:pPr>
        <w:rPr>
          <w:color w:val="auto"/>
        </w:rPr>
      </w:pPr>
    </w:p>
    <w:p w14:paraId="4BA5C503">
      <w:pPr>
        <w:rPr>
          <w:color w:val="auto"/>
        </w:rPr>
        <w:sectPr>
          <w:pgSz w:w="11920" w:h="16840"/>
          <w:pgMar w:top="1418" w:right="1418" w:bottom="1418" w:left="1418" w:header="794" w:footer="851" w:gutter="284"/>
          <w:cols w:space="720" w:num="1"/>
          <w:docGrid w:linePitch="306" w:charSpace="0"/>
        </w:sectPr>
      </w:pPr>
    </w:p>
    <w:p w14:paraId="3183E174">
      <w:pPr>
        <w:rPr>
          <w:color w:val="auto"/>
        </w:rPr>
      </w:pPr>
      <w:r>
        <w:rPr>
          <w:rFonts w:hint="eastAsia"/>
          <w:color w:val="auto"/>
        </w:rPr>
        <w:t>关于印发节能产品政府采购品目清单的通知</w:t>
      </w:r>
    </w:p>
    <w:p w14:paraId="2B6CDF0E">
      <w:pPr>
        <w:rPr>
          <w:color w:val="auto"/>
          <w:shd w:val="clear" w:color="auto" w:fill="FFFFFF"/>
        </w:rPr>
      </w:pPr>
      <w:bookmarkStart w:id="302" w:name="_Toc15802"/>
      <w:bookmarkEnd w:id="302"/>
      <w:bookmarkStart w:id="303" w:name="_Toc4626"/>
      <w:bookmarkEnd w:id="303"/>
      <w:r>
        <w:rPr>
          <w:rFonts w:hint="eastAsia"/>
          <w:color w:val="auto"/>
          <w:shd w:val="clear" w:color="auto" w:fill="FFFFFF"/>
        </w:rPr>
        <w:t>财库〔2019〕19号</w:t>
      </w:r>
    </w:p>
    <w:p w14:paraId="0AB5F39B">
      <w:pPr>
        <w:rPr>
          <w:color w:val="auto"/>
          <w:shd w:val="clear" w:color="auto" w:fill="FFFFFF"/>
        </w:rPr>
      </w:pPr>
    </w:p>
    <w:p w14:paraId="014F3AC8">
      <w:pPr>
        <w:rPr>
          <w:color w:val="auto"/>
          <w:shd w:val="clear" w:color="auto" w:fill="FFFFFF"/>
        </w:rPr>
      </w:pPr>
      <w:r>
        <w:rPr>
          <w:rFonts w:hint="eastAsia"/>
          <w:color w:val="auto"/>
          <w:shd w:val="clear" w:color="auto" w:fill="FFFFFF"/>
        </w:rPr>
        <w:t>有关中央预算单位，各省、自治区、直辖市、计划单列市财政厅（局）、发展改革委（经信委、工信委、工信厅、经信局），新疆生产建设兵团财政局、发展改革委：</w:t>
      </w:r>
    </w:p>
    <w:p w14:paraId="578ECA58">
      <w:pPr>
        <w:rPr>
          <w:color w:val="auto"/>
          <w:shd w:val="clear" w:color="auto" w:fill="FFFFFF"/>
        </w:rPr>
      </w:pPr>
      <w:r>
        <w:rPr>
          <w:rFonts w:hint="eastAsia"/>
          <w:color w:val="auto"/>
          <w:shd w:val="clear" w:color="auto" w:fill="FFFFFF"/>
        </w:rPr>
        <w:t>　　根据《财政部 发展改革委 生态环境部 市场监管总局关于调整优化节能产品 环境标志产品政府采购执行机制的通知》（财库〔2019〕9号）， 我们研究制定节能产品政府采购品目清单，现印发给你们，请遵照执行。</w:t>
      </w:r>
    </w:p>
    <w:p w14:paraId="1BF57AF2">
      <w:pPr>
        <w:rPr>
          <w:rFonts w:hint="eastAsia" w:asciiTheme="minorEastAsia" w:hAnsiTheme="minorEastAsia" w:eastAsiaTheme="minorEastAsia" w:cstheme="minorEastAsia"/>
          <w:color w:val="auto"/>
          <w:kern w:val="0"/>
          <w:szCs w:val="21"/>
          <w:shd w:val="clear" w:color="auto" w:fill="FFFFFF"/>
        </w:rPr>
      </w:pPr>
      <w:r>
        <w:rPr>
          <w:rFonts w:hint="eastAsia" w:asciiTheme="minorEastAsia" w:hAnsiTheme="minorEastAsia" w:eastAsiaTheme="minorEastAsia" w:cstheme="minorEastAsia"/>
          <w:color w:val="auto"/>
          <w:kern w:val="0"/>
          <w:szCs w:val="21"/>
          <w:shd w:val="clear" w:color="auto" w:fill="FFFFFF"/>
        </w:rPr>
        <w:t>　　附件：</w:t>
      </w:r>
      <w:r>
        <w:rPr>
          <w:color w:val="auto"/>
        </w:rPr>
        <w:fldChar w:fldCharType="begin"/>
      </w:r>
      <w:r>
        <w:rPr>
          <w:color w:val="auto"/>
        </w:rPr>
        <w:instrText xml:space="preserve"> HYPERLINK "http://gks.mof.gov.cn/zhengfucaigouguanli/201904/P020190404409422168443.pdf" </w:instrText>
      </w:r>
      <w:r>
        <w:rPr>
          <w:color w:val="auto"/>
        </w:rPr>
        <w:fldChar w:fldCharType="separate"/>
      </w:r>
      <w:r>
        <w:rPr>
          <w:rFonts w:hint="eastAsia" w:asciiTheme="minorEastAsia" w:hAnsiTheme="minorEastAsia" w:eastAsiaTheme="minorEastAsia" w:cstheme="minorEastAsia"/>
          <w:color w:val="auto"/>
          <w:kern w:val="0"/>
          <w:szCs w:val="21"/>
          <w:shd w:val="clear" w:color="auto" w:fill="FFFFFF"/>
        </w:rPr>
        <w:t>节能产品政府采购品目清单</w:t>
      </w:r>
      <w:r>
        <w:rPr>
          <w:rFonts w:hint="eastAsia" w:asciiTheme="minorEastAsia" w:hAnsiTheme="minorEastAsia" w:eastAsiaTheme="minorEastAsia" w:cstheme="minorEastAsia"/>
          <w:color w:val="auto"/>
          <w:kern w:val="0"/>
          <w:szCs w:val="21"/>
          <w:shd w:val="clear" w:color="auto" w:fill="FFFFFF"/>
        </w:rPr>
        <w:fldChar w:fldCharType="end"/>
      </w:r>
    </w:p>
    <w:p w14:paraId="337A6736">
      <w:pPr>
        <w:rPr>
          <w:color w:val="auto"/>
          <w:shd w:val="clear" w:color="auto" w:fill="FFFFFF"/>
        </w:rPr>
      </w:pPr>
      <w:r>
        <w:rPr>
          <w:rFonts w:hint="eastAsia"/>
          <w:color w:val="auto"/>
          <w:shd w:val="clear" w:color="auto" w:fill="FFFFFF"/>
        </w:rPr>
        <w:t>财政部 发展改革委</w:t>
      </w:r>
    </w:p>
    <w:p w14:paraId="79D65F86">
      <w:pPr>
        <w:rPr>
          <w:color w:val="auto"/>
          <w:shd w:val="clear" w:color="auto" w:fill="FFFFFF"/>
        </w:rPr>
      </w:pPr>
      <w:r>
        <w:rPr>
          <w:rFonts w:hint="eastAsia"/>
          <w:color w:val="auto"/>
          <w:shd w:val="clear" w:color="auto" w:fill="FFFFFF"/>
        </w:rPr>
        <w:t>2019年4月2日</w:t>
      </w:r>
    </w:p>
    <w:p w14:paraId="301BA0E0">
      <w:pPr>
        <w:pStyle w:val="37"/>
        <w:rPr>
          <w:color w:val="auto"/>
          <w:shd w:val="clear" w:color="auto" w:fill="FFFFFF"/>
        </w:rPr>
      </w:pPr>
    </w:p>
    <w:p w14:paraId="2EF77B55">
      <w:pPr>
        <w:pStyle w:val="37"/>
        <w:rPr>
          <w:color w:val="auto"/>
          <w:shd w:val="clear" w:color="auto" w:fill="FFFFFF"/>
        </w:rPr>
      </w:pPr>
    </w:p>
    <w:p w14:paraId="67432A11">
      <w:pPr>
        <w:pStyle w:val="37"/>
        <w:rPr>
          <w:color w:val="auto"/>
          <w:shd w:val="clear" w:color="auto" w:fill="FFFFFF"/>
        </w:rPr>
      </w:pPr>
    </w:p>
    <w:p w14:paraId="16B1C53D">
      <w:pPr>
        <w:pStyle w:val="37"/>
        <w:rPr>
          <w:color w:val="auto"/>
          <w:shd w:val="clear" w:color="auto" w:fill="FFFFFF"/>
        </w:rPr>
      </w:pPr>
    </w:p>
    <w:p w14:paraId="3CE880B0">
      <w:pPr>
        <w:pStyle w:val="37"/>
        <w:rPr>
          <w:color w:val="auto"/>
          <w:shd w:val="clear" w:color="auto" w:fill="FFFFFF"/>
        </w:rPr>
      </w:pPr>
    </w:p>
    <w:p w14:paraId="3E9DBD60">
      <w:pPr>
        <w:pStyle w:val="37"/>
        <w:rPr>
          <w:color w:val="auto"/>
          <w:shd w:val="clear" w:color="auto" w:fill="FFFFFF"/>
        </w:rPr>
      </w:pPr>
    </w:p>
    <w:p w14:paraId="4476D2C2">
      <w:pPr>
        <w:pStyle w:val="37"/>
        <w:rPr>
          <w:color w:val="auto"/>
          <w:shd w:val="clear" w:color="auto" w:fill="FFFFFF"/>
        </w:rPr>
      </w:pPr>
    </w:p>
    <w:p w14:paraId="1D802FE0">
      <w:pPr>
        <w:pStyle w:val="37"/>
        <w:rPr>
          <w:color w:val="auto"/>
          <w:shd w:val="clear" w:color="auto" w:fill="FFFFFF"/>
        </w:rPr>
      </w:pPr>
    </w:p>
    <w:p w14:paraId="59B95E38">
      <w:pPr>
        <w:pStyle w:val="37"/>
        <w:rPr>
          <w:color w:val="auto"/>
          <w:shd w:val="clear" w:color="auto" w:fill="FFFFFF"/>
        </w:rPr>
      </w:pPr>
    </w:p>
    <w:p w14:paraId="37606CE0">
      <w:pPr>
        <w:pStyle w:val="37"/>
        <w:rPr>
          <w:color w:val="auto"/>
          <w:shd w:val="clear" w:color="auto" w:fill="FFFFFF"/>
        </w:rPr>
      </w:pPr>
    </w:p>
    <w:p w14:paraId="093DA1BF">
      <w:pPr>
        <w:pStyle w:val="37"/>
        <w:rPr>
          <w:color w:val="auto"/>
          <w:shd w:val="clear" w:color="auto" w:fill="FFFFFF"/>
        </w:rPr>
      </w:pPr>
    </w:p>
    <w:p w14:paraId="1C72E418">
      <w:pPr>
        <w:pStyle w:val="37"/>
        <w:rPr>
          <w:color w:val="auto"/>
          <w:shd w:val="clear" w:color="auto" w:fill="FFFFFF"/>
        </w:rPr>
      </w:pPr>
    </w:p>
    <w:p w14:paraId="7EA54009">
      <w:pPr>
        <w:pStyle w:val="37"/>
        <w:rPr>
          <w:color w:val="auto"/>
          <w:shd w:val="clear" w:color="auto" w:fill="FFFFFF"/>
        </w:rPr>
      </w:pPr>
    </w:p>
    <w:p w14:paraId="249698E0">
      <w:pPr>
        <w:pStyle w:val="37"/>
        <w:rPr>
          <w:color w:val="auto"/>
          <w:shd w:val="clear" w:color="auto" w:fill="FFFFFF"/>
        </w:rPr>
      </w:pPr>
    </w:p>
    <w:p w14:paraId="407389BD">
      <w:pPr>
        <w:pStyle w:val="37"/>
        <w:rPr>
          <w:color w:val="auto"/>
          <w:shd w:val="clear" w:color="auto" w:fill="FFFFFF"/>
        </w:rPr>
      </w:pPr>
    </w:p>
    <w:p w14:paraId="2B77F2A0">
      <w:pPr>
        <w:pStyle w:val="37"/>
        <w:rPr>
          <w:color w:val="auto"/>
          <w:shd w:val="clear" w:color="auto" w:fill="FFFFFF"/>
        </w:rPr>
      </w:pPr>
    </w:p>
    <w:p w14:paraId="33A3AB3C">
      <w:pPr>
        <w:pStyle w:val="37"/>
        <w:rPr>
          <w:color w:val="auto"/>
          <w:shd w:val="clear" w:color="auto" w:fill="FFFFFF"/>
        </w:rPr>
      </w:pPr>
    </w:p>
    <w:p w14:paraId="28ECDEBC">
      <w:pPr>
        <w:pStyle w:val="37"/>
        <w:rPr>
          <w:color w:val="auto"/>
          <w:shd w:val="clear" w:color="auto" w:fill="FFFFFF"/>
        </w:rPr>
      </w:pPr>
    </w:p>
    <w:p w14:paraId="2229A625">
      <w:pPr>
        <w:rPr>
          <w:color w:val="auto"/>
        </w:rPr>
      </w:pPr>
      <w:r>
        <w:rPr>
          <w:rFonts w:hint="eastAsia"/>
          <w:color w:val="auto"/>
        </w:rPr>
        <w:drawing>
          <wp:inline distT="0" distB="0" distL="114300" distR="114300">
            <wp:extent cx="5443855" cy="8100695"/>
            <wp:effectExtent l="0" t="0" r="4445" b="1460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27" cstate="print"/>
                    <a:stretch>
                      <a:fillRect/>
                    </a:stretch>
                  </pic:blipFill>
                  <pic:spPr>
                    <a:xfrm>
                      <a:off x="0" y="0"/>
                      <a:ext cx="5443855" cy="8100695"/>
                    </a:xfrm>
                    <a:prstGeom prst="rect">
                      <a:avLst/>
                    </a:prstGeom>
                    <a:noFill/>
                    <a:ln>
                      <a:noFill/>
                    </a:ln>
                  </pic:spPr>
                </pic:pic>
              </a:graphicData>
            </a:graphic>
          </wp:inline>
        </w:drawing>
      </w:r>
    </w:p>
    <w:p w14:paraId="32D796BC">
      <w:pPr>
        <w:rPr>
          <w:color w:val="auto"/>
        </w:rPr>
      </w:pPr>
    </w:p>
    <w:p w14:paraId="13BE741B">
      <w:pPr>
        <w:rPr>
          <w:color w:val="auto"/>
        </w:rPr>
      </w:pPr>
      <w:r>
        <w:rPr>
          <w:rFonts w:hint="eastAsia"/>
          <w:color w:val="auto"/>
        </w:rPr>
        <w:drawing>
          <wp:inline distT="0" distB="0" distL="114300" distR="114300">
            <wp:extent cx="5659755" cy="8572500"/>
            <wp:effectExtent l="0" t="0" r="17145" b="0"/>
            <wp:docPr id="5" name="图片 2" descr="15967069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descr="1596706951(1)"/>
                    <pic:cNvPicPr>
                      <a:picLocks noChangeAspect="1"/>
                    </pic:cNvPicPr>
                  </pic:nvPicPr>
                  <pic:blipFill>
                    <a:blip r:embed="rId28" cstate="print"/>
                    <a:stretch>
                      <a:fillRect/>
                    </a:stretch>
                  </pic:blipFill>
                  <pic:spPr>
                    <a:xfrm>
                      <a:off x="0" y="0"/>
                      <a:ext cx="5659755" cy="8572500"/>
                    </a:xfrm>
                    <a:prstGeom prst="rect">
                      <a:avLst/>
                    </a:prstGeom>
                    <a:noFill/>
                    <a:ln>
                      <a:noFill/>
                    </a:ln>
                  </pic:spPr>
                </pic:pic>
              </a:graphicData>
            </a:graphic>
          </wp:inline>
        </w:drawing>
      </w:r>
    </w:p>
    <w:p w14:paraId="0C78E011">
      <w:pPr>
        <w:rPr>
          <w:color w:val="auto"/>
        </w:rPr>
      </w:pPr>
    </w:p>
    <w:p w14:paraId="14389EC1">
      <w:pPr>
        <w:rPr>
          <w:color w:val="auto"/>
        </w:rPr>
      </w:pPr>
      <w:r>
        <w:rPr>
          <w:rFonts w:hint="eastAsia"/>
          <w:color w:val="auto"/>
        </w:rPr>
        <w:drawing>
          <wp:inline distT="0" distB="0" distL="114300" distR="114300">
            <wp:extent cx="5675630" cy="8389620"/>
            <wp:effectExtent l="0" t="0" r="1270" b="11430"/>
            <wp:docPr id="8" name="图片 3" descr="15967069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descr="1596706980(1)"/>
                    <pic:cNvPicPr>
                      <a:picLocks noChangeAspect="1"/>
                    </pic:cNvPicPr>
                  </pic:nvPicPr>
                  <pic:blipFill>
                    <a:blip r:embed="rId29" cstate="print"/>
                    <a:stretch>
                      <a:fillRect/>
                    </a:stretch>
                  </pic:blipFill>
                  <pic:spPr>
                    <a:xfrm>
                      <a:off x="0" y="0"/>
                      <a:ext cx="5675630" cy="8389620"/>
                    </a:xfrm>
                    <a:prstGeom prst="rect">
                      <a:avLst/>
                    </a:prstGeom>
                    <a:noFill/>
                    <a:ln>
                      <a:noFill/>
                    </a:ln>
                  </pic:spPr>
                </pic:pic>
              </a:graphicData>
            </a:graphic>
          </wp:inline>
        </w:drawing>
      </w:r>
    </w:p>
    <w:p w14:paraId="5B2F1CE4">
      <w:pPr>
        <w:rPr>
          <w:color w:val="auto"/>
        </w:rPr>
      </w:pPr>
      <w:r>
        <w:rPr>
          <w:rFonts w:hint="eastAsia"/>
          <w:color w:val="auto"/>
        </w:rPr>
        <w:drawing>
          <wp:inline distT="0" distB="0" distL="114300" distR="114300">
            <wp:extent cx="5720080" cy="8582660"/>
            <wp:effectExtent l="0" t="0" r="13970" b="8890"/>
            <wp:docPr id="10" name="图片 4" descr="15967070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 descr="1596707014(1)"/>
                    <pic:cNvPicPr>
                      <a:picLocks noChangeAspect="1"/>
                    </pic:cNvPicPr>
                  </pic:nvPicPr>
                  <pic:blipFill>
                    <a:blip r:embed="rId30" cstate="print"/>
                    <a:stretch>
                      <a:fillRect/>
                    </a:stretch>
                  </pic:blipFill>
                  <pic:spPr>
                    <a:xfrm>
                      <a:off x="0" y="0"/>
                      <a:ext cx="5720080" cy="8582660"/>
                    </a:xfrm>
                    <a:prstGeom prst="rect">
                      <a:avLst/>
                    </a:prstGeom>
                    <a:noFill/>
                    <a:ln>
                      <a:noFill/>
                    </a:ln>
                  </pic:spPr>
                </pic:pic>
              </a:graphicData>
            </a:graphic>
          </wp:inline>
        </w:drawing>
      </w:r>
    </w:p>
    <w:p w14:paraId="39743B4F">
      <w:pPr>
        <w:pStyle w:val="37"/>
        <w:rPr>
          <w:color w:val="auto"/>
          <w:shd w:val="clear" w:color="auto" w:fill="FFFFFF"/>
        </w:rPr>
      </w:pPr>
    </w:p>
    <w:p w14:paraId="3B140F6E">
      <w:pPr>
        <w:pStyle w:val="37"/>
        <w:rPr>
          <w:color w:val="auto"/>
          <w:shd w:val="clear" w:color="auto" w:fill="FFFFFF"/>
        </w:rPr>
        <w:sectPr>
          <w:footerReference r:id="rId21" w:type="default"/>
          <w:pgSz w:w="11920" w:h="16840"/>
          <w:pgMar w:top="1418" w:right="1418" w:bottom="1418" w:left="1418" w:header="794" w:footer="851" w:gutter="284"/>
          <w:cols w:space="720" w:num="1"/>
          <w:docGrid w:linePitch="306" w:charSpace="0"/>
        </w:sectPr>
      </w:pPr>
    </w:p>
    <w:p w14:paraId="0BA0BE9D">
      <w:pPr>
        <w:rPr>
          <w:color w:val="auto"/>
        </w:rPr>
      </w:pPr>
      <w:r>
        <w:rPr>
          <w:rFonts w:hint="eastAsia"/>
          <w:color w:val="auto"/>
        </w:rPr>
        <w:t>关于印发环境标志产品政府采购品目清单的通知</w:t>
      </w:r>
    </w:p>
    <w:p w14:paraId="30BD43BC">
      <w:pPr>
        <w:rPr>
          <w:color w:val="auto"/>
        </w:rPr>
      </w:pPr>
      <w:r>
        <w:rPr>
          <w:rFonts w:hint="eastAsia"/>
          <w:color w:val="auto"/>
        </w:rPr>
        <w:t>财库〔2019〕18号</w:t>
      </w:r>
    </w:p>
    <w:p w14:paraId="67DC4DB3">
      <w:pPr>
        <w:rPr>
          <w:color w:val="auto"/>
        </w:rPr>
      </w:pPr>
    </w:p>
    <w:p w14:paraId="099DB408">
      <w:pPr>
        <w:rPr>
          <w:color w:val="auto"/>
        </w:rPr>
      </w:pPr>
      <w:r>
        <w:rPr>
          <w:rFonts w:hint="eastAsia"/>
          <w:color w:val="auto"/>
        </w:rPr>
        <w:t>有关中央预算单位，各省、自治区、直辖市、计划单列市财政厅（局）、生态环境厅（局），新疆生产建设兵团财政局、环境保护局：</w:t>
      </w:r>
    </w:p>
    <w:p w14:paraId="02104EE2">
      <w:pPr>
        <w:rPr>
          <w:color w:val="auto"/>
        </w:rPr>
      </w:pPr>
      <w:r>
        <w:rPr>
          <w:rFonts w:hint="eastAsia"/>
          <w:color w:val="auto"/>
        </w:rPr>
        <w:t>　　根据《财政部发展改革委 生态环境部 市场监管总局关于调整优化节能产品 环境标志产品政府采购执行机制的通知》（财库〔2019〕9号）， 我们研究制定了环境标志产品政府采购品目清单，现印发给你们，请遵照执行。</w:t>
      </w:r>
    </w:p>
    <w:p w14:paraId="46AEDB84">
      <w:pPr>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　　附件：</w:t>
      </w:r>
      <w:r>
        <w:rPr>
          <w:color w:val="auto"/>
        </w:rPr>
        <w:fldChar w:fldCharType="begin"/>
      </w:r>
      <w:r>
        <w:rPr>
          <w:color w:val="auto"/>
        </w:rPr>
        <w:instrText xml:space="preserve"> HYPERLINK "http://gks.mof.gov.cn/zhengfucaigouguanli/201903/P020190329702478575295.pdf" </w:instrText>
      </w:r>
      <w:r>
        <w:rPr>
          <w:color w:val="auto"/>
        </w:rPr>
        <w:fldChar w:fldCharType="separate"/>
      </w:r>
      <w:r>
        <w:rPr>
          <w:rFonts w:hint="eastAsia" w:asciiTheme="minorEastAsia" w:hAnsiTheme="minorEastAsia" w:eastAsiaTheme="minorEastAsia" w:cstheme="minorEastAsia"/>
          <w:color w:val="auto"/>
          <w:kern w:val="0"/>
          <w:szCs w:val="21"/>
        </w:rPr>
        <w:t>环境标志产品政府采购品目清单</w:t>
      </w:r>
      <w:r>
        <w:rPr>
          <w:rFonts w:hint="eastAsia" w:asciiTheme="minorEastAsia" w:hAnsiTheme="minorEastAsia" w:eastAsiaTheme="minorEastAsia" w:cstheme="minorEastAsia"/>
          <w:color w:val="auto"/>
          <w:kern w:val="0"/>
          <w:szCs w:val="21"/>
        </w:rPr>
        <w:fldChar w:fldCharType="end"/>
      </w:r>
    </w:p>
    <w:p w14:paraId="3D281F43">
      <w:pPr>
        <w:rPr>
          <w:color w:val="auto"/>
        </w:rPr>
      </w:pPr>
      <w:r>
        <w:rPr>
          <w:rFonts w:hint="eastAsia"/>
          <w:color w:val="auto"/>
        </w:rPr>
        <w:t>财政部 生态环境部</w:t>
      </w:r>
    </w:p>
    <w:p w14:paraId="474422AF">
      <w:pPr>
        <w:rPr>
          <w:color w:val="auto"/>
        </w:rPr>
      </w:pPr>
      <w:r>
        <w:rPr>
          <w:rFonts w:hint="eastAsia"/>
          <w:color w:val="auto"/>
        </w:rPr>
        <w:t>2019年3月29日</w:t>
      </w:r>
    </w:p>
    <w:p w14:paraId="1BF36925">
      <w:pPr>
        <w:pStyle w:val="37"/>
        <w:rPr>
          <w:color w:val="auto"/>
        </w:rPr>
      </w:pPr>
    </w:p>
    <w:p w14:paraId="6415748D">
      <w:pPr>
        <w:pStyle w:val="37"/>
        <w:rPr>
          <w:color w:val="auto"/>
        </w:rPr>
      </w:pPr>
    </w:p>
    <w:p w14:paraId="26252356">
      <w:pPr>
        <w:pStyle w:val="37"/>
        <w:rPr>
          <w:color w:val="auto"/>
        </w:rPr>
      </w:pPr>
    </w:p>
    <w:p w14:paraId="79C9531C">
      <w:pPr>
        <w:pStyle w:val="37"/>
        <w:rPr>
          <w:color w:val="auto"/>
        </w:rPr>
      </w:pPr>
    </w:p>
    <w:p w14:paraId="3B865434">
      <w:pPr>
        <w:pStyle w:val="37"/>
        <w:rPr>
          <w:color w:val="auto"/>
        </w:rPr>
      </w:pPr>
    </w:p>
    <w:p w14:paraId="2B59329F">
      <w:pPr>
        <w:pStyle w:val="37"/>
        <w:rPr>
          <w:color w:val="auto"/>
        </w:rPr>
      </w:pPr>
    </w:p>
    <w:p w14:paraId="17F7CE8A">
      <w:pPr>
        <w:pStyle w:val="37"/>
        <w:rPr>
          <w:color w:val="auto"/>
        </w:rPr>
      </w:pPr>
    </w:p>
    <w:p w14:paraId="18BB3045">
      <w:pPr>
        <w:pStyle w:val="37"/>
        <w:rPr>
          <w:color w:val="auto"/>
        </w:rPr>
      </w:pPr>
    </w:p>
    <w:p w14:paraId="60377A04">
      <w:pPr>
        <w:pStyle w:val="37"/>
        <w:rPr>
          <w:color w:val="auto"/>
        </w:rPr>
      </w:pPr>
    </w:p>
    <w:p w14:paraId="4B50D913">
      <w:pPr>
        <w:pStyle w:val="37"/>
        <w:rPr>
          <w:color w:val="auto"/>
        </w:rPr>
      </w:pPr>
    </w:p>
    <w:p w14:paraId="77A47DC6">
      <w:pPr>
        <w:pStyle w:val="37"/>
        <w:rPr>
          <w:color w:val="auto"/>
        </w:rPr>
      </w:pPr>
    </w:p>
    <w:p w14:paraId="7C7A06E4">
      <w:pPr>
        <w:pStyle w:val="37"/>
        <w:rPr>
          <w:color w:val="auto"/>
        </w:rPr>
      </w:pPr>
    </w:p>
    <w:p w14:paraId="706763AB">
      <w:pPr>
        <w:pStyle w:val="37"/>
        <w:rPr>
          <w:color w:val="auto"/>
        </w:rPr>
      </w:pPr>
    </w:p>
    <w:p w14:paraId="4967874A">
      <w:pPr>
        <w:pStyle w:val="37"/>
        <w:rPr>
          <w:color w:val="auto"/>
        </w:rPr>
      </w:pPr>
    </w:p>
    <w:p w14:paraId="23BDF894">
      <w:pPr>
        <w:pStyle w:val="37"/>
        <w:rPr>
          <w:color w:val="auto"/>
        </w:rPr>
      </w:pPr>
    </w:p>
    <w:p w14:paraId="49F5FF4F">
      <w:pPr>
        <w:pStyle w:val="37"/>
        <w:rPr>
          <w:color w:val="auto"/>
        </w:rPr>
      </w:pPr>
    </w:p>
    <w:p w14:paraId="7D5066B7">
      <w:pPr>
        <w:pStyle w:val="37"/>
        <w:rPr>
          <w:color w:val="auto"/>
        </w:rPr>
      </w:pPr>
    </w:p>
    <w:p w14:paraId="108185B3">
      <w:pPr>
        <w:pStyle w:val="37"/>
        <w:rPr>
          <w:color w:val="auto"/>
        </w:rPr>
      </w:pPr>
    </w:p>
    <w:p w14:paraId="53F2EA62">
      <w:pPr>
        <w:pStyle w:val="37"/>
        <w:rPr>
          <w:color w:val="auto"/>
        </w:rPr>
      </w:pPr>
    </w:p>
    <w:p w14:paraId="2916A0F2">
      <w:pPr>
        <w:pStyle w:val="37"/>
        <w:rPr>
          <w:color w:val="auto"/>
        </w:rPr>
      </w:pPr>
    </w:p>
    <w:p w14:paraId="64293A9B">
      <w:pPr>
        <w:rPr>
          <w:color w:val="auto"/>
        </w:rPr>
      </w:pPr>
    </w:p>
    <w:p w14:paraId="1CBA2C38">
      <w:pPr>
        <w:rPr>
          <w:color w:val="auto"/>
        </w:rPr>
      </w:pPr>
      <w:r>
        <w:rPr>
          <w:rFonts w:hint="eastAsia"/>
          <w:color w:val="auto"/>
        </w:rPr>
        <w:drawing>
          <wp:inline distT="0" distB="0" distL="114300" distR="114300">
            <wp:extent cx="5577840" cy="7890510"/>
            <wp:effectExtent l="0" t="0" r="3810" b="15240"/>
            <wp:docPr id="13" name="图片 13" descr="提取自P020190329702478575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提取自P020190329702478575295"/>
                    <pic:cNvPicPr>
                      <a:picLocks noChangeAspect="1"/>
                    </pic:cNvPicPr>
                  </pic:nvPicPr>
                  <pic:blipFill>
                    <a:blip r:embed="rId31" cstate="print"/>
                    <a:stretch>
                      <a:fillRect/>
                    </a:stretch>
                  </pic:blipFill>
                  <pic:spPr>
                    <a:xfrm>
                      <a:off x="0" y="0"/>
                      <a:ext cx="5577840" cy="7890510"/>
                    </a:xfrm>
                    <a:prstGeom prst="rect">
                      <a:avLst/>
                    </a:prstGeom>
                  </pic:spPr>
                </pic:pic>
              </a:graphicData>
            </a:graphic>
          </wp:inline>
        </w:drawing>
      </w:r>
    </w:p>
    <w:p w14:paraId="2D3F2701">
      <w:pPr>
        <w:rPr>
          <w:color w:val="auto"/>
        </w:rPr>
      </w:pPr>
    </w:p>
    <w:p w14:paraId="6AC80FDA">
      <w:pPr>
        <w:rPr>
          <w:color w:val="auto"/>
        </w:rPr>
      </w:pPr>
    </w:p>
    <w:p w14:paraId="18150AC5">
      <w:pPr>
        <w:rPr>
          <w:color w:val="auto"/>
        </w:rPr>
      </w:pPr>
      <w:r>
        <w:rPr>
          <w:rFonts w:hint="eastAsia"/>
          <w:color w:val="auto"/>
        </w:rPr>
        <w:drawing>
          <wp:inline distT="0" distB="0" distL="114300" distR="114300">
            <wp:extent cx="5577840" cy="7890510"/>
            <wp:effectExtent l="0" t="0" r="3810" b="15240"/>
            <wp:docPr id="14" name="图片 14" descr="提取自P0201903297024785752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提取自P020190329702478575295(1)"/>
                    <pic:cNvPicPr>
                      <a:picLocks noChangeAspect="1"/>
                    </pic:cNvPicPr>
                  </pic:nvPicPr>
                  <pic:blipFill>
                    <a:blip r:embed="rId32" cstate="print"/>
                    <a:stretch>
                      <a:fillRect/>
                    </a:stretch>
                  </pic:blipFill>
                  <pic:spPr>
                    <a:xfrm>
                      <a:off x="0" y="0"/>
                      <a:ext cx="5577840" cy="7890510"/>
                    </a:xfrm>
                    <a:prstGeom prst="rect">
                      <a:avLst/>
                    </a:prstGeom>
                  </pic:spPr>
                </pic:pic>
              </a:graphicData>
            </a:graphic>
          </wp:inline>
        </w:drawing>
      </w:r>
    </w:p>
    <w:p w14:paraId="7A4AE2AE">
      <w:pPr>
        <w:rPr>
          <w:color w:val="auto"/>
        </w:rPr>
      </w:pPr>
    </w:p>
    <w:p w14:paraId="25E7397B">
      <w:pPr>
        <w:rPr>
          <w:color w:val="auto"/>
        </w:rPr>
      </w:pPr>
    </w:p>
    <w:p w14:paraId="3294D85C">
      <w:pPr>
        <w:rPr>
          <w:color w:val="auto"/>
        </w:rPr>
      </w:pPr>
      <w:r>
        <w:rPr>
          <w:rFonts w:hint="eastAsia"/>
          <w:color w:val="auto"/>
        </w:rPr>
        <w:drawing>
          <wp:inline distT="0" distB="0" distL="114300" distR="114300">
            <wp:extent cx="5577840" cy="7890510"/>
            <wp:effectExtent l="0" t="0" r="3810" b="15240"/>
            <wp:docPr id="15" name="图片 15" descr="提取自P0201903297024785752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提取自P020190329702478575295(2)"/>
                    <pic:cNvPicPr>
                      <a:picLocks noChangeAspect="1"/>
                    </pic:cNvPicPr>
                  </pic:nvPicPr>
                  <pic:blipFill>
                    <a:blip r:embed="rId33" cstate="print"/>
                    <a:stretch>
                      <a:fillRect/>
                    </a:stretch>
                  </pic:blipFill>
                  <pic:spPr>
                    <a:xfrm>
                      <a:off x="0" y="0"/>
                      <a:ext cx="5577840" cy="7890510"/>
                    </a:xfrm>
                    <a:prstGeom prst="rect">
                      <a:avLst/>
                    </a:prstGeom>
                  </pic:spPr>
                </pic:pic>
              </a:graphicData>
            </a:graphic>
          </wp:inline>
        </w:drawing>
      </w:r>
    </w:p>
    <w:p w14:paraId="133D0F80">
      <w:pPr>
        <w:rPr>
          <w:color w:val="auto"/>
        </w:rPr>
      </w:pPr>
    </w:p>
    <w:p w14:paraId="28885F51">
      <w:pPr>
        <w:rPr>
          <w:color w:val="auto"/>
        </w:rPr>
      </w:pPr>
    </w:p>
    <w:p w14:paraId="12BD7AA6">
      <w:pPr>
        <w:rPr>
          <w:color w:val="auto"/>
        </w:rPr>
      </w:pPr>
      <w:r>
        <w:rPr>
          <w:rFonts w:hint="eastAsia"/>
          <w:color w:val="auto"/>
        </w:rPr>
        <w:drawing>
          <wp:inline distT="0" distB="0" distL="114300" distR="114300">
            <wp:extent cx="5577840" cy="7890510"/>
            <wp:effectExtent l="0" t="0" r="3810" b="15240"/>
            <wp:docPr id="11" name="图片 11" descr="提取自P0201903297024785752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提取自P020190329702478575295(3)"/>
                    <pic:cNvPicPr>
                      <a:picLocks noChangeAspect="1"/>
                    </pic:cNvPicPr>
                  </pic:nvPicPr>
                  <pic:blipFill>
                    <a:blip r:embed="rId34" cstate="print"/>
                    <a:stretch>
                      <a:fillRect/>
                    </a:stretch>
                  </pic:blipFill>
                  <pic:spPr>
                    <a:xfrm>
                      <a:off x="0" y="0"/>
                      <a:ext cx="5577840" cy="7890510"/>
                    </a:xfrm>
                    <a:prstGeom prst="rect">
                      <a:avLst/>
                    </a:prstGeom>
                  </pic:spPr>
                </pic:pic>
              </a:graphicData>
            </a:graphic>
          </wp:inline>
        </w:drawing>
      </w:r>
    </w:p>
    <w:p w14:paraId="0A16EC14">
      <w:pPr>
        <w:rPr>
          <w:color w:val="auto"/>
        </w:rPr>
      </w:pPr>
    </w:p>
    <w:p w14:paraId="2C6B7077">
      <w:pPr>
        <w:pStyle w:val="37"/>
        <w:rPr>
          <w:color w:val="auto"/>
        </w:rPr>
      </w:pPr>
    </w:p>
    <w:p w14:paraId="30C65DB9">
      <w:pPr>
        <w:rPr>
          <w:color w:val="auto"/>
        </w:rPr>
      </w:pPr>
    </w:p>
    <w:p w14:paraId="4506498A">
      <w:pPr>
        <w:pStyle w:val="37"/>
        <w:rPr>
          <w:color w:val="auto"/>
        </w:rPr>
      </w:pPr>
      <w:r>
        <w:rPr>
          <w:rFonts w:hint="eastAsia"/>
          <w:color w:val="auto"/>
        </w:rPr>
        <w:drawing>
          <wp:inline distT="0" distB="0" distL="114300" distR="114300">
            <wp:extent cx="5219700" cy="8720455"/>
            <wp:effectExtent l="0" t="0" r="0" b="4445"/>
            <wp:docPr id="31" name="图片 31" descr="1721382210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1721382210080"/>
                    <pic:cNvPicPr>
                      <a:picLocks noChangeAspect="1"/>
                    </pic:cNvPicPr>
                  </pic:nvPicPr>
                  <pic:blipFill>
                    <a:blip r:embed="rId35" cstate="print"/>
                    <a:stretch>
                      <a:fillRect/>
                    </a:stretch>
                  </pic:blipFill>
                  <pic:spPr>
                    <a:xfrm>
                      <a:off x="0" y="0"/>
                      <a:ext cx="5219700" cy="8720455"/>
                    </a:xfrm>
                    <a:prstGeom prst="rect">
                      <a:avLst/>
                    </a:prstGeom>
                  </pic:spPr>
                </pic:pic>
              </a:graphicData>
            </a:graphic>
          </wp:inline>
        </w:drawing>
      </w:r>
    </w:p>
    <w:p w14:paraId="1D4009FA">
      <w:pPr>
        <w:rPr>
          <w:color w:val="auto"/>
        </w:rPr>
      </w:pPr>
      <w:r>
        <w:rPr>
          <w:rFonts w:hint="eastAsia"/>
          <w:color w:val="auto"/>
        </w:rPr>
        <w:drawing>
          <wp:inline distT="0" distB="0" distL="114300" distR="114300">
            <wp:extent cx="5276215" cy="8880475"/>
            <wp:effectExtent l="0" t="0" r="635" b="15875"/>
            <wp:docPr id="32" name="图片 32" descr="1721382256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1721382256957"/>
                    <pic:cNvPicPr>
                      <a:picLocks noChangeAspect="1"/>
                    </pic:cNvPicPr>
                  </pic:nvPicPr>
                  <pic:blipFill>
                    <a:blip r:embed="rId36" cstate="print"/>
                    <a:stretch>
                      <a:fillRect/>
                    </a:stretch>
                  </pic:blipFill>
                  <pic:spPr>
                    <a:xfrm>
                      <a:off x="0" y="0"/>
                      <a:ext cx="5276215" cy="8880475"/>
                    </a:xfrm>
                    <a:prstGeom prst="rect">
                      <a:avLst/>
                    </a:prstGeom>
                  </pic:spPr>
                </pic:pic>
              </a:graphicData>
            </a:graphic>
          </wp:inline>
        </w:drawing>
      </w:r>
    </w:p>
    <w:p w14:paraId="3CCB834D">
      <w:pPr>
        <w:rPr>
          <w:color w:val="auto"/>
        </w:rPr>
      </w:pPr>
      <w:r>
        <w:rPr>
          <w:rFonts w:hint="eastAsia"/>
          <w:color w:val="auto"/>
        </w:rPr>
        <w:drawing>
          <wp:inline distT="0" distB="0" distL="114300" distR="114300">
            <wp:extent cx="5321300" cy="6454140"/>
            <wp:effectExtent l="0" t="0" r="12700" b="3810"/>
            <wp:docPr id="33" name="图片 33" descr="1721382293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1721382293041"/>
                    <pic:cNvPicPr>
                      <a:picLocks noChangeAspect="1"/>
                    </pic:cNvPicPr>
                  </pic:nvPicPr>
                  <pic:blipFill>
                    <a:blip r:embed="rId37" cstate="print"/>
                    <a:stretch>
                      <a:fillRect/>
                    </a:stretch>
                  </pic:blipFill>
                  <pic:spPr>
                    <a:xfrm>
                      <a:off x="0" y="0"/>
                      <a:ext cx="5321300" cy="6454140"/>
                    </a:xfrm>
                    <a:prstGeom prst="rect">
                      <a:avLst/>
                    </a:prstGeom>
                  </pic:spPr>
                </pic:pic>
              </a:graphicData>
            </a:graphic>
          </wp:inline>
        </w:drawing>
      </w:r>
    </w:p>
    <w:p w14:paraId="667905C0">
      <w:pPr>
        <w:rPr>
          <w:color w:val="auto"/>
        </w:rPr>
      </w:pPr>
    </w:p>
    <w:p w14:paraId="4BDE7C5A">
      <w:pPr>
        <w:rPr>
          <w:color w:val="auto"/>
        </w:rPr>
      </w:pPr>
    </w:p>
    <w:p w14:paraId="31556E39">
      <w:pPr>
        <w:rPr>
          <w:color w:val="auto"/>
        </w:rPr>
      </w:pPr>
    </w:p>
    <w:p w14:paraId="35725F44">
      <w:pPr>
        <w:rPr>
          <w:color w:val="auto"/>
        </w:rPr>
      </w:pPr>
    </w:p>
    <w:p w14:paraId="7FBD9661">
      <w:pPr>
        <w:rPr>
          <w:color w:val="auto"/>
        </w:rPr>
      </w:pPr>
    </w:p>
    <w:p w14:paraId="273F0FE9">
      <w:pPr>
        <w:rPr>
          <w:color w:val="auto"/>
        </w:rPr>
      </w:pPr>
    </w:p>
    <w:p w14:paraId="39521D1C">
      <w:pPr>
        <w:pStyle w:val="37"/>
        <w:rPr>
          <w:color w:val="auto"/>
        </w:rPr>
      </w:pPr>
    </w:p>
    <w:p w14:paraId="1E338F3E">
      <w:pPr>
        <w:rPr>
          <w:color w:val="auto"/>
        </w:rPr>
      </w:pPr>
    </w:p>
    <w:p w14:paraId="3B0B0FB8">
      <w:pPr>
        <w:rPr>
          <w:color w:val="auto"/>
        </w:rPr>
      </w:pPr>
      <w:r>
        <w:rPr>
          <w:rFonts w:hint="eastAsia"/>
          <w:color w:val="auto"/>
        </w:rPr>
        <w:br w:type="page"/>
      </w:r>
    </w:p>
    <w:p w14:paraId="3266E9A6">
      <w:pPr>
        <w:rPr>
          <w:color w:val="auto"/>
        </w:rPr>
      </w:pPr>
      <w:r>
        <w:rPr>
          <w:rFonts w:hint="eastAsia"/>
          <w:color w:val="auto"/>
        </w:rPr>
        <w:t>关于印发中小企业划型标准规定的通知</w:t>
      </w:r>
    </w:p>
    <w:p w14:paraId="311E5D0C">
      <w:pPr>
        <w:pStyle w:val="32"/>
        <w:ind w:firstLine="480"/>
        <w:rPr>
          <w:rFonts w:hint="eastAsia"/>
          <w:color w:val="auto"/>
        </w:rPr>
      </w:pPr>
      <w:bookmarkStart w:id="304" w:name="_Toc1413325678_WPSOffice_Level3"/>
      <w:r>
        <w:rPr>
          <w:rFonts w:hint="eastAsia"/>
          <w:color w:val="auto"/>
        </w:rPr>
        <w:t>工信部联企业[2011]300号</w:t>
      </w:r>
      <w:bookmarkEnd w:id="304"/>
    </w:p>
    <w:p w14:paraId="74E463BB">
      <w:pPr>
        <w:pStyle w:val="32"/>
        <w:ind w:firstLine="480"/>
        <w:rPr>
          <w:rFonts w:hint="eastAsia"/>
          <w:color w:val="auto"/>
        </w:rPr>
      </w:pPr>
      <w:r>
        <w:rPr>
          <w:rFonts w:hint="eastAsia"/>
          <w:color w:val="auto"/>
        </w:rPr>
        <w:t>各省、自治区、直辖市人民政府，国务院各部委、各直属机构及有关单位：</w:t>
      </w:r>
    </w:p>
    <w:p w14:paraId="78D2FCFC">
      <w:pPr>
        <w:pStyle w:val="32"/>
        <w:ind w:firstLine="480"/>
        <w:rPr>
          <w:rFonts w:hint="eastAsia"/>
          <w:color w:val="auto"/>
        </w:rPr>
      </w:pPr>
      <w:r>
        <w:rPr>
          <w:rFonts w:hint="eastAsia"/>
          <w:color w:val="auto"/>
        </w:rPr>
        <w:t>　　为贯彻落实《中华人民共和国中小企业促进法》和《国务院关于进一步促进中小企业发展的若干意见》（国发〔2009〕36号），工业和信息化部、国家统计局、发展改革委、财政部研究制定了《中小企业划型标准规定》。经国务院同意，现印发给你们，请遵照执行。</w:t>
      </w:r>
    </w:p>
    <w:p w14:paraId="514039B8">
      <w:pPr>
        <w:pStyle w:val="32"/>
        <w:ind w:firstLine="480"/>
        <w:rPr>
          <w:rFonts w:hint="eastAsia"/>
          <w:color w:val="auto"/>
        </w:rPr>
      </w:pPr>
      <w:r>
        <w:rPr>
          <w:rFonts w:hint="eastAsia"/>
          <w:color w:val="auto"/>
        </w:rPr>
        <w:t>　　　　　　　　　　　　　　　　　　　　　　 工业和信息化部　国家统计局</w:t>
      </w:r>
    </w:p>
    <w:p w14:paraId="27F33085">
      <w:pPr>
        <w:pStyle w:val="32"/>
        <w:ind w:firstLine="480"/>
        <w:rPr>
          <w:rFonts w:hint="eastAsia"/>
          <w:color w:val="auto"/>
        </w:rPr>
      </w:pPr>
      <w:r>
        <w:rPr>
          <w:rFonts w:hint="eastAsia"/>
          <w:color w:val="auto"/>
        </w:rPr>
        <w:t>　　　　　　　　　　　　　　　　　　　国家发展和改革委员会　财政部</w:t>
      </w:r>
    </w:p>
    <w:p w14:paraId="37992EA4">
      <w:pPr>
        <w:pStyle w:val="32"/>
        <w:ind w:firstLine="480"/>
        <w:rPr>
          <w:rFonts w:hint="eastAsia"/>
          <w:color w:val="auto"/>
        </w:rPr>
      </w:pPr>
      <w:r>
        <w:rPr>
          <w:rFonts w:hint="eastAsia"/>
          <w:color w:val="auto"/>
        </w:rPr>
        <w:t>　　　　　　　　　　　　　　　　　　　二〇一一年六月十八日</w:t>
      </w:r>
    </w:p>
    <w:p w14:paraId="0A9F18A2">
      <w:pPr>
        <w:pStyle w:val="32"/>
        <w:ind w:firstLine="480"/>
        <w:rPr>
          <w:rFonts w:hint="eastAsia"/>
          <w:color w:val="auto"/>
        </w:rPr>
      </w:pPr>
      <w:r>
        <w:rPr>
          <w:rFonts w:hint="eastAsia"/>
          <w:color w:val="auto"/>
        </w:rPr>
        <w:t>附件： </w:t>
      </w:r>
    </w:p>
    <w:p w14:paraId="1480A42B">
      <w:pPr>
        <w:pStyle w:val="32"/>
        <w:ind w:firstLine="422"/>
        <w:rPr>
          <w:rFonts w:hint="eastAsia"/>
          <w:color w:val="auto"/>
        </w:rPr>
      </w:pPr>
      <w:bookmarkStart w:id="305" w:name="_Toc1817875417_WPSOffice_Level2"/>
      <w:r>
        <w:rPr>
          <w:rStyle w:val="42"/>
          <w:rFonts w:hint="eastAsia" w:asciiTheme="minorEastAsia" w:hAnsiTheme="minorEastAsia" w:eastAsiaTheme="minorEastAsia" w:cstheme="minorEastAsia"/>
          <w:color w:val="auto"/>
          <w:sz w:val="21"/>
          <w:szCs w:val="21"/>
        </w:rPr>
        <w:t>中小企业划型标准规定</w:t>
      </w:r>
      <w:bookmarkEnd w:id="305"/>
    </w:p>
    <w:p w14:paraId="2626CAA2">
      <w:pPr>
        <w:pStyle w:val="32"/>
        <w:ind w:firstLine="480"/>
        <w:rPr>
          <w:rFonts w:hint="eastAsia"/>
          <w:color w:val="auto"/>
        </w:rPr>
      </w:pPr>
      <w:r>
        <w:rPr>
          <w:rFonts w:hint="eastAsia"/>
          <w:color w:val="auto"/>
        </w:rPr>
        <w:t xml:space="preserve">    一、根据《中华人民共和国中小企业促进法》和《国务院关于进一步促进中小企业发展的若干意见》(国发〔2009〕36号)，制定本规定。</w:t>
      </w:r>
    </w:p>
    <w:p w14:paraId="3938677E">
      <w:pPr>
        <w:pStyle w:val="32"/>
        <w:ind w:firstLine="480"/>
        <w:rPr>
          <w:rFonts w:hint="eastAsia"/>
          <w:color w:val="auto"/>
        </w:rPr>
      </w:pPr>
      <w:r>
        <w:rPr>
          <w:rFonts w:hint="eastAsia"/>
          <w:color w:val="auto"/>
        </w:rPr>
        <w:t>　　二、中小企业划分为中型、小型、微型三种类型，具体标准根据企业从业人员、营业收入、资产总额等指标，结合行业特点制定。</w:t>
      </w:r>
    </w:p>
    <w:p w14:paraId="43E720EB">
      <w:pPr>
        <w:pStyle w:val="32"/>
        <w:ind w:firstLine="480"/>
        <w:rPr>
          <w:rFonts w:hint="eastAsia"/>
          <w:color w:val="auto"/>
        </w:rPr>
      </w:pPr>
      <w:r>
        <w:rPr>
          <w:rFonts w:hint="eastAsia"/>
          <w:color w:val="auto"/>
        </w:rPr>
        <w:t>　　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14E6B08A">
      <w:pPr>
        <w:pStyle w:val="32"/>
        <w:ind w:firstLine="480"/>
        <w:rPr>
          <w:rFonts w:hint="eastAsia"/>
          <w:color w:val="auto"/>
        </w:rPr>
      </w:pPr>
      <w:r>
        <w:rPr>
          <w:rFonts w:hint="eastAsia"/>
          <w:color w:val="auto"/>
        </w:rPr>
        <w:t>　　四、各行业划型标准为：</w:t>
      </w:r>
    </w:p>
    <w:p w14:paraId="710F5773">
      <w:pPr>
        <w:pStyle w:val="32"/>
        <w:ind w:firstLine="480"/>
        <w:rPr>
          <w:rFonts w:hint="eastAsia"/>
          <w:color w:val="auto"/>
        </w:rPr>
      </w:pPr>
      <w:r>
        <w:rPr>
          <w:rFonts w:hint="eastAsia"/>
          <w:color w:val="auto"/>
        </w:rPr>
        <w:t>　　（一）农、林、牧、渔业。营业收入20000万元以下的为中小微型企业。其中，营业收入500万元及以上的为中型企业，营业收入50万元及以上的为小型企业，营业收入50万元以下的为微型企业。</w:t>
      </w:r>
    </w:p>
    <w:p w14:paraId="749AD541">
      <w:pPr>
        <w:pStyle w:val="32"/>
        <w:ind w:firstLine="480"/>
        <w:rPr>
          <w:rFonts w:hint="eastAsia"/>
          <w:color w:val="auto"/>
        </w:rPr>
      </w:pPr>
      <w:r>
        <w:rPr>
          <w:rFonts w:hint="eastAsia"/>
          <w:color w:val="auto"/>
        </w:rPr>
        <w:t>　　（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72F40FD4">
      <w:pPr>
        <w:pStyle w:val="32"/>
        <w:ind w:firstLine="480"/>
        <w:rPr>
          <w:rFonts w:hint="eastAsia"/>
          <w:color w:val="auto"/>
        </w:rPr>
      </w:pPr>
      <w:r>
        <w:rPr>
          <w:rFonts w:hint="eastAsia"/>
          <w:color w:val="auto"/>
        </w:rPr>
        <w:t>　　（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1810238A">
      <w:pPr>
        <w:pStyle w:val="32"/>
        <w:ind w:firstLine="480"/>
        <w:rPr>
          <w:rFonts w:hint="eastAsia"/>
          <w:color w:val="auto"/>
        </w:rPr>
      </w:pPr>
      <w:r>
        <w:rPr>
          <w:rFonts w:hint="eastAsia"/>
          <w:color w:val="auto"/>
        </w:rPr>
        <w:t>　　（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3E3031C9">
      <w:pPr>
        <w:pStyle w:val="32"/>
        <w:ind w:firstLine="480"/>
        <w:rPr>
          <w:rFonts w:hint="eastAsia"/>
          <w:color w:val="auto"/>
        </w:rPr>
      </w:pPr>
      <w:r>
        <w:rPr>
          <w:rFonts w:hint="eastAsia"/>
          <w:color w:val="auto"/>
        </w:rPr>
        <w:t>　　（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59F2BEE4">
      <w:pPr>
        <w:pStyle w:val="32"/>
        <w:ind w:firstLine="480"/>
        <w:rPr>
          <w:rFonts w:hint="eastAsia"/>
          <w:color w:val="auto"/>
        </w:rPr>
      </w:pPr>
      <w:r>
        <w:rPr>
          <w:rFonts w:hint="eastAsia"/>
          <w:color w:val="auto"/>
        </w:rPr>
        <w:t>　　（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5092069F">
      <w:pPr>
        <w:pStyle w:val="32"/>
        <w:ind w:firstLine="480"/>
        <w:rPr>
          <w:rFonts w:hint="eastAsia"/>
          <w:color w:val="auto"/>
        </w:rPr>
      </w:pPr>
      <w:r>
        <w:rPr>
          <w:rFonts w:hint="eastAsia"/>
          <w:color w:val="auto"/>
        </w:rPr>
        <w:t>　　（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0D14DAC8">
      <w:pPr>
        <w:pStyle w:val="32"/>
        <w:ind w:firstLine="480"/>
        <w:rPr>
          <w:rFonts w:hint="eastAsia"/>
          <w:color w:val="auto"/>
        </w:rPr>
      </w:pPr>
      <w:r>
        <w:rPr>
          <w:rFonts w:hint="eastAsia"/>
          <w:color w:val="auto"/>
        </w:rPr>
        <w:t>　　（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7419D609">
      <w:pPr>
        <w:pStyle w:val="32"/>
        <w:ind w:firstLine="480"/>
        <w:rPr>
          <w:rFonts w:hint="eastAsia"/>
          <w:color w:val="auto"/>
        </w:rPr>
      </w:pPr>
      <w:r>
        <w:rPr>
          <w:rFonts w:hint="eastAsia"/>
          <w:color w:val="auto"/>
        </w:rPr>
        <w:t>　　（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1E351DFE">
      <w:pPr>
        <w:pStyle w:val="32"/>
        <w:ind w:firstLine="480"/>
        <w:rPr>
          <w:rFonts w:hint="eastAsia"/>
          <w:color w:val="auto"/>
        </w:rPr>
      </w:pPr>
      <w:r>
        <w:rPr>
          <w:rFonts w:hint="eastAsia"/>
          <w:color w:val="auto"/>
        </w:rPr>
        <w:t>　　（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76CC6386">
      <w:pPr>
        <w:pStyle w:val="32"/>
        <w:ind w:firstLine="480"/>
        <w:rPr>
          <w:rFonts w:hint="eastAsia"/>
          <w:color w:val="auto"/>
        </w:rPr>
      </w:pPr>
      <w:r>
        <w:rPr>
          <w:rFonts w:hint="eastAsia"/>
          <w:color w:val="auto"/>
        </w:rPr>
        <w:t>　　（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1A130C1C">
      <w:pPr>
        <w:pStyle w:val="32"/>
        <w:ind w:firstLine="480"/>
        <w:rPr>
          <w:rFonts w:hint="eastAsia"/>
          <w:color w:val="auto"/>
        </w:rPr>
      </w:pPr>
      <w:r>
        <w:rPr>
          <w:rFonts w:hint="eastAsia"/>
          <w:color w:val="auto"/>
        </w:rPr>
        <w:t>　　（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67C44E88">
      <w:pPr>
        <w:pStyle w:val="32"/>
        <w:ind w:firstLine="480"/>
        <w:rPr>
          <w:rFonts w:hint="eastAsia"/>
          <w:color w:val="auto"/>
        </w:rPr>
      </w:pPr>
      <w:r>
        <w:rPr>
          <w:rFonts w:hint="eastAsia"/>
          <w:color w:val="auto"/>
        </w:rPr>
        <w:t>　　（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7105B8BB">
      <w:pPr>
        <w:pStyle w:val="32"/>
        <w:ind w:firstLine="480"/>
        <w:rPr>
          <w:rFonts w:hint="eastAsia"/>
          <w:color w:val="auto"/>
        </w:rPr>
      </w:pPr>
      <w:r>
        <w:rPr>
          <w:rFonts w:hint="eastAsia"/>
          <w:color w:val="auto"/>
        </w:rPr>
        <w:t>　　（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038CCB68">
      <w:pPr>
        <w:pStyle w:val="32"/>
        <w:ind w:firstLine="480"/>
        <w:rPr>
          <w:rFonts w:hint="eastAsia"/>
          <w:color w:val="auto"/>
        </w:rPr>
      </w:pPr>
      <w:r>
        <w:rPr>
          <w:rFonts w:hint="eastAsia"/>
          <w:color w:val="auto"/>
        </w:rPr>
        <w:t>　　（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4B6416CB">
      <w:pPr>
        <w:pStyle w:val="32"/>
        <w:ind w:firstLine="480"/>
        <w:rPr>
          <w:rFonts w:hint="eastAsia"/>
          <w:color w:val="auto"/>
        </w:rPr>
      </w:pPr>
      <w:r>
        <w:rPr>
          <w:rFonts w:hint="eastAsia"/>
          <w:color w:val="auto"/>
        </w:rPr>
        <w:t>　　（十六）其他未列明行业。从业人员300人以下的为中小微型企业。其中，从业人员100人及以上的为中型企业；从业人员10人及以上的为小型企业；从业人员10人以下的为微型企业。</w:t>
      </w:r>
    </w:p>
    <w:p w14:paraId="59CB448F">
      <w:pPr>
        <w:pStyle w:val="32"/>
        <w:ind w:firstLine="480"/>
        <w:rPr>
          <w:rFonts w:hint="eastAsia"/>
          <w:color w:val="auto"/>
        </w:rPr>
      </w:pPr>
      <w:r>
        <w:rPr>
          <w:rFonts w:hint="eastAsia"/>
          <w:color w:val="auto"/>
        </w:rPr>
        <w:t>　　五、企业类型的划分以统计部门的统计数据为依据。</w:t>
      </w:r>
    </w:p>
    <w:p w14:paraId="6612017B">
      <w:pPr>
        <w:pStyle w:val="32"/>
        <w:ind w:firstLine="480"/>
        <w:rPr>
          <w:rFonts w:hint="eastAsia"/>
          <w:color w:val="auto"/>
        </w:rPr>
      </w:pPr>
      <w:r>
        <w:rPr>
          <w:rFonts w:hint="eastAsia"/>
          <w:color w:val="auto"/>
        </w:rPr>
        <w:t>　　六、本规定适用于在中华人民共和国境内依法设立的各类所有制和各种组织形式的企业。个体工商户和本规定以外的行业，参照本规定进行划型。</w:t>
      </w:r>
    </w:p>
    <w:p w14:paraId="5BCFBC39">
      <w:pPr>
        <w:pStyle w:val="32"/>
        <w:ind w:firstLine="480"/>
        <w:rPr>
          <w:rFonts w:hint="eastAsia"/>
          <w:color w:val="auto"/>
        </w:rPr>
      </w:pPr>
      <w:r>
        <w:rPr>
          <w:rFonts w:hint="eastAsia"/>
          <w:color w:val="auto"/>
        </w:rPr>
        <w:t>　　七、本规定的中型企业标准上限即为大型企业标准的下限，国家统计部门据此制定大中小微型企业的统计分类。国务院有关部门据此进行相关数据分析，不得制定与本规定不一致的企业划型标准。</w:t>
      </w:r>
    </w:p>
    <w:p w14:paraId="4B74D02A">
      <w:pPr>
        <w:pStyle w:val="32"/>
        <w:ind w:firstLine="480"/>
        <w:rPr>
          <w:rFonts w:hint="eastAsia"/>
          <w:color w:val="auto"/>
        </w:rPr>
      </w:pPr>
      <w:r>
        <w:rPr>
          <w:rFonts w:hint="eastAsia"/>
          <w:color w:val="auto"/>
        </w:rPr>
        <w:t>　　八、本规定由工业和信息化部、国家统计局会同有关部门根据《国民经济行业分类》修订情况和企业发展变化情况适时修订。</w:t>
      </w:r>
    </w:p>
    <w:p w14:paraId="5B62C5F4">
      <w:pPr>
        <w:pStyle w:val="32"/>
        <w:ind w:firstLine="480"/>
        <w:rPr>
          <w:rFonts w:hint="eastAsia"/>
          <w:color w:val="auto"/>
        </w:rPr>
      </w:pPr>
      <w:r>
        <w:rPr>
          <w:rFonts w:hint="eastAsia"/>
          <w:color w:val="auto"/>
        </w:rPr>
        <w:t>　　九、本规定由工业和信息化部、国家统计局会同有关部门负责解释。</w:t>
      </w:r>
    </w:p>
    <w:p w14:paraId="775114A7">
      <w:pPr>
        <w:pStyle w:val="32"/>
        <w:ind w:firstLine="480"/>
        <w:rPr>
          <w:rFonts w:hint="eastAsia"/>
          <w:color w:val="auto"/>
          <w:lang w:val="zh-TW"/>
        </w:rPr>
      </w:pPr>
      <w:r>
        <w:rPr>
          <w:rFonts w:hint="eastAsia"/>
          <w:color w:val="auto"/>
        </w:rPr>
        <w:t>　　十、本规定自发布之日起执行，原国家经贸委、原国家计委、财政部和国家统计局2003年颁布的《中小企业标准暂行规定》同时废止。</w:t>
      </w:r>
    </w:p>
    <w:p w14:paraId="7C9243E6">
      <w:pPr>
        <w:rPr>
          <w:color w:val="auto"/>
        </w:rPr>
      </w:pPr>
    </w:p>
    <w:p w14:paraId="1243CADD">
      <w:pPr>
        <w:rPr>
          <w:color w:val="auto"/>
        </w:rPr>
      </w:pPr>
    </w:p>
    <w:p w14:paraId="4DCA40F3">
      <w:pPr>
        <w:rPr>
          <w:color w:val="auto"/>
        </w:rPr>
      </w:pPr>
    </w:p>
    <w:p w14:paraId="632A7AC0">
      <w:pPr>
        <w:ind w:firstLine="0" w:firstLineChars="0"/>
        <w:rPr>
          <w:color w:val="auto"/>
        </w:rPr>
      </w:pPr>
    </w:p>
    <w:p w14:paraId="6FB3F4BC">
      <w:pPr>
        <w:ind w:firstLine="560"/>
        <w:jc w:val="center"/>
        <w:rPr>
          <w:color w:val="auto"/>
        </w:rPr>
      </w:pPr>
      <w:r>
        <w:rPr>
          <w:rFonts w:hint="eastAsia"/>
          <w:color w:val="auto"/>
          <w:sz w:val="28"/>
          <w:szCs w:val="28"/>
        </w:rPr>
        <w:t>对本国产品的支持政策</w:t>
      </w:r>
    </w:p>
    <w:p w14:paraId="65C0BA18">
      <w:pPr>
        <w:widowControl/>
        <w:spacing w:line="500" w:lineRule="exact"/>
        <w:ind w:firstLine="422"/>
        <w:jc w:val="left"/>
        <w:rPr>
          <w:rFonts w:hint="eastAsia" w:hAnsi="宋体" w:cs="宋体"/>
          <w:color w:val="auto"/>
          <w:szCs w:val="21"/>
        </w:rPr>
      </w:pPr>
      <w:r>
        <w:rPr>
          <w:rFonts w:hint="eastAsia" w:hAnsi="宋体" w:cs="宋体"/>
          <w:b/>
          <w:bCs/>
          <w:color w:val="auto"/>
          <w:kern w:val="0"/>
          <w:szCs w:val="21"/>
        </w:rPr>
        <w:t xml:space="preserve">1、政府采购政策： </w:t>
      </w:r>
    </w:p>
    <w:p w14:paraId="2DB016D7">
      <w:pPr>
        <w:widowControl/>
        <w:spacing w:line="500" w:lineRule="exact"/>
        <w:jc w:val="left"/>
        <w:rPr>
          <w:rFonts w:hint="eastAsia" w:hAnsi="宋体" w:cs="宋体"/>
          <w:color w:val="auto"/>
          <w:kern w:val="0"/>
          <w:szCs w:val="21"/>
        </w:rPr>
      </w:pPr>
      <w:r>
        <w:rPr>
          <w:rFonts w:hint="eastAsia" w:hAnsi="宋体" w:cs="宋体"/>
          <w:color w:val="auto"/>
          <w:kern w:val="0"/>
          <w:szCs w:val="21"/>
        </w:rPr>
        <w:t xml:space="preserve">1.1《国务院办公厅关于在政府采购中实施本国产品标准及相关政策的通知》（国办发〔2025〕34号） </w:t>
      </w:r>
    </w:p>
    <w:p w14:paraId="57691410">
      <w:pPr>
        <w:widowControl/>
        <w:spacing w:line="500" w:lineRule="exact"/>
        <w:jc w:val="left"/>
        <w:rPr>
          <w:rFonts w:hint="eastAsia" w:hAnsi="宋体" w:cs="宋体"/>
          <w:color w:val="auto"/>
          <w:kern w:val="0"/>
          <w:szCs w:val="21"/>
        </w:rPr>
      </w:pPr>
      <w:r>
        <w:rPr>
          <w:rFonts w:hint="eastAsia" w:hAnsi="宋体" w:cs="宋体"/>
          <w:color w:val="auto"/>
          <w:kern w:val="0"/>
          <w:szCs w:val="21"/>
        </w:rPr>
        <w:t>1.2关于贯彻落实《国务院办公厅关于在政府采购中实施本国产品标准及相关政策的通知》的意见（财库〔2025〕30号）</w:t>
      </w:r>
    </w:p>
    <w:p w14:paraId="7533A178">
      <w:pPr>
        <w:widowControl/>
        <w:spacing w:line="500" w:lineRule="exact"/>
        <w:ind w:firstLine="422"/>
        <w:jc w:val="left"/>
        <w:rPr>
          <w:rFonts w:hint="eastAsia" w:hAnsi="宋体" w:cs="宋体"/>
          <w:b/>
          <w:bCs/>
          <w:color w:val="auto"/>
          <w:kern w:val="0"/>
          <w:szCs w:val="21"/>
        </w:rPr>
      </w:pPr>
      <w:r>
        <w:rPr>
          <w:rFonts w:hint="eastAsia" w:hAnsi="宋体" w:cs="宋体"/>
          <w:b/>
          <w:bCs/>
          <w:color w:val="auto"/>
          <w:kern w:val="0"/>
          <w:szCs w:val="21"/>
        </w:rPr>
        <w:t>2、证明材料：</w:t>
      </w:r>
    </w:p>
    <w:p w14:paraId="58C67BDE">
      <w:pPr>
        <w:widowControl/>
        <w:spacing w:line="500" w:lineRule="exact"/>
        <w:jc w:val="left"/>
        <w:rPr>
          <w:rFonts w:hint="eastAsia" w:hAnsi="宋体" w:cs="宋体"/>
          <w:color w:val="auto"/>
          <w:kern w:val="0"/>
          <w:szCs w:val="21"/>
        </w:rPr>
      </w:pPr>
      <w:r>
        <w:rPr>
          <w:rFonts w:hint="eastAsia" w:hAnsi="宋体" w:cs="宋体"/>
          <w:color w:val="auto"/>
          <w:kern w:val="0"/>
          <w:szCs w:val="21"/>
        </w:rPr>
        <w:t>提供《关于符合本国产品标准的声明函》或财政部会同有关部门规定的有关证明文件。</w:t>
      </w:r>
    </w:p>
    <w:p w14:paraId="518AD67A">
      <w:pPr>
        <w:widowControl/>
        <w:spacing w:line="500" w:lineRule="exact"/>
        <w:ind w:firstLine="422"/>
        <w:jc w:val="left"/>
        <w:rPr>
          <w:rFonts w:hint="eastAsia" w:hAnsi="宋体" w:cs="宋体"/>
          <w:b/>
          <w:bCs/>
          <w:color w:val="auto"/>
          <w:kern w:val="0"/>
          <w:szCs w:val="21"/>
        </w:rPr>
      </w:pPr>
      <w:r>
        <w:rPr>
          <w:rFonts w:hint="eastAsia" w:hAnsi="宋体" w:cs="宋体"/>
          <w:b/>
          <w:bCs/>
          <w:color w:val="auto"/>
          <w:kern w:val="0"/>
          <w:szCs w:val="21"/>
        </w:rPr>
        <w:t>3、备注：</w:t>
      </w:r>
    </w:p>
    <w:p w14:paraId="5652F690">
      <w:pPr>
        <w:widowControl/>
        <w:spacing w:line="500" w:lineRule="exact"/>
        <w:jc w:val="left"/>
        <w:rPr>
          <w:rFonts w:hint="eastAsia" w:hAnsi="宋体" w:cs="宋体"/>
          <w:color w:val="auto"/>
          <w:kern w:val="0"/>
          <w:szCs w:val="21"/>
        </w:rPr>
      </w:pPr>
      <w:r>
        <w:rPr>
          <w:rFonts w:hint="eastAsia" w:hAnsi="宋体" w:cs="宋体"/>
          <w:color w:val="auto"/>
          <w:kern w:val="0"/>
          <w:szCs w:val="21"/>
        </w:rPr>
        <w:t>政府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47C9CFE6">
      <w:pPr>
        <w:widowControl/>
        <w:jc w:val="center"/>
        <w:rPr>
          <w:rFonts w:hint="eastAsia" w:hAnsi="宋体" w:cs="宋体"/>
          <w:color w:val="auto"/>
          <w:kern w:val="0"/>
          <w:szCs w:val="21"/>
        </w:rPr>
      </w:pPr>
      <w:r>
        <w:rPr>
          <w:rFonts w:hint="eastAsia" w:hAnsi="宋体" w:cs="宋体"/>
          <w:color w:val="auto"/>
          <w:kern w:val="0"/>
          <w:szCs w:val="21"/>
        </w:rPr>
        <w:br w:type="page"/>
      </w:r>
      <w:r>
        <w:rPr>
          <w:rFonts w:hint="eastAsia" w:hAnsi="宋体" w:cs="宋体"/>
          <w:b/>
          <w:bCs/>
          <w:color w:val="auto"/>
          <w:szCs w:val="21"/>
        </w:rPr>
        <w:t>国务院办公厅关于在政府采购中实施本国产品标准及相关政策的通知</w:t>
      </w:r>
    </w:p>
    <w:p w14:paraId="24397F60">
      <w:pPr>
        <w:widowControl/>
        <w:spacing w:line="500" w:lineRule="exact"/>
        <w:jc w:val="right"/>
        <w:rPr>
          <w:rFonts w:hint="eastAsia" w:hAnsi="宋体" w:cs="宋体"/>
          <w:color w:val="auto"/>
          <w:kern w:val="0"/>
          <w:szCs w:val="21"/>
        </w:rPr>
      </w:pPr>
      <w:r>
        <w:rPr>
          <w:rFonts w:hint="eastAsia" w:hAnsi="宋体" w:cs="宋体"/>
          <w:color w:val="auto"/>
          <w:kern w:val="0"/>
          <w:szCs w:val="21"/>
        </w:rPr>
        <w:t>国办发〔2025〕34号</w:t>
      </w:r>
    </w:p>
    <w:p w14:paraId="4CD85107">
      <w:pPr>
        <w:widowControl/>
        <w:spacing w:line="500" w:lineRule="exact"/>
        <w:jc w:val="left"/>
        <w:rPr>
          <w:rFonts w:hint="eastAsia" w:hAnsi="宋体" w:cs="宋体"/>
          <w:color w:val="auto"/>
          <w:kern w:val="0"/>
          <w:szCs w:val="21"/>
        </w:rPr>
      </w:pPr>
      <w:r>
        <w:rPr>
          <w:rFonts w:hint="eastAsia" w:hAnsi="宋体" w:cs="宋体"/>
          <w:color w:val="auto"/>
          <w:kern w:val="0"/>
          <w:szCs w:val="21"/>
        </w:rPr>
        <w:t>各省、自治区、直辖市人民政府，国务院各部委、各直属机构：</w:t>
      </w:r>
    </w:p>
    <w:p w14:paraId="21A95A81">
      <w:pPr>
        <w:widowControl/>
        <w:spacing w:line="500" w:lineRule="exact"/>
        <w:jc w:val="left"/>
        <w:rPr>
          <w:rFonts w:hint="eastAsia" w:hAnsi="宋体" w:cs="宋体"/>
          <w:color w:val="auto"/>
          <w:kern w:val="0"/>
          <w:szCs w:val="21"/>
        </w:rPr>
      </w:pPr>
      <w:r>
        <w:rPr>
          <w:rFonts w:hint="eastAsia" w:hAnsi="宋体" w:cs="宋体"/>
          <w:color w:val="auto"/>
          <w:kern w:val="0"/>
          <w:szCs w:val="21"/>
        </w:rPr>
        <w:t>为构建统一开放、竞争有序的政府采购市场体系，完善政府采购制度，保障各类经营主体平等参与政府采购活动，根据《中华人民共和国政府采购法》、《中华人民共和国外商投资法》等有关法律法规规定，经国务院同意，现就在政府采购中实施本国产品标准及相关政策通知如下：</w:t>
      </w:r>
    </w:p>
    <w:p w14:paraId="7901BBFC">
      <w:pPr>
        <w:widowControl/>
        <w:spacing w:line="500" w:lineRule="exact"/>
        <w:jc w:val="left"/>
        <w:rPr>
          <w:rFonts w:hint="eastAsia" w:hAnsi="宋体" w:cs="宋体"/>
          <w:color w:val="auto"/>
          <w:kern w:val="0"/>
          <w:szCs w:val="21"/>
        </w:rPr>
      </w:pPr>
      <w:r>
        <w:rPr>
          <w:rFonts w:hint="eastAsia" w:hAnsi="宋体" w:cs="宋体"/>
          <w:color w:val="auto"/>
          <w:kern w:val="0"/>
          <w:szCs w:val="21"/>
        </w:rPr>
        <w:t>一、本国产品标准</w:t>
      </w:r>
    </w:p>
    <w:p w14:paraId="5295AA6E">
      <w:pPr>
        <w:widowControl/>
        <w:spacing w:line="500" w:lineRule="exact"/>
        <w:jc w:val="left"/>
        <w:rPr>
          <w:rFonts w:hint="eastAsia" w:hAnsi="宋体" w:cs="宋体"/>
          <w:color w:val="auto"/>
          <w:kern w:val="0"/>
          <w:szCs w:val="21"/>
        </w:rPr>
      </w:pPr>
      <w:r>
        <w:rPr>
          <w:rFonts w:hint="eastAsia" w:hAnsi="宋体" w:cs="宋体"/>
          <w:color w:val="auto"/>
          <w:kern w:val="0"/>
          <w:szCs w:val="21"/>
        </w:rPr>
        <w:t>本国产品应当符合以下条件：</w:t>
      </w:r>
    </w:p>
    <w:p w14:paraId="52B82FC7">
      <w:pPr>
        <w:widowControl/>
        <w:spacing w:line="500" w:lineRule="exact"/>
        <w:jc w:val="left"/>
        <w:rPr>
          <w:rFonts w:hint="eastAsia" w:hAnsi="宋体" w:cs="宋体"/>
          <w:color w:val="auto"/>
          <w:kern w:val="0"/>
          <w:szCs w:val="21"/>
        </w:rPr>
      </w:pPr>
      <w:r>
        <w:rPr>
          <w:rFonts w:hint="eastAsia" w:hAnsi="宋体" w:cs="宋体"/>
          <w:color w:val="auto"/>
          <w:kern w:val="0"/>
          <w:szCs w:val="21"/>
        </w:rPr>
        <w:t>（一）在中国境内生产</w:t>
      </w:r>
    </w:p>
    <w:p w14:paraId="7F0DBBC2">
      <w:pPr>
        <w:widowControl/>
        <w:spacing w:line="500" w:lineRule="exact"/>
        <w:jc w:val="left"/>
        <w:rPr>
          <w:rFonts w:hint="eastAsia" w:hAnsi="宋体" w:cs="宋体"/>
          <w:color w:val="auto"/>
          <w:kern w:val="0"/>
          <w:szCs w:val="21"/>
        </w:rPr>
      </w:pPr>
      <w:r>
        <w:rPr>
          <w:rFonts w:hint="eastAsia" w:hAnsi="宋体" w:cs="宋体"/>
          <w:color w:val="auto"/>
          <w:kern w:val="0"/>
          <w:szCs w:val="21"/>
        </w:rPr>
        <w:t>产品应当在中国境内生产，即在中华人民共和国关境内实现从原材料、组件到产品的属性改变。</w:t>
      </w:r>
    </w:p>
    <w:p w14:paraId="4CE8F2D8">
      <w:pPr>
        <w:widowControl/>
        <w:spacing w:line="500" w:lineRule="exact"/>
        <w:jc w:val="left"/>
        <w:rPr>
          <w:rFonts w:hint="eastAsia" w:hAnsi="宋体" w:cs="宋体"/>
          <w:color w:val="auto"/>
          <w:kern w:val="0"/>
          <w:szCs w:val="21"/>
        </w:rPr>
      </w:pPr>
      <w:r>
        <w:rPr>
          <w:rFonts w:hint="eastAsia" w:hAnsi="宋体" w:cs="宋体"/>
          <w:color w:val="auto"/>
          <w:kern w:val="0"/>
          <w:szCs w:val="21"/>
        </w:rPr>
        <w:t>属性改变是指经过制造、加工或者组装等工序，产生完全不同于原材料、组件的新产品，并具有新的名称和特征（用途）。属性改变不包括以下细微操作：</w:t>
      </w:r>
    </w:p>
    <w:p w14:paraId="1FB91B91">
      <w:pPr>
        <w:widowControl/>
        <w:spacing w:line="500" w:lineRule="exact"/>
        <w:jc w:val="left"/>
        <w:rPr>
          <w:rFonts w:hint="eastAsia" w:hAnsi="宋体" w:cs="宋体"/>
          <w:color w:val="auto"/>
          <w:kern w:val="0"/>
          <w:szCs w:val="21"/>
        </w:rPr>
      </w:pPr>
      <w:r>
        <w:rPr>
          <w:rFonts w:hint="eastAsia" w:hAnsi="宋体" w:cs="宋体"/>
          <w:color w:val="auto"/>
          <w:kern w:val="0"/>
          <w:szCs w:val="21"/>
        </w:rPr>
        <w:t>1.为确保产品在运输或者储存期间保持某种状态而进行的操作；</w:t>
      </w:r>
    </w:p>
    <w:p w14:paraId="1B634E03">
      <w:pPr>
        <w:widowControl/>
        <w:spacing w:line="500" w:lineRule="exact"/>
        <w:jc w:val="left"/>
        <w:rPr>
          <w:rFonts w:hint="eastAsia" w:hAnsi="宋体" w:cs="宋体"/>
          <w:color w:val="auto"/>
          <w:kern w:val="0"/>
          <w:szCs w:val="21"/>
        </w:rPr>
      </w:pPr>
      <w:r>
        <w:rPr>
          <w:rFonts w:hint="eastAsia" w:hAnsi="宋体" w:cs="宋体"/>
          <w:color w:val="auto"/>
          <w:kern w:val="0"/>
          <w:szCs w:val="21"/>
        </w:rPr>
        <w:t>2.为产品运输或者销售进行的包装或者展示；</w:t>
      </w:r>
    </w:p>
    <w:p w14:paraId="4BB495BE">
      <w:pPr>
        <w:widowControl/>
        <w:spacing w:line="500" w:lineRule="exact"/>
        <w:jc w:val="left"/>
        <w:rPr>
          <w:rFonts w:hint="eastAsia" w:hAnsi="宋体" w:cs="宋体"/>
          <w:color w:val="auto"/>
          <w:kern w:val="0"/>
          <w:szCs w:val="21"/>
        </w:rPr>
      </w:pPr>
      <w:r>
        <w:rPr>
          <w:rFonts w:hint="eastAsia" w:hAnsi="宋体" w:cs="宋体"/>
          <w:color w:val="auto"/>
          <w:kern w:val="0"/>
          <w:szCs w:val="21"/>
        </w:rPr>
        <w:t>3.在产品或者其包装上粘贴或者印刷品牌、标志、标识以及其他用于区别的标记；</w:t>
      </w:r>
    </w:p>
    <w:p w14:paraId="69E16CE4">
      <w:pPr>
        <w:widowControl/>
        <w:spacing w:line="500" w:lineRule="exact"/>
        <w:jc w:val="left"/>
        <w:rPr>
          <w:rFonts w:hint="eastAsia" w:hAnsi="宋体" w:cs="宋体"/>
          <w:color w:val="auto"/>
          <w:kern w:val="0"/>
          <w:szCs w:val="21"/>
        </w:rPr>
      </w:pPr>
      <w:r>
        <w:rPr>
          <w:rFonts w:hint="eastAsia" w:hAnsi="宋体" w:cs="宋体"/>
          <w:color w:val="auto"/>
          <w:kern w:val="0"/>
          <w:szCs w:val="21"/>
        </w:rPr>
        <w:t>4.简单的上漆、磨光和分装；</w:t>
      </w:r>
    </w:p>
    <w:p w14:paraId="081B62FD">
      <w:pPr>
        <w:widowControl/>
        <w:spacing w:line="500" w:lineRule="exact"/>
        <w:jc w:val="left"/>
        <w:rPr>
          <w:rFonts w:hint="eastAsia" w:hAnsi="宋体" w:cs="宋体"/>
          <w:color w:val="auto"/>
          <w:kern w:val="0"/>
          <w:szCs w:val="21"/>
        </w:rPr>
      </w:pPr>
      <w:r>
        <w:rPr>
          <w:rFonts w:hint="eastAsia" w:hAnsi="宋体" w:cs="宋体"/>
          <w:color w:val="auto"/>
          <w:kern w:val="0"/>
          <w:szCs w:val="21"/>
        </w:rPr>
        <w:t>5.其他不属于属性改变的情形。</w:t>
      </w:r>
    </w:p>
    <w:p w14:paraId="1DB13690">
      <w:pPr>
        <w:widowControl/>
        <w:spacing w:line="500" w:lineRule="exact"/>
        <w:jc w:val="left"/>
        <w:rPr>
          <w:rFonts w:hint="eastAsia" w:hAnsi="宋体" w:cs="宋体"/>
          <w:color w:val="auto"/>
          <w:kern w:val="0"/>
          <w:szCs w:val="21"/>
        </w:rPr>
      </w:pPr>
      <w:r>
        <w:rPr>
          <w:rFonts w:hint="eastAsia" w:hAnsi="宋体" w:cs="宋体"/>
          <w:color w:val="auto"/>
          <w:kern w:val="0"/>
          <w:szCs w:val="21"/>
        </w:rPr>
        <w:t>（二）在中国境内生产的组件成本占比达到规定比例</w:t>
      </w:r>
    </w:p>
    <w:p w14:paraId="3287040F">
      <w:pPr>
        <w:widowControl/>
        <w:spacing w:line="500" w:lineRule="exact"/>
        <w:jc w:val="left"/>
        <w:rPr>
          <w:rFonts w:hint="eastAsia" w:hAnsi="宋体" w:cs="宋体"/>
          <w:color w:val="auto"/>
          <w:kern w:val="0"/>
          <w:szCs w:val="21"/>
        </w:rPr>
      </w:pPr>
      <w:r>
        <w:rPr>
          <w:rFonts w:hint="eastAsia" w:hAnsi="宋体" w:cs="宋体"/>
          <w:color w:val="auto"/>
          <w:kern w:val="0"/>
          <w:szCs w:val="21"/>
        </w:rPr>
        <w:t>产品在中国境内生产的组件成本占比应当达到规定比例，计算公式为：</w:t>
      </w:r>
    </w:p>
    <w:p w14:paraId="00B393D0">
      <w:pPr>
        <w:widowControl/>
        <w:jc w:val="left"/>
        <w:rPr>
          <w:rFonts w:hint="eastAsia" w:hAnsi="宋体" w:cs="宋体"/>
          <w:color w:val="auto"/>
          <w:kern w:val="0"/>
          <w:szCs w:val="21"/>
        </w:rPr>
      </w:pPr>
      <w:r>
        <w:rPr>
          <w:rFonts w:hint="eastAsia" w:hAnsi="宋体" w:cs="宋体"/>
          <w:color w:val="auto"/>
          <w:kern w:val="0"/>
          <w:szCs w:val="21"/>
        </w:rPr>
        <w:drawing>
          <wp:inline distT="0" distB="0" distL="114300" distR="114300">
            <wp:extent cx="2733675" cy="390525"/>
            <wp:effectExtent l="0" t="0" r="9525" b="9525"/>
            <wp:docPr id="3" name="图片 1"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图片1"/>
                    <pic:cNvPicPr>
                      <a:picLocks noChangeAspect="1"/>
                    </pic:cNvPicPr>
                  </pic:nvPicPr>
                  <pic:blipFill>
                    <a:blip r:embed="rId38"/>
                    <a:stretch>
                      <a:fillRect/>
                    </a:stretch>
                  </pic:blipFill>
                  <pic:spPr>
                    <a:xfrm>
                      <a:off x="0" y="0"/>
                      <a:ext cx="2733675" cy="390525"/>
                    </a:xfrm>
                    <a:prstGeom prst="rect">
                      <a:avLst/>
                    </a:prstGeom>
                    <a:noFill/>
                    <a:ln>
                      <a:noFill/>
                    </a:ln>
                  </pic:spPr>
                </pic:pic>
              </a:graphicData>
            </a:graphic>
          </wp:inline>
        </w:drawing>
      </w:r>
    </w:p>
    <w:p w14:paraId="043A364F">
      <w:pPr>
        <w:widowControl/>
        <w:spacing w:line="500" w:lineRule="exact"/>
        <w:jc w:val="left"/>
        <w:rPr>
          <w:rFonts w:hint="eastAsia" w:hAnsi="宋体" w:cs="宋体"/>
          <w:color w:val="auto"/>
          <w:kern w:val="0"/>
          <w:szCs w:val="21"/>
        </w:rPr>
      </w:pPr>
      <w:r>
        <w:rPr>
          <w:rFonts w:hint="eastAsia" w:hAnsi="宋体" w:cs="宋体"/>
          <w:color w:val="auto"/>
          <w:kern w:val="0"/>
          <w:szCs w:val="21"/>
        </w:rPr>
        <w:t>财政部会同有关行业主管部门，分产品确定在中国境内生产的组件成本占比应当达到的规定比例。在分产品的中国境内生产的组件成本占比相关要求实施前，符合本通知第一条第（一）项条件的产品在政府采购活动中视同本国产品。</w:t>
      </w:r>
    </w:p>
    <w:p w14:paraId="48421A77">
      <w:pPr>
        <w:widowControl/>
        <w:spacing w:line="500" w:lineRule="exact"/>
        <w:jc w:val="left"/>
        <w:rPr>
          <w:rFonts w:hint="eastAsia" w:hAnsi="宋体" w:cs="宋体"/>
          <w:color w:val="auto"/>
          <w:kern w:val="0"/>
          <w:szCs w:val="21"/>
        </w:rPr>
      </w:pPr>
      <w:r>
        <w:rPr>
          <w:rFonts w:hint="eastAsia" w:hAnsi="宋体" w:cs="宋体"/>
          <w:color w:val="auto"/>
          <w:kern w:val="0"/>
          <w:szCs w:val="21"/>
        </w:rPr>
        <w:t>（三）特定产品的关键组件、关键工序符合相关要求</w:t>
      </w:r>
    </w:p>
    <w:p w14:paraId="2AFE1B2F">
      <w:pPr>
        <w:widowControl/>
        <w:spacing w:line="500" w:lineRule="exact"/>
        <w:jc w:val="left"/>
        <w:rPr>
          <w:rFonts w:hint="eastAsia" w:hAnsi="宋体" w:cs="宋体"/>
          <w:color w:val="auto"/>
          <w:kern w:val="0"/>
          <w:szCs w:val="21"/>
        </w:rPr>
      </w:pPr>
      <w:r>
        <w:rPr>
          <w:rFonts w:hint="eastAsia" w:hAnsi="宋体" w:cs="宋体"/>
          <w:color w:val="auto"/>
          <w:kern w:val="0"/>
          <w:szCs w:val="21"/>
        </w:rPr>
        <w:t>对特定产品，在符合本通知第一条第（一）项和第（二）项条件的基础上，应当符合财政部会同有关行业主管部门确定的其关键组件、关键工序在中国境内生产、完成等要求。</w:t>
      </w:r>
    </w:p>
    <w:p w14:paraId="7165AD64">
      <w:pPr>
        <w:widowControl/>
        <w:spacing w:line="500" w:lineRule="exact"/>
        <w:jc w:val="left"/>
        <w:rPr>
          <w:rFonts w:hint="eastAsia" w:hAnsi="宋体" w:cs="宋体"/>
          <w:color w:val="auto"/>
          <w:kern w:val="0"/>
          <w:szCs w:val="21"/>
        </w:rPr>
      </w:pPr>
      <w:r>
        <w:rPr>
          <w:rFonts w:hint="eastAsia" w:hAnsi="宋体" w:cs="宋体"/>
          <w:color w:val="auto"/>
          <w:kern w:val="0"/>
          <w:szCs w:val="21"/>
        </w:rPr>
        <w:t>财政部会同有关行业主管部门自本通知施行之日起5年内，在充分征求有关内外资企业、行业协会商会等方面意见的基础上，分类施策、稳妥推进，分产品确定在中国境内生产的组件成本占比要求，以及特定产品的关键组件、关键工序相关要求，并根据不同行业的发展情况，在出台具体产品相关要求时，设置3—5年过渡期，逐步建立政府采购中本国产品标准体系和动态调整机制。</w:t>
      </w:r>
    </w:p>
    <w:p w14:paraId="64B9D4EE">
      <w:pPr>
        <w:widowControl/>
        <w:spacing w:line="500" w:lineRule="exact"/>
        <w:jc w:val="left"/>
        <w:rPr>
          <w:rFonts w:hint="eastAsia" w:hAnsi="宋体" w:cs="宋体"/>
          <w:color w:val="auto"/>
          <w:kern w:val="0"/>
          <w:szCs w:val="21"/>
        </w:rPr>
      </w:pPr>
      <w:r>
        <w:rPr>
          <w:rFonts w:hint="eastAsia" w:hAnsi="宋体" w:cs="宋体"/>
          <w:color w:val="auto"/>
          <w:kern w:val="0"/>
          <w:szCs w:val="21"/>
        </w:rPr>
        <w:t>二、本国产品标准的适用范围</w:t>
      </w:r>
    </w:p>
    <w:p w14:paraId="482A9530">
      <w:pPr>
        <w:widowControl/>
        <w:spacing w:line="500" w:lineRule="exact"/>
        <w:jc w:val="left"/>
        <w:rPr>
          <w:rFonts w:hint="eastAsia" w:hAnsi="宋体" w:cs="宋体"/>
          <w:color w:val="auto"/>
          <w:kern w:val="0"/>
          <w:szCs w:val="21"/>
        </w:rPr>
      </w:pPr>
      <w:r>
        <w:rPr>
          <w:rFonts w:hint="eastAsia" w:hAnsi="宋体" w:cs="宋体"/>
          <w:color w:val="auto"/>
          <w:kern w:val="0"/>
          <w:szCs w:val="21"/>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24AA2D67">
      <w:pPr>
        <w:widowControl/>
        <w:spacing w:line="500" w:lineRule="exact"/>
        <w:jc w:val="left"/>
        <w:rPr>
          <w:rFonts w:hint="eastAsia" w:hAnsi="宋体" w:cs="宋体"/>
          <w:color w:val="auto"/>
          <w:kern w:val="0"/>
          <w:szCs w:val="21"/>
        </w:rPr>
      </w:pPr>
      <w:r>
        <w:rPr>
          <w:rFonts w:hint="eastAsia" w:hAnsi="宋体" w:cs="宋体"/>
          <w:color w:val="auto"/>
          <w:kern w:val="0"/>
          <w:szCs w:val="21"/>
        </w:rPr>
        <w:t>三、对本国产品的支持政策</w:t>
      </w:r>
    </w:p>
    <w:p w14:paraId="2F9C8F87">
      <w:pPr>
        <w:widowControl/>
        <w:spacing w:line="500" w:lineRule="exact"/>
        <w:jc w:val="left"/>
        <w:rPr>
          <w:rFonts w:hint="eastAsia" w:hAnsi="宋体" w:cs="宋体"/>
          <w:color w:val="auto"/>
          <w:kern w:val="0"/>
          <w:szCs w:val="21"/>
        </w:rPr>
      </w:pPr>
      <w:r>
        <w:rPr>
          <w:rFonts w:hint="eastAsia" w:hAnsi="宋体" w:cs="宋体"/>
          <w:color w:val="auto"/>
          <w:kern w:val="0"/>
          <w:szCs w:val="21"/>
        </w:rPr>
        <w:t>政府采购活动中既有本国产品又有非本国产品参与竞争的，依法对本国产品给予价格评审优惠，对本国产品的报价给予20%的价格扣除，用扣除后的价格参与评审。</w:t>
      </w:r>
    </w:p>
    <w:p w14:paraId="243AEFFB">
      <w:pPr>
        <w:widowControl/>
        <w:spacing w:line="500" w:lineRule="exact"/>
        <w:jc w:val="left"/>
        <w:rPr>
          <w:rFonts w:hint="eastAsia" w:hAnsi="宋体" w:cs="宋体"/>
          <w:color w:val="auto"/>
          <w:kern w:val="0"/>
          <w:szCs w:val="21"/>
        </w:rPr>
      </w:pPr>
      <w:r>
        <w:rPr>
          <w:rFonts w:hint="eastAsia" w:hAnsi="宋体" w:cs="宋体"/>
          <w:color w:val="auto"/>
          <w:kern w:val="0"/>
          <w:szCs w:val="21"/>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04154408">
      <w:pPr>
        <w:widowControl/>
        <w:spacing w:line="500" w:lineRule="exact"/>
        <w:jc w:val="left"/>
        <w:rPr>
          <w:rFonts w:hint="eastAsia" w:hAnsi="宋体" w:cs="宋体"/>
          <w:color w:val="auto"/>
          <w:kern w:val="0"/>
          <w:szCs w:val="21"/>
        </w:rPr>
      </w:pPr>
      <w:r>
        <w:rPr>
          <w:rFonts w:hint="eastAsia" w:hAnsi="宋体" w:cs="宋体"/>
          <w:color w:val="auto"/>
          <w:kern w:val="0"/>
          <w:szCs w:val="21"/>
        </w:rPr>
        <w:t>四、政策执行要求</w:t>
      </w:r>
    </w:p>
    <w:p w14:paraId="3EDFA433">
      <w:pPr>
        <w:widowControl/>
        <w:spacing w:line="500" w:lineRule="exact"/>
        <w:jc w:val="left"/>
        <w:rPr>
          <w:rFonts w:hint="eastAsia" w:hAnsi="宋体" w:cs="宋体"/>
          <w:color w:val="auto"/>
          <w:kern w:val="0"/>
          <w:szCs w:val="21"/>
        </w:rPr>
      </w:pPr>
      <w:r>
        <w:rPr>
          <w:rFonts w:hint="eastAsia" w:hAnsi="宋体" w:cs="宋体"/>
          <w:color w:val="auto"/>
          <w:kern w:val="0"/>
          <w:szCs w:val="21"/>
        </w:rPr>
        <w:t>（一）产品在中国境内生产的组件成本核算规则。产品在中国境内生产的组件成本，按照《中国境内生产的组件成本核算基本规则》（见附件1）计算。</w:t>
      </w:r>
    </w:p>
    <w:p w14:paraId="24AB0255">
      <w:pPr>
        <w:widowControl/>
        <w:spacing w:line="500" w:lineRule="exact"/>
        <w:jc w:val="left"/>
        <w:rPr>
          <w:rFonts w:hint="eastAsia" w:hAnsi="宋体" w:cs="宋体"/>
          <w:color w:val="auto"/>
          <w:kern w:val="0"/>
          <w:szCs w:val="21"/>
        </w:rPr>
      </w:pPr>
      <w:r>
        <w:rPr>
          <w:rFonts w:hint="eastAsia" w:hAnsi="宋体" w:cs="宋体"/>
          <w:color w:val="auto"/>
          <w:kern w:val="0"/>
          <w:szCs w:val="21"/>
        </w:rPr>
        <w:t>（二）有关证明文件。采购人、采购代理机构应当在采购文件中明确要求供应商对其提供的产品出具《关于符合本国产品标准的声明函》（样式见附件2，以下简称《声明函》）或财政部会同有关部门规定的有关证明文件。出具符合要求的《声明函》或有关证明文件的，该产品视为本国产品，采购人、采购代理机构不得再要求供应商提供其他证明材料。供应商提供虚假《声明函》、虚假证明文件谋取中标、成交的，依照《中华人民共和国政府采购法》等法律法规规定追究相应责任。</w:t>
      </w:r>
    </w:p>
    <w:p w14:paraId="4F854D7F">
      <w:pPr>
        <w:widowControl/>
        <w:spacing w:line="500" w:lineRule="exact"/>
        <w:jc w:val="left"/>
        <w:rPr>
          <w:rFonts w:hint="eastAsia" w:hAnsi="宋体" w:cs="宋体"/>
          <w:color w:val="auto"/>
          <w:kern w:val="0"/>
          <w:szCs w:val="21"/>
        </w:rPr>
      </w:pPr>
      <w:r>
        <w:rPr>
          <w:rFonts w:hint="eastAsia" w:hAnsi="宋体" w:cs="宋体"/>
          <w:color w:val="auto"/>
          <w:kern w:val="0"/>
          <w:szCs w:val="21"/>
        </w:rPr>
        <w:t>采购人、采购代理机构应当随中标、成交结果同时公告中标、成交供应商提供的《声明函》或有关证明文件。</w:t>
      </w:r>
    </w:p>
    <w:p w14:paraId="47FADA14">
      <w:pPr>
        <w:widowControl/>
        <w:spacing w:line="500" w:lineRule="exact"/>
        <w:jc w:val="left"/>
        <w:rPr>
          <w:rFonts w:hint="eastAsia" w:hAnsi="宋体" w:cs="宋体"/>
          <w:color w:val="auto"/>
          <w:kern w:val="0"/>
          <w:szCs w:val="21"/>
        </w:rPr>
      </w:pPr>
      <w:r>
        <w:rPr>
          <w:rFonts w:hint="eastAsia" w:hAnsi="宋体" w:cs="宋体"/>
          <w:color w:val="auto"/>
          <w:kern w:val="0"/>
          <w:szCs w:val="21"/>
        </w:rPr>
        <w:t>（三）平等对待各类经营主体。国有企业、民营企业、外资企业等各类经营主体平等享受对本国产品的政府采购支持政策。采购人、采购代理机构在政府采购信息发布、供应商资格条件确定和资格审查、评审标准等方面，要对各类经营主体一视同仁、平等对待，切实保障各类经营主体公平竞争。各地区、各部门要加强统筹协调，不得出台违反本通知规定的政策措施，在政府采购活动中不得指定品牌或者限制品牌注册地、所有者，不得以所有制形式、组织形式、股权结构、投资者国别以及其他不合理条件对供应商实行差别待遇或者歧视待遇。</w:t>
      </w:r>
    </w:p>
    <w:p w14:paraId="7D8CFC0A">
      <w:pPr>
        <w:widowControl/>
        <w:spacing w:line="500" w:lineRule="exact"/>
        <w:jc w:val="left"/>
        <w:rPr>
          <w:rFonts w:hint="eastAsia" w:hAnsi="宋体" w:cs="宋体"/>
          <w:color w:val="auto"/>
          <w:kern w:val="0"/>
          <w:szCs w:val="21"/>
        </w:rPr>
      </w:pPr>
      <w:r>
        <w:rPr>
          <w:rFonts w:hint="eastAsia" w:hAnsi="宋体" w:cs="宋体"/>
          <w:color w:val="auto"/>
          <w:kern w:val="0"/>
          <w:szCs w:val="21"/>
        </w:rPr>
        <w:t>（四）中华人民共和国缔结或者共同参加的国际条约、协定对政府采购中本国产品政策另有规定的，按照有关条约、协定执行。</w:t>
      </w:r>
    </w:p>
    <w:p w14:paraId="24AE167A">
      <w:pPr>
        <w:widowControl/>
        <w:spacing w:line="500" w:lineRule="exact"/>
        <w:jc w:val="left"/>
        <w:rPr>
          <w:rFonts w:hint="eastAsia" w:hAnsi="宋体" w:cs="宋体"/>
          <w:color w:val="auto"/>
          <w:kern w:val="0"/>
          <w:szCs w:val="21"/>
        </w:rPr>
      </w:pPr>
      <w:r>
        <w:rPr>
          <w:rFonts w:hint="eastAsia" w:hAnsi="宋体" w:cs="宋体"/>
          <w:color w:val="auto"/>
          <w:kern w:val="0"/>
          <w:szCs w:val="21"/>
        </w:rPr>
        <w:t>五、争议处理</w:t>
      </w:r>
    </w:p>
    <w:p w14:paraId="45A11020">
      <w:pPr>
        <w:widowControl/>
        <w:spacing w:line="500" w:lineRule="exact"/>
        <w:jc w:val="left"/>
        <w:rPr>
          <w:rFonts w:hint="eastAsia" w:hAnsi="宋体" w:cs="宋体"/>
          <w:color w:val="auto"/>
          <w:kern w:val="0"/>
          <w:szCs w:val="21"/>
        </w:rPr>
      </w:pPr>
      <w:r>
        <w:rPr>
          <w:rFonts w:hint="eastAsia" w:hAnsi="宋体" w:cs="宋体"/>
          <w:color w:val="auto"/>
          <w:kern w:val="0"/>
          <w:szCs w:val="21"/>
        </w:rPr>
        <w:t>财政部门在政府采购投诉处理、监督检查中，对涉及本国产品标准争议事项的处理，按照政府采购相关法律法规规定等执行，必要时由有关部门或者专业机构对相关事项予以核实。各有关部门、专业机构及其工作人员对政府采购投诉处理、监督检查中知悉的商业秘密负有保密义务。</w:t>
      </w:r>
    </w:p>
    <w:p w14:paraId="4EF4723E">
      <w:pPr>
        <w:widowControl/>
        <w:spacing w:line="500" w:lineRule="exact"/>
        <w:jc w:val="left"/>
        <w:rPr>
          <w:rFonts w:hint="eastAsia" w:hAnsi="宋体" w:cs="宋体"/>
          <w:color w:val="auto"/>
          <w:kern w:val="0"/>
          <w:szCs w:val="21"/>
        </w:rPr>
      </w:pPr>
      <w:r>
        <w:rPr>
          <w:rFonts w:hint="eastAsia" w:hAnsi="宋体" w:cs="宋体"/>
          <w:color w:val="auto"/>
          <w:kern w:val="0"/>
          <w:szCs w:val="21"/>
        </w:rPr>
        <w:t>（一）政府采购投诉处理、监督检查中，对产品或组件是否在中国境内生产存在争议的，按照以下原则处理：</w:t>
      </w:r>
    </w:p>
    <w:p w14:paraId="12CF8D77">
      <w:pPr>
        <w:widowControl/>
        <w:spacing w:line="500" w:lineRule="exact"/>
        <w:jc w:val="left"/>
        <w:rPr>
          <w:rFonts w:hint="eastAsia" w:hAnsi="宋体" w:cs="宋体"/>
          <w:color w:val="auto"/>
          <w:kern w:val="0"/>
          <w:szCs w:val="21"/>
        </w:rPr>
      </w:pPr>
      <w:r>
        <w:rPr>
          <w:rFonts w:hint="eastAsia" w:hAnsi="宋体" w:cs="宋体"/>
          <w:color w:val="auto"/>
          <w:kern w:val="0"/>
          <w:szCs w:val="21"/>
        </w:rPr>
        <w:t>1.对于组装类产品或组件，相关供应商及制造商应当提供产品或组件的采购合同，进货记录，制造、加工、组装记录以及其他证明材料。上述证明材料能够证明产品或组件在中国境内生产的，相关产品或组件即可视为在中国境内生产。</w:t>
      </w:r>
    </w:p>
    <w:p w14:paraId="3F72D902">
      <w:pPr>
        <w:widowControl/>
        <w:spacing w:line="500" w:lineRule="exact"/>
        <w:jc w:val="left"/>
        <w:rPr>
          <w:rFonts w:hint="eastAsia" w:hAnsi="宋体" w:cs="宋体"/>
          <w:color w:val="auto"/>
          <w:kern w:val="0"/>
          <w:szCs w:val="21"/>
        </w:rPr>
      </w:pPr>
      <w:r>
        <w:rPr>
          <w:rFonts w:hint="eastAsia" w:hAnsi="宋体" w:cs="宋体"/>
          <w:color w:val="auto"/>
          <w:kern w:val="0"/>
          <w:szCs w:val="21"/>
        </w:rPr>
        <w:t>2.对于由原材料直接制造、加工形成的产品或组件，如钢材、陶瓷制品、玻璃等，相关供应商及制造商应当提供产品或组件包装上依法标注的生产厂址等信息。生产厂址位于中华人民共和国关境内的，相关产品或组件即可视为在中国境内生产。</w:t>
      </w:r>
    </w:p>
    <w:p w14:paraId="33FC0635">
      <w:pPr>
        <w:widowControl/>
        <w:spacing w:line="500" w:lineRule="exact"/>
        <w:jc w:val="left"/>
        <w:rPr>
          <w:rFonts w:hint="eastAsia" w:hAnsi="宋体" w:cs="宋体"/>
          <w:color w:val="auto"/>
          <w:kern w:val="0"/>
          <w:szCs w:val="21"/>
        </w:rPr>
      </w:pPr>
      <w:r>
        <w:rPr>
          <w:rFonts w:hint="eastAsia" w:hAnsi="宋体" w:cs="宋体"/>
          <w:color w:val="auto"/>
          <w:kern w:val="0"/>
          <w:szCs w:val="21"/>
        </w:rPr>
        <w:t>（二）政府采购投诉处理、监督检查中，对产品在中国境内生产的组件成本占比、采购项目或采购包中本国产品成本占比是否达到规定比例存在争议的，相关供应商及制造商应当提供组件或产品的会计核算数据、采购合同、进货记录等，财政部门按照中国境内生产的组件成本核算相关规则予以认定。</w:t>
      </w:r>
    </w:p>
    <w:p w14:paraId="6686E8FB">
      <w:pPr>
        <w:widowControl/>
        <w:spacing w:line="500" w:lineRule="exact"/>
        <w:jc w:val="left"/>
        <w:rPr>
          <w:rFonts w:hint="eastAsia" w:hAnsi="宋体" w:cs="宋体"/>
          <w:color w:val="auto"/>
          <w:kern w:val="0"/>
          <w:szCs w:val="21"/>
        </w:rPr>
      </w:pPr>
      <w:r>
        <w:rPr>
          <w:rFonts w:hint="eastAsia" w:hAnsi="宋体" w:cs="宋体"/>
          <w:color w:val="auto"/>
          <w:kern w:val="0"/>
          <w:szCs w:val="21"/>
        </w:rPr>
        <w:t>（三）政府采购投诉处理、监督检查中，对特定产品的关键组件是否在中国境内生产存在争议的，按照本通知第五条第（一）项规定的原则处理；对特定产品的关键工序是否在中国境内完成存在争议的，相关供应商及制造商应当提供关键工序在中国境内完成的记录等材料予以证明。</w:t>
      </w:r>
    </w:p>
    <w:p w14:paraId="60A4DB32">
      <w:pPr>
        <w:widowControl/>
        <w:spacing w:line="500" w:lineRule="exact"/>
        <w:jc w:val="left"/>
        <w:rPr>
          <w:rFonts w:hint="eastAsia" w:hAnsi="宋体" w:cs="宋体"/>
          <w:color w:val="auto"/>
          <w:kern w:val="0"/>
          <w:szCs w:val="21"/>
        </w:rPr>
      </w:pPr>
      <w:r>
        <w:rPr>
          <w:rFonts w:hint="eastAsia" w:hAnsi="宋体" w:cs="宋体"/>
          <w:color w:val="auto"/>
          <w:kern w:val="0"/>
          <w:szCs w:val="21"/>
        </w:rPr>
        <w:t>政府采购投诉处理、监督检查中，相关供应商及制造商未按上述要求提供证明材料或提供的材料不足以证明产品符合本国产品标准的，不应当享受对本国产品的政府采购支持政策，由此影响或者可能影响采购结果的，财政部门按照政府采购相关法律法规规定等处理。</w:t>
      </w:r>
    </w:p>
    <w:p w14:paraId="2F79EA3A">
      <w:pPr>
        <w:widowControl/>
        <w:spacing w:line="500" w:lineRule="exact"/>
        <w:jc w:val="left"/>
        <w:rPr>
          <w:rFonts w:hint="eastAsia" w:hAnsi="宋体" w:cs="宋体"/>
          <w:color w:val="auto"/>
          <w:kern w:val="0"/>
          <w:szCs w:val="21"/>
        </w:rPr>
      </w:pPr>
      <w:r>
        <w:rPr>
          <w:rFonts w:hint="eastAsia" w:hAnsi="宋体" w:cs="宋体"/>
          <w:color w:val="auto"/>
          <w:kern w:val="0"/>
          <w:szCs w:val="21"/>
        </w:rPr>
        <w:t>本通知自2026年1月1日起施行。</w:t>
      </w:r>
    </w:p>
    <w:p w14:paraId="731B7D79">
      <w:pPr>
        <w:widowControl/>
        <w:spacing w:line="500" w:lineRule="exact"/>
        <w:jc w:val="left"/>
        <w:rPr>
          <w:rFonts w:hint="eastAsia" w:hAnsi="宋体" w:cs="宋体"/>
          <w:color w:val="auto"/>
          <w:kern w:val="0"/>
          <w:szCs w:val="21"/>
        </w:rPr>
      </w:pPr>
      <w:r>
        <w:rPr>
          <w:rFonts w:hint="eastAsia" w:hAnsi="宋体" w:cs="宋体"/>
          <w:color w:val="auto"/>
          <w:kern w:val="0"/>
          <w:szCs w:val="21"/>
        </w:rPr>
        <w:t> </w:t>
      </w:r>
    </w:p>
    <w:p w14:paraId="00A972F6">
      <w:pPr>
        <w:widowControl/>
        <w:spacing w:line="500" w:lineRule="exact"/>
        <w:jc w:val="left"/>
        <w:rPr>
          <w:rFonts w:hint="eastAsia" w:hAnsi="宋体" w:cs="宋体"/>
          <w:color w:val="auto"/>
          <w:kern w:val="0"/>
          <w:szCs w:val="21"/>
        </w:rPr>
      </w:pPr>
      <w:r>
        <w:rPr>
          <w:rFonts w:hint="eastAsia" w:hAnsi="宋体" w:cs="宋体"/>
          <w:color w:val="auto"/>
          <w:kern w:val="0"/>
          <w:szCs w:val="21"/>
        </w:rPr>
        <w:t>附件：1.中国境内生产的组件成本核算基本规则</w:t>
      </w:r>
    </w:p>
    <w:p w14:paraId="7FABFF56">
      <w:pPr>
        <w:widowControl/>
        <w:spacing w:line="500" w:lineRule="exact"/>
        <w:jc w:val="left"/>
        <w:rPr>
          <w:rFonts w:hint="eastAsia" w:hAnsi="宋体" w:cs="宋体"/>
          <w:color w:val="auto"/>
          <w:kern w:val="0"/>
          <w:szCs w:val="21"/>
        </w:rPr>
      </w:pPr>
      <w:r>
        <w:rPr>
          <w:rFonts w:hint="eastAsia" w:hAnsi="宋体" w:cs="宋体"/>
          <w:color w:val="auto"/>
          <w:kern w:val="0"/>
          <w:szCs w:val="21"/>
        </w:rPr>
        <w:t>　　　2.关于符合本国产品标准的声明函</w:t>
      </w:r>
    </w:p>
    <w:p w14:paraId="046F7A63">
      <w:pPr>
        <w:widowControl/>
        <w:spacing w:line="500" w:lineRule="exact"/>
        <w:jc w:val="center"/>
        <w:rPr>
          <w:rFonts w:hint="eastAsia" w:hAnsi="宋体" w:cs="宋体"/>
          <w:color w:val="auto"/>
          <w:kern w:val="0"/>
          <w:szCs w:val="21"/>
        </w:rPr>
      </w:pPr>
      <w:r>
        <w:rPr>
          <w:rFonts w:hint="eastAsia" w:hAnsi="宋体" w:cs="宋体"/>
          <w:color w:val="auto"/>
          <w:kern w:val="0"/>
          <w:szCs w:val="21"/>
        </w:rPr>
        <w:t xml:space="preserve">                                                                国务院办公厅</w:t>
      </w:r>
    </w:p>
    <w:p w14:paraId="43B6D572">
      <w:pPr>
        <w:widowControl/>
        <w:spacing w:line="500" w:lineRule="exact"/>
        <w:jc w:val="right"/>
        <w:rPr>
          <w:rFonts w:hint="eastAsia" w:hAnsi="宋体" w:cs="宋体"/>
          <w:color w:val="auto"/>
          <w:kern w:val="0"/>
          <w:szCs w:val="21"/>
        </w:rPr>
      </w:pPr>
      <w:r>
        <w:rPr>
          <w:rFonts w:hint="eastAsia" w:hAnsi="宋体" w:cs="宋体"/>
          <w:color w:val="auto"/>
          <w:kern w:val="0"/>
          <w:szCs w:val="21"/>
        </w:rPr>
        <w:t>2025年9月28日</w:t>
      </w:r>
    </w:p>
    <w:p w14:paraId="58275A11">
      <w:pPr>
        <w:widowControl/>
        <w:spacing w:line="500" w:lineRule="exact"/>
        <w:jc w:val="left"/>
        <w:rPr>
          <w:rFonts w:hint="eastAsia" w:hAnsi="宋体" w:cs="宋体"/>
          <w:color w:val="auto"/>
          <w:kern w:val="0"/>
          <w:szCs w:val="21"/>
        </w:rPr>
      </w:pPr>
    </w:p>
    <w:p w14:paraId="78B72E57">
      <w:pPr>
        <w:widowControl/>
        <w:spacing w:line="500" w:lineRule="exact"/>
        <w:jc w:val="left"/>
        <w:rPr>
          <w:rFonts w:hint="eastAsia" w:hAnsi="宋体" w:cs="宋体"/>
          <w:color w:val="auto"/>
          <w:kern w:val="0"/>
          <w:szCs w:val="21"/>
        </w:rPr>
      </w:pPr>
    </w:p>
    <w:p w14:paraId="2679BC96">
      <w:pPr>
        <w:widowControl/>
        <w:spacing w:line="500" w:lineRule="exact"/>
        <w:jc w:val="left"/>
        <w:rPr>
          <w:rFonts w:hint="eastAsia" w:hAnsi="宋体" w:cs="宋体"/>
          <w:color w:val="auto"/>
          <w:kern w:val="0"/>
          <w:szCs w:val="21"/>
        </w:rPr>
      </w:pPr>
      <w:r>
        <w:rPr>
          <w:rFonts w:hint="eastAsia" w:hAnsi="宋体" w:cs="宋体"/>
          <w:color w:val="auto"/>
          <w:kern w:val="0"/>
          <w:szCs w:val="21"/>
        </w:rPr>
        <w:t>附件1</w:t>
      </w:r>
    </w:p>
    <w:p w14:paraId="27449F6F">
      <w:pPr>
        <w:widowControl/>
        <w:spacing w:line="500" w:lineRule="exact"/>
        <w:jc w:val="center"/>
        <w:rPr>
          <w:rFonts w:hint="eastAsia" w:hAnsi="宋体" w:cs="宋体"/>
          <w:color w:val="auto"/>
          <w:kern w:val="0"/>
          <w:szCs w:val="21"/>
        </w:rPr>
      </w:pPr>
      <w:r>
        <w:rPr>
          <w:rFonts w:hint="eastAsia" w:hAnsi="宋体" w:cs="宋体"/>
          <w:color w:val="auto"/>
          <w:kern w:val="0"/>
          <w:szCs w:val="21"/>
        </w:rPr>
        <w:t>中国境内生产的组件成本核算基本规则</w:t>
      </w:r>
    </w:p>
    <w:p w14:paraId="0EA5301B">
      <w:pPr>
        <w:widowControl/>
        <w:spacing w:line="500" w:lineRule="exact"/>
        <w:jc w:val="left"/>
        <w:rPr>
          <w:rFonts w:hint="eastAsia" w:hAnsi="宋体" w:cs="宋体"/>
          <w:color w:val="auto"/>
          <w:kern w:val="0"/>
          <w:szCs w:val="21"/>
        </w:rPr>
      </w:pPr>
      <w:r>
        <w:rPr>
          <w:rFonts w:hint="eastAsia" w:hAnsi="宋体" w:cs="宋体"/>
          <w:color w:val="auto"/>
          <w:kern w:val="0"/>
          <w:szCs w:val="21"/>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723339EC">
      <w:pPr>
        <w:widowControl/>
        <w:spacing w:line="500" w:lineRule="exact"/>
        <w:jc w:val="left"/>
        <w:rPr>
          <w:rFonts w:hint="eastAsia" w:hAnsi="宋体" w:cs="宋体"/>
          <w:color w:val="auto"/>
          <w:kern w:val="0"/>
          <w:szCs w:val="21"/>
        </w:rPr>
      </w:pPr>
      <w:r>
        <w:rPr>
          <w:rFonts w:hint="eastAsia" w:hAnsi="宋体" w:cs="宋体"/>
          <w:color w:val="auto"/>
          <w:kern w:val="0"/>
          <w:szCs w:val="21"/>
        </w:rPr>
        <w:t>一、产品的一级组件是指直接组成产品的组件。产品的二级组件是指直接组成产品一级组件的组件。一级组件不可分解的，视同二级组件。</w:t>
      </w:r>
    </w:p>
    <w:p w14:paraId="324202D4">
      <w:pPr>
        <w:widowControl/>
        <w:spacing w:line="500" w:lineRule="exact"/>
        <w:jc w:val="left"/>
        <w:rPr>
          <w:rFonts w:hint="eastAsia" w:hAnsi="宋体" w:cs="宋体"/>
          <w:color w:val="auto"/>
          <w:kern w:val="0"/>
          <w:szCs w:val="21"/>
        </w:rPr>
      </w:pPr>
      <w:r>
        <w:rPr>
          <w:rFonts w:hint="eastAsia" w:hAnsi="宋体" w:cs="宋体"/>
          <w:color w:val="auto"/>
          <w:kern w:val="0"/>
          <w:szCs w:val="21"/>
        </w:rPr>
        <w:t>二、二级组件在中国境内生产的，其全部成本计入中国境内生产的组件成本；二级组件不在中国境内生产的，其成本不计入中国境内生产的组件成本。</w:t>
      </w:r>
    </w:p>
    <w:p w14:paraId="29734EAB">
      <w:pPr>
        <w:widowControl/>
        <w:spacing w:line="500" w:lineRule="exact"/>
        <w:jc w:val="left"/>
        <w:rPr>
          <w:rFonts w:hint="eastAsia" w:hAnsi="宋体" w:cs="宋体"/>
          <w:color w:val="auto"/>
          <w:kern w:val="0"/>
          <w:szCs w:val="21"/>
        </w:rPr>
      </w:pPr>
      <w:r>
        <w:rPr>
          <w:rFonts w:hint="eastAsia" w:hAnsi="宋体" w:cs="宋体"/>
          <w:color w:val="auto"/>
          <w:kern w:val="0"/>
          <w:szCs w:val="21"/>
        </w:rPr>
        <w:t>三、产品总成本和组件成本以相关会计核算数据、采购合同、进货记录等为基础进行计算。</w:t>
      </w:r>
    </w:p>
    <w:p w14:paraId="479DACD2">
      <w:pPr>
        <w:widowControl/>
        <w:spacing w:line="500" w:lineRule="exact"/>
        <w:jc w:val="left"/>
        <w:rPr>
          <w:rFonts w:hint="eastAsia" w:hAnsi="宋体" w:cs="宋体"/>
          <w:color w:val="auto"/>
          <w:kern w:val="0"/>
          <w:szCs w:val="21"/>
        </w:rPr>
      </w:pPr>
      <w:r>
        <w:rPr>
          <w:rFonts w:hint="eastAsia" w:hAnsi="宋体" w:cs="宋体"/>
          <w:color w:val="auto"/>
          <w:kern w:val="0"/>
          <w:szCs w:val="21"/>
        </w:rPr>
        <w:t>四、需要对成本核算规则予以进一步明确的其他有关事项，由财政部会同有关部门另行规定。</w:t>
      </w:r>
    </w:p>
    <w:p w14:paraId="06FBBEB2">
      <w:pPr>
        <w:widowControl/>
        <w:spacing w:line="500" w:lineRule="exact"/>
        <w:ind w:firstLine="0" w:firstLineChars="0"/>
        <w:rPr>
          <w:rFonts w:hint="eastAsia" w:hAnsi="宋体" w:cs="宋体"/>
          <w:b/>
          <w:bCs/>
          <w:color w:val="auto"/>
          <w:szCs w:val="21"/>
        </w:rPr>
      </w:pPr>
      <w:r>
        <w:rPr>
          <w:rFonts w:hint="eastAsia" w:hAnsi="宋体" w:cs="宋体"/>
          <w:b/>
          <w:bCs/>
          <w:color w:val="auto"/>
          <w:szCs w:val="21"/>
        </w:rPr>
        <w:br w:type="page"/>
      </w:r>
      <w:r>
        <w:rPr>
          <w:rFonts w:hint="eastAsia" w:hAnsi="宋体" w:cs="宋体"/>
          <w:b/>
          <w:bCs/>
          <w:color w:val="auto"/>
          <w:szCs w:val="21"/>
        </w:rPr>
        <w:t>关于贯彻落实《国务院办公厅关于在政府采购中实施本国产品标准及相关政策的通知》的意见</w:t>
      </w:r>
    </w:p>
    <w:p w14:paraId="02CF744E">
      <w:pPr>
        <w:widowControl/>
        <w:spacing w:line="500" w:lineRule="exact"/>
        <w:ind w:firstLine="422"/>
        <w:jc w:val="center"/>
        <w:rPr>
          <w:rFonts w:hint="eastAsia" w:hAnsi="宋体" w:cs="宋体"/>
          <w:b/>
          <w:bCs/>
          <w:color w:val="auto"/>
          <w:szCs w:val="21"/>
        </w:rPr>
      </w:pPr>
      <w:r>
        <w:rPr>
          <w:rFonts w:hint="eastAsia" w:hAnsi="宋体" w:cs="宋体"/>
          <w:b/>
          <w:bCs/>
          <w:color w:val="auto"/>
          <w:szCs w:val="21"/>
        </w:rPr>
        <w:t>财库〔2025〕30号</w:t>
      </w:r>
    </w:p>
    <w:p w14:paraId="6BAD8C4E">
      <w:pPr>
        <w:widowControl/>
        <w:spacing w:line="500" w:lineRule="exact"/>
        <w:jc w:val="left"/>
        <w:rPr>
          <w:rFonts w:hint="eastAsia" w:hAnsi="宋体" w:cs="宋体"/>
          <w:color w:val="auto"/>
          <w:kern w:val="0"/>
          <w:szCs w:val="21"/>
        </w:rPr>
      </w:pPr>
      <w:r>
        <w:rPr>
          <w:rFonts w:hint="eastAsia" w:hAnsi="宋体" w:cs="宋体"/>
          <w:color w:val="auto"/>
          <w:kern w:val="0"/>
          <w:szCs w:val="21"/>
        </w:rPr>
        <w:t>各中央预算单位，各省、自治区、直辖市、计划单列市财政厅（局）、工业和信息化主管部门，新疆生产建设兵团财政局、工业和信息化局：</w:t>
      </w:r>
    </w:p>
    <w:p w14:paraId="7BEC8079">
      <w:pPr>
        <w:widowControl/>
        <w:spacing w:line="500" w:lineRule="exact"/>
        <w:jc w:val="left"/>
        <w:rPr>
          <w:rFonts w:hint="eastAsia" w:hAnsi="宋体" w:cs="宋体"/>
          <w:color w:val="auto"/>
          <w:kern w:val="0"/>
          <w:szCs w:val="21"/>
        </w:rPr>
      </w:pPr>
      <w:r>
        <w:rPr>
          <w:rFonts w:hint="eastAsia" w:hAnsi="宋体" w:cs="宋体"/>
          <w:color w:val="auto"/>
          <w:kern w:val="0"/>
          <w:szCs w:val="21"/>
        </w:rPr>
        <w:t>为深入贯彻落实《国务院办公厅关于在政府采购中实施本国产品标准及相关政策的通知》（国办发〔2025〕34号，以下简称《通知》），加快构建统一开放、竞争有序的政府采购市场体系，现提出以下意见。</w:t>
      </w:r>
    </w:p>
    <w:p w14:paraId="3B09A7B4">
      <w:pPr>
        <w:widowControl/>
        <w:spacing w:line="500" w:lineRule="exact"/>
        <w:jc w:val="left"/>
        <w:rPr>
          <w:rFonts w:hint="eastAsia" w:hAnsi="宋体" w:cs="宋体"/>
          <w:color w:val="auto"/>
          <w:kern w:val="0"/>
          <w:szCs w:val="21"/>
        </w:rPr>
      </w:pPr>
      <w:r>
        <w:rPr>
          <w:rFonts w:hint="eastAsia" w:hAnsi="宋体" w:cs="宋体"/>
          <w:color w:val="auto"/>
          <w:kern w:val="0"/>
          <w:szCs w:val="21"/>
        </w:rPr>
        <w:t>一、充分认识在政府采购中实施本国产品标准及相关政策的重要意义</w:t>
      </w:r>
    </w:p>
    <w:p w14:paraId="7C738711">
      <w:pPr>
        <w:widowControl/>
        <w:spacing w:line="500" w:lineRule="exact"/>
        <w:jc w:val="left"/>
        <w:rPr>
          <w:rFonts w:hint="eastAsia" w:hAnsi="宋体" w:cs="宋体"/>
          <w:color w:val="auto"/>
          <w:kern w:val="0"/>
          <w:szCs w:val="21"/>
        </w:rPr>
      </w:pPr>
      <w:r>
        <w:rPr>
          <w:rFonts w:hint="eastAsia" w:hAnsi="宋体" w:cs="宋体"/>
          <w:color w:val="auto"/>
          <w:kern w:val="0"/>
          <w:szCs w:val="21"/>
        </w:rPr>
        <w:t>《通知》以习近平新时代中国特色社会主义思想为指导，全面贯彻党的二十大和二十届历次全会精神，紧扣高质量发展要求，结合我国发展实际，对接国际高标准经贸规则，系统提出了构建政府采购中本国产品标准体系以及对本国产品予以支持的工作要求，为进一步保障各类经营主体平等参与政府采购活动提供了制度依据。</w:t>
      </w:r>
    </w:p>
    <w:p w14:paraId="77119FD8">
      <w:pPr>
        <w:widowControl/>
        <w:spacing w:line="500" w:lineRule="exact"/>
        <w:jc w:val="left"/>
        <w:rPr>
          <w:rFonts w:hint="eastAsia" w:hAnsi="宋体" w:cs="宋体"/>
          <w:color w:val="auto"/>
          <w:kern w:val="0"/>
          <w:szCs w:val="21"/>
        </w:rPr>
      </w:pPr>
      <w:r>
        <w:rPr>
          <w:rFonts w:hint="eastAsia" w:hAnsi="宋体" w:cs="宋体"/>
          <w:color w:val="auto"/>
          <w:kern w:val="0"/>
          <w:szCs w:val="21"/>
        </w:rPr>
        <w:t>《通知》是政府采购领域的重要制度创新，也是优化营商环境的重要举措，还是落实政府采购领域外资企业国民待遇的务实行动，对构建以国内大循环为主体、国内国际双循环相互促进的新发展格局具有重要意义。</w:t>
      </w:r>
    </w:p>
    <w:p w14:paraId="7A2E074B">
      <w:pPr>
        <w:widowControl/>
        <w:spacing w:line="500" w:lineRule="exact"/>
        <w:jc w:val="left"/>
        <w:rPr>
          <w:rFonts w:hint="eastAsia" w:hAnsi="宋体" w:cs="宋体"/>
          <w:color w:val="auto"/>
          <w:kern w:val="0"/>
          <w:szCs w:val="21"/>
        </w:rPr>
      </w:pPr>
      <w:r>
        <w:rPr>
          <w:rFonts w:hint="eastAsia" w:hAnsi="宋体" w:cs="宋体"/>
          <w:color w:val="auto"/>
          <w:kern w:val="0"/>
          <w:szCs w:val="21"/>
        </w:rPr>
        <w:t>在政府采购中实施本国产品标准及相关政策,是一项长期性、系统性工作。各地区各部门要提高站位，准确把握本国产品标准及相关政策的核心内涵，进一步增强责任感和使命感，将《通知》要求落实落细落到位。</w:t>
      </w:r>
    </w:p>
    <w:p w14:paraId="52DAC2C1">
      <w:pPr>
        <w:widowControl/>
        <w:spacing w:line="500" w:lineRule="exact"/>
        <w:jc w:val="left"/>
        <w:rPr>
          <w:rFonts w:hint="eastAsia" w:hAnsi="宋体" w:cs="宋体"/>
          <w:color w:val="auto"/>
          <w:kern w:val="0"/>
          <w:szCs w:val="21"/>
        </w:rPr>
      </w:pPr>
      <w:r>
        <w:rPr>
          <w:rFonts w:hint="eastAsia" w:hAnsi="宋体" w:cs="宋体"/>
          <w:color w:val="auto"/>
          <w:kern w:val="0"/>
          <w:szCs w:val="21"/>
        </w:rPr>
        <w:t>二、全面理解在政府采购中实施本国产品标准及相关政策的内涵和要求</w:t>
      </w:r>
    </w:p>
    <w:p w14:paraId="2D6E3F5B">
      <w:pPr>
        <w:widowControl/>
        <w:spacing w:line="500" w:lineRule="exact"/>
        <w:jc w:val="left"/>
        <w:rPr>
          <w:rFonts w:hint="eastAsia" w:hAnsi="宋体" w:cs="宋体"/>
          <w:color w:val="auto"/>
          <w:kern w:val="0"/>
          <w:szCs w:val="21"/>
        </w:rPr>
      </w:pPr>
      <w:r>
        <w:rPr>
          <w:rFonts w:hint="eastAsia" w:hAnsi="宋体" w:cs="宋体"/>
          <w:color w:val="auto"/>
          <w:kern w:val="0"/>
          <w:szCs w:val="21"/>
        </w:rPr>
        <w:t>（一）准确界定产品在中国境内生产。《通知》明确，本国产品应当在中国境内生产，即在中华人民共和国关境内实现从原材料、组件到产品的属性改变。从具体情形看，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w:t>
      </w:r>
    </w:p>
    <w:p w14:paraId="79814658">
      <w:pPr>
        <w:widowControl/>
        <w:spacing w:line="500" w:lineRule="exact"/>
        <w:jc w:val="left"/>
        <w:rPr>
          <w:rFonts w:hint="eastAsia" w:hAnsi="宋体" w:cs="宋体"/>
          <w:color w:val="auto"/>
          <w:kern w:val="0"/>
          <w:szCs w:val="21"/>
        </w:rPr>
      </w:pPr>
      <w:r>
        <w:rPr>
          <w:rFonts w:hint="eastAsia" w:hAnsi="宋体" w:cs="宋体"/>
          <w:color w:val="auto"/>
          <w:kern w:val="0"/>
          <w:szCs w:val="21"/>
        </w:rPr>
        <w:t>（二）科学制定本国产品具体标准要求。财政部将会同工业和信息化部等有关行业主管部门，分类施策、稳妥推进，根据不同行业特点和我国产业发展实际，在充分征求有关内外资企业、行业商会协会等方面意见的基础上，依据企业产品成本核算制度等，分产品制定中国境内生产的组件成本占比要求，以及特定产品的关键组件、关键工序相关要求，明确成本核算规则，并合理设置过渡期，保障标准符合实际、具有可操作性。</w:t>
      </w:r>
    </w:p>
    <w:p w14:paraId="6F749853">
      <w:pPr>
        <w:widowControl/>
        <w:spacing w:line="500" w:lineRule="exact"/>
        <w:jc w:val="left"/>
        <w:rPr>
          <w:rFonts w:hint="eastAsia" w:hAnsi="宋体" w:cs="宋体"/>
          <w:color w:val="auto"/>
          <w:kern w:val="0"/>
          <w:szCs w:val="21"/>
        </w:rPr>
      </w:pPr>
      <w:r>
        <w:rPr>
          <w:rFonts w:hint="eastAsia" w:hAnsi="宋体" w:cs="宋体"/>
          <w:color w:val="auto"/>
          <w:kern w:val="0"/>
          <w:szCs w:val="21"/>
        </w:rPr>
        <w:t>（三）认真审查有关证明文件。采购人应当在采购文件中明确对供应商所出具的《关于符合本国产品标准的声明函》（以下简称《声明函》）的完整性、准确性进行审查的要求，评审中发现《声明函》内容含义不明确、同类事项与投标（响应）文件表述不一致或者有明显文字错误等情况的，应当以书面形式要求供应商作出必要的澄清、说明或者补正。经澄清、说明或者补正的《声明函》仍然不符合《通知》规定要求的，供应商提供的相关产品视为不符合本国产品标准。</w:t>
      </w:r>
    </w:p>
    <w:p w14:paraId="670499D1">
      <w:pPr>
        <w:widowControl/>
        <w:spacing w:line="500" w:lineRule="exact"/>
        <w:jc w:val="left"/>
        <w:rPr>
          <w:rFonts w:hint="eastAsia" w:hAnsi="宋体" w:cs="宋体"/>
          <w:color w:val="auto"/>
          <w:kern w:val="0"/>
          <w:szCs w:val="21"/>
        </w:rPr>
      </w:pPr>
      <w:r>
        <w:rPr>
          <w:rFonts w:hint="eastAsia" w:hAnsi="宋体" w:cs="宋体"/>
          <w:color w:val="auto"/>
          <w:kern w:val="0"/>
          <w:szCs w:val="21"/>
        </w:rPr>
        <w:t>（四）加强对本国产品标准及相关政策实施的监管。县级以上财政部门在处理涉及本国产品标准及相关政策的投诉或者开展监督检查时，要加强与有关部门的协调，必要时可以会同当地工业和信息化等有关部门，依托会计师事务所等专业机构，对产品和组件的生产地、工序完成地以及组件成本占比等进行核实、鉴定。一旦发现供应商假冒本国产品的，依法依规予以严肃处理。县级以上工业和信息化等有关部门要按照《通知》要求，配合财政部门做好涉及本国产品标准相关事项的核实、鉴定工作。</w:t>
      </w:r>
    </w:p>
    <w:p w14:paraId="368DD5E5">
      <w:pPr>
        <w:widowControl/>
        <w:spacing w:line="500" w:lineRule="exact"/>
        <w:jc w:val="left"/>
        <w:rPr>
          <w:rFonts w:hint="eastAsia" w:hAnsi="宋体" w:cs="宋体"/>
          <w:color w:val="auto"/>
          <w:kern w:val="0"/>
          <w:szCs w:val="21"/>
        </w:rPr>
      </w:pPr>
      <w:r>
        <w:rPr>
          <w:rFonts w:hint="eastAsia" w:hAnsi="宋体" w:cs="宋体"/>
          <w:color w:val="auto"/>
          <w:kern w:val="0"/>
          <w:szCs w:val="21"/>
        </w:rPr>
        <w:t>（五）严格落实平等对待内外资企业的相关要求。各地区、各部门要依法落实政府采购领域外资企业国民待遇。如发现在政府采购活动中指定品牌或者限制品牌注册地、所有者，以所有制形式、组织形式、股权结构、投资者国别或者其他不合理条件对供应商实行差别待遇或者歧视待遇的，要依法依规予以严肃处理，保障符合本国产品标准的外资企业产品平等参与政府采购活动。</w:t>
      </w:r>
    </w:p>
    <w:p w14:paraId="7A538C67">
      <w:pPr>
        <w:widowControl/>
        <w:spacing w:line="500" w:lineRule="exact"/>
        <w:jc w:val="left"/>
        <w:rPr>
          <w:rFonts w:hint="eastAsia" w:hAnsi="宋体" w:cs="宋体"/>
          <w:color w:val="auto"/>
          <w:kern w:val="0"/>
          <w:szCs w:val="21"/>
        </w:rPr>
      </w:pPr>
      <w:r>
        <w:rPr>
          <w:rFonts w:hint="eastAsia" w:hAnsi="宋体" w:cs="宋体"/>
          <w:color w:val="auto"/>
          <w:kern w:val="0"/>
          <w:szCs w:val="21"/>
        </w:rPr>
        <w:t>三、抓好贯彻落实</w:t>
      </w:r>
    </w:p>
    <w:p w14:paraId="723E3FEE">
      <w:pPr>
        <w:widowControl/>
        <w:spacing w:line="500" w:lineRule="exact"/>
        <w:jc w:val="left"/>
        <w:rPr>
          <w:rFonts w:hint="eastAsia" w:hAnsi="宋体" w:cs="宋体"/>
          <w:color w:val="auto"/>
          <w:kern w:val="0"/>
          <w:szCs w:val="21"/>
        </w:rPr>
      </w:pPr>
      <w:r>
        <w:rPr>
          <w:rFonts w:hint="eastAsia" w:hAnsi="宋体" w:cs="宋体"/>
          <w:color w:val="auto"/>
          <w:kern w:val="0"/>
          <w:szCs w:val="21"/>
        </w:rPr>
        <w:t>（一）加强政策指导。地方各级财政部门要对此项工作高度重视、周密部署，通过组织培训、政策宣讲等方式，统一思想认识，制定切实可行的落实举措。要强化采购人的责任意识，加强对评审专家和供应商的监督指导，及时总结经验做法，营造有利于政策实施的良好环境，确保《通知》顺利实施。</w:t>
      </w:r>
    </w:p>
    <w:p w14:paraId="592778AF">
      <w:pPr>
        <w:widowControl/>
        <w:spacing w:line="500" w:lineRule="exact"/>
        <w:jc w:val="left"/>
        <w:rPr>
          <w:rFonts w:hint="eastAsia" w:hAnsi="宋体" w:cs="宋体"/>
          <w:color w:val="auto"/>
          <w:kern w:val="0"/>
          <w:szCs w:val="21"/>
        </w:rPr>
      </w:pPr>
      <w:r>
        <w:rPr>
          <w:rFonts w:hint="eastAsia" w:hAnsi="宋体" w:cs="宋体"/>
          <w:color w:val="auto"/>
          <w:kern w:val="0"/>
          <w:szCs w:val="21"/>
        </w:rPr>
        <w:t>（二）完善内控机制。各级预算单位要强化采购人主体责任，结合本单位业务特点和《通知》要求，进一步健全内控制度，优化内部工作流程，将本国产品标准和相关政策要求嵌入采购需求、采购文件、采购合同、履约验收等政府采购各个环节中，确保于2026年1月1日起在政府采购中落实政策要求。</w:t>
      </w:r>
    </w:p>
    <w:p w14:paraId="5A4DA8B7">
      <w:pPr>
        <w:widowControl/>
        <w:spacing w:line="500" w:lineRule="exact"/>
        <w:jc w:val="left"/>
        <w:rPr>
          <w:rFonts w:hint="eastAsia" w:hAnsi="宋体" w:cs="宋体"/>
          <w:color w:val="auto"/>
          <w:kern w:val="0"/>
          <w:szCs w:val="21"/>
        </w:rPr>
      </w:pPr>
      <w:r>
        <w:rPr>
          <w:rFonts w:hint="eastAsia" w:hAnsi="宋体" w:cs="宋体"/>
          <w:color w:val="auto"/>
          <w:kern w:val="0"/>
          <w:szCs w:val="21"/>
        </w:rPr>
        <w:t>（三）建立健全部门间协调机制。地方各级财政部门要积极加强和相关行业主管部门的沟通，推动建立健全部门间协调机制，着力解决在政府采购投诉处理、监督检查中涉及本国产品标准争议事项的专业认定问题，形成工作合力，保障政府采购供应商合法权益。</w:t>
      </w:r>
    </w:p>
    <w:p w14:paraId="704E57D5">
      <w:pPr>
        <w:widowControl/>
        <w:spacing w:line="500" w:lineRule="exact"/>
        <w:jc w:val="left"/>
        <w:rPr>
          <w:rFonts w:hint="eastAsia" w:hAnsi="宋体" w:cs="宋体"/>
          <w:color w:val="auto"/>
          <w:kern w:val="0"/>
          <w:szCs w:val="21"/>
        </w:rPr>
      </w:pPr>
      <w:r>
        <w:rPr>
          <w:rFonts w:hint="eastAsia" w:hAnsi="宋体" w:cs="宋体"/>
          <w:color w:val="auto"/>
          <w:kern w:val="0"/>
          <w:szCs w:val="21"/>
        </w:rPr>
        <w:t>（四）强化监督检查。地方各级财政部门要加强对政府采购相关当事人落实《通知》要求的监督检查，畅通供应商投诉救济渠道，对未落实本国产品标准及相关政策的单位和相关责任人依法依规追究责任。</w:t>
      </w:r>
    </w:p>
    <w:p w14:paraId="088C810A">
      <w:pPr>
        <w:widowControl/>
        <w:spacing w:line="500" w:lineRule="exact"/>
        <w:jc w:val="right"/>
        <w:rPr>
          <w:rFonts w:hint="eastAsia" w:hAnsi="宋体" w:cs="宋体"/>
          <w:color w:val="auto"/>
          <w:kern w:val="0"/>
          <w:szCs w:val="21"/>
        </w:rPr>
      </w:pPr>
      <w:r>
        <w:rPr>
          <w:rFonts w:hint="eastAsia" w:hAnsi="宋体" w:cs="宋体"/>
          <w:color w:val="auto"/>
          <w:kern w:val="0"/>
          <w:szCs w:val="21"/>
        </w:rPr>
        <w:t>财政部 工业和信息化部</w:t>
      </w:r>
    </w:p>
    <w:p w14:paraId="113F1D73">
      <w:pPr>
        <w:widowControl/>
        <w:spacing w:line="500" w:lineRule="exact"/>
        <w:jc w:val="center"/>
        <w:rPr>
          <w:rFonts w:hint="eastAsia" w:hAnsi="宋体" w:cs="宋体"/>
          <w:color w:val="auto"/>
          <w:kern w:val="0"/>
          <w:szCs w:val="21"/>
        </w:rPr>
      </w:pPr>
      <w:r>
        <w:rPr>
          <w:rFonts w:hint="eastAsia" w:hAnsi="宋体" w:cs="宋体"/>
          <w:color w:val="auto"/>
          <w:kern w:val="0"/>
          <w:szCs w:val="21"/>
        </w:rPr>
        <w:t xml:space="preserve">                                                              2025年12月15日</w:t>
      </w:r>
    </w:p>
    <w:p w14:paraId="3D597CD3">
      <w:pPr>
        <w:rPr>
          <w:color w:val="auto"/>
        </w:rPr>
      </w:pPr>
    </w:p>
    <w:p w14:paraId="2D167F66">
      <w:pPr>
        <w:rPr>
          <w:color w:val="auto"/>
        </w:rPr>
      </w:pPr>
    </w:p>
    <w:p w14:paraId="5322303D">
      <w:pPr>
        <w:rPr>
          <w:color w:val="auto"/>
        </w:rPr>
      </w:pPr>
    </w:p>
    <w:p w14:paraId="61A1793D">
      <w:pPr>
        <w:rPr>
          <w:color w:val="auto"/>
        </w:rPr>
      </w:pPr>
    </w:p>
    <w:p w14:paraId="0AB4F447">
      <w:pPr>
        <w:ind w:firstLine="560"/>
        <w:rPr>
          <w:color w:val="auto"/>
          <w:sz w:val="28"/>
          <w:szCs w:val="28"/>
        </w:rPr>
      </w:pPr>
      <w:r>
        <w:rPr>
          <w:rFonts w:hint="eastAsia"/>
          <w:color w:val="auto"/>
          <w:sz w:val="28"/>
          <w:szCs w:val="28"/>
        </w:rPr>
        <w:br w:type="page"/>
      </w:r>
    </w:p>
    <w:p w14:paraId="5B0BF679">
      <w:pPr>
        <w:widowControl/>
        <w:adjustRightInd w:val="0"/>
        <w:snapToGrid w:val="0"/>
        <w:ind w:firstLine="560"/>
        <w:jc w:val="center"/>
        <w:outlineLvl w:val="1"/>
        <w:rPr>
          <w:color w:val="auto"/>
          <w:sz w:val="28"/>
          <w:szCs w:val="28"/>
        </w:rPr>
      </w:pPr>
      <w:r>
        <w:rPr>
          <w:rFonts w:hint="eastAsia"/>
          <w:color w:val="auto"/>
          <w:sz w:val="28"/>
          <w:szCs w:val="28"/>
        </w:rPr>
        <w:t>关于推动解决政府</w:t>
      </w:r>
      <w:r>
        <w:rPr>
          <w:rFonts w:hint="eastAsia" w:hAnsi="宋体" w:cs="宋体"/>
          <w:color w:val="auto"/>
          <w:kern w:val="0"/>
          <w:sz w:val="28"/>
          <w:szCs w:val="28"/>
        </w:rPr>
        <w:t>采购</w:t>
      </w:r>
      <w:r>
        <w:rPr>
          <w:rFonts w:hint="eastAsia"/>
          <w:color w:val="auto"/>
          <w:sz w:val="28"/>
          <w:szCs w:val="28"/>
        </w:rPr>
        <w:t>异常低价问题的通知</w:t>
      </w:r>
    </w:p>
    <w:p w14:paraId="74FB6003">
      <w:pPr>
        <w:widowControl/>
        <w:adjustRightInd w:val="0"/>
        <w:snapToGrid w:val="0"/>
        <w:ind w:firstLine="422"/>
        <w:jc w:val="left"/>
        <w:rPr>
          <w:rFonts w:hint="eastAsia" w:hAnsi="宋体" w:cs="宋体"/>
          <w:color w:val="auto"/>
          <w:szCs w:val="21"/>
        </w:rPr>
      </w:pPr>
      <w:r>
        <w:rPr>
          <w:rFonts w:hint="eastAsia" w:hAnsi="宋体" w:cs="宋体"/>
          <w:b/>
          <w:bCs/>
          <w:color w:val="auto"/>
          <w:kern w:val="0"/>
          <w:szCs w:val="21"/>
        </w:rPr>
        <w:t>1、政府采购政策：</w:t>
      </w:r>
    </w:p>
    <w:p w14:paraId="6A9F4E0B">
      <w:pPr>
        <w:widowControl/>
        <w:jc w:val="left"/>
        <w:rPr>
          <w:rFonts w:hint="eastAsia" w:hAnsi="宋体" w:cs="宋体"/>
          <w:color w:val="auto"/>
          <w:kern w:val="0"/>
          <w:szCs w:val="21"/>
        </w:rPr>
      </w:pPr>
      <w:r>
        <w:rPr>
          <w:rFonts w:hint="eastAsia" w:hAnsi="宋体" w:cs="宋体"/>
          <w:color w:val="auto"/>
          <w:kern w:val="0"/>
          <w:szCs w:val="21"/>
        </w:rPr>
        <w:t>《关于推动解决政府采购异常低价问题的通知》(财库〔2026〕2号)</w:t>
      </w:r>
    </w:p>
    <w:p w14:paraId="7C81FF0B">
      <w:pPr>
        <w:widowControl/>
        <w:adjustRightInd w:val="0"/>
        <w:snapToGrid w:val="0"/>
        <w:ind w:firstLine="422"/>
        <w:jc w:val="left"/>
        <w:rPr>
          <w:rFonts w:hint="eastAsia" w:hAnsi="宋体" w:cs="宋体"/>
          <w:b/>
          <w:bCs/>
          <w:color w:val="auto"/>
          <w:kern w:val="0"/>
          <w:szCs w:val="21"/>
        </w:rPr>
      </w:pPr>
      <w:r>
        <w:rPr>
          <w:rFonts w:hint="eastAsia" w:hAnsi="宋体" w:cs="宋体"/>
          <w:b/>
          <w:bCs/>
          <w:color w:val="auto"/>
          <w:kern w:val="0"/>
          <w:szCs w:val="21"/>
        </w:rPr>
        <w:t xml:space="preserve">2、证明材料 </w:t>
      </w:r>
    </w:p>
    <w:p w14:paraId="22223D49">
      <w:pPr>
        <w:widowControl/>
        <w:jc w:val="left"/>
        <w:rPr>
          <w:color w:val="auto"/>
        </w:rPr>
      </w:pPr>
      <w:r>
        <w:rPr>
          <w:rFonts w:hint="eastAsia" w:hAnsi="宋体" w:cs="宋体"/>
          <w:color w:val="auto"/>
          <w:kern w:val="0"/>
          <w:szCs w:val="21"/>
        </w:rPr>
        <w:t>如投标人投标报价存在本通知第二条第1款第3项“</w:t>
      </w:r>
      <w:r>
        <w:rPr>
          <w:rFonts w:hint="eastAsia"/>
          <w:color w:val="auto"/>
          <w:szCs w:val="21"/>
        </w:rPr>
        <w:t>投标（响应）报价低于采购项目最高限价45%的，即投标（响应）报价&lt;采购项目最高限价×45%</w:t>
      </w:r>
      <w:r>
        <w:rPr>
          <w:rFonts w:hint="eastAsia" w:hAnsi="宋体" w:cs="宋体"/>
          <w:color w:val="auto"/>
          <w:kern w:val="0"/>
          <w:szCs w:val="21"/>
        </w:rPr>
        <w:t>”的情形，</w:t>
      </w:r>
      <w:r>
        <w:rPr>
          <w:rFonts w:hint="eastAsia"/>
          <w:color w:val="auto"/>
          <w:szCs w:val="21"/>
        </w:rPr>
        <w:t>投标人应随投标（响应）文件一并提交相关书面说明及必要的证明材料，格式自拟。</w:t>
      </w:r>
    </w:p>
    <w:p w14:paraId="1695EFC4">
      <w:pPr>
        <w:widowControl/>
        <w:jc w:val="left"/>
        <w:rPr>
          <w:color w:val="auto"/>
        </w:rPr>
      </w:pPr>
    </w:p>
    <w:p w14:paraId="111BE84E">
      <w:pPr>
        <w:widowControl/>
        <w:ind w:firstLine="422"/>
        <w:jc w:val="center"/>
        <w:rPr>
          <w:b/>
          <w:bCs/>
          <w:color w:val="auto"/>
        </w:rPr>
      </w:pPr>
      <w:r>
        <w:rPr>
          <w:rFonts w:hint="eastAsia"/>
          <w:b/>
          <w:bCs/>
          <w:color w:val="auto"/>
        </w:rPr>
        <w:t>关于推动解决政府采购异常低价问题的通知</w:t>
      </w:r>
    </w:p>
    <w:p w14:paraId="76ABB15A">
      <w:pPr>
        <w:widowControl/>
        <w:ind w:firstLine="422"/>
        <w:jc w:val="center"/>
        <w:rPr>
          <w:b/>
          <w:bCs/>
          <w:color w:val="auto"/>
        </w:rPr>
      </w:pPr>
      <w:r>
        <w:rPr>
          <w:b/>
          <w:bCs/>
          <w:color w:val="auto"/>
        </w:rPr>
        <w:t>财库〔2026〕2号</w:t>
      </w:r>
    </w:p>
    <w:p w14:paraId="33BFD2AA">
      <w:pPr>
        <w:widowControl/>
        <w:adjustRightInd w:val="0"/>
        <w:snapToGrid w:val="0"/>
        <w:rPr>
          <w:color w:val="auto"/>
          <w:szCs w:val="21"/>
        </w:rPr>
      </w:pPr>
      <w:r>
        <w:rPr>
          <w:rFonts w:hint="eastAsia"/>
          <w:color w:val="auto"/>
          <w:szCs w:val="21"/>
        </w:rPr>
        <w:t>各中央预算单位，各省、自治区、直辖市、计划单列市财政厅（局），新疆生产建设兵团财政局：</w:t>
      </w:r>
    </w:p>
    <w:p w14:paraId="61019F18">
      <w:pPr>
        <w:widowControl/>
        <w:adjustRightInd w:val="0"/>
        <w:snapToGrid w:val="0"/>
        <w:rPr>
          <w:color w:val="auto"/>
          <w:szCs w:val="21"/>
        </w:rPr>
      </w:pPr>
      <w:r>
        <w:rPr>
          <w:rFonts w:hint="eastAsia"/>
          <w:color w:val="auto"/>
          <w:szCs w:val="21"/>
        </w:rPr>
        <w:t>为整治政府采购领域“内卷式”竞争，形成优质优价、良性竞争的市场秩序，现就推动解决政府采购异常低价问题有关事项通知如下：</w:t>
      </w:r>
    </w:p>
    <w:p w14:paraId="164145AC">
      <w:pPr>
        <w:widowControl/>
        <w:adjustRightInd w:val="0"/>
        <w:snapToGrid w:val="0"/>
        <w:rPr>
          <w:color w:val="auto"/>
          <w:szCs w:val="21"/>
        </w:rPr>
      </w:pPr>
      <w:r>
        <w:rPr>
          <w:rFonts w:hint="eastAsia"/>
          <w:color w:val="auto"/>
          <w:szCs w:val="21"/>
        </w:rPr>
        <w:t>一、加强政府采购需求管理</w:t>
      </w:r>
    </w:p>
    <w:p w14:paraId="611A84D0">
      <w:pPr>
        <w:widowControl/>
        <w:adjustRightInd w:val="0"/>
        <w:snapToGrid w:val="0"/>
        <w:rPr>
          <w:color w:val="auto"/>
          <w:szCs w:val="21"/>
        </w:rPr>
      </w:pPr>
      <w:r>
        <w:rPr>
          <w:rFonts w:hint="eastAsia"/>
          <w:color w:val="auto"/>
          <w:szCs w:val="21"/>
        </w:rPr>
        <w:t>采购人应当根据实际工作需要，综合考虑同类项目中标（成交）信息，以及市场供给和产业发展状况，材料、人工等市场价格，行业费用标准等市场调查情况，形成科学、完整、清晰的采购需求，合理设定最高限价，为供应商竞争报价提供基础。未设定最高限价的采购项目，以采购项目预算金额作为最高限价。</w:t>
      </w:r>
    </w:p>
    <w:p w14:paraId="51661BA5">
      <w:pPr>
        <w:widowControl/>
        <w:adjustRightInd w:val="0"/>
        <w:snapToGrid w:val="0"/>
        <w:rPr>
          <w:color w:val="auto"/>
          <w:szCs w:val="21"/>
        </w:rPr>
      </w:pPr>
      <w:r>
        <w:rPr>
          <w:rFonts w:hint="eastAsia"/>
          <w:color w:val="auto"/>
          <w:szCs w:val="21"/>
        </w:rPr>
        <w:t>采购人要综合考虑技术、成本效益、促进竞争等因素，按照专业类型和专业领域，合理设置采购包。采购人可以引入全生命周期成本理念，在采购文件中要求供应商对约定期限内的运营、维护、升级，专用耗材，处置报废等费用进行报价，作为评审因素，并在采购合同中明确，供应商应当在约定期限内以不高于其报价的价格向采购人提供专用耗材或者相关服务。采购项目采用综合评分法的，应当按照相关规定科学合理确定价格、技术、商务等因素的分值和权重。</w:t>
      </w:r>
    </w:p>
    <w:p w14:paraId="553F5AFD">
      <w:pPr>
        <w:widowControl/>
        <w:adjustRightInd w:val="0"/>
        <w:snapToGrid w:val="0"/>
        <w:rPr>
          <w:color w:val="auto"/>
          <w:szCs w:val="21"/>
        </w:rPr>
      </w:pPr>
      <w:r>
        <w:rPr>
          <w:rFonts w:hint="eastAsia"/>
          <w:color w:val="auto"/>
          <w:szCs w:val="21"/>
        </w:rPr>
        <w:t>采购人应当重点加强对信息化建设项目和耗材使用量大的复印、打印、实验、医疗等仪器设备采购项目的管理。对于信息化建设项目，采购人应当要求供应商严格落实相关开放性、兼容性标准和规范要求，按合同约定提供服务；在系统运行过程中，供应商不得在国家规定和合同约定之外以任何名义向相关服务对象收取费用。</w:t>
      </w:r>
    </w:p>
    <w:p w14:paraId="7A9271C6">
      <w:pPr>
        <w:widowControl/>
        <w:adjustRightInd w:val="0"/>
        <w:snapToGrid w:val="0"/>
        <w:rPr>
          <w:color w:val="auto"/>
          <w:szCs w:val="21"/>
        </w:rPr>
      </w:pPr>
      <w:r>
        <w:rPr>
          <w:rFonts w:hint="eastAsia"/>
          <w:color w:val="auto"/>
          <w:szCs w:val="21"/>
        </w:rPr>
        <w:t>二、强化政府采购异常低价审查</w:t>
      </w:r>
    </w:p>
    <w:p w14:paraId="5F23BF46">
      <w:pPr>
        <w:widowControl/>
        <w:adjustRightInd w:val="0"/>
        <w:snapToGrid w:val="0"/>
        <w:rPr>
          <w:color w:val="auto"/>
          <w:szCs w:val="21"/>
        </w:rPr>
      </w:pPr>
      <w:r>
        <w:rPr>
          <w:rFonts w:hint="eastAsia"/>
          <w:color w:val="auto"/>
          <w:szCs w:val="21"/>
        </w:rPr>
        <w:t>（一）采购人应当在采购文件中明确，政府采购评审中出现下列情形之一的，评审委员会应当启动异常低价投标（响应）审查程序：</w:t>
      </w:r>
    </w:p>
    <w:p w14:paraId="796DD47E">
      <w:pPr>
        <w:widowControl/>
        <w:adjustRightInd w:val="0"/>
        <w:snapToGrid w:val="0"/>
        <w:rPr>
          <w:color w:val="auto"/>
          <w:szCs w:val="21"/>
        </w:rPr>
      </w:pPr>
      <w:r>
        <w:rPr>
          <w:rFonts w:hint="eastAsia"/>
          <w:color w:val="auto"/>
          <w:szCs w:val="21"/>
        </w:rPr>
        <w:t>1.投标（响应）报价低于全部通过符合性审查供应商投标（响应）报价平均值50%的，即投标（响应）报价&lt;全部通过符合性审查供应商投标（响应）报价平均值×50%；</w:t>
      </w:r>
    </w:p>
    <w:p w14:paraId="057DCD7A">
      <w:pPr>
        <w:widowControl/>
        <w:adjustRightInd w:val="0"/>
        <w:snapToGrid w:val="0"/>
        <w:rPr>
          <w:color w:val="auto"/>
          <w:szCs w:val="21"/>
        </w:rPr>
      </w:pPr>
      <w:r>
        <w:rPr>
          <w:rFonts w:hint="eastAsia"/>
          <w:color w:val="auto"/>
          <w:szCs w:val="21"/>
        </w:rPr>
        <w:t>2.投标（响应）报价低于通过符合性审查的次低报价供应商投标（响应）报价50%的，即投标（响应）报价&lt;通过符合性审查的次低报价供应商投标（响应）报价×50%；</w:t>
      </w:r>
    </w:p>
    <w:p w14:paraId="464083C8">
      <w:pPr>
        <w:widowControl/>
        <w:adjustRightInd w:val="0"/>
        <w:snapToGrid w:val="0"/>
        <w:rPr>
          <w:color w:val="auto"/>
          <w:szCs w:val="21"/>
        </w:rPr>
      </w:pPr>
      <w:r>
        <w:rPr>
          <w:rFonts w:hint="eastAsia"/>
          <w:color w:val="auto"/>
          <w:szCs w:val="21"/>
        </w:rPr>
        <w:t>3.投标（响应）报价低于采购项目最高限价45%的，即投标（响应）报价&lt;采购项目最高限价×45%；</w:t>
      </w:r>
    </w:p>
    <w:p w14:paraId="340C6DEB">
      <w:pPr>
        <w:widowControl/>
        <w:adjustRightInd w:val="0"/>
        <w:snapToGrid w:val="0"/>
        <w:rPr>
          <w:color w:val="auto"/>
          <w:szCs w:val="21"/>
        </w:rPr>
      </w:pPr>
      <w:r>
        <w:rPr>
          <w:rFonts w:hint="eastAsia"/>
          <w:color w:val="auto"/>
          <w:szCs w:val="21"/>
        </w:rPr>
        <w:t>4.评审委员会基于专业判断，认为供应商报价过低，有可能影响产品质量或者不能诚信履约的其他情形。</w:t>
      </w:r>
    </w:p>
    <w:p w14:paraId="5BE1972D">
      <w:pPr>
        <w:widowControl/>
        <w:adjustRightInd w:val="0"/>
        <w:snapToGrid w:val="0"/>
        <w:rPr>
          <w:color w:val="auto"/>
          <w:szCs w:val="21"/>
        </w:rPr>
      </w:pPr>
      <w:r>
        <w:rPr>
          <w:rFonts w:hint="eastAsia"/>
          <w:color w:val="auto"/>
          <w:szCs w:val="21"/>
        </w:rPr>
        <w:t>采购人可以结合具体项目实际情况，提高上述第1项至第3项中启动异常低价投标（响应）审查的数值标准，但是最高不得超过65%。</w:t>
      </w:r>
    </w:p>
    <w:p w14:paraId="78718C22">
      <w:pPr>
        <w:widowControl/>
        <w:adjustRightInd w:val="0"/>
        <w:snapToGrid w:val="0"/>
        <w:rPr>
          <w:color w:val="auto"/>
          <w:szCs w:val="21"/>
        </w:rPr>
      </w:pPr>
      <w:r>
        <w:rPr>
          <w:rFonts w:hint="eastAsia"/>
          <w:color w:val="auto"/>
          <w:szCs w:val="21"/>
        </w:rPr>
        <w:t>相关法律法规对供应商报价有规定的，从其规定。</w:t>
      </w:r>
    </w:p>
    <w:p w14:paraId="3719FF0B">
      <w:pPr>
        <w:widowControl/>
        <w:adjustRightInd w:val="0"/>
        <w:snapToGrid w:val="0"/>
        <w:rPr>
          <w:color w:val="auto"/>
          <w:szCs w:val="21"/>
        </w:rPr>
      </w:pPr>
      <w:r>
        <w:rPr>
          <w:rFonts w:hint="eastAsia"/>
          <w:color w:val="auto"/>
          <w:szCs w:val="21"/>
        </w:rPr>
        <w:t>（二）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7B5A2B39">
      <w:pPr>
        <w:widowControl/>
        <w:adjustRightInd w:val="0"/>
        <w:snapToGrid w:val="0"/>
        <w:rPr>
          <w:color w:val="auto"/>
          <w:szCs w:val="21"/>
        </w:rPr>
      </w:pPr>
      <w:r>
        <w:rPr>
          <w:rFonts w:hint="eastAsia"/>
          <w:color w:val="auto"/>
          <w:szCs w:val="21"/>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4D392EEE">
      <w:pPr>
        <w:widowControl/>
        <w:adjustRightInd w:val="0"/>
        <w:snapToGrid w:val="0"/>
        <w:rPr>
          <w:color w:val="auto"/>
          <w:szCs w:val="21"/>
        </w:rPr>
      </w:pPr>
      <w:r>
        <w:rPr>
          <w:rFonts w:hint="eastAsia"/>
          <w:color w:val="auto"/>
          <w:szCs w:val="21"/>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25CA38CE">
      <w:pPr>
        <w:widowControl/>
        <w:adjustRightInd w:val="0"/>
        <w:snapToGrid w:val="0"/>
        <w:rPr>
          <w:color w:val="auto"/>
          <w:szCs w:val="21"/>
        </w:rPr>
      </w:pPr>
      <w:r>
        <w:rPr>
          <w:rFonts w:hint="eastAsia"/>
          <w:color w:val="auto"/>
          <w:szCs w:val="21"/>
        </w:rPr>
        <w:t>异常低价投标（响应）审查的启动原因、审查意见和审查结果应当在评审报告中记录，并随供应商提供的相关书面说明及证明材料，以及评审委员会有关互联网浏览、查询历史一并归档。</w:t>
      </w:r>
    </w:p>
    <w:p w14:paraId="59F1F03B">
      <w:pPr>
        <w:widowControl/>
        <w:adjustRightInd w:val="0"/>
        <w:snapToGrid w:val="0"/>
        <w:rPr>
          <w:color w:val="auto"/>
          <w:szCs w:val="21"/>
        </w:rPr>
      </w:pPr>
      <w:r>
        <w:rPr>
          <w:rFonts w:hint="eastAsia"/>
          <w:color w:val="auto"/>
          <w:szCs w:val="21"/>
        </w:rPr>
        <w:t>（三）各级财政部门应当加强对评审专家的指导和监管，进一步压实评审专家的责任。财政部门在投诉处理、监督检查中发现评审委员会未按规定对异常低价开展审查的，依法予以纠正并追究评审专家的法律责任。</w:t>
      </w:r>
    </w:p>
    <w:p w14:paraId="3199E685">
      <w:pPr>
        <w:widowControl/>
        <w:adjustRightInd w:val="0"/>
        <w:snapToGrid w:val="0"/>
        <w:rPr>
          <w:color w:val="auto"/>
          <w:szCs w:val="21"/>
        </w:rPr>
      </w:pPr>
      <w:r>
        <w:rPr>
          <w:rFonts w:hint="eastAsia"/>
          <w:color w:val="auto"/>
          <w:szCs w:val="21"/>
        </w:rPr>
        <w:t>三、加强政府采购履约验收管理</w:t>
      </w:r>
    </w:p>
    <w:p w14:paraId="782D430C">
      <w:pPr>
        <w:widowControl/>
        <w:adjustRightInd w:val="0"/>
        <w:snapToGrid w:val="0"/>
        <w:rPr>
          <w:color w:val="auto"/>
          <w:szCs w:val="21"/>
        </w:rPr>
      </w:pPr>
      <w:r>
        <w:rPr>
          <w:rFonts w:hint="eastAsia"/>
          <w:color w:val="auto"/>
          <w:szCs w:val="21"/>
        </w:rPr>
        <w:t>采购人应当落实履约验收责任，依法组织履约验收工作，验收内容要包括每一项技术和商务要求的履约情况。对报价触发异常低价投标（响应）审查程序后仍中标（成交）的供应商，采购人要重点关注其履约承诺、实际履约情况等。对可以分期实施的采购项目，实行分期考核、分期验收、分期支付，及时掌握供应商履约进展。如供应商中标（成交）后无正当理由拒不签订政府采购合同的，依法予以处理；如供应商不履行合同或者未按合同约定履行合同导致验收不合格的，采购人应当依法追究其违约责任。</w:t>
      </w:r>
    </w:p>
    <w:p w14:paraId="7B720F2E">
      <w:pPr>
        <w:widowControl/>
        <w:adjustRightInd w:val="0"/>
        <w:snapToGrid w:val="0"/>
        <w:rPr>
          <w:color w:val="auto"/>
          <w:szCs w:val="21"/>
        </w:rPr>
      </w:pPr>
      <w:r>
        <w:rPr>
          <w:rFonts w:hint="eastAsia"/>
          <w:color w:val="auto"/>
          <w:szCs w:val="21"/>
        </w:rPr>
        <w:t>各部门、各地区要充分认识解决政府采购异常低价问题的重要意义，加强组织领导，周密安排部署，强化监督指导，结合工作实际，通过完善采购文件标准文本、增设交易系统功能、加强履约担保、加大违约责任追究力度等措施，进一步细化工作举措，确保各项要求落实到位。</w:t>
      </w:r>
    </w:p>
    <w:p w14:paraId="61BD403C">
      <w:pPr>
        <w:widowControl/>
        <w:adjustRightInd w:val="0"/>
        <w:snapToGrid w:val="0"/>
        <w:rPr>
          <w:color w:val="auto"/>
          <w:szCs w:val="21"/>
        </w:rPr>
      </w:pPr>
      <w:r>
        <w:rPr>
          <w:rFonts w:hint="eastAsia"/>
          <w:color w:val="auto"/>
          <w:szCs w:val="21"/>
        </w:rPr>
        <w:t>本通知自2026年2月1日起施行。</w:t>
      </w:r>
    </w:p>
    <w:p w14:paraId="3456269F">
      <w:pPr>
        <w:widowControl/>
        <w:adjustRightInd w:val="0"/>
        <w:snapToGrid w:val="0"/>
        <w:jc w:val="right"/>
        <w:rPr>
          <w:color w:val="auto"/>
          <w:szCs w:val="21"/>
        </w:rPr>
      </w:pPr>
      <w:r>
        <w:rPr>
          <w:color w:val="auto"/>
          <w:szCs w:val="21"/>
        </w:rPr>
        <w:t>财政部</w:t>
      </w:r>
    </w:p>
    <w:p w14:paraId="68148005">
      <w:pPr>
        <w:jc w:val="right"/>
        <w:rPr>
          <w:color w:val="auto"/>
        </w:rPr>
      </w:pPr>
      <w:r>
        <w:rPr>
          <w:color w:val="auto"/>
          <w:szCs w:val="21"/>
        </w:rPr>
        <w:t>2026年1月14日</w:t>
      </w:r>
    </w:p>
    <w:sectPr>
      <w:headerReference r:id="rId22" w:type="default"/>
      <w:footerReference r:id="rId23" w:type="default"/>
      <w:pgSz w:w="11920" w:h="16840"/>
      <w:pgMar w:top="1440" w:right="1417" w:bottom="1440" w:left="1417" w:header="794" w:footer="851" w:gutter="284"/>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华文细黑">
    <w:altName w:val="微软雅黑"/>
    <w:panose1 w:val="02010600040101010101"/>
    <w:charset w:val="86"/>
    <w:family w:val="auto"/>
    <w:pitch w:val="default"/>
    <w:sig w:usb0="00000000" w:usb1="00000000" w:usb2="00000010" w:usb3="00000000" w:csb0="0004009F" w:csb1="00000000"/>
  </w:font>
  <w:font w:name="微软雅黑">
    <w:panose1 w:val="020B0503020204020204"/>
    <w:charset w:val="86"/>
    <w:family w:val="auto"/>
    <w:pitch w:val="default"/>
    <w:sig w:usb0="80000287" w:usb1="2ACF3C50" w:usb2="00000016" w:usb3="00000000" w:csb0="0004001F" w:csb1="00000000"/>
  </w:font>
  <w:font w:name="Wingdings 2">
    <w:altName w:val="Wingdings"/>
    <w:panose1 w:val="05020102010507070707"/>
    <w:charset w:val="02"/>
    <w:family w:val="roman"/>
    <w:pitch w:val="default"/>
    <w:sig w:usb0="00000000" w:usb1="00000000" w:usb2="00000000" w:usb3="00000000" w:csb0="80000000" w:csb1="00000000"/>
  </w:font>
  <w:font w:name="Segoe UI Symbol">
    <w:panose1 w:val="020B0502040204020203"/>
    <w:charset w:val="00"/>
    <w:family w:val="swiss"/>
    <w:pitch w:val="default"/>
    <w:sig w:usb0="800001E3" w:usb1="1200FFEF" w:usb2="00040000" w:usb3="04000000" w:csb0="00000001" w:csb1="40000000"/>
  </w:font>
  <w:font w:name="Kingsoft UE">
    <w:panose1 w:val="02000100010000000000"/>
    <w:charset w:val="00"/>
    <w:family w:val="auto"/>
    <w:pitch w:val="default"/>
    <w:sig w:usb0="00000001" w:usb1="00004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D8DFED">
    <w:pPr>
      <w:pStyle w:val="23"/>
      <w:ind w:firstLine="360"/>
      <w:rPr>
        <w:rStyle w:val="43"/>
      </w:rPr>
    </w:pPr>
    <w:r>
      <w:fldChar w:fldCharType="begin"/>
    </w:r>
    <w:r>
      <w:rPr>
        <w:rStyle w:val="43"/>
      </w:rPr>
      <w:instrText xml:space="preserve">PAGE  </w:instrText>
    </w:r>
    <w:r>
      <w:fldChar w:fldCharType="end"/>
    </w:r>
  </w:p>
  <w:p w14:paraId="64137B76">
    <w:pPr>
      <w:pStyle w:val="23"/>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14997365"/>
    </w:sdtPr>
    <w:sdtContent>
      <w:p w14:paraId="6090D342">
        <w:pPr>
          <w:pStyle w:val="23"/>
          <w:ind w:firstLine="360"/>
          <w:jc w:val="center"/>
        </w:pPr>
        <w:r>
          <w:fldChar w:fldCharType="begin"/>
        </w:r>
        <w:r>
          <w:instrText xml:space="preserve">PAGE   \* MERGEFORMAT</w:instrText>
        </w:r>
        <w:r>
          <w:fldChar w:fldCharType="separate"/>
        </w:r>
        <w:r>
          <w:rPr>
            <w:lang w:val="zh-CN"/>
          </w:rPr>
          <w:t>2</w:t>
        </w:r>
        <w:r>
          <w:rPr>
            <w:lang w:val="zh-CN"/>
          </w:rPr>
          <w:fldChar w:fldCharType="end"/>
        </w:r>
      </w:p>
    </w:sdtContent>
  </w:sdt>
  <w:p w14:paraId="2F057813">
    <w:pPr>
      <w:pStyle w:val="23"/>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45030086"/>
    </w:sdtPr>
    <w:sdtContent>
      <w:p w14:paraId="7169A9E6">
        <w:pPr>
          <w:pStyle w:val="23"/>
          <w:ind w:firstLine="360"/>
          <w:jc w:val="center"/>
        </w:pPr>
        <w:r>
          <w:fldChar w:fldCharType="begin"/>
        </w:r>
        <w:r>
          <w:instrText xml:space="preserve">PAGE   \* MERGEFORMAT</w:instrText>
        </w:r>
        <w:r>
          <w:fldChar w:fldCharType="separate"/>
        </w:r>
        <w:r>
          <w:rPr>
            <w:lang w:val="zh-CN"/>
          </w:rPr>
          <w:t>1</w:t>
        </w:r>
        <w:r>
          <w:rPr>
            <w:lang w:val="zh-CN"/>
          </w:rPr>
          <w:fldChar w:fldCharType="end"/>
        </w:r>
      </w:p>
    </w:sdtContent>
  </w:sdt>
  <w:p w14:paraId="7DA7C53A">
    <w:pPr>
      <w:pStyle w:val="23"/>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17936172"/>
    </w:sdtPr>
    <w:sdtContent>
      <w:p w14:paraId="28FF1979">
        <w:pPr>
          <w:pStyle w:val="23"/>
          <w:ind w:firstLine="360"/>
          <w:jc w:val="center"/>
        </w:pPr>
        <w:r>
          <w:fldChar w:fldCharType="begin"/>
        </w:r>
        <w:r>
          <w:instrText xml:space="preserve">PAGE   \* MERGEFORMAT</w:instrText>
        </w:r>
        <w:r>
          <w:fldChar w:fldCharType="separate"/>
        </w:r>
        <w:r>
          <w:rPr>
            <w:lang w:val="zh-CN"/>
          </w:rPr>
          <w:t>13</w:t>
        </w:r>
        <w:r>
          <w:rPr>
            <w:lang w:val="zh-CN"/>
          </w:rPr>
          <w:fldChar w:fldCharType="end"/>
        </w:r>
      </w:p>
    </w:sdtContent>
  </w:sdt>
  <w:p w14:paraId="5D81057B">
    <w:pPr>
      <w:pStyle w:val="23"/>
      <w:ind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3CE38F">
    <w:pPr>
      <w:pStyle w:val="23"/>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0C6F7C44">
                          <w:pPr>
                            <w:pStyle w:val="23"/>
                            <w:ind w:firstLine="360"/>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LLoL0tAgAAVg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PLLoL0tAgAAVgQAAA4AAAAAAAAAAQAgAAAAHwEAAGRycy9lMm9Eb2MueG1sUEsFBgAAAAAG&#10;AAYAWQEAAL4FAAAAAA==&#10;">
              <v:fill on="f" focussize="0,0"/>
              <v:stroke on="f" weight="0.5pt"/>
              <v:imagedata o:title=""/>
              <o:lock v:ext="edit" aspectratio="f"/>
              <v:textbox inset="0mm,0mm,0mm,0mm" style="mso-fit-shape-to-text:t;">
                <w:txbxContent>
                  <w:p w14:paraId="0C6F7C44">
                    <w:pPr>
                      <w:pStyle w:val="23"/>
                      <w:ind w:firstLine="360"/>
                    </w:pPr>
                    <w:r>
                      <w:fldChar w:fldCharType="begin"/>
                    </w:r>
                    <w:r>
                      <w:instrText xml:space="preserve"> PAGE  \* MERGEFORMAT </w:instrText>
                    </w:r>
                    <w:r>
                      <w:fldChar w:fldCharType="separate"/>
                    </w:r>
                    <w:r>
                      <w:t>5</w:t>
                    </w:r>
                    <w:r>
                      <w:fldChar w:fldCharType="end"/>
                    </w:r>
                  </w:p>
                </w:txbxContent>
              </v:textbox>
            </v:shape>
          </w:pict>
        </mc:Fallback>
      </mc:AlternateContent>
    </w:r>
    <w:r>
      <w:rPr>
        <w:rFonts w:hint="eastAsia"/>
      </w:rPr>
      <w:t>1</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161088">
    <w:pPr>
      <w:pStyle w:val="23"/>
      <w:ind w:firstLine="360"/>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57785" cy="131445"/>
              <wp:effectExtent l="0" t="0" r="0" b="0"/>
              <wp:wrapNone/>
              <wp:docPr id="16" name="文本框 9"/>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w="6350">
                        <a:noFill/>
                      </a:ln>
                    </wps:spPr>
                    <wps:txbx>
                      <w:txbxContent>
                        <w:p w14:paraId="6E9E82E3">
                          <w:pPr>
                            <w:pStyle w:val="23"/>
                            <w:ind w:firstLine="360"/>
                          </w:pPr>
                          <w:r>
                            <w:fldChar w:fldCharType="begin"/>
                          </w:r>
                          <w:r>
                            <w:instrText xml:space="preserve"> PAGE  \* MERGEFORMAT </w:instrText>
                          </w:r>
                          <w:r>
                            <w:fldChar w:fldCharType="separate"/>
                          </w:r>
                          <w:r>
                            <w:t>33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9" o:spid="_x0000_s1026" o:spt="202" type="#_x0000_t202" style="position:absolute;left:0pt;margin-top:0pt;height:10.35pt;width:4.55pt;mso-position-horizontal:center;mso-position-horizontal-relative:margin;mso-wrap-style:none;z-index:251666432;mso-width-relative:page;mso-height-relative:page;" filled="f" stroked="f" coordsize="21600,21600" o:gfxdata="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DrvABY0QAAAAIBAAAPAAAAAAAAAAEAIAAAACIAAABkcnMvZG93bnJldi54bWxQSwECFAAU&#10;AAAACACHTuJA/x+NUTECAABTBAAADgAAAAAAAAABACAAAAAgAQAAZHJzL2Uyb0RvYy54bWxQSwUG&#10;AAAAAAYABgBZAQAAwwUAAAAA&#10;">
              <v:fill on="f" focussize="0,0"/>
              <v:stroke on="f" weight="0.5pt"/>
              <v:imagedata o:title=""/>
              <o:lock v:ext="edit" aspectratio="f"/>
              <v:textbox inset="0mm,0mm,0mm,0mm" style="mso-fit-shape-to-text:t;">
                <w:txbxContent>
                  <w:p w14:paraId="6E9E82E3">
                    <w:pPr>
                      <w:pStyle w:val="23"/>
                      <w:ind w:firstLine="360"/>
                    </w:pPr>
                    <w:r>
                      <w:fldChar w:fldCharType="begin"/>
                    </w:r>
                    <w:r>
                      <w:instrText xml:space="preserve"> PAGE  \* MERGEFORMAT </w:instrText>
                    </w:r>
                    <w:r>
                      <w:fldChar w:fldCharType="separate"/>
                    </w:r>
                    <w:r>
                      <w:t>33</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5367B3">
    <w:pPr>
      <w:pStyle w:val="23"/>
      <w:ind w:firstLine="360"/>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14935" cy="131445"/>
              <wp:effectExtent l="0" t="0" r="0" b="0"/>
              <wp:wrapNone/>
              <wp:docPr id="1162922199" name="文本框 7"/>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w="6350">
                        <a:noFill/>
                      </a:ln>
                    </wps:spPr>
                    <wps:txbx>
                      <w:txbxContent>
                        <w:p w14:paraId="54C251F9">
                          <w:pPr>
                            <w:pStyle w:val="23"/>
                            <w:ind w:firstLine="360"/>
                          </w:pPr>
                          <w:r>
                            <w:fldChar w:fldCharType="begin"/>
                          </w:r>
                          <w:r>
                            <w:instrText xml:space="preserve"> PAGE   \* MERGEFORMAT </w:instrText>
                          </w:r>
                          <w:r>
                            <w:fldChar w:fldCharType="separate"/>
                          </w:r>
                          <w:r>
                            <w:rPr>
                              <w:lang w:val="zh-CN"/>
                            </w:rPr>
                            <w:t>35</w:t>
                          </w:r>
                          <w:r>
                            <w:rPr>
                              <w:lang w:val="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7" o:spid="_x0000_s1026" o:spt="202" type="#_x0000_t202" style="position:absolute;left:0pt;margin-top:0pt;height:10.35pt;width:9.05pt;mso-position-horizontal:center;mso-position-horizontal-relative:margin;mso-wrap-style:none;z-index:251665408;mso-width-relative:page;mso-height-relative:page;" filled="f" stroked="f" coordsize="21600,21600" o:gfxdata="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KXcYXXSAAAAAwEAAA8AAAAAAAAAAQAgAAAAIgAAAGRycy9kb3ducmV2Lnht&#10;bFBLAQIUABQAAAAIAIdO4kASA4m3OAIAAFwEAAAOAAAAAAAAAAEAIAAAACEBAABkcnMvZTJvRG9j&#10;LnhtbFBLBQYAAAAABgAGAFkBAADLBQAAAAA=&#10;">
              <v:fill on="f" focussize="0,0"/>
              <v:stroke on="f" weight="0.5pt"/>
              <v:imagedata o:title=""/>
              <o:lock v:ext="edit" aspectratio="f"/>
              <v:textbox inset="0mm,0mm,0mm,0mm" style="mso-fit-shape-to-text:t;">
                <w:txbxContent>
                  <w:p w14:paraId="54C251F9">
                    <w:pPr>
                      <w:pStyle w:val="23"/>
                      <w:ind w:firstLine="360"/>
                    </w:pPr>
                    <w:r>
                      <w:fldChar w:fldCharType="begin"/>
                    </w:r>
                    <w:r>
                      <w:instrText xml:space="preserve"> PAGE   \* MERGEFORMAT </w:instrText>
                    </w:r>
                    <w:r>
                      <w:fldChar w:fldCharType="separate"/>
                    </w:r>
                    <w:r>
                      <w:rPr>
                        <w:lang w:val="zh-CN"/>
                      </w:rPr>
                      <w:t>35</w:t>
                    </w:r>
                    <w:r>
                      <w:rPr>
                        <w:lang w:val="zh-CN"/>
                      </w:rPr>
                      <w:fldChar w:fldCharType="end"/>
                    </w:r>
                  </w:p>
                </w:txbxContent>
              </v:textbox>
            </v:shape>
          </w:pict>
        </mc:Fallback>
      </mc:AlternateContent>
    </w:r>
  </w:p>
  <w:p w14:paraId="08BE2A27">
    <w:pPr>
      <w:pStyle w:val="23"/>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731D80">
    <w:pPr>
      <w:pStyle w:val="16"/>
      <w:rPr>
        <w:sz w:val="20"/>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ge">
                <wp:posOffset>9917430</wp:posOffset>
              </wp:positionV>
              <wp:extent cx="166370" cy="139700"/>
              <wp:effectExtent l="0" t="0" r="0" b="0"/>
              <wp:wrapNone/>
              <wp:docPr id="6" name="文本框 8"/>
              <wp:cNvGraphicFramePr/>
              <a:graphic xmlns:a="http://schemas.openxmlformats.org/drawingml/2006/main">
                <a:graphicData uri="http://schemas.microsoft.com/office/word/2010/wordprocessingShape">
                  <wps:wsp>
                    <wps:cNvSpPr txBox="1"/>
                    <wps:spPr>
                      <a:xfrm>
                        <a:off x="0" y="0"/>
                        <a:ext cx="166370" cy="139700"/>
                      </a:xfrm>
                      <a:prstGeom prst="rect">
                        <a:avLst/>
                      </a:prstGeom>
                      <a:noFill/>
                      <a:ln>
                        <a:noFill/>
                      </a:ln>
                    </wps:spPr>
                    <wps:txbx>
                      <w:txbxContent>
                        <w:p w14:paraId="60CF2610">
                          <w:r>
                            <w:fldChar w:fldCharType="begin"/>
                          </w:r>
                          <w:r>
                            <w:instrText xml:space="preserve"> PAGE </w:instrText>
                          </w:r>
                          <w:r>
                            <w:fldChar w:fldCharType="separate"/>
                          </w:r>
                          <w:r>
                            <w:t>51</w:t>
                          </w:r>
                          <w:r>
                            <w:fldChar w:fldCharType="end"/>
                          </w:r>
                        </w:p>
                      </w:txbxContent>
                    </wps:txbx>
                    <wps:bodyPr lIns="0" tIns="0" rIns="0" bIns="0" upright="1"/>
                  </wps:wsp>
                </a:graphicData>
              </a:graphic>
            </wp:anchor>
          </w:drawing>
        </mc:Choice>
        <mc:Fallback>
          <w:pict>
            <v:shape id="文本框 8" o:spid="_x0000_s1026" o:spt="202" type="#_x0000_t202" style="position:absolute;left:0pt;margin-top:780.9pt;height:11pt;width:13.1pt;mso-position-horizontal:center;mso-position-horizontal-relative:margin;mso-position-vertical-relative:page;z-index:251660288;mso-width-relative:page;mso-height-relative:page;" filled="f" stroked="f" coordsize="21600,21600" o:gfxdata="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DvV+T9cAAAAJAQAADwAAAAAAAAABACAAAAAiAAAAZHJzL2Rvd25yZXYueG1sUEsBAhQA&#10;FAAAAAgAh07iQFPoJyq6AQAAcQMAAA4AAAAAAAAAAQAgAAAAJgEAAGRycy9lMm9Eb2MueG1sUEsF&#10;BgAAAAAGAAYAWQEAAFIFAAAAAA==&#10;">
              <v:fill on="f" focussize="0,0"/>
              <v:stroke on="f"/>
              <v:imagedata o:title=""/>
              <o:lock v:ext="edit" aspectratio="f"/>
              <v:textbox inset="0mm,0mm,0mm,0mm">
                <w:txbxContent>
                  <w:p w14:paraId="60CF2610">
                    <w:r>
                      <w:fldChar w:fldCharType="begin"/>
                    </w:r>
                    <w:r>
                      <w:instrText xml:space="preserve"> PAGE </w:instrText>
                    </w:r>
                    <w:r>
                      <w:fldChar w:fldCharType="separate"/>
                    </w:r>
                    <w:r>
                      <w:t>51</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2D79FA">
    <w:pPr>
      <w:pStyle w:val="16"/>
      <w:rPr>
        <w:sz w:val="20"/>
      </w:rP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ge">
                <wp:posOffset>9917430</wp:posOffset>
              </wp:positionV>
              <wp:extent cx="166370" cy="139700"/>
              <wp:effectExtent l="0" t="0" r="0" b="0"/>
              <wp:wrapNone/>
              <wp:docPr id="12" name="文本框 9"/>
              <wp:cNvGraphicFramePr/>
              <a:graphic xmlns:a="http://schemas.openxmlformats.org/drawingml/2006/main">
                <a:graphicData uri="http://schemas.microsoft.com/office/word/2010/wordprocessingShape">
                  <wps:wsp>
                    <wps:cNvSpPr txBox="1"/>
                    <wps:spPr>
                      <a:xfrm>
                        <a:off x="0" y="0"/>
                        <a:ext cx="166370" cy="139700"/>
                      </a:xfrm>
                      <a:prstGeom prst="rect">
                        <a:avLst/>
                      </a:prstGeom>
                      <a:noFill/>
                      <a:ln>
                        <a:noFill/>
                      </a:ln>
                    </wps:spPr>
                    <wps:txbx>
                      <w:txbxContent>
                        <w:p w14:paraId="019F501B">
                          <w:r>
                            <w:fldChar w:fldCharType="begin"/>
                          </w:r>
                          <w:r>
                            <w:instrText xml:space="preserve"> PAGE </w:instrText>
                          </w:r>
                          <w:r>
                            <w:fldChar w:fldCharType="separate"/>
                          </w:r>
                          <w:r>
                            <w:t>52</w:t>
                          </w:r>
                          <w:r>
                            <w:fldChar w:fldCharType="end"/>
                          </w:r>
                        </w:p>
                      </w:txbxContent>
                    </wps:txbx>
                    <wps:bodyPr lIns="0" tIns="0" rIns="0" bIns="0" upright="1"/>
                  </wps:wsp>
                </a:graphicData>
              </a:graphic>
            </wp:anchor>
          </w:drawing>
        </mc:Choice>
        <mc:Fallback>
          <w:pict>
            <v:shape id="文本框 9" o:spid="_x0000_s1026" o:spt="202" type="#_x0000_t202" style="position:absolute;left:0pt;margin-top:780.9pt;height:11pt;width:13.1pt;mso-position-horizontal:center;mso-position-horizontal-relative:margin;mso-position-vertical-relative:page;z-index:251662336;mso-width-relative:page;mso-height-relative:page;" filled="f" stroked="f" coordsize="21600,21600" o:gfxdata="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DvV+T9cAAAAJAQAADwAAAAAAAAABACAAAAAiAAAAZHJzL2Rvd25yZXYueG1sUEsBAhQA&#10;FAAAAAgAh07iQCItZga6AQAAcgMAAA4AAAAAAAAAAQAgAAAAJgEAAGRycy9lMm9Eb2MueG1sUEsF&#10;BgAAAAAGAAYAWQEAAFIFAAAAAA==&#10;">
              <v:fill on="f" focussize="0,0"/>
              <v:stroke on="f"/>
              <v:imagedata o:title=""/>
              <o:lock v:ext="edit" aspectratio="f"/>
              <v:textbox inset="0mm,0mm,0mm,0mm">
                <w:txbxContent>
                  <w:p w14:paraId="019F501B">
                    <w:r>
                      <w:fldChar w:fldCharType="begin"/>
                    </w:r>
                    <w:r>
                      <w:instrText xml:space="preserve"> PAGE </w:instrText>
                    </w:r>
                    <w:r>
                      <w:fldChar w:fldCharType="separate"/>
                    </w:r>
                    <w:r>
                      <w:t>52</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55DF0C">
    <w:pPr>
      <w:pStyle w:val="16"/>
      <w:rPr>
        <w:sz w:val="20"/>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ge">
                <wp:posOffset>9917430</wp:posOffset>
              </wp:positionV>
              <wp:extent cx="166370" cy="139700"/>
              <wp:effectExtent l="0" t="0" r="0" b="0"/>
              <wp:wrapNone/>
              <wp:docPr id="515027385" name="文本框 9"/>
              <wp:cNvGraphicFramePr/>
              <a:graphic xmlns:a="http://schemas.openxmlformats.org/drawingml/2006/main">
                <a:graphicData uri="http://schemas.microsoft.com/office/word/2010/wordprocessingShape">
                  <wps:wsp>
                    <wps:cNvSpPr txBox="1"/>
                    <wps:spPr>
                      <a:xfrm>
                        <a:off x="0" y="0"/>
                        <a:ext cx="166370" cy="139700"/>
                      </a:xfrm>
                      <a:prstGeom prst="rect">
                        <a:avLst/>
                      </a:prstGeom>
                      <a:noFill/>
                      <a:ln>
                        <a:noFill/>
                      </a:ln>
                    </wps:spPr>
                    <wps:txbx>
                      <w:txbxContent>
                        <w:p w14:paraId="02DD7BFA">
                          <w:r>
                            <w:fldChar w:fldCharType="begin"/>
                          </w:r>
                          <w:r>
                            <w:instrText xml:space="preserve"> PAGE </w:instrText>
                          </w:r>
                          <w:r>
                            <w:fldChar w:fldCharType="separate"/>
                          </w:r>
                          <w:r>
                            <w:t>53</w:t>
                          </w:r>
                          <w:r>
                            <w:fldChar w:fldCharType="end"/>
                          </w:r>
                        </w:p>
                      </w:txbxContent>
                    </wps:txbx>
                    <wps:bodyPr lIns="0" tIns="0" rIns="0" bIns="0" upright="1"/>
                  </wps:wsp>
                </a:graphicData>
              </a:graphic>
            </wp:anchor>
          </w:drawing>
        </mc:Choice>
        <mc:Fallback>
          <w:pict>
            <v:shape id="文本框 9" o:spid="_x0000_s1026" o:spt="202" type="#_x0000_t202" style="position:absolute;left:0pt;margin-top:780.9pt;height:11pt;width:13.1pt;mso-position-horizontal:center;mso-position-horizontal-relative:margin;mso-position-vertical-relative:page;z-index:251663360;mso-width-relative:page;mso-height-relative:page;" filled="f" stroked="f" coordsize="21600,21600" o:gfxdata="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AO9X5P1wAAAAkBAAAPAAAAAAAAAAEAIAAAACIAAABkcnMvZG93bnJldi54&#10;bWxQSwECFAAUAAAACACHTuJAQR89n8IBAAB5AwAADgAAAAAAAAABACAAAAAmAQAAZHJzL2Uyb0Rv&#10;Yy54bWxQSwUGAAAAAAYABgBZAQAAWgUAAAAA&#10;">
              <v:fill on="f" focussize="0,0"/>
              <v:stroke on="f"/>
              <v:imagedata o:title=""/>
              <o:lock v:ext="edit" aspectratio="f"/>
              <v:textbox inset="0mm,0mm,0mm,0mm">
                <w:txbxContent>
                  <w:p w14:paraId="02DD7BFA">
                    <w:r>
                      <w:fldChar w:fldCharType="begin"/>
                    </w:r>
                    <w:r>
                      <w:instrText xml:space="preserve"> PAGE </w:instrText>
                    </w:r>
                    <w:r>
                      <w:fldChar w:fldCharType="separate"/>
                    </w:r>
                    <w:r>
                      <w:t>53</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5663FF">
    <w:pPr>
      <w:pStyle w:val="16"/>
      <w:rPr>
        <w:sz w:val="20"/>
      </w:rPr>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ge">
                <wp:posOffset>9917430</wp:posOffset>
              </wp:positionV>
              <wp:extent cx="222250" cy="139700"/>
              <wp:effectExtent l="0" t="0" r="0" b="0"/>
              <wp:wrapNone/>
              <wp:docPr id="9" name="文本框 11"/>
              <wp:cNvGraphicFramePr/>
              <a:graphic xmlns:a="http://schemas.openxmlformats.org/drawingml/2006/main">
                <a:graphicData uri="http://schemas.microsoft.com/office/word/2010/wordprocessingShape">
                  <wps:wsp>
                    <wps:cNvSpPr txBox="1"/>
                    <wps:spPr>
                      <a:xfrm>
                        <a:off x="0" y="0"/>
                        <a:ext cx="222250" cy="139700"/>
                      </a:xfrm>
                      <a:prstGeom prst="rect">
                        <a:avLst/>
                      </a:prstGeom>
                      <a:noFill/>
                      <a:ln>
                        <a:noFill/>
                      </a:ln>
                    </wps:spPr>
                    <wps:txbx>
                      <w:txbxContent>
                        <w:p w14:paraId="793633C7">
                          <w:r>
                            <w:fldChar w:fldCharType="begin"/>
                          </w:r>
                          <w:r>
                            <w:instrText xml:space="preserve"> PAGE </w:instrText>
                          </w:r>
                          <w:r>
                            <w:fldChar w:fldCharType="separate"/>
                          </w:r>
                          <w:r>
                            <w:t>61</w:t>
                          </w:r>
                          <w:r>
                            <w:fldChar w:fldCharType="end"/>
                          </w:r>
                        </w:p>
                      </w:txbxContent>
                    </wps:txbx>
                    <wps:bodyPr lIns="0" tIns="0" rIns="0" bIns="0" upright="1"/>
                  </wps:wsp>
                </a:graphicData>
              </a:graphic>
            </wp:anchor>
          </w:drawing>
        </mc:Choice>
        <mc:Fallback>
          <w:pict>
            <v:shape id="文本框 11" o:spid="_x0000_s1026" o:spt="202" type="#_x0000_t202" style="position:absolute;left:0pt;margin-top:780.9pt;height:11pt;width:17.5pt;mso-position-horizontal:center;mso-position-horizontal-relative:margin;mso-position-vertical-relative:page;z-index:251664384;mso-width-relative:page;mso-height-relative:page;" filled="f" stroked="f" coordsize="21600,21600" o:gfxdata="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CPijfD1gAAAAkBAAAPAAAAAAAAAAEAIAAAACIAAABkcnMvZG93bnJldi54bWxQSwECFAAU&#10;AAAACACHTuJAslL1w7oBAAByAwAADgAAAAAAAAABACAAAAAlAQAAZHJzL2Uyb0RvYy54bWxQSwUG&#10;AAAAAAYABgBZAQAAUQUAAAAA&#10;">
              <v:fill on="f" focussize="0,0"/>
              <v:stroke on="f"/>
              <v:imagedata o:title=""/>
              <o:lock v:ext="edit" aspectratio="f"/>
              <v:textbox inset="0mm,0mm,0mm,0mm">
                <w:txbxContent>
                  <w:p w14:paraId="793633C7">
                    <w:r>
                      <w:fldChar w:fldCharType="begin"/>
                    </w:r>
                    <w:r>
                      <w:instrText xml:space="preserve"> PAGE </w:instrText>
                    </w:r>
                    <w:r>
                      <w:fldChar w:fldCharType="separate"/>
                    </w:r>
                    <w:r>
                      <w:t>61</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E613CF">
    <w:r>
      <w:t>80</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0C4794">
    <w:pPr>
      <w:pStyle w:val="23"/>
      <w:ind w:firstLine="360"/>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14935" cy="131445"/>
              <wp:effectExtent l="0" t="0" r="0" b="0"/>
              <wp:wrapNone/>
              <wp:docPr id="1168861089" name="文本框 3"/>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w="6350">
                        <a:noFill/>
                      </a:ln>
                    </wps:spPr>
                    <wps:txbx>
                      <w:txbxContent>
                        <w:p w14:paraId="107679CE">
                          <w:pPr>
                            <w:pStyle w:val="23"/>
                            <w:ind w:firstLine="360"/>
                          </w:pPr>
                          <w:r>
                            <w:fldChar w:fldCharType="begin"/>
                          </w:r>
                          <w:r>
                            <w:instrText xml:space="preserve"> PAGE  \* MERGEFORMAT </w:instrText>
                          </w:r>
                          <w:r>
                            <w:fldChar w:fldCharType="separate"/>
                          </w:r>
                          <w:r>
                            <w:t>66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3" o:spid="_x0000_s1026" o:spt="202" type="#_x0000_t202" style="position:absolute;left:0pt;margin-top:0pt;height:10.35pt;width:9.05pt;mso-position-horizontal:center;mso-position-horizontal-relative:margin;mso-wrap-style:none;z-index:251663360;mso-width-relative:page;mso-height-relative:page;" filled="f" stroked="f" coordsize="21600,21600" o:gfxdata="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KXcYXXSAAAAAwEAAA8AAAAAAAAAAQAgAAAAIgAAAGRycy9kb3ducmV2Lnht&#10;bFBLAQIUABQAAAAIAIdO4kCub8caOAIAAFwEAAAOAAAAAAAAAAEAIAAAACEBAABkcnMvZTJvRG9j&#10;LnhtbFBLBQYAAAAABgAGAFkBAADLBQAAAAA=&#10;">
              <v:fill on="f" focussize="0,0"/>
              <v:stroke on="f" weight="0.5pt"/>
              <v:imagedata o:title=""/>
              <o:lock v:ext="edit" aspectratio="f"/>
              <v:textbox inset="0mm,0mm,0mm,0mm" style="mso-fit-shape-to-text:t;">
                <w:txbxContent>
                  <w:p w14:paraId="107679CE">
                    <w:pPr>
                      <w:pStyle w:val="23"/>
                      <w:ind w:firstLine="360"/>
                    </w:pPr>
                    <w:r>
                      <w:fldChar w:fldCharType="begin"/>
                    </w:r>
                    <w:r>
                      <w:instrText xml:space="preserve"> PAGE  \* MERGEFORMAT </w:instrText>
                    </w:r>
                    <w:r>
                      <w:fldChar w:fldCharType="separate"/>
                    </w:r>
                    <w:r>
                      <w:t>66</w:t>
                    </w:r>
                    <w:r>
                      <w:fldChar w:fldCharType="end"/>
                    </w:r>
                  </w:p>
                </w:txbxContent>
              </v:textbox>
            </v:shape>
          </w:pict>
        </mc:Fallback>
      </mc:AlternateContent>
    </w:r>
    <w:r>
      <w:rPr>
        <w:rFonts w:hint="eastAsia"/>
      </w:rPr>
      <w:t xml:space="preserve">                                     </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E7EA41">
    <w:pPr>
      <w:pStyle w:val="23"/>
      <w:ind w:firstLine="360"/>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14935" cy="131445"/>
              <wp:effectExtent l="0" t="0" r="0" b="0"/>
              <wp:wrapNone/>
              <wp:docPr id="7" name="文本框 2"/>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w="6350">
                        <a:noFill/>
                      </a:ln>
                    </wps:spPr>
                    <wps:txbx>
                      <w:txbxContent>
                        <w:p w14:paraId="1CE47A62">
                          <w:pPr>
                            <w:pStyle w:val="23"/>
                            <w:ind w:firstLine="360"/>
                          </w:pPr>
                          <w:r>
                            <w:fldChar w:fldCharType="begin"/>
                          </w:r>
                          <w:r>
                            <w:instrText xml:space="preserve"> PAGE  \* MERGEFORMAT </w:instrText>
                          </w:r>
                          <w:r>
                            <w:fldChar w:fldCharType="separate"/>
                          </w:r>
                          <w:r>
                            <w:t>79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2" o:spid="_x0000_s1026" o:spt="202" type="#_x0000_t202" style="position:absolute;left:0pt;margin-top:0pt;height:10.35pt;width:9.05pt;mso-position-horizontal:center;mso-position-horizontal-relative:margin;mso-wrap-style:none;z-index:251661312;mso-width-relative:page;mso-height-relative:page;" filled="f" stroked="f" coordsize="21600,21600" o:gfxdata="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pdxhddIAAAADAQAADwAAAAAAAAABACAAAAAiAAAAZHJzL2Rvd25yZXYueG1sUEsBAhQA&#10;FAAAAAgAh07iQLJw63wxAgAAUwQAAA4AAAAAAAAAAQAgAAAAIQEAAGRycy9lMm9Eb2MueG1sUEsF&#10;BgAAAAAGAAYAWQEAAMQFAAAAAA==&#10;">
              <v:fill on="f" focussize="0,0"/>
              <v:stroke on="f" weight="0.5pt"/>
              <v:imagedata o:title=""/>
              <o:lock v:ext="edit" aspectratio="f"/>
              <v:textbox inset="0mm,0mm,0mm,0mm" style="mso-fit-shape-to-text:t;">
                <w:txbxContent>
                  <w:p w14:paraId="1CE47A62">
                    <w:pPr>
                      <w:pStyle w:val="23"/>
                      <w:ind w:firstLine="360"/>
                    </w:pPr>
                    <w:r>
                      <w:fldChar w:fldCharType="begin"/>
                    </w:r>
                    <w:r>
                      <w:instrText xml:space="preserve"> PAGE  \* MERGEFORMAT </w:instrText>
                    </w:r>
                    <w:r>
                      <w:fldChar w:fldCharType="separate"/>
                    </w:r>
                    <w:r>
                      <w:t>79</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DD813B">
    <w:pPr>
      <w:pStyle w:val="24"/>
      <w:pBdr>
        <w:bottom w:val="none" w:color="auto" w:sz="0" w:space="1"/>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0B469B">
    <w:pPr>
      <w:pStyle w:val="24"/>
      <w:pBdr>
        <w:bottom w:val="none" w:color="auto" w:sz="0" w:space="1"/>
      </w:pBdr>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1E4FDF">
    <w:pPr>
      <w:pStyle w:val="24"/>
      <w:pBdr>
        <w:bottom w:val="none" w:color="auto" w:sz="0" w:space="1"/>
      </w:pBdr>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476D03">
    <w:pPr>
      <w:pStyle w:val="24"/>
      <w:ind w:firstLine="36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ECDCD2">
    <w:pPr>
      <w:pStyle w:val="24"/>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56BD43D"/>
    <w:multiLevelType w:val="singleLevel"/>
    <w:tmpl w:val="656BD43D"/>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RjYzFiZTQ0ZTZjZTMzOWMxZWNlYzM4NTY1YWJkZDUifQ=="/>
  </w:docVars>
  <w:rsids>
    <w:rsidRoot w:val="0002742D"/>
    <w:rsid w:val="00003CFE"/>
    <w:rsid w:val="00017BD2"/>
    <w:rsid w:val="0002742D"/>
    <w:rsid w:val="00031123"/>
    <w:rsid w:val="00032322"/>
    <w:rsid w:val="000336E2"/>
    <w:rsid w:val="00043B14"/>
    <w:rsid w:val="000457CC"/>
    <w:rsid w:val="00052405"/>
    <w:rsid w:val="0006697A"/>
    <w:rsid w:val="00071048"/>
    <w:rsid w:val="000749E3"/>
    <w:rsid w:val="00077A37"/>
    <w:rsid w:val="000824D2"/>
    <w:rsid w:val="00082B44"/>
    <w:rsid w:val="000842E2"/>
    <w:rsid w:val="00091EC7"/>
    <w:rsid w:val="000A343E"/>
    <w:rsid w:val="000A6902"/>
    <w:rsid w:val="000A7BE6"/>
    <w:rsid w:val="000B061E"/>
    <w:rsid w:val="000B20FF"/>
    <w:rsid w:val="000B2FE0"/>
    <w:rsid w:val="000B6A4A"/>
    <w:rsid w:val="000D3A0E"/>
    <w:rsid w:val="000D49CA"/>
    <w:rsid w:val="000E056F"/>
    <w:rsid w:val="000F6842"/>
    <w:rsid w:val="001003EC"/>
    <w:rsid w:val="00100AD4"/>
    <w:rsid w:val="001072F7"/>
    <w:rsid w:val="00117865"/>
    <w:rsid w:val="001226D1"/>
    <w:rsid w:val="00122E40"/>
    <w:rsid w:val="00130884"/>
    <w:rsid w:val="0013568C"/>
    <w:rsid w:val="001357D8"/>
    <w:rsid w:val="00143505"/>
    <w:rsid w:val="00154321"/>
    <w:rsid w:val="001618A9"/>
    <w:rsid w:val="001661B9"/>
    <w:rsid w:val="001669D4"/>
    <w:rsid w:val="00166AFB"/>
    <w:rsid w:val="001717F1"/>
    <w:rsid w:val="00175E4F"/>
    <w:rsid w:val="001761A4"/>
    <w:rsid w:val="001917B1"/>
    <w:rsid w:val="00197708"/>
    <w:rsid w:val="001A13D1"/>
    <w:rsid w:val="001A2D1F"/>
    <w:rsid w:val="001B2AAD"/>
    <w:rsid w:val="001C048E"/>
    <w:rsid w:val="001C4313"/>
    <w:rsid w:val="001C4728"/>
    <w:rsid w:val="001D040C"/>
    <w:rsid w:val="001D0BED"/>
    <w:rsid w:val="001E3CBA"/>
    <w:rsid w:val="001E587F"/>
    <w:rsid w:val="001E6469"/>
    <w:rsid w:val="001F406B"/>
    <w:rsid w:val="001F48A1"/>
    <w:rsid w:val="001F6654"/>
    <w:rsid w:val="001F6CA5"/>
    <w:rsid w:val="00215E15"/>
    <w:rsid w:val="00216AF9"/>
    <w:rsid w:val="00241F2A"/>
    <w:rsid w:val="002442C3"/>
    <w:rsid w:val="0025059A"/>
    <w:rsid w:val="0025719D"/>
    <w:rsid w:val="002620A7"/>
    <w:rsid w:val="002656BB"/>
    <w:rsid w:val="00267DA7"/>
    <w:rsid w:val="0027002B"/>
    <w:rsid w:val="002720CF"/>
    <w:rsid w:val="00277540"/>
    <w:rsid w:val="002864CE"/>
    <w:rsid w:val="00292B7C"/>
    <w:rsid w:val="002A35D6"/>
    <w:rsid w:val="002B2DB4"/>
    <w:rsid w:val="002B402B"/>
    <w:rsid w:val="002B5D3B"/>
    <w:rsid w:val="002C567B"/>
    <w:rsid w:val="002D2AB7"/>
    <w:rsid w:val="002D3CEF"/>
    <w:rsid w:val="002D5B44"/>
    <w:rsid w:val="002E2083"/>
    <w:rsid w:val="002E7DCD"/>
    <w:rsid w:val="002E7F94"/>
    <w:rsid w:val="002F326E"/>
    <w:rsid w:val="00303BBA"/>
    <w:rsid w:val="003153B9"/>
    <w:rsid w:val="003165E6"/>
    <w:rsid w:val="003262C6"/>
    <w:rsid w:val="003269A6"/>
    <w:rsid w:val="00326FA0"/>
    <w:rsid w:val="00331F8F"/>
    <w:rsid w:val="00340241"/>
    <w:rsid w:val="00352B2A"/>
    <w:rsid w:val="0035508E"/>
    <w:rsid w:val="0036057F"/>
    <w:rsid w:val="00365AB7"/>
    <w:rsid w:val="00394FA0"/>
    <w:rsid w:val="00395D26"/>
    <w:rsid w:val="003A37E5"/>
    <w:rsid w:val="003B0314"/>
    <w:rsid w:val="003B25D9"/>
    <w:rsid w:val="003B3E90"/>
    <w:rsid w:val="003C14B9"/>
    <w:rsid w:val="003C6850"/>
    <w:rsid w:val="003D2A8A"/>
    <w:rsid w:val="003D424E"/>
    <w:rsid w:val="003E19D8"/>
    <w:rsid w:val="003F279E"/>
    <w:rsid w:val="003F4CF8"/>
    <w:rsid w:val="00400342"/>
    <w:rsid w:val="00410330"/>
    <w:rsid w:val="00412E1D"/>
    <w:rsid w:val="00426DF4"/>
    <w:rsid w:val="00431DA1"/>
    <w:rsid w:val="00443DB5"/>
    <w:rsid w:val="00450749"/>
    <w:rsid w:val="00451C7A"/>
    <w:rsid w:val="0047106D"/>
    <w:rsid w:val="00474FAE"/>
    <w:rsid w:val="00476288"/>
    <w:rsid w:val="00476F95"/>
    <w:rsid w:val="00480A5E"/>
    <w:rsid w:val="00480E4E"/>
    <w:rsid w:val="00481885"/>
    <w:rsid w:val="004826DE"/>
    <w:rsid w:val="00485EB7"/>
    <w:rsid w:val="004A25D9"/>
    <w:rsid w:val="004A411B"/>
    <w:rsid w:val="004A5304"/>
    <w:rsid w:val="004B2165"/>
    <w:rsid w:val="004B53DC"/>
    <w:rsid w:val="004C36CE"/>
    <w:rsid w:val="004D4960"/>
    <w:rsid w:val="004D65C8"/>
    <w:rsid w:val="004E0FC6"/>
    <w:rsid w:val="004F25AF"/>
    <w:rsid w:val="0050127D"/>
    <w:rsid w:val="00510B6C"/>
    <w:rsid w:val="005269A8"/>
    <w:rsid w:val="00526CE9"/>
    <w:rsid w:val="0053106F"/>
    <w:rsid w:val="00531FA0"/>
    <w:rsid w:val="00535E7A"/>
    <w:rsid w:val="00536572"/>
    <w:rsid w:val="005457CC"/>
    <w:rsid w:val="005466E3"/>
    <w:rsid w:val="00551133"/>
    <w:rsid w:val="00554467"/>
    <w:rsid w:val="00561F76"/>
    <w:rsid w:val="00571450"/>
    <w:rsid w:val="00574112"/>
    <w:rsid w:val="005767BD"/>
    <w:rsid w:val="00577271"/>
    <w:rsid w:val="00577400"/>
    <w:rsid w:val="00580E35"/>
    <w:rsid w:val="00586544"/>
    <w:rsid w:val="005972C1"/>
    <w:rsid w:val="005978F5"/>
    <w:rsid w:val="005A6C8C"/>
    <w:rsid w:val="005B014F"/>
    <w:rsid w:val="005B0385"/>
    <w:rsid w:val="005B381D"/>
    <w:rsid w:val="005C0133"/>
    <w:rsid w:val="005C0CA7"/>
    <w:rsid w:val="005C511A"/>
    <w:rsid w:val="005C6775"/>
    <w:rsid w:val="005C7585"/>
    <w:rsid w:val="005D0601"/>
    <w:rsid w:val="005D3C42"/>
    <w:rsid w:val="005D4889"/>
    <w:rsid w:val="005D4CCC"/>
    <w:rsid w:val="005E4D71"/>
    <w:rsid w:val="00607D9F"/>
    <w:rsid w:val="00612099"/>
    <w:rsid w:val="00613A9A"/>
    <w:rsid w:val="00630310"/>
    <w:rsid w:val="006332CB"/>
    <w:rsid w:val="00645991"/>
    <w:rsid w:val="006500A5"/>
    <w:rsid w:val="00661724"/>
    <w:rsid w:val="006631C8"/>
    <w:rsid w:val="00667D50"/>
    <w:rsid w:val="00671A35"/>
    <w:rsid w:val="00680310"/>
    <w:rsid w:val="00680428"/>
    <w:rsid w:val="0068260D"/>
    <w:rsid w:val="00685F59"/>
    <w:rsid w:val="006A1578"/>
    <w:rsid w:val="006A260B"/>
    <w:rsid w:val="006A5781"/>
    <w:rsid w:val="006A7CD5"/>
    <w:rsid w:val="006B0566"/>
    <w:rsid w:val="006B3D42"/>
    <w:rsid w:val="006B58EF"/>
    <w:rsid w:val="006B6FA3"/>
    <w:rsid w:val="006B72B6"/>
    <w:rsid w:val="006D2E30"/>
    <w:rsid w:val="006D3152"/>
    <w:rsid w:val="006D52CC"/>
    <w:rsid w:val="006E0378"/>
    <w:rsid w:val="006E25AB"/>
    <w:rsid w:val="006E41B6"/>
    <w:rsid w:val="006E4C56"/>
    <w:rsid w:val="006F0010"/>
    <w:rsid w:val="006F388F"/>
    <w:rsid w:val="006F4F29"/>
    <w:rsid w:val="00702C30"/>
    <w:rsid w:val="007041CB"/>
    <w:rsid w:val="007101C6"/>
    <w:rsid w:val="007115AE"/>
    <w:rsid w:val="007148DC"/>
    <w:rsid w:val="00715138"/>
    <w:rsid w:val="0072647B"/>
    <w:rsid w:val="007348A9"/>
    <w:rsid w:val="00734B3B"/>
    <w:rsid w:val="00740CC5"/>
    <w:rsid w:val="00741002"/>
    <w:rsid w:val="00743FA4"/>
    <w:rsid w:val="00755DF0"/>
    <w:rsid w:val="0075762B"/>
    <w:rsid w:val="00764EF1"/>
    <w:rsid w:val="00764F17"/>
    <w:rsid w:val="007668BE"/>
    <w:rsid w:val="00771107"/>
    <w:rsid w:val="00776358"/>
    <w:rsid w:val="00781FE5"/>
    <w:rsid w:val="0078407A"/>
    <w:rsid w:val="007938AA"/>
    <w:rsid w:val="007A270A"/>
    <w:rsid w:val="007A3EC1"/>
    <w:rsid w:val="007B6B49"/>
    <w:rsid w:val="007D4C3B"/>
    <w:rsid w:val="007D76EC"/>
    <w:rsid w:val="007E0E72"/>
    <w:rsid w:val="007E638B"/>
    <w:rsid w:val="007F27A0"/>
    <w:rsid w:val="007F33B8"/>
    <w:rsid w:val="007F3BF8"/>
    <w:rsid w:val="007F5BB4"/>
    <w:rsid w:val="007F6AF6"/>
    <w:rsid w:val="00812303"/>
    <w:rsid w:val="00824390"/>
    <w:rsid w:val="00826854"/>
    <w:rsid w:val="00830CB3"/>
    <w:rsid w:val="00832B48"/>
    <w:rsid w:val="008363BE"/>
    <w:rsid w:val="0083742C"/>
    <w:rsid w:val="008422B2"/>
    <w:rsid w:val="0085205B"/>
    <w:rsid w:val="00853402"/>
    <w:rsid w:val="00857698"/>
    <w:rsid w:val="008620FA"/>
    <w:rsid w:val="008709C4"/>
    <w:rsid w:val="0087509B"/>
    <w:rsid w:val="00887653"/>
    <w:rsid w:val="008A475A"/>
    <w:rsid w:val="008A5922"/>
    <w:rsid w:val="008A64F0"/>
    <w:rsid w:val="008A6D57"/>
    <w:rsid w:val="008B0401"/>
    <w:rsid w:val="008B505D"/>
    <w:rsid w:val="008C6979"/>
    <w:rsid w:val="008C6C47"/>
    <w:rsid w:val="008D0283"/>
    <w:rsid w:val="008D2E82"/>
    <w:rsid w:val="008D48FA"/>
    <w:rsid w:val="008E7077"/>
    <w:rsid w:val="008F067F"/>
    <w:rsid w:val="008F2129"/>
    <w:rsid w:val="008F533E"/>
    <w:rsid w:val="009012F8"/>
    <w:rsid w:val="00904155"/>
    <w:rsid w:val="00912096"/>
    <w:rsid w:val="00914B25"/>
    <w:rsid w:val="0091787D"/>
    <w:rsid w:val="00924FCE"/>
    <w:rsid w:val="0092751C"/>
    <w:rsid w:val="00946C58"/>
    <w:rsid w:val="00950FEE"/>
    <w:rsid w:val="00954223"/>
    <w:rsid w:val="00970685"/>
    <w:rsid w:val="0098135E"/>
    <w:rsid w:val="00983B1A"/>
    <w:rsid w:val="00992B5A"/>
    <w:rsid w:val="00992F23"/>
    <w:rsid w:val="009953CA"/>
    <w:rsid w:val="00996A93"/>
    <w:rsid w:val="009977ED"/>
    <w:rsid w:val="00997D9B"/>
    <w:rsid w:val="009A1580"/>
    <w:rsid w:val="009A6C92"/>
    <w:rsid w:val="009B6505"/>
    <w:rsid w:val="009C19BE"/>
    <w:rsid w:val="009C34B7"/>
    <w:rsid w:val="009D01D5"/>
    <w:rsid w:val="009D2A25"/>
    <w:rsid w:val="009D3B40"/>
    <w:rsid w:val="009D5EB3"/>
    <w:rsid w:val="009E3138"/>
    <w:rsid w:val="009F31DC"/>
    <w:rsid w:val="009F443E"/>
    <w:rsid w:val="009F65C1"/>
    <w:rsid w:val="009F7429"/>
    <w:rsid w:val="00A0074E"/>
    <w:rsid w:val="00A079E3"/>
    <w:rsid w:val="00A07F90"/>
    <w:rsid w:val="00A104C5"/>
    <w:rsid w:val="00A114C6"/>
    <w:rsid w:val="00A127FD"/>
    <w:rsid w:val="00A22AEF"/>
    <w:rsid w:val="00A26DE5"/>
    <w:rsid w:val="00A44DA6"/>
    <w:rsid w:val="00A47FB7"/>
    <w:rsid w:val="00A60E99"/>
    <w:rsid w:val="00A7627C"/>
    <w:rsid w:val="00A8235B"/>
    <w:rsid w:val="00A83D6D"/>
    <w:rsid w:val="00A840E0"/>
    <w:rsid w:val="00A90877"/>
    <w:rsid w:val="00A94F3F"/>
    <w:rsid w:val="00A956AC"/>
    <w:rsid w:val="00AA3A24"/>
    <w:rsid w:val="00AA5F0C"/>
    <w:rsid w:val="00AC59DE"/>
    <w:rsid w:val="00AC622A"/>
    <w:rsid w:val="00AD55D8"/>
    <w:rsid w:val="00AD5B92"/>
    <w:rsid w:val="00AF249F"/>
    <w:rsid w:val="00AF558B"/>
    <w:rsid w:val="00B008A7"/>
    <w:rsid w:val="00B0159E"/>
    <w:rsid w:val="00B054EC"/>
    <w:rsid w:val="00B05B2C"/>
    <w:rsid w:val="00B05D6C"/>
    <w:rsid w:val="00B15043"/>
    <w:rsid w:val="00B206F0"/>
    <w:rsid w:val="00B251B8"/>
    <w:rsid w:val="00B32474"/>
    <w:rsid w:val="00B357F7"/>
    <w:rsid w:val="00B406C6"/>
    <w:rsid w:val="00B45CA3"/>
    <w:rsid w:val="00B57661"/>
    <w:rsid w:val="00B618B1"/>
    <w:rsid w:val="00B7043E"/>
    <w:rsid w:val="00B77DF1"/>
    <w:rsid w:val="00B81789"/>
    <w:rsid w:val="00B91054"/>
    <w:rsid w:val="00B91712"/>
    <w:rsid w:val="00BA459D"/>
    <w:rsid w:val="00BA6D93"/>
    <w:rsid w:val="00BA7BAF"/>
    <w:rsid w:val="00BB14C7"/>
    <w:rsid w:val="00BB3D3B"/>
    <w:rsid w:val="00BB4C14"/>
    <w:rsid w:val="00BC2B79"/>
    <w:rsid w:val="00BD0895"/>
    <w:rsid w:val="00BD3986"/>
    <w:rsid w:val="00BD4CA6"/>
    <w:rsid w:val="00BD5BCA"/>
    <w:rsid w:val="00BD61B0"/>
    <w:rsid w:val="00BE6170"/>
    <w:rsid w:val="00BF0ABB"/>
    <w:rsid w:val="00BF2260"/>
    <w:rsid w:val="00BF5533"/>
    <w:rsid w:val="00BF6611"/>
    <w:rsid w:val="00C01F1D"/>
    <w:rsid w:val="00C031D2"/>
    <w:rsid w:val="00C06D92"/>
    <w:rsid w:val="00C12039"/>
    <w:rsid w:val="00C12322"/>
    <w:rsid w:val="00C17227"/>
    <w:rsid w:val="00C20760"/>
    <w:rsid w:val="00C3110C"/>
    <w:rsid w:val="00C31309"/>
    <w:rsid w:val="00C36E42"/>
    <w:rsid w:val="00C37FCF"/>
    <w:rsid w:val="00C41078"/>
    <w:rsid w:val="00C417A3"/>
    <w:rsid w:val="00C436C4"/>
    <w:rsid w:val="00C44682"/>
    <w:rsid w:val="00C44C42"/>
    <w:rsid w:val="00C50596"/>
    <w:rsid w:val="00C52E28"/>
    <w:rsid w:val="00C610E3"/>
    <w:rsid w:val="00C61CF4"/>
    <w:rsid w:val="00C74396"/>
    <w:rsid w:val="00C74E3A"/>
    <w:rsid w:val="00C90893"/>
    <w:rsid w:val="00C9549C"/>
    <w:rsid w:val="00C9622D"/>
    <w:rsid w:val="00CA0456"/>
    <w:rsid w:val="00CC3A5E"/>
    <w:rsid w:val="00CC7317"/>
    <w:rsid w:val="00CC7887"/>
    <w:rsid w:val="00CD12C7"/>
    <w:rsid w:val="00CE02FE"/>
    <w:rsid w:val="00CE55CA"/>
    <w:rsid w:val="00CE5D65"/>
    <w:rsid w:val="00CF453E"/>
    <w:rsid w:val="00CF45E8"/>
    <w:rsid w:val="00D04014"/>
    <w:rsid w:val="00D16379"/>
    <w:rsid w:val="00D2164E"/>
    <w:rsid w:val="00D216F3"/>
    <w:rsid w:val="00D244D7"/>
    <w:rsid w:val="00D27544"/>
    <w:rsid w:val="00D32A9E"/>
    <w:rsid w:val="00D3353F"/>
    <w:rsid w:val="00D34EA4"/>
    <w:rsid w:val="00D416A2"/>
    <w:rsid w:val="00D44C92"/>
    <w:rsid w:val="00D5028D"/>
    <w:rsid w:val="00D53C23"/>
    <w:rsid w:val="00D600B1"/>
    <w:rsid w:val="00D72972"/>
    <w:rsid w:val="00D81B2B"/>
    <w:rsid w:val="00D81DFE"/>
    <w:rsid w:val="00D85614"/>
    <w:rsid w:val="00D9252C"/>
    <w:rsid w:val="00D93A0C"/>
    <w:rsid w:val="00D93CE0"/>
    <w:rsid w:val="00D943D5"/>
    <w:rsid w:val="00DA1E7C"/>
    <w:rsid w:val="00DA7438"/>
    <w:rsid w:val="00DB6673"/>
    <w:rsid w:val="00DB6C92"/>
    <w:rsid w:val="00DC22FE"/>
    <w:rsid w:val="00DD32D2"/>
    <w:rsid w:val="00DD33F4"/>
    <w:rsid w:val="00DF6ABB"/>
    <w:rsid w:val="00DF7B38"/>
    <w:rsid w:val="00E034BD"/>
    <w:rsid w:val="00E03E32"/>
    <w:rsid w:val="00E06FD5"/>
    <w:rsid w:val="00E13F7B"/>
    <w:rsid w:val="00E17321"/>
    <w:rsid w:val="00E207C9"/>
    <w:rsid w:val="00E251C7"/>
    <w:rsid w:val="00E25CE2"/>
    <w:rsid w:val="00E26B21"/>
    <w:rsid w:val="00E27AF0"/>
    <w:rsid w:val="00E31492"/>
    <w:rsid w:val="00E434E3"/>
    <w:rsid w:val="00E51E3B"/>
    <w:rsid w:val="00E53003"/>
    <w:rsid w:val="00E54045"/>
    <w:rsid w:val="00E54D24"/>
    <w:rsid w:val="00E606FA"/>
    <w:rsid w:val="00E61838"/>
    <w:rsid w:val="00E665D4"/>
    <w:rsid w:val="00E72176"/>
    <w:rsid w:val="00E746D5"/>
    <w:rsid w:val="00E76C05"/>
    <w:rsid w:val="00E773FD"/>
    <w:rsid w:val="00E81226"/>
    <w:rsid w:val="00E86588"/>
    <w:rsid w:val="00E90E5A"/>
    <w:rsid w:val="00E90E79"/>
    <w:rsid w:val="00E916E3"/>
    <w:rsid w:val="00EA491C"/>
    <w:rsid w:val="00EA62A2"/>
    <w:rsid w:val="00EB0055"/>
    <w:rsid w:val="00EB4DFC"/>
    <w:rsid w:val="00EC364B"/>
    <w:rsid w:val="00EC5D6F"/>
    <w:rsid w:val="00EC6DF6"/>
    <w:rsid w:val="00EC6EF4"/>
    <w:rsid w:val="00ED69DF"/>
    <w:rsid w:val="00ED7961"/>
    <w:rsid w:val="00EE0F81"/>
    <w:rsid w:val="00EE1BC6"/>
    <w:rsid w:val="00EE2F29"/>
    <w:rsid w:val="00EF3D06"/>
    <w:rsid w:val="00EF7672"/>
    <w:rsid w:val="00F01916"/>
    <w:rsid w:val="00F03B88"/>
    <w:rsid w:val="00F07869"/>
    <w:rsid w:val="00F07ED8"/>
    <w:rsid w:val="00F14D45"/>
    <w:rsid w:val="00F24DE5"/>
    <w:rsid w:val="00F36FDF"/>
    <w:rsid w:val="00F42D96"/>
    <w:rsid w:val="00F4395E"/>
    <w:rsid w:val="00F541CD"/>
    <w:rsid w:val="00F6194D"/>
    <w:rsid w:val="00F724DE"/>
    <w:rsid w:val="00F82D0D"/>
    <w:rsid w:val="00F87B62"/>
    <w:rsid w:val="00F87FA0"/>
    <w:rsid w:val="00F94A85"/>
    <w:rsid w:val="00FA1B3B"/>
    <w:rsid w:val="00FA7809"/>
    <w:rsid w:val="00FA7CCA"/>
    <w:rsid w:val="00FB311C"/>
    <w:rsid w:val="00FB760B"/>
    <w:rsid w:val="00FB7999"/>
    <w:rsid w:val="00FC3D10"/>
    <w:rsid w:val="00FD3D2F"/>
    <w:rsid w:val="00FD50DE"/>
    <w:rsid w:val="00FD55A6"/>
    <w:rsid w:val="00FE31A0"/>
    <w:rsid w:val="00FF1ACD"/>
    <w:rsid w:val="00FF3720"/>
    <w:rsid w:val="00FF646D"/>
    <w:rsid w:val="01064C9A"/>
    <w:rsid w:val="0119677B"/>
    <w:rsid w:val="013435B5"/>
    <w:rsid w:val="013902A4"/>
    <w:rsid w:val="0147778C"/>
    <w:rsid w:val="014A102B"/>
    <w:rsid w:val="01514167"/>
    <w:rsid w:val="015E4AD6"/>
    <w:rsid w:val="017D6A20"/>
    <w:rsid w:val="01B01BF0"/>
    <w:rsid w:val="01B14539"/>
    <w:rsid w:val="01B446F6"/>
    <w:rsid w:val="01C34939"/>
    <w:rsid w:val="01CC1A40"/>
    <w:rsid w:val="02124A10"/>
    <w:rsid w:val="021533E7"/>
    <w:rsid w:val="025A704C"/>
    <w:rsid w:val="027D0F8C"/>
    <w:rsid w:val="027F4D04"/>
    <w:rsid w:val="02881E0B"/>
    <w:rsid w:val="028D4CF1"/>
    <w:rsid w:val="02C25806"/>
    <w:rsid w:val="02D432A2"/>
    <w:rsid w:val="030F6088"/>
    <w:rsid w:val="032A0773"/>
    <w:rsid w:val="034C108A"/>
    <w:rsid w:val="035166A0"/>
    <w:rsid w:val="03523B0F"/>
    <w:rsid w:val="03680CBF"/>
    <w:rsid w:val="036A7762"/>
    <w:rsid w:val="03816DD3"/>
    <w:rsid w:val="03862F00"/>
    <w:rsid w:val="03944F06"/>
    <w:rsid w:val="03AA4003"/>
    <w:rsid w:val="03BE360A"/>
    <w:rsid w:val="03BE637D"/>
    <w:rsid w:val="03C30C20"/>
    <w:rsid w:val="03E72982"/>
    <w:rsid w:val="03ED379D"/>
    <w:rsid w:val="03EF1A15"/>
    <w:rsid w:val="03F84D6E"/>
    <w:rsid w:val="040078F8"/>
    <w:rsid w:val="040A2CF3"/>
    <w:rsid w:val="04115E30"/>
    <w:rsid w:val="04137DFA"/>
    <w:rsid w:val="0438160E"/>
    <w:rsid w:val="043F299D"/>
    <w:rsid w:val="048E7480"/>
    <w:rsid w:val="04CB2483"/>
    <w:rsid w:val="04D56E5D"/>
    <w:rsid w:val="05026DAC"/>
    <w:rsid w:val="0507301D"/>
    <w:rsid w:val="053E4A03"/>
    <w:rsid w:val="05632411"/>
    <w:rsid w:val="057C377D"/>
    <w:rsid w:val="058C17F3"/>
    <w:rsid w:val="05B178CA"/>
    <w:rsid w:val="05C2726E"/>
    <w:rsid w:val="060519C4"/>
    <w:rsid w:val="0607573C"/>
    <w:rsid w:val="061340E1"/>
    <w:rsid w:val="06145C04"/>
    <w:rsid w:val="06366C61"/>
    <w:rsid w:val="063D0DEC"/>
    <w:rsid w:val="06546748"/>
    <w:rsid w:val="06856661"/>
    <w:rsid w:val="0694296F"/>
    <w:rsid w:val="0694647B"/>
    <w:rsid w:val="06C22288"/>
    <w:rsid w:val="06C23411"/>
    <w:rsid w:val="06CB49BC"/>
    <w:rsid w:val="072916E2"/>
    <w:rsid w:val="073302F4"/>
    <w:rsid w:val="07352051"/>
    <w:rsid w:val="073A569E"/>
    <w:rsid w:val="07487DBA"/>
    <w:rsid w:val="07493F9A"/>
    <w:rsid w:val="075F5104"/>
    <w:rsid w:val="07634BF4"/>
    <w:rsid w:val="07733FFE"/>
    <w:rsid w:val="07852D63"/>
    <w:rsid w:val="079C3C62"/>
    <w:rsid w:val="079E5C2C"/>
    <w:rsid w:val="07B23486"/>
    <w:rsid w:val="07F42666"/>
    <w:rsid w:val="07F7533D"/>
    <w:rsid w:val="080C528C"/>
    <w:rsid w:val="082500FC"/>
    <w:rsid w:val="083B791F"/>
    <w:rsid w:val="084F6F27"/>
    <w:rsid w:val="086E7FA8"/>
    <w:rsid w:val="087A77E0"/>
    <w:rsid w:val="08816B15"/>
    <w:rsid w:val="088E3EF3"/>
    <w:rsid w:val="089E3A0A"/>
    <w:rsid w:val="08CA3480"/>
    <w:rsid w:val="08D538D0"/>
    <w:rsid w:val="08D60021"/>
    <w:rsid w:val="08DF64FD"/>
    <w:rsid w:val="08E65ADD"/>
    <w:rsid w:val="08FF26FB"/>
    <w:rsid w:val="09153CCC"/>
    <w:rsid w:val="09173EE8"/>
    <w:rsid w:val="09323682"/>
    <w:rsid w:val="093305F6"/>
    <w:rsid w:val="097053A7"/>
    <w:rsid w:val="09736C45"/>
    <w:rsid w:val="09815806"/>
    <w:rsid w:val="09A52D83"/>
    <w:rsid w:val="09BC2ED7"/>
    <w:rsid w:val="09DA6CC4"/>
    <w:rsid w:val="09E57B43"/>
    <w:rsid w:val="09EF44EC"/>
    <w:rsid w:val="09F47D86"/>
    <w:rsid w:val="0A1C69FF"/>
    <w:rsid w:val="0A460C25"/>
    <w:rsid w:val="0A7E3AF3"/>
    <w:rsid w:val="0A943317"/>
    <w:rsid w:val="0AB45B0E"/>
    <w:rsid w:val="0ABD1C25"/>
    <w:rsid w:val="0AD32091"/>
    <w:rsid w:val="0AD433E5"/>
    <w:rsid w:val="0AE53B72"/>
    <w:rsid w:val="0AE93662"/>
    <w:rsid w:val="0B105BB6"/>
    <w:rsid w:val="0B1B1342"/>
    <w:rsid w:val="0B39329D"/>
    <w:rsid w:val="0B425F77"/>
    <w:rsid w:val="0B455CE4"/>
    <w:rsid w:val="0B6E1DBA"/>
    <w:rsid w:val="0B9E444D"/>
    <w:rsid w:val="0BA252F1"/>
    <w:rsid w:val="0BC077EA"/>
    <w:rsid w:val="0BD065D0"/>
    <w:rsid w:val="0BD376FD"/>
    <w:rsid w:val="0BEF4CA9"/>
    <w:rsid w:val="0BF056CB"/>
    <w:rsid w:val="0C087501"/>
    <w:rsid w:val="0C1325C5"/>
    <w:rsid w:val="0C1C1816"/>
    <w:rsid w:val="0C2A5CE1"/>
    <w:rsid w:val="0C2D1EF2"/>
    <w:rsid w:val="0C452B1A"/>
    <w:rsid w:val="0C790A16"/>
    <w:rsid w:val="0C805690"/>
    <w:rsid w:val="0C9C35F4"/>
    <w:rsid w:val="0CAD06C0"/>
    <w:rsid w:val="0CD926C8"/>
    <w:rsid w:val="0CE02843"/>
    <w:rsid w:val="0CEB5F40"/>
    <w:rsid w:val="0D0F589A"/>
    <w:rsid w:val="0D251794"/>
    <w:rsid w:val="0D2C7836"/>
    <w:rsid w:val="0D301714"/>
    <w:rsid w:val="0D305579"/>
    <w:rsid w:val="0D613D9A"/>
    <w:rsid w:val="0D6214AA"/>
    <w:rsid w:val="0D7731A8"/>
    <w:rsid w:val="0D9518A9"/>
    <w:rsid w:val="0D957AD2"/>
    <w:rsid w:val="0DA90E87"/>
    <w:rsid w:val="0DCB704F"/>
    <w:rsid w:val="0DF522C3"/>
    <w:rsid w:val="0DF57CE4"/>
    <w:rsid w:val="0E2624D8"/>
    <w:rsid w:val="0E287BBE"/>
    <w:rsid w:val="0E2D5A46"/>
    <w:rsid w:val="0E4C574A"/>
    <w:rsid w:val="0E603C3C"/>
    <w:rsid w:val="0E7B0A75"/>
    <w:rsid w:val="0EA0672E"/>
    <w:rsid w:val="0EA224A6"/>
    <w:rsid w:val="0EA77ABC"/>
    <w:rsid w:val="0EAC52AB"/>
    <w:rsid w:val="0EAF6971"/>
    <w:rsid w:val="0EC56195"/>
    <w:rsid w:val="0EC96181"/>
    <w:rsid w:val="0ED91C40"/>
    <w:rsid w:val="0F28091B"/>
    <w:rsid w:val="0F384BB8"/>
    <w:rsid w:val="0F3B6457"/>
    <w:rsid w:val="0F470958"/>
    <w:rsid w:val="0F501F02"/>
    <w:rsid w:val="0F5512C6"/>
    <w:rsid w:val="0F833AD6"/>
    <w:rsid w:val="0F871771"/>
    <w:rsid w:val="0FB87AA7"/>
    <w:rsid w:val="0FC01AF5"/>
    <w:rsid w:val="0FD73D21"/>
    <w:rsid w:val="0FE95EB3"/>
    <w:rsid w:val="10090303"/>
    <w:rsid w:val="101C3B92"/>
    <w:rsid w:val="103A0204"/>
    <w:rsid w:val="1045133B"/>
    <w:rsid w:val="10A1053B"/>
    <w:rsid w:val="10C04E65"/>
    <w:rsid w:val="10D601E5"/>
    <w:rsid w:val="10EA3C90"/>
    <w:rsid w:val="10F13271"/>
    <w:rsid w:val="110034B4"/>
    <w:rsid w:val="11027246"/>
    <w:rsid w:val="11164A85"/>
    <w:rsid w:val="112F78F5"/>
    <w:rsid w:val="11360C9E"/>
    <w:rsid w:val="11511F61"/>
    <w:rsid w:val="11551A52"/>
    <w:rsid w:val="115D0906"/>
    <w:rsid w:val="116C28F7"/>
    <w:rsid w:val="117414FE"/>
    <w:rsid w:val="11823EC9"/>
    <w:rsid w:val="118B5473"/>
    <w:rsid w:val="118F65E6"/>
    <w:rsid w:val="11904B62"/>
    <w:rsid w:val="11A85DB2"/>
    <w:rsid w:val="11AE1D12"/>
    <w:rsid w:val="11CA7FC4"/>
    <w:rsid w:val="11CC15E8"/>
    <w:rsid w:val="11DF131B"/>
    <w:rsid w:val="120363E1"/>
    <w:rsid w:val="121216F1"/>
    <w:rsid w:val="1215263F"/>
    <w:rsid w:val="12176D07"/>
    <w:rsid w:val="121D602C"/>
    <w:rsid w:val="122338FE"/>
    <w:rsid w:val="123C676E"/>
    <w:rsid w:val="124E024F"/>
    <w:rsid w:val="125266DB"/>
    <w:rsid w:val="125515DD"/>
    <w:rsid w:val="125A3098"/>
    <w:rsid w:val="12AE7FE8"/>
    <w:rsid w:val="12CA2AA4"/>
    <w:rsid w:val="12D746E8"/>
    <w:rsid w:val="12EF15FF"/>
    <w:rsid w:val="12EF6AAC"/>
    <w:rsid w:val="131D034D"/>
    <w:rsid w:val="1350134D"/>
    <w:rsid w:val="139131DB"/>
    <w:rsid w:val="13AC2411"/>
    <w:rsid w:val="13BE1705"/>
    <w:rsid w:val="13C62793"/>
    <w:rsid w:val="13DE01AE"/>
    <w:rsid w:val="13E9022F"/>
    <w:rsid w:val="140212F1"/>
    <w:rsid w:val="140B2796"/>
    <w:rsid w:val="141334FE"/>
    <w:rsid w:val="141A2ADF"/>
    <w:rsid w:val="141C0605"/>
    <w:rsid w:val="14772070"/>
    <w:rsid w:val="14B60DBE"/>
    <w:rsid w:val="14CF201C"/>
    <w:rsid w:val="14D233B9"/>
    <w:rsid w:val="14ED41E9"/>
    <w:rsid w:val="14F85249"/>
    <w:rsid w:val="150D619F"/>
    <w:rsid w:val="152A4FA3"/>
    <w:rsid w:val="1533692A"/>
    <w:rsid w:val="15632263"/>
    <w:rsid w:val="156E0D28"/>
    <w:rsid w:val="15783F61"/>
    <w:rsid w:val="15793835"/>
    <w:rsid w:val="157E709D"/>
    <w:rsid w:val="15B72998"/>
    <w:rsid w:val="15BA7C50"/>
    <w:rsid w:val="15BD5E17"/>
    <w:rsid w:val="15BE79F8"/>
    <w:rsid w:val="15DB004C"/>
    <w:rsid w:val="15DB629E"/>
    <w:rsid w:val="15E72E94"/>
    <w:rsid w:val="15EC04AB"/>
    <w:rsid w:val="15F4313B"/>
    <w:rsid w:val="15FA56EA"/>
    <w:rsid w:val="15FD7FC2"/>
    <w:rsid w:val="161237ED"/>
    <w:rsid w:val="161A735C"/>
    <w:rsid w:val="16691AFB"/>
    <w:rsid w:val="168A23ED"/>
    <w:rsid w:val="16921052"/>
    <w:rsid w:val="169E2AE5"/>
    <w:rsid w:val="16A1359E"/>
    <w:rsid w:val="16AF39B2"/>
    <w:rsid w:val="16DD3F72"/>
    <w:rsid w:val="16DE7DF3"/>
    <w:rsid w:val="16EF2001"/>
    <w:rsid w:val="16F13FCB"/>
    <w:rsid w:val="173B5246"/>
    <w:rsid w:val="17504430"/>
    <w:rsid w:val="175B58E8"/>
    <w:rsid w:val="176A5B2B"/>
    <w:rsid w:val="178E5684"/>
    <w:rsid w:val="17B86896"/>
    <w:rsid w:val="17BF0DF3"/>
    <w:rsid w:val="17BF5E77"/>
    <w:rsid w:val="17D132FC"/>
    <w:rsid w:val="17E05CBA"/>
    <w:rsid w:val="181546BD"/>
    <w:rsid w:val="181F6915"/>
    <w:rsid w:val="18214554"/>
    <w:rsid w:val="182C2DE0"/>
    <w:rsid w:val="18407B66"/>
    <w:rsid w:val="18461F74"/>
    <w:rsid w:val="185540BD"/>
    <w:rsid w:val="185A5C67"/>
    <w:rsid w:val="1867549B"/>
    <w:rsid w:val="187A3EEA"/>
    <w:rsid w:val="18820B70"/>
    <w:rsid w:val="18856C43"/>
    <w:rsid w:val="1891242E"/>
    <w:rsid w:val="1899186D"/>
    <w:rsid w:val="189F7A56"/>
    <w:rsid w:val="18A92021"/>
    <w:rsid w:val="18CA5813"/>
    <w:rsid w:val="18CB25F9"/>
    <w:rsid w:val="1930193F"/>
    <w:rsid w:val="198527A8"/>
    <w:rsid w:val="19854A2E"/>
    <w:rsid w:val="198D5B01"/>
    <w:rsid w:val="19921369"/>
    <w:rsid w:val="19C83575"/>
    <w:rsid w:val="19DC4392"/>
    <w:rsid w:val="19E03E83"/>
    <w:rsid w:val="1A646862"/>
    <w:rsid w:val="1A686637"/>
    <w:rsid w:val="1A8B2040"/>
    <w:rsid w:val="1AA730C1"/>
    <w:rsid w:val="1AC13CB4"/>
    <w:rsid w:val="1AC535E0"/>
    <w:rsid w:val="1ACC74C0"/>
    <w:rsid w:val="1AD00105"/>
    <w:rsid w:val="1ADB6D8F"/>
    <w:rsid w:val="1ADF05DE"/>
    <w:rsid w:val="1AE23C2A"/>
    <w:rsid w:val="1B045628"/>
    <w:rsid w:val="1B2674C4"/>
    <w:rsid w:val="1B2A3FBC"/>
    <w:rsid w:val="1B43291B"/>
    <w:rsid w:val="1B4B1ACE"/>
    <w:rsid w:val="1B4B2134"/>
    <w:rsid w:val="1B6C00C4"/>
    <w:rsid w:val="1B6D5BEA"/>
    <w:rsid w:val="1B740D26"/>
    <w:rsid w:val="1B866CAC"/>
    <w:rsid w:val="1B886580"/>
    <w:rsid w:val="1B897CC3"/>
    <w:rsid w:val="1B8E3E5C"/>
    <w:rsid w:val="1B9273FE"/>
    <w:rsid w:val="1BB43819"/>
    <w:rsid w:val="1BCA303C"/>
    <w:rsid w:val="1BEB0073"/>
    <w:rsid w:val="1BF237A2"/>
    <w:rsid w:val="1C183B46"/>
    <w:rsid w:val="1C191A02"/>
    <w:rsid w:val="1C4260DE"/>
    <w:rsid w:val="1C7B2391"/>
    <w:rsid w:val="1CA7512B"/>
    <w:rsid w:val="1CCF465A"/>
    <w:rsid w:val="1CD31A7D"/>
    <w:rsid w:val="1CE53D89"/>
    <w:rsid w:val="1CF739BD"/>
    <w:rsid w:val="1D37200B"/>
    <w:rsid w:val="1D383FD6"/>
    <w:rsid w:val="1D3A5FA0"/>
    <w:rsid w:val="1D3E2F4F"/>
    <w:rsid w:val="1D4961E3"/>
    <w:rsid w:val="1D4D5CD3"/>
    <w:rsid w:val="1D5022F0"/>
    <w:rsid w:val="1D5070CD"/>
    <w:rsid w:val="1D5F1562"/>
    <w:rsid w:val="1D6945D8"/>
    <w:rsid w:val="1D7E27C4"/>
    <w:rsid w:val="1D8C009C"/>
    <w:rsid w:val="1DAF4298"/>
    <w:rsid w:val="1DB01DBE"/>
    <w:rsid w:val="1DB4365C"/>
    <w:rsid w:val="1DC51D0D"/>
    <w:rsid w:val="1DC53ABB"/>
    <w:rsid w:val="1DD514BE"/>
    <w:rsid w:val="1DEA038E"/>
    <w:rsid w:val="1E026ABD"/>
    <w:rsid w:val="1E0D0DC4"/>
    <w:rsid w:val="1E0F4D36"/>
    <w:rsid w:val="1E236A34"/>
    <w:rsid w:val="1E334EC9"/>
    <w:rsid w:val="1E3447B5"/>
    <w:rsid w:val="1E4744D0"/>
    <w:rsid w:val="1E4B06F4"/>
    <w:rsid w:val="1E6C78C7"/>
    <w:rsid w:val="1E7D1053"/>
    <w:rsid w:val="1E8F7E4C"/>
    <w:rsid w:val="1E9258DD"/>
    <w:rsid w:val="1E946C79"/>
    <w:rsid w:val="1EDA6B5F"/>
    <w:rsid w:val="1EE461C3"/>
    <w:rsid w:val="1EE67708"/>
    <w:rsid w:val="1EF81C6E"/>
    <w:rsid w:val="1F0966CF"/>
    <w:rsid w:val="1F226000"/>
    <w:rsid w:val="1F226CEB"/>
    <w:rsid w:val="1F330EF8"/>
    <w:rsid w:val="1F464D09"/>
    <w:rsid w:val="1F602B3B"/>
    <w:rsid w:val="1F643D58"/>
    <w:rsid w:val="1F6501F2"/>
    <w:rsid w:val="1F6D61B8"/>
    <w:rsid w:val="1F6D6B38"/>
    <w:rsid w:val="1F9951FF"/>
    <w:rsid w:val="1F9C481F"/>
    <w:rsid w:val="1FB913FE"/>
    <w:rsid w:val="1FF14334"/>
    <w:rsid w:val="200230F1"/>
    <w:rsid w:val="200D34F7"/>
    <w:rsid w:val="200D5F0D"/>
    <w:rsid w:val="200E78F3"/>
    <w:rsid w:val="202B1BD0"/>
    <w:rsid w:val="204F5180"/>
    <w:rsid w:val="205C5ABE"/>
    <w:rsid w:val="20825C93"/>
    <w:rsid w:val="20893ED4"/>
    <w:rsid w:val="209D0D1F"/>
    <w:rsid w:val="20B87907"/>
    <w:rsid w:val="20C52024"/>
    <w:rsid w:val="210E7DC4"/>
    <w:rsid w:val="2110329F"/>
    <w:rsid w:val="211F1734"/>
    <w:rsid w:val="21464F13"/>
    <w:rsid w:val="214C62A1"/>
    <w:rsid w:val="215D1AC5"/>
    <w:rsid w:val="21635AC5"/>
    <w:rsid w:val="21717AB6"/>
    <w:rsid w:val="21892883"/>
    <w:rsid w:val="218B6DCA"/>
    <w:rsid w:val="21C422DC"/>
    <w:rsid w:val="21E90987"/>
    <w:rsid w:val="220056ED"/>
    <w:rsid w:val="220E4992"/>
    <w:rsid w:val="22372AAE"/>
    <w:rsid w:val="224852D2"/>
    <w:rsid w:val="22521696"/>
    <w:rsid w:val="22531984"/>
    <w:rsid w:val="22592A24"/>
    <w:rsid w:val="228C6E46"/>
    <w:rsid w:val="22965A26"/>
    <w:rsid w:val="22B61C24"/>
    <w:rsid w:val="22E569AE"/>
    <w:rsid w:val="22EF1483"/>
    <w:rsid w:val="22EF3388"/>
    <w:rsid w:val="2329689A"/>
    <w:rsid w:val="233F044D"/>
    <w:rsid w:val="234B4A63"/>
    <w:rsid w:val="236773C3"/>
    <w:rsid w:val="238B30B1"/>
    <w:rsid w:val="239D590C"/>
    <w:rsid w:val="23A35ADA"/>
    <w:rsid w:val="23C16AD3"/>
    <w:rsid w:val="23C93BD9"/>
    <w:rsid w:val="23DD7F43"/>
    <w:rsid w:val="24022C52"/>
    <w:rsid w:val="240D3AC6"/>
    <w:rsid w:val="242332EA"/>
    <w:rsid w:val="24247B5C"/>
    <w:rsid w:val="247826A7"/>
    <w:rsid w:val="247B55C5"/>
    <w:rsid w:val="247C00E4"/>
    <w:rsid w:val="247C34F8"/>
    <w:rsid w:val="247D50F0"/>
    <w:rsid w:val="24807011"/>
    <w:rsid w:val="249754FF"/>
    <w:rsid w:val="24A30154"/>
    <w:rsid w:val="24DB5972"/>
    <w:rsid w:val="252950A3"/>
    <w:rsid w:val="25472D7E"/>
    <w:rsid w:val="256736AA"/>
    <w:rsid w:val="257007B0"/>
    <w:rsid w:val="25754248"/>
    <w:rsid w:val="257A73DB"/>
    <w:rsid w:val="25AD64F9"/>
    <w:rsid w:val="25B763DF"/>
    <w:rsid w:val="25BD151C"/>
    <w:rsid w:val="25C66AF5"/>
    <w:rsid w:val="25F767DC"/>
    <w:rsid w:val="25FA62CC"/>
    <w:rsid w:val="26213859"/>
    <w:rsid w:val="26291992"/>
    <w:rsid w:val="262E2C1F"/>
    <w:rsid w:val="26363EB4"/>
    <w:rsid w:val="26811F6C"/>
    <w:rsid w:val="268304A8"/>
    <w:rsid w:val="26A61FB0"/>
    <w:rsid w:val="26AA091A"/>
    <w:rsid w:val="26B20955"/>
    <w:rsid w:val="26D47A49"/>
    <w:rsid w:val="26DD470D"/>
    <w:rsid w:val="270D4128"/>
    <w:rsid w:val="2725381D"/>
    <w:rsid w:val="273245C8"/>
    <w:rsid w:val="27367074"/>
    <w:rsid w:val="276E2ACE"/>
    <w:rsid w:val="278D79CD"/>
    <w:rsid w:val="278E4AF5"/>
    <w:rsid w:val="27962024"/>
    <w:rsid w:val="27D52B4D"/>
    <w:rsid w:val="27E4778A"/>
    <w:rsid w:val="28011574"/>
    <w:rsid w:val="280E42B1"/>
    <w:rsid w:val="283755B5"/>
    <w:rsid w:val="28375750"/>
    <w:rsid w:val="28461C9C"/>
    <w:rsid w:val="286766E4"/>
    <w:rsid w:val="286F3F95"/>
    <w:rsid w:val="2874680A"/>
    <w:rsid w:val="288D39BF"/>
    <w:rsid w:val="288F53F1"/>
    <w:rsid w:val="289A78F2"/>
    <w:rsid w:val="28B95242"/>
    <w:rsid w:val="28D23530"/>
    <w:rsid w:val="28DC7F0B"/>
    <w:rsid w:val="28E03E9F"/>
    <w:rsid w:val="290D27BA"/>
    <w:rsid w:val="290D32C7"/>
    <w:rsid w:val="29155DCF"/>
    <w:rsid w:val="29181DA8"/>
    <w:rsid w:val="29384061"/>
    <w:rsid w:val="29491244"/>
    <w:rsid w:val="294B335F"/>
    <w:rsid w:val="294C5322"/>
    <w:rsid w:val="295757E3"/>
    <w:rsid w:val="296A5517"/>
    <w:rsid w:val="296E05F3"/>
    <w:rsid w:val="297445E7"/>
    <w:rsid w:val="29765306"/>
    <w:rsid w:val="298522E6"/>
    <w:rsid w:val="29A20FDC"/>
    <w:rsid w:val="29AE5D4B"/>
    <w:rsid w:val="29B315F2"/>
    <w:rsid w:val="29B844D4"/>
    <w:rsid w:val="29BA649E"/>
    <w:rsid w:val="29C72969"/>
    <w:rsid w:val="29D14D4B"/>
    <w:rsid w:val="29EF3C6E"/>
    <w:rsid w:val="2A243451"/>
    <w:rsid w:val="2A3E3504"/>
    <w:rsid w:val="2A475858"/>
    <w:rsid w:val="2AAB228B"/>
    <w:rsid w:val="2AAF138F"/>
    <w:rsid w:val="2AB033FD"/>
    <w:rsid w:val="2AC11A29"/>
    <w:rsid w:val="2AD96F50"/>
    <w:rsid w:val="2AE13EFE"/>
    <w:rsid w:val="2AE412F9"/>
    <w:rsid w:val="2AF23A16"/>
    <w:rsid w:val="2AFC4894"/>
    <w:rsid w:val="2B1B2F6C"/>
    <w:rsid w:val="2B273B46"/>
    <w:rsid w:val="2B295323"/>
    <w:rsid w:val="2B2D2CA0"/>
    <w:rsid w:val="2B3C1135"/>
    <w:rsid w:val="2B40163B"/>
    <w:rsid w:val="2B504399"/>
    <w:rsid w:val="2B681F2A"/>
    <w:rsid w:val="2B8F395A"/>
    <w:rsid w:val="2BE315B0"/>
    <w:rsid w:val="2BE9306B"/>
    <w:rsid w:val="2BF832AE"/>
    <w:rsid w:val="2BFF288E"/>
    <w:rsid w:val="2C120DE4"/>
    <w:rsid w:val="2C131E96"/>
    <w:rsid w:val="2C42277B"/>
    <w:rsid w:val="2C485E67"/>
    <w:rsid w:val="2C620A7A"/>
    <w:rsid w:val="2C6646BB"/>
    <w:rsid w:val="2C8C2E75"/>
    <w:rsid w:val="2C8D1C48"/>
    <w:rsid w:val="2CB2345D"/>
    <w:rsid w:val="2CC54BA6"/>
    <w:rsid w:val="2CD66475"/>
    <w:rsid w:val="2D0D4B37"/>
    <w:rsid w:val="2D2B320F"/>
    <w:rsid w:val="2D480265"/>
    <w:rsid w:val="2D542766"/>
    <w:rsid w:val="2D6D0000"/>
    <w:rsid w:val="2D70363C"/>
    <w:rsid w:val="2D786D08"/>
    <w:rsid w:val="2D7928B5"/>
    <w:rsid w:val="2D7C646F"/>
    <w:rsid w:val="2DB15E0A"/>
    <w:rsid w:val="2DC31151"/>
    <w:rsid w:val="2DC436ED"/>
    <w:rsid w:val="2E3E48F3"/>
    <w:rsid w:val="2E3F6F72"/>
    <w:rsid w:val="2E402CEA"/>
    <w:rsid w:val="2E59753B"/>
    <w:rsid w:val="2E597998"/>
    <w:rsid w:val="2E615D08"/>
    <w:rsid w:val="2E6B420B"/>
    <w:rsid w:val="2E7B1410"/>
    <w:rsid w:val="2E840E29"/>
    <w:rsid w:val="2E8B0409"/>
    <w:rsid w:val="2E9F3EB4"/>
    <w:rsid w:val="2EB07E70"/>
    <w:rsid w:val="2EB45BB2"/>
    <w:rsid w:val="2EE53602"/>
    <w:rsid w:val="2EF266DA"/>
    <w:rsid w:val="2EF27435"/>
    <w:rsid w:val="2EF35FAE"/>
    <w:rsid w:val="2F106FC4"/>
    <w:rsid w:val="2F5729E1"/>
    <w:rsid w:val="2FA5374C"/>
    <w:rsid w:val="2FBD0A96"/>
    <w:rsid w:val="2FBE092B"/>
    <w:rsid w:val="2FCA31B3"/>
    <w:rsid w:val="2FEA73B1"/>
    <w:rsid w:val="2FFB02D5"/>
    <w:rsid w:val="30163879"/>
    <w:rsid w:val="301D32E3"/>
    <w:rsid w:val="30314FE0"/>
    <w:rsid w:val="305F1B4D"/>
    <w:rsid w:val="307F3F9D"/>
    <w:rsid w:val="308A20DF"/>
    <w:rsid w:val="30B54058"/>
    <w:rsid w:val="30DE562E"/>
    <w:rsid w:val="30DF7CE7"/>
    <w:rsid w:val="310D77FB"/>
    <w:rsid w:val="312D39F9"/>
    <w:rsid w:val="314239BA"/>
    <w:rsid w:val="316E2211"/>
    <w:rsid w:val="31745184"/>
    <w:rsid w:val="3184488C"/>
    <w:rsid w:val="318D1AB1"/>
    <w:rsid w:val="318F0210"/>
    <w:rsid w:val="31C57D7D"/>
    <w:rsid w:val="31CA1248"/>
    <w:rsid w:val="31E22A36"/>
    <w:rsid w:val="32045515"/>
    <w:rsid w:val="321B43C1"/>
    <w:rsid w:val="32226FF0"/>
    <w:rsid w:val="322C3CB1"/>
    <w:rsid w:val="324A2760"/>
    <w:rsid w:val="325A2A82"/>
    <w:rsid w:val="327D450D"/>
    <w:rsid w:val="327D62BB"/>
    <w:rsid w:val="32847649"/>
    <w:rsid w:val="32A61CB5"/>
    <w:rsid w:val="32D54349"/>
    <w:rsid w:val="32EE260F"/>
    <w:rsid w:val="33093FF2"/>
    <w:rsid w:val="330C395A"/>
    <w:rsid w:val="330D6EC0"/>
    <w:rsid w:val="3330157F"/>
    <w:rsid w:val="333515BA"/>
    <w:rsid w:val="33466FF4"/>
    <w:rsid w:val="3376291B"/>
    <w:rsid w:val="337B4EF0"/>
    <w:rsid w:val="339B54BF"/>
    <w:rsid w:val="339D204D"/>
    <w:rsid w:val="33AA1331"/>
    <w:rsid w:val="33B71CA0"/>
    <w:rsid w:val="33CD6E6A"/>
    <w:rsid w:val="33CF2B46"/>
    <w:rsid w:val="33D463AE"/>
    <w:rsid w:val="34003796"/>
    <w:rsid w:val="34034EE6"/>
    <w:rsid w:val="343F0906"/>
    <w:rsid w:val="34535F8E"/>
    <w:rsid w:val="34722249"/>
    <w:rsid w:val="34A915E9"/>
    <w:rsid w:val="34AA710F"/>
    <w:rsid w:val="34D67F04"/>
    <w:rsid w:val="350B5E00"/>
    <w:rsid w:val="352E1AEE"/>
    <w:rsid w:val="35365881"/>
    <w:rsid w:val="35366A4B"/>
    <w:rsid w:val="353C06AF"/>
    <w:rsid w:val="355546CD"/>
    <w:rsid w:val="35575444"/>
    <w:rsid w:val="356419B4"/>
    <w:rsid w:val="3581357E"/>
    <w:rsid w:val="358D2CB9"/>
    <w:rsid w:val="358F63E6"/>
    <w:rsid w:val="35A65B28"/>
    <w:rsid w:val="35AB133E"/>
    <w:rsid w:val="35C506A4"/>
    <w:rsid w:val="35D22DC1"/>
    <w:rsid w:val="35D52B53"/>
    <w:rsid w:val="35DC09ED"/>
    <w:rsid w:val="360A4309"/>
    <w:rsid w:val="36106E70"/>
    <w:rsid w:val="3619454C"/>
    <w:rsid w:val="36584736"/>
    <w:rsid w:val="365C6EEF"/>
    <w:rsid w:val="36940077"/>
    <w:rsid w:val="369817C2"/>
    <w:rsid w:val="36A050BB"/>
    <w:rsid w:val="36AB7FC1"/>
    <w:rsid w:val="36B97ADD"/>
    <w:rsid w:val="36BB3856"/>
    <w:rsid w:val="36CA26CF"/>
    <w:rsid w:val="36D6068F"/>
    <w:rsid w:val="36D6243D"/>
    <w:rsid w:val="36F23231"/>
    <w:rsid w:val="36F237D1"/>
    <w:rsid w:val="36FD3E6E"/>
    <w:rsid w:val="371116C7"/>
    <w:rsid w:val="371511B8"/>
    <w:rsid w:val="3718309A"/>
    <w:rsid w:val="371A4A20"/>
    <w:rsid w:val="37274FCF"/>
    <w:rsid w:val="37357164"/>
    <w:rsid w:val="37411FAD"/>
    <w:rsid w:val="374E6478"/>
    <w:rsid w:val="37751C56"/>
    <w:rsid w:val="377C523C"/>
    <w:rsid w:val="37893954"/>
    <w:rsid w:val="378C0D4E"/>
    <w:rsid w:val="37B207B5"/>
    <w:rsid w:val="37C23BFB"/>
    <w:rsid w:val="37C64260"/>
    <w:rsid w:val="37DE612D"/>
    <w:rsid w:val="37EE37B7"/>
    <w:rsid w:val="380B25BB"/>
    <w:rsid w:val="38137AD8"/>
    <w:rsid w:val="3814603E"/>
    <w:rsid w:val="38183D07"/>
    <w:rsid w:val="38284F1B"/>
    <w:rsid w:val="382947EF"/>
    <w:rsid w:val="384C640F"/>
    <w:rsid w:val="38561A88"/>
    <w:rsid w:val="38561B88"/>
    <w:rsid w:val="385B52F0"/>
    <w:rsid w:val="38B7053D"/>
    <w:rsid w:val="38B844F1"/>
    <w:rsid w:val="38BE762D"/>
    <w:rsid w:val="38C06F01"/>
    <w:rsid w:val="38CC3481"/>
    <w:rsid w:val="38EC7CF6"/>
    <w:rsid w:val="38F9066F"/>
    <w:rsid w:val="394B230B"/>
    <w:rsid w:val="39553AED"/>
    <w:rsid w:val="3963744A"/>
    <w:rsid w:val="39817AC8"/>
    <w:rsid w:val="398377B4"/>
    <w:rsid w:val="39851A9B"/>
    <w:rsid w:val="39934616"/>
    <w:rsid w:val="39B747A8"/>
    <w:rsid w:val="39BD13B3"/>
    <w:rsid w:val="39BD7C95"/>
    <w:rsid w:val="39E76710"/>
    <w:rsid w:val="39EB79E1"/>
    <w:rsid w:val="39EF3F42"/>
    <w:rsid w:val="3A0D43A4"/>
    <w:rsid w:val="3A1514CF"/>
    <w:rsid w:val="3A305611"/>
    <w:rsid w:val="3A3D2D41"/>
    <w:rsid w:val="3A590A0B"/>
    <w:rsid w:val="3A5E52DE"/>
    <w:rsid w:val="3A695377"/>
    <w:rsid w:val="3A766411"/>
    <w:rsid w:val="3A7D0F55"/>
    <w:rsid w:val="3A916042"/>
    <w:rsid w:val="3AA20D0A"/>
    <w:rsid w:val="3AA661B2"/>
    <w:rsid w:val="3AB111F7"/>
    <w:rsid w:val="3ADC3D9A"/>
    <w:rsid w:val="3AF5659F"/>
    <w:rsid w:val="3B0965D5"/>
    <w:rsid w:val="3B0A0908"/>
    <w:rsid w:val="3B2C5DFC"/>
    <w:rsid w:val="3B331C0C"/>
    <w:rsid w:val="3B4200A1"/>
    <w:rsid w:val="3B4356EC"/>
    <w:rsid w:val="3B4D5566"/>
    <w:rsid w:val="3B5B5607"/>
    <w:rsid w:val="3B6472F4"/>
    <w:rsid w:val="3B6F3EB1"/>
    <w:rsid w:val="3B762441"/>
    <w:rsid w:val="3B883250"/>
    <w:rsid w:val="3B8C17C0"/>
    <w:rsid w:val="3B9A64E4"/>
    <w:rsid w:val="3BA86871"/>
    <w:rsid w:val="3BC27434"/>
    <w:rsid w:val="3BD123EF"/>
    <w:rsid w:val="3BFB3CEC"/>
    <w:rsid w:val="3C0C4D9E"/>
    <w:rsid w:val="3C1B6501"/>
    <w:rsid w:val="3C2459F9"/>
    <w:rsid w:val="3C3E6CAB"/>
    <w:rsid w:val="3C4165AB"/>
    <w:rsid w:val="3C6A3835"/>
    <w:rsid w:val="3C8A46CC"/>
    <w:rsid w:val="3C9708C1"/>
    <w:rsid w:val="3CC830E3"/>
    <w:rsid w:val="3CE600D4"/>
    <w:rsid w:val="3D2128F6"/>
    <w:rsid w:val="3D3305EA"/>
    <w:rsid w:val="3D5A6244"/>
    <w:rsid w:val="3D5D5666"/>
    <w:rsid w:val="3D6469F5"/>
    <w:rsid w:val="3DAB374E"/>
    <w:rsid w:val="3DC079A3"/>
    <w:rsid w:val="3DDD2303"/>
    <w:rsid w:val="3DE52E43"/>
    <w:rsid w:val="3E014951"/>
    <w:rsid w:val="3E096628"/>
    <w:rsid w:val="3E0E257B"/>
    <w:rsid w:val="3E5C591E"/>
    <w:rsid w:val="3E612F34"/>
    <w:rsid w:val="3E7569E0"/>
    <w:rsid w:val="3E834C59"/>
    <w:rsid w:val="3EA80B63"/>
    <w:rsid w:val="3ED25BE0"/>
    <w:rsid w:val="3EF01DFA"/>
    <w:rsid w:val="3EFB6EE5"/>
    <w:rsid w:val="3F011FB6"/>
    <w:rsid w:val="3F077CDD"/>
    <w:rsid w:val="3F1B7587"/>
    <w:rsid w:val="3F36616F"/>
    <w:rsid w:val="3F3917BB"/>
    <w:rsid w:val="3F3F0C0D"/>
    <w:rsid w:val="3F484CFB"/>
    <w:rsid w:val="3F5C6695"/>
    <w:rsid w:val="3F697D56"/>
    <w:rsid w:val="3F746C97"/>
    <w:rsid w:val="3F781209"/>
    <w:rsid w:val="3F827606"/>
    <w:rsid w:val="3F877AC9"/>
    <w:rsid w:val="3FAD70AA"/>
    <w:rsid w:val="3FC714BD"/>
    <w:rsid w:val="3FCA4527"/>
    <w:rsid w:val="3FEB51AC"/>
    <w:rsid w:val="3FF4616B"/>
    <w:rsid w:val="4013200C"/>
    <w:rsid w:val="40216A9E"/>
    <w:rsid w:val="40375936"/>
    <w:rsid w:val="40556BCC"/>
    <w:rsid w:val="40632F94"/>
    <w:rsid w:val="40704A1D"/>
    <w:rsid w:val="40776F3C"/>
    <w:rsid w:val="407A208B"/>
    <w:rsid w:val="40830988"/>
    <w:rsid w:val="408847A8"/>
    <w:rsid w:val="408D603A"/>
    <w:rsid w:val="409A0980"/>
    <w:rsid w:val="40B24DB9"/>
    <w:rsid w:val="40B64407"/>
    <w:rsid w:val="40D55396"/>
    <w:rsid w:val="40D82A90"/>
    <w:rsid w:val="40F462E2"/>
    <w:rsid w:val="410C362B"/>
    <w:rsid w:val="413015A5"/>
    <w:rsid w:val="413D6B91"/>
    <w:rsid w:val="41483F38"/>
    <w:rsid w:val="416436EA"/>
    <w:rsid w:val="41735459"/>
    <w:rsid w:val="41774B95"/>
    <w:rsid w:val="41807B75"/>
    <w:rsid w:val="419E7FFC"/>
    <w:rsid w:val="41BB6E00"/>
    <w:rsid w:val="41D35EF7"/>
    <w:rsid w:val="41DB4DAC"/>
    <w:rsid w:val="4202058A"/>
    <w:rsid w:val="421F2EEA"/>
    <w:rsid w:val="42366F83"/>
    <w:rsid w:val="423948E8"/>
    <w:rsid w:val="424C7E36"/>
    <w:rsid w:val="424E557E"/>
    <w:rsid w:val="4262727B"/>
    <w:rsid w:val="42695225"/>
    <w:rsid w:val="4269685C"/>
    <w:rsid w:val="42721F4D"/>
    <w:rsid w:val="42725710"/>
    <w:rsid w:val="429F5DD9"/>
    <w:rsid w:val="42B06238"/>
    <w:rsid w:val="42BA550C"/>
    <w:rsid w:val="42BE6BA7"/>
    <w:rsid w:val="42BE7250"/>
    <w:rsid w:val="42D261AF"/>
    <w:rsid w:val="42EA13A8"/>
    <w:rsid w:val="42F36125"/>
    <w:rsid w:val="42F44DB5"/>
    <w:rsid w:val="433359A4"/>
    <w:rsid w:val="43346E69"/>
    <w:rsid w:val="43417C92"/>
    <w:rsid w:val="436B215F"/>
    <w:rsid w:val="436B7C53"/>
    <w:rsid w:val="43741014"/>
    <w:rsid w:val="439876ED"/>
    <w:rsid w:val="439E2535"/>
    <w:rsid w:val="43AE09CA"/>
    <w:rsid w:val="43B160C9"/>
    <w:rsid w:val="43BA0A15"/>
    <w:rsid w:val="43C35BF6"/>
    <w:rsid w:val="43C917E9"/>
    <w:rsid w:val="43DE3EEE"/>
    <w:rsid w:val="43E41C5D"/>
    <w:rsid w:val="43EF0FE2"/>
    <w:rsid w:val="43FD5E7F"/>
    <w:rsid w:val="44004F9E"/>
    <w:rsid w:val="443A225E"/>
    <w:rsid w:val="443C4228"/>
    <w:rsid w:val="443D426D"/>
    <w:rsid w:val="444430DC"/>
    <w:rsid w:val="44613C8E"/>
    <w:rsid w:val="44686700"/>
    <w:rsid w:val="447514E8"/>
    <w:rsid w:val="44782D86"/>
    <w:rsid w:val="44CF638C"/>
    <w:rsid w:val="44E346A3"/>
    <w:rsid w:val="44F00B6E"/>
    <w:rsid w:val="45045710"/>
    <w:rsid w:val="45250832"/>
    <w:rsid w:val="452B7DF8"/>
    <w:rsid w:val="45891C56"/>
    <w:rsid w:val="45926BA9"/>
    <w:rsid w:val="45D97854"/>
    <w:rsid w:val="45E5444B"/>
    <w:rsid w:val="45E8353E"/>
    <w:rsid w:val="46141AA7"/>
    <w:rsid w:val="46244F73"/>
    <w:rsid w:val="46416AD6"/>
    <w:rsid w:val="464B69A4"/>
    <w:rsid w:val="464C0026"/>
    <w:rsid w:val="465F41FD"/>
    <w:rsid w:val="4674757D"/>
    <w:rsid w:val="46763A5E"/>
    <w:rsid w:val="46B502C1"/>
    <w:rsid w:val="46C422B2"/>
    <w:rsid w:val="46E74042"/>
    <w:rsid w:val="46F25071"/>
    <w:rsid w:val="46F4084E"/>
    <w:rsid w:val="471A6376"/>
    <w:rsid w:val="47242D51"/>
    <w:rsid w:val="47291754"/>
    <w:rsid w:val="47304D8B"/>
    <w:rsid w:val="473236C0"/>
    <w:rsid w:val="47841A42"/>
    <w:rsid w:val="479D3648"/>
    <w:rsid w:val="47CB7671"/>
    <w:rsid w:val="47CC15CE"/>
    <w:rsid w:val="47FB3ECB"/>
    <w:rsid w:val="4822651A"/>
    <w:rsid w:val="483B0352"/>
    <w:rsid w:val="48667975"/>
    <w:rsid w:val="486C49B0"/>
    <w:rsid w:val="486F26F2"/>
    <w:rsid w:val="48710218"/>
    <w:rsid w:val="487E50B2"/>
    <w:rsid w:val="488D612A"/>
    <w:rsid w:val="48BA2C13"/>
    <w:rsid w:val="48D91D1D"/>
    <w:rsid w:val="48FC4FAF"/>
    <w:rsid w:val="49090450"/>
    <w:rsid w:val="49144E77"/>
    <w:rsid w:val="492E5CB9"/>
    <w:rsid w:val="49680B13"/>
    <w:rsid w:val="49883A6B"/>
    <w:rsid w:val="499222AC"/>
    <w:rsid w:val="49AB59AC"/>
    <w:rsid w:val="49CC2EDA"/>
    <w:rsid w:val="4A143654"/>
    <w:rsid w:val="4A2E69CA"/>
    <w:rsid w:val="4A2F3EE7"/>
    <w:rsid w:val="4A327866"/>
    <w:rsid w:val="4A371147"/>
    <w:rsid w:val="4A6873F9"/>
    <w:rsid w:val="4A745D9D"/>
    <w:rsid w:val="4A7945CF"/>
    <w:rsid w:val="4A7A2BED"/>
    <w:rsid w:val="4A841EEE"/>
    <w:rsid w:val="4AC62A9D"/>
    <w:rsid w:val="4AC8374B"/>
    <w:rsid w:val="4ADA311C"/>
    <w:rsid w:val="4AE96277"/>
    <w:rsid w:val="4AF71D17"/>
    <w:rsid w:val="4B0B4954"/>
    <w:rsid w:val="4B1B446B"/>
    <w:rsid w:val="4B2B2900"/>
    <w:rsid w:val="4B346D20"/>
    <w:rsid w:val="4B447E66"/>
    <w:rsid w:val="4B49722A"/>
    <w:rsid w:val="4B5B50BB"/>
    <w:rsid w:val="4B5F67EB"/>
    <w:rsid w:val="4B6422B6"/>
    <w:rsid w:val="4B7778F3"/>
    <w:rsid w:val="4B970143"/>
    <w:rsid w:val="4BB62FE7"/>
    <w:rsid w:val="4BBE0B8F"/>
    <w:rsid w:val="4BC6311F"/>
    <w:rsid w:val="4BDE7972"/>
    <w:rsid w:val="4BEA27BB"/>
    <w:rsid w:val="4BEB1526"/>
    <w:rsid w:val="4BEB7E55"/>
    <w:rsid w:val="4C2757BD"/>
    <w:rsid w:val="4C2C7C0F"/>
    <w:rsid w:val="4C3D1913"/>
    <w:rsid w:val="4C443961"/>
    <w:rsid w:val="4C792459"/>
    <w:rsid w:val="4C7C718B"/>
    <w:rsid w:val="4C7E73A7"/>
    <w:rsid w:val="4CA623B3"/>
    <w:rsid w:val="4CB6269D"/>
    <w:rsid w:val="4CC84BA2"/>
    <w:rsid w:val="4CC923FD"/>
    <w:rsid w:val="4CF072D7"/>
    <w:rsid w:val="4D0553D3"/>
    <w:rsid w:val="4D2B228A"/>
    <w:rsid w:val="4D403F08"/>
    <w:rsid w:val="4D445EFB"/>
    <w:rsid w:val="4D461C92"/>
    <w:rsid w:val="4D5301FB"/>
    <w:rsid w:val="4D55133A"/>
    <w:rsid w:val="4D6D5069"/>
    <w:rsid w:val="4D950505"/>
    <w:rsid w:val="4D9F3A3B"/>
    <w:rsid w:val="4DC219A6"/>
    <w:rsid w:val="4DDC79D2"/>
    <w:rsid w:val="4DF421EA"/>
    <w:rsid w:val="4DF80A94"/>
    <w:rsid w:val="4E02745E"/>
    <w:rsid w:val="4E3065EC"/>
    <w:rsid w:val="4E3304EA"/>
    <w:rsid w:val="4E3D1CED"/>
    <w:rsid w:val="4E43519A"/>
    <w:rsid w:val="4E51609D"/>
    <w:rsid w:val="4E5171B3"/>
    <w:rsid w:val="4E577EB0"/>
    <w:rsid w:val="4E5B34FC"/>
    <w:rsid w:val="4E604FB7"/>
    <w:rsid w:val="4E764B3D"/>
    <w:rsid w:val="4E807407"/>
    <w:rsid w:val="4E872543"/>
    <w:rsid w:val="4ECA14D7"/>
    <w:rsid w:val="4ECF7A46"/>
    <w:rsid w:val="4ED212E5"/>
    <w:rsid w:val="4ED432AF"/>
    <w:rsid w:val="4ED51FCD"/>
    <w:rsid w:val="4EFD0A57"/>
    <w:rsid w:val="4F06696A"/>
    <w:rsid w:val="4F255E9B"/>
    <w:rsid w:val="4F445960"/>
    <w:rsid w:val="4F4E7E9B"/>
    <w:rsid w:val="4F610EDB"/>
    <w:rsid w:val="4F8151E4"/>
    <w:rsid w:val="4FE97B59"/>
    <w:rsid w:val="4FEA6F0B"/>
    <w:rsid w:val="50160AAE"/>
    <w:rsid w:val="50182EB1"/>
    <w:rsid w:val="502E69EF"/>
    <w:rsid w:val="50463D38"/>
    <w:rsid w:val="50772144"/>
    <w:rsid w:val="50820882"/>
    <w:rsid w:val="5095081C"/>
    <w:rsid w:val="50A64B69"/>
    <w:rsid w:val="50B96C00"/>
    <w:rsid w:val="50DD469C"/>
    <w:rsid w:val="50DE6609"/>
    <w:rsid w:val="50E1178F"/>
    <w:rsid w:val="50ED4FD9"/>
    <w:rsid w:val="50FE4613"/>
    <w:rsid w:val="51137546"/>
    <w:rsid w:val="512D394D"/>
    <w:rsid w:val="51937451"/>
    <w:rsid w:val="519F5DF6"/>
    <w:rsid w:val="51A13422"/>
    <w:rsid w:val="51B66C4D"/>
    <w:rsid w:val="51BA678C"/>
    <w:rsid w:val="51D35A9F"/>
    <w:rsid w:val="51DB6702"/>
    <w:rsid w:val="51E113BD"/>
    <w:rsid w:val="51E27A91"/>
    <w:rsid w:val="51EA3BB2"/>
    <w:rsid w:val="52140592"/>
    <w:rsid w:val="522105B9"/>
    <w:rsid w:val="522C1228"/>
    <w:rsid w:val="522C36B8"/>
    <w:rsid w:val="52310336"/>
    <w:rsid w:val="523F4EE3"/>
    <w:rsid w:val="52470AB7"/>
    <w:rsid w:val="528F7C18"/>
    <w:rsid w:val="529945F3"/>
    <w:rsid w:val="529C2335"/>
    <w:rsid w:val="52A66D10"/>
    <w:rsid w:val="52B23907"/>
    <w:rsid w:val="52BD04CE"/>
    <w:rsid w:val="52E02B54"/>
    <w:rsid w:val="52E635B0"/>
    <w:rsid w:val="53112043"/>
    <w:rsid w:val="531448E8"/>
    <w:rsid w:val="53185E60"/>
    <w:rsid w:val="534356DB"/>
    <w:rsid w:val="5369461E"/>
    <w:rsid w:val="537D5CC3"/>
    <w:rsid w:val="538C23AA"/>
    <w:rsid w:val="539D0113"/>
    <w:rsid w:val="539F032F"/>
    <w:rsid w:val="53B92A73"/>
    <w:rsid w:val="53BB67EB"/>
    <w:rsid w:val="53C25DCC"/>
    <w:rsid w:val="53E126F6"/>
    <w:rsid w:val="54300F87"/>
    <w:rsid w:val="543C5B7E"/>
    <w:rsid w:val="54703A7A"/>
    <w:rsid w:val="548E3F00"/>
    <w:rsid w:val="54977258"/>
    <w:rsid w:val="54A84FC1"/>
    <w:rsid w:val="54C16FFB"/>
    <w:rsid w:val="54C17E31"/>
    <w:rsid w:val="54D16739"/>
    <w:rsid w:val="54D933CD"/>
    <w:rsid w:val="54E87AB4"/>
    <w:rsid w:val="551C150B"/>
    <w:rsid w:val="55244616"/>
    <w:rsid w:val="55445B7F"/>
    <w:rsid w:val="5559450E"/>
    <w:rsid w:val="556C2493"/>
    <w:rsid w:val="55856CDB"/>
    <w:rsid w:val="558C043F"/>
    <w:rsid w:val="55B80A01"/>
    <w:rsid w:val="55B83D89"/>
    <w:rsid w:val="55CC4337"/>
    <w:rsid w:val="55D25CF5"/>
    <w:rsid w:val="55E464CD"/>
    <w:rsid w:val="55EB1088"/>
    <w:rsid w:val="5613290E"/>
    <w:rsid w:val="561F30DA"/>
    <w:rsid w:val="561F610A"/>
    <w:rsid w:val="565B7EBC"/>
    <w:rsid w:val="566E7EBE"/>
    <w:rsid w:val="568E6439"/>
    <w:rsid w:val="56B92AB4"/>
    <w:rsid w:val="56C1236A"/>
    <w:rsid w:val="571E77BD"/>
    <w:rsid w:val="572D2C22"/>
    <w:rsid w:val="57316165"/>
    <w:rsid w:val="573C5E95"/>
    <w:rsid w:val="573E7E5F"/>
    <w:rsid w:val="57413847"/>
    <w:rsid w:val="57461E23"/>
    <w:rsid w:val="57493490"/>
    <w:rsid w:val="57566F57"/>
    <w:rsid w:val="575A3DD1"/>
    <w:rsid w:val="57727B09"/>
    <w:rsid w:val="57995095"/>
    <w:rsid w:val="57A05CB7"/>
    <w:rsid w:val="57AF0E5C"/>
    <w:rsid w:val="57B343A9"/>
    <w:rsid w:val="57D305A7"/>
    <w:rsid w:val="57D63BF4"/>
    <w:rsid w:val="57D85BBE"/>
    <w:rsid w:val="57E36310"/>
    <w:rsid w:val="57E75E01"/>
    <w:rsid w:val="57EE0AD3"/>
    <w:rsid w:val="57FA5FD2"/>
    <w:rsid w:val="580A5802"/>
    <w:rsid w:val="580B5F93"/>
    <w:rsid w:val="580F4728"/>
    <w:rsid w:val="58137125"/>
    <w:rsid w:val="581A61D6"/>
    <w:rsid w:val="58403763"/>
    <w:rsid w:val="585329E1"/>
    <w:rsid w:val="58584F50"/>
    <w:rsid w:val="585B234B"/>
    <w:rsid w:val="5862192B"/>
    <w:rsid w:val="58673227"/>
    <w:rsid w:val="586C6306"/>
    <w:rsid w:val="58AD704A"/>
    <w:rsid w:val="58C3562A"/>
    <w:rsid w:val="58CA1BF9"/>
    <w:rsid w:val="58D178D4"/>
    <w:rsid w:val="58D2260D"/>
    <w:rsid w:val="58E67606"/>
    <w:rsid w:val="58E7648B"/>
    <w:rsid w:val="58E77BC3"/>
    <w:rsid w:val="58EF7663"/>
    <w:rsid w:val="59012EF2"/>
    <w:rsid w:val="590649AC"/>
    <w:rsid w:val="59092357"/>
    <w:rsid w:val="591E1CF6"/>
    <w:rsid w:val="592117E6"/>
    <w:rsid w:val="59253D2C"/>
    <w:rsid w:val="59350ABE"/>
    <w:rsid w:val="59383FF1"/>
    <w:rsid w:val="59577BD8"/>
    <w:rsid w:val="59653481"/>
    <w:rsid w:val="597F1138"/>
    <w:rsid w:val="59A65848"/>
    <w:rsid w:val="59BA0405"/>
    <w:rsid w:val="59BB4688"/>
    <w:rsid w:val="59EA1BD8"/>
    <w:rsid w:val="59FA7861"/>
    <w:rsid w:val="5A1604FF"/>
    <w:rsid w:val="5A166E71"/>
    <w:rsid w:val="5A607778"/>
    <w:rsid w:val="5A7616BE"/>
    <w:rsid w:val="5A783688"/>
    <w:rsid w:val="5A9A35FE"/>
    <w:rsid w:val="5ABD001D"/>
    <w:rsid w:val="5ACD132B"/>
    <w:rsid w:val="5AD81838"/>
    <w:rsid w:val="5AFC41D6"/>
    <w:rsid w:val="5AFF0700"/>
    <w:rsid w:val="5B0171D9"/>
    <w:rsid w:val="5B116A47"/>
    <w:rsid w:val="5B172EA1"/>
    <w:rsid w:val="5B1A1E2F"/>
    <w:rsid w:val="5B1E23DA"/>
    <w:rsid w:val="5B321A89"/>
    <w:rsid w:val="5B48528C"/>
    <w:rsid w:val="5B5D1AF7"/>
    <w:rsid w:val="5B6A7475"/>
    <w:rsid w:val="5BA90C6C"/>
    <w:rsid w:val="5BB4249E"/>
    <w:rsid w:val="5BCB77E7"/>
    <w:rsid w:val="5BCE7A03"/>
    <w:rsid w:val="5BD963A8"/>
    <w:rsid w:val="5C0D7E00"/>
    <w:rsid w:val="5C294C3A"/>
    <w:rsid w:val="5C29540E"/>
    <w:rsid w:val="5C7550A1"/>
    <w:rsid w:val="5C7D31D8"/>
    <w:rsid w:val="5CA6628A"/>
    <w:rsid w:val="5CCE758F"/>
    <w:rsid w:val="5CE13766"/>
    <w:rsid w:val="5CE45005"/>
    <w:rsid w:val="5CE70651"/>
    <w:rsid w:val="5D1D22C5"/>
    <w:rsid w:val="5D2E44D2"/>
    <w:rsid w:val="5D722610"/>
    <w:rsid w:val="5D7A3273"/>
    <w:rsid w:val="5D9A56C3"/>
    <w:rsid w:val="5D9F2CDA"/>
    <w:rsid w:val="5DA36C6E"/>
    <w:rsid w:val="5DA56542"/>
    <w:rsid w:val="5DB669A1"/>
    <w:rsid w:val="5DDD2180"/>
    <w:rsid w:val="5DE51034"/>
    <w:rsid w:val="5DF95989"/>
    <w:rsid w:val="5E044958"/>
    <w:rsid w:val="5E4928F7"/>
    <w:rsid w:val="5E5C4733"/>
    <w:rsid w:val="5E5E4943"/>
    <w:rsid w:val="5E6318C3"/>
    <w:rsid w:val="5E8720EC"/>
    <w:rsid w:val="5E8D3099"/>
    <w:rsid w:val="5E8E5228"/>
    <w:rsid w:val="5EA70098"/>
    <w:rsid w:val="5EA762EA"/>
    <w:rsid w:val="5EAA4966"/>
    <w:rsid w:val="5EC56770"/>
    <w:rsid w:val="5EEF313F"/>
    <w:rsid w:val="5F013C4C"/>
    <w:rsid w:val="5F1576F7"/>
    <w:rsid w:val="5F242515"/>
    <w:rsid w:val="5F2D2C93"/>
    <w:rsid w:val="5F3B02CD"/>
    <w:rsid w:val="5F4B136B"/>
    <w:rsid w:val="5F4D6E91"/>
    <w:rsid w:val="5F61293D"/>
    <w:rsid w:val="5F6366B5"/>
    <w:rsid w:val="5F6E1C6A"/>
    <w:rsid w:val="5F7C1524"/>
    <w:rsid w:val="5F84662B"/>
    <w:rsid w:val="5F8B1768"/>
    <w:rsid w:val="5F9C1774"/>
    <w:rsid w:val="5FAA48C9"/>
    <w:rsid w:val="5FC66C44"/>
    <w:rsid w:val="5FCE4878"/>
    <w:rsid w:val="5FD96977"/>
    <w:rsid w:val="5FE349C2"/>
    <w:rsid w:val="5FEA0B84"/>
    <w:rsid w:val="5FF72E14"/>
    <w:rsid w:val="5FF84A4E"/>
    <w:rsid w:val="5FFC0181"/>
    <w:rsid w:val="6009018A"/>
    <w:rsid w:val="600C0AFA"/>
    <w:rsid w:val="60172FFB"/>
    <w:rsid w:val="602A0F80"/>
    <w:rsid w:val="602D0A71"/>
    <w:rsid w:val="6032416C"/>
    <w:rsid w:val="60344B00"/>
    <w:rsid w:val="603B13E0"/>
    <w:rsid w:val="604E731C"/>
    <w:rsid w:val="6059694A"/>
    <w:rsid w:val="605E569A"/>
    <w:rsid w:val="60812D22"/>
    <w:rsid w:val="609C334B"/>
    <w:rsid w:val="60A056E7"/>
    <w:rsid w:val="60C05441"/>
    <w:rsid w:val="60CE0A09"/>
    <w:rsid w:val="60E73DD7"/>
    <w:rsid w:val="60EC092C"/>
    <w:rsid w:val="611214CA"/>
    <w:rsid w:val="611C70C4"/>
    <w:rsid w:val="61202D2E"/>
    <w:rsid w:val="613144C8"/>
    <w:rsid w:val="614A2AB0"/>
    <w:rsid w:val="614B38A4"/>
    <w:rsid w:val="61533A94"/>
    <w:rsid w:val="616109D2"/>
    <w:rsid w:val="618F2664"/>
    <w:rsid w:val="619743F4"/>
    <w:rsid w:val="61A777C7"/>
    <w:rsid w:val="61A82AA5"/>
    <w:rsid w:val="61AB7E9F"/>
    <w:rsid w:val="61AD1E69"/>
    <w:rsid w:val="61CB26B1"/>
    <w:rsid w:val="61E909C7"/>
    <w:rsid w:val="61FC4B9F"/>
    <w:rsid w:val="62033520"/>
    <w:rsid w:val="620D0B5A"/>
    <w:rsid w:val="62155CCB"/>
    <w:rsid w:val="621A5025"/>
    <w:rsid w:val="62404A8B"/>
    <w:rsid w:val="625247BE"/>
    <w:rsid w:val="62583C23"/>
    <w:rsid w:val="625E7DFD"/>
    <w:rsid w:val="6283706E"/>
    <w:rsid w:val="629A641D"/>
    <w:rsid w:val="629E7A04"/>
    <w:rsid w:val="62B71437"/>
    <w:rsid w:val="62E61243"/>
    <w:rsid w:val="62EF200D"/>
    <w:rsid w:val="62FA152C"/>
    <w:rsid w:val="63004A99"/>
    <w:rsid w:val="63023AED"/>
    <w:rsid w:val="632048BD"/>
    <w:rsid w:val="632A14E1"/>
    <w:rsid w:val="632D1C9C"/>
    <w:rsid w:val="633A597E"/>
    <w:rsid w:val="63551DC3"/>
    <w:rsid w:val="637123C4"/>
    <w:rsid w:val="63786700"/>
    <w:rsid w:val="637A21EF"/>
    <w:rsid w:val="637A221F"/>
    <w:rsid w:val="637F357C"/>
    <w:rsid w:val="638B1B7B"/>
    <w:rsid w:val="639E2E44"/>
    <w:rsid w:val="639F3A33"/>
    <w:rsid w:val="63A43DC5"/>
    <w:rsid w:val="63E7207B"/>
    <w:rsid w:val="64197BDC"/>
    <w:rsid w:val="641F6922"/>
    <w:rsid w:val="643F3DE3"/>
    <w:rsid w:val="644C4DBF"/>
    <w:rsid w:val="6468651B"/>
    <w:rsid w:val="64691F74"/>
    <w:rsid w:val="646F46AB"/>
    <w:rsid w:val="648C045C"/>
    <w:rsid w:val="64A24811"/>
    <w:rsid w:val="64AA08E2"/>
    <w:rsid w:val="64AA6B34"/>
    <w:rsid w:val="64B56A61"/>
    <w:rsid w:val="64D140C0"/>
    <w:rsid w:val="64D37E39"/>
    <w:rsid w:val="64D46DD5"/>
    <w:rsid w:val="64DC257D"/>
    <w:rsid w:val="64E253F6"/>
    <w:rsid w:val="64EE4C72"/>
    <w:rsid w:val="6522491C"/>
    <w:rsid w:val="65271F32"/>
    <w:rsid w:val="6531690D"/>
    <w:rsid w:val="653F54CE"/>
    <w:rsid w:val="65757142"/>
    <w:rsid w:val="658C41A8"/>
    <w:rsid w:val="6598165F"/>
    <w:rsid w:val="65A92947"/>
    <w:rsid w:val="65B430D2"/>
    <w:rsid w:val="65C21C5B"/>
    <w:rsid w:val="65C23A09"/>
    <w:rsid w:val="65C9574D"/>
    <w:rsid w:val="65D25024"/>
    <w:rsid w:val="65EC0A86"/>
    <w:rsid w:val="660914B9"/>
    <w:rsid w:val="661701F9"/>
    <w:rsid w:val="662B03CC"/>
    <w:rsid w:val="662F72F1"/>
    <w:rsid w:val="664B39FF"/>
    <w:rsid w:val="666F593F"/>
    <w:rsid w:val="668230CA"/>
    <w:rsid w:val="66886796"/>
    <w:rsid w:val="668B029F"/>
    <w:rsid w:val="669A69A7"/>
    <w:rsid w:val="66A852F5"/>
    <w:rsid w:val="66B04A92"/>
    <w:rsid w:val="66B141AA"/>
    <w:rsid w:val="66C11F13"/>
    <w:rsid w:val="66E5629C"/>
    <w:rsid w:val="66F67E0E"/>
    <w:rsid w:val="671C5B08"/>
    <w:rsid w:val="672229B1"/>
    <w:rsid w:val="6732696D"/>
    <w:rsid w:val="67386679"/>
    <w:rsid w:val="67424E02"/>
    <w:rsid w:val="67474EB3"/>
    <w:rsid w:val="67656D42"/>
    <w:rsid w:val="677A27ED"/>
    <w:rsid w:val="67AB0BF9"/>
    <w:rsid w:val="67BD092C"/>
    <w:rsid w:val="67CE0D8B"/>
    <w:rsid w:val="67D07117"/>
    <w:rsid w:val="67F26828"/>
    <w:rsid w:val="67F30F00"/>
    <w:rsid w:val="682D1897"/>
    <w:rsid w:val="68406640"/>
    <w:rsid w:val="68556DB7"/>
    <w:rsid w:val="68727968"/>
    <w:rsid w:val="688269BE"/>
    <w:rsid w:val="688D6550"/>
    <w:rsid w:val="688F4350"/>
    <w:rsid w:val="68AA0EB0"/>
    <w:rsid w:val="68E568FF"/>
    <w:rsid w:val="68F760C0"/>
    <w:rsid w:val="695E7EED"/>
    <w:rsid w:val="69653616"/>
    <w:rsid w:val="696C085C"/>
    <w:rsid w:val="696C1C50"/>
    <w:rsid w:val="69782D5D"/>
    <w:rsid w:val="69801C11"/>
    <w:rsid w:val="699833FF"/>
    <w:rsid w:val="699E56DF"/>
    <w:rsid w:val="69A41DA4"/>
    <w:rsid w:val="69BA3375"/>
    <w:rsid w:val="69BB278D"/>
    <w:rsid w:val="69C02845"/>
    <w:rsid w:val="69D02B99"/>
    <w:rsid w:val="69DD6469"/>
    <w:rsid w:val="6A1D56B2"/>
    <w:rsid w:val="6A3B3D8A"/>
    <w:rsid w:val="6A4D2583"/>
    <w:rsid w:val="6A935974"/>
    <w:rsid w:val="6AC50223"/>
    <w:rsid w:val="6AEE700A"/>
    <w:rsid w:val="6AF231C5"/>
    <w:rsid w:val="6AF418AC"/>
    <w:rsid w:val="6B005971"/>
    <w:rsid w:val="6B014FD4"/>
    <w:rsid w:val="6B0318A7"/>
    <w:rsid w:val="6B3E7FD6"/>
    <w:rsid w:val="6B43739A"/>
    <w:rsid w:val="6B460C38"/>
    <w:rsid w:val="6B5259F4"/>
    <w:rsid w:val="6B572E46"/>
    <w:rsid w:val="6B5869C7"/>
    <w:rsid w:val="6B72005C"/>
    <w:rsid w:val="6B7E03D2"/>
    <w:rsid w:val="6B9372CA"/>
    <w:rsid w:val="6BC70B2F"/>
    <w:rsid w:val="6BDE47B7"/>
    <w:rsid w:val="6C040B29"/>
    <w:rsid w:val="6C3905D2"/>
    <w:rsid w:val="6C513046"/>
    <w:rsid w:val="6C6367AC"/>
    <w:rsid w:val="6C6A16B7"/>
    <w:rsid w:val="6C6D0B73"/>
    <w:rsid w:val="6C7816C7"/>
    <w:rsid w:val="6C83517B"/>
    <w:rsid w:val="6C8A3532"/>
    <w:rsid w:val="6C9360FF"/>
    <w:rsid w:val="6CC369E5"/>
    <w:rsid w:val="6CD10307"/>
    <w:rsid w:val="6CD75FEC"/>
    <w:rsid w:val="6D0B038C"/>
    <w:rsid w:val="6D0C7466"/>
    <w:rsid w:val="6D1E2376"/>
    <w:rsid w:val="6D4D0B52"/>
    <w:rsid w:val="6D6244DF"/>
    <w:rsid w:val="6DB47886"/>
    <w:rsid w:val="6DBE0F5A"/>
    <w:rsid w:val="6DC01176"/>
    <w:rsid w:val="6DD93FE6"/>
    <w:rsid w:val="6E060561"/>
    <w:rsid w:val="6E0D2422"/>
    <w:rsid w:val="6E395B01"/>
    <w:rsid w:val="6E3B25AB"/>
    <w:rsid w:val="6E4271BE"/>
    <w:rsid w:val="6E5D4C17"/>
    <w:rsid w:val="6E6715F2"/>
    <w:rsid w:val="6E684F5C"/>
    <w:rsid w:val="6E777A87"/>
    <w:rsid w:val="6EB011EB"/>
    <w:rsid w:val="6EB8009F"/>
    <w:rsid w:val="6EC151A6"/>
    <w:rsid w:val="6ED208E1"/>
    <w:rsid w:val="6EE175F6"/>
    <w:rsid w:val="6EE64C0C"/>
    <w:rsid w:val="6F0155A2"/>
    <w:rsid w:val="6F416D8D"/>
    <w:rsid w:val="6F5002D8"/>
    <w:rsid w:val="6F96218E"/>
    <w:rsid w:val="6FC00FB9"/>
    <w:rsid w:val="6FDD600F"/>
    <w:rsid w:val="6FE5312D"/>
    <w:rsid w:val="6FE9269D"/>
    <w:rsid w:val="6FEA4A7C"/>
    <w:rsid w:val="6FEE6861"/>
    <w:rsid w:val="700665B6"/>
    <w:rsid w:val="703A3509"/>
    <w:rsid w:val="7042750F"/>
    <w:rsid w:val="7055204A"/>
    <w:rsid w:val="708E0E9F"/>
    <w:rsid w:val="709255AC"/>
    <w:rsid w:val="70A00DEB"/>
    <w:rsid w:val="70BD199D"/>
    <w:rsid w:val="70C7611C"/>
    <w:rsid w:val="70D9539B"/>
    <w:rsid w:val="70E21340"/>
    <w:rsid w:val="70EB02B8"/>
    <w:rsid w:val="711A0B9D"/>
    <w:rsid w:val="712B2DAA"/>
    <w:rsid w:val="71453E50"/>
    <w:rsid w:val="714D0F73"/>
    <w:rsid w:val="715173C6"/>
    <w:rsid w:val="715D270E"/>
    <w:rsid w:val="719B1CDE"/>
    <w:rsid w:val="71A14E1B"/>
    <w:rsid w:val="71A212BE"/>
    <w:rsid w:val="71AC3EEB"/>
    <w:rsid w:val="71AE52C7"/>
    <w:rsid w:val="71C34D91"/>
    <w:rsid w:val="71C64881"/>
    <w:rsid w:val="71CA611F"/>
    <w:rsid w:val="71D15700"/>
    <w:rsid w:val="71E2790D"/>
    <w:rsid w:val="71E52863"/>
    <w:rsid w:val="71F0436C"/>
    <w:rsid w:val="7217273D"/>
    <w:rsid w:val="723652CB"/>
    <w:rsid w:val="7242215A"/>
    <w:rsid w:val="726F08F7"/>
    <w:rsid w:val="727918F3"/>
    <w:rsid w:val="727B38BE"/>
    <w:rsid w:val="72AD735C"/>
    <w:rsid w:val="72BA2638"/>
    <w:rsid w:val="72BB1F0C"/>
    <w:rsid w:val="72C64894"/>
    <w:rsid w:val="72D305D9"/>
    <w:rsid w:val="72E450DB"/>
    <w:rsid w:val="72F42E4A"/>
    <w:rsid w:val="72F464CC"/>
    <w:rsid w:val="730076A1"/>
    <w:rsid w:val="730E62B9"/>
    <w:rsid w:val="73130605"/>
    <w:rsid w:val="73190632"/>
    <w:rsid w:val="73332185"/>
    <w:rsid w:val="738E619E"/>
    <w:rsid w:val="738E711F"/>
    <w:rsid w:val="73981A6B"/>
    <w:rsid w:val="73A53F8B"/>
    <w:rsid w:val="73E84F83"/>
    <w:rsid w:val="73EF00BF"/>
    <w:rsid w:val="74156BE2"/>
    <w:rsid w:val="743E2855"/>
    <w:rsid w:val="744D3038"/>
    <w:rsid w:val="745A13C1"/>
    <w:rsid w:val="748C1DB2"/>
    <w:rsid w:val="74911176"/>
    <w:rsid w:val="74AC7D5E"/>
    <w:rsid w:val="74E20FCC"/>
    <w:rsid w:val="75093403"/>
    <w:rsid w:val="75154854"/>
    <w:rsid w:val="75175B20"/>
    <w:rsid w:val="75220020"/>
    <w:rsid w:val="75264803"/>
    <w:rsid w:val="75287D2D"/>
    <w:rsid w:val="75483F2B"/>
    <w:rsid w:val="75671ED7"/>
    <w:rsid w:val="757860DA"/>
    <w:rsid w:val="758962F1"/>
    <w:rsid w:val="759251A6"/>
    <w:rsid w:val="759929D8"/>
    <w:rsid w:val="7599775D"/>
    <w:rsid w:val="75B90231"/>
    <w:rsid w:val="75C6486D"/>
    <w:rsid w:val="75CF4FA6"/>
    <w:rsid w:val="75DE2343"/>
    <w:rsid w:val="75DF705C"/>
    <w:rsid w:val="75E4177A"/>
    <w:rsid w:val="75F25C45"/>
    <w:rsid w:val="760A7432"/>
    <w:rsid w:val="760B1A49"/>
    <w:rsid w:val="7621652A"/>
    <w:rsid w:val="765A1DDB"/>
    <w:rsid w:val="765C57B4"/>
    <w:rsid w:val="766A7A1C"/>
    <w:rsid w:val="767F3E64"/>
    <w:rsid w:val="76825A26"/>
    <w:rsid w:val="76D8308D"/>
    <w:rsid w:val="76DD68F5"/>
    <w:rsid w:val="76F123A0"/>
    <w:rsid w:val="77027646"/>
    <w:rsid w:val="770E4D00"/>
    <w:rsid w:val="773E5893"/>
    <w:rsid w:val="774150D6"/>
    <w:rsid w:val="77426B90"/>
    <w:rsid w:val="774C4956"/>
    <w:rsid w:val="77514BED"/>
    <w:rsid w:val="776C1A27"/>
    <w:rsid w:val="779B1CAF"/>
    <w:rsid w:val="779F3BAA"/>
    <w:rsid w:val="77A94A29"/>
    <w:rsid w:val="77B04009"/>
    <w:rsid w:val="77CE4490"/>
    <w:rsid w:val="77D42CE5"/>
    <w:rsid w:val="78174088"/>
    <w:rsid w:val="78197E01"/>
    <w:rsid w:val="78272A58"/>
    <w:rsid w:val="78484242"/>
    <w:rsid w:val="784A33A1"/>
    <w:rsid w:val="785030F6"/>
    <w:rsid w:val="788A0834"/>
    <w:rsid w:val="78BE1364"/>
    <w:rsid w:val="78CE2999"/>
    <w:rsid w:val="78D37FAF"/>
    <w:rsid w:val="78D635FC"/>
    <w:rsid w:val="78E026CC"/>
    <w:rsid w:val="78E80F0B"/>
    <w:rsid w:val="78EE4DE9"/>
    <w:rsid w:val="78EF0B61"/>
    <w:rsid w:val="790B0ADB"/>
    <w:rsid w:val="790D6F0A"/>
    <w:rsid w:val="790E2D96"/>
    <w:rsid w:val="79206F6D"/>
    <w:rsid w:val="796230E1"/>
    <w:rsid w:val="79A67472"/>
    <w:rsid w:val="79C201CD"/>
    <w:rsid w:val="79C773E8"/>
    <w:rsid w:val="79CD2C51"/>
    <w:rsid w:val="79D55FA9"/>
    <w:rsid w:val="79D724F5"/>
    <w:rsid w:val="79DE5F13"/>
    <w:rsid w:val="79F5128C"/>
    <w:rsid w:val="7A0643B5"/>
    <w:rsid w:val="7A1B7E60"/>
    <w:rsid w:val="7A2111EE"/>
    <w:rsid w:val="7A574C10"/>
    <w:rsid w:val="7A61783D"/>
    <w:rsid w:val="7AAA7852"/>
    <w:rsid w:val="7ABC4A73"/>
    <w:rsid w:val="7ADD7EC6"/>
    <w:rsid w:val="7AEC2F87"/>
    <w:rsid w:val="7AF4245F"/>
    <w:rsid w:val="7B2C39A7"/>
    <w:rsid w:val="7B4B4617"/>
    <w:rsid w:val="7B783090"/>
    <w:rsid w:val="7B8261D8"/>
    <w:rsid w:val="7B860999"/>
    <w:rsid w:val="7B8F40FC"/>
    <w:rsid w:val="7BC77B74"/>
    <w:rsid w:val="7BD76009"/>
    <w:rsid w:val="7BE11F92"/>
    <w:rsid w:val="7BE26D3D"/>
    <w:rsid w:val="7BE349AD"/>
    <w:rsid w:val="7BF16281"/>
    <w:rsid w:val="7BF85F7F"/>
    <w:rsid w:val="7BFA6773"/>
    <w:rsid w:val="7C05243E"/>
    <w:rsid w:val="7C2C5969"/>
    <w:rsid w:val="7C30396B"/>
    <w:rsid w:val="7C3C7C24"/>
    <w:rsid w:val="7C7D5CFF"/>
    <w:rsid w:val="7C8E4220"/>
    <w:rsid w:val="7CB65F24"/>
    <w:rsid w:val="7CB80512"/>
    <w:rsid w:val="7D0F3580"/>
    <w:rsid w:val="7D244504"/>
    <w:rsid w:val="7D292894"/>
    <w:rsid w:val="7D2E5047"/>
    <w:rsid w:val="7D346AB4"/>
    <w:rsid w:val="7D4D7C3B"/>
    <w:rsid w:val="7D58294E"/>
    <w:rsid w:val="7D8F2B88"/>
    <w:rsid w:val="7DA270F0"/>
    <w:rsid w:val="7DB5221A"/>
    <w:rsid w:val="7DBC3896"/>
    <w:rsid w:val="7DC459D0"/>
    <w:rsid w:val="7DD50326"/>
    <w:rsid w:val="7DEE0806"/>
    <w:rsid w:val="7E024E93"/>
    <w:rsid w:val="7E10774B"/>
    <w:rsid w:val="7E152E18"/>
    <w:rsid w:val="7E2D63B4"/>
    <w:rsid w:val="7E4D4360"/>
    <w:rsid w:val="7E4F2250"/>
    <w:rsid w:val="7E4F632A"/>
    <w:rsid w:val="7E526BA9"/>
    <w:rsid w:val="7E6634E0"/>
    <w:rsid w:val="7E682F48"/>
    <w:rsid w:val="7E71789B"/>
    <w:rsid w:val="7E8D0C00"/>
    <w:rsid w:val="7E8E44E1"/>
    <w:rsid w:val="7EA36676"/>
    <w:rsid w:val="7EA47B7B"/>
    <w:rsid w:val="7EEA1BAF"/>
    <w:rsid w:val="7F093C27"/>
    <w:rsid w:val="7F0F7867"/>
    <w:rsid w:val="7F1D2D77"/>
    <w:rsid w:val="7F203823"/>
    <w:rsid w:val="7F4103D5"/>
    <w:rsid w:val="7F4219EB"/>
    <w:rsid w:val="7F4777E4"/>
    <w:rsid w:val="7F4F291E"/>
    <w:rsid w:val="7F531E4A"/>
    <w:rsid w:val="7F604567"/>
    <w:rsid w:val="7F671451"/>
    <w:rsid w:val="7F6C6E92"/>
    <w:rsid w:val="7F791185"/>
    <w:rsid w:val="7FA3239D"/>
    <w:rsid w:val="7FA86318"/>
    <w:rsid w:val="7FAE073D"/>
    <w:rsid w:val="7FBC5C1E"/>
    <w:rsid w:val="7FC841C1"/>
    <w:rsid w:val="7FCA19E0"/>
    <w:rsid w:val="7FCB178A"/>
    <w:rsid w:val="7FD01987"/>
    <w:rsid w:val="7FD665D7"/>
    <w:rsid w:val="7FE012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qFormat="1" w:uiPriority="99"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99" w:semiHidden="0" w:name="Date"/>
    <w:lsdException w:qFormat="1" w:unhideWhenUsed="0" w:uiPriority="0" w:semiHidden="0" w:name="Body Text First Indent"/>
    <w:lsdException w:qFormat="1"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99" w:semiHidden="0" w:name="Document Map"/>
    <w:lsdException w:qFormat="1" w:unhideWhenUsed="0" w:uiPriority="99" w:semiHidden="0" w:name="Plain Text"/>
    <w:lsdException w:uiPriority="99" w:name="E-mail Signature"/>
    <w:lsdException w:qFormat="1" w:unhideWhenUsed="0" w:uiPriority="0" w:semiHidden="0" w:name="Normal (Web)"/>
    <w:lsdException w:qFormat="1" w:unhideWhenUsed="0" w:uiPriority="0" w:semiHidden="0" w:name="HTML Acronym"/>
    <w:lsdException w:uiPriority="99"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qFormat="1" w:unhideWhenUsed="0" w:uiPriority="0" w:semiHidden="0"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wordWrap w:val="0"/>
      <w:spacing w:line="360" w:lineRule="auto"/>
      <w:ind w:firstLine="420" w:firstLineChars="20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63"/>
    <w:qFormat/>
    <w:uiPriority w:val="9"/>
    <w:pPr>
      <w:jc w:val="center"/>
      <w:outlineLvl w:val="0"/>
    </w:pPr>
    <w:rPr>
      <w:rFonts w:eastAsia="黑体"/>
      <w:b/>
      <w:sz w:val="44"/>
      <w:szCs w:val="44"/>
    </w:rPr>
  </w:style>
  <w:style w:type="paragraph" w:styleId="3">
    <w:name w:val="heading 2"/>
    <w:basedOn w:val="1"/>
    <w:next w:val="1"/>
    <w:link w:val="64"/>
    <w:autoRedefine/>
    <w:qFormat/>
    <w:uiPriority w:val="9"/>
    <w:pPr>
      <w:spacing w:line="560" w:lineRule="exact"/>
      <w:jc w:val="center"/>
      <w:outlineLvl w:val="1"/>
    </w:pPr>
    <w:rPr>
      <w:rFonts w:eastAsia="黑体"/>
      <w:b/>
      <w:sz w:val="32"/>
      <w:szCs w:val="32"/>
    </w:rPr>
  </w:style>
  <w:style w:type="paragraph" w:styleId="4">
    <w:name w:val="heading 3"/>
    <w:basedOn w:val="1"/>
    <w:next w:val="1"/>
    <w:link w:val="58"/>
    <w:autoRedefine/>
    <w:qFormat/>
    <w:uiPriority w:val="0"/>
    <w:pPr>
      <w:keepNext/>
      <w:keepLines/>
      <w:spacing w:before="260" w:after="260" w:line="416" w:lineRule="auto"/>
      <w:outlineLvl w:val="2"/>
    </w:pPr>
    <w:rPr>
      <w:rFonts w:ascii="Calibri" w:hAnsi="Calibri"/>
      <w:b/>
      <w:bCs/>
      <w:sz w:val="32"/>
      <w:szCs w:val="32"/>
    </w:rPr>
  </w:style>
  <w:style w:type="paragraph" w:styleId="5">
    <w:name w:val="heading 4"/>
    <w:basedOn w:val="1"/>
    <w:next w:val="1"/>
    <w:link w:val="65"/>
    <w:autoRedefine/>
    <w:qFormat/>
    <w:uiPriority w:val="0"/>
    <w:pPr>
      <w:keepNext/>
      <w:keepLines/>
      <w:spacing w:before="280" w:after="290" w:line="376" w:lineRule="auto"/>
      <w:outlineLvl w:val="3"/>
    </w:pPr>
    <w:rPr>
      <w:rFonts w:ascii="Cambria" w:hAnsi="Cambria"/>
      <w:b/>
      <w:bCs/>
      <w:sz w:val="28"/>
      <w:szCs w:val="28"/>
    </w:rPr>
  </w:style>
  <w:style w:type="paragraph" w:styleId="6">
    <w:name w:val="heading 5"/>
    <w:basedOn w:val="1"/>
    <w:next w:val="1"/>
    <w:link w:val="113"/>
    <w:autoRedefine/>
    <w:qFormat/>
    <w:uiPriority w:val="0"/>
    <w:pPr>
      <w:keepNext/>
      <w:keepLines/>
      <w:ind w:right="437" w:firstLine="602"/>
      <w:jc w:val="left"/>
      <w:outlineLvl w:val="4"/>
    </w:pPr>
    <w:rPr>
      <w:rFonts w:asciiTheme="minorEastAsia" w:hAnsiTheme="minorEastAsia" w:eastAsiaTheme="minorEastAsia" w:cstheme="minorEastAsia"/>
      <w:b/>
      <w:color w:val="000000" w:themeColor="text1"/>
      <w:kern w:val="0"/>
      <w:sz w:val="28"/>
      <w:szCs w:val="28"/>
      <w:lang w:bidi="zh-CN"/>
      <w14:textFill>
        <w14:solidFill>
          <w14:schemeClr w14:val="tx1"/>
        </w14:solidFill>
      </w14:textFill>
    </w:rPr>
  </w:style>
  <w:style w:type="paragraph" w:styleId="7">
    <w:name w:val="heading 6"/>
    <w:basedOn w:val="1"/>
    <w:next w:val="1"/>
    <w:link w:val="122"/>
    <w:autoRedefine/>
    <w:qFormat/>
    <w:uiPriority w:val="0"/>
    <w:pPr>
      <w:keepNext/>
      <w:keepLines/>
      <w:widowControl/>
      <w:tabs>
        <w:tab w:val="left" w:pos="1440"/>
      </w:tabs>
      <w:spacing w:before="240" w:after="64" w:line="317" w:lineRule="auto"/>
      <w:ind w:left="1152" w:hanging="1152"/>
      <w:jc w:val="left"/>
      <w:outlineLvl w:val="5"/>
    </w:pPr>
    <w:rPr>
      <w:rFonts w:ascii="Arial" w:hAnsi="Arial" w:eastAsia="黑体"/>
      <w:b/>
      <w:kern w:val="0"/>
      <w:sz w:val="24"/>
      <w:szCs w:val="20"/>
    </w:rPr>
  </w:style>
  <w:style w:type="paragraph" w:styleId="8">
    <w:name w:val="heading 7"/>
    <w:basedOn w:val="1"/>
    <w:next w:val="1"/>
    <w:link w:val="123"/>
    <w:autoRedefine/>
    <w:qFormat/>
    <w:uiPriority w:val="0"/>
    <w:pPr>
      <w:keepNext/>
      <w:keepLines/>
      <w:widowControl/>
      <w:tabs>
        <w:tab w:val="left" w:pos="2520"/>
      </w:tabs>
      <w:spacing w:before="240" w:after="64" w:line="317" w:lineRule="auto"/>
      <w:ind w:left="1296" w:hanging="1296"/>
      <w:jc w:val="left"/>
      <w:outlineLvl w:val="6"/>
    </w:pPr>
    <w:rPr>
      <w:b/>
      <w:kern w:val="0"/>
      <w:sz w:val="24"/>
      <w:szCs w:val="20"/>
    </w:rPr>
  </w:style>
  <w:style w:type="paragraph" w:styleId="9">
    <w:name w:val="heading 8"/>
    <w:basedOn w:val="1"/>
    <w:next w:val="1"/>
    <w:link w:val="124"/>
    <w:autoRedefine/>
    <w:qFormat/>
    <w:uiPriority w:val="0"/>
    <w:pPr>
      <w:keepNext/>
      <w:keepLines/>
      <w:widowControl/>
      <w:tabs>
        <w:tab w:val="left" w:pos="1440"/>
      </w:tabs>
      <w:spacing w:before="240" w:after="64" w:line="317" w:lineRule="auto"/>
      <w:ind w:left="1440" w:hanging="1440"/>
      <w:jc w:val="left"/>
      <w:outlineLvl w:val="7"/>
    </w:pPr>
    <w:rPr>
      <w:rFonts w:ascii="Arial" w:hAnsi="Arial" w:eastAsia="黑体"/>
      <w:kern w:val="0"/>
      <w:sz w:val="24"/>
      <w:szCs w:val="20"/>
    </w:rPr>
  </w:style>
  <w:style w:type="paragraph" w:styleId="10">
    <w:name w:val="heading 9"/>
    <w:basedOn w:val="1"/>
    <w:next w:val="1"/>
    <w:link w:val="125"/>
    <w:autoRedefine/>
    <w:qFormat/>
    <w:uiPriority w:val="0"/>
    <w:pPr>
      <w:keepNext/>
      <w:keepLines/>
      <w:widowControl/>
      <w:tabs>
        <w:tab w:val="left" w:pos="1584"/>
      </w:tabs>
      <w:spacing w:before="240" w:after="64" w:line="317" w:lineRule="auto"/>
      <w:ind w:left="1584" w:hanging="1584"/>
      <w:jc w:val="left"/>
      <w:outlineLvl w:val="8"/>
    </w:pPr>
    <w:rPr>
      <w:rFonts w:ascii="Arial" w:hAnsi="Arial" w:eastAsia="黑体"/>
      <w:kern w:val="0"/>
      <w:szCs w:val="20"/>
    </w:rPr>
  </w:style>
  <w:style w:type="character" w:default="1" w:styleId="41">
    <w:name w:val="Default Paragraph Font"/>
    <w:semiHidden/>
    <w:unhideWhenUsed/>
    <w:qFormat/>
    <w:uiPriority w:val="1"/>
  </w:style>
  <w:style w:type="table" w:default="1" w:styleId="38">
    <w:name w:val="Normal Table"/>
    <w:semiHidden/>
    <w:unhideWhenUsed/>
    <w:qFormat/>
    <w:uiPriority w:val="99"/>
    <w:tblPr>
      <w:tblCellMar>
        <w:top w:w="0" w:type="dxa"/>
        <w:left w:w="108" w:type="dxa"/>
        <w:bottom w:w="0" w:type="dxa"/>
        <w:right w:w="108" w:type="dxa"/>
      </w:tblCellMar>
    </w:tblPr>
  </w:style>
  <w:style w:type="paragraph" w:styleId="11">
    <w:name w:val="Normal Indent"/>
    <w:basedOn w:val="1"/>
    <w:link w:val="67"/>
    <w:autoRedefine/>
    <w:qFormat/>
    <w:uiPriority w:val="99"/>
    <w:rPr>
      <w:szCs w:val="21"/>
    </w:rPr>
  </w:style>
  <w:style w:type="paragraph" w:styleId="12">
    <w:name w:val="Document Map"/>
    <w:basedOn w:val="1"/>
    <w:link w:val="68"/>
    <w:autoRedefine/>
    <w:qFormat/>
    <w:uiPriority w:val="99"/>
    <w:pPr>
      <w:shd w:val="clear" w:color="auto" w:fill="000080"/>
    </w:pPr>
    <w:rPr>
      <w:rFonts w:ascii="Calibri" w:hAnsi="Calibri"/>
    </w:rPr>
  </w:style>
  <w:style w:type="paragraph" w:styleId="13">
    <w:name w:val="toa heading"/>
    <w:basedOn w:val="1"/>
    <w:next w:val="1"/>
    <w:qFormat/>
    <w:uiPriority w:val="0"/>
    <w:pPr>
      <w:spacing w:before="120"/>
    </w:pPr>
    <w:rPr>
      <w:rFonts w:ascii="Arial" w:hAnsi="Arial"/>
    </w:rPr>
  </w:style>
  <w:style w:type="paragraph" w:styleId="14">
    <w:name w:val="annotation text"/>
    <w:basedOn w:val="1"/>
    <w:link w:val="69"/>
    <w:autoRedefine/>
    <w:qFormat/>
    <w:uiPriority w:val="0"/>
    <w:pPr>
      <w:jc w:val="left"/>
    </w:pPr>
  </w:style>
  <w:style w:type="paragraph" w:styleId="15">
    <w:name w:val="Body Text 3"/>
    <w:basedOn w:val="1"/>
    <w:link w:val="70"/>
    <w:autoRedefine/>
    <w:qFormat/>
    <w:uiPriority w:val="0"/>
    <w:pPr>
      <w:spacing w:after="120"/>
    </w:pPr>
    <w:rPr>
      <w:sz w:val="16"/>
      <w:szCs w:val="16"/>
    </w:rPr>
  </w:style>
  <w:style w:type="paragraph" w:styleId="16">
    <w:name w:val="Body Text"/>
    <w:basedOn w:val="1"/>
    <w:link w:val="66"/>
    <w:autoRedefine/>
    <w:qFormat/>
    <w:uiPriority w:val="0"/>
    <w:pPr>
      <w:spacing w:after="120"/>
    </w:pPr>
  </w:style>
  <w:style w:type="paragraph" w:styleId="17">
    <w:name w:val="Body Text Indent"/>
    <w:basedOn w:val="1"/>
    <w:link w:val="132"/>
    <w:autoRedefine/>
    <w:qFormat/>
    <w:uiPriority w:val="0"/>
    <w:pPr>
      <w:spacing w:after="120"/>
      <w:ind w:left="420" w:leftChars="200"/>
    </w:pPr>
    <w:rPr>
      <w:szCs w:val="20"/>
    </w:rPr>
  </w:style>
  <w:style w:type="paragraph" w:styleId="18">
    <w:name w:val="toc 3"/>
    <w:basedOn w:val="1"/>
    <w:next w:val="1"/>
    <w:autoRedefine/>
    <w:qFormat/>
    <w:uiPriority w:val="39"/>
    <w:pPr>
      <w:ind w:left="840" w:leftChars="400"/>
    </w:pPr>
    <w:rPr>
      <w:rFonts w:ascii="Calibri" w:hAnsi="Calibri"/>
    </w:rPr>
  </w:style>
  <w:style w:type="paragraph" w:styleId="19">
    <w:name w:val="Plain Text"/>
    <w:basedOn w:val="1"/>
    <w:link w:val="71"/>
    <w:autoRedefine/>
    <w:qFormat/>
    <w:uiPriority w:val="99"/>
    <w:rPr>
      <w:rFonts w:ascii="宋体" w:hAnsi="Courier New"/>
    </w:rPr>
  </w:style>
  <w:style w:type="paragraph" w:styleId="20">
    <w:name w:val="Date"/>
    <w:basedOn w:val="1"/>
    <w:next w:val="1"/>
    <w:link w:val="72"/>
    <w:autoRedefine/>
    <w:qFormat/>
    <w:uiPriority w:val="99"/>
    <w:pPr>
      <w:ind w:left="100" w:leftChars="2500"/>
    </w:pPr>
    <w:rPr>
      <w:rFonts w:ascii="Calibri" w:hAnsi="Calibri"/>
    </w:rPr>
  </w:style>
  <w:style w:type="paragraph" w:styleId="21">
    <w:name w:val="Body Text Indent 2"/>
    <w:basedOn w:val="1"/>
    <w:link w:val="73"/>
    <w:autoRedefine/>
    <w:qFormat/>
    <w:uiPriority w:val="0"/>
    <w:pPr>
      <w:autoSpaceDE w:val="0"/>
      <w:autoSpaceDN w:val="0"/>
      <w:adjustRightInd w:val="0"/>
      <w:ind w:firstLine="450" w:firstLineChars="198"/>
      <w:jc w:val="left"/>
    </w:pPr>
    <w:rPr>
      <w:rFonts w:ascii="宋体" w:hAnsi="Calibri"/>
      <w:color w:val="000000"/>
      <w:kern w:val="0"/>
      <w:sz w:val="24"/>
      <w:szCs w:val="20"/>
    </w:rPr>
  </w:style>
  <w:style w:type="paragraph" w:styleId="22">
    <w:name w:val="Balloon Text"/>
    <w:basedOn w:val="1"/>
    <w:link w:val="74"/>
    <w:autoRedefine/>
    <w:qFormat/>
    <w:uiPriority w:val="0"/>
    <w:rPr>
      <w:sz w:val="18"/>
      <w:szCs w:val="18"/>
    </w:rPr>
  </w:style>
  <w:style w:type="paragraph" w:styleId="23">
    <w:name w:val="footer"/>
    <w:basedOn w:val="1"/>
    <w:link w:val="75"/>
    <w:autoRedefine/>
    <w:qFormat/>
    <w:uiPriority w:val="0"/>
    <w:pPr>
      <w:tabs>
        <w:tab w:val="center" w:pos="4153"/>
        <w:tab w:val="right" w:pos="8306"/>
      </w:tabs>
      <w:snapToGrid w:val="0"/>
      <w:jc w:val="left"/>
    </w:pPr>
    <w:rPr>
      <w:sz w:val="18"/>
      <w:szCs w:val="18"/>
    </w:rPr>
  </w:style>
  <w:style w:type="paragraph" w:styleId="24">
    <w:name w:val="header"/>
    <w:basedOn w:val="1"/>
    <w:link w:val="76"/>
    <w:autoRedefine/>
    <w:qFormat/>
    <w:uiPriority w:val="0"/>
    <w:pPr>
      <w:pBdr>
        <w:bottom w:val="single" w:color="auto" w:sz="6" w:space="1"/>
      </w:pBdr>
      <w:tabs>
        <w:tab w:val="center" w:pos="4153"/>
        <w:tab w:val="right" w:pos="8306"/>
      </w:tabs>
      <w:snapToGrid w:val="0"/>
      <w:jc w:val="center"/>
    </w:pPr>
    <w:rPr>
      <w:sz w:val="18"/>
      <w:szCs w:val="18"/>
    </w:rPr>
  </w:style>
  <w:style w:type="paragraph" w:styleId="25">
    <w:name w:val="toc 1"/>
    <w:basedOn w:val="1"/>
    <w:next w:val="1"/>
    <w:autoRedefine/>
    <w:qFormat/>
    <w:uiPriority w:val="39"/>
    <w:rPr>
      <w:rFonts w:ascii="Calibri" w:hAnsi="Calibri"/>
    </w:rPr>
  </w:style>
  <w:style w:type="paragraph" w:styleId="26">
    <w:name w:val="Subtitle"/>
    <w:basedOn w:val="1"/>
    <w:next w:val="1"/>
    <w:link w:val="139"/>
    <w:autoRedefine/>
    <w:qFormat/>
    <w:uiPriority w:val="11"/>
    <w:pPr>
      <w:spacing w:before="240" w:after="60" w:line="312" w:lineRule="auto"/>
      <w:jc w:val="center"/>
      <w:outlineLvl w:val="1"/>
    </w:pPr>
    <w:rPr>
      <w:rFonts w:ascii="Cambria" w:hAnsi="Cambria"/>
      <w:b/>
      <w:bCs/>
      <w:kern w:val="28"/>
      <w:sz w:val="32"/>
      <w:szCs w:val="32"/>
    </w:rPr>
  </w:style>
  <w:style w:type="paragraph" w:styleId="27">
    <w:name w:val="footnote text"/>
    <w:basedOn w:val="1"/>
    <w:autoRedefine/>
    <w:unhideWhenUsed/>
    <w:qFormat/>
    <w:uiPriority w:val="99"/>
    <w:pPr>
      <w:snapToGrid w:val="0"/>
    </w:pPr>
    <w:rPr>
      <w:sz w:val="18"/>
    </w:rPr>
  </w:style>
  <w:style w:type="paragraph" w:styleId="28">
    <w:name w:val="Body Text Indent 3"/>
    <w:basedOn w:val="1"/>
    <w:link w:val="141"/>
    <w:autoRedefine/>
    <w:qFormat/>
    <w:uiPriority w:val="0"/>
    <w:pPr>
      <w:spacing w:after="120"/>
      <w:ind w:left="420" w:leftChars="200"/>
    </w:pPr>
    <w:rPr>
      <w:sz w:val="16"/>
      <w:szCs w:val="20"/>
    </w:rPr>
  </w:style>
  <w:style w:type="paragraph" w:styleId="29">
    <w:name w:val="toc 2"/>
    <w:basedOn w:val="1"/>
    <w:next w:val="1"/>
    <w:autoRedefine/>
    <w:qFormat/>
    <w:uiPriority w:val="39"/>
    <w:pPr>
      <w:ind w:left="420" w:leftChars="200"/>
    </w:pPr>
    <w:rPr>
      <w:rFonts w:ascii="Calibri" w:hAnsi="Calibri"/>
    </w:rPr>
  </w:style>
  <w:style w:type="paragraph" w:styleId="30">
    <w:name w:val="Body Text 2"/>
    <w:basedOn w:val="1"/>
    <w:qFormat/>
    <w:uiPriority w:val="0"/>
    <w:pPr>
      <w:spacing w:after="120" w:line="480" w:lineRule="auto"/>
    </w:pPr>
  </w:style>
  <w:style w:type="paragraph" w:styleId="31">
    <w:name w:val="HTML Preformatted"/>
    <w:basedOn w:val="1"/>
    <w:link w:val="142"/>
    <w:autoRedefine/>
    <w:unhideWhenUsed/>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2">
    <w:name w:val="Normal (Web)"/>
    <w:basedOn w:val="1"/>
    <w:link w:val="143"/>
    <w:autoRedefine/>
    <w:qFormat/>
    <w:uiPriority w:val="0"/>
    <w:pPr>
      <w:widowControl/>
      <w:spacing w:before="100" w:beforeAutospacing="1" w:after="100" w:afterAutospacing="1"/>
      <w:jc w:val="left"/>
    </w:pPr>
    <w:rPr>
      <w:rFonts w:ascii="宋体" w:hAnsi="宋体" w:cs="宋体"/>
      <w:kern w:val="0"/>
      <w:sz w:val="24"/>
    </w:rPr>
  </w:style>
  <w:style w:type="paragraph" w:styleId="33">
    <w:name w:val="index 1"/>
    <w:basedOn w:val="1"/>
    <w:next w:val="1"/>
    <w:autoRedefine/>
    <w:qFormat/>
    <w:uiPriority w:val="0"/>
    <w:pPr>
      <w:spacing w:line="220" w:lineRule="exact"/>
      <w:jc w:val="center"/>
    </w:pPr>
    <w:rPr>
      <w:rFonts w:ascii="仿宋_GB2312" w:eastAsia="仿宋_GB2312"/>
      <w:szCs w:val="20"/>
    </w:rPr>
  </w:style>
  <w:style w:type="paragraph" w:styleId="34">
    <w:name w:val="Title"/>
    <w:basedOn w:val="1"/>
    <w:link w:val="145"/>
    <w:autoRedefine/>
    <w:qFormat/>
    <w:uiPriority w:val="0"/>
    <w:pPr>
      <w:adjustRightInd w:val="0"/>
      <w:spacing w:before="240" w:after="60" w:line="420" w:lineRule="atLeast"/>
      <w:jc w:val="center"/>
      <w:textAlignment w:val="baseline"/>
      <w:outlineLvl w:val="0"/>
    </w:pPr>
    <w:rPr>
      <w:rFonts w:ascii="Arial" w:hAnsi="Arial"/>
      <w:b/>
      <w:kern w:val="0"/>
      <w:sz w:val="32"/>
      <w:szCs w:val="20"/>
    </w:rPr>
  </w:style>
  <w:style w:type="paragraph" w:styleId="35">
    <w:name w:val="annotation subject"/>
    <w:basedOn w:val="14"/>
    <w:next w:val="14"/>
    <w:link w:val="77"/>
    <w:autoRedefine/>
    <w:qFormat/>
    <w:uiPriority w:val="0"/>
    <w:rPr>
      <w:b/>
      <w:bCs/>
    </w:rPr>
  </w:style>
  <w:style w:type="paragraph" w:styleId="36">
    <w:name w:val="Body Text First Indent"/>
    <w:basedOn w:val="16"/>
    <w:next w:val="37"/>
    <w:link w:val="78"/>
    <w:autoRedefine/>
    <w:qFormat/>
    <w:uiPriority w:val="0"/>
    <w:pPr>
      <w:ind w:firstLine="100" w:firstLineChars="100"/>
    </w:pPr>
  </w:style>
  <w:style w:type="paragraph" w:styleId="37">
    <w:name w:val="Body Text First Indent 2"/>
    <w:basedOn w:val="17"/>
    <w:next w:val="1"/>
    <w:unhideWhenUsed/>
    <w:qFormat/>
    <w:uiPriority w:val="99"/>
    <w:rPr>
      <w:rFonts w:ascii="Cambria" w:hAnsi="Cambria"/>
    </w:rPr>
  </w:style>
  <w:style w:type="table" w:styleId="39">
    <w:name w:val="Table Grid"/>
    <w:basedOn w:val="38"/>
    <w:autoRedefine/>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40">
    <w:name w:val="Table Web 1"/>
    <w:basedOn w:val="38"/>
    <w:autoRedefine/>
    <w:qFormat/>
    <w:uiPriority w:val="0"/>
    <w:pPr>
      <w:wordWrap w:val="0"/>
      <w:topLinePunct/>
      <w:spacing w:line="440" w:lineRule="exact"/>
      <w:ind w:firstLine="200" w:firstLineChars="200"/>
    </w:pPr>
    <w:rPr>
      <w:rFonts w:ascii="Calibri" w:hAnsi="Calibri" w:cs="Arial"/>
    </w:r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left w:w="0" w:type="dxa"/>
        <w:right w:w="0"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character" w:styleId="42">
    <w:name w:val="Strong"/>
    <w:basedOn w:val="41"/>
    <w:autoRedefine/>
    <w:qFormat/>
    <w:uiPriority w:val="22"/>
    <w:rPr>
      <w:rFonts w:ascii="Times New Roman" w:hAnsi="Times New Roman" w:eastAsia="宋体" w:cs="Times New Roman"/>
      <w:b/>
      <w:bCs/>
    </w:rPr>
  </w:style>
  <w:style w:type="character" w:styleId="43">
    <w:name w:val="page number"/>
    <w:autoRedefine/>
    <w:qFormat/>
    <w:uiPriority w:val="0"/>
    <w:rPr>
      <w:rFonts w:ascii="Calibri" w:hAnsi="Calibri" w:eastAsia="宋体" w:cs="Times New Roman"/>
    </w:rPr>
  </w:style>
  <w:style w:type="character" w:styleId="44">
    <w:name w:val="FollowedHyperlink"/>
    <w:autoRedefine/>
    <w:qFormat/>
    <w:uiPriority w:val="99"/>
    <w:rPr>
      <w:rFonts w:ascii="Times New Roman" w:hAnsi="Times New Roman" w:eastAsia="宋体" w:cs="Times New Roman"/>
      <w:color w:val="333333"/>
      <w:sz w:val="18"/>
      <w:u w:val="none"/>
    </w:rPr>
  </w:style>
  <w:style w:type="character" w:styleId="45">
    <w:name w:val="Emphasis"/>
    <w:autoRedefine/>
    <w:qFormat/>
    <w:uiPriority w:val="20"/>
    <w:rPr>
      <w:rFonts w:ascii="Times New Roman" w:hAnsi="Times New Roman" w:eastAsia="宋体" w:cs="Times New Roman"/>
      <w:i/>
      <w:iCs/>
    </w:rPr>
  </w:style>
  <w:style w:type="character" w:styleId="46">
    <w:name w:val="HTML Definition"/>
    <w:autoRedefine/>
    <w:qFormat/>
    <w:uiPriority w:val="0"/>
  </w:style>
  <w:style w:type="character" w:styleId="47">
    <w:name w:val="HTML Typewriter"/>
    <w:autoRedefine/>
    <w:qFormat/>
    <w:uiPriority w:val="0"/>
    <w:rPr>
      <w:rFonts w:hint="default" w:ascii="monospace" w:hAnsi="monospace" w:eastAsia="monospace" w:cs="monospace"/>
      <w:sz w:val="20"/>
    </w:rPr>
  </w:style>
  <w:style w:type="character" w:styleId="48">
    <w:name w:val="HTML Acronym"/>
    <w:basedOn w:val="41"/>
    <w:autoRedefine/>
    <w:qFormat/>
    <w:uiPriority w:val="0"/>
  </w:style>
  <w:style w:type="character" w:styleId="49">
    <w:name w:val="HTML Variable"/>
    <w:autoRedefine/>
    <w:qFormat/>
    <w:uiPriority w:val="0"/>
  </w:style>
  <w:style w:type="character" w:styleId="50">
    <w:name w:val="Hyperlink"/>
    <w:autoRedefine/>
    <w:qFormat/>
    <w:uiPriority w:val="99"/>
    <w:rPr>
      <w:rFonts w:ascii="Calibri" w:hAnsi="Calibri" w:eastAsia="宋体" w:cs="Times New Roman"/>
      <w:color w:val="0000FF"/>
      <w:u w:val="single"/>
    </w:rPr>
  </w:style>
  <w:style w:type="character" w:styleId="51">
    <w:name w:val="HTML Code"/>
    <w:autoRedefine/>
    <w:qFormat/>
    <w:uiPriority w:val="0"/>
    <w:rPr>
      <w:rFonts w:ascii="monospace" w:hAnsi="monospace" w:eastAsia="monospace" w:cs="monospace"/>
      <w:sz w:val="20"/>
    </w:rPr>
  </w:style>
  <w:style w:type="character" w:styleId="52">
    <w:name w:val="annotation reference"/>
    <w:autoRedefine/>
    <w:qFormat/>
    <w:uiPriority w:val="0"/>
    <w:rPr>
      <w:rFonts w:ascii="Calibri" w:hAnsi="Calibri" w:eastAsia="宋体" w:cs="Times New Roman"/>
      <w:sz w:val="21"/>
      <w:szCs w:val="21"/>
    </w:rPr>
  </w:style>
  <w:style w:type="character" w:styleId="53">
    <w:name w:val="HTML Cite"/>
    <w:autoRedefine/>
    <w:qFormat/>
    <w:uiPriority w:val="0"/>
  </w:style>
  <w:style w:type="character" w:styleId="54">
    <w:name w:val="footnote reference"/>
    <w:autoRedefine/>
    <w:qFormat/>
    <w:uiPriority w:val="0"/>
    <w:rPr>
      <w:rFonts w:ascii="Times New Roman" w:hAnsi="Times New Roman" w:eastAsia="宋体" w:cs="Times New Roman"/>
      <w:vertAlign w:val="superscript"/>
    </w:rPr>
  </w:style>
  <w:style w:type="character" w:styleId="55">
    <w:name w:val="HTML Keyboard"/>
    <w:autoRedefine/>
    <w:qFormat/>
    <w:uiPriority w:val="0"/>
    <w:rPr>
      <w:rFonts w:hint="default" w:ascii="monospace" w:hAnsi="monospace" w:eastAsia="monospace" w:cs="monospace"/>
      <w:sz w:val="20"/>
    </w:rPr>
  </w:style>
  <w:style w:type="character" w:styleId="56">
    <w:name w:val="HTML Sample"/>
    <w:autoRedefine/>
    <w:qFormat/>
    <w:uiPriority w:val="0"/>
    <w:rPr>
      <w:rFonts w:hint="default" w:ascii="monospace" w:hAnsi="monospace" w:eastAsia="monospace" w:cs="monospace"/>
    </w:rPr>
  </w:style>
  <w:style w:type="character" w:customStyle="1" w:styleId="57">
    <w:name w:val="标题 2 字符"/>
    <w:autoRedefine/>
    <w:qFormat/>
    <w:uiPriority w:val="0"/>
    <w:rPr>
      <w:rFonts w:ascii="Arial" w:hAnsi="Arial" w:eastAsia="黑体" w:cs="Times New Roman"/>
      <w:b/>
      <w:kern w:val="2"/>
      <w:sz w:val="32"/>
      <w:lang w:val="en-US" w:eastAsia="zh-CN"/>
    </w:rPr>
  </w:style>
  <w:style w:type="character" w:customStyle="1" w:styleId="58">
    <w:name w:val="标题 3 字符1"/>
    <w:basedOn w:val="41"/>
    <w:link w:val="4"/>
    <w:autoRedefine/>
    <w:qFormat/>
    <w:uiPriority w:val="0"/>
    <w:rPr>
      <w:rFonts w:ascii="Calibri" w:hAnsi="Calibri" w:eastAsia="宋体" w:cs="Times New Roman"/>
      <w:b/>
      <w:bCs/>
      <w:sz w:val="32"/>
      <w:szCs w:val="32"/>
    </w:rPr>
  </w:style>
  <w:style w:type="paragraph" w:customStyle="1" w:styleId="59">
    <w:name w:val="Default"/>
    <w:link w:val="190"/>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60">
    <w:name w:val="Char Char10 Char Char Char Char"/>
    <w:basedOn w:val="1"/>
    <w:next w:val="61"/>
    <w:qFormat/>
    <w:uiPriority w:val="0"/>
    <w:rPr>
      <w:rFonts w:ascii="Calibri" w:hAnsi="Calibri"/>
      <w:kern w:val="0"/>
    </w:rPr>
  </w:style>
  <w:style w:type="paragraph" w:customStyle="1" w:styleId="61">
    <w:name w:val="xl87"/>
    <w:basedOn w:val="1"/>
    <w:next w:val="62"/>
    <w:qFormat/>
    <w:uiPriority w:val="0"/>
    <w:pPr>
      <w:widowControl/>
      <w:shd w:val="clear" w:color="FFFFFF" w:fill="FFFFFF"/>
      <w:spacing w:before="280" w:after="280"/>
      <w:jc w:val="right"/>
    </w:pPr>
    <w:rPr>
      <w:rFonts w:ascii="宋体" w:hAnsi="Calibri"/>
      <w:kern w:val="0"/>
      <w:sz w:val="24"/>
    </w:rPr>
  </w:style>
  <w:style w:type="paragraph" w:customStyle="1" w:styleId="62">
    <w:name w:val="xl72"/>
    <w:basedOn w:val="1"/>
    <w:next w:val="20"/>
    <w:qFormat/>
    <w:uiPriority w:val="0"/>
    <w:pPr>
      <w:widowControl/>
      <w:shd w:val="clear" w:color="FFFFFF" w:fill="FFFFFF"/>
      <w:spacing w:before="280" w:after="280"/>
      <w:jc w:val="right"/>
    </w:pPr>
    <w:rPr>
      <w:rFonts w:ascii="宋体" w:hAnsi="Calibri"/>
      <w:kern w:val="0"/>
      <w:sz w:val="24"/>
    </w:rPr>
  </w:style>
  <w:style w:type="character" w:customStyle="1" w:styleId="63">
    <w:name w:val="标题 1 字符1"/>
    <w:basedOn w:val="41"/>
    <w:link w:val="2"/>
    <w:autoRedefine/>
    <w:qFormat/>
    <w:uiPriority w:val="0"/>
    <w:rPr>
      <w:rFonts w:ascii="Times New Roman" w:hAnsi="Times New Roman" w:eastAsia="黑体" w:cs="Times New Roman"/>
      <w:b/>
      <w:sz w:val="44"/>
      <w:szCs w:val="44"/>
    </w:rPr>
  </w:style>
  <w:style w:type="character" w:customStyle="1" w:styleId="64">
    <w:name w:val="标题 2 字符1"/>
    <w:basedOn w:val="41"/>
    <w:link w:val="3"/>
    <w:autoRedefine/>
    <w:qFormat/>
    <w:uiPriority w:val="9"/>
    <w:rPr>
      <w:rFonts w:ascii="Times New Roman" w:hAnsi="Times New Roman" w:eastAsia="黑体" w:cs="Times New Roman"/>
      <w:b/>
      <w:sz w:val="32"/>
      <w:szCs w:val="32"/>
    </w:rPr>
  </w:style>
  <w:style w:type="character" w:customStyle="1" w:styleId="65">
    <w:name w:val="标题 4 字符1"/>
    <w:basedOn w:val="41"/>
    <w:link w:val="5"/>
    <w:autoRedefine/>
    <w:qFormat/>
    <w:uiPriority w:val="0"/>
    <w:rPr>
      <w:rFonts w:ascii="Cambria" w:hAnsi="Cambria" w:eastAsia="宋体" w:cs="Times New Roman"/>
      <w:b/>
      <w:bCs/>
      <w:sz w:val="28"/>
      <w:szCs w:val="28"/>
    </w:rPr>
  </w:style>
  <w:style w:type="character" w:customStyle="1" w:styleId="66">
    <w:name w:val="正文文本 字符1"/>
    <w:basedOn w:val="41"/>
    <w:link w:val="16"/>
    <w:autoRedefine/>
    <w:qFormat/>
    <w:uiPriority w:val="0"/>
    <w:rPr>
      <w:rFonts w:ascii="Times New Roman" w:hAnsi="Times New Roman" w:eastAsia="宋体" w:cs="Times New Roman"/>
      <w:szCs w:val="24"/>
    </w:rPr>
  </w:style>
  <w:style w:type="character" w:customStyle="1" w:styleId="67">
    <w:name w:val="正文缩进 字符"/>
    <w:link w:val="11"/>
    <w:autoRedefine/>
    <w:qFormat/>
    <w:uiPriority w:val="0"/>
    <w:rPr>
      <w:rFonts w:ascii="Times New Roman" w:hAnsi="Times New Roman" w:eastAsia="宋体" w:cs="Times New Roman"/>
      <w:szCs w:val="21"/>
    </w:rPr>
  </w:style>
  <w:style w:type="character" w:customStyle="1" w:styleId="68">
    <w:name w:val="文档结构图 字符1"/>
    <w:basedOn w:val="41"/>
    <w:link w:val="12"/>
    <w:autoRedefine/>
    <w:qFormat/>
    <w:uiPriority w:val="0"/>
    <w:rPr>
      <w:rFonts w:ascii="Calibri" w:hAnsi="Calibri" w:eastAsia="宋体" w:cs="Times New Roman"/>
      <w:szCs w:val="24"/>
      <w:shd w:val="clear" w:color="auto" w:fill="000080"/>
    </w:rPr>
  </w:style>
  <w:style w:type="character" w:customStyle="1" w:styleId="69">
    <w:name w:val="批注文字 字符1"/>
    <w:basedOn w:val="41"/>
    <w:link w:val="14"/>
    <w:autoRedefine/>
    <w:qFormat/>
    <w:uiPriority w:val="0"/>
    <w:rPr>
      <w:rFonts w:ascii="Times New Roman" w:hAnsi="Times New Roman" w:eastAsia="宋体" w:cs="Times New Roman"/>
      <w:szCs w:val="24"/>
    </w:rPr>
  </w:style>
  <w:style w:type="character" w:customStyle="1" w:styleId="70">
    <w:name w:val="正文文本 3 字符1"/>
    <w:basedOn w:val="41"/>
    <w:link w:val="15"/>
    <w:autoRedefine/>
    <w:qFormat/>
    <w:uiPriority w:val="0"/>
    <w:rPr>
      <w:rFonts w:ascii="Times New Roman" w:hAnsi="Times New Roman" w:eastAsia="宋体" w:cs="Times New Roman"/>
      <w:sz w:val="16"/>
      <w:szCs w:val="16"/>
    </w:rPr>
  </w:style>
  <w:style w:type="character" w:customStyle="1" w:styleId="71">
    <w:name w:val="纯文本 字符1"/>
    <w:basedOn w:val="41"/>
    <w:link w:val="19"/>
    <w:autoRedefine/>
    <w:qFormat/>
    <w:uiPriority w:val="99"/>
    <w:rPr>
      <w:rFonts w:ascii="宋体" w:hAnsi="Courier New" w:eastAsia="宋体" w:cs="Times New Roman"/>
      <w:szCs w:val="24"/>
    </w:rPr>
  </w:style>
  <w:style w:type="character" w:customStyle="1" w:styleId="72">
    <w:name w:val="日期 字符1"/>
    <w:basedOn w:val="41"/>
    <w:link w:val="20"/>
    <w:autoRedefine/>
    <w:qFormat/>
    <w:uiPriority w:val="0"/>
    <w:rPr>
      <w:rFonts w:ascii="Calibri" w:hAnsi="Calibri" w:eastAsia="宋体" w:cs="Times New Roman"/>
      <w:szCs w:val="24"/>
    </w:rPr>
  </w:style>
  <w:style w:type="character" w:customStyle="1" w:styleId="73">
    <w:name w:val="正文文本缩进 2 字符"/>
    <w:basedOn w:val="41"/>
    <w:link w:val="21"/>
    <w:autoRedefine/>
    <w:qFormat/>
    <w:uiPriority w:val="0"/>
    <w:rPr>
      <w:rFonts w:ascii="宋体" w:hAnsi="Calibri" w:eastAsia="宋体" w:cs="Times New Roman"/>
      <w:color w:val="000000"/>
      <w:kern w:val="0"/>
      <w:sz w:val="24"/>
      <w:szCs w:val="20"/>
    </w:rPr>
  </w:style>
  <w:style w:type="character" w:customStyle="1" w:styleId="74">
    <w:name w:val="批注框文本 字符1"/>
    <w:basedOn w:val="41"/>
    <w:link w:val="22"/>
    <w:autoRedefine/>
    <w:qFormat/>
    <w:uiPriority w:val="0"/>
    <w:rPr>
      <w:rFonts w:ascii="Times New Roman" w:hAnsi="Times New Roman" w:eastAsia="宋体" w:cs="Times New Roman"/>
      <w:sz w:val="18"/>
      <w:szCs w:val="18"/>
    </w:rPr>
  </w:style>
  <w:style w:type="character" w:customStyle="1" w:styleId="75">
    <w:name w:val="页脚 字符1"/>
    <w:basedOn w:val="41"/>
    <w:link w:val="23"/>
    <w:autoRedefine/>
    <w:qFormat/>
    <w:uiPriority w:val="99"/>
    <w:rPr>
      <w:rFonts w:ascii="Times New Roman" w:hAnsi="Times New Roman" w:eastAsia="宋体" w:cs="Times New Roman"/>
      <w:sz w:val="18"/>
      <w:szCs w:val="18"/>
    </w:rPr>
  </w:style>
  <w:style w:type="character" w:customStyle="1" w:styleId="76">
    <w:name w:val="页眉 字符1"/>
    <w:basedOn w:val="41"/>
    <w:link w:val="24"/>
    <w:autoRedefine/>
    <w:qFormat/>
    <w:uiPriority w:val="99"/>
    <w:rPr>
      <w:rFonts w:ascii="Times New Roman" w:hAnsi="Times New Roman" w:eastAsia="宋体" w:cs="Times New Roman"/>
      <w:sz w:val="18"/>
      <w:szCs w:val="18"/>
    </w:rPr>
  </w:style>
  <w:style w:type="character" w:customStyle="1" w:styleId="77">
    <w:name w:val="批注主题 字符1"/>
    <w:basedOn w:val="69"/>
    <w:link w:val="35"/>
    <w:autoRedefine/>
    <w:qFormat/>
    <w:uiPriority w:val="0"/>
    <w:rPr>
      <w:rFonts w:ascii="Times New Roman" w:hAnsi="Times New Roman" w:eastAsia="宋体" w:cs="Times New Roman"/>
      <w:b/>
      <w:bCs/>
      <w:szCs w:val="24"/>
    </w:rPr>
  </w:style>
  <w:style w:type="character" w:customStyle="1" w:styleId="78">
    <w:name w:val="正文文本首行缩进 字符1"/>
    <w:basedOn w:val="66"/>
    <w:link w:val="36"/>
    <w:autoRedefine/>
    <w:qFormat/>
    <w:uiPriority w:val="0"/>
    <w:rPr>
      <w:rFonts w:ascii="Times New Roman" w:hAnsi="Times New Roman" w:eastAsia="宋体" w:cs="Times New Roman"/>
      <w:szCs w:val="24"/>
    </w:rPr>
  </w:style>
  <w:style w:type="character" w:customStyle="1" w:styleId="79">
    <w:name w:val="正文文本 3 Char1"/>
    <w:autoRedefine/>
    <w:qFormat/>
    <w:uiPriority w:val="0"/>
    <w:rPr>
      <w:rFonts w:ascii="Calibri" w:hAnsi="Calibri" w:eastAsia="宋体" w:cs="Times New Roman"/>
      <w:kern w:val="2"/>
      <w:sz w:val="16"/>
      <w:szCs w:val="16"/>
    </w:rPr>
  </w:style>
  <w:style w:type="character" w:customStyle="1" w:styleId="80">
    <w:name w:val="文档正文 Char"/>
    <w:link w:val="81"/>
    <w:autoRedefine/>
    <w:qFormat/>
    <w:uiPriority w:val="0"/>
    <w:rPr>
      <w:rFonts w:ascii="仿宋_GB2312" w:hAnsi="Calibri" w:eastAsia="仿宋_GB2312" w:cs="Times New Roman"/>
      <w:sz w:val="28"/>
    </w:rPr>
  </w:style>
  <w:style w:type="paragraph" w:customStyle="1" w:styleId="81">
    <w:name w:val="文档正文"/>
    <w:basedOn w:val="1"/>
    <w:link w:val="80"/>
    <w:autoRedefine/>
    <w:qFormat/>
    <w:uiPriority w:val="0"/>
    <w:pPr>
      <w:adjustRightInd w:val="0"/>
      <w:spacing w:line="480" w:lineRule="atLeast"/>
      <w:ind w:firstLine="567"/>
      <w:textAlignment w:val="baseline"/>
    </w:pPr>
    <w:rPr>
      <w:rFonts w:ascii="仿宋_GB2312" w:hAnsi="Calibri" w:eastAsia="仿宋_GB2312"/>
      <w:sz w:val="28"/>
      <w:szCs w:val="22"/>
    </w:rPr>
  </w:style>
  <w:style w:type="character" w:customStyle="1" w:styleId="82">
    <w:name w:val="标题一 Char"/>
    <w:link w:val="83"/>
    <w:qFormat/>
    <w:uiPriority w:val="0"/>
    <w:rPr>
      <w:rFonts w:ascii="宋体" w:hAnsi="宋体"/>
      <w:b/>
      <w:bCs/>
      <w:kern w:val="44"/>
      <w:sz w:val="24"/>
      <w:szCs w:val="44"/>
    </w:rPr>
  </w:style>
  <w:style w:type="paragraph" w:customStyle="1" w:styleId="83">
    <w:name w:val="标题一"/>
    <w:next w:val="1"/>
    <w:link w:val="82"/>
    <w:autoRedefine/>
    <w:qFormat/>
    <w:uiPriority w:val="0"/>
    <w:pPr>
      <w:snapToGrid w:val="0"/>
      <w:spacing w:line="360" w:lineRule="exact"/>
      <w:outlineLvl w:val="0"/>
    </w:pPr>
    <w:rPr>
      <w:rFonts w:ascii="宋体" w:hAnsi="宋体" w:eastAsiaTheme="minorEastAsia" w:cstheme="minorBidi"/>
      <w:b/>
      <w:bCs/>
      <w:kern w:val="44"/>
      <w:sz w:val="24"/>
      <w:szCs w:val="44"/>
      <w:lang w:val="en-US" w:eastAsia="zh-CN" w:bidi="ar-SA"/>
    </w:rPr>
  </w:style>
  <w:style w:type="character" w:customStyle="1" w:styleId="84">
    <w:name w:val="页眉 Char1"/>
    <w:autoRedefine/>
    <w:qFormat/>
    <w:uiPriority w:val="0"/>
    <w:rPr>
      <w:rFonts w:ascii="Calibri" w:hAnsi="Calibri" w:eastAsia="宋体" w:cs="Times New Roman"/>
      <w:kern w:val="2"/>
      <w:sz w:val="18"/>
      <w:szCs w:val="18"/>
    </w:rPr>
  </w:style>
  <w:style w:type="character" w:customStyle="1" w:styleId="85">
    <w:name w:val="正文2 Char"/>
    <w:link w:val="86"/>
    <w:autoRedefine/>
    <w:qFormat/>
    <w:uiPriority w:val="0"/>
    <w:rPr>
      <w:rFonts w:ascii="黑体" w:hAnsi="黑体" w:eastAsia="黑体" w:cs="Times New Roman"/>
      <w:b/>
      <w:sz w:val="24"/>
      <w:szCs w:val="24"/>
    </w:rPr>
  </w:style>
  <w:style w:type="paragraph" w:customStyle="1" w:styleId="86">
    <w:name w:val="正文2"/>
    <w:basedOn w:val="1"/>
    <w:link w:val="85"/>
    <w:autoRedefine/>
    <w:qFormat/>
    <w:uiPriority w:val="0"/>
    <w:rPr>
      <w:rFonts w:ascii="黑体" w:hAnsi="黑体" w:eastAsia="黑体"/>
      <w:b/>
      <w:sz w:val="24"/>
    </w:rPr>
  </w:style>
  <w:style w:type="paragraph" w:customStyle="1" w:styleId="87">
    <w:name w:val="Normal_37"/>
    <w:autoRedefine/>
    <w:qFormat/>
    <w:uiPriority w:val="0"/>
    <w:pPr>
      <w:spacing w:before="120" w:after="240"/>
      <w:jc w:val="both"/>
    </w:pPr>
    <w:rPr>
      <w:rFonts w:ascii="Times New Roman" w:hAnsi="Times New Roman" w:eastAsia="宋体" w:cs="Times New Roman"/>
      <w:sz w:val="22"/>
      <w:szCs w:val="22"/>
      <w:lang w:val="en-US" w:eastAsia="en-US" w:bidi="ar-SA"/>
    </w:rPr>
  </w:style>
  <w:style w:type="paragraph" w:customStyle="1" w:styleId="88">
    <w:name w:val="p"/>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89">
    <w:name w:val="Normal_33"/>
    <w:autoRedefine/>
    <w:qFormat/>
    <w:uiPriority w:val="0"/>
    <w:pPr>
      <w:spacing w:before="120" w:after="240"/>
      <w:jc w:val="both"/>
    </w:pPr>
    <w:rPr>
      <w:rFonts w:ascii="Times New Roman" w:hAnsi="Times New Roman" w:eastAsia="宋体" w:cs="Times New Roman"/>
      <w:sz w:val="22"/>
      <w:szCs w:val="22"/>
      <w:lang w:val="en-US" w:eastAsia="en-US" w:bidi="ar-SA"/>
    </w:rPr>
  </w:style>
  <w:style w:type="paragraph" w:customStyle="1" w:styleId="90">
    <w:name w:val="16"/>
    <w:basedOn w:val="1"/>
    <w:autoRedefine/>
    <w:qFormat/>
    <w:uiPriority w:val="0"/>
    <w:pPr>
      <w:widowControl/>
      <w:snapToGrid w:val="0"/>
      <w:spacing w:before="100" w:beforeAutospacing="1" w:after="100" w:afterAutospacing="1"/>
    </w:pPr>
    <w:rPr>
      <w:rFonts w:hint="eastAsia" w:ascii="宋体" w:hAnsi="宋体"/>
      <w:kern w:val="0"/>
      <w:szCs w:val="20"/>
    </w:rPr>
  </w:style>
  <w:style w:type="paragraph" w:customStyle="1" w:styleId="91">
    <w:name w:val="正文_19"/>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2">
    <w:name w:val="Normal_32"/>
    <w:autoRedefine/>
    <w:qFormat/>
    <w:uiPriority w:val="0"/>
    <w:pPr>
      <w:spacing w:before="120" w:after="240"/>
      <w:jc w:val="both"/>
    </w:pPr>
    <w:rPr>
      <w:rFonts w:ascii="Times New Roman" w:hAnsi="Times New Roman" w:eastAsia="宋体" w:cs="Times New Roman"/>
      <w:sz w:val="22"/>
      <w:szCs w:val="22"/>
      <w:lang w:val="en-US" w:eastAsia="en-US" w:bidi="ar-SA"/>
    </w:rPr>
  </w:style>
  <w:style w:type="paragraph" w:customStyle="1" w:styleId="93">
    <w:name w:val="Normal_38"/>
    <w:autoRedefine/>
    <w:qFormat/>
    <w:uiPriority w:val="0"/>
    <w:pPr>
      <w:spacing w:before="120" w:after="240"/>
      <w:jc w:val="both"/>
    </w:pPr>
    <w:rPr>
      <w:rFonts w:ascii="Times New Roman" w:hAnsi="Times New Roman" w:eastAsia="宋体" w:cs="Times New Roman"/>
      <w:sz w:val="22"/>
      <w:szCs w:val="22"/>
      <w:lang w:val="en-US" w:eastAsia="en-US" w:bidi="ar-SA"/>
    </w:rPr>
  </w:style>
  <w:style w:type="paragraph" w:styleId="94">
    <w:name w:val="List Paragraph"/>
    <w:basedOn w:val="1"/>
    <w:autoRedefine/>
    <w:qFormat/>
    <w:uiPriority w:val="1"/>
    <w:pPr>
      <w:tabs>
        <w:tab w:val="left" w:pos="1880"/>
      </w:tabs>
      <w:ind w:firstLine="422"/>
      <w:jc w:val="left"/>
    </w:pPr>
    <w:rPr>
      <w:rFonts w:asciiTheme="minorEastAsia" w:hAnsiTheme="minorEastAsia" w:eastAsiaTheme="minorEastAsia" w:cstheme="minorEastAsia"/>
      <w:b/>
      <w:bCs/>
      <w:szCs w:val="21"/>
    </w:rPr>
  </w:style>
  <w:style w:type="paragraph" w:customStyle="1" w:styleId="95">
    <w:name w:val="p19"/>
    <w:basedOn w:val="1"/>
    <w:autoRedefine/>
    <w:qFormat/>
    <w:uiPriority w:val="0"/>
    <w:pPr>
      <w:widowControl/>
    </w:pPr>
    <w:rPr>
      <w:rFonts w:ascii="Calibri" w:hAnsi="Calibri"/>
      <w:kern w:val="0"/>
      <w:sz w:val="20"/>
      <w:szCs w:val="20"/>
    </w:rPr>
  </w:style>
  <w:style w:type="paragraph" w:customStyle="1" w:styleId="96">
    <w:name w:val="列出段落1"/>
    <w:basedOn w:val="1"/>
    <w:autoRedefine/>
    <w:qFormat/>
    <w:uiPriority w:val="1"/>
    <w:rPr>
      <w:rFonts w:ascii="Calibri" w:hAnsi="Calibri"/>
    </w:rPr>
  </w:style>
  <w:style w:type="paragraph" w:customStyle="1" w:styleId="97">
    <w:name w:val="p0"/>
    <w:basedOn w:val="1"/>
    <w:autoRedefine/>
    <w:qFormat/>
    <w:uiPriority w:val="0"/>
    <w:pPr>
      <w:widowControl/>
    </w:pPr>
    <w:rPr>
      <w:rFonts w:ascii="Calibri" w:hAnsi="Calibri"/>
      <w:kern w:val="0"/>
      <w:szCs w:val="21"/>
    </w:rPr>
  </w:style>
  <w:style w:type="paragraph" w:customStyle="1" w:styleId="98">
    <w:name w:val="p17"/>
    <w:basedOn w:val="1"/>
    <w:autoRedefine/>
    <w:qFormat/>
    <w:uiPriority w:val="0"/>
    <w:pPr>
      <w:widowControl/>
      <w:spacing w:line="360" w:lineRule="atLeast"/>
      <w:jc w:val="left"/>
    </w:pPr>
    <w:rPr>
      <w:rFonts w:ascii="宋体" w:hAnsi="宋体" w:cs="宋体"/>
      <w:b/>
      <w:bCs/>
      <w:kern w:val="0"/>
      <w:sz w:val="24"/>
    </w:rPr>
  </w:style>
  <w:style w:type="paragraph" w:customStyle="1" w:styleId="99">
    <w:name w:val="p15"/>
    <w:basedOn w:val="1"/>
    <w:autoRedefine/>
    <w:qFormat/>
    <w:uiPriority w:val="0"/>
    <w:pPr>
      <w:widowControl/>
    </w:pPr>
    <w:rPr>
      <w:rFonts w:ascii="Calibri" w:hAnsi="Calibri"/>
      <w:kern w:val="0"/>
      <w:szCs w:val="21"/>
    </w:rPr>
  </w:style>
  <w:style w:type="paragraph" w:customStyle="1" w:styleId="100">
    <w:name w:val="p18"/>
    <w:basedOn w:val="1"/>
    <w:autoRedefine/>
    <w:qFormat/>
    <w:uiPriority w:val="0"/>
    <w:pPr>
      <w:widowControl/>
    </w:pPr>
    <w:rPr>
      <w:rFonts w:ascii="Calibri" w:hAnsi="Calibri"/>
      <w:kern w:val="0"/>
      <w:szCs w:val="21"/>
    </w:rPr>
  </w:style>
  <w:style w:type="paragraph" w:customStyle="1" w:styleId="101">
    <w:name w:val="Normal_35"/>
    <w:autoRedefine/>
    <w:qFormat/>
    <w:uiPriority w:val="0"/>
    <w:pPr>
      <w:spacing w:before="120" w:after="240"/>
      <w:jc w:val="both"/>
    </w:pPr>
    <w:rPr>
      <w:rFonts w:ascii="Times New Roman" w:hAnsi="Times New Roman" w:eastAsia="宋体" w:cs="Times New Roman"/>
      <w:sz w:val="22"/>
      <w:szCs w:val="22"/>
      <w:lang w:val="en-US" w:eastAsia="en-US" w:bidi="ar-SA"/>
    </w:rPr>
  </w:style>
  <w:style w:type="paragraph" w:customStyle="1" w:styleId="102">
    <w:name w:val="Normal_39"/>
    <w:autoRedefine/>
    <w:qFormat/>
    <w:uiPriority w:val="0"/>
    <w:pPr>
      <w:spacing w:before="120" w:after="240"/>
      <w:jc w:val="both"/>
    </w:pPr>
    <w:rPr>
      <w:rFonts w:ascii="Times New Roman" w:hAnsi="Times New Roman" w:eastAsia="宋体" w:cs="Times New Roman"/>
      <w:sz w:val="22"/>
      <w:szCs w:val="22"/>
      <w:lang w:val="en-US" w:eastAsia="en-US" w:bidi="ar-SA"/>
    </w:rPr>
  </w:style>
  <w:style w:type="paragraph" w:customStyle="1" w:styleId="103">
    <w:name w:val="p16"/>
    <w:basedOn w:val="1"/>
    <w:autoRedefine/>
    <w:qFormat/>
    <w:uiPriority w:val="0"/>
    <w:pPr>
      <w:widowControl/>
    </w:pPr>
    <w:rPr>
      <w:rFonts w:ascii="Calibri" w:hAnsi="Calibri"/>
      <w:kern w:val="0"/>
      <w:sz w:val="20"/>
      <w:szCs w:val="20"/>
    </w:rPr>
  </w:style>
  <w:style w:type="paragraph" w:customStyle="1" w:styleId="104">
    <w:name w:val="列出段落11"/>
    <w:basedOn w:val="1"/>
    <w:autoRedefine/>
    <w:qFormat/>
    <w:uiPriority w:val="0"/>
    <w:rPr>
      <w:rFonts w:ascii="Calibri" w:hAnsi="Calibri"/>
      <w:szCs w:val="22"/>
    </w:rPr>
  </w:style>
  <w:style w:type="paragraph" w:customStyle="1" w:styleId="105">
    <w:name w:val="Blockquote"/>
    <w:basedOn w:val="1"/>
    <w:autoRedefine/>
    <w:qFormat/>
    <w:uiPriority w:val="0"/>
    <w:pPr>
      <w:autoSpaceDE w:val="0"/>
      <w:autoSpaceDN w:val="0"/>
      <w:adjustRightInd w:val="0"/>
      <w:spacing w:before="100" w:after="100"/>
      <w:ind w:left="360" w:right="360"/>
      <w:jc w:val="left"/>
    </w:pPr>
    <w:rPr>
      <w:kern w:val="0"/>
      <w:sz w:val="24"/>
      <w:szCs w:val="20"/>
    </w:rPr>
  </w:style>
  <w:style w:type="paragraph" w:customStyle="1" w:styleId="106">
    <w:name w:val="Normal_31"/>
    <w:autoRedefine/>
    <w:qFormat/>
    <w:uiPriority w:val="0"/>
    <w:pPr>
      <w:spacing w:before="120" w:after="240"/>
      <w:jc w:val="both"/>
    </w:pPr>
    <w:rPr>
      <w:rFonts w:ascii="Times New Roman" w:hAnsi="Times New Roman" w:eastAsia="宋体" w:cs="Times New Roman"/>
      <w:sz w:val="22"/>
      <w:szCs w:val="22"/>
      <w:lang w:val="en-US" w:eastAsia="en-US" w:bidi="ar-SA"/>
    </w:rPr>
  </w:style>
  <w:style w:type="paragraph" w:customStyle="1" w:styleId="107">
    <w:name w:val="正文_16"/>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8">
    <w:name w:val="Normal_34"/>
    <w:autoRedefine/>
    <w:qFormat/>
    <w:uiPriority w:val="0"/>
    <w:pPr>
      <w:spacing w:before="120" w:after="240"/>
      <w:jc w:val="both"/>
    </w:pPr>
    <w:rPr>
      <w:rFonts w:ascii="Times New Roman" w:hAnsi="Times New Roman" w:eastAsia="宋体" w:cs="Times New Roman"/>
      <w:sz w:val="22"/>
      <w:szCs w:val="22"/>
      <w:lang w:val="en-US" w:eastAsia="en-US" w:bidi="ar-SA"/>
    </w:rPr>
  </w:style>
  <w:style w:type="paragraph" w:customStyle="1" w:styleId="109">
    <w:name w:val="Normal_36"/>
    <w:autoRedefine/>
    <w:qFormat/>
    <w:uiPriority w:val="0"/>
    <w:pPr>
      <w:spacing w:before="120" w:after="240"/>
      <w:jc w:val="both"/>
    </w:pPr>
    <w:rPr>
      <w:rFonts w:ascii="Times New Roman" w:hAnsi="Times New Roman" w:eastAsia="宋体" w:cs="Times New Roman"/>
      <w:sz w:val="22"/>
      <w:szCs w:val="22"/>
      <w:lang w:val="en-US" w:eastAsia="en-US" w:bidi="ar-SA"/>
    </w:rPr>
  </w:style>
  <w:style w:type="paragraph" w:customStyle="1" w:styleId="110">
    <w:name w:val="无间隔1"/>
    <w:basedOn w:val="1"/>
    <w:autoRedefine/>
    <w:qFormat/>
    <w:uiPriority w:val="1"/>
    <w:pPr>
      <w:spacing w:line="400" w:lineRule="exact"/>
    </w:pPr>
    <w:rPr>
      <w:sz w:val="24"/>
    </w:rPr>
  </w:style>
  <w:style w:type="paragraph" w:customStyle="1" w:styleId="111">
    <w:name w:val="!正文"/>
    <w:basedOn w:val="1"/>
    <w:link w:val="158"/>
    <w:autoRedefine/>
    <w:qFormat/>
    <w:uiPriority w:val="0"/>
    <w:pPr>
      <w:adjustRightInd w:val="0"/>
      <w:snapToGrid w:val="0"/>
      <w:spacing w:line="500" w:lineRule="atLeast"/>
      <w:ind w:firstLine="192" w:firstLineChars="192"/>
    </w:pPr>
    <w:rPr>
      <w:rFonts w:ascii="宋体" w:hAnsi="宋体"/>
      <w:kern w:val="0"/>
      <w:sz w:val="28"/>
      <w:szCs w:val="28"/>
    </w:rPr>
  </w:style>
  <w:style w:type="character" w:customStyle="1" w:styleId="112">
    <w:name w:val="标题 5 Char"/>
    <w:basedOn w:val="41"/>
    <w:autoRedefine/>
    <w:semiHidden/>
    <w:qFormat/>
    <w:uiPriority w:val="9"/>
    <w:rPr>
      <w:rFonts w:ascii="Times New Roman" w:hAnsi="Times New Roman" w:eastAsia="宋体" w:cs="Times New Roman"/>
      <w:b/>
      <w:bCs/>
      <w:kern w:val="2"/>
      <w:sz w:val="28"/>
      <w:szCs w:val="28"/>
    </w:rPr>
  </w:style>
  <w:style w:type="character" w:customStyle="1" w:styleId="113">
    <w:name w:val="标题 5 字符1"/>
    <w:link w:val="6"/>
    <w:autoRedefine/>
    <w:qFormat/>
    <w:uiPriority w:val="0"/>
    <w:rPr>
      <w:rFonts w:asciiTheme="minorEastAsia" w:hAnsiTheme="minorEastAsia" w:eastAsiaTheme="minorEastAsia" w:cstheme="minorEastAsia"/>
      <w:b/>
      <w:color w:val="000000" w:themeColor="text1"/>
      <w:sz w:val="28"/>
      <w:szCs w:val="28"/>
      <w:lang w:bidi="zh-CN"/>
      <w14:textFill>
        <w14:solidFill>
          <w14:schemeClr w14:val="tx1"/>
        </w14:solidFill>
      </w14:textFill>
    </w:rPr>
  </w:style>
  <w:style w:type="character" w:customStyle="1" w:styleId="114">
    <w:name w:val="标题 6 Char"/>
    <w:basedOn w:val="41"/>
    <w:autoRedefine/>
    <w:semiHidden/>
    <w:qFormat/>
    <w:uiPriority w:val="9"/>
    <w:rPr>
      <w:rFonts w:asciiTheme="majorHAnsi" w:hAnsiTheme="majorHAnsi" w:eastAsiaTheme="majorEastAsia" w:cstheme="majorBidi"/>
      <w:b/>
      <w:bCs/>
      <w:kern w:val="2"/>
      <w:sz w:val="24"/>
      <w:szCs w:val="24"/>
    </w:rPr>
  </w:style>
  <w:style w:type="character" w:customStyle="1" w:styleId="115">
    <w:name w:val="标题 7 Char"/>
    <w:basedOn w:val="41"/>
    <w:autoRedefine/>
    <w:semiHidden/>
    <w:qFormat/>
    <w:uiPriority w:val="9"/>
    <w:rPr>
      <w:rFonts w:ascii="Times New Roman" w:hAnsi="Times New Roman" w:eastAsia="宋体" w:cs="Times New Roman"/>
      <w:b/>
      <w:bCs/>
      <w:kern w:val="2"/>
      <w:sz w:val="24"/>
      <w:szCs w:val="24"/>
    </w:rPr>
  </w:style>
  <w:style w:type="character" w:customStyle="1" w:styleId="116">
    <w:name w:val="标题 8 Char"/>
    <w:basedOn w:val="41"/>
    <w:autoRedefine/>
    <w:semiHidden/>
    <w:qFormat/>
    <w:uiPriority w:val="9"/>
    <w:rPr>
      <w:rFonts w:asciiTheme="majorHAnsi" w:hAnsiTheme="majorHAnsi" w:eastAsiaTheme="majorEastAsia" w:cstheme="majorBidi"/>
      <w:kern w:val="2"/>
      <w:sz w:val="24"/>
      <w:szCs w:val="24"/>
    </w:rPr>
  </w:style>
  <w:style w:type="character" w:customStyle="1" w:styleId="117">
    <w:name w:val="标题 9 Char"/>
    <w:basedOn w:val="41"/>
    <w:autoRedefine/>
    <w:semiHidden/>
    <w:qFormat/>
    <w:uiPriority w:val="9"/>
    <w:rPr>
      <w:rFonts w:asciiTheme="majorHAnsi" w:hAnsiTheme="majorHAnsi" w:eastAsiaTheme="majorEastAsia" w:cstheme="majorBidi"/>
      <w:kern w:val="2"/>
      <w:sz w:val="21"/>
      <w:szCs w:val="21"/>
    </w:rPr>
  </w:style>
  <w:style w:type="character" w:customStyle="1" w:styleId="118">
    <w:name w:val="标题 1 字符"/>
    <w:autoRedefine/>
    <w:qFormat/>
    <w:uiPriority w:val="9"/>
    <w:rPr>
      <w:rFonts w:ascii="Times New Roman" w:hAnsi="Times New Roman" w:eastAsia="宋体" w:cs="Times New Roman"/>
      <w:b/>
      <w:kern w:val="44"/>
      <w:sz w:val="44"/>
      <w:lang w:val="en-US" w:eastAsia="zh-CN"/>
    </w:rPr>
  </w:style>
  <w:style w:type="character" w:customStyle="1" w:styleId="119">
    <w:name w:val="标题 3 字符"/>
    <w:autoRedefine/>
    <w:qFormat/>
    <w:uiPriority w:val="0"/>
    <w:rPr>
      <w:rFonts w:ascii="黑体" w:hAnsi="宋体" w:eastAsia="黑体" w:cs="Times New Roman"/>
      <w:kern w:val="2"/>
      <w:sz w:val="28"/>
      <w:lang w:val="en-US" w:eastAsia="zh-CN"/>
    </w:rPr>
  </w:style>
  <w:style w:type="character" w:customStyle="1" w:styleId="120">
    <w:name w:val="标题 4 字符"/>
    <w:autoRedefine/>
    <w:qFormat/>
    <w:uiPriority w:val="0"/>
    <w:rPr>
      <w:rFonts w:ascii="Arial" w:hAnsi="Arial" w:eastAsia="黑体" w:cs="Times New Roman"/>
      <w:b/>
      <w:kern w:val="2"/>
      <w:sz w:val="28"/>
      <w:lang w:val="en-US" w:eastAsia="zh-CN"/>
    </w:rPr>
  </w:style>
  <w:style w:type="character" w:customStyle="1" w:styleId="121">
    <w:name w:val="标题 5 字符"/>
    <w:autoRedefine/>
    <w:qFormat/>
    <w:uiPriority w:val="0"/>
    <w:rPr>
      <w:rFonts w:ascii="Times New Roman" w:hAnsi="Times New Roman" w:eastAsia="宋体" w:cs="Times New Roman"/>
      <w:b/>
      <w:bCs/>
      <w:kern w:val="2"/>
      <w:sz w:val="28"/>
      <w:szCs w:val="28"/>
    </w:rPr>
  </w:style>
  <w:style w:type="character" w:customStyle="1" w:styleId="122">
    <w:name w:val="标题 6 字符"/>
    <w:link w:val="7"/>
    <w:autoRedefine/>
    <w:qFormat/>
    <w:uiPriority w:val="0"/>
    <w:rPr>
      <w:rFonts w:ascii="Arial" w:hAnsi="Arial" w:eastAsia="黑体" w:cs="Times New Roman"/>
      <w:b/>
      <w:sz w:val="24"/>
    </w:rPr>
  </w:style>
  <w:style w:type="character" w:customStyle="1" w:styleId="123">
    <w:name w:val="标题 7 字符"/>
    <w:link w:val="8"/>
    <w:autoRedefine/>
    <w:qFormat/>
    <w:uiPriority w:val="0"/>
    <w:rPr>
      <w:rFonts w:ascii="Times New Roman" w:hAnsi="Times New Roman" w:eastAsia="宋体" w:cs="Times New Roman"/>
      <w:b/>
      <w:sz w:val="24"/>
    </w:rPr>
  </w:style>
  <w:style w:type="character" w:customStyle="1" w:styleId="124">
    <w:name w:val="标题 8 字符"/>
    <w:link w:val="9"/>
    <w:autoRedefine/>
    <w:qFormat/>
    <w:uiPriority w:val="0"/>
    <w:rPr>
      <w:rFonts w:ascii="Arial" w:hAnsi="Arial" w:eastAsia="黑体" w:cs="Times New Roman"/>
      <w:sz w:val="24"/>
    </w:rPr>
  </w:style>
  <w:style w:type="character" w:customStyle="1" w:styleId="125">
    <w:name w:val="标题 9 字符"/>
    <w:link w:val="10"/>
    <w:autoRedefine/>
    <w:qFormat/>
    <w:uiPriority w:val="0"/>
    <w:rPr>
      <w:rFonts w:ascii="Arial" w:hAnsi="Arial" w:eastAsia="黑体" w:cs="Times New Roman"/>
      <w:sz w:val="21"/>
    </w:rPr>
  </w:style>
  <w:style w:type="paragraph" w:customStyle="1" w:styleId="126">
    <w:name w:val="_Style 101"/>
    <w:basedOn w:val="1"/>
    <w:next w:val="94"/>
    <w:link w:val="147"/>
    <w:autoRedefine/>
    <w:qFormat/>
    <w:uiPriority w:val="0"/>
    <w:pPr>
      <w:widowControl/>
      <w:topLinePunct/>
      <w:spacing w:line="440" w:lineRule="exact"/>
      <w:jc w:val="left"/>
    </w:pPr>
    <w:rPr>
      <w:szCs w:val="20"/>
    </w:rPr>
  </w:style>
  <w:style w:type="character" w:customStyle="1" w:styleId="127">
    <w:name w:val="文档结构图 字符"/>
    <w:autoRedefine/>
    <w:qFormat/>
    <w:uiPriority w:val="99"/>
    <w:rPr>
      <w:rFonts w:ascii="Times New Roman" w:hAnsi="Times New Roman" w:eastAsia="宋体" w:cs="Times New Roman"/>
      <w:kern w:val="2"/>
      <w:sz w:val="21"/>
      <w:lang w:val="en-US" w:eastAsia="zh-CN"/>
    </w:rPr>
  </w:style>
  <w:style w:type="character" w:customStyle="1" w:styleId="128">
    <w:name w:val="批注文字 字符"/>
    <w:autoRedefine/>
    <w:qFormat/>
    <w:uiPriority w:val="0"/>
    <w:rPr>
      <w:rFonts w:ascii="Times New Roman" w:hAnsi="Times New Roman" w:eastAsia="宋体" w:cs="Times New Roman"/>
      <w:kern w:val="2"/>
      <w:sz w:val="21"/>
      <w:lang w:val="en-US" w:eastAsia="zh-CN"/>
    </w:rPr>
  </w:style>
  <w:style w:type="character" w:customStyle="1" w:styleId="129">
    <w:name w:val="正文文本 3 字符"/>
    <w:autoRedefine/>
    <w:qFormat/>
    <w:uiPriority w:val="0"/>
    <w:rPr>
      <w:rFonts w:ascii="宋体" w:hAnsi="Times New Roman"/>
      <w:kern w:val="2"/>
      <w:sz w:val="24"/>
    </w:rPr>
  </w:style>
  <w:style w:type="character" w:customStyle="1" w:styleId="130">
    <w:name w:val="正文文本 字符"/>
    <w:autoRedefine/>
    <w:qFormat/>
    <w:uiPriority w:val="0"/>
    <w:rPr>
      <w:rFonts w:ascii="Times New Roman" w:hAnsi="Times New Roman" w:eastAsia="宋体" w:cs="Times New Roman"/>
      <w:kern w:val="2"/>
      <w:sz w:val="21"/>
      <w:lang w:val="en-US" w:eastAsia="zh-CN"/>
    </w:rPr>
  </w:style>
  <w:style w:type="character" w:customStyle="1" w:styleId="131">
    <w:name w:val="正文文本缩进 Char"/>
    <w:basedOn w:val="41"/>
    <w:autoRedefine/>
    <w:semiHidden/>
    <w:qFormat/>
    <w:uiPriority w:val="99"/>
    <w:rPr>
      <w:rFonts w:ascii="Times New Roman" w:hAnsi="Times New Roman" w:eastAsia="宋体" w:cs="Times New Roman"/>
      <w:kern w:val="2"/>
      <w:sz w:val="21"/>
      <w:szCs w:val="24"/>
    </w:rPr>
  </w:style>
  <w:style w:type="character" w:customStyle="1" w:styleId="132">
    <w:name w:val="正文文本缩进 字符"/>
    <w:link w:val="17"/>
    <w:autoRedefine/>
    <w:qFormat/>
    <w:uiPriority w:val="0"/>
    <w:rPr>
      <w:rFonts w:ascii="Times New Roman" w:hAnsi="Times New Roman" w:eastAsia="宋体" w:cs="Times New Roman"/>
      <w:kern w:val="2"/>
      <w:sz w:val="21"/>
    </w:rPr>
  </w:style>
  <w:style w:type="character" w:customStyle="1" w:styleId="133">
    <w:name w:val="纯文本 字符"/>
    <w:autoRedefine/>
    <w:qFormat/>
    <w:uiPriority w:val="0"/>
    <w:rPr>
      <w:rFonts w:ascii="Times New Roman" w:hAnsi="Times New Roman" w:eastAsia="宋体" w:cs="Times New Roman"/>
      <w:sz w:val="24"/>
      <w:szCs w:val="24"/>
    </w:rPr>
  </w:style>
  <w:style w:type="character" w:customStyle="1" w:styleId="134">
    <w:name w:val="日期 字符"/>
    <w:autoRedefine/>
    <w:qFormat/>
    <w:uiPriority w:val="99"/>
    <w:rPr>
      <w:rFonts w:ascii="Times New Roman" w:hAnsi="Times New Roman"/>
      <w:kern w:val="2"/>
      <w:sz w:val="24"/>
    </w:rPr>
  </w:style>
  <w:style w:type="character" w:customStyle="1" w:styleId="135">
    <w:name w:val="批注框文本 字符"/>
    <w:autoRedefine/>
    <w:qFormat/>
    <w:uiPriority w:val="0"/>
    <w:rPr>
      <w:rFonts w:ascii="Times New Roman" w:hAnsi="Times New Roman"/>
      <w:kern w:val="2"/>
      <w:sz w:val="18"/>
    </w:rPr>
  </w:style>
  <w:style w:type="character" w:customStyle="1" w:styleId="136">
    <w:name w:val="页脚 字符"/>
    <w:autoRedefine/>
    <w:qFormat/>
    <w:uiPriority w:val="99"/>
    <w:rPr>
      <w:rFonts w:ascii="Times New Roman" w:hAnsi="Times New Roman" w:eastAsia="宋体" w:cs="Times New Roman"/>
      <w:kern w:val="2"/>
      <w:sz w:val="18"/>
      <w:lang w:val="en-US" w:eastAsia="zh-CN"/>
    </w:rPr>
  </w:style>
  <w:style w:type="character" w:customStyle="1" w:styleId="137">
    <w:name w:val="页眉 字符"/>
    <w:autoRedefine/>
    <w:qFormat/>
    <w:uiPriority w:val="0"/>
    <w:rPr>
      <w:rFonts w:ascii="Times New Roman" w:hAnsi="Times New Roman" w:eastAsia="宋体" w:cs="Times New Roman"/>
      <w:kern w:val="2"/>
      <w:sz w:val="18"/>
      <w:lang w:val="en-US" w:eastAsia="zh-CN"/>
    </w:rPr>
  </w:style>
  <w:style w:type="character" w:customStyle="1" w:styleId="138">
    <w:name w:val="副标题 Char"/>
    <w:basedOn w:val="41"/>
    <w:autoRedefine/>
    <w:qFormat/>
    <w:uiPriority w:val="11"/>
    <w:rPr>
      <w:rFonts w:eastAsia="宋体" w:asciiTheme="majorHAnsi" w:hAnsiTheme="majorHAnsi" w:cstheme="majorBidi"/>
      <w:b/>
      <w:bCs/>
      <w:kern w:val="28"/>
      <w:sz w:val="32"/>
      <w:szCs w:val="32"/>
    </w:rPr>
  </w:style>
  <w:style w:type="character" w:customStyle="1" w:styleId="139">
    <w:name w:val="副标题 字符"/>
    <w:link w:val="26"/>
    <w:autoRedefine/>
    <w:qFormat/>
    <w:uiPriority w:val="11"/>
    <w:rPr>
      <w:rFonts w:ascii="Cambria" w:hAnsi="Cambria" w:eastAsia="宋体" w:cs="Times New Roman"/>
      <w:b/>
      <w:bCs/>
      <w:kern w:val="28"/>
      <w:sz w:val="32"/>
      <w:szCs w:val="32"/>
    </w:rPr>
  </w:style>
  <w:style w:type="character" w:customStyle="1" w:styleId="140">
    <w:name w:val="正文文本缩进 3 Char"/>
    <w:basedOn w:val="41"/>
    <w:autoRedefine/>
    <w:semiHidden/>
    <w:qFormat/>
    <w:uiPriority w:val="99"/>
    <w:rPr>
      <w:rFonts w:ascii="Times New Roman" w:hAnsi="Times New Roman" w:eastAsia="宋体" w:cs="Times New Roman"/>
      <w:kern w:val="2"/>
      <w:sz w:val="16"/>
      <w:szCs w:val="16"/>
    </w:rPr>
  </w:style>
  <w:style w:type="character" w:customStyle="1" w:styleId="141">
    <w:name w:val="正文文本缩进 3 字符"/>
    <w:link w:val="28"/>
    <w:autoRedefine/>
    <w:qFormat/>
    <w:uiPriority w:val="0"/>
    <w:rPr>
      <w:rFonts w:ascii="Times New Roman" w:hAnsi="Times New Roman" w:eastAsia="宋体" w:cs="Times New Roman"/>
      <w:kern w:val="2"/>
      <w:sz w:val="16"/>
    </w:rPr>
  </w:style>
  <w:style w:type="character" w:customStyle="1" w:styleId="142">
    <w:name w:val="HTML 预设格式 字符"/>
    <w:link w:val="31"/>
    <w:autoRedefine/>
    <w:qFormat/>
    <w:uiPriority w:val="0"/>
    <w:rPr>
      <w:rFonts w:ascii="宋体" w:hAnsi="宋体" w:eastAsia="宋体" w:cs="宋体"/>
      <w:sz w:val="24"/>
      <w:szCs w:val="24"/>
    </w:rPr>
  </w:style>
  <w:style w:type="character" w:customStyle="1" w:styleId="143">
    <w:name w:val="普通(网站) 字符"/>
    <w:link w:val="32"/>
    <w:autoRedefine/>
    <w:qFormat/>
    <w:locked/>
    <w:uiPriority w:val="0"/>
    <w:rPr>
      <w:rFonts w:ascii="宋体" w:hAnsi="宋体" w:eastAsia="宋体" w:cs="宋体"/>
      <w:sz w:val="24"/>
      <w:szCs w:val="24"/>
    </w:rPr>
  </w:style>
  <w:style w:type="character" w:customStyle="1" w:styleId="144">
    <w:name w:val="标题 Char"/>
    <w:basedOn w:val="41"/>
    <w:autoRedefine/>
    <w:qFormat/>
    <w:uiPriority w:val="10"/>
    <w:rPr>
      <w:rFonts w:eastAsia="宋体" w:asciiTheme="majorHAnsi" w:hAnsiTheme="majorHAnsi" w:cstheme="majorBidi"/>
      <w:b/>
      <w:bCs/>
      <w:kern w:val="2"/>
      <w:sz w:val="32"/>
      <w:szCs w:val="32"/>
    </w:rPr>
  </w:style>
  <w:style w:type="character" w:customStyle="1" w:styleId="145">
    <w:name w:val="标题 字符"/>
    <w:link w:val="34"/>
    <w:autoRedefine/>
    <w:qFormat/>
    <w:uiPriority w:val="0"/>
    <w:rPr>
      <w:rFonts w:ascii="Arial" w:hAnsi="Arial" w:eastAsia="宋体" w:cs="Times New Roman"/>
      <w:b/>
      <w:sz w:val="32"/>
    </w:rPr>
  </w:style>
  <w:style w:type="character" w:customStyle="1" w:styleId="146">
    <w:name w:val="批注主题 字符"/>
    <w:autoRedefine/>
    <w:qFormat/>
    <w:uiPriority w:val="0"/>
    <w:rPr>
      <w:rFonts w:ascii="Times New Roman" w:hAnsi="Times New Roman" w:eastAsia="宋体" w:cs="Times New Roman"/>
      <w:b/>
      <w:kern w:val="2"/>
      <w:sz w:val="21"/>
      <w:lang w:val="en-US" w:eastAsia="zh-CN"/>
    </w:rPr>
  </w:style>
  <w:style w:type="character" w:customStyle="1" w:styleId="147">
    <w:name w:val="正文文本首行缩进 字符"/>
    <w:link w:val="126"/>
    <w:autoRedefine/>
    <w:qFormat/>
    <w:uiPriority w:val="0"/>
    <w:rPr>
      <w:rFonts w:ascii="Times New Roman" w:hAnsi="Times New Roman" w:eastAsia="宋体" w:cs="Times New Roman"/>
      <w:kern w:val="2"/>
      <w:sz w:val="21"/>
    </w:rPr>
  </w:style>
  <w:style w:type="table" w:customStyle="1" w:styleId="148">
    <w:name w:val="网格型1"/>
    <w:basedOn w:val="38"/>
    <w:autoRedefine/>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149">
    <w:name w:val="纯文本 Char1"/>
    <w:autoRedefine/>
    <w:qFormat/>
    <w:uiPriority w:val="99"/>
    <w:rPr>
      <w:rFonts w:ascii="宋体" w:hAnsi="Courier New" w:eastAsia="宋体" w:cs="Courier New"/>
      <w:kern w:val="2"/>
      <w:sz w:val="21"/>
      <w:szCs w:val="21"/>
    </w:rPr>
  </w:style>
  <w:style w:type="character" w:customStyle="1" w:styleId="150">
    <w:name w:val="正文首行缩进 Char1"/>
    <w:autoRedefine/>
    <w:semiHidden/>
    <w:qFormat/>
    <w:uiPriority w:val="99"/>
  </w:style>
  <w:style w:type="character" w:customStyle="1" w:styleId="151">
    <w:name w:val="样式 标书正文 + 下划线 Char"/>
    <w:autoRedefine/>
    <w:qFormat/>
    <w:uiPriority w:val="0"/>
    <w:rPr>
      <w:rFonts w:ascii="Times New Roman" w:hAnsi="Times New Roman" w:eastAsia="楷体_GB2312" w:cs="Times New Roman"/>
      <w:kern w:val="2"/>
      <w:sz w:val="28"/>
      <w:szCs w:val="28"/>
      <w:u w:val="single"/>
      <w:lang w:val="en-US" w:eastAsia="zh-CN" w:bidi="ar-SA"/>
    </w:rPr>
  </w:style>
  <w:style w:type="character" w:customStyle="1" w:styleId="152">
    <w:name w:val="批注主题 Char1"/>
    <w:autoRedefine/>
    <w:semiHidden/>
    <w:qFormat/>
    <w:uiPriority w:val="99"/>
    <w:rPr>
      <w:rFonts w:ascii="Calibri" w:hAnsi="Calibri" w:eastAsia="宋体" w:cs="Times New Roman"/>
      <w:b/>
      <w:bCs/>
      <w:szCs w:val="20"/>
    </w:rPr>
  </w:style>
  <w:style w:type="character" w:customStyle="1" w:styleId="153">
    <w:name w:val="文档结构图 Char1"/>
    <w:autoRedefine/>
    <w:semiHidden/>
    <w:qFormat/>
    <w:uiPriority w:val="99"/>
    <w:rPr>
      <w:rFonts w:ascii="宋体" w:hAnsi="Calibri" w:eastAsia="宋体" w:cs="Times New Roman"/>
      <w:sz w:val="18"/>
      <w:szCs w:val="18"/>
    </w:rPr>
  </w:style>
  <w:style w:type="character" w:customStyle="1" w:styleId="154">
    <w:name w:val="批注文字 Char1"/>
    <w:autoRedefine/>
    <w:qFormat/>
    <w:uiPriority w:val="0"/>
    <w:rPr>
      <w:rFonts w:ascii="Times New Roman" w:hAnsi="Times New Roman" w:eastAsia="宋体" w:cs="Times New Roman"/>
      <w:szCs w:val="20"/>
    </w:rPr>
  </w:style>
  <w:style w:type="character" w:customStyle="1" w:styleId="155">
    <w:name w:val="标准 Char Char"/>
    <w:autoRedefine/>
    <w:qFormat/>
    <w:uiPriority w:val="0"/>
    <w:rPr>
      <w:rFonts w:ascii="Arial" w:hAnsi="Arial" w:eastAsia="宋体" w:cs="Times New Roman"/>
      <w:kern w:val="2"/>
      <w:sz w:val="24"/>
      <w:lang w:val="en-US" w:eastAsia="zh-CN"/>
    </w:rPr>
  </w:style>
  <w:style w:type="character" w:customStyle="1" w:styleId="156">
    <w:name w:val="正文文本 Char1"/>
    <w:autoRedefine/>
    <w:semiHidden/>
    <w:qFormat/>
    <w:uiPriority w:val="99"/>
    <w:rPr>
      <w:rFonts w:ascii="Calibri" w:hAnsi="Calibri" w:eastAsia="宋体" w:cs="Times New Roman"/>
      <w:szCs w:val="20"/>
    </w:rPr>
  </w:style>
  <w:style w:type="character" w:customStyle="1" w:styleId="157">
    <w:name w:val="t"/>
    <w:autoRedefine/>
    <w:qFormat/>
    <w:uiPriority w:val="0"/>
    <w:rPr>
      <w:rFonts w:ascii="Times New Roman" w:hAnsi="Times New Roman" w:eastAsia="宋体" w:cs="Times New Roman"/>
    </w:rPr>
  </w:style>
  <w:style w:type="character" w:customStyle="1" w:styleId="158">
    <w:name w:val="!正文 Char"/>
    <w:link w:val="111"/>
    <w:autoRedefine/>
    <w:qFormat/>
    <w:uiPriority w:val="0"/>
    <w:rPr>
      <w:rFonts w:ascii="宋体" w:hAnsi="宋体" w:eastAsia="宋体" w:cs="Times New Roman"/>
      <w:sz w:val="28"/>
      <w:szCs w:val="28"/>
    </w:rPr>
  </w:style>
  <w:style w:type="character" w:customStyle="1" w:styleId="159">
    <w:name w:val="font161"/>
    <w:autoRedefine/>
    <w:qFormat/>
    <w:uiPriority w:val="0"/>
    <w:rPr>
      <w:rFonts w:ascii="Times New Roman" w:hAnsi="Times New Roman" w:eastAsia="宋体" w:cs="Times New Roman"/>
      <w:b/>
      <w:sz w:val="32"/>
    </w:rPr>
  </w:style>
  <w:style w:type="character" w:customStyle="1" w:styleId="160">
    <w:name w:val="tdrownotice1"/>
    <w:autoRedefine/>
    <w:qFormat/>
    <w:uiPriority w:val="0"/>
    <w:rPr>
      <w:sz w:val="22"/>
      <w:szCs w:val="22"/>
    </w:rPr>
  </w:style>
  <w:style w:type="character" w:customStyle="1" w:styleId="161">
    <w:name w:val="标题 2 Char1"/>
    <w:autoRedefine/>
    <w:qFormat/>
    <w:uiPriority w:val="0"/>
    <w:rPr>
      <w:rFonts w:ascii="Arial" w:hAnsi="Arial" w:eastAsia="黑体" w:cs="Times New Roman"/>
      <w:b/>
      <w:sz w:val="32"/>
      <w:szCs w:val="20"/>
    </w:rPr>
  </w:style>
  <w:style w:type="character" w:customStyle="1" w:styleId="162">
    <w:name w:val="批注文字 Char3"/>
    <w:autoRedefine/>
    <w:semiHidden/>
    <w:qFormat/>
    <w:uiPriority w:val="99"/>
    <w:rPr>
      <w:rFonts w:ascii="Calibri" w:hAnsi="Calibri" w:eastAsia="宋体" w:cs="Times New Roman"/>
      <w:szCs w:val="20"/>
    </w:rPr>
  </w:style>
  <w:style w:type="character" w:customStyle="1" w:styleId="163">
    <w:name w:val="纯文本 Char3"/>
    <w:autoRedefine/>
    <w:semiHidden/>
    <w:qFormat/>
    <w:uiPriority w:val="99"/>
    <w:rPr>
      <w:rFonts w:ascii="宋体" w:hAnsi="Courier New" w:eastAsia="宋体" w:cs="Courier New"/>
      <w:szCs w:val="21"/>
    </w:rPr>
  </w:style>
  <w:style w:type="character" w:customStyle="1" w:styleId="164">
    <w:name w:val="无间隔 字符"/>
    <w:link w:val="165"/>
    <w:autoRedefine/>
    <w:qFormat/>
    <w:uiPriority w:val="1"/>
    <w:rPr>
      <w:sz w:val="22"/>
    </w:rPr>
  </w:style>
  <w:style w:type="paragraph" w:styleId="165">
    <w:name w:val="No Spacing"/>
    <w:link w:val="164"/>
    <w:autoRedefine/>
    <w:qFormat/>
    <w:uiPriority w:val="1"/>
    <w:rPr>
      <w:rFonts w:asciiTheme="minorHAnsi" w:hAnsiTheme="minorHAnsi" w:eastAsiaTheme="minorEastAsia" w:cstheme="minorBidi"/>
      <w:sz w:val="22"/>
      <w:lang w:val="en-US" w:eastAsia="zh-CN" w:bidi="ar-SA"/>
    </w:rPr>
  </w:style>
  <w:style w:type="paragraph" w:customStyle="1" w:styleId="166">
    <w:name w:val="Char"/>
    <w:basedOn w:val="1"/>
    <w:autoRedefine/>
    <w:qFormat/>
    <w:uiPriority w:val="99"/>
    <w:pPr>
      <w:tabs>
        <w:tab w:val="left" w:pos="360"/>
      </w:tabs>
    </w:pPr>
    <w:rPr>
      <w:sz w:val="24"/>
      <w:szCs w:val="20"/>
    </w:rPr>
  </w:style>
  <w:style w:type="paragraph" w:customStyle="1" w:styleId="167">
    <w:name w:val="Char1"/>
    <w:basedOn w:val="1"/>
    <w:autoRedefine/>
    <w:qFormat/>
    <w:uiPriority w:val="0"/>
    <w:pPr>
      <w:tabs>
        <w:tab w:val="left" w:pos="360"/>
      </w:tabs>
    </w:pPr>
    <w:rPr>
      <w:sz w:val="24"/>
      <w:szCs w:val="20"/>
    </w:rPr>
  </w:style>
  <w:style w:type="paragraph" w:customStyle="1" w:styleId="168">
    <w:name w:val="列出段落2"/>
    <w:basedOn w:val="1"/>
    <w:autoRedefine/>
    <w:qFormat/>
    <w:uiPriority w:val="1"/>
    <w:pPr>
      <w:ind w:left="151"/>
    </w:pPr>
    <w:rPr>
      <w:szCs w:val="20"/>
    </w:rPr>
  </w:style>
  <w:style w:type="paragraph" w:customStyle="1" w:styleId="169">
    <w:name w:val="正文 New New New New New New"/>
    <w:autoRedefine/>
    <w:qFormat/>
    <w:uiPriority w:val="0"/>
    <w:pPr>
      <w:widowControl w:val="0"/>
      <w:jc w:val="both"/>
    </w:pPr>
    <w:rPr>
      <w:rFonts w:ascii="Times New Roman" w:hAnsi="Times New Roman" w:eastAsia="宋体" w:cs="Times New Roman"/>
      <w:lang w:val="en-US" w:eastAsia="zh-CN" w:bidi="ar-SA"/>
    </w:rPr>
  </w:style>
  <w:style w:type="paragraph" w:customStyle="1" w:styleId="170">
    <w:name w:val="WPSOffice手动目录 1"/>
    <w:autoRedefine/>
    <w:qFormat/>
    <w:uiPriority w:val="0"/>
    <w:rPr>
      <w:rFonts w:ascii="Times New Roman" w:hAnsi="Times New Roman" w:eastAsia="宋体" w:cs="Arial"/>
      <w:lang w:val="en-US" w:eastAsia="zh-CN" w:bidi="ar-SA"/>
    </w:rPr>
  </w:style>
  <w:style w:type="paragraph" w:customStyle="1" w:styleId="171">
    <w:name w:val="表格文字"/>
    <w:basedOn w:val="1"/>
    <w:autoRedefine/>
    <w:qFormat/>
    <w:uiPriority w:val="0"/>
    <w:pPr>
      <w:adjustRightInd w:val="0"/>
      <w:spacing w:line="420" w:lineRule="atLeast"/>
      <w:jc w:val="left"/>
      <w:textAlignment w:val="baseline"/>
    </w:pPr>
    <w:rPr>
      <w:kern w:val="0"/>
      <w:szCs w:val="20"/>
    </w:rPr>
  </w:style>
  <w:style w:type="paragraph" w:customStyle="1" w:styleId="172">
    <w:name w:val="标题 21"/>
    <w:basedOn w:val="1"/>
    <w:autoRedefine/>
    <w:qFormat/>
    <w:uiPriority w:val="1"/>
    <w:pPr>
      <w:spacing w:line="269" w:lineRule="exact"/>
      <w:ind w:left="628" w:hanging="477"/>
      <w:outlineLvl w:val="2"/>
    </w:pPr>
    <w:rPr>
      <w:b/>
      <w:bCs/>
      <w:szCs w:val="21"/>
    </w:rPr>
  </w:style>
  <w:style w:type="paragraph" w:customStyle="1" w:styleId="173">
    <w:name w:val="样式 标题 1 + 黑体 三号 非加粗 居中 段前: 6 磅 段后: 6 磅 行距: 固定值 20 磅"/>
    <w:basedOn w:val="2"/>
    <w:autoRedefine/>
    <w:qFormat/>
    <w:uiPriority w:val="0"/>
    <w:pPr>
      <w:keepNext/>
      <w:keepLines/>
      <w:spacing w:before="120" w:after="120" w:line="400" w:lineRule="exact"/>
    </w:pPr>
    <w:rPr>
      <w:rFonts w:ascii="黑体" w:hAnsi="黑体"/>
      <w:b w:val="0"/>
      <w:kern w:val="44"/>
      <w:sz w:val="32"/>
      <w:szCs w:val="20"/>
    </w:rPr>
  </w:style>
  <w:style w:type="paragraph" w:customStyle="1" w:styleId="174">
    <w:name w:val="reader-word-layer reader-word-s6-13"/>
    <w:basedOn w:val="1"/>
    <w:autoRedefine/>
    <w:qFormat/>
    <w:uiPriority w:val="0"/>
    <w:pPr>
      <w:widowControl/>
      <w:spacing w:before="100" w:beforeAutospacing="1" w:after="100" w:afterAutospacing="1"/>
      <w:jc w:val="left"/>
    </w:pPr>
    <w:rPr>
      <w:rFonts w:ascii="宋体" w:hAnsi="宋体"/>
      <w:kern w:val="0"/>
      <w:sz w:val="24"/>
      <w:szCs w:val="20"/>
    </w:rPr>
  </w:style>
  <w:style w:type="paragraph" w:customStyle="1" w:styleId="175">
    <w:name w:val="reader-word-layer reader-word-s7-2"/>
    <w:basedOn w:val="1"/>
    <w:autoRedefine/>
    <w:qFormat/>
    <w:uiPriority w:val="0"/>
    <w:pPr>
      <w:widowControl/>
      <w:spacing w:before="100" w:beforeAutospacing="1" w:after="100" w:afterAutospacing="1"/>
      <w:jc w:val="left"/>
    </w:pPr>
    <w:rPr>
      <w:rFonts w:ascii="宋体" w:hAnsi="宋体"/>
      <w:kern w:val="0"/>
      <w:sz w:val="24"/>
      <w:szCs w:val="20"/>
    </w:rPr>
  </w:style>
  <w:style w:type="paragraph" w:customStyle="1" w:styleId="176">
    <w:name w:val="reader-word-layer reader-word-s6-8"/>
    <w:basedOn w:val="1"/>
    <w:autoRedefine/>
    <w:qFormat/>
    <w:uiPriority w:val="0"/>
    <w:pPr>
      <w:widowControl/>
      <w:spacing w:before="100" w:beforeAutospacing="1" w:after="100" w:afterAutospacing="1"/>
      <w:jc w:val="left"/>
    </w:pPr>
    <w:rPr>
      <w:rFonts w:ascii="宋体" w:hAnsi="宋体"/>
      <w:kern w:val="0"/>
      <w:sz w:val="24"/>
      <w:szCs w:val="20"/>
    </w:rPr>
  </w:style>
  <w:style w:type="paragraph" w:customStyle="1" w:styleId="177">
    <w:name w:val="Table Paragraph"/>
    <w:basedOn w:val="1"/>
    <w:autoRedefine/>
    <w:qFormat/>
    <w:uiPriority w:val="99"/>
    <w:pPr>
      <w:spacing w:line="400" w:lineRule="exact"/>
      <w:ind w:firstLine="0" w:firstLineChars="0"/>
    </w:pPr>
    <w:rPr>
      <w:rFonts w:ascii="宋体" w:hAnsi="宋体"/>
      <w:szCs w:val="20"/>
    </w:rPr>
  </w:style>
  <w:style w:type="paragraph" w:customStyle="1" w:styleId="178">
    <w:name w:val="TOC 标题1"/>
    <w:basedOn w:val="2"/>
    <w:next w:val="1"/>
    <w:autoRedefine/>
    <w:qFormat/>
    <w:uiPriority w:val="39"/>
    <w:pPr>
      <w:keepNext/>
      <w:widowControl/>
      <w:topLinePunct/>
      <w:spacing w:before="480" w:line="276" w:lineRule="auto"/>
      <w:ind w:firstLine="200"/>
      <w:jc w:val="left"/>
      <w:outlineLvl w:val="9"/>
    </w:pPr>
    <w:rPr>
      <w:rFonts w:ascii="Cambria" w:hAnsi="Cambria" w:eastAsia="宋体"/>
      <w:bCs/>
      <w:color w:val="365F91"/>
      <w:kern w:val="0"/>
      <w:sz w:val="28"/>
      <w:szCs w:val="28"/>
    </w:rPr>
  </w:style>
  <w:style w:type="paragraph" w:customStyle="1" w:styleId="179">
    <w:name w:val="reader-word-layer reader-word-s6-7"/>
    <w:basedOn w:val="1"/>
    <w:autoRedefine/>
    <w:qFormat/>
    <w:uiPriority w:val="0"/>
    <w:pPr>
      <w:widowControl/>
      <w:spacing w:before="100" w:beforeAutospacing="1" w:after="100" w:afterAutospacing="1"/>
      <w:jc w:val="left"/>
    </w:pPr>
    <w:rPr>
      <w:rFonts w:ascii="宋体" w:hAnsi="宋体"/>
      <w:kern w:val="0"/>
      <w:sz w:val="24"/>
      <w:szCs w:val="20"/>
    </w:rPr>
  </w:style>
  <w:style w:type="paragraph" w:customStyle="1" w:styleId="180">
    <w:name w:val="1"/>
    <w:basedOn w:val="1"/>
    <w:autoRedefine/>
    <w:qFormat/>
    <w:uiPriority w:val="0"/>
    <w:rPr>
      <w:szCs w:val="20"/>
    </w:rPr>
  </w:style>
  <w:style w:type="paragraph" w:customStyle="1" w:styleId="181">
    <w:name w:val="Char Char Char Char Char Char Char"/>
    <w:basedOn w:val="1"/>
    <w:autoRedefine/>
    <w:qFormat/>
    <w:uiPriority w:val="0"/>
    <w:pPr>
      <w:adjustRightInd w:val="0"/>
    </w:pPr>
    <w:rPr>
      <w:kern w:val="0"/>
      <w:sz w:val="24"/>
    </w:rPr>
  </w:style>
  <w:style w:type="paragraph" w:customStyle="1" w:styleId="182">
    <w:name w:val="6'"/>
    <w:basedOn w:val="1"/>
    <w:autoRedefine/>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183">
    <w:name w:val="修订1"/>
    <w:autoRedefine/>
    <w:qFormat/>
    <w:uiPriority w:val="0"/>
    <w:rPr>
      <w:rFonts w:ascii="Times New Roman" w:hAnsi="Times New Roman" w:eastAsia="宋体" w:cs="Times New Roman"/>
      <w:kern w:val="2"/>
      <w:sz w:val="21"/>
      <w:lang w:val="en-US" w:eastAsia="zh-CN" w:bidi="ar-SA"/>
    </w:rPr>
  </w:style>
  <w:style w:type="paragraph" w:customStyle="1" w:styleId="184">
    <w:name w:val="样式2"/>
    <w:basedOn w:val="4"/>
    <w:autoRedefine/>
    <w:qFormat/>
    <w:uiPriority w:val="0"/>
    <w:pPr>
      <w:spacing w:line="413" w:lineRule="auto"/>
      <w:ind w:firstLine="137" w:firstLineChars="49"/>
    </w:pPr>
    <w:rPr>
      <w:rFonts w:ascii="Times New Roman" w:hAnsi="Times New Roman"/>
      <w:b w:val="0"/>
      <w:bCs w:val="0"/>
      <w:i/>
      <w:sz w:val="28"/>
      <w:szCs w:val="20"/>
    </w:rPr>
  </w:style>
  <w:style w:type="paragraph" w:customStyle="1" w:styleId="185">
    <w:name w:val="样式"/>
    <w:autoRedefine/>
    <w:qFormat/>
    <w:uiPriority w:val="0"/>
    <w:pPr>
      <w:widowControl w:val="0"/>
      <w:autoSpaceDE w:val="0"/>
      <w:autoSpaceDN w:val="0"/>
      <w:adjustRightInd w:val="0"/>
    </w:pPr>
    <w:rPr>
      <w:rFonts w:ascii="宋体" w:hAnsi="宋体" w:eastAsia="宋体" w:cs="Times New Roman"/>
      <w:sz w:val="24"/>
      <w:lang w:val="en-US" w:eastAsia="zh-CN" w:bidi="ar-SA"/>
    </w:rPr>
  </w:style>
  <w:style w:type="paragraph" w:customStyle="1" w:styleId="186">
    <w:name w:val="样式 标题 2 + Times New Roman 四号 非加粗 段前: 5 磅 段后: 0 磅 行距: 固定值 20..."/>
    <w:basedOn w:val="3"/>
    <w:autoRedefine/>
    <w:qFormat/>
    <w:uiPriority w:val="0"/>
    <w:pPr>
      <w:keepNext/>
      <w:keepLines/>
      <w:spacing w:before="100" w:line="400" w:lineRule="exact"/>
      <w:jc w:val="both"/>
    </w:pPr>
    <w:rPr>
      <w:rFonts w:eastAsia="宋体"/>
      <w:b w:val="0"/>
      <w:sz w:val="28"/>
      <w:szCs w:val="20"/>
    </w:rPr>
  </w:style>
  <w:style w:type="paragraph" w:customStyle="1" w:styleId="187">
    <w:name w:val="样式 标题 3 + (中文) 黑体 小四 非加粗 段前: 7.8 磅 段后: 0 磅 行距: 固定值 20 磅"/>
    <w:basedOn w:val="4"/>
    <w:autoRedefine/>
    <w:qFormat/>
    <w:uiPriority w:val="0"/>
    <w:pPr>
      <w:spacing w:before="0" w:after="0" w:line="400" w:lineRule="exact"/>
      <w:ind w:firstLine="137" w:firstLineChars="49"/>
    </w:pPr>
    <w:rPr>
      <w:rFonts w:ascii="Times New Roman" w:hAnsi="Times New Roman" w:eastAsia="黑体"/>
      <w:b w:val="0"/>
      <w:bCs w:val="0"/>
      <w:sz w:val="24"/>
      <w:szCs w:val="20"/>
    </w:rPr>
  </w:style>
  <w:style w:type="paragraph" w:customStyle="1" w:styleId="188">
    <w:name w:val="表格"/>
    <w:basedOn w:val="1"/>
    <w:autoRedefine/>
    <w:qFormat/>
    <w:uiPriority w:val="0"/>
    <w:pPr>
      <w:jc w:val="center"/>
      <w:textAlignment w:val="center"/>
    </w:pPr>
    <w:rPr>
      <w:rFonts w:ascii="华文细黑" w:hAnsi="华文细黑"/>
      <w:kern w:val="0"/>
      <w:szCs w:val="20"/>
    </w:rPr>
  </w:style>
  <w:style w:type="paragraph" w:customStyle="1" w:styleId="189">
    <w:name w:val="正文 New New New New New"/>
    <w:autoRedefine/>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190">
    <w:name w:val="Default Char"/>
    <w:link w:val="59"/>
    <w:autoRedefine/>
    <w:qFormat/>
    <w:uiPriority w:val="0"/>
    <w:rPr>
      <w:rFonts w:ascii="宋体" w:hAnsi="Times New Roman" w:eastAsia="宋体" w:cs="宋体"/>
      <w:color w:val="000000"/>
      <w:sz w:val="24"/>
      <w:szCs w:val="24"/>
    </w:rPr>
  </w:style>
  <w:style w:type="paragraph" w:customStyle="1" w:styleId="191">
    <w:name w:val="reader-word-layer reader-word-s6-12"/>
    <w:basedOn w:val="1"/>
    <w:autoRedefine/>
    <w:qFormat/>
    <w:uiPriority w:val="0"/>
    <w:pPr>
      <w:widowControl/>
      <w:spacing w:before="100" w:beforeAutospacing="1" w:after="100" w:afterAutospacing="1"/>
      <w:jc w:val="left"/>
    </w:pPr>
    <w:rPr>
      <w:rFonts w:ascii="宋体" w:hAnsi="宋体"/>
      <w:kern w:val="0"/>
      <w:sz w:val="24"/>
      <w:szCs w:val="20"/>
    </w:rPr>
  </w:style>
  <w:style w:type="paragraph" w:customStyle="1" w:styleId="192">
    <w:name w:val="cjk"/>
    <w:basedOn w:val="1"/>
    <w:autoRedefine/>
    <w:qFormat/>
    <w:uiPriority w:val="0"/>
    <w:pPr>
      <w:widowControl/>
      <w:spacing w:line="480" w:lineRule="auto"/>
      <w:jc w:val="left"/>
    </w:pPr>
    <w:rPr>
      <w:rFonts w:ascii="宋体" w:hAnsi="宋体"/>
      <w:kern w:val="0"/>
      <w:sz w:val="24"/>
      <w:szCs w:val="20"/>
    </w:rPr>
  </w:style>
  <w:style w:type="paragraph" w:customStyle="1" w:styleId="193">
    <w:name w:val="reader-word-layer reader-word-s6-3"/>
    <w:basedOn w:val="1"/>
    <w:autoRedefine/>
    <w:qFormat/>
    <w:uiPriority w:val="0"/>
    <w:pPr>
      <w:widowControl/>
      <w:spacing w:before="100" w:beforeAutospacing="1" w:after="100" w:afterAutospacing="1"/>
      <w:jc w:val="left"/>
    </w:pPr>
    <w:rPr>
      <w:rFonts w:ascii="宋体" w:hAnsi="宋体"/>
      <w:kern w:val="0"/>
      <w:sz w:val="24"/>
      <w:szCs w:val="20"/>
    </w:rPr>
  </w:style>
  <w:style w:type="paragraph" w:customStyle="1" w:styleId="194">
    <w:name w:val="样式1"/>
    <w:basedOn w:val="1"/>
    <w:next w:val="5"/>
    <w:autoRedefine/>
    <w:qFormat/>
    <w:uiPriority w:val="0"/>
    <w:rPr>
      <w:rFonts w:ascii="宋体" w:hAnsi="宋体"/>
      <w:szCs w:val="20"/>
    </w:rPr>
  </w:style>
  <w:style w:type="paragraph" w:customStyle="1" w:styleId="195">
    <w:name w:val="xl24"/>
    <w:basedOn w:val="1"/>
    <w:autoRedefine/>
    <w:qFormat/>
    <w:uiPriority w:val="0"/>
    <w:pPr>
      <w:widowControl/>
      <w:spacing w:before="100" w:beforeAutospacing="1" w:after="100" w:afterAutospacing="1"/>
      <w:jc w:val="center"/>
      <w:textAlignment w:val="center"/>
    </w:pPr>
    <w:rPr>
      <w:rFonts w:ascii="宋体" w:hAnsi="宋体"/>
      <w:kern w:val="0"/>
      <w:sz w:val="24"/>
      <w:szCs w:val="20"/>
    </w:rPr>
  </w:style>
  <w:style w:type="paragraph" w:customStyle="1" w:styleId="196">
    <w:name w:val="reader-word-layer reader-word-s6-10"/>
    <w:basedOn w:val="1"/>
    <w:autoRedefine/>
    <w:qFormat/>
    <w:uiPriority w:val="0"/>
    <w:pPr>
      <w:widowControl/>
      <w:spacing w:before="100" w:beforeAutospacing="1" w:after="100" w:afterAutospacing="1"/>
      <w:jc w:val="left"/>
    </w:pPr>
    <w:rPr>
      <w:rFonts w:ascii="宋体" w:hAnsi="宋体"/>
      <w:kern w:val="0"/>
      <w:sz w:val="24"/>
      <w:szCs w:val="20"/>
    </w:rPr>
  </w:style>
  <w:style w:type="paragraph" w:customStyle="1" w:styleId="197">
    <w:name w:val="reader-word-layer reader-word-s7-5"/>
    <w:basedOn w:val="1"/>
    <w:autoRedefine/>
    <w:qFormat/>
    <w:uiPriority w:val="0"/>
    <w:pPr>
      <w:widowControl/>
      <w:spacing w:before="100" w:beforeAutospacing="1" w:after="100" w:afterAutospacing="1"/>
      <w:jc w:val="left"/>
    </w:pPr>
    <w:rPr>
      <w:rFonts w:ascii="宋体" w:hAnsi="宋体"/>
      <w:kern w:val="0"/>
      <w:sz w:val="24"/>
      <w:szCs w:val="20"/>
    </w:rPr>
  </w:style>
  <w:style w:type="paragraph" w:customStyle="1" w:styleId="198">
    <w:name w:val="reader-word-layer reader-word-s6-14"/>
    <w:basedOn w:val="1"/>
    <w:autoRedefine/>
    <w:qFormat/>
    <w:uiPriority w:val="0"/>
    <w:pPr>
      <w:widowControl/>
      <w:spacing w:before="100" w:beforeAutospacing="1" w:after="100" w:afterAutospacing="1"/>
      <w:jc w:val="left"/>
    </w:pPr>
    <w:rPr>
      <w:rFonts w:ascii="宋体" w:hAnsi="宋体"/>
      <w:kern w:val="0"/>
      <w:sz w:val="24"/>
      <w:szCs w:val="20"/>
    </w:rPr>
  </w:style>
  <w:style w:type="paragraph" w:customStyle="1" w:styleId="199">
    <w:name w:val="WPSOffice手动目录 2"/>
    <w:autoRedefine/>
    <w:qFormat/>
    <w:uiPriority w:val="0"/>
    <w:pPr>
      <w:ind w:left="200" w:leftChars="200"/>
    </w:pPr>
    <w:rPr>
      <w:rFonts w:ascii="Times New Roman" w:hAnsi="Times New Roman" w:eastAsia="宋体" w:cs="Arial"/>
      <w:lang w:val="en-US" w:eastAsia="zh-CN" w:bidi="ar-SA"/>
    </w:rPr>
  </w:style>
  <w:style w:type="table" w:customStyle="1" w:styleId="200">
    <w:name w:val="网格型11"/>
    <w:basedOn w:val="38"/>
    <w:autoRedefine/>
    <w:qFormat/>
    <w:uiPriority w:val="99"/>
    <w:rPr>
      <w:rFonts w:ascii="Calibri" w:hAnsi="Calibri" w:cs="Arial"/>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0" w:type="dxa"/>
        <w:right w:w="0" w:type="dxa"/>
      </w:tblCellMar>
    </w:tblPr>
  </w:style>
  <w:style w:type="character" w:customStyle="1" w:styleId="201">
    <w:name w:val="Default Char Char"/>
    <w:autoRedefine/>
    <w:qFormat/>
    <w:uiPriority w:val="0"/>
    <w:rPr>
      <w:rFonts w:ascii="宋体"/>
      <w:color w:val="000000"/>
      <w:sz w:val="24"/>
      <w:lang w:bidi="ar-SA"/>
    </w:rPr>
  </w:style>
  <w:style w:type="character" w:customStyle="1" w:styleId="202">
    <w:name w:val="标题 3 Char1"/>
    <w:autoRedefine/>
    <w:qFormat/>
    <w:uiPriority w:val="0"/>
    <w:rPr>
      <w:rFonts w:eastAsia="黑体"/>
      <w:b/>
      <w:kern w:val="2"/>
      <w:sz w:val="24"/>
      <w:szCs w:val="24"/>
      <w:lang w:val="en-US" w:eastAsia="zh-CN" w:bidi="ar-SA"/>
    </w:rPr>
  </w:style>
  <w:style w:type="character" w:customStyle="1" w:styleId="203">
    <w:name w:val="标书正文 Char"/>
    <w:autoRedefine/>
    <w:qFormat/>
    <w:uiPriority w:val="0"/>
    <w:rPr>
      <w:rFonts w:ascii="Times New Roman" w:hAnsi="Times New Roman" w:eastAsia="宋体" w:cs="Times New Roman"/>
      <w:b/>
      <w:kern w:val="2"/>
      <w:sz w:val="28"/>
      <w:szCs w:val="28"/>
      <w:lang w:val="en-US" w:eastAsia="zh-CN" w:bidi="ar-SA"/>
    </w:rPr>
  </w:style>
  <w:style w:type="character" w:customStyle="1" w:styleId="204">
    <w:name w:val="不明显强调1"/>
    <w:autoRedefine/>
    <w:qFormat/>
    <w:uiPriority w:val="19"/>
    <w:rPr>
      <w:rFonts w:ascii="Times New Roman" w:hAnsi="Times New Roman" w:eastAsia="宋体" w:cs="Times New Roman"/>
      <w:i/>
      <w:iCs/>
      <w:color w:val="404040"/>
    </w:rPr>
  </w:style>
  <w:style w:type="paragraph" w:customStyle="1" w:styleId="205">
    <w:name w:val="修订2"/>
    <w:autoRedefine/>
    <w:semiHidden/>
    <w:qFormat/>
    <w:uiPriority w:val="99"/>
    <w:rPr>
      <w:rFonts w:ascii="Times New Roman" w:hAnsi="Times New Roman" w:eastAsia="宋体" w:cs="Times New Roman"/>
      <w:kern w:val="2"/>
      <w:sz w:val="21"/>
      <w:szCs w:val="24"/>
      <w:lang w:val="en-US" w:eastAsia="zh-CN" w:bidi="ar-SA"/>
    </w:rPr>
  </w:style>
  <w:style w:type="character" w:customStyle="1" w:styleId="206">
    <w:name w:val="hover1"/>
    <w:autoRedefine/>
    <w:qFormat/>
    <w:uiPriority w:val="0"/>
    <w:rPr>
      <w:color w:val="2590EB"/>
    </w:rPr>
  </w:style>
  <w:style w:type="character" w:customStyle="1" w:styleId="207">
    <w:name w:val="hover2"/>
    <w:autoRedefine/>
    <w:qFormat/>
    <w:uiPriority w:val="0"/>
    <w:rPr>
      <w:color w:val="2590EB"/>
      <w:shd w:val="clear" w:color="auto" w:fill="E9F4FD"/>
    </w:rPr>
  </w:style>
  <w:style w:type="character" w:customStyle="1" w:styleId="208">
    <w:name w:val="hover3"/>
    <w:autoRedefine/>
    <w:qFormat/>
    <w:uiPriority w:val="0"/>
    <w:rPr>
      <w:color w:val="2590EB"/>
    </w:rPr>
  </w:style>
  <w:style w:type="character" w:customStyle="1" w:styleId="209">
    <w:name w:val="hover4"/>
    <w:autoRedefine/>
    <w:qFormat/>
    <w:uiPriority w:val="0"/>
  </w:style>
  <w:style w:type="character" w:customStyle="1" w:styleId="210">
    <w:name w:val="hover"/>
    <w:autoRedefine/>
    <w:qFormat/>
    <w:uiPriority w:val="0"/>
  </w:style>
  <w:style w:type="paragraph" w:customStyle="1" w:styleId="211">
    <w:name w:val="标题3-1"/>
    <w:basedOn w:val="4"/>
    <w:autoRedefine/>
    <w:qFormat/>
    <w:uiPriority w:val="0"/>
    <w:pPr>
      <w:spacing w:line="413" w:lineRule="auto"/>
    </w:pPr>
    <w:rPr>
      <w:rFonts w:ascii="Times New Roman" w:hAnsi="Times New Roman"/>
      <w:bCs w:val="0"/>
      <w:sz w:val="24"/>
      <w:szCs w:val="20"/>
    </w:rPr>
  </w:style>
  <w:style w:type="character" w:customStyle="1" w:styleId="212">
    <w:name w:val="ca-2"/>
    <w:autoRedefine/>
    <w:qFormat/>
    <w:uiPriority w:val="0"/>
  </w:style>
  <w:style w:type="character" w:customStyle="1" w:styleId="213">
    <w:name w:val="p12"/>
    <w:autoRedefine/>
    <w:qFormat/>
    <w:uiPriority w:val="0"/>
  </w:style>
  <w:style w:type="character" w:customStyle="1" w:styleId="214">
    <w:name w:val="NormalCharacter"/>
    <w:autoRedefine/>
    <w:qFormat/>
    <w:uiPriority w:val="0"/>
  </w:style>
  <w:style w:type="character" w:customStyle="1" w:styleId="215">
    <w:name w:val="exap"/>
    <w:basedOn w:val="41"/>
    <w:autoRedefine/>
    <w:qFormat/>
    <w:uiPriority w:val="0"/>
    <w:rPr>
      <w:sz w:val="27"/>
      <w:szCs w:val="27"/>
    </w:rPr>
  </w:style>
  <w:style w:type="character" w:customStyle="1" w:styleId="216">
    <w:name w:val="a_p_1"/>
    <w:basedOn w:val="41"/>
    <w:autoRedefine/>
    <w:qFormat/>
    <w:uiPriority w:val="0"/>
    <w:rPr>
      <w:sz w:val="27"/>
      <w:szCs w:val="27"/>
    </w:rPr>
  </w:style>
  <w:style w:type="character" w:customStyle="1" w:styleId="217">
    <w:name w:val="nth-child(3)"/>
    <w:basedOn w:val="41"/>
    <w:autoRedefine/>
    <w:qFormat/>
    <w:uiPriority w:val="0"/>
  </w:style>
  <w:style w:type="character" w:customStyle="1" w:styleId="218">
    <w:name w:val="nth-child(2)"/>
    <w:basedOn w:val="41"/>
    <w:autoRedefine/>
    <w:qFormat/>
    <w:uiPriority w:val="0"/>
  </w:style>
  <w:style w:type="character" w:customStyle="1" w:styleId="219">
    <w:name w:val="layui-layer-tabnow"/>
    <w:basedOn w:val="41"/>
    <w:autoRedefine/>
    <w:qFormat/>
    <w:uiPriority w:val="0"/>
    <w:rPr>
      <w:bdr w:val="single" w:color="CCCCCC" w:sz="6" w:space="0"/>
      <w:shd w:val="clear" w:color="auto" w:fill="FFFFFF"/>
    </w:rPr>
  </w:style>
  <w:style w:type="character" w:customStyle="1" w:styleId="220">
    <w:name w:val="first-child"/>
    <w:basedOn w:val="41"/>
    <w:autoRedefine/>
    <w:qFormat/>
    <w:uiPriority w:val="0"/>
  </w:style>
  <w:style w:type="character" w:customStyle="1" w:styleId="221">
    <w:name w:val="ul_li_a_1"/>
    <w:basedOn w:val="41"/>
    <w:autoRedefine/>
    <w:qFormat/>
    <w:uiPriority w:val="0"/>
    <w:rPr>
      <w:b/>
      <w:bCs/>
      <w:color w:val="FFFFFF"/>
    </w:rPr>
  </w:style>
  <w:style w:type="character" w:customStyle="1" w:styleId="222">
    <w:name w:val="a_p_2"/>
    <w:basedOn w:val="41"/>
    <w:autoRedefine/>
    <w:qFormat/>
    <w:uiPriority w:val="0"/>
  </w:style>
  <w:style w:type="character" w:customStyle="1" w:styleId="223">
    <w:name w:val="a_p_21"/>
    <w:basedOn w:val="41"/>
    <w:autoRedefine/>
    <w:qFormat/>
    <w:uiPriority w:val="0"/>
    <w:rPr>
      <w:sz w:val="27"/>
      <w:szCs w:val="27"/>
    </w:rPr>
  </w:style>
  <w:style w:type="character" w:customStyle="1" w:styleId="224">
    <w:name w:val="a_p_3"/>
    <w:basedOn w:val="41"/>
    <w:autoRedefine/>
    <w:qFormat/>
    <w:uiPriority w:val="0"/>
    <w:rPr>
      <w:sz w:val="27"/>
      <w:szCs w:val="27"/>
    </w:rPr>
  </w:style>
  <w:style w:type="paragraph" w:customStyle="1" w:styleId="225">
    <w:name w:val="Table Text"/>
    <w:basedOn w:val="1"/>
    <w:autoRedefine/>
    <w:semiHidden/>
    <w:qFormat/>
    <w:uiPriority w:val="0"/>
    <w:pPr>
      <w:widowControl/>
      <w:kinsoku w:val="0"/>
      <w:autoSpaceDE w:val="0"/>
      <w:autoSpaceDN w:val="0"/>
      <w:adjustRightInd w:val="0"/>
      <w:snapToGrid w:val="0"/>
      <w:jc w:val="left"/>
      <w:textAlignment w:val="baseline"/>
    </w:pPr>
    <w:rPr>
      <w:rFonts w:ascii="宋体" w:hAnsi="宋体" w:cs="宋体"/>
      <w:snapToGrid w:val="0"/>
      <w:color w:val="000000"/>
      <w:kern w:val="0"/>
      <w:szCs w:val="21"/>
      <w:lang w:eastAsia="en-US"/>
    </w:rPr>
  </w:style>
  <w:style w:type="character" w:customStyle="1" w:styleId="226">
    <w:name w:val="mini-outputtext1"/>
    <w:basedOn w:val="41"/>
    <w:qFormat/>
    <w:uiPriority w:val="0"/>
  </w:style>
  <w:style w:type="paragraph" w:customStyle="1" w:styleId="227">
    <w:name w:val="标题 31"/>
    <w:basedOn w:val="1"/>
    <w:qFormat/>
    <w:uiPriority w:val="0"/>
    <w:pPr>
      <w:keepNext/>
      <w:keepLines/>
      <w:spacing w:before="260" w:after="260" w:line="416" w:lineRule="auto"/>
      <w:outlineLvl w:val="2"/>
    </w:pPr>
    <w:rPr>
      <w:b/>
      <w:bCs/>
      <w:sz w:val="32"/>
      <w:szCs w:val="32"/>
    </w:rPr>
  </w:style>
  <w:style w:type="paragraph" w:customStyle="1" w:styleId="228">
    <w:name w:val="页眉1"/>
    <w:basedOn w:val="1"/>
    <w:qFormat/>
    <w:uiPriority w:val="0"/>
    <w:pPr>
      <w:pBdr>
        <w:bottom w:val="single" w:color="000000" w:sz="6" w:space="1"/>
      </w:pBdr>
      <w:tabs>
        <w:tab w:val="center" w:pos="4153"/>
        <w:tab w:val="right" w:pos="8306"/>
      </w:tabs>
      <w:snapToGrid w:val="0"/>
      <w:jc w:val="center"/>
    </w:pPr>
    <w:rPr>
      <w:sz w:val="18"/>
      <w:szCs w:val="18"/>
    </w:rPr>
  </w:style>
  <w:style w:type="paragraph" w:customStyle="1" w:styleId="229">
    <w:name w:val="页脚1"/>
    <w:basedOn w:val="1"/>
    <w:qFormat/>
    <w:uiPriority w:val="0"/>
    <w:pPr>
      <w:tabs>
        <w:tab w:val="center" w:pos="4153"/>
        <w:tab w:val="right" w:pos="8306"/>
      </w:tabs>
      <w:snapToGrid w:val="0"/>
      <w:jc w:val="left"/>
    </w:pPr>
    <w:rPr>
      <w:sz w:val="18"/>
      <w:szCs w:val="18"/>
    </w:rPr>
  </w:style>
  <w:style w:type="paragraph" w:customStyle="1" w:styleId="230">
    <w:name w:val="首行缩进"/>
    <w:basedOn w:val="1"/>
    <w:qFormat/>
    <w:uiPriority w:val="0"/>
    <w:pPr>
      <w:ind w:firstLine="480"/>
    </w:pPr>
  </w:style>
  <w:style w:type="paragraph" w:customStyle="1" w:styleId="231">
    <w:name w:val="列表段落1"/>
    <w:basedOn w:val="1"/>
    <w:qFormat/>
    <w:uiPriority w:val="99"/>
  </w:style>
  <w:style w:type="character" w:customStyle="1" w:styleId="232">
    <w:name w:val="first-child1"/>
    <w:basedOn w:val="41"/>
    <w:qFormat/>
    <w:uiPriority w:val="0"/>
  </w:style>
  <w:style w:type="character" w:customStyle="1" w:styleId="233">
    <w:name w:val="last-child"/>
    <w:basedOn w:val="41"/>
    <w:qFormat/>
    <w:uiPriority w:val="0"/>
  </w:style>
  <w:style w:type="character" w:customStyle="1" w:styleId="234">
    <w:name w:val="layui-laydate-preview"/>
    <w:basedOn w:val="41"/>
    <w:qFormat/>
    <w:uiPriority w:val="0"/>
  </w:style>
  <w:style w:type="character" w:customStyle="1" w:styleId="235">
    <w:name w:val="ellipsis"/>
    <w:basedOn w:val="41"/>
    <w:qFormat/>
    <w:uiPriority w:val="0"/>
  </w:style>
  <w:style w:type="character" w:customStyle="1" w:styleId="236">
    <w:name w:val="label"/>
    <w:basedOn w:val="41"/>
    <w:qFormat/>
    <w:uiPriority w:val="0"/>
    <w:rPr>
      <w:color w:val="999999"/>
    </w:rPr>
  </w:style>
  <w:style w:type="character" w:customStyle="1" w:styleId="237">
    <w:name w:val="layui-laypage-curr"/>
    <w:basedOn w:val="41"/>
    <w:qFormat/>
    <w:uiPriority w:val="0"/>
  </w:style>
  <w:style w:type="character" w:customStyle="1" w:styleId="238">
    <w:name w:val="layui-this4"/>
    <w:basedOn w:val="41"/>
    <w:qFormat/>
    <w:uiPriority w:val="0"/>
    <w:rPr>
      <w:shd w:val="clear" w:color="auto" w:fill="FFFFFF"/>
    </w:rPr>
  </w:style>
  <w:style w:type="paragraph" w:customStyle="1" w:styleId="239">
    <w:name w:val="_Style 238"/>
    <w:basedOn w:val="1"/>
    <w:next w:val="1"/>
    <w:qFormat/>
    <w:uiPriority w:val="0"/>
    <w:pPr>
      <w:pBdr>
        <w:bottom w:val="single" w:color="auto" w:sz="6" w:space="1"/>
      </w:pBdr>
      <w:jc w:val="center"/>
    </w:pPr>
    <w:rPr>
      <w:rFonts w:ascii="Arial"/>
      <w:vanish/>
      <w:sz w:val="16"/>
    </w:rPr>
  </w:style>
  <w:style w:type="paragraph" w:customStyle="1" w:styleId="240">
    <w:name w:val="_Style 239"/>
    <w:basedOn w:val="1"/>
    <w:next w:val="1"/>
    <w:qFormat/>
    <w:uiPriority w:val="0"/>
    <w:pPr>
      <w:pBdr>
        <w:top w:val="single" w:color="auto" w:sz="6" w:space="1"/>
      </w:pBdr>
      <w:jc w:val="center"/>
    </w:pPr>
    <w:rPr>
      <w:rFonts w:ascii="Arial"/>
      <w:vanish/>
      <w:sz w:val="16"/>
    </w:rPr>
  </w:style>
  <w:style w:type="character" w:customStyle="1" w:styleId="241">
    <w:name w:val="hover18"/>
    <w:basedOn w:val="41"/>
    <w:qFormat/>
    <w:uiPriority w:val="0"/>
  </w:style>
  <w:style w:type="paragraph" w:customStyle="1" w:styleId="242">
    <w:name w:val="shsj2em"/>
    <w:basedOn w:val="1"/>
    <w:qFormat/>
    <w:uiPriority w:val="0"/>
    <w:pPr>
      <w:jc w:val="left"/>
    </w:pPr>
    <w:rPr>
      <w:kern w:val="0"/>
    </w:rPr>
  </w:style>
  <w:style w:type="character" w:customStyle="1" w:styleId="243">
    <w:name w:val="hover16"/>
    <w:basedOn w:val="41"/>
    <w:qFormat/>
    <w:uiPriority w:val="0"/>
    <w:rPr>
      <w:color w:val="FFFFFF"/>
    </w:rPr>
  </w:style>
  <w:style w:type="character" w:customStyle="1" w:styleId="244">
    <w:name w:val="hover17"/>
    <w:basedOn w:val="41"/>
    <w:qFormat/>
    <w:uiPriority w:val="0"/>
  </w:style>
  <w:style w:type="character" w:customStyle="1" w:styleId="245">
    <w:name w:val="hover19"/>
    <w:basedOn w:val="41"/>
    <w:qFormat/>
    <w:uiPriority w:val="0"/>
    <w:rPr>
      <w:color w:val="16B777"/>
    </w:rPr>
  </w:style>
  <w:style w:type="character" w:customStyle="1" w:styleId="246">
    <w:name w:val="hover20"/>
    <w:basedOn w:val="41"/>
    <w:qFormat/>
    <w:uiPriority w:val="0"/>
    <w:rPr>
      <w:shd w:val="clear" w:color="auto" w:fill="E5E5E5"/>
    </w:rPr>
  </w:style>
  <w:style w:type="character" w:customStyle="1" w:styleId="247">
    <w:name w:val="layui-this3"/>
    <w:basedOn w:val="41"/>
    <w:qFormat/>
    <w:uiPriority w:val="0"/>
    <w:rPr>
      <w:shd w:val="clear" w:color="auto" w:fill="FFFFFF"/>
    </w:rPr>
  </w:style>
  <w:style w:type="character" w:customStyle="1" w:styleId="248">
    <w:name w:val="layui-this"/>
    <w:basedOn w:val="41"/>
    <w:qFormat/>
    <w:uiPriority w:val="0"/>
    <w:rPr>
      <w:shd w:val="clear" w:color="auto" w:fill="FFFFFF"/>
    </w:rPr>
  </w:style>
  <w:style w:type="character" w:customStyle="1" w:styleId="249">
    <w:name w:val="first-child2"/>
    <w:basedOn w:val="41"/>
    <w:qFormat/>
    <w:uiPriority w:val="0"/>
  </w:style>
  <w:style w:type="character" w:customStyle="1" w:styleId="250">
    <w:name w:val="last-child1"/>
    <w:basedOn w:val="41"/>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header" Target="header3.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2" Type="http://schemas.openxmlformats.org/officeDocument/2006/relationships/fontTable" Target="fontTable.xml"/><Relationship Id="rId41" Type="http://schemas.openxmlformats.org/officeDocument/2006/relationships/customXml" Target="../customXml/item2.xml"/><Relationship Id="rId40" Type="http://schemas.openxmlformats.org/officeDocument/2006/relationships/numbering" Target="numbering.xml"/><Relationship Id="rId4" Type="http://schemas.openxmlformats.org/officeDocument/2006/relationships/endnotes" Target="endnotes.xml"/><Relationship Id="rId39" Type="http://schemas.openxmlformats.org/officeDocument/2006/relationships/customXml" Target="../customXml/item1.xml"/><Relationship Id="rId38" Type="http://schemas.openxmlformats.org/officeDocument/2006/relationships/image" Target="media/image14.png"/><Relationship Id="rId37" Type="http://schemas.openxmlformats.org/officeDocument/2006/relationships/image" Target="media/image13.png"/><Relationship Id="rId36" Type="http://schemas.openxmlformats.org/officeDocument/2006/relationships/image" Target="media/image12.png"/><Relationship Id="rId35" Type="http://schemas.openxmlformats.org/officeDocument/2006/relationships/image" Target="media/image11.png"/><Relationship Id="rId34" Type="http://schemas.openxmlformats.org/officeDocument/2006/relationships/image" Target="media/image10.png"/><Relationship Id="rId33" Type="http://schemas.openxmlformats.org/officeDocument/2006/relationships/image" Target="media/image9.png"/><Relationship Id="rId32" Type="http://schemas.openxmlformats.org/officeDocument/2006/relationships/image" Target="media/image8.png"/><Relationship Id="rId31" Type="http://schemas.openxmlformats.org/officeDocument/2006/relationships/image" Target="media/image7.png"/><Relationship Id="rId30" Type="http://schemas.openxmlformats.org/officeDocument/2006/relationships/image" Target="media/image6.png"/><Relationship Id="rId3" Type="http://schemas.openxmlformats.org/officeDocument/2006/relationships/footnotes" Target="footnotes.xml"/><Relationship Id="rId29" Type="http://schemas.openxmlformats.org/officeDocument/2006/relationships/image" Target="media/image5.png"/><Relationship Id="rId28" Type="http://schemas.openxmlformats.org/officeDocument/2006/relationships/image" Target="media/image4.png"/><Relationship Id="rId27" Type="http://schemas.openxmlformats.org/officeDocument/2006/relationships/image" Target="media/image3.png"/><Relationship Id="rId26" Type="http://schemas.openxmlformats.org/officeDocument/2006/relationships/image" Target="media/image2.png"/><Relationship Id="rId25" Type="http://schemas.openxmlformats.org/officeDocument/2006/relationships/image" Target="media/image1.jpeg"/><Relationship Id="rId24" Type="http://schemas.openxmlformats.org/officeDocument/2006/relationships/theme" Target="theme/theme1.xml"/><Relationship Id="rId23" Type="http://schemas.openxmlformats.org/officeDocument/2006/relationships/footer" Target="footer14.xml"/><Relationship Id="rId22" Type="http://schemas.openxmlformats.org/officeDocument/2006/relationships/header" Target="header5.xml"/><Relationship Id="rId21" Type="http://schemas.openxmlformats.org/officeDocument/2006/relationships/footer" Target="footer13.xml"/><Relationship Id="rId20" Type="http://schemas.openxmlformats.org/officeDocument/2006/relationships/footer" Target="footer12.xml"/><Relationship Id="rId2" Type="http://schemas.openxmlformats.org/officeDocument/2006/relationships/settings" Target="settings.xml"/><Relationship Id="rId19" Type="http://schemas.openxmlformats.org/officeDocument/2006/relationships/footer" Target="footer11.xml"/><Relationship Id="rId18" Type="http://schemas.openxmlformats.org/officeDocument/2006/relationships/footer" Target="footer10.xml"/><Relationship Id="rId17" Type="http://schemas.openxmlformats.org/officeDocument/2006/relationships/footer" Target="footer9.xml"/><Relationship Id="rId16" Type="http://schemas.openxmlformats.org/officeDocument/2006/relationships/footer" Target="footer8.xml"/><Relationship Id="rId15" Type="http://schemas.openxmlformats.org/officeDocument/2006/relationships/footer" Target="footer7.xml"/><Relationship Id="rId14" Type="http://schemas.openxmlformats.org/officeDocument/2006/relationships/header" Target="header4.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0BE289-78B9-4986-BE2D-637366333A3B}">
  <ds:schemaRefs/>
</ds:datastoreItem>
</file>

<file path=docProps/app.xml><?xml version="1.0" encoding="utf-8"?>
<Properties xmlns="http://schemas.openxmlformats.org/officeDocument/2006/extended-properties" xmlns:vt="http://schemas.openxmlformats.org/officeDocument/2006/docPropsVTypes">
  <Template>Normal</Template>
  <Pages>109</Pages>
  <Words>27081</Words>
  <Characters>28980</Characters>
  <Lines>436</Lines>
  <Paragraphs>123</Paragraphs>
  <TotalTime>2</TotalTime>
  <ScaleCrop>false</ScaleCrop>
  <LinksUpToDate>false</LinksUpToDate>
  <CharactersWithSpaces>29245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2026-03-23T10:35:00Z</dcterms:created>
  <dc:creator>ADMIN</dc:creator>
  <cp:lastModifiedBy>然后</cp:lastModifiedBy>
  <dcterms:modified xsi:type="dcterms:W3CDTF">2026-03-26T04:05:38Z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F37E9BEEF30E40969EA9A5D2F4C3F85E_13</vt:lpwstr>
  </property>
  <property fmtid="{D5CDD505-2E9C-101B-9397-08002B2CF9AE}" pid="4" name="KSOTemplateDocerSaveRecord">
    <vt:lpwstr>eyJoZGlkIjoiNTJlOTI4NzY4YzFiYjc2ZTdkMGQyYjM5YTExYzc0NzQiLCJ1c2VySWQiOiIzNzYwODI2NjAifQ==</vt:lpwstr>
  </property>
</Properties>
</file>