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81871">
      <w:pPr>
        <w:pStyle w:val="3"/>
        <w:jc w:val="center"/>
        <w:rPr>
          <w:rFonts w:hint="eastAsia" w:eastAsia="宋体"/>
          <w:sz w:val="44"/>
          <w:szCs w:val="44"/>
          <w:highlight w:val="none"/>
          <w:lang w:eastAsia="zh-CN"/>
        </w:rPr>
      </w:pPr>
      <w:bookmarkStart w:id="0" w:name="_Toc144974495"/>
      <w:bookmarkEnd w:id="0"/>
      <w:bookmarkStart w:id="1" w:name="_Toc152042303"/>
      <w:bookmarkEnd w:id="1"/>
      <w:bookmarkStart w:id="2" w:name="_Toc179632544"/>
      <w:bookmarkEnd w:id="2"/>
      <w:bookmarkStart w:id="164" w:name="_GoBack"/>
      <w:bookmarkEnd w:id="164"/>
      <w:r>
        <w:rPr>
          <w:rFonts w:hint="eastAsia" w:ascii="宋体" w:hAnsi="宋体" w:cs="黑体"/>
          <w:sz w:val="44"/>
          <w:szCs w:val="44"/>
          <w:highlight w:val="none"/>
          <w:lang w:eastAsia="zh-CN"/>
        </w:rPr>
        <w:t>河南省三门峡市中级人民法院审判系统及设备技术服务项目</w:t>
      </w:r>
    </w:p>
    <w:p w14:paraId="074E7C9F">
      <w:pPr>
        <w:jc w:val="both"/>
        <w:rPr>
          <w:rFonts w:hint="eastAsia" w:ascii="宋体" w:hAnsi="宋体" w:cs="黑体"/>
          <w:sz w:val="72"/>
          <w:szCs w:val="72"/>
          <w:highlight w:val="none"/>
        </w:rPr>
      </w:pPr>
    </w:p>
    <w:p w14:paraId="180E8020">
      <w:pPr>
        <w:jc w:val="center"/>
        <w:rPr>
          <w:rFonts w:hint="eastAsia" w:ascii="宋体" w:hAnsi="宋体" w:cs="黑体"/>
          <w:sz w:val="56"/>
          <w:szCs w:val="56"/>
          <w:highlight w:val="none"/>
        </w:rPr>
      </w:pPr>
      <w:r>
        <w:rPr>
          <w:rFonts w:hint="eastAsia" w:ascii="宋体" w:hAnsi="宋体" w:cs="黑体"/>
          <w:sz w:val="56"/>
          <w:szCs w:val="56"/>
          <w:highlight w:val="none"/>
        </w:rPr>
        <w:t>竞争性磋商文件</w:t>
      </w:r>
    </w:p>
    <w:p w14:paraId="7CA690C4">
      <w:pPr>
        <w:jc w:val="center"/>
        <w:rPr>
          <w:rFonts w:hint="eastAsia" w:ascii="宋体" w:hAnsi="宋体" w:cs="黑体"/>
          <w:sz w:val="56"/>
          <w:szCs w:val="56"/>
          <w:highlight w:val="none"/>
        </w:rPr>
      </w:pPr>
    </w:p>
    <w:p w14:paraId="7F56047E">
      <w:pPr>
        <w:jc w:val="center"/>
        <w:rPr>
          <w:rFonts w:hint="eastAsia" w:ascii="宋体" w:hAnsi="宋体" w:cs="宋体"/>
          <w:kern w:val="2"/>
          <w:sz w:val="24"/>
          <w:szCs w:val="24"/>
          <w:highlight w:val="none"/>
        </w:rPr>
      </w:pPr>
    </w:p>
    <w:p w14:paraId="5605749A">
      <w:pPr>
        <w:ind w:firstLine="1600" w:firstLineChars="500"/>
        <w:jc w:val="both"/>
        <w:rPr>
          <w:rFonts w:hint="eastAsia" w:ascii="宋体" w:hAnsi="宋体" w:cs="宋体"/>
          <w:sz w:val="32"/>
          <w:szCs w:val="32"/>
          <w:highlight w:val="yellow"/>
          <w:lang w:val="en-US" w:eastAsia="zh-CN"/>
        </w:rPr>
      </w:pPr>
      <w:r>
        <w:rPr>
          <w:rFonts w:hint="eastAsia" w:ascii="宋体" w:hAnsi="宋体" w:cs="宋体"/>
          <w:sz w:val="32"/>
          <w:szCs w:val="32"/>
          <w:highlight w:val="none"/>
        </w:rPr>
        <w:t>项目编号：</w:t>
      </w:r>
      <w:r>
        <w:rPr>
          <w:rFonts w:hint="eastAsia" w:ascii="宋体" w:hAnsi="宋体" w:cs="宋体"/>
          <w:sz w:val="32"/>
          <w:szCs w:val="32"/>
          <w:highlight w:val="none"/>
          <w:lang w:val="en-US" w:eastAsia="zh-CN"/>
        </w:rPr>
        <w:t>豫财磋商采购-2026-153</w:t>
      </w:r>
    </w:p>
    <w:p w14:paraId="27E3D291">
      <w:pPr>
        <w:ind w:firstLine="3200" w:firstLineChars="1000"/>
        <w:jc w:val="both"/>
        <w:rPr>
          <w:rFonts w:hint="default" w:ascii="宋体" w:hAnsi="宋体" w:eastAsia="宋体" w:cs="宋体"/>
          <w:sz w:val="32"/>
          <w:szCs w:val="32"/>
          <w:highlight w:val="none"/>
          <w:lang w:val="en-US" w:eastAsia="zh-CN"/>
        </w:rPr>
      </w:pPr>
      <w:r>
        <w:rPr>
          <w:rFonts w:hint="eastAsia" w:ascii="宋体" w:hAnsi="宋体" w:cs="宋体"/>
          <w:sz w:val="32"/>
          <w:szCs w:val="32"/>
          <w:highlight w:val="none"/>
          <w:lang w:val="en-US" w:eastAsia="zh-CN"/>
        </w:rPr>
        <w:t>SGZ[2026]100-ZC063</w:t>
      </w:r>
    </w:p>
    <w:p w14:paraId="6A11D572">
      <w:pPr>
        <w:jc w:val="center"/>
        <w:rPr>
          <w:rFonts w:hint="eastAsia" w:ascii="宋体" w:hAnsi="宋体"/>
          <w:bCs/>
          <w:spacing w:val="-20"/>
          <w:sz w:val="30"/>
          <w:szCs w:val="30"/>
          <w:highlight w:val="none"/>
        </w:rPr>
      </w:pPr>
      <w:r>
        <w:rPr>
          <w:rFonts w:hint="eastAsia" w:ascii="宋体" w:hAnsi="宋体" w:eastAsia="宋体" w:cs="宋体"/>
          <w:b/>
          <w:bCs/>
          <w:color w:val="000000"/>
          <w:sz w:val="36"/>
          <w:szCs w:val="36"/>
          <w:lang w:eastAsia="zh-CN"/>
        </w:rPr>
        <w:drawing>
          <wp:inline distT="0" distB="0" distL="114300" distR="114300">
            <wp:extent cx="2846705" cy="2682240"/>
            <wp:effectExtent l="0" t="0" r="10795" b="3810"/>
            <wp:docPr id="3" name="图片 1" descr="c426e11145130f7d0fd17626a84af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426e11145130f7d0fd17626a84af43"/>
                    <pic:cNvPicPr>
                      <a:picLocks noChangeAspect="1"/>
                    </pic:cNvPicPr>
                  </pic:nvPicPr>
                  <pic:blipFill>
                    <a:blip r:embed="rId8"/>
                    <a:srcRect l="34300" r="33728" b="38010"/>
                    <a:stretch>
                      <a:fillRect/>
                    </a:stretch>
                  </pic:blipFill>
                  <pic:spPr>
                    <a:xfrm>
                      <a:off x="0" y="0"/>
                      <a:ext cx="2846705" cy="2682240"/>
                    </a:xfrm>
                    <a:prstGeom prst="rect">
                      <a:avLst/>
                    </a:prstGeom>
                    <a:noFill/>
                    <a:ln>
                      <a:noFill/>
                    </a:ln>
                  </pic:spPr>
                </pic:pic>
              </a:graphicData>
            </a:graphic>
          </wp:inline>
        </w:drawing>
      </w:r>
    </w:p>
    <w:p w14:paraId="4213FD04">
      <w:pPr>
        <w:ind w:firstLine="2240" w:firstLineChars="800"/>
        <w:jc w:val="both"/>
        <w:rPr>
          <w:rFonts w:hint="eastAsia" w:ascii="宋体" w:hAnsi="宋体"/>
          <w:bCs/>
          <w:spacing w:val="-20"/>
          <w:sz w:val="32"/>
          <w:szCs w:val="32"/>
          <w:highlight w:val="none"/>
        </w:rPr>
      </w:pPr>
    </w:p>
    <w:p w14:paraId="2A223073">
      <w:pPr>
        <w:ind w:firstLine="2240" w:firstLineChars="800"/>
        <w:jc w:val="both"/>
        <w:rPr>
          <w:rFonts w:hint="eastAsia" w:ascii="宋体" w:hAnsi="宋体" w:eastAsia="宋体"/>
          <w:bCs/>
          <w:spacing w:val="-20"/>
          <w:sz w:val="32"/>
          <w:szCs w:val="32"/>
          <w:highlight w:val="none"/>
          <w:lang w:eastAsia="zh-CN"/>
        </w:rPr>
      </w:pPr>
      <w:r>
        <w:rPr>
          <w:rFonts w:hint="eastAsia" w:ascii="宋体" w:hAnsi="宋体"/>
          <w:bCs/>
          <w:spacing w:val="-20"/>
          <w:sz w:val="32"/>
          <w:szCs w:val="32"/>
          <w:highlight w:val="none"/>
        </w:rPr>
        <w:t xml:space="preserve">采  </w:t>
      </w:r>
      <w:r>
        <w:rPr>
          <w:rFonts w:hint="eastAsia" w:ascii="宋体" w:hAnsi="宋体"/>
          <w:bCs/>
          <w:spacing w:val="-20"/>
          <w:sz w:val="32"/>
          <w:szCs w:val="32"/>
          <w:highlight w:val="none"/>
          <w:lang w:val="en-US" w:eastAsia="zh-CN"/>
        </w:rPr>
        <w:t xml:space="preserve"> </w:t>
      </w:r>
      <w:r>
        <w:rPr>
          <w:rFonts w:hint="eastAsia" w:ascii="宋体" w:hAnsi="宋体"/>
          <w:bCs/>
          <w:spacing w:val="-20"/>
          <w:sz w:val="32"/>
          <w:szCs w:val="32"/>
          <w:highlight w:val="none"/>
        </w:rPr>
        <w:t xml:space="preserve"> 购  人：</w:t>
      </w:r>
      <w:r>
        <w:rPr>
          <w:rFonts w:hint="eastAsia" w:ascii="宋体" w:hAnsi="宋体"/>
          <w:bCs/>
          <w:spacing w:val="-20"/>
          <w:sz w:val="32"/>
          <w:szCs w:val="32"/>
          <w:highlight w:val="none"/>
          <w:lang w:eastAsia="zh-CN"/>
        </w:rPr>
        <w:t>河南省三门峡市中级人民法院</w:t>
      </w:r>
    </w:p>
    <w:p w14:paraId="7CA96E89">
      <w:pPr>
        <w:jc w:val="center"/>
        <w:rPr>
          <w:rFonts w:hint="eastAsia" w:ascii="宋体" w:hAnsi="宋体" w:eastAsia="宋体"/>
          <w:bCs/>
          <w:spacing w:val="-20"/>
          <w:sz w:val="32"/>
          <w:szCs w:val="32"/>
          <w:highlight w:val="none"/>
          <w:lang w:eastAsia="zh-CN"/>
        </w:rPr>
      </w:pPr>
      <w:r>
        <w:rPr>
          <w:rFonts w:hint="eastAsia" w:ascii="宋体" w:hAnsi="宋体"/>
          <w:bCs/>
          <w:spacing w:val="-20"/>
          <w:sz w:val="32"/>
          <w:szCs w:val="32"/>
          <w:highlight w:val="none"/>
        </w:rPr>
        <w:t xml:space="preserve">    采购代理机构：</w:t>
      </w:r>
      <w:r>
        <w:rPr>
          <w:rFonts w:hint="eastAsia" w:ascii="宋体" w:hAnsi="宋体"/>
          <w:bCs/>
          <w:spacing w:val="-20"/>
          <w:sz w:val="32"/>
          <w:szCs w:val="32"/>
          <w:highlight w:val="none"/>
          <w:lang w:eastAsia="zh-CN"/>
        </w:rPr>
        <w:t>中发祥和工程管理有限公司</w:t>
      </w:r>
    </w:p>
    <w:p w14:paraId="0B0277E8">
      <w:pPr>
        <w:ind w:firstLine="2240" w:firstLineChars="800"/>
        <w:jc w:val="both"/>
        <w:rPr>
          <w:rFonts w:hint="eastAsia" w:ascii="宋体" w:hAnsi="宋体"/>
          <w:bCs/>
          <w:spacing w:val="-20"/>
          <w:sz w:val="32"/>
          <w:szCs w:val="32"/>
          <w:highlight w:val="none"/>
        </w:rPr>
        <w:sectPr>
          <w:headerReference r:id="rId3" w:type="default"/>
          <w:headerReference r:id="rId4" w:type="even"/>
          <w:pgSz w:w="11906" w:h="16838"/>
          <w:pgMar w:top="1440" w:right="1134" w:bottom="1440" w:left="1701" w:header="851" w:footer="992" w:gutter="0"/>
          <w:cols w:space="720" w:num="1"/>
          <w:docGrid w:type="lines" w:linePitch="312" w:charSpace="0"/>
        </w:sectPr>
      </w:pPr>
      <w:r>
        <w:rPr>
          <w:rFonts w:hint="eastAsia" w:ascii="宋体" w:hAnsi="宋体"/>
          <w:bCs/>
          <w:spacing w:val="-20"/>
          <w:sz w:val="32"/>
          <w:szCs w:val="32"/>
          <w:highlight w:val="none"/>
        </w:rPr>
        <w:t xml:space="preserve">日  </w:t>
      </w:r>
      <w:r>
        <w:rPr>
          <w:rFonts w:hint="eastAsia" w:ascii="宋体" w:hAnsi="宋体"/>
          <w:bCs/>
          <w:spacing w:val="-20"/>
          <w:sz w:val="32"/>
          <w:szCs w:val="32"/>
          <w:highlight w:val="none"/>
          <w:lang w:val="en-US" w:eastAsia="zh-CN"/>
        </w:rPr>
        <w:t xml:space="preserve"> </w:t>
      </w:r>
      <w:r>
        <w:rPr>
          <w:rFonts w:hint="eastAsia" w:ascii="宋体" w:hAnsi="宋体"/>
          <w:bCs/>
          <w:spacing w:val="-20"/>
          <w:sz w:val="32"/>
          <w:szCs w:val="32"/>
          <w:highlight w:val="none"/>
        </w:rPr>
        <w:t xml:space="preserve">     期：二零二</w:t>
      </w:r>
      <w:r>
        <w:rPr>
          <w:rFonts w:hint="eastAsia" w:ascii="宋体" w:hAnsi="宋体"/>
          <w:bCs/>
          <w:spacing w:val="-20"/>
          <w:sz w:val="32"/>
          <w:szCs w:val="32"/>
          <w:highlight w:val="none"/>
          <w:lang w:val="en-US" w:eastAsia="zh-CN"/>
        </w:rPr>
        <w:t>六</w:t>
      </w:r>
      <w:r>
        <w:rPr>
          <w:rFonts w:hint="eastAsia" w:ascii="宋体" w:hAnsi="宋体"/>
          <w:bCs/>
          <w:spacing w:val="-20"/>
          <w:sz w:val="32"/>
          <w:szCs w:val="32"/>
          <w:highlight w:val="none"/>
        </w:rPr>
        <w:t>年</w:t>
      </w:r>
      <w:r>
        <w:rPr>
          <w:rFonts w:hint="eastAsia" w:ascii="宋体" w:hAnsi="宋体"/>
          <w:bCs/>
          <w:spacing w:val="-20"/>
          <w:sz w:val="32"/>
          <w:szCs w:val="32"/>
          <w:highlight w:val="none"/>
          <w:lang w:val="en-US" w:eastAsia="zh-CN"/>
        </w:rPr>
        <w:t>四</w:t>
      </w:r>
      <w:r>
        <w:rPr>
          <w:rFonts w:hint="eastAsia" w:ascii="宋体" w:hAnsi="宋体"/>
          <w:bCs/>
          <w:spacing w:val="-20"/>
          <w:sz w:val="32"/>
          <w:szCs w:val="32"/>
          <w:highlight w:val="none"/>
        </w:rPr>
        <w:t>月</w:t>
      </w:r>
    </w:p>
    <w:p w14:paraId="59A1FCBB">
      <w:pPr>
        <w:jc w:val="center"/>
        <w:rPr>
          <w:rFonts w:hint="eastAsia" w:ascii="宋体" w:hAnsi="宋体" w:cs="宋体"/>
          <w:b/>
          <w:sz w:val="36"/>
          <w:szCs w:val="32"/>
          <w:highlight w:val="none"/>
        </w:rPr>
      </w:pPr>
    </w:p>
    <w:sdt>
      <w:sdtPr>
        <w:rPr>
          <w:rFonts w:ascii="宋体" w:hAnsi="宋体" w:eastAsia="宋体" w:cs="Times New Roman"/>
          <w:b/>
          <w:bCs/>
          <w:sz w:val="40"/>
          <w:szCs w:val="36"/>
          <w:lang w:val="en-US" w:eastAsia="zh-CN" w:bidi="ar-SA"/>
        </w:rPr>
        <w:id w:val="147454460"/>
        <w15:color w:val="DBDBDB"/>
        <w:docPartObj>
          <w:docPartGallery w:val="Table of Contents"/>
          <w:docPartUnique/>
        </w:docPartObj>
      </w:sdtPr>
      <w:sdtEndPr>
        <w:rPr>
          <w:rFonts w:hint="eastAsia" w:ascii="宋体" w:hAnsi="宋体" w:eastAsia="宋体" w:cs="宋体"/>
          <w:b/>
          <w:bCs/>
          <w:sz w:val="40"/>
          <w:szCs w:val="32"/>
          <w:highlight w:val="none"/>
          <w:lang w:val="en-US" w:eastAsia="zh-CN" w:bidi="ar-SA"/>
        </w:rPr>
      </w:sdtEndPr>
      <w:sdtContent>
        <w:p w14:paraId="076341F0">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40"/>
              <w:szCs w:val="36"/>
            </w:rPr>
            <w:t>目</w:t>
          </w:r>
          <w:r>
            <w:rPr>
              <w:rFonts w:hint="eastAsia" w:ascii="宋体" w:hAnsi="宋体" w:eastAsia="宋体"/>
              <w:b/>
              <w:bCs/>
              <w:sz w:val="40"/>
              <w:szCs w:val="36"/>
              <w:lang w:val="en-US" w:eastAsia="zh-CN"/>
            </w:rPr>
            <w:t xml:space="preserve"> </w:t>
          </w:r>
          <w:r>
            <w:rPr>
              <w:rFonts w:ascii="宋体" w:hAnsi="宋体" w:eastAsia="宋体"/>
              <w:b/>
              <w:bCs/>
              <w:sz w:val="40"/>
              <w:szCs w:val="36"/>
            </w:rPr>
            <w:t>录</w:t>
          </w:r>
        </w:p>
        <w:p w14:paraId="617C1E1F">
          <w:pPr>
            <w:pStyle w:val="13"/>
            <w:keepNext w:val="0"/>
            <w:keepLines w:val="0"/>
            <w:pageBreakBefore w:val="0"/>
            <w:widowControl w:val="0"/>
            <w:tabs>
              <w:tab w:val="right" w:leader="dot" w:pos="9292"/>
            </w:tabs>
            <w:kinsoku/>
            <w:wordWrap/>
            <w:overflowPunct/>
            <w:topLinePunct w:val="0"/>
            <w:autoSpaceDE/>
            <w:autoSpaceDN/>
            <w:bidi w:val="0"/>
            <w:adjustRightInd/>
            <w:snapToGrid/>
            <w:spacing w:line="360" w:lineRule="auto"/>
            <w:textAlignment w:val="auto"/>
            <w:rPr>
              <w:sz w:val="28"/>
              <w:szCs w:val="36"/>
            </w:rPr>
          </w:pPr>
          <w:r>
            <w:rPr>
              <w:rFonts w:hint="eastAsia" w:ascii="宋体" w:hAnsi="宋体" w:cs="宋体"/>
              <w:b/>
              <w:sz w:val="48"/>
              <w:szCs w:val="44"/>
              <w:highlight w:val="none"/>
              <w:lang w:val="en-US" w:eastAsia="zh-CN"/>
            </w:rPr>
            <w:fldChar w:fldCharType="begin"/>
          </w:r>
          <w:r>
            <w:rPr>
              <w:rFonts w:hint="eastAsia" w:ascii="宋体" w:hAnsi="宋体" w:cs="宋体"/>
              <w:b/>
              <w:sz w:val="48"/>
              <w:szCs w:val="44"/>
              <w:highlight w:val="none"/>
              <w:lang w:val="en-US" w:eastAsia="zh-CN"/>
            </w:rPr>
            <w:instrText xml:space="preserve">TOC \o "1-1" \h \u </w:instrText>
          </w:r>
          <w:r>
            <w:rPr>
              <w:rFonts w:hint="eastAsia" w:ascii="宋体" w:hAnsi="宋体" w:cs="宋体"/>
              <w:b/>
              <w:sz w:val="48"/>
              <w:szCs w:val="44"/>
              <w:highlight w:val="none"/>
              <w:lang w:val="en-US" w:eastAsia="zh-CN"/>
            </w:rPr>
            <w:fldChar w:fldCharType="separate"/>
          </w: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_Toc10501 </w:instrText>
          </w:r>
          <w:r>
            <w:rPr>
              <w:rFonts w:hint="eastAsia" w:ascii="宋体" w:hAnsi="宋体" w:cs="宋体"/>
              <w:sz w:val="28"/>
              <w:szCs w:val="44"/>
              <w:highlight w:val="none"/>
              <w:lang w:val="en-US" w:eastAsia="zh-CN"/>
            </w:rPr>
            <w:fldChar w:fldCharType="separate"/>
          </w:r>
          <w:r>
            <w:rPr>
              <w:rFonts w:hint="eastAsia"/>
              <w:sz w:val="28"/>
              <w:szCs w:val="21"/>
            </w:rPr>
            <w:t>第一章</w:t>
          </w:r>
          <w:r>
            <w:rPr>
              <w:rFonts w:hint="eastAsia"/>
              <w:sz w:val="28"/>
              <w:szCs w:val="21"/>
              <w:lang w:val="en-US" w:eastAsia="zh-CN"/>
            </w:rPr>
            <w:t xml:space="preserve">  </w:t>
          </w:r>
          <w:r>
            <w:rPr>
              <w:rFonts w:hint="eastAsia"/>
              <w:sz w:val="28"/>
              <w:szCs w:val="21"/>
            </w:rPr>
            <w:t>竞争性磋商公告</w:t>
          </w:r>
          <w:r>
            <w:rPr>
              <w:sz w:val="28"/>
              <w:szCs w:val="36"/>
            </w:rPr>
            <w:tab/>
          </w:r>
          <w:r>
            <w:rPr>
              <w:sz w:val="28"/>
              <w:szCs w:val="36"/>
            </w:rPr>
            <w:fldChar w:fldCharType="begin"/>
          </w:r>
          <w:r>
            <w:rPr>
              <w:sz w:val="28"/>
              <w:szCs w:val="36"/>
            </w:rPr>
            <w:instrText xml:space="preserve"> PAGEREF _Toc10501 \h </w:instrText>
          </w:r>
          <w:r>
            <w:rPr>
              <w:sz w:val="28"/>
              <w:szCs w:val="36"/>
            </w:rPr>
            <w:fldChar w:fldCharType="separate"/>
          </w:r>
          <w:r>
            <w:rPr>
              <w:sz w:val="28"/>
              <w:szCs w:val="36"/>
            </w:rPr>
            <w:t>1</w:t>
          </w:r>
          <w:r>
            <w:rPr>
              <w:sz w:val="28"/>
              <w:szCs w:val="36"/>
            </w:rPr>
            <w:fldChar w:fldCharType="end"/>
          </w:r>
          <w:r>
            <w:rPr>
              <w:rFonts w:hint="eastAsia" w:ascii="宋体" w:hAnsi="宋体" w:cs="宋体"/>
              <w:sz w:val="28"/>
              <w:szCs w:val="44"/>
              <w:highlight w:val="none"/>
              <w:lang w:val="en-US" w:eastAsia="zh-CN"/>
            </w:rPr>
            <w:fldChar w:fldCharType="end"/>
          </w:r>
        </w:p>
        <w:p w14:paraId="3A2AD14F">
          <w:pPr>
            <w:pStyle w:val="13"/>
            <w:keepNext w:val="0"/>
            <w:keepLines w:val="0"/>
            <w:pageBreakBefore w:val="0"/>
            <w:widowControl w:val="0"/>
            <w:tabs>
              <w:tab w:val="right" w:leader="dot" w:pos="9292"/>
            </w:tabs>
            <w:kinsoku/>
            <w:wordWrap/>
            <w:overflowPunct/>
            <w:topLinePunct w:val="0"/>
            <w:autoSpaceDE/>
            <w:autoSpaceDN/>
            <w:bidi w:val="0"/>
            <w:adjustRightInd/>
            <w:snapToGrid/>
            <w:spacing w:line="360" w:lineRule="auto"/>
            <w:textAlignment w:val="auto"/>
            <w:rPr>
              <w:sz w:val="28"/>
              <w:szCs w:val="36"/>
            </w:rPr>
          </w:pP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_Toc19183 </w:instrText>
          </w:r>
          <w:r>
            <w:rPr>
              <w:rFonts w:hint="eastAsia" w:ascii="宋体" w:hAnsi="宋体" w:cs="宋体"/>
              <w:sz w:val="28"/>
              <w:szCs w:val="44"/>
              <w:highlight w:val="none"/>
              <w:lang w:val="en-US" w:eastAsia="zh-CN"/>
            </w:rPr>
            <w:fldChar w:fldCharType="separate"/>
          </w:r>
          <w:r>
            <w:rPr>
              <w:rFonts w:hint="eastAsia" w:ascii="黑体" w:cs="宋体"/>
              <w:kern w:val="2"/>
              <w:sz w:val="28"/>
              <w:szCs w:val="48"/>
              <w:highlight w:val="none"/>
            </w:rPr>
            <w:t>第二章</w:t>
          </w:r>
          <w:r>
            <w:rPr>
              <w:rFonts w:hint="eastAsia" w:ascii="黑体" w:cs="宋体"/>
              <w:kern w:val="2"/>
              <w:sz w:val="28"/>
              <w:szCs w:val="48"/>
              <w:highlight w:val="none"/>
              <w:lang w:val="en-US" w:eastAsia="zh-CN"/>
            </w:rPr>
            <w:t xml:space="preserve">  </w:t>
          </w:r>
          <w:r>
            <w:rPr>
              <w:rFonts w:hint="eastAsia" w:ascii="黑体" w:cs="宋体"/>
              <w:kern w:val="2"/>
              <w:sz w:val="28"/>
              <w:szCs w:val="48"/>
              <w:highlight w:val="none"/>
            </w:rPr>
            <w:t>供应商须知</w:t>
          </w:r>
          <w:r>
            <w:rPr>
              <w:sz w:val="28"/>
              <w:szCs w:val="36"/>
            </w:rPr>
            <w:tab/>
          </w:r>
          <w:r>
            <w:rPr>
              <w:sz w:val="28"/>
              <w:szCs w:val="36"/>
            </w:rPr>
            <w:fldChar w:fldCharType="begin"/>
          </w:r>
          <w:r>
            <w:rPr>
              <w:sz w:val="28"/>
              <w:szCs w:val="36"/>
            </w:rPr>
            <w:instrText xml:space="preserve"> PAGEREF _Toc19183 \h </w:instrText>
          </w:r>
          <w:r>
            <w:rPr>
              <w:sz w:val="28"/>
              <w:szCs w:val="36"/>
            </w:rPr>
            <w:fldChar w:fldCharType="separate"/>
          </w:r>
          <w:r>
            <w:rPr>
              <w:sz w:val="28"/>
              <w:szCs w:val="36"/>
            </w:rPr>
            <w:t>5</w:t>
          </w:r>
          <w:r>
            <w:rPr>
              <w:sz w:val="28"/>
              <w:szCs w:val="36"/>
            </w:rPr>
            <w:fldChar w:fldCharType="end"/>
          </w:r>
          <w:r>
            <w:rPr>
              <w:rFonts w:hint="eastAsia" w:ascii="宋体" w:hAnsi="宋体" w:cs="宋体"/>
              <w:sz w:val="28"/>
              <w:szCs w:val="44"/>
              <w:highlight w:val="none"/>
              <w:lang w:val="en-US" w:eastAsia="zh-CN"/>
            </w:rPr>
            <w:fldChar w:fldCharType="end"/>
          </w:r>
        </w:p>
        <w:p w14:paraId="0CBEB33D">
          <w:pPr>
            <w:pStyle w:val="13"/>
            <w:keepNext w:val="0"/>
            <w:keepLines w:val="0"/>
            <w:pageBreakBefore w:val="0"/>
            <w:widowControl w:val="0"/>
            <w:tabs>
              <w:tab w:val="right" w:leader="dot" w:pos="9292"/>
            </w:tabs>
            <w:kinsoku/>
            <w:wordWrap/>
            <w:overflowPunct/>
            <w:topLinePunct w:val="0"/>
            <w:autoSpaceDE/>
            <w:autoSpaceDN/>
            <w:bidi w:val="0"/>
            <w:adjustRightInd/>
            <w:snapToGrid/>
            <w:spacing w:line="360" w:lineRule="auto"/>
            <w:textAlignment w:val="auto"/>
            <w:rPr>
              <w:sz w:val="28"/>
              <w:szCs w:val="36"/>
            </w:rPr>
          </w:pP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_Toc8862 </w:instrText>
          </w:r>
          <w:r>
            <w:rPr>
              <w:rFonts w:hint="eastAsia" w:ascii="宋体" w:hAnsi="宋体" w:cs="宋体"/>
              <w:sz w:val="28"/>
              <w:szCs w:val="44"/>
              <w:highlight w:val="none"/>
              <w:lang w:val="en-US" w:eastAsia="zh-CN"/>
            </w:rPr>
            <w:fldChar w:fldCharType="separate"/>
          </w:r>
          <w:r>
            <w:rPr>
              <w:rFonts w:hint="eastAsia"/>
              <w:sz w:val="28"/>
              <w:szCs w:val="21"/>
            </w:rPr>
            <w:t>第三章  服务内容及要求</w:t>
          </w:r>
          <w:r>
            <w:rPr>
              <w:sz w:val="28"/>
              <w:szCs w:val="36"/>
            </w:rPr>
            <w:tab/>
          </w:r>
          <w:r>
            <w:rPr>
              <w:sz w:val="28"/>
              <w:szCs w:val="36"/>
            </w:rPr>
            <w:fldChar w:fldCharType="begin"/>
          </w:r>
          <w:r>
            <w:rPr>
              <w:sz w:val="28"/>
              <w:szCs w:val="36"/>
            </w:rPr>
            <w:instrText xml:space="preserve"> PAGEREF _Toc8862 \h </w:instrText>
          </w:r>
          <w:r>
            <w:rPr>
              <w:sz w:val="28"/>
              <w:szCs w:val="36"/>
            </w:rPr>
            <w:fldChar w:fldCharType="separate"/>
          </w:r>
          <w:r>
            <w:rPr>
              <w:sz w:val="28"/>
              <w:szCs w:val="36"/>
            </w:rPr>
            <w:t>20</w:t>
          </w:r>
          <w:r>
            <w:rPr>
              <w:sz w:val="28"/>
              <w:szCs w:val="36"/>
            </w:rPr>
            <w:fldChar w:fldCharType="end"/>
          </w:r>
          <w:r>
            <w:rPr>
              <w:rFonts w:hint="eastAsia" w:ascii="宋体" w:hAnsi="宋体" w:cs="宋体"/>
              <w:sz w:val="28"/>
              <w:szCs w:val="44"/>
              <w:highlight w:val="none"/>
              <w:lang w:val="en-US" w:eastAsia="zh-CN"/>
            </w:rPr>
            <w:fldChar w:fldCharType="end"/>
          </w:r>
        </w:p>
        <w:p w14:paraId="63510E6D">
          <w:pPr>
            <w:pStyle w:val="13"/>
            <w:keepNext w:val="0"/>
            <w:keepLines w:val="0"/>
            <w:pageBreakBefore w:val="0"/>
            <w:widowControl w:val="0"/>
            <w:tabs>
              <w:tab w:val="right" w:leader="dot" w:pos="9292"/>
            </w:tabs>
            <w:kinsoku/>
            <w:wordWrap/>
            <w:overflowPunct/>
            <w:topLinePunct w:val="0"/>
            <w:autoSpaceDE/>
            <w:autoSpaceDN/>
            <w:bidi w:val="0"/>
            <w:adjustRightInd/>
            <w:snapToGrid/>
            <w:spacing w:line="360" w:lineRule="auto"/>
            <w:textAlignment w:val="auto"/>
            <w:rPr>
              <w:sz w:val="28"/>
              <w:szCs w:val="36"/>
            </w:rPr>
          </w:pP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_Toc29691 </w:instrText>
          </w:r>
          <w:r>
            <w:rPr>
              <w:rFonts w:hint="eastAsia" w:ascii="宋体" w:hAnsi="宋体" w:cs="宋体"/>
              <w:sz w:val="28"/>
              <w:szCs w:val="44"/>
              <w:highlight w:val="none"/>
              <w:lang w:val="en-US" w:eastAsia="zh-CN"/>
            </w:rPr>
            <w:fldChar w:fldCharType="separate"/>
          </w:r>
          <w:r>
            <w:rPr>
              <w:rFonts w:hint="eastAsia"/>
              <w:sz w:val="28"/>
              <w:szCs w:val="21"/>
            </w:rPr>
            <w:t>第四章  合同条款及合同文件格式</w:t>
          </w:r>
          <w:r>
            <w:rPr>
              <w:sz w:val="28"/>
              <w:szCs w:val="36"/>
            </w:rPr>
            <w:tab/>
          </w:r>
          <w:r>
            <w:rPr>
              <w:sz w:val="28"/>
              <w:szCs w:val="36"/>
            </w:rPr>
            <w:fldChar w:fldCharType="begin"/>
          </w:r>
          <w:r>
            <w:rPr>
              <w:sz w:val="28"/>
              <w:szCs w:val="36"/>
            </w:rPr>
            <w:instrText xml:space="preserve"> PAGEREF _Toc29691 \h </w:instrText>
          </w:r>
          <w:r>
            <w:rPr>
              <w:sz w:val="28"/>
              <w:szCs w:val="36"/>
            </w:rPr>
            <w:fldChar w:fldCharType="separate"/>
          </w:r>
          <w:r>
            <w:rPr>
              <w:sz w:val="28"/>
              <w:szCs w:val="36"/>
            </w:rPr>
            <w:t>23</w:t>
          </w:r>
          <w:r>
            <w:rPr>
              <w:sz w:val="28"/>
              <w:szCs w:val="36"/>
            </w:rPr>
            <w:fldChar w:fldCharType="end"/>
          </w:r>
          <w:r>
            <w:rPr>
              <w:rFonts w:hint="eastAsia" w:ascii="宋体" w:hAnsi="宋体" w:cs="宋体"/>
              <w:sz w:val="28"/>
              <w:szCs w:val="44"/>
              <w:highlight w:val="none"/>
              <w:lang w:val="en-US" w:eastAsia="zh-CN"/>
            </w:rPr>
            <w:fldChar w:fldCharType="end"/>
          </w:r>
        </w:p>
        <w:p w14:paraId="2DF8842E">
          <w:pPr>
            <w:pStyle w:val="13"/>
            <w:keepNext w:val="0"/>
            <w:keepLines w:val="0"/>
            <w:pageBreakBefore w:val="0"/>
            <w:widowControl w:val="0"/>
            <w:tabs>
              <w:tab w:val="right" w:leader="dot" w:pos="9292"/>
            </w:tabs>
            <w:kinsoku/>
            <w:wordWrap/>
            <w:overflowPunct/>
            <w:topLinePunct w:val="0"/>
            <w:autoSpaceDE/>
            <w:autoSpaceDN/>
            <w:bidi w:val="0"/>
            <w:adjustRightInd/>
            <w:snapToGrid/>
            <w:spacing w:line="360" w:lineRule="auto"/>
            <w:textAlignment w:val="auto"/>
            <w:rPr>
              <w:sz w:val="28"/>
              <w:szCs w:val="36"/>
            </w:rPr>
          </w:pP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_Toc1172 </w:instrText>
          </w:r>
          <w:r>
            <w:rPr>
              <w:rFonts w:hint="eastAsia" w:ascii="宋体" w:hAnsi="宋体" w:cs="宋体"/>
              <w:sz w:val="28"/>
              <w:szCs w:val="44"/>
              <w:highlight w:val="none"/>
              <w:lang w:val="en-US" w:eastAsia="zh-CN"/>
            </w:rPr>
            <w:fldChar w:fldCharType="separate"/>
          </w:r>
          <w:r>
            <w:rPr>
              <w:rFonts w:hint="eastAsia"/>
              <w:sz w:val="28"/>
              <w:szCs w:val="21"/>
            </w:rPr>
            <w:t>第五章</w:t>
          </w:r>
          <w:r>
            <w:rPr>
              <w:rFonts w:hint="eastAsia"/>
              <w:sz w:val="28"/>
              <w:szCs w:val="21"/>
              <w:lang w:val="en-US" w:eastAsia="zh-CN"/>
            </w:rPr>
            <w:t xml:space="preserve">  </w:t>
          </w:r>
          <w:r>
            <w:rPr>
              <w:rFonts w:hint="eastAsia"/>
              <w:sz w:val="28"/>
              <w:szCs w:val="21"/>
            </w:rPr>
            <w:t>评审标准</w:t>
          </w:r>
          <w:r>
            <w:rPr>
              <w:sz w:val="28"/>
              <w:szCs w:val="36"/>
            </w:rPr>
            <w:tab/>
          </w:r>
          <w:r>
            <w:rPr>
              <w:sz w:val="28"/>
              <w:szCs w:val="36"/>
            </w:rPr>
            <w:fldChar w:fldCharType="begin"/>
          </w:r>
          <w:r>
            <w:rPr>
              <w:sz w:val="28"/>
              <w:szCs w:val="36"/>
            </w:rPr>
            <w:instrText xml:space="preserve"> PAGEREF _Toc1172 \h </w:instrText>
          </w:r>
          <w:r>
            <w:rPr>
              <w:sz w:val="28"/>
              <w:szCs w:val="36"/>
            </w:rPr>
            <w:fldChar w:fldCharType="separate"/>
          </w:r>
          <w:r>
            <w:rPr>
              <w:sz w:val="28"/>
              <w:szCs w:val="36"/>
            </w:rPr>
            <w:t>27</w:t>
          </w:r>
          <w:r>
            <w:rPr>
              <w:sz w:val="28"/>
              <w:szCs w:val="36"/>
            </w:rPr>
            <w:fldChar w:fldCharType="end"/>
          </w:r>
          <w:r>
            <w:rPr>
              <w:rFonts w:hint="eastAsia" w:ascii="宋体" w:hAnsi="宋体" w:cs="宋体"/>
              <w:sz w:val="28"/>
              <w:szCs w:val="44"/>
              <w:highlight w:val="none"/>
              <w:lang w:val="en-US" w:eastAsia="zh-CN"/>
            </w:rPr>
            <w:fldChar w:fldCharType="end"/>
          </w:r>
        </w:p>
        <w:p w14:paraId="315F9E76">
          <w:pPr>
            <w:pStyle w:val="13"/>
            <w:tabs>
              <w:tab w:val="right" w:leader="dot" w:pos="9292"/>
            </w:tabs>
            <w:rPr>
              <w:sz w:val="28"/>
              <w:szCs w:val="36"/>
            </w:rPr>
          </w:pPr>
          <w:r>
            <w:rPr>
              <w:rFonts w:hint="eastAsia" w:ascii="宋体" w:hAnsi="宋体" w:cs="宋体"/>
              <w:sz w:val="28"/>
              <w:szCs w:val="44"/>
              <w:highlight w:val="none"/>
              <w:lang w:val="en-US" w:eastAsia="zh-CN"/>
            </w:rPr>
            <w:fldChar w:fldCharType="begin"/>
          </w:r>
          <w:r>
            <w:rPr>
              <w:rFonts w:hint="eastAsia" w:ascii="宋体" w:hAnsi="宋体" w:cs="宋体"/>
              <w:sz w:val="28"/>
              <w:szCs w:val="44"/>
              <w:highlight w:val="none"/>
              <w:lang w:val="en-US" w:eastAsia="zh-CN"/>
            </w:rPr>
            <w:instrText xml:space="preserve"> HYPERLINK \l _Toc23274 </w:instrText>
          </w:r>
          <w:r>
            <w:rPr>
              <w:rFonts w:hint="eastAsia" w:ascii="宋体" w:hAnsi="宋体" w:cs="宋体"/>
              <w:sz w:val="28"/>
              <w:szCs w:val="44"/>
              <w:highlight w:val="none"/>
              <w:lang w:val="en-US" w:eastAsia="zh-CN"/>
            </w:rPr>
            <w:fldChar w:fldCharType="separate"/>
          </w:r>
          <w:r>
            <w:rPr>
              <w:rFonts w:hint="eastAsia"/>
              <w:sz w:val="28"/>
              <w:szCs w:val="48"/>
            </w:rPr>
            <w:t>第六章</w:t>
          </w:r>
          <w:r>
            <w:rPr>
              <w:rFonts w:hint="eastAsia"/>
              <w:sz w:val="28"/>
              <w:szCs w:val="48"/>
              <w:lang w:val="en-US" w:eastAsia="zh-CN"/>
            </w:rPr>
            <w:t xml:space="preserve">  </w:t>
          </w:r>
          <w:r>
            <w:rPr>
              <w:rFonts w:hint="eastAsia"/>
              <w:sz w:val="28"/>
              <w:szCs w:val="48"/>
            </w:rPr>
            <w:t>响应文件格式</w:t>
          </w:r>
          <w:r>
            <w:rPr>
              <w:sz w:val="28"/>
              <w:szCs w:val="36"/>
            </w:rPr>
            <w:tab/>
          </w:r>
          <w:r>
            <w:rPr>
              <w:sz w:val="28"/>
              <w:szCs w:val="36"/>
            </w:rPr>
            <w:fldChar w:fldCharType="begin"/>
          </w:r>
          <w:r>
            <w:rPr>
              <w:sz w:val="28"/>
              <w:szCs w:val="36"/>
            </w:rPr>
            <w:instrText xml:space="preserve"> PAGEREF _Toc23274 \h </w:instrText>
          </w:r>
          <w:r>
            <w:rPr>
              <w:sz w:val="28"/>
              <w:szCs w:val="36"/>
            </w:rPr>
            <w:fldChar w:fldCharType="separate"/>
          </w:r>
          <w:r>
            <w:rPr>
              <w:sz w:val="28"/>
              <w:szCs w:val="36"/>
            </w:rPr>
            <w:t>34</w:t>
          </w:r>
          <w:r>
            <w:rPr>
              <w:sz w:val="28"/>
              <w:szCs w:val="36"/>
            </w:rPr>
            <w:fldChar w:fldCharType="end"/>
          </w:r>
          <w:r>
            <w:rPr>
              <w:rFonts w:hint="eastAsia" w:ascii="宋体" w:hAnsi="宋体" w:cs="宋体"/>
              <w:sz w:val="28"/>
              <w:szCs w:val="44"/>
              <w:highlight w:val="none"/>
              <w:lang w:val="en-US" w:eastAsia="zh-CN"/>
            </w:rPr>
            <w:fldChar w:fldCharType="end"/>
          </w:r>
        </w:p>
        <w:p w14:paraId="7839B24B">
          <w:pPr>
            <w:jc w:val="both"/>
            <w:rPr>
              <w:rFonts w:hint="eastAsia" w:ascii="宋体" w:hAnsi="宋体" w:eastAsia="宋体" w:cs="宋体"/>
              <w:b/>
              <w:bCs/>
              <w:sz w:val="40"/>
              <w:szCs w:val="32"/>
              <w:highlight w:val="none"/>
              <w:lang w:val="en-US" w:eastAsia="zh-CN" w:bidi="ar-SA"/>
            </w:rPr>
          </w:pPr>
          <w:r>
            <w:rPr>
              <w:rFonts w:hint="eastAsia" w:ascii="宋体" w:hAnsi="宋体" w:cs="宋体"/>
              <w:sz w:val="24"/>
              <w:szCs w:val="44"/>
              <w:highlight w:val="none"/>
              <w:lang w:val="en-US" w:eastAsia="zh-CN"/>
            </w:rPr>
            <w:fldChar w:fldCharType="end"/>
          </w:r>
        </w:p>
      </w:sdtContent>
    </w:sdt>
    <w:p w14:paraId="7E6BC40C">
      <w:pPr>
        <w:bidi w:val="0"/>
        <w:rPr>
          <w:rFonts w:hint="eastAsia" w:ascii="Times New Roman" w:hAnsi="Times New Roman" w:eastAsia="宋体" w:cs="Times New Roman"/>
          <w:lang w:val="en-US" w:eastAsia="zh-CN" w:bidi="ar-SA"/>
        </w:rPr>
      </w:pPr>
    </w:p>
    <w:p w14:paraId="436A8894">
      <w:pPr>
        <w:bidi w:val="0"/>
        <w:rPr>
          <w:rFonts w:hint="eastAsia"/>
          <w:lang w:val="en-US" w:eastAsia="zh-CN"/>
        </w:rPr>
      </w:pPr>
    </w:p>
    <w:p w14:paraId="0886E3E3">
      <w:pPr>
        <w:bidi w:val="0"/>
        <w:rPr>
          <w:rFonts w:hint="eastAsia"/>
          <w:lang w:val="en-US" w:eastAsia="zh-CN"/>
        </w:rPr>
      </w:pPr>
    </w:p>
    <w:p w14:paraId="27106198">
      <w:pPr>
        <w:bidi w:val="0"/>
        <w:rPr>
          <w:rFonts w:hint="eastAsia"/>
          <w:lang w:val="en-US" w:eastAsia="zh-CN"/>
        </w:rPr>
      </w:pPr>
    </w:p>
    <w:p w14:paraId="5FBF0D28">
      <w:pPr>
        <w:bidi w:val="0"/>
        <w:rPr>
          <w:rFonts w:hint="eastAsia"/>
          <w:lang w:val="en-US" w:eastAsia="zh-CN"/>
        </w:rPr>
      </w:pPr>
    </w:p>
    <w:p w14:paraId="64254577">
      <w:pPr>
        <w:bidi w:val="0"/>
        <w:rPr>
          <w:rFonts w:hint="eastAsia"/>
          <w:lang w:val="en-US" w:eastAsia="zh-CN"/>
        </w:rPr>
      </w:pPr>
    </w:p>
    <w:p w14:paraId="04C14039">
      <w:pPr>
        <w:bidi w:val="0"/>
        <w:rPr>
          <w:rFonts w:hint="eastAsia"/>
          <w:lang w:val="en-US" w:eastAsia="zh-CN"/>
        </w:rPr>
      </w:pPr>
    </w:p>
    <w:p w14:paraId="59EB75D1">
      <w:pPr>
        <w:bidi w:val="0"/>
        <w:rPr>
          <w:rFonts w:hint="eastAsia"/>
          <w:lang w:val="en-US" w:eastAsia="zh-CN"/>
        </w:rPr>
      </w:pPr>
    </w:p>
    <w:p w14:paraId="408CA735">
      <w:pPr>
        <w:bidi w:val="0"/>
        <w:rPr>
          <w:rFonts w:hint="eastAsia"/>
          <w:lang w:val="en-US" w:eastAsia="zh-CN"/>
        </w:rPr>
      </w:pPr>
    </w:p>
    <w:p w14:paraId="1DD2DC40">
      <w:pPr>
        <w:bidi w:val="0"/>
        <w:rPr>
          <w:rFonts w:hint="eastAsia"/>
          <w:lang w:val="en-US" w:eastAsia="zh-CN"/>
        </w:rPr>
      </w:pPr>
    </w:p>
    <w:p w14:paraId="6F8A187A">
      <w:pPr>
        <w:tabs>
          <w:tab w:val="left" w:pos="6136"/>
        </w:tabs>
        <w:bidi w:val="0"/>
        <w:jc w:val="left"/>
        <w:rPr>
          <w:rFonts w:hint="eastAsia"/>
          <w:lang w:val="en-US" w:eastAsia="zh-CN"/>
        </w:rPr>
        <w:sectPr>
          <w:headerReference r:id="rId5" w:type="default"/>
          <w:pgSz w:w="11906" w:h="16838"/>
          <w:pgMar w:top="1135" w:right="1196" w:bottom="1135" w:left="1418" w:header="720" w:footer="720" w:gutter="0"/>
          <w:pgNumType w:fmt="upperRoman" w:start="1"/>
          <w:cols w:space="720" w:num="1"/>
          <w:docGrid w:type="lines" w:linePitch="312" w:charSpace="0"/>
        </w:sectPr>
      </w:pPr>
      <w:r>
        <w:rPr>
          <w:rFonts w:hint="eastAsia"/>
          <w:lang w:val="en-US" w:eastAsia="zh-CN"/>
        </w:rPr>
        <w:tab/>
      </w:r>
    </w:p>
    <w:p w14:paraId="1CB14C6D">
      <w:pPr>
        <w:pStyle w:val="2"/>
        <w:bidi w:val="0"/>
        <w:jc w:val="center"/>
        <w:rPr>
          <w:rFonts w:hint="eastAsia"/>
          <w:sz w:val="36"/>
          <w:szCs w:val="16"/>
        </w:rPr>
      </w:pPr>
      <w:bookmarkStart w:id="3" w:name="_Toc461977403"/>
      <w:bookmarkEnd w:id="3"/>
      <w:bookmarkStart w:id="4" w:name="_Toc461977412"/>
      <w:bookmarkEnd w:id="4"/>
      <w:bookmarkStart w:id="5" w:name="_Toc25713"/>
      <w:bookmarkStart w:id="6" w:name="_Toc9110"/>
      <w:bookmarkStart w:id="7" w:name="_Toc15562"/>
      <w:bookmarkStart w:id="8" w:name="_Toc31262"/>
      <w:bookmarkStart w:id="9" w:name="_Toc10501"/>
      <w:r>
        <w:rPr>
          <w:rFonts w:hint="eastAsia"/>
          <w:sz w:val="36"/>
          <w:szCs w:val="16"/>
        </w:rPr>
        <w:t>第一章</w:t>
      </w:r>
      <w:r>
        <w:rPr>
          <w:rFonts w:hint="eastAsia"/>
          <w:sz w:val="36"/>
          <w:szCs w:val="16"/>
          <w:lang w:val="en-US" w:eastAsia="zh-CN"/>
        </w:rPr>
        <w:t xml:space="preserve">  </w:t>
      </w:r>
      <w:r>
        <w:rPr>
          <w:rFonts w:hint="eastAsia"/>
          <w:sz w:val="36"/>
          <w:szCs w:val="16"/>
        </w:rPr>
        <w:t>竞争性磋商公告</w:t>
      </w:r>
      <w:bookmarkEnd w:id="5"/>
      <w:bookmarkEnd w:id="6"/>
      <w:bookmarkEnd w:id="7"/>
      <w:bookmarkEnd w:id="8"/>
      <w:bookmarkEnd w:id="9"/>
    </w:p>
    <w:p w14:paraId="58CDA5BF">
      <w:pPr>
        <w:spacing w:line="276" w:lineRule="auto"/>
        <w:ind w:firstLine="482" w:firstLineChars="200"/>
        <w:rPr>
          <w:rFonts w:hint="eastAsia" w:ascii="宋体" w:hAnsi="宋体"/>
          <w:b/>
          <w:sz w:val="24"/>
          <w:szCs w:val="24"/>
          <w:highlight w:val="none"/>
        </w:rPr>
      </w:pPr>
      <w:bookmarkStart w:id="10" w:name="_Toc14037"/>
      <w:r>
        <w:rPr>
          <w:rFonts w:hint="eastAsia" w:ascii="宋体" w:hAnsi="宋体"/>
          <w:b/>
          <w:sz w:val="24"/>
          <w:szCs w:val="24"/>
          <w:highlight w:val="none"/>
        </w:rPr>
        <w:t>项目概况</w:t>
      </w:r>
    </w:p>
    <w:p w14:paraId="645C7A69">
      <w:pPr>
        <w:tabs>
          <w:tab w:val="left" w:pos="142"/>
        </w:tabs>
        <w:spacing w:line="440" w:lineRule="exact"/>
        <w:ind w:firstLine="463" w:firstLineChars="193"/>
        <w:rPr>
          <w:rFonts w:hint="eastAsia" w:ascii="宋体" w:hAnsi="宋体" w:cs="宋体"/>
          <w:sz w:val="24"/>
          <w:szCs w:val="24"/>
          <w:highlight w:val="none"/>
        </w:rPr>
      </w:pPr>
      <w:r>
        <w:rPr>
          <w:rFonts w:hint="eastAsia" w:ascii="宋体" w:hAnsi="宋体" w:cs="宋体"/>
          <w:sz w:val="24"/>
          <w:szCs w:val="24"/>
          <w:highlight w:val="none"/>
          <w:lang w:eastAsia="zh-CN"/>
        </w:rPr>
        <w:t>河南省三门峡市中级人民法院审判系统及设备技术服务项目</w:t>
      </w:r>
      <w:r>
        <w:rPr>
          <w:rFonts w:hint="eastAsia" w:ascii="宋体" w:hAnsi="宋体" w:cs="宋体"/>
          <w:sz w:val="24"/>
          <w:szCs w:val="24"/>
          <w:highlight w:val="none"/>
        </w:rPr>
        <w:t>的潜在供应商应在三门峡市公共资源交易中心（http://gzjy.smx.gov.cn/）获取招标文件，并于202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04月21日08时30分</w:t>
      </w:r>
      <w:r>
        <w:rPr>
          <w:rFonts w:hint="eastAsia" w:ascii="宋体" w:hAnsi="宋体" w:cs="宋体"/>
          <w:sz w:val="24"/>
          <w:szCs w:val="24"/>
          <w:highlight w:val="none"/>
        </w:rPr>
        <w:t>（北京时间）前递交响应文件。</w:t>
      </w:r>
    </w:p>
    <w:p w14:paraId="4AD0E8CF">
      <w:pPr>
        <w:spacing w:line="44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w:t>
      </w:r>
      <w:r>
        <w:rPr>
          <w:rFonts w:hint="eastAsia" w:ascii="宋体" w:hAnsi="宋体" w:cs="宋体"/>
          <w:b/>
          <w:sz w:val="24"/>
          <w:szCs w:val="24"/>
          <w:highlight w:val="none"/>
        </w:rPr>
        <w:t>项目基本情况</w:t>
      </w:r>
    </w:p>
    <w:p w14:paraId="4B801ECC">
      <w:pPr>
        <w:tabs>
          <w:tab w:val="left" w:pos="142"/>
        </w:tabs>
        <w:spacing w:line="440" w:lineRule="exact"/>
        <w:ind w:firstLine="463" w:firstLineChars="193"/>
        <w:rPr>
          <w:rFonts w:hint="eastAsia" w:ascii="宋体" w:hAnsi="宋体" w:cs="宋体"/>
          <w:sz w:val="24"/>
          <w:szCs w:val="24"/>
          <w:highlight w:val="none"/>
        </w:rPr>
      </w:pPr>
      <w:r>
        <w:rPr>
          <w:rFonts w:hint="eastAsia" w:ascii="宋体" w:hAnsi="宋体" w:cs="宋体"/>
          <w:sz w:val="24"/>
          <w:szCs w:val="24"/>
          <w:highlight w:val="none"/>
        </w:rPr>
        <w:t>1、项目编号：</w:t>
      </w:r>
      <w:r>
        <w:rPr>
          <w:rFonts w:hint="eastAsia" w:ascii="宋体" w:hAnsi="宋体" w:cs="宋体"/>
          <w:sz w:val="24"/>
          <w:szCs w:val="24"/>
          <w:highlight w:val="none"/>
          <w:lang w:val="en-US" w:eastAsia="zh-CN"/>
        </w:rPr>
        <w:t>豫财磋商采购-2026-153；</w:t>
      </w:r>
      <w:r>
        <w:rPr>
          <w:rFonts w:hint="eastAsia" w:ascii="宋体" w:hAnsi="宋体"/>
          <w:sz w:val="24"/>
          <w:szCs w:val="24"/>
          <w:highlight w:val="none"/>
          <w:lang w:val="en-US" w:eastAsia="zh-CN"/>
        </w:rPr>
        <w:t>SGZ[2026]100-ZC063</w:t>
      </w:r>
    </w:p>
    <w:p w14:paraId="0D2A4A89">
      <w:pPr>
        <w:tabs>
          <w:tab w:val="left" w:pos="142"/>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2、项目名称：</w:t>
      </w:r>
      <w:r>
        <w:rPr>
          <w:rFonts w:hint="eastAsia" w:ascii="宋体" w:hAnsi="宋体" w:cs="宋体"/>
          <w:sz w:val="24"/>
          <w:szCs w:val="24"/>
          <w:highlight w:val="none"/>
          <w:lang w:eastAsia="zh-CN"/>
        </w:rPr>
        <w:t>河南省三门峡市中级人民法院审判系统及设备技术服务项目</w:t>
      </w:r>
    </w:p>
    <w:p w14:paraId="2A7A15C1">
      <w:pPr>
        <w:tabs>
          <w:tab w:val="left" w:pos="142"/>
        </w:tabs>
        <w:spacing w:line="440" w:lineRule="exact"/>
        <w:ind w:firstLine="463" w:firstLineChars="193"/>
        <w:rPr>
          <w:rFonts w:hint="eastAsia" w:ascii="宋体" w:hAnsi="宋体" w:cs="宋体"/>
          <w:sz w:val="24"/>
          <w:szCs w:val="24"/>
          <w:highlight w:val="none"/>
        </w:rPr>
      </w:pPr>
      <w:r>
        <w:rPr>
          <w:rFonts w:hint="eastAsia" w:ascii="宋体" w:hAnsi="宋体" w:cs="宋体"/>
          <w:sz w:val="24"/>
          <w:szCs w:val="24"/>
          <w:highlight w:val="none"/>
        </w:rPr>
        <w:t>3、采购方式：竞争性磋商</w:t>
      </w:r>
    </w:p>
    <w:p w14:paraId="28A1587E">
      <w:pPr>
        <w:tabs>
          <w:tab w:val="left" w:pos="142"/>
        </w:tabs>
        <w:spacing w:line="440" w:lineRule="exact"/>
        <w:ind w:firstLine="463" w:firstLineChars="193"/>
        <w:rPr>
          <w:rFonts w:hint="eastAsia" w:ascii="宋体" w:hAnsi="宋体" w:cs="宋体"/>
          <w:sz w:val="24"/>
          <w:szCs w:val="24"/>
          <w:highlight w:val="none"/>
        </w:rPr>
      </w:pPr>
      <w:r>
        <w:rPr>
          <w:rFonts w:hint="eastAsia" w:ascii="宋体" w:hAnsi="宋体" w:cs="宋体"/>
          <w:sz w:val="24"/>
          <w:szCs w:val="24"/>
          <w:highlight w:val="none"/>
        </w:rPr>
        <w:t>4、预算金额：</w:t>
      </w:r>
      <w:r>
        <w:rPr>
          <w:rFonts w:hint="eastAsia" w:ascii="宋体" w:hAnsi="宋体"/>
          <w:sz w:val="24"/>
          <w:szCs w:val="24"/>
          <w:highlight w:val="none"/>
          <w:lang w:eastAsia="zh-CN"/>
        </w:rPr>
        <w:t>1200000.00</w:t>
      </w:r>
      <w:r>
        <w:rPr>
          <w:rFonts w:hint="eastAsia" w:ascii="宋体" w:hAnsi="宋体" w:cs="宋体"/>
          <w:sz w:val="24"/>
          <w:szCs w:val="24"/>
          <w:highlight w:val="none"/>
        </w:rPr>
        <w:t>元</w:t>
      </w:r>
    </w:p>
    <w:p w14:paraId="50CCA946">
      <w:pPr>
        <w:tabs>
          <w:tab w:val="left" w:pos="142"/>
        </w:tabs>
        <w:spacing w:line="440" w:lineRule="exact"/>
        <w:ind w:firstLine="960" w:firstLineChars="400"/>
        <w:rPr>
          <w:rFonts w:hint="eastAsia" w:ascii="宋体" w:hAnsi="宋体" w:cs="宋体"/>
          <w:sz w:val="24"/>
          <w:szCs w:val="24"/>
          <w:highlight w:val="none"/>
        </w:rPr>
      </w:pPr>
      <w:r>
        <w:rPr>
          <w:rFonts w:hint="eastAsia" w:ascii="宋体" w:hAnsi="宋体" w:cs="宋体"/>
          <w:sz w:val="24"/>
          <w:szCs w:val="24"/>
          <w:highlight w:val="none"/>
        </w:rPr>
        <w:t>最高限价：</w:t>
      </w:r>
      <w:r>
        <w:rPr>
          <w:rFonts w:hint="eastAsia" w:ascii="宋体" w:hAnsi="宋体"/>
          <w:sz w:val="24"/>
          <w:szCs w:val="24"/>
          <w:highlight w:val="none"/>
          <w:lang w:eastAsia="zh-CN"/>
        </w:rPr>
        <w:t>1200000.00</w:t>
      </w:r>
      <w:r>
        <w:rPr>
          <w:rFonts w:hint="eastAsia" w:ascii="宋体" w:hAnsi="宋体" w:cs="宋体"/>
          <w:sz w:val="24"/>
          <w:szCs w:val="24"/>
          <w:highlight w:val="none"/>
        </w:rPr>
        <w:t>元</w:t>
      </w:r>
    </w:p>
    <w:tbl>
      <w:tblPr>
        <w:tblStyle w:val="19"/>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625"/>
        <w:gridCol w:w="2461"/>
        <w:gridCol w:w="1485"/>
        <w:gridCol w:w="1680"/>
      </w:tblGrid>
      <w:tr w14:paraId="752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02" w:type="dxa"/>
            <w:vAlign w:val="center"/>
          </w:tcPr>
          <w:p w14:paraId="5686B18E">
            <w:pPr>
              <w:widowControl w:val="0"/>
              <w:tabs>
                <w:tab w:val="left" w:pos="142"/>
              </w:tabs>
              <w:jc w:val="center"/>
              <w:rPr>
                <w:rFonts w:hint="eastAsia" w:ascii="宋体" w:hAnsi="宋体"/>
                <w:sz w:val="24"/>
                <w:szCs w:val="24"/>
                <w:highlight w:val="none"/>
              </w:rPr>
            </w:pPr>
            <w:r>
              <w:rPr>
                <w:rFonts w:hint="eastAsia" w:ascii="宋体" w:hAnsi="宋体"/>
                <w:sz w:val="24"/>
                <w:szCs w:val="24"/>
                <w:highlight w:val="none"/>
              </w:rPr>
              <w:t>序号</w:t>
            </w:r>
          </w:p>
        </w:tc>
        <w:tc>
          <w:tcPr>
            <w:tcW w:w="2625" w:type="dxa"/>
            <w:vAlign w:val="center"/>
          </w:tcPr>
          <w:p w14:paraId="0856673C">
            <w:pPr>
              <w:widowControl w:val="0"/>
              <w:tabs>
                <w:tab w:val="left" w:pos="142"/>
              </w:tabs>
              <w:ind w:firstLine="19" w:firstLineChars="8"/>
              <w:jc w:val="center"/>
              <w:rPr>
                <w:rFonts w:hint="eastAsia" w:ascii="宋体" w:hAnsi="宋体"/>
                <w:sz w:val="24"/>
                <w:szCs w:val="24"/>
                <w:highlight w:val="none"/>
              </w:rPr>
            </w:pPr>
            <w:r>
              <w:rPr>
                <w:rFonts w:hint="eastAsia" w:ascii="宋体" w:hAnsi="宋体"/>
                <w:sz w:val="24"/>
                <w:szCs w:val="24"/>
                <w:highlight w:val="none"/>
              </w:rPr>
              <w:t>包号</w:t>
            </w:r>
          </w:p>
        </w:tc>
        <w:tc>
          <w:tcPr>
            <w:tcW w:w="2461" w:type="dxa"/>
            <w:vAlign w:val="center"/>
          </w:tcPr>
          <w:p w14:paraId="75C329AF">
            <w:pPr>
              <w:widowControl w:val="0"/>
              <w:tabs>
                <w:tab w:val="left" w:pos="142"/>
              </w:tabs>
              <w:ind w:firstLine="26" w:firstLineChars="11"/>
              <w:jc w:val="center"/>
              <w:rPr>
                <w:rFonts w:hint="eastAsia" w:ascii="宋体" w:hAnsi="宋体"/>
                <w:sz w:val="24"/>
                <w:szCs w:val="24"/>
                <w:highlight w:val="none"/>
              </w:rPr>
            </w:pPr>
            <w:r>
              <w:rPr>
                <w:rFonts w:hint="eastAsia" w:ascii="宋体" w:hAnsi="宋体"/>
                <w:sz w:val="24"/>
                <w:szCs w:val="24"/>
                <w:highlight w:val="none"/>
              </w:rPr>
              <w:t>包名称</w:t>
            </w:r>
          </w:p>
        </w:tc>
        <w:tc>
          <w:tcPr>
            <w:tcW w:w="1485" w:type="dxa"/>
            <w:vAlign w:val="center"/>
          </w:tcPr>
          <w:p w14:paraId="7642C018">
            <w:pPr>
              <w:widowControl w:val="0"/>
              <w:tabs>
                <w:tab w:val="left" w:pos="142"/>
              </w:tabs>
              <w:jc w:val="center"/>
              <w:rPr>
                <w:rFonts w:hint="eastAsia" w:ascii="宋体" w:hAnsi="宋体"/>
                <w:sz w:val="24"/>
                <w:szCs w:val="24"/>
                <w:highlight w:val="none"/>
              </w:rPr>
            </w:pPr>
            <w:r>
              <w:rPr>
                <w:rFonts w:hint="eastAsia" w:ascii="宋体" w:hAnsi="宋体"/>
                <w:sz w:val="24"/>
                <w:szCs w:val="24"/>
                <w:highlight w:val="none"/>
              </w:rPr>
              <w:t>包预算</w:t>
            </w:r>
          </w:p>
          <w:p w14:paraId="5B2303F3">
            <w:pPr>
              <w:widowControl w:val="0"/>
              <w:tabs>
                <w:tab w:val="left" w:pos="142"/>
              </w:tabs>
              <w:jc w:val="center"/>
              <w:rPr>
                <w:rFonts w:hint="eastAsia" w:ascii="宋体" w:hAnsi="宋体"/>
                <w:sz w:val="24"/>
                <w:szCs w:val="24"/>
                <w:highlight w:val="none"/>
              </w:rPr>
            </w:pPr>
            <w:r>
              <w:rPr>
                <w:rFonts w:hint="eastAsia" w:ascii="宋体" w:hAnsi="宋体"/>
                <w:sz w:val="24"/>
                <w:szCs w:val="24"/>
                <w:highlight w:val="none"/>
              </w:rPr>
              <w:t>（元）</w:t>
            </w:r>
          </w:p>
        </w:tc>
        <w:tc>
          <w:tcPr>
            <w:tcW w:w="1680" w:type="dxa"/>
            <w:vAlign w:val="center"/>
          </w:tcPr>
          <w:p w14:paraId="695B7856">
            <w:pPr>
              <w:widowControl w:val="0"/>
              <w:tabs>
                <w:tab w:val="left" w:pos="142"/>
              </w:tabs>
              <w:jc w:val="center"/>
              <w:rPr>
                <w:rFonts w:hint="eastAsia" w:ascii="宋体" w:hAnsi="宋体"/>
                <w:sz w:val="24"/>
                <w:szCs w:val="24"/>
                <w:highlight w:val="none"/>
              </w:rPr>
            </w:pPr>
            <w:r>
              <w:rPr>
                <w:rFonts w:hint="eastAsia" w:ascii="宋体" w:hAnsi="宋体"/>
                <w:sz w:val="24"/>
                <w:szCs w:val="24"/>
                <w:highlight w:val="none"/>
              </w:rPr>
              <w:t>包最高限价（元）</w:t>
            </w:r>
          </w:p>
        </w:tc>
      </w:tr>
      <w:tr w14:paraId="6D0F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02" w:type="dxa"/>
            <w:vAlign w:val="center"/>
          </w:tcPr>
          <w:p w14:paraId="117B8ECA">
            <w:pPr>
              <w:widowControl w:val="0"/>
              <w:tabs>
                <w:tab w:val="left" w:pos="142"/>
              </w:tabs>
              <w:jc w:val="center"/>
              <w:rPr>
                <w:rFonts w:hint="eastAsia" w:ascii="宋体" w:hAnsi="宋体"/>
                <w:sz w:val="24"/>
                <w:szCs w:val="24"/>
                <w:highlight w:val="none"/>
              </w:rPr>
            </w:pPr>
            <w:r>
              <w:rPr>
                <w:rFonts w:hint="eastAsia" w:ascii="宋体" w:hAnsi="宋体"/>
                <w:sz w:val="24"/>
                <w:szCs w:val="24"/>
                <w:highlight w:val="none"/>
              </w:rPr>
              <w:t>1</w:t>
            </w:r>
          </w:p>
        </w:tc>
        <w:tc>
          <w:tcPr>
            <w:tcW w:w="2625" w:type="dxa"/>
            <w:vAlign w:val="center"/>
          </w:tcPr>
          <w:p w14:paraId="71587922">
            <w:pPr>
              <w:widowControl w:val="0"/>
              <w:jc w:val="both"/>
              <w:rPr>
                <w:rFonts w:hint="eastAsia" w:ascii="宋体" w:hAnsi="宋体"/>
                <w:sz w:val="24"/>
                <w:szCs w:val="24"/>
                <w:highlight w:val="none"/>
                <w:lang w:val="en-US" w:eastAsia="zh-CN"/>
              </w:rPr>
            </w:pPr>
          </w:p>
          <w:p w14:paraId="3379807C">
            <w:pPr>
              <w:widowControl w:val="0"/>
              <w:jc w:val="both"/>
              <w:rPr>
                <w:rFonts w:hint="default" w:ascii="宋体" w:hAnsi="宋体" w:eastAsia="宋体" w:cs="宋体"/>
                <w:sz w:val="32"/>
                <w:szCs w:val="32"/>
                <w:highlight w:val="none"/>
                <w:lang w:val="en-US" w:eastAsia="zh-CN"/>
              </w:rPr>
            </w:pPr>
            <w:r>
              <w:rPr>
                <w:rFonts w:hint="eastAsia" w:ascii="宋体" w:hAnsi="宋体"/>
                <w:sz w:val="24"/>
                <w:szCs w:val="24"/>
                <w:highlight w:val="none"/>
                <w:lang w:val="en-US" w:eastAsia="zh-CN"/>
              </w:rPr>
              <w:t>SGZ[2026]100-ZC063-1</w:t>
            </w:r>
          </w:p>
          <w:p w14:paraId="288CEFF7">
            <w:pPr>
              <w:widowControl w:val="0"/>
              <w:tabs>
                <w:tab w:val="left" w:pos="142"/>
              </w:tabs>
              <w:ind w:firstLine="19" w:firstLineChars="8"/>
              <w:jc w:val="center"/>
              <w:rPr>
                <w:rFonts w:hint="eastAsia" w:ascii="宋体" w:hAnsi="宋体"/>
                <w:sz w:val="24"/>
                <w:szCs w:val="24"/>
                <w:highlight w:val="none"/>
              </w:rPr>
            </w:pPr>
          </w:p>
        </w:tc>
        <w:tc>
          <w:tcPr>
            <w:tcW w:w="2461" w:type="dxa"/>
            <w:vAlign w:val="center"/>
          </w:tcPr>
          <w:p w14:paraId="415DBDF8">
            <w:pPr>
              <w:widowControl w:val="0"/>
              <w:tabs>
                <w:tab w:val="left" w:pos="142"/>
              </w:tabs>
              <w:spacing w:line="360" w:lineRule="auto"/>
              <w:ind w:firstLine="26" w:firstLineChars="11"/>
              <w:jc w:val="center"/>
              <w:rPr>
                <w:rFonts w:hint="eastAsia" w:ascii="宋体" w:hAnsi="宋体" w:eastAsia="宋体"/>
                <w:sz w:val="24"/>
                <w:szCs w:val="24"/>
                <w:highlight w:val="none"/>
                <w:lang w:eastAsia="zh-CN"/>
              </w:rPr>
            </w:pPr>
            <w:r>
              <w:rPr>
                <w:rFonts w:hint="eastAsia" w:ascii="宋体" w:hAnsi="宋体" w:cs="宋体"/>
                <w:sz w:val="24"/>
                <w:szCs w:val="24"/>
                <w:highlight w:val="none"/>
                <w:lang w:eastAsia="zh-CN"/>
              </w:rPr>
              <w:t>河南省三门峡市中级人民法院审判系统及设备技术服务项目</w:t>
            </w:r>
          </w:p>
        </w:tc>
        <w:tc>
          <w:tcPr>
            <w:tcW w:w="1485" w:type="dxa"/>
            <w:vAlign w:val="center"/>
          </w:tcPr>
          <w:p w14:paraId="444DAF2E">
            <w:pPr>
              <w:widowControl w:val="0"/>
              <w:tabs>
                <w:tab w:val="left" w:pos="142"/>
              </w:tabs>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1200000.00</w:t>
            </w:r>
          </w:p>
        </w:tc>
        <w:tc>
          <w:tcPr>
            <w:tcW w:w="1680" w:type="dxa"/>
            <w:vAlign w:val="center"/>
          </w:tcPr>
          <w:p w14:paraId="73465A9D">
            <w:pPr>
              <w:widowControl w:val="0"/>
              <w:tabs>
                <w:tab w:val="left" w:pos="142"/>
              </w:tabs>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1200000.00</w:t>
            </w:r>
          </w:p>
        </w:tc>
      </w:tr>
    </w:tbl>
    <w:p w14:paraId="7ABABA6C">
      <w:pPr>
        <w:tabs>
          <w:tab w:val="left" w:pos="142"/>
          <w:tab w:val="left" w:pos="993"/>
          <w:tab w:val="left" w:pos="1276"/>
          <w:tab w:val="left" w:pos="1701"/>
          <w:tab w:val="left" w:pos="1843"/>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5、采购需求（包括但不限于标的的名称、数量、简要技术需求或服务要求等）</w:t>
      </w:r>
      <w:r>
        <w:rPr>
          <w:rFonts w:hint="eastAsia" w:ascii="宋体" w:hAnsi="宋体" w:cs="宋体"/>
          <w:sz w:val="24"/>
          <w:szCs w:val="24"/>
          <w:highlight w:val="none"/>
          <w:lang w:eastAsia="zh-CN"/>
        </w:rPr>
        <w:t>；</w:t>
      </w:r>
    </w:p>
    <w:p w14:paraId="688EC3D5">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5.1.采购内容：</w:t>
      </w:r>
      <w:r>
        <w:rPr>
          <w:rFonts w:hint="eastAsia" w:ascii="宋体" w:hAnsi="宋体" w:cs="宋体"/>
          <w:sz w:val="24"/>
          <w:szCs w:val="24"/>
          <w:highlight w:val="none"/>
          <w:lang w:eastAsia="zh-CN"/>
        </w:rPr>
        <w:t>河南省三门峡市中级人民法院审判系统及设备技术服务项目</w:t>
      </w:r>
      <w:r>
        <w:rPr>
          <w:rFonts w:hint="eastAsia" w:ascii="宋体" w:hAnsi="宋体" w:cs="宋体"/>
          <w:sz w:val="24"/>
          <w:szCs w:val="24"/>
          <w:highlight w:val="none"/>
          <w:lang w:val="en-US" w:eastAsia="zh-CN"/>
        </w:rPr>
        <w:t>，审判、执行、办公等办公办案系统后台，机房、法庭、网络、办公办案设备软硬件巡检、维护、维修等保障服务</w:t>
      </w:r>
      <w:r>
        <w:rPr>
          <w:rFonts w:hint="eastAsia" w:ascii="宋体" w:hAnsi="宋体" w:cs="宋体"/>
          <w:sz w:val="24"/>
          <w:szCs w:val="24"/>
          <w:highlight w:val="none"/>
          <w:lang w:eastAsia="zh-CN"/>
        </w:rPr>
        <w:t>；</w:t>
      </w:r>
    </w:p>
    <w:p w14:paraId="47FBB34C">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5.2.服务地点：采购人指定地点</w:t>
      </w:r>
      <w:r>
        <w:rPr>
          <w:rFonts w:hint="eastAsia" w:ascii="宋体" w:hAnsi="宋体" w:cs="宋体"/>
          <w:sz w:val="24"/>
          <w:szCs w:val="24"/>
          <w:highlight w:val="none"/>
          <w:lang w:eastAsia="zh-CN"/>
        </w:rPr>
        <w:t>；</w:t>
      </w:r>
    </w:p>
    <w:p w14:paraId="1E1A3A30">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5.3.服务期限：</w:t>
      </w:r>
      <w:r>
        <w:rPr>
          <w:rFonts w:hint="eastAsia" w:ascii="宋体" w:hAnsi="宋体" w:cs="宋体"/>
          <w:sz w:val="24"/>
          <w:szCs w:val="24"/>
          <w:highlight w:val="none"/>
          <w:lang w:eastAsia="zh-CN"/>
        </w:rPr>
        <w:t>一年；</w:t>
      </w:r>
    </w:p>
    <w:p w14:paraId="6F36F32A">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5.4.资金来源：</w:t>
      </w:r>
      <w:r>
        <w:rPr>
          <w:rFonts w:hint="eastAsia" w:ascii="宋体" w:hAnsi="宋体" w:cs="宋体"/>
          <w:sz w:val="24"/>
          <w:szCs w:val="24"/>
          <w:highlight w:val="none"/>
          <w:lang w:val="en-US" w:eastAsia="zh-CN"/>
        </w:rPr>
        <w:t>财政资金</w:t>
      </w:r>
      <w:r>
        <w:rPr>
          <w:rFonts w:hint="eastAsia" w:ascii="宋体" w:hAnsi="宋体" w:cs="宋体"/>
          <w:sz w:val="24"/>
          <w:szCs w:val="24"/>
          <w:highlight w:val="none"/>
        </w:rPr>
        <w:t>，已落实</w:t>
      </w:r>
      <w:r>
        <w:rPr>
          <w:rFonts w:hint="eastAsia" w:ascii="宋体" w:hAnsi="宋体" w:cs="宋体"/>
          <w:sz w:val="24"/>
          <w:szCs w:val="24"/>
          <w:highlight w:val="none"/>
          <w:lang w:eastAsia="zh-CN"/>
        </w:rPr>
        <w:t>；</w:t>
      </w:r>
    </w:p>
    <w:p w14:paraId="2A1B8726">
      <w:pPr>
        <w:tabs>
          <w:tab w:val="left" w:pos="142"/>
          <w:tab w:val="left" w:pos="993"/>
          <w:tab w:val="left" w:pos="1276"/>
          <w:tab w:val="left" w:pos="1701"/>
          <w:tab w:val="left" w:pos="1843"/>
        </w:tabs>
        <w:spacing w:line="440" w:lineRule="exact"/>
        <w:ind w:left="386" w:leftChars="193" w:firstLine="240" w:firstLineChars="100"/>
        <w:rPr>
          <w:rFonts w:hint="eastAsia" w:ascii="宋体" w:hAnsi="宋体" w:eastAsia="宋体" w:cs="宋体"/>
          <w:sz w:val="24"/>
          <w:szCs w:val="24"/>
          <w:highlight w:val="none"/>
          <w:lang w:eastAsia="zh-CN"/>
        </w:rPr>
      </w:pPr>
      <w:r>
        <w:rPr>
          <w:rFonts w:hint="eastAsia" w:ascii="宋体" w:hAnsi="宋体" w:cs="宋体"/>
          <w:sz w:val="24"/>
          <w:szCs w:val="24"/>
          <w:highlight w:val="none"/>
        </w:rPr>
        <w:t>5.5.</w:t>
      </w:r>
      <w:r>
        <w:rPr>
          <w:rFonts w:hint="eastAsia" w:ascii="宋体" w:hAnsi="宋体" w:cs="宋体"/>
          <w:sz w:val="24"/>
          <w:szCs w:val="24"/>
          <w:highlight w:val="none"/>
          <w:lang w:eastAsia="zh-CN"/>
        </w:rPr>
        <w:t>服务要求：符合国家及行业标准，满足采购人采购需求；</w:t>
      </w:r>
    </w:p>
    <w:p w14:paraId="7D1C7E10">
      <w:pPr>
        <w:tabs>
          <w:tab w:val="left" w:pos="142"/>
          <w:tab w:val="left" w:pos="993"/>
          <w:tab w:val="left" w:pos="1276"/>
          <w:tab w:val="left" w:pos="1701"/>
          <w:tab w:val="left" w:pos="1843"/>
        </w:tabs>
        <w:spacing w:line="440" w:lineRule="exact"/>
        <w:ind w:left="386" w:leftChars="193" w:firstLine="240" w:firstLineChars="100"/>
        <w:rPr>
          <w:rFonts w:hint="eastAsia" w:ascii="宋体" w:hAnsi="宋体" w:cs="宋体"/>
          <w:sz w:val="24"/>
          <w:szCs w:val="24"/>
          <w:highlight w:val="none"/>
          <w:lang w:eastAsia="zh-CN"/>
        </w:rPr>
      </w:pPr>
      <w:r>
        <w:rPr>
          <w:rFonts w:hint="eastAsia" w:ascii="宋体" w:hAnsi="宋体" w:cs="宋体"/>
          <w:sz w:val="24"/>
          <w:szCs w:val="24"/>
          <w:highlight w:val="none"/>
        </w:rPr>
        <w:t>5.6.标段划分：本项目不划分标段</w:t>
      </w:r>
      <w:r>
        <w:rPr>
          <w:rFonts w:hint="eastAsia" w:ascii="宋体" w:hAnsi="宋体" w:cs="宋体"/>
          <w:sz w:val="24"/>
          <w:szCs w:val="24"/>
          <w:highlight w:val="none"/>
          <w:lang w:eastAsia="zh-CN"/>
        </w:rPr>
        <w:t>；</w:t>
      </w:r>
    </w:p>
    <w:p w14:paraId="491D3408">
      <w:pPr>
        <w:tabs>
          <w:tab w:val="left" w:pos="142"/>
          <w:tab w:val="left" w:pos="993"/>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6、合同履行期限：同服务期限</w:t>
      </w:r>
      <w:r>
        <w:rPr>
          <w:rFonts w:hint="eastAsia" w:ascii="宋体" w:hAnsi="宋体" w:cs="宋体"/>
          <w:sz w:val="24"/>
          <w:szCs w:val="24"/>
          <w:highlight w:val="none"/>
          <w:lang w:eastAsia="zh-CN"/>
        </w:rPr>
        <w:t>；</w:t>
      </w:r>
    </w:p>
    <w:p w14:paraId="0061F971">
      <w:pPr>
        <w:tabs>
          <w:tab w:val="left" w:pos="142"/>
          <w:tab w:val="left" w:pos="993"/>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7、</w:t>
      </w:r>
      <w:r>
        <w:rPr>
          <w:rFonts w:ascii="宋体" w:hAnsi="宋体" w:cs="宋体"/>
          <w:sz w:val="24"/>
          <w:szCs w:val="24"/>
          <w:highlight w:val="none"/>
        </w:rPr>
        <w:t>本项目是否接受联合体：否</w:t>
      </w:r>
      <w:r>
        <w:rPr>
          <w:rFonts w:hint="eastAsia" w:ascii="宋体" w:hAnsi="宋体" w:cs="宋体"/>
          <w:sz w:val="24"/>
          <w:szCs w:val="24"/>
          <w:highlight w:val="none"/>
          <w:lang w:eastAsia="zh-CN"/>
        </w:rPr>
        <w:t>；</w:t>
      </w:r>
    </w:p>
    <w:p w14:paraId="49AB120E">
      <w:pPr>
        <w:tabs>
          <w:tab w:val="left" w:pos="142"/>
          <w:tab w:val="left" w:pos="993"/>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8、</w:t>
      </w:r>
      <w:r>
        <w:rPr>
          <w:rFonts w:ascii="宋体" w:hAnsi="宋体" w:cs="宋体"/>
          <w:sz w:val="24"/>
          <w:szCs w:val="24"/>
          <w:highlight w:val="none"/>
        </w:rPr>
        <w:t>是否接受进口产品：否</w:t>
      </w:r>
      <w:r>
        <w:rPr>
          <w:rFonts w:hint="eastAsia" w:ascii="宋体" w:hAnsi="宋体" w:cs="宋体"/>
          <w:sz w:val="24"/>
          <w:szCs w:val="24"/>
          <w:highlight w:val="none"/>
          <w:lang w:eastAsia="zh-CN"/>
        </w:rPr>
        <w:t>；</w:t>
      </w:r>
    </w:p>
    <w:p w14:paraId="42E09128">
      <w:pPr>
        <w:tabs>
          <w:tab w:val="left" w:pos="142"/>
          <w:tab w:val="left" w:pos="993"/>
        </w:tabs>
        <w:spacing w:line="440" w:lineRule="exact"/>
        <w:ind w:firstLine="463" w:firstLineChars="193"/>
        <w:rPr>
          <w:rFonts w:hint="eastAsia" w:ascii="宋体" w:hAnsi="宋体" w:eastAsia="宋体" w:cs="宋体"/>
          <w:sz w:val="24"/>
          <w:szCs w:val="24"/>
          <w:highlight w:val="none"/>
          <w:lang w:eastAsia="zh-CN"/>
        </w:rPr>
      </w:pPr>
      <w:r>
        <w:rPr>
          <w:rFonts w:hint="eastAsia" w:ascii="宋体" w:hAnsi="宋体" w:cs="宋体"/>
          <w:sz w:val="24"/>
          <w:szCs w:val="24"/>
          <w:highlight w:val="none"/>
        </w:rPr>
        <w:t>9、是否</w:t>
      </w:r>
      <w:r>
        <w:rPr>
          <w:rFonts w:ascii="宋体" w:hAnsi="宋体" w:cs="宋体"/>
          <w:sz w:val="24"/>
          <w:szCs w:val="24"/>
          <w:highlight w:val="none"/>
        </w:rPr>
        <w:t>专门面向中小企业</w:t>
      </w:r>
      <w:r>
        <w:rPr>
          <w:rFonts w:hint="eastAsia" w:ascii="宋体" w:hAnsi="宋体" w:cs="宋体"/>
          <w:sz w:val="24"/>
          <w:szCs w:val="24"/>
          <w:highlight w:val="none"/>
        </w:rPr>
        <w:t>：否</w:t>
      </w:r>
      <w:r>
        <w:rPr>
          <w:rFonts w:hint="eastAsia" w:ascii="宋体" w:hAnsi="宋体" w:cs="宋体"/>
          <w:sz w:val="24"/>
          <w:szCs w:val="24"/>
          <w:highlight w:val="none"/>
          <w:lang w:eastAsia="zh-CN"/>
        </w:rPr>
        <w:t>。</w:t>
      </w:r>
    </w:p>
    <w:p w14:paraId="3C2D8D3D">
      <w:pPr>
        <w:spacing w:line="4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二、申请人资格要求</w:t>
      </w:r>
    </w:p>
    <w:p w14:paraId="3A90319B">
      <w:pPr>
        <w:spacing w:line="360" w:lineRule="auto"/>
        <w:ind w:firstLine="484" w:firstLineChars="202"/>
        <w:rPr>
          <w:rFonts w:hint="eastAsia" w:ascii="宋体" w:hAnsi="宋体"/>
          <w:sz w:val="24"/>
          <w:szCs w:val="24"/>
          <w:highlight w:val="none"/>
        </w:rPr>
      </w:pPr>
      <w:r>
        <w:rPr>
          <w:rFonts w:hint="eastAsia" w:ascii="宋体" w:hAnsi="宋体"/>
          <w:sz w:val="24"/>
          <w:szCs w:val="24"/>
          <w:highlight w:val="none"/>
        </w:rPr>
        <w:t>1、满足《中华人民共和国政府采购法》第二十二条规定；</w:t>
      </w:r>
    </w:p>
    <w:p w14:paraId="48CBD5FC">
      <w:pPr>
        <w:spacing w:line="360" w:lineRule="auto"/>
        <w:ind w:firstLine="484" w:firstLineChars="202"/>
        <w:rPr>
          <w:rFonts w:hint="eastAsia" w:ascii="宋体" w:hAnsi="宋体"/>
          <w:sz w:val="24"/>
          <w:szCs w:val="24"/>
          <w:highlight w:val="none"/>
        </w:rPr>
      </w:pPr>
      <w:r>
        <w:rPr>
          <w:rFonts w:hint="eastAsia" w:ascii="宋体" w:hAnsi="宋体"/>
          <w:sz w:val="24"/>
          <w:szCs w:val="24"/>
          <w:highlight w:val="none"/>
        </w:rPr>
        <w:t>2、落实政府采购政策满足的资格要求：支持中小企业、监狱企业、残疾人福利性单位视同小型、微型企业。</w:t>
      </w:r>
    </w:p>
    <w:p w14:paraId="4EDCF3BF">
      <w:pPr>
        <w:spacing w:line="360" w:lineRule="auto"/>
        <w:ind w:firstLine="484" w:firstLineChars="202"/>
        <w:rPr>
          <w:rFonts w:hint="eastAsia" w:ascii="宋体" w:hAnsi="宋体"/>
          <w:sz w:val="24"/>
          <w:szCs w:val="24"/>
          <w:highlight w:val="none"/>
        </w:rPr>
      </w:pPr>
      <w:r>
        <w:rPr>
          <w:rFonts w:hint="eastAsia" w:ascii="宋体" w:hAnsi="宋体"/>
          <w:sz w:val="24"/>
          <w:szCs w:val="24"/>
          <w:highlight w:val="none"/>
        </w:rPr>
        <w:t xml:space="preserve">3、本项目的特定资格要求 </w:t>
      </w:r>
    </w:p>
    <w:p w14:paraId="2705E106">
      <w:pPr>
        <w:pStyle w:val="15"/>
        <w:spacing w:before="0" w:beforeAutospacing="0" w:after="0" w:afterAutospacing="0" w:line="360" w:lineRule="auto"/>
        <w:ind w:firstLine="480" w:firstLineChars="200"/>
        <w:rPr>
          <w:rFonts w:hint="eastAsia" w:eastAsia="宋体"/>
          <w:bCs/>
          <w:szCs w:val="24"/>
          <w:highlight w:val="none"/>
          <w:lang w:eastAsia="zh-CN"/>
        </w:rPr>
      </w:pPr>
      <w:r>
        <w:rPr>
          <w:rFonts w:hint="eastAsia"/>
          <w:bCs/>
          <w:szCs w:val="24"/>
          <w:highlight w:val="none"/>
        </w:rPr>
        <w:t>3.1供应商具有独立承担民事责任的能力，持有有效的营业执照或事业单位法人证书</w:t>
      </w:r>
      <w:r>
        <w:rPr>
          <w:rFonts w:hint="eastAsia"/>
          <w:bCs/>
          <w:szCs w:val="24"/>
          <w:highlight w:val="none"/>
          <w:lang w:eastAsia="zh-CN"/>
        </w:rPr>
        <w:t>；</w:t>
      </w:r>
    </w:p>
    <w:p w14:paraId="02800EBF">
      <w:pPr>
        <w:pStyle w:val="15"/>
        <w:spacing w:before="0" w:beforeAutospacing="0" w:after="0" w:afterAutospacing="0" w:line="360" w:lineRule="auto"/>
        <w:ind w:firstLine="480" w:firstLineChars="200"/>
        <w:rPr>
          <w:rFonts w:hint="eastAsia"/>
          <w:bCs/>
          <w:szCs w:val="24"/>
          <w:highlight w:val="none"/>
        </w:rPr>
      </w:pPr>
      <w:r>
        <w:rPr>
          <w:rFonts w:hint="eastAsia"/>
          <w:bCs/>
          <w:szCs w:val="24"/>
          <w:highlight w:val="none"/>
        </w:rPr>
        <w:t>3.</w:t>
      </w:r>
      <w:r>
        <w:rPr>
          <w:rFonts w:hint="eastAsia"/>
          <w:bCs/>
          <w:szCs w:val="24"/>
          <w:highlight w:val="none"/>
          <w:lang w:val="en-US" w:eastAsia="zh-CN"/>
        </w:rPr>
        <w:t>2供应商单位负责人为同一人或者存在直接控股、管理关系的不同供应商，不得参加同一合同项下的采购活动（提供“国家企业信用信息公示系统”网页查询或出具承诺书，查询截图需包含公司基本信息、股东信息及股权变更信息内容，查询时间自公告发布之日起至投标截止时间）</w:t>
      </w:r>
      <w:r>
        <w:rPr>
          <w:bCs/>
          <w:szCs w:val="24"/>
          <w:highlight w:val="none"/>
        </w:rPr>
        <w:t>；</w:t>
      </w:r>
    </w:p>
    <w:p w14:paraId="05C25C47">
      <w:pPr>
        <w:pStyle w:val="15"/>
        <w:spacing w:before="0" w:beforeAutospacing="0" w:after="0" w:afterAutospacing="0" w:line="360" w:lineRule="auto"/>
        <w:ind w:firstLine="480" w:firstLineChars="200"/>
        <w:rPr>
          <w:rFonts w:hint="default" w:eastAsia="宋体"/>
          <w:bCs/>
          <w:szCs w:val="24"/>
          <w:highlight w:val="none"/>
          <w:lang w:val="en-US" w:eastAsia="zh-CN"/>
        </w:rPr>
      </w:pPr>
      <w:r>
        <w:rPr>
          <w:rFonts w:hint="eastAsia"/>
          <w:bCs/>
          <w:szCs w:val="24"/>
          <w:highlight w:val="none"/>
        </w:rPr>
        <w:t>3.</w:t>
      </w:r>
      <w:r>
        <w:rPr>
          <w:rFonts w:hint="eastAsia"/>
          <w:bCs/>
          <w:szCs w:val="24"/>
          <w:highlight w:val="none"/>
          <w:lang w:val="en-US" w:eastAsia="zh-CN"/>
        </w:rPr>
        <w:t>3</w:t>
      </w:r>
      <w:r>
        <w:rPr>
          <w:rFonts w:hint="eastAsia"/>
          <w:bCs/>
          <w:szCs w:val="24"/>
          <w:highlight w:val="none"/>
        </w:rPr>
        <w:t>供应商需提供本企业的无商业贿赂及不正当竞争行为的承诺书</w:t>
      </w:r>
      <w:r>
        <w:rPr>
          <w:rFonts w:hint="eastAsia"/>
          <w:bCs/>
          <w:szCs w:val="24"/>
          <w:highlight w:val="none"/>
          <w:lang w:eastAsia="zh-CN"/>
        </w:rPr>
        <w:t>；</w:t>
      </w:r>
    </w:p>
    <w:p w14:paraId="1291A4C2">
      <w:pPr>
        <w:pStyle w:val="15"/>
        <w:spacing w:before="0" w:beforeAutospacing="0" w:after="0" w:afterAutospacing="0" w:line="360" w:lineRule="auto"/>
        <w:ind w:firstLine="480" w:firstLineChars="200"/>
        <w:rPr>
          <w:rFonts w:hint="default" w:eastAsia="宋体"/>
          <w:bCs/>
          <w:szCs w:val="24"/>
          <w:highlight w:val="none"/>
          <w:lang w:val="en-US" w:eastAsia="zh-CN"/>
        </w:rPr>
      </w:pPr>
      <w:r>
        <w:rPr>
          <w:rFonts w:hint="eastAsia"/>
          <w:bCs/>
          <w:szCs w:val="24"/>
          <w:highlight w:val="none"/>
        </w:rPr>
        <w:t>3.</w:t>
      </w:r>
      <w:r>
        <w:rPr>
          <w:rFonts w:hint="eastAsia"/>
          <w:bCs/>
          <w:szCs w:val="24"/>
          <w:highlight w:val="none"/>
          <w:lang w:val="en-US" w:eastAsia="zh-CN"/>
        </w:rPr>
        <w:t>4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cs="Times New Roman"/>
          <w:sz w:val="24"/>
          <w:lang w:val="en-US" w:eastAsia="zh-CN"/>
        </w:rPr>
        <w:t>（相关网站有最新规定的，按最新规定执行）；</w:t>
      </w:r>
    </w:p>
    <w:p w14:paraId="786A6A29">
      <w:pPr>
        <w:pStyle w:val="15"/>
        <w:spacing w:before="0" w:beforeAutospacing="0" w:after="0" w:afterAutospacing="0" w:line="360" w:lineRule="auto"/>
        <w:ind w:firstLine="480" w:firstLineChars="200"/>
        <w:rPr>
          <w:rFonts w:hint="eastAsia"/>
          <w:szCs w:val="24"/>
          <w:highlight w:val="none"/>
        </w:rPr>
      </w:pPr>
      <w:r>
        <w:rPr>
          <w:rFonts w:hint="eastAsia"/>
          <w:szCs w:val="24"/>
          <w:highlight w:val="none"/>
        </w:rPr>
        <w:t>3.</w:t>
      </w:r>
      <w:r>
        <w:rPr>
          <w:rFonts w:hint="eastAsia"/>
          <w:szCs w:val="24"/>
          <w:highlight w:val="none"/>
          <w:lang w:val="en-US" w:eastAsia="zh-CN"/>
        </w:rPr>
        <w:t>5</w:t>
      </w:r>
      <w:r>
        <w:rPr>
          <w:szCs w:val="24"/>
          <w:highlight w:val="none"/>
        </w:rPr>
        <w:t>本项目不接受联合体投标</w:t>
      </w:r>
      <w:r>
        <w:rPr>
          <w:rFonts w:hint="eastAsia"/>
          <w:szCs w:val="24"/>
          <w:highlight w:val="none"/>
        </w:rPr>
        <w:t>（提供承诺书）</w:t>
      </w:r>
      <w:r>
        <w:rPr>
          <w:szCs w:val="24"/>
          <w:highlight w:val="none"/>
        </w:rPr>
        <w:t>；</w:t>
      </w:r>
    </w:p>
    <w:p w14:paraId="2577AF57">
      <w:pPr>
        <w:pStyle w:val="15"/>
        <w:spacing w:before="0" w:beforeAutospacing="0" w:after="0" w:afterAutospacing="0" w:line="360" w:lineRule="auto"/>
        <w:ind w:firstLine="480" w:firstLineChars="200"/>
        <w:rPr>
          <w:rFonts w:hint="eastAsia"/>
          <w:szCs w:val="24"/>
          <w:highlight w:val="none"/>
        </w:rPr>
      </w:pPr>
      <w:r>
        <w:rPr>
          <w:rFonts w:hint="eastAsia"/>
          <w:szCs w:val="24"/>
          <w:highlight w:val="none"/>
        </w:rPr>
        <w:t>3.</w:t>
      </w:r>
      <w:r>
        <w:rPr>
          <w:rFonts w:hint="eastAsia"/>
          <w:szCs w:val="24"/>
          <w:highlight w:val="none"/>
          <w:lang w:val="en-US" w:eastAsia="zh-CN"/>
        </w:rPr>
        <w:t>6</w:t>
      </w:r>
      <w:r>
        <w:rPr>
          <w:szCs w:val="24"/>
          <w:highlight w:val="none"/>
        </w:rPr>
        <w:t>本次招标实行资格后审，资格审查的具体要求见招标文件</w:t>
      </w:r>
      <w:r>
        <w:rPr>
          <w:rFonts w:hint="eastAsia"/>
          <w:szCs w:val="24"/>
          <w:highlight w:val="none"/>
        </w:rPr>
        <w:t>。</w:t>
      </w:r>
    </w:p>
    <w:p w14:paraId="7B8E6D9A">
      <w:pPr>
        <w:numPr>
          <w:ilvl w:val="0"/>
          <w:numId w:val="0"/>
        </w:numPr>
        <w:spacing w:line="440" w:lineRule="exact"/>
        <w:ind w:firstLine="482" w:firstLineChars="200"/>
        <w:rPr>
          <w:rFonts w:hint="eastAsia" w:ascii="宋体" w:hAnsi="宋体" w:cs="宋体"/>
          <w:b/>
          <w:sz w:val="24"/>
          <w:szCs w:val="24"/>
          <w:highlight w:val="none"/>
        </w:rPr>
      </w:pPr>
      <w:r>
        <w:rPr>
          <w:rFonts w:hint="eastAsia" w:ascii="宋体" w:hAnsi="宋体" w:eastAsia="宋体" w:cs="宋体"/>
          <w:b/>
          <w:sz w:val="24"/>
          <w:szCs w:val="24"/>
          <w:lang w:val="en-US" w:eastAsia="zh-CN" w:bidi="ar-SA"/>
        </w:rPr>
        <w:t>三、</w:t>
      </w:r>
      <w:r>
        <w:rPr>
          <w:rFonts w:hint="eastAsia" w:ascii="宋体" w:hAnsi="宋体" w:cs="宋体"/>
          <w:b/>
          <w:sz w:val="24"/>
          <w:szCs w:val="24"/>
          <w:highlight w:val="none"/>
        </w:rPr>
        <w:t>获取采购文件</w:t>
      </w:r>
    </w:p>
    <w:p w14:paraId="220F9459">
      <w:pPr>
        <w:spacing w:line="360" w:lineRule="auto"/>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1</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时间：</w:t>
      </w:r>
      <w:r>
        <w:rPr>
          <w:rFonts w:hint="eastAsia" w:ascii="宋体" w:hAnsi="宋体" w:cs="宋体"/>
          <w:sz w:val="24"/>
          <w:szCs w:val="24"/>
          <w:highlight w:val="none"/>
          <w:lang w:eastAsia="zh-CN" w:bidi="ar"/>
        </w:rPr>
        <w:t>2026年04月</w:t>
      </w:r>
      <w:r>
        <w:rPr>
          <w:rFonts w:hint="eastAsia" w:ascii="宋体" w:hAnsi="宋体" w:cs="宋体"/>
          <w:sz w:val="24"/>
          <w:szCs w:val="24"/>
          <w:highlight w:val="none"/>
          <w:lang w:val="en-US" w:eastAsia="zh-CN" w:bidi="ar"/>
        </w:rPr>
        <w:t>09</w:t>
      </w:r>
      <w:r>
        <w:rPr>
          <w:rFonts w:hint="eastAsia" w:ascii="宋体" w:hAnsi="宋体" w:cs="宋体"/>
          <w:sz w:val="24"/>
          <w:szCs w:val="24"/>
          <w:highlight w:val="none"/>
          <w:lang w:eastAsia="zh-CN" w:bidi="ar"/>
        </w:rPr>
        <w:t>日至 2026年04月20日</w:t>
      </w:r>
      <w:r>
        <w:rPr>
          <w:rFonts w:hint="eastAsia" w:ascii="宋体" w:hAnsi="宋体" w:cs="宋体"/>
          <w:sz w:val="24"/>
          <w:szCs w:val="24"/>
          <w:highlight w:val="none"/>
          <w:lang w:bidi="ar"/>
        </w:rPr>
        <w:t>，每天上午00:00至12:00，下午12:00至23:59（北京时间，法定节假日除外。）</w:t>
      </w:r>
    </w:p>
    <w:p w14:paraId="4ABAE748">
      <w:pPr>
        <w:spacing w:line="360" w:lineRule="auto"/>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2</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地点：三门峡市公共资源交易中心网（网 址：</w:t>
      </w:r>
      <w:r>
        <w:rPr>
          <w:highlight w:val="none"/>
        </w:rPr>
        <w:fldChar w:fldCharType="begin"/>
      </w:r>
      <w:r>
        <w:rPr>
          <w:highlight w:val="none"/>
        </w:rPr>
        <w:instrText xml:space="preserve"> HYPERLINK "http://gzjy.smx.gov.cn/）" </w:instrText>
      </w:r>
      <w:r>
        <w:rPr>
          <w:highlight w:val="none"/>
        </w:rPr>
        <w:fldChar w:fldCharType="separate"/>
      </w:r>
      <w:r>
        <w:rPr>
          <w:rFonts w:hint="eastAsia" w:ascii="宋体" w:hAnsi="宋体" w:cs="宋体"/>
          <w:sz w:val="24"/>
          <w:szCs w:val="24"/>
          <w:highlight w:val="none"/>
          <w:lang w:bidi="ar"/>
        </w:rPr>
        <w:t>http://gzjy.smx.gov.cn/）</w:t>
      </w:r>
      <w:r>
        <w:rPr>
          <w:rFonts w:hint="eastAsia" w:ascii="宋体" w:hAnsi="宋体" w:cs="宋体"/>
          <w:sz w:val="24"/>
          <w:szCs w:val="24"/>
          <w:highlight w:val="none"/>
          <w:lang w:bidi="ar"/>
        </w:rPr>
        <w:fldChar w:fldCharType="end"/>
      </w:r>
    </w:p>
    <w:p w14:paraId="7F47A3E6">
      <w:pPr>
        <w:spacing w:line="360" w:lineRule="auto"/>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3</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方式：本项目没有报名环节，供应商凭CA数字证书通过三门峡市公共资源交易中心网（网 址：http://gzjy.smx.gov.cn/），点击交易平台选择“交易主体登录”，在所参与项目右侧点击参与投标，即可直接下载本项目磋商文件。</w:t>
      </w:r>
      <w:r>
        <w:rPr>
          <w:rFonts w:hint="eastAsia" w:ascii="宋体" w:hAnsi="宋体" w:cs="宋体"/>
          <w:sz w:val="24"/>
          <w:szCs w:val="24"/>
          <w:highlight w:val="none"/>
          <w:lang w:bidi="ar"/>
        </w:rPr>
        <w:br w:type="textWrapping"/>
      </w:r>
      <w:r>
        <w:rPr>
          <w:rFonts w:hint="eastAsia" w:ascii="宋体" w:hAnsi="宋体" w:cs="宋体"/>
          <w:sz w:val="24"/>
          <w:szCs w:val="24"/>
          <w:highlight w:val="none"/>
          <w:lang w:val="en-US" w:eastAsia="zh-CN" w:bidi="ar"/>
        </w:rPr>
        <w:t xml:space="preserve">  </w:t>
      </w:r>
      <w:r>
        <w:rPr>
          <w:rFonts w:hint="eastAsia" w:ascii="宋体" w:hAnsi="宋体" w:cs="宋体"/>
          <w:sz w:val="24"/>
          <w:szCs w:val="24"/>
          <w:highlight w:val="none"/>
          <w:lang w:bidi="ar"/>
        </w:rPr>
        <w:t>办理CA证书：</w:t>
      </w:r>
      <w:r>
        <w:rPr>
          <w:rFonts w:hint="eastAsia" w:ascii="宋体" w:hAnsi="宋体" w:cs="宋体"/>
          <w:sz w:val="24"/>
          <w:szCs w:val="24"/>
          <w:highlight w:val="none"/>
          <w:lang w:bidi="ar"/>
        </w:rPr>
        <w:br w:type="textWrapping"/>
      </w:r>
      <w:r>
        <w:rPr>
          <w:highlight w:val="none"/>
        </w:rPr>
        <w:fldChar w:fldCharType="begin"/>
      </w:r>
      <w:r>
        <w:rPr>
          <w:highlight w:val="none"/>
        </w:rPr>
        <w:instrText xml:space="preserve"> HYPERLINK "http://gzjy.smx.gov.cn/bzzx/008001/20211105/57b16af9-ab87-4395-a723-7758c628a3f8.html" </w:instrText>
      </w:r>
      <w:r>
        <w:rPr>
          <w:highlight w:val="none"/>
        </w:rPr>
        <w:fldChar w:fldCharType="separate"/>
      </w:r>
      <w:r>
        <w:rPr>
          <w:rFonts w:hint="eastAsia" w:ascii="宋体" w:hAnsi="宋体" w:cs="宋体"/>
          <w:sz w:val="24"/>
          <w:szCs w:val="24"/>
          <w:highlight w:val="none"/>
        </w:rPr>
        <w:t>http://gzjy.smx.gov.cn/bzzx/008001/20211105/57b16af9-ab87-4395-a723-7758c628a3f8.html</w:t>
      </w:r>
      <w:r>
        <w:rPr>
          <w:rFonts w:hint="eastAsia" w:ascii="宋体" w:hAnsi="宋体" w:cs="宋体"/>
          <w:sz w:val="24"/>
          <w:szCs w:val="24"/>
          <w:highlight w:val="none"/>
        </w:rPr>
        <w:fldChar w:fldCharType="end"/>
      </w:r>
    </w:p>
    <w:p w14:paraId="7A679A39">
      <w:pPr>
        <w:spacing w:line="360" w:lineRule="auto"/>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4</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售价：0元</w:t>
      </w:r>
    </w:p>
    <w:p w14:paraId="73947DA8">
      <w:pPr>
        <w:spacing w:line="440" w:lineRule="exact"/>
        <w:ind w:firstLine="482" w:firstLineChars="200"/>
        <w:rPr>
          <w:rFonts w:hint="default" w:ascii="宋体" w:hAnsi="宋体" w:eastAsia="宋体" w:cs="宋体"/>
          <w:b/>
          <w:sz w:val="24"/>
          <w:szCs w:val="24"/>
          <w:highlight w:val="none"/>
          <w:lang w:val="en-US" w:eastAsia="zh-CN"/>
        </w:rPr>
      </w:pPr>
      <w:r>
        <w:rPr>
          <w:rFonts w:hint="eastAsia" w:ascii="宋体" w:hAnsi="宋体" w:cs="宋体"/>
          <w:b/>
          <w:sz w:val="24"/>
          <w:szCs w:val="24"/>
          <w:highlight w:val="none"/>
        </w:rPr>
        <w:t>四、响应文件提交</w:t>
      </w:r>
    </w:p>
    <w:p w14:paraId="22A5871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、截止</w:t>
      </w:r>
      <w:r>
        <w:rPr>
          <w:rFonts w:hint="eastAsia" w:ascii="宋体" w:hAnsi="宋体" w:cs="宋体"/>
          <w:sz w:val="24"/>
          <w:szCs w:val="24"/>
          <w:highlight w:val="none"/>
        </w:rPr>
        <w:t>时间：202</w:t>
      </w:r>
      <w:r>
        <w:rPr>
          <w:rFonts w:hint="eastAsia" w:ascii="宋体" w:hAnsi="宋体" w:cs="宋体"/>
          <w:sz w:val="24"/>
          <w:szCs w:val="24"/>
          <w:highlight w:val="none"/>
          <w:lang w:val="en-US" w:eastAsia="zh-CN"/>
        </w:rPr>
        <w:t>6</w:t>
      </w:r>
      <w:r>
        <w:rPr>
          <w:rFonts w:hint="eastAsia" w:ascii="宋体" w:hAnsi="宋体" w:cs="宋体"/>
          <w:sz w:val="24"/>
          <w:szCs w:val="24"/>
          <w:highlight w:val="none"/>
        </w:rPr>
        <w:t>年</w:t>
      </w:r>
      <w:r>
        <w:rPr>
          <w:rFonts w:hint="eastAsia" w:ascii="宋体" w:hAnsi="宋体" w:cs="宋体"/>
          <w:sz w:val="24"/>
          <w:szCs w:val="24"/>
          <w:highlight w:val="none"/>
          <w:lang w:val="en-US" w:eastAsia="zh-CN"/>
        </w:rPr>
        <w:t>04月21日08时30分</w:t>
      </w:r>
      <w:r>
        <w:rPr>
          <w:rFonts w:hint="eastAsia" w:ascii="宋体" w:hAnsi="宋体" w:cs="宋体"/>
          <w:sz w:val="24"/>
          <w:szCs w:val="24"/>
          <w:highlight w:val="none"/>
        </w:rPr>
        <w:t>（北京时间）</w:t>
      </w:r>
    </w:p>
    <w:p w14:paraId="433CA7AB">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eastAsia="zh-CN"/>
        </w:rPr>
        <w:t>、</w:t>
      </w:r>
      <w:r>
        <w:rPr>
          <w:rFonts w:hint="eastAsia" w:ascii="宋体" w:hAnsi="宋体" w:cs="宋体"/>
          <w:sz w:val="24"/>
          <w:szCs w:val="24"/>
          <w:highlight w:val="none"/>
        </w:rPr>
        <w:t>地点：三门峡市公共资源交易中心电子交易平台加密上传</w:t>
      </w:r>
    </w:p>
    <w:p w14:paraId="08F91FF2">
      <w:pPr>
        <w:spacing w:line="4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五、响应文件开启</w:t>
      </w:r>
    </w:p>
    <w:p w14:paraId="584B2BB4">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1</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时间：202</w:t>
      </w:r>
      <w:r>
        <w:rPr>
          <w:rFonts w:hint="eastAsia" w:ascii="宋体" w:hAnsi="宋体" w:cs="宋体"/>
          <w:sz w:val="24"/>
          <w:szCs w:val="24"/>
          <w:highlight w:val="none"/>
          <w:lang w:val="en-US" w:eastAsia="zh-CN" w:bidi="ar"/>
        </w:rPr>
        <w:t>6</w:t>
      </w:r>
      <w:r>
        <w:rPr>
          <w:rFonts w:hint="eastAsia" w:ascii="宋体" w:hAnsi="宋体" w:cs="宋体"/>
          <w:sz w:val="24"/>
          <w:szCs w:val="24"/>
          <w:highlight w:val="none"/>
          <w:lang w:bidi="ar"/>
        </w:rPr>
        <w:t>年</w:t>
      </w:r>
      <w:r>
        <w:rPr>
          <w:rFonts w:hint="eastAsia" w:ascii="宋体" w:hAnsi="宋体" w:cs="宋体"/>
          <w:sz w:val="24"/>
          <w:szCs w:val="24"/>
          <w:highlight w:val="none"/>
          <w:lang w:val="en-US" w:eastAsia="zh-CN" w:bidi="ar"/>
        </w:rPr>
        <w:t>04月21日08时30分</w:t>
      </w:r>
      <w:r>
        <w:rPr>
          <w:rFonts w:hint="eastAsia" w:ascii="宋体" w:hAnsi="宋体" w:cs="宋体"/>
          <w:sz w:val="24"/>
          <w:szCs w:val="24"/>
          <w:highlight w:val="none"/>
          <w:lang w:bidi="ar"/>
        </w:rPr>
        <w:t>（北京时间）</w:t>
      </w:r>
    </w:p>
    <w:p w14:paraId="56D87959">
      <w:pPr>
        <w:spacing w:line="440" w:lineRule="exact"/>
        <w:ind w:firstLine="480" w:firstLineChars="200"/>
        <w:rPr>
          <w:rFonts w:hint="eastAsia" w:ascii="宋体" w:hAnsi="宋体" w:cs="宋体"/>
          <w:b/>
          <w:sz w:val="24"/>
          <w:szCs w:val="24"/>
          <w:highlight w:val="none"/>
        </w:rPr>
      </w:pPr>
      <w:r>
        <w:rPr>
          <w:rFonts w:hint="eastAsia" w:ascii="宋体" w:hAnsi="宋体" w:cs="宋体"/>
          <w:sz w:val="24"/>
          <w:szCs w:val="24"/>
          <w:highlight w:val="none"/>
          <w:lang w:bidi="ar"/>
        </w:rPr>
        <w:t>2</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地点：</w:t>
      </w:r>
      <w:r>
        <w:rPr>
          <w:rFonts w:hint="eastAsia" w:ascii="宋体" w:hAnsi="宋体" w:cs="宋体"/>
          <w:sz w:val="24"/>
          <w:szCs w:val="24"/>
          <w:highlight w:val="none"/>
        </w:rPr>
        <w:t>三门峡市公共资源交易中心五楼开标区</w:t>
      </w:r>
    </w:p>
    <w:p w14:paraId="49B426D2">
      <w:pPr>
        <w:spacing w:line="4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六、发布公告的媒介及招标公告期限</w:t>
      </w:r>
    </w:p>
    <w:p w14:paraId="1F4217D0">
      <w:pPr>
        <w:spacing w:line="440" w:lineRule="exact"/>
        <w:ind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bidi="ar"/>
        </w:rPr>
        <w:t>本次招标公告在《</w:t>
      </w:r>
      <w:r>
        <w:rPr>
          <w:rFonts w:hint="eastAsia" w:ascii="宋体" w:hAnsi="宋体" w:cs="宋体"/>
          <w:kern w:val="2"/>
          <w:sz w:val="24"/>
          <w:szCs w:val="24"/>
          <w:highlight w:val="none"/>
        </w:rPr>
        <w:t>河南省政府采购网</w:t>
      </w:r>
      <w:r>
        <w:rPr>
          <w:rFonts w:hint="eastAsia" w:ascii="宋体" w:hAnsi="宋体" w:cs="宋体"/>
          <w:sz w:val="24"/>
          <w:szCs w:val="24"/>
          <w:highlight w:val="none"/>
          <w:lang w:bidi="ar"/>
        </w:rPr>
        <w:t>》、《中国招标投标公共服务平台》和《三门峡市公共资源交易中心网》上发布，招标公告期限为三个工作日。</w:t>
      </w:r>
    </w:p>
    <w:p w14:paraId="45985204">
      <w:pPr>
        <w:spacing w:line="4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七、其他补充事宜</w:t>
      </w:r>
    </w:p>
    <w:p w14:paraId="7F8F39EB">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本项目实行资格后审，根据优化营商环境的要求，评标时审查内容以响应文件为准：</w:t>
      </w:r>
    </w:p>
    <w:p w14:paraId="34ADDDBD">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1、资格评（预）审部分：资格评（预）以响应文件为准，其上传资料真实性由供应商自行承担。</w:t>
      </w:r>
    </w:p>
    <w:p w14:paraId="0D206EC2">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2、评标打分部分：评标打分部分仍按照100分制原则进行，涉及到资格审查、企业荣誉、人员业绩、企业业绩等计分部分时，以投标单位自行上传到响应文件中的相应内容为准。</w:t>
      </w:r>
    </w:p>
    <w:p w14:paraId="3045CCD0">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3、响应文件编制部分：在招标文件中要求供应商按照响应文件格式进行响应文件编制，在响应文件编制时，应明确将投标单位企业基本情况、资质情况、人员情况、财务情况、业绩情况编入响应文件，便于进行资格审查及评标打分以响应文件业绩信息为准，可使用电子营业执照或事业单位法人证。 </w:t>
      </w:r>
    </w:p>
    <w:p w14:paraId="00CF143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4、我单位（采购人）严格按三财购【2021】9号文要求的时限发布中标结果公告，发出中标通知书，签订采购合同，上传采购合同。</w:t>
      </w:r>
    </w:p>
    <w:p w14:paraId="234754D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5、磋商文件中涉及到资格审查、企业荣誉、人员业绩、企业业绩等计分部分，以投标单位自行上传到响应文件中的相应内容为准.</w:t>
      </w:r>
    </w:p>
    <w:p w14:paraId="028F04F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6、本项目可使用电子营业执照或事业单位法人证。</w:t>
      </w:r>
    </w:p>
    <w:p w14:paraId="43BF426D">
      <w:pPr>
        <w:wordWrap w:val="0"/>
        <w:spacing w:line="360" w:lineRule="auto"/>
        <w:ind w:firstLine="480" w:firstLineChars="200"/>
        <w:contextualSpacing/>
        <w:rPr>
          <w:rFonts w:hint="eastAsia" w:ascii="宋体" w:hAnsi="宋体" w:cs="宋体"/>
          <w:sz w:val="24"/>
          <w:szCs w:val="24"/>
          <w:highlight w:val="none"/>
          <w:lang w:bidi="ar"/>
        </w:rPr>
      </w:pPr>
      <w:r>
        <w:rPr>
          <w:rFonts w:hint="eastAsia" w:ascii="宋体" w:hAnsi="宋体" w:cs="宋体"/>
          <w:sz w:val="24"/>
          <w:szCs w:val="24"/>
          <w:highlight w:val="none"/>
        </w:rPr>
        <w:t>7、</w:t>
      </w:r>
      <w:r>
        <w:rPr>
          <w:rFonts w:hint="eastAsia" w:ascii="宋体" w:hAnsi="宋体" w:cs="宋体"/>
          <w:sz w:val="24"/>
          <w:szCs w:val="24"/>
          <w:highlight w:val="none"/>
          <w:lang w:bidi="ar"/>
        </w:rPr>
        <w:t>本项目为不见面开标项目，开标当日，供应商无需到开标现场参加开标会议，供应商应当在磋商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1B642FFF">
      <w:pPr>
        <w:spacing w:line="360" w:lineRule="auto"/>
        <w:ind w:firstLine="482" w:firstLineChars="200"/>
        <w:rPr>
          <w:rFonts w:hint="eastAsia" w:ascii="宋体" w:hAnsi="宋体" w:cs="宋体"/>
          <w:sz w:val="24"/>
          <w:szCs w:val="24"/>
          <w:highlight w:val="none"/>
        </w:rPr>
      </w:pPr>
      <w:r>
        <w:rPr>
          <w:rFonts w:hint="eastAsia" w:ascii="宋体" w:hAnsi="宋体" w:cs="宋体"/>
          <w:b/>
          <w:sz w:val="24"/>
          <w:szCs w:val="24"/>
          <w:highlight w:val="none"/>
        </w:rPr>
        <w:t>提示：本项目为电子化、无纸化交易项目，为保证您能投标成功，请需仔细阅读以上条款。</w:t>
      </w:r>
    </w:p>
    <w:p w14:paraId="6D921B02">
      <w:pPr>
        <w:spacing w:line="440" w:lineRule="exact"/>
        <w:ind w:firstLine="482" w:firstLineChars="200"/>
        <w:rPr>
          <w:rFonts w:hint="eastAsia" w:ascii="宋体" w:hAnsi="宋体" w:cs="宋体"/>
          <w:b/>
          <w:sz w:val="24"/>
          <w:szCs w:val="24"/>
          <w:highlight w:val="none"/>
        </w:rPr>
      </w:pPr>
      <w:r>
        <w:rPr>
          <w:rFonts w:hint="eastAsia" w:ascii="宋体" w:hAnsi="宋体" w:cs="宋体"/>
          <w:b/>
          <w:sz w:val="24"/>
          <w:szCs w:val="24"/>
          <w:highlight w:val="none"/>
        </w:rPr>
        <w:t>八、凡对本次招标提出询问，请按照以下方式联系</w:t>
      </w:r>
    </w:p>
    <w:p w14:paraId="1922FF9C">
      <w:pPr>
        <w:pStyle w:val="15"/>
        <w:spacing w:before="0" w:beforeAutospacing="0" w:after="0" w:afterAutospacing="0" w:line="360" w:lineRule="auto"/>
        <w:ind w:firstLine="480" w:firstLineChars="200"/>
        <w:jc w:val="both"/>
        <w:rPr>
          <w:rFonts w:hint="eastAsia"/>
          <w:szCs w:val="24"/>
          <w:highlight w:val="none"/>
        </w:rPr>
      </w:pPr>
      <w:r>
        <w:rPr>
          <w:rFonts w:hint="eastAsia"/>
          <w:szCs w:val="24"/>
          <w:highlight w:val="none"/>
        </w:rPr>
        <w:t>1</w:t>
      </w:r>
      <w:r>
        <w:rPr>
          <w:rFonts w:hint="eastAsia"/>
          <w:szCs w:val="24"/>
          <w:highlight w:val="none"/>
          <w:lang w:eastAsia="zh-CN"/>
        </w:rPr>
        <w:t>、</w:t>
      </w:r>
      <w:r>
        <w:rPr>
          <w:rFonts w:hint="eastAsia"/>
          <w:szCs w:val="24"/>
          <w:highlight w:val="none"/>
        </w:rPr>
        <w:t>采购人信息</w:t>
      </w:r>
    </w:p>
    <w:p w14:paraId="6EB4BC17">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名称：</w:t>
      </w:r>
      <w:r>
        <w:rPr>
          <w:rFonts w:hint="eastAsia"/>
          <w:szCs w:val="24"/>
          <w:highlight w:val="none"/>
          <w:lang w:eastAsia="zh-CN"/>
        </w:rPr>
        <w:t>河南省三门峡市中级人民法院</w:t>
      </w:r>
    </w:p>
    <w:p w14:paraId="26A0B5F1">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地址：</w:t>
      </w:r>
      <w:r>
        <w:rPr>
          <w:rFonts w:hint="eastAsia"/>
          <w:szCs w:val="24"/>
          <w:highlight w:val="none"/>
          <w:lang w:eastAsia="zh-CN"/>
        </w:rPr>
        <w:t>河南省三门峡市湖滨区河堤路西段</w:t>
      </w:r>
    </w:p>
    <w:p w14:paraId="7E70B47D">
      <w:pPr>
        <w:pStyle w:val="15"/>
        <w:spacing w:before="0" w:beforeAutospacing="0" w:after="0" w:afterAutospacing="0" w:line="360" w:lineRule="auto"/>
        <w:ind w:firstLine="480" w:firstLineChars="200"/>
        <w:jc w:val="both"/>
        <w:rPr>
          <w:rFonts w:hint="eastAsia"/>
          <w:szCs w:val="24"/>
          <w:highlight w:val="none"/>
        </w:rPr>
      </w:pPr>
      <w:r>
        <w:rPr>
          <w:rFonts w:hint="eastAsia"/>
          <w:szCs w:val="24"/>
          <w:highlight w:val="none"/>
        </w:rPr>
        <w:t>联系人：</w:t>
      </w:r>
      <w:r>
        <w:rPr>
          <w:rFonts w:hint="eastAsia"/>
          <w:szCs w:val="24"/>
          <w:highlight w:val="none"/>
          <w:lang w:eastAsia="zh-CN"/>
        </w:rPr>
        <w:t>赵先生</w:t>
      </w:r>
      <w:r>
        <w:rPr>
          <w:rFonts w:hint="eastAsia"/>
          <w:szCs w:val="24"/>
          <w:highlight w:val="none"/>
        </w:rPr>
        <w:t xml:space="preserve"> </w:t>
      </w:r>
    </w:p>
    <w:p w14:paraId="44C92CBA">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联系方式：</w:t>
      </w:r>
      <w:r>
        <w:rPr>
          <w:rFonts w:hint="eastAsia"/>
          <w:szCs w:val="24"/>
          <w:highlight w:val="none"/>
          <w:lang w:eastAsia="zh-CN"/>
        </w:rPr>
        <w:t>0398-2967296</w:t>
      </w:r>
    </w:p>
    <w:p w14:paraId="74C5A539">
      <w:pPr>
        <w:pStyle w:val="15"/>
        <w:spacing w:before="0" w:beforeAutospacing="0" w:after="0" w:afterAutospacing="0" w:line="360" w:lineRule="auto"/>
        <w:ind w:firstLine="480" w:firstLineChars="200"/>
        <w:jc w:val="both"/>
        <w:rPr>
          <w:rFonts w:hint="eastAsia"/>
          <w:szCs w:val="24"/>
          <w:highlight w:val="none"/>
        </w:rPr>
      </w:pPr>
      <w:r>
        <w:rPr>
          <w:rFonts w:hint="eastAsia"/>
          <w:szCs w:val="24"/>
          <w:highlight w:val="none"/>
        </w:rPr>
        <w:t>2</w:t>
      </w:r>
      <w:r>
        <w:rPr>
          <w:rFonts w:hint="eastAsia"/>
          <w:szCs w:val="24"/>
          <w:highlight w:val="none"/>
          <w:lang w:eastAsia="zh-CN"/>
        </w:rPr>
        <w:t>、</w:t>
      </w:r>
      <w:r>
        <w:rPr>
          <w:rFonts w:hint="eastAsia"/>
          <w:szCs w:val="24"/>
          <w:highlight w:val="none"/>
        </w:rPr>
        <w:t>采购代理机构信息（如有）</w:t>
      </w:r>
    </w:p>
    <w:p w14:paraId="5D606AC0">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名称：</w:t>
      </w:r>
      <w:r>
        <w:rPr>
          <w:rFonts w:hint="eastAsia"/>
          <w:szCs w:val="24"/>
          <w:highlight w:val="none"/>
          <w:lang w:eastAsia="zh-CN"/>
        </w:rPr>
        <w:t>中发祥和工程管理有限公司</w:t>
      </w:r>
    </w:p>
    <w:p w14:paraId="56EC2915">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地址：</w:t>
      </w:r>
      <w:r>
        <w:rPr>
          <w:rFonts w:hint="eastAsia"/>
          <w:szCs w:val="24"/>
          <w:highlight w:val="none"/>
          <w:lang w:eastAsia="zh-CN"/>
        </w:rPr>
        <w:t>河南省郑州市中原区建设西路198号院B座12层10号、11号</w:t>
      </w:r>
    </w:p>
    <w:p w14:paraId="3CF0E298">
      <w:pPr>
        <w:pStyle w:val="15"/>
        <w:spacing w:before="0" w:beforeAutospacing="0" w:after="0" w:afterAutospacing="0" w:line="360" w:lineRule="auto"/>
        <w:ind w:firstLine="480" w:firstLineChars="200"/>
        <w:jc w:val="both"/>
        <w:rPr>
          <w:rFonts w:hint="eastAsia"/>
          <w:szCs w:val="24"/>
          <w:highlight w:val="none"/>
        </w:rPr>
      </w:pPr>
      <w:r>
        <w:rPr>
          <w:rFonts w:hint="eastAsia"/>
          <w:szCs w:val="24"/>
          <w:highlight w:val="none"/>
        </w:rPr>
        <w:t>联系人：</w:t>
      </w:r>
      <w:r>
        <w:rPr>
          <w:rFonts w:hint="eastAsia"/>
          <w:szCs w:val="24"/>
          <w:highlight w:val="none"/>
          <w:lang w:eastAsia="zh-CN"/>
        </w:rPr>
        <w:t>张女士</w:t>
      </w:r>
      <w:r>
        <w:rPr>
          <w:rFonts w:hint="eastAsia"/>
          <w:szCs w:val="24"/>
          <w:highlight w:val="none"/>
        </w:rPr>
        <w:t xml:space="preserve">       </w:t>
      </w:r>
    </w:p>
    <w:p w14:paraId="0031C481">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联系方式：</w:t>
      </w:r>
      <w:r>
        <w:rPr>
          <w:rFonts w:hint="eastAsia"/>
          <w:szCs w:val="24"/>
          <w:highlight w:val="none"/>
          <w:lang w:eastAsia="zh-CN"/>
        </w:rPr>
        <w:t>18839831185</w:t>
      </w:r>
    </w:p>
    <w:p w14:paraId="104C2FD4">
      <w:pPr>
        <w:pStyle w:val="15"/>
        <w:spacing w:before="0" w:beforeAutospacing="0" w:after="0" w:afterAutospacing="0" w:line="360" w:lineRule="auto"/>
        <w:ind w:firstLine="480" w:firstLineChars="200"/>
        <w:jc w:val="both"/>
        <w:rPr>
          <w:rFonts w:hint="eastAsia"/>
          <w:szCs w:val="24"/>
          <w:highlight w:val="none"/>
        </w:rPr>
      </w:pPr>
      <w:r>
        <w:rPr>
          <w:rFonts w:hint="eastAsia"/>
          <w:szCs w:val="24"/>
          <w:highlight w:val="none"/>
        </w:rPr>
        <w:t>3</w:t>
      </w:r>
      <w:r>
        <w:rPr>
          <w:rFonts w:hint="eastAsia"/>
          <w:szCs w:val="24"/>
          <w:highlight w:val="none"/>
          <w:lang w:eastAsia="zh-CN"/>
        </w:rPr>
        <w:t>、</w:t>
      </w:r>
      <w:r>
        <w:rPr>
          <w:rFonts w:hint="eastAsia"/>
          <w:szCs w:val="24"/>
          <w:highlight w:val="none"/>
        </w:rPr>
        <w:t>项目联系方式</w:t>
      </w:r>
    </w:p>
    <w:p w14:paraId="55D39CE0">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项目联系人：</w:t>
      </w:r>
      <w:r>
        <w:rPr>
          <w:rFonts w:hint="eastAsia"/>
          <w:szCs w:val="24"/>
          <w:highlight w:val="none"/>
          <w:lang w:eastAsia="zh-CN"/>
        </w:rPr>
        <w:t>张女士</w:t>
      </w:r>
    </w:p>
    <w:p w14:paraId="323622CF">
      <w:pPr>
        <w:pStyle w:val="15"/>
        <w:spacing w:before="0" w:beforeAutospacing="0" w:after="0" w:afterAutospacing="0" w:line="360" w:lineRule="auto"/>
        <w:ind w:firstLine="480" w:firstLineChars="200"/>
        <w:jc w:val="both"/>
        <w:rPr>
          <w:rFonts w:hint="eastAsia" w:eastAsia="宋体"/>
          <w:szCs w:val="24"/>
          <w:highlight w:val="none"/>
          <w:lang w:eastAsia="zh-CN"/>
        </w:rPr>
      </w:pPr>
      <w:r>
        <w:rPr>
          <w:rFonts w:hint="eastAsia"/>
          <w:szCs w:val="24"/>
          <w:highlight w:val="none"/>
        </w:rPr>
        <w:t>联系方式：</w:t>
      </w:r>
      <w:r>
        <w:rPr>
          <w:rFonts w:hint="eastAsia"/>
          <w:szCs w:val="24"/>
          <w:highlight w:val="none"/>
          <w:lang w:eastAsia="zh-CN"/>
        </w:rPr>
        <w:t>18839831185</w:t>
      </w:r>
    </w:p>
    <w:p w14:paraId="43A6BD86">
      <w:pPr>
        <w:pStyle w:val="2"/>
        <w:bidi w:val="0"/>
        <w:jc w:val="center"/>
        <w:rPr>
          <w:rFonts w:hint="eastAsia" w:ascii="宋体" w:hAnsi="宋体" w:cs="宋体"/>
          <w:b/>
          <w:kern w:val="2"/>
          <w:sz w:val="28"/>
          <w:szCs w:val="28"/>
          <w:highlight w:val="none"/>
        </w:rPr>
      </w:pPr>
      <w:r>
        <w:rPr>
          <w:rFonts w:hint="eastAsia" w:ascii="宋体" w:hAnsi="宋体" w:cs="宋体"/>
          <w:b/>
          <w:kern w:val="2"/>
          <w:sz w:val="22"/>
          <w:szCs w:val="22"/>
          <w:highlight w:val="none"/>
        </w:rPr>
        <w:br w:type="page"/>
      </w:r>
      <w:bookmarkStart w:id="11" w:name="_Toc7255"/>
      <w:bookmarkStart w:id="12" w:name="_Toc11492"/>
      <w:bookmarkStart w:id="13" w:name="_Toc19183"/>
      <w:bookmarkStart w:id="14" w:name="_Toc13937"/>
      <w:r>
        <w:rPr>
          <w:rFonts w:hint="eastAsia" w:ascii="黑体" w:cs="宋体"/>
          <w:b/>
          <w:kern w:val="2"/>
          <w:sz w:val="36"/>
          <w:szCs w:val="36"/>
          <w:highlight w:val="none"/>
        </w:rPr>
        <w:t>第二章</w:t>
      </w:r>
      <w:r>
        <w:rPr>
          <w:rFonts w:hint="eastAsia" w:ascii="黑体" w:cs="宋体"/>
          <w:b/>
          <w:kern w:val="2"/>
          <w:sz w:val="36"/>
          <w:szCs w:val="36"/>
          <w:highlight w:val="none"/>
          <w:lang w:val="en-US" w:eastAsia="zh-CN"/>
        </w:rPr>
        <w:t xml:space="preserve">  </w:t>
      </w:r>
      <w:r>
        <w:rPr>
          <w:rFonts w:hint="eastAsia" w:ascii="黑体" w:cs="宋体"/>
          <w:b/>
          <w:kern w:val="2"/>
          <w:sz w:val="36"/>
          <w:szCs w:val="36"/>
          <w:highlight w:val="none"/>
        </w:rPr>
        <w:t>供应商须知</w:t>
      </w:r>
      <w:bookmarkEnd w:id="10"/>
      <w:bookmarkEnd w:id="11"/>
      <w:bookmarkEnd w:id="12"/>
      <w:bookmarkEnd w:id="13"/>
      <w:bookmarkEnd w:id="14"/>
      <w:bookmarkStart w:id="15" w:name="_Toc461977413"/>
      <w:bookmarkEnd w:id="15"/>
      <w:bookmarkStart w:id="16" w:name="_Toc5034"/>
    </w:p>
    <w:p w14:paraId="6EC1A800">
      <w:pPr>
        <w:keepNext/>
        <w:keepLines/>
        <w:widowControl w:val="0"/>
        <w:spacing w:before="20" w:after="20" w:line="360" w:lineRule="auto"/>
        <w:jc w:val="center"/>
        <w:outlineLvl w:val="1"/>
        <w:rPr>
          <w:rFonts w:hint="eastAsia" w:ascii="宋体" w:hAnsi="宋体"/>
          <w:b/>
          <w:sz w:val="28"/>
          <w:szCs w:val="28"/>
          <w:highlight w:val="none"/>
        </w:rPr>
      </w:pPr>
      <w:bookmarkStart w:id="17" w:name="_Toc13797"/>
      <w:bookmarkStart w:id="18" w:name="_Toc18236"/>
      <w:bookmarkStart w:id="19" w:name="_Toc25541"/>
      <w:bookmarkStart w:id="20" w:name="_Toc14322"/>
      <w:bookmarkStart w:id="21" w:name="_Toc23546"/>
      <w:r>
        <w:rPr>
          <w:rFonts w:hint="eastAsia" w:ascii="宋体" w:hAnsi="宋体" w:cs="宋体"/>
          <w:b/>
          <w:kern w:val="2"/>
          <w:sz w:val="28"/>
          <w:szCs w:val="28"/>
          <w:highlight w:val="none"/>
        </w:rPr>
        <w:t>供应商须知前附表</w:t>
      </w:r>
      <w:bookmarkEnd w:id="16"/>
      <w:bookmarkEnd w:id="17"/>
      <w:bookmarkEnd w:id="18"/>
      <w:bookmarkEnd w:id="19"/>
      <w:bookmarkEnd w:id="20"/>
      <w:bookmarkEnd w:id="21"/>
    </w:p>
    <w:tbl>
      <w:tblPr>
        <w:tblStyle w:val="18"/>
        <w:tblW w:w="26231" w:type="dxa"/>
        <w:tblInd w:w="108" w:type="dxa"/>
        <w:tblLayout w:type="fixed"/>
        <w:tblCellMar>
          <w:top w:w="0" w:type="dxa"/>
          <w:left w:w="108" w:type="dxa"/>
          <w:bottom w:w="0" w:type="dxa"/>
          <w:right w:w="108" w:type="dxa"/>
        </w:tblCellMar>
      </w:tblPr>
      <w:tblGrid>
        <w:gridCol w:w="862"/>
        <w:gridCol w:w="2175"/>
        <w:gridCol w:w="7079"/>
        <w:gridCol w:w="4487"/>
        <w:gridCol w:w="5814"/>
        <w:gridCol w:w="5814"/>
      </w:tblGrid>
      <w:tr w14:paraId="2A3D6E3E">
        <w:tblPrEx>
          <w:tblCellMar>
            <w:top w:w="0" w:type="dxa"/>
            <w:left w:w="108" w:type="dxa"/>
            <w:bottom w:w="0" w:type="dxa"/>
            <w:right w:w="108" w:type="dxa"/>
          </w:tblCellMar>
        </w:tblPrEx>
        <w:trPr>
          <w:gridAfter w:val="3"/>
          <w:wAfter w:w="16115" w:type="dxa"/>
          <w:cantSplit/>
          <w:trHeight w:val="697" w:hRule="atLeast"/>
        </w:trPr>
        <w:tc>
          <w:tcPr>
            <w:tcW w:w="862" w:type="dxa"/>
            <w:tcBorders>
              <w:top w:val="single" w:color="auto" w:sz="12" w:space="0"/>
              <w:left w:val="single" w:color="auto" w:sz="12" w:space="0"/>
              <w:bottom w:val="single" w:color="auto" w:sz="6" w:space="0"/>
              <w:right w:val="single" w:color="auto" w:sz="6" w:space="0"/>
            </w:tcBorders>
            <w:vAlign w:val="center"/>
          </w:tcPr>
          <w:p w14:paraId="1656FE8A">
            <w:pPr>
              <w:adjustRightInd w:val="0"/>
              <w:spacing w:line="360" w:lineRule="auto"/>
              <w:ind w:left="3" w:hanging="2" w:hangingChars="1"/>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条款</w:t>
            </w:r>
          </w:p>
        </w:tc>
        <w:tc>
          <w:tcPr>
            <w:tcW w:w="2175" w:type="dxa"/>
            <w:tcBorders>
              <w:top w:val="single" w:color="auto" w:sz="12" w:space="0"/>
              <w:left w:val="single" w:color="auto" w:sz="6" w:space="0"/>
              <w:bottom w:val="single" w:color="auto" w:sz="6" w:space="0"/>
              <w:right w:val="single" w:color="auto" w:sz="6" w:space="0"/>
            </w:tcBorders>
            <w:vAlign w:val="center"/>
          </w:tcPr>
          <w:p w14:paraId="226FB566">
            <w:pPr>
              <w:adjustRightInd w:val="0"/>
              <w:spacing w:line="360" w:lineRule="auto"/>
              <w:ind w:left="3" w:hanging="2" w:hangingChars="1"/>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条款号</w:t>
            </w:r>
          </w:p>
        </w:tc>
        <w:tc>
          <w:tcPr>
            <w:tcW w:w="7079" w:type="dxa"/>
            <w:tcBorders>
              <w:top w:val="single" w:color="auto" w:sz="12" w:space="0"/>
              <w:left w:val="single" w:color="auto" w:sz="6" w:space="0"/>
              <w:bottom w:val="single" w:color="auto" w:sz="6" w:space="0"/>
              <w:right w:val="single" w:color="auto" w:sz="12" w:space="0"/>
            </w:tcBorders>
            <w:vAlign w:val="center"/>
          </w:tcPr>
          <w:p w14:paraId="328EC58D">
            <w:pPr>
              <w:adjustRightInd w:val="0"/>
              <w:spacing w:line="360" w:lineRule="auto"/>
              <w:ind w:left="3" w:hanging="2" w:hangingChars="1"/>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编列内容</w:t>
            </w:r>
          </w:p>
        </w:tc>
      </w:tr>
      <w:tr w14:paraId="34D6C353">
        <w:tblPrEx>
          <w:tblCellMar>
            <w:top w:w="0" w:type="dxa"/>
            <w:left w:w="108" w:type="dxa"/>
            <w:bottom w:w="0" w:type="dxa"/>
            <w:right w:w="108" w:type="dxa"/>
          </w:tblCellMar>
        </w:tblPrEx>
        <w:trPr>
          <w:gridAfter w:val="3"/>
          <w:wAfter w:w="16115" w:type="dxa"/>
          <w:cantSplit/>
          <w:trHeight w:val="563" w:hRule="atLeast"/>
        </w:trPr>
        <w:tc>
          <w:tcPr>
            <w:tcW w:w="862" w:type="dxa"/>
            <w:tcBorders>
              <w:top w:val="single" w:color="auto" w:sz="6" w:space="0"/>
              <w:left w:val="single" w:color="auto" w:sz="12" w:space="0"/>
              <w:bottom w:val="single" w:color="auto" w:sz="6" w:space="0"/>
              <w:right w:val="single" w:color="auto" w:sz="6" w:space="0"/>
            </w:tcBorders>
            <w:vAlign w:val="center"/>
          </w:tcPr>
          <w:p w14:paraId="11BB06F6">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1</w:t>
            </w:r>
          </w:p>
        </w:tc>
        <w:tc>
          <w:tcPr>
            <w:tcW w:w="2175" w:type="dxa"/>
            <w:tcBorders>
              <w:top w:val="single" w:color="auto" w:sz="6" w:space="0"/>
              <w:left w:val="single" w:color="auto" w:sz="6" w:space="0"/>
              <w:bottom w:val="single" w:color="auto" w:sz="6" w:space="0"/>
              <w:right w:val="single" w:color="auto" w:sz="6" w:space="0"/>
            </w:tcBorders>
            <w:vAlign w:val="center"/>
          </w:tcPr>
          <w:p w14:paraId="4F06B4F4">
            <w:pPr>
              <w:adjustRightInd w:val="0"/>
              <w:spacing w:line="360" w:lineRule="auto"/>
              <w:ind w:left="3" w:hanging="2" w:hangingChars="1"/>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采购人</w:t>
            </w:r>
          </w:p>
        </w:tc>
        <w:tc>
          <w:tcPr>
            <w:tcW w:w="7079" w:type="dxa"/>
            <w:tcBorders>
              <w:top w:val="single" w:color="auto" w:sz="6" w:space="0"/>
              <w:left w:val="single" w:color="auto" w:sz="6" w:space="0"/>
              <w:bottom w:val="single" w:color="auto" w:sz="6" w:space="0"/>
              <w:right w:val="single" w:color="auto" w:sz="12" w:space="0"/>
            </w:tcBorders>
            <w:vAlign w:val="center"/>
          </w:tcPr>
          <w:p w14:paraId="4F58C736">
            <w:pPr>
              <w:pStyle w:val="15"/>
              <w:spacing w:before="0" w:beforeAutospacing="0" w:after="0" w:afterAutospacing="0" w:line="360" w:lineRule="auto"/>
              <w:jc w:val="both"/>
              <w:rPr>
                <w:rFonts w:hint="eastAsia" w:eastAsia="宋体"/>
                <w:szCs w:val="24"/>
                <w:highlight w:val="none"/>
                <w:lang w:eastAsia="zh-CN"/>
              </w:rPr>
            </w:pPr>
            <w:r>
              <w:rPr>
                <w:rFonts w:hint="eastAsia"/>
                <w:szCs w:val="24"/>
                <w:highlight w:val="none"/>
              </w:rPr>
              <w:t>名称：</w:t>
            </w:r>
            <w:r>
              <w:rPr>
                <w:rFonts w:hint="eastAsia"/>
                <w:szCs w:val="24"/>
                <w:highlight w:val="none"/>
                <w:lang w:eastAsia="zh-CN"/>
              </w:rPr>
              <w:t>河南省三门峡市中级人民法院</w:t>
            </w:r>
          </w:p>
          <w:p w14:paraId="1BDF42E7">
            <w:pPr>
              <w:spacing w:line="500" w:lineRule="exact"/>
              <w:ind w:right="-58"/>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地址：</w:t>
            </w:r>
            <w:r>
              <w:rPr>
                <w:rFonts w:hint="eastAsia" w:ascii="宋体" w:hAnsi="宋体" w:eastAsia="宋体" w:cs="宋体"/>
                <w:bCs/>
                <w:sz w:val="24"/>
                <w:szCs w:val="24"/>
                <w:highlight w:val="none"/>
                <w:lang w:eastAsia="zh-CN"/>
              </w:rPr>
              <w:t>河南省</w:t>
            </w:r>
            <w:r>
              <w:rPr>
                <w:rFonts w:hint="eastAsia" w:ascii="宋体" w:hAnsi="宋体" w:cs="宋体"/>
                <w:bCs/>
                <w:sz w:val="24"/>
                <w:szCs w:val="24"/>
                <w:highlight w:val="none"/>
                <w:lang w:eastAsia="zh-CN"/>
              </w:rPr>
              <w:t>三门峡市湖滨区河堤路西段</w:t>
            </w:r>
          </w:p>
          <w:p w14:paraId="5F165B0D">
            <w:pPr>
              <w:pStyle w:val="15"/>
              <w:spacing w:before="0" w:beforeAutospacing="0" w:after="0" w:afterAutospacing="0" w:line="360" w:lineRule="auto"/>
              <w:jc w:val="both"/>
              <w:rPr>
                <w:rFonts w:hint="eastAsia" w:eastAsia="宋体"/>
                <w:szCs w:val="24"/>
                <w:highlight w:val="none"/>
                <w:lang w:eastAsia="zh-CN"/>
              </w:rPr>
            </w:pPr>
            <w:r>
              <w:rPr>
                <w:rFonts w:hint="eastAsia"/>
                <w:szCs w:val="24"/>
                <w:highlight w:val="none"/>
              </w:rPr>
              <w:t>联系人：</w:t>
            </w:r>
            <w:r>
              <w:rPr>
                <w:rFonts w:hint="eastAsia"/>
                <w:szCs w:val="24"/>
                <w:highlight w:val="none"/>
                <w:lang w:eastAsia="zh-CN"/>
              </w:rPr>
              <w:t>赵先生</w:t>
            </w:r>
          </w:p>
          <w:p w14:paraId="77AFF855">
            <w:pPr>
              <w:pStyle w:val="15"/>
              <w:spacing w:before="0" w:beforeAutospacing="0" w:after="0" w:afterAutospacing="0" w:line="360" w:lineRule="auto"/>
              <w:jc w:val="both"/>
              <w:rPr>
                <w:rFonts w:hint="eastAsia" w:eastAsia="宋体"/>
                <w:spacing w:val="6"/>
                <w:kern w:val="2"/>
                <w:szCs w:val="24"/>
                <w:highlight w:val="none"/>
                <w:lang w:eastAsia="zh-CN"/>
              </w:rPr>
            </w:pPr>
            <w:r>
              <w:rPr>
                <w:rFonts w:hint="eastAsia"/>
                <w:szCs w:val="24"/>
                <w:highlight w:val="none"/>
              </w:rPr>
              <w:t>联系方式：</w:t>
            </w:r>
            <w:r>
              <w:rPr>
                <w:rFonts w:hint="eastAsia"/>
                <w:szCs w:val="24"/>
                <w:highlight w:val="none"/>
                <w:lang w:eastAsia="zh-CN"/>
              </w:rPr>
              <w:t>0398-2967296</w:t>
            </w:r>
          </w:p>
        </w:tc>
      </w:tr>
      <w:tr w14:paraId="5B778CA9">
        <w:tblPrEx>
          <w:tblCellMar>
            <w:top w:w="0" w:type="dxa"/>
            <w:left w:w="108" w:type="dxa"/>
            <w:bottom w:w="0" w:type="dxa"/>
            <w:right w:w="108" w:type="dxa"/>
          </w:tblCellMar>
        </w:tblPrEx>
        <w:trPr>
          <w:gridAfter w:val="3"/>
          <w:wAfter w:w="16115" w:type="dxa"/>
          <w:cantSplit/>
          <w:trHeight w:val="563" w:hRule="atLeast"/>
        </w:trPr>
        <w:tc>
          <w:tcPr>
            <w:tcW w:w="862" w:type="dxa"/>
            <w:tcBorders>
              <w:top w:val="single" w:color="auto" w:sz="6" w:space="0"/>
              <w:left w:val="single" w:color="auto" w:sz="12" w:space="0"/>
              <w:bottom w:val="single" w:color="auto" w:sz="6" w:space="0"/>
              <w:right w:val="single" w:color="auto" w:sz="6" w:space="0"/>
            </w:tcBorders>
            <w:vAlign w:val="center"/>
          </w:tcPr>
          <w:p w14:paraId="2E10171A">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2</w:t>
            </w:r>
          </w:p>
        </w:tc>
        <w:tc>
          <w:tcPr>
            <w:tcW w:w="2175" w:type="dxa"/>
            <w:tcBorders>
              <w:top w:val="single" w:color="auto" w:sz="6" w:space="0"/>
              <w:left w:val="single" w:color="auto" w:sz="6" w:space="0"/>
              <w:bottom w:val="single" w:color="auto" w:sz="6" w:space="0"/>
              <w:right w:val="single" w:color="auto" w:sz="6" w:space="0"/>
            </w:tcBorders>
            <w:vAlign w:val="center"/>
          </w:tcPr>
          <w:p w14:paraId="3A531304">
            <w:pPr>
              <w:adjustRightInd w:val="0"/>
              <w:spacing w:line="360" w:lineRule="auto"/>
              <w:ind w:left="2" w:hanging="2" w:hangingChars="1"/>
              <w:jc w:val="center"/>
              <w:rPr>
                <w:rFonts w:hint="eastAsia" w:ascii="宋体" w:hAnsi="宋体" w:cs="宋体"/>
                <w:spacing w:val="6"/>
                <w:kern w:val="2"/>
                <w:sz w:val="24"/>
                <w:szCs w:val="24"/>
                <w:highlight w:val="none"/>
              </w:rPr>
            </w:pPr>
            <w:r>
              <w:rPr>
                <w:rFonts w:hint="eastAsia" w:ascii="宋体" w:hAnsi="宋体" w:cs="宋体"/>
                <w:kern w:val="2"/>
                <w:sz w:val="24"/>
                <w:szCs w:val="24"/>
                <w:highlight w:val="none"/>
              </w:rPr>
              <w:t>采购代理机构</w:t>
            </w:r>
          </w:p>
        </w:tc>
        <w:tc>
          <w:tcPr>
            <w:tcW w:w="7079" w:type="dxa"/>
            <w:tcBorders>
              <w:top w:val="single" w:color="auto" w:sz="6" w:space="0"/>
              <w:left w:val="single" w:color="auto" w:sz="6" w:space="0"/>
              <w:bottom w:val="single" w:color="auto" w:sz="6" w:space="0"/>
              <w:right w:val="single" w:color="auto" w:sz="12" w:space="0"/>
            </w:tcBorders>
            <w:vAlign w:val="center"/>
          </w:tcPr>
          <w:p w14:paraId="200D60BD">
            <w:pPr>
              <w:spacing w:line="500" w:lineRule="exact"/>
              <w:ind w:right="-58"/>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名称：</w:t>
            </w:r>
            <w:r>
              <w:rPr>
                <w:rFonts w:hint="eastAsia" w:ascii="宋体" w:hAnsi="宋体" w:cs="宋体"/>
                <w:bCs/>
                <w:sz w:val="24"/>
                <w:szCs w:val="24"/>
                <w:highlight w:val="none"/>
                <w:lang w:eastAsia="zh-CN"/>
              </w:rPr>
              <w:t>中发祥和工程管理有限公司</w:t>
            </w:r>
          </w:p>
          <w:p w14:paraId="3C44F5CC">
            <w:pPr>
              <w:spacing w:line="500" w:lineRule="exact"/>
              <w:ind w:right="-58"/>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地址：</w:t>
            </w:r>
            <w:r>
              <w:rPr>
                <w:rFonts w:hint="eastAsia" w:ascii="宋体" w:hAnsi="宋体" w:cs="宋体"/>
                <w:bCs/>
                <w:sz w:val="24"/>
                <w:szCs w:val="24"/>
                <w:highlight w:val="none"/>
                <w:lang w:eastAsia="zh-CN"/>
              </w:rPr>
              <w:t>河南省郑州市中原区建设西路198号院B座12层10号、11号</w:t>
            </w:r>
          </w:p>
          <w:p w14:paraId="3C96635C">
            <w:pPr>
              <w:pStyle w:val="15"/>
              <w:spacing w:before="0" w:beforeAutospacing="0" w:after="0" w:afterAutospacing="0" w:line="360" w:lineRule="auto"/>
              <w:jc w:val="both"/>
              <w:rPr>
                <w:rFonts w:hint="eastAsia"/>
                <w:szCs w:val="24"/>
                <w:highlight w:val="none"/>
              </w:rPr>
            </w:pPr>
            <w:r>
              <w:rPr>
                <w:rFonts w:hint="eastAsia"/>
                <w:szCs w:val="24"/>
                <w:highlight w:val="none"/>
              </w:rPr>
              <w:t>联系人：</w:t>
            </w:r>
            <w:r>
              <w:rPr>
                <w:rFonts w:hint="eastAsia"/>
                <w:szCs w:val="24"/>
                <w:highlight w:val="none"/>
                <w:lang w:eastAsia="zh-CN"/>
              </w:rPr>
              <w:t>张女士</w:t>
            </w:r>
          </w:p>
          <w:p w14:paraId="706E8880">
            <w:pPr>
              <w:spacing w:line="360" w:lineRule="auto"/>
              <w:jc w:val="both"/>
              <w:rPr>
                <w:rFonts w:hint="eastAsia" w:ascii="宋体" w:hAnsi="宋体" w:eastAsia="宋体" w:cs="宋体"/>
                <w:spacing w:val="6"/>
                <w:kern w:val="2"/>
                <w:sz w:val="24"/>
                <w:szCs w:val="24"/>
                <w:highlight w:val="none"/>
                <w:lang w:eastAsia="zh-CN"/>
              </w:rPr>
            </w:pPr>
            <w:r>
              <w:rPr>
                <w:rFonts w:hint="eastAsia" w:ascii="宋体" w:hAnsi="宋体" w:cs="宋体"/>
                <w:sz w:val="24"/>
                <w:szCs w:val="24"/>
                <w:highlight w:val="none"/>
              </w:rPr>
              <w:t>联系方式：</w:t>
            </w:r>
            <w:r>
              <w:rPr>
                <w:rFonts w:hint="eastAsia" w:ascii="宋体" w:hAnsi="宋体" w:cs="宋体"/>
                <w:bCs/>
                <w:sz w:val="24"/>
                <w:szCs w:val="24"/>
                <w:highlight w:val="none"/>
                <w:lang w:eastAsia="zh-CN"/>
              </w:rPr>
              <w:t>18839831185</w:t>
            </w:r>
          </w:p>
        </w:tc>
      </w:tr>
      <w:tr w14:paraId="0634586A">
        <w:tblPrEx>
          <w:tblCellMar>
            <w:top w:w="0" w:type="dxa"/>
            <w:left w:w="108" w:type="dxa"/>
            <w:bottom w:w="0" w:type="dxa"/>
            <w:right w:w="108" w:type="dxa"/>
          </w:tblCellMar>
        </w:tblPrEx>
        <w:trPr>
          <w:gridAfter w:val="3"/>
          <w:wAfter w:w="16115" w:type="dxa"/>
          <w:cantSplit/>
          <w:trHeight w:val="451" w:hRule="atLeast"/>
        </w:trPr>
        <w:tc>
          <w:tcPr>
            <w:tcW w:w="862" w:type="dxa"/>
            <w:tcBorders>
              <w:top w:val="single" w:color="auto" w:sz="6" w:space="0"/>
              <w:left w:val="single" w:color="auto" w:sz="12" w:space="0"/>
              <w:bottom w:val="single" w:color="auto" w:sz="6" w:space="0"/>
              <w:right w:val="single" w:color="auto" w:sz="6" w:space="0"/>
            </w:tcBorders>
            <w:vAlign w:val="center"/>
          </w:tcPr>
          <w:p w14:paraId="145C1A78">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3</w:t>
            </w:r>
          </w:p>
        </w:tc>
        <w:tc>
          <w:tcPr>
            <w:tcW w:w="2175" w:type="dxa"/>
            <w:tcBorders>
              <w:top w:val="single" w:color="auto" w:sz="6" w:space="0"/>
              <w:left w:val="single" w:color="auto" w:sz="6" w:space="0"/>
              <w:bottom w:val="single" w:color="auto" w:sz="6" w:space="0"/>
              <w:right w:val="single" w:color="auto" w:sz="6" w:space="0"/>
            </w:tcBorders>
            <w:vAlign w:val="center"/>
          </w:tcPr>
          <w:p w14:paraId="2C7036BA">
            <w:pPr>
              <w:widowControl w:val="0"/>
              <w:adjustRightInd w:val="0"/>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项目名称</w:t>
            </w:r>
          </w:p>
        </w:tc>
        <w:tc>
          <w:tcPr>
            <w:tcW w:w="7079" w:type="dxa"/>
            <w:tcBorders>
              <w:top w:val="single" w:color="auto" w:sz="6" w:space="0"/>
              <w:left w:val="single" w:color="auto" w:sz="6" w:space="0"/>
              <w:bottom w:val="single" w:color="auto" w:sz="6" w:space="0"/>
              <w:right w:val="single" w:color="auto" w:sz="12" w:space="0"/>
            </w:tcBorders>
            <w:vAlign w:val="center"/>
          </w:tcPr>
          <w:p w14:paraId="67F03BD5">
            <w:pPr>
              <w:widowControl w:val="0"/>
              <w:spacing w:line="360" w:lineRule="auto"/>
              <w:rPr>
                <w:rFonts w:hint="eastAsia" w:ascii="宋体" w:hAnsi="宋体" w:eastAsia="宋体" w:cs="宋体"/>
                <w:spacing w:val="6"/>
                <w:kern w:val="2"/>
                <w:sz w:val="24"/>
                <w:szCs w:val="24"/>
                <w:highlight w:val="none"/>
                <w:lang w:eastAsia="zh-CN"/>
              </w:rPr>
            </w:pPr>
            <w:r>
              <w:rPr>
                <w:rFonts w:hint="eastAsia" w:ascii="宋体" w:hAnsi="宋体" w:cs="宋体"/>
                <w:spacing w:val="6"/>
                <w:kern w:val="2"/>
                <w:sz w:val="24"/>
                <w:szCs w:val="24"/>
                <w:highlight w:val="none"/>
                <w:lang w:eastAsia="zh-CN"/>
              </w:rPr>
              <w:t>河南省三门峡市中级人民法院审判系统及设备技术服务项目</w:t>
            </w:r>
          </w:p>
        </w:tc>
      </w:tr>
      <w:tr w14:paraId="166BCFA5">
        <w:tblPrEx>
          <w:tblCellMar>
            <w:top w:w="0" w:type="dxa"/>
            <w:left w:w="108" w:type="dxa"/>
            <w:bottom w:w="0" w:type="dxa"/>
            <w:right w:w="108" w:type="dxa"/>
          </w:tblCellMar>
        </w:tblPrEx>
        <w:trPr>
          <w:gridAfter w:val="3"/>
          <w:wAfter w:w="16115" w:type="dxa"/>
          <w:cantSplit/>
          <w:trHeight w:val="498" w:hRule="atLeast"/>
        </w:trPr>
        <w:tc>
          <w:tcPr>
            <w:tcW w:w="862" w:type="dxa"/>
            <w:tcBorders>
              <w:top w:val="single" w:color="auto" w:sz="6" w:space="0"/>
              <w:left w:val="single" w:color="auto" w:sz="12" w:space="0"/>
              <w:bottom w:val="single" w:color="auto" w:sz="6" w:space="0"/>
              <w:right w:val="single" w:color="auto" w:sz="6" w:space="0"/>
            </w:tcBorders>
            <w:vAlign w:val="center"/>
          </w:tcPr>
          <w:p w14:paraId="21307B8E">
            <w:pPr>
              <w:adjustRightInd w:val="0"/>
              <w:spacing w:line="360" w:lineRule="auto"/>
              <w:ind w:left="3" w:hanging="2" w:hangingChars="1"/>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4</w:t>
            </w:r>
          </w:p>
        </w:tc>
        <w:tc>
          <w:tcPr>
            <w:tcW w:w="2175" w:type="dxa"/>
            <w:tcBorders>
              <w:top w:val="single" w:color="auto" w:sz="6" w:space="0"/>
              <w:left w:val="single" w:color="auto" w:sz="6" w:space="0"/>
              <w:bottom w:val="single" w:color="auto" w:sz="6" w:space="0"/>
              <w:right w:val="single" w:color="auto" w:sz="6" w:space="0"/>
            </w:tcBorders>
            <w:vAlign w:val="center"/>
          </w:tcPr>
          <w:p w14:paraId="5C00AE08">
            <w:pPr>
              <w:widowControl w:val="0"/>
              <w:adjustRightInd w:val="0"/>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项目编号</w:t>
            </w:r>
          </w:p>
        </w:tc>
        <w:tc>
          <w:tcPr>
            <w:tcW w:w="7079" w:type="dxa"/>
            <w:tcBorders>
              <w:top w:val="single" w:color="auto" w:sz="6" w:space="0"/>
              <w:left w:val="single" w:color="auto" w:sz="6" w:space="0"/>
              <w:bottom w:val="single" w:color="auto" w:sz="6" w:space="0"/>
              <w:right w:val="single" w:color="auto" w:sz="12" w:space="0"/>
            </w:tcBorders>
            <w:vAlign w:val="center"/>
          </w:tcPr>
          <w:p w14:paraId="212152A2">
            <w:pPr>
              <w:widowControl w:val="0"/>
              <w:adjustRightInd w:val="0"/>
              <w:spacing w:line="360" w:lineRule="auto"/>
              <w:jc w:val="both"/>
              <w:rPr>
                <w:rFonts w:hint="eastAsia" w:ascii="宋体" w:hAnsi="宋体" w:cs="宋体"/>
                <w:spacing w:val="6"/>
                <w:kern w:val="2"/>
                <w:sz w:val="24"/>
                <w:szCs w:val="24"/>
                <w:highlight w:val="none"/>
              </w:rPr>
            </w:pPr>
            <w:r>
              <w:rPr>
                <w:rFonts w:hint="eastAsia" w:ascii="宋体" w:hAnsi="宋体" w:cs="宋体"/>
                <w:sz w:val="24"/>
                <w:szCs w:val="24"/>
                <w:highlight w:val="none"/>
                <w:lang w:val="en-US" w:eastAsia="zh-CN"/>
              </w:rPr>
              <w:t>豫财磋商采购-2026-153；</w:t>
            </w:r>
            <w:r>
              <w:rPr>
                <w:rFonts w:hint="eastAsia" w:ascii="宋体" w:hAnsi="宋体"/>
                <w:sz w:val="24"/>
                <w:szCs w:val="24"/>
                <w:highlight w:val="none"/>
                <w:lang w:val="en-US" w:eastAsia="zh-CN"/>
              </w:rPr>
              <w:t>SGZ[2026]100-ZC063</w:t>
            </w:r>
          </w:p>
        </w:tc>
      </w:tr>
      <w:tr w14:paraId="47AC6BFF">
        <w:tblPrEx>
          <w:tblCellMar>
            <w:top w:w="0" w:type="dxa"/>
            <w:left w:w="108" w:type="dxa"/>
            <w:bottom w:w="0" w:type="dxa"/>
            <w:right w:w="108" w:type="dxa"/>
          </w:tblCellMar>
        </w:tblPrEx>
        <w:trPr>
          <w:gridAfter w:val="3"/>
          <w:wAfter w:w="16115" w:type="dxa"/>
          <w:cantSplit/>
          <w:trHeight w:val="490" w:hRule="atLeast"/>
        </w:trPr>
        <w:tc>
          <w:tcPr>
            <w:tcW w:w="862" w:type="dxa"/>
            <w:tcBorders>
              <w:top w:val="single" w:color="auto" w:sz="6" w:space="0"/>
              <w:left w:val="single" w:color="auto" w:sz="12" w:space="0"/>
              <w:bottom w:val="single" w:color="auto" w:sz="6" w:space="0"/>
              <w:right w:val="single" w:color="auto" w:sz="6" w:space="0"/>
            </w:tcBorders>
            <w:vAlign w:val="center"/>
          </w:tcPr>
          <w:p w14:paraId="4109A8A9">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5</w:t>
            </w:r>
          </w:p>
        </w:tc>
        <w:tc>
          <w:tcPr>
            <w:tcW w:w="2175" w:type="dxa"/>
            <w:tcBorders>
              <w:top w:val="single" w:color="auto" w:sz="6" w:space="0"/>
              <w:left w:val="single" w:color="auto" w:sz="6" w:space="0"/>
              <w:bottom w:val="single" w:color="auto" w:sz="6" w:space="0"/>
              <w:right w:val="single" w:color="auto" w:sz="6" w:space="0"/>
            </w:tcBorders>
            <w:vAlign w:val="center"/>
          </w:tcPr>
          <w:p w14:paraId="2A982C52">
            <w:pPr>
              <w:widowControl w:val="0"/>
              <w:adjustRightInd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采购</w:t>
            </w:r>
            <w:r>
              <w:rPr>
                <w:rFonts w:hint="eastAsia" w:ascii="宋体" w:hAnsi="宋体" w:cs="宋体"/>
                <w:kern w:val="2"/>
                <w:sz w:val="24"/>
                <w:szCs w:val="24"/>
                <w:highlight w:val="none"/>
              </w:rPr>
              <w:t>人</w:t>
            </w:r>
          </w:p>
        </w:tc>
        <w:tc>
          <w:tcPr>
            <w:tcW w:w="7079" w:type="dxa"/>
            <w:tcBorders>
              <w:top w:val="single" w:color="auto" w:sz="6" w:space="0"/>
              <w:left w:val="single" w:color="auto" w:sz="6" w:space="0"/>
              <w:bottom w:val="single" w:color="auto" w:sz="6" w:space="0"/>
              <w:right w:val="single" w:color="auto" w:sz="12" w:space="0"/>
            </w:tcBorders>
            <w:vAlign w:val="center"/>
          </w:tcPr>
          <w:p w14:paraId="2AE8FFDC">
            <w:pPr>
              <w:adjustRightInd w:val="0"/>
              <w:spacing w:line="360" w:lineRule="auto"/>
              <w:ind w:left="3" w:hanging="2" w:hangingChars="1"/>
              <w:rPr>
                <w:rFonts w:hint="eastAsia" w:ascii="宋体" w:hAnsi="宋体" w:eastAsia="宋体" w:cs="宋体"/>
                <w:spacing w:val="6"/>
                <w:kern w:val="2"/>
                <w:sz w:val="24"/>
                <w:szCs w:val="24"/>
                <w:highlight w:val="none"/>
                <w:lang w:eastAsia="zh-CN"/>
              </w:rPr>
            </w:pPr>
            <w:r>
              <w:rPr>
                <w:rFonts w:hint="eastAsia" w:ascii="宋体" w:hAnsi="宋体" w:cs="宋体"/>
                <w:spacing w:val="6"/>
                <w:kern w:val="2"/>
                <w:sz w:val="24"/>
                <w:szCs w:val="24"/>
                <w:highlight w:val="none"/>
                <w:lang w:eastAsia="zh-CN"/>
              </w:rPr>
              <w:t>河南省三门峡市中级人民法院</w:t>
            </w:r>
          </w:p>
        </w:tc>
      </w:tr>
      <w:tr w14:paraId="4177A8CD">
        <w:tblPrEx>
          <w:tblCellMar>
            <w:top w:w="0" w:type="dxa"/>
            <w:left w:w="108" w:type="dxa"/>
            <w:bottom w:w="0" w:type="dxa"/>
            <w:right w:w="108" w:type="dxa"/>
          </w:tblCellMar>
        </w:tblPrEx>
        <w:trPr>
          <w:gridAfter w:val="3"/>
          <w:wAfter w:w="16115" w:type="dxa"/>
          <w:cantSplit/>
          <w:trHeight w:val="516" w:hRule="atLeast"/>
        </w:trPr>
        <w:tc>
          <w:tcPr>
            <w:tcW w:w="862" w:type="dxa"/>
            <w:tcBorders>
              <w:top w:val="single" w:color="auto" w:sz="6" w:space="0"/>
              <w:left w:val="single" w:color="auto" w:sz="12" w:space="0"/>
              <w:bottom w:val="single" w:color="auto" w:sz="6" w:space="0"/>
              <w:right w:val="single" w:color="auto" w:sz="6" w:space="0"/>
            </w:tcBorders>
            <w:vAlign w:val="center"/>
          </w:tcPr>
          <w:p w14:paraId="3CB7DDA5">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6</w:t>
            </w:r>
          </w:p>
        </w:tc>
        <w:tc>
          <w:tcPr>
            <w:tcW w:w="2175" w:type="dxa"/>
            <w:tcBorders>
              <w:top w:val="single" w:color="auto" w:sz="6" w:space="0"/>
              <w:left w:val="single" w:color="auto" w:sz="6" w:space="0"/>
              <w:bottom w:val="single" w:color="auto" w:sz="6" w:space="0"/>
              <w:right w:val="single" w:color="auto" w:sz="6" w:space="0"/>
            </w:tcBorders>
            <w:vAlign w:val="center"/>
          </w:tcPr>
          <w:p w14:paraId="74BECBC5">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kern w:val="2"/>
                <w:sz w:val="24"/>
                <w:szCs w:val="24"/>
                <w:highlight w:val="none"/>
              </w:rPr>
              <w:t>采购内容</w:t>
            </w:r>
          </w:p>
        </w:tc>
        <w:tc>
          <w:tcPr>
            <w:tcW w:w="7079" w:type="dxa"/>
            <w:tcBorders>
              <w:top w:val="single" w:color="auto" w:sz="6" w:space="0"/>
              <w:left w:val="single" w:color="auto" w:sz="6" w:space="0"/>
              <w:bottom w:val="single" w:color="auto" w:sz="6" w:space="0"/>
              <w:right w:val="single" w:color="auto" w:sz="12" w:space="0"/>
            </w:tcBorders>
            <w:vAlign w:val="center"/>
          </w:tcPr>
          <w:p w14:paraId="569C33AF">
            <w:pPr>
              <w:shd w:val="clear" w:color="auto" w:fill="FFFFFF"/>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lang w:val="en-US" w:eastAsia="zh-CN"/>
              </w:rPr>
              <w:t>河南省三门峡市中级人民法院审判系统及设备技术服务项目，审判、执行、办公等办公办案系统后台，机房、法庭、网络、办公办案设备软硬件巡检、维护、维修等保障服务</w:t>
            </w:r>
            <w:r>
              <w:rPr>
                <w:rFonts w:hint="eastAsia" w:ascii="宋体" w:hAnsi="宋体" w:cs="宋体"/>
                <w:sz w:val="24"/>
                <w:szCs w:val="24"/>
                <w:highlight w:val="none"/>
                <w:lang w:eastAsia="zh-CN"/>
              </w:rPr>
              <w:t>。</w:t>
            </w:r>
            <w:r>
              <w:rPr>
                <w:rFonts w:hint="eastAsia" w:ascii="宋体" w:hAnsi="宋体" w:cs="宋体"/>
                <w:spacing w:val="6"/>
                <w:kern w:val="2"/>
                <w:sz w:val="24"/>
                <w:szCs w:val="24"/>
                <w:highlight w:val="none"/>
              </w:rPr>
              <w:t xml:space="preserve"> </w:t>
            </w:r>
          </w:p>
        </w:tc>
      </w:tr>
      <w:tr w14:paraId="1CFB8C16">
        <w:tblPrEx>
          <w:tblCellMar>
            <w:top w:w="0" w:type="dxa"/>
            <w:left w:w="108" w:type="dxa"/>
            <w:bottom w:w="0" w:type="dxa"/>
            <w:right w:w="108" w:type="dxa"/>
          </w:tblCellMar>
        </w:tblPrEx>
        <w:trPr>
          <w:gridAfter w:val="3"/>
          <w:wAfter w:w="16115" w:type="dxa"/>
          <w:cantSplit/>
          <w:trHeight w:val="576" w:hRule="atLeast"/>
        </w:trPr>
        <w:tc>
          <w:tcPr>
            <w:tcW w:w="862" w:type="dxa"/>
            <w:tcBorders>
              <w:top w:val="single" w:color="auto" w:sz="6" w:space="0"/>
              <w:left w:val="single" w:color="auto" w:sz="12" w:space="0"/>
              <w:bottom w:val="single" w:color="auto" w:sz="6" w:space="0"/>
              <w:right w:val="single" w:color="auto" w:sz="6" w:space="0"/>
            </w:tcBorders>
            <w:vAlign w:val="center"/>
          </w:tcPr>
          <w:p w14:paraId="26938D5A">
            <w:pPr>
              <w:widowControl w:val="0"/>
              <w:adjustRightInd w:val="0"/>
              <w:spacing w:line="360" w:lineRule="auto"/>
              <w:jc w:val="center"/>
              <w:rPr>
                <w:rFonts w:hint="eastAsia" w:ascii="宋体" w:hAnsi="宋体" w:eastAsia="宋体" w:cs="宋体"/>
                <w:spacing w:val="6"/>
                <w:kern w:val="2"/>
                <w:sz w:val="24"/>
                <w:szCs w:val="24"/>
                <w:highlight w:val="none"/>
                <w:lang w:eastAsia="zh-CN"/>
              </w:rPr>
            </w:pPr>
            <w:r>
              <w:rPr>
                <w:rFonts w:hint="eastAsia" w:ascii="宋体" w:hAnsi="宋体" w:cs="宋体"/>
                <w:spacing w:val="6"/>
                <w:kern w:val="2"/>
                <w:sz w:val="24"/>
                <w:szCs w:val="24"/>
                <w:highlight w:val="none"/>
                <w:lang w:val="en-US" w:eastAsia="zh-CN"/>
              </w:rPr>
              <w:t>7</w:t>
            </w:r>
          </w:p>
        </w:tc>
        <w:tc>
          <w:tcPr>
            <w:tcW w:w="2175" w:type="dxa"/>
            <w:tcBorders>
              <w:top w:val="single" w:color="auto" w:sz="6" w:space="0"/>
              <w:left w:val="single" w:color="auto" w:sz="6" w:space="0"/>
              <w:bottom w:val="single" w:color="auto" w:sz="6" w:space="0"/>
              <w:right w:val="single" w:color="auto" w:sz="6" w:space="0"/>
            </w:tcBorders>
            <w:vAlign w:val="center"/>
          </w:tcPr>
          <w:p w14:paraId="05A2771D">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本项目所属行业</w:t>
            </w:r>
          </w:p>
        </w:tc>
        <w:tc>
          <w:tcPr>
            <w:tcW w:w="7079" w:type="dxa"/>
            <w:tcBorders>
              <w:top w:val="single" w:color="auto" w:sz="6" w:space="0"/>
              <w:left w:val="single" w:color="auto" w:sz="6" w:space="0"/>
              <w:bottom w:val="single" w:color="auto" w:sz="6" w:space="0"/>
              <w:right w:val="single" w:color="auto" w:sz="12" w:space="0"/>
            </w:tcBorders>
            <w:vAlign w:val="center"/>
          </w:tcPr>
          <w:p w14:paraId="44C0369A">
            <w:pPr>
              <w:widowControl w:val="0"/>
              <w:adjustRightInd w:val="0"/>
              <w:spacing w:line="360" w:lineRule="auto"/>
              <w:jc w:val="left"/>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lang w:val="en-US" w:eastAsia="zh-CN"/>
              </w:rPr>
              <w:t>软件和信息技术服务业</w:t>
            </w:r>
          </w:p>
        </w:tc>
      </w:tr>
      <w:tr w14:paraId="4F158A24">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7939EF2C">
            <w:pPr>
              <w:widowControl w:val="0"/>
              <w:adjustRightInd w:val="0"/>
              <w:spacing w:line="360" w:lineRule="auto"/>
              <w:jc w:val="center"/>
              <w:rPr>
                <w:rFonts w:hint="eastAsia" w:ascii="宋体" w:hAnsi="宋体" w:eastAsia="宋体" w:cs="宋体"/>
                <w:spacing w:val="6"/>
                <w:kern w:val="2"/>
                <w:sz w:val="24"/>
                <w:szCs w:val="24"/>
                <w:highlight w:val="none"/>
                <w:lang w:eastAsia="zh-CN"/>
              </w:rPr>
            </w:pPr>
            <w:r>
              <w:rPr>
                <w:rFonts w:hint="eastAsia" w:ascii="宋体" w:hAnsi="宋体" w:cs="宋体"/>
                <w:spacing w:val="6"/>
                <w:kern w:val="2"/>
                <w:sz w:val="24"/>
                <w:szCs w:val="24"/>
                <w:highlight w:val="none"/>
                <w:lang w:val="en-US" w:eastAsia="zh-CN"/>
              </w:rPr>
              <w:t>8</w:t>
            </w:r>
          </w:p>
        </w:tc>
        <w:tc>
          <w:tcPr>
            <w:tcW w:w="2175" w:type="dxa"/>
            <w:tcBorders>
              <w:top w:val="single" w:color="auto" w:sz="6" w:space="0"/>
              <w:left w:val="single" w:color="auto" w:sz="6" w:space="0"/>
              <w:bottom w:val="single" w:color="auto" w:sz="6" w:space="0"/>
              <w:right w:val="single" w:color="auto" w:sz="6" w:space="0"/>
            </w:tcBorders>
            <w:vAlign w:val="center"/>
          </w:tcPr>
          <w:p w14:paraId="3E995A41">
            <w:pPr>
              <w:widowControl w:val="0"/>
              <w:adjustRightInd w:val="0"/>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采购方式</w:t>
            </w:r>
          </w:p>
        </w:tc>
        <w:tc>
          <w:tcPr>
            <w:tcW w:w="7079" w:type="dxa"/>
            <w:tcBorders>
              <w:top w:val="single" w:color="auto" w:sz="6" w:space="0"/>
              <w:left w:val="single" w:color="auto" w:sz="6" w:space="0"/>
              <w:bottom w:val="single" w:color="auto" w:sz="6" w:space="0"/>
              <w:right w:val="single" w:color="auto" w:sz="12" w:space="0"/>
            </w:tcBorders>
            <w:vAlign w:val="center"/>
          </w:tcPr>
          <w:p w14:paraId="1C283F6A">
            <w:pPr>
              <w:widowControl w:val="0"/>
              <w:adjustRightInd w:val="0"/>
              <w:spacing w:line="360" w:lineRule="auto"/>
              <w:jc w:val="both"/>
              <w:rPr>
                <w:rFonts w:hint="eastAsia" w:ascii="宋体" w:hAnsi="宋体" w:cs="宋体"/>
                <w:spacing w:val="6"/>
                <w:kern w:val="2"/>
                <w:sz w:val="24"/>
                <w:szCs w:val="24"/>
                <w:highlight w:val="none"/>
              </w:rPr>
            </w:pPr>
            <w:r>
              <w:rPr>
                <w:rFonts w:ascii="宋体" w:hAnsi="宋体" w:cs="宋体"/>
                <w:spacing w:val="6"/>
                <w:kern w:val="2"/>
                <w:sz w:val="24"/>
                <w:szCs w:val="24"/>
                <w:highlight w:val="none"/>
              </w:rPr>
              <w:t>竞争性磋商</w:t>
            </w:r>
          </w:p>
        </w:tc>
      </w:tr>
      <w:tr w14:paraId="7FEA1FEE">
        <w:tblPrEx>
          <w:tblCellMar>
            <w:top w:w="0" w:type="dxa"/>
            <w:left w:w="108" w:type="dxa"/>
            <w:bottom w:w="0" w:type="dxa"/>
            <w:right w:w="108" w:type="dxa"/>
          </w:tblCellMar>
        </w:tblPrEx>
        <w:trPr>
          <w:gridAfter w:val="3"/>
          <w:wAfter w:w="16115" w:type="dxa"/>
          <w:trHeight w:val="506" w:hRule="atLeast"/>
        </w:trPr>
        <w:tc>
          <w:tcPr>
            <w:tcW w:w="862" w:type="dxa"/>
            <w:tcBorders>
              <w:top w:val="single" w:color="auto" w:sz="6" w:space="0"/>
              <w:left w:val="single" w:color="auto" w:sz="12" w:space="0"/>
              <w:bottom w:val="single" w:color="auto" w:sz="6" w:space="0"/>
              <w:right w:val="single" w:color="auto" w:sz="6" w:space="0"/>
            </w:tcBorders>
            <w:vAlign w:val="center"/>
          </w:tcPr>
          <w:p w14:paraId="08616F9B">
            <w:pPr>
              <w:widowControl w:val="0"/>
              <w:adjustRightInd w:val="0"/>
              <w:spacing w:line="360" w:lineRule="auto"/>
              <w:jc w:val="center"/>
              <w:rPr>
                <w:rFonts w:hint="eastAsia" w:ascii="宋体" w:hAnsi="宋体" w:eastAsia="宋体" w:cs="宋体"/>
                <w:spacing w:val="6"/>
                <w:kern w:val="2"/>
                <w:sz w:val="24"/>
                <w:szCs w:val="24"/>
                <w:highlight w:val="none"/>
                <w:lang w:eastAsia="zh-CN"/>
              </w:rPr>
            </w:pPr>
            <w:r>
              <w:rPr>
                <w:rFonts w:hint="eastAsia" w:ascii="宋体" w:hAnsi="宋体" w:cs="宋体"/>
                <w:spacing w:val="6"/>
                <w:kern w:val="2"/>
                <w:sz w:val="24"/>
                <w:szCs w:val="24"/>
                <w:highlight w:val="none"/>
                <w:lang w:val="en-US" w:eastAsia="zh-CN"/>
              </w:rPr>
              <w:t>9</w:t>
            </w:r>
          </w:p>
        </w:tc>
        <w:tc>
          <w:tcPr>
            <w:tcW w:w="2175" w:type="dxa"/>
            <w:tcBorders>
              <w:top w:val="single" w:color="auto" w:sz="6" w:space="0"/>
              <w:left w:val="single" w:color="auto" w:sz="6" w:space="0"/>
              <w:bottom w:val="single" w:color="auto" w:sz="6" w:space="0"/>
              <w:right w:val="single" w:color="auto" w:sz="6" w:space="0"/>
            </w:tcBorders>
            <w:vAlign w:val="center"/>
          </w:tcPr>
          <w:p w14:paraId="1D034FB3">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lang w:eastAsia="zh-CN"/>
              </w:rPr>
              <w:t>服务要求</w:t>
            </w:r>
          </w:p>
        </w:tc>
        <w:tc>
          <w:tcPr>
            <w:tcW w:w="7079" w:type="dxa"/>
            <w:tcBorders>
              <w:top w:val="single" w:color="auto" w:sz="6" w:space="0"/>
              <w:left w:val="single" w:color="auto" w:sz="6" w:space="0"/>
              <w:bottom w:val="single" w:color="auto" w:sz="6" w:space="0"/>
              <w:right w:val="single" w:color="auto" w:sz="12" w:space="0"/>
            </w:tcBorders>
            <w:vAlign w:val="center"/>
          </w:tcPr>
          <w:p w14:paraId="231536F5">
            <w:pPr>
              <w:widowControl w:val="0"/>
              <w:adjustRightInd w:val="0"/>
              <w:spacing w:line="360" w:lineRule="auto"/>
              <w:jc w:val="both"/>
              <w:rPr>
                <w:rFonts w:hint="eastAsia" w:ascii="宋体" w:hAnsi="宋体" w:eastAsia="宋体" w:cs="宋体"/>
                <w:spacing w:val="6"/>
                <w:kern w:val="2"/>
                <w:sz w:val="24"/>
                <w:szCs w:val="24"/>
                <w:highlight w:val="none"/>
                <w:lang w:eastAsia="zh-CN"/>
              </w:rPr>
            </w:pPr>
            <w:r>
              <w:rPr>
                <w:rFonts w:hint="eastAsia" w:ascii="宋体" w:hAnsi="宋体" w:cs="宋体"/>
                <w:kern w:val="2"/>
                <w:sz w:val="24"/>
                <w:szCs w:val="24"/>
                <w:highlight w:val="none"/>
                <w:lang w:eastAsia="zh-CN"/>
              </w:rPr>
              <w:t>符合国家及行业标准，满足采购人采购需求</w:t>
            </w:r>
          </w:p>
        </w:tc>
      </w:tr>
      <w:tr w14:paraId="159C7481">
        <w:tblPrEx>
          <w:tblCellMar>
            <w:top w:w="0" w:type="dxa"/>
            <w:left w:w="108" w:type="dxa"/>
            <w:bottom w:w="0" w:type="dxa"/>
            <w:right w:w="108" w:type="dxa"/>
          </w:tblCellMar>
        </w:tblPrEx>
        <w:trPr>
          <w:gridAfter w:val="3"/>
          <w:wAfter w:w="16115" w:type="dxa"/>
          <w:trHeight w:val="545" w:hRule="atLeast"/>
        </w:trPr>
        <w:tc>
          <w:tcPr>
            <w:tcW w:w="862" w:type="dxa"/>
            <w:tcBorders>
              <w:top w:val="single" w:color="auto" w:sz="6" w:space="0"/>
              <w:left w:val="single" w:color="auto" w:sz="12" w:space="0"/>
              <w:bottom w:val="single" w:color="auto" w:sz="6" w:space="0"/>
              <w:right w:val="single" w:color="auto" w:sz="6" w:space="0"/>
            </w:tcBorders>
            <w:vAlign w:val="center"/>
          </w:tcPr>
          <w:p w14:paraId="53D7DFE0">
            <w:pPr>
              <w:adjustRightInd w:val="0"/>
              <w:spacing w:line="360" w:lineRule="auto"/>
              <w:ind w:left="3" w:hanging="2" w:hangingChars="1"/>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10</w:t>
            </w:r>
          </w:p>
        </w:tc>
        <w:tc>
          <w:tcPr>
            <w:tcW w:w="2175" w:type="dxa"/>
            <w:tcBorders>
              <w:top w:val="single" w:color="auto" w:sz="6" w:space="0"/>
              <w:left w:val="single" w:color="auto" w:sz="6" w:space="0"/>
              <w:bottom w:val="single" w:color="auto" w:sz="6" w:space="0"/>
              <w:right w:val="single" w:color="auto" w:sz="6" w:space="0"/>
            </w:tcBorders>
            <w:vAlign w:val="center"/>
          </w:tcPr>
          <w:p w14:paraId="1BB47C4E">
            <w:pPr>
              <w:adjustRightInd w:val="0"/>
              <w:spacing w:line="360" w:lineRule="auto"/>
              <w:ind w:left="2" w:hanging="2" w:hangingChars="1"/>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服务期限</w:t>
            </w:r>
          </w:p>
        </w:tc>
        <w:tc>
          <w:tcPr>
            <w:tcW w:w="7079" w:type="dxa"/>
            <w:tcBorders>
              <w:top w:val="single" w:color="auto" w:sz="6" w:space="0"/>
              <w:left w:val="single" w:color="auto" w:sz="6" w:space="0"/>
              <w:bottom w:val="single" w:color="auto" w:sz="6" w:space="0"/>
              <w:right w:val="single" w:color="auto" w:sz="12" w:space="0"/>
            </w:tcBorders>
            <w:vAlign w:val="center"/>
          </w:tcPr>
          <w:p w14:paraId="76116D56">
            <w:pPr>
              <w:adjustRightInd w:val="0"/>
              <w:spacing w:line="360" w:lineRule="auto"/>
              <w:ind w:left="2" w:hanging="2" w:hangingChars="1"/>
              <w:rPr>
                <w:rFonts w:hint="eastAsia" w:ascii="宋体" w:hAnsi="宋体" w:eastAsia="宋体" w:cs="宋体"/>
                <w:color w:val="000000" w:themeColor="text1"/>
                <w:spacing w:val="6"/>
                <w:kern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kern w:val="2"/>
                <w:sz w:val="24"/>
                <w:szCs w:val="24"/>
                <w:highlight w:val="none"/>
                <w:lang w:eastAsia="zh-CN"/>
                <w14:textFill>
                  <w14:solidFill>
                    <w14:schemeClr w14:val="tx1"/>
                  </w14:solidFill>
                </w14:textFill>
              </w:rPr>
              <w:t>一年</w:t>
            </w:r>
          </w:p>
        </w:tc>
      </w:tr>
      <w:tr w14:paraId="771AE8DB">
        <w:tblPrEx>
          <w:tblCellMar>
            <w:top w:w="0" w:type="dxa"/>
            <w:left w:w="108" w:type="dxa"/>
            <w:bottom w:w="0" w:type="dxa"/>
            <w:right w:w="108" w:type="dxa"/>
          </w:tblCellMar>
        </w:tblPrEx>
        <w:trPr>
          <w:gridAfter w:val="3"/>
          <w:wAfter w:w="16115" w:type="dxa"/>
          <w:trHeight w:val="545" w:hRule="atLeast"/>
        </w:trPr>
        <w:tc>
          <w:tcPr>
            <w:tcW w:w="862" w:type="dxa"/>
            <w:tcBorders>
              <w:top w:val="single" w:color="auto" w:sz="6" w:space="0"/>
              <w:left w:val="single" w:color="auto" w:sz="12" w:space="0"/>
              <w:bottom w:val="single" w:color="auto" w:sz="6" w:space="0"/>
              <w:right w:val="single" w:color="auto" w:sz="6" w:space="0"/>
            </w:tcBorders>
            <w:vAlign w:val="center"/>
          </w:tcPr>
          <w:p w14:paraId="2E2E40DF">
            <w:pPr>
              <w:adjustRightInd w:val="0"/>
              <w:spacing w:line="360" w:lineRule="auto"/>
              <w:ind w:left="3" w:hanging="2" w:hangingChars="1"/>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11</w:t>
            </w:r>
          </w:p>
        </w:tc>
        <w:tc>
          <w:tcPr>
            <w:tcW w:w="2175" w:type="dxa"/>
            <w:tcBorders>
              <w:top w:val="single" w:color="auto" w:sz="6" w:space="0"/>
              <w:left w:val="single" w:color="auto" w:sz="6" w:space="0"/>
              <w:bottom w:val="single" w:color="auto" w:sz="6" w:space="0"/>
              <w:right w:val="single" w:color="auto" w:sz="6" w:space="0"/>
            </w:tcBorders>
            <w:vAlign w:val="center"/>
          </w:tcPr>
          <w:p w14:paraId="3F7B73D8">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服务地点</w:t>
            </w:r>
          </w:p>
        </w:tc>
        <w:tc>
          <w:tcPr>
            <w:tcW w:w="7079" w:type="dxa"/>
            <w:tcBorders>
              <w:top w:val="single" w:color="auto" w:sz="6" w:space="0"/>
              <w:left w:val="single" w:color="auto" w:sz="6" w:space="0"/>
              <w:bottom w:val="single" w:color="auto" w:sz="6" w:space="0"/>
              <w:right w:val="single" w:color="auto" w:sz="12" w:space="0"/>
            </w:tcBorders>
            <w:vAlign w:val="center"/>
          </w:tcPr>
          <w:p w14:paraId="7E17EE38">
            <w:pPr>
              <w:adjustRightInd w:val="0"/>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采购人指定地点</w:t>
            </w:r>
          </w:p>
        </w:tc>
      </w:tr>
      <w:tr w14:paraId="498EC8C5">
        <w:tblPrEx>
          <w:tblCellMar>
            <w:top w:w="0" w:type="dxa"/>
            <w:left w:w="108" w:type="dxa"/>
            <w:bottom w:w="0" w:type="dxa"/>
            <w:right w:w="108" w:type="dxa"/>
          </w:tblCellMar>
        </w:tblPrEx>
        <w:trPr>
          <w:gridAfter w:val="3"/>
          <w:wAfter w:w="16115" w:type="dxa"/>
          <w:trHeight w:val="543" w:hRule="atLeast"/>
        </w:trPr>
        <w:tc>
          <w:tcPr>
            <w:tcW w:w="862" w:type="dxa"/>
            <w:tcBorders>
              <w:top w:val="single" w:color="auto" w:sz="6" w:space="0"/>
              <w:left w:val="single" w:color="auto" w:sz="12" w:space="0"/>
              <w:bottom w:val="single" w:color="auto" w:sz="6" w:space="0"/>
              <w:right w:val="single" w:color="auto" w:sz="6" w:space="0"/>
            </w:tcBorders>
            <w:vAlign w:val="center"/>
          </w:tcPr>
          <w:p w14:paraId="5E6405FA">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12</w:t>
            </w:r>
          </w:p>
        </w:tc>
        <w:tc>
          <w:tcPr>
            <w:tcW w:w="2175" w:type="dxa"/>
            <w:tcBorders>
              <w:top w:val="single" w:color="auto" w:sz="6" w:space="0"/>
              <w:left w:val="single" w:color="auto" w:sz="6" w:space="0"/>
              <w:bottom w:val="single" w:color="auto" w:sz="6" w:space="0"/>
              <w:right w:val="single" w:color="auto" w:sz="6" w:space="0"/>
            </w:tcBorders>
            <w:vAlign w:val="center"/>
          </w:tcPr>
          <w:p w14:paraId="3E4641BB">
            <w:pPr>
              <w:widowControl w:val="0"/>
              <w:adjustRightInd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资金来源</w:t>
            </w:r>
          </w:p>
        </w:tc>
        <w:tc>
          <w:tcPr>
            <w:tcW w:w="7079" w:type="dxa"/>
            <w:tcBorders>
              <w:top w:val="single" w:color="auto" w:sz="6" w:space="0"/>
              <w:left w:val="single" w:color="auto" w:sz="6" w:space="0"/>
              <w:bottom w:val="single" w:color="auto" w:sz="6" w:space="0"/>
              <w:right w:val="single" w:color="auto" w:sz="12" w:space="0"/>
            </w:tcBorders>
            <w:vAlign w:val="center"/>
          </w:tcPr>
          <w:p w14:paraId="28546AB7">
            <w:pPr>
              <w:widowControl w:val="0"/>
              <w:adjustRightInd w:val="0"/>
              <w:spacing w:line="360" w:lineRule="auto"/>
              <w:jc w:val="both"/>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lang w:val="en-US" w:eastAsia="zh-CN"/>
              </w:rPr>
              <w:t>财政资金</w:t>
            </w:r>
            <w:r>
              <w:rPr>
                <w:rFonts w:ascii="宋体" w:hAnsi="宋体" w:cs="宋体"/>
                <w:spacing w:val="6"/>
                <w:kern w:val="2"/>
                <w:sz w:val="24"/>
                <w:szCs w:val="24"/>
                <w:highlight w:val="none"/>
              </w:rPr>
              <w:t>，已落实</w:t>
            </w:r>
          </w:p>
        </w:tc>
      </w:tr>
      <w:tr w14:paraId="2B83E3DC">
        <w:tblPrEx>
          <w:tblCellMar>
            <w:top w:w="0" w:type="dxa"/>
            <w:left w:w="108" w:type="dxa"/>
            <w:bottom w:w="0" w:type="dxa"/>
            <w:right w:w="108" w:type="dxa"/>
          </w:tblCellMar>
        </w:tblPrEx>
        <w:trPr>
          <w:gridAfter w:val="3"/>
          <w:wAfter w:w="16115" w:type="dxa"/>
          <w:trHeight w:val="536" w:hRule="atLeast"/>
        </w:trPr>
        <w:tc>
          <w:tcPr>
            <w:tcW w:w="862" w:type="dxa"/>
            <w:tcBorders>
              <w:top w:val="single" w:color="auto" w:sz="6" w:space="0"/>
              <w:left w:val="single" w:color="auto" w:sz="12" w:space="0"/>
              <w:bottom w:val="single" w:color="auto" w:sz="6" w:space="0"/>
              <w:right w:val="single" w:color="auto" w:sz="6" w:space="0"/>
            </w:tcBorders>
            <w:vAlign w:val="center"/>
          </w:tcPr>
          <w:p w14:paraId="05B902B0">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13</w:t>
            </w:r>
          </w:p>
        </w:tc>
        <w:tc>
          <w:tcPr>
            <w:tcW w:w="2175" w:type="dxa"/>
            <w:tcBorders>
              <w:top w:val="single" w:color="auto" w:sz="6" w:space="0"/>
              <w:left w:val="single" w:color="auto" w:sz="6" w:space="0"/>
              <w:bottom w:val="single" w:color="auto" w:sz="6" w:space="0"/>
              <w:right w:val="single" w:color="auto" w:sz="6" w:space="0"/>
            </w:tcBorders>
            <w:vAlign w:val="center"/>
          </w:tcPr>
          <w:p w14:paraId="25A8DA9A">
            <w:pPr>
              <w:widowControl w:val="0"/>
              <w:adjustRightInd w:val="0"/>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预算资金</w:t>
            </w:r>
          </w:p>
        </w:tc>
        <w:tc>
          <w:tcPr>
            <w:tcW w:w="7079" w:type="dxa"/>
            <w:tcBorders>
              <w:top w:val="single" w:color="auto" w:sz="6" w:space="0"/>
              <w:left w:val="single" w:color="auto" w:sz="6" w:space="0"/>
              <w:bottom w:val="single" w:color="auto" w:sz="6" w:space="0"/>
              <w:right w:val="single" w:color="auto" w:sz="12" w:space="0"/>
            </w:tcBorders>
            <w:vAlign w:val="center"/>
          </w:tcPr>
          <w:p w14:paraId="59D7166B">
            <w:pPr>
              <w:shd w:val="clear" w:color="auto" w:fill="FFFFFF"/>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lang w:val="en-US" w:eastAsia="zh-CN"/>
              </w:rPr>
              <w:t>¥</w:t>
            </w:r>
            <w:r>
              <w:rPr>
                <w:rFonts w:hint="eastAsia" w:ascii="宋体" w:hAnsi="宋体"/>
                <w:sz w:val="24"/>
                <w:szCs w:val="24"/>
                <w:highlight w:val="none"/>
                <w:lang w:eastAsia="zh-CN"/>
              </w:rPr>
              <w:t>1200000.00</w:t>
            </w:r>
            <w:r>
              <w:rPr>
                <w:rFonts w:hint="eastAsia" w:ascii="宋体" w:hAnsi="宋体" w:cs="宋体"/>
                <w:spacing w:val="6"/>
                <w:kern w:val="2"/>
                <w:sz w:val="24"/>
                <w:szCs w:val="24"/>
                <w:highlight w:val="none"/>
              </w:rPr>
              <w:t>元（供应商报价不能高于项目预算金额，超出按无效文件处理）</w:t>
            </w:r>
          </w:p>
        </w:tc>
      </w:tr>
      <w:tr w14:paraId="4E8E32A7">
        <w:tblPrEx>
          <w:tblCellMar>
            <w:top w:w="0" w:type="dxa"/>
            <w:left w:w="108" w:type="dxa"/>
            <w:bottom w:w="0" w:type="dxa"/>
            <w:right w:w="108" w:type="dxa"/>
          </w:tblCellMar>
        </w:tblPrEx>
        <w:trPr>
          <w:gridAfter w:val="3"/>
          <w:wAfter w:w="16115" w:type="dxa"/>
          <w:trHeight w:val="536" w:hRule="atLeast"/>
        </w:trPr>
        <w:tc>
          <w:tcPr>
            <w:tcW w:w="862" w:type="dxa"/>
            <w:tcBorders>
              <w:top w:val="single" w:color="auto" w:sz="6" w:space="0"/>
              <w:left w:val="single" w:color="auto" w:sz="12" w:space="0"/>
              <w:bottom w:val="single" w:color="auto" w:sz="6" w:space="0"/>
              <w:right w:val="single" w:color="auto" w:sz="6" w:space="0"/>
            </w:tcBorders>
            <w:vAlign w:val="center"/>
          </w:tcPr>
          <w:p w14:paraId="7DC9325B">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14</w:t>
            </w:r>
          </w:p>
        </w:tc>
        <w:tc>
          <w:tcPr>
            <w:tcW w:w="2175" w:type="dxa"/>
            <w:tcBorders>
              <w:top w:val="single" w:color="auto" w:sz="6" w:space="0"/>
              <w:left w:val="single" w:color="auto" w:sz="6" w:space="0"/>
              <w:bottom w:val="single" w:color="auto" w:sz="6" w:space="0"/>
              <w:right w:val="single" w:color="auto" w:sz="6" w:space="0"/>
            </w:tcBorders>
            <w:vAlign w:val="center"/>
          </w:tcPr>
          <w:p w14:paraId="2A9DB92F">
            <w:pPr>
              <w:spacing w:line="440" w:lineRule="exact"/>
              <w:jc w:val="center"/>
              <w:rPr>
                <w:rFonts w:hint="eastAsia" w:ascii="宋体" w:hAnsi="宋体" w:cs="宋体"/>
                <w:kern w:val="2"/>
                <w:sz w:val="24"/>
                <w:szCs w:val="24"/>
                <w:highlight w:val="none"/>
              </w:rPr>
            </w:pPr>
            <w:r>
              <w:rPr>
                <w:rFonts w:hint="eastAsia" w:ascii="宋体" w:hAnsi="宋体" w:cs="宋体"/>
                <w:sz w:val="24"/>
                <w:szCs w:val="24"/>
                <w:highlight w:val="none"/>
                <w:lang w:eastAsia="zh-Hans"/>
              </w:rPr>
              <w:t>采购最高限价</w:t>
            </w:r>
          </w:p>
        </w:tc>
        <w:tc>
          <w:tcPr>
            <w:tcW w:w="7079" w:type="dxa"/>
            <w:tcBorders>
              <w:top w:val="single" w:color="auto" w:sz="6" w:space="0"/>
              <w:left w:val="single" w:color="auto" w:sz="6" w:space="0"/>
              <w:bottom w:val="single" w:color="auto" w:sz="6" w:space="0"/>
              <w:right w:val="single" w:color="auto" w:sz="12" w:space="0"/>
            </w:tcBorders>
            <w:vAlign w:val="center"/>
          </w:tcPr>
          <w:p w14:paraId="7FD5F7BE">
            <w:pPr>
              <w:spacing w:line="440" w:lineRule="exact"/>
              <w:ind w:left="-40" w:leftChars="-20" w:firstLine="42" w:firstLineChars="17"/>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lang w:val="en-US" w:eastAsia="zh-CN"/>
              </w:rPr>
              <w:t>¥</w:t>
            </w:r>
            <w:r>
              <w:rPr>
                <w:rFonts w:hint="eastAsia" w:ascii="宋体" w:hAnsi="宋体"/>
                <w:sz w:val="24"/>
                <w:szCs w:val="24"/>
                <w:highlight w:val="none"/>
                <w:lang w:eastAsia="zh-CN"/>
              </w:rPr>
              <w:t>1200000.00</w:t>
            </w:r>
            <w:r>
              <w:rPr>
                <w:rFonts w:hint="eastAsia" w:ascii="宋体" w:hAnsi="宋体"/>
                <w:sz w:val="24"/>
                <w:szCs w:val="24"/>
                <w:highlight w:val="none"/>
              </w:rPr>
              <w:t>元</w:t>
            </w:r>
            <w:r>
              <w:rPr>
                <w:rFonts w:hint="eastAsia" w:ascii="宋体" w:hAnsi="宋体" w:cs="宋体"/>
                <w:sz w:val="24"/>
                <w:szCs w:val="24"/>
                <w:highlight w:val="none"/>
              </w:rPr>
              <w:t>，投标价格超过</w:t>
            </w:r>
            <w:r>
              <w:rPr>
                <w:rFonts w:hint="eastAsia" w:ascii="宋体" w:hAnsi="宋体"/>
                <w:sz w:val="24"/>
                <w:szCs w:val="24"/>
                <w:highlight w:val="none"/>
              </w:rPr>
              <w:t>最高限价</w:t>
            </w:r>
            <w:r>
              <w:rPr>
                <w:rFonts w:hint="eastAsia" w:ascii="宋体" w:hAnsi="宋体" w:cs="宋体"/>
                <w:sz w:val="24"/>
                <w:szCs w:val="24"/>
                <w:highlight w:val="none"/>
              </w:rPr>
              <w:t>的视为无效标。</w:t>
            </w:r>
          </w:p>
        </w:tc>
      </w:tr>
      <w:tr w14:paraId="09173DB6">
        <w:tblPrEx>
          <w:tblCellMar>
            <w:top w:w="0" w:type="dxa"/>
            <w:left w:w="108" w:type="dxa"/>
            <w:bottom w:w="0" w:type="dxa"/>
            <w:right w:w="108" w:type="dxa"/>
          </w:tblCellMar>
        </w:tblPrEx>
        <w:trPr>
          <w:gridAfter w:val="3"/>
          <w:wAfter w:w="16115" w:type="dxa"/>
          <w:trHeight w:val="536" w:hRule="atLeast"/>
        </w:trPr>
        <w:tc>
          <w:tcPr>
            <w:tcW w:w="862" w:type="dxa"/>
            <w:tcBorders>
              <w:top w:val="single" w:color="auto" w:sz="6" w:space="0"/>
              <w:left w:val="single" w:color="auto" w:sz="12" w:space="0"/>
              <w:bottom w:val="single" w:color="auto" w:sz="6" w:space="0"/>
              <w:right w:val="single" w:color="auto" w:sz="6" w:space="0"/>
            </w:tcBorders>
            <w:vAlign w:val="center"/>
          </w:tcPr>
          <w:p w14:paraId="403A099C">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15</w:t>
            </w:r>
          </w:p>
        </w:tc>
        <w:tc>
          <w:tcPr>
            <w:tcW w:w="2175" w:type="dxa"/>
            <w:tcBorders>
              <w:top w:val="single" w:color="auto" w:sz="6" w:space="0"/>
              <w:left w:val="single" w:color="auto" w:sz="6" w:space="0"/>
              <w:bottom w:val="single" w:color="auto" w:sz="6" w:space="0"/>
              <w:right w:val="single" w:color="auto" w:sz="6" w:space="0"/>
            </w:tcBorders>
            <w:vAlign w:val="center"/>
          </w:tcPr>
          <w:p w14:paraId="0D8F7074">
            <w:pPr>
              <w:widowControl w:val="0"/>
              <w:adjustRightInd w:val="0"/>
              <w:spacing w:line="360" w:lineRule="auto"/>
              <w:jc w:val="center"/>
              <w:rPr>
                <w:rFonts w:hint="eastAsia" w:ascii="宋体" w:hAnsi="宋体" w:cs="宋体"/>
                <w:spacing w:val="-40"/>
                <w:kern w:val="2"/>
                <w:sz w:val="24"/>
                <w:szCs w:val="24"/>
                <w:highlight w:val="none"/>
              </w:rPr>
            </w:pPr>
            <w:r>
              <w:rPr>
                <w:rFonts w:ascii="宋体" w:hAnsi="宋体" w:cs="宋体"/>
                <w:kern w:val="2"/>
                <w:sz w:val="24"/>
                <w:szCs w:val="24"/>
                <w:highlight w:val="none"/>
              </w:rPr>
              <w:t>供应商资</w:t>
            </w:r>
            <w:r>
              <w:rPr>
                <w:rFonts w:hint="eastAsia" w:ascii="宋体" w:hAnsi="宋体" w:cs="宋体"/>
                <w:kern w:val="2"/>
                <w:sz w:val="24"/>
                <w:szCs w:val="24"/>
                <w:highlight w:val="none"/>
                <w:lang w:val="en-US" w:eastAsia="zh-CN"/>
              </w:rPr>
              <w:t>格</w:t>
            </w:r>
            <w:r>
              <w:rPr>
                <w:rFonts w:ascii="宋体" w:hAnsi="宋体" w:cs="宋体"/>
                <w:kern w:val="2"/>
                <w:sz w:val="24"/>
                <w:szCs w:val="24"/>
                <w:highlight w:val="none"/>
              </w:rPr>
              <w:t>要求</w:t>
            </w:r>
          </w:p>
        </w:tc>
        <w:tc>
          <w:tcPr>
            <w:tcW w:w="7079" w:type="dxa"/>
            <w:tcBorders>
              <w:top w:val="single" w:color="auto" w:sz="6" w:space="0"/>
              <w:left w:val="single" w:color="auto" w:sz="6" w:space="0"/>
              <w:bottom w:val="single" w:color="auto" w:sz="6" w:space="0"/>
              <w:right w:val="single" w:color="auto" w:sz="12" w:space="0"/>
            </w:tcBorders>
            <w:vAlign w:val="center"/>
          </w:tcPr>
          <w:p w14:paraId="29A84972">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1、满足《中华人民共和国政府采购法》第二十二条规定；</w:t>
            </w:r>
          </w:p>
          <w:p w14:paraId="4650F20D">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2、落实政府采购政策满足的资格要求：支持中小企业、监狱企业、残疾人福利性单位视同小型、微型企业。</w:t>
            </w:r>
          </w:p>
          <w:p w14:paraId="2612DB74">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 xml:space="preserve">3、本项目的特定资格要求 </w:t>
            </w:r>
          </w:p>
          <w:p w14:paraId="79A6600C">
            <w:pPr>
              <w:shd w:val="clear" w:color="auto" w:fill="FFFFFF"/>
              <w:spacing w:line="360" w:lineRule="auto"/>
              <w:rPr>
                <w:rFonts w:hint="eastAsia" w:ascii="宋体" w:hAnsi="宋体" w:cs="宋体"/>
                <w:kern w:val="2"/>
                <w:sz w:val="24"/>
                <w:szCs w:val="24"/>
                <w:highlight w:val="none"/>
                <w:lang w:eastAsia="zh-CN"/>
              </w:rPr>
            </w:pPr>
            <w:r>
              <w:rPr>
                <w:rFonts w:hint="eastAsia" w:ascii="宋体" w:hAnsi="宋体" w:cs="宋体"/>
                <w:kern w:val="2"/>
                <w:sz w:val="24"/>
                <w:szCs w:val="24"/>
                <w:highlight w:val="none"/>
              </w:rPr>
              <w:t>3.1供应商具有独立承担民事责任的能力，持有有效的营业执照或事业单位法人证书</w:t>
            </w:r>
            <w:r>
              <w:rPr>
                <w:rFonts w:hint="eastAsia" w:ascii="宋体" w:hAnsi="宋体" w:cs="宋体"/>
                <w:kern w:val="2"/>
                <w:sz w:val="24"/>
                <w:szCs w:val="24"/>
                <w:highlight w:val="none"/>
                <w:lang w:eastAsia="zh-CN"/>
              </w:rPr>
              <w:t>；</w:t>
            </w:r>
          </w:p>
          <w:p w14:paraId="541550A5">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3.</w:t>
            </w:r>
            <w:r>
              <w:rPr>
                <w:rFonts w:hint="eastAsia" w:ascii="宋体" w:hAnsi="宋体" w:cs="宋体"/>
                <w:kern w:val="2"/>
                <w:sz w:val="24"/>
                <w:szCs w:val="24"/>
                <w:highlight w:val="none"/>
                <w:lang w:val="en-US" w:eastAsia="zh-CN"/>
              </w:rPr>
              <w:t>2供应商单位负责人为同一人或者存在直接控股、管理关系的不同供应商，不得参加同一合同项下的采购活动（提供“国家企业信用信息公示系统”网页查询或出具承诺书，查询截图需包含公司基本信息、股东信息及股权变更信息内容，查询时间自公告发布之日起至投标截止时间）</w:t>
            </w:r>
            <w:r>
              <w:rPr>
                <w:rFonts w:hint="eastAsia" w:ascii="宋体" w:hAnsi="宋体" w:cs="宋体"/>
                <w:kern w:val="2"/>
                <w:sz w:val="24"/>
                <w:szCs w:val="24"/>
                <w:highlight w:val="none"/>
              </w:rPr>
              <w:t>；</w:t>
            </w:r>
          </w:p>
          <w:p w14:paraId="10545B14">
            <w:pPr>
              <w:shd w:val="clear" w:color="auto" w:fill="FFFFFF"/>
              <w:spacing w:line="360" w:lineRule="auto"/>
              <w:rPr>
                <w:rFonts w:hint="eastAsia" w:ascii="宋体" w:hAnsi="宋体" w:cs="宋体"/>
                <w:kern w:val="2"/>
                <w:sz w:val="24"/>
                <w:szCs w:val="24"/>
                <w:highlight w:val="none"/>
                <w:lang w:val="en-US" w:eastAsia="zh-CN"/>
              </w:rPr>
            </w:pPr>
            <w:r>
              <w:rPr>
                <w:rFonts w:hint="eastAsia" w:ascii="宋体" w:hAnsi="宋体" w:cs="宋体"/>
                <w:kern w:val="2"/>
                <w:sz w:val="24"/>
                <w:szCs w:val="24"/>
                <w:highlight w:val="none"/>
              </w:rPr>
              <w:t>3.</w:t>
            </w:r>
            <w:r>
              <w:rPr>
                <w:rFonts w:hint="eastAsia" w:ascii="宋体" w:hAnsi="宋体" w:cs="宋体"/>
                <w:kern w:val="2"/>
                <w:sz w:val="24"/>
                <w:szCs w:val="24"/>
                <w:highlight w:val="none"/>
                <w:lang w:val="en-US" w:eastAsia="zh-CN"/>
              </w:rPr>
              <w:t>3</w:t>
            </w:r>
            <w:r>
              <w:rPr>
                <w:rFonts w:hint="eastAsia" w:ascii="宋体" w:hAnsi="宋体" w:cs="宋体"/>
                <w:kern w:val="2"/>
                <w:sz w:val="24"/>
                <w:szCs w:val="24"/>
                <w:highlight w:val="none"/>
              </w:rPr>
              <w:t>供应商需提供本企业的无商业贿赂及不正当竞争行为的承诺书</w:t>
            </w:r>
            <w:r>
              <w:rPr>
                <w:rFonts w:hint="eastAsia" w:ascii="宋体" w:hAnsi="宋体" w:cs="宋体"/>
                <w:kern w:val="2"/>
                <w:sz w:val="24"/>
                <w:szCs w:val="24"/>
                <w:highlight w:val="none"/>
                <w:lang w:eastAsia="zh-CN"/>
              </w:rPr>
              <w:t>；</w:t>
            </w:r>
          </w:p>
          <w:p w14:paraId="4FA3673F">
            <w:pPr>
              <w:shd w:val="clear" w:color="auto" w:fill="FFFFFF"/>
              <w:spacing w:line="360" w:lineRule="auto"/>
              <w:rPr>
                <w:rFonts w:hint="eastAsia" w:ascii="宋体" w:hAnsi="宋体" w:cs="宋体"/>
                <w:kern w:val="2"/>
                <w:sz w:val="24"/>
                <w:szCs w:val="24"/>
                <w:highlight w:val="none"/>
                <w:lang w:eastAsia="zh-CN"/>
              </w:rPr>
            </w:pPr>
            <w:r>
              <w:rPr>
                <w:rFonts w:hint="eastAsia" w:ascii="宋体" w:hAnsi="宋体" w:cs="宋体"/>
                <w:kern w:val="2"/>
                <w:sz w:val="24"/>
                <w:szCs w:val="24"/>
                <w:highlight w:val="none"/>
              </w:rPr>
              <w:t>3.</w:t>
            </w:r>
            <w:r>
              <w:rPr>
                <w:rFonts w:hint="eastAsia" w:ascii="宋体" w:hAnsi="宋体" w:cs="宋体"/>
                <w:kern w:val="2"/>
                <w:sz w:val="24"/>
                <w:szCs w:val="24"/>
                <w:highlight w:val="none"/>
                <w:lang w:val="en-US" w:eastAsia="zh-CN"/>
              </w:rPr>
              <w:t>4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p w14:paraId="2553DCE2">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3.</w:t>
            </w:r>
            <w:r>
              <w:rPr>
                <w:rFonts w:hint="eastAsia" w:ascii="宋体" w:hAnsi="宋体" w:cs="宋体"/>
                <w:kern w:val="2"/>
                <w:sz w:val="24"/>
                <w:szCs w:val="24"/>
                <w:highlight w:val="none"/>
                <w:lang w:val="en-US" w:eastAsia="zh-CN"/>
              </w:rPr>
              <w:t>5</w:t>
            </w:r>
            <w:r>
              <w:rPr>
                <w:rFonts w:hint="eastAsia" w:ascii="宋体" w:hAnsi="宋体" w:cs="宋体"/>
                <w:kern w:val="2"/>
                <w:sz w:val="24"/>
                <w:szCs w:val="24"/>
                <w:highlight w:val="none"/>
              </w:rPr>
              <w:t>本项目不接受联合体投标（提供承诺书）；</w:t>
            </w:r>
          </w:p>
          <w:p w14:paraId="723987A5">
            <w:pPr>
              <w:shd w:val="clear" w:color="auto" w:fill="FFFFFF"/>
              <w:spacing w:line="360" w:lineRule="auto"/>
              <w:rPr>
                <w:rFonts w:hint="eastAsia" w:ascii="宋体" w:hAnsi="宋体" w:cs="宋体"/>
                <w:kern w:val="2"/>
                <w:sz w:val="24"/>
                <w:szCs w:val="24"/>
                <w:highlight w:val="none"/>
              </w:rPr>
            </w:pPr>
            <w:r>
              <w:rPr>
                <w:rFonts w:hint="eastAsia" w:ascii="宋体" w:hAnsi="宋体" w:cs="宋体"/>
                <w:kern w:val="2"/>
                <w:sz w:val="24"/>
                <w:szCs w:val="24"/>
                <w:highlight w:val="none"/>
              </w:rPr>
              <w:t>3.</w:t>
            </w:r>
            <w:r>
              <w:rPr>
                <w:rFonts w:hint="eastAsia" w:ascii="宋体" w:hAnsi="宋体" w:cs="宋体"/>
                <w:kern w:val="2"/>
                <w:sz w:val="24"/>
                <w:szCs w:val="24"/>
                <w:highlight w:val="none"/>
                <w:lang w:val="en-US" w:eastAsia="zh-CN"/>
              </w:rPr>
              <w:t>6</w:t>
            </w:r>
            <w:r>
              <w:rPr>
                <w:rFonts w:hint="eastAsia" w:ascii="宋体" w:hAnsi="宋体" w:cs="宋体"/>
                <w:kern w:val="2"/>
                <w:sz w:val="24"/>
                <w:szCs w:val="24"/>
                <w:highlight w:val="none"/>
              </w:rPr>
              <w:t>本次招标实行资格后审，资格审查的具体要求见招标文件。</w:t>
            </w:r>
          </w:p>
        </w:tc>
      </w:tr>
      <w:tr w14:paraId="16350CFF">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BA71867">
            <w:pPr>
              <w:shd w:val="clear" w:color="auto" w:fill="FFFFFF"/>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16</w:t>
            </w:r>
          </w:p>
        </w:tc>
        <w:tc>
          <w:tcPr>
            <w:tcW w:w="2175" w:type="dxa"/>
            <w:tcBorders>
              <w:top w:val="single" w:color="auto" w:sz="6" w:space="0"/>
              <w:left w:val="single" w:color="auto" w:sz="6" w:space="0"/>
              <w:bottom w:val="single" w:color="auto" w:sz="6" w:space="0"/>
              <w:right w:val="single" w:color="auto" w:sz="6" w:space="0"/>
            </w:tcBorders>
            <w:vAlign w:val="center"/>
          </w:tcPr>
          <w:p w14:paraId="3460047B">
            <w:pPr>
              <w:shd w:val="clear" w:color="auto" w:fill="FFFFFF"/>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开标时间和地点</w:t>
            </w:r>
          </w:p>
        </w:tc>
        <w:tc>
          <w:tcPr>
            <w:tcW w:w="7079" w:type="dxa"/>
            <w:tcBorders>
              <w:top w:val="single" w:color="auto" w:sz="6" w:space="0"/>
              <w:left w:val="single" w:color="auto" w:sz="6" w:space="0"/>
              <w:bottom w:val="single" w:color="auto" w:sz="6" w:space="0"/>
              <w:right w:val="single" w:color="auto" w:sz="12" w:space="0"/>
            </w:tcBorders>
            <w:vAlign w:val="center"/>
          </w:tcPr>
          <w:p w14:paraId="5E97387E">
            <w:pPr>
              <w:spacing w:line="440" w:lineRule="exact"/>
              <w:rPr>
                <w:rFonts w:hint="eastAsia" w:ascii="宋体" w:hAnsi="宋体" w:cs="宋体"/>
                <w:sz w:val="24"/>
                <w:szCs w:val="24"/>
                <w:highlight w:val="none"/>
                <w:lang w:bidi="ar"/>
              </w:rPr>
            </w:pPr>
            <w:r>
              <w:rPr>
                <w:rFonts w:hint="eastAsia" w:ascii="宋体" w:hAnsi="宋体" w:cs="宋体"/>
                <w:sz w:val="24"/>
                <w:szCs w:val="24"/>
                <w:highlight w:val="none"/>
                <w:lang w:bidi="ar"/>
              </w:rPr>
              <w:t>时间：202</w:t>
            </w:r>
            <w:r>
              <w:rPr>
                <w:rFonts w:hint="eastAsia" w:ascii="宋体" w:hAnsi="宋体" w:cs="宋体"/>
                <w:sz w:val="24"/>
                <w:szCs w:val="24"/>
                <w:highlight w:val="none"/>
                <w:lang w:val="en-US" w:eastAsia="zh-CN" w:bidi="ar"/>
              </w:rPr>
              <w:t>6</w:t>
            </w:r>
            <w:r>
              <w:rPr>
                <w:rFonts w:hint="eastAsia" w:ascii="宋体" w:hAnsi="宋体" w:cs="宋体"/>
                <w:sz w:val="24"/>
                <w:szCs w:val="24"/>
                <w:highlight w:val="none"/>
                <w:lang w:bidi="ar"/>
              </w:rPr>
              <w:t>年</w:t>
            </w:r>
            <w:r>
              <w:rPr>
                <w:rFonts w:hint="eastAsia" w:ascii="宋体" w:hAnsi="宋体" w:cs="宋体"/>
                <w:sz w:val="24"/>
                <w:szCs w:val="24"/>
                <w:highlight w:val="none"/>
                <w:lang w:val="en-US" w:eastAsia="zh-CN" w:bidi="ar"/>
              </w:rPr>
              <w:t>04月21日08时30分</w:t>
            </w:r>
            <w:r>
              <w:rPr>
                <w:rFonts w:hint="eastAsia" w:ascii="宋体" w:hAnsi="宋体" w:cs="宋体"/>
                <w:sz w:val="24"/>
                <w:szCs w:val="24"/>
                <w:highlight w:val="none"/>
                <w:lang w:bidi="ar"/>
              </w:rPr>
              <w:t>（北京时间）</w:t>
            </w:r>
          </w:p>
          <w:p w14:paraId="28A641C5">
            <w:pPr>
              <w:spacing w:line="440" w:lineRule="exact"/>
              <w:rPr>
                <w:rFonts w:hint="eastAsia" w:ascii="宋体" w:hAnsi="宋体" w:cs="宋体"/>
                <w:spacing w:val="6"/>
                <w:kern w:val="2"/>
                <w:sz w:val="24"/>
                <w:szCs w:val="24"/>
                <w:highlight w:val="none"/>
              </w:rPr>
            </w:pPr>
            <w:r>
              <w:rPr>
                <w:rFonts w:hint="eastAsia" w:ascii="宋体" w:hAnsi="宋体" w:cs="宋体"/>
                <w:sz w:val="24"/>
                <w:szCs w:val="24"/>
                <w:highlight w:val="none"/>
                <w:lang w:bidi="ar"/>
              </w:rPr>
              <w:t>地点：</w:t>
            </w:r>
            <w:r>
              <w:rPr>
                <w:rFonts w:hint="eastAsia" w:ascii="宋体" w:hAnsi="宋体" w:cs="宋体"/>
                <w:sz w:val="24"/>
                <w:szCs w:val="24"/>
                <w:highlight w:val="none"/>
              </w:rPr>
              <w:t>三门峡市公共资源交易中心五楼开标区</w:t>
            </w:r>
          </w:p>
        </w:tc>
      </w:tr>
      <w:tr w14:paraId="35FF0E55">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0C404A9D">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17</w:t>
            </w:r>
          </w:p>
        </w:tc>
        <w:tc>
          <w:tcPr>
            <w:tcW w:w="2175" w:type="dxa"/>
            <w:tcBorders>
              <w:top w:val="single" w:color="auto" w:sz="6" w:space="0"/>
              <w:left w:val="single" w:color="auto" w:sz="6" w:space="0"/>
              <w:bottom w:val="single" w:color="auto" w:sz="6" w:space="0"/>
              <w:right w:val="single" w:color="auto" w:sz="6" w:space="0"/>
            </w:tcBorders>
            <w:vAlign w:val="center"/>
          </w:tcPr>
          <w:p w14:paraId="197B1073">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是否接受联合体投标</w:t>
            </w:r>
          </w:p>
        </w:tc>
        <w:tc>
          <w:tcPr>
            <w:tcW w:w="7079" w:type="dxa"/>
            <w:tcBorders>
              <w:top w:val="single" w:color="auto" w:sz="6" w:space="0"/>
              <w:left w:val="single" w:color="auto" w:sz="6" w:space="0"/>
              <w:bottom w:val="single" w:color="auto" w:sz="6" w:space="0"/>
              <w:right w:val="single" w:color="auto" w:sz="12" w:space="0"/>
            </w:tcBorders>
            <w:vAlign w:val="center"/>
          </w:tcPr>
          <w:p w14:paraId="2132D416">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否</w:t>
            </w:r>
          </w:p>
        </w:tc>
      </w:tr>
      <w:tr w14:paraId="7C05682B">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14D5B184">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18</w:t>
            </w:r>
          </w:p>
        </w:tc>
        <w:tc>
          <w:tcPr>
            <w:tcW w:w="2175" w:type="dxa"/>
            <w:tcBorders>
              <w:top w:val="single" w:color="auto" w:sz="6" w:space="0"/>
              <w:left w:val="single" w:color="auto" w:sz="6" w:space="0"/>
              <w:bottom w:val="single" w:color="auto" w:sz="6" w:space="0"/>
              <w:right w:val="single" w:color="auto" w:sz="6" w:space="0"/>
            </w:tcBorders>
            <w:vAlign w:val="center"/>
          </w:tcPr>
          <w:p w14:paraId="6507D83D">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踏勘现场</w:t>
            </w:r>
          </w:p>
        </w:tc>
        <w:tc>
          <w:tcPr>
            <w:tcW w:w="7079" w:type="dxa"/>
            <w:tcBorders>
              <w:top w:val="single" w:color="auto" w:sz="6" w:space="0"/>
              <w:left w:val="single" w:color="auto" w:sz="6" w:space="0"/>
              <w:bottom w:val="single" w:color="auto" w:sz="6" w:space="0"/>
              <w:right w:val="single" w:color="auto" w:sz="12" w:space="0"/>
            </w:tcBorders>
            <w:vAlign w:val="center"/>
          </w:tcPr>
          <w:p w14:paraId="78FF7A58">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不组织</w:t>
            </w:r>
          </w:p>
        </w:tc>
      </w:tr>
      <w:tr w14:paraId="05F8A558">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767A3088">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19</w:t>
            </w:r>
          </w:p>
        </w:tc>
        <w:tc>
          <w:tcPr>
            <w:tcW w:w="2175" w:type="dxa"/>
            <w:tcBorders>
              <w:top w:val="single" w:color="auto" w:sz="6" w:space="0"/>
              <w:left w:val="single" w:color="auto" w:sz="6" w:space="0"/>
              <w:bottom w:val="single" w:color="auto" w:sz="6" w:space="0"/>
              <w:right w:val="single" w:color="auto" w:sz="6" w:space="0"/>
            </w:tcBorders>
            <w:vAlign w:val="center"/>
          </w:tcPr>
          <w:p w14:paraId="48A4B56F">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投标预备会</w:t>
            </w:r>
          </w:p>
        </w:tc>
        <w:tc>
          <w:tcPr>
            <w:tcW w:w="7079" w:type="dxa"/>
            <w:tcBorders>
              <w:top w:val="single" w:color="auto" w:sz="6" w:space="0"/>
              <w:left w:val="single" w:color="auto" w:sz="6" w:space="0"/>
              <w:bottom w:val="single" w:color="auto" w:sz="6" w:space="0"/>
              <w:right w:val="single" w:color="auto" w:sz="12" w:space="0"/>
            </w:tcBorders>
            <w:vAlign w:val="center"/>
          </w:tcPr>
          <w:p w14:paraId="71D1500B">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不召开</w:t>
            </w:r>
          </w:p>
        </w:tc>
      </w:tr>
      <w:tr w14:paraId="6CCAE9B7">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2EEBD173">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20</w:t>
            </w:r>
          </w:p>
        </w:tc>
        <w:tc>
          <w:tcPr>
            <w:tcW w:w="2175" w:type="dxa"/>
            <w:tcBorders>
              <w:top w:val="single" w:color="auto" w:sz="6" w:space="0"/>
              <w:left w:val="single" w:color="auto" w:sz="6" w:space="0"/>
              <w:bottom w:val="single" w:color="auto" w:sz="6" w:space="0"/>
              <w:right w:val="single" w:color="auto" w:sz="6" w:space="0"/>
            </w:tcBorders>
            <w:vAlign w:val="center"/>
          </w:tcPr>
          <w:p w14:paraId="27CEF043">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分包</w:t>
            </w:r>
          </w:p>
        </w:tc>
        <w:tc>
          <w:tcPr>
            <w:tcW w:w="7079" w:type="dxa"/>
            <w:tcBorders>
              <w:top w:val="single" w:color="auto" w:sz="6" w:space="0"/>
              <w:left w:val="single" w:color="auto" w:sz="6" w:space="0"/>
              <w:bottom w:val="single" w:color="auto" w:sz="6" w:space="0"/>
              <w:right w:val="single" w:color="auto" w:sz="12" w:space="0"/>
            </w:tcBorders>
            <w:vAlign w:val="center"/>
          </w:tcPr>
          <w:p w14:paraId="48E3F8C1">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不允许</w:t>
            </w:r>
          </w:p>
        </w:tc>
      </w:tr>
      <w:tr w14:paraId="28AB2DBA">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3F74F702">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21</w:t>
            </w:r>
          </w:p>
        </w:tc>
        <w:tc>
          <w:tcPr>
            <w:tcW w:w="2175" w:type="dxa"/>
            <w:tcBorders>
              <w:top w:val="single" w:color="auto" w:sz="6" w:space="0"/>
              <w:left w:val="single" w:color="auto" w:sz="6" w:space="0"/>
              <w:bottom w:val="single" w:color="auto" w:sz="6" w:space="0"/>
              <w:right w:val="single" w:color="auto" w:sz="6" w:space="0"/>
            </w:tcBorders>
            <w:vAlign w:val="center"/>
          </w:tcPr>
          <w:p w14:paraId="0534E65D">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偏离</w:t>
            </w:r>
          </w:p>
        </w:tc>
        <w:tc>
          <w:tcPr>
            <w:tcW w:w="7079" w:type="dxa"/>
            <w:tcBorders>
              <w:top w:val="single" w:color="auto" w:sz="6" w:space="0"/>
              <w:left w:val="single" w:color="auto" w:sz="6" w:space="0"/>
              <w:bottom w:val="single" w:color="auto" w:sz="6" w:space="0"/>
              <w:right w:val="single" w:color="auto" w:sz="12" w:space="0"/>
            </w:tcBorders>
            <w:vAlign w:val="center"/>
          </w:tcPr>
          <w:p w14:paraId="59764112">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不允许</w:t>
            </w:r>
          </w:p>
        </w:tc>
      </w:tr>
      <w:tr w14:paraId="26C7E94B">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4A05F869">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22</w:t>
            </w:r>
          </w:p>
        </w:tc>
        <w:tc>
          <w:tcPr>
            <w:tcW w:w="2175" w:type="dxa"/>
            <w:tcBorders>
              <w:top w:val="single" w:color="auto" w:sz="6" w:space="0"/>
              <w:left w:val="single" w:color="auto" w:sz="6" w:space="0"/>
              <w:bottom w:val="single" w:color="auto" w:sz="6" w:space="0"/>
              <w:right w:val="single" w:color="auto" w:sz="6" w:space="0"/>
            </w:tcBorders>
            <w:vAlign w:val="center"/>
          </w:tcPr>
          <w:p w14:paraId="6217A4B1">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是否接受进口产品</w:t>
            </w:r>
          </w:p>
        </w:tc>
        <w:tc>
          <w:tcPr>
            <w:tcW w:w="7079" w:type="dxa"/>
            <w:tcBorders>
              <w:top w:val="single" w:color="auto" w:sz="6" w:space="0"/>
              <w:left w:val="single" w:color="auto" w:sz="6" w:space="0"/>
              <w:bottom w:val="single" w:color="auto" w:sz="6" w:space="0"/>
              <w:right w:val="single" w:color="auto" w:sz="12" w:space="0"/>
            </w:tcBorders>
            <w:vAlign w:val="center"/>
          </w:tcPr>
          <w:p w14:paraId="4015FE41">
            <w:pPr>
              <w:widowControl w:val="0"/>
              <w:adjustRightInd w:val="0"/>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否</w:t>
            </w:r>
          </w:p>
        </w:tc>
      </w:tr>
      <w:tr w14:paraId="0740BE70">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32FA749D">
            <w:pPr>
              <w:widowControl w:val="0"/>
              <w:adjustRightInd w:val="0"/>
              <w:spacing w:line="360" w:lineRule="auto"/>
              <w:jc w:val="center"/>
              <w:rPr>
                <w:rFonts w:hint="eastAsia"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14:textFill>
                  <w14:solidFill>
                    <w14:schemeClr w14:val="tx1"/>
                  </w14:solidFill>
                </w14:textFill>
              </w:rPr>
              <w:t>2</w:t>
            </w: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3</w:t>
            </w:r>
          </w:p>
        </w:tc>
        <w:tc>
          <w:tcPr>
            <w:tcW w:w="2175" w:type="dxa"/>
            <w:tcBorders>
              <w:top w:val="single" w:color="auto" w:sz="6" w:space="0"/>
              <w:left w:val="single" w:color="auto" w:sz="6" w:space="0"/>
              <w:bottom w:val="single" w:color="auto" w:sz="6" w:space="0"/>
              <w:right w:val="single" w:color="auto" w:sz="6" w:space="0"/>
            </w:tcBorders>
            <w:vAlign w:val="center"/>
          </w:tcPr>
          <w:p w14:paraId="4D5880FA">
            <w:pPr>
              <w:adjustRightInd w:val="0"/>
              <w:snapToGrid w:val="0"/>
              <w:spacing w:line="400" w:lineRule="exact"/>
              <w:jc w:val="center"/>
              <w:rPr>
                <w:rFonts w:hint="eastAsia" w:ascii="宋体" w:hAnsi="宋体" w:cs="宋体"/>
                <w:spacing w:val="-10"/>
                <w:kern w:val="2"/>
                <w:sz w:val="24"/>
                <w:szCs w:val="24"/>
                <w:highlight w:val="none"/>
              </w:rPr>
            </w:pPr>
            <w:r>
              <w:rPr>
                <w:rFonts w:hint="eastAsia" w:ascii="宋体" w:hAnsi="宋体" w:cs="宋体"/>
                <w:sz w:val="24"/>
                <w:highlight w:val="none"/>
              </w:rPr>
              <w:t>构成磋商文件的其他材料</w:t>
            </w:r>
          </w:p>
        </w:tc>
        <w:tc>
          <w:tcPr>
            <w:tcW w:w="7079" w:type="dxa"/>
            <w:tcBorders>
              <w:top w:val="single" w:color="auto" w:sz="6" w:space="0"/>
              <w:left w:val="single" w:color="auto" w:sz="6" w:space="0"/>
              <w:bottom w:val="single" w:color="auto" w:sz="6" w:space="0"/>
              <w:right w:val="single" w:color="auto" w:sz="12" w:space="0"/>
            </w:tcBorders>
            <w:vAlign w:val="center"/>
          </w:tcPr>
          <w:p w14:paraId="5758DDC5">
            <w:pPr>
              <w:adjustRightInd w:val="0"/>
              <w:snapToGrid w:val="0"/>
              <w:spacing w:line="400" w:lineRule="exact"/>
              <w:rPr>
                <w:rFonts w:hint="eastAsia" w:ascii="宋体" w:hAnsi="宋体" w:cs="宋体"/>
                <w:spacing w:val="-10"/>
                <w:kern w:val="2"/>
                <w:sz w:val="24"/>
                <w:szCs w:val="24"/>
                <w:highlight w:val="none"/>
              </w:rPr>
            </w:pPr>
            <w:r>
              <w:rPr>
                <w:rFonts w:hint="eastAsia" w:ascii="宋体" w:hAnsi="宋体" w:cs="宋体"/>
                <w:sz w:val="24"/>
                <w:highlight w:val="none"/>
              </w:rPr>
              <w:t>对磋商文件所作的澄清（含答疑）、修改，补充构成磋商文件的组成部分</w:t>
            </w:r>
          </w:p>
        </w:tc>
      </w:tr>
      <w:tr w14:paraId="2D96FA17">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9D6896E">
            <w:pPr>
              <w:widowControl w:val="0"/>
              <w:adjustRightInd w:val="0"/>
              <w:spacing w:line="360" w:lineRule="auto"/>
              <w:jc w:val="center"/>
              <w:rPr>
                <w:rFonts w:hint="default"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24</w:t>
            </w:r>
          </w:p>
        </w:tc>
        <w:tc>
          <w:tcPr>
            <w:tcW w:w="2175" w:type="dxa"/>
            <w:tcBorders>
              <w:top w:val="single" w:color="auto" w:sz="6" w:space="0"/>
              <w:left w:val="single" w:color="auto" w:sz="6" w:space="0"/>
              <w:bottom w:val="single" w:color="auto" w:sz="6" w:space="0"/>
              <w:right w:val="single" w:color="auto" w:sz="6" w:space="0"/>
            </w:tcBorders>
            <w:vAlign w:val="center"/>
          </w:tcPr>
          <w:p w14:paraId="16632A63">
            <w:pPr>
              <w:spacing w:line="400" w:lineRule="exact"/>
              <w:jc w:val="center"/>
              <w:rPr>
                <w:rFonts w:hint="eastAsia" w:ascii="宋体" w:hAnsi="宋体" w:cs="宋体"/>
                <w:spacing w:val="-10"/>
                <w:kern w:val="2"/>
                <w:sz w:val="24"/>
                <w:szCs w:val="24"/>
                <w:highlight w:val="none"/>
              </w:rPr>
            </w:pPr>
            <w:r>
              <w:rPr>
                <w:rFonts w:hint="eastAsia" w:ascii="宋体" w:hAnsi="宋体" w:cs="宋体"/>
                <w:sz w:val="24"/>
                <w:szCs w:val="24"/>
                <w:highlight w:val="none"/>
              </w:rPr>
              <w:t>响应人要求澄清竞争性磋商文件的截止时间</w:t>
            </w:r>
          </w:p>
        </w:tc>
        <w:tc>
          <w:tcPr>
            <w:tcW w:w="7079" w:type="dxa"/>
            <w:tcBorders>
              <w:top w:val="single" w:color="auto" w:sz="6" w:space="0"/>
              <w:left w:val="single" w:color="auto" w:sz="6" w:space="0"/>
              <w:bottom w:val="single" w:color="auto" w:sz="6" w:space="0"/>
              <w:right w:val="single" w:color="auto" w:sz="12" w:space="0"/>
            </w:tcBorders>
            <w:vAlign w:val="center"/>
          </w:tcPr>
          <w:p w14:paraId="755DE13E">
            <w:pPr>
              <w:spacing w:line="400" w:lineRule="exact"/>
              <w:rPr>
                <w:rFonts w:hint="eastAsia" w:ascii="宋体" w:hAnsi="宋体" w:cs="宋体"/>
                <w:spacing w:val="-10"/>
                <w:kern w:val="2"/>
                <w:sz w:val="24"/>
                <w:szCs w:val="24"/>
                <w:highlight w:val="none"/>
              </w:rPr>
            </w:pPr>
            <w:r>
              <w:rPr>
                <w:rFonts w:hint="eastAsia" w:ascii="宋体" w:hAnsi="宋体" w:cs="宋体"/>
                <w:sz w:val="24"/>
                <w:szCs w:val="24"/>
                <w:highlight w:val="none"/>
              </w:rPr>
              <w:t>响应文件递交截止时间5日前</w:t>
            </w:r>
          </w:p>
        </w:tc>
      </w:tr>
      <w:tr w14:paraId="0433FA9A">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140513DB">
            <w:pPr>
              <w:widowControl w:val="0"/>
              <w:adjustRightInd w:val="0"/>
              <w:spacing w:line="360" w:lineRule="auto"/>
              <w:jc w:val="center"/>
              <w:rPr>
                <w:rFonts w:hint="default"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25</w:t>
            </w:r>
          </w:p>
        </w:tc>
        <w:tc>
          <w:tcPr>
            <w:tcW w:w="2175" w:type="dxa"/>
            <w:tcBorders>
              <w:top w:val="single" w:color="auto" w:sz="6" w:space="0"/>
              <w:left w:val="single" w:color="auto" w:sz="6" w:space="0"/>
              <w:bottom w:val="single" w:color="auto" w:sz="6" w:space="0"/>
              <w:right w:val="single" w:color="auto" w:sz="6" w:space="0"/>
            </w:tcBorders>
            <w:vAlign w:val="center"/>
          </w:tcPr>
          <w:p w14:paraId="647D1738">
            <w:pPr>
              <w:spacing w:line="400" w:lineRule="exact"/>
              <w:ind w:left="240" w:hanging="240" w:hangingChars="100"/>
              <w:jc w:val="center"/>
              <w:rPr>
                <w:rFonts w:hint="eastAsia" w:ascii="宋体" w:hAnsi="宋体" w:cs="宋体"/>
                <w:spacing w:val="-10"/>
                <w:kern w:val="2"/>
                <w:sz w:val="24"/>
                <w:szCs w:val="24"/>
                <w:highlight w:val="none"/>
              </w:rPr>
            </w:pPr>
            <w:r>
              <w:rPr>
                <w:rFonts w:hint="eastAsia" w:ascii="宋体" w:hAnsi="宋体" w:cs="宋体"/>
                <w:sz w:val="24"/>
                <w:szCs w:val="24"/>
                <w:highlight w:val="none"/>
              </w:rPr>
              <w:t>响应文件</w:t>
            </w:r>
            <w:r>
              <w:rPr>
                <w:rFonts w:hint="eastAsia" w:ascii="宋体" w:hAnsi="宋体" w:cs="宋体"/>
                <w:sz w:val="24"/>
                <w:szCs w:val="24"/>
                <w:highlight w:val="none"/>
                <w:lang w:val="en-US" w:eastAsia="zh-CN"/>
              </w:rPr>
              <w:t>提交</w:t>
            </w:r>
            <w:r>
              <w:rPr>
                <w:rFonts w:hint="eastAsia" w:ascii="宋体" w:hAnsi="宋体" w:cs="宋体"/>
                <w:sz w:val="24"/>
                <w:szCs w:val="24"/>
                <w:highlight w:val="none"/>
              </w:rPr>
              <w:t>截止时间</w:t>
            </w:r>
          </w:p>
        </w:tc>
        <w:tc>
          <w:tcPr>
            <w:tcW w:w="7079" w:type="dxa"/>
            <w:tcBorders>
              <w:top w:val="single" w:color="auto" w:sz="6" w:space="0"/>
              <w:left w:val="single" w:color="auto" w:sz="6" w:space="0"/>
              <w:bottom w:val="single" w:color="auto" w:sz="6" w:space="0"/>
              <w:right w:val="single" w:color="auto" w:sz="12" w:space="0"/>
            </w:tcBorders>
            <w:vAlign w:val="center"/>
          </w:tcPr>
          <w:p w14:paraId="2DF0A699">
            <w:pPr>
              <w:spacing w:line="400" w:lineRule="exact"/>
              <w:rPr>
                <w:rFonts w:hint="eastAsia" w:ascii="宋体" w:hAnsi="宋体" w:cs="宋体"/>
                <w:spacing w:val="-10"/>
                <w:kern w:val="2"/>
                <w:sz w:val="24"/>
                <w:szCs w:val="24"/>
                <w:highlight w:val="none"/>
              </w:rPr>
            </w:pPr>
            <w:r>
              <w:rPr>
                <w:rFonts w:hint="eastAsia" w:ascii="宋体" w:hAnsi="宋体" w:cs="宋体"/>
                <w:spacing w:val="6"/>
                <w:kern w:val="2"/>
                <w:sz w:val="24"/>
                <w:szCs w:val="24"/>
                <w:highlight w:val="none"/>
              </w:rPr>
              <w:t>具体详见公告部分</w:t>
            </w:r>
          </w:p>
        </w:tc>
      </w:tr>
      <w:tr w14:paraId="420B11EB">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9219034">
            <w:pPr>
              <w:widowControl w:val="0"/>
              <w:adjustRightInd w:val="0"/>
              <w:spacing w:line="360" w:lineRule="auto"/>
              <w:jc w:val="center"/>
              <w:rPr>
                <w:rFonts w:hint="default"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26</w:t>
            </w:r>
          </w:p>
        </w:tc>
        <w:tc>
          <w:tcPr>
            <w:tcW w:w="2175" w:type="dxa"/>
            <w:tcBorders>
              <w:top w:val="single" w:color="auto" w:sz="6" w:space="0"/>
              <w:left w:val="single" w:color="auto" w:sz="6" w:space="0"/>
              <w:bottom w:val="single" w:color="auto" w:sz="6" w:space="0"/>
              <w:right w:val="single" w:color="auto" w:sz="6" w:space="0"/>
            </w:tcBorders>
            <w:vAlign w:val="center"/>
          </w:tcPr>
          <w:p w14:paraId="77A605CF">
            <w:pPr>
              <w:spacing w:line="400" w:lineRule="exact"/>
              <w:jc w:val="center"/>
              <w:rPr>
                <w:rFonts w:hint="eastAsia" w:ascii="宋体" w:hAnsi="宋体" w:cs="宋体"/>
                <w:spacing w:val="-10"/>
                <w:kern w:val="2"/>
                <w:sz w:val="24"/>
                <w:szCs w:val="24"/>
                <w:highlight w:val="none"/>
              </w:rPr>
            </w:pPr>
            <w:r>
              <w:rPr>
                <w:rFonts w:hint="eastAsia" w:ascii="宋体" w:hAnsi="宋体" w:cs="宋体"/>
                <w:sz w:val="24"/>
                <w:szCs w:val="24"/>
                <w:highlight w:val="none"/>
              </w:rPr>
              <w:t>响应人确认收到竞争性磋商文件澄清的时间</w:t>
            </w:r>
          </w:p>
        </w:tc>
        <w:tc>
          <w:tcPr>
            <w:tcW w:w="7079" w:type="dxa"/>
            <w:tcBorders>
              <w:top w:val="single" w:color="auto" w:sz="6" w:space="0"/>
              <w:left w:val="single" w:color="auto" w:sz="6" w:space="0"/>
              <w:bottom w:val="single" w:color="auto" w:sz="6" w:space="0"/>
              <w:right w:val="single" w:color="auto" w:sz="12" w:space="0"/>
            </w:tcBorders>
            <w:vAlign w:val="center"/>
          </w:tcPr>
          <w:p w14:paraId="3739DE1F">
            <w:pPr>
              <w:spacing w:line="400" w:lineRule="exact"/>
              <w:rPr>
                <w:rFonts w:hint="eastAsia" w:ascii="宋体" w:hAnsi="宋体" w:cs="宋体"/>
                <w:spacing w:val="-10"/>
                <w:kern w:val="2"/>
                <w:sz w:val="24"/>
                <w:szCs w:val="24"/>
                <w:highlight w:val="none"/>
              </w:rPr>
            </w:pPr>
            <w:r>
              <w:rPr>
                <w:rFonts w:hint="eastAsia" w:ascii="宋体" w:hAnsi="宋体" w:cs="宋体"/>
                <w:sz w:val="24"/>
                <w:szCs w:val="24"/>
                <w:highlight w:val="none"/>
              </w:rPr>
              <w:t>在收到相应澄清文件后</w:t>
            </w:r>
            <w:r>
              <w:rPr>
                <w:rFonts w:hint="eastAsia" w:ascii="宋体" w:hAnsi="宋体" w:cs="宋体"/>
                <w:sz w:val="24"/>
                <w:szCs w:val="24"/>
                <w:highlight w:val="none"/>
                <w:u w:val="single"/>
              </w:rPr>
              <w:t xml:space="preserve"> 24 </w:t>
            </w:r>
            <w:r>
              <w:rPr>
                <w:rFonts w:hint="eastAsia" w:ascii="宋体" w:hAnsi="宋体" w:cs="宋体"/>
                <w:sz w:val="24"/>
                <w:szCs w:val="24"/>
                <w:highlight w:val="none"/>
              </w:rPr>
              <w:t>小时内</w:t>
            </w:r>
          </w:p>
        </w:tc>
      </w:tr>
      <w:tr w14:paraId="06C3B077">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3DBB493A">
            <w:pPr>
              <w:widowControl w:val="0"/>
              <w:adjustRightInd w:val="0"/>
              <w:spacing w:line="360" w:lineRule="auto"/>
              <w:jc w:val="center"/>
              <w:rPr>
                <w:rFonts w:hint="default" w:ascii="宋体" w:hAnsi="宋体" w:eastAsia="宋体" w:cs="宋体"/>
                <w:color w:val="000000" w:themeColor="text1"/>
                <w:spacing w:val="6"/>
                <w:kern w:val="2"/>
                <w:sz w:val="24"/>
                <w:szCs w:val="24"/>
                <w:highlight w:val="none"/>
                <w:lang w:val="en-US" w:eastAsia="zh-CN"/>
                <w14:textFill>
                  <w14:solidFill>
                    <w14:schemeClr w14:val="tx1"/>
                  </w14:solidFill>
                </w14:textFill>
              </w:rPr>
            </w:pPr>
            <w:r>
              <w:rPr>
                <w:rFonts w:hint="eastAsia" w:ascii="宋体" w:hAnsi="宋体" w:cs="宋体"/>
                <w:color w:val="000000" w:themeColor="text1"/>
                <w:spacing w:val="6"/>
                <w:kern w:val="2"/>
                <w:sz w:val="24"/>
                <w:szCs w:val="24"/>
                <w:highlight w:val="none"/>
                <w:lang w:val="en-US" w:eastAsia="zh-CN"/>
                <w14:textFill>
                  <w14:solidFill>
                    <w14:schemeClr w14:val="tx1"/>
                  </w14:solidFill>
                </w14:textFill>
              </w:rPr>
              <w:t>27</w:t>
            </w:r>
          </w:p>
        </w:tc>
        <w:tc>
          <w:tcPr>
            <w:tcW w:w="2175" w:type="dxa"/>
            <w:tcBorders>
              <w:top w:val="single" w:color="auto" w:sz="6" w:space="0"/>
              <w:left w:val="single" w:color="auto" w:sz="6" w:space="0"/>
              <w:bottom w:val="single" w:color="auto" w:sz="6" w:space="0"/>
              <w:right w:val="single" w:color="auto" w:sz="6" w:space="0"/>
            </w:tcBorders>
            <w:vAlign w:val="center"/>
          </w:tcPr>
          <w:p w14:paraId="54F4FC47">
            <w:pPr>
              <w:spacing w:line="400" w:lineRule="exact"/>
              <w:jc w:val="center"/>
              <w:rPr>
                <w:rFonts w:hint="eastAsia" w:ascii="宋体" w:hAnsi="宋体" w:cs="宋体"/>
                <w:spacing w:val="-10"/>
                <w:kern w:val="2"/>
                <w:sz w:val="24"/>
                <w:szCs w:val="24"/>
                <w:highlight w:val="none"/>
              </w:rPr>
            </w:pPr>
            <w:r>
              <w:rPr>
                <w:rFonts w:hint="eastAsia" w:ascii="宋体" w:hAnsi="宋体" w:cs="宋体"/>
                <w:sz w:val="24"/>
                <w:szCs w:val="24"/>
                <w:highlight w:val="none"/>
              </w:rPr>
              <w:t>响应人确认收到竞争性磋商文件修改的时间</w:t>
            </w:r>
          </w:p>
        </w:tc>
        <w:tc>
          <w:tcPr>
            <w:tcW w:w="7079" w:type="dxa"/>
            <w:tcBorders>
              <w:top w:val="single" w:color="auto" w:sz="6" w:space="0"/>
              <w:left w:val="single" w:color="auto" w:sz="6" w:space="0"/>
              <w:bottom w:val="single" w:color="auto" w:sz="6" w:space="0"/>
              <w:right w:val="single" w:color="auto" w:sz="12" w:space="0"/>
            </w:tcBorders>
            <w:vAlign w:val="center"/>
          </w:tcPr>
          <w:p w14:paraId="557F1133">
            <w:pPr>
              <w:spacing w:line="400" w:lineRule="exact"/>
              <w:rPr>
                <w:rFonts w:hint="eastAsia" w:ascii="宋体" w:hAnsi="宋体" w:cs="宋体"/>
                <w:spacing w:val="-10"/>
                <w:kern w:val="2"/>
                <w:sz w:val="24"/>
                <w:szCs w:val="24"/>
                <w:highlight w:val="none"/>
              </w:rPr>
            </w:pPr>
            <w:r>
              <w:rPr>
                <w:rFonts w:hint="eastAsia" w:ascii="宋体" w:hAnsi="宋体" w:cs="宋体"/>
                <w:sz w:val="24"/>
                <w:szCs w:val="24"/>
                <w:highlight w:val="none"/>
              </w:rPr>
              <w:t>在收到相应修改文件后</w:t>
            </w:r>
            <w:r>
              <w:rPr>
                <w:rFonts w:hint="eastAsia" w:ascii="宋体" w:hAnsi="宋体" w:cs="宋体"/>
                <w:sz w:val="24"/>
                <w:szCs w:val="24"/>
                <w:highlight w:val="none"/>
                <w:u w:val="single"/>
              </w:rPr>
              <w:t xml:space="preserve"> 24</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小时内</w:t>
            </w:r>
          </w:p>
        </w:tc>
      </w:tr>
      <w:tr w14:paraId="77092CE2">
        <w:tblPrEx>
          <w:tblCellMar>
            <w:top w:w="0" w:type="dxa"/>
            <w:left w:w="108" w:type="dxa"/>
            <w:bottom w:w="0" w:type="dxa"/>
            <w:right w:w="108" w:type="dxa"/>
          </w:tblCellMar>
        </w:tblPrEx>
        <w:trPr>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1C557E07">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28</w:t>
            </w:r>
          </w:p>
        </w:tc>
        <w:tc>
          <w:tcPr>
            <w:tcW w:w="2175" w:type="dxa"/>
            <w:tcBorders>
              <w:top w:val="single" w:color="auto" w:sz="6" w:space="0"/>
              <w:left w:val="single" w:color="auto" w:sz="6" w:space="0"/>
              <w:bottom w:val="single" w:color="auto" w:sz="6" w:space="0"/>
              <w:right w:val="single" w:color="auto" w:sz="6" w:space="0"/>
            </w:tcBorders>
            <w:vAlign w:val="center"/>
          </w:tcPr>
          <w:p w14:paraId="16D0A03F">
            <w:pPr>
              <w:widowControl w:val="0"/>
              <w:adjustRightInd w:val="0"/>
              <w:spacing w:line="360" w:lineRule="auto"/>
              <w:jc w:val="center"/>
              <w:rPr>
                <w:rFonts w:hint="eastAsia" w:ascii="宋体" w:hAnsi="宋体" w:cs="宋体"/>
                <w:spacing w:val="-10"/>
                <w:kern w:val="2"/>
                <w:sz w:val="24"/>
                <w:szCs w:val="24"/>
                <w:highlight w:val="none"/>
              </w:rPr>
            </w:pPr>
            <w:r>
              <w:rPr>
                <w:rFonts w:hint="eastAsia" w:ascii="宋体" w:hAnsi="宋体" w:cs="宋体"/>
                <w:spacing w:val="-10"/>
                <w:kern w:val="2"/>
                <w:sz w:val="24"/>
                <w:szCs w:val="24"/>
                <w:highlight w:val="none"/>
              </w:rPr>
              <w:t>响应文件是否退还</w:t>
            </w:r>
          </w:p>
        </w:tc>
        <w:tc>
          <w:tcPr>
            <w:tcW w:w="7079" w:type="dxa"/>
            <w:tcBorders>
              <w:top w:val="single" w:color="auto" w:sz="6" w:space="0"/>
              <w:left w:val="single" w:color="auto" w:sz="6" w:space="0"/>
              <w:bottom w:val="single" w:color="auto" w:sz="6" w:space="0"/>
              <w:right w:val="single" w:color="auto" w:sz="12" w:space="0"/>
            </w:tcBorders>
            <w:vAlign w:val="center"/>
          </w:tcPr>
          <w:p w14:paraId="5CA05239">
            <w:pPr>
              <w:widowControl w:val="0"/>
              <w:adjustRightInd w:val="0"/>
              <w:spacing w:line="360" w:lineRule="auto"/>
              <w:jc w:val="both"/>
              <w:rPr>
                <w:rFonts w:hint="eastAsia" w:ascii="宋体" w:hAnsi="宋体" w:cs="宋体"/>
                <w:spacing w:val="-10"/>
                <w:kern w:val="2"/>
                <w:sz w:val="24"/>
                <w:szCs w:val="24"/>
                <w:highlight w:val="none"/>
              </w:rPr>
            </w:pPr>
            <w:r>
              <w:rPr>
                <w:rFonts w:hint="eastAsia" w:ascii="宋体" w:hAnsi="宋体" w:cs="宋体"/>
                <w:spacing w:val="-10"/>
                <w:kern w:val="2"/>
                <w:sz w:val="24"/>
                <w:szCs w:val="24"/>
                <w:highlight w:val="none"/>
              </w:rPr>
              <w:t>否</w:t>
            </w:r>
          </w:p>
        </w:tc>
        <w:tc>
          <w:tcPr>
            <w:tcW w:w="4487" w:type="dxa"/>
            <w:vAlign w:val="center"/>
          </w:tcPr>
          <w:p w14:paraId="0D7F3D89">
            <w:pPr>
              <w:widowControl w:val="0"/>
              <w:adjustRightInd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20</w:t>
            </w:r>
          </w:p>
        </w:tc>
        <w:tc>
          <w:tcPr>
            <w:tcW w:w="5814" w:type="dxa"/>
            <w:vAlign w:val="center"/>
          </w:tcPr>
          <w:p w14:paraId="656868AA">
            <w:pPr>
              <w:widowControl w:val="0"/>
              <w:adjustRightInd w:val="0"/>
              <w:spacing w:line="360" w:lineRule="auto"/>
              <w:jc w:val="center"/>
              <w:rPr>
                <w:rFonts w:hint="eastAsia" w:ascii="宋体" w:hAnsi="宋体" w:cs="宋体"/>
                <w:spacing w:val="-10"/>
                <w:kern w:val="2"/>
                <w:sz w:val="24"/>
                <w:szCs w:val="24"/>
                <w:highlight w:val="none"/>
              </w:rPr>
            </w:pPr>
            <w:r>
              <w:rPr>
                <w:rFonts w:ascii="宋体" w:hAnsi="宋体" w:cs="宋体"/>
                <w:spacing w:val="-10"/>
                <w:kern w:val="2"/>
                <w:sz w:val="24"/>
                <w:szCs w:val="24"/>
                <w:highlight w:val="none"/>
              </w:rPr>
              <w:t>磋商</w:t>
            </w:r>
            <w:r>
              <w:rPr>
                <w:rFonts w:hint="eastAsia" w:ascii="宋体" w:hAnsi="宋体" w:cs="宋体"/>
                <w:spacing w:val="-10"/>
                <w:kern w:val="2"/>
                <w:sz w:val="24"/>
                <w:szCs w:val="24"/>
                <w:highlight w:val="none"/>
              </w:rPr>
              <w:t>文件递交截止时间</w:t>
            </w:r>
          </w:p>
        </w:tc>
        <w:tc>
          <w:tcPr>
            <w:tcW w:w="5814" w:type="dxa"/>
            <w:vAlign w:val="center"/>
          </w:tcPr>
          <w:p w14:paraId="71842EED">
            <w:pPr>
              <w:widowControl w:val="0"/>
              <w:spacing w:line="360" w:lineRule="auto"/>
              <w:jc w:val="both"/>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具体详见公告部分</w:t>
            </w:r>
          </w:p>
        </w:tc>
      </w:tr>
      <w:tr w14:paraId="7941B566">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360BE4CB">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29</w:t>
            </w:r>
          </w:p>
        </w:tc>
        <w:tc>
          <w:tcPr>
            <w:tcW w:w="2175" w:type="dxa"/>
            <w:tcBorders>
              <w:top w:val="single" w:color="auto" w:sz="6" w:space="0"/>
              <w:left w:val="single" w:color="auto" w:sz="6" w:space="0"/>
              <w:bottom w:val="single" w:color="auto" w:sz="6" w:space="0"/>
              <w:right w:val="single" w:color="auto" w:sz="6" w:space="0"/>
            </w:tcBorders>
            <w:vAlign w:val="center"/>
          </w:tcPr>
          <w:p w14:paraId="015521FB">
            <w:pPr>
              <w:widowControl w:val="0"/>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是否允许递交备选磋商方案</w:t>
            </w:r>
          </w:p>
        </w:tc>
        <w:tc>
          <w:tcPr>
            <w:tcW w:w="7079" w:type="dxa"/>
            <w:tcBorders>
              <w:top w:val="single" w:color="auto" w:sz="6" w:space="0"/>
              <w:left w:val="single" w:color="auto" w:sz="6" w:space="0"/>
              <w:bottom w:val="single" w:color="auto" w:sz="6" w:space="0"/>
              <w:right w:val="single" w:color="auto" w:sz="12" w:space="0"/>
            </w:tcBorders>
            <w:vAlign w:val="center"/>
          </w:tcPr>
          <w:p w14:paraId="3A0552AE">
            <w:pPr>
              <w:spacing w:line="360" w:lineRule="auto"/>
              <w:jc w:val="both"/>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不允许</w:t>
            </w:r>
          </w:p>
        </w:tc>
      </w:tr>
      <w:tr w14:paraId="04D0D21C">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68D90DB4">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30</w:t>
            </w:r>
          </w:p>
        </w:tc>
        <w:tc>
          <w:tcPr>
            <w:tcW w:w="2175" w:type="dxa"/>
            <w:tcBorders>
              <w:top w:val="single" w:color="auto" w:sz="6" w:space="0"/>
              <w:left w:val="single" w:color="auto" w:sz="6" w:space="0"/>
              <w:bottom w:val="single" w:color="auto" w:sz="6" w:space="0"/>
              <w:right w:val="single" w:color="auto" w:sz="6" w:space="0"/>
            </w:tcBorders>
            <w:vAlign w:val="center"/>
          </w:tcPr>
          <w:p w14:paraId="69EF91C6">
            <w:pPr>
              <w:widowControl w:val="0"/>
              <w:adjustRightInd w:val="0"/>
              <w:spacing w:line="360" w:lineRule="auto"/>
              <w:jc w:val="center"/>
              <w:rPr>
                <w:rFonts w:hint="eastAsia" w:ascii="宋体" w:hAnsi="宋体" w:cs="宋体"/>
                <w:kern w:val="2"/>
                <w:sz w:val="24"/>
                <w:szCs w:val="24"/>
                <w:highlight w:val="none"/>
              </w:rPr>
            </w:pPr>
            <w:r>
              <w:rPr>
                <w:rFonts w:ascii="宋体" w:hAnsi="宋体" w:cs="宋体"/>
                <w:spacing w:val="6"/>
                <w:kern w:val="2"/>
                <w:sz w:val="24"/>
                <w:szCs w:val="24"/>
                <w:highlight w:val="none"/>
              </w:rPr>
              <w:t>磋商有效</w:t>
            </w:r>
            <w:r>
              <w:rPr>
                <w:rFonts w:ascii="宋体" w:hAnsi="宋体" w:cs="宋体"/>
                <w:kern w:val="2"/>
                <w:sz w:val="24"/>
                <w:szCs w:val="24"/>
                <w:highlight w:val="none"/>
              </w:rPr>
              <w:t>期</w:t>
            </w:r>
          </w:p>
        </w:tc>
        <w:tc>
          <w:tcPr>
            <w:tcW w:w="7079" w:type="dxa"/>
            <w:tcBorders>
              <w:top w:val="single" w:color="auto" w:sz="6" w:space="0"/>
              <w:left w:val="single" w:color="auto" w:sz="6" w:space="0"/>
              <w:bottom w:val="single" w:color="auto" w:sz="6" w:space="0"/>
              <w:right w:val="single" w:color="auto" w:sz="12" w:space="0"/>
            </w:tcBorders>
            <w:vAlign w:val="center"/>
          </w:tcPr>
          <w:p w14:paraId="26B83B8A">
            <w:pPr>
              <w:widowControl w:val="0"/>
              <w:adjustRightInd w:val="0"/>
              <w:spacing w:line="360" w:lineRule="auto"/>
              <w:jc w:val="both"/>
              <w:rPr>
                <w:rFonts w:hint="eastAsia" w:ascii="宋体" w:hAnsi="宋体" w:cs="宋体"/>
                <w:spacing w:val="6"/>
                <w:kern w:val="2"/>
                <w:sz w:val="24"/>
                <w:szCs w:val="24"/>
                <w:highlight w:val="none"/>
              </w:rPr>
            </w:pPr>
            <w:r>
              <w:rPr>
                <w:rFonts w:hint="eastAsia" w:ascii="宋体" w:hAnsi="宋体" w:cs="宋体"/>
                <w:sz w:val="24"/>
                <w:szCs w:val="24"/>
                <w:highlight w:val="none"/>
              </w:rPr>
              <w:t>磋商截止之日起60日历天</w:t>
            </w:r>
          </w:p>
        </w:tc>
      </w:tr>
      <w:tr w14:paraId="56AAF0AA">
        <w:tblPrEx>
          <w:tblCellMar>
            <w:top w:w="0" w:type="dxa"/>
            <w:left w:w="108" w:type="dxa"/>
            <w:bottom w:w="0" w:type="dxa"/>
            <w:right w:w="108" w:type="dxa"/>
          </w:tblCellMar>
        </w:tblPrEx>
        <w:trPr>
          <w:gridAfter w:val="3"/>
          <w:wAfter w:w="16115" w:type="dxa"/>
          <w:trHeight w:val="552" w:hRule="atLeast"/>
        </w:trPr>
        <w:tc>
          <w:tcPr>
            <w:tcW w:w="862" w:type="dxa"/>
            <w:tcBorders>
              <w:top w:val="single" w:color="auto" w:sz="6" w:space="0"/>
              <w:left w:val="single" w:color="auto" w:sz="12" w:space="0"/>
              <w:bottom w:val="single" w:color="auto" w:sz="6" w:space="0"/>
              <w:right w:val="single" w:color="auto" w:sz="6" w:space="0"/>
            </w:tcBorders>
            <w:vAlign w:val="center"/>
          </w:tcPr>
          <w:p w14:paraId="5A193FC2">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31</w:t>
            </w:r>
          </w:p>
        </w:tc>
        <w:tc>
          <w:tcPr>
            <w:tcW w:w="2175" w:type="dxa"/>
            <w:tcBorders>
              <w:top w:val="single" w:color="auto" w:sz="6" w:space="0"/>
              <w:left w:val="single" w:color="auto" w:sz="6" w:space="0"/>
              <w:bottom w:val="single" w:color="auto" w:sz="6" w:space="0"/>
              <w:right w:val="single" w:color="auto" w:sz="6" w:space="0"/>
            </w:tcBorders>
            <w:vAlign w:val="center"/>
          </w:tcPr>
          <w:p w14:paraId="15AFC92D">
            <w:pPr>
              <w:spacing w:line="400" w:lineRule="exact"/>
              <w:jc w:val="center"/>
              <w:rPr>
                <w:rFonts w:hint="eastAsia" w:ascii="宋体" w:hAnsi="宋体" w:cs="宋体"/>
                <w:kern w:val="2"/>
                <w:sz w:val="24"/>
                <w:szCs w:val="24"/>
                <w:highlight w:val="none"/>
              </w:rPr>
            </w:pPr>
            <w:r>
              <w:rPr>
                <w:rFonts w:hint="eastAsia" w:ascii="宋体" w:hAnsi="宋体" w:cs="宋体"/>
                <w:sz w:val="24"/>
                <w:szCs w:val="24"/>
                <w:highlight w:val="none"/>
              </w:rPr>
              <w:t>签字和（或）盖章要求</w:t>
            </w:r>
          </w:p>
        </w:tc>
        <w:tc>
          <w:tcPr>
            <w:tcW w:w="7079" w:type="dxa"/>
            <w:tcBorders>
              <w:top w:val="single" w:color="auto" w:sz="6" w:space="0"/>
              <w:left w:val="single" w:color="auto" w:sz="6" w:space="0"/>
              <w:bottom w:val="single" w:color="auto" w:sz="6" w:space="0"/>
              <w:right w:val="single" w:color="auto" w:sz="12" w:space="0"/>
            </w:tcBorders>
            <w:vAlign w:val="center"/>
          </w:tcPr>
          <w:p w14:paraId="13C572B5">
            <w:pPr>
              <w:spacing w:line="360" w:lineRule="auto"/>
              <w:rPr>
                <w:rFonts w:hint="eastAsia" w:ascii="宋体" w:hAnsi="宋体" w:cs="宋体"/>
                <w:sz w:val="24"/>
                <w:szCs w:val="24"/>
                <w:highlight w:val="none"/>
              </w:rPr>
            </w:pPr>
            <w:r>
              <w:rPr>
                <w:rFonts w:hint="eastAsia" w:ascii="宋体" w:hAnsi="宋体" w:cs="宋体"/>
                <w:sz w:val="24"/>
                <w:szCs w:val="24"/>
                <w:highlight w:val="none"/>
              </w:rPr>
              <w:t>电子化响应文件的签章：</w:t>
            </w:r>
          </w:p>
          <w:p w14:paraId="18CE3571">
            <w:pPr>
              <w:spacing w:line="360" w:lineRule="auto"/>
              <w:rPr>
                <w:rFonts w:hint="eastAsia" w:ascii="宋体" w:hAnsi="宋体" w:cs="宋体"/>
                <w:sz w:val="24"/>
                <w:szCs w:val="24"/>
                <w:highlight w:val="none"/>
              </w:rPr>
            </w:pPr>
            <w:r>
              <w:rPr>
                <w:rFonts w:hint="eastAsia" w:ascii="宋体" w:hAnsi="宋体" w:cs="宋体"/>
                <w:sz w:val="24"/>
                <w:szCs w:val="24"/>
                <w:highlight w:val="none"/>
              </w:rPr>
              <w:t>1、响应人在生成电子化响应文件后，应对电子化响应文件进行签章，未对电子化响应文件进行签章的视为无效文件。</w:t>
            </w:r>
          </w:p>
          <w:p w14:paraId="39E4DF8E">
            <w:pPr>
              <w:spacing w:line="360" w:lineRule="auto"/>
              <w:rPr>
                <w:rFonts w:hint="eastAsia" w:ascii="宋体" w:hAnsi="宋体" w:cs="宋体"/>
                <w:sz w:val="24"/>
                <w:szCs w:val="24"/>
                <w:highlight w:val="none"/>
              </w:rPr>
            </w:pPr>
            <w:r>
              <w:rPr>
                <w:rFonts w:hint="eastAsia" w:ascii="宋体" w:hAnsi="宋体" w:cs="宋体"/>
                <w:sz w:val="24"/>
                <w:szCs w:val="24"/>
                <w:highlight w:val="none"/>
              </w:rPr>
              <w:t>2、竞争性磋商文件中要求法定代表人或授权委托人盖章的，响应人在进行电子化响应文件签章时，以签盖法定代表人签章为准。</w:t>
            </w:r>
          </w:p>
          <w:p w14:paraId="1C612A92">
            <w:pPr>
              <w:wordWrap w:val="0"/>
              <w:spacing w:line="360" w:lineRule="auto"/>
              <w:rPr>
                <w:rFonts w:hint="eastAsia" w:ascii="宋体" w:hAnsi="宋体" w:cs="宋体"/>
                <w:sz w:val="24"/>
                <w:highlight w:val="none"/>
              </w:rPr>
            </w:pPr>
            <w:r>
              <w:rPr>
                <w:rFonts w:hint="eastAsia" w:ascii="宋体" w:hAnsi="宋体" w:cs="宋体"/>
                <w:sz w:val="24"/>
                <w:szCs w:val="24"/>
                <w:highlight w:val="none"/>
              </w:rPr>
              <w:t>3、电子化响应文件工具请点击</w:t>
            </w:r>
            <w:r>
              <w:rPr>
                <w:rFonts w:ascii="宋体" w:hAnsi="宋体" w:cs="宋体"/>
                <w:sz w:val="24"/>
                <w:szCs w:val="24"/>
                <w:highlight w:val="none"/>
              </w:rPr>
              <w:t>https://download.bqpoint.com/download/downloadlist.html?SoftTypeCode=06</w:t>
            </w:r>
            <w:r>
              <w:rPr>
                <w:rFonts w:hint="eastAsia" w:ascii="宋体" w:hAnsi="宋体" w:cs="宋体"/>
                <w:sz w:val="24"/>
                <w:szCs w:val="24"/>
                <w:highlight w:val="none"/>
              </w:rPr>
              <w:t>进行下载。</w:t>
            </w:r>
          </w:p>
        </w:tc>
      </w:tr>
      <w:tr w14:paraId="19E7E810">
        <w:tblPrEx>
          <w:tblCellMar>
            <w:top w:w="0" w:type="dxa"/>
            <w:left w:w="108" w:type="dxa"/>
            <w:bottom w:w="0" w:type="dxa"/>
            <w:right w:w="108" w:type="dxa"/>
          </w:tblCellMar>
        </w:tblPrEx>
        <w:trPr>
          <w:gridAfter w:val="3"/>
          <w:wAfter w:w="16115" w:type="dxa"/>
          <w:trHeight w:val="406" w:hRule="atLeast"/>
        </w:trPr>
        <w:tc>
          <w:tcPr>
            <w:tcW w:w="862" w:type="dxa"/>
            <w:tcBorders>
              <w:top w:val="single" w:color="auto" w:sz="6" w:space="0"/>
              <w:left w:val="single" w:color="auto" w:sz="12" w:space="0"/>
              <w:bottom w:val="single" w:color="auto" w:sz="6" w:space="0"/>
              <w:right w:val="single" w:color="auto" w:sz="6" w:space="0"/>
            </w:tcBorders>
            <w:vAlign w:val="center"/>
          </w:tcPr>
          <w:p w14:paraId="76DF8A7D">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32</w:t>
            </w:r>
          </w:p>
        </w:tc>
        <w:tc>
          <w:tcPr>
            <w:tcW w:w="2175" w:type="dxa"/>
            <w:tcBorders>
              <w:top w:val="single" w:color="auto" w:sz="6" w:space="0"/>
              <w:left w:val="single" w:color="auto" w:sz="6" w:space="0"/>
              <w:bottom w:val="single" w:color="auto" w:sz="6" w:space="0"/>
              <w:right w:val="single" w:color="auto" w:sz="6" w:space="0"/>
            </w:tcBorders>
            <w:vAlign w:val="center"/>
          </w:tcPr>
          <w:p w14:paraId="78D0CA5A">
            <w:pPr>
              <w:widowControl w:val="0"/>
              <w:adjustRightInd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竞争性磋商保证金</w:t>
            </w:r>
          </w:p>
        </w:tc>
        <w:tc>
          <w:tcPr>
            <w:tcW w:w="7079" w:type="dxa"/>
            <w:tcBorders>
              <w:top w:val="single" w:color="auto" w:sz="6" w:space="0"/>
              <w:left w:val="single" w:color="auto" w:sz="6" w:space="0"/>
              <w:bottom w:val="single" w:color="auto" w:sz="6" w:space="0"/>
              <w:right w:val="single" w:color="auto" w:sz="12" w:space="0"/>
            </w:tcBorders>
            <w:vAlign w:val="center"/>
          </w:tcPr>
          <w:p w14:paraId="7CEFE317">
            <w:pPr>
              <w:spacing w:line="360" w:lineRule="auto"/>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按照《河南省财政厅关于优化政府采购营商环境有关问题的通知》（豫财购[2019]4号文）的要求本项目不再收取磋商保证金</w:t>
            </w:r>
          </w:p>
        </w:tc>
      </w:tr>
      <w:tr w14:paraId="75C3C201">
        <w:tblPrEx>
          <w:tblCellMar>
            <w:top w:w="0" w:type="dxa"/>
            <w:left w:w="108" w:type="dxa"/>
            <w:bottom w:w="0" w:type="dxa"/>
            <w:right w:w="108" w:type="dxa"/>
          </w:tblCellMar>
        </w:tblPrEx>
        <w:trPr>
          <w:gridAfter w:val="3"/>
          <w:wAfter w:w="16115" w:type="dxa"/>
          <w:trHeight w:val="510" w:hRule="atLeast"/>
        </w:trPr>
        <w:tc>
          <w:tcPr>
            <w:tcW w:w="862" w:type="dxa"/>
            <w:tcBorders>
              <w:top w:val="single" w:color="auto" w:sz="6" w:space="0"/>
              <w:left w:val="single" w:color="auto" w:sz="12" w:space="0"/>
              <w:bottom w:val="single" w:color="auto" w:sz="6" w:space="0"/>
              <w:right w:val="single" w:color="auto" w:sz="6" w:space="0"/>
            </w:tcBorders>
            <w:vAlign w:val="center"/>
          </w:tcPr>
          <w:p w14:paraId="70BE6748">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33</w:t>
            </w:r>
          </w:p>
        </w:tc>
        <w:tc>
          <w:tcPr>
            <w:tcW w:w="2175" w:type="dxa"/>
            <w:tcBorders>
              <w:top w:val="single" w:color="auto" w:sz="6" w:space="0"/>
              <w:left w:val="single" w:color="auto" w:sz="6" w:space="0"/>
              <w:bottom w:val="single" w:color="auto" w:sz="6" w:space="0"/>
              <w:right w:val="single" w:color="auto" w:sz="6" w:space="0"/>
            </w:tcBorders>
            <w:vAlign w:val="center"/>
          </w:tcPr>
          <w:p w14:paraId="538D1B35">
            <w:pPr>
              <w:widowControl w:val="0"/>
              <w:adjustRightInd w:val="0"/>
              <w:spacing w:line="360" w:lineRule="auto"/>
              <w:jc w:val="center"/>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履约保证金</w:t>
            </w:r>
          </w:p>
        </w:tc>
        <w:tc>
          <w:tcPr>
            <w:tcW w:w="7079" w:type="dxa"/>
            <w:tcBorders>
              <w:top w:val="single" w:color="auto" w:sz="6" w:space="0"/>
              <w:left w:val="single" w:color="auto" w:sz="6" w:space="0"/>
              <w:bottom w:val="single" w:color="auto" w:sz="6" w:space="0"/>
              <w:right w:val="single" w:color="auto" w:sz="12" w:space="0"/>
            </w:tcBorders>
            <w:vAlign w:val="center"/>
          </w:tcPr>
          <w:p w14:paraId="6759A960">
            <w:pPr>
              <w:widowControl w:val="0"/>
              <w:adjustRightInd w:val="0"/>
              <w:spacing w:line="360" w:lineRule="auto"/>
              <w:jc w:val="left"/>
              <w:rPr>
                <w:rFonts w:hint="eastAsia" w:ascii="宋体" w:hAnsi="宋体" w:eastAsia="宋体" w:cs="宋体"/>
                <w:spacing w:val="6"/>
                <w:kern w:val="2"/>
                <w:sz w:val="24"/>
                <w:szCs w:val="24"/>
                <w:highlight w:val="none"/>
              </w:rPr>
            </w:pPr>
            <w:r>
              <w:rPr>
                <w:rFonts w:hint="eastAsia" w:ascii="宋体" w:hAnsi="宋体" w:eastAsia="宋体" w:cs="宋体"/>
                <w:spacing w:val="6"/>
                <w:kern w:val="2"/>
                <w:sz w:val="24"/>
                <w:szCs w:val="24"/>
                <w:highlight w:val="none"/>
              </w:rPr>
              <w:t>不收取</w:t>
            </w:r>
          </w:p>
        </w:tc>
      </w:tr>
      <w:tr w14:paraId="4C8FD7E6">
        <w:tblPrEx>
          <w:tblCellMar>
            <w:top w:w="0" w:type="dxa"/>
            <w:left w:w="108" w:type="dxa"/>
            <w:bottom w:w="0" w:type="dxa"/>
            <w:right w:w="108" w:type="dxa"/>
          </w:tblCellMar>
        </w:tblPrEx>
        <w:trPr>
          <w:gridAfter w:val="3"/>
          <w:wAfter w:w="16115" w:type="dxa"/>
          <w:trHeight w:val="615" w:hRule="atLeast"/>
        </w:trPr>
        <w:tc>
          <w:tcPr>
            <w:tcW w:w="862" w:type="dxa"/>
            <w:tcBorders>
              <w:top w:val="single" w:color="auto" w:sz="6" w:space="0"/>
              <w:left w:val="single" w:color="auto" w:sz="12" w:space="0"/>
              <w:bottom w:val="single" w:color="auto" w:sz="6" w:space="0"/>
              <w:right w:val="single" w:color="auto" w:sz="6" w:space="0"/>
            </w:tcBorders>
            <w:vAlign w:val="center"/>
          </w:tcPr>
          <w:p w14:paraId="71F6A369">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34</w:t>
            </w:r>
          </w:p>
        </w:tc>
        <w:tc>
          <w:tcPr>
            <w:tcW w:w="2175" w:type="dxa"/>
            <w:tcBorders>
              <w:top w:val="single" w:color="auto" w:sz="6" w:space="0"/>
              <w:left w:val="single" w:color="auto" w:sz="6" w:space="0"/>
              <w:bottom w:val="single" w:color="auto" w:sz="6" w:space="0"/>
              <w:right w:val="single" w:color="auto" w:sz="6" w:space="0"/>
            </w:tcBorders>
            <w:vAlign w:val="center"/>
          </w:tcPr>
          <w:p w14:paraId="1DE7E783">
            <w:pPr>
              <w:widowControl w:val="0"/>
              <w:adjustRightInd w:val="0"/>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竞争性磋商响应文件上传</w:t>
            </w:r>
          </w:p>
        </w:tc>
        <w:tc>
          <w:tcPr>
            <w:tcW w:w="7079" w:type="dxa"/>
            <w:tcBorders>
              <w:top w:val="single" w:color="auto" w:sz="6" w:space="0"/>
              <w:left w:val="single" w:color="auto" w:sz="6" w:space="0"/>
              <w:bottom w:val="single" w:color="auto" w:sz="6" w:space="0"/>
              <w:right w:val="single" w:color="auto" w:sz="12" w:space="0"/>
            </w:tcBorders>
            <w:vAlign w:val="center"/>
          </w:tcPr>
          <w:p w14:paraId="64A94383">
            <w:pPr>
              <w:widowControl w:val="0"/>
              <w:spacing w:line="360" w:lineRule="auto"/>
              <w:jc w:val="both"/>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用CA在电子平台上传电子响应文件</w:t>
            </w:r>
          </w:p>
        </w:tc>
      </w:tr>
      <w:tr w14:paraId="5ACC3296">
        <w:tblPrEx>
          <w:tblCellMar>
            <w:top w:w="0" w:type="dxa"/>
            <w:left w:w="108" w:type="dxa"/>
            <w:bottom w:w="0" w:type="dxa"/>
            <w:right w:w="108" w:type="dxa"/>
          </w:tblCellMar>
        </w:tblPrEx>
        <w:trPr>
          <w:gridAfter w:val="3"/>
          <w:wAfter w:w="16115" w:type="dxa"/>
          <w:trHeight w:val="90" w:hRule="atLeast"/>
        </w:trPr>
        <w:tc>
          <w:tcPr>
            <w:tcW w:w="862" w:type="dxa"/>
            <w:tcBorders>
              <w:top w:val="single" w:color="auto" w:sz="6" w:space="0"/>
              <w:left w:val="single" w:color="auto" w:sz="12" w:space="0"/>
              <w:bottom w:val="single" w:color="auto" w:sz="6" w:space="0"/>
              <w:right w:val="single" w:color="auto" w:sz="6" w:space="0"/>
            </w:tcBorders>
            <w:vAlign w:val="center"/>
          </w:tcPr>
          <w:p w14:paraId="76F7A102">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35</w:t>
            </w:r>
          </w:p>
        </w:tc>
        <w:tc>
          <w:tcPr>
            <w:tcW w:w="2175" w:type="dxa"/>
            <w:tcBorders>
              <w:top w:val="single" w:color="auto" w:sz="6" w:space="0"/>
              <w:left w:val="single" w:color="auto" w:sz="6" w:space="0"/>
              <w:bottom w:val="single" w:color="auto" w:sz="6" w:space="0"/>
              <w:right w:val="single" w:color="auto" w:sz="6" w:space="0"/>
            </w:tcBorders>
            <w:vAlign w:val="center"/>
          </w:tcPr>
          <w:p w14:paraId="14E8C044">
            <w:pPr>
              <w:widowControl w:val="0"/>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磋商小组的组建</w:t>
            </w:r>
          </w:p>
        </w:tc>
        <w:tc>
          <w:tcPr>
            <w:tcW w:w="7079" w:type="dxa"/>
            <w:tcBorders>
              <w:top w:val="single" w:color="auto" w:sz="6" w:space="0"/>
              <w:left w:val="single" w:color="auto" w:sz="6" w:space="0"/>
              <w:bottom w:val="single" w:color="auto" w:sz="6" w:space="0"/>
              <w:right w:val="single" w:color="auto" w:sz="12" w:space="0"/>
            </w:tcBorders>
            <w:vAlign w:val="center"/>
          </w:tcPr>
          <w:p w14:paraId="4024B1F7">
            <w:pPr>
              <w:spacing w:line="360" w:lineRule="auto"/>
              <w:jc w:val="both"/>
              <w:rPr>
                <w:rFonts w:hint="eastAsia" w:ascii="宋体" w:hAnsi="宋体" w:eastAsia="宋体" w:cs="宋体"/>
                <w:spacing w:val="6"/>
                <w:kern w:val="2"/>
                <w:sz w:val="24"/>
                <w:szCs w:val="24"/>
                <w:highlight w:val="none"/>
                <w:lang w:eastAsia="zh-CN"/>
              </w:rPr>
            </w:pPr>
            <w:r>
              <w:rPr>
                <w:rFonts w:ascii="宋体" w:hAnsi="宋体" w:cs="宋体"/>
                <w:spacing w:val="6"/>
                <w:kern w:val="2"/>
                <w:sz w:val="24"/>
                <w:szCs w:val="24"/>
                <w:highlight w:val="none"/>
              </w:rPr>
              <w:t>磋商小组</w:t>
            </w:r>
            <w:r>
              <w:rPr>
                <w:rFonts w:hint="eastAsia" w:ascii="宋体" w:hAnsi="宋体" w:cs="宋体"/>
                <w:spacing w:val="6"/>
                <w:kern w:val="2"/>
                <w:sz w:val="24"/>
                <w:szCs w:val="24"/>
                <w:highlight w:val="none"/>
                <w:lang w:val="en-US" w:eastAsia="zh-CN"/>
              </w:rPr>
              <w:t>由有关技术、经济方面的专家3</w:t>
            </w:r>
            <w:r>
              <w:rPr>
                <w:rFonts w:ascii="宋体" w:hAnsi="宋体" w:cs="宋体"/>
                <w:spacing w:val="6"/>
                <w:kern w:val="2"/>
                <w:sz w:val="24"/>
                <w:szCs w:val="24"/>
                <w:highlight w:val="none"/>
              </w:rPr>
              <w:t>人</w:t>
            </w:r>
            <w:r>
              <w:rPr>
                <w:rFonts w:hint="eastAsia" w:ascii="宋体" w:hAnsi="宋体" w:cs="宋体"/>
                <w:spacing w:val="6"/>
                <w:kern w:val="2"/>
                <w:sz w:val="24"/>
                <w:szCs w:val="24"/>
                <w:highlight w:val="none"/>
                <w:lang w:val="en-US" w:eastAsia="zh-CN"/>
              </w:rPr>
              <w:t>组成。</w:t>
            </w:r>
            <w:r>
              <w:rPr>
                <w:rFonts w:hint="eastAsia" w:ascii="宋体" w:hAnsi="宋体" w:cs="宋体"/>
                <w:spacing w:val="6"/>
                <w:kern w:val="2"/>
                <w:sz w:val="24"/>
                <w:szCs w:val="24"/>
                <w:highlight w:val="none"/>
              </w:rPr>
              <w:t>开标后在河南省政府采购评审专家库中随机抽取</w:t>
            </w:r>
            <w:r>
              <w:rPr>
                <w:rFonts w:hint="eastAsia" w:ascii="宋体" w:hAnsi="宋体" w:cs="宋体"/>
                <w:spacing w:val="6"/>
                <w:kern w:val="2"/>
                <w:sz w:val="24"/>
                <w:szCs w:val="24"/>
                <w:highlight w:val="none"/>
                <w:lang w:eastAsia="zh-CN"/>
              </w:rPr>
              <w:t>。</w:t>
            </w:r>
          </w:p>
        </w:tc>
      </w:tr>
      <w:tr w14:paraId="769DD25F">
        <w:tblPrEx>
          <w:tblCellMar>
            <w:top w:w="0" w:type="dxa"/>
            <w:left w:w="108" w:type="dxa"/>
            <w:bottom w:w="0" w:type="dxa"/>
            <w:right w:w="108" w:type="dxa"/>
          </w:tblCellMar>
        </w:tblPrEx>
        <w:trPr>
          <w:gridAfter w:val="3"/>
          <w:wAfter w:w="16115" w:type="dxa"/>
          <w:trHeight w:val="615" w:hRule="atLeast"/>
        </w:trPr>
        <w:tc>
          <w:tcPr>
            <w:tcW w:w="862" w:type="dxa"/>
            <w:tcBorders>
              <w:top w:val="single" w:color="auto" w:sz="6" w:space="0"/>
              <w:left w:val="single" w:color="auto" w:sz="12" w:space="0"/>
              <w:bottom w:val="single" w:color="auto" w:sz="6" w:space="0"/>
              <w:right w:val="single" w:color="auto" w:sz="6" w:space="0"/>
            </w:tcBorders>
            <w:vAlign w:val="center"/>
          </w:tcPr>
          <w:p w14:paraId="66BD86DF">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36</w:t>
            </w:r>
          </w:p>
        </w:tc>
        <w:tc>
          <w:tcPr>
            <w:tcW w:w="2175" w:type="dxa"/>
            <w:tcBorders>
              <w:top w:val="single" w:color="auto" w:sz="6" w:space="0"/>
              <w:left w:val="single" w:color="auto" w:sz="6" w:space="0"/>
              <w:bottom w:val="single" w:color="auto" w:sz="6" w:space="0"/>
              <w:right w:val="single" w:color="auto" w:sz="6" w:space="0"/>
            </w:tcBorders>
            <w:vAlign w:val="center"/>
          </w:tcPr>
          <w:p w14:paraId="0FEC05D0">
            <w:pPr>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是否授权磋商小组确定</w:t>
            </w:r>
            <w:r>
              <w:rPr>
                <w:rFonts w:hint="eastAsia" w:ascii="宋体" w:hAnsi="宋体" w:cs="宋体"/>
                <w:spacing w:val="6"/>
                <w:kern w:val="2"/>
                <w:sz w:val="24"/>
                <w:szCs w:val="24"/>
                <w:highlight w:val="none"/>
                <w:lang w:val="en-US" w:eastAsia="zh-CN"/>
              </w:rPr>
              <w:t>成交</w:t>
            </w:r>
            <w:r>
              <w:rPr>
                <w:rFonts w:hint="eastAsia" w:ascii="宋体" w:hAnsi="宋体" w:cs="宋体"/>
                <w:spacing w:val="6"/>
                <w:kern w:val="2"/>
                <w:sz w:val="24"/>
                <w:szCs w:val="24"/>
                <w:highlight w:val="none"/>
              </w:rPr>
              <w:t>人</w:t>
            </w:r>
          </w:p>
        </w:tc>
        <w:tc>
          <w:tcPr>
            <w:tcW w:w="7079" w:type="dxa"/>
            <w:tcBorders>
              <w:top w:val="single" w:color="auto" w:sz="6" w:space="0"/>
              <w:left w:val="single" w:color="auto" w:sz="6" w:space="0"/>
              <w:bottom w:val="single" w:color="auto" w:sz="6" w:space="0"/>
              <w:right w:val="single" w:color="auto" w:sz="12" w:space="0"/>
            </w:tcBorders>
            <w:vAlign w:val="center"/>
          </w:tcPr>
          <w:p w14:paraId="6CA7A625">
            <w:pPr>
              <w:spacing w:line="360" w:lineRule="auto"/>
              <w:jc w:val="both"/>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否，磋商小组推荐三名</w:t>
            </w:r>
            <w:r>
              <w:rPr>
                <w:rFonts w:hint="eastAsia" w:ascii="宋体" w:hAnsi="宋体" w:cs="宋体"/>
                <w:spacing w:val="6"/>
                <w:kern w:val="2"/>
                <w:sz w:val="24"/>
                <w:szCs w:val="24"/>
                <w:highlight w:val="none"/>
                <w:lang w:val="en-US" w:eastAsia="zh-CN"/>
              </w:rPr>
              <w:t>成交</w:t>
            </w:r>
            <w:r>
              <w:rPr>
                <w:rFonts w:hint="eastAsia" w:ascii="宋体" w:hAnsi="宋体" w:cs="宋体"/>
                <w:spacing w:val="6"/>
                <w:kern w:val="2"/>
                <w:sz w:val="24"/>
                <w:szCs w:val="24"/>
                <w:highlight w:val="none"/>
              </w:rPr>
              <w:t>候选人</w:t>
            </w:r>
          </w:p>
        </w:tc>
      </w:tr>
      <w:tr w14:paraId="0E4843C7">
        <w:tblPrEx>
          <w:tblCellMar>
            <w:top w:w="0" w:type="dxa"/>
            <w:left w:w="108" w:type="dxa"/>
            <w:bottom w:w="0" w:type="dxa"/>
            <w:right w:w="108" w:type="dxa"/>
          </w:tblCellMar>
        </w:tblPrEx>
        <w:trPr>
          <w:gridAfter w:val="3"/>
          <w:wAfter w:w="16115" w:type="dxa"/>
          <w:trHeight w:val="2485" w:hRule="atLeast"/>
        </w:trPr>
        <w:tc>
          <w:tcPr>
            <w:tcW w:w="862" w:type="dxa"/>
            <w:tcBorders>
              <w:top w:val="single" w:color="auto" w:sz="6" w:space="0"/>
              <w:left w:val="single" w:color="auto" w:sz="12" w:space="0"/>
              <w:bottom w:val="single" w:color="auto" w:sz="6" w:space="0"/>
              <w:right w:val="single" w:color="auto" w:sz="6" w:space="0"/>
            </w:tcBorders>
            <w:vAlign w:val="center"/>
          </w:tcPr>
          <w:p w14:paraId="1F9C8D4F">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37</w:t>
            </w:r>
          </w:p>
        </w:tc>
        <w:tc>
          <w:tcPr>
            <w:tcW w:w="2175" w:type="dxa"/>
            <w:tcBorders>
              <w:top w:val="single" w:color="auto" w:sz="6" w:space="0"/>
              <w:left w:val="single" w:color="auto" w:sz="6" w:space="0"/>
              <w:bottom w:val="single" w:color="auto" w:sz="6" w:space="0"/>
              <w:right w:val="single" w:color="auto" w:sz="6" w:space="0"/>
            </w:tcBorders>
            <w:vAlign w:val="center"/>
          </w:tcPr>
          <w:p w14:paraId="34EFB3CF">
            <w:pPr>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磋商</w:t>
            </w:r>
            <w:r>
              <w:rPr>
                <w:rFonts w:ascii="宋体" w:hAnsi="宋体" w:cs="宋体"/>
                <w:spacing w:val="6"/>
                <w:kern w:val="2"/>
                <w:sz w:val="24"/>
                <w:szCs w:val="24"/>
                <w:highlight w:val="none"/>
              </w:rPr>
              <w:t>标准及方法</w:t>
            </w:r>
          </w:p>
        </w:tc>
        <w:tc>
          <w:tcPr>
            <w:tcW w:w="7079" w:type="dxa"/>
            <w:tcBorders>
              <w:top w:val="single" w:color="auto" w:sz="6" w:space="0"/>
              <w:left w:val="single" w:color="auto" w:sz="6" w:space="0"/>
              <w:bottom w:val="single" w:color="auto" w:sz="6" w:space="0"/>
              <w:right w:val="single" w:color="auto" w:sz="12" w:space="0"/>
            </w:tcBorders>
            <w:vAlign w:val="center"/>
          </w:tcPr>
          <w:p w14:paraId="6AD1D0E8">
            <w:pPr>
              <w:spacing w:line="360" w:lineRule="auto"/>
              <w:jc w:val="both"/>
              <w:rPr>
                <w:rFonts w:hint="eastAsia" w:ascii="宋体" w:hAnsi="宋体" w:eastAsia="宋体" w:cs="宋体"/>
                <w:spacing w:val="6"/>
                <w:kern w:val="2"/>
                <w:sz w:val="24"/>
                <w:szCs w:val="24"/>
                <w:highlight w:val="none"/>
                <w:lang w:eastAsia="zh-CN"/>
              </w:rPr>
            </w:pPr>
            <w:r>
              <w:rPr>
                <w:rFonts w:ascii="宋体" w:hAnsi="宋体" w:cs="宋体"/>
                <w:spacing w:val="6"/>
                <w:kern w:val="2"/>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spacing w:val="6"/>
                <w:kern w:val="2"/>
                <w:sz w:val="24"/>
                <w:szCs w:val="24"/>
                <w:highlight w:val="none"/>
              </w:rPr>
              <w:t>（且推荐候选人为三名）</w:t>
            </w:r>
            <w:r>
              <w:rPr>
                <w:rFonts w:hint="eastAsia" w:ascii="宋体" w:hAnsi="宋体" w:cs="宋体"/>
                <w:spacing w:val="6"/>
                <w:kern w:val="2"/>
                <w:sz w:val="24"/>
                <w:szCs w:val="24"/>
                <w:highlight w:val="none"/>
                <w:lang w:eastAsia="zh-CN"/>
              </w:rPr>
              <w:t>。</w:t>
            </w:r>
          </w:p>
        </w:tc>
      </w:tr>
      <w:tr w14:paraId="1B00597F">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0B90F3AB">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38</w:t>
            </w:r>
          </w:p>
        </w:tc>
        <w:tc>
          <w:tcPr>
            <w:tcW w:w="2175" w:type="dxa"/>
            <w:tcBorders>
              <w:top w:val="single" w:color="auto" w:sz="6" w:space="0"/>
              <w:left w:val="single" w:color="auto" w:sz="6" w:space="0"/>
              <w:bottom w:val="single" w:color="auto" w:sz="6" w:space="0"/>
              <w:right w:val="single" w:color="auto" w:sz="6" w:space="0"/>
            </w:tcBorders>
            <w:vAlign w:val="center"/>
          </w:tcPr>
          <w:p w14:paraId="52E0A5E9">
            <w:pPr>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付款方式</w:t>
            </w:r>
          </w:p>
        </w:tc>
        <w:tc>
          <w:tcPr>
            <w:tcW w:w="7079" w:type="dxa"/>
            <w:tcBorders>
              <w:top w:val="single" w:color="auto" w:sz="6" w:space="0"/>
              <w:left w:val="single" w:color="auto" w:sz="6" w:space="0"/>
              <w:bottom w:val="single" w:color="auto" w:sz="6" w:space="0"/>
              <w:right w:val="single" w:color="auto" w:sz="12" w:space="0"/>
            </w:tcBorders>
            <w:vAlign w:val="center"/>
          </w:tcPr>
          <w:p w14:paraId="0F49BDBB">
            <w:pPr>
              <w:spacing w:line="360" w:lineRule="auto"/>
              <w:jc w:val="both"/>
              <w:rPr>
                <w:rFonts w:hint="default" w:ascii="宋体" w:hAnsi="宋体" w:cs="宋体"/>
                <w:spacing w:val="6"/>
                <w:kern w:val="2"/>
                <w:sz w:val="24"/>
                <w:szCs w:val="24"/>
                <w:highlight w:val="none"/>
                <w:lang w:val="en-US"/>
              </w:rPr>
            </w:pPr>
            <w:r>
              <w:rPr>
                <w:rFonts w:hint="default" w:ascii="宋体" w:hAnsi="宋体" w:cs="宋体"/>
                <w:spacing w:val="6"/>
                <w:kern w:val="2"/>
                <w:sz w:val="24"/>
                <w:szCs w:val="24"/>
                <w:highlight w:val="none"/>
                <w:lang w:val="en-US"/>
              </w:rPr>
              <w:t>合同签订生效后，支付合同总价款的50%作为预付款；正常</w:t>
            </w:r>
            <w:r>
              <w:rPr>
                <w:rFonts w:hint="eastAsia" w:ascii="宋体" w:hAnsi="宋体" w:cs="宋体"/>
                <w:spacing w:val="6"/>
                <w:kern w:val="2"/>
                <w:sz w:val="24"/>
                <w:szCs w:val="24"/>
                <w:highlight w:val="none"/>
                <w:lang w:val="en-US" w:eastAsia="zh-CN"/>
              </w:rPr>
              <w:t>运行服务</w:t>
            </w:r>
            <w:r>
              <w:rPr>
                <w:rFonts w:hint="default" w:ascii="宋体" w:hAnsi="宋体" w:cs="宋体"/>
                <w:spacing w:val="6"/>
                <w:kern w:val="2"/>
                <w:sz w:val="24"/>
                <w:szCs w:val="24"/>
                <w:highlight w:val="none"/>
                <w:lang w:val="en-US"/>
              </w:rPr>
              <w:t>满六个月后，无服务质量问题及违约情形后，支付剩余50%尾款。</w:t>
            </w:r>
          </w:p>
        </w:tc>
      </w:tr>
      <w:tr w14:paraId="181E8841">
        <w:tblPrEx>
          <w:tblCellMar>
            <w:top w:w="0" w:type="dxa"/>
            <w:left w:w="108" w:type="dxa"/>
            <w:bottom w:w="0" w:type="dxa"/>
            <w:right w:w="108" w:type="dxa"/>
          </w:tblCellMar>
        </w:tblPrEx>
        <w:trPr>
          <w:gridAfter w:val="3"/>
          <w:wAfter w:w="16115" w:type="dxa"/>
          <w:trHeight w:val="1054" w:hRule="atLeast"/>
        </w:trPr>
        <w:tc>
          <w:tcPr>
            <w:tcW w:w="862" w:type="dxa"/>
            <w:tcBorders>
              <w:top w:val="single" w:color="auto" w:sz="6" w:space="0"/>
              <w:left w:val="single" w:color="auto" w:sz="12" w:space="0"/>
              <w:bottom w:val="single" w:color="auto" w:sz="6" w:space="0"/>
              <w:right w:val="single" w:color="auto" w:sz="6" w:space="0"/>
            </w:tcBorders>
            <w:vAlign w:val="center"/>
          </w:tcPr>
          <w:p w14:paraId="77761734">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39</w:t>
            </w:r>
          </w:p>
        </w:tc>
        <w:tc>
          <w:tcPr>
            <w:tcW w:w="2175" w:type="dxa"/>
            <w:tcBorders>
              <w:top w:val="single" w:color="auto" w:sz="6" w:space="0"/>
              <w:left w:val="single" w:color="auto" w:sz="6" w:space="0"/>
              <w:bottom w:val="single" w:color="auto" w:sz="6" w:space="0"/>
              <w:right w:val="single" w:color="auto" w:sz="6" w:space="0"/>
            </w:tcBorders>
            <w:vAlign w:val="center"/>
          </w:tcPr>
          <w:p w14:paraId="08651D54">
            <w:pPr>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发布公告媒介</w:t>
            </w:r>
          </w:p>
        </w:tc>
        <w:tc>
          <w:tcPr>
            <w:tcW w:w="7079" w:type="dxa"/>
            <w:tcBorders>
              <w:top w:val="single" w:color="auto" w:sz="6" w:space="0"/>
              <w:left w:val="single" w:color="auto" w:sz="6" w:space="0"/>
              <w:bottom w:val="single" w:color="auto" w:sz="6" w:space="0"/>
              <w:right w:val="single" w:color="auto" w:sz="12" w:space="0"/>
            </w:tcBorders>
            <w:vAlign w:val="center"/>
          </w:tcPr>
          <w:p w14:paraId="2A22E7AC">
            <w:pPr>
              <w:widowControl w:val="0"/>
              <w:spacing w:after="120" w:line="360" w:lineRule="auto"/>
              <w:jc w:val="both"/>
              <w:rPr>
                <w:rFonts w:hint="eastAsia" w:ascii="宋体" w:hAnsi="宋体" w:eastAsia="宋体" w:cs="宋体"/>
                <w:kern w:val="2"/>
                <w:sz w:val="24"/>
                <w:szCs w:val="24"/>
                <w:highlight w:val="none"/>
                <w:lang w:eastAsia="zh-CN"/>
              </w:rPr>
            </w:pPr>
            <w:r>
              <w:rPr>
                <w:rFonts w:hint="eastAsia" w:ascii="宋体" w:hAnsi="宋体" w:cs="宋体"/>
                <w:kern w:val="2"/>
                <w:sz w:val="24"/>
                <w:szCs w:val="24"/>
                <w:highlight w:val="none"/>
              </w:rPr>
              <w:t>同时在</w:t>
            </w:r>
            <w:r>
              <w:rPr>
                <w:rFonts w:hint="eastAsia" w:ascii="宋体" w:hAnsi="宋体" w:cs="宋体"/>
                <w:sz w:val="24"/>
                <w:szCs w:val="24"/>
                <w:highlight w:val="none"/>
                <w:lang w:bidi="ar"/>
              </w:rPr>
              <w:t>《</w:t>
            </w:r>
            <w:r>
              <w:rPr>
                <w:rFonts w:hint="eastAsia" w:ascii="宋体" w:hAnsi="宋体" w:cs="宋体"/>
                <w:kern w:val="2"/>
                <w:sz w:val="24"/>
                <w:szCs w:val="24"/>
                <w:highlight w:val="none"/>
              </w:rPr>
              <w:t>河南省政府采购网</w:t>
            </w:r>
            <w:r>
              <w:rPr>
                <w:rFonts w:hint="eastAsia" w:ascii="宋体" w:hAnsi="宋体" w:cs="宋体"/>
                <w:sz w:val="24"/>
                <w:szCs w:val="24"/>
                <w:highlight w:val="none"/>
                <w:lang w:bidi="ar"/>
              </w:rPr>
              <w:t>》、《中国招标投标公共服务平台》和《三门峡市公共资源交易中心网》</w:t>
            </w:r>
            <w:r>
              <w:rPr>
                <w:rFonts w:hint="eastAsia" w:ascii="宋体" w:hAnsi="宋体" w:cs="宋体"/>
                <w:kern w:val="2"/>
                <w:sz w:val="24"/>
                <w:szCs w:val="24"/>
                <w:highlight w:val="none"/>
              </w:rPr>
              <w:t>上发布</w:t>
            </w:r>
            <w:r>
              <w:rPr>
                <w:rFonts w:hint="eastAsia" w:ascii="宋体" w:hAnsi="宋体" w:cs="宋体"/>
                <w:kern w:val="2"/>
                <w:sz w:val="24"/>
                <w:szCs w:val="24"/>
                <w:highlight w:val="none"/>
                <w:lang w:eastAsia="zh-CN"/>
              </w:rPr>
              <w:t>。</w:t>
            </w:r>
          </w:p>
        </w:tc>
      </w:tr>
      <w:tr w14:paraId="27CE4D05">
        <w:tblPrEx>
          <w:tblCellMar>
            <w:top w:w="0" w:type="dxa"/>
            <w:left w:w="108" w:type="dxa"/>
            <w:bottom w:w="0" w:type="dxa"/>
            <w:right w:w="108" w:type="dxa"/>
          </w:tblCellMar>
        </w:tblPrEx>
        <w:trPr>
          <w:gridAfter w:val="3"/>
          <w:wAfter w:w="16115" w:type="dxa"/>
          <w:trHeight w:val="489" w:hRule="atLeast"/>
        </w:trPr>
        <w:tc>
          <w:tcPr>
            <w:tcW w:w="862" w:type="dxa"/>
            <w:tcBorders>
              <w:top w:val="single" w:color="auto" w:sz="6" w:space="0"/>
              <w:left w:val="single" w:color="auto" w:sz="12" w:space="0"/>
              <w:bottom w:val="single" w:color="auto" w:sz="6" w:space="0"/>
              <w:right w:val="single" w:color="auto" w:sz="6" w:space="0"/>
            </w:tcBorders>
            <w:vAlign w:val="center"/>
          </w:tcPr>
          <w:p w14:paraId="665DE620">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40</w:t>
            </w:r>
          </w:p>
        </w:tc>
        <w:tc>
          <w:tcPr>
            <w:tcW w:w="2175" w:type="dxa"/>
            <w:tcBorders>
              <w:top w:val="single" w:color="auto" w:sz="6" w:space="0"/>
              <w:left w:val="single" w:color="auto" w:sz="6" w:space="0"/>
              <w:bottom w:val="single" w:color="auto" w:sz="6" w:space="0"/>
              <w:right w:val="single" w:color="auto" w:sz="6" w:space="0"/>
            </w:tcBorders>
            <w:vAlign w:val="center"/>
          </w:tcPr>
          <w:p w14:paraId="3B524286">
            <w:pPr>
              <w:spacing w:line="360" w:lineRule="auto"/>
              <w:jc w:val="center"/>
              <w:rPr>
                <w:rFonts w:hint="eastAsia" w:ascii="宋体" w:hAnsi="宋体" w:cs="宋体"/>
                <w:spacing w:val="6"/>
                <w:kern w:val="2"/>
                <w:sz w:val="24"/>
                <w:szCs w:val="24"/>
                <w:highlight w:val="none"/>
              </w:rPr>
            </w:pPr>
            <w:r>
              <w:rPr>
                <w:rFonts w:hint="eastAsia" w:ascii="宋体" w:hAnsi="宋体" w:cs="宋体"/>
                <w:spacing w:val="6"/>
                <w:kern w:val="2"/>
                <w:sz w:val="24"/>
                <w:szCs w:val="24"/>
                <w:highlight w:val="none"/>
              </w:rPr>
              <w:t>其他事项</w:t>
            </w:r>
          </w:p>
        </w:tc>
        <w:tc>
          <w:tcPr>
            <w:tcW w:w="7079" w:type="dxa"/>
            <w:tcBorders>
              <w:top w:val="single" w:color="auto" w:sz="6" w:space="0"/>
              <w:left w:val="single" w:color="auto" w:sz="6" w:space="0"/>
              <w:bottom w:val="single" w:color="auto" w:sz="6" w:space="0"/>
              <w:right w:val="single" w:color="auto" w:sz="12" w:space="0"/>
            </w:tcBorders>
            <w:vAlign w:val="center"/>
          </w:tcPr>
          <w:p w14:paraId="5DCEF3E8">
            <w:pPr>
              <w:widowControl w:val="0"/>
              <w:spacing w:line="360" w:lineRule="auto"/>
              <w:jc w:val="both"/>
              <w:rPr>
                <w:rFonts w:hint="eastAsia" w:ascii="宋体" w:hAnsi="宋体" w:eastAsia="宋体" w:cs="宋体"/>
                <w:kern w:val="2"/>
                <w:sz w:val="24"/>
                <w:szCs w:val="24"/>
                <w:highlight w:val="none"/>
                <w:lang w:eastAsia="zh-CN"/>
              </w:rPr>
            </w:pPr>
            <w:r>
              <w:rPr>
                <w:rFonts w:hint="eastAsia" w:ascii="宋体" w:hAnsi="宋体" w:cs="宋体"/>
                <w:kern w:val="2"/>
                <w:sz w:val="24"/>
                <w:szCs w:val="24"/>
                <w:highlight w:val="none"/>
              </w:rPr>
              <w:t>1</w:t>
            </w:r>
            <w:r>
              <w:rPr>
                <w:rFonts w:hint="eastAsia" w:ascii="宋体" w:hAnsi="宋体" w:cs="宋体"/>
                <w:kern w:val="2"/>
                <w:sz w:val="24"/>
                <w:szCs w:val="24"/>
                <w:highlight w:val="none"/>
                <w:lang w:eastAsia="zh-CN"/>
              </w:rPr>
              <w:t>、</w:t>
            </w:r>
            <w:r>
              <w:rPr>
                <w:rFonts w:hint="eastAsia" w:ascii="宋体" w:hAnsi="宋体" w:cs="宋体"/>
                <w:kern w:val="2"/>
                <w:sz w:val="24"/>
                <w:szCs w:val="24"/>
                <w:highlight w:val="none"/>
              </w:rPr>
              <w:t>电子化响应文件应在投标截止时间前成功上传至三门峡市公共资源电子化交易系统。至递交截止时间止，仍未上传成功的电子化响应文件，将不予接受</w:t>
            </w:r>
            <w:r>
              <w:rPr>
                <w:rFonts w:hint="eastAsia" w:ascii="宋体" w:hAnsi="宋体" w:cs="宋体"/>
                <w:kern w:val="2"/>
                <w:sz w:val="24"/>
                <w:szCs w:val="24"/>
                <w:highlight w:val="none"/>
                <w:lang w:eastAsia="zh-CN"/>
              </w:rPr>
              <w:t>。</w:t>
            </w:r>
          </w:p>
          <w:p w14:paraId="676FF454">
            <w:pPr>
              <w:widowControl w:val="0"/>
              <w:spacing w:after="120" w:line="360" w:lineRule="auto"/>
              <w:jc w:val="both"/>
              <w:rPr>
                <w:rFonts w:hint="eastAsia" w:ascii="宋体" w:hAnsi="宋体" w:eastAsia="宋体" w:cs="宋体"/>
                <w:kern w:val="2"/>
                <w:sz w:val="24"/>
                <w:szCs w:val="24"/>
                <w:highlight w:val="none"/>
                <w:lang w:eastAsia="zh-CN"/>
              </w:rPr>
            </w:pPr>
            <w:r>
              <w:rPr>
                <w:rFonts w:hint="eastAsia" w:ascii="宋体" w:hAnsi="宋体" w:cs="宋体"/>
                <w:kern w:val="2"/>
                <w:sz w:val="24"/>
                <w:szCs w:val="24"/>
                <w:highlight w:val="none"/>
              </w:rPr>
              <w:t>2</w:t>
            </w:r>
            <w:r>
              <w:rPr>
                <w:rFonts w:hint="eastAsia" w:ascii="宋体" w:hAnsi="宋体" w:cs="宋体"/>
                <w:kern w:val="2"/>
                <w:sz w:val="24"/>
                <w:szCs w:val="24"/>
                <w:highlight w:val="none"/>
                <w:lang w:eastAsia="zh-CN"/>
              </w:rPr>
              <w:t>、</w:t>
            </w:r>
            <w:r>
              <w:rPr>
                <w:rFonts w:hint="eastAsia" w:ascii="宋体" w:hAnsi="宋体" w:cs="宋体"/>
                <w:kern w:val="2"/>
                <w:sz w:val="24"/>
                <w:szCs w:val="24"/>
                <w:highlight w:val="none"/>
                <w:lang w:val="en-US" w:eastAsia="zh-CN"/>
              </w:rPr>
              <w:t>成交</w:t>
            </w:r>
            <w:r>
              <w:rPr>
                <w:rFonts w:hint="eastAsia" w:ascii="宋体" w:hAnsi="宋体" w:cs="宋体"/>
                <w:kern w:val="2"/>
                <w:sz w:val="24"/>
                <w:szCs w:val="24"/>
                <w:highlight w:val="none"/>
              </w:rPr>
              <w:t>方领取通知书时，须提供与上传电子版内容一致的纸质版响应文件</w:t>
            </w:r>
            <w:r>
              <w:rPr>
                <w:rFonts w:hint="eastAsia" w:ascii="宋体" w:hAnsi="宋体" w:cs="宋体"/>
                <w:kern w:val="2"/>
                <w:sz w:val="24"/>
                <w:szCs w:val="24"/>
                <w:highlight w:val="none"/>
                <w:lang w:val="en-US" w:eastAsia="zh-CN"/>
              </w:rPr>
              <w:t>叁</w:t>
            </w:r>
            <w:r>
              <w:rPr>
                <w:rFonts w:hint="eastAsia" w:ascii="宋体" w:hAnsi="宋体" w:cs="宋体"/>
                <w:kern w:val="2"/>
                <w:sz w:val="24"/>
                <w:szCs w:val="24"/>
                <w:highlight w:val="none"/>
              </w:rPr>
              <w:t>份，不得采用活页夹形式</w:t>
            </w:r>
            <w:r>
              <w:rPr>
                <w:rFonts w:hint="eastAsia" w:ascii="宋体" w:hAnsi="宋体" w:cs="宋体"/>
                <w:kern w:val="2"/>
                <w:sz w:val="24"/>
                <w:szCs w:val="24"/>
                <w:highlight w:val="none"/>
                <w:lang w:eastAsia="zh-CN"/>
              </w:rPr>
              <w:t>。</w:t>
            </w:r>
          </w:p>
          <w:p w14:paraId="4CFD2DAE">
            <w:pPr>
              <w:widowControl w:val="0"/>
              <w:spacing w:after="120" w:line="360" w:lineRule="auto"/>
              <w:jc w:val="both"/>
              <w:rPr>
                <w:rFonts w:hint="eastAsia" w:ascii="宋体" w:hAnsi="宋体" w:eastAsia="宋体" w:cs="宋体"/>
                <w:kern w:val="2"/>
                <w:sz w:val="24"/>
                <w:szCs w:val="24"/>
                <w:highlight w:val="none"/>
                <w:lang w:eastAsia="zh-CN"/>
              </w:rPr>
            </w:pPr>
            <w:r>
              <w:rPr>
                <w:rFonts w:hint="eastAsia" w:ascii="宋体" w:hAnsi="宋体" w:cs="宋体"/>
                <w:kern w:val="2"/>
                <w:sz w:val="24"/>
                <w:szCs w:val="24"/>
                <w:highlight w:val="none"/>
              </w:rPr>
              <w:t>3</w:t>
            </w:r>
            <w:r>
              <w:rPr>
                <w:rFonts w:hint="eastAsia" w:ascii="宋体" w:hAnsi="宋体" w:cs="宋体"/>
                <w:kern w:val="2"/>
                <w:sz w:val="24"/>
                <w:szCs w:val="24"/>
                <w:highlight w:val="none"/>
                <w:lang w:eastAsia="zh-CN"/>
              </w:rPr>
              <w:t>、</w:t>
            </w:r>
            <w:r>
              <w:rPr>
                <w:rFonts w:hint="eastAsia" w:ascii="宋体" w:hAnsi="宋体" w:cs="宋体"/>
                <w:kern w:val="2"/>
                <w:sz w:val="24"/>
                <w:szCs w:val="24"/>
                <w:highlight w:val="none"/>
              </w:rPr>
              <w:t>本次项目采用竞争性磋商采购方式，使用二次报价方式，第二次报价不允许高于一次报价和最高限价</w:t>
            </w:r>
            <w:r>
              <w:rPr>
                <w:rFonts w:hint="eastAsia" w:ascii="宋体" w:hAnsi="宋体" w:cs="宋体"/>
                <w:kern w:val="2"/>
                <w:sz w:val="24"/>
                <w:szCs w:val="24"/>
                <w:highlight w:val="none"/>
                <w:lang w:eastAsia="zh-CN"/>
              </w:rPr>
              <w:t>。</w:t>
            </w:r>
          </w:p>
        </w:tc>
      </w:tr>
      <w:tr w14:paraId="0678F7B5">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306D865E">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41</w:t>
            </w:r>
          </w:p>
        </w:tc>
        <w:tc>
          <w:tcPr>
            <w:tcW w:w="2175" w:type="dxa"/>
            <w:tcBorders>
              <w:top w:val="single" w:color="auto" w:sz="6" w:space="0"/>
              <w:left w:val="single" w:color="auto" w:sz="6" w:space="0"/>
              <w:bottom w:val="single" w:color="auto" w:sz="6" w:space="0"/>
              <w:right w:val="single" w:color="auto" w:sz="6" w:space="0"/>
            </w:tcBorders>
            <w:vAlign w:val="center"/>
          </w:tcPr>
          <w:p w14:paraId="74C89DE9">
            <w:pPr>
              <w:spacing w:line="360" w:lineRule="auto"/>
              <w:jc w:val="center"/>
              <w:rPr>
                <w:rFonts w:hint="eastAsia" w:ascii="宋体" w:hAnsi="宋体" w:cs="宋体"/>
                <w:spacing w:val="6"/>
                <w:kern w:val="2"/>
                <w:sz w:val="24"/>
                <w:szCs w:val="24"/>
                <w:highlight w:val="none"/>
              </w:rPr>
            </w:pPr>
            <w:r>
              <w:rPr>
                <w:rFonts w:ascii="宋体" w:hAnsi="宋体" w:cs="宋体"/>
                <w:spacing w:val="6"/>
                <w:kern w:val="2"/>
                <w:sz w:val="24"/>
                <w:szCs w:val="24"/>
                <w:highlight w:val="none"/>
              </w:rPr>
              <w:t>代理服务费</w:t>
            </w:r>
          </w:p>
        </w:tc>
        <w:tc>
          <w:tcPr>
            <w:tcW w:w="7079" w:type="dxa"/>
            <w:tcBorders>
              <w:top w:val="single" w:color="auto" w:sz="6" w:space="0"/>
              <w:left w:val="single" w:color="auto" w:sz="6" w:space="0"/>
              <w:bottom w:val="single" w:color="auto" w:sz="6" w:space="0"/>
              <w:right w:val="single" w:color="auto" w:sz="12" w:space="0"/>
            </w:tcBorders>
            <w:vAlign w:val="center"/>
          </w:tcPr>
          <w:p w14:paraId="4F5EE4B6">
            <w:pPr>
              <w:spacing w:line="360" w:lineRule="auto"/>
              <w:jc w:val="both"/>
              <w:rPr>
                <w:rFonts w:hint="eastAsia" w:ascii="宋体" w:hAnsi="宋体" w:eastAsia="宋体" w:cs="宋体"/>
                <w:spacing w:val="6"/>
                <w:kern w:val="2"/>
                <w:sz w:val="24"/>
                <w:szCs w:val="24"/>
                <w:highlight w:val="none"/>
                <w:lang w:eastAsia="zh-CN"/>
              </w:rPr>
            </w:pPr>
            <w:r>
              <w:rPr>
                <w:rFonts w:hint="eastAsia" w:ascii="宋体" w:hAnsi="宋体" w:cs="宋体"/>
                <w:bCs/>
                <w:color w:val="000000"/>
                <w:sz w:val="24"/>
                <w:szCs w:val="24"/>
                <w:highlight w:val="none"/>
              </w:rPr>
              <w:t>招标代理服务收费参照豫招协[2023]002号河南省招标投标协会关于印发《河南省招标代理服务收费指导意见》规定的收费标准收取</w:t>
            </w:r>
            <w:r>
              <w:rPr>
                <w:rFonts w:hint="eastAsia" w:ascii="宋体" w:hAnsi="宋体" w:cs="宋体"/>
                <w:bCs/>
                <w:color w:val="000000"/>
                <w:sz w:val="24"/>
                <w:szCs w:val="24"/>
                <w:highlight w:val="none"/>
                <w:lang w:val="en-US" w:eastAsia="zh-CN"/>
              </w:rPr>
              <w:t>成交</w:t>
            </w:r>
            <w:r>
              <w:rPr>
                <w:rFonts w:hint="eastAsia" w:ascii="宋体" w:hAnsi="宋体" w:cs="宋体"/>
                <w:bCs/>
                <w:color w:val="000000"/>
                <w:sz w:val="24"/>
                <w:szCs w:val="24"/>
                <w:highlight w:val="none"/>
              </w:rPr>
              <w:t>服务费，领取成交通知书前由成交人支付</w:t>
            </w:r>
            <w:r>
              <w:rPr>
                <w:rFonts w:hint="eastAsia" w:ascii="宋体" w:hAnsi="宋体" w:cs="宋体"/>
                <w:bCs/>
                <w:color w:val="000000"/>
                <w:sz w:val="24"/>
                <w:szCs w:val="24"/>
                <w:highlight w:val="none"/>
                <w:lang w:eastAsia="zh-CN"/>
              </w:rPr>
              <w:t>。</w:t>
            </w:r>
          </w:p>
        </w:tc>
      </w:tr>
      <w:tr w14:paraId="53D30183">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43488FE8">
            <w:pPr>
              <w:widowControl w:val="0"/>
              <w:adjustRightInd w:val="0"/>
              <w:spacing w:line="360" w:lineRule="auto"/>
              <w:jc w:val="center"/>
              <w:rPr>
                <w:rFonts w:hint="default" w:ascii="宋体" w:hAnsi="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42</w:t>
            </w:r>
          </w:p>
        </w:tc>
        <w:tc>
          <w:tcPr>
            <w:tcW w:w="2175" w:type="dxa"/>
            <w:tcBorders>
              <w:top w:val="single" w:color="auto" w:sz="6" w:space="0"/>
              <w:left w:val="single" w:color="auto" w:sz="6" w:space="0"/>
              <w:bottom w:val="single" w:color="auto" w:sz="6" w:space="0"/>
              <w:right w:val="single" w:color="auto" w:sz="6" w:space="0"/>
            </w:tcBorders>
            <w:vAlign w:val="center"/>
          </w:tcPr>
          <w:p w14:paraId="1F2C048C">
            <w:pPr>
              <w:spacing w:line="360" w:lineRule="auto"/>
              <w:jc w:val="center"/>
              <w:rPr>
                <w:rFonts w:hint="eastAsia" w:ascii="宋体" w:hAnsi="宋体" w:cs="宋体"/>
                <w:sz w:val="24"/>
                <w:szCs w:val="24"/>
                <w:highlight w:val="none"/>
              </w:rPr>
            </w:pPr>
            <w:r>
              <w:rPr>
                <w:rFonts w:hint="eastAsia" w:ascii="宋体" w:hAnsi="宋体" w:cs="宋体"/>
                <w:bCs/>
                <w:color w:val="000000"/>
                <w:sz w:val="24"/>
                <w:szCs w:val="24"/>
                <w:highlight w:val="none"/>
              </w:rPr>
              <w:t>采购项目需要落实的政府采购政策</w:t>
            </w:r>
          </w:p>
        </w:tc>
        <w:tc>
          <w:tcPr>
            <w:tcW w:w="7079" w:type="dxa"/>
            <w:tcBorders>
              <w:top w:val="single" w:color="auto" w:sz="6" w:space="0"/>
              <w:left w:val="single" w:color="auto" w:sz="6" w:space="0"/>
              <w:bottom w:val="single" w:color="auto" w:sz="6" w:space="0"/>
              <w:right w:val="single" w:color="auto" w:sz="12" w:space="0"/>
            </w:tcBorders>
            <w:vAlign w:val="center"/>
          </w:tcPr>
          <w:p w14:paraId="4D0B4B4C">
            <w:pPr>
              <w:spacing w:line="360" w:lineRule="auto"/>
              <w:jc w:val="both"/>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根据</w:t>
            </w:r>
            <w:r>
              <w:rPr>
                <w:rFonts w:hint="eastAsia" w:ascii="宋体" w:hAnsi="宋体" w:cs="宋体"/>
                <w:sz w:val="24"/>
                <w:szCs w:val="24"/>
                <w:highlight w:val="none"/>
                <w:lang w:bidi="ar"/>
              </w:rPr>
              <w:t>《</w:t>
            </w:r>
            <w:r>
              <w:rPr>
                <w:rFonts w:hint="eastAsia" w:ascii="宋体" w:hAnsi="宋体" w:eastAsia="宋体" w:cs="宋体"/>
                <w:bCs/>
                <w:color w:val="000000"/>
                <w:sz w:val="24"/>
                <w:szCs w:val="24"/>
                <w:highlight w:val="none"/>
                <w:lang w:val="en-US" w:eastAsia="zh-CN"/>
              </w:rPr>
              <w:t>政府采购促进中小企业发展管理办法》（财库﹝2020﹞46 号）的规定本项目对中小微企业扶持政策按以下规定落实：</w:t>
            </w:r>
          </w:p>
          <w:p w14:paraId="6849D389">
            <w:pPr>
              <w:spacing w:line="360" w:lineRule="auto"/>
              <w:jc w:val="both"/>
              <w:rPr>
                <w:rFonts w:hint="eastAsia" w:ascii="宋体" w:hAnsi="宋体" w:eastAsia="宋体" w:cs="宋体"/>
                <w:bCs/>
                <w:color w:val="000000"/>
                <w:sz w:val="24"/>
                <w:szCs w:val="24"/>
                <w:highlight w:val="none"/>
              </w:rPr>
            </w:pPr>
            <w:r>
              <w:rPr>
                <w:rFonts w:hint="eastAsia" w:ascii="宋体" w:hAnsi="宋体" w:cs="宋体"/>
                <w:bCs/>
                <w:color w:val="000000"/>
                <w:sz w:val="24"/>
                <w:szCs w:val="24"/>
                <w:highlight w:val="none"/>
                <w:lang w:val="en-US" w:eastAsia="zh-CN"/>
              </w:rPr>
              <w:t>1、</w:t>
            </w:r>
            <w:r>
              <w:rPr>
                <w:rFonts w:hint="eastAsia" w:ascii="宋体" w:hAnsi="宋体" w:eastAsia="宋体" w:cs="宋体"/>
                <w:bCs/>
                <w:color w:val="000000"/>
                <w:sz w:val="24"/>
                <w:szCs w:val="24"/>
                <w:highlight w:val="none"/>
                <w:lang w:val="en-US" w:eastAsia="zh-CN"/>
              </w:rPr>
              <w:t>参与本次采购的供应商执行价格扣除加分；</w:t>
            </w:r>
          </w:p>
          <w:p w14:paraId="5CEDE100">
            <w:pPr>
              <w:spacing w:line="360" w:lineRule="auto"/>
              <w:jc w:val="both"/>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2</w:t>
            </w:r>
            <w:r>
              <w:rPr>
                <w:rFonts w:hint="eastAsia" w:ascii="宋体" w:hAnsi="宋体" w:cs="宋体"/>
                <w:bCs/>
                <w:color w:val="000000"/>
                <w:sz w:val="24"/>
                <w:szCs w:val="24"/>
                <w:highlight w:val="none"/>
                <w:lang w:val="en-US" w:eastAsia="zh-CN"/>
              </w:rPr>
              <w:t>、</w:t>
            </w:r>
            <w:r>
              <w:rPr>
                <w:rFonts w:hint="eastAsia" w:ascii="宋体" w:hAnsi="宋体" w:eastAsia="宋体" w:cs="宋体"/>
                <w:bCs/>
                <w:color w:val="000000"/>
                <w:sz w:val="24"/>
                <w:szCs w:val="24"/>
                <w:highlight w:val="none"/>
                <w:lang w:val="en-US" w:eastAsia="zh-CN"/>
              </w:rPr>
              <w:t xml:space="preserve">成交供应商获得政府采购合同的，小微企业不得将合同分包给大中型企业，中型企业不得将合同分包给大型企业； </w:t>
            </w:r>
          </w:p>
          <w:p w14:paraId="35195929">
            <w:pPr>
              <w:spacing w:line="360" w:lineRule="auto"/>
              <w:jc w:val="both"/>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3</w:t>
            </w:r>
            <w:r>
              <w:rPr>
                <w:rFonts w:hint="eastAsia" w:ascii="宋体" w:hAnsi="宋体" w:cs="宋体"/>
                <w:bCs/>
                <w:color w:val="000000"/>
                <w:sz w:val="24"/>
                <w:szCs w:val="24"/>
                <w:highlight w:val="none"/>
                <w:lang w:val="en-US" w:eastAsia="zh-CN"/>
              </w:rPr>
              <w:t>、</w:t>
            </w:r>
            <w:r>
              <w:rPr>
                <w:rFonts w:hint="eastAsia" w:ascii="宋体" w:hAnsi="宋体" w:eastAsia="宋体" w:cs="宋体"/>
                <w:bCs/>
                <w:color w:val="000000"/>
                <w:sz w:val="24"/>
                <w:szCs w:val="24"/>
                <w:highlight w:val="none"/>
                <w:lang w:val="en-US" w:eastAsia="zh-CN"/>
              </w:rPr>
              <w:t xml:space="preserve">采购标的对应的中小企业划分标准所属行业：根据工信部联企业[2011]300号文的规定，本项目涉及中小企业的行业划型属于“软件和信息技术服务业”； </w:t>
            </w:r>
          </w:p>
          <w:p w14:paraId="494C374A">
            <w:pPr>
              <w:spacing w:line="360" w:lineRule="auto"/>
              <w:jc w:val="both"/>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“软件和信息技术服务业”</w:t>
            </w:r>
            <w:r>
              <w:rPr>
                <w:rFonts w:hint="eastAsia" w:ascii="宋体" w:hAnsi="宋体" w:cs="宋体"/>
                <w:bCs/>
                <w:color w:val="000000"/>
                <w:sz w:val="24"/>
                <w:szCs w:val="24"/>
                <w:highlight w:val="none"/>
                <w:lang w:val="en-US" w:eastAsia="zh-CN"/>
              </w:rPr>
              <w:t>：</w:t>
            </w:r>
            <w:r>
              <w:rPr>
                <w:rFonts w:hint="eastAsia" w:ascii="宋体" w:hAnsi="宋体" w:eastAsia="宋体" w:cs="宋体"/>
                <w:bCs/>
                <w:color w:val="000000"/>
                <w:sz w:val="24"/>
                <w:szCs w:val="24"/>
                <w:highlight w:val="none"/>
                <w:lang w:val="en-US" w:eastAsia="zh-CN"/>
              </w:rPr>
              <w:t xml:space="preserve">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14:paraId="5C87E0F4">
            <w:pPr>
              <w:spacing w:line="360" w:lineRule="auto"/>
              <w:jc w:val="both"/>
              <w:rPr>
                <w:rFonts w:hint="eastAsia" w:ascii="宋体" w:hAnsi="宋体" w:cs="宋体"/>
                <w:sz w:val="24"/>
                <w:szCs w:val="24"/>
                <w:highlight w:val="none"/>
              </w:rPr>
            </w:pPr>
            <w:r>
              <w:rPr>
                <w:rFonts w:hint="eastAsia" w:ascii="宋体" w:hAnsi="宋体" w:cs="宋体"/>
                <w:bCs/>
                <w:color w:val="000000"/>
                <w:sz w:val="24"/>
                <w:szCs w:val="24"/>
                <w:highlight w:val="none"/>
                <w:lang w:val="en-US" w:eastAsia="zh-CN"/>
              </w:rPr>
              <w:t>4、</w:t>
            </w:r>
            <w:r>
              <w:rPr>
                <w:rFonts w:hint="eastAsia" w:ascii="宋体" w:hAnsi="宋体" w:eastAsia="宋体" w:cs="宋体"/>
                <w:bCs/>
                <w:color w:val="000000"/>
                <w:sz w:val="24"/>
                <w:szCs w:val="24"/>
                <w:highlight w:val="none"/>
                <w:lang w:val="en-US" w:eastAsia="zh-CN"/>
              </w:rPr>
              <w:t>其他优惠措施：监狱企业、残疾人福利性单位视同小微企业。</w:t>
            </w:r>
          </w:p>
        </w:tc>
      </w:tr>
      <w:tr w14:paraId="4B44CB66">
        <w:tblPrEx>
          <w:tblCellMar>
            <w:top w:w="0" w:type="dxa"/>
            <w:left w:w="108" w:type="dxa"/>
            <w:bottom w:w="0" w:type="dxa"/>
            <w:right w:w="108" w:type="dxa"/>
          </w:tblCellMar>
        </w:tblPrEx>
        <w:trPr>
          <w:gridAfter w:val="3"/>
          <w:wAfter w:w="16115" w:type="dxa"/>
          <w:trHeight w:val="432" w:hRule="atLeast"/>
        </w:trPr>
        <w:tc>
          <w:tcPr>
            <w:tcW w:w="862" w:type="dxa"/>
            <w:tcBorders>
              <w:top w:val="single" w:color="auto" w:sz="6" w:space="0"/>
              <w:left w:val="single" w:color="auto" w:sz="12" w:space="0"/>
              <w:bottom w:val="single" w:color="auto" w:sz="6" w:space="0"/>
              <w:right w:val="single" w:color="auto" w:sz="6" w:space="0"/>
            </w:tcBorders>
            <w:vAlign w:val="center"/>
          </w:tcPr>
          <w:p w14:paraId="57FCCC24">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43</w:t>
            </w:r>
          </w:p>
        </w:tc>
        <w:tc>
          <w:tcPr>
            <w:tcW w:w="2175" w:type="dxa"/>
            <w:tcBorders>
              <w:top w:val="single" w:color="auto" w:sz="6" w:space="0"/>
              <w:left w:val="single" w:color="auto" w:sz="6" w:space="0"/>
              <w:bottom w:val="single" w:color="auto" w:sz="6" w:space="0"/>
              <w:right w:val="single" w:color="auto" w:sz="6" w:space="0"/>
            </w:tcBorders>
            <w:vAlign w:val="center"/>
          </w:tcPr>
          <w:p w14:paraId="183072E6">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竞争性磋商文件的解释</w:t>
            </w:r>
          </w:p>
        </w:tc>
        <w:tc>
          <w:tcPr>
            <w:tcW w:w="7079" w:type="dxa"/>
            <w:tcBorders>
              <w:top w:val="single" w:color="auto" w:sz="6" w:space="0"/>
              <w:left w:val="single" w:color="auto" w:sz="6" w:space="0"/>
              <w:bottom w:val="single" w:color="auto" w:sz="6" w:space="0"/>
              <w:right w:val="single" w:color="auto" w:sz="12" w:space="0"/>
            </w:tcBorders>
            <w:vAlign w:val="center"/>
          </w:tcPr>
          <w:p w14:paraId="15B491A9">
            <w:pPr>
              <w:spacing w:line="360" w:lineRule="auto"/>
              <w:ind w:right="-146" w:rightChars="-73"/>
              <w:rPr>
                <w:rFonts w:hint="eastAsia" w:ascii="宋体" w:hAnsi="宋体" w:cs="宋体"/>
                <w:spacing w:val="6"/>
                <w:kern w:val="2"/>
                <w:sz w:val="24"/>
                <w:szCs w:val="24"/>
                <w:highlight w:val="none"/>
              </w:rPr>
            </w:pPr>
            <w:r>
              <w:rPr>
                <w:rFonts w:hint="eastAsia" w:ascii="宋体" w:hAnsi="宋体" w:cs="宋体"/>
                <w:sz w:val="24"/>
                <w:szCs w:val="24"/>
                <w:highlight w:val="none"/>
              </w:rPr>
              <w:t>在符合相关法律法规的前题下，竞争性磋商文件的解释权归采购人所有。本竞争性磋商文件中其他部分内容与响应人须知前附表不一致的，以响应人须知前附表为准。</w:t>
            </w:r>
          </w:p>
        </w:tc>
      </w:tr>
      <w:tr w14:paraId="2C720AC6">
        <w:tblPrEx>
          <w:tblCellMar>
            <w:top w:w="0" w:type="dxa"/>
            <w:left w:w="108" w:type="dxa"/>
            <w:bottom w:w="0" w:type="dxa"/>
            <w:right w:w="108" w:type="dxa"/>
          </w:tblCellMar>
        </w:tblPrEx>
        <w:trPr>
          <w:gridAfter w:val="3"/>
          <w:wAfter w:w="16115" w:type="dxa"/>
          <w:trHeight w:val="597" w:hRule="atLeast"/>
        </w:trPr>
        <w:tc>
          <w:tcPr>
            <w:tcW w:w="862" w:type="dxa"/>
            <w:tcBorders>
              <w:top w:val="single" w:color="auto" w:sz="6" w:space="0"/>
              <w:left w:val="single" w:color="auto" w:sz="12" w:space="0"/>
              <w:bottom w:val="single" w:color="auto" w:sz="6" w:space="0"/>
              <w:right w:val="single" w:color="auto" w:sz="6" w:space="0"/>
            </w:tcBorders>
            <w:vAlign w:val="center"/>
          </w:tcPr>
          <w:p w14:paraId="293BDB14">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44</w:t>
            </w:r>
          </w:p>
        </w:tc>
        <w:tc>
          <w:tcPr>
            <w:tcW w:w="2175" w:type="dxa"/>
            <w:tcBorders>
              <w:top w:val="single" w:color="auto" w:sz="6" w:space="0"/>
              <w:left w:val="single" w:color="auto" w:sz="6" w:space="0"/>
              <w:bottom w:val="single" w:color="auto" w:sz="6" w:space="0"/>
              <w:right w:val="single" w:color="auto" w:sz="6" w:space="0"/>
            </w:tcBorders>
            <w:vAlign w:val="center"/>
          </w:tcPr>
          <w:p w14:paraId="78504BA1">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答疑</w:t>
            </w:r>
          </w:p>
        </w:tc>
        <w:tc>
          <w:tcPr>
            <w:tcW w:w="7079" w:type="dxa"/>
            <w:tcBorders>
              <w:top w:val="single" w:color="auto" w:sz="6" w:space="0"/>
              <w:left w:val="single" w:color="auto" w:sz="6" w:space="0"/>
              <w:bottom w:val="single" w:color="auto" w:sz="6" w:space="0"/>
              <w:right w:val="single" w:color="auto" w:sz="12" w:space="0"/>
            </w:tcBorders>
            <w:vAlign w:val="center"/>
          </w:tcPr>
          <w:p w14:paraId="3B7256A0">
            <w:pPr>
              <w:spacing w:line="360" w:lineRule="auto"/>
              <w:ind w:right="-146" w:rightChars="-73"/>
              <w:rPr>
                <w:rFonts w:hint="eastAsia" w:ascii="宋体" w:hAnsi="宋体" w:cs="宋体"/>
                <w:spacing w:val="6"/>
                <w:kern w:val="2"/>
                <w:sz w:val="24"/>
                <w:szCs w:val="24"/>
                <w:highlight w:val="none"/>
              </w:rPr>
            </w:pPr>
            <w:r>
              <w:rPr>
                <w:rFonts w:hint="eastAsia" w:ascii="宋体" w:hAnsi="宋体" w:cs="宋体"/>
                <w:sz w:val="24"/>
                <w:szCs w:val="24"/>
                <w:highlight w:val="none"/>
              </w:rPr>
              <w:t>需要解答的疑问以书面形式加盖单位公章递交至采购人或代理机构，逾期提交的问题概不做回复。采购人将需要解答的内容以公告形式发至所有潜在响应人。</w:t>
            </w:r>
          </w:p>
        </w:tc>
      </w:tr>
      <w:tr w14:paraId="34BE96ED">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2E140ED2">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45</w:t>
            </w:r>
          </w:p>
        </w:tc>
        <w:tc>
          <w:tcPr>
            <w:tcW w:w="2175" w:type="dxa"/>
            <w:tcBorders>
              <w:top w:val="single" w:color="auto" w:sz="6" w:space="0"/>
              <w:left w:val="single" w:color="auto" w:sz="6" w:space="0"/>
              <w:bottom w:val="single" w:color="auto" w:sz="6" w:space="0"/>
              <w:right w:val="single" w:color="auto" w:sz="6" w:space="0"/>
            </w:tcBorders>
            <w:vAlign w:val="center"/>
          </w:tcPr>
          <w:p w14:paraId="52894D4E">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结果公告</w:t>
            </w:r>
          </w:p>
        </w:tc>
        <w:tc>
          <w:tcPr>
            <w:tcW w:w="7079" w:type="dxa"/>
            <w:tcBorders>
              <w:top w:val="single" w:color="auto" w:sz="6" w:space="0"/>
              <w:left w:val="single" w:color="auto" w:sz="6" w:space="0"/>
              <w:bottom w:val="single" w:color="auto" w:sz="6" w:space="0"/>
              <w:right w:val="single" w:color="auto" w:sz="12" w:space="0"/>
            </w:tcBorders>
            <w:vAlign w:val="center"/>
          </w:tcPr>
          <w:p w14:paraId="786779F5">
            <w:pPr>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rPr>
              <w:t>在《河南省政府采购网》、《中国招标投标公共服务平台》和《三门峡市公共资源交易中心网》同时进行公告，公示期1个工作日。</w:t>
            </w:r>
          </w:p>
        </w:tc>
      </w:tr>
      <w:tr w14:paraId="29459C61">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0EB0E3BC">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46</w:t>
            </w:r>
          </w:p>
        </w:tc>
        <w:tc>
          <w:tcPr>
            <w:tcW w:w="2175" w:type="dxa"/>
            <w:tcBorders>
              <w:top w:val="single" w:color="auto" w:sz="6" w:space="0"/>
              <w:left w:val="single" w:color="auto" w:sz="6" w:space="0"/>
              <w:bottom w:val="single" w:color="auto" w:sz="6" w:space="0"/>
              <w:right w:val="single" w:color="auto" w:sz="6" w:space="0"/>
            </w:tcBorders>
            <w:vAlign w:val="center"/>
          </w:tcPr>
          <w:p w14:paraId="331D4A69">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知识产权</w:t>
            </w:r>
          </w:p>
        </w:tc>
        <w:tc>
          <w:tcPr>
            <w:tcW w:w="7079" w:type="dxa"/>
            <w:tcBorders>
              <w:top w:val="single" w:color="auto" w:sz="6" w:space="0"/>
              <w:left w:val="single" w:color="auto" w:sz="6" w:space="0"/>
              <w:bottom w:val="single" w:color="auto" w:sz="6" w:space="0"/>
              <w:right w:val="single" w:color="auto" w:sz="12" w:space="0"/>
            </w:tcBorders>
            <w:vAlign w:val="center"/>
          </w:tcPr>
          <w:p w14:paraId="05BC70F2">
            <w:pPr>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rPr>
              <w:t>构成本竞争性磋商文件各个组成部分的文件，未经采购人书面同意，响应人不得擅自复印和用于非本招标项目所需的其他目的。采购人全部或者部分使用未</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人响应文件中的技术成果或技术方案时，需征得其书面同意，并不得擅自复印或提供给第三人。</w:t>
            </w:r>
          </w:p>
        </w:tc>
      </w:tr>
      <w:tr w14:paraId="08B547D7">
        <w:tblPrEx>
          <w:tblCellMar>
            <w:top w:w="0" w:type="dxa"/>
            <w:left w:w="108" w:type="dxa"/>
            <w:bottom w:w="0" w:type="dxa"/>
            <w:right w:w="108" w:type="dxa"/>
          </w:tblCellMar>
        </w:tblPrEx>
        <w:trPr>
          <w:gridAfter w:val="3"/>
          <w:wAfter w:w="16115" w:type="dxa"/>
          <w:trHeight w:val="379" w:hRule="atLeast"/>
        </w:trPr>
        <w:tc>
          <w:tcPr>
            <w:tcW w:w="862" w:type="dxa"/>
            <w:tcBorders>
              <w:top w:val="single" w:color="auto" w:sz="6" w:space="0"/>
              <w:left w:val="single" w:color="auto" w:sz="12" w:space="0"/>
              <w:bottom w:val="single" w:color="auto" w:sz="6" w:space="0"/>
              <w:right w:val="single" w:color="auto" w:sz="6" w:space="0"/>
            </w:tcBorders>
            <w:vAlign w:val="center"/>
          </w:tcPr>
          <w:p w14:paraId="6E8CEC02">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47</w:t>
            </w:r>
          </w:p>
        </w:tc>
        <w:tc>
          <w:tcPr>
            <w:tcW w:w="2175" w:type="dxa"/>
            <w:tcBorders>
              <w:top w:val="single" w:color="auto" w:sz="6" w:space="0"/>
              <w:left w:val="single" w:color="auto" w:sz="6" w:space="0"/>
              <w:bottom w:val="single" w:color="auto" w:sz="6" w:space="0"/>
              <w:right w:val="single" w:color="auto" w:sz="6" w:space="0"/>
            </w:tcBorders>
            <w:vAlign w:val="center"/>
          </w:tcPr>
          <w:p w14:paraId="2F470077">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重新招标的其他情形</w:t>
            </w:r>
          </w:p>
        </w:tc>
        <w:tc>
          <w:tcPr>
            <w:tcW w:w="7079" w:type="dxa"/>
            <w:tcBorders>
              <w:top w:val="single" w:color="auto" w:sz="6" w:space="0"/>
              <w:left w:val="single" w:color="auto" w:sz="6" w:space="0"/>
              <w:bottom w:val="single" w:color="auto" w:sz="6" w:space="0"/>
              <w:right w:val="single" w:color="auto" w:sz="12" w:space="0"/>
            </w:tcBorders>
            <w:vAlign w:val="center"/>
          </w:tcPr>
          <w:p w14:paraId="51E992E5">
            <w:pPr>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rPr>
              <w:t>除响应人须知正文规定的情形外，除非已经产生</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候选人，在磋商有效期内同意延长磋商有效期的响应人少于三个的，采购人应当依法重新招标。</w:t>
            </w:r>
          </w:p>
        </w:tc>
      </w:tr>
      <w:tr w14:paraId="094DFBDA">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2D91C51E">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48</w:t>
            </w:r>
          </w:p>
        </w:tc>
        <w:tc>
          <w:tcPr>
            <w:tcW w:w="2175" w:type="dxa"/>
            <w:tcBorders>
              <w:top w:val="single" w:color="auto" w:sz="6" w:space="0"/>
              <w:left w:val="single" w:color="auto" w:sz="6" w:space="0"/>
              <w:bottom w:val="single" w:color="auto" w:sz="6" w:space="0"/>
              <w:right w:val="single" w:color="auto" w:sz="6" w:space="0"/>
            </w:tcBorders>
            <w:vAlign w:val="center"/>
          </w:tcPr>
          <w:p w14:paraId="4C43EAB6">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同义词语</w:t>
            </w:r>
          </w:p>
        </w:tc>
        <w:tc>
          <w:tcPr>
            <w:tcW w:w="7079" w:type="dxa"/>
            <w:tcBorders>
              <w:top w:val="single" w:color="auto" w:sz="6" w:space="0"/>
              <w:left w:val="single" w:color="auto" w:sz="6" w:space="0"/>
              <w:bottom w:val="single" w:color="auto" w:sz="6" w:space="0"/>
              <w:right w:val="single" w:color="auto" w:sz="12" w:space="0"/>
            </w:tcBorders>
            <w:vAlign w:val="center"/>
          </w:tcPr>
          <w:p w14:paraId="649027A6">
            <w:pPr>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rPr>
              <w:t>构成竞争性磋商文件组成部分的“通用合同条款”“专用合同条款”“技术标准和要求”等章节中出现的措辞“发包人”和“承包人”，在招标磋商阶段应当分别按“采购人”和“响应人”进行理解。</w:t>
            </w:r>
          </w:p>
        </w:tc>
      </w:tr>
      <w:tr w14:paraId="179D2DB7">
        <w:tblPrEx>
          <w:tblCellMar>
            <w:top w:w="0" w:type="dxa"/>
            <w:left w:w="108" w:type="dxa"/>
            <w:bottom w:w="0" w:type="dxa"/>
            <w:right w:w="108" w:type="dxa"/>
          </w:tblCellMar>
        </w:tblPrEx>
        <w:trPr>
          <w:gridAfter w:val="3"/>
          <w:wAfter w:w="16115" w:type="dxa"/>
          <w:trHeight w:val="807" w:hRule="atLeast"/>
        </w:trPr>
        <w:tc>
          <w:tcPr>
            <w:tcW w:w="862" w:type="dxa"/>
            <w:tcBorders>
              <w:top w:val="single" w:color="auto" w:sz="6" w:space="0"/>
              <w:left w:val="single" w:color="auto" w:sz="12" w:space="0"/>
              <w:bottom w:val="single" w:color="auto" w:sz="6" w:space="0"/>
              <w:right w:val="single" w:color="auto" w:sz="6" w:space="0"/>
            </w:tcBorders>
            <w:vAlign w:val="center"/>
          </w:tcPr>
          <w:p w14:paraId="0FC386EE">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49</w:t>
            </w:r>
          </w:p>
        </w:tc>
        <w:tc>
          <w:tcPr>
            <w:tcW w:w="2175" w:type="dxa"/>
            <w:tcBorders>
              <w:top w:val="single" w:color="auto" w:sz="6" w:space="0"/>
              <w:left w:val="single" w:color="auto" w:sz="6" w:space="0"/>
              <w:bottom w:val="single" w:color="auto" w:sz="6" w:space="0"/>
              <w:right w:val="single" w:color="auto" w:sz="6" w:space="0"/>
            </w:tcBorders>
            <w:vAlign w:val="center"/>
          </w:tcPr>
          <w:p w14:paraId="5B1C1CCB">
            <w:pPr>
              <w:spacing w:line="400" w:lineRule="exact"/>
              <w:jc w:val="center"/>
              <w:rPr>
                <w:rFonts w:hint="eastAsia" w:ascii="宋体" w:hAnsi="宋体" w:cs="宋体"/>
                <w:spacing w:val="6"/>
                <w:kern w:val="2"/>
                <w:sz w:val="24"/>
                <w:szCs w:val="24"/>
                <w:highlight w:val="none"/>
              </w:rPr>
            </w:pPr>
            <w:r>
              <w:rPr>
                <w:rFonts w:hint="eastAsia" w:ascii="宋体" w:hAnsi="宋体" w:cs="宋体"/>
                <w:sz w:val="24"/>
                <w:szCs w:val="24"/>
                <w:highlight w:val="none"/>
              </w:rPr>
              <w:t>监督</w:t>
            </w:r>
          </w:p>
        </w:tc>
        <w:tc>
          <w:tcPr>
            <w:tcW w:w="7079" w:type="dxa"/>
            <w:tcBorders>
              <w:top w:val="single" w:color="auto" w:sz="6" w:space="0"/>
              <w:left w:val="single" w:color="auto" w:sz="6" w:space="0"/>
              <w:bottom w:val="single" w:color="auto" w:sz="6" w:space="0"/>
              <w:right w:val="single" w:color="auto" w:sz="12" w:space="0"/>
            </w:tcBorders>
            <w:vAlign w:val="center"/>
          </w:tcPr>
          <w:p w14:paraId="60898AC2">
            <w:pPr>
              <w:spacing w:line="360" w:lineRule="auto"/>
              <w:rPr>
                <w:rFonts w:hint="eastAsia" w:ascii="宋体" w:hAnsi="宋体" w:cs="宋体"/>
                <w:spacing w:val="6"/>
                <w:kern w:val="2"/>
                <w:sz w:val="24"/>
                <w:szCs w:val="24"/>
                <w:highlight w:val="none"/>
              </w:rPr>
            </w:pPr>
            <w:r>
              <w:rPr>
                <w:rFonts w:hint="eastAsia" w:ascii="宋体" w:hAnsi="宋体" w:cs="宋体"/>
                <w:sz w:val="24"/>
                <w:szCs w:val="24"/>
                <w:highlight w:val="none"/>
              </w:rPr>
              <w:t>本项目的招标磋商活动及其相关当事人应当接受有管辖权的招标投标行政监督部门依法实施的监督。</w:t>
            </w:r>
          </w:p>
        </w:tc>
      </w:tr>
      <w:tr w14:paraId="1B6CECC5">
        <w:tblPrEx>
          <w:tblCellMar>
            <w:top w:w="0" w:type="dxa"/>
            <w:left w:w="108" w:type="dxa"/>
            <w:bottom w:w="0" w:type="dxa"/>
            <w:right w:w="108" w:type="dxa"/>
          </w:tblCellMar>
        </w:tblPrEx>
        <w:trPr>
          <w:gridAfter w:val="3"/>
          <w:wAfter w:w="16115" w:type="dxa"/>
          <w:trHeight w:val="770" w:hRule="atLeast"/>
        </w:trPr>
        <w:tc>
          <w:tcPr>
            <w:tcW w:w="862" w:type="dxa"/>
            <w:tcBorders>
              <w:top w:val="single" w:color="auto" w:sz="6" w:space="0"/>
              <w:left w:val="single" w:color="auto" w:sz="12" w:space="0"/>
              <w:bottom w:val="single" w:color="auto" w:sz="12" w:space="0"/>
              <w:right w:val="single" w:color="auto" w:sz="6" w:space="0"/>
            </w:tcBorders>
            <w:vAlign w:val="center"/>
          </w:tcPr>
          <w:p w14:paraId="03EF74EA">
            <w:pPr>
              <w:widowControl w:val="0"/>
              <w:adjustRightInd w:val="0"/>
              <w:spacing w:line="360" w:lineRule="auto"/>
              <w:jc w:val="center"/>
              <w:rPr>
                <w:rFonts w:hint="default" w:ascii="宋体" w:hAnsi="宋体" w:eastAsia="宋体" w:cs="宋体"/>
                <w:spacing w:val="6"/>
                <w:kern w:val="2"/>
                <w:sz w:val="24"/>
                <w:szCs w:val="24"/>
                <w:highlight w:val="none"/>
                <w:lang w:val="en-US" w:eastAsia="zh-CN"/>
              </w:rPr>
            </w:pPr>
            <w:r>
              <w:rPr>
                <w:rFonts w:hint="eastAsia" w:ascii="宋体" w:hAnsi="宋体" w:cs="宋体"/>
                <w:spacing w:val="6"/>
                <w:kern w:val="2"/>
                <w:sz w:val="24"/>
                <w:szCs w:val="24"/>
                <w:highlight w:val="none"/>
                <w:lang w:val="en-US" w:eastAsia="zh-CN"/>
              </w:rPr>
              <w:t>50</w:t>
            </w:r>
          </w:p>
        </w:tc>
        <w:tc>
          <w:tcPr>
            <w:tcW w:w="2175" w:type="dxa"/>
            <w:tcBorders>
              <w:top w:val="single" w:color="auto" w:sz="6" w:space="0"/>
              <w:left w:val="single" w:color="auto" w:sz="6" w:space="0"/>
              <w:bottom w:val="single" w:color="auto" w:sz="12" w:space="0"/>
              <w:right w:val="single" w:color="auto" w:sz="6" w:space="0"/>
            </w:tcBorders>
            <w:vAlign w:val="center"/>
          </w:tcPr>
          <w:p w14:paraId="1464E7AA">
            <w:pPr>
              <w:widowControl w:val="0"/>
              <w:adjustRightInd w:val="0"/>
              <w:spacing w:line="360" w:lineRule="auto"/>
              <w:jc w:val="center"/>
              <w:rPr>
                <w:rFonts w:hint="eastAsia" w:ascii="宋体" w:hAnsi="宋体" w:cs="宋体"/>
                <w:spacing w:val="6"/>
                <w:kern w:val="2"/>
                <w:sz w:val="24"/>
                <w:szCs w:val="24"/>
                <w:highlight w:val="none"/>
              </w:rPr>
            </w:pPr>
            <w:r>
              <w:rPr>
                <w:rFonts w:ascii="宋体" w:hAnsi="宋体" w:cs="宋体"/>
                <w:b/>
                <w:kern w:val="2"/>
                <w:sz w:val="24"/>
                <w:szCs w:val="24"/>
                <w:highlight w:val="none"/>
              </w:rPr>
              <w:t>电子化注意事项</w:t>
            </w:r>
          </w:p>
        </w:tc>
        <w:tc>
          <w:tcPr>
            <w:tcW w:w="7079" w:type="dxa"/>
            <w:tcBorders>
              <w:top w:val="single" w:color="auto" w:sz="6" w:space="0"/>
              <w:left w:val="single" w:color="auto" w:sz="6" w:space="0"/>
              <w:bottom w:val="single" w:color="auto" w:sz="12" w:space="0"/>
              <w:right w:val="single" w:color="auto" w:sz="12" w:space="0"/>
            </w:tcBorders>
            <w:vAlign w:val="center"/>
          </w:tcPr>
          <w:p w14:paraId="7E181023">
            <w:pPr>
              <w:widowControl w:val="0"/>
              <w:spacing w:line="360" w:lineRule="auto"/>
              <w:jc w:val="both"/>
              <w:rPr>
                <w:rFonts w:hint="eastAsia" w:ascii="宋体" w:hAnsi="宋体"/>
                <w:b/>
                <w:kern w:val="2"/>
                <w:sz w:val="24"/>
                <w:szCs w:val="24"/>
                <w:highlight w:val="none"/>
              </w:rPr>
            </w:pPr>
            <w:r>
              <w:rPr>
                <w:rFonts w:ascii="宋体" w:hAnsi="宋体" w:cs="宋体"/>
                <w:b/>
                <w:kern w:val="2"/>
                <w:sz w:val="24"/>
                <w:szCs w:val="24"/>
                <w:highlight w:val="none"/>
              </w:rPr>
              <w:t>电子化交易项目竞争性磋商响应文件</w:t>
            </w:r>
            <w:r>
              <w:rPr>
                <w:rFonts w:hint="eastAsia" w:ascii="宋体" w:hAnsi="宋体" w:cs="宋体"/>
                <w:b/>
                <w:kern w:val="2"/>
                <w:sz w:val="24"/>
                <w:szCs w:val="24"/>
                <w:highlight w:val="none"/>
              </w:rPr>
              <w:t>是</w:t>
            </w:r>
            <w:r>
              <w:rPr>
                <w:rFonts w:ascii="宋体" w:hAnsi="宋体" w:cs="宋体"/>
                <w:b/>
                <w:kern w:val="2"/>
                <w:sz w:val="24"/>
                <w:szCs w:val="24"/>
                <w:highlight w:val="none"/>
              </w:rPr>
              <w:t>供应商通过中心制作系统制作，并经过签章和加密后生成的电子版响应文件。</w:t>
            </w:r>
            <w:r>
              <w:rPr>
                <w:rFonts w:hint="eastAsia" w:ascii="宋体" w:hAnsi="宋体" w:cs="宋体"/>
                <w:b/>
                <w:kern w:val="2"/>
                <w:sz w:val="24"/>
                <w:szCs w:val="24"/>
                <w:highlight w:val="none"/>
              </w:rPr>
              <w:t>开</w:t>
            </w:r>
            <w:r>
              <w:rPr>
                <w:rFonts w:ascii="宋体" w:hAnsi="宋体" w:cs="宋体"/>
                <w:b/>
                <w:kern w:val="2"/>
                <w:sz w:val="24"/>
                <w:szCs w:val="24"/>
                <w:highlight w:val="none"/>
              </w:rPr>
              <w:t>标时，将不再接受任何纸质文件资料。</w:t>
            </w:r>
          </w:p>
          <w:p w14:paraId="7C30156F">
            <w:pPr>
              <w:widowControl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电子化响应文件具体制作教材请</w:t>
            </w:r>
            <w:r>
              <w:rPr>
                <w:rFonts w:hint="eastAsia" w:ascii="宋体" w:hAnsi="宋体" w:cs="宋体"/>
                <w:kern w:val="2"/>
                <w:sz w:val="24"/>
                <w:szCs w:val="24"/>
                <w:highlight w:val="none"/>
              </w:rPr>
              <w:t>供应商</w:t>
            </w:r>
            <w:r>
              <w:rPr>
                <w:rFonts w:ascii="宋体" w:hAnsi="宋体" w:cs="宋体"/>
                <w:kern w:val="2"/>
                <w:sz w:val="24"/>
                <w:szCs w:val="24"/>
                <w:highlight w:val="none"/>
              </w:rPr>
              <w:t>通过</w:t>
            </w:r>
            <w:r>
              <w:rPr>
                <w:rFonts w:ascii="宋体" w:hAnsi="宋体"/>
                <w:kern w:val="2"/>
                <w:sz w:val="24"/>
                <w:szCs w:val="24"/>
                <w:highlight w:val="none"/>
              </w:rPr>
              <w:t>CA</w:t>
            </w:r>
            <w:r>
              <w:rPr>
                <w:rFonts w:ascii="宋体" w:hAnsi="宋体" w:cs="宋体"/>
                <w:kern w:val="2"/>
                <w:sz w:val="24"/>
                <w:szCs w:val="24"/>
                <w:highlight w:val="none"/>
              </w:rPr>
              <w:t>证书登录三门峡市公共资源电子化交易系统在“组建下载”中查看。</w:t>
            </w:r>
          </w:p>
          <w:p w14:paraId="5BB333F1">
            <w:pPr>
              <w:widowControl w:val="0"/>
              <w:spacing w:line="360" w:lineRule="auto"/>
              <w:jc w:val="both"/>
              <w:rPr>
                <w:rFonts w:hint="eastAsia" w:ascii="宋体" w:hAnsi="宋体"/>
                <w:kern w:val="2"/>
                <w:sz w:val="24"/>
                <w:szCs w:val="24"/>
                <w:highlight w:val="none"/>
              </w:rPr>
            </w:pPr>
            <w:r>
              <w:rPr>
                <w:rFonts w:ascii="宋体" w:hAnsi="宋体" w:cs="宋体"/>
                <w:b/>
                <w:kern w:val="2"/>
                <w:sz w:val="24"/>
                <w:szCs w:val="24"/>
                <w:highlight w:val="none"/>
              </w:rPr>
              <w:t>温馨提示：本项目为电子化、无纸化交易项目，开标时不接受任何纸质资料，为保证您能</w:t>
            </w:r>
            <w:r>
              <w:rPr>
                <w:rFonts w:hint="eastAsia" w:ascii="宋体" w:hAnsi="宋体" w:cs="宋体"/>
                <w:b/>
                <w:kern w:val="2"/>
                <w:sz w:val="24"/>
                <w:szCs w:val="24"/>
                <w:highlight w:val="none"/>
              </w:rPr>
              <w:t>开</w:t>
            </w:r>
            <w:r>
              <w:rPr>
                <w:rFonts w:ascii="宋体" w:hAnsi="宋体" w:cs="宋体"/>
                <w:b/>
                <w:kern w:val="2"/>
                <w:sz w:val="24"/>
                <w:szCs w:val="24"/>
                <w:highlight w:val="none"/>
              </w:rPr>
              <w:t>标成功，请需仔细阅读以下条款。</w:t>
            </w:r>
          </w:p>
          <w:p w14:paraId="04DC7EB2">
            <w:pPr>
              <w:widowControl w:val="0"/>
              <w:spacing w:line="360" w:lineRule="auto"/>
              <w:jc w:val="both"/>
              <w:rPr>
                <w:rFonts w:hint="eastAsia" w:ascii="宋体" w:hAnsi="宋体" w:cs="宋体"/>
                <w:b/>
                <w:kern w:val="2"/>
                <w:sz w:val="24"/>
                <w:szCs w:val="24"/>
                <w:highlight w:val="none"/>
              </w:rPr>
            </w:pPr>
            <w:r>
              <w:rPr>
                <w:rFonts w:ascii="宋体" w:hAnsi="宋体" w:cs="宋体"/>
                <w:b/>
                <w:kern w:val="2"/>
                <w:sz w:val="24"/>
                <w:szCs w:val="24"/>
                <w:highlight w:val="none"/>
              </w:rPr>
              <w:t>一、电子化投标</w:t>
            </w:r>
          </w:p>
          <w:p w14:paraId="19F5137C">
            <w:pPr>
              <w:widowControl w:val="0"/>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（一）网上投标保证金的缴纳</w:t>
            </w:r>
          </w:p>
          <w:p w14:paraId="69F944F3">
            <w:pPr>
              <w:spacing w:line="360" w:lineRule="auto"/>
              <w:jc w:val="both"/>
              <w:rPr>
                <w:rFonts w:hint="eastAsia" w:ascii="宋体" w:hAnsi="宋体" w:cs="宋体"/>
                <w:kern w:val="2"/>
                <w:sz w:val="24"/>
                <w:szCs w:val="24"/>
                <w:highlight w:val="none"/>
              </w:rPr>
            </w:pPr>
            <w:r>
              <w:rPr>
                <w:rFonts w:hint="eastAsia" w:ascii="宋体" w:hAnsi="宋体" w:cs="宋体"/>
                <w:kern w:val="2"/>
                <w:sz w:val="24"/>
                <w:szCs w:val="24"/>
                <w:highlight w:val="none"/>
              </w:rPr>
              <w:t>按照《河南省财政厅关于优化政府采购营商环境有关问题的通知》（豫财购[2019]4号文）的要求本项目不再收取磋商保证金；</w:t>
            </w:r>
          </w:p>
          <w:p w14:paraId="1AD7145E">
            <w:pPr>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（二）电子化响应文件的签章</w:t>
            </w:r>
          </w:p>
          <w:p w14:paraId="483517D0">
            <w:pPr>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1、</w:t>
            </w:r>
            <w:r>
              <w:rPr>
                <w:rFonts w:hint="eastAsia" w:ascii="宋体" w:hAnsi="宋体"/>
                <w:kern w:val="2"/>
                <w:sz w:val="24"/>
                <w:szCs w:val="24"/>
                <w:highlight w:val="none"/>
              </w:rPr>
              <w:t>供应商</w:t>
            </w:r>
            <w:r>
              <w:rPr>
                <w:rFonts w:ascii="宋体" w:hAnsi="宋体" w:cs="宋体"/>
                <w:kern w:val="2"/>
                <w:sz w:val="24"/>
                <w:szCs w:val="24"/>
                <w:highlight w:val="none"/>
              </w:rPr>
              <w:t>在生成电子化响应文件后，应对电子化响应文件进行签章，未进行签章的视为无效</w:t>
            </w:r>
            <w:r>
              <w:rPr>
                <w:rFonts w:hint="eastAsia" w:ascii="宋体" w:hAnsi="宋体" w:cs="宋体"/>
                <w:kern w:val="2"/>
                <w:sz w:val="24"/>
                <w:szCs w:val="24"/>
                <w:highlight w:val="none"/>
              </w:rPr>
              <w:t>文件</w:t>
            </w:r>
            <w:r>
              <w:rPr>
                <w:rFonts w:ascii="宋体" w:hAnsi="宋体" w:cs="宋体"/>
                <w:kern w:val="2"/>
                <w:sz w:val="24"/>
                <w:szCs w:val="24"/>
                <w:highlight w:val="none"/>
              </w:rPr>
              <w:t>。</w:t>
            </w:r>
          </w:p>
          <w:p w14:paraId="37DF7336">
            <w:pPr>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2、</w:t>
            </w:r>
            <w:r>
              <w:rPr>
                <w:rFonts w:hint="eastAsia" w:ascii="宋体" w:hAnsi="宋体" w:cs="宋体"/>
                <w:kern w:val="2"/>
                <w:sz w:val="24"/>
                <w:szCs w:val="24"/>
                <w:highlight w:val="none"/>
              </w:rPr>
              <w:t>磋商</w:t>
            </w:r>
            <w:r>
              <w:rPr>
                <w:rFonts w:ascii="宋体" w:hAnsi="宋体" w:cs="宋体"/>
                <w:kern w:val="2"/>
                <w:sz w:val="24"/>
                <w:szCs w:val="24"/>
                <w:highlight w:val="none"/>
              </w:rPr>
              <w:t>文件中要求法定代表人或授权委托人签字或盖章的，</w:t>
            </w:r>
            <w:r>
              <w:rPr>
                <w:rFonts w:hint="eastAsia" w:ascii="宋体" w:hAnsi="宋体"/>
                <w:kern w:val="2"/>
                <w:sz w:val="24"/>
                <w:szCs w:val="24"/>
                <w:highlight w:val="none"/>
              </w:rPr>
              <w:t>供应商</w:t>
            </w:r>
            <w:r>
              <w:rPr>
                <w:rFonts w:ascii="宋体" w:hAnsi="宋体" w:cs="宋体"/>
                <w:kern w:val="2"/>
                <w:sz w:val="24"/>
                <w:szCs w:val="24"/>
                <w:highlight w:val="none"/>
              </w:rPr>
              <w:t>在进行电子化响应文件</w:t>
            </w:r>
            <w:r>
              <w:rPr>
                <w:rFonts w:hint="eastAsia" w:ascii="宋体" w:hAnsi="宋体" w:cs="宋体"/>
                <w:kern w:val="2"/>
                <w:sz w:val="24"/>
                <w:szCs w:val="24"/>
                <w:highlight w:val="none"/>
              </w:rPr>
              <w:t>需逐页</w:t>
            </w:r>
            <w:r>
              <w:rPr>
                <w:rFonts w:ascii="宋体" w:hAnsi="宋体" w:cs="宋体"/>
                <w:kern w:val="2"/>
                <w:sz w:val="24"/>
                <w:szCs w:val="24"/>
                <w:highlight w:val="none"/>
              </w:rPr>
              <w:t>签章</w:t>
            </w:r>
            <w:r>
              <w:rPr>
                <w:rFonts w:hint="eastAsia" w:ascii="宋体" w:hAnsi="宋体" w:cs="宋体"/>
                <w:kern w:val="2"/>
                <w:sz w:val="24"/>
                <w:szCs w:val="24"/>
                <w:highlight w:val="none"/>
                <w:lang w:eastAsia="zh-CN"/>
              </w:rPr>
              <w:t>，</w:t>
            </w:r>
            <w:r>
              <w:rPr>
                <w:rFonts w:ascii="宋体" w:hAnsi="宋体" w:cs="宋体"/>
                <w:kern w:val="2"/>
                <w:sz w:val="24"/>
                <w:szCs w:val="24"/>
                <w:highlight w:val="none"/>
              </w:rPr>
              <w:t>签章时以签盖法定代表人签章为准。电子化响应文件具体制作教材请</w:t>
            </w:r>
            <w:r>
              <w:rPr>
                <w:rFonts w:hint="eastAsia" w:ascii="宋体" w:hAnsi="宋体" w:cs="宋体"/>
                <w:kern w:val="2"/>
                <w:sz w:val="24"/>
                <w:szCs w:val="24"/>
                <w:highlight w:val="none"/>
              </w:rPr>
              <w:t>供应商</w:t>
            </w:r>
            <w:r>
              <w:rPr>
                <w:rFonts w:ascii="宋体" w:hAnsi="宋体" w:cs="宋体"/>
                <w:kern w:val="2"/>
                <w:sz w:val="24"/>
                <w:szCs w:val="24"/>
                <w:highlight w:val="none"/>
              </w:rPr>
              <w:t>通过CA证书登录三门峡市公共资源电子化交易系统在右上角“组建下载”中查看。</w:t>
            </w:r>
          </w:p>
          <w:p w14:paraId="1253A0A2">
            <w:pPr>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（三）电子化响应文件的格式及上传投标</w:t>
            </w:r>
          </w:p>
          <w:p w14:paraId="2D461B4E">
            <w:pPr>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1、</w:t>
            </w:r>
            <w:r>
              <w:rPr>
                <w:rFonts w:hint="eastAsia" w:ascii="宋体" w:hAnsi="宋体" w:cs="宋体"/>
                <w:kern w:val="2"/>
                <w:sz w:val="24"/>
                <w:szCs w:val="24"/>
                <w:highlight w:val="none"/>
              </w:rPr>
              <w:t>供应商</w:t>
            </w:r>
            <w:r>
              <w:rPr>
                <w:rFonts w:ascii="宋体" w:hAnsi="宋体" w:cs="宋体"/>
                <w:kern w:val="2"/>
                <w:sz w:val="24"/>
                <w:szCs w:val="24"/>
                <w:highlight w:val="none"/>
              </w:rPr>
              <w:t>所上传的电子化响应文件，应是通过中心响应文件制作系统制作的，经过签章和加密后生成的电子版响应文件。</w:t>
            </w:r>
            <w:r>
              <w:rPr>
                <w:rFonts w:hint="eastAsia" w:ascii="宋体" w:hAnsi="宋体" w:cs="宋体"/>
                <w:kern w:val="2"/>
                <w:sz w:val="24"/>
                <w:szCs w:val="24"/>
                <w:highlight w:val="none"/>
              </w:rPr>
              <w:t>上传响应文件格式后缀为SMXTF，上传完后，建议验证CA 锁是否正常</w:t>
            </w:r>
          </w:p>
          <w:p w14:paraId="75923881">
            <w:pPr>
              <w:widowControl w:val="0"/>
              <w:snapToGrid w:val="0"/>
              <w:spacing w:line="360" w:lineRule="auto"/>
              <w:jc w:val="both"/>
              <w:rPr>
                <w:rFonts w:hint="eastAsia" w:ascii="宋体" w:hAnsi="宋体"/>
                <w:bCs/>
                <w:kern w:val="2"/>
                <w:sz w:val="24"/>
                <w:szCs w:val="24"/>
                <w:highlight w:val="none"/>
              </w:rPr>
            </w:pPr>
            <w:r>
              <w:rPr>
                <w:rFonts w:ascii="宋体" w:hAnsi="宋体" w:cs="宋体"/>
                <w:bCs/>
                <w:kern w:val="2"/>
                <w:sz w:val="24"/>
                <w:szCs w:val="24"/>
                <w:highlight w:val="none"/>
              </w:rPr>
              <w:t>注：</w:t>
            </w:r>
            <w:r>
              <w:rPr>
                <w:rFonts w:hint="eastAsia" w:ascii="宋体" w:hAnsi="宋体" w:cs="宋体"/>
                <w:bCs/>
                <w:kern w:val="2"/>
                <w:sz w:val="24"/>
                <w:szCs w:val="24"/>
                <w:highlight w:val="none"/>
              </w:rPr>
              <w:t>供应商投报多个标段的，每个标段均要生成独立的电子响应文件。</w:t>
            </w:r>
          </w:p>
          <w:p w14:paraId="058E9D69">
            <w:pPr>
              <w:widowControl w:val="0"/>
              <w:snapToGrid w:val="0"/>
              <w:spacing w:line="360" w:lineRule="auto"/>
              <w:jc w:val="both"/>
              <w:rPr>
                <w:rFonts w:hint="eastAsia" w:ascii="宋体" w:hAnsi="宋体"/>
                <w:kern w:val="2"/>
                <w:sz w:val="24"/>
                <w:szCs w:val="24"/>
                <w:highlight w:val="none"/>
              </w:rPr>
            </w:pPr>
            <w:r>
              <w:rPr>
                <w:rFonts w:ascii="宋体" w:hAnsi="宋体"/>
                <w:kern w:val="2"/>
                <w:sz w:val="24"/>
                <w:szCs w:val="24"/>
                <w:highlight w:val="none"/>
              </w:rPr>
              <w:t>2</w:t>
            </w:r>
            <w:r>
              <w:rPr>
                <w:rFonts w:ascii="宋体" w:hAnsi="宋体" w:cs="宋体"/>
                <w:kern w:val="2"/>
                <w:sz w:val="24"/>
                <w:szCs w:val="24"/>
                <w:highlight w:val="none"/>
              </w:rPr>
              <w:t>、电子化响应文件应在</w:t>
            </w:r>
            <w:r>
              <w:rPr>
                <w:rFonts w:hint="eastAsia" w:ascii="宋体" w:hAnsi="宋体" w:cs="宋体"/>
                <w:kern w:val="2"/>
                <w:sz w:val="24"/>
                <w:szCs w:val="24"/>
                <w:highlight w:val="none"/>
              </w:rPr>
              <w:t>递交</w:t>
            </w:r>
            <w:r>
              <w:rPr>
                <w:rFonts w:ascii="宋体" w:hAnsi="宋体" w:cs="宋体"/>
                <w:kern w:val="2"/>
                <w:sz w:val="24"/>
                <w:szCs w:val="24"/>
                <w:highlight w:val="none"/>
              </w:rPr>
              <w:t>截止时间前成功上传至三门峡市公共资源电子化交易系统。至</w:t>
            </w:r>
            <w:r>
              <w:rPr>
                <w:rFonts w:hint="eastAsia" w:ascii="宋体" w:hAnsi="宋体" w:cs="宋体"/>
                <w:kern w:val="2"/>
                <w:sz w:val="24"/>
                <w:szCs w:val="24"/>
                <w:highlight w:val="none"/>
              </w:rPr>
              <w:t>开标</w:t>
            </w:r>
            <w:r>
              <w:rPr>
                <w:rFonts w:ascii="宋体" w:hAnsi="宋体" w:cs="宋体"/>
                <w:kern w:val="2"/>
                <w:sz w:val="24"/>
                <w:szCs w:val="24"/>
                <w:highlight w:val="none"/>
              </w:rPr>
              <w:t>截止时间止，仍未上传成功的电子化响应文件将不予接收。</w:t>
            </w:r>
          </w:p>
          <w:p w14:paraId="4B397207">
            <w:pPr>
              <w:widowControl w:val="0"/>
              <w:snapToGrid w:val="0"/>
              <w:spacing w:line="360" w:lineRule="auto"/>
              <w:jc w:val="both"/>
              <w:rPr>
                <w:rFonts w:hint="eastAsia" w:ascii="宋体" w:hAnsi="宋体"/>
                <w:kern w:val="2"/>
                <w:sz w:val="24"/>
                <w:szCs w:val="24"/>
                <w:highlight w:val="none"/>
              </w:rPr>
            </w:pPr>
            <w:r>
              <w:rPr>
                <w:rFonts w:ascii="宋体" w:hAnsi="宋体" w:cs="宋体"/>
                <w:b/>
                <w:kern w:val="2"/>
                <w:sz w:val="24"/>
                <w:szCs w:val="24"/>
                <w:highlight w:val="none"/>
              </w:rPr>
              <w:t>注</w:t>
            </w:r>
            <w:r>
              <w:rPr>
                <w:rFonts w:hint="eastAsia" w:ascii="宋体" w:hAnsi="宋体" w:cs="宋体"/>
                <w:b/>
                <w:kern w:val="2"/>
                <w:sz w:val="24"/>
                <w:szCs w:val="24"/>
                <w:highlight w:val="none"/>
                <w:lang w:eastAsia="zh-CN"/>
              </w:rPr>
              <w:t>：</w:t>
            </w:r>
            <w:r>
              <w:rPr>
                <w:rFonts w:ascii="宋体" w:hAnsi="宋体" w:cs="宋体"/>
                <w:kern w:val="2"/>
                <w:sz w:val="24"/>
                <w:szCs w:val="24"/>
                <w:highlight w:val="none"/>
              </w:rPr>
              <w:t>如按照电子化投标操作教材制作完成的电子化响应文件无法上传的，</w:t>
            </w:r>
            <w:r>
              <w:rPr>
                <w:rFonts w:hint="eastAsia" w:ascii="宋体" w:hAnsi="宋体"/>
                <w:kern w:val="2"/>
                <w:sz w:val="24"/>
                <w:szCs w:val="24"/>
                <w:highlight w:val="none"/>
              </w:rPr>
              <w:t>供应商</w:t>
            </w:r>
            <w:r>
              <w:rPr>
                <w:rFonts w:ascii="宋体" w:hAnsi="宋体" w:cs="宋体"/>
                <w:kern w:val="2"/>
                <w:sz w:val="24"/>
                <w:szCs w:val="24"/>
                <w:highlight w:val="none"/>
              </w:rPr>
              <w:t>应在</w:t>
            </w:r>
            <w:r>
              <w:rPr>
                <w:rFonts w:hint="eastAsia" w:ascii="宋体" w:hAnsi="宋体" w:cs="宋体"/>
                <w:kern w:val="2"/>
                <w:sz w:val="24"/>
                <w:szCs w:val="24"/>
                <w:highlight w:val="none"/>
              </w:rPr>
              <w:t>开标</w:t>
            </w:r>
            <w:r>
              <w:rPr>
                <w:rFonts w:ascii="宋体" w:hAnsi="宋体" w:cs="宋体"/>
                <w:bCs/>
                <w:kern w:val="2"/>
                <w:sz w:val="24"/>
                <w:szCs w:val="24"/>
                <w:highlight w:val="none"/>
              </w:rPr>
              <w:t>截止时间前尽早的联系中</w:t>
            </w:r>
            <w:r>
              <w:rPr>
                <w:rFonts w:ascii="宋体" w:hAnsi="宋体" w:cs="宋体"/>
                <w:kern w:val="2"/>
                <w:sz w:val="24"/>
                <w:szCs w:val="24"/>
                <w:highlight w:val="none"/>
              </w:rPr>
              <w:t>心技术人员，以便有充分的时间进行处理。</w:t>
            </w:r>
            <w:r>
              <w:rPr>
                <w:rFonts w:hint="eastAsia" w:ascii="宋体" w:hAnsi="宋体" w:cs="宋体"/>
                <w:b/>
                <w:kern w:val="2"/>
                <w:sz w:val="24"/>
                <w:szCs w:val="24"/>
                <w:highlight w:val="none"/>
              </w:rPr>
              <w:t>供应商</w:t>
            </w:r>
            <w:r>
              <w:rPr>
                <w:rFonts w:ascii="宋体" w:hAnsi="宋体" w:cs="宋体"/>
                <w:b/>
                <w:kern w:val="2"/>
                <w:sz w:val="24"/>
                <w:szCs w:val="24"/>
                <w:highlight w:val="none"/>
              </w:rPr>
              <w:t>应充分考虑到处理技术问题和上传数据等工作所需的时间问题，响应文件未在</w:t>
            </w:r>
            <w:r>
              <w:rPr>
                <w:rFonts w:hint="eastAsia" w:ascii="宋体" w:hAnsi="宋体" w:cs="宋体"/>
                <w:b/>
                <w:kern w:val="2"/>
                <w:sz w:val="24"/>
                <w:szCs w:val="24"/>
                <w:highlight w:val="none"/>
              </w:rPr>
              <w:t>开</w:t>
            </w:r>
            <w:r>
              <w:rPr>
                <w:rFonts w:ascii="宋体" w:hAnsi="宋体" w:cs="宋体"/>
                <w:b/>
                <w:kern w:val="2"/>
                <w:sz w:val="24"/>
                <w:szCs w:val="24"/>
                <w:highlight w:val="none"/>
              </w:rPr>
              <w:t>标截止时间前成功上传的，其响应文件不予接收。</w:t>
            </w:r>
          </w:p>
          <w:p w14:paraId="75D848D0">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技术联系电话：</w:t>
            </w:r>
            <w:r>
              <w:rPr>
                <w:rFonts w:hint="eastAsia" w:ascii="宋体" w:hAnsi="宋体"/>
                <w:kern w:val="2"/>
                <w:sz w:val="24"/>
                <w:szCs w:val="24"/>
                <w:highlight w:val="none"/>
              </w:rPr>
              <w:t>400 998 0000</w:t>
            </w:r>
          </w:p>
          <w:p w14:paraId="056E3E57">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（四）电子化项目开标、解密、唱标、</w:t>
            </w:r>
            <w:r>
              <w:rPr>
                <w:rFonts w:hint="eastAsia" w:ascii="宋体" w:hAnsi="宋体" w:cs="宋体"/>
                <w:kern w:val="2"/>
                <w:sz w:val="24"/>
                <w:szCs w:val="24"/>
                <w:highlight w:val="none"/>
              </w:rPr>
              <w:t>磋商</w:t>
            </w:r>
          </w:p>
          <w:p w14:paraId="715A3CEF">
            <w:pPr>
              <w:widowControl w:val="0"/>
              <w:snapToGrid w:val="0"/>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1、</w:t>
            </w:r>
            <w:r>
              <w:rPr>
                <w:rFonts w:hint="eastAsia" w:ascii="宋体" w:hAnsi="宋体" w:cs="宋体"/>
                <w:kern w:val="2"/>
                <w:sz w:val="24"/>
                <w:szCs w:val="24"/>
                <w:highlight w:val="none"/>
              </w:rPr>
              <w:t>本项目采用电子化、无纸化进行招标，开标当日，供应商无需到开标现场参加开标会议；</w:t>
            </w:r>
          </w:p>
          <w:p w14:paraId="2DE098E8">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2、开标时，</w:t>
            </w:r>
            <w:r>
              <w:rPr>
                <w:rFonts w:hint="eastAsia" w:ascii="宋体" w:hAnsi="宋体" w:cs="宋体"/>
                <w:kern w:val="2"/>
                <w:sz w:val="24"/>
                <w:szCs w:val="24"/>
                <w:highlight w:val="none"/>
              </w:rPr>
              <w:t>登陆三门</w:t>
            </w:r>
            <w:r>
              <w:rPr>
                <w:rFonts w:hint="eastAsia" w:ascii="宋体" w:hAnsi="宋体"/>
                <w:kern w:val="2"/>
                <w:sz w:val="24"/>
                <w:szCs w:val="24"/>
                <w:highlight w:val="none"/>
                <w:shd w:val="clear" w:color="auto" w:fill="FFFFFF"/>
              </w:rPr>
              <w:t>峡市公共资源电子招投标系统进行登陆（网址为</w:t>
            </w:r>
            <w:r>
              <w:rPr>
                <w:rFonts w:hint="eastAsia" w:ascii="宋体" w:hAnsi="宋体" w:cs="宋体"/>
                <w:sz w:val="24"/>
                <w:szCs w:val="24"/>
                <w:highlight w:val="none"/>
                <w:lang w:bidi="ar"/>
              </w:rPr>
              <w:t>http://120.194.249.36:10094/BidOpening/bidopeninghallaction/hall/login</w:t>
            </w:r>
            <w:r>
              <w:rPr>
                <w:rFonts w:hint="eastAsia" w:ascii="宋体" w:hAnsi="宋体"/>
                <w:kern w:val="2"/>
                <w:sz w:val="24"/>
                <w:szCs w:val="24"/>
                <w:highlight w:val="none"/>
                <w:shd w:val="clear" w:color="auto" w:fill="FFFFFF"/>
              </w:rPr>
              <w:t>）,在线准时参加开标活动并进行响应文件解密</w:t>
            </w:r>
            <w:r>
              <w:rPr>
                <w:rFonts w:ascii="宋体" w:hAnsi="宋体" w:cs="宋体"/>
                <w:kern w:val="2"/>
                <w:sz w:val="24"/>
                <w:szCs w:val="24"/>
                <w:highlight w:val="none"/>
              </w:rPr>
              <w:t>。每位</w:t>
            </w:r>
            <w:r>
              <w:rPr>
                <w:rFonts w:hint="eastAsia" w:ascii="宋体" w:hAnsi="宋体" w:cs="宋体"/>
                <w:kern w:val="2"/>
                <w:sz w:val="24"/>
                <w:szCs w:val="24"/>
                <w:highlight w:val="none"/>
              </w:rPr>
              <w:t>供应商</w:t>
            </w:r>
            <w:r>
              <w:rPr>
                <w:rFonts w:ascii="宋体" w:hAnsi="宋体" w:cs="宋体"/>
                <w:kern w:val="2"/>
                <w:sz w:val="24"/>
                <w:szCs w:val="24"/>
                <w:highlight w:val="none"/>
              </w:rPr>
              <w:t>的解密时间为开标时间起</w:t>
            </w:r>
            <w:r>
              <w:rPr>
                <w:rFonts w:hint="eastAsia" w:ascii="宋体" w:hAnsi="宋体"/>
                <w:kern w:val="2"/>
                <w:sz w:val="24"/>
                <w:szCs w:val="24"/>
                <w:highlight w:val="none"/>
              </w:rPr>
              <w:t>30</w:t>
            </w:r>
            <w:r>
              <w:rPr>
                <w:rFonts w:ascii="宋体" w:hAnsi="宋体" w:cs="宋体"/>
                <w:kern w:val="2"/>
                <w:sz w:val="24"/>
                <w:szCs w:val="24"/>
                <w:highlight w:val="none"/>
              </w:rPr>
              <w:t>分钟内完成。待所有</w:t>
            </w:r>
            <w:r>
              <w:rPr>
                <w:rFonts w:hint="eastAsia" w:ascii="宋体" w:hAnsi="宋体"/>
                <w:kern w:val="2"/>
                <w:sz w:val="24"/>
                <w:szCs w:val="24"/>
                <w:highlight w:val="none"/>
              </w:rPr>
              <w:t>供应商</w:t>
            </w:r>
            <w:r>
              <w:rPr>
                <w:rFonts w:ascii="宋体" w:hAnsi="宋体" w:cs="宋体"/>
                <w:kern w:val="2"/>
                <w:sz w:val="24"/>
                <w:szCs w:val="24"/>
                <w:highlight w:val="none"/>
              </w:rPr>
              <w:t>全部解密完成后，</w:t>
            </w:r>
            <w:r>
              <w:rPr>
                <w:rFonts w:hint="eastAsia" w:ascii="宋体" w:hAnsi="宋体" w:cs="宋体"/>
                <w:kern w:val="2"/>
                <w:sz w:val="24"/>
                <w:szCs w:val="24"/>
                <w:highlight w:val="none"/>
              </w:rPr>
              <w:t>由中介服务机构操作，对所有已解密响应文件进行唱标。</w:t>
            </w:r>
          </w:p>
          <w:p w14:paraId="1C56CE55">
            <w:pPr>
              <w:widowControl w:val="0"/>
              <w:snapToGrid w:val="0"/>
              <w:spacing w:line="360" w:lineRule="auto"/>
              <w:jc w:val="both"/>
              <w:rPr>
                <w:rFonts w:hint="eastAsia" w:ascii="宋体" w:hAnsi="宋体"/>
                <w:b/>
                <w:kern w:val="2"/>
                <w:sz w:val="24"/>
                <w:szCs w:val="24"/>
                <w:highlight w:val="none"/>
              </w:rPr>
            </w:pPr>
            <w:r>
              <w:rPr>
                <w:rFonts w:ascii="宋体" w:hAnsi="宋体"/>
                <w:kern w:val="2"/>
                <w:sz w:val="24"/>
                <w:szCs w:val="24"/>
                <w:highlight w:val="none"/>
              </w:rPr>
              <w:t>3</w:t>
            </w:r>
            <w:r>
              <w:rPr>
                <w:rFonts w:ascii="宋体" w:hAnsi="宋体" w:cs="宋体"/>
                <w:kern w:val="2"/>
                <w:sz w:val="24"/>
                <w:szCs w:val="24"/>
                <w:highlight w:val="none"/>
              </w:rPr>
              <w:t>、电子化</w:t>
            </w:r>
            <w:r>
              <w:rPr>
                <w:rFonts w:hint="eastAsia" w:ascii="宋体" w:hAnsi="宋体" w:cs="宋体"/>
                <w:kern w:val="2"/>
                <w:sz w:val="24"/>
                <w:szCs w:val="24"/>
                <w:highlight w:val="none"/>
              </w:rPr>
              <w:t>响应</w:t>
            </w:r>
            <w:r>
              <w:rPr>
                <w:rFonts w:ascii="宋体" w:hAnsi="宋体" w:cs="宋体"/>
                <w:kern w:val="2"/>
                <w:sz w:val="24"/>
                <w:szCs w:val="24"/>
                <w:highlight w:val="none"/>
              </w:rPr>
              <w:t>文件解密异常的处理</w:t>
            </w:r>
          </w:p>
          <w:p w14:paraId="49364262">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如出现</w:t>
            </w:r>
            <w:r>
              <w:rPr>
                <w:rFonts w:hint="eastAsia" w:ascii="宋体" w:hAnsi="宋体"/>
                <w:kern w:val="2"/>
                <w:sz w:val="24"/>
                <w:szCs w:val="24"/>
                <w:highlight w:val="none"/>
              </w:rPr>
              <w:t>供应商</w:t>
            </w:r>
            <w:r>
              <w:rPr>
                <w:rFonts w:ascii="宋体" w:hAnsi="宋体" w:cs="宋体"/>
                <w:kern w:val="2"/>
                <w:sz w:val="24"/>
                <w:szCs w:val="24"/>
                <w:highlight w:val="none"/>
              </w:rPr>
              <w:t>的电子响应文件无法解密等异常情况，</w:t>
            </w:r>
            <w:r>
              <w:rPr>
                <w:rFonts w:hint="eastAsia" w:ascii="宋体" w:hAnsi="宋体"/>
                <w:kern w:val="2"/>
                <w:sz w:val="24"/>
                <w:szCs w:val="24"/>
                <w:highlight w:val="none"/>
              </w:rPr>
              <w:t>供应商</w:t>
            </w:r>
            <w:r>
              <w:rPr>
                <w:rFonts w:ascii="宋体" w:hAnsi="宋体" w:cs="宋体"/>
                <w:kern w:val="2"/>
                <w:sz w:val="24"/>
                <w:szCs w:val="24"/>
                <w:highlight w:val="none"/>
              </w:rPr>
              <w:t>应及时致电中介服务机构说明。</w:t>
            </w:r>
            <w:r>
              <w:rPr>
                <w:rFonts w:hint="eastAsia" w:ascii="宋体" w:hAnsi="宋体" w:cs="宋体"/>
                <w:kern w:val="2"/>
                <w:sz w:val="24"/>
                <w:szCs w:val="24"/>
                <w:highlight w:val="none"/>
              </w:rPr>
              <w:t>响应</w:t>
            </w:r>
            <w:r>
              <w:rPr>
                <w:rFonts w:ascii="宋体" w:hAnsi="宋体" w:cs="宋体"/>
                <w:kern w:val="2"/>
                <w:sz w:val="24"/>
                <w:szCs w:val="24"/>
                <w:highlight w:val="none"/>
              </w:rPr>
              <w:t>文件异常，按以下步骤进行处理：</w:t>
            </w:r>
          </w:p>
          <w:p w14:paraId="419D8996">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w:t>
            </w:r>
            <w:r>
              <w:rPr>
                <w:rFonts w:ascii="宋体" w:hAnsi="宋体"/>
                <w:kern w:val="2"/>
                <w:sz w:val="24"/>
                <w:szCs w:val="24"/>
                <w:highlight w:val="none"/>
              </w:rPr>
              <w:t>1</w:t>
            </w:r>
            <w:r>
              <w:rPr>
                <w:rFonts w:ascii="宋体" w:hAnsi="宋体" w:cs="宋体"/>
                <w:kern w:val="2"/>
                <w:sz w:val="24"/>
                <w:szCs w:val="24"/>
                <w:highlight w:val="none"/>
              </w:rPr>
              <w:t>）首先由技术人员进行问题排查。</w:t>
            </w:r>
          </w:p>
          <w:p w14:paraId="53B40D1E">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w:t>
            </w:r>
            <w:r>
              <w:rPr>
                <w:rFonts w:ascii="宋体" w:hAnsi="宋体"/>
                <w:kern w:val="2"/>
                <w:sz w:val="24"/>
                <w:szCs w:val="24"/>
                <w:highlight w:val="none"/>
              </w:rPr>
              <w:t>2</w:t>
            </w:r>
            <w:r>
              <w:rPr>
                <w:rFonts w:ascii="宋体" w:hAnsi="宋体" w:cs="宋体"/>
                <w:kern w:val="2"/>
                <w:sz w:val="24"/>
                <w:szCs w:val="24"/>
                <w:highlight w:val="none"/>
              </w:rPr>
              <w:t>）经技术人员排查后，是</w:t>
            </w:r>
            <w:r>
              <w:rPr>
                <w:rFonts w:hint="eastAsia" w:ascii="宋体" w:hAnsi="宋体" w:cs="宋体"/>
                <w:kern w:val="2"/>
                <w:sz w:val="24"/>
                <w:szCs w:val="24"/>
                <w:highlight w:val="none"/>
              </w:rPr>
              <w:t>供应商</w:t>
            </w:r>
            <w:r>
              <w:rPr>
                <w:rFonts w:ascii="宋体" w:hAnsi="宋体" w:cs="宋体"/>
                <w:kern w:val="2"/>
                <w:sz w:val="24"/>
                <w:szCs w:val="24"/>
                <w:highlight w:val="none"/>
              </w:rPr>
              <w:t>文件自身问题导致响应文件无法解密的，该</w:t>
            </w:r>
            <w:r>
              <w:rPr>
                <w:rFonts w:hint="eastAsia" w:ascii="宋体" w:hAnsi="宋体" w:cs="宋体"/>
                <w:kern w:val="2"/>
                <w:sz w:val="24"/>
                <w:szCs w:val="24"/>
                <w:highlight w:val="none"/>
              </w:rPr>
              <w:t>响应</w:t>
            </w:r>
            <w:r>
              <w:rPr>
                <w:rFonts w:ascii="宋体" w:hAnsi="宋体" w:cs="宋体"/>
                <w:kern w:val="2"/>
                <w:sz w:val="24"/>
                <w:szCs w:val="24"/>
                <w:highlight w:val="none"/>
              </w:rPr>
              <w:t>文件将不予接收、解密和唱标。开标会议继续进行。</w:t>
            </w:r>
          </w:p>
          <w:p w14:paraId="3D6818A2">
            <w:pPr>
              <w:widowControl w:val="0"/>
              <w:snapToGrid w:val="0"/>
              <w:spacing w:line="360" w:lineRule="auto"/>
              <w:jc w:val="both"/>
              <w:rPr>
                <w:rFonts w:hint="eastAsia" w:ascii="宋体" w:hAnsi="宋体"/>
                <w:kern w:val="2"/>
                <w:sz w:val="24"/>
                <w:szCs w:val="24"/>
                <w:highlight w:val="none"/>
              </w:rPr>
            </w:pPr>
            <w:r>
              <w:rPr>
                <w:rFonts w:ascii="宋体" w:hAnsi="宋体" w:cs="宋体"/>
                <w:kern w:val="2"/>
                <w:sz w:val="24"/>
                <w:szCs w:val="24"/>
                <w:highlight w:val="none"/>
              </w:rPr>
              <w:t>（</w:t>
            </w:r>
            <w:r>
              <w:rPr>
                <w:rFonts w:ascii="宋体" w:hAnsi="宋体"/>
                <w:kern w:val="2"/>
                <w:sz w:val="24"/>
                <w:szCs w:val="24"/>
                <w:highlight w:val="none"/>
              </w:rPr>
              <w:t>3</w:t>
            </w:r>
            <w:r>
              <w:rPr>
                <w:rFonts w:ascii="宋体" w:hAnsi="宋体" w:cs="宋体"/>
                <w:kern w:val="2"/>
                <w:sz w:val="24"/>
                <w:szCs w:val="24"/>
                <w:highlight w:val="none"/>
              </w:rPr>
              <w:t>）经技术人员排查后，如果是电子化交易系统问题造成</w:t>
            </w:r>
            <w:r>
              <w:rPr>
                <w:rFonts w:hint="eastAsia" w:ascii="宋体" w:hAnsi="宋体" w:cs="宋体"/>
                <w:kern w:val="2"/>
                <w:sz w:val="24"/>
                <w:szCs w:val="24"/>
                <w:highlight w:val="none"/>
              </w:rPr>
              <w:t>响应</w:t>
            </w:r>
            <w:r>
              <w:rPr>
                <w:rFonts w:ascii="宋体" w:hAnsi="宋体" w:cs="宋体"/>
                <w:kern w:val="2"/>
                <w:sz w:val="24"/>
                <w:szCs w:val="24"/>
                <w:highlight w:val="none"/>
              </w:rPr>
              <w:t>文件无法解密的，将由技术人员对问题进行处理。如短时间内问题无法解决的，将由中介服务机构向监督部门申请，经监督部门同意后，暂停开标会议，待问题解决后继续开标。</w:t>
            </w:r>
          </w:p>
          <w:p w14:paraId="5D85C56F">
            <w:pPr>
              <w:widowControl w:val="0"/>
              <w:snapToGrid w:val="0"/>
              <w:spacing w:line="360" w:lineRule="auto"/>
              <w:jc w:val="both"/>
              <w:rPr>
                <w:rFonts w:hint="eastAsia" w:ascii="宋体" w:hAnsi="宋体"/>
                <w:kern w:val="2"/>
                <w:sz w:val="24"/>
                <w:szCs w:val="24"/>
                <w:highlight w:val="none"/>
              </w:rPr>
            </w:pPr>
            <w:r>
              <w:rPr>
                <w:rFonts w:ascii="宋体" w:hAnsi="宋体"/>
                <w:kern w:val="2"/>
                <w:sz w:val="24"/>
                <w:szCs w:val="24"/>
                <w:highlight w:val="none"/>
              </w:rPr>
              <w:t>4</w:t>
            </w:r>
            <w:r>
              <w:rPr>
                <w:rFonts w:ascii="宋体" w:hAnsi="宋体" w:cs="宋体"/>
                <w:kern w:val="2"/>
                <w:sz w:val="24"/>
                <w:szCs w:val="24"/>
                <w:highlight w:val="none"/>
              </w:rPr>
              <w:t>、待所有</w:t>
            </w:r>
            <w:r>
              <w:rPr>
                <w:rFonts w:hint="eastAsia" w:ascii="宋体" w:hAnsi="宋体" w:cs="宋体"/>
                <w:kern w:val="2"/>
                <w:sz w:val="24"/>
                <w:szCs w:val="24"/>
                <w:highlight w:val="none"/>
              </w:rPr>
              <w:t>供应商磋商</w:t>
            </w:r>
            <w:r>
              <w:rPr>
                <w:rFonts w:ascii="宋体" w:hAnsi="宋体" w:cs="宋体"/>
                <w:kern w:val="2"/>
                <w:sz w:val="24"/>
                <w:szCs w:val="24"/>
                <w:highlight w:val="none"/>
              </w:rPr>
              <w:t>文件解密完成后，由中介服务机构操作，对所有已解密</w:t>
            </w:r>
            <w:r>
              <w:rPr>
                <w:rFonts w:hint="eastAsia" w:ascii="宋体" w:hAnsi="宋体" w:cs="宋体"/>
                <w:kern w:val="2"/>
                <w:sz w:val="24"/>
                <w:szCs w:val="24"/>
                <w:highlight w:val="none"/>
              </w:rPr>
              <w:t>响应</w:t>
            </w:r>
            <w:r>
              <w:rPr>
                <w:rFonts w:ascii="宋体" w:hAnsi="宋体" w:cs="宋体"/>
                <w:kern w:val="2"/>
                <w:sz w:val="24"/>
                <w:szCs w:val="24"/>
                <w:highlight w:val="none"/>
              </w:rPr>
              <w:t>文件进行唱标。</w:t>
            </w:r>
          </w:p>
          <w:p w14:paraId="6FF41135">
            <w:pPr>
              <w:widowControl w:val="0"/>
              <w:snapToGrid w:val="0"/>
              <w:spacing w:line="360" w:lineRule="auto"/>
              <w:jc w:val="both"/>
              <w:rPr>
                <w:rFonts w:hint="eastAsia" w:ascii="宋体" w:hAnsi="宋体" w:cs="宋体"/>
                <w:kern w:val="2"/>
                <w:sz w:val="24"/>
                <w:szCs w:val="24"/>
                <w:highlight w:val="none"/>
              </w:rPr>
            </w:pPr>
            <w:r>
              <w:rPr>
                <w:rFonts w:hint="eastAsia" w:ascii="宋体" w:hAnsi="宋体" w:cs="宋体"/>
                <w:b/>
                <w:kern w:val="2"/>
                <w:sz w:val="24"/>
                <w:szCs w:val="24"/>
                <w:highlight w:val="none"/>
              </w:rPr>
              <w:t>供应商</w:t>
            </w:r>
            <w:r>
              <w:rPr>
                <w:rFonts w:ascii="宋体" w:hAnsi="宋体" w:cs="宋体"/>
                <w:b/>
                <w:kern w:val="2"/>
                <w:sz w:val="24"/>
                <w:szCs w:val="24"/>
                <w:highlight w:val="none"/>
              </w:rPr>
              <w:t>应保证在开标期间电话、电脑、网络能够正常工作，</w:t>
            </w:r>
            <w:r>
              <w:rPr>
                <w:rFonts w:hint="eastAsia" w:ascii="宋体" w:hAnsi="宋体" w:cs="宋体"/>
                <w:b/>
                <w:kern w:val="2"/>
                <w:sz w:val="24"/>
                <w:szCs w:val="24"/>
                <w:highlight w:val="none"/>
              </w:rPr>
              <w:t>供应商</w:t>
            </w:r>
            <w:r>
              <w:rPr>
                <w:rFonts w:ascii="宋体" w:hAnsi="宋体" w:cs="宋体"/>
                <w:b/>
                <w:kern w:val="2"/>
                <w:sz w:val="24"/>
                <w:szCs w:val="24"/>
                <w:highlight w:val="none"/>
              </w:rPr>
              <w:t>因停电、电脑病毒、网络堵塞等原因，未在规定的解密时间内对响应文件进行解密的，其响应文件不予接收、唱标。</w:t>
            </w:r>
          </w:p>
          <w:p w14:paraId="01450EF3">
            <w:pPr>
              <w:widowControl w:val="0"/>
              <w:snapToGrid w:val="0"/>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5、开标时</w:t>
            </w:r>
            <w:r>
              <w:rPr>
                <w:rFonts w:hint="eastAsia" w:ascii="宋体" w:hAnsi="宋体"/>
                <w:kern w:val="2"/>
                <w:sz w:val="24"/>
                <w:szCs w:val="24"/>
                <w:highlight w:val="none"/>
              </w:rPr>
              <w:t>供应商</w:t>
            </w:r>
            <w:r>
              <w:rPr>
                <w:rFonts w:ascii="宋体" w:hAnsi="宋体" w:cs="宋体"/>
                <w:kern w:val="2"/>
                <w:sz w:val="24"/>
                <w:szCs w:val="24"/>
                <w:highlight w:val="none"/>
              </w:rPr>
              <w:t>可登录到交易系统中在开标解密栏查看自己的报价。如对自己的唱标内容有异议的，应在</w:t>
            </w:r>
            <w:r>
              <w:rPr>
                <w:rFonts w:hint="eastAsia" w:ascii="宋体" w:hAnsi="宋体"/>
                <w:kern w:val="2"/>
                <w:sz w:val="24"/>
                <w:szCs w:val="24"/>
                <w:highlight w:val="none"/>
              </w:rPr>
              <w:t>供应商</w:t>
            </w:r>
            <w:r>
              <w:rPr>
                <w:rFonts w:ascii="宋体" w:hAnsi="宋体" w:cs="宋体"/>
                <w:kern w:val="2"/>
                <w:sz w:val="24"/>
                <w:szCs w:val="24"/>
                <w:highlight w:val="none"/>
              </w:rPr>
              <w:t>解密成功后</w:t>
            </w:r>
            <w:r>
              <w:rPr>
                <w:rFonts w:hint="eastAsia" w:ascii="宋体" w:hAnsi="宋体" w:cs="宋体"/>
                <w:kern w:val="2"/>
                <w:sz w:val="24"/>
                <w:szCs w:val="24"/>
                <w:highlight w:val="none"/>
              </w:rPr>
              <w:t>1</w:t>
            </w:r>
            <w:r>
              <w:rPr>
                <w:rFonts w:ascii="宋体" w:hAnsi="宋体" w:cs="宋体"/>
                <w:kern w:val="2"/>
                <w:sz w:val="24"/>
                <w:szCs w:val="24"/>
                <w:highlight w:val="none"/>
              </w:rPr>
              <w:t>0分钟内向中介服务机构电话质疑。中介服务机构应在监督人员的监督下进行免提通话接受</w:t>
            </w:r>
            <w:r>
              <w:rPr>
                <w:rFonts w:hint="eastAsia" w:ascii="宋体" w:hAnsi="宋体" w:cs="宋体"/>
                <w:kern w:val="2"/>
                <w:sz w:val="24"/>
                <w:szCs w:val="24"/>
                <w:highlight w:val="none"/>
              </w:rPr>
              <w:t>供应商</w:t>
            </w:r>
            <w:r>
              <w:rPr>
                <w:rFonts w:ascii="宋体" w:hAnsi="宋体" w:cs="宋体"/>
                <w:kern w:val="2"/>
                <w:sz w:val="24"/>
                <w:szCs w:val="24"/>
                <w:highlight w:val="none"/>
              </w:rPr>
              <w:t>的质疑并做好书面记录。</w:t>
            </w:r>
            <w:r>
              <w:rPr>
                <w:rFonts w:hint="eastAsia" w:ascii="宋体" w:hAnsi="宋体"/>
                <w:kern w:val="2"/>
                <w:sz w:val="24"/>
                <w:szCs w:val="24"/>
                <w:highlight w:val="none"/>
              </w:rPr>
              <w:t>供应商</w:t>
            </w:r>
            <w:r>
              <w:rPr>
                <w:rFonts w:ascii="宋体" w:hAnsi="宋体" w:cs="宋体"/>
                <w:kern w:val="2"/>
                <w:sz w:val="24"/>
                <w:szCs w:val="24"/>
                <w:highlight w:val="none"/>
              </w:rPr>
              <w:t>未在规定时间内提出质疑的，视为认可唱标内容。</w:t>
            </w:r>
          </w:p>
          <w:p w14:paraId="515B3AF2">
            <w:pPr>
              <w:widowControl w:val="0"/>
              <w:snapToGrid w:val="0"/>
              <w:spacing w:line="360" w:lineRule="auto"/>
              <w:jc w:val="both"/>
              <w:rPr>
                <w:rFonts w:hint="eastAsia" w:ascii="宋体" w:hAnsi="宋体" w:cs="宋体"/>
                <w:kern w:val="2"/>
                <w:sz w:val="24"/>
                <w:szCs w:val="24"/>
                <w:highlight w:val="none"/>
              </w:rPr>
            </w:pPr>
            <w:r>
              <w:rPr>
                <w:rFonts w:ascii="宋体" w:hAnsi="宋体" w:cs="宋体"/>
                <w:kern w:val="2"/>
                <w:sz w:val="24"/>
                <w:szCs w:val="24"/>
                <w:highlight w:val="none"/>
              </w:rPr>
              <w:t>6、</w:t>
            </w:r>
            <w:r>
              <w:rPr>
                <w:rFonts w:hint="eastAsia" w:ascii="宋体" w:hAnsi="宋体" w:cs="宋体"/>
                <w:kern w:val="2"/>
                <w:sz w:val="24"/>
                <w:szCs w:val="24"/>
                <w:highlight w:val="none"/>
              </w:rPr>
              <w:t>磋商</w:t>
            </w:r>
            <w:r>
              <w:rPr>
                <w:rFonts w:ascii="宋体" w:hAnsi="宋体" w:cs="宋体"/>
                <w:kern w:val="2"/>
                <w:sz w:val="24"/>
                <w:szCs w:val="24"/>
                <w:highlight w:val="none"/>
              </w:rPr>
              <w:t>时，中介服务机构按顺序依次通知</w:t>
            </w:r>
            <w:r>
              <w:rPr>
                <w:rFonts w:hint="eastAsia" w:ascii="宋体" w:hAnsi="宋体"/>
                <w:kern w:val="2"/>
                <w:sz w:val="24"/>
                <w:szCs w:val="24"/>
                <w:highlight w:val="none"/>
              </w:rPr>
              <w:t>供应商</w:t>
            </w:r>
            <w:r>
              <w:rPr>
                <w:rFonts w:ascii="宋体" w:hAnsi="宋体" w:cs="宋体"/>
                <w:kern w:val="2"/>
                <w:sz w:val="24"/>
                <w:szCs w:val="24"/>
                <w:highlight w:val="none"/>
              </w:rPr>
              <w:t>通过通过交易系统的</w:t>
            </w:r>
            <w:r>
              <w:rPr>
                <w:rFonts w:hint="eastAsia" w:ascii="宋体" w:hAnsi="宋体" w:cs="宋体"/>
                <w:kern w:val="2"/>
                <w:sz w:val="24"/>
                <w:szCs w:val="24"/>
                <w:highlight w:val="none"/>
              </w:rPr>
              <w:t>开标</w:t>
            </w:r>
            <w:r>
              <w:rPr>
                <w:rFonts w:ascii="宋体" w:hAnsi="宋体" w:cs="宋体"/>
                <w:kern w:val="2"/>
                <w:sz w:val="24"/>
                <w:szCs w:val="24"/>
                <w:highlight w:val="none"/>
              </w:rPr>
              <w:t>大厅与</w:t>
            </w:r>
            <w:r>
              <w:rPr>
                <w:rFonts w:hint="eastAsia" w:ascii="宋体" w:hAnsi="宋体" w:cs="宋体"/>
                <w:kern w:val="2"/>
                <w:sz w:val="24"/>
                <w:szCs w:val="24"/>
                <w:highlight w:val="none"/>
              </w:rPr>
              <w:t>磋商</w:t>
            </w:r>
            <w:r>
              <w:rPr>
                <w:rFonts w:ascii="宋体" w:hAnsi="宋体" w:cs="宋体"/>
                <w:kern w:val="2"/>
                <w:sz w:val="24"/>
                <w:szCs w:val="24"/>
                <w:highlight w:val="none"/>
              </w:rPr>
              <w:t>小组进行</w:t>
            </w:r>
            <w:r>
              <w:rPr>
                <w:rFonts w:hint="eastAsia" w:ascii="宋体" w:hAnsi="宋体" w:cs="宋体"/>
                <w:kern w:val="2"/>
                <w:sz w:val="24"/>
                <w:szCs w:val="24"/>
                <w:highlight w:val="none"/>
              </w:rPr>
              <w:t>评审</w:t>
            </w:r>
            <w:r>
              <w:rPr>
                <w:rFonts w:ascii="宋体" w:hAnsi="宋体" w:cs="宋体"/>
                <w:kern w:val="2"/>
                <w:sz w:val="24"/>
                <w:szCs w:val="24"/>
                <w:highlight w:val="none"/>
              </w:rPr>
              <w:t>。</w:t>
            </w:r>
          </w:p>
          <w:p w14:paraId="33F1385F">
            <w:pPr>
              <w:widowControl w:val="0"/>
              <w:snapToGrid w:val="0"/>
              <w:spacing w:line="360" w:lineRule="auto"/>
              <w:jc w:val="both"/>
              <w:rPr>
                <w:rFonts w:hint="eastAsia" w:ascii="宋体" w:hAnsi="宋体"/>
                <w:kern w:val="2"/>
                <w:sz w:val="24"/>
                <w:szCs w:val="24"/>
                <w:highlight w:val="none"/>
              </w:rPr>
            </w:pPr>
            <w:r>
              <w:rPr>
                <w:rFonts w:ascii="宋体" w:hAnsi="宋体"/>
                <w:kern w:val="2"/>
                <w:sz w:val="24"/>
                <w:szCs w:val="24"/>
                <w:highlight w:val="none"/>
              </w:rPr>
              <w:t>7</w:t>
            </w:r>
            <w:r>
              <w:rPr>
                <w:rFonts w:ascii="宋体" w:hAnsi="宋体" w:cs="宋体"/>
                <w:kern w:val="2"/>
                <w:sz w:val="24"/>
                <w:szCs w:val="24"/>
                <w:highlight w:val="none"/>
              </w:rPr>
              <w:t>、</w:t>
            </w:r>
            <w:r>
              <w:rPr>
                <w:rFonts w:hint="eastAsia" w:ascii="宋体" w:hAnsi="宋体" w:cs="宋体"/>
                <w:kern w:val="2"/>
                <w:sz w:val="24"/>
                <w:szCs w:val="24"/>
                <w:highlight w:val="none"/>
              </w:rPr>
              <w:t>磋商</w:t>
            </w:r>
            <w:r>
              <w:rPr>
                <w:rFonts w:ascii="宋体" w:hAnsi="宋体" w:cs="宋体"/>
                <w:kern w:val="2"/>
                <w:sz w:val="24"/>
                <w:szCs w:val="24"/>
                <w:highlight w:val="none"/>
              </w:rPr>
              <w:t>小组对电子化响应文件有质疑的，将通过电子化交易系统对</w:t>
            </w:r>
            <w:r>
              <w:rPr>
                <w:rFonts w:hint="eastAsia" w:ascii="宋体" w:hAnsi="宋体"/>
                <w:kern w:val="2"/>
                <w:sz w:val="24"/>
                <w:szCs w:val="24"/>
                <w:highlight w:val="none"/>
              </w:rPr>
              <w:t>供应商</w:t>
            </w:r>
            <w:r>
              <w:rPr>
                <w:rFonts w:ascii="宋体" w:hAnsi="宋体" w:cs="宋体"/>
                <w:kern w:val="2"/>
                <w:sz w:val="24"/>
                <w:szCs w:val="24"/>
                <w:highlight w:val="none"/>
              </w:rPr>
              <w:t>发起质疑，并在监督人员的监督下，用免提模式致电需要答复的</w:t>
            </w:r>
            <w:r>
              <w:rPr>
                <w:rFonts w:hint="eastAsia" w:ascii="宋体" w:hAnsi="宋体" w:cs="宋体"/>
                <w:kern w:val="2"/>
                <w:sz w:val="24"/>
                <w:szCs w:val="24"/>
                <w:highlight w:val="none"/>
              </w:rPr>
              <w:t>供应商</w:t>
            </w:r>
            <w:r>
              <w:rPr>
                <w:rFonts w:ascii="宋体" w:hAnsi="宋体" w:cs="宋体"/>
                <w:kern w:val="2"/>
                <w:sz w:val="24"/>
                <w:szCs w:val="24"/>
                <w:highlight w:val="none"/>
              </w:rPr>
              <w:t>对质疑进行回复。</w:t>
            </w:r>
            <w:r>
              <w:rPr>
                <w:rFonts w:hint="eastAsia" w:ascii="宋体" w:hAnsi="宋体"/>
                <w:kern w:val="2"/>
                <w:sz w:val="24"/>
                <w:szCs w:val="24"/>
                <w:highlight w:val="none"/>
              </w:rPr>
              <w:t>供应商</w:t>
            </w:r>
            <w:r>
              <w:rPr>
                <w:rFonts w:ascii="宋体" w:hAnsi="宋体" w:cs="宋体"/>
                <w:kern w:val="2"/>
                <w:sz w:val="24"/>
                <w:szCs w:val="24"/>
                <w:highlight w:val="none"/>
              </w:rPr>
              <w:t>的回复文件必须以经过</w:t>
            </w:r>
            <w:r>
              <w:rPr>
                <w:rFonts w:hint="eastAsia" w:ascii="宋体" w:hAnsi="宋体"/>
                <w:kern w:val="2"/>
                <w:sz w:val="24"/>
                <w:szCs w:val="24"/>
                <w:highlight w:val="none"/>
              </w:rPr>
              <w:t>供应商</w:t>
            </w:r>
            <w:r>
              <w:rPr>
                <w:rFonts w:ascii="宋体" w:hAnsi="宋体" w:cs="宋体"/>
                <w:kern w:val="2"/>
                <w:sz w:val="24"/>
                <w:szCs w:val="24"/>
                <w:highlight w:val="none"/>
              </w:rPr>
              <w:t>和其法定代表人签章的</w:t>
            </w:r>
            <w:r>
              <w:rPr>
                <w:rFonts w:ascii="宋体" w:hAnsi="宋体"/>
                <w:kern w:val="2"/>
                <w:sz w:val="24"/>
                <w:szCs w:val="24"/>
                <w:highlight w:val="none"/>
              </w:rPr>
              <w:t>PDF</w:t>
            </w:r>
            <w:r>
              <w:rPr>
                <w:rFonts w:ascii="宋体" w:hAnsi="宋体" w:cs="宋体"/>
                <w:kern w:val="2"/>
                <w:sz w:val="24"/>
                <w:szCs w:val="24"/>
                <w:highlight w:val="none"/>
              </w:rPr>
              <w:t>格式文件为准，并通过电子化交易系统提交至</w:t>
            </w:r>
            <w:r>
              <w:rPr>
                <w:rFonts w:hint="eastAsia" w:ascii="宋体" w:hAnsi="宋体" w:cs="宋体"/>
                <w:kern w:val="2"/>
                <w:sz w:val="24"/>
                <w:szCs w:val="24"/>
                <w:highlight w:val="none"/>
              </w:rPr>
              <w:t>磋商小组</w:t>
            </w:r>
            <w:r>
              <w:rPr>
                <w:rFonts w:ascii="宋体" w:hAnsi="宋体" w:cs="宋体"/>
                <w:kern w:val="2"/>
                <w:sz w:val="24"/>
                <w:szCs w:val="24"/>
                <w:highlight w:val="none"/>
              </w:rPr>
              <w:t>。</w:t>
            </w:r>
          </w:p>
          <w:p w14:paraId="480C6D60">
            <w:pPr>
              <w:widowControl w:val="0"/>
              <w:snapToGrid w:val="0"/>
              <w:spacing w:line="360" w:lineRule="auto"/>
              <w:jc w:val="both"/>
              <w:rPr>
                <w:rFonts w:hint="eastAsia" w:ascii="宋体" w:hAnsi="宋体" w:cs="宋体"/>
                <w:kern w:val="2"/>
                <w:sz w:val="24"/>
                <w:szCs w:val="24"/>
                <w:highlight w:val="none"/>
              </w:rPr>
            </w:pPr>
            <w:r>
              <w:rPr>
                <w:rFonts w:ascii="宋体" w:hAnsi="宋体"/>
                <w:kern w:val="2"/>
                <w:sz w:val="24"/>
                <w:szCs w:val="24"/>
                <w:highlight w:val="none"/>
              </w:rPr>
              <w:t>8</w:t>
            </w:r>
            <w:r>
              <w:rPr>
                <w:rFonts w:ascii="宋体" w:hAnsi="宋体" w:cs="宋体"/>
                <w:kern w:val="2"/>
                <w:sz w:val="24"/>
                <w:szCs w:val="24"/>
                <w:highlight w:val="none"/>
              </w:rPr>
              <w:t>、如</w:t>
            </w:r>
            <w:r>
              <w:rPr>
                <w:rFonts w:hint="eastAsia" w:ascii="宋体" w:hAnsi="宋体" w:cs="宋体"/>
                <w:kern w:val="2"/>
                <w:sz w:val="24"/>
                <w:szCs w:val="24"/>
                <w:highlight w:val="none"/>
              </w:rPr>
              <w:t>磋商小组</w:t>
            </w:r>
            <w:r>
              <w:rPr>
                <w:rFonts w:ascii="宋体" w:hAnsi="宋体" w:cs="宋体"/>
                <w:kern w:val="2"/>
                <w:sz w:val="24"/>
                <w:szCs w:val="24"/>
                <w:highlight w:val="none"/>
              </w:rPr>
              <w:t>对需要回复的</w:t>
            </w:r>
            <w:r>
              <w:rPr>
                <w:rFonts w:hint="eastAsia" w:ascii="宋体" w:hAnsi="宋体"/>
                <w:kern w:val="2"/>
                <w:sz w:val="24"/>
                <w:szCs w:val="24"/>
                <w:highlight w:val="none"/>
              </w:rPr>
              <w:t>供应商</w:t>
            </w:r>
            <w:r>
              <w:rPr>
                <w:rFonts w:ascii="宋体" w:hAnsi="宋体" w:cs="宋体"/>
                <w:kern w:val="2"/>
                <w:sz w:val="24"/>
                <w:szCs w:val="24"/>
                <w:highlight w:val="none"/>
              </w:rPr>
              <w:t>连续三次致电未接通的，视为</w:t>
            </w:r>
            <w:r>
              <w:rPr>
                <w:rFonts w:hint="eastAsia" w:ascii="宋体" w:hAnsi="宋体"/>
                <w:kern w:val="2"/>
                <w:sz w:val="24"/>
                <w:szCs w:val="24"/>
                <w:highlight w:val="none"/>
              </w:rPr>
              <w:t>供应商</w:t>
            </w:r>
            <w:r>
              <w:rPr>
                <w:rFonts w:ascii="宋体" w:hAnsi="宋体" w:cs="宋体"/>
                <w:kern w:val="2"/>
                <w:sz w:val="24"/>
                <w:szCs w:val="24"/>
                <w:highlight w:val="none"/>
              </w:rPr>
              <w:t>放弃回复，</w:t>
            </w:r>
            <w:r>
              <w:rPr>
                <w:rFonts w:hint="eastAsia" w:ascii="宋体" w:hAnsi="宋体" w:cs="宋体"/>
                <w:kern w:val="2"/>
                <w:sz w:val="24"/>
                <w:szCs w:val="24"/>
                <w:highlight w:val="none"/>
              </w:rPr>
              <w:t>磋商小组</w:t>
            </w:r>
            <w:r>
              <w:rPr>
                <w:rFonts w:ascii="宋体" w:hAnsi="宋体" w:cs="宋体"/>
                <w:kern w:val="2"/>
                <w:sz w:val="24"/>
                <w:szCs w:val="24"/>
                <w:highlight w:val="none"/>
              </w:rPr>
              <w:t>将自行对需要回复的内容进行认定。</w:t>
            </w:r>
          </w:p>
          <w:p w14:paraId="1FCCE60D">
            <w:pPr>
              <w:widowControl w:val="0"/>
              <w:snapToGrid w:val="0"/>
              <w:spacing w:line="360" w:lineRule="auto"/>
              <w:jc w:val="both"/>
              <w:rPr>
                <w:rFonts w:hint="eastAsia" w:ascii="宋体" w:hAnsi="宋体"/>
                <w:kern w:val="2"/>
                <w:sz w:val="24"/>
                <w:szCs w:val="24"/>
                <w:highlight w:val="none"/>
              </w:rPr>
            </w:pPr>
            <w:r>
              <w:rPr>
                <w:rFonts w:hint="eastAsia" w:ascii="宋体" w:hAnsi="宋体"/>
                <w:kern w:val="2"/>
                <w:sz w:val="24"/>
                <w:szCs w:val="24"/>
                <w:highlight w:val="none"/>
              </w:rPr>
              <w:t>二、相关证书原件的提交</w:t>
            </w:r>
          </w:p>
          <w:p w14:paraId="12A242F6">
            <w:pPr>
              <w:widowControl w:val="0"/>
              <w:snapToGrid w:val="0"/>
              <w:spacing w:line="360" w:lineRule="auto"/>
              <w:jc w:val="both"/>
              <w:rPr>
                <w:rFonts w:hint="eastAsia" w:ascii="宋体" w:hAnsi="宋体"/>
                <w:kern w:val="2"/>
                <w:sz w:val="24"/>
                <w:szCs w:val="24"/>
                <w:highlight w:val="none"/>
              </w:rPr>
            </w:pPr>
            <w:r>
              <w:rPr>
                <w:rFonts w:hint="eastAsia" w:ascii="宋体" w:hAnsi="宋体"/>
                <w:kern w:val="2"/>
                <w:sz w:val="24"/>
                <w:szCs w:val="24"/>
                <w:highlight w:val="none"/>
              </w:rPr>
              <w:t>本项目实行资格后审，磋商文件中要求供应商提交资质、业绩、荣誉及单位人员等相关资料原件的，供应商需将原件扫描件制作到电子响应文件中，其上传资料真实性由供应商自行承担，同时，供应商要完善主体库。磋商小组对原件的核验工作按以下条款进行：</w:t>
            </w:r>
          </w:p>
          <w:p w14:paraId="75EFA0B8">
            <w:pPr>
              <w:widowControl w:val="0"/>
              <w:snapToGrid w:val="0"/>
              <w:spacing w:line="360" w:lineRule="auto"/>
              <w:jc w:val="both"/>
              <w:rPr>
                <w:rFonts w:hint="eastAsia" w:ascii="宋体" w:hAnsi="宋体"/>
                <w:kern w:val="2"/>
                <w:sz w:val="24"/>
                <w:szCs w:val="24"/>
                <w:highlight w:val="none"/>
              </w:rPr>
            </w:pPr>
            <w:r>
              <w:rPr>
                <w:rFonts w:hint="eastAsia" w:ascii="宋体" w:hAnsi="宋体"/>
                <w:kern w:val="2"/>
                <w:sz w:val="24"/>
                <w:szCs w:val="24"/>
                <w:highlight w:val="none"/>
              </w:rPr>
              <w:t>（一）评标时，磋商小组先查阅响应文件中是否具有该资料的原件扫描件，其上传资料真实性由供应商自行承担，同时，供应商需要完善主体库信息。本项目需要提交的原件扫描件以开标截止时间前在以供应商自行上传到响应文件中的相应内容为准。规定时间外上传或更改的信息不作为评标依据。评标时不接受供应商所提交的任何原件。</w:t>
            </w:r>
          </w:p>
          <w:p w14:paraId="04F5AC62">
            <w:pPr>
              <w:widowControl w:val="0"/>
              <w:snapToGrid w:val="0"/>
              <w:spacing w:line="360" w:lineRule="auto"/>
              <w:jc w:val="both"/>
              <w:rPr>
                <w:rFonts w:hint="eastAsia" w:ascii="宋体" w:hAnsi="宋体"/>
                <w:kern w:val="2"/>
                <w:sz w:val="24"/>
                <w:szCs w:val="24"/>
                <w:highlight w:val="none"/>
              </w:rPr>
            </w:pPr>
            <w:r>
              <w:rPr>
                <w:rFonts w:hint="eastAsia" w:ascii="宋体" w:hAnsi="宋体"/>
                <w:kern w:val="2"/>
                <w:sz w:val="24"/>
                <w:szCs w:val="24"/>
                <w:highlight w:val="none"/>
              </w:rPr>
              <w:t>（二）供应商需应仔细阅读操作手册，保证上传内容齐全，真实有效，原件扫描件清晰可辨。因供应商上传原因导致应得分项而未得分或资格审查不合格等情况的，由供应商自行承担责任。</w:t>
            </w:r>
          </w:p>
          <w:p w14:paraId="5FE2D0B0">
            <w:pPr>
              <w:widowControl w:val="0"/>
              <w:snapToGrid w:val="0"/>
              <w:spacing w:line="360" w:lineRule="auto"/>
              <w:jc w:val="both"/>
              <w:rPr>
                <w:rFonts w:hint="eastAsia" w:ascii="宋体" w:hAnsi="宋体"/>
                <w:kern w:val="2"/>
                <w:sz w:val="24"/>
                <w:szCs w:val="24"/>
                <w:highlight w:val="none"/>
              </w:rPr>
            </w:pPr>
            <w:r>
              <w:rPr>
                <w:rFonts w:hint="eastAsia" w:ascii="宋体" w:hAnsi="宋体"/>
                <w:kern w:val="2"/>
                <w:sz w:val="24"/>
                <w:szCs w:val="24"/>
                <w:highlight w:val="none"/>
              </w:rPr>
              <w:t>提示：本项目为电子化、无纸化交易项目，开标时不再接受任何纸质资料，为保证您能开标成功，请需仔细阅读以上条款。</w:t>
            </w:r>
          </w:p>
        </w:tc>
      </w:tr>
    </w:tbl>
    <w:p w14:paraId="3CC40C92">
      <w:pPr>
        <w:widowControl w:val="0"/>
        <w:spacing w:line="360" w:lineRule="auto"/>
        <w:ind w:firstLine="560" w:firstLineChars="200"/>
        <w:jc w:val="both"/>
        <w:rPr>
          <w:rFonts w:hint="eastAsia" w:ascii="宋体" w:hAnsi="宋体" w:cs="宋体"/>
          <w:sz w:val="28"/>
          <w:szCs w:val="28"/>
          <w:highlight w:val="none"/>
        </w:rPr>
      </w:pPr>
      <w:bookmarkStart w:id="22" w:name="_Toc461977414"/>
      <w:bookmarkEnd w:id="22"/>
      <w:bookmarkStart w:id="23" w:name="_Toc12657"/>
    </w:p>
    <w:p w14:paraId="4823100F">
      <w:pPr>
        <w:widowControl w:val="0"/>
        <w:spacing w:line="360" w:lineRule="auto"/>
        <w:ind w:firstLine="482" w:firstLineChars="200"/>
        <w:jc w:val="both"/>
        <w:rPr>
          <w:rFonts w:hint="eastAsia" w:ascii="宋体" w:hAnsi="宋体" w:cs="宋体"/>
          <w:b/>
          <w:bCs/>
          <w:sz w:val="24"/>
          <w:szCs w:val="24"/>
          <w:highlight w:val="none"/>
        </w:rPr>
      </w:pPr>
      <w:r>
        <w:rPr>
          <w:rFonts w:hint="eastAsia" w:ascii="宋体" w:hAnsi="宋体" w:cs="宋体"/>
          <w:b/>
          <w:bCs/>
          <w:sz w:val="24"/>
          <w:szCs w:val="24"/>
          <w:highlight w:val="none"/>
        </w:rPr>
        <w:t>一、说明</w:t>
      </w:r>
      <w:bookmarkEnd w:id="23"/>
    </w:p>
    <w:p w14:paraId="042BF32F">
      <w:pPr>
        <w:widowControl w:val="0"/>
        <w:spacing w:line="360" w:lineRule="auto"/>
        <w:ind w:firstLine="482" w:firstLineChars="200"/>
        <w:rPr>
          <w:rFonts w:hint="eastAsia" w:ascii="宋体" w:hAnsi="宋体" w:cs="宋体"/>
          <w:b/>
          <w:bCs/>
          <w:sz w:val="24"/>
          <w:szCs w:val="24"/>
          <w:highlight w:val="none"/>
        </w:rPr>
      </w:pPr>
      <w:bookmarkStart w:id="24" w:name="_Toc19964"/>
      <w:r>
        <w:rPr>
          <w:rFonts w:hint="eastAsia" w:ascii="宋体" w:hAnsi="宋体" w:cs="宋体"/>
          <w:b/>
          <w:bCs/>
          <w:sz w:val="24"/>
          <w:szCs w:val="24"/>
          <w:highlight w:val="none"/>
        </w:rPr>
        <w:t>1.适用范围</w:t>
      </w:r>
      <w:bookmarkEnd w:id="24"/>
    </w:p>
    <w:p w14:paraId="251CFC7C">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本竞争性磋商文件仅适用于竞争性磋商公告中所叙述项目的相关采购。</w:t>
      </w:r>
    </w:p>
    <w:p w14:paraId="640EF38B">
      <w:pPr>
        <w:widowControl w:val="0"/>
        <w:spacing w:line="360" w:lineRule="auto"/>
        <w:ind w:firstLine="482" w:firstLineChars="200"/>
        <w:rPr>
          <w:rFonts w:hint="eastAsia" w:ascii="宋体" w:hAnsi="宋体" w:cs="宋体"/>
          <w:b/>
          <w:bCs/>
          <w:sz w:val="24"/>
          <w:szCs w:val="24"/>
          <w:highlight w:val="none"/>
        </w:rPr>
      </w:pPr>
      <w:bookmarkStart w:id="25" w:name="_Toc7846"/>
      <w:r>
        <w:rPr>
          <w:rFonts w:hint="eastAsia" w:ascii="宋体" w:hAnsi="宋体" w:cs="宋体"/>
          <w:b/>
          <w:bCs/>
          <w:sz w:val="24"/>
          <w:szCs w:val="24"/>
          <w:highlight w:val="none"/>
        </w:rPr>
        <w:t>2.定义</w:t>
      </w:r>
      <w:bookmarkEnd w:id="25"/>
    </w:p>
    <w:p w14:paraId="2CA1F4D0">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2.1 “采购人”系指本次项目内容的采购单位。</w:t>
      </w:r>
    </w:p>
    <w:p w14:paraId="5C3996D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2.2 “采购代理机构”系指本次采购项目活动组织方。</w:t>
      </w:r>
    </w:p>
    <w:p w14:paraId="285BC62A">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2.3 “供应商”系指响应采购、参加磋商竞争的法人或者其他组织。</w:t>
      </w:r>
    </w:p>
    <w:p w14:paraId="63CE04DC">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2.4 “供应商代表”系指代表供应商参加本次磋商活动的供应商的法定代表人或其委托代理人。</w:t>
      </w:r>
    </w:p>
    <w:p w14:paraId="719D5053">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2.5 “服务”系指供应商按竞争性磋商文件规定提供采购人所要求的一切项目内容。</w:t>
      </w:r>
    </w:p>
    <w:p w14:paraId="3B1F694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2.6 “相关服务”系指竞争性磋商文件规定供应商须承担的与本次采购项目相关的服务、协调工作以及其他类似的义务。</w:t>
      </w:r>
    </w:p>
    <w:p w14:paraId="3F169CA3">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2.7 “竞争性磋商文件有效期”系指磋商截止之日起60日历天。</w:t>
      </w:r>
    </w:p>
    <w:p w14:paraId="6183FCDE">
      <w:pPr>
        <w:widowControl w:val="0"/>
        <w:spacing w:line="360" w:lineRule="auto"/>
        <w:ind w:firstLine="482" w:firstLineChars="200"/>
        <w:rPr>
          <w:rFonts w:hint="eastAsia" w:ascii="宋体" w:hAnsi="宋体" w:cs="宋体"/>
          <w:b/>
          <w:bCs/>
          <w:sz w:val="24"/>
          <w:szCs w:val="24"/>
          <w:highlight w:val="none"/>
        </w:rPr>
      </w:pPr>
      <w:bookmarkStart w:id="26" w:name="_Toc25077"/>
      <w:r>
        <w:rPr>
          <w:rFonts w:hint="eastAsia" w:ascii="宋体" w:hAnsi="宋体" w:cs="宋体"/>
          <w:b/>
          <w:bCs/>
          <w:sz w:val="24"/>
          <w:szCs w:val="24"/>
          <w:highlight w:val="none"/>
        </w:rPr>
        <w:t>3.资金来源</w:t>
      </w:r>
      <w:bookmarkEnd w:id="26"/>
    </w:p>
    <w:p w14:paraId="369D8910">
      <w:pPr>
        <w:widowControl w:val="0"/>
        <w:spacing w:line="360" w:lineRule="auto"/>
        <w:ind w:firstLine="480" w:firstLineChars="200"/>
        <w:rPr>
          <w:rFonts w:hint="eastAsia" w:ascii="宋体" w:hAnsi="宋体" w:cs="宋体"/>
          <w:b/>
          <w:bCs/>
          <w:sz w:val="24"/>
          <w:szCs w:val="24"/>
          <w:highlight w:val="none"/>
        </w:rPr>
      </w:pPr>
      <w:r>
        <w:rPr>
          <w:rFonts w:hint="eastAsia" w:ascii="宋体" w:hAnsi="宋体" w:cs="宋体"/>
          <w:sz w:val="24"/>
          <w:szCs w:val="24"/>
          <w:highlight w:val="none"/>
        </w:rPr>
        <w:t>具体详见供应商须知</w:t>
      </w:r>
    </w:p>
    <w:p w14:paraId="1F88C0D2">
      <w:pPr>
        <w:widowControl w:val="0"/>
        <w:spacing w:line="360" w:lineRule="auto"/>
        <w:ind w:firstLine="482" w:firstLineChars="200"/>
        <w:rPr>
          <w:rFonts w:hint="eastAsia" w:ascii="宋体" w:hAnsi="宋体" w:cs="宋体"/>
          <w:b/>
          <w:bCs/>
          <w:sz w:val="24"/>
          <w:szCs w:val="24"/>
          <w:highlight w:val="none"/>
        </w:rPr>
      </w:pPr>
      <w:bookmarkStart w:id="27" w:name="_Toc16278"/>
      <w:r>
        <w:rPr>
          <w:rFonts w:hint="eastAsia" w:ascii="宋体" w:hAnsi="宋体" w:cs="宋体"/>
          <w:b/>
          <w:bCs/>
          <w:sz w:val="24"/>
          <w:szCs w:val="24"/>
          <w:highlight w:val="none"/>
        </w:rPr>
        <w:t>4.供应商</w:t>
      </w:r>
      <w:bookmarkEnd w:id="27"/>
      <w:r>
        <w:rPr>
          <w:rFonts w:ascii="宋体" w:hAnsi="宋体" w:cs="宋体"/>
          <w:b/>
          <w:bCs/>
          <w:kern w:val="2"/>
          <w:sz w:val="24"/>
          <w:szCs w:val="24"/>
          <w:highlight w:val="none"/>
        </w:rPr>
        <w:t>资</w:t>
      </w:r>
      <w:r>
        <w:rPr>
          <w:rFonts w:hint="eastAsia" w:ascii="宋体" w:hAnsi="宋体" w:cs="宋体"/>
          <w:b/>
          <w:bCs/>
          <w:kern w:val="2"/>
          <w:sz w:val="24"/>
          <w:szCs w:val="24"/>
          <w:highlight w:val="none"/>
          <w:lang w:val="en-US" w:eastAsia="zh-CN"/>
        </w:rPr>
        <w:t>格</w:t>
      </w:r>
      <w:r>
        <w:rPr>
          <w:rFonts w:ascii="宋体" w:hAnsi="宋体" w:cs="宋体"/>
          <w:b/>
          <w:bCs/>
          <w:kern w:val="2"/>
          <w:sz w:val="24"/>
          <w:szCs w:val="24"/>
          <w:highlight w:val="none"/>
        </w:rPr>
        <w:t>要求</w:t>
      </w:r>
    </w:p>
    <w:p w14:paraId="5C59E88B">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具体详见供应商须知</w:t>
      </w:r>
    </w:p>
    <w:p w14:paraId="003AF571">
      <w:pPr>
        <w:widowControl w:val="0"/>
        <w:spacing w:line="360" w:lineRule="auto"/>
        <w:ind w:firstLine="482" w:firstLineChars="200"/>
        <w:rPr>
          <w:rFonts w:hint="eastAsia" w:ascii="宋体" w:hAnsi="宋体" w:cs="宋体"/>
          <w:b/>
          <w:bCs/>
          <w:sz w:val="24"/>
          <w:szCs w:val="24"/>
          <w:highlight w:val="none"/>
        </w:rPr>
      </w:pPr>
      <w:bookmarkStart w:id="28" w:name="_Toc6584"/>
      <w:r>
        <w:rPr>
          <w:rFonts w:hint="eastAsia" w:ascii="宋体" w:hAnsi="宋体" w:cs="宋体"/>
          <w:b/>
          <w:bCs/>
          <w:sz w:val="24"/>
          <w:szCs w:val="24"/>
          <w:highlight w:val="none"/>
        </w:rPr>
        <w:t>5.磋商费用</w:t>
      </w:r>
      <w:bookmarkEnd w:id="28"/>
    </w:p>
    <w:p w14:paraId="70E6947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不论磋商结果如何，供应商均应自行承担所有与磋商有关的全部费用。</w:t>
      </w:r>
    </w:p>
    <w:p w14:paraId="58DA7DB6">
      <w:pPr>
        <w:widowControl w:val="0"/>
        <w:spacing w:line="360" w:lineRule="auto"/>
        <w:ind w:firstLine="482" w:firstLineChars="200"/>
        <w:rPr>
          <w:rFonts w:hint="eastAsia" w:ascii="宋体" w:hAnsi="宋体" w:cs="宋体"/>
          <w:b/>
          <w:bCs/>
          <w:sz w:val="24"/>
          <w:szCs w:val="24"/>
          <w:highlight w:val="none"/>
        </w:rPr>
      </w:pPr>
      <w:bookmarkStart w:id="29" w:name="_Toc13621"/>
      <w:r>
        <w:rPr>
          <w:rFonts w:hint="eastAsia" w:ascii="宋体" w:hAnsi="宋体" w:cs="宋体"/>
          <w:b/>
          <w:bCs/>
          <w:sz w:val="24"/>
          <w:szCs w:val="24"/>
          <w:highlight w:val="none"/>
        </w:rPr>
        <w:t>6.联合体参加磋商</w:t>
      </w:r>
      <w:bookmarkEnd w:id="29"/>
    </w:p>
    <w:p w14:paraId="5115874F">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否</w:t>
      </w:r>
    </w:p>
    <w:p w14:paraId="41F4B385">
      <w:pPr>
        <w:widowControl w:val="0"/>
        <w:spacing w:line="360" w:lineRule="auto"/>
        <w:ind w:firstLine="482" w:firstLineChars="200"/>
        <w:rPr>
          <w:rFonts w:hint="eastAsia" w:ascii="宋体" w:hAnsi="宋体" w:cs="宋体"/>
          <w:b/>
          <w:bCs/>
          <w:sz w:val="24"/>
          <w:szCs w:val="24"/>
          <w:highlight w:val="none"/>
        </w:rPr>
      </w:pPr>
      <w:bookmarkStart w:id="30" w:name="_Toc7233"/>
      <w:r>
        <w:rPr>
          <w:rFonts w:hint="eastAsia" w:ascii="宋体" w:hAnsi="宋体" w:cs="宋体"/>
          <w:b/>
          <w:bCs/>
          <w:sz w:val="24"/>
          <w:szCs w:val="24"/>
          <w:highlight w:val="none"/>
        </w:rPr>
        <w:t>7.转包与分包</w:t>
      </w:r>
      <w:bookmarkEnd w:id="30"/>
    </w:p>
    <w:p w14:paraId="6397DCA4">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7.1 本项目不允许采取转包方式履行合同。</w:t>
      </w:r>
    </w:p>
    <w:p w14:paraId="53F86BEC">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7.2 本项目不允许采取分包方式履行合同。</w:t>
      </w:r>
    </w:p>
    <w:p w14:paraId="7C512F99">
      <w:pPr>
        <w:widowControl w:val="0"/>
        <w:spacing w:line="360" w:lineRule="auto"/>
        <w:ind w:firstLine="480" w:firstLineChars="200"/>
        <w:rPr>
          <w:rFonts w:hint="eastAsia" w:ascii="宋体" w:hAnsi="宋体" w:cs="宋体"/>
          <w:sz w:val="24"/>
          <w:szCs w:val="24"/>
          <w:highlight w:val="none"/>
        </w:rPr>
      </w:pPr>
      <w:bookmarkStart w:id="31" w:name="_Toc21763"/>
      <w:r>
        <w:rPr>
          <w:rFonts w:hint="eastAsia" w:ascii="宋体" w:hAnsi="宋体" w:cs="宋体"/>
          <w:sz w:val="24"/>
          <w:szCs w:val="24"/>
          <w:highlight w:val="none"/>
        </w:rPr>
        <w:t>7.3 本项目不允许偏离。</w:t>
      </w:r>
    </w:p>
    <w:p w14:paraId="519BEBE1">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8.特别说明</w:t>
      </w:r>
      <w:bookmarkEnd w:id="31"/>
    </w:p>
    <w:p w14:paraId="65B4F4C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8.1 供应商参加磋商所使用的资格、信誉、荣誉、业绩与企业认证必须为本法人所拥有。</w:t>
      </w:r>
    </w:p>
    <w:p w14:paraId="6A1F283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8.2 供应商代表只能接受一个供应商的委托参加磋商。</w:t>
      </w:r>
    </w:p>
    <w:p w14:paraId="4855DEF4">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8.3 供应商在磋商活动中提供虚假材料或从事其他违法活动的</w:t>
      </w:r>
      <w:r>
        <w:rPr>
          <w:rFonts w:hint="eastAsia" w:ascii="宋体" w:hAnsi="宋体" w:cs="宋体"/>
          <w:sz w:val="24"/>
          <w:szCs w:val="24"/>
          <w:highlight w:val="none"/>
          <w:lang w:eastAsia="zh-CN"/>
        </w:rPr>
        <w:t>，</w:t>
      </w:r>
      <w:r>
        <w:rPr>
          <w:rFonts w:hint="eastAsia" w:ascii="宋体" w:hAnsi="宋体" w:cs="宋体"/>
          <w:sz w:val="24"/>
          <w:szCs w:val="24"/>
          <w:highlight w:val="none"/>
        </w:rPr>
        <w:t>其响应无效，由相关部门查处。</w:t>
      </w:r>
    </w:p>
    <w:p w14:paraId="215719D9">
      <w:pPr>
        <w:widowControl w:val="0"/>
        <w:spacing w:line="360" w:lineRule="auto"/>
        <w:ind w:firstLine="482" w:firstLineChars="200"/>
        <w:rPr>
          <w:rFonts w:hint="eastAsia" w:ascii="宋体" w:hAnsi="宋体" w:cs="宋体"/>
          <w:b/>
          <w:bCs/>
          <w:sz w:val="24"/>
          <w:szCs w:val="24"/>
          <w:highlight w:val="none"/>
        </w:rPr>
      </w:pPr>
      <w:bookmarkStart w:id="32" w:name="_Toc20927"/>
      <w:r>
        <w:rPr>
          <w:rFonts w:hint="eastAsia" w:ascii="宋体" w:hAnsi="宋体" w:cs="宋体"/>
          <w:b/>
          <w:bCs/>
          <w:sz w:val="24"/>
          <w:szCs w:val="24"/>
          <w:highlight w:val="none"/>
        </w:rPr>
        <w:t>9.质疑和投诉</w:t>
      </w:r>
      <w:bookmarkEnd w:id="32"/>
    </w:p>
    <w:p w14:paraId="2587603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9.1 供应商认为磋商过程和成交结果使自己的合法权益受到损害的，应当在知道或者应知其权益受到损害之日起7个工作日内，向采购人或采购代理机构提出质疑。供应商对采购人或采购代理机构的质疑答复不满意或采购人或采购代理机构未在规定时间内作出答复的，可以在答复期满后15个工作日内向同级财政部门投诉。</w:t>
      </w:r>
    </w:p>
    <w:p w14:paraId="558200C8">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7764CF58">
      <w:pPr>
        <w:widowControl w:val="0"/>
        <w:spacing w:line="360" w:lineRule="auto"/>
        <w:ind w:firstLine="482" w:firstLineChars="200"/>
        <w:rPr>
          <w:rFonts w:hint="eastAsia" w:ascii="宋体" w:hAnsi="宋体" w:cs="宋体"/>
          <w:b/>
          <w:bCs/>
          <w:sz w:val="24"/>
          <w:szCs w:val="24"/>
          <w:highlight w:val="none"/>
        </w:rPr>
      </w:pPr>
      <w:bookmarkStart w:id="33" w:name="_Toc21617"/>
      <w:r>
        <w:rPr>
          <w:rFonts w:hint="eastAsia" w:ascii="宋体" w:hAnsi="宋体" w:cs="宋体"/>
          <w:b/>
          <w:bCs/>
          <w:sz w:val="24"/>
          <w:szCs w:val="24"/>
          <w:highlight w:val="none"/>
        </w:rPr>
        <w:t>10.供应商的风险</w:t>
      </w:r>
      <w:bookmarkEnd w:id="33"/>
    </w:p>
    <w:p w14:paraId="7173693D">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供应商没有按照竞争性磋商文件要求提供全部资料，或者供应商没有对响应性文件在各方面都作出实质性响应是供应商的风险，并可能导致其响应被拒绝。</w:t>
      </w:r>
    </w:p>
    <w:p w14:paraId="7399362E">
      <w:pPr>
        <w:widowControl w:val="0"/>
        <w:spacing w:line="360" w:lineRule="auto"/>
        <w:ind w:firstLine="482" w:firstLineChars="200"/>
        <w:rPr>
          <w:rFonts w:hint="eastAsia" w:ascii="宋体" w:hAnsi="宋体" w:cs="宋体"/>
          <w:b/>
          <w:bCs/>
          <w:sz w:val="24"/>
          <w:szCs w:val="24"/>
          <w:highlight w:val="none"/>
        </w:rPr>
      </w:pPr>
      <w:bookmarkStart w:id="34" w:name="_Toc461977415"/>
      <w:bookmarkEnd w:id="34"/>
      <w:bookmarkStart w:id="35" w:name="_Toc22484"/>
      <w:r>
        <w:rPr>
          <w:rFonts w:hint="eastAsia" w:ascii="宋体" w:hAnsi="宋体" w:cs="宋体"/>
          <w:b/>
          <w:bCs/>
          <w:sz w:val="24"/>
          <w:szCs w:val="24"/>
          <w:highlight w:val="none"/>
        </w:rPr>
        <w:t>二、竞争性磋商文件</w:t>
      </w:r>
      <w:bookmarkEnd w:id="35"/>
    </w:p>
    <w:p w14:paraId="5205AC7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11.竞争性磋商文件的构成</w:t>
      </w:r>
    </w:p>
    <w:p w14:paraId="57C067A3">
      <w:pPr>
        <w:widowControl w:val="0"/>
        <w:spacing w:line="360" w:lineRule="auto"/>
        <w:ind w:firstLine="480" w:firstLineChars="200"/>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本竞争性磋商文件由以下部分组成</w:t>
      </w:r>
      <w:r>
        <w:rPr>
          <w:rFonts w:hint="eastAsia" w:ascii="宋体" w:hAnsi="宋体" w:cs="宋体"/>
          <w:b w:val="0"/>
          <w:bCs w:val="0"/>
          <w:sz w:val="24"/>
          <w:szCs w:val="24"/>
          <w:highlight w:val="none"/>
          <w:lang w:eastAsia="zh-CN"/>
        </w:rPr>
        <w:t>：</w:t>
      </w:r>
    </w:p>
    <w:p w14:paraId="0B54CBD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11.1 竞争性磋商公告</w:t>
      </w:r>
    </w:p>
    <w:p w14:paraId="4F1C684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11.2 供应商须知</w:t>
      </w:r>
    </w:p>
    <w:p w14:paraId="0FD8FA42">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11.3 服务内容及要求</w:t>
      </w:r>
    </w:p>
    <w:p w14:paraId="12056BA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11.4 合同条款及合同文件格式</w:t>
      </w:r>
    </w:p>
    <w:p w14:paraId="74FEB50F">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11.5 评审标准</w:t>
      </w:r>
    </w:p>
    <w:p w14:paraId="6A74FBC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11.6 响应文件格式</w:t>
      </w:r>
    </w:p>
    <w:p w14:paraId="24EC00E6">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12.竞争性磋商文件的澄清与修改</w:t>
      </w:r>
    </w:p>
    <w:p w14:paraId="0CEB37D9">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12.1 采购代理机构对已发出的竞争性磋商文件进行必要澄清、修改或补充的，应当在竞争性磋商文件要求提交响应性文件截止时间5日前（如至原定截止时间不足5日，则需延长磋商开始时间）前，在发布公告的相关媒体上发布更正公告。竞争性磋商文件公示期间对竞争性磋商文件进行的澄清、修改或补充不受上述限制。</w:t>
      </w:r>
    </w:p>
    <w:p w14:paraId="36CA2D7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12.2 竞争性磋商文件澄清、修改或补充的内容为竞争性磋商文件的组成部分。</w:t>
      </w:r>
    </w:p>
    <w:p w14:paraId="053EF97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12.3 竞争性磋商文件的澄清、修改或补充都应通过本采购代理机构以法定形式发布。采购人未通过本采购代理机构对竞争性磋商文件进行的澄清、修改或补充无效</w:t>
      </w:r>
      <w:r>
        <w:rPr>
          <w:rFonts w:hint="eastAsia" w:ascii="宋体" w:hAnsi="宋体" w:cs="宋体"/>
          <w:sz w:val="24"/>
          <w:szCs w:val="24"/>
          <w:highlight w:val="none"/>
          <w:lang w:eastAsia="zh-CN"/>
        </w:rPr>
        <w:t>，</w:t>
      </w:r>
      <w:r>
        <w:rPr>
          <w:rFonts w:hint="eastAsia" w:ascii="宋体" w:hAnsi="宋体" w:cs="宋体"/>
          <w:sz w:val="24"/>
          <w:szCs w:val="24"/>
          <w:highlight w:val="none"/>
        </w:rPr>
        <w:t>磋商时不予认可。</w:t>
      </w:r>
    </w:p>
    <w:p w14:paraId="5BF4E56E">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12.4 采购代理机构可以视采购具体情况，延长递交响应性文件截止时间和开始磋商时间，但至少应当在竞争性磋商文件要求提交响应性文件的截止时间5日前，将变更时间在《河南省政府采购网》、《中国招标投标公共服务平台》和《三门峡市公共资源交易中心网》等相关媒体上发布更正公告。</w:t>
      </w:r>
    </w:p>
    <w:p w14:paraId="5D128453">
      <w:pPr>
        <w:widowControl w:val="0"/>
        <w:spacing w:line="360" w:lineRule="auto"/>
        <w:ind w:firstLine="482" w:firstLineChars="200"/>
        <w:rPr>
          <w:rFonts w:hint="eastAsia" w:ascii="宋体" w:hAnsi="宋体" w:cs="宋体"/>
          <w:b/>
          <w:bCs/>
          <w:sz w:val="24"/>
          <w:szCs w:val="24"/>
          <w:highlight w:val="none"/>
        </w:rPr>
      </w:pPr>
      <w:bookmarkStart w:id="36" w:name="_Toc461977416"/>
      <w:bookmarkEnd w:id="36"/>
      <w:bookmarkStart w:id="37" w:name="_Toc2226"/>
      <w:r>
        <w:rPr>
          <w:rFonts w:hint="eastAsia" w:ascii="宋体" w:hAnsi="宋体" w:cs="宋体"/>
          <w:b/>
          <w:bCs/>
          <w:sz w:val="24"/>
          <w:szCs w:val="24"/>
          <w:highlight w:val="none"/>
        </w:rPr>
        <w:t>三、响应性文件的编制</w:t>
      </w:r>
      <w:bookmarkEnd w:id="37"/>
    </w:p>
    <w:p w14:paraId="2A6B5C6A">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13.要求</w:t>
      </w:r>
    </w:p>
    <w:p w14:paraId="73C51670">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6AFAAEE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14.响应性文件的语言和计量单位</w:t>
      </w:r>
    </w:p>
    <w:p w14:paraId="2E1513F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14.1 响应性文件以及供应商与采购、</w:t>
      </w:r>
      <w:r>
        <w:rPr>
          <w:rFonts w:hint="eastAsia" w:ascii="宋体" w:hAnsi="宋体" w:cs="宋体"/>
          <w:sz w:val="24"/>
          <w:szCs w:val="24"/>
          <w:highlight w:val="none"/>
          <w:lang w:val="en-US" w:eastAsia="zh-CN"/>
        </w:rPr>
        <w:t>采购</w:t>
      </w:r>
      <w:r>
        <w:rPr>
          <w:rFonts w:hint="eastAsia" w:ascii="宋体" w:hAnsi="宋体" w:cs="宋体"/>
          <w:sz w:val="24"/>
          <w:szCs w:val="24"/>
          <w:highlight w:val="none"/>
        </w:rPr>
        <w:t>代理机构就有关磋商事宜的所有来往函电均应使用简体中文书写。</w:t>
      </w:r>
    </w:p>
    <w:p w14:paraId="79AB8CD2">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14.2 关于计量单位，竞争性磋商文件已有明确规定的，使用竞争性磋商文件规定的计量单位；竞争性磋商文件没有规定的，应采用中华人民共和国法定计量单位。</w:t>
      </w:r>
    </w:p>
    <w:p w14:paraId="309143F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15.响应性文件的组成</w:t>
      </w:r>
    </w:p>
    <w:p w14:paraId="454646EE">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详见磋商文件</w:t>
      </w:r>
    </w:p>
    <w:p w14:paraId="341BEF01">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16.响应性文件有效期</w:t>
      </w:r>
    </w:p>
    <w:p w14:paraId="2EACCB5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16.1 响应性文件从所规定的递交响应性文件截止期之后开始生效，有效期不足将导致其响应性文件被拒绝。成交供应商的响应性文件有效期至合同完全履行止。</w:t>
      </w:r>
    </w:p>
    <w:p w14:paraId="3601712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16.2 特殊情况下采购代理机构可于响应性文件有效期满之前要求供应商同意延长有效期，供应商应在采购代理机构规定的期限内予以答复。</w:t>
      </w:r>
    </w:p>
    <w:p w14:paraId="705E562E">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17.磋商报价</w:t>
      </w:r>
    </w:p>
    <w:p w14:paraId="6E1D1653">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17.1 所有磋商报价均以人民币元为计算单位。供应商的报价为项目实施所需的人工费、运输费、税费、服务费及完成项目所需其他一切费用。</w:t>
      </w:r>
    </w:p>
    <w:p w14:paraId="6CEE527B">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17.2 供应商要按初次报价一览表的内容填写。</w:t>
      </w:r>
    </w:p>
    <w:p w14:paraId="0DDF1AEB">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17.3 本次磋商应以人民币报价，进行二次报价。</w:t>
      </w:r>
    </w:p>
    <w:p w14:paraId="431861F1">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18.磋商保证金</w:t>
      </w:r>
    </w:p>
    <w:p w14:paraId="197239B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18.1 按照《河南省财政厅关于优化政府采购营商环境有关问题的通知》（豫财购[2019]4号文）的要求本项目不再收取磋商保证金。</w:t>
      </w:r>
    </w:p>
    <w:p w14:paraId="4E1CC8D1">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19.响应性文件的签署</w:t>
      </w:r>
    </w:p>
    <w:p w14:paraId="4150E1A0">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19.1 供应商应按供应商前附表中要求签署。响应性文件内容不完整、编排混乱导致被误读、漏读或者查找不到相关内容的，由供应商负责。</w:t>
      </w:r>
    </w:p>
    <w:p w14:paraId="56EC9FF3">
      <w:pPr>
        <w:widowControl w:val="0"/>
        <w:spacing w:line="360" w:lineRule="auto"/>
        <w:ind w:firstLine="482" w:firstLineChars="200"/>
        <w:rPr>
          <w:rFonts w:hint="eastAsia" w:ascii="宋体" w:hAnsi="宋体" w:cs="宋体"/>
          <w:b/>
          <w:bCs/>
          <w:sz w:val="24"/>
          <w:szCs w:val="24"/>
          <w:highlight w:val="none"/>
        </w:rPr>
      </w:pPr>
      <w:bookmarkStart w:id="38" w:name="_Toc461977417"/>
      <w:bookmarkEnd w:id="38"/>
      <w:bookmarkStart w:id="39" w:name="_Toc27830"/>
      <w:r>
        <w:rPr>
          <w:rFonts w:hint="eastAsia" w:ascii="宋体" w:hAnsi="宋体" w:cs="宋体"/>
          <w:b/>
          <w:bCs/>
          <w:sz w:val="24"/>
          <w:szCs w:val="24"/>
          <w:highlight w:val="none"/>
        </w:rPr>
        <w:t>四、响应性文件的递交</w:t>
      </w:r>
      <w:bookmarkEnd w:id="39"/>
    </w:p>
    <w:p w14:paraId="4EC10B8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20.响应性文件的递交</w:t>
      </w:r>
    </w:p>
    <w:p w14:paraId="5EE473F0">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在响应文件截止时间前上传至三门峡市公共资源交易中心系统平台。</w:t>
      </w:r>
    </w:p>
    <w:p w14:paraId="7D40B0F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21.响应性文件的修改和撤回</w:t>
      </w:r>
    </w:p>
    <w:p w14:paraId="35D24B2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供应商在递交竞争性磋商文件截止时间前，可以对所提交的响应性文件进行补充、修改或者撤回。</w:t>
      </w:r>
    </w:p>
    <w:p w14:paraId="5F99D30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22.供应商有下列情形之一的，采购人或采购代理机构将拒绝接受其响应性文件</w:t>
      </w:r>
    </w:p>
    <w:p w14:paraId="2B41DF2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22.1 在竞争性磋商文件规定的递交竞争性磋商文件截止时间之后上传响应性文件的。</w:t>
      </w:r>
    </w:p>
    <w:p w14:paraId="1919CD2E">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22.2 未按竞争性磋商文件参加磋商的。</w:t>
      </w:r>
    </w:p>
    <w:p w14:paraId="0DE12F89">
      <w:pPr>
        <w:widowControl w:val="0"/>
        <w:spacing w:line="360" w:lineRule="auto"/>
        <w:ind w:firstLine="482" w:firstLineChars="200"/>
        <w:rPr>
          <w:rFonts w:hint="eastAsia" w:ascii="宋体" w:hAnsi="宋体" w:cs="宋体"/>
          <w:b/>
          <w:bCs/>
          <w:sz w:val="24"/>
          <w:szCs w:val="24"/>
          <w:highlight w:val="none"/>
        </w:rPr>
      </w:pPr>
      <w:bookmarkStart w:id="40" w:name="_Toc461977418"/>
      <w:bookmarkEnd w:id="40"/>
      <w:bookmarkStart w:id="41" w:name="_Toc9665"/>
      <w:r>
        <w:rPr>
          <w:rFonts w:hint="eastAsia" w:ascii="宋体" w:hAnsi="宋体" w:cs="宋体"/>
          <w:b/>
          <w:bCs/>
          <w:sz w:val="24"/>
          <w:szCs w:val="24"/>
          <w:highlight w:val="none"/>
        </w:rPr>
        <w:t>五、磋商</w:t>
      </w:r>
      <w:bookmarkEnd w:id="41"/>
    </w:p>
    <w:p w14:paraId="12E95BBC">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23.磋商仪式</w:t>
      </w:r>
    </w:p>
    <w:p w14:paraId="1D710148">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仪式由代理公司主持，竞争性磋商采购人代表、监督代表及有关工作人员参加，本项目为不见面开标项目，所有参与交易活动的供应商可以不到现场参加开标，供应商进行远程开标解密工作，每位供应商的解密时间为开标时间起30分钟内完成，因供应商原因未能解密、解密失败或解密超时的将被拒绝。</w:t>
      </w:r>
    </w:p>
    <w:p w14:paraId="134AF3A9">
      <w:pPr>
        <w:widowControl w:val="0"/>
        <w:spacing w:line="360" w:lineRule="auto"/>
        <w:ind w:firstLine="482" w:firstLineChars="200"/>
        <w:rPr>
          <w:rFonts w:hint="eastAsia" w:ascii="宋体" w:hAnsi="宋体" w:cs="宋体"/>
          <w:sz w:val="24"/>
          <w:szCs w:val="24"/>
          <w:highlight w:val="none"/>
        </w:rPr>
      </w:pPr>
      <w:r>
        <w:rPr>
          <w:rFonts w:hint="eastAsia" w:ascii="宋体" w:hAnsi="宋体" w:cs="宋体"/>
          <w:b/>
          <w:bCs/>
          <w:sz w:val="24"/>
          <w:szCs w:val="24"/>
          <w:highlight w:val="none"/>
        </w:rPr>
        <w:t>24.磋商小组</w:t>
      </w:r>
      <w:r>
        <w:rPr>
          <w:rFonts w:hint="eastAsia" w:ascii="宋体" w:hAnsi="宋体" w:cs="宋体"/>
          <w:sz w:val="24"/>
          <w:szCs w:val="24"/>
          <w:highlight w:val="none"/>
        </w:rPr>
        <w:tab/>
      </w:r>
    </w:p>
    <w:p w14:paraId="3D725F54">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采购代理机构根据采购项目的特点依法组建磋商小组。磋商小组</w:t>
      </w:r>
      <w:r>
        <w:rPr>
          <w:rFonts w:hint="eastAsia" w:ascii="宋体" w:hAnsi="宋体" w:cs="宋体"/>
          <w:sz w:val="24"/>
          <w:szCs w:val="24"/>
          <w:highlight w:val="none"/>
          <w:lang w:val="en-US" w:eastAsia="zh-CN"/>
        </w:rPr>
        <w:t>由有关技术、经济方面的专家3</w:t>
      </w:r>
      <w:r>
        <w:rPr>
          <w:rFonts w:hint="eastAsia" w:ascii="宋体" w:hAnsi="宋体" w:cs="宋体"/>
          <w:sz w:val="24"/>
          <w:szCs w:val="24"/>
          <w:highlight w:val="none"/>
        </w:rPr>
        <w:t>人</w:t>
      </w:r>
      <w:r>
        <w:rPr>
          <w:rFonts w:hint="eastAsia" w:ascii="宋体" w:hAnsi="宋体" w:cs="宋体"/>
          <w:sz w:val="24"/>
          <w:szCs w:val="24"/>
          <w:highlight w:val="none"/>
          <w:lang w:val="en-US" w:eastAsia="zh-CN"/>
        </w:rPr>
        <w:t>组成。</w:t>
      </w:r>
      <w:r>
        <w:rPr>
          <w:rFonts w:hint="eastAsia" w:ascii="宋体" w:hAnsi="宋体" w:cs="宋体"/>
          <w:sz w:val="24"/>
          <w:szCs w:val="24"/>
          <w:highlight w:val="none"/>
        </w:rPr>
        <w:t>开标后在河南省政府采购评审专家库中随机抽取</w:t>
      </w:r>
      <w:r>
        <w:rPr>
          <w:rFonts w:hint="eastAsia" w:ascii="宋体" w:hAnsi="宋体" w:cs="宋体"/>
          <w:sz w:val="24"/>
          <w:szCs w:val="24"/>
          <w:highlight w:val="none"/>
          <w:lang w:eastAsia="zh-CN"/>
        </w:rPr>
        <w:t>。</w:t>
      </w:r>
    </w:p>
    <w:p w14:paraId="67BFF78C">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25.磋商工作纪律及保密</w:t>
      </w:r>
    </w:p>
    <w:p w14:paraId="4A88B47D">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评审专家应当遵守评审工作纪律，不得泄露评审情况和评审中获悉的商业秘密。</w:t>
      </w:r>
    </w:p>
    <w:p w14:paraId="7980F832">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26.磋商小组工作原则</w:t>
      </w:r>
    </w:p>
    <w:p w14:paraId="63BE9FBB">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2302B5A8">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27.响应文件审查</w:t>
      </w:r>
    </w:p>
    <w:p w14:paraId="39FFB703">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磋商小组在对响应文件的有效性、完整性和响应程度进行审查时，可以要求供应商对响应文件中含义不明确</w:t>
      </w:r>
      <w:r>
        <w:rPr>
          <w:rFonts w:hint="eastAsia" w:ascii="宋体" w:hAnsi="宋体" w:cs="宋体"/>
          <w:sz w:val="24"/>
          <w:szCs w:val="24"/>
          <w:highlight w:val="none"/>
          <w:lang w:eastAsia="zh-CN"/>
        </w:rPr>
        <w:t>、</w:t>
      </w:r>
      <w:r>
        <w:rPr>
          <w:rFonts w:hint="eastAsia" w:ascii="宋体" w:hAnsi="宋体" w:cs="宋体"/>
          <w:sz w:val="24"/>
          <w:szCs w:val="24"/>
          <w:highlight w:val="none"/>
        </w:rPr>
        <w:t>同类问题表述不一致或者有明显文字和计算错误的内容等作出必要的澄清、说明或者更正。供应商的澄清、说明或者更正不得超出响应文件的范围或者改变响应文件的实质性内容。</w:t>
      </w:r>
    </w:p>
    <w:p w14:paraId="221CC4C9">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28.供应商澄清</w:t>
      </w:r>
    </w:p>
    <w:p w14:paraId="44B60C9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磋商小组要求供应商澄清、说明或者更正响应文件将在电子系统作出。</w:t>
      </w:r>
    </w:p>
    <w:p w14:paraId="170CDD56">
      <w:pPr>
        <w:widowControl w:val="0"/>
        <w:spacing w:line="360" w:lineRule="auto"/>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29.磋商程序、最后报价、综合评分</w:t>
      </w:r>
    </w:p>
    <w:p w14:paraId="6393EABB">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磋商小组所有成员应当集中与单一供应商分别进行磋商，并给予所有参加磋商的供应商平等的磋商机会。</w:t>
      </w:r>
    </w:p>
    <w:p w14:paraId="3CA0F481">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在磋商过程中，磋商小组可以根据磋商文件和磋商情况实质性变动采购需求中的技术、服务要求以及合同草案条款，但不得变动磋商文件中的其他内容。对磋商文件作出的实质性变动是磋商文件的有效组成部分，磋商小组应当及时通知所有参加磋商的供应商。供应商应当按照磋商文件的变动情况和磋商小组的要求重新提交响应文件，并由其法定代表人或授权代表签字或者加盖公章。</w:t>
      </w:r>
    </w:p>
    <w:p w14:paraId="05D0DA46">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磋商文件能够详细列明采购的的技术、服务要求的，磋商结束后，磋商小组将要求所有实质性响应的供应商在规定时间内提交最后报价。最后报价是供应商响应文件的有效组成部分。</w:t>
      </w:r>
    </w:p>
    <w:p w14:paraId="38526800">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已提交响应文件的供应商，在提交最后报价之前，可以根据情况退出磋商。将退还退出磋商的供应商的磋商保证金。</w:t>
      </w:r>
    </w:p>
    <w:p w14:paraId="4C6CA729">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7F559D9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评审时，磋商小组各成员独立对每个有效响应的文件进行评价、打分，然后汇总每个供应商每项评分因素的得分。</w:t>
      </w:r>
    </w:p>
    <w:p w14:paraId="128BB7EC">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磋商小组应当根据综合评分情况，按照评审得分由高到低顺序推荐3名成交候选供应商并编写评审报告。评审得分相同的，按照最后报价由低到高的顺序推荐。评审得分且最后报价相同的，按照技术指标优劣顺序推荐。</w:t>
      </w:r>
    </w:p>
    <w:p w14:paraId="151B9B33">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出现下列情形之一的，将终止竞争性磋商采购活动，发布项目终止公告并说明原因，重新开展采购活动：</w:t>
      </w:r>
    </w:p>
    <w:p w14:paraId="5F1DAB6C">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1、不符合法律、法规和竞争性磋商文件中规定的其他实质性要求的；</w:t>
      </w:r>
    </w:p>
    <w:p w14:paraId="10463B68">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2、其他法律、法规及本竞争性磋商文件规定的属响应无效的情形。终止竞争性磋商采购活动的条款；</w:t>
      </w:r>
    </w:p>
    <w:p w14:paraId="7161D13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3、因情况变化，不再符合规定的竞争性磋商采购方式适用情形的；出现影响采购公正的违法、违规行为的；</w:t>
      </w:r>
    </w:p>
    <w:p w14:paraId="50A3C295">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30</w:t>
      </w:r>
      <w:r>
        <w:rPr>
          <w:rFonts w:hint="eastAsia" w:ascii="宋体" w:hAnsi="宋体" w:cs="宋体"/>
          <w:sz w:val="24"/>
          <w:szCs w:val="24"/>
          <w:highlight w:val="none"/>
          <w:lang w:val="en-US" w:eastAsia="zh-CN"/>
        </w:rPr>
        <w:t>.</w:t>
      </w:r>
      <w:r>
        <w:rPr>
          <w:rFonts w:hint="eastAsia" w:ascii="宋体" w:hAnsi="宋体" w:cs="宋体"/>
          <w:sz w:val="24"/>
          <w:szCs w:val="24"/>
          <w:highlight w:val="none"/>
        </w:rPr>
        <w:t>磋商截止时间结束后参加供应商不足3家的，应重新组织采购。评审期间符合专业条件的供应商或者对磋商响应文件作出实质响应的供应商不足3家的，采购代理机构将报请主管监督部门批准。</w:t>
      </w:r>
    </w:p>
    <w:p w14:paraId="356CB05C">
      <w:pPr>
        <w:widowControl w:val="0"/>
        <w:spacing w:line="360" w:lineRule="auto"/>
        <w:ind w:firstLine="482" w:firstLineChars="200"/>
        <w:rPr>
          <w:rFonts w:hint="eastAsia" w:ascii="宋体" w:hAnsi="宋体" w:cs="宋体"/>
          <w:b/>
          <w:bCs/>
          <w:sz w:val="24"/>
          <w:szCs w:val="24"/>
          <w:highlight w:val="none"/>
        </w:rPr>
      </w:pPr>
      <w:bookmarkStart w:id="42" w:name="_Toc461977419"/>
      <w:bookmarkEnd w:id="42"/>
      <w:bookmarkStart w:id="43" w:name="_Toc12427"/>
      <w:r>
        <w:rPr>
          <w:rFonts w:hint="eastAsia" w:ascii="宋体" w:hAnsi="宋体" w:cs="宋体"/>
          <w:b/>
          <w:bCs/>
          <w:sz w:val="24"/>
          <w:szCs w:val="24"/>
          <w:highlight w:val="none"/>
        </w:rPr>
        <w:t>六、确定成交</w:t>
      </w:r>
      <w:bookmarkEnd w:id="43"/>
    </w:p>
    <w:p w14:paraId="25B69848">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评标结束后，采购人和其委托的采购代理机构，在政府采购项目评审结束当日起2个工作日内完成评标报告的报送、成交供应商的确定、</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公告的发布、成交通知书发出。</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通知书对采购人和</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供应商具有同等法律效力。</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通知书发出后，采购人改变</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结果，或者</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供应商放弃中标，应按相关法律、规章、规范性文件的要求承担相应的法律责任。未按规定交纳服务费、领取</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通知书的视为自动放弃中标。</w:t>
      </w:r>
    </w:p>
    <w:p w14:paraId="68FCDA58">
      <w:pPr>
        <w:widowControl w:val="0"/>
        <w:spacing w:line="360" w:lineRule="auto"/>
        <w:ind w:firstLine="482" w:firstLineChars="200"/>
        <w:rPr>
          <w:rFonts w:hint="eastAsia" w:ascii="宋体" w:hAnsi="宋体" w:cs="宋体"/>
          <w:b/>
          <w:bCs/>
          <w:sz w:val="24"/>
          <w:szCs w:val="24"/>
          <w:highlight w:val="none"/>
        </w:rPr>
      </w:pPr>
      <w:bookmarkStart w:id="44" w:name="_Toc461977420"/>
      <w:bookmarkEnd w:id="44"/>
      <w:bookmarkStart w:id="45" w:name="_Toc32480"/>
      <w:r>
        <w:rPr>
          <w:rFonts w:hint="eastAsia" w:ascii="宋体" w:hAnsi="宋体" w:cs="宋体"/>
          <w:b/>
          <w:bCs/>
          <w:sz w:val="24"/>
          <w:szCs w:val="24"/>
          <w:highlight w:val="none"/>
        </w:rPr>
        <w:t>七、授予合同</w:t>
      </w:r>
      <w:bookmarkEnd w:id="45"/>
    </w:p>
    <w:p w14:paraId="47515A27">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签订合同</w:t>
      </w:r>
    </w:p>
    <w:p w14:paraId="16FC717F">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采购人、成交供应商在成交通知书发出之日发出之日起在</w:t>
      </w:r>
      <w:r>
        <w:rPr>
          <w:rFonts w:hint="eastAsia" w:ascii="宋体" w:hAnsi="宋体" w:cs="宋体"/>
          <w:sz w:val="24"/>
          <w:szCs w:val="24"/>
          <w:highlight w:val="none"/>
          <w:lang w:val="en-US" w:eastAsia="zh-CN"/>
        </w:rPr>
        <w:t>2</w:t>
      </w:r>
      <w:r>
        <w:rPr>
          <w:rFonts w:hint="eastAsia" w:ascii="宋体" w:hAnsi="宋体" w:cs="宋体"/>
          <w:sz w:val="24"/>
          <w:szCs w:val="24"/>
          <w:highlight w:val="none"/>
        </w:rPr>
        <w:t>个工作日，根据竞争性磋商文件确定的事项和成交供应商响应性文件签订合同。合同签订后1个工作日内在河南省政府采购网上发布公告并完成合同备案。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6D9ADB1E">
      <w:pPr>
        <w:widowControl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68D500C3">
      <w:pPr>
        <w:widowControl w:val="0"/>
        <w:spacing w:line="360" w:lineRule="auto"/>
        <w:ind w:firstLine="480" w:firstLineChars="200"/>
        <w:rPr>
          <w:rFonts w:hint="eastAsia" w:ascii="宋体" w:hAnsi="宋体" w:cs="宋体"/>
          <w:sz w:val="22"/>
          <w:szCs w:val="24"/>
          <w:highlight w:val="none"/>
        </w:rPr>
      </w:pPr>
      <w:r>
        <w:rPr>
          <w:rFonts w:hint="eastAsia" w:ascii="宋体" w:hAnsi="宋体" w:cs="宋体"/>
          <w:sz w:val="24"/>
          <w:szCs w:val="24"/>
          <w:highlight w:val="none"/>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bookmarkStart w:id="46" w:name="_Toc461977421"/>
      <w:bookmarkEnd w:id="46"/>
    </w:p>
    <w:p w14:paraId="634AAAA7">
      <w:pPr>
        <w:pStyle w:val="2"/>
        <w:bidi w:val="0"/>
        <w:jc w:val="both"/>
        <w:rPr>
          <w:rFonts w:hint="eastAsia"/>
          <w:sz w:val="36"/>
          <w:szCs w:val="16"/>
        </w:rPr>
      </w:pPr>
      <w:bookmarkStart w:id="47" w:name="_Toc28075"/>
      <w:bookmarkStart w:id="48" w:name="_Toc7180"/>
      <w:bookmarkStart w:id="49" w:name="_Toc4222"/>
    </w:p>
    <w:p w14:paraId="7857A5D3">
      <w:pPr>
        <w:jc w:val="center"/>
        <w:rPr>
          <w:rFonts w:hint="eastAsia"/>
        </w:rPr>
      </w:pPr>
    </w:p>
    <w:p w14:paraId="1593C375">
      <w:pPr>
        <w:rPr>
          <w:rFonts w:hint="eastAsia"/>
          <w:sz w:val="36"/>
          <w:szCs w:val="16"/>
        </w:rPr>
      </w:pPr>
      <w:r>
        <w:rPr>
          <w:rFonts w:hint="eastAsia"/>
          <w:sz w:val="36"/>
          <w:szCs w:val="16"/>
        </w:rPr>
        <w:br w:type="page"/>
      </w:r>
    </w:p>
    <w:p w14:paraId="4E8B2436">
      <w:pPr>
        <w:pStyle w:val="2"/>
        <w:bidi w:val="0"/>
        <w:jc w:val="center"/>
        <w:rPr>
          <w:rFonts w:ascii="黑体" w:cs="宋体"/>
          <w:b/>
          <w:kern w:val="2"/>
          <w:szCs w:val="24"/>
          <w:highlight w:val="none"/>
        </w:rPr>
      </w:pPr>
      <w:bookmarkStart w:id="50" w:name="_Toc8862"/>
      <w:r>
        <w:rPr>
          <w:rFonts w:hint="eastAsia"/>
          <w:sz w:val="36"/>
          <w:szCs w:val="16"/>
        </w:rPr>
        <w:t>第三章  服务内容及要求</w:t>
      </w:r>
      <w:bookmarkEnd w:id="47"/>
      <w:bookmarkEnd w:id="48"/>
      <w:bookmarkEnd w:id="49"/>
      <w:bookmarkEnd w:id="50"/>
    </w:p>
    <w:p w14:paraId="60D18FB5">
      <w:pPr>
        <w:spacing w:line="360" w:lineRule="auto"/>
        <w:rPr>
          <w:rFonts w:ascii="宋体" w:hAnsi="宋体" w:eastAsia="宋体" w:cs="宋体"/>
          <w:b/>
          <w:bCs/>
          <w:sz w:val="24"/>
          <w:szCs w:val="24"/>
        </w:rPr>
      </w:pPr>
      <w:bookmarkStart w:id="51" w:name="_Toc11831"/>
      <w:bookmarkStart w:id="52" w:name="_Toc7143"/>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、采购内容</w:t>
      </w:r>
    </w:p>
    <w:p w14:paraId="236BC88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采购</w:t>
      </w:r>
      <w:r>
        <w:rPr>
          <w:rFonts w:hint="eastAsia" w:ascii="宋体" w:hAnsi="宋体" w:eastAsia="宋体" w:cs="宋体"/>
          <w:sz w:val="24"/>
          <w:szCs w:val="24"/>
        </w:rPr>
        <w:t>9名</w:t>
      </w:r>
      <w:r>
        <w:rPr>
          <w:rFonts w:hint="eastAsia" w:ascii="宋体" w:hAnsi="宋体" w:eastAsia="宋体" w:cs="宋体"/>
          <w:sz w:val="24"/>
          <w:szCs w:val="24"/>
          <w:lang w:val="en-US" w:eastAsia="zh-CN"/>
        </w:rPr>
        <w:t>技术</w:t>
      </w:r>
      <w:r>
        <w:rPr>
          <w:rFonts w:hint="eastAsia" w:ascii="宋体" w:hAnsi="宋体" w:eastAsia="宋体" w:cs="宋体"/>
          <w:sz w:val="24"/>
          <w:szCs w:val="24"/>
        </w:rPr>
        <w:t>人员对</w:t>
      </w:r>
      <w:r>
        <w:rPr>
          <w:rFonts w:hint="eastAsia" w:ascii="宋体" w:hAnsi="宋体" w:cs="宋体"/>
          <w:sz w:val="24"/>
          <w:szCs w:val="24"/>
          <w:lang w:val="en-US" w:eastAsia="zh-CN"/>
        </w:rPr>
        <w:t>河南省</w:t>
      </w:r>
      <w:r>
        <w:rPr>
          <w:rFonts w:hint="eastAsia" w:ascii="宋体" w:hAnsi="宋体" w:eastAsia="宋体" w:cs="宋体"/>
          <w:sz w:val="24"/>
          <w:szCs w:val="24"/>
        </w:rPr>
        <w:t>三门峡市中级人民法院</w:t>
      </w:r>
      <w:r>
        <w:rPr>
          <w:rFonts w:hint="eastAsia" w:ascii="宋体" w:hAnsi="宋体" w:eastAsia="宋体" w:cs="宋体"/>
          <w:sz w:val="24"/>
          <w:szCs w:val="24"/>
          <w:lang w:val="en-US" w:eastAsia="zh-CN"/>
        </w:rPr>
        <w:t>进行驻地维护</w:t>
      </w:r>
      <w:r>
        <w:rPr>
          <w:rFonts w:hint="eastAsia" w:ascii="宋体" w:hAnsi="宋体" w:eastAsia="宋体" w:cs="宋体"/>
          <w:sz w:val="24"/>
          <w:szCs w:val="24"/>
        </w:rPr>
        <w:t>，运维人员需要及时响应和排除各类故障，包含各类软硬件系统的运行状态监控及预警，故障解决，定期巡检维护</w:t>
      </w:r>
      <w:r>
        <w:rPr>
          <w:rFonts w:hint="eastAsia" w:ascii="宋体" w:hAnsi="宋体" w:eastAsia="宋体" w:cs="宋体"/>
          <w:sz w:val="24"/>
          <w:szCs w:val="24"/>
          <w:lang w:val="en-US" w:eastAsia="zh-CN"/>
        </w:rPr>
        <w:t>等，</w:t>
      </w:r>
      <w:r>
        <w:rPr>
          <w:rFonts w:hint="eastAsia" w:ascii="宋体" w:hAnsi="宋体" w:eastAsia="宋体" w:cs="宋体"/>
          <w:sz w:val="24"/>
          <w:szCs w:val="24"/>
        </w:rPr>
        <w:t>保障</w:t>
      </w:r>
      <w:r>
        <w:rPr>
          <w:rFonts w:hint="eastAsia" w:ascii="宋体" w:hAnsi="宋体" w:cs="宋体"/>
          <w:sz w:val="24"/>
          <w:szCs w:val="24"/>
          <w:lang w:val="en-US" w:eastAsia="zh-CN"/>
        </w:rPr>
        <w:t>河南省</w:t>
      </w:r>
      <w:r>
        <w:rPr>
          <w:rFonts w:hint="eastAsia" w:ascii="宋体" w:hAnsi="宋体" w:eastAsia="宋体" w:cs="宋体"/>
          <w:sz w:val="24"/>
          <w:szCs w:val="24"/>
        </w:rPr>
        <w:t>三门峡市中级人民法院</w:t>
      </w:r>
      <w:r>
        <w:rPr>
          <w:rFonts w:hint="eastAsia" w:ascii="宋体" w:hAnsi="宋体" w:eastAsia="宋体" w:cs="宋体"/>
          <w:sz w:val="24"/>
          <w:szCs w:val="24"/>
          <w:lang w:val="en-US" w:eastAsia="zh-CN"/>
        </w:rPr>
        <w:t>各类</w:t>
      </w:r>
      <w:r>
        <w:rPr>
          <w:rFonts w:hint="eastAsia" w:ascii="宋体" w:hAnsi="宋体" w:eastAsia="宋体" w:cs="宋体"/>
          <w:sz w:val="24"/>
          <w:szCs w:val="24"/>
        </w:rPr>
        <w:t>信息化</w:t>
      </w:r>
      <w:r>
        <w:rPr>
          <w:rFonts w:hint="eastAsia" w:ascii="宋体" w:hAnsi="宋体" w:eastAsia="宋体" w:cs="宋体"/>
          <w:sz w:val="24"/>
          <w:szCs w:val="24"/>
          <w:lang w:val="en-US" w:eastAsia="zh-CN"/>
        </w:rPr>
        <w:t>系统</w:t>
      </w:r>
      <w:r>
        <w:rPr>
          <w:rFonts w:hint="eastAsia" w:ascii="宋体" w:hAnsi="宋体" w:eastAsia="宋体" w:cs="宋体"/>
          <w:sz w:val="24"/>
          <w:szCs w:val="24"/>
        </w:rPr>
        <w:t>的</w:t>
      </w:r>
      <w:r>
        <w:rPr>
          <w:rFonts w:hint="eastAsia" w:ascii="宋体" w:hAnsi="宋体" w:eastAsia="宋体" w:cs="宋体"/>
          <w:sz w:val="24"/>
          <w:szCs w:val="24"/>
          <w:lang w:val="en-US" w:eastAsia="zh-CN"/>
        </w:rPr>
        <w:t>正常运行</w:t>
      </w:r>
      <w:r>
        <w:rPr>
          <w:rFonts w:hint="eastAsia" w:ascii="宋体" w:hAnsi="宋体" w:eastAsia="宋体" w:cs="宋体"/>
          <w:sz w:val="24"/>
          <w:szCs w:val="24"/>
        </w:rPr>
        <w:t>。</w:t>
      </w:r>
    </w:p>
    <w:p w14:paraId="0C2CF83D">
      <w:pPr>
        <w:spacing w:line="360" w:lineRule="auto"/>
        <w:rPr>
          <w:rFonts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、项目具体采购内容清单</w:t>
      </w:r>
    </w:p>
    <w:tbl>
      <w:tblPr>
        <w:tblStyle w:val="1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47"/>
        <w:gridCol w:w="1189"/>
        <w:gridCol w:w="3677"/>
        <w:gridCol w:w="1260"/>
        <w:gridCol w:w="1185"/>
      </w:tblGrid>
      <w:tr w14:paraId="7203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20" w:type="dxa"/>
            <w:vAlign w:val="center"/>
          </w:tcPr>
          <w:p w14:paraId="2415F0B2">
            <w:pPr>
              <w:widowControl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1247" w:type="dxa"/>
            <w:vAlign w:val="center"/>
          </w:tcPr>
          <w:p w14:paraId="741B37D7">
            <w:pPr>
              <w:widowControl w:val="0"/>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rPr>
              <w:t>运维</w:t>
            </w:r>
            <w:r>
              <w:rPr>
                <w:rFonts w:hint="eastAsia" w:ascii="宋体" w:hAnsi="宋体" w:eastAsia="宋体" w:cs="宋体"/>
                <w:b/>
                <w:bCs/>
                <w:sz w:val="24"/>
                <w:szCs w:val="24"/>
                <w:lang w:val="en-US" w:eastAsia="zh-CN"/>
              </w:rPr>
              <w:t>人员</w:t>
            </w:r>
          </w:p>
        </w:tc>
        <w:tc>
          <w:tcPr>
            <w:tcW w:w="1189" w:type="dxa"/>
            <w:vAlign w:val="center"/>
          </w:tcPr>
          <w:p w14:paraId="3223D3EE">
            <w:pPr>
              <w:widowControl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服务对象</w:t>
            </w:r>
          </w:p>
        </w:tc>
        <w:tc>
          <w:tcPr>
            <w:tcW w:w="3677" w:type="dxa"/>
            <w:vAlign w:val="center"/>
          </w:tcPr>
          <w:p w14:paraId="4FD5FAFF">
            <w:pPr>
              <w:widowControl w:val="0"/>
              <w:spacing w:line="360" w:lineRule="auto"/>
              <w:jc w:val="center"/>
              <w:rPr>
                <w:rFonts w:hint="eastAsia" w:ascii="宋体" w:hAnsi="宋体" w:eastAsia="宋体" w:cs="宋体"/>
                <w:b/>
                <w:bCs/>
                <w:sz w:val="24"/>
                <w:szCs w:val="24"/>
                <w:lang w:eastAsia="zh-CN"/>
              </w:rPr>
            </w:pPr>
            <w:r>
              <w:rPr>
                <w:rFonts w:hint="eastAsia" w:ascii="宋体" w:hAnsi="宋体" w:eastAsia="宋体" w:cs="宋体"/>
                <w:b/>
                <w:bCs/>
                <w:sz w:val="24"/>
                <w:szCs w:val="24"/>
                <w:shd w:val="clear" w:color="auto" w:fill="FFFFFF" w:themeFill="background1"/>
              </w:rPr>
              <w:t>服务</w:t>
            </w:r>
            <w:r>
              <w:rPr>
                <w:rFonts w:hint="eastAsia" w:ascii="宋体" w:hAnsi="宋体" w:eastAsia="宋体" w:cs="宋体"/>
                <w:b/>
                <w:bCs/>
                <w:sz w:val="24"/>
                <w:szCs w:val="24"/>
                <w:shd w:val="clear" w:color="auto" w:fill="FFFFFF" w:themeFill="background1"/>
                <w:lang w:val="en-US" w:eastAsia="zh-CN"/>
              </w:rPr>
              <w:t>范围</w:t>
            </w:r>
          </w:p>
        </w:tc>
        <w:tc>
          <w:tcPr>
            <w:tcW w:w="1260" w:type="dxa"/>
            <w:vAlign w:val="center"/>
          </w:tcPr>
          <w:p w14:paraId="2F4F6461">
            <w:pPr>
              <w:widowControl w:val="0"/>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工作时间</w:t>
            </w:r>
          </w:p>
        </w:tc>
        <w:tc>
          <w:tcPr>
            <w:tcW w:w="1185" w:type="dxa"/>
            <w:vAlign w:val="center"/>
          </w:tcPr>
          <w:p w14:paraId="0AA5C8E1">
            <w:pPr>
              <w:widowControl w:val="0"/>
              <w:spacing w:line="360" w:lineRule="auto"/>
              <w:jc w:val="center"/>
              <w:rPr>
                <w:rFonts w:ascii="宋体" w:hAnsi="宋体" w:eastAsia="宋体" w:cs="宋体"/>
                <w:b/>
                <w:bCs/>
                <w:sz w:val="24"/>
                <w:szCs w:val="24"/>
              </w:rPr>
            </w:pPr>
            <w:r>
              <w:rPr>
                <w:rFonts w:hint="eastAsia" w:ascii="宋体" w:hAnsi="宋体" w:eastAsia="宋体" w:cs="宋体"/>
                <w:b/>
                <w:bCs/>
                <w:sz w:val="24"/>
                <w:szCs w:val="24"/>
              </w:rPr>
              <w:t>服务期限</w:t>
            </w:r>
          </w:p>
        </w:tc>
      </w:tr>
      <w:tr w14:paraId="5DAF0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720" w:type="dxa"/>
            <w:vMerge w:val="restart"/>
            <w:vAlign w:val="center"/>
          </w:tcPr>
          <w:p w14:paraId="7726B6AF">
            <w:pPr>
              <w:widowControl w:val="0"/>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1247" w:type="dxa"/>
            <w:vAlign w:val="center"/>
          </w:tcPr>
          <w:p w14:paraId="2158CCD1">
            <w:pPr>
              <w:widowControl w:val="0"/>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总监1人</w:t>
            </w:r>
          </w:p>
        </w:tc>
        <w:tc>
          <w:tcPr>
            <w:tcW w:w="1189" w:type="dxa"/>
            <w:vMerge w:val="restart"/>
            <w:vAlign w:val="center"/>
          </w:tcPr>
          <w:p w14:paraId="2D3F874B">
            <w:pPr>
              <w:widowControl w:val="0"/>
              <w:spacing w:line="360" w:lineRule="auto"/>
              <w:jc w:val="center"/>
              <w:rPr>
                <w:rFonts w:ascii="宋体" w:hAnsi="宋体" w:eastAsia="宋体" w:cs="宋体"/>
                <w:sz w:val="24"/>
                <w:szCs w:val="24"/>
              </w:rPr>
            </w:pPr>
            <w:r>
              <w:rPr>
                <w:rFonts w:hint="eastAsia" w:ascii="宋体" w:hAnsi="宋体" w:cs="宋体"/>
                <w:sz w:val="24"/>
                <w:szCs w:val="24"/>
                <w:lang w:val="en-US" w:eastAsia="zh-CN"/>
              </w:rPr>
              <w:t>河南省</w:t>
            </w:r>
            <w:r>
              <w:rPr>
                <w:rFonts w:hint="eastAsia" w:ascii="宋体" w:hAnsi="宋体" w:eastAsia="宋体" w:cs="宋体"/>
                <w:sz w:val="24"/>
                <w:szCs w:val="24"/>
              </w:rPr>
              <w:t>三门峡市中级人民法院</w:t>
            </w:r>
          </w:p>
        </w:tc>
        <w:tc>
          <w:tcPr>
            <w:tcW w:w="3677" w:type="dxa"/>
            <w:vMerge w:val="restart"/>
            <w:vAlign w:val="center"/>
          </w:tcPr>
          <w:p w14:paraId="6A221D73">
            <w:pPr>
              <w:pStyle w:val="30"/>
              <w:widowControl w:val="0"/>
              <w:spacing w:line="360" w:lineRule="auto"/>
              <w:ind w:firstLine="0"/>
              <w:jc w:val="both"/>
              <w:rPr>
                <w:rFonts w:ascii="宋体" w:hAnsi="宋体" w:eastAsia="宋体" w:cs="宋体"/>
                <w:sz w:val="24"/>
                <w:szCs w:val="24"/>
              </w:rPr>
            </w:pPr>
            <w:r>
              <w:rPr>
                <w:rFonts w:hint="eastAsia" w:ascii="宋体" w:hAnsi="宋体" w:eastAsia="宋体" w:cs="宋体"/>
                <w:sz w:val="24"/>
                <w:szCs w:val="24"/>
              </w:rPr>
              <w:t>针对</w:t>
            </w:r>
            <w:r>
              <w:rPr>
                <w:rFonts w:hint="eastAsia" w:ascii="宋体" w:hAnsi="宋体" w:cs="宋体"/>
                <w:sz w:val="24"/>
                <w:szCs w:val="24"/>
                <w:lang w:val="en-US" w:eastAsia="zh-CN"/>
              </w:rPr>
              <w:t>河南省</w:t>
            </w:r>
            <w:r>
              <w:rPr>
                <w:rFonts w:hint="eastAsia" w:ascii="宋体" w:hAnsi="宋体" w:eastAsia="宋体" w:cs="宋体"/>
                <w:sz w:val="24"/>
                <w:szCs w:val="24"/>
              </w:rPr>
              <w:t>三门峡市中级人民法院信息化工作内容和要求，在服务期限内提供</w:t>
            </w:r>
            <w:r>
              <w:rPr>
                <w:rFonts w:hint="eastAsia" w:ascii="宋体" w:hAnsi="宋体" w:eastAsia="宋体" w:cs="宋体"/>
                <w:sz w:val="24"/>
                <w:szCs w:val="24"/>
                <w:lang w:val="en-US" w:eastAsia="zh-CN"/>
              </w:rPr>
              <w:t>满足要求</w:t>
            </w:r>
            <w:r>
              <w:rPr>
                <w:rFonts w:hint="eastAsia" w:ascii="宋体" w:hAnsi="宋体" w:eastAsia="宋体" w:cs="宋体"/>
                <w:sz w:val="24"/>
                <w:szCs w:val="24"/>
              </w:rPr>
              <w:t>的技术人员驻守，包含公司总监、技术成员。公司总监对整体运维服务流程监控；对服务质量监控；对运维管理体系运行监控负责。技术成员对各自负责的软硬件系统负责，定期进行巡检维护，故障处理，保障各系统正常运行。</w:t>
            </w:r>
          </w:p>
          <w:p w14:paraId="527A604F">
            <w:pPr>
              <w:pStyle w:val="30"/>
              <w:widowControl w:val="0"/>
              <w:spacing w:line="360" w:lineRule="auto"/>
              <w:ind w:firstLine="0"/>
              <w:jc w:val="both"/>
              <w:rPr>
                <w:rFonts w:ascii="宋体" w:hAnsi="宋体" w:eastAsia="宋体" w:cs="宋体"/>
                <w:sz w:val="24"/>
                <w:szCs w:val="24"/>
              </w:rPr>
            </w:pPr>
            <w:r>
              <w:rPr>
                <w:rFonts w:hint="eastAsia" w:ascii="宋体" w:hAnsi="宋体" w:eastAsia="宋体" w:cs="宋体"/>
                <w:sz w:val="24"/>
                <w:szCs w:val="24"/>
              </w:rPr>
              <w:t>维护服务需求如下：</w:t>
            </w:r>
          </w:p>
          <w:p w14:paraId="242904DA">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一、业务软件系统运维服务</w:t>
            </w:r>
          </w:p>
          <w:p w14:paraId="554E38E5">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主要包括法院核心业务系统：涉及全省统一办公办案平台系列软件、审判流程管理软件、执行指挥、涉诉信访系统、各类办公软件等维护服务，对中院现有业务软件系统及服务期限内上线的各类软硬件系统进行运行状态监控及预警：定期巡检维护数据库系统；定期巡检维护中间件系统；各类故障问题解决修复；定期给新入职干警提供培训服务；提供7*24小时技术热线服务，保障法院业务系统的正常运行。</w:t>
            </w:r>
          </w:p>
          <w:p w14:paraId="2F7FE957">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二、机房环境及信息化设备运维服务</w:t>
            </w:r>
          </w:p>
          <w:p w14:paraId="4A2596ED">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1、机房环境维护：负责管理信息机房各类环境检测设备的安全运行。加强门禁系统管理；加强电源系统管理，定期检查机房新风系统保证设备的运行环境。</w:t>
            </w:r>
          </w:p>
          <w:p w14:paraId="67B6852D">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2、机房设备维护：对主机设备、网络设备、存储设备、备份设备、安全设备等进行状态监控，定期维护，关注设备质保和运行状态。</w:t>
            </w:r>
          </w:p>
          <w:p w14:paraId="2479D8E3">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3、网络维护：对数据视频光纤网、互联网等线路定期维护。</w:t>
            </w:r>
          </w:p>
          <w:p w14:paraId="476951D0">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三、审委会运维服务</w:t>
            </w:r>
          </w:p>
          <w:p w14:paraId="77CA5B5D">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对中院审委会系统进行定期维护、故障处理等工作，确保系统安全稳定的运行。</w:t>
            </w:r>
          </w:p>
          <w:p w14:paraId="58BBDCB3">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四、法庭庭审系统运维服务</w:t>
            </w:r>
          </w:p>
          <w:p w14:paraId="4937403B">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对庭审</w:t>
            </w:r>
            <w:bookmarkStart w:id="53" w:name="OLE_LINK15"/>
            <w:r>
              <w:rPr>
                <w:rFonts w:hint="eastAsia" w:ascii="宋体" w:hAnsi="宋体" w:eastAsia="宋体" w:cs="宋体"/>
                <w:sz w:val="24"/>
                <w:szCs w:val="24"/>
              </w:rPr>
              <w:t>系统进行定期维护、</w:t>
            </w:r>
            <w:bookmarkEnd w:id="53"/>
            <w:r>
              <w:rPr>
                <w:rFonts w:hint="eastAsia" w:ascii="宋体" w:hAnsi="宋体" w:eastAsia="宋体" w:cs="宋体"/>
                <w:sz w:val="24"/>
                <w:szCs w:val="24"/>
              </w:rPr>
              <w:t>故障处理等工作，确保系统安全稳定的运行。为法庭音视频数字化系统提供专业化服务，负责系统的正常运行。</w:t>
            </w:r>
          </w:p>
          <w:p w14:paraId="42E86B63">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五、视频会议类运维服务</w:t>
            </w:r>
          </w:p>
          <w:p w14:paraId="568D43FB">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会议前</w:t>
            </w:r>
            <w:bookmarkStart w:id="54" w:name="OLE_LINK3"/>
            <w:r>
              <w:rPr>
                <w:rFonts w:hint="eastAsia" w:ascii="宋体" w:hAnsi="宋体" w:eastAsia="宋体" w:cs="宋体"/>
                <w:sz w:val="24"/>
                <w:szCs w:val="24"/>
              </w:rPr>
              <w:t>终端设备的</w:t>
            </w:r>
            <w:bookmarkEnd w:id="54"/>
            <w:r>
              <w:rPr>
                <w:rFonts w:hint="eastAsia" w:ascii="宋体" w:hAnsi="宋体" w:eastAsia="宋体" w:cs="宋体"/>
                <w:sz w:val="24"/>
                <w:szCs w:val="24"/>
              </w:rPr>
              <w:t>运行测试，保证音视频会议的正常进行。会议中问题的处理工作，</w:t>
            </w:r>
            <w:bookmarkStart w:id="55" w:name="OLE_LINK4"/>
            <w:r>
              <w:rPr>
                <w:rFonts w:hint="eastAsia" w:ascii="宋体" w:hAnsi="宋体" w:eastAsia="宋体" w:cs="宋体"/>
                <w:sz w:val="24"/>
                <w:szCs w:val="24"/>
              </w:rPr>
              <w:t>保障视频会议的顺利进行，管</w:t>
            </w:r>
            <w:bookmarkEnd w:id="55"/>
            <w:r>
              <w:rPr>
                <w:rFonts w:hint="eastAsia" w:ascii="宋体" w:hAnsi="宋体" w:eastAsia="宋体" w:cs="宋体"/>
                <w:sz w:val="24"/>
                <w:szCs w:val="24"/>
              </w:rPr>
              <w:t>理设备日常维护工作。</w:t>
            </w:r>
          </w:p>
          <w:p w14:paraId="7021F804">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六、电脑、打印机等外围设备运维服务</w:t>
            </w:r>
          </w:p>
          <w:p w14:paraId="7963E55F">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1、办公用各类计算机、笔记本、打印机、扫描仪等定期维护、故障处理；</w:t>
            </w:r>
          </w:p>
          <w:p w14:paraId="6E0A4D79">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2、LED屏等系统各类设备、</w:t>
            </w:r>
            <w:bookmarkStart w:id="56" w:name="OLE_LINK10"/>
            <w:r>
              <w:rPr>
                <w:rFonts w:hint="eastAsia" w:ascii="宋体" w:hAnsi="宋体" w:eastAsia="宋体" w:cs="宋体"/>
                <w:sz w:val="24"/>
                <w:szCs w:val="24"/>
              </w:rPr>
              <w:t>定期维护、故障处理等</w:t>
            </w:r>
            <w:bookmarkEnd w:id="56"/>
            <w:r>
              <w:rPr>
                <w:rFonts w:hint="eastAsia" w:ascii="宋体" w:hAnsi="宋体" w:eastAsia="宋体" w:cs="宋体"/>
                <w:sz w:val="24"/>
                <w:szCs w:val="24"/>
              </w:rPr>
              <w:t>服务。</w:t>
            </w:r>
            <w:bookmarkStart w:id="57" w:name="OLE_LINK5"/>
          </w:p>
          <w:bookmarkEnd w:id="57"/>
          <w:p w14:paraId="39750757">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七、网络安全运维服务</w:t>
            </w:r>
          </w:p>
          <w:p w14:paraId="3947FDBE">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结合办公专</w:t>
            </w:r>
            <w:bookmarkStart w:id="58" w:name="OLE_LINK12"/>
            <w:r>
              <w:rPr>
                <w:rFonts w:hint="eastAsia" w:ascii="宋体" w:hAnsi="宋体" w:eastAsia="宋体" w:cs="宋体"/>
                <w:sz w:val="24"/>
                <w:szCs w:val="24"/>
              </w:rPr>
              <w:t>网或者互联网安全的要求，提升法院网络安全水</w:t>
            </w:r>
            <w:bookmarkEnd w:id="58"/>
            <w:r>
              <w:rPr>
                <w:rFonts w:hint="eastAsia" w:ascii="宋体" w:hAnsi="宋体" w:eastAsia="宋体" w:cs="宋体"/>
                <w:sz w:val="24"/>
                <w:szCs w:val="24"/>
              </w:rPr>
              <w:t>平：</w:t>
            </w:r>
          </w:p>
          <w:p w14:paraId="0548696D">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1、</w:t>
            </w:r>
            <w:bookmarkStart w:id="59" w:name="OLE_LINK9"/>
            <w:r>
              <w:rPr>
                <w:rFonts w:hint="eastAsia" w:ascii="宋体" w:hAnsi="宋体" w:eastAsia="宋体" w:cs="宋体"/>
                <w:sz w:val="24"/>
                <w:szCs w:val="24"/>
              </w:rPr>
              <w:t>终端资产梳理清晰；</w:t>
            </w:r>
            <w:bookmarkEnd w:id="59"/>
          </w:p>
          <w:p w14:paraId="7A0CCA95">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2、网络安全防护能力部署规划：分域管理，合理安排防护部署；安全设备库定时更新。</w:t>
            </w:r>
          </w:p>
          <w:p w14:paraId="558F438E">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3、加强终端安全防护：</w:t>
            </w:r>
            <w:bookmarkStart w:id="60" w:name="OLE_LINK8"/>
            <w:r>
              <w:rPr>
                <w:rFonts w:hint="eastAsia" w:ascii="宋体" w:hAnsi="宋体" w:eastAsia="宋体" w:cs="宋体"/>
                <w:sz w:val="24"/>
                <w:szCs w:val="24"/>
              </w:rPr>
              <w:t>处理终端安全问题、落实终端安全的防护措施。</w:t>
            </w:r>
          </w:p>
          <w:bookmarkEnd w:id="60"/>
          <w:p w14:paraId="6B6652FB">
            <w:pPr>
              <w:widowControl w:val="0"/>
              <w:spacing w:line="360" w:lineRule="auto"/>
              <w:jc w:val="left"/>
              <w:rPr>
                <w:rFonts w:ascii="宋体" w:hAnsi="宋体" w:eastAsia="宋体" w:cs="宋体"/>
                <w:sz w:val="24"/>
                <w:szCs w:val="24"/>
              </w:rPr>
            </w:pPr>
            <w:r>
              <w:rPr>
                <w:rFonts w:hint="eastAsia" w:ascii="宋体" w:hAnsi="宋体" w:eastAsia="宋体" w:cs="宋体"/>
                <w:sz w:val="24"/>
                <w:szCs w:val="24"/>
              </w:rPr>
              <w:t>八、</w:t>
            </w:r>
            <w:bookmarkStart w:id="61" w:name="OLE_LINK6"/>
            <w:r>
              <w:rPr>
                <w:rFonts w:hint="eastAsia" w:ascii="宋体" w:hAnsi="宋体" w:eastAsia="宋体" w:cs="宋体"/>
                <w:sz w:val="24"/>
                <w:szCs w:val="24"/>
              </w:rPr>
              <w:t>系统对接运维服务</w:t>
            </w:r>
          </w:p>
          <w:bookmarkEnd w:id="61"/>
          <w:p w14:paraId="7C615817">
            <w:pPr>
              <w:widowControl w:val="0"/>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各类</w:t>
            </w:r>
            <w:r>
              <w:rPr>
                <w:rFonts w:hint="eastAsia" w:ascii="宋体" w:hAnsi="宋体" w:eastAsia="宋体" w:cs="宋体"/>
                <w:sz w:val="24"/>
                <w:szCs w:val="24"/>
              </w:rPr>
              <w:t>新系统上线之后对接各设备厂家供应商；充分发挥安全运维管理的作用，使系统上线之后对接流畅。</w:t>
            </w:r>
          </w:p>
        </w:tc>
        <w:tc>
          <w:tcPr>
            <w:tcW w:w="1260" w:type="dxa"/>
            <w:vMerge w:val="restart"/>
            <w:vAlign w:val="center"/>
          </w:tcPr>
          <w:p w14:paraId="78FF3BE3">
            <w:pPr>
              <w:widowControl w:val="0"/>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按照中院时间安排</w:t>
            </w:r>
          </w:p>
        </w:tc>
        <w:tc>
          <w:tcPr>
            <w:tcW w:w="1185" w:type="dxa"/>
            <w:vMerge w:val="restart"/>
            <w:vAlign w:val="center"/>
          </w:tcPr>
          <w:p w14:paraId="1E8F962E">
            <w:pPr>
              <w:widowControl w:val="0"/>
              <w:spacing w:line="360" w:lineRule="auto"/>
              <w:jc w:val="center"/>
              <w:rPr>
                <w:rFonts w:ascii="宋体" w:hAnsi="宋体" w:eastAsia="宋体" w:cs="宋体"/>
                <w:sz w:val="24"/>
                <w:szCs w:val="24"/>
              </w:rPr>
            </w:pPr>
            <w:r>
              <w:rPr>
                <w:rFonts w:hint="eastAsia" w:ascii="宋体" w:hAnsi="宋体" w:eastAsia="宋体" w:cs="宋体"/>
                <w:sz w:val="24"/>
                <w:szCs w:val="24"/>
              </w:rPr>
              <w:t>1年</w:t>
            </w:r>
          </w:p>
        </w:tc>
      </w:tr>
      <w:tr w14:paraId="262D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20" w:type="dxa"/>
            <w:vMerge w:val="continue"/>
            <w:vAlign w:val="center"/>
          </w:tcPr>
          <w:p w14:paraId="715F6758">
            <w:pPr>
              <w:widowControl w:val="0"/>
              <w:spacing w:line="360" w:lineRule="auto"/>
              <w:jc w:val="both"/>
            </w:pPr>
          </w:p>
        </w:tc>
        <w:tc>
          <w:tcPr>
            <w:tcW w:w="1247" w:type="dxa"/>
            <w:vAlign w:val="center"/>
          </w:tcPr>
          <w:p w14:paraId="6DC55623">
            <w:pPr>
              <w:widowControl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w:t>
            </w:r>
          </w:p>
          <w:p w14:paraId="1FBA09D4">
            <w:pPr>
              <w:widowControl w:val="0"/>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rPr>
              <w:t>成员</w:t>
            </w:r>
            <w:r>
              <w:rPr>
                <w:rFonts w:hint="eastAsia" w:ascii="宋体" w:hAnsi="宋体" w:eastAsia="宋体" w:cs="宋体"/>
                <w:sz w:val="24"/>
                <w:szCs w:val="24"/>
                <w:lang w:val="en-US" w:eastAsia="zh-CN"/>
              </w:rPr>
              <w:t>8人</w:t>
            </w:r>
          </w:p>
        </w:tc>
        <w:tc>
          <w:tcPr>
            <w:tcW w:w="1189" w:type="dxa"/>
            <w:vMerge w:val="continue"/>
            <w:vAlign w:val="center"/>
          </w:tcPr>
          <w:p w14:paraId="222745AA">
            <w:pPr>
              <w:widowControl w:val="0"/>
              <w:spacing w:line="360" w:lineRule="auto"/>
              <w:jc w:val="both"/>
              <w:rPr>
                <w:rFonts w:ascii="宋体" w:hAnsi="宋体" w:eastAsia="宋体" w:cs="宋体"/>
                <w:sz w:val="24"/>
                <w:szCs w:val="24"/>
              </w:rPr>
            </w:pPr>
          </w:p>
        </w:tc>
        <w:tc>
          <w:tcPr>
            <w:tcW w:w="3677" w:type="dxa"/>
            <w:vMerge w:val="continue"/>
            <w:vAlign w:val="center"/>
          </w:tcPr>
          <w:p w14:paraId="07987D64">
            <w:pPr>
              <w:widowControl w:val="0"/>
              <w:spacing w:line="360" w:lineRule="auto"/>
              <w:jc w:val="both"/>
              <w:rPr>
                <w:rFonts w:ascii="宋体" w:hAnsi="宋体" w:eastAsia="宋体" w:cs="宋体"/>
                <w:sz w:val="24"/>
                <w:szCs w:val="24"/>
              </w:rPr>
            </w:pPr>
          </w:p>
        </w:tc>
        <w:tc>
          <w:tcPr>
            <w:tcW w:w="1260" w:type="dxa"/>
            <w:vMerge w:val="continue"/>
            <w:vAlign w:val="center"/>
          </w:tcPr>
          <w:p w14:paraId="55CB64E5">
            <w:pPr>
              <w:widowControl w:val="0"/>
              <w:spacing w:line="360" w:lineRule="auto"/>
              <w:jc w:val="both"/>
              <w:rPr>
                <w:rFonts w:ascii="宋体" w:hAnsi="宋体" w:eastAsia="宋体" w:cs="宋体"/>
                <w:sz w:val="24"/>
                <w:szCs w:val="24"/>
              </w:rPr>
            </w:pPr>
          </w:p>
        </w:tc>
        <w:tc>
          <w:tcPr>
            <w:tcW w:w="1185" w:type="dxa"/>
            <w:vMerge w:val="continue"/>
            <w:vAlign w:val="center"/>
          </w:tcPr>
          <w:p w14:paraId="63F7042F">
            <w:pPr>
              <w:widowControl w:val="0"/>
              <w:spacing w:line="360" w:lineRule="auto"/>
              <w:jc w:val="both"/>
              <w:rPr>
                <w:rFonts w:ascii="宋体" w:hAnsi="宋体" w:eastAsia="宋体" w:cs="宋体"/>
                <w:sz w:val="24"/>
                <w:szCs w:val="24"/>
              </w:rPr>
            </w:pPr>
          </w:p>
        </w:tc>
      </w:tr>
    </w:tbl>
    <w:p w14:paraId="4A410567">
      <w:pPr>
        <w:pStyle w:val="2"/>
        <w:bidi w:val="0"/>
        <w:jc w:val="center"/>
        <w:rPr>
          <w:rFonts w:ascii="黑体" w:cs="宋体"/>
          <w:b/>
          <w:kern w:val="2"/>
          <w:szCs w:val="28"/>
          <w:highlight w:val="none"/>
        </w:rPr>
      </w:pPr>
      <w:r>
        <w:rPr>
          <w:rFonts w:hint="eastAsia" w:ascii="黑体" w:cs="宋体"/>
          <w:b/>
          <w:kern w:val="2"/>
          <w:szCs w:val="28"/>
          <w:highlight w:val="none"/>
        </w:rPr>
        <w:br w:type="page"/>
      </w:r>
      <w:bookmarkStart w:id="62" w:name="_Toc7152"/>
      <w:bookmarkStart w:id="63" w:name="_Toc5145"/>
      <w:bookmarkStart w:id="64" w:name="_Toc29691"/>
      <w:r>
        <w:rPr>
          <w:rFonts w:hint="eastAsia"/>
          <w:sz w:val="36"/>
          <w:szCs w:val="16"/>
        </w:rPr>
        <w:t>第四章  合同条款及合同文件格式</w:t>
      </w:r>
      <w:bookmarkEnd w:id="51"/>
      <w:bookmarkEnd w:id="52"/>
      <w:bookmarkEnd w:id="62"/>
      <w:bookmarkEnd w:id="63"/>
      <w:bookmarkEnd w:id="64"/>
    </w:p>
    <w:p w14:paraId="3B792FD6">
      <w:pPr>
        <w:spacing w:line="360" w:lineRule="auto"/>
        <w:ind w:firstLine="480" w:firstLineChars="200"/>
        <w:rPr>
          <w:rFonts w:hint="eastAsia" w:ascii="宋体" w:hAnsi="宋体" w:eastAsia="宋体" w:cs="宋体"/>
          <w:sz w:val="24"/>
          <w:szCs w:val="24"/>
          <w:highlight w:val="none"/>
          <w:lang w:eastAsia="zh-CN"/>
        </w:rPr>
      </w:pPr>
      <w:bookmarkStart w:id="65" w:name="_Toc461977428"/>
      <w:bookmarkEnd w:id="65"/>
      <w:bookmarkStart w:id="66" w:name="_Toc21009"/>
      <w:r>
        <w:rPr>
          <w:rFonts w:hint="eastAsia" w:ascii="宋体" w:hAnsi="宋体" w:cs="宋体"/>
          <w:sz w:val="24"/>
          <w:szCs w:val="24"/>
          <w:highlight w:val="none"/>
        </w:rPr>
        <w:t xml:space="preserve"> 按《三门峡市财政局关于市本级政府采购合同备案管理工作的通知》（三财购[2021]9号）文要求，集中采购目录以外政府采购项目，原则上自</w:t>
      </w:r>
      <w:r>
        <w:rPr>
          <w:rFonts w:hint="eastAsia" w:ascii="宋体" w:hAnsi="宋体" w:cs="宋体"/>
          <w:sz w:val="24"/>
          <w:szCs w:val="24"/>
          <w:highlight w:val="none"/>
          <w:lang w:val="en-US" w:eastAsia="zh-CN"/>
        </w:rPr>
        <w:t>成交</w:t>
      </w:r>
      <w:r>
        <w:rPr>
          <w:rFonts w:hint="eastAsia" w:ascii="宋体" w:hAnsi="宋体" w:cs="宋体"/>
          <w:sz w:val="24"/>
          <w:szCs w:val="24"/>
          <w:highlight w:val="none"/>
        </w:rPr>
        <w:t>通知书发出之日起2个工作日内与中标（成交）供应商按照采购文件确定的事项与供应商签订政府采购合同</w:t>
      </w:r>
      <w:r>
        <w:rPr>
          <w:rFonts w:hint="eastAsia" w:ascii="宋体" w:hAnsi="宋体" w:cs="宋体"/>
          <w:sz w:val="24"/>
          <w:szCs w:val="24"/>
          <w:highlight w:val="none"/>
          <w:lang w:eastAsia="zh-CN"/>
        </w:rPr>
        <w:t>。</w:t>
      </w:r>
    </w:p>
    <w:p w14:paraId="54651A19">
      <w:pPr>
        <w:rPr>
          <w:rFonts w:hAnsi="宋体" w:cs="宋体"/>
          <w:b/>
          <w:bCs/>
          <w:sz w:val="24"/>
          <w:highlight w:val="none"/>
        </w:rPr>
      </w:pPr>
      <w:bookmarkStart w:id="67" w:name="_Toc247085855"/>
      <w:bookmarkEnd w:id="67"/>
      <w:bookmarkStart w:id="68" w:name="_Toc152042554"/>
      <w:bookmarkEnd w:id="68"/>
      <w:bookmarkStart w:id="69" w:name="_Toc152045772"/>
      <w:bookmarkEnd w:id="69"/>
      <w:bookmarkStart w:id="70" w:name="_Toc296602600"/>
      <w:bookmarkEnd w:id="70"/>
      <w:bookmarkStart w:id="71" w:name="_Toc152045786"/>
      <w:bookmarkEnd w:id="71"/>
      <w:bookmarkStart w:id="72" w:name="_Toc246996354"/>
      <w:bookmarkEnd w:id="72"/>
      <w:bookmarkStart w:id="73" w:name="_Toc246997097"/>
      <w:bookmarkEnd w:id="73"/>
      <w:bookmarkStart w:id="74" w:name="_Toc246996340"/>
      <w:bookmarkEnd w:id="74"/>
      <w:bookmarkStart w:id="75" w:name="_Toc246997083"/>
      <w:bookmarkEnd w:id="75"/>
      <w:bookmarkStart w:id="76" w:name="_Toc179632806"/>
      <w:bookmarkEnd w:id="76"/>
      <w:bookmarkStart w:id="77" w:name="_Toc144974834"/>
      <w:bookmarkEnd w:id="77"/>
      <w:bookmarkStart w:id="78" w:name="_Toc247085872"/>
      <w:bookmarkEnd w:id="78"/>
      <w:bookmarkStart w:id="79" w:name="_Toc152042575"/>
      <w:bookmarkEnd w:id="79"/>
      <w:bookmarkStart w:id="80" w:name="_Toc144974855"/>
      <w:bookmarkEnd w:id="80"/>
      <w:bookmarkStart w:id="81" w:name="_Toc296602587"/>
      <w:bookmarkEnd w:id="81"/>
      <w:r>
        <w:rPr>
          <w:rFonts w:hAnsi="宋体" w:cs="宋体"/>
          <w:b/>
          <w:bCs/>
          <w:sz w:val="24"/>
          <w:highlight w:val="none"/>
        </w:rPr>
        <w:br w:type="page"/>
      </w:r>
    </w:p>
    <w:p w14:paraId="332D0267">
      <w:pPr>
        <w:pStyle w:val="9"/>
        <w:spacing w:line="500" w:lineRule="exact"/>
        <w:ind w:firstLine="482" w:firstLineChars="200"/>
        <w:jc w:val="center"/>
        <w:rPr>
          <w:rFonts w:hAnsi="宋体" w:cs="宋体"/>
          <w:b/>
          <w:bCs/>
          <w:sz w:val="24"/>
          <w:highlight w:val="none"/>
        </w:rPr>
      </w:pPr>
      <w:r>
        <w:rPr>
          <w:rFonts w:hAnsi="宋体" w:cs="宋体"/>
          <w:b/>
          <w:bCs/>
          <w:sz w:val="24"/>
          <w:highlight w:val="none"/>
        </w:rPr>
        <w:t>（注：本合同样式仅供参考，具体合同以采购人与成交人签定的合同为准）</w:t>
      </w:r>
    </w:p>
    <w:p w14:paraId="17AA9C37">
      <w:pPr>
        <w:pStyle w:val="9"/>
        <w:spacing w:line="500" w:lineRule="exact"/>
        <w:ind w:firstLine="482" w:firstLineChars="200"/>
        <w:jc w:val="center"/>
        <w:rPr>
          <w:rFonts w:hAnsi="宋体" w:cs="宋体"/>
          <w:b/>
          <w:bCs/>
          <w:sz w:val="24"/>
          <w:highlight w:val="none"/>
        </w:rPr>
      </w:pPr>
    </w:p>
    <w:p w14:paraId="70D957C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项目名称：</w:t>
      </w:r>
    </w:p>
    <w:p w14:paraId="52AAADC2">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项目编号：</w:t>
      </w:r>
    </w:p>
    <w:p w14:paraId="4B19BB2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甲方：（采购人）</w:t>
      </w:r>
    </w:p>
    <w:p w14:paraId="56C6D9D0">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乙方：（成交</w:t>
      </w:r>
      <w:r>
        <w:rPr>
          <w:rFonts w:hint="eastAsia" w:ascii="宋体" w:hAnsi="宋体" w:cs="宋体"/>
          <w:sz w:val="24"/>
          <w:szCs w:val="24"/>
          <w:highlight w:val="none"/>
          <w:lang w:eastAsia="zh-CN"/>
        </w:rPr>
        <w:t>供应商</w:t>
      </w:r>
      <w:r>
        <w:rPr>
          <w:rFonts w:hint="eastAsia" w:ascii="宋体" w:hAnsi="宋体" w:cs="宋体"/>
          <w:sz w:val="24"/>
          <w:szCs w:val="24"/>
          <w:highlight w:val="none"/>
        </w:rPr>
        <w:t>）</w:t>
      </w:r>
    </w:p>
    <w:p w14:paraId="61B960E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甲、乙双方根据《中华人民共和国政府采购法》、《中华人民共和国民法典》等法律法规的规定，按照 </w:t>
      </w:r>
      <w:r>
        <w:rPr>
          <w:rFonts w:hint="eastAsia" w:ascii="宋体" w:hAnsi="宋体" w:cs="宋体"/>
          <w:sz w:val="24"/>
          <w:szCs w:val="24"/>
          <w:highlight w:val="none"/>
        </w:rPr>
        <w:tab/>
      </w:r>
      <w:r>
        <w:rPr>
          <w:rFonts w:hint="eastAsia" w:ascii="宋体" w:hAnsi="宋体" w:cs="宋体"/>
          <w:sz w:val="24"/>
          <w:szCs w:val="24"/>
          <w:highlight w:val="none"/>
        </w:rPr>
        <w:t>（项目名称）的磋商结果签订本合同。</w:t>
      </w:r>
    </w:p>
    <w:p w14:paraId="034A87D2">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1.服务内容：</w:t>
      </w:r>
    </w:p>
    <w:p w14:paraId="2AE96F7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2.合同金额</w:t>
      </w:r>
    </w:p>
    <w:p w14:paraId="5BDEBB4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本合同金额为人民币（大写）： </w:t>
      </w:r>
      <w:r>
        <w:rPr>
          <w:rFonts w:hint="eastAsia" w:ascii="宋体" w:hAnsi="宋体" w:cs="宋体"/>
          <w:sz w:val="24"/>
          <w:szCs w:val="24"/>
          <w:highlight w:val="none"/>
        </w:rPr>
        <w:tab/>
      </w:r>
      <w:r>
        <w:rPr>
          <w:rFonts w:hint="eastAsia" w:ascii="宋体" w:hAnsi="宋体" w:cs="宋体"/>
          <w:sz w:val="24"/>
          <w:szCs w:val="24"/>
          <w:highlight w:val="none"/>
        </w:rPr>
        <w:t xml:space="preserve">元（￥ </w:t>
      </w:r>
      <w:r>
        <w:rPr>
          <w:rFonts w:hint="eastAsia" w:ascii="宋体" w:hAnsi="宋体" w:cs="宋体"/>
          <w:sz w:val="24"/>
          <w:szCs w:val="24"/>
          <w:highlight w:val="none"/>
        </w:rPr>
        <w:tab/>
      </w:r>
      <w:r>
        <w:rPr>
          <w:rFonts w:hint="eastAsia" w:ascii="宋体" w:hAnsi="宋体" w:cs="宋体"/>
          <w:sz w:val="24"/>
          <w:szCs w:val="24"/>
          <w:highlight w:val="none"/>
        </w:rPr>
        <w:t>元）。</w:t>
      </w:r>
    </w:p>
    <w:p w14:paraId="4294CC62">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3.服务期限和服务地点</w:t>
      </w:r>
    </w:p>
    <w:p w14:paraId="09DFFAB9">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服务期限：</w:t>
      </w:r>
    </w:p>
    <w:p w14:paraId="073897B1">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服务地点：</w:t>
      </w:r>
    </w:p>
    <w:p w14:paraId="32FBFE69">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4.付款方式</w:t>
      </w:r>
    </w:p>
    <w:p w14:paraId="4F41B01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付款方式：</w:t>
      </w:r>
    </w:p>
    <w:p w14:paraId="0A764E8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5.税费</w:t>
      </w:r>
    </w:p>
    <w:p w14:paraId="6FAE8B0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本合同执行中相关的一切税费均由乙方负担。</w:t>
      </w:r>
    </w:p>
    <w:p w14:paraId="20F1554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6.技术资料</w:t>
      </w:r>
    </w:p>
    <w:p w14:paraId="1B04FDD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没有甲方事先书面同意，乙方不得将由甲方提供的有关合同或任何合同条文、等资料提供给与履行本合同无关的任何其他人。须提供承诺书，承诺书作为响应文件的一部分。</w:t>
      </w:r>
    </w:p>
    <w:p w14:paraId="12DDD50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7.知识产权</w:t>
      </w:r>
    </w:p>
    <w:p w14:paraId="39D538C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乙方保证所提供的货物或其任何一部分均不会侵犯任何第三方的知识产权。</w:t>
      </w:r>
    </w:p>
    <w:p w14:paraId="407B277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8.无产权瑕疵条款</w:t>
      </w:r>
    </w:p>
    <w:p w14:paraId="7CAC175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乙方保证所提供的服务的所有权完全属于乙方且无任何抵押、查封等产权瑕疵。如有产权瑕疵的，视为乙方违约。乙方应负担由此而产生的一切损失。</w:t>
      </w:r>
    </w:p>
    <w:p w14:paraId="5F2D075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9.履约保证金的收取及退还</w:t>
      </w:r>
    </w:p>
    <w:p w14:paraId="5BE9B12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无</w:t>
      </w:r>
    </w:p>
    <w:p w14:paraId="177559B4">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10.转包或分包</w:t>
      </w:r>
    </w:p>
    <w:p w14:paraId="290915D0">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本合同范围的服务乙方不得以任何方式和形式进行转包和分包。</w:t>
      </w:r>
    </w:p>
    <w:p w14:paraId="4A28807C">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乙方如有转包和分包的行为，甲方有权给予终止合同。</w:t>
      </w:r>
    </w:p>
    <w:p w14:paraId="56BDF14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11.质量保证</w:t>
      </w:r>
    </w:p>
    <w:p w14:paraId="5CAF230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乙方应提供优质服务，保证服务质量，且不能低于合同规定要求。须提供承诺书，承诺书作为响应文件的一部分。</w:t>
      </w:r>
    </w:p>
    <w:p w14:paraId="61CAF1F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12.验收</w:t>
      </w:r>
    </w:p>
    <w:p w14:paraId="530A92A9">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验收严格按照招标文件和响应文件规定的标准进行验收。</w:t>
      </w:r>
    </w:p>
    <w:p w14:paraId="62D88BB4">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13.甲方的权利和义务</w:t>
      </w:r>
    </w:p>
    <w:p w14:paraId="6A75F07F">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甲方有权对合同规定范围内乙方的服务行为进行监督和检查，拥有监管权。有权定期核对乙方提供服务所配备的人员数量等。对乙方未按照合同履行的部分有权下达整改通知书，并要求乙方限期整改。</w:t>
      </w:r>
    </w:p>
    <w:p w14:paraId="564D0EE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甲方有权依据双方签订的考评办法对乙方提供的服务进行定期考评。当考评结果未达到标准时，有权依据考评办法约定的数额扣除履约保证金。</w:t>
      </w:r>
    </w:p>
    <w:p w14:paraId="0819E5F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负责检查监督乙方管理工作的实施及制度的执行情况。</w:t>
      </w:r>
    </w:p>
    <w:p w14:paraId="12F40D7A">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国家法律、法规所规定由甲方承担的其它责任。</w:t>
      </w:r>
    </w:p>
    <w:p w14:paraId="66499831">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14.乙方的权利和义务</w:t>
      </w:r>
    </w:p>
    <w:p w14:paraId="0CA702D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对本合同规定的委托服务范围内的项目享有管理权及服务义务。</w:t>
      </w:r>
    </w:p>
    <w:p w14:paraId="4F53E30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对甲方下达整改通知书及时配合处理。</w:t>
      </w:r>
    </w:p>
    <w:p w14:paraId="7F4EBCCD">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接受项目行业管理部门及政府有关部门的指导，接受甲方的监督。</w:t>
      </w:r>
    </w:p>
    <w:p w14:paraId="71B6BFF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国家法律、法规所规定由乙方承担的其它责任。</w:t>
      </w:r>
    </w:p>
    <w:p w14:paraId="5C9D7FC2">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val="en-US" w:eastAsia="zh-CN"/>
        </w:rPr>
        <w:t>15.</w:t>
      </w:r>
      <w:r>
        <w:rPr>
          <w:rFonts w:hint="eastAsia" w:ascii="宋体" w:hAnsi="宋体" w:cs="宋体"/>
          <w:sz w:val="24"/>
          <w:szCs w:val="24"/>
          <w:highlight w:val="none"/>
          <w:lang w:eastAsia="en-US"/>
        </w:rPr>
        <w:t>违约责任</w:t>
      </w:r>
    </w:p>
    <w:p w14:paraId="54B8D4D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甲乙双方必须遵守本合同并执行合同中的各项规定，保证本合同的正常履行。</w:t>
      </w:r>
    </w:p>
    <w:p w14:paraId="3A3ADB7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182BA92F">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16.不可抗力事件处理</w:t>
      </w:r>
    </w:p>
    <w:p w14:paraId="6C6E2635">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因不可抗力造成违约的，遭受不可抗力一方应及时向对方通报不能履行或不能完全履行的理由，并在随后取得有关权威机构出具的证明后的 15 日内向另一方提供不可抗力发生以及持续期间的充分证据。基本于以上行为，允许遭受不可抗力一方延期履行、部分履行或者不履行合同，并根据情况可部分或全部免于承担违约责任。</w:t>
      </w:r>
    </w:p>
    <w:p w14:paraId="4EF0023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本合同中的不可抗力指不能预见、不能避免并不能克服的客观情况。包括但不限于：自然灾害如地震、台风、洪水、火灾；政府行为、法律规定或其适用的变化或者其他任何无法预见、避免或者控制的事件。</w:t>
      </w:r>
    </w:p>
    <w:p w14:paraId="2C4A637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17.合同纠纷处理</w:t>
      </w:r>
    </w:p>
    <w:p w14:paraId="089C8A4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因本合同或与本合同有关的一切事项发生争议，由双方友好协商解决。协商不成的，任何一方均可选择以下方式解决：</w:t>
      </w:r>
    </w:p>
    <w:p w14:paraId="71086DEC">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向甲方所在地仲裁委员会申请仲裁。</w:t>
      </w:r>
    </w:p>
    <w:p w14:paraId="3AFE4D3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向合同签订地人民法院提起诉讼。</w:t>
      </w:r>
    </w:p>
    <w:p w14:paraId="3CF5B733">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18.违约解除合同</w:t>
      </w:r>
    </w:p>
    <w:p w14:paraId="1272B565">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 违反本合同第 10 条的规定的。</w:t>
      </w:r>
    </w:p>
    <w:p w14:paraId="6B1B550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乙方未能履行合同规定的其它主要义务的。</w:t>
      </w:r>
    </w:p>
    <w:p w14:paraId="477CD246">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在本合同履行过程中有腐败和欺诈行为的。</w:t>
      </w:r>
    </w:p>
    <w:p w14:paraId="4D1C8205">
      <w:pPr>
        <w:spacing w:line="360" w:lineRule="auto"/>
        <w:ind w:firstLine="480" w:firstLineChars="200"/>
        <w:rPr>
          <w:rFonts w:hint="eastAsia" w:ascii="宋体" w:hAnsi="宋体" w:cs="宋体"/>
          <w:sz w:val="24"/>
          <w:szCs w:val="24"/>
          <w:highlight w:val="none"/>
          <w:lang w:eastAsia="en-US"/>
        </w:rPr>
      </w:pPr>
      <w:r>
        <w:rPr>
          <w:rFonts w:hint="eastAsia" w:ascii="宋体" w:hAnsi="宋体" w:cs="宋体"/>
          <w:sz w:val="24"/>
          <w:szCs w:val="24"/>
          <w:highlight w:val="none"/>
          <w:lang w:eastAsia="en-US"/>
        </w:rPr>
        <w:t>19.其他约定</w:t>
      </w:r>
    </w:p>
    <w:p w14:paraId="3C0F393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本采购项目的招标文件、</w:t>
      </w:r>
      <w:r>
        <w:rPr>
          <w:rFonts w:hint="eastAsia" w:ascii="宋体" w:hAnsi="宋体" w:cs="宋体"/>
          <w:sz w:val="24"/>
          <w:szCs w:val="24"/>
          <w:highlight w:val="none"/>
          <w:lang w:val="en-US" w:eastAsia="zh-CN"/>
        </w:rPr>
        <w:t>成交</w:t>
      </w:r>
      <w:r>
        <w:rPr>
          <w:rFonts w:hint="eastAsia" w:ascii="宋体" w:hAnsi="宋体" w:cs="宋体"/>
          <w:sz w:val="24"/>
          <w:szCs w:val="24"/>
          <w:highlight w:val="none"/>
          <w:lang w:eastAsia="zh-CN"/>
        </w:rPr>
        <w:t>供应商</w:t>
      </w:r>
      <w:r>
        <w:rPr>
          <w:rFonts w:hint="eastAsia" w:ascii="宋体" w:hAnsi="宋体" w:cs="宋体"/>
          <w:sz w:val="24"/>
          <w:szCs w:val="24"/>
          <w:highlight w:val="none"/>
        </w:rPr>
        <w:t>的响应文件以及相关的澄清确认函（如果有的话）均为本合同不可分割的一部分，与本合同具有同等法律效力。</w:t>
      </w:r>
    </w:p>
    <w:p w14:paraId="2B65C2F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本合同未尽事宜，双方另行补充。</w:t>
      </w:r>
    </w:p>
    <w:p w14:paraId="55C62D4D">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本合同正本一式 份，具有同等法律效力，甲、乙双方各执一份。自采购合同签订之日起 1 个工作日内，甲方按照有关规定将合同副本报同级财政部门备案。</w:t>
      </w:r>
    </w:p>
    <w:p w14:paraId="2DA09456">
      <w:pPr>
        <w:spacing w:line="360" w:lineRule="auto"/>
        <w:ind w:firstLine="480" w:firstLineChars="200"/>
        <w:rPr>
          <w:rFonts w:hint="eastAsia" w:ascii="宋体" w:hAnsi="宋体" w:cs="宋体"/>
          <w:sz w:val="24"/>
          <w:szCs w:val="24"/>
          <w:highlight w:val="none"/>
        </w:rPr>
      </w:pPr>
    </w:p>
    <w:p w14:paraId="4AEEF864">
      <w:pPr>
        <w:spacing w:line="360" w:lineRule="auto"/>
        <w:ind w:firstLine="480" w:firstLineChars="200"/>
        <w:rPr>
          <w:rFonts w:hint="eastAsia" w:ascii="宋体" w:hAnsi="宋体" w:cs="宋体"/>
          <w:sz w:val="24"/>
          <w:szCs w:val="24"/>
          <w:highlight w:val="none"/>
        </w:rPr>
      </w:pPr>
    </w:p>
    <w:p w14:paraId="4CBBF031">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甲方（盖章）：                            乙方（盖章）： </w:t>
      </w:r>
    </w:p>
    <w:p w14:paraId="60FA55CD">
      <w:pPr>
        <w:spacing w:line="360" w:lineRule="auto"/>
        <w:ind w:firstLine="480" w:firstLineChars="200"/>
        <w:rPr>
          <w:rFonts w:hint="eastAsia" w:ascii="宋体" w:hAnsi="宋体" w:cs="宋体"/>
          <w:sz w:val="24"/>
          <w:szCs w:val="24"/>
          <w:highlight w:val="none"/>
        </w:rPr>
      </w:pPr>
    </w:p>
    <w:p w14:paraId="7EBA76AE">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法人或代理人（签字）：                   法人或代理人（签字）：</w:t>
      </w:r>
    </w:p>
    <w:p w14:paraId="5267EFEA">
      <w:pPr>
        <w:spacing w:line="360" w:lineRule="auto"/>
        <w:ind w:firstLine="480" w:firstLineChars="200"/>
        <w:rPr>
          <w:rFonts w:hint="eastAsia" w:ascii="宋体" w:hAnsi="宋体" w:cs="宋体"/>
          <w:sz w:val="24"/>
          <w:szCs w:val="24"/>
          <w:highlight w:val="none"/>
        </w:rPr>
      </w:pPr>
    </w:p>
    <w:p w14:paraId="786BC3D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地址：                                  地址： </w:t>
      </w:r>
    </w:p>
    <w:p w14:paraId="5944F52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电话：                                  电话</w:t>
      </w:r>
      <w:r>
        <w:rPr>
          <w:rFonts w:hint="eastAsia" w:ascii="宋体" w:hAnsi="宋体" w:cs="宋体"/>
          <w:sz w:val="24"/>
          <w:szCs w:val="24"/>
          <w:highlight w:val="none"/>
          <w:lang w:eastAsia="zh-CN"/>
        </w:rPr>
        <w:t>：</w:t>
      </w:r>
    </w:p>
    <w:p w14:paraId="457DE8A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日期：                                  日期</w:t>
      </w:r>
      <w:r>
        <w:rPr>
          <w:rFonts w:hint="eastAsia" w:ascii="宋体" w:hAnsi="宋体" w:cs="宋体"/>
          <w:sz w:val="24"/>
          <w:szCs w:val="24"/>
          <w:highlight w:val="none"/>
          <w:lang w:eastAsia="zh-CN"/>
        </w:rPr>
        <w:t>：</w:t>
      </w:r>
    </w:p>
    <w:p w14:paraId="0A5348CE">
      <w:pPr>
        <w:rPr>
          <w:rFonts w:ascii="黑体" w:cs="宋体"/>
          <w:b/>
          <w:kern w:val="2"/>
          <w:sz w:val="24"/>
          <w:szCs w:val="24"/>
          <w:highlight w:val="none"/>
        </w:rPr>
      </w:pPr>
      <w:r>
        <w:rPr>
          <w:rFonts w:hint="eastAsia" w:ascii="黑体" w:cs="宋体"/>
          <w:b/>
          <w:kern w:val="2"/>
          <w:sz w:val="24"/>
          <w:szCs w:val="24"/>
          <w:highlight w:val="none"/>
        </w:rPr>
        <w:br w:type="page"/>
      </w:r>
    </w:p>
    <w:p w14:paraId="381CBD29">
      <w:pPr>
        <w:pStyle w:val="2"/>
        <w:bidi w:val="0"/>
        <w:jc w:val="center"/>
        <w:rPr>
          <w:sz w:val="36"/>
          <w:szCs w:val="16"/>
        </w:rPr>
      </w:pPr>
      <w:bookmarkStart w:id="82" w:name="_Toc8868"/>
      <w:bookmarkStart w:id="83" w:name="_Toc26246"/>
      <w:bookmarkStart w:id="84" w:name="_Toc1172"/>
      <w:bookmarkStart w:id="85" w:name="_Toc15943"/>
      <w:r>
        <w:rPr>
          <w:rFonts w:hint="eastAsia"/>
          <w:sz w:val="36"/>
          <w:szCs w:val="16"/>
        </w:rPr>
        <w:t>第五章</w:t>
      </w:r>
      <w:r>
        <w:rPr>
          <w:rFonts w:hint="eastAsia"/>
          <w:sz w:val="36"/>
          <w:szCs w:val="16"/>
          <w:lang w:val="en-US" w:eastAsia="zh-CN"/>
        </w:rPr>
        <w:t xml:space="preserve">  </w:t>
      </w:r>
      <w:r>
        <w:rPr>
          <w:rFonts w:hint="eastAsia"/>
          <w:sz w:val="36"/>
          <w:szCs w:val="16"/>
        </w:rPr>
        <w:t>评审标准</w:t>
      </w:r>
      <w:bookmarkEnd w:id="66"/>
      <w:bookmarkEnd w:id="82"/>
      <w:bookmarkEnd w:id="83"/>
      <w:bookmarkEnd w:id="84"/>
      <w:bookmarkEnd w:id="85"/>
    </w:p>
    <w:p w14:paraId="41919BD2">
      <w:pPr>
        <w:widowControl w:val="0"/>
        <w:spacing w:line="360" w:lineRule="auto"/>
        <w:jc w:val="center"/>
        <w:rPr>
          <w:rFonts w:hint="eastAsia" w:ascii="宋体" w:hAnsi="宋体" w:cs="宋体"/>
          <w:b/>
          <w:sz w:val="24"/>
          <w:szCs w:val="24"/>
          <w:highlight w:val="none"/>
        </w:rPr>
      </w:pPr>
      <w:bookmarkStart w:id="86" w:name="_Toc17665"/>
      <w:r>
        <w:rPr>
          <w:rFonts w:hint="eastAsia" w:ascii="宋体" w:hAnsi="宋体" w:cs="宋体"/>
          <w:b/>
          <w:kern w:val="2"/>
          <w:sz w:val="24"/>
          <w:szCs w:val="24"/>
          <w:highlight w:val="none"/>
        </w:rPr>
        <w:t>评标办法前附表</w:t>
      </w:r>
      <w:bookmarkEnd w:id="86"/>
    </w:p>
    <w:tbl>
      <w:tblPr>
        <w:tblStyle w:val="18"/>
        <w:tblW w:w="9980" w:type="dxa"/>
        <w:tblInd w:w="108" w:type="dxa"/>
        <w:tblLayout w:type="fixed"/>
        <w:tblCellMar>
          <w:top w:w="0" w:type="dxa"/>
          <w:left w:w="108" w:type="dxa"/>
          <w:bottom w:w="0" w:type="dxa"/>
          <w:right w:w="108" w:type="dxa"/>
        </w:tblCellMar>
      </w:tblPr>
      <w:tblGrid>
        <w:gridCol w:w="832"/>
        <w:gridCol w:w="1171"/>
        <w:gridCol w:w="2370"/>
        <w:gridCol w:w="5607"/>
      </w:tblGrid>
      <w:tr w14:paraId="1A551F84">
        <w:tblPrEx>
          <w:tblCellMar>
            <w:top w:w="0" w:type="dxa"/>
            <w:left w:w="108" w:type="dxa"/>
            <w:bottom w:w="0" w:type="dxa"/>
            <w:right w:w="108" w:type="dxa"/>
          </w:tblCellMar>
        </w:tblPrEx>
        <w:trPr>
          <w:trHeight w:val="606" w:hRule="atLeast"/>
        </w:trPr>
        <w:tc>
          <w:tcPr>
            <w:tcW w:w="2003" w:type="dxa"/>
            <w:gridSpan w:val="2"/>
            <w:tcBorders>
              <w:top w:val="single" w:color="auto" w:sz="4" w:space="0"/>
              <w:left w:val="single" w:color="auto" w:sz="4" w:space="0"/>
              <w:bottom w:val="single" w:color="auto" w:sz="4" w:space="0"/>
              <w:right w:val="single" w:color="auto" w:sz="4" w:space="0"/>
            </w:tcBorders>
            <w:vAlign w:val="center"/>
          </w:tcPr>
          <w:p w14:paraId="0A139D89">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2.1初步评审</w:t>
            </w:r>
          </w:p>
        </w:tc>
        <w:tc>
          <w:tcPr>
            <w:tcW w:w="2370" w:type="dxa"/>
            <w:tcBorders>
              <w:top w:val="single" w:color="auto" w:sz="4" w:space="0"/>
              <w:left w:val="nil"/>
              <w:bottom w:val="single" w:color="auto" w:sz="4" w:space="0"/>
              <w:right w:val="single" w:color="auto" w:sz="4" w:space="0"/>
            </w:tcBorders>
            <w:vAlign w:val="center"/>
          </w:tcPr>
          <w:p w14:paraId="2D8F46DF">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评审因素</w:t>
            </w:r>
          </w:p>
        </w:tc>
        <w:tc>
          <w:tcPr>
            <w:tcW w:w="5607" w:type="dxa"/>
            <w:tcBorders>
              <w:top w:val="single" w:color="auto" w:sz="4" w:space="0"/>
              <w:left w:val="nil"/>
              <w:bottom w:val="single" w:color="auto" w:sz="4" w:space="0"/>
              <w:right w:val="single" w:color="auto" w:sz="4" w:space="0"/>
            </w:tcBorders>
            <w:vAlign w:val="center"/>
          </w:tcPr>
          <w:p w14:paraId="6C9E9208">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评审标准</w:t>
            </w:r>
          </w:p>
        </w:tc>
      </w:tr>
      <w:tr w14:paraId="4667BBC1">
        <w:tblPrEx>
          <w:tblCellMar>
            <w:top w:w="0" w:type="dxa"/>
            <w:left w:w="108" w:type="dxa"/>
            <w:bottom w:w="0" w:type="dxa"/>
            <w:right w:w="108" w:type="dxa"/>
          </w:tblCellMar>
        </w:tblPrEx>
        <w:trPr>
          <w:trHeight w:val="90" w:hRule="atLeast"/>
        </w:trPr>
        <w:tc>
          <w:tcPr>
            <w:tcW w:w="832" w:type="dxa"/>
            <w:vMerge w:val="restart"/>
            <w:tcBorders>
              <w:top w:val="nil"/>
              <w:left w:val="single" w:color="auto" w:sz="4" w:space="0"/>
              <w:bottom w:val="single" w:color="auto" w:sz="4" w:space="0"/>
              <w:right w:val="single" w:color="auto" w:sz="4" w:space="0"/>
            </w:tcBorders>
            <w:vAlign w:val="center"/>
          </w:tcPr>
          <w:p w14:paraId="4EA6BFED">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2.1.1</w:t>
            </w:r>
          </w:p>
        </w:tc>
        <w:tc>
          <w:tcPr>
            <w:tcW w:w="1171" w:type="dxa"/>
            <w:vMerge w:val="restart"/>
            <w:tcBorders>
              <w:top w:val="nil"/>
              <w:left w:val="nil"/>
              <w:bottom w:val="single" w:color="auto" w:sz="4" w:space="0"/>
              <w:right w:val="single" w:color="auto" w:sz="4" w:space="0"/>
            </w:tcBorders>
            <w:vAlign w:val="center"/>
          </w:tcPr>
          <w:p w14:paraId="6E1DD10B">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资格</w:t>
            </w:r>
            <w:r>
              <w:rPr>
                <w:rFonts w:hint="eastAsia" w:ascii="宋体" w:hAnsi="宋体" w:cs="宋体"/>
                <w:kern w:val="2"/>
                <w:sz w:val="24"/>
                <w:szCs w:val="24"/>
                <w:highlight w:val="none"/>
                <w:lang w:val="en-US" w:eastAsia="zh-CN"/>
              </w:rPr>
              <w:t>性</w:t>
            </w:r>
            <w:r>
              <w:rPr>
                <w:rFonts w:ascii="宋体" w:hAnsi="宋体" w:cs="宋体"/>
                <w:kern w:val="2"/>
                <w:sz w:val="24"/>
                <w:szCs w:val="24"/>
                <w:highlight w:val="none"/>
              </w:rPr>
              <w:t>评审标准</w:t>
            </w:r>
          </w:p>
        </w:tc>
        <w:tc>
          <w:tcPr>
            <w:tcW w:w="2370" w:type="dxa"/>
            <w:tcBorders>
              <w:top w:val="single" w:color="auto" w:sz="4" w:space="0"/>
              <w:left w:val="nil"/>
              <w:bottom w:val="single" w:color="auto" w:sz="4" w:space="0"/>
              <w:right w:val="single" w:color="auto" w:sz="4" w:space="0"/>
            </w:tcBorders>
            <w:vAlign w:val="center"/>
          </w:tcPr>
          <w:p w14:paraId="08E98D0F">
            <w:pPr>
              <w:spacing w:line="480" w:lineRule="exact"/>
              <w:jc w:val="center"/>
              <w:rPr>
                <w:rFonts w:hint="eastAsia" w:ascii="宋体" w:hAnsi="宋体" w:cs="宋体"/>
                <w:sz w:val="24"/>
                <w:szCs w:val="24"/>
                <w:highlight w:val="none"/>
              </w:rPr>
            </w:pPr>
            <w:r>
              <w:rPr>
                <w:rFonts w:ascii="宋体" w:hAnsi="宋体" w:cs="宋体"/>
                <w:sz w:val="24"/>
                <w:szCs w:val="24"/>
                <w:highlight w:val="none"/>
              </w:rPr>
              <w:t>营业执照或事业单位法人证书</w:t>
            </w:r>
          </w:p>
        </w:tc>
        <w:tc>
          <w:tcPr>
            <w:tcW w:w="5607" w:type="dxa"/>
            <w:tcBorders>
              <w:top w:val="single" w:color="auto" w:sz="4" w:space="0"/>
              <w:left w:val="nil"/>
              <w:bottom w:val="single" w:color="auto" w:sz="4" w:space="0"/>
              <w:right w:val="single" w:color="auto" w:sz="4" w:space="0"/>
            </w:tcBorders>
            <w:vAlign w:val="center"/>
          </w:tcPr>
          <w:p w14:paraId="02D527E2">
            <w:pPr>
              <w:spacing w:line="480" w:lineRule="exact"/>
              <w:rPr>
                <w:rFonts w:hint="eastAsia" w:ascii="宋体" w:hAnsi="宋体" w:eastAsia="宋体" w:cs="宋体"/>
                <w:sz w:val="24"/>
                <w:szCs w:val="24"/>
                <w:highlight w:val="none"/>
                <w:lang w:eastAsia="zh-CN"/>
              </w:rPr>
            </w:pPr>
            <w:r>
              <w:rPr>
                <w:rFonts w:hint="eastAsia" w:ascii="宋体" w:hAnsi="宋体" w:cs="宋体"/>
                <w:sz w:val="24"/>
                <w:szCs w:val="24"/>
                <w:highlight w:val="none"/>
              </w:rPr>
              <w:t>供应商具有独立承担民事责任的能力，持有有效的营业执照或事业单位法人证书</w:t>
            </w:r>
          </w:p>
        </w:tc>
      </w:tr>
      <w:tr w14:paraId="2C75BBA6">
        <w:tblPrEx>
          <w:tblCellMar>
            <w:top w:w="0" w:type="dxa"/>
            <w:left w:w="108" w:type="dxa"/>
            <w:bottom w:w="0" w:type="dxa"/>
            <w:right w:w="108" w:type="dxa"/>
          </w:tblCellMar>
        </w:tblPrEx>
        <w:trPr>
          <w:trHeight w:val="648" w:hRule="atLeast"/>
        </w:trPr>
        <w:tc>
          <w:tcPr>
            <w:tcW w:w="832" w:type="dxa"/>
            <w:vMerge w:val="continue"/>
            <w:tcBorders>
              <w:top w:val="nil"/>
              <w:left w:val="single" w:color="auto" w:sz="4" w:space="0"/>
              <w:bottom w:val="single" w:color="auto" w:sz="4" w:space="0"/>
              <w:right w:val="single" w:color="auto" w:sz="4" w:space="0"/>
            </w:tcBorders>
            <w:vAlign w:val="center"/>
          </w:tcPr>
          <w:p w14:paraId="36DA0AAD">
            <w:pPr>
              <w:spacing w:line="360" w:lineRule="auto"/>
              <w:rPr>
                <w:rFonts w:hint="eastAsia" w:ascii="宋体" w:hAnsi="宋体" w:cs="宋体"/>
                <w:kern w:val="2"/>
                <w:sz w:val="24"/>
                <w:szCs w:val="24"/>
                <w:highlight w:val="none"/>
              </w:rPr>
            </w:pPr>
          </w:p>
        </w:tc>
        <w:tc>
          <w:tcPr>
            <w:tcW w:w="1171" w:type="dxa"/>
            <w:vMerge w:val="continue"/>
            <w:tcBorders>
              <w:top w:val="nil"/>
              <w:left w:val="nil"/>
              <w:bottom w:val="single" w:color="auto" w:sz="4" w:space="0"/>
              <w:right w:val="single" w:color="auto" w:sz="4" w:space="0"/>
            </w:tcBorders>
            <w:vAlign w:val="center"/>
          </w:tcPr>
          <w:p w14:paraId="65D858A6">
            <w:pPr>
              <w:spacing w:line="360" w:lineRule="auto"/>
              <w:rPr>
                <w:rFonts w:hint="eastAsia" w:ascii="宋体" w:hAnsi="宋体" w:cs="宋体"/>
                <w:kern w:val="2"/>
                <w:sz w:val="24"/>
                <w:szCs w:val="24"/>
                <w:highlight w:val="none"/>
              </w:rPr>
            </w:pPr>
          </w:p>
        </w:tc>
        <w:tc>
          <w:tcPr>
            <w:tcW w:w="2370" w:type="dxa"/>
            <w:tcBorders>
              <w:top w:val="single" w:color="auto" w:sz="4" w:space="0"/>
              <w:left w:val="nil"/>
              <w:bottom w:val="single" w:color="auto" w:sz="4" w:space="0"/>
              <w:right w:val="single" w:color="auto" w:sz="4" w:space="0"/>
            </w:tcBorders>
            <w:vAlign w:val="center"/>
          </w:tcPr>
          <w:p w14:paraId="37CDD549">
            <w:pPr>
              <w:spacing w:line="48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控股、管理关系</w:t>
            </w:r>
          </w:p>
        </w:tc>
        <w:tc>
          <w:tcPr>
            <w:tcW w:w="5607" w:type="dxa"/>
            <w:tcBorders>
              <w:top w:val="single" w:color="auto" w:sz="4" w:space="0"/>
              <w:left w:val="nil"/>
              <w:bottom w:val="single" w:color="auto" w:sz="4" w:space="0"/>
              <w:right w:val="single" w:color="auto" w:sz="4" w:space="0"/>
            </w:tcBorders>
            <w:vAlign w:val="center"/>
          </w:tcPr>
          <w:p w14:paraId="6E7C2A75">
            <w:pPr>
              <w:spacing w:line="480" w:lineRule="exact"/>
              <w:rPr>
                <w:rFonts w:hint="eastAsia" w:ascii="宋体" w:hAnsi="宋体" w:cs="宋体"/>
                <w:sz w:val="24"/>
                <w:szCs w:val="24"/>
                <w:highlight w:val="none"/>
              </w:rPr>
            </w:pPr>
            <w:r>
              <w:rPr>
                <w:rFonts w:hint="eastAsia" w:ascii="宋体" w:hAnsi="宋体" w:eastAsia="宋体" w:cs="宋体"/>
                <w:color w:val="auto"/>
                <w:kern w:val="0"/>
                <w:sz w:val="24"/>
                <w:szCs w:val="24"/>
                <w:highlight w:val="none"/>
                <w:lang w:val="en-US" w:eastAsia="zh-CN"/>
              </w:rPr>
              <w:t>供应商单位负责人为同一人或者存在直接控股、管理关系的不同供应商，不得参加同一合同项下的采购活动（提供“国家企业信用信息公示系统”网页查询或出具承诺书，查询截图需包含公司基本信息、股东信息及股权变更信息内容，查询时间自公告发布之日起至投标截止时间）</w:t>
            </w:r>
          </w:p>
        </w:tc>
      </w:tr>
      <w:tr w14:paraId="7842B11D">
        <w:tblPrEx>
          <w:tblCellMar>
            <w:top w:w="0" w:type="dxa"/>
            <w:left w:w="108" w:type="dxa"/>
            <w:bottom w:w="0" w:type="dxa"/>
            <w:right w:w="108" w:type="dxa"/>
          </w:tblCellMar>
        </w:tblPrEx>
        <w:trPr>
          <w:trHeight w:val="935" w:hRule="atLeast"/>
        </w:trPr>
        <w:tc>
          <w:tcPr>
            <w:tcW w:w="832" w:type="dxa"/>
            <w:vMerge w:val="continue"/>
            <w:tcBorders>
              <w:top w:val="nil"/>
              <w:left w:val="single" w:color="auto" w:sz="4" w:space="0"/>
              <w:bottom w:val="single" w:color="auto" w:sz="4" w:space="0"/>
              <w:right w:val="single" w:color="auto" w:sz="4" w:space="0"/>
            </w:tcBorders>
            <w:vAlign w:val="center"/>
          </w:tcPr>
          <w:p w14:paraId="3BAC8D92">
            <w:pPr>
              <w:spacing w:line="360" w:lineRule="auto"/>
              <w:rPr>
                <w:rFonts w:hint="eastAsia" w:ascii="宋体" w:hAnsi="宋体" w:cs="宋体"/>
                <w:kern w:val="2"/>
                <w:sz w:val="24"/>
                <w:szCs w:val="24"/>
                <w:highlight w:val="none"/>
              </w:rPr>
            </w:pPr>
          </w:p>
        </w:tc>
        <w:tc>
          <w:tcPr>
            <w:tcW w:w="1171" w:type="dxa"/>
            <w:vMerge w:val="continue"/>
            <w:tcBorders>
              <w:top w:val="nil"/>
              <w:left w:val="nil"/>
              <w:bottom w:val="single" w:color="auto" w:sz="4" w:space="0"/>
              <w:right w:val="single" w:color="auto" w:sz="4" w:space="0"/>
            </w:tcBorders>
            <w:vAlign w:val="center"/>
          </w:tcPr>
          <w:p w14:paraId="65BFF1B4">
            <w:pPr>
              <w:spacing w:line="360" w:lineRule="auto"/>
              <w:rPr>
                <w:rFonts w:hint="eastAsia" w:ascii="宋体" w:hAnsi="宋体" w:cs="宋体"/>
                <w:kern w:val="2"/>
                <w:sz w:val="24"/>
                <w:szCs w:val="24"/>
                <w:highlight w:val="none"/>
              </w:rPr>
            </w:pPr>
          </w:p>
        </w:tc>
        <w:tc>
          <w:tcPr>
            <w:tcW w:w="2370" w:type="dxa"/>
            <w:tcBorders>
              <w:top w:val="single" w:color="auto" w:sz="4" w:space="0"/>
              <w:left w:val="nil"/>
              <w:bottom w:val="single" w:color="auto" w:sz="4" w:space="0"/>
              <w:right w:val="single" w:color="auto" w:sz="4" w:space="0"/>
            </w:tcBorders>
            <w:vAlign w:val="center"/>
          </w:tcPr>
          <w:p w14:paraId="0FA8742A">
            <w:pPr>
              <w:spacing w:line="480" w:lineRule="exact"/>
              <w:jc w:val="center"/>
              <w:rPr>
                <w:rFonts w:hint="eastAsia" w:ascii="宋体" w:hAnsi="宋体" w:cs="宋体"/>
                <w:sz w:val="24"/>
                <w:szCs w:val="24"/>
                <w:highlight w:val="none"/>
              </w:rPr>
            </w:pPr>
            <w:r>
              <w:rPr>
                <w:rFonts w:hint="eastAsia" w:ascii="宋体" w:hAnsi="宋体" w:cs="宋体"/>
                <w:sz w:val="24"/>
                <w:szCs w:val="24"/>
                <w:highlight w:val="none"/>
              </w:rPr>
              <w:t>无商业贿赂及不正当竞争行为的承诺书</w:t>
            </w:r>
          </w:p>
        </w:tc>
        <w:tc>
          <w:tcPr>
            <w:tcW w:w="5607" w:type="dxa"/>
            <w:tcBorders>
              <w:top w:val="single" w:color="auto" w:sz="4" w:space="0"/>
              <w:left w:val="nil"/>
              <w:bottom w:val="single" w:color="auto" w:sz="4" w:space="0"/>
              <w:right w:val="single" w:color="auto" w:sz="4" w:space="0"/>
            </w:tcBorders>
            <w:vAlign w:val="center"/>
          </w:tcPr>
          <w:p w14:paraId="4C7D26B4">
            <w:pPr>
              <w:spacing w:line="480" w:lineRule="exact"/>
              <w:rPr>
                <w:rFonts w:hint="eastAsia" w:ascii="宋体" w:hAnsi="宋体" w:cs="宋体"/>
                <w:sz w:val="24"/>
                <w:szCs w:val="24"/>
                <w:highlight w:val="none"/>
              </w:rPr>
            </w:pPr>
            <w:r>
              <w:rPr>
                <w:rFonts w:hint="eastAsia" w:ascii="宋体" w:hAnsi="宋体" w:cs="宋体"/>
                <w:sz w:val="24"/>
                <w:szCs w:val="24"/>
                <w:highlight w:val="none"/>
              </w:rPr>
              <w:t>供应商需提供本企业的无商业贿赂及不正当竞争行为的承诺书</w:t>
            </w:r>
          </w:p>
        </w:tc>
      </w:tr>
      <w:tr w14:paraId="13392874">
        <w:tblPrEx>
          <w:tblCellMar>
            <w:top w:w="0" w:type="dxa"/>
            <w:left w:w="108" w:type="dxa"/>
            <w:bottom w:w="0" w:type="dxa"/>
            <w:right w:w="108" w:type="dxa"/>
          </w:tblCellMar>
        </w:tblPrEx>
        <w:trPr>
          <w:trHeight w:val="648" w:hRule="atLeast"/>
        </w:trPr>
        <w:tc>
          <w:tcPr>
            <w:tcW w:w="832" w:type="dxa"/>
            <w:vMerge w:val="continue"/>
            <w:tcBorders>
              <w:top w:val="nil"/>
              <w:left w:val="single" w:color="auto" w:sz="4" w:space="0"/>
              <w:bottom w:val="single" w:color="auto" w:sz="4" w:space="0"/>
              <w:right w:val="single" w:color="auto" w:sz="4" w:space="0"/>
            </w:tcBorders>
            <w:vAlign w:val="center"/>
          </w:tcPr>
          <w:p w14:paraId="40BB7CCB">
            <w:pPr>
              <w:spacing w:line="360" w:lineRule="auto"/>
              <w:rPr>
                <w:rFonts w:hint="eastAsia" w:ascii="宋体" w:hAnsi="宋体" w:cs="宋体"/>
                <w:kern w:val="2"/>
                <w:sz w:val="24"/>
                <w:szCs w:val="24"/>
                <w:highlight w:val="none"/>
              </w:rPr>
            </w:pPr>
          </w:p>
        </w:tc>
        <w:tc>
          <w:tcPr>
            <w:tcW w:w="1171" w:type="dxa"/>
            <w:vMerge w:val="continue"/>
            <w:tcBorders>
              <w:top w:val="nil"/>
              <w:left w:val="nil"/>
              <w:bottom w:val="single" w:color="auto" w:sz="4" w:space="0"/>
              <w:right w:val="single" w:color="auto" w:sz="4" w:space="0"/>
            </w:tcBorders>
            <w:vAlign w:val="center"/>
          </w:tcPr>
          <w:p w14:paraId="5727AB41">
            <w:pPr>
              <w:spacing w:line="360" w:lineRule="auto"/>
              <w:rPr>
                <w:rFonts w:hint="eastAsia" w:ascii="宋体" w:hAnsi="宋体" w:cs="宋体"/>
                <w:kern w:val="2"/>
                <w:sz w:val="24"/>
                <w:szCs w:val="24"/>
                <w:highlight w:val="none"/>
              </w:rPr>
            </w:pPr>
          </w:p>
        </w:tc>
        <w:tc>
          <w:tcPr>
            <w:tcW w:w="2370" w:type="dxa"/>
            <w:tcBorders>
              <w:top w:val="single" w:color="auto" w:sz="4" w:space="0"/>
              <w:left w:val="nil"/>
              <w:bottom w:val="single" w:color="auto" w:sz="4" w:space="0"/>
              <w:right w:val="single" w:color="auto" w:sz="4" w:space="0"/>
            </w:tcBorders>
            <w:vAlign w:val="center"/>
          </w:tcPr>
          <w:p w14:paraId="7CCDE8C3">
            <w:pPr>
              <w:spacing w:line="480" w:lineRule="exact"/>
              <w:jc w:val="center"/>
              <w:rPr>
                <w:rFonts w:hint="eastAsia" w:ascii="宋体" w:hAnsi="宋体" w:cs="宋体"/>
                <w:kern w:val="2"/>
                <w:sz w:val="24"/>
                <w:szCs w:val="24"/>
                <w:highlight w:val="none"/>
              </w:rPr>
            </w:pPr>
            <w:r>
              <w:rPr>
                <w:rFonts w:hint="eastAsia" w:ascii="宋体" w:hAnsi="宋体" w:cs="宋体"/>
                <w:sz w:val="24"/>
                <w:szCs w:val="24"/>
                <w:highlight w:val="none"/>
                <w:lang w:eastAsia="zh-Hans"/>
              </w:rPr>
              <w:t>信用查询</w:t>
            </w:r>
          </w:p>
        </w:tc>
        <w:tc>
          <w:tcPr>
            <w:tcW w:w="5607" w:type="dxa"/>
            <w:tcBorders>
              <w:top w:val="single" w:color="auto" w:sz="4" w:space="0"/>
              <w:left w:val="nil"/>
              <w:bottom w:val="single" w:color="auto" w:sz="4" w:space="0"/>
              <w:right w:val="single" w:color="auto" w:sz="4" w:space="0"/>
            </w:tcBorders>
            <w:vAlign w:val="center"/>
          </w:tcPr>
          <w:p w14:paraId="09A6C637">
            <w:pPr>
              <w:spacing w:line="480" w:lineRule="exact"/>
              <w:rPr>
                <w:rFonts w:hint="eastAsia" w:ascii="宋体" w:hAnsi="宋体" w:cs="宋体"/>
                <w:sz w:val="24"/>
                <w:szCs w:val="24"/>
                <w:highlight w:val="none"/>
              </w:rPr>
            </w:pPr>
            <w:r>
              <w:rPr>
                <w:rFonts w:hint="eastAsia" w:ascii="宋体" w:hAnsi="宋体" w:cs="宋体"/>
                <w:sz w:val="24"/>
                <w:szCs w:val="24"/>
                <w:highlight w:val="none"/>
                <w:lang w:val="en-US" w:eastAsia="zh-CN"/>
              </w:rPr>
              <w:t>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tc>
      </w:tr>
      <w:tr w14:paraId="7E49EDEE">
        <w:tblPrEx>
          <w:tblCellMar>
            <w:top w:w="0" w:type="dxa"/>
            <w:left w:w="108" w:type="dxa"/>
            <w:bottom w:w="0" w:type="dxa"/>
            <w:right w:w="108" w:type="dxa"/>
          </w:tblCellMar>
        </w:tblPrEx>
        <w:trPr>
          <w:trHeight w:val="581" w:hRule="atLeast"/>
        </w:trPr>
        <w:tc>
          <w:tcPr>
            <w:tcW w:w="832" w:type="dxa"/>
            <w:vMerge w:val="continue"/>
            <w:tcBorders>
              <w:top w:val="nil"/>
              <w:left w:val="single" w:color="auto" w:sz="4" w:space="0"/>
              <w:bottom w:val="single" w:color="auto" w:sz="4" w:space="0"/>
              <w:right w:val="single" w:color="auto" w:sz="4" w:space="0"/>
            </w:tcBorders>
            <w:vAlign w:val="center"/>
          </w:tcPr>
          <w:p w14:paraId="106CDCAD">
            <w:pPr>
              <w:spacing w:line="360" w:lineRule="auto"/>
              <w:rPr>
                <w:rFonts w:hint="eastAsia" w:ascii="宋体" w:hAnsi="宋体" w:cs="宋体"/>
                <w:kern w:val="2"/>
                <w:sz w:val="24"/>
                <w:szCs w:val="24"/>
                <w:highlight w:val="none"/>
              </w:rPr>
            </w:pPr>
          </w:p>
        </w:tc>
        <w:tc>
          <w:tcPr>
            <w:tcW w:w="1171" w:type="dxa"/>
            <w:vMerge w:val="continue"/>
            <w:tcBorders>
              <w:top w:val="nil"/>
              <w:left w:val="nil"/>
              <w:bottom w:val="single" w:color="auto" w:sz="4" w:space="0"/>
              <w:right w:val="single" w:color="auto" w:sz="4" w:space="0"/>
            </w:tcBorders>
            <w:vAlign w:val="center"/>
          </w:tcPr>
          <w:p w14:paraId="117055C2">
            <w:pPr>
              <w:spacing w:line="360" w:lineRule="auto"/>
              <w:rPr>
                <w:rFonts w:hint="eastAsia" w:ascii="宋体" w:hAnsi="宋体" w:cs="宋体"/>
                <w:kern w:val="2"/>
                <w:sz w:val="24"/>
                <w:szCs w:val="24"/>
                <w:highlight w:val="none"/>
              </w:rPr>
            </w:pPr>
          </w:p>
        </w:tc>
        <w:tc>
          <w:tcPr>
            <w:tcW w:w="2370" w:type="dxa"/>
            <w:tcBorders>
              <w:top w:val="single" w:color="auto" w:sz="4" w:space="0"/>
              <w:left w:val="nil"/>
              <w:bottom w:val="single" w:color="auto" w:sz="4" w:space="0"/>
              <w:right w:val="single" w:color="auto" w:sz="4" w:space="0"/>
            </w:tcBorders>
            <w:vAlign w:val="center"/>
          </w:tcPr>
          <w:p w14:paraId="1D96BFFB">
            <w:pPr>
              <w:spacing w:line="480" w:lineRule="exact"/>
              <w:jc w:val="center"/>
              <w:rPr>
                <w:rFonts w:hint="eastAsia" w:ascii="宋体" w:hAnsi="宋体" w:cs="宋体"/>
                <w:sz w:val="24"/>
                <w:szCs w:val="24"/>
                <w:highlight w:val="none"/>
              </w:rPr>
            </w:pPr>
            <w:r>
              <w:rPr>
                <w:rFonts w:hint="eastAsia" w:ascii="宋体" w:hAnsi="宋体" w:cs="宋体"/>
                <w:sz w:val="24"/>
                <w:szCs w:val="24"/>
                <w:highlight w:val="none"/>
                <w:lang w:val="en-US" w:eastAsia="zh-CN"/>
              </w:rPr>
              <w:t>非</w:t>
            </w:r>
            <w:r>
              <w:rPr>
                <w:rFonts w:hint="eastAsia" w:ascii="宋体" w:hAnsi="宋体" w:cs="宋体"/>
                <w:sz w:val="24"/>
                <w:szCs w:val="24"/>
                <w:highlight w:val="none"/>
              </w:rPr>
              <w:t>联合体承诺书</w:t>
            </w:r>
          </w:p>
        </w:tc>
        <w:tc>
          <w:tcPr>
            <w:tcW w:w="5607" w:type="dxa"/>
            <w:tcBorders>
              <w:top w:val="single" w:color="auto" w:sz="4" w:space="0"/>
              <w:left w:val="nil"/>
              <w:bottom w:val="single" w:color="auto" w:sz="4" w:space="0"/>
              <w:right w:val="single" w:color="auto" w:sz="4" w:space="0"/>
            </w:tcBorders>
            <w:vAlign w:val="center"/>
          </w:tcPr>
          <w:p w14:paraId="3B4FC51E">
            <w:pPr>
              <w:spacing w:line="480" w:lineRule="exact"/>
              <w:rPr>
                <w:rFonts w:hint="eastAsia" w:ascii="宋体" w:hAnsi="宋体" w:cs="宋体"/>
                <w:sz w:val="24"/>
                <w:szCs w:val="24"/>
                <w:highlight w:val="none"/>
              </w:rPr>
            </w:pPr>
            <w:r>
              <w:rPr>
                <w:rFonts w:ascii="宋体" w:hAnsi="宋体" w:cs="宋体"/>
                <w:sz w:val="24"/>
                <w:szCs w:val="24"/>
                <w:highlight w:val="none"/>
              </w:rPr>
              <w:t>本项目不接受联合体投标</w:t>
            </w:r>
            <w:r>
              <w:rPr>
                <w:rFonts w:hint="eastAsia" w:ascii="宋体" w:hAnsi="宋体" w:cs="宋体"/>
                <w:sz w:val="24"/>
                <w:szCs w:val="24"/>
                <w:highlight w:val="none"/>
              </w:rPr>
              <w:t>（提供承诺书）</w:t>
            </w:r>
          </w:p>
        </w:tc>
      </w:tr>
      <w:tr w14:paraId="3623D209">
        <w:tblPrEx>
          <w:tblCellMar>
            <w:top w:w="0" w:type="dxa"/>
            <w:left w:w="108" w:type="dxa"/>
            <w:bottom w:w="0" w:type="dxa"/>
            <w:right w:w="108" w:type="dxa"/>
          </w:tblCellMar>
        </w:tblPrEx>
        <w:trPr>
          <w:trHeight w:val="515" w:hRule="atLeast"/>
        </w:trPr>
        <w:tc>
          <w:tcPr>
            <w:tcW w:w="832" w:type="dxa"/>
            <w:vMerge w:val="restart"/>
            <w:tcBorders>
              <w:top w:val="single" w:color="auto" w:sz="4" w:space="0"/>
              <w:left w:val="single" w:color="auto" w:sz="4" w:space="0"/>
              <w:bottom w:val="single" w:color="auto" w:sz="4" w:space="0"/>
              <w:right w:val="single" w:color="auto" w:sz="4" w:space="0"/>
            </w:tcBorders>
            <w:vAlign w:val="center"/>
          </w:tcPr>
          <w:p w14:paraId="7539C216">
            <w:pPr>
              <w:widowControl w:val="0"/>
              <w:spacing w:line="360" w:lineRule="auto"/>
              <w:jc w:val="center"/>
              <w:rPr>
                <w:rFonts w:hint="eastAsia" w:ascii="宋体" w:hAnsi="宋体" w:cs="宋体"/>
                <w:kern w:val="2"/>
                <w:sz w:val="24"/>
                <w:szCs w:val="24"/>
                <w:highlight w:val="none"/>
              </w:rPr>
            </w:pPr>
            <w:r>
              <w:rPr>
                <w:rFonts w:ascii="宋体" w:hAnsi="宋体" w:cs="宋体"/>
                <w:kern w:val="2"/>
                <w:sz w:val="24"/>
                <w:szCs w:val="24"/>
                <w:highlight w:val="none"/>
              </w:rPr>
              <w:t>2.1.2</w:t>
            </w:r>
          </w:p>
        </w:tc>
        <w:tc>
          <w:tcPr>
            <w:tcW w:w="1171" w:type="dxa"/>
            <w:vMerge w:val="restart"/>
            <w:tcBorders>
              <w:top w:val="single" w:color="auto" w:sz="4" w:space="0"/>
              <w:left w:val="single" w:color="auto" w:sz="4" w:space="0"/>
              <w:bottom w:val="single" w:color="auto" w:sz="4" w:space="0"/>
              <w:right w:val="single" w:color="auto" w:sz="4" w:space="0"/>
            </w:tcBorders>
            <w:vAlign w:val="center"/>
          </w:tcPr>
          <w:p w14:paraId="43D7C54C">
            <w:pPr>
              <w:widowControl w:val="0"/>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符合</w:t>
            </w:r>
            <w:r>
              <w:rPr>
                <w:rFonts w:ascii="宋体" w:hAnsi="宋体" w:cs="宋体"/>
                <w:kern w:val="2"/>
                <w:sz w:val="24"/>
                <w:szCs w:val="24"/>
                <w:highlight w:val="none"/>
              </w:rPr>
              <w:t>性</w:t>
            </w:r>
            <w:r>
              <w:rPr>
                <w:rFonts w:hint="eastAsia" w:ascii="宋体" w:hAnsi="宋体" w:cs="宋体"/>
                <w:kern w:val="2"/>
                <w:sz w:val="24"/>
                <w:szCs w:val="24"/>
                <w:highlight w:val="none"/>
              </w:rPr>
              <w:t>评审标准</w:t>
            </w:r>
          </w:p>
        </w:tc>
        <w:tc>
          <w:tcPr>
            <w:tcW w:w="2370" w:type="dxa"/>
            <w:tcBorders>
              <w:top w:val="single" w:color="auto" w:sz="4" w:space="0"/>
              <w:left w:val="single" w:color="auto" w:sz="4" w:space="0"/>
              <w:bottom w:val="single" w:color="auto" w:sz="4" w:space="0"/>
              <w:right w:val="single" w:color="auto" w:sz="4" w:space="0"/>
            </w:tcBorders>
            <w:vAlign w:val="center"/>
          </w:tcPr>
          <w:p w14:paraId="47B8BF76">
            <w:pPr>
              <w:spacing w:line="480" w:lineRule="exact"/>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sz w:val="24"/>
                <w:szCs w:val="24"/>
                <w:highlight w:val="none"/>
              </w:rPr>
              <w:t>磋商有效期</w:t>
            </w:r>
          </w:p>
        </w:tc>
        <w:tc>
          <w:tcPr>
            <w:tcW w:w="5607" w:type="dxa"/>
            <w:tcBorders>
              <w:top w:val="single" w:color="auto" w:sz="4" w:space="0"/>
              <w:left w:val="single" w:color="auto" w:sz="4" w:space="0"/>
              <w:bottom w:val="single" w:color="auto" w:sz="4" w:space="0"/>
              <w:right w:val="single" w:color="auto" w:sz="4" w:space="0"/>
            </w:tcBorders>
            <w:vAlign w:val="center"/>
          </w:tcPr>
          <w:p w14:paraId="1595FD51">
            <w:pPr>
              <w:spacing w:line="480" w:lineRule="exact"/>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sz w:val="24"/>
                <w:szCs w:val="24"/>
                <w:highlight w:val="none"/>
              </w:rPr>
              <w:t>磋商截止之日起60日历天</w:t>
            </w:r>
          </w:p>
        </w:tc>
      </w:tr>
      <w:tr w14:paraId="440F814B">
        <w:tblPrEx>
          <w:tblCellMar>
            <w:top w:w="0" w:type="dxa"/>
            <w:left w:w="108" w:type="dxa"/>
            <w:bottom w:w="0" w:type="dxa"/>
            <w:right w:w="108" w:type="dxa"/>
          </w:tblCellMar>
        </w:tblPrEx>
        <w:trPr>
          <w:trHeight w:val="510"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173D734C">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2B7CDDC9">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7055442E">
            <w:pPr>
              <w:spacing w:line="480" w:lineRule="exact"/>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sz w:val="24"/>
                <w:szCs w:val="24"/>
                <w:highlight w:val="none"/>
              </w:rPr>
              <w:t>服务地点</w:t>
            </w:r>
          </w:p>
        </w:tc>
        <w:tc>
          <w:tcPr>
            <w:tcW w:w="5607" w:type="dxa"/>
            <w:tcBorders>
              <w:top w:val="single" w:color="auto" w:sz="4" w:space="0"/>
              <w:left w:val="single" w:color="auto" w:sz="4" w:space="0"/>
              <w:bottom w:val="single" w:color="auto" w:sz="4" w:space="0"/>
              <w:right w:val="single" w:color="auto" w:sz="4" w:space="0"/>
            </w:tcBorders>
            <w:vAlign w:val="center"/>
          </w:tcPr>
          <w:p w14:paraId="12258296">
            <w:pPr>
              <w:spacing w:line="480" w:lineRule="exact"/>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sz w:val="24"/>
                <w:szCs w:val="24"/>
                <w:highlight w:val="none"/>
              </w:rPr>
              <w:t>采购人指定地点</w:t>
            </w:r>
          </w:p>
        </w:tc>
      </w:tr>
      <w:tr w14:paraId="698DABF9">
        <w:tblPrEx>
          <w:tblCellMar>
            <w:top w:w="0" w:type="dxa"/>
            <w:left w:w="108" w:type="dxa"/>
            <w:bottom w:w="0" w:type="dxa"/>
            <w:right w:w="108" w:type="dxa"/>
          </w:tblCellMar>
        </w:tblPrEx>
        <w:trPr>
          <w:trHeight w:val="528"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21DFFB0E">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28AF15A3">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5FDDE7FA">
            <w:pPr>
              <w:widowControl w:val="0"/>
              <w:spacing w:line="360" w:lineRule="auto"/>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服务期限</w:t>
            </w:r>
          </w:p>
        </w:tc>
        <w:tc>
          <w:tcPr>
            <w:tcW w:w="5607" w:type="dxa"/>
            <w:tcBorders>
              <w:top w:val="single" w:color="auto" w:sz="4" w:space="0"/>
              <w:left w:val="single" w:color="auto" w:sz="4" w:space="0"/>
              <w:bottom w:val="single" w:color="auto" w:sz="4" w:space="0"/>
              <w:right w:val="single" w:color="auto" w:sz="4" w:space="0"/>
            </w:tcBorders>
            <w:vAlign w:val="center"/>
          </w:tcPr>
          <w:p w14:paraId="5F1952E3">
            <w:pPr>
              <w:widowControl w:val="0"/>
              <w:spacing w:line="360" w:lineRule="auto"/>
              <w:jc w:val="both"/>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eastAsia="宋体" w:cs="宋体"/>
                <w:color w:val="000000" w:themeColor="text1"/>
                <w:kern w:val="2"/>
                <w:sz w:val="24"/>
                <w:szCs w:val="24"/>
                <w:highlight w:val="none"/>
                <w:lang w:eastAsia="zh-CN"/>
                <w14:textFill>
                  <w14:solidFill>
                    <w14:schemeClr w14:val="tx1"/>
                  </w14:solidFill>
                </w14:textFill>
              </w:rPr>
              <w:t>一年</w:t>
            </w:r>
          </w:p>
        </w:tc>
      </w:tr>
      <w:tr w14:paraId="08408F49">
        <w:tblPrEx>
          <w:tblCellMar>
            <w:top w:w="0" w:type="dxa"/>
            <w:left w:w="108" w:type="dxa"/>
            <w:bottom w:w="0" w:type="dxa"/>
            <w:right w:w="108" w:type="dxa"/>
          </w:tblCellMar>
        </w:tblPrEx>
        <w:trPr>
          <w:trHeight w:val="541"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7B0B63AB">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7EFB8CC1">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1353CF36">
            <w:pPr>
              <w:widowControl w:val="0"/>
              <w:spacing w:line="360" w:lineRule="auto"/>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sz w:val="24"/>
                <w:szCs w:val="24"/>
                <w:highlight w:val="none"/>
                <w:lang w:eastAsia="zh-CN"/>
              </w:rPr>
              <w:t>服务要求</w:t>
            </w:r>
          </w:p>
        </w:tc>
        <w:tc>
          <w:tcPr>
            <w:tcW w:w="5607" w:type="dxa"/>
            <w:tcBorders>
              <w:top w:val="single" w:color="auto" w:sz="4" w:space="0"/>
              <w:left w:val="single" w:color="auto" w:sz="4" w:space="0"/>
              <w:bottom w:val="single" w:color="auto" w:sz="4" w:space="0"/>
              <w:right w:val="single" w:color="auto" w:sz="4" w:space="0"/>
            </w:tcBorders>
            <w:vAlign w:val="center"/>
          </w:tcPr>
          <w:p w14:paraId="11411147">
            <w:pPr>
              <w:widowControl w:val="0"/>
              <w:spacing w:line="360" w:lineRule="auto"/>
              <w:jc w:val="both"/>
              <w:rPr>
                <w:rFonts w:hint="eastAsia" w:ascii="宋体" w:hAnsi="宋体" w:eastAsia="宋体" w:cs="宋体"/>
                <w:color w:val="000000" w:themeColor="text1"/>
                <w:kern w:val="2"/>
                <w:sz w:val="24"/>
                <w:szCs w:val="24"/>
                <w:highlight w:val="none"/>
                <w:lang w:eastAsia="zh-CN"/>
                <w14:textFill>
                  <w14:solidFill>
                    <w14:schemeClr w14:val="tx1"/>
                  </w14:solidFill>
                </w14:textFill>
              </w:rPr>
            </w:pPr>
            <w:r>
              <w:rPr>
                <w:rFonts w:hint="eastAsia" w:ascii="宋体" w:hAnsi="宋体" w:cs="宋体"/>
                <w:color w:val="000000" w:themeColor="text1"/>
                <w:kern w:val="2"/>
                <w:sz w:val="24"/>
                <w:szCs w:val="24"/>
                <w:highlight w:val="none"/>
                <w:lang w:eastAsia="zh-CN"/>
                <w14:textFill>
                  <w14:solidFill>
                    <w14:schemeClr w14:val="tx1"/>
                  </w14:solidFill>
                </w14:textFill>
              </w:rPr>
              <w:t>符合国家及行业标准，满足采购人采购需求</w:t>
            </w:r>
          </w:p>
        </w:tc>
      </w:tr>
      <w:tr w14:paraId="60D78021">
        <w:tblPrEx>
          <w:tblCellMar>
            <w:top w:w="0" w:type="dxa"/>
            <w:left w:w="108" w:type="dxa"/>
            <w:bottom w:w="0" w:type="dxa"/>
            <w:right w:w="108" w:type="dxa"/>
          </w:tblCellMar>
        </w:tblPrEx>
        <w:trPr>
          <w:trHeight w:val="872"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2FC5A9BB">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4D0D25FA">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0C76C6C2">
            <w:pPr>
              <w:widowControl w:val="0"/>
              <w:spacing w:line="360" w:lineRule="auto"/>
              <w:jc w:val="center"/>
              <w:rPr>
                <w:rFonts w:hint="eastAsia" w:ascii="宋体" w:hAnsi="宋体" w:cs="宋体"/>
                <w:color w:val="000000" w:themeColor="text1"/>
                <w:kern w:val="2"/>
                <w:sz w:val="24"/>
                <w:szCs w:val="24"/>
                <w:highlight w:val="none"/>
                <w14:textFill>
                  <w14:solidFill>
                    <w14:schemeClr w14:val="tx1"/>
                  </w14:solidFill>
                </w14:textFill>
              </w:rPr>
            </w:pPr>
            <w:r>
              <w:rPr>
                <w:rFonts w:ascii="宋体" w:hAnsi="宋体" w:cs="宋体"/>
                <w:color w:val="000000" w:themeColor="text1"/>
                <w:kern w:val="2"/>
                <w:sz w:val="24"/>
                <w:szCs w:val="24"/>
                <w:highlight w:val="none"/>
                <w14:textFill>
                  <w14:solidFill>
                    <w14:schemeClr w14:val="tx1"/>
                  </w14:solidFill>
                </w14:textFill>
              </w:rPr>
              <w:t>磋商报价</w:t>
            </w:r>
          </w:p>
        </w:tc>
        <w:tc>
          <w:tcPr>
            <w:tcW w:w="5607" w:type="dxa"/>
            <w:tcBorders>
              <w:top w:val="single" w:color="auto" w:sz="4" w:space="0"/>
              <w:left w:val="single" w:color="auto" w:sz="4" w:space="0"/>
              <w:bottom w:val="single" w:color="auto" w:sz="4" w:space="0"/>
              <w:right w:val="single" w:color="auto" w:sz="4" w:space="0"/>
            </w:tcBorders>
            <w:vAlign w:val="center"/>
          </w:tcPr>
          <w:p w14:paraId="43B3B946">
            <w:pPr>
              <w:widowControl w:val="0"/>
              <w:spacing w:line="360" w:lineRule="auto"/>
              <w:jc w:val="both"/>
              <w:rPr>
                <w:rFonts w:hint="eastAsia" w:ascii="宋体" w:hAnsi="宋体" w:cs="宋体"/>
                <w:color w:val="000000" w:themeColor="text1"/>
                <w:kern w:val="2"/>
                <w:sz w:val="24"/>
                <w:szCs w:val="24"/>
                <w:highlight w:val="none"/>
                <w14:textFill>
                  <w14:solidFill>
                    <w14:schemeClr w14:val="tx1"/>
                  </w14:solidFill>
                </w14:textFill>
              </w:rPr>
            </w:pPr>
            <w:r>
              <w:rPr>
                <w:rFonts w:ascii="宋体" w:hAnsi="宋体" w:cs="宋体"/>
                <w:color w:val="000000" w:themeColor="text1"/>
                <w:kern w:val="2"/>
                <w:sz w:val="24"/>
                <w:szCs w:val="24"/>
                <w:highlight w:val="none"/>
                <w14:textFill>
                  <w14:solidFill>
                    <w14:schemeClr w14:val="tx1"/>
                  </w14:solidFill>
                </w14:textFill>
              </w:rPr>
              <w:t>磋商供应商的报价不能超出磋商预算价</w:t>
            </w:r>
            <w:r>
              <w:rPr>
                <w:rFonts w:hint="eastAsia" w:ascii="宋体" w:hAnsi="宋体" w:cs="宋体"/>
                <w:color w:val="000000" w:themeColor="text1"/>
                <w:kern w:val="2"/>
                <w:sz w:val="24"/>
                <w:szCs w:val="24"/>
                <w:highlight w:val="none"/>
                <w14:textFill>
                  <w14:solidFill>
                    <w14:schemeClr w14:val="tx1"/>
                  </w14:solidFill>
                </w14:textFill>
              </w:rPr>
              <w:t>，如超出按无效标处理</w:t>
            </w:r>
          </w:p>
        </w:tc>
      </w:tr>
      <w:tr w14:paraId="5B1B260A">
        <w:tblPrEx>
          <w:tblCellMar>
            <w:top w:w="0" w:type="dxa"/>
            <w:left w:w="108" w:type="dxa"/>
            <w:bottom w:w="0" w:type="dxa"/>
            <w:right w:w="108" w:type="dxa"/>
          </w:tblCellMar>
        </w:tblPrEx>
        <w:trPr>
          <w:trHeight w:val="567" w:hRule="atLeast"/>
        </w:trPr>
        <w:tc>
          <w:tcPr>
            <w:tcW w:w="832" w:type="dxa"/>
            <w:vMerge w:val="restart"/>
            <w:tcBorders>
              <w:top w:val="single" w:color="auto" w:sz="4" w:space="0"/>
              <w:left w:val="single" w:color="auto" w:sz="4" w:space="0"/>
              <w:bottom w:val="single" w:color="auto" w:sz="4" w:space="0"/>
              <w:right w:val="single" w:color="auto" w:sz="4" w:space="0"/>
            </w:tcBorders>
            <w:vAlign w:val="center"/>
          </w:tcPr>
          <w:p w14:paraId="465B59B0">
            <w:pPr>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2.1.3</w:t>
            </w:r>
          </w:p>
        </w:tc>
        <w:tc>
          <w:tcPr>
            <w:tcW w:w="1171" w:type="dxa"/>
            <w:vMerge w:val="restart"/>
            <w:tcBorders>
              <w:top w:val="single" w:color="auto" w:sz="4" w:space="0"/>
              <w:left w:val="single" w:color="auto" w:sz="4" w:space="0"/>
              <w:bottom w:val="single" w:color="auto" w:sz="4" w:space="0"/>
              <w:right w:val="single" w:color="auto" w:sz="4" w:space="0"/>
            </w:tcBorders>
            <w:vAlign w:val="center"/>
          </w:tcPr>
          <w:p w14:paraId="398C9DC3">
            <w:pPr>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实质性响应评审标准</w:t>
            </w:r>
          </w:p>
        </w:tc>
        <w:tc>
          <w:tcPr>
            <w:tcW w:w="2370" w:type="dxa"/>
            <w:tcBorders>
              <w:top w:val="single" w:color="auto" w:sz="4" w:space="0"/>
              <w:left w:val="single" w:color="auto" w:sz="4" w:space="0"/>
              <w:bottom w:val="single" w:color="auto" w:sz="4" w:space="0"/>
              <w:right w:val="single" w:color="auto" w:sz="4" w:space="0"/>
            </w:tcBorders>
            <w:vAlign w:val="center"/>
          </w:tcPr>
          <w:p w14:paraId="628D2019">
            <w:pPr>
              <w:widowControl w:val="0"/>
              <w:spacing w:line="360" w:lineRule="auto"/>
              <w:jc w:val="center"/>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供应商名称</w:t>
            </w:r>
          </w:p>
        </w:tc>
        <w:tc>
          <w:tcPr>
            <w:tcW w:w="5607" w:type="dxa"/>
            <w:tcBorders>
              <w:top w:val="single" w:color="auto" w:sz="4" w:space="0"/>
              <w:left w:val="single" w:color="auto" w:sz="4" w:space="0"/>
              <w:bottom w:val="single" w:color="auto" w:sz="4" w:space="0"/>
              <w:right w:val="single" w:color="auto" w:sz="4" w:space="0"/>
            </w:tcBorders>
            <w:vAlign w:val="center"/>
          </w:tcPr>
          <w:p w14:paraId="5B154C40">
            <w:pPr>
              <w:widowControl w:val="0"/>
              <w:spacing w:line="360" w:lineRule="auto"/>
              <w:jc w:val="both"/>
              <w:rPr>
                <w:rFonts w:hint="eastAsia" w:ascii="宋体" w:hAnsi="宋体" w:cs="宋体"/>
                <w:color w:val="000000" w:themeColor="text1"/>
                <w:kern w:val="2"/>
                <w:sz w:val="24"/>
                <w:szCs w:val="24"/>
                <w:highlight w:val="none"/>
                <w14:textFill>
                  <w14:solidFill>
                    <w14:schemeClr w14:val="tx1"/>
                  </w14:solidFill>
                </w14:textFill>
              </w:rPr>
            </w:pPr>
            <w:r>
              <w:rPr>
                <w:rFonts w:hint="eastAsia" w:ascii="宋体" w:hAnsi="宋体" w:cs="宋体"/>
                <w:color w:val="000000" w:themeColor="text1"/>
                <w:kern w:val="2"/>
                <w:sz w:val="24"/>
                <w:szCs w:val="24"/>
                <w:highlight w:val="none"/>
                <w14:textFill>
                  <w14:solidFill>
                    <w14:schemeClr w14:val="tx1"/>
                  </w14:solidFill>
                </w14:textFill>
              </w:rPr>
              <w:t>供应商名称与营业执照或事业单位法人证书一致</w:t>
            </w:r>
          </w:p>
        </w:tc>
      </w:tr>
      <w:tr w14:paraId="7CADDF02">
        <w:tblPrEx>
          <w:tblCellMar>
            <w:top w:w="0" w:type="dxa"/>
            <w:left w:w="108" w:type="dxa"/>
            <w:bottom w:w="0" w:type="dxa"/>
            <w:right w:w="108" w:type="dxa"/>
          </w:tblCellMar>
        </w:tblPrEx>
        <w:trPr>
          <w:trHeight w:val="572"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3B8F31F6">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7F7C8C85">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6827C892">
            <w:pPr>
              <w:widowControl w:val="0"/>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lang w:val="en-US" w:eastAsia="zh-CN"/>
              </w:rPr>
              <w:t>响应文件签章</w:t>
            </w:r>
          </w:p>
        </w:tc>
        <w:tc>
          <w:tcPr>
            <w:tcW w:w="5607" w:type="dxa"/>
            <w:tcBorders>
              <w:top w:val="single" w:color="auto" w:sz="4" w:space="0"/>
              <w:left w:val="single" w:color="auto" w:sz="4" w:space="0"/>
              <w:bottom w:val="single" w:color="auto" w:sz="4" w:space="0"/>
              <w:right w:val="single" w:color="auto" w:sz="4" w:space="0"/>
            </w:tcBorders>
            <w:vAlign w:val="center"/>
          </w:tcPr>
          <w:p w14:paraId="5946656D">
            <w:pPr>
              <w:widowControl w:val="0"/>
              <w:spacing w:line="360" w:lineRule="auto"/>
              <w:jc w:val="both"/>
              <w:rPr>
                <w:rFonts w:hint="eastAsia" w:ascii="宋体" w:hAnsi="宋体" w:cs="宋体"/>
                <w:kern w:val="2"/>
                <w:sz w:val="24"/>
                <w:szCs w:val="24"/>
                <w:highlight w:val="none"/>
              </w:rPr>
            </w:pPr>
            <w:r>
              <w:rPr>
                <w:rFonts w:hint="eastAsia" w:ascii="宋体" w:hAnsi="宋体" w:cs="宋体"/>
                <w:kern w:val="2"/>
                <w:sz w:val="24"/>
                <w:szCs w:val="24"/>
                <w:highlight w:val="none"/>
              </w:rPr>
              <w:t>符合竞争性磋商文件要求</w:t>
            </w:r>
          </w:p>
        </w:tc>
      </w:tr>
      <w:tr w14:paraId="1AFC55AD">
        <w:tblPrEx>
          <w:tblCellMar>
            <w:top w:w="0" w:type="dxa"/>
            <w:left w:w="108" w:type="dxa"/>
            <w:bottom w:w="0" w:type="dxa"/>
            <w:right w:w="108" w:type="dxa"/>
          </w:tblCellMar>
        </w:tblPrEx>
        <w:trPr>
          <w:trHeight w:val="552"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35515CD1">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0D6298F8">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1A9309CF">
            <w:pPr>
              <w:widowControl w:val="0"/>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响应文件格式</w:t>
            </w:r>
          </w:p>
        </w:tc>
        <w:tc>
          <w:tcPr>
            <w:tcW w:w="5607" w:type="dxa"/>
            <w:tcBorders>
              <w:top w:val="single" w:color="auto" w:sz="4" w:space="0"/>
              <w:left w:val="single" w:color="auto" w:sz="4" w:space="0"/>
              <w:bottom w:val="single" w:color="auto" w:sz="4" w:space="0"/>
              <w:right w:val="single" w:color="auto" w:sz="4" w:space="0"/>
            </w:tcBorders>
            <w:vAlign w:val="center"/>
          </w:tcPr>
          <w:p w14:paraId="15EC0805">
            <w:pPr>
              <w:widowControl w:val="0"/>
              <w:spacing w:line="360" w:lineRule="auto"/>
              <w:jc w:val="both"/>
              <w:rPr>
                <w:rFonts w:hint="eastAsia" w:ascii="宋体" w:hAnsi="宋体" w:cs="宋体"/>
                <w:kern w:val="2"/>
                <w:sz w:val="24"/>
                <w:szCs w:val="24"/>
                <w:highlight w:val="none"/>
              </w:rPr>
            </w:pPr>
            <w:r>
              <w:rPr>
                <w:rFonts w:hint="eastAsia" w:ascii="宋体" w:hAnsi="宋体" w:cs="宋体"/>
                <w:kern w:val="2"/>
                <w:sz w:val="24"/>
                <w:szCs w:val="24"/>
                <w:highlight w:val="none"/>
              </w:rPr>
              <w:t>符合竞争性磋商文件要求</w:t>
            </w:r>
          </w:p>
        </w:tc>
      </w:tr>
      <w:tr w14:paraId="0E0BF375">
        <w:tblPrEx>
          <w:tblCellMar>
            <w:top w:w="0" w:type="dxa"/>
            <w:left w:w="108" w:type="dxa"/>
            <w:bottom w:w="0" w:type="dxa"/>
            <w:right w:w="108" w:type="dxa"/>
          </w:tblCellMar>
        </w:tblPrEx>
        <w:trPr>
          <w:trHeight w:val="542" w:hRule="atLeast"/>
        </w:trPr>
        <w:tc>
          <w:tcPr>
            <w:tcW w:w="832" w:type="dxa"/>
            <w:vMerge w:val="continue"/>
            <w:tcBorders>
              <w:top w:val="single" w:color="auto" w:sz="4" w:space="0"/>
              <w:left w:val="single" w:color="auto" w:sz="4" w:space="0"/>
              <w:bottom w:val="single" w:color="auto" w:sz="4" w:space="0"/>
              <w:right w:val="single" w:color="auto" w:sz="4" w:space="0"/>
            </w:tcBorders>
            <w:vAlign w:val="center"/>
          </w:tcPr>
          <w:p w14:paraId="5D6F879E">
            <w:pPr>
              <w:spacing w:line="360" w:lineRule="auto"/>
              <w:rPr>
                <w:rFonts w:hint="eastAsia" w:ascii="宋体" w:hAnsi="宋体" w:cs="宋体"/>
                <w:kern w:val="2"/>
                <w:sz w:val="24"/>
                <w:szCs w:val="24"/>
                <w:highlight w:val="none"/>
              </w:rPr>
            </w:pPr>
          </w:p>
        </w:tc>
        <w:tc>
          <w:tcPr>
            <w:tcW w:w="1171" w:type="dxa"/>
            <w:vMerge w:val="continue"/>
            <w:tcBorders>
              <w:top w:val="single" w:color="auto" w:sz="4" w:space="0"/>
              <w:left w:val="single" w:color="auto" w:sz="4" w:space="0"/>
              <w:bottom w:val="single" w:color="auto" w:sz="4" w:space="0"/>
              <w:right w:val="single" w:color="auto" w:sz="4" w:space="0"/>
            </w:tcBorders>
            <w:vAlign w:val="center"/>
          </w:tcPr>
          <w:p w14:paraId="1AB293F7">
            <w:pPr>
              <w:spacing w:line="360" w:lineRule="auto"/>
              <w:rPr>
                <w:rFonts w:hint="eastAsia" w:ascii="宋体" w:hAnsi="宋体" w:cs="宋体"/>
                <w:kern w:val="2"/>
                <w:sz w:val="24"/>
                <w:szCs w:val="24"/>
                <w:highlight w:val="none"/>
              </w:rPr>
            </w:pPr>
          </w:p>
        </w:tc>
        <w:tc>
          <w:tcPr>
            <w:tcW w:w="2370" w:type="dxa"/>
            <w:tcBorders>
              <w:top w:val="single" w:color="auto" w:sz="4" w:space="0"/>
              <w:left w:val="single" w:color="auto" w:sz="4" w:space="0"/>
              <w:bottom w:val="single" w:color="auto" w:sz="4" w:space="0"/>
              <w:right w:val="single" w:color="auto" w:sz="4" w:space="0"/>
            </w:tcBorders>
            <w:vAlign w:val="center"/>
          </w:tcPr>
          <w:p w14:paraId="4FE31CDB">
            <w:pPr>
              <w:widowControl w:val="0"/>
              <w:spacing w:line="360" w:lineRule="auto"/>
              <w:jc w:val="center"/>
              <w:rPr>
                <w:rFonts w:hint="eastAsia" w:ascii="宋体" w:hAnsi="宋体" w:cs="宋体"/>
                <w:kern w:val="2"/>
                <w:sz w:val="24"/>
                <w:szCs w:val="24"/>
                <w:highlight w:val="none"/>
              </w:rPr>
            </w:pPr>
            <w:r>
              <w:rPr>
                <w:rFonts w:hint="eastAsia" w:ascii="宋体" w:hAnsi="宋体" w:cs="宋体"/>
                <w:kern w:val="2"/>
                <w:sz w:val="24"/>
                <w:szCs w:val="24"/>
                <w:highlight w:val="none"/>
              </w:rPr>
              <w:t>报价唯一</w:t>
            </w:r>
          </w:p>
        </w:tc>
        <w:tc>
          <w:tcPr>
            <w:tcW w:w="5607" w:type="dxa"/>
            <w:tcBorders>
              <w:top w:val="single" w:color="auto" w:sz="4" w:space="0"/>
              <w:left w:val="single" w:color="auto" w:sz="4" w:space="0"/>
              <w:bottom w:val="single" w:color="auto" w:sz="4" w:space="0"/>
              <w:right w:val="single" w:color="auto" w:sz="4" w:space="0"/>
            </w:tcBorders>
            <w:vAlign w:val="center"/>
          </w:tcPr>
          <w:p w14:paraId="56D6EB41">
            <w:pPr>
              <w:widowControl w:val="0"/>
              <w:spacing w:line="360" w:lineRule="auto"/>
              <w:jc w:val="both"/>
              <w:rPr>
                <w:rFonts w:hint="eastAsia" w:ascii="宋体" w:hAnsi="宋体" w:cs="宋体"/>
                <w:kern w:val="2"/>
                <w:sz w:val="24"/>
                <w:szCs w:val="24"/>
                <w:highlight w:val="none"/>
              </w:rPr>
            </w:pPr>
            <w:r>
              <w:rPr>
                <w:rFonts w:hint="eastAsia" w:ascii="宋体" w:hAnsi="宋体" w:cs="宋体"/>
                <w:kern w:val="2"/>
                <w:sz w:val="24"/>
                <w:szCs w:val="24"/>
                <w:highlight w:val="none"/>
              </w:rPr>
              <w:t>磋商函及磋商函附录中只能有一个有效报价</w:t>
            </w:r>
          </w:p>
        </w:tc>
      </w:tr>
    </w:tbl>
    <w:p w14:paraId="7B8796FB">
      <w:pPr>
        <w:widowControl w:val="0"/>
        <w:spacing w:line="360" w:lineRule="auto"/>
        <w:jc w:val="both"/>
        <w:rPr>
          <w:kern w:val="2"/>
          <w:sz w:val="24"/>
          <w:szCs w:val="24"/>
          <w:highlight w:val="none"/>
        </w:rPr>
      </w:pPr>
      <w:r>
        <w:rPr>
          <w:rFonts w:hint="eastAsia"/>
          <w:kern w:val="2"/>
          <w:sz w:val="24"/>
          <w:szCs w:val="24"/>
          <w:highlight w:val="none"/>
        </w:rPr>
        <w:t xml:space="preserve"> </w:t>
      </w:r>
    </w:p>
    <w:p w14:paraId="1BB82654">
      <w:pPr>
        <w:spacing w:line="360" w:lineRule="auto"/>
        <w:ind w:firstLine="480"/>
        <w:jc w:val="both"/>
        <w:outlineLvl w:val="1"/>
        <w:rPr>
          <w:color w:val="000000" w:themeColor="text1"/>
          <w:sz w:val="24"/>
          <w:szCs w:val="24"/>
          <w:highlight w:val="none"/>
          <w14:textFill>
            <w14:solidFill>
              <w14:schemeClr w14:val="tx1"/>
            </w14:solidFill>
          </w14:textFill>
        </w:rPr>
      </w:pPr>
      <w:bookmarkStart w:id="87" w:name="_Toc19062"/>
      <w:bookmarkStart w:id="88" w:name="_Toc17450"/>
      <w:bookmarkStart w:id="89" w:name="_Toc20868"/>
      <w:bookmarkStart w:id="90" w:name="_Toc18502"/>
      <w:bookmarkStart w:id="91" w:name="_Toc5963"/>
      <w:r>
        <w:rPr>
          <w:rFonts w:hint="eastAsia" w:ascii="宋体" w:hAnsi="宋体" w:cs="宋体"/>
          <w:b/>
          <w:color w:val="000000" w:themeColor="text1"/>
          <w:sz w:val="24"/>
          <w:szCs w:val="24"/>
          <w:highlight w:val="none"/>
          <w14:textFill>
            <w14:solidFill>
              <w14:schemeClr w14:val="tx1"/>
            </w14:solidFill>
          </w14:textFill>
        </w:rPr>
        <w:t>1.</w:t>
      </w:r>
      <w:r>
        <w:rPr>
          <w:rFonts w:hint="eastAsia" w:ascii="宋体" w:hAnsi="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b/>
          <w:color w:val="000000" w:themeColor="text1"/>
          <w:sz w:val="24"/>
          <w:szCs w:val="24"/>
          <w:highlight w:val="none"/>
          <w14:textFill>
            <w14:solidFill>
              <w14:schemeClr w14:val="tx1"/>
            </w14:solidFill>
          </w14:textFill>
        </w:rPr>
        <w:t>磋商文件的评审、比较和否决</w:t>
      </w:r>
      <w:bookmarkEnd w:id="87"/>
      <w:bookmarkEnd w:id="88"/>
      <w:bookmarkEnd w:id="89"/>
      <w:bookmarkEnd w:id="90"/>
      <w:bookmarkEnd w:id="91"/>
    </w:p>
    <w:p w14:paraId="02A323D6">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14:textFill>
            <w14:solidFill>
              <w14:schemeClr w14:val="tx1"/>
            </w14:solidFill>
          </w14:textFill>
        </w:rPr>
        <w:t>1.1</w:t>
      </w:r>
      <w:r>
        <w:rPr>
          <w:rFonts w:hint="eastAsia" w:ascii="宋体" w:hAnsi="宋体" w:cs="宋体"/>
          <w:color w:val="000000" w:themeColor="text1"/>
          <w:sz w:val="24"/>
          <w:szCs w:val="24"/>
          <w:highlight w:val="none"/>
          <w14:textFill>
            <w14:solidFill>
              <w14:schemeClr w14:val="tx1"/>
            </w14:solidFill>
          </w14:textFill>
        </w:rPr>
        <w:t>磋商小组将按照竞争性磋商文件的规定，仅对在实质上响应竞争性磋商文件要求的磋商文件进行评估和比较。</w:t>
      </w:r>
    </w:p>
    <w:p w14:paraId="47A26883">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14:textFill>
            <w14:solidFill>
              <w14:schemeClr w14:val="tx1"/>
            </w14:solidFill>
          </w14:textFill>
        </w:rPr>
        <w:t>1.2</w:t>
      </w:r>
      <w:r>
        <w:rPr>
          <w:rFonts w:hint="eastAsia" w:ascii="宋体" w:hAnsi="宋体" w:cs="宋体"/>
          <w:color w:val="000000" w:themeColor="text1"/>
          <w:sz w:val="24"/>
          <w:szCs w:val="24"/>
          <w:highlight w:val="none"/>
          <w14:textFill>
            <w14:solidFill>
              <w14:schemeClr w14:val="tx1"/>
            </w14:solidFill>
          </w14:textFill>
        </w:rPr>
        <w:t>根据相关法律法规及有关磋商文件规定，结合本项目具体情况，制定本次采购评标办法。并按照“公平、公正、科学、择优”的原则进行评标。采用百分制综合评估法进行评比。</w:t>
      </w:r>
    </w:p>
    <w:p w14:paraId="3C904408">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在评审过程中，磋商小组可以以书面形式要求磋商供应商就磋商文件中含义不明确的内容进行书面说明并提供相关材料；</w:t>
      </w:r>
      <w:r>
        <w:rPr>
          <w:rFonts w:hint="eastAsia" w:ascii="宋体" w:hAnsi="宋体" w:cs="宋体"/>
          <w:color w:val="000000" w:themeColor="text1"/>
          <w:spacing w:val="-12"/>
          <w:sz w:val="24"/>
          <w:szCs w:val="24"/>
          <w:highlight w:val="none"/>
          <w14:textFill>
            <w14:solidFill>
              <w14:schemeClr w14:val="tx1"/>
            </w14:solidFill>
          </w14:textFill>
        </w:rPr>
        <w:t>凡遇到竞争性磋商文件中无界定或界定不清、前后不一致使评委会成员</w:t>
      </w:r>
      <w:r>
        <w:rPr>
          <w:rFonts w:hint="eastAsia" w:ascii="宋体" w:hAnsi="宋体" w:cs="宋体"/>
          <w:color w:val="000000" w:themeColor="text1"/>
          <w:sz w:val="24"/>
          <w:szCs w:val="24"/>
          <w:highlight w:val="none"/>
          <w14:textFill>
            <w14:solidFill>
              <w14:schemeClr w14:val="tx1"/>
            </w14:solidFill>
          </w14:textFill>
        </w:rPr>
        <w:t>意见</w:t>
      </w:r>
      <w:r>
        <w:rPr>
          <w:rFonts w:hint="eastAsia" w:ascii="宋体" w:hAnsi="宋体" w:cs="宋体"/>
          <w:color w:val="000000" w:themeColor="text1"/>
          <w:spacing w:val="-12"/>
          <w:sz w:val="24"/>
          <w:szCs w:val="24"/>
          <w:highlight w:val="none"/>
          <w14:textFill>
            <w14:solidFill>
              <w14:schemeClr w14:val="tx1"/>
            </w14:solidFill>
          </w14:textFill>
        </w:rPr>
        <w:t>有分歧且又难于协商一致的问题，均由评委会予以表决，获半数以上同意的即为通过，未获半数同意的即为否决</w:t>
      </w:r>
      <w:r>
        <w:rPr>
          <w:rFonts w:hint="eastAsia" w:ascii="宋体" w:hAnsi="宋体" w:cs="宋体"/>
          <w:color w:val="000000" w:themeColor="text1"/>
          <w:sz w:val="24"/>
          <w:szCs w:val="24"/>
          <w:highlight w:val="none"/>
          <w14:textFill>
            <w14:solidFill>
              <w14:schemeClr w14:val="tx1"/>
            </w14:solidFill>
          </w14:textFill>
        </w:rPr>
        <w:t>。</w:t>
      </w:r>
    </w:p>
    <w:p w14:paraId="16E5EA1B">
      <w:pPr>
        <w:spacing w:line="360" w:lineRule="auto"/>
        <w:ind w:firstLine="480"/>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14:textFill>
            <w14:solidFill>
              <w14:schemeClr w14:val="tx1"/>
            </w14:solidFill>
          </w14:textFill>
        </w:rPr>
        <w:t>1.4</w:t>
      </w:r>
      <w:r>
        <w:rPr>
          <w:rFonts w:hint="eastAsia" w:ascii="宋体" w:hAnsi="宋体" w:cs="宋体"/>
          <w:color w:val="000000" w:themeColor="text1"/>
          <w:sz w:val="24"/>
          <w:szCs w:val="24"/>
          <w:highlight w:val="none"/>
          <w14:textFill>
            <w14:solidFill>
              <w14:schemeClr w14:val="tx1"/>
            </w14:solidFill>
          </w14:textFill>
        </w:rPr>
        <w:t>评标时，磋商报价是评标的重要依据，但不是唯一依据，采购人不承诺将合同授予报价最低或最高的磋商供应商。</w:t>
      </w:r>
    </w:p>
    <w:p w14:paraId="4F997BAA">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24"/>
          <w:szCs w:val="24"/>
          <w:highlight w:val="none"/>
          <w14:textFill>
            <w14:solidFill>
              <w14:schemeClr w14:val="tx1"/>
            </w14:solidFill>
          </w14:textFill>
        </w:rPr>
        <w:t>1.5</w:t>
      </w:r>
      <w:r>
        <w:rPr>
          <w:rFonts w:hint="eastAsia" w:ascii="宋体" w:hAnsi="宋体" w:cs="宋体"/>
          <w:color w:val="000000" w:themeColor="text1"/>
          <w:sz w:val="24"/>
          <w:szCs w:val="24"/>
          <w:highlight w:val="none"/>
          <w14:textFill>
            <w14:solidFill>
              <w14:schemeClr w14:val="tx1"/>
            </w14:solidFill>
          </w14:textFill>
        </w:rPr>
        <w:t>磋商小组依据竞争性磋商文件中规定的评标标准和方法，对磋商文件进行评审和比较，向采购人提出书面评标报告，并推荐合格的</w:t>
      </w:r>
      <w:r>
        <w:rPr>
          <w:rFonts w:hint="eastAsia" w:ascii="宋体" w:hAnsi="宋体" w:cs="宋体"/>
          <w:color w:val="000000" w:themeColor="text1"/>
          <w:sz w:val="24"/>
          <w:szCs w:val="24"/>
          <w:highlight w:val="none"/>
          <w:lang w:val="en-US" w:eastAsia="zh-CN"/>
          <w14:textFill>
            <w14:solidFill>
              <w14:schemeClr w14:val="tx1"/>
            </w14:solidFill>
          </w14:textFill>
        </w:rPr>
        <w:t>成交</w:t>
      </w:r>
      <w:r>
        <w:rPr>
          <w:rFonts w:hint="eastAsia" w:ascii="宋体" w:hAnsi="宋体" w:cs="宋体"/>
          <w:color w:val="000000" w:themeColor="text1"/>
          <w:sz w:val="24"/>
          <w:szCs w:val="24"/>
          <w:highlight w:val="none"/>
          <w14:textFill>
            <w14:solidFill>
              <w14:schemeClr w14:val="tx1"/>
            </w14:solidFill>
          </w14:textFill>
        </w:rPr>
        <w:t>候选人。采购人根据磋商小组提出的书面评标报告和推荐的</w:t>
      </w:r>
      <w:r>
        <w:rPr>
          <w:rFonts w:hint="eastAsia" w:ascii="宋体" w:hAnsi="宋体" w:cs="宋体"/>
          <w:color w:val="000000" w:themeColor="text1"/>
          <w:sz w:val="24"/>
          <w:szCs w:val="24"/>
          <w:highlight w:val="none"/>
          <w:lang w:eastAsia="zh-CN"/>
          <w14:textFill>
            <w14:solidFill>
              <w14:schemeClr w14:val="tx1"/>
            </w14:solidFill>
          </w14:textFill>
        </w:rPr>
        <w:t>成交</w:t>
      </w:r>
      <w:r>
        <w:rPr>
          <w:rFonts w:hint="eastAsia" w:ascii="宋体" w:hAnsi="宋体" w:cs="宋体"/>
          <w:color w:val="000000" w:themeColor="text1"/>
          <w:sz w:val="24"/>
          <w:szCs w:val="24"/>
          <w:highlight w:val="none"/>
          <w14:textFill>
            <w14:solidFill>
              <w14:schemeClr w14:val="tx1"/>
            </w14:solidFill>
          </w14:textFill>
        </w:rPr>
        <w:t>候选人按序确定</w:t>
      </w:r>
      <w:r>
        <w:rPr>
          <w:rFonts w:hint="eastAsia" w:ascii="宋体" w:hAnsi="宋体" w:cs="宋体"/>
          <w:color w:val="000000" w:themeColor="text1"/>
          <w:sz w:val="24"/>
          <w:szCs w:val="24"/>
          <w:highlight w:val="none"/>
          <w:lang w:eastAsia="zh-CN"/>
          <w14:textFill>
            <w14:solidFill>
              <w14:schemeClr w14:val="tx1"/>
            </w14:solidFill>
          </w14:textFill>
        </w:rPr>
        <w:t>成交</w:t>
      </w:r>
      <w:r>
        <w:rPr>
          <w:rFonts w:hint="eastAsia" w:ascii="宋体" w:hAnsi="宋体" w:cs="宋体"/>
          <w:color w:val="000000" w:themeColor="text1"/>
          <w:sz w:val="24"/>
          <w:szCs w:val="24"/>
          <w:highlight w:val="none"/>
          <w14:textFill>
            <w14:solidFill>
              <w14:schemeClr w14:val="tx1"/>
            </w14:solidFill>
          </w14:textFill>
        </w:rPr>
        <w:t>人。</w:t>
      </w:r>
    </w:p>
    <w:p w14:paraId="4E29FACE">
      <w:pPr>
        <w:spacing w:line="360" w:lineRule="auto"/>
        <w:ind w:firstLine="480"/>
        <w:jc w:val="both"/>
        <w:outlineLvl w:val="1"/>
        <w:rPr>
          <w:color w:val="000000" w:themeColor="text1"/>
          <w:sz w:val="24"/>
          <w:szCs w:val="24"/>
          <w:highlight w:val="none"/>
          <w14:textFill>
            <w14:solidFill>
              <w14:schemeClr w14:val="tx1"/>
            </w14:solidFill>
          </w14:textFill>
        </w:rPr>
      </w:pPr>
      <w:bookmarkStart w:id="92" w:name="_Toc416"/>
      <w:bookmarkStart w:id="93" w:name="_Toc22897"/>
      <w:bookmarkStart w:id="94" w:name="_Toc8183"/>
      <w:bookmarkStart w:id="95" w:name="_Toc13131"/>
      <w:bookmarkStart w:id="96" w:name="_Toc4591"/>
      <w:r>
        <w:rPr>
          <w:rFonts w:hint="eastAsia" w:ascii="宋体" w:hAnsi="宋体" w:cs="宋体"/>
          <w:b/>
          <w:color w:val="000000" w:themeColor="text1"/>
          <w:sz w:val="24"/>
          <w:szCs w:val="24"/>
          <w:highlight w:val="none"/>
          <w14:textFill>
            <w14:solidFill>
              <w14:schemeClr w14:val="tx1"/>
            </w14:solidFill>
          </w14:textFill>
        </w:rPr>
        <w:t>2. 评审程序</w:t>
      </w:r>
      <w:bookmarkEnd w:id="92"/>
      <w:bookmarkEnd w:id="93"/>
      <w:bookmarkEnd w:id="94"/>
      <w:bookmarkEnd w:id="95"/>
      <w:bookmarkEnd w:id="96"/>
    </w:p>
    <w:p w14:paraId="3B8786B4">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2.1 资格审查</w:t>
      </w:r>
    </w:p>
    <w:p w14:paraId="5947875F">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本项目采用资格后审</w:t>
      </w:r>
    </w:p>
    <w:p w14:paraId="28213B81">
      <w:pPr>
        <w:spacing w:line="360" w:lineRule="auto"/>
        <w:ind w:firstLine="480"/>
        <w:jc w:val="both"/>
        <w:rPr>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磋商小组按照竞争性磋商文件供应商资格要求，对磋商供应商的磋商文件进行初步评审，有一项不符合的，视为未通过初步审查，按废标处理，符合的进入下一评标程序。</w:t>
      </w:r>
    </w:p>
    <w:p w14:paraId="1DF47E3C">
      <w:pPr>
        <w:numPr>
          <w:ilvl w:val="0"/>
          <w:numId w:val="1"/>
        </w:numPr>
        <w:spacing w:line="360" w:lineRule="auto"/>
        <w:ind w:firstLine="472" w:firstLineChars="196"/>
        <w:outlineLvl w:val="1"/>
        <w:rPr>
          <w:rFonts w:hint="eastAsia" w:ascii="宋体" w:hAnsi="宋体" w:cs="宋体"/>
          <w:b/>
          <w:color w:val="000000" w:themeColor="text1"/>
          <w:sz w:val="24"/>
          <w:szCs w:val="24"/>
          <w:highlight w:val="none"/>
          <w14:textFill>
            <w14:solidFill>
              <w14:schemeClr w14:val="tx1"/>
            </w14:solidFill>
          </w14:textFill>
        </w:rPr>
      </w:pPr>
      <w:bookmarkStart w:id="97" w:name="_Toc20961"/>
      <w:bookmarkStart w:id="98" w:name="_Toc2527"/>
      <w:bookmarkStart w:id="99" w:name="_Toc3412"/>
      <w:bookmarkStart w:id="100" w:name="_Toc15259"/>
      <w:bookmarkStart w:id="101" w:name="_Toc22405"/>
      <w:r>
        <w:rPr>
          <w:rFonts w:hint="eastAsia" w:ascii="宋体" w:hAnsi="宋体" w:cs="宋体"/>
          <w:b/>
          <w:color w:val="000000" w:themeColor="text1"/>
          <w:sz w:val="24"/>
          <w:szCs w:val="24"/>
          <w:highlight w:val="none"/>
          <w14:textFill>
            <w14:solidFill>
              <w14:schemeClr w14:val="tx1"/>
            </w14:solidFill>
          </w14:textFill>
        </w:rPr>
        <w:t>评标具体方法和标准</w:t>
      </w:r>
      <w:bookmarkEnd w:id="97"/>
      <w:bookmarkEnd w:id="98"/>
      <w:bookmarkEnd w:id="99"/>
      <w:bookmarkEnd w:id="100"/>
      <w:bookmarkEnd w:id="101"/>
    </w:p>
    <w:p w14:paraId="479B8A61">
      <w:pPr>
        <w:spacing w:line="360" w:lineRule="auto"/>
        <w:ind w:firstLine="480"/>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磋商小组根据评标原则和办法对所有磋商文件进行集中审核，分别评价。</w:t>
      </w:r>
    </w:p>
    <w:p w14:paraId="35188920">
      <w:pPr>
        <w:spacing w:line="360" w:lineRule="auto"/>
        <w:ind w:firstLine="480"/>
        <w:jc w:val="both"/>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评审因素：首先应对供应商的资格文件进行审查，不能通过初步审查的，其响应文件不再评审，通过初步审查的，其进入以下评标程序。</w:t>
      </w:r>
    </w:p>
    <w:p w14:paraId="09515AF5">
      <w:pPr>
        <w:pStyle w:val="17"/>
        <w:spacing w:line="360" w:lineRule="auto"/>
        <w:ind w:left="400" w:firstLine="0" w:firstLineChars="0"/>
        <w:jc w:val="center"/>
        <w:outlineLvl w:val="1"/>
        <w:rPr>
          <w:rFonts w:hint="eastAsia" w:ascii="宋体" w:hAnsi="宋体" w:cs="宋体"/>
          <w:b/>
          <w:bCs/>
          <w:color w:val="000000" w:themeColor="text1"/>
          <w:sz w:val="28"/>
          <w:szCs w:val="28"/>
          <w:highlight w:val="none"/>
          <w14:textFill>
            <w14:solidFill>
              <w14:schemeClr w14:val="tx1"/>
            </w14:solidFill>
          </w14:textFill>
        </w:rPr>
      </w:pPr>
      <w:bookmarkStart w:id="102" w:name="_Toc3541"/>
      <w:bookmarkStart w:id="103" w:name="_Toc14737"/>
      <w:bookmarkStart w:id="104" w:name="_Toc2673"/>
      <w:bookmarkStart w:id="105" w:name="_Toc22971"/>
    </w:p>
    <w:p w14:paraId="111B23AD">
      <w:pPr>
        <w:pStyle w:val="17"/>
        <w:spacing w:line="360" w:lineRule="auto"/>
        <w:ind w:left="400" w:firstLine="0" w:firstLineChars="0"/>
        <w:jc w:val="center"/>
        <w:outlineLvl w:val="1"/>
        <w:rPr>
          <w:rFonts w:hint="eastAsia" w:ascii="宋体" w:hAnsi="宋体" w:cs="宋体"/>
          <w:b/>
          <w:bCs/>
          <w:color w:val="000000" w:themeColor="text1"/>
          <w:sz w:val="28"/>
          <w:szCs w:val="28"/>
          <w:highlight w:val="none"/>
          <w14:textFill>
            <w14:solidFill>
              <w14:schemeClr w14:val="tx1"/>
            </w14:solidFill>
          </w14:textFill>
        </w:rPr>
      </w:pPr>
    </w:p>
    <w:p w14:paraId="59345FF0">
      <w:pPr>
        <w:pStyle w:val="17"/>
        <w:spacing w:line="360" w:lineRule="auto"/>
        <w:ind w:left="400" w:firstLine="0" w:firstLineChars="0"/>
        <w:jc w:val="center"/>
        <w:outlineLvl w:val="1"/>
        <w:rPr>
          <w:rFonts w:hint="eastAsia" w:ascii="宋体" w:hAnsi="宋体" w:cs="宋体"/>
          <w:b/>
          <w:bCs/>
          <w:color w:val="000000" w:themeColor="text1"/>
          <w:sz w:val="28"/>
          <w:szCs w:val="28"/>
          <w:highlight w:val="none"/>
          <w14:textFill>
            <w14:solidFill>
              <w14:schemeClr w14:val="tx1"/>
            </w14:solidFill>
          </w14:textFill>
        </w:rPr>
      </w:pPr>
    </w:p>
    <w:p w14:paraId="49516DF4">
      <w:pPr>
        <w:pStyle w:val="17"/>
        <w:spacing w:line="360" w:lineRule="auto"/>
        <w:ind w:left="400" w:firstLine="0" w:firstLineChars="0"/>
        <w:jc w:val="center"/>
        <w:outlineLvl w:val="1"/>
        <w:rPr>
          <w:rFonts w:hint="eastAsia" w:ascii="宋体" w:hAnsi="宋体" w:cs="宋体"/>
          <w:b/>
          <w:bCs/>
          <w:color w:val="000000" w:themeColor="text1"/>
          <w:sz w:val="28"/>
          <w:szCs w:val="28"/>
          <w:highlight w:val="none"/>
          <w14:textFill>
            <w14:solidFill>
              <w14:schemeClr w14:val="tx1"/>
            </w14:solidFill>
          </w14:textFill>
        </w:rPr>
      </w:pPr>
    </w:p>
    <w:p w14:paraId="58B97D77">
      <w:pP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br w:type="page"/>
      </w:r>
    </w:p>
    <w:p w14:paraId="53F3F578">
      <w:pPr>
        <w:pStyle w:val="17"/>
        <w:spacing w:line="360" w:lineRule="auto"/>
        <w:ind w:left="400" w:firstLine="0" w:firstLineChars="0"/>
        <w:jc w:val="center"/>
        <w:outlineLvl w:val="1"/>
        <w:rPr>
          <w:rFonts w:hint="eastAsia" w:ascii="宋体" w:hAnsi="宋体" w:cs="宋体"/>
          <w:b/>
          <w:bCs/>
          <w:color w:val="000000" w:themeColor="text1"/>
          <w:sz w:val="28"/>
          <w:szCs w:val="28"/>
          <w:highlight w:val="none"/>
          <w14:textFill>
            <w14:solidFill>
              <w14:schemeClr w14:val="tx1"/>
            </w14:solidFill>
          </w14:textFill>
        </w:rPr>
      </w:pPr>
      <w:bookmarkStart w:id="106" w:name="_Toc14123"/>
      <w:r>
        <w:rPr>
          <w:rFonts w:hint="eastAsia" w:ascii="宋体" w:hAnsi="宋体" w:cs="宋体"/>
          <w:b/>
          <w:bCs/>
          <w:color w:val="000000" w:themeColor="text1"/>
          <w:sz w:val="28"/>
          <w:szCs w:val="28"/>
          <w:highlight w:val="none"/>
          <w14:textFill>
            <w14:solidFill>
              <w14:schemeClr w14:val="tx1"/>
            </w14:solidFill>
          </w14:textFill>
        </w:rPr>
        <w:t>综合评分法评标办法</w:t>
      </w:r>
      <w:bookmarkEnd w:id="102"/>
      <w:bookmarkEnd w:id="103"/>
      <w:bookmarkEnd w:id="104"/>
      <w:bookmarkEnd w:id="105"/>
      <w:bookmarkEnd w:id="106"/>
    </w:p>
    <w:tbl>
      <w:tblPr>
        <w:tblStyle w:val="18"/>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939"/>
        <w:gridCol w:w="6276"/>
      </w:tblGrid>
      <w:tr w14:paraId="564B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5" w:type="dxa"/>
            <w:gridSpan w:val="2"/>
            <w:tcBorders>
              <w:top w:val="single" w:color="auto" w:sz="4" w:space="0"/>
              <w:left w:val="single" w:color="auto" w:sz="4" w:space="0"/>
              <w:bottom w:val="single" w:color="auto" w:sz="4" w:space="0"/>
              <w:right w:val="single" w:color="auto" w:sz="4" w:space="0"/>
            </w:tcBorders>
            <w:vAlign w:val="center"/>
          </w:tcPr>
          <w:p w14:paraId="511CCF8A">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条款内容</w:t>
            </w:r>
          </w:p>
        </w:tc>
        <w:tc>
          <w:tcPr>
            <w:tcW w:w="6276" w:type="dxa"/>
            <w:tcBorders>
              <w:top w:val="single" w:color="auto" w:sz="4" w:space="0"/>
              <w:left w:val="nil"/>
              <w:bottom w:val="single" w:color="auto" w:sz="4" w:space="0"/>
              <w:right w:val="single" w:color="auto" w:sz="4" w:space="0"/>
            </w:tcBorders>
            <w:vAlign w:val="center"/>
          </w:tcPr>
          <w:p w14:paraId="5952BDE5">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编列内容</w:t>
            </w:r>
          </w:p>
        </w:tc>
      </w:tr>
      <w:tr w14:paraId="6C5D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5" w:type="dxa"/>
            <w:gridSpan w:val="2"/>
            <w:tcBorders>
              <w:top w:val="single" w:color="auto" w:sz="4" w:space="0"/>
              <w:left w:val="single" w:color="auto" w:sz="4" w:space="0"/>
              <w:bottom w:val="single" w:color="auto" w:sz="4" w:space="0"/>
              <w:right w:val="single" w:color="auto" w:sz="4" w:space="0"/>
            </w:tcBorders>
            <w:vAlign w:val="center"/>
          </w:tcPr>
          <w:p w14:paraId="3554511D">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分值构成（总分100分）</w:t>
            </w:r>
          </w:p>
        </w:tc>
        <w:tc>
          <w:tcPr>
            <w:tcW w:w="6276" w:type="dxa"/>
            <w:tcBorders>
              <w:top w:val="single" w:color="auto" w:sz="4" w:space="0"/>
              <w:left w:val="nil"/>
              <w:bottom w:val="single" w:color="auto" w:sz="4" w:space="0"/>
              <w:right w:val="single" w:color="auto" w:sz="4" w:space="0"/>
            </w:tcBorders>
            <w:vAlign w:val="center"/>
          </w:tcPr>
          <w:p w14:paraId="7EB8A25E">
            <w:pPr>
              <w:adjustRightInd w:val="0"/>
              <w:spacing w:line="360" w:lineRule="auto"/>
              <w:ind w:left="2" w:hanging="2" w:hangingChars="1"/>
              <w:jc w:val="both"/>
              <w:rPr>
                <w:rFonts w:hint="eastAsia" w:ascii="宋体" w:hAnsi="宋体" w:cs="宋体"/>
                <w:kern w:val="2"/>
                <w:sz w:val="24"/>
                <w:szCs w:val="24"/>
                <w:highlight w:val="none"/>
              </w:rPr>
            </w:pPr>
            <w:r>
              <w:rPr>
                <w:rFonts w:hint="eastAsia" w:ascii="宋体" w:hAnsi="宋体" w:cs="宋体"/>
                <w:kern w:val="2"/>
                <w:sz w:val="24"/>
                <w:szCs w:val="24"/>
                <w:highlight w:val="none"/>
              </w:rPr>
              <w:t>投标报价：</w:t>
            </w:r>
            <w:r>
              <w:rPr>
                <w:rFonts w:hint="eastAsia" w:ascii="宋体" w:hAnsi="宋体" w:cs="宋体"/>
                <w:kern w:val="2"/>
                <w:sz w:val="24"/>
                <w:szCs w:val="24"/>
                <w:highlight w:val="none"/>
                <w:lang w:val="en-US" w:eastAsia="zh-CN"/>
              </w:rPr>
              <w:t>10</w:t>
            </w:r>
            <w:r>
              <w:rPr>
                <w:rFonts w:hint="eastAsia" w:ascii="宋体" w:hAnsi="宋体" w:cs="宋体"/>
                <w:kern w:val="2"/>
                <w:sz w:val="24"/>
                <w:szCs w:val="24"/>
                <w:highlight w:val="none"/>
              </w:rPr>
              <w:t>分</w:t>
            </w:r>
          </w:p>
          <w:p w14:paraId="0C39F261">
            <w:pPr>
              <w:adjustRightInd w:val="0"/>
              <w:spacing w:line="360" w:lineRule="auto"/>
              <w:ind w:left="2" w:hanging="2" w:hangingChars="1"/>
              <w:jc w:val="both"/>
              <w:rPr>
                <w:rFonts w:hint="eastAsia" w:ascii="宋体" w:hAnsi="宋体" w:cs="宋体"/>
                <w:kern w:val="2"/>
                <w:sz w:val="24"/>
                <w:szCs w:val="24"/>
                <w:highlight w:val="none"/>
              </w:rPr>
            </w:pPr>
            <w:r>
              <w:rPr>
                <w:rFonts w:hint="eastAsia" w:ascii="宋体" w:hAnsi="宋体" w:cs="宋体"/>
                <w:kern w:val="2"/>
                <w:sz w:val="24"/>
                <w:szCs w:val="24"/>
                <w:highlight w:val="none"/>
              </w:rPr>
              <w:t>技术部分：</w:t>
            </w:r>
            <w:r>
              <w:rPr>
                <w:rFonts w:hint="eastAsia" w:ascii="宋体" w:hAnsi="宋体" w:cs="宋体"/>
                <w:kern w:val="2"/>
                <w:sz w:val="24"/>
                <w:szCs w:val="24"/>
                <w:highlight w:val="none"/>
                <w:lang w:val="en-US" w:eastAsia="zh-CN"/>
              </w:rPr>
              <w:t>70</w:t>
            </w:r>
            <w:r>
              <w:rPr>
                <w:rFonts w:hint="eastAsia" w:ascii="宋体" w:hAnsi="宋体" w:cs="宋体"/>
                <w:kern w:val="2"/>
                <w:sz w:val="24"/>
                <w:szCs w:val="24"/>
                <w:highlight w:val="none"/>
              </w:rPr>
              <w:t>分</w:t>
            </w:r>
          </w:p>
          <w:p w14:paraId="26141B07">
            <w:pPr>
              <w:adjustRightInd w:val="0"/>
              <w:spacing w:line="360" w:lineRule="auto"/>
              <w:ind w:left="2" w:hanging="2" w:hangingChars="1"/>
              <w:jc w:val="both"/>
              <w:rPr>
                <w:rFonts w:hint="eastAsia" w:ascii="宋体" w:hAnsi="宋体" w:cs="宋体"/>
                <w:kern w:val="2"/>
                <w:sz w:val="24"/>
                <w:szCs w:val="24"/>
                <w:highlight w:val="none"/>
              </w:rPr>
            </w:pPr>
            <w:r>
              <w:rPr>
                <w:rFonts w:hint="eastAsia" w:ascii="宋体" w:hAnsi="宋体" w:cs="宋体"/>
                <w:kern w:val="2"/>
                <w:sz w:val="24"/>
                <w:szCs w:val="24"/>
                <w:highlight w:val="none"/>
              </w:rPr>
              <w:t>综合部分：</w:t>
            </w:r>
            <w:r>
              <w:rPr>
                <w:rFonts w:hint="eastAsia" w:ascii="宋体" w:hAnsi="宋体" w:cs="宋体"/>
                <w:kern w:val="2"/>
                <w:sz w:val="24"/>
                <w:szCs w:val="24"/>
                <w:highlight w:val="none"/>
                <w:lang w:val="en-US" w:eastAsia="zh-CN"/>
              </w:rPr>
              <w:t>20</w:t>
            </w:r>
            <w:r>
              <w:rPr>
                <w:rFonts w:hint="eastAsia" w:ascii="宋体" w:hAnsi="宋体" w:cs="宋体"/>
                <w:kern w:val="2"/>
                <w:sz w:val="24"/>
                <w:szCs w:val="24"/>
                <w:highlight w:val="none"/>
              </w:rPr>
              <w:t>分</w:t>
            </w:r>
          </w:p>
        </w:tc>
      </w:tr>
      <w:tr w14:paraId="443D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0F854D72">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评审项</w:t>
            </w:r>
          </w:p>
        </w:tc>
        <w:tc>
          <w:tcPr>
            <w:tcW w:w="1939" w:type="dxa"/>
            <w:tcBorders>
              <w:top w:val="single" w:color="auto" w:sz="4" w:space="0"/>
              <w:left w:val="nil"/>
              <w:bottom w:val="single" w:color="auto" w:sz="4" w:space="0"/>
              <w:right w:val="single" w:color="auto" w:sz="4" w:space="0"/>
            </w:tcBorders>
            <w:vAlign w:val="center"/>
          </w:tcPr>
          <w:p w14:paraId="07F8D719">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编列内容</w:t>
            </w:r>
          </w:p>
        </w:tc>
        <w:tc>
          <w:tcPr>
            <w:tcW w:w="6276" w:type="dxa"/>
            <w:tcBorders>
              <w:top w:val="single" w:color="auto" w:sz="4" w:space="0"/>
              <w:left w:val="nil"/>
              <w:bottom w:val="single" w:color="auto" w:sz="4" w:space="0"/>
              <w:right w:val="single" w:color="auto" w:sz="4" w:space="0"/>
            </w:tcBorders>
            <w:vAlign w:val="center"/>
          </w:tcPr>
          <w:p w14:paraId="706094E6">
            <w:pPr>
              <w:adjustRightInd w:val="0"/>
              <w:spacing w:line="360" w:lineRule="auto"/>
              <w:ind w:left="2" w:hanging="2" w:hangingChars="1"/>
              <w:jc w:val="center"/>
              <w:rPr>
                <w:rFonts w:hint="eastAsia" w:ascii="宋体" w:hAnsi="宋体" w:cs="宋体"/>
                <w:kern w:val="2"/>
                <w:sz w:val="24"/>
                <w:szCs w:val="24"/>
                <w:highlight w:val="none"/>
              </w:rPr>
            </w:pPr>
            <w:r>
              <w:rPr>
                <w:rFonts w:hint="eastAsia" w:ascii="宋体" w:hAnsi="宋体" w:cs="宋体"/>
                <w:kern w:val="2"/>
                <w:sz w:val="24"/>
                <w:szCs w:val="24"/>
                <w:highlight w:val="none"/>
              </w:rPr>
              <w:t>评审方法</w:t>
            </w:r>
          </w:p>
        </w:tc>
      </w:tr>
      <w:tr w14:paraId="43A6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tcBorders>
              <w:top w:val="single" w:color="auto" w:sz="4" w:space="0"/>
              <w:left w:val="single" w:color="auto" w:sz="4" w:space="0"/>
              <w:bottom w:val="single" w:color="auto" w:sz="4" w:space="0"/>
              <w:right w:val="single" w:color="auto" w:sz="4" w:space="0"/>
            </w:tcBorders>
            <w:vAlign w:val="center"/>
          </w:tcPr>
          <w:p w14:paraId="79CBCE6F">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投标报价（</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tc>
        <w:tc>
          <w:tcPr>
            <w:tcW w:w="1939" w:type="dxa"/>
            <w:tcBorders>
              <w:top w:val="single" w:color="auto" w:sz="4" w:space="0"/>
              <w:left w:val="nil"/>
              <w:bottom w:val="single" w:color="auto" w:sz="4" w:space="0"/>
              <w:right w:val="single" w:color="auto" w:sz="4" w:space="0"/>
            </w:tcBorders>
            <w:vAlign w:val="center"/>
          </w:tcPr>
          <w:p w14:paraId="1ABB6B44">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投标报价</w:t>
            </w:r>
          </w:p>
        </w:tc>
        <w:tc>
          <w:tcPr>
            <w:tcW w:w="6276" w:type="dxa"/>
            <w:tcBorders>
              <w:top w:val="single" w:color="auto" w:sz="4" w:space="0"/>
              <w:left w:val="nil"/>
              <w:bottom w:val="single" w:color="auto" w:sz="4" w:space="0"/>
              <w:right w:val="single" w:color="auto" w:sz="4" w:space="0"/>
            </w:tcBorders>
            <w:vAlign w:val="center"/>
          </w:tcPr>
          <w:p w14:paraId="7010F24B">
            <w:pPr>
              <w:pStyle w:val="28"/>
              <w:spacing w:before="39" w:line="359" w:lineRule="auto"/>
              <w:ind w:left="24" w:right="115" w:hanging="1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计算方法如下：</w:t>
            </w:r>
          </w:p>
          <w:p w14:paraId="53D47461">
            <w:pPr>
              <w:pStyle w:val="28"/>
              <w:spacing w:before="39" w:line="359" w:lineRule="auto"/>
              <w:ind w:left="24" w:right="115" w:hanging="1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评标基准价=满足磋商文件要求的最低有效报价为基准价</w:t>
            </w:r>
          </w:p>
          <w:p w14:paraId="120E6E22">
            <w:pPr>
              <w:widowControl w:val="0"/>
              <w:adjustRightInd w:val="0"/>
              <w:snapToGrid w:val="0"/>
              <w:spacing w:line="360" w:lineRule="auto"/>
              <w:jc w:val="both"/>
              <w:rPr>
                <w:rFonts w:hint="default" w:ascii="宋体" w:hAnsi="宋体" w:eastAsia="宋体" w:cs="宋体"/>
                <w:bCs/>
                <w:kern w:val="2"/>
                <w:sz w:val="24"/>
                <w:szCs w:val="24"/>
                <w:highlight w:val="none"/>
                <w:lang w:val="en-US" w:eastAsia="zh-CN"/>
              </w:rPr>
            </w:pPr>
            <w:r>
              <w:rPr>
                <w:rFonts w:hint="eastAsia" w:ascii="宋体" w:hAnsi="宋体" w:cs="宋体"/>
                <w:bCs/>
                <w:kern w:val="2"/>
                <w:sz w:val="24"/>
                <w:szCs w:val="24"/>
                <w:highlight w:val="none"/>
              </w:rPr>
              <w:t>报价得分=(磋商基准价/最后磋商报价)×</w:t>
            </w:r>
            <w:r>
              <w:rPr>
                <w:rFonts w:hint="eastAsia" w:ascii="宋体" w:hAnsi="宋体" w:cs="宋体"/>
                <w:bCs/>
                <w:kern w:val="2"/>
                <w:sz w:val="24"/>
                <w:szCs w:val="24"/>
                <w:highlight w:val="none"/>
                <w:lang w:val="en-US" w:eastAsia="zh-CN"/>
              </w:rPr>
              <w:t>10</w:t>
            </w:r>
          </w:p>
          <w:p w14:paraId="22BEC92B">
            <w:pPr>
              <w:pStyle w:val="28"/>
              <w:spacing w:before="39" w:line="359" w:lineRule="auto"/>
              <w:ind w:left="24" w:right="115" w:hanging="1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（1）为贯彻落实《政府采购促进中小企业发展管理办法》（财库</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2020</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46号）、《关于进一步加大政府采购支持中小企业力度的通知》财库</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2022</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19号、《关于促进残疾人就业政府采购政策的通知》（财库</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2017</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141号）、《关于政府采购支持监狱企业发展有关问题的通知》（财库</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2014</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68号）等规定，促进中小型企业的发展，评审时给予小型或微型企业、监狱企业、残疾人福利性单位产品的价格给予</w:t>
            </w:r>
            <w:r>
              <w:rPr>
                <w:rFonts w:hint="eastAsia" w:ascii="宋体" w:hAnsi="宋体" w:eastAsia="宋体" w:cs="宋体"/>
                <w:color w:val="auto"/>
                <w:spacing w:val="-1"/>
                <w:highlight w:val="none"/>
                <w:lang w:eastAsia="zh-CN"/>
              </w:rPr>
              <w:t>20%</w:t>
            </w:r>
            <w:r>
              <w:rPr>
                <w:rFonts w:hint="eastAsia" w:ascii="宋体" w:hAnsi="宋体" w:eastAsia="宋体" w:cs="宋体"/>
                <w:color w:val="auto"/>
                <w:spacing w:val="-1"/>
                <w:highlight w:val="none"/>
              </w:rPr>
              <w:t>的价格扣除，用扣除后的价格参与评审。</w:t>
            </w:r>
          </w:p>
          <w:p w14:paraId="35D49224">
            <w:pPr>
              <w:pStyle w:val="28"/>
              <w:spacing w:before="39" w:line="359" w:lineRule="auto"/>
              <w:ind w:left="24" w:right="115" w:hanging="1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同一</w:t>
            </w:r>
            <w:r>
              <w:rPr>
                <w:rFonts w:hint="eastAsia" w:cs="宋体"/>
                <w:color w:val="auto"/>
                <w:spacing w:val="-1"/>
                <w:highlight w:val="none"/>
                <w:lang w:eastAsia="zh-CN"/>
              </w:rPr>
              <w:t>投标供应商</w:t>
            </w:r>
            <w:r>
              <w:rPr>
                <w:rFonts w:hint="eastAsia" w:ascii="宋体" w:hAnsi="宋体" w:eastAsia="宋体" w:cs="宋体"/>
                <w:color w:val="auto"/>
                <w:spacing w:val="-1"/>
                <w:highlight w:val="none"/>
              </w:rPr>
              <w:t>，小微企业、监狱企业、残疾人福利性单位价格扣除优惠只享受一次，不得重复享受。应提供《</w:t>
            </w:r>
            <w:r>
              <w:rPr>
                <w:rFonts w:hint="eastAsia" w:cs="宋体"/>
                <w:color w:val="auto"/>
                <w:spacing w:val="-1"/>
                <w:highlight w:val="none"/>
                <w:lang w:eastAsia="zh-CN"/>
              </w:rPr>
              <w:t>中小企业声明函</w:t>
            </w:r>
            <w:r>
              <w:rPr>
                <w:rFonts w:hint="eastAsia" w:ascii="宋体" w:hAnsi="宋体" w:eastAsia="宋体" w:cs="宋体"/>
                <w:color w:val="auto"/>
                <w:spacing w:val="-1"/>
                <w:highlight w:val="none"/>
              </w:rPr>
              <w:t>》</w:t>
            </w:r>
            <w:r>
              <w:rPr>
                <w:rFonts w:hint="eastAsia" w:ascii="宋体" w:hAnsi="宋体" w:eastAsia="宋体" w:cs="宋体"/>
                <w:color w:val="auto"/>
                <w:spacing w:val="-1"/>
                <w:highlight w:val="none"/>
                <w:lang w:eastAsia="zh-CN"/>
              </w:rPr>
              <w:t>，</w:t>
            </w:r>
            <w:r>
              <w:rPr>
                <w:rFonts w:hint="eastAsia" w:ascii="宋体" w:hAnsi="宋体" w:eastAsia="宋体" w:cs="宋体"/>
                <w:color w:val="auto"/>
                <w:spacing w:val="-1"/>
                <w:highlight w:val="none"/>
              </w:rPr>
              <w:t>未提供声明函者不予认定。</w:t>
            </w:r>
          </w:p>
          <w:p w14:paraId="556757A8">
            <w:pPr>
              <w:pStyle w:val="28"/>
              <w:spacing w:before="39" w:line="359" w:lineRule="auto"/>
              <w:ind w:left="24" w:right="115" w:hanging="13"/>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w:t>
            </w:r>
            <w:r>
              <w:rPr>
                <w:rFonts w:hint="eastAsia" w:cs="宋体"/>
                <w:color w:val="auto"/>
                <w:spacing w:val="-1"/>
                <w:highlight w:val="none"/>
                <w:lang w:val="en-US" w:eastAsia="zh-CN"/>
              </w:rPr>
              <w:t>2</w:t>
            </w:r>
            <w:r>
              <w:rPr>
                <w:rFonts w:hint="eastAsia" w:ascii="宋体" w:hAnsi="宋体" w:eastAsia="宋体" w:cs="宋体"/>
                <w:color w:val="auto"/>
                <w:spacing w:val="-1"/>
                <w:highlight w:val="none"/>
              </w:rPr>
              <w:t>）监狱企业、残疾人福利性单位视同小型和微型企业，符合要求的企业应按采购文件中的要求提交相关证明材料，方可给与价格扣除，否则不得给予价格扣除。</w:t>
            </w:r>
          </w:p>
          <w:p w14:paraId="0BA426CC">
            <w:pPr>
              <w:widowControl w:val="0"/>
              <w:adjustRightInd w:val="0"/>
              <w:snapToGrid w:val="0"/>
              <w:spacing w:line="360" w:lineRule="auto"/>
              <w:jc w:val="both"/>
              <w:rPr>
                <w:rFonts w:hint="eastAsia" w:asciiTheme="minorEastAsia" w:hAnsiTheme="minorEastAsia" w:eastAsiaTheme="minorEastAsia" w:cstheme="minorEastAsia"/>
                <w:color w:val="000000"/>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r>
              <w:rPr>
                <w:rFonts w:hint="eastAsia" w:ascii="宋体" w:hAnsi="宋体" w:eastAsia="宋体" w:cs="宋体"/>
                <w:color w:val="auto"/>
                <w:kern w:val="0"/>
                <w:sz w:val="24"/>
                <w:szCs w:val="24"/>
                <w:highlight w:val="none"/>
              </w:rPr>
              <w:t>注：有效</w:t>
            </w:r>
            <w:r>
              <w:rPr>
                <w:rFonts w:hint="eastAsia" w:ascii="宋体" w:hAnsi="宋体" w:eastAsia="宋体" w:cs="宋体"/>
                <w:color w:val="auto"/>
                <w:kern w:val="0"/>
                <w:sz w:val="24"/>
                <w:szCs w:val="24"/>
                <w:highlight w:val="none"/>
                <w:lang w:eastAsia="zh-CN"/>
              </w:rPr>
              <w:t>投标供应商</w:t>
            </w:r>
            <w:r>
              <w:rPr>
                <w:rFonts w:hint="eastAsia" w:ascii="宋体" w:hAnsi="宋体" w:eastAsia="宋体" w:cs="宋体"/>
                <w:color w:val="auto"/>
                <w:kern w:val="0"/>
                <w:sz w:val="24"/>
                <w:szCs w:val="24"/>
                <w:highlight w:val="none"/>
              </w:rPr>
              <w:t>是指响应招标文件要求并通过资格</w:t>
            </w:r>
            <w:r>
              <w:rPr>
                <w:rFonts w:hint="eastAsia" w:ascii="宋体" w:hAnsi="宋体" w:eastAsia="宋体" w:cs="宋体"/>
                <w:color w:val="auto"/>
                <w:kern w:val="0"/>
                <w:sz w:val="24"/>
                <w:szCs w:val="24"/>
                <w:highlight w:val="none"/>
                <w:lang w:val="en-US" w:eastAsia="zh-CN"/>
              </w:rPr>
              <w:t>性</w:t>
            </w:r>
            <w:r>
              <w:rPr>
                <w:rFonts w:hint="eastAsia" w:ascii="宋体" w:hAnsi="宋体" w:eastAsia="宋体" w:cs="宋体"/>
                <w:color w:val="auto"/>
                <w:kern w:val="0"/>
                <w:sz w:val="24"/>
                <w:szCs w:val="24"/>
                <w:highlight w:val="none"/>
              </w:rPr>
              <w:t>评审、</w:t>
            </w:r>
            <w:r>
              <w:rPr>
                <w:rFonts w:hint="eastAsia" w:ascii="宋体" w:hAnsi="宋体" w:cs="宋体"/>
                <w:kern w:val="2"/>
                <w:sz w:val="24"/>
                <w:szCs w:val="24"/>
                <w:highlight w:val="none"/>
              </w:rPr>
              <w:t>符合</w:t>
            </w:r>
            <w:r>
              <w:rPr>
                <w:rFonts w:ascii="宋体" w:hAnsi="宋体" w:cs="宋体"/>
                <w:kern w:val="2"/>
                <w:sz w:val="24"/>
                <w:szCs w:val="24"/>
                <w:highlight w:val="none"/>
              </w:rPr>
              <w:t>性</w:t>
            </w:r>
            <w:r>
              <w:rPr>
                <w:rFonts w:hint="eastAsia" w:ascii="宋体" w:hAnsi="宋体" w:cs="宋体"/>
                <w:kern w:val="2"/>
                <w:sz w:val="24"/>
                <w:szCs w:val="24"/>
                <w:highlight w:val="none"/>
              </w:rPr>
              <w:t>评审</w:t>
            </w:r>
            <w:r>
              <w:rPr>
                <w:rFonts w:hint="eastAsia" w:ascii="宋体" w:hAnsi="宋体" w:eastAsia="宋体" w:cs="宋体"/>
                <w:color w:val="auto"/>
                <w:kern w:val="0"/>
                <w:sz w:val="24"/>
                <w:szCs w:val="24"/>
                <w:highlight w:val="none"/>
              </w:rPr>
              <w:t>、实质性响应评审</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未被判定为投标无效的所有</w:t>
            </w:r>
            <w:r>
              <w:rPr>
                <w:rFonts w:hint="eastAsia" w:ascii="宋体" w:hAnsi="宋体" w:eastAsia="宋体" w:cs="宋体"/>
                <w:color w:val="auto"/>
                <w:kern w:val="0"/>
                <w:sz w:val="24"/>
                <w:szCs w:val="24"/>
                <w:highlight w:val="none"/>
                <w:lang w:eastAsia="zh-CN"/>
              </w:rPr>
              <w:t>投标供应商</w:t>
            </w:r>
            <w:r>
              <w:rPr>
                <w:rFonts w:hint="eastAsia" w:ascii="宋体" w:hAnsi="宋体" w:eastAsia="宋体" w:cs="宋体"/>
                <w:color w:val="auto"/>
                <w:kern w:val="0"/>
                <w:sz w:val="24"/>
                <w:szCs w:val="24"/>
                <w:highlight w:val="none"/>
              </w:rPr>
              <w:t>。</w:t>
            </w:r>
          </w:p>
        </w:tc>
      </w:tr>
      <w:tr w14:paraId="7BB3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restart"/>
            <w:tcBorders>
              <w:top w:val="single" w:color="auto" w:sz="4" w:space="0"/>
              <w:left w:val="single" w:color="auto" w:sz="4" w:space="0"/>
              <w:right w:val="single" w:color="auto" w:sz="4" w:space="0"/>
            </w:tcBorders>
            <w:vAlign w:val="center"/>
          </w:tcPr>
          <w:p w14:paraId="337BFD20">
            <w:pPr>
              <w:widowControl w:val="0"/>
              <w:adjustRightInd w:val="0"/>
              <w:snapToGrid w:val="0"/>
              <w:spacing w:line="360" w:lineRule="auto"/>
              <w:jc w:val="center"/>
              <w:rPr>
                <w:rFonts w:hint="eastAsia" w:ascii="宋体" w:hAnsi="宋体" w:cs="宋体"/>
                <w:bCs/>
                <w:kern w:val="2"/>
                <w:sz w:val="24"/>
                <w:szCs w:val="24"/>
                <w:highlight w:val="none"/>
              </w:rPr>
            </w:pPr>
          </w:p>
          <w:p w14:paraId="3F1BDC44">
            <w:pPr>
              <w:widowControl w:val="0"/>
              <w:adjustRightInd w:val="0"/>
              <w:snapToGrid w:val="0"/>
              <w:spacing w:line="360" w:lineRule="auto"/>
              <w:jc w:val="center"/>
              <w:rPr>
                <w:rFonts w:hint="eastAsia" w:ascii="宋体" w:hAnsi="宋体" w:cs="宋体"/>
                <w:bCs/>
                <w:kern w:val="2"/>
                <w:sz w:val="24"/>
                <w:szCs w:val="24"/>
                <w:highlight w:val="none"/>
              </w:rPr>
            </w:pPr>
          </w:p>
          <w:p w14:paraId="3561D4FF">
            <w:pPr>
              <w:widowControl w:val="0"/>
              <w:adjustRightInd w:val="0"/>
              <w:snapToGrid w:val="0"/>
              <w:spacing w:line="360" w:lineRule="auto"/>
              <w:jc w:val="center"/>
              <w:rPr>
                <w:rFonts w:hint="eastAsia" w:ascii="宋体" w:hAnsi="宋体" w:cs="宋体"/>
                <w:bCs/>
                <w:kern w:val="2"/>
                <w:sz w:val="24"/>
                <w:szCs w:val="24"/>
                <w:highlight w:val="none"/>
              </w:rPr>
            </w:pPr>
          </w:p>
          <w:p w14:paraId="24B2FB46">
            <w:pPr>
              <w:widowControl w:val="0"/>
              <w:adjustRightInd w:val="0"/>
              <w:snapToGrid w:val="0"/>
              <w:spacing w:line="360" w:lineRule="auto"/>
              <w:jc w:val="center"/>
              <w:rPr>
                <w:rFonts w:hint="eastAsia" w:ascii="宋体" w:hAnsi="宋体" w:cs="宋体"/>
                <w:bCs/>
                <w:kern w:val="2"/>
                <w:sz w:val="24"/>
                <w:szCs w:val="24"/>
                <w:highlight w:val="none"/>
              </w:rPr>
            </w:pPr>
          </w:p>
          <w:p w14:paraId="6E148D5E">
            <w:pPr>
              <w:widowControl w:val="0"/>
              <w:adjustRightInd w:val="0"/>
              <w:snapToGrid w:val="0"/>
              <w:spacing w:line="360" w:lineRule="auto"/>
              <w:jc w:val="center"/>
              <w:rPr>
                <w:rFonts w:hint="eastAsia" w:ascii="宋体" w:hAnsi="宋体" w:cs="宋体"/>
                <w:bCs/>
                <w:kern w:val="2"/>
                <w:sz w:val="24"/>
                <w:szCs w:val="24"/>
                <w:highlight w:val="none"/>
              </w:rPr>
            </w:pPr>
          </w:p>
          <w:p w14:paraId="5AE0ECE2">
            <w:pPr>
              <w:widowControl w:val="0"/>
              <w:adjustRightInd w:val="0"/>
              <w:snapToGrid w:val="0"/>
              <w:spacing w:line="360" w:lineRule="auto"/>
              <w:jc w:val="center"/>
              <w:rPr>
                <w:rFonts w:hint="eastAsia" w:ascii="宋体" w:hAnsi="宋体" w:cs="宋体"/>
                <w:bCs/>
                <w:kern w:val="2"/>
                <w:sz w:val="24"/>
                <w:szCs w:val="24"/>
                <w:highlight w:val="none"/>
              </w:rPr>
            </w:pPr>
          </w:p>
          <w:p w14:paraId="15FCAFBB">
            <w:pPr>
              <w:widowControl w:val="0"/>
              <w:adjustRightInd w:val="0"/>
              <w:snapToGrid w:val="0"/>
              <w:spacing w:line="360" w:lineRule="auto"/>
              <w:jc w:val="center"/>
              <w:rPr>
                <w:rFonts w:hint="eastAsia" w:ascii="宋体" w:hAnsi="宋体" w:cs="宋体"/>
                <w:bCs/>
                <w:kern w:val="2"/>
                <w:sz w:val="24"/>
                <w:szCs w:val="24"/>
                <w:highlight w:val="none"/>
              </w:rPr>
            </w:pPr>
          </w:p>
          <w:p w14:paraId="0ED6417F">
            <w:pPr>
              <w:widowControl w:val="0"/>
              <w:adjustRightInd w:val="0"/>
              <w:snapToGrid w:val="0"/>
              <w:spacing w:line="360" w:lineRule="auto"/>
              <w:jc w:val="center"/>
              <w:rPr>
                <w:rFonts w:hint="eastAsia" w:ascii="宋体" w:hAnsi="宋体" w:cs="宋体"/>
                <w:bCs/>
                <w:kern w:val="2"/>
                <w:sz w:val="24"/>
                <w:szCs w:val="24"/>
                <w:highlight w:val="none"/>
              </w:rPr>
            </w:pPr>
          </w:p>
          <w:p w14:paraId="72C8F4B8">
            <w:pPr>
              <w:widowControl w:val="0"/>
              <w:adjustRightInd w:val="0"/>
              <w:snapToGrid w:val="0"/>
              <w:spacing w:line="360" w:lineRule="auto"/>
              <w:jc w:val="center"/>
              <w:rPr>
                <w:rFonts w:hint="eastAsia" w:ascii="宋体" w:hAnsi="宋体" w:cs="宋体"/>
                <w:bCs/>
                <w:kern w:val="2"/>
                <w:sz w:val="24"/>
                <w:szCs w:val="24"/>
                <w:highlight w:val="none"/>
              </w:rPr>
            </w:pPr>
          </w:p>
          <w:p w14:paraId="23B530E1">
            <w:pPr>
              <w:widowControl w:val="0"/>
              <w:adjustRightInd w:val="0"/>
              <w:snapToGrid w:val="0"/>
              <w:spacing w:line="360" w:lineRule="auto"/>
              <w:jc w:val="center"/>
              <w:rPr>
                <w:rFonts w:hint="eastAsia" w:ascii="宋体" w:hAnsi="宋体" w:cs="宋体"/>
                <w:bCs/>
                <w:kern w:val="2"/>
                <w:sz w:val="24"/>
                <w:szCs w:val="24"/>
                <w:highlight w:val="none"/>
              </w:rPr>
            </w:pPr>
          </w:p>
          <w:p w14:paraId="425A9200">
            <w:pPr>
              <w:widowControl w:val="0"/>
              <w:adjustRightInd w:val="0"/>
              <w:snapToGrid w:val="0"/>
              <w:spacing w:line="360" w:lineRule="auto"/>
              <w:jc w:val="center"/>
              <w:rPr>
                <w:rFonts w:hint="eastAsia" w:ascii="宋体" w:hAnsi="宋体" w:cs="宋体"/>
                <w:bCs/>
                <w:kern w:val="2"/>
                <w:sz w:val="24"/>
                <w:szCs w:val="24"/>
                <w:highlight w:val="none"/>
              </w:rPr>
            </w:pPr>
          </w:p>
          <w:p w14:paraId="1FDC4774">
            <w:pPr>
              <w:widowControl w:val="0"/>
              <w:adjustRightInd w:val="0"/>
              <w:snapToGrid w:val="0"/>
              <w:spacing w:line="360" w:lineRule="auto"/>
              <w:jc w:val="center"/>
              <w:rPr>
                <w:rFonts w:hint="eastAsia" w:ascii="宋体" w:hAnsi="宋体" w:cs="宋体"/>
                <w:bCs/>
                <w:kern w:val="2"/>
                <w:sz w:val="24"/>
                <w:szCs w:val="24"/>
                <w:highlight w:val="none"/>
              </w:rPr>
            </w:pPr>
          </w:p>
          <w:p w14:paraId="50FAB4EA">
            <w:pPr>
              <w:widowControl w:val="0"/>
              <w:adjustRightInd w:val="0"/>
              <w:snapToGrid w:val="0"/>
              <w:spacing w:line="360" w:lineRule="auto"/>
              <w:jc w:val="center"/>
              <w:rPr>
                <w:rFonts w:hint="eastAsia" w:ascii="宋体" w:hAnsi="宋体" w:cs="宋体"/>
                <w:bCs/>
                <w:kern w:val="2"/>
                <w:sz w:val="24"/>
                <w:szCs w:val="24"/>
                <w:highlight w:val="none"/>
              </w:rPr>
            </w:pPr>
          </w:p>
          <w:p w14:paraId="5855AA8C">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技术部分（</w:t>
            </w:r>
            <w:r>
              <w:rPr>
                <w:rFonts w:hint="eastAsia" w:ascii="宋体" w:hAnsi="宋体" w:cs="宋体"/>
                <w:bCs/>
                <w:color w:val="000000" w:themeColor="text1"/>
                <w:kern w:val="2"/>
                <w:sz w:val="24"/>
                <w:szCs w:val="24"/>
                <w:highlight w:val="none"/>
                <w:lang w:val="en-US" w:eastAsia="zh-CN"/>
                <w14:textFill>
                  <w14:solidFill>
                    <w14:schemeClr w14:val="tx1"/>
                  </w14:solidFill>
                </w14:textFill>
              </w:rPr>
              <w:t>70</w:t>
            </w:r>
            <w:r>
              <w:rPr>
                <w:rFonts w:hint="eastAsia" w:ascii="宋体" w:hAnsi="宋体" w:cs="宋体"/>
                <w:bCs/>
                <w:kern w:val="2"/>
                <w:sz w:val="24"/>
                <w:szCs w:val="24"/>
                <w:highlight w:val="none"/>
              </w:rPr>
              <w:t>分）</w:t>
            </w:r>
          </w:p>
        </w:tc>
        <w:tc>
          <w:tcPr>
            <w:tcW w:w="1939" w:type="dxa"/>
            <w:tcBorders>
              <w:top w:val="single" w:color="auto" w:sz="4" w:space="0"/>
              <w:left w:val="single" w:color="auto" w:sz="4" w:space="0"/>
              <w:right w:val="single" w:color="auto" w:sz="4" w:space="0"/>
            </w:tcBorders>
            <w:vAlign w:val="center"/>
          </w:tcPr>
          <w:p w14:paraId="2801E0B3">
            <w:pPr>
              <w:widowControl w:val="0"/>
              <w:adjustRightInd w:val="0"/>
              <w:snapToGrid w:val="0"/>
              <w:spacing w:line="360" w:lineRule="auto"/>
              <w:jc w:val="center"/>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val="en-US" w:eastAsia="zh-CN"/>
              </w:rPr>
              <w:t>总体服务目标</w:t>
            </w:r>
          </w:p>
          <w:p w14:paraId="6F9395D2">
            <w:pPr>
              <w:widowControl w:val="0"/>
              <w:adjustRightInd w:val="0"/>
              <w:snapToGrid w:val="0"/>
              <w:spacing w:line="360" w:lineRule="auto"/>
              <w:jc w:val="center"/>
              <w:rPr>
                <w:rFonts w:hint="eastAsia" w:ascii="宋体" w:hAnsi="宋体" w:cs="宋体"/>
                <w:bCs/>
                <w:kern w:val="2"/>
                <w:sz w:val="24"/>
                <w:szCs w:val="24"/>
                <w:highlight w:val="yellow"/>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15</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tcPr>
          <w:p w14:paraId="01339A1D">
            <w:pPr>
              <w:widowControl w:val="0"/>
              <w:adjustRightInd w:val="0"/>
              <w:snapToGrid w:val="0"/>
              <w:spacing w:line="360" w:lineRule="auto"/>
              <w:jc w:val="both"/>
              <w:rPr>
                <w:rFonts w:hint="eastAsia" w:ascii="宋体" w:hAnsi="宋体" w:cs="宋体"/>
                <w:sz w:val="24"/>
                <w:szCs w:val="24"/>
                <w:highlight w:val="none"/>
              </w:rPr>
            </w:pPr>
            <w:r>
              <w:rPr>
                <w:rFonts w:hint="eastAsia" w:ascii="宋体" w:hAnsi="宋体" w:cs="宋体"/>
                <w:sz w:val="24"/>
                <w:szCs w:val="24"/>
                <w:highlight w:val="none"/>
              </w:rPr>
              <w:t>了解采购人现有信息化系统现状、信息化运维岗位工作</w:t>
            </w:r>
            <w:r>
              <w:rPr>
                <w:rFonts w:hint="eastAsia" w:ascii="宋体" w:hAnsi="宋体" w:cs="宋体"/>
                <w:sz w:val="24"/>
                <w:szCs w:val="24"/>
                <w:highlight w:val="none"/>
                <w:lang w:val="en-US" w:eastAsia="zh-CN"/>
              </w:rPr>
              <w:t>内容</w:t>
            </w:r>
            <w:r>
              <w:rPr>
                <w:rFonts w:hint="eastAsia" w:ascii="宋体" w:hAnsi="宋体" w:cs="宋体"/>
                <w:sz w:val="24"/>
                <w:szCs w:val="24"/>
                <w:highlight w:val="none"/>
              </w:rPr>
              <w:t>，结合本项目实际情况及服务需求特点，提出合理的整体服务方案。</w:t>
            </w:r>
          </w:p>
          <w:p w14:paraId="3DBFB8B1">
            <w:pPr>
              <w:widowControl w:val="0"/>
              <w:numPr>
                <w:ilvl w:val="0"/>
                <w:numId w:val="0"/>
              </w:numPr>
              <w:adjustRightInd w:val="0"/>
              <w:snapToGrid w:val="0"/>
              <w:spacing w:line="360" w:lineRule="auto"/>
              <w:jc w:val="both"/>
              <w:rPr>
                <w:rFonts w:hint="eastAsia" w:ascii="宋体" w:hAnsi="宋体" w:cs="宋体"/>
                <w:sz w:val="24"/>
                <w:szCs w:val="24"/>
                <w:highlight w:val="none"/>
              </w:rPr>
            </w:pPr>
            <w:r>
              <w:rPr>
                <w:rFonts w:hint="eastAsia" w:ascii="宋体" w:hAnsi="宋体" w:eastAsia="宋体" w:cs="宋体"/>
                <w:sz w:val="24"/>
                <w:szCs w:val="24"/>
                <w:highlight w:val="none"/>
                <w:lang w:val="en-US" w:eastAsia="zh-CN" w:bidi="ar-SA"/>
              </w:rPr>
              <w:t>1、</w:t>
            </w:r>
            <w:r>
              <w:rPr>
                <w:rFonts w:hint="eastAsia" w:ascii="宋体" w:hAnsi="宋体" w:cs="宋体"/>
                <w:sz w:val="24"/>
                <w:szCs w:val="24"/>
                <w:highlight w:val="none"/>
              </w:rPr>
              <w:t>方案内容全面完整、合理可行，可实施性强，得</w:t>
            </w:r>
            <w:r>
              <w:rPr>
                <w:rFonts w:hint="eastAsia" w:ascii="宋体" w:hAnsi="宋体" w:cs="宋体"/>
                <w:sz w:val="24"/>
                <w:szCs w:val="24"/>
                <w:highlight w:val="none"/>
                <w:lang w:val="en-US" w:eastAsia="zh-CN"/>
              </w:rPr>
              <w:t>15</w:t>
            </w:r>
            <w:r>
              <w:rPr>
                <w:rFonts w:hint="eastAsia" w:ascii="宋体" w:hAnsi="宋体" w:cs="宋体"/>
                <w:sz w:val="24"/>
                <w:szCs w:val="24"/>
                <w:highlight w:val="none"/>
              </w:rPr>
              <w:t>分；</w:t>
            </w:r>
          </w:p>
          <w:p w14:paraId="3870A22B">
            <w:pPr>
              <w:widowControl w:val="0"/>
              <w:numPr>
                <w:ilvl w:val="0"/>
                <w:numId w:val="0"/>
              </w:numPr>
              <w:adjustRightInd w:val="0"/>
              <w:snapToGrid w:val="0"/>
              <w:spacing w:line="360" w:lineRule="auto"/>
              <w:jc w:val="both"/>
              <w:rPr>
                <w:rFonts w:hint="eastAsia" w:ascii="宋体" w:hAnsi="宋体" w:cs="宋体"/>
                <w:sz w:val="24"/>
                <w:szCs w:val="24"/>
                <w:highlight w:val="none"/>
              </w:rPr>
            </w:pPr>
            <w:r>
              <w:rPr>
                <w:rFonts w:hint="eastAsia" w:ascii="宋体" w:hAnsi="宋体" w:eastAsia="宋体" w:cs="宋体"/>
                <w:bCs/>
                <w:kern w:val="2"/>
                <w:sz w:val="24"/>
                <w:szCs w:val="24"/>
                <w:highlight w:val="none"/>
                <w:lang w:val="en-US" w:eastAsia="zh-CN" w:bidi="ar-SA"/>
              </w:rPr>
              <w:t>2、</w:t>
            </w:r>
            <w:r>
              <w:rPr>
                <w:rFonts w:hint="eastAsia" w:ascii="宋体" w:hAnsi="宋体" w:cs="宋体"/>
                <w:sz w:val="24"/>
                <w:szCs w:val="24"/>
                <w:highlight w:val="none"/>
              </w:rPr>
              <w:t>方案内容较完整、可实施性</w:t>
            </w:r>
            <w:r>
              <w:rPr>
                <w:rFonts w:hint="eastAsia" w:ascii="宋体" w:hAnsi="宋体" w:cs="宋体"/>
                <w:sz w:val="24"/>
                <w:szCs w:val="24"/>
                <w:highlight w:val="none"/>
                <w:lang w:val="en-US" w:eastAsia="zh-CN"/>
              </w:rPr>
              <w:t>较</w:t>
            </w:r>
            <w:r>
              <w:rPr>
                <w:rFonts w:hint="eastAsia" w:ascii="宋体" w:hAnsi="宋体" w:cs="宋体"/>
                <w:sz w:val="24"/>
                <w:szCs w:val="24"/>
                <w:highlight w:val="none"/>
              </w:rPr>
              <w:t>强，得</w:t>
            </w:r>
            <w:r>
              <w:rPr>
                <w:rFonts w:hint="eastAsia" w:ascii="宋体" w:hAnsi="宋体" w:cs="宋体"/>
                <w:sz w:val="24"/>
                <w:szCs w:val="24"/>
                <w:highlight w:val="none"/>
                <w:lang w:val="en-US" w:eastAsia="zh-CN"/>
              </w:rPr>
              <w:t>12</w:t>
            </w:r>
            <w:r>
              <w:rPr>
                <w:rFonts w:hint="eastAsia" w:ascii="宋体" w:hAnsi="宋体" w:cs="宋体"/>
                <w:sz w:val="24"/>
                <w:szCs w:val="24"/>
                <w:highlight w:val="none"/>
              </w:rPr>
              <w:t>分；</w:t>
            </w:r>
          </w:p>
          <w:p w14:paraId="7354FCA5">
            <w:pPr>
              <w:widowControl w:val="0"/>
              <w:numPr>
                <w:ilvl w:val="0"/>
                <w:numId w:val="0"/>
              </w:numPr>
              <w:adjustRightInd w:val="0"/>
              <w:snapToGrid w:val="0"/>
              <w:spacing w:line="360" w:lineRule="auto"/>
              <w:jc w:val="both"/>
              <w:rPr>
                <w:rFonts w:hint="eastAsia" w:ascii="宋体" w:hAnsi="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cs="宋体"/>
                <w:sz w:val="24"/>
                <w:szCs w:val="24"/>
                <w:highlight w:val="none"/>
              </w:rPr>
              <w:t>方案内容基本明确，具有可实施性</w:t>
            </w:r>
            <w:r>
              <w:rPr>
                <w:rFonts w:hint="eastAsia" w:ascii="宋体" w:hAnsi="宋体" w:cs="宋体"/>
                <w:sz w:val="24"/>
                <w:szCs w:val="24"/>
                <w:highlight w:val="none"/>
                <w:lang w:eastAsia="zh-CN"/>
              </w:rPr>
              <w:t>，</w:t>
            </w:r>
            <w:r>
              <w:rPr>
                <w:rFonts w:hint="eastAsia" w:ascii="宋体" w:hAnsi="宋体" w:cs="宋体"/>
                <w:sz w:val="24"/>
                <w:szCs w:val="24"/>
                <w:highlight w:val="none"/>
              </w:rPr>
              <w:t>得</w:t>
            </w:r>
            <w:r>
              <w:rPr>
                <w:rFonts w:hint="eastAsia" w:ascii="宋体" w:hAnsi="宋体" w:cs="宋体"/>
                <w:sz w:val="24"/>
                <w:szCs w:val="24"/>
                <w:highlight w:val="none"/>
                <w:lang w:val="en-US" w:eastAsia="zh-CN"/>
              </w:rPr>
              <w:t>9</w:t>
            </w:r>
            <w:r>
              <w:rPr>
                <w:rFonts w:hint="eastAsia" w:ascii="宋体" w:hAnsi="宋体" w:cs="宋体"/>
                <w:sz w:val="24"/>
                <w:szCs w:val="24"/>
                <w:highlight w:val="none"/>
              </w:rPr>
              <w:t>分；</w:t>
            </w:r>
          </w:p>
          <w:p w14:paraId="36692B68">
            <w:pPr>
              <w:widowControl w:val="0"/>
              <w:numPr>
                <w:ilvl w:val="0"/>
                <w:numId w:val="0"/>
              </w:numPr>
              <w:adjustRightInd w:val="0"/>
              <w:snapToGrid w:val="0"/>
              <w:spacing w:line="360" w:lineRule="auto"/>
              <w:jc w:val="both"/>
              <w:rPr>
                <w:rFonts w:hint="eastAsia" w:ascii="宋体" w:hAnsi="宋体" w:cs="宋体"/>
                <w:bCs/>
                <w:kern w:val="2"/>
                <w:sz w:val="24"/>
                <w:szCs w:val="24"/>
                <w:highlight w:val="yellow"/>
              </w:rPr>
            </w:pPr>
            <w:r>
              <w:rPr>
                <w:rFonts w:hint="eastAsia" w:ascii="宋体" w:hAnsi="宋体" w:cs="宋体"/>
                <w:sz w:val="24"/>
                <w:szCs w:val="24"/>
                <w:highlight w:val="none"/>
                <w:lang w:val="en-US" w:eastAsia="zh-CN"/>
              </w:rPr>
              <w:t>4、未</w:t>
            </w:r>
            <w:r>
              <w:rPr>
                <w:rFonts w:ascii="宋体" w:hAnsi="宋体" w:cs="宋体"/>
                <w:sz w:val="24"/>
                <w:szCs w:val="24"/>
                <w:highlight w:val="none"/>
              </w:rPr>
              <w:t>提供不得分。</w:t>
            </w:r>
          </w:p>
        </w:tc>
      </w:tr>
      <w:tr w14:paraId="09DE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continue"/>
            <w:tcBorders>
              <w:left w:val="single" w:color="auto" w:sz="4" w:space="0"/>
              <w:right w:val="single" w:color="auto" w:sz="4" w:space="0"/>
            </w:tcBorders>
            <w:vAlign w:val="center"/>
          </w:tcPr>
          <w:p w14:paraId="1F503AEB">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vAlign w:val="center"/>
          </w:tcPr>
          <w:p w14:paraId="325CBD42">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lang w:val="en-US" w:eastAsia="zh-CN"/>
              </w:rPr>
              <w:t>运维服务方案</w:t>
            </w: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15</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top"/>
          </w:tcPr>
          <w:p w14:paraId="3EF16006">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运维服务方案包括但不限于网络安全服务和护网期间技术服务；包括了应用系统、会议系统、网络安全系统、办公系统等。</w:t>
            </w:r>
          </w:p>
          <w:p w14:paraId="7609BD8C">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1、服务方案内容合理、全面明确详尽，且优于采购人需求，得15分；</w:t>
            </w:r>
          </w:p>
          <w:p w14:paraId="6D4080D7">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2、服务方案内容基本合理，基本满足采购人需求，得12分；</w:t>
            </w:r>
          </w:p>
          <w:p w14:paraId="2299838D">
            <w:pPr>
              <w:widowControl w:val="0"/>
              <w:numPr>
                <w:ilvl w:val="0"/>
                <w:numId w:val="0"/>
              </w:numPr>
              <w:adjustRightInd w:val="0"/>
              <w:snapToGrid w:val="0"/>
              <w:spacing w:line="360" w:lineRule="auto"/>
              <w:jc w:val="both"/>
              <w:rPr>
                <w:rFonts w:hint="eastAsia" w:ascii="宋体" w:hAnsi="宋体" w:cs="宋体"/>
                <w:sz w:val="24"/>
                <w:szCs w:val="24"/>
                <w:highlight w:val="none"/>
              </w:rPr>
            </w:pPr>
            <w:r>
              <w:rPr>
                <w:rFonts w:hint="eastAsia" w:ascii="宋体" w:hAnsi="宋体" w:cs="宋体"/>
                <w:sz w:val="24"/>
                <w:szCs w:val="24"/>
                <w:highlight w:val="none"/>
                <w:lang w:val="en-US" w:eastAsia="zh-CN"/>
              </w:rPr>
              <w:t>3、服务方案内容简略一般，提供的内容符合本项目实际情况，得9分；</w:t>
            </w:r>
          </w:p>
          <w:p w14:paraId="28038166">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sz w:val="24"/>
                <w:szCs w:val="24"/>
                <w:highlight w:val="none"/>
                <w:lang w:val="en-US" w:eastAsia="zh-CN"/>
              </w:rPr>
              <w:t>4、未</w:t>
            </w:r>
            <w:r>
              <w:rPr>
                <w:rFonts w:ascii="宋体" w:hAnsi="宋体" w:cs="宋体"/>
                <w:sz w:val="24"/>
                <w:szCs w:val="24"/>
                <w:highlight w:val="none"/>
              </w:rPr>
              <w:t>提供不得分。</w:t>
            </w:r>
          </w:p>
        </w:tc>
      </w:tr>
      <w:tr w14:paraId="6BDE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continue"/>
            <w:tcBorders>
              <w:left w:val="single" w:color="auto" w:sz="4" w:space="0"/>
              <w:right w:val="single" w:color="auto" w:sz="4" w:space="0"/>
            </w:tcBorders>
            <w:vAlign w:val="center"/>
          </w:tcPr>
          <w:p w14:paraId="3856DF0B">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vAlign w:val="center"/>
          </w:tcPr>
          <w:p w14:paraId="33CD8895">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服务质量保障</w:t>
            </w:r>
          </w:p>
          <w:p w14:paraId="4C929B76">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方案</w:t>
            </w:r>
          </w:p>
          <w:p w14:paraId="56E3B4C0">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center"/>
          </w:tcPr>
          <w:p w14:paraId="6F435910">
            <w:pPr>
              <w:widowControl w:val="0"/>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针对本项目服务质量保障方案。服务期限内出现的服务质量问题，采购人有权对服务人员做出惩处，重大质量问题问责服务总监并更换服务人员。</w:t>
            </w:r>
          </w:p>
          <w:p w14:paraId="1CC89AE7">
            <w:pPr>
              <w:widowControl w:val="0"/>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1、方案内容详实，考虑周全，方案科学、合理，具有非常强的针对性、适用性、可操作性的，得10分；</w:t>
            </w:r>
          </w:p>
          <w:p w14:paraId="28FD8061">
            <w:pPr>
              <w:widowControl w:val="0"/>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2、方案内容完整，方案基本科学、合理、具有较好的针对性、适用性、可操作性的，得7分；</w:t>
            </w:r>
          </w:p>
          <w:p w14:paraId="2ADC24E7">
            <w:pPr>
              <w:widowControl w:val="0"/>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3、方案内容基本完整，方案科学性、合理性一般，针对性、适用性、可操作性一般，得5 分；</w:t>
            </w:r>
          </w:p>
          <w:p w14:paraId="3549D0DD">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sz w:val="24"/>
                <w:szCs w:val="24"/>
                <w:highlight w:val="none"/>
                <w:lang w:val="en-US" w:eastAsia="zh-CN"/>
              </w:rPr>
              <w:t>4、未</w:t>
            </w:r>
            <w:r>
              <w:rPr>
                <w:rFonts w:ascii="宋体" w:hAnsi="宋体" w:cs="宋体"/>
                <w:sz w:val="24"/>
                <w:szCs w:val="24"/>
                <w:highlight w:val="none"/>
              </w:rPr>
              <w:t>提供不得分。</w:t>
            </w:r>
          </w:p>
        </w:tc>
      </w:tr>
      <w:tr w14:paraId="2A07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jc w:val="center"/>
        </w:trPr>
        <w:tc>
          <w:tcPr>
            <w:tcW w:w="1326" w:type="dxa"/>
            <w:vMerge w:val="continue"/>
            <w:tcBorders>
              <w:left w:val="single" w:color="auto" w:sz="4" w:space="0"/>
              <w:right w:val="single" w:color="auto" w:sz="4" w:space="0"/>
            </w:tcBorders>
            <w:vAlign w:val="center"/>
          </w:tcPr>
          <w:p w14:paraId="50A3819E">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vAlign w:val="center"/>
          </w:tcPr>
          <w:p w14:paraId="0F2755FF">
            <w:pPr>
              <w:widowControl w:val="0"/>
              <w:adjustRightInd w:val="0"/>
              <w:snapToGrid w:val="0"/>
              <w:spacing w:line="360" w:lineRule="auto"/>
              <w:jc w:val="center"/>
              <w:rPr>
                <w:rFonts w:hint="eastAsia" w:ascii="宋体" w:hAnsi="宋体" w:cs="宋体"/>
                <w:bCs/>
                <w:kern w:val="2"/>
                <w:sz w:val="24"/>
                <w:szCs w:val="24"/>
                <w:highlight w:val="none"/>
                <w:lang w:val="zh-CN" w:eastAsia="zh-CN"/>
              </w:rPr>
            </w:pPr>
            <w:r>
              <w:rPr>
                <w:rFonts w:hint="eastAsia" w:ascii="宋体" w:hAnsi="宋体" w:cs="宋体"/>
                <w:bCs/>
                <w:kern w:val="2"/>
                <w:sz w:val="24"/>
                <w:szCs w:val="24"/>
                <w:highlight w:val="none"/>
                <w:lang w:val="zh-CN" w:eastAsia="zh-CN"/>
              </w:rPr>
              <w:t>服务应急预案</w:t>
            </w:r>
          </w:p>
          <w:p w14:paraId="2BF927B1">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center"/>
          </w:tcPr>
          <w:p w14:paraId="513664E0">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rPr>
              <w:t>各类应急预案和应急配合方案</w:t>
            </w:r>
            <w:r>
              <w:rPr>
                <w:rFonts w:hint="eastAsia" w:ascii="宋体" w:hAnsi="宋体" w:cs="宋体"/>
                <w:bCs/>
                <w:kern w:val="2"/>
                <w:sz w:val="24"/>
                <w:szCs w:val="24"/>
                <w:highlight w:val="none"/>
                <w:lang w:eastAsia="zh-CN"/>
              </w:rPr>
              <w:t>，</w:t>
            </w:r>
            <w:r>
              <w:rPr>
                <w:rFonts w:hint="eastAsia" w:ascii="宋体" w:hAnsi="宋体" w:cs="宋体"/>
                <w:bCs/>
                <w:kern w:val="2"/>
                <w:sz w:val="24"/>
                <w:szCs w:val="24"/>
                <w:highlight w:val="none"/>
              </w:rPr>
              <w:t>具备应急保障能力和处置突发事件的能力，具有各应急事件的处理措施。服务期限内发生突发事件，现场服务人员立刻处理。支持服务的技术专家团队12小时内到达现场处理。</w:t>
            </w:r>
          </w:p>
          <w:p w14:paraId="665761E4">
            <w:pPr>
              <w:widowControl w:val="0"/>
              <w:numPr>
                <w:ilvl w:val="0"/>
                <w:numId w:val="0"/>
              </w:numPr>
              <w:adjustRightInd w:val="0"/>
              <w:snapToGrid w:val="0"/>
              <w:spacing w:line="360" w:lineRule="auto"/>
              <w:jc w:val="both"/>
              <w:rPr>
                <w:rFonts w:hint="eastAsia" w:ascii="宋体" w:hAnsi="宋体" w:cs="宋体"/>
                <w:bCs/>
                <w:kern w:val="2"/>
                <w:sz w:val="24"/>
                <w:szCs w:val="24"/>
                <w:highlight w:val="none"/>
              </w:rPr>
            </w:pPr>
            <w:r>
              <w:rPr>
                <w:rFonts w:hint="eastAsia" w:ascii="宋体" w:hAnsi="宋体" w:eastAsia="宋体" w:cs="宋体"/>
                <w:bCs/>
                <w:kern w:val="2"/>
                <w:sz w:val="24"/>
                <w:szCs w:val="24"/>
                <w:lang w:val="en-US" w:eastAsia="zh-CN" w:bidi="ar-SA"/>
              </w:rPr>
              <w:t>1、</w:t>
            </w:r>
            <w:r>
              <w:rPr>
                <w:rFonts w:hint="eastAsia" w:ascii="宋体" w:hAnsi="宋体" w:cs="宋体"/>
                <w:bCs/>
                <w:kern w:val="2"/>
                <w:sz w:val="24"/>
                <w:szCs w:val="24"/>
                <w:highlight w:val="none"/>
              </w:rPr>
              <w:t>应急预案内容全面完整、合理可行，科学完善，得</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p w14:paraId="4542E9AB">
            <w:pPr>
              <w:widowControl w:val="0"/>
              <w:numPr>
                <w:ilvl w:val="0"/>
                <w:numId w:val="0"/>
              </w:numPr>
              <w:adjustRightInd w:val="0"/>
              <w:snapToGrid w:val="0"/>
              <w:spacing w:line="360" w:lineRule="auto"/>
              <w:jc w:val="both"/>
              <w:rPr>
                <w:rFonts w:hint="eastAsia" w:ascii="宋体" w:hAnsi="宋体" w:cs="宋体"/>
                <w:bCs/>
                <w:kern w:val="2"/>
                <w:sz w:val="24"/>
                <w:szCs w:val="24"/>
                <w:highlight w:val="none"/>
              </w:rPr>
            </w:pPr>
            <w:r>
              <w:rPr>
                <w:rFonts w:hint="eastAsia" w:ascii="宋体" w:hAnsi="宋体" w:eastAsia="宋体" w:cs="宋体"/>
                <w:bCs/>
                <w:kern w:val="2"/>
                <w:sz w:val="24"/>
                <w:szCs w:val="24"/>
                <w:lang w:val="en-US" w:eastAsia="zh-CN" w:bidi="ar-SA"/>
              </w:rPr>
              <w:t>2、</w:t>
            </w:r>
            <w:r>
              <w:rPr>
                <w:rFonts w:hint="eastAsia" w:ascii="宋体" w:hAnsi="宋体" w:cs="宋体"/>
                <w:bCs/>
                <w:kern w:val="2"/>
                <w:sz w:val="24"/>
                <w:szCs w:val="24"/>
                <w:highlight w:val="none"/>
              </w:rPr>
              <w:t>应急预案内容较完整、可实施性强，得</w:t>
            </w:r>
            <w:r>
              <w:rPr>
                <w:rFonts w:hint="eastAsia" w:ascii="宋体" w:hAnsi="宋体" w:cs="宋体"/>
                <w:bCs/>
                <w:kern w:val="2"/>
                <w:sz w:val="24"/>
                <w:szCs w:val="24"/>
                <w:highlight w:val="none"/>
                <w:lang w:val="en-US" w:eastAsia="zh-CN"/>
              </w:rPr>
              <w:t>7</w:t>
            </w:r>
            <w:r>
              <w:rPr>
                <w:rFonts w:hint="eastAsia" w:ascii="宋体" w:hAnsi="宋体" w:cs="宋体"/>
                <w:bCs/>
                <w:kern w:val="2"/>
                <w:sz w:val="24"/>
                <w:szCs w:val="24"/>
                <w:highlight w:val="none"/>
              </w:rPr>
              <w:t>分；</w:t>
            </w:r>
          </w:p>
          <w:p w14:paraId="21308CC8">
            <w:pPr>
              <w:widowControl w:val="0"/>
              <w:numPr>
                <w:ilvl w:val="0"/>
                <w:numId w:val="0"/>
              </w:numPr>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lang w:val="en-US" w:eastAsia="zh-CN"/>
              </w:rPr>
              <w:t>3、</w:t>
            </w:r>
            <w:r>
              <w:rPr>
                <w:rFonts w:hint="eastAsia" w:ascii="宋体" w:hAnsi="宋体" w:cs="宋体"/>
                <w:bCs/>
                <w:kern w:val="2"/>
                <w:sz w:val="24"/>
                <w:szCs w:val="24"/>
                <w:highlight w:val="none"/>
              </w:rPr>
              <w:t>应急预案内容清晰明确，具有可实施性，得</w:t>
            </w:r>
            <w:r>
              <w:rPr>
                <w:rFonts w:hint="eastAsia" w:ascii="宋体" w:hAnsi="宋体" w:cs="宋体"/>
                <w:bCs/>
                <w:kern w:val="2"/>
                <w:sz w:val="24"/>
                <w:szCs w:val="24"/>
                <w:highlight w:val="none"/>
                <w:lang w:val="en-US" w:eastAsia="zh-CN"/>
              </w:rPr>
              <w:t>5</w:t>
            </w:r>
            <w:r>
              <w:rPr>
                <w:rFonts w:hint="eastAsia" w:ascii="宋体" w:hAnsi="宋体" w:cs="宋体"/>
                <w:bCs/>
                <w:kern w:val="2"/>
                <w:sz w:val="24"/>
                <w:szCs w:val="24"/>
                <w:highlight w:val="none"/>
              </w:rPr>
              <w:t>分；</w:t>
            </w:r>
          </w:p>
          <w:p w14:paraId="5E958B21">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lang w:val="en-US" w:eastAsia="zh-CN"/>
              </w:rPr>
              <w:t>4、</w:t>
            </w:r>
            <w:r>
              <w:rPr>
                <w:rFonts w:hint="eastAsia" w:ascii="宋体" w:hAnsi="宋体" w:cs="宋体"/>
                <w:sz w:val="24"/>
                <w:szCs w:val="24"/>
                <w:highlight w:val="none"/>
                <w:lang w:val="en-US" w:eastAsia="zh-CN"/>
              </w:rPr>
              <w:t>未</w:t>
            </w:r>
            <w:r>
              <w:rPr>
                <w:rFonts w:hint="eastAsia" w:ascii="宋体" w:hAnsi="宋体" w:cs="宋体"/>
                <w:bCs/>
                <w:kern w:val="2"/>
                <w:sz w:val="24"/>
                <w:szCs w:val="24"/>
                <w:highlight w:val="none"/>
              </w:rPr>
              <w:t>提供不得分。</w:t>
            </w:r>
          </w:p>
        </w:tc>
      </w:tr>
      <w:tr w14:paraId="373D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4" w:hRule="atLeast"/>
          <w:jc w:val="center"/>
        </w:trPr>
        <w:tc>
          <w:tcPr>
            <w:tcW w:w="1326" w:type="dxa"/>
            <w:vMerge w:val="continue"/>
            <w:tcBorders>
              <w:left w:val="single" w:color="auto" w:sz="4" w:space="0"/>
              <w:right w:val="single" w:color="auto" w:sz="4" w:space="0"/>
            </w:tcBorders>
            <w:vAlign w:val="center"/>
          </w:tcPr>
          <w:p w14:paraId="103904D9">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vAlign w:val="center"/>
          </w:tcPr>
          <w:p w14:paraId="76778F8D">
            <w:pPr>
              <w:widowControl w:val="0"/>
              <w:adjustRightInd w:val="0"/>
              <w:snapToGrid w:val="0"/>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运维人员管理</w:t>
            </w:r>
          </w:p>
          <w:p w14:paraId="6EDD1D98">
            <w:pPr>
              <w:widowControl w:val="0"/>
              <w:adjustRightInd w:val="0"/>
              <w:snapToGrid w:val="0"/>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方案</w:t>
            </w:r>
          </w:p>
          <w:p w14:paraId="35DA5FD2">
            <w:pPr>
              <w:widowControl w:val="0"/>
              <w:adjustRightInd w:val="0"/>
              <w:snapToGrid w:val="0"/>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center"/>
          </w:tcPr>
          <w:p w14:paraId="38046765">
            <w:pPr>
              <w:numPr>
                <w:ilvl w:val="0"/>
                <w:numId w:val="0"/>
              </w:numPr>
              <w:bidi w:val="0"/>
              <w:spacing w:line="360" w:lineRule="auto"/>
              <w:jc w:val="both"/>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提供运维人员管理方案，包括人员配置、人员管理制度等内容。</w:t>
            </w:r>
          </w:p>
          <w:p w14:paraId="08679825">
            <w:pPr>
              <w:numPr>
                <w:ilvl w:val="0"/>
                <w:numId w:val="0"/>
              </w:numPr>
              <w:bidi w:val="0"/>
              <w:spacing w:line="360" w:lineRule="auto"/>
              <w:jc w:val="both"/>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1、方案内容完整具体，科学合理、条理清晰、流程合理高效，得</w:t>
            </w:r>
            <w:r>
              <w:rPr>
                <w:rFonts w:hint="eastAsia" w:ascii="宋体" w:hAnsi="宋体" w:cs="宋体"/>
                <w:color w:val="auto"/>
                <w:spacing w:val="-4"/>
                <w:kern w:val="2"/>
                <w:sz w:val="24"/>
                <w:szCs w:val="24"/>
                <w:highlight w:val="none"/>
                <w:lang w:val="en-US" w:eastAsia="zh-CN" w:bidi="ar-SA"/>
              </w:rPr>
              <w:t>10</w:t>
            </w:r>
            <w:r>
              <w:rPr>
                <w:rFonts w:hint="eastAsia" w:ascii="宋体" w:hAnsi="宋体" w:eastAsia="宋体" w:cs="宋体"/>
                <w:color w:val="auto"/>
                <w:spacing w:val="-4"/>
                <w:kern w:val="2"/>
                <w:sz w:val="24"/>
                <w:szCs w:val="24"/>
                <w:highlight w:val="none"/>
                <w:lang w:val="en-US" w:eastAsia="zh-CN" w:bidi="ar-SA"/>
              </w:rPr>
              <w:t>分；</w:t>
            </w:r>
          </w:p>
          <w:p w14:paraId="56572E48">
            <w:pPr>
              <w:numPr>
                <w:ilvl w:val="0"/>
                <w:numId w:val="0"/>
              </w:numPr>
              <w:bidi w:val="0"/>
              <w:spacing w:line="360" w:lineRule="auto"/>
              <w:jc w:val="both"/>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2、方案内容较完整具体、条理较清晰、流程</w:t>
            </w:r>
            <w:r>
              <w:rPr>
                <w:rFonts w:hint="eastAsia" w:ascii="宋体" w:hAnsi="宋体" w:cs="宋体"/>
                <w:color w:val="auto"/>
                <w:spacing w:val="-4"/>
                <w:kern w:val="2"/>
                <w:sz w:val="24"/>
                <w:szCs w:val="24"/>
                <w:highlight w:val="none"/>
                <w:lang w:val="en-US" w:eastAsia="zh-CN" w:bidi="ar-SA"/>
              </w:rPr>
              <w:t>较</w:t>
            </w:r>
            <w:r>
              <w:rPr>
                <w:rFonts w:hint="eastAsia" w:ascii="宋体" w:hAnsi="宋体" w:eastAsia="宋体" w:cs="宋体"/>
                <w:color w:val="auto"/>
                <w:spacing w:val="-4"/>
                <w:kern w:val="2"/>
                <w:sz w:val="24"/>
                <w:szCs w:val="24"/>
                <w:highlight w:val="none"/>
                <w:lang w:val="en-US" w:eastAsia="zh-CN" w:bidi="ar-SA"/>
              </w:rPr>
              <w:t>完整，得</w:t>
            </w:r>
            <w:r>
              <w:rPr>
                <w:rFonts w:hint="eastAsia" w:ascii="宋体" w:hAnsi="宋体" w:cs="宋体"/>
                <w:color w:val="auto"/>
                <w:spacing w:val="-4"/>
                <w:kern w:val="2"/>
                <w:sz w:val="24"/>
                <w:szCs w:val="24"/>
                <w:highlight w:val="none"/>
                <w:lang w:val="en-US" w:eastAsia="zh-CN" w:bidi="ar-SA"/>
              </w:rPr>
              <w:t>7</w:t>
            </w:r>
            <w:r>
              <w:rPr>
                <w:rFonts w:hint="eastAsia" w:ascii="宋体" w:hAnsi="宋体" w:eastAsia="宋体" w:cs="宋体"/>
                <w:color w:val="auto"/>
                <w:spacing w:val="-4"/>
                <w:kern w:val="2"/>
                <w:sz w:val="24"/>
                <w:szCs w:val="24"/>
                <w:highlight w:val="none"/>
                <w:lang w:val="en-US" w:eastAsia="zh-CN" w:bidi="ar-SA"/>
              </w:rPr>
              <w:t>分；</w:t>
            </w:r>
          </w:p>
          <w:p w14:paraId="2A90D285">
            <w:pPr>
              <w:numPr>
                <w:ilvl w:val="0"/>
                <w:numId w:val="0"/>
              </w:numPr>
              <w:bidi w:val="0"/>
              <w:spacing w:line="360" w:lineRule="auto"/>
              <w:jc w:val="both"/>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3、方案基本完整，条理基本清晰、流程基本完整，得</w:t>
            </w:r>
            <w:r>
              <w:rPr>
                <w:rFonts w:hint="eastAsia" w:ascii="宋体" w:hAnsi="宋体" w:cs="宋体"/>
                <w:color w:val="auto"/>
                <w:spacing w:val="-4"/>
                <w:kern w:val="2"/>
                <w:sz w:val="24"/>
                <w:szCs w:val="24"/>
                <w:highlight w:val="none"/>
                <w:lang w:val="en-US" w:eastAsia="zh-CN" w:bidi="ar-SA"/>
              </w:rPr>
              <w:t>5</w:t>
            </w:r>
            <w:r>
              <w:rPr>
                <w:rFonts w:hint="eastAsia" w:ascii="宋体" w:hAnsi="宋体" w:eastAsia="宋体" w:cs="宋体"/>
                <w:color w:val="auto"/>
                <w:spacing w:val="-4"/>
                <w:kern w:val="2"/>
                <w:sz w:val="24"/>
                <w:szCs w:val="24"/>
                <w:highlight w:val="none"/>
                <w:lang w:val="en-US" w:eastAsia="zh-CN" w:bidi="ar-SA"/>
              </w:rPr>
              <w:t>分；</w:t>
            </w:r>
          </w:p>
          <w:p w14:paraId="0FDF68FC">
            <w:pPr>
              <w:numPr>
                <w:ilvl w:val="0"/>
                <w:numId w:val="0"/>
              </w:numPr>
              <w:bidi w:val="0"/>
              <w:spacing w:line="360" w:lineRule="auto"/>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4"/>
                <w:kern w:val="2"/>
                <w:sz w:val="24"/>
                <w:szCs w:val="24"/>
                <w:highlight w:val="none"/>
                <w:lang w:val="en-US" w:eastAsia="zh-CN" w:bidi="ar-SA"/>
              </w:rPr>
              <w:t>4、</w:t>
            </w:r>
            <w:r>
              <w:rPr>
                <w:rFonts w:hint="eastAsia" w:ascii="宋体" w:hAnsi="宋体" w:cs="宋体"/>
                <w:sz w:val="24"/>
                <w:szCs w:val="24"/>
                <w:highlight w:val="none"/>
                <w:lang w:val="en-US" w:eastAsia="zh-CN"/>
              </w:rPr>
              <w:t>未</w:t>
            </w:r>
            <w:r>
              <w:rPr>
                <w:rFonts w:hint="eastAsia" w:ascii="宋体" w:hAnsi="宋体" w:eastAsia="宋体" w:cs="宋体"/>
                <w:color w:val="auto"/>
                <w:spacing w:val="-4"/>
                <w:kern w:val="2"/>
                <w:sz w:val="24"/>
                <w:szCs w:val="24"/>
                <w:highlight w:val="none"/>
                <w:lang w:val="en-US" w:eastAsia="zh-CN" w:bidi="ar-SA"/>
              </w:rPr>
              <w:t>提供不得分。</w:t>
            </w:r>
          </w:p>
        </w:tc>
      </w:tr>
      <w:tr w14:paraId="54D0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jc w:val="center"/>
        </w:trPr>
        <w:tc>
          <w:tcPr>
            <w:tcW w:w="1326" w:type="dxa"/>
            <w:vMerge w:val="continue"/>
            <w:tcBorders>
              <w:left w:val="single" w:color="auto" w:sz="4" w:space="0"/>
              <w:right w:val="single" w:color="auto" w:sz="4" w:space="0"/>
            </w:tcBorders>
            <w:vAlign w:val="center"/>
          </w:tcPr>
          <w:p w14:paraId="0EEDC746">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shd w:val="clear" w:color="auto" w:fill="auto"/>
            <w:vAlign w:val="center"/>
          </w:tcPr>
          <w:p w14:paraId="789F02C5">
            <w:pPr>
              <w:widowControl w:val="0"/>
              <w:adjustRightInd w:val="0"/>
              <w:snapToGrid w:val="0"/>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培训方案</w:t>
            </w:r>
          </w:p>
          <w:p w14:paraId="7F27E1A0">
            <w:pPr>
              <w:widowControl w:val="0"/>
              <w:adjustRightInd w:val="0"/>
              <w:snapToGrid w:val="0"/>
              <w:spacing w:line="360" w:lineRule="auto"/>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10</w:t>
            </w:r>
            <w:r>
              <w:rPr>
                <w:rFonts w:hint="eastAsia" w:ascii="宋体" w:hAnsi="宋体" w:cs="宋体"/>
                <w:sz w:val="24"/>
                <w:szCs w:val="24"/>
                <w:highlight w:val="none"/>
              </w:rPr>
              <w:t>分）</w:t>
            </w:r>
          </w:p>
        </w:tc>
        <w:tc>
          <w:tcPr>
            <w:tcW w:w="6276" w:type="dxa"/>
            <w:tcBorders>
              <w:top w:val="single" w:color="auto" w:sz="4" w:space="0"/>
              <w:left w:val="nil"/>
              <w:right w:val="single" w:color="auto" w:sz="4" w:space="0"/>
            </w:tcBorders>
            <w:shd w:val="clear" w:color="auto" w:fill="auto"/>
            <w:vAlign w:val="center"/>
          </w:tcPr>
          <w:p w14:paraId="3067FAB8">
            <w:pPr>
              <w:numPr>
                <w:ilvl w:val="0"/>
                <w:numId w:val="0"/>
              </w:numPr>
              <w:bidi w:val="0"/>
              <w:spacing w:line="360" w:lineRule="auto"/>
              <w:jc w:val="both"/>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1、</w:t>
            </w:r>
            <w:r>
              <w:rPr>
                <w:rFonts w:hint="default" w:ascii="宋体" w:hAnsi="宋体" w:eastAsia="宋体" w:cs="宋体"/>
                <w:color w:val="auto"/>
                <w:spacing w:val="-4"/>
                <w:kern w:val="2"/>
                <w:sz w:val="24"/>
                <w:szCs w:val="24"/>
                <w:highlight w:val="none"/>
                <w:lang w:val="en-US" w:eastAsia="zh-CN" w:bidi="ar-SA"/>
              </w:rPr>
              <w:t>方案内容详实具体，培训时长充分且高效、人数充足，满足培训效果且满足项目实施的，得</w:t>
            </w:r>
            <w:r>
              <w:rPr>
                <w:rFonts w:hint="eastAsia" w:ascii="宋体" w:hAnsi="宋体" w:eastAsia="宋体" w:cs="宋体"/>
                <w:color w:val="auto"/>
                <w:spacing w:val="-4"/>
                <w:kern w:val="2"/>
                <w:sz w:val="24"/>
                <w:szCs w:val="24"/>
                <w:highlight w:val="none"/>
                <w:lang w:val="en-US" w:eastAsia="zh-CN" w:bidi="ar-SA"/>
              </w:rPr>
              <w:t>10</w:t>
            </w:r>
            <w:r>
              <w:rPr>
                <w:rFonts w:hint="default" w:ascii="宋体" w:hAnsi="宋体" w:eastAsia="宋体" w:cs="宋体"/>
                <w:color w:val="auto"/>
                <w:spacing w:val="-4"/>
                <w:kern w:val="2"/>
                <w:sz w:val="24"/>
                <w:szCs w:val="24"/>
                <w:highlight w:val="none"/>
                <w:lang w:val="en-US" w:eastAsia="zh-CN" w:bidi="ar-SA"/>
              </w:rPr>
              <w:t>分</w:t>
            </w:r>
            <w:r>
              <w:rPr>
                <w:rFonts w:hint="eastAsia" w:ascii="宋体" w:hAnsi="宋体" w:eastAsia="宋体" w:cs="宋体"/>
                <w:color w:val="auto"/>
                <w:spacing w:val="-4"/>
                <w:kern w:val="2"/>
                <w:sz w:val="24"/>
                <w:szCs w:val="24"/>
                <w:highlight w:val="none"/>
                <w:lang w:val="en-US" w:eastAsia="zh-CN" w:bidi="ar-SA"/>
              </w:rPr>
              <w:t>；</w:t>
            </w:r>
          </w:p>
          <w:p w14:paraId="3D6174EE">
            <w:pPr>
              <w:numPr>
                <w:ilvl w:val="0"/>
                <w:numId w:val="0"/>
              </w:numPr>
              <w:bidi w:val="0"/>
              <w:spacing w:line="360" w:lineRule="auto"/>
              <w:jc w:val="both"/>
              <w:rPr>
                <w:rFonts w:hint="default"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2、</w:t>
            </w:r>
            <w:r>
              <w:rPr>
                <w:rFonts w:hint="default" w:ascii="宋体" w:hAnsi="宋体" w:eastAsia="宋体" w:cs="宋体"/>
                <w:color w:val="auto"/>
                <w:spacing w:val="-4"/>
                <w:kern w:val="2"/>
                <w:sz w:val="24"/>
                <w:szCs w:val="24"/>
                <w:highlight w:val="none"/>
                <w:lang w:val="en-US" w:eastAsia="zh-CN" w:bidi="ar-SA"/>
              </w:rPr>
              <w:t>方案内容</w:t>
            </w:r>
            <w:r>
              <w:rPr>
                <w:rFonts w:hint="eastAsia" w:ascii="宋体" w:hAnsi="宋体" w:eastAsia="宋体" w:cs="宋体"/>
                <w:color w:val="auto"/>
                <w:spacing w:val="-4"/>
                <w:kern w:val="2"/>
                <w:sz w:val="24"/>
                <w:szCs w:val="24"/>
                <w:highlight w:val="none"/>
                <w:lang w:val="en-US" w:eastAsia="zh-CN" w:bidi="ar-SA"/>
              </w:rPr>
              <w:t>较</w:t>
            </w:r>
            <w:r>
              <w:rPr>
                <w:rFonts w:hint="default" w:ascii="宋体" w:hAnsi="宋体" w:eastAsia="宋体" w:cs="宋体"/>
                <w:color w:val="auto"/>
                <w:spacing w:val="-4"/>
                <w:kern w:val="2"/>
                <w:sz w:val="24"/>
                <w:szCs w:val="24"/>
                <w:highlight w:val="none"/>
                <w:lang w:val="en-US" w:eastAsia="zh-CN" w:bidi="ar-SA"/>
              </w:rPr>
              <w:t>详实具体，满足培训效果的，得</w:t>
            </w:r>
            <w:r>
              <w:rPr>
                <w:rFonts w:hint="eastAsia" w:ascii="宋体" w:hAnsi="宋体" w:cs="宋体"/>
                <w:color w:val="auto"/>
                <w:spacing w:val="-4"/>
                <w:kern w:val="2"/>
                <w:sz w:val="24"/>
                <w:szCs w:val="24"/>
                <w:highlight w:val="none"/>
                <w:lang w:val="en-US" w:eastAsia="zh-CN" w:bidi="ar-SA"/>
              </w:rPr>
              <w:t>7</w:t>
            </w:r>
            <w:r>
              <w:rPr>
                <w:rFonts w:hint="default" w:ascii="宋体" w:hAnsi="宋体" w:eastAsia="宋体" w:cs="宋体"/>
                <w:color w:val="auto"/>
                <w:spacing w:val="-4"/>
                <w:kern w:val="2"/>
                <w:sz w:val="24"/>
                <w:szCs w:val="24"/>
                <w:highlight w:val="none"/>
                <w:lang w:val="en-US" w:eastAsia="zh-CN" w:bidi="ar-SA"/>
              </w:rPr>
              <w:t>分</w:t>
            </w:r>
            <w:r>
              <w:rPr>
                <w:rFonts w:hint="eastAsia" w:ascii="宋体" w:hAnsi="宋体" w:eastAsia="宋体" w:cs="宋体"/>
                <w:color w:val="auto"/>
                <w:spacing w:val="-4"/>
                <w:kern w:val="2"/>
                <w:sz w:val="24"/>
                <w:szCs w:val="24"/>
                <w:highlight w:val="none"/>
                <w:lang w:val="en-US" w:eastAsia="zh-CN" w:bidi="ar-SA"/>
              </w:rPr>
              <w:t>；</w:t>
            </w:r>
          </w:p>
          <w:p w14:paraId="29F2F832">
            <w:pPr>
              <w:numPr>
                <w:ilvl w:val="0"/>
                <w:numId w:val="0"/>
              </w:numPr>
              <w:bidi w:val="0"/>
              <w:spacing w:line="360" w:lineRule="auto"/>
              <w:jc w:val="both"/>
              <w:rPr>
                <w:rFonts w:hint="default"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w:t>
            </w:r>
            <w:r>
              <w:rPr>
                <w:rFonts w:hint="default" w:ascii="宋体" w:hAnsi="宋体" w:eastAsia="宋体" w:cs="宋体"/>
                <w:color w:val="auto"/>
                <w:spacing w:val="-4"/>
                <w:kern w:val="2"/>
                <w:sz w:val="24"/>
                <w:szCs w:val="24"/>
                <w:highlight w:val="none"/>
                <w:lang w:val="en-US" w:eastAsia="zh-CN" w:bidi="ar-SA"/>
              </w:rPr>
              <w:t>、方案内容基本全面，仅有细节内容缺失，但符合本项目需求的</w:t>
            </w:r>
            <w:r>
              <w:rPr>
                <w:rFonts w:hint="eastAsia" w:ascii="宋体" w:hAnsi="宋体" w:eastAsia="宋体" w:cs="宋体"/>
                <w:color w:val="auto"/>
                <w:spacing w:val="-4"/>
                <w:kern w:val="2"/>
                <w:sz w:val="24"/>
                <w:szCs w:val="24"/>
                <w:highlight w:val="none"/>
                <w:lang w:val="en-US" w:eastAsia="zh-CN" w:bidi="ar-SA"/>
              </w:rPr>
              <w:t>，</w:t>
            </w:r>
            <w:r>
              <w:rPr>
                <w:rFonts w:hint="default" w:ascii="宋体" w:hAnsi="宋体" w:eastAsia="宋体" w:cs="宋体"/>
                <w:color w:val="auto"/>
                <w:spacing w:val="-4"/>
                <w:kern w:val="2"/>
                <w:sz w:val="24"/>
                <w:szCs w:val="24"/>
                <w:highlight w:val="none"/>
                <w:lang w:val="en-US" w:eastAsia="zh-CN" w:bidi="ar-SA"/>
              </w:rPr>
              <w:t>得</w:t>
            </w:r>
            <w:r>
              <w:rPr>
                <w:rFonts w:hint="eastAsia" w:ascii="宋体" w:hAnsi="宋体" w:cs="宋体"/>
                <w:color w:val="auto"/>
                <w:spacing w:val="-4"/>
                <w:kern w:val="2"/>
                <w:sz w:val="24"/>
                <w:szCs w:val="24"/>
                <w:highlight w:val="none"/>
                <w:lang w:val="en-US" w:eastAsia="zh-CN" w:bidi="ar-SA"/>
              </w:rPr>
              <w:t>5</w:t>
            </w:r>
            <w:r>
              <w:rPr>
                <w:rFonts w:hint="default" w:ascii="宋体" w:hAnsi="宋体" w:eastAsia="宋体" w:cs="宋体"/>
                <w:color w:val="auto"/>
                <w:spacing w:val="-4"/>
                <w:kern w:val="2"/>
                <w:sz w:val="24"/>
                <w:szCs w:val="24"/>
                <w:highlight w:val="none"/>
                <w:lang w:val="en-US" w:eastAsia="zh-CN" w:bidi="ar-SA"/>
              </w:rPr>
              <w:t>分</w:t>
            </w:r>
            <w:r>
              <w:rPr>
                <w:rFonts w:hint="eastAsia" w:ascii="宋体" w:hAnsi="宋体" w:eastAsia="宋体" w:cs="宋体"/>
                <w:color w:val="auto"/>
                <w:spacing w:val="-4"/>
                <w:kern w:val="2"/>
                <w:sz w:val="24"/>
                <w:szCs w:val="24"/>
                <w:highlight w:val="none"/>
                <w:lang w:val="en-US" w:eastAsia="zh-CN" w:bidi="ar-SA"/>
              </w:rPr>
              <w:t>；</w:t>
            </w:r>
          </w:p>
          <w:p w14:paraId="5F0FB1CB">
            <w:pPr>
              <w:numPr>
                <w:ilvl w:val="0"/>
                <w:numId w:val="0"/>
              </w:numPr>
              <w:bidi w:val="0"/>
              <w:spacing w:line="360" w:lineRule="auto"/>
              <w:ind w:left="0" w:leftChars="0" w:firstLine="0" w:firstLineChars="0"/>
              <w:jc w:val="both"/>
              <w:rPr>
                <w:rFonts w:hint="eastAsia" w:ascii="宋体" w:hAnsi="宋体" w:eastAsia="宋体" w:cs="宋体"/>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4、</w:t>
            </w:r>
            <w:r>
              <w:rPr>
                <w:rFonts w:hint="eastAsia" w:ascii="宋体" w:hAnsi="宋体" w:cs="宋体"/>
                <w:sz w:val="24"/>
                <w:szCs w:val="24"/>
                <w:highlight w:val="none"/>
                <w:lang w:val="en-US" w:eastAsia="zh-CN"/>
              </w:rPr>
              <w:t>未</w:t>
            </w:r>
            <w:r>
              <w:rPr>
                <w:rFonts w:hint="eastAsia" w:ascii="宋体" w:hAnsi="宋体" w:eastAsia="宋体" w:cs="宋体"/>
                <w:color w:val="auto"/>
                <w:spacing w:val="-4"/>
                <w:kern w:val="2"/>
                <w:sz w:val="24"/>
                <w:szCs w:val="24"/>
                <w:highlight w:val="none"/>
                <w:lang w:val="en-US" w:eastAsia="zh-CN" w:bidi="ar-SA"/>
              </w:rPr>
              <w:t>提供不得分。</w:t>
            </w:r>
          </w:p>
        </w:tc>
      </w:tr>
      <w:tr w14:paraId="62D6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restart"/>
            <w:tcBorders>
              <w:left w:val="single" w:color="auto" w:sz="4" w:space="0"/>
              <w:right w:val="single" w:color="auto" w:sz="4" w:space="0"/>
            </w:tcBorders>
            <w:vAlign w:val="center"/>
          </w:tcPr>
          <w:p w14:paraId="53420CFA">
            <w:pPr>
              <w:adjustRightInd w:val="0"/>
              <w:spacing w:line="360" w:lineRule="auto"/>
              <w:ind w:left="2" w:hanging="2" w:hangingChars="1"/>
              <w:jc w:val="center"/>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r>
              <w:rPr>
                <w:rFonts w:hint="eastAsia" w:ascii="宋体" w:hAnsi="宋体" w:cs="宋体"/>
                <w:bCs/>
                <w:kern w:val="2"/>
                <w:sz w:val="24"/>
                <w:szCs w:val="24"/>
                <w:highlight w:val="none"/>
              </w:rPr>
              <w:t>综合部分（</w:t>
            </w:r>
            <w:r>
              <w:rPr>
                <w:rFonts w:hint="eastAsia" w:ascii="宋体" w:hAnsi="宋体" w:cs="宋体"/>
                <w:bCs/>
                <w:color w:val="000000" w:themeColor="text1"/>
                <w:kern w:val="2"/>
                <w:sz w:val="24"/>
                <w:szCs w:val="24"/>
                <w:highlight w:val="none"/>
                <w:lang w:val="en-US" w:eastAsia="zh-CN"/>
                <w14:textFill>
                  <w14:solidFill>
                    <w14:schemeClr w14:val="tx1"/>
                  </w14:solidFill>
                </w14:textFill>
              </w:rPr>
              <w:t>20</w:t>
            </w:r>
            <w:r>
              <w:rPr>
                <w:rFonts w:hint="eastAsia" w:ascii="宋体" w:hAnsi="宋体" w:cs="宋体"/>
                <w:bCs/>
                <w:kern w:val="2"/>
                <w:sz w:val="24"/>
                <w:szCs w:val="24"/>
                <w:highlight w:val="none"/>
              </w:rPr>
              <w:t>分）</w:t>
            </w:r>
          </w:p>
        </w:tc>
        <w:tc>
          <w:tcPr>
            <w:tcW w:w="1939" w:type="dxa"/>
            <w:tcBorders>
              <w:top w:val="single" w:color="auto" w:sz="4" w:space="0"/>
              <w:left w:val="single" w:color="auto" w:sz="4" w:space="0"/>
              <w:right w:val="single" w:color="auto" w:sz="4" w:space="0"/>
            </w:tcBorders>
            <w:vAlign w:val="center"/>
          </w:tcPr>
          <w:p w14:paraId="27F8ACF6">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企业业绩</w:t>
            </w:r>
          </w:p>
          <w:p w14:paraId="0A10208D">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4</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center"/>
          </w:tcPr>
          <w:p w14:paraId="29ED2628">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rPr>
              <w:t>202</w:t>
            </w:r>
            <w:r>
              <w:rPr>
                <w:rFonts w:hint="eastAsia" w:ascii="宋体" w:hAnsi="宋体" w:cs="宋体"/>
                <w:bCs/>
                <w:kern w:val="2"/>
                <w:sz w:val="24"/>
                <w:szCs w:val="24"/>
                <w:highlight w:val="none"/>
                <w:lang w:val="en-US" w:eastAsia="zh-CN"/>
              </w:rPr>
              <w:t>3</w:t>
            </w:r>
            <w:r>
              <w:rPr>
                <w:rFonts w:hint="eastAsia" w:ascii="宋体" w:hAnsi="宋体" w:cs="宋体"/>
                <w:bCs/>
                <w:kern w:val="2"/>
                <w:sz w:val="24"/>
                <w:szCs w:val="24"/>
                <w:highlight w:val="none"/>
              </w:rPr>
              <w:t>年1月1日以来，供应商具有类似项目业绩的</w:t>
            </w:r>
            <w:r>
              <w:rPr>
                <w:rFonts w:hint="eastAsia" w:ascii="宋体" w:hAnsi="宋体" w:cs="宋体"/>
                <w:bCs/>
                <w:kern w:val="2"/>
                <w:sz w:val="24"/>
                <w:szCs w:val="24"/>
                <w:highlight w:val="none"/>
                <w:lang w:eastAsia="zh-CN"/>
              </w:rPr>
              <w:t>（</w:t>
            </w:r>
            <w:r>
              <w:rPr>
                <w:rFonts w:hint="eastAsia" w:ascii="宋体" w:hAnsi="宋体" w:cs="宋体"/>
                <w:bCs/>
                <w:kern w:val="2"/>
                <w:sz w:val="24"/>
                <w:szCs w:val="24"/>
                <w:highlight w:val="none"/>
              </w:rPr>
              <w:t>以合同为准)，每提供一项得</w:t>
            </w:r>
            <w:r>
              <w:rPr>
                <w:rFonts w:hint="eastAsia" w:ascii="宋体" w:hAnsi="宋体" w:cs="宋体"/>
                <w:bCs/>
                <w:kern w:val="2"/>
                <w:sz w:val="24"/>
                <w:szCs w:val="24"/>
                <w:highlight w:val="none"/>
                <w:lang w:val="en-US" w:eastAsia="zh-CN"/>
              </w:rPr>
              <w:t>2</w:t>
            </w:r>
            <w:r>
              <w:rPr>
                <w:rFonts w:hint="eastAsia" w:ascii="宋体" w:hAnsi="宋体" w:cs="宋体"/>
                <w:bCs/>
                <w:kern w:val="2"/>
                <w:sz w:val="24"/>
                <w:szCs w:val="24"/>
                <w:highlight w:val="none"/>
              </w:rPr>
              <w:t>分，最高</w:t>
            </w:r>
            <w:r>
              <w:rPr>
                <w:rFonts w:hint="eastAsia" w:ascii="宋体" w:hAnsi="宋体" w:cs="宋体"/>
                <w:bCs/>
                <w:kern w:val="2"/>
                <w:sz w:val="24"/>
                <w:szCs w:val="24"/>
                <w:highlight w:val="none"/>
                <w:lang w:val="en-US" w:eastAsia="zh-CN"/>
              </w:rPr>
              <w:t>得4</w:t>
            </w:r>
            <w:r>
              <w:rPr>
                <w:rFonts w:hint="eastAsia" w:ascii="宋体" w:hAnsi="宋体" w:cs="宋体"/>
                <w:bCs/>
                <w:kern w:val="2"/>
                <w:sz w:val="24"/>
                <w:szCs w:val="24"/>
                <w:highlight w:val="none"/>
              </w:rPr>
              <w:t>分。</w:t>
            </w:r>
          </w:p>
          <w:p w14:paraId="2BF4A126">
            <w:pPr>
              <w:widowControl w:val="0"/>
              <w:adjustRightInd w:val="0"/>
              <w:snapToGrid w:val="0"/>
              <w:spacing w:line="360" w:lineRule="auto"/>
              <w:jc w:val="both"/>
              <w:rPr>
                <w:rFonts w:hint="eastAsia" w:ascii="宋体" w:hAnsi="宋体" w:eastAsia="宋体" w:cs="宋体"/>
                <w:bCs/>
                <w:kern w:val="2"/>
                <w:sz w:val="24"/>
                <w:szCs w:val="24"/>
                <w:highlight w:val="none"/>
                <w:lang w:eastAsia="zh-CN"/>
              </w:rPr>
            </w:pPr>
            <w:r>
              <w:rPr>
                <w:rFonts w:hint="eastAsia" w:ascii="宋体" w:hAnsi="宋体" w:cs="宋体"/>
                <w:bCs/>
                <w:kern w:val="2"/>
                <w:sz w:val="24"/>
                <w:szCs w:val="24"/>
                <w:highlight w:val="none"/>
                <w:lang w:eastAsia="zh-CN"/>
              </w:rPr>
              <w:t>（业绩</w:t>
            </w:r>
            <w:r>
              <w:rPr>
                <w:rFonts w:hint="eastAsia" w:ascii="宋体" w:hAnsi="宋体" w:cs="宋体"/>
                <w:bCs/>
                <w:kern w:val="2"/>
                <w:sz w:val="24"/>
                <w:szCs w:val="24"/>
                <w:highlight w:val="none"/>
              </w:rPr>
              <w:t>须提供合同原件扫描件，否则不得分</w:t>
            </w:r>
            <w:r>
              <w:rPr>
                <w:rFonts w:hint="eastAsia" w:ascii="宋体" w:hAnsi="宋体" w:cs="宋体"/>
                <w:bCs/>
                <w:kern w:val="2"/>
                <w:sz w:val="24"/>
                <w:szCs w:val="24"/>
                <w:highlight w:val="none"/>
                <w:lang w:eastAsia="zh-CN"/>
              </w:rPr>
              <w:t>）</w:t>
            </w:r>
          </w:p>
        </w:tc>
      </w:tr>
      <w:tr w14:paraId="5972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26" w:type="dxa"/>
            <w:vMerge w:val="continue"/>
            <w:tcBorders>
              <w:left w:val="single" w:color="auto" w:sz="4" w:space="0"/>
              <w:right w:val="single" w:color="auto" w:sz="4" w:space="0"/>
            </w:tcBorders>
            <w:vAlign w:val="center"/>
          </w:tcPr>
          <w:p w14:paraId="0D1590F5">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shd w:val="clear" w:color="auto" w:fill="auto"/>
            <w:vAlign w:val="center"/>
          </w:tcPr>
          <w:p w14:paraId="43D730EA">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服务承诺</w:t>
            </w:r>
          </w:p>
          <w:p w14:paraId="201B1358">
            <w:pPr>
              <w:widowControl w:val="0"/>
              <w:adjustRightInd w:val="0"/>
              <w:snapToGrid w:val="0"/>
              <w:spacing w:line="360" w:lineRule="auto"/>
              <w:jc w:val="center"/>
              <w:rPr>
                <w:rFonts w:hint="eastAsia" w:ascii="宋体" w:hAnsi="宋体" w:eastAsia="宋体" w:cs="宋体"/>
                <w:bCs/>
                <w:kern w:val="2"/>
                <w:sz w:val="24"/>
                <w:szCs w:val="24"/>
                <w:highlight w:val="none"/>
                <w:lang w:val="en-US" w:eastAsia="zh-CN" w:bidi="ar-SA"/>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10</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shd w:val="clear" w:color="auto" w:fill="auto"/>
            <w:vAlign w:val="center"/>
          </w:tcPr>
          <w:p w14:paraId="122B2BE0">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对提供的服务承诺进行综合评价。</w:t>
            </w:r>
          </w:p>
          <w:p w14:paraId="789EFA27">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1、保障系统运行的支持服务，提供驻场服务并有详尽描述服务体系、服务方式，完全满足采购需求的，得10分；</w:t>
            </w:r>
          </w:p>
          <w:p w14:paraId="12187187">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2、有描述服务体系、服务方式，基本满足采购需求的，得7分；</w:t>
            </w:r>
          </w:p>
          <w:p w14:paraId="775EAF2A">
            <w:pPr>
              <w:widowControl w:val="0"/>
              <w:numPr>
                <w:ilvl w:val="0"/>
                <w:numId w:val="0"/>
              </w:numPr>
              <w:adjustRightInd w:val="0"/>
              <w:snapToGrid w:val="0"/>
              <w:spacing w:line="360" w:lineRule="auto"/>
              <w:jc w:val="both"/>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3、有描述服务体系、服务方式，但内容有欠缺的，得5分</w:t>
            </w:r>
            <w:r>
              <w:rPr>
                <w:rFonts w:hint="eastAsia" w:ascii="宋体" w:hAnsi="宋体" w:cs="宋体"/>
                <w:sz w:val="24"/>
                <w:szCs w:val="24"/>
                <w:highlight w:val="none"/>
              </w:rPr>
              <w:t>；</w:t>
            </w:r>
          </w:p>
          <w:p w14:paraId="7DFEAABF">
            <w:pPr>
              <w:widowControl w:val="0"/>
              <w:numPr>
                <w:ilvl w:val="0"/>
                <w:numId w:val="0"/>
              </w:numPr>
              <w:adjustRightInd w:val="0"/>
              <w:snapToGrid w:val="0"/>
              <w:spacing w:line="360" w:lineRule="auto"/>
              <w:ind w:left="0" w:leftChars="0" w:firstLine="0" w:firstLineChars="0"/>
              <w:jc w:val="both"/>
              <w:rPr>
                <w:rFonts w:hint="eastAsia" w:ascii="宋体" w:hAnsi="宋体" w:eastAsia="宋体" w:cs="宋体"/>
                <w:bCs/>
                <w:kern w:val="2"/>
                <w:sz w:val="24"/>
                <w:szCs w:val="24"/>
                <w:highlight w:val="none"/>
                <w:lang w:val="en-US" w:eastAsia="zh-CN" w:bidi="ar-SA"/>
              </w:rPr>
            </w:pPr>
            <w:r>
              <w:rPr>
                <w:rFonts w:hint="eastAsia" w:ascii="宋体" w:hAnsi="宋体" w:cs="宋体"/>
                <w:sz w:val="24"/>
                <w:szCs w:val="24"/>
                <w:highlight w:val="none"/>
                <w:lang w:val="en-US" w:eastAsia="zh-CN"/>
              </w:rPr>
              <w:t>4、未提供不得分。</w:t>
            </w:r>
          </w:p>
        </w:tc>
      </w:tr>
      <w:tr w14:paraId="72FB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26" w:type="dxa"/>
            <w:vMerge w:val="continue"/>
            <w:tcBorders>
              <w:left w:val="single" w:color="auto" w:sz="4" w:space="0"/>
              <w:right w:val="single" w:color="auto" w:sz="4" w:space="0"/>
            </w:tcBorders>
            <w:vAlign w:val="center"/>
          </w:tcPr>
          <w:p w14:paraId="18D737C5">
            <w:pPr>
              <w:adjustRightInd w:val="0"/>
              <w:spacing w:line="360" w:lineRule="auto"/>
              <w:ind w:left="2" w:hanging="2" w:hangingChars="1"/>
              <w:jc w:val="both"/>
              <w:rPr>
                <w:rFonts w:hint="eastAsia" w:ascii="宋体" w:hAnsi="宋体" w:cs="宋体"/>
                <w:kern w:val="2"/>
                <w:sz w:val="24"/>
                <w:szCs w:val="24"/>
                <w:highlight w:val="non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0" w14:scaled="1"/>
                  </w14:gradFill>
                </w14:textFill>
              </w:rPr>
            </w:pPr>
          </w:p>
        </w:tc>
        <w:tc>
          <w:tcPr>
            <w:tcW w:w="1939" w:type="dxa"/>
            <w:tcBorders>
              <w:top w:val="single" w:color="auto" w:sz="4" w:space="0"/>
              <w:left w:val="single" w:color="auto" w:sz="4" w:space="0"/>
              <w:right w:val="single" w:color="auto" w:sz="4" w:space="0"/>
            </w:tcBorders>
            <w:vAlign w:val="center"/>
          </w:tcPr>
          <w:p w14:paraId="117C9751">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综合评价</w:t>
            </w:r>
          </w:p>
          <w:p w14:paraId="551B975E">
            <w:pPr>
              <w:widowControl w:val="0"/>
              <w:adjustRightInd w:val="0"/>
              <w:snapToGrid w:val="0"/>
              <w:spacing w:line="360" w:lineRule="auto"/>
              <w:jc w:val="center"/>
              <w:rPr>
                <w:rFonts w:hint="eastAsia" w:ascii="宋体" w:hAnsi="宋体" w:cs="宋体"/>
                <w:bCs/>
                <w:kern w:val="2"/>
                <w:sz w:val="24"/>
                <w:szCs w:val="24"/>
                <w:highlight w:val="none"/>
              </w:rPr>
            </w:pPr>
            <w:r>
              <w:rPr>
                <w:rFonts w:hint="eastAsia" w:ascii="宋体" w:hAnsi="宋体" w:cs="宋体"/>
                <w:bCs/>
                <w:kern w:val="2"/>
                <w:sz w:val="24"/>
                <w:szCs w:val="24"/>
                <w:highlight w:val="none"/>
              </w:rPr>
              <w:t>（</w:t>
            </w:r>
            <w:r>
              <w:rPr>
                <w:rFonts w:hint="eastAsia" w:ascii="宋体" w:hAnsi="宋体" w:cs="宋体"/>
                <w:bCs/>
                <w:kern w:val="2"/>
                <w:sz w:val="24"/>
                <w:szCs w:val="24"/>
                <w:highlight w:val="none"/>
                <w:lang w:val="en-US" w:eastAsia="zh-CN"/>
              </w:rPr>
              <w:t>6</w:t>
            </w:r>
            <w:r>
              <w:rPr>
                <w:rFonts w:hint="eastAsia" w:ascii="宋体" w:hAnsi="宋体" w:cs="宋体"/>
                <w:bCs/>
                <w:kern w:val="2"/>
                <w:sz w:val="24"/>
                <w:szCs w:val="24"/>
                <w:highlight w:val="none"/>
              </w:rPr>
              <w:t>分）</w:t>
            </w:r>
          </w:p>
        </w:tc>
        <w:tc>
          <w:tcPr>
            <w:tcW w:w="6276" w:type="dxa"/>
            <w:tcBorders>
              <w:top w:val="single" w:color="auto" w:sz="4" w:space="0"/>
              <w:left w:val="nil"/>
              <w:right w:val="single" w:color="auto" w:sz="4" w:space="0"/>
            </w:tcBorders>
            <w:vAlign w:val="center"/>
          </w:tcPr>
          <w:p w14:paraId="27E9F983">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对供应商响应文件的响应程度和规范性综合评价进行打分。</w:t>
            </w:r>
          </w:p>
          <w:p w14:paraId="16BA64AE">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1、内容全面明确详尽，规范性强，得6分；</w:t>
            </w:r>
          </w:p>
          <w:p w14:paraId="184EC42E">
            <w:pPr>
              <w:widowControl w:val="0"/>
              <w:numPr>
                <w:ilvl w:val="0"/>
                <w:numId w:val="0"/>
              </w:num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2、内容基本合理，规范性一般，得4分；</w:t>
            </w:r>
          </w:p>
          <w:p w14:paraId="1F068FBD">
            <w:pPr>
              <w:widowControl w:val="0"/>
              <w:numPr>
                <w:ilvl w:val="0"/>
                <w:numId w:val="0"/>
              </w:numPr>
              <w:adjustRightInd w:val="0"/>
              <w:snapToGrid w:val="0"/>
              <w:spacing w:line="360" w:lineRule="auto"/>
              <w:jc w:val="both"/>
              <w:rPr>
                <w:rFonts w:hint="eastAsia" w:ascii="宋体" w:hAnsi="宋体" w:cs="宋体"/>
                <w:bCs/>
                <w:kern w:val="2"/>
                <w:sz w:val="24"/>
                <w:szCs w:val="24"/>
                <w:highlight w:val="none"/>
                <w:lang w:eastAsia="zh-CN"/>
              </w:rPr>
            </w:pPr>
            <w:r>
              <w:rPr>
                <w:rFonts w:hint="eastAsia" w:ascii="宋体" w:hAnsi="宋体" w:cs="宋体"/>
                <w:sz w:val="24"/>
                <w:szCs w:val="24"/>
                <w:highlight w:val="none"/>
                <w:lang w:val="en-US" w:eastAsia="zh-CN"/>
              </w:rPr>
              <w:t>3、内容简略一般，得2分；</w:t>
            </w:r>
          </w:p>
        </w:tc>
      </w:tr>
      <w:tr w14:paraId="5366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41" w:type="dxa"/>
            <w:gridSpan w:val="3"/>
            <w:tcBorders>
              <w:left w:val="single" w:color="auto" w:sz="4" w:space="0"/>
              <w:right w:val="single" w:color="auto" w:sz="4" w:space="0"/>
            </w:tcBorders>
            <w:vAlign w:val="center"/>
          </w:tcPr>
          <w:p w14:paraId="27E50473">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rPr>
              <w:t>注：评审中资格审查、评审打分以响应文件中原件扫描件为准且必须内容齐全、真实有效、清晰可辨。响应性文件的内容真实性由供应商自行承担。</w:t>
            </w:r>
          </w:p>
          <w:p w14:paraId="7DAA1274">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sz w:val="24"/>
                <w:szCs w:val="24"/>
                <w:highlight w:val="none"/>
              </w:rPr>
              <w:t>1</w:t>
            </w:r>
            <w:r>
              <w:rPr>
                <w:rFonts w:hint="eastAsia" w:ascii="宋体" w:hAnsi="宋体" w:cs="宋体"/>
                <w:bCs/>
                <w:kern w:val="2"/>
                <w:sz w:val="24"/>
                <w:szCs w:val="24"/>
                <w:highlight w:val="none"/>
                <w:lang w:eastAsia="zh-CN"/>
              </w:rPr>
              <w:t>、</w:t>
            </w:r>
            <w:r>
              <w:rPr>
                <w:rFonts w:hint="eastAsia" w:ascii="宋体" w:hAnsi="宋体" w:cs="宋体"/>
                <w:bCs/>
                <w:kern w:val="2"/>
                <w:sz w:val="24"/>
                <w:szCs w:val="24"/>
                <w:highlight w:val="none"/>
                <w:lang w:val="en-US" w:eastAsia="zh-CN"/>
              </w:rPr>
              <w:t>评审中出现下列情形之一的，评标委员会可以启动异常低价投标（响应）审查程序：</w:t>
            </w:r>
          </w:p>
          <w:p w14:paraId="595CC0DB">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val="en-US" w:eastAsia="zh-CN"/>
              </w:rPr>
              <w:t>1.投标（响应）报价低于全部通过符合性审查供应商投标（响应）报价平均值 50%的，即投标（响应）报价＜全部通过符合性审查供应商投标（响应）报价平均值×50%；</w:t>
            </w:r>
          </w:p>
          <w:p w14:paraId="060190C0">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val="en-US" w:eastAsia="zh-CN"/>
              </w:rPr>
              <w:t>2.投标（响应）报价低于通过符合性审查且报价次低供应商投标（响应）报价 50%的，即投标（响应）报价＜通过符合性审查且报价次低供应商投标（响应）报价×50%；</w:t>
            </w:r>
          </w:p>
          <w:p w14:paraId="54B36FD0">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val="en-US" w:eastAsia="zh-CN"/>
              </w:rPr>
              <w:t>3.投标（响应）报价低于采购项目最高限价 45%的，即投标（响应）报价＜采购项目最高限价×45%；</w:t>
            </w:r>
          </w:p>
          <w:p w14:paraId="4E737230">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val="en-US" w:eastAsia="zh-CN"/>
              </w:rPr>
              <w:t>4.评审委员会基于专业判断，认为供应商报价过低，有可能影响产品质量或者不能诚信履约的其他情形。</w:t>
            </w:r>
          </w:p>
          <w:p w14:paraId="3853EC9E">
            <w:pPr>
              <w:widowControl w:val="0"/>
              <w:adjustRightInd w:val="0"/>
              <w:snapToGrid w:val="0"/>
              <w:spacing w:line="360" w:lineRule="auto"/>
              <w:jc w:val="both"/>
              <w:rPr>
                <w:rFonts w:hint="eastAsia" w:ascii="宋体" w:hAnsi="宋体" w:cs="宋体"/>
                <w:bCs/>
                <w:kern w:val="2"/>
                <w:sz w:val="24"/>
                <w:szCs w:val="24"/>
                <w:highlight w:val="none"/>
                <w:lang w:val="en-US" w:eastAsia="zh-CN"/>
              </w:rPr>
            </w:pPr>
            <w:r>
              <w:rPr>
                <w:rFonts w:hint="eastAsia" w:ascii="宋体" w:hAnsi="宋体" w:cs="宋体"/>
                <w:bCs/>
                <w:kern w:val="2"/>
                <w:sz w:val="24"/>
                <w:szCs w:val="24"/>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r>
              <w:rPr>
                <w:rFonts w:hint="eastAsia" w:ascii="宋体" w:hAnsi="宋体" w:cs="宋体"/>
                <w:bCs/>
                <w:kern w:val="2"/>
                <w:sz w:val="24"/>
                <w:szCs w:val="24"/>
                <w:highlight w:val="none"/>
                <w:lang w:val="en-US" w:eastAsia="zh-CN"/>
              </w:rPr>
              <w:t>。</w:t>
            </w:r>
          </w:p>
          <w:p w14:paraId="17E870F8">
            <w:pPr>
              <w:widowControl w:val="0"/>
              <w:adjustRightInd w:val="0"/>
              <w:snapToGrid w:val="0"/>
              <w:spacing w:line="360" w:lineRule="auto"/>
              <w:jc w:val="both"/>
              <w:rPr>
                <w:rFonts w:hint="eastAsia" w:ascii="宋体" w:hAnsi="宋体" w:cs="宋体"/>
                <w:bCs/>
                <w:kern w:val="2"/>
                <w:sz w:val="24"/>
                <w:szCs w:val="24"/>
                <w:highlight w:val="none"/>
              </w:rPr>
            </w:pPr>
            <w:r>
              <w:rPr>
                <w:rFonts w:hint="eastAsia" w:ascii="宋体" w:hAnsi="宋体" w:cs="宋体"/>
                <w:bCs/>
                <w:kern w:val="2"/>
                <w:sz w:val="24"/>
                <w:szCs w:val="24"/>
                <w:highlight w:val="none"/>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428E9E">
            <w:pPr>
              <w:adjustRightInd w:val="0"/>
              <w:spacing w:line="360" w:lineRule="auto"/>
              <w:ind w:left="2" w:hanging="2" w:hangingChars="1"/>
              <w:jc w:val="both"/>
              <w:rPr>
                <w:rFonts w:hint="eastAsia" w:ascii="宋体" w:hAnsi="宋体" w:cs="宋体"/>
                <w:sz w:val="24"/>
                <w:szCs w:val="24"/>
                <w:highlight w:val="none"/>
              </w:rPr>
            </w:pPr>
            <w:r>
              <w:rPr>
                <w:rFonts w:hint="eastAsia" w:ascii="宋体" w:hAnsi="宋体" w:cs="宋体"/>
                <w:bCs/>
                <w:kern w:val="2"/>
                <w:sz w:val="24"/>
                <w:szCs w:val="24"/>
                <w:highlight w:val="none"/>
              </w:rPr>
              <w:t>2、评标开始后，不再接受任何补充材料。</w:t>
            </w:r>
          </w:p>
        </w:tc>
      </w:tr>
    </w:tbl>
    <w:p w14:paraId="166825DD">
      <w:pPr>
        <w:pStyle w:val="17"/>
        <w:spacing w:line="360" w:lineRule="auto"/>
        <w:ind w:left="0" w:leftChars="0" w:firstLine="0" w:firstLineChars="0"/>
        <w:jc w:val="both"/>
        <w:rPr>
          <w:rFonts w:hint="eastAsia" w:ascii="宋体" w:hAnsi="宋体" w:cs="宋体"/>
          <w:b/>
          <w:bCs/>
          <w:color w:val="EE822F" w:themeColor="accent2"/>
          <w:sz w:val="24"/>
          <w:szCs w:val="24"/>
          <w:highlight w:val="none"/>
          <w14:textFill>
            <w14:solidFill>
              <w14:schemeClr w14:val="accent2"/>
            </w14:solidFill>
          </w14:textFill>
        </w:rPr>
      </w:pPr>
    </w:p>
    <w:p w14:paraId="2A062E2C">
      <w:pPr>
        <w:pStyle w:val="2"/>
        <w:bidi w:val="0"/>
        <w:jc w:val="center"/>
        <w:rPr>
          <w:rFonts w:hint="eastAsia" w:asciiTheme="minorEastAsia" w:hAnsiTheme="minorEastAsia"/>
          <w:b/>
          <w:color w:val="000000" w:themeColor="text1"/>
          <w:szCs w:val="36"/>
          <w:highlight w:val="none"/>
          <w14:textFill>
            <w14:solidFill>
              <w14:schemeClr w14:val="tx1"/>
            </w14:solidFill>
          </w14:textFill>
        </w:rPr>
      </w:pPr>
      <w:bookmarkStart w:id="107" w:name="_Toc453139656"/>
      <w:bookmarkEnd w:id="107"/>
      <w:bookmarkStart w:id="108" w:name="_Toc12980"/>
      <w:r>
        <w:rPr>
          <w:rFonts w:ascii="宋体" w:hAnsi="宋体" w:cs="宋体"/>
          <w:b/>
          <w:kern w:val="2"/>
          <w:szCs w:val="28"/>
          <w:highlight w:val="none"/>
        </w:rPr>
        <w:br w:type="page"/>
      </w:r>
      <w:bookmarkEnd w:id="108"/>
      <w:bookmarkStart w:id="109" w:name="_Toc23274"/>
      <w:bookmarkStart w:id="110" w:name="_Toc8685"/>
      <w:bookmarkStart w:id="111" w:name="_Toc25646"/>
      <w:bookmarkStart w:id="112" w:name="_Toc17112"/>
      <w:r>
        <w:rPr>
          <w:rFonts w:hint="eastAsia"/>
          <w:sz w:val="36"/>
          <w:szCs w:val="36"/>
        </w:rPr>
        <w:t>第六章</w:t>
      </w:r>
      <w:r>
        <w:rPr>
          <w:rFonts w:hint="eastAsia"/>
          <w:sz w:val="36"/>
          <w:szCs w:val="36"/>
          <w:lang w:val="en-US" w:eastAsia="zh-CN"/>
        </w:rPr>
        <w:t xml:space="preserve">  </w:t>
      </w:r>
      <w:r>
        <w:rPr>
          <w:rFonts w:hint="eastAsia"/>
          <w:sz w:val="36"/>
          <w:szCs w:val="36"/>
        </w:rPr>
        <w:t>响应文件格式</w:t>
      </w:r>
      <w:bookmarkEnd w:id="109"/>
      <w:bookmarkEnd w:id="110"/>
      <w:bookmarkEnd w:id="111"/>
      <w:bookmarkEnd w:id="112"/>
    </w:p>
    <w:p w14:paraId="4A262247">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33FDE4E5">
      <w:pPr>
        <w:ind w:firstLine="480"/>
        <w:rPr>
          <w:rFonts w:ascii="Calibri" w:hAnsi="Calibri"/>
          <w:color w:val="000000" w:themeColor="text1"/>
          <w:highlight w:val="none"/>
          <w14:textFill>
            <w14:solidFill>
              <w14:schemeClr w14:val="tx1"/>
            </w14:solidFill>
          </w14:textFill>
        </w:rPr>
      </w:pPr>
    </w:p>
    <w:p w14:paraId="2E42FCA2">
      <w:pPr>
        <w:jc w:val="center"/>
        <w:rPr>
          <w:rFonts w:hint="eastAsia" w:cs="宋体" w:asciiTheme="minorEastAsia" w:hAnsiTheme="minorEastAsia"/>
          <w:b/>
          <w:color w:val="000000" w:themeColor="text1"/>
          <w:sz w:val="28"/>
          <w:szCs w:val="28"/>
          <w:highlight w:val="none"/>
          <w:u w:val="single"/>
          <w14:textFill>
            <w14:solidFill>
              <w14:schemeClr w14:val="tx1"/>
            </w14:solidFill>
          </w14:textFill>
        </w:rPr>
      </w:pPr>
    </w:p>
    <w:p w14:paraId="5AE2ABB7">
      <w:pPr>
        <w:jc w:val="center"/>
        <w:rPr>
          <w:rFonts w:hint="eastAsia" w:cs="宋体" w:asciiTheme="minorEastAsia" w:hAnsiTheme="minorEastAsia" w:eastAsiaTheme="minorEastAsia"/>
          <w:b/>
          <w:color w:val="000000" w:themeColor="text1"/>
          <w:sz w:val="44"/>
          <w:szCs w:val="44"/>
          <w:highlight w:val="none"/>
          <w:lang w:eastAsia="zh-CN"/>
          <w14:textFill>
            <w14:solidFill>
              <w14:schemeClr w14:val="tx1"/>
            </w14:solidFill>
          </w14:textFill>
        </w:rPr>
      </w:pPr>
      <w:r>
        <w:rPr>
          <w:rFonts w:hint="eastAsia" w:cs="宋体" w:asciiTheme="minorEastAsia" w:hAnsiTheme="minorEastAsia" w:eastAsiaTheme="minorEastAsia"/>
          <w:b/>
          <w:bCs/>
          <w:color w:val="000000" w:themeColor="text1"/>
          <w:sz w:val="44"/>
          <w:szCs w:val="44"/>
          <w:highlight w:val="none"/>
          <w:lang w:eastAsia="zh-CN"/>
          <w14:textFill>
            <w14:solidFill>
              <w14:schemeClr w14:val="tx1"/>
            </w14:solidFill>
          </w14:textFill>
        </w:rPr>
        <w:t>河南省三门峡市中级人民法院审判系统及设备技术服务项目</w:t>
      </w:r>
    </w:p>
    <w:p w14:paraId="44E275A7">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3EC87045">
      <w:pPr>
        <w:jc w:val="center"/>
        <w:rPr>
          <w:rFonts w:hint="eastAsia" w:asciiTheme="minorEastAsia" w:hAnsiTheme="minorEastAsia"/>
          <w:b/>
          <w:bCs/>
          <w:color w:val="000000" w:themeColor="text1"/>
          <w:sz w:val="72"/>
          <w:szCs w:val="72"/>
          <w:highlight w:val="none"/>
          <w14:textFill>
            <w14:solidFill>
              <w14:schemeClr w14:val="tx1"/>
            </w14:solidFill>
          </w14:textFill>
        </w:rPr>
      </w:pPr>
    </w:p>
    <w:p w14:paraId="2A87D06C">
      <w:pPr>
        <w:jc w:val="center"/>
        <w:rPr>
          <w:rFonts w:hint="eastAsia" w:asciiTheme="minorEastAsia" w:hAnsiTheme="minorEastAsia"/>
          <w:color w:val="000000" w:themeColor="text1"/>
          <w:highlight w:val="none"/>
          <w14:textFill>
            <w14:solidFill>
              <w14:schemeClr w14:val="tx1"/>
            </w14:solidFill>
          </w14:textFill>
        </w:rPr>
      </w:pPr>
      <w:r>
        <w:rPr>
          <w:rFonts w:hint="eastAsia" w:asciiTheme="minorEastAsia" w:hAnsiTheme="minorEastAsia"/>
          <w:b/>
          <w:bCs/>
          <w:color w:val="000000" w:themeColor="text1"/>
          <w:sz w:val="72"/>
          <w:szCs w:val="72"/>
          <w:highlight w:val="none"/>
          <w14:textFill>
            <w14:solidFill>
              <w14:schemeClr w14:val="tx1"/>
            </w14:solidFill>
          </w14:textFill>
        </w:rPr>
        <w:t>响 应 文 件</w:t>
      </w:r>
      <w:bookmarkStart w:id="113" w:name="_Toc171073042"/>
      <w:bookmarkEnd w:id="113"/>
      <w:bookmarkStart w:id="114" w:name="_Toc223432387"/>
      <w:bookmarkEnd w:id="114"/>
      <w:bookmarkStart w:id="115" w:name="_Toc171073207"/>
      <w:bookmarkEnd w:id="115"/>
      <w:bookmarkStart w:id="116" w:name="_Toc169921407"/>
      <w:bookmarkEnd w:id="116"/>
    </w:p>
    <w:p w14:paraId="37539268">
      <w:pPr>
        <w:jc w:val="center"/>
        <w:rPr>
          <w:rFonts w:hint="eastAsia" w:asciiTheme="minorEastAsia" w:hAnsiTheme="minorEastAsia"/>
          <w:color w:val="000000" w:themeColor="text1"/>
          <w:highlight w:val="none"/>
          <w14:textFill>
            <w14:solidFill>
              <w14:schemeClr w14:val="tx1"/>
            </w14:solidFill>
          </w14:textFill>
        </w:rPr>
      </w:pPr>
    </w:p>
    <w:p w14:paraId="1C246B16">
      <w:pPr>
        <w:jc w:val="center"/>
        <w:rPr>
          <w:rFonts w:hint="default" w:eastAsia="宋体" w:asciiTheme="minorEastAsia" w:hAnsiTheme="minorEastAsia"/>
          <w:color w:val="000000" w:themeColor="text1"/>
          <w:sz w:val="32"/>
          <w:szCs w:val="32"/>
          <w:highlight w:val="none"/>
          <w:lang w:val="en-US" w:eastAsia="zh-CN"/>
          <w14:textFill>
            <w14:solidFill>
              <w14:schemeClr w14:val="tx1"/>
            </w14:solidFill>
          </w14:textFill>
        </w:rPr>
      </w:pPr>
      <w:r>
        <w:rPr>
          <w:rFonts w:hint="eastAsia" w:asciiTheme="minorEastAsia" w:hAnsiTheme="minorEastAsia"/>
          <w:color w:val="000000" w:themeColor="text1"/>
          <w:sz w:val="32"/>
          <w:szCs w:val="32"/>
          <w:highlight w:val="none"/>
          <w:lang w:val="en-US" w:eastAsia="zh-CN"/>
          <w14:textFill>
            <w14:solidFill>
              <w14:schemeClr w14:val="tx1"/>
            </w14:solidFill>
          </w14:textFill>
        </w:rPr>
        <w:t>项目编号：</w:t>
      </w:r>
    </w:p>
    <w:p w14:paraId="3C2CF386">
      <w:pPr>
        <w:jc w:val="center"/>
        <w:rPr>
          <w:rFonts w:hint="eastAsia" w:asciiTheme="minorEastAsia" w:hAnsiTheme="minorEastAsia"/>
          <w:color w:val="000000" w:themeColor="text1"/>
          <w:highlight w:val="none"/>
          <w14:textFill>
            <w14:solidFill>
              <w14:schemeClr w14:val="tx1"/>
            </w14:solidFill>
          </w14:textFill>
        </w:rPr>
      </w:pPr>
    </w:p>
    <w:p w14:paraId="23872EED">
      <w:pPr>
        <w:spacing w:line="660" w:lineRule="auto"/>
        <w:rPr>
          <w:rFonts w:hint="eastAsia" w:asciiTheme="minorEastAsia" w:hAnsiTheme="minorEastAsia"/>
          <w:color w:val="000000" w:themeColor="text1"/>
          <w:sz w:val="27"/>
          <w:szCs w:val="27"/>
          <w:highlight w:val="none"/>
          <w14:textFill>
            <w14:solidFill>
              <w14:schemeClr w14:val="tx1"/>
            </w14:solidFill>
          </w14:textFill>
        </w:rPr>
      </w:pPr>
    </w:p>
    <w:p w14:paraId="14200C5F">
      <w:pPr>
        <w:spacing w:line="480" w:lineRule="auto"/>
        <w:ind w:firstLine="1090"/>
        <w:rPr>
          <w:rFonts w:hint="eastAsia" w:asciiTheme="minorEastAsia" w:hAnsiTheme="minorEastAsia"/>
          <w:color w:val="000000" w:themeColor="text1"/>
          <w:sz w:val="28"/>
          <w:szCs w:val="28"/>
          <w:highlight w:val="none"/>
          <w14:textFill>
            <w14:solidFill>
              <w14:schemeClr w14:val="tx1"/>
            </w14:solidFill>
          </w14:textFill>
        </w:rPr>
      </w:pPr>
    </w:p>
    <w:p w14:paraId="2C875CEC">
      <w:pPr>
        <w:spacing w:line="480" w:lineRule="auto"/>
        <w:ind w:firstLine="1090"/>
        <w:rPr>
          <w:rFonts w:hint="eastAsia" w:asciiTheme="minorEastAsia" w:hAnsiTheme="minorEastAsia"/>
          <w:color w:val="000000" w:themeColor="text1"/>
          <w:sz w:val="28"/>
          <w:szCs w:val="28"/>
          <w:highlight w:val="none"/>
          <w14:textFill>
            <w14:solidFill>
              <w14:schemeClr w14:val="tx1"/>
            </w14:solidFill>
          </w14:textFill>
        </w:rPr>
      </w:pPr>
    </w:p>
    <w:p w14:paraId="60049D5A">
      <w:pPr>
        <w:spacing w:line="480" w:lineRule="auto"/>
        <w:ind w:firstLine="1090"/>
        <w:rPr>
          <w:rFonts w:hint="eastAsia" w:asciiTheme="minorEastAsia" w:hAnsiTheme="minorEastAsia"/>
          <w:color w:val="000000" w:themeColor="text1"/>
          <w:sz w:val="28"/>
          <w:szCs w:val="28"/>
          <w:highlight w:val="none"/>
          <w14:textFill>
            <w14:solidFill>
              <w14:schemeClr w14:val="tx1"/>
            </w14:solidFill>
          </w14:textFill>
        </w:rPr>
      </w:pPr>
    </w:p>
    <w:p w14:paraId="2C157ACF">
      <w:pPr>
        <w:jc w:val="center"/>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14:textFill>
            <w14:solidFill>
              <w14:schemeClr w14:val="tx1"/>
            </w14:solidFill>
          </w14:textFill>
        </w:rPr>
        <w:t>供应商名称：（签章）</w:t>
      </w:r>
    </w:p>
    <w:p w14:paraId="4F152D5E">
      <w:pPr>
        <w:jc w:val="center"/>
        <w:rPr>
          <w:rFonts w:hint="eastAsia" w:asciiTheme="minorEastAsia" w:hAnsiTheme="minorEastAsia"/>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14:textFill>
            <w14:solidFill>
              <w14:schemeClr w14:val="tx1"/>
            </w14:solidFill>
          </w14:textFill>
        </w:rPr>
        <w:t xml:space="preserve">    法定代表人：（</w:t>
      </w:r>
      <w:r>
        <w:rPr>
          <w:rFonts w:hint="eastAsia" w:asciiTheme="minorEastAsia" w:hAnsiTheme="minorEastAsia"/>
          <w:bCs/>
          <w:color w:val="000000" w:themeColor="text1"/>
          <w:sz w:val="28"/>
          <w:szCs w:val="28"/>
          <w:highlight w:val="none"/>
          <w14:textFill>
            <w14:solidFill>
              <w14:schemeClr w14:val="tx1"/>
            </w14:solidFill>
          </w14:textFill>
        </w:rPr>
        <w:t>电子签章</w:t>
      </w:r>
      <w:r>
        <w:rPr>
          <w:rFonts w:hint="eastAsia" w:asciiTheme="minorEastAsia" w:hAnsiTheme="minorEastAsia"/>
          <w:color w:val="000000" w:themeColor="text1"/>
          <w:sz w:val="28"/>
          <w:szCs w:val="28"/>
          <w:highlight w:val="none"/>
          <w14:textFill>
            <w14:solidFill>
              <w14:schemeClr w14:val="tx1"/>
            </w14:solidFill>
          </w14:textFill>
        </w:rPr>
        <w:t>）</w:t>
      </w:r>
    </w:p>
    <w:p w14:paraId="7A7A44A3">
      <w:pPr>
        <w:spacing w:line="360" w:lineRule="auto"/>
        <w:jc w:val="center"/>
        <w:rPr>
          <w:rFonts w:hint="eastAsia" w:asciiTheme="minorEastAsia" w:hAnsiTheme="minorEastAsia"/>
          <w:b/>
          <w:color w:val="000000" w:themeColor="text1"/>
          <w:sz w:val="28"/>
          <w:szCs w:val="28"/>
          <w:highlight w:val="none"/>
          <w14:textFill>
            <w14:solidFill>
              <w14:schemeClr w14:val="tx1"/>
            </w14:solidFill>
          </w14:textFill>
        </w:rPr>
      </w:pPr>
      <w:r>
        <w:rPr>
          <w:rFonts w:hint="eastAsia" w:asciiTheme="minorEastAsia" w:hAnsi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color w:val="000000" w:themeColor="text1"/>
          <w:sz w:val="28"/>
          <w:szCs w:val="28"/>
          <w:highlight w:val="none"/>
          <w14:textFill>
            <w14:solidFill>
              <w14:schemeClr w14:val="tx1"/>
            </w14:solidFill>
          </w14:textFill>
        </w:rPr>
        <w:t>日期：   年   月   日</w:t>
      </w:r>
    </w:p>
    <w:p w14:paraId="3FA82B15">
      <w:pPr>
        <w:spacing w:line="480" w:lineRule="auto"/>
        <w:ind w:firstLine="480"/>
        <w:jc w:val="center"/>
        <w:rPr>
          <w:rFonts w:hint="eastAsia" w:asciiTheme="minorEastAsia" w:hAnsiTheme="minorEastAsia"/>
          <w:b/>
          <w:color w:val="000000" w:themeColor="text1"/>
          <w:sz w:val="28"/>
          <w:szCs w:val="28"/>
          <w:highlight w:val="none"/>
          <w14:textFill>
            <w14:solidFill>
              <w14:schemeClr w14:val="tx1"/>
            </w14:solidFill>
          </w14:textFill>
        </w:rPr>
      </w:pPr>
    </w:p>
    <w:p w14:paraId="3189A6DC">
      <w:pPr>
        <w:ind w:firstLine="480"/>
        <w:rPr>
          <w:rFonts w:ascii="Calibri" w:hAnsi="Calibri"/>
          <w:color w:val="000000" w:themeColor="text1"/>
          <w:highlight w:val="none"/>
          <w14:textFill>
            <w14:solidFill>
              <w14:schemeClr w14:val="tx1"/>
            </w14:solidFill>
          </w14:textFill>
        </w:rPr>
      </w:pPr>
    </w:p>
    <w:p w14:paraId="7FF62AA6">
      <w:pPr>
        <w:rPr>
          <w:rFonts w:hint="eastAsia" w:asciiTheme="minorEastAsia" w:hAnsiTheme="minorEastAsia"/>
          <w:b/>
          <w:color w:val="000000" w:themeColor="text1"/>
          <w:sz w:val="28"/>
          <w:szCs w:val="28"/>
          <w:highlight w:val="none"/>
          <w14:textFill>
            <w14:solidFill>
              <w14:schemeClr w14:val="tx1"/>
            </w14:solidFill>
          </w14:textFill>
        </w:rPr>
      </w:pPr>
    </w:p>
    <w:p w14:paraId="21BC3E6C">
      <w:pPr>
        <w:shd w:val="clear" w:color="auto" w:fill="FFFFFF"/>
        <w:tabs>
          <w:tab w:val="right" w:pos="6077"/>
        </w:tabs>
        <w:autoSpaceDE w:val="0"/>
        <w:autoSpaceDN w:val="0"/>
        <w:spacing w:line="360" w:lineRule="auto"/>
        <w:jc w:val="center"/>
        <w:rPr>
          <w:rFonts w:ascii="宋体" w:cs="宋体"/>
          <w:color w:val="auto"/>
          <w:sz w:val="36"/>
          <w:szCs w:val="36"/>
        </w:rPr>
      </w:pPr>
      <w:bookmarkStart w:id="117" w:name="_Toc11379"/>
      <w:bookmarkStart w:id="118" w:name="_Toc23593"/>
      <w:r>
        <w:rPr>
          <w:rFonts w:hint="eastAsia" w:ascii="宋体" w:hAnsi="宋体" w:cs="宋体"/>
          <w:color w:val="auto"/>
          <w:sz w:val="36"/>
          <w:szCs w:val="36"/>
        </w:rPr>
        <w:t>目</w:t>
      </w:r>
      <w:r>
        <w:rPr>
          <w:rFonts w:hint="eastAsia" w:ascii="宋体" w:hAnsi="宋体" w:cs="宋体"/>
          <w:color w:val="auto"/>
          <w:sz w:val="36"/>
          <w:szCs w:val="36"/>
          <w:lang w:val="en-US" w:eastAsia="zh-CN"/>
        </w:rPr>
        <w:t xml:space="preserve"> </w:t>
      </w:r>
      <w:r>
        <w:rPr>
          <w:rFonts w:hint="eastAsia" w:ascii="宋体" w:hAnsi="宋体" w:cs="宋体"/>
          <w:color w:val="auto"/>
          <w:sz w:val="36"/>
          <w:szCs w:val="36"/>
        </w:rPr>
        <w:t>录</w:t>
      </w:r>
    </w:p>
    <w:p w14:paraId="77C01221">
      <w:pPr>
        <w:numPr>
          <w:ilvl w:val="2"/>
          <w:numId w:val="0"/>
        </w:numPr>
        <w:wordWrap w:val="0"/>
        <w:topLinePunct/>
        <w:spacing w:line="500" w:lineRule="exact"/>
        <w:ind w:left="-140" w:leftChars="0" w:firstLine="56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一、</w:t>
      </w:r>
      <w:r>
        <w:rPr>
          <w:rFonts w:hint="eastAsia" w:ascii="宋体" w:hAnsi="宋体" w:eastAsia="宋体" w:cs="宋体"/>
          <w:sz w:val="24"/>
          <w:szCs w:val="24"/>
          <w:highlight w:val="none"/>
          <w:lang w:val="en-US" w:eastAsia="zh-CN"/>
        </w:rPr>
        <w:t>法定代表人身份证明书</w:t>
      </w:r>
    </w:p>
    <w:p w14:paraId="53F5939B">
      <w:pPr>
        <w:numPr>
          <w:ilvl w:val="2"/>
          <w:numId w:val="0"/>
        </w:numPr>
        <w:wordWrap w:val="0"/>
        <w:topLinePunct/>
        <w:spacing w:line="500" w:lineRule="exact"/>
        <w:ind w:left="-140" w:leftChars="0" w:firstLine="56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lang w:val="en-US" w:eastAsia="zh-CN"/>
        </w:rPr>
        <w:t>磋商函</w:t>
      </w:r>
    </w:p>
    <w:p w14:paraId="7B3D4E06">
      <w:pPr>
        <w:numPr>
          <w:ilvl w:val="2"/>
          <w:numId w:val="0"/>
        </w:numPr>
        <w:wordWrap w:val="0"/>
        <w:topLinePunct/>
        <w:spacing w:line="500" w:lineRule="exact"/>
        <w:ind w:left="-140" w:leftChars="0" w:firstLine="56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三</w:t>
      </w:r>
      <w:r>
        <w:rPr>
          <w:rFonts w:hint="eastAsia" w:ascii="宋体" w:hAnsi="宋体" w:eastAsia="宋体" w:cs="宋体"/>
          <w:sz w:val="24"/>
          <w:szCs w:val="24"/>
          <w:highlight w:val="none"/>
          <w:lang w:val="en-US" w:eastAsia="zh-CN"/>
        </w:rPr>
        <w:t>、磋商函附录</w:t>
      </w:r>
    </w:p>
    <w:p w14:paraId="42103BF9">
      <w:pPr>
        <w:numPr>
          <w:ilvl w:val="2"/>
          <w:numId w:val="0"/>
        </w:numPr>
        <w:wordWrap w:val="0"/>
        <w:topLinePunct/>
        <w:spacing w:line="500" w:lineRule="exact"/>
        <w:ind w:left="-140" w:leftChars="0" w:firstLine="56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四</w:t>
      </w:r>
      <w:r>
        <w:rPr>
          <w:rFonts w:hint="eastAsia" w:ascii="宋体" w:hAnsi="宋体" w:eastAsia="宋体" w:cs="宋体"/>
          <w:sz w:val="24"/>
          <w:szCs w:val="24"/>
          <w:highlight w:val="none"/>
          <w:lang w:val="en-US" w:eastAsia="zh-CN"/>
        </w:rPr>
        <w:t>、响应供应商基本情况表</w:t>
      </w:r>
    </w:p>
    <w:p w14:paraId="6A73B809">
      <w:pPr>
        <w:numPr>
          <w:ilvl w:val="2"/>
          <w:numId w:val="0"/>
        </w:numPr>
        <w:wordWrap w:val="0"/>
        <w:topLinePunct/>
        <w:spacing w:line="500" w:lineRule="exact"/>
        <w:ind w:left="-140" w:leftChars="0" w:firstLine="56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lang w:val="en-US" w:eastAsia="zh-CN"/>
        </w:rPr>
        <w:t>供应商做过的类似项目业绩</w:t>
      </w:r>
    </w:p>
    <w:p w14:paraId="01145C24">
      <w:pPr>
        <w:numPr>
          <w:ilvl w:val="2"/>
          <w:numId w:val="0"/>
        </w:numPr>
        <w:wordWrap w:val="0"/>
        <w:topLinePunct/>
        <w:spacing w:line="500" w:lineRule="exact"/>
        <w:ind w:left="-140" w:leftChars="0" w:firstLine="56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六、拟投入本项目主要人员情况汇总表</w:t>
      </w:r>
    </w:p>
    <w:p w14:paraId="25EC20EC">
      <w:pPr>
        <w:numPr>
          <w:ilvl w:val="2"/>
          <w:numId w:val="0"/>
        </w:numPr>
        <w:wordWrap w:val="0"/>
        <w:topLinePunct/>
        <w:spacing w:line="500" w:lineRule="exact"/>
        <w:ind w:left="-140" w:leftChars="0" w:firstLine="56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七、技术部分</w:t>
      </w:r>
    </w:p>
    <w:p w14:paraId="2EFC6C32">
      <w:pPr>
        <w:numPr>
          <w:ilvl w:val="2"/>
          <w:numId w:val="0"/>
        </w:numPr>
        <w:wordWrap w:val="0"/>
        <w:topLinePunct/>
        <w:spacing w:line="500" w:lineRule="exact"/>
        <w:ind w:left="-140" w:leftChars="0" w:firstLine="56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八、投标供应商资格声明函</w:t>
      </w:r>
    </w:p>
    <w:p w14:paraId="6445D952">
      <w:pPr>
        <w:numPr>
          <w:ilvl w:val="2"/>
          <w:numId w:val="0"/>
        </w:numPr>
        <w:wordWrap w:val="0"/>
        <w:topLinePunct/>
        <w:spacing w:line="500" w:lineRule="exact"/>
        <w:ind w:left="-140" w:leftChars="0" w:firstLine="560" w:firstLineChars="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九、资格要求证明文件</w:t>
      </w:r>
    </w:p>
    <w:p w14:paraId="2CF5E724">
      <w:pPr>
        <w:numPr>
          <w:ilvl w:val="2"/>
          <w:numId w:val="0"/>
        </w:numPr>
        <w:wordWrap w:val="0"/>
        <w:topLinePunct/>
        <w:spacing w:line="500" w:lineRule="exact"/>
        <w:ind w:left="-140" w:leftChars="0" w:firstLine="560" w:firstLineChars="0"/>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十、其他资料</w:t>
      </w:r>
    </w:p>
    <w:p w14:paraId="68FBB2FC">
      <w:pPr>
        <w:shd w:val="clear" w:color="auto" w:fill="FFFFFF"/>
        <w:autoSpaceDE w:val="0"/>
        <w:autoSpaceDN w:val="0"/>
        <w:spacing w:line="360" w:lineRule="auto"/>
        <w:ind w:right="600" w:firstLine="200"/>
        <w:rPr>
          <w:rFonts w:hint="eastAsia" w:ascii="宋体" w:hAnsi="宋体" w:cs="宋体"/>
          <w:bCs/>
          <w:color w:val="auto"/>
          <w:sz w:val="24"/>
        </w:rPr>
      </w:pPr>
    </w:p>
    <w:p w14:paraId="3D816B34">
      <w:pPr>
        <w:rPr>
          <w:rFonts w:hint="eastAsia" w:asciiTheme="minorEastAsia" w:hAnsiTheme="minorEastAsia"/>
          <w:b/>
          <w:color w:val="000000" w:themeColor="text1"/>
          <w:sz w:val="28"/>
          <w:szCs w:val="28"/>
          <w:highlight w:val="none"/>
          <w14:textFill>
            <w14:solidFill>
              <w14:schemeClr w14:val="tx1"/>
            </w14:solidFill>
          </w14:textFill>
        </w:rPr>
      </w:pPr>
    </w:p>
    <w:p w14:paraId="150EA103">
      <w:pPr>
        <w:rPr>
          <w:rFonts w:hint="eastAsia" w:asciiTheme="minorEastAsia" w:hAnsiTheme="minorEastAsia"/>
          <w:b/>
          <w:color w:val="000000" w:themeColor="text1"/>
          <w:sz w:val="28"/>
          <w:szCs w:val="28"/>
          <w:highlight w:val="none"/>
          <w14:textFill>
            <w14:solidFill>
              <w14:schemeClr w14:val="tx1"/>
            </w14:solidFill>
          </w14:textFill>
        </w:rPr>
      </w:pPr>
      <w:r>
        <w:rPr>
          <w:rFonts w:hint="eastAsia" w:asciiTheme="minorEastAsia" w:hAnsiTheme="minorEastAsia"/>
          <w:b/>
          <w:color w:val="000000" w:themeColor="text1"/>
          <w:sz w:val="28"/>
          <w:szCs w:val="28"/>
          <w:highlight w:val="none"/>
          <w14:textFill>
            <w14:solidFill>
              <w14:schemeClr w14:val="tx1"/>
            </w14:solidFill>
          </w14:textFill>
        </w:rPr>
        <w:br w:type="page"/>
      </w:r>
    </w:p>
    <w:p w14:paraId="21CF2FFF">
      <w:pPr>
        <w:spacing w:line="480" w:lineRule="auto"/>
        <w:ind w:firstLine="480"/>
        <w:jc w:val="center"/>
        <w:outlineLvl w:val="1"/>
        <w:rPr>
          <w:rFonts w:hint="eastAsia" w:asciiTheme="minorEastAsia" w:hAnsiTheme="minorEastAsia"/>
          <w:b/>
          <w:color w:val="000000" w:themeColor="text1"/>
          <w:sz w:val="28"/>
          <w:szCs w:val="28"/>
          <w:highlight w:val="none"/>
          <w14:textFill>
            <w14:solidFill>
              <w14:schemeClr w14:val="tx1"/>
            </w14:solidFill>
          </w14:textFill>
        </w:rPr>
      </w:pPr>
      <w:r>
        <w:rPr>
          <w:rFonts w:hint="eastAsia" w:asciiTheme="minorEastAsia" w:hAnsiTheme="minorEastAsia"/>
          <w:b/>
          <w:color w:val="000000" w:themeColor="text1"/>
          <w:sz w:val="28"/>
          <w:szCs w:val="28"/>
          <w:highlight w:val="none"/>
          <w14:textFill>
            <w14:solidFill>
              <w14:schemeClr w14:val="tx1"/>
            </w14:solidFill>
          </w14:textFill>
        </w:rPr>
        <w:t>一、法定代表人身份证明书</w:t>
      </w:r>
      <w:bookmarkEnd w:id="117"/>
      <w:bookmarkEnd w:id="118"/>
    </w:p>
    <w:p w14:paraId="24710FB2">
      <w:pPr>
        <w:spacing w:line="480" w:lineRule="auto"/>
        <w:ind w:firstLine="612"/>
        <w:rPr>
          <w:rFonts w:hint="eastAsia" w:ascii="宋体" w:hAnsi="宋体"/>
          <w:color w:val="000000" w:themeColor="text1"/>
          <w:sz w:val="24"/>
          <w:highlight w:val="none"/>
          <w14:textFill>
            <w14:solidFill>
              <w14:schemeClr w14:val="tx1"/>
            </w14:solidFill>
          </w14:textFill>
        </w:rPr>
      </w:pPr>
    </w:p>
    <w:p w14:paraId="2073F323">
      <w:pPr>
        <w:spacing w:line="480" w:lineRule="auto"/>
        <w:ind w:firstLine="612"/>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单位名称：</w:t>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p>
    <w:p w14:paraId="1B434688">
      <w:pPr>
        <w:spacing w:line="480" w:lineRule="auto"/>
        <w:ind w:firstLine="61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p>
    <w:p w14:paraId="7EF58773">
      <w:pPr>
        <w:spacing w:line="480" w:lineRule="auto"/>
        <w:ind w:firstLine="61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ascii="宋体" w:hAnsi="宋体"/>
          <w:color w:val="000000" w:themeColor="text1"/>
          <w:sz w:val="24"/>
          <w:highlight w:val="none"/>
          <w:u w:val="single"/>
          <w14:textFill>
            <w14:solidFill>
              <w14:schemeClr w14:val="tx1"/>
            </w14:solidFill>
          </w14:textFill>
        </w:rPr>
        <w:tab/>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ab/>
      </w:r>
    </w:p>
    <w:p w14:paraId="2C5A41E3">
      <w:pPr>
        <w:spacing w:line="480" w:lineRule="auto"/>
        <w:ind w:firstLine="61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1D9E65BA">
      <w:pPr>
        <w:spacing w:line="480" w:lineRule="auto"/>
        <w:ind w:firstLine="610"/>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ab/>
      </w:r>
    </w:p>
    <w:p w14:paraId="60B15641">
      <w:pPr>
        <w:spacing w:line="480" w:lineRule="auto"/>
        <w:ind w:firstLine="610"/>
        <w:rPr>
          <w:rFonts w:hint="default" w:ascii="宋体" w:hAnsi="宋体" w:eastAsia="宋体"/>
          <w:color w:val="000000" w:themeColor="text1"/>
          <w:sz w:val="24"/>
          <w:highlight w:val="none"/>
          <w:u w:val="singl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年龄：</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lang w:val="en-US" w:eastAsia="zh-CN"/>
          <w14:textFill>
            <w14:solidFill>
              <w14:schemeClr w14:val="tx1"/>
            </w14:solidFill>
          </w14:textFill>
        </w:rPr>
        <w:t xml:space="preserve">           </w:t>
      </w:r>
    </w:p>
    <w:p w14:paraId="0E46D29C">
      <w:pPr>
        <w:spacing w:line="480" w:lineRule="auto"/>
        <w:ind w:firstLine="61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（供应商名称）         </w:t>
      </w:r>
      <w:r>
        <w:rPr>
          <w:rFonts w:hint="eastAsia" w:ascii="宋体" w:hAnsi="宋体"/>
          <w:color w:val="000000" w:themeColor="text1"/>
          <w:sz w:val="24"/>
          <w:highlight w:val="none"/>
          <w14:textFill>
            <w14:solidFill>
              <w14:schemeClr w14:val="tx1"/>
            </w14:solidFill>
          </w14:textFill>
        </w:rPr>
        <w:t>的法定代表人。</w:t>
      </w:r>
    </w:p>
    <w:p w14:paraId="4E0A59BA">
      <w:pPr>
        <w:spacing w:line="480" w:lineRule="auto"/>
        <w:rPr>
          <w:rFonts w:hint="eastAsia" w:ascii="宋体" w:hAnsi="宋体"/>
          <w:color w:val="000000" w:themeColor="text1"/>
          <w:sz w:val="24"/>
          <w:highlight w:val="none"/>
          <w14:textFill>
            <w14:solidFill>
              <w14:schemeClr w14:val="tx1"/>
            </w14:solidFill>
          </w14:textFill>
        </w:rPr>
      </w:pPr>
    </w:p>
    <w:p w14:paraId="7E21111A">
      <w:pPr>
        <w:spacing w:line="480" w:lineRule="auto"/>
        <w:ind w:firstLine="1320" w:firstLineChars="55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59A1F29">
      <w:pPr>
        <w:tabs>
          <w:tab w:val="left" w:pos="720"/>
          <w:tab w:val="left" w:pos="900"/>
        </w:tabs>
        <w:spacing w:line="480" w:lineRule="auto"/>
        <w:ind w:firstLine="5040" w:firstLineChars="2100"/>
        <w:rPr>
          <w:rFonts w:hint="eastAsia" w:ascii="宋体" w:hAnsi="宋体"/>
          <w:color w:val="000000" w:themeColor="text1"/>
          <w:sz w:val="24"/>
          <w:highlight w:val="none"/>
          <w14:textFill>
            <w14:solidFill>
              <w14:schemeClr w14:val="tx1"/>
            </w14:solidFill>
          </w14:textFill>
        </w:rPr>
      </w:pPr>
    </w:p>
    <w:p w14:paraId="79374624">
      <w:pPr>
        <w:spacing w:line="440" w:lineRule="exact"/>
        <w:jc w:val="righ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供应商名称：（签章）</w:t>
      </w:r>
    </w:p>
    <w:p w14:paraId="636092B1">
      <w:pPr>
        <w:spacing w:line="440" w:lineRule="exact"/>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 xml:space="preserve">                                                            日期：   </w:t>
      </w:r>
      <w:r>
        <w:rPr>
          <w:rFonts w:hint="eastAsia" w:ascii="宋体" w:hAnsi="宋体"/>
          <w:color w:val="000000" w:themeColor="text1"/>
          <w:sz w:val="24"/>
          <w:szCs w:val="24"/>
          <w:highlight w:val="none"/>
          <w14:textFill>
            <w14:solidFill>
              <w14:schemeClr w14:val="tx1"/>
            </w14:solidFill>
          </w14:textFill>
        </w:rPr>
        <w:t>年  月  日</w:t>
      </w:r>
    </w:p>
    <w:tbl>
      <w:tblPr>
        <w:tblStyle w:val="18"/>
        <w:tblW w:w="8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8"/>
      </w:tblGrid>
      <w:tr w14:paraId="5D7C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jc w:val="center"/>
        </w:trPr>
        <w:tc>
          <w:tcPr>
            <w:tcW w:w="8488" w:type="dxa"/>
            <w:tcBorders>
              <w:top w:val="single" w:color="auto" w:sz="4" w:space="0"/>
              <w:left w:val="single" w:color="auto" w:sz="4" w:space="0"/>
              <w:bottom w:val="single" w:color="auto" w:sz="4" w:space="0"/>
              <w:right w:val="single" w:color="auto" w:sz="4" w:space="0"/>
            </w:tcBorders>
            <w:vAlign w:val="center"/>
          </w:tcPr>
          <w:p w14:paraId="0AE86E7D">
            <w:pPr>
              <w:spacing w:line="480" w:lineRule="exact"/>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法定代表人身份证扫描件</w:t>
            </w:r>
          </w:p>
          <w:p w14:paraId="11E37141">
            <w:pPr>
              <w:spacing w:line="4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 w:val="22"/>
                <w:szCs w:val="24"/>
                <w:highlight w:val="none"/>
                <w14:textFill>
                  <w14:solidFill>
                    <w14:schemeClr w14:val="tx1"/>
                  </w14:solidFill>
                </w14:textFill>
              </w:rPr>
              <w:t>证件（正、反面）</w:t>
            </w:r>
          </w:p>
        </w:tc>
      </w:tr>
    </w:tbl>
    <w:p w14:paraId="0A999A11">
      <w:pPr>
        <w:spacing w:line="480" w:lineRule="auto"/>
        <w:rPr>
          <w:rFonts w:hint="eastAsia" w:cs="Courier New" w:asciiTheme="minorEastAsia" w:hAnsiTheme="minorEastAsia"/>
          <w:color w:val="000000" w:themeColor="text1"/>
          <w:sz w:val="24"/>
          <w:szCs w:val="24"/>
          <w:highlight w:val="none"/>
          <w14:textFill>
            <w14:solidFill>
              <w14:schemeClr w14:val="tx1"/>
            </w14:solidFill>
          </w14:textFill>
        </w:rPr>
      </w:pPr>
    </w:p>
    <w:p w14:paraId="41B83D7E">
      <w:pPr>
        <w:spacing w:line="480" w:lineRule="auto"/>
        <w:ind w:firstLine="480"/>
        <w:jc w:val="center"/>
        <w:rPr>
          <w:rFonts w:hint="eastAsia" w:asciiTheme="minorEastAsia" w:hAnsiTheme="minorEastAsia"/>
          <w:b/>
          <w:color w:val="000000" w:themeColor="text1"/>
          <w:sz w:val="28"/>
          <w:szCs w:val="28"/>
          <w:highlight w:val="none"/>
          <w14:textFill>
            <w14:solidFill>
              <w14:schemeClr w14:val="tx1"/>
            </w14:solidFill>
          </w14:textFill>
        </w:rPr>
      </w:pPr>
    </w:p>
    <w:p w14:paraId="541BD0E8">
      <w:pPr>
        <w:rPr>
          <w:rFonts w:hint="eastAsia" w:asciiTheme="minorEastAsia" w:hAnsiTheme="minorEastAsia"/>
          <w:b/>
          <w:color w:val="000000" w:themeColor="text1"/>
          <w:sz w:val="28"/>
          <w:szCs w:val="28"/>
          <w:highlight w:val="none"/>
          <w14:textFill>
            <w14:solidFill>
              <w14:schemeClr w14:val="tx1"/>
            </w14:solidFill>
          </w14:textFill>
        </w:rPr>
      </w:pPr>
    </w:p>
    <w:p w14:paraId="79AC32F9">
      <w:pPr>
        <w:jc w:val="center"/>
        <w:outlineLvl w:val="1"/>
        <w:rPr>
          <w:rFonts w:hint="eastAsia" w:asciiTheme="minorEastAsia" w:hAnsiTheme="minorEastAsia"/>
          <w:b/>
          <w:color w:val="000000" w:themeColor="text1"/>
          <w:sz w:val="32"/>
          <w:szCs w:val="32"/>
          <w:highlight w:val="none"/>
          <w14:textFill>
            <w14:solidFill>
              <w14:schemeClr w14:val="tx1"/>
            </w14:solidFill>
          </w14:textFill>
        </w:rPr>
      </w:pPr>
      <w:bookmarkStart w:id="119" w:name="_Toc1480"/>
      <w:bookmarkStart w:id="120" w:name="_Toc21022"/>
      <w:bookmarkStart w:id="121" w:name="_Toc438305223"/>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二</w:t>
      </w:r>
      <w:r>
        <w:rPr>
          <w:rFonts w:hint="eastAsia" w:cs="宋体" w:asciiTheme="minorEastAsia" w:hAnsiTheme="minorEastAsia"/>
          <w:b/>
          <w:color w:val="000000" w:themeColor="text1"/>
          <w:sz w:val="28"/>
          <w:szCs w:val="28"/>
          <w:highlight w:val="none"/>
          <w14:textFill>
            <w14:solidFill>
              <w14:schemeClr w14:val="tx1"/>
            </w14:solidFill>
          </w14:textFill>
        </w:rPr>
        <w:t>、磋商函</w:t>
      </w:r>
      <w:bookmarkEnd w:id="119"/>
      <w:bookmarkEnd w:id="120"/>
    </w:p>
    <w:p w14:paraId="5E2C80F4">
      <w:pPr>
        <w:spacing w:line="480" w:lineRule="auto"/>
        <w:rPr>
          <w:rFonts w:hint="eastAsia" w:asciiTheme="minorEastAsia" w:hAnsiTheme="minorEastAsia"/>
          <w:color w:val="000000" w:themeColor="text1"/>
          <w:sz w:val="24"/>
          <w:szCs w:val="24"/>
          <w:highlight w:val="none"/>
          <w14:textFill>
            <w14:solidFill>
              <w14:schemeClr w14:val="tx1"/>
            </w14:solidFill>
          </w14:textFill>
        </w:rPr>
      </w:pPr>
      <w:bookmarkStart w:id="122" w:name="OLE_LINK11"/>
      <w:bookmarkEnd w:id="122"/>
      <w:bookmarkStart w:id="123" w:name="OLE_LINK7"/>
      <w:r>
        <w:rPr>
          <w:rFonts w:hint="eastAsia" w:asciiTheme="minorEastAsia" w:hAnsiTheme="minorEastAsia"/>
          <w:color w:val="000000" w:themeColor="text1"/>
          <w:spacing w:val="46"/>
          <w:sz w:val="24"/>
          <w:szCs w:val="24"/>
          <w:highlight w:val="none"/>
          <w14:textFill>
            <w14:solidFill>
              <w14:schemeClr w14:val="tx1"/>
            </w14:solidFill>
          </w14:textFill>
        </w:rPr>
        <w:t>致</w:t>
      </w:r>
      <w:bookmarkEnd w:id="123"/>
      <w:r>
        <w:rPr>
          <w:rFonts w:hint="eastAsia" w:asciiTheme="minorEastAsia" w:hAnsiTheme="minorEastAsia"/>
          <w:color w:val="000000" w:themeColor="text1"/>
          <w:spacing w:val="46"/>
          <w:sz w:val="24"/>
          <w:szCs w:val="24"/>
          <w:highlight w:val="none"/>
          <w:u w:val="single"/>
          <w14:textFill>
            <w14:solidFill>
              <w14:schemeClr w14:val="tx1"/>
            </w14:solidFill>
          </w14:textFill>
        </w:rPr>
        <w:t xml:space="preserve"> （采购人名称） </w:t>
      </w:r>
      <w:r>
        <w:rPr>
          <w:rFonts w:hint="eastAsia" w:asciiTheme="minorEastAsia" w:hAnsiTheme="minorEastAsia"/>
          <w:color w:val="000000" w:themeColor="text1"/>
          <w:spacing w:val="46"/>
          <w:sz w:val="24"/>
          <w:szCs w:val="24"/>
          <w:highlight w:val="none"/>
          <w14:textFill>
            <w14:solidFill>
              <w14:schemeClr w14:val="tx1"/>
            </w14:solidFill>
          </w14:textFill>
        </w:rPr>
        <w:t>：</w:t>
      </w:r>
    </w:p>
    <w:p w14:paraId="6C5BEC47">
      <w:pPr>
        <w:tabs>
          <w:tab w:val="left" w:pos="7560"/>
        </w:tabs>
        <w:spacing w:line="480" w:lineRule="exact"/>
        <w:ind w:firstLine="480" w:firstLineChars="200"/>
        <w:rPr>
          <w:rFonts w:hint="eastAsia" w:asciiTheme="minorEastAsia" w:hAnsiTheme="minorEastAsia"/>
          <w:color w:val="000000" w:themeColor="text1"/>
          <w:sz w:val="24"/>
          <w:szCs w:val="24"/>
          <w:highlight w:val="none"/>
          <w:u w:val="singl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根据已收到贵方的</w:t>
      </w:r>
      <w:r>
        <w:rPr>
          <w:rFonts w:hint="eastAsia" w:asciiTheme="minorEastAsia" w:hAnsiTheme="minorEastAsia"/>
          <w:color w:val="000000" w:themeColor="text1"/>
          <w:sz w:val="24"/>
          <w:szCs w:val="24"/>
          <w:highlight w:val="none"/>
          <w:u w:val="single"/>
          <w14:textFill>
            <w14:solidFill>
              <w14:schemeClr w14:val="tx1"/>
            </w14:solidFill>
          </w14:textFill>
        </w:rPr>
        <w:t xml:space="preserve">              （项目名称）</w:t>
      </w:r>
      <w:r>
        <w:rPr>
          <w:rFonts w:hint="eastAsia" w:asciiTheme="minorEastAsia" w:hAnsiTheme="minorEastAsia"/>
          <w:color w:val="000000" w:themeColor="text1"/>
          <w:sz w:val="24"/>
          <w:szCs w:val="24"/>
          <w:highlight w:val="none"/>
          <w14:textFill>
            <w14:solidFill>
              <w14:schemeClr w14:val="tx1"/>
            </w14:solidFill>
          </w14:textFill>
        </w:rPr>
        <w:t>竞争性磋商文件，遵照有关规定和研究上述竞争性磋商文件的内容后，我愿以竞争性磋商报价：大写：</w:t>
      </w:r>
      <w:r>
        <w:rPr>
          <w:rFonts w:hint="eastAsia" w:asciiTheme="minorEastAsia" w:hAnsi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color w:val="000000" w:themeColor="text1"/>
          <w:sz w:val="24"/>
          <w:szCs w:val="24"/>
          <w:highlight w:val="none"/>
          <w14:textFill>
            <w14:solidFill>
              <w14:schemeClr w14:val="tx1"/>
            </w14:solidFill>
          </w14:textFill>
        </w:rPr>
        <w:t>，（小写：</w:t>
      </w:r>
      <w:r>
        <w:rPr>
          <w:rFonts w:hint="eastAsia" w:asciiTheme="minorEastAsia" w:hAnsi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color w:val="000000" w:themeColor="text1"/>
          <w:sz w:val="24"/>
          <w:szCs w:val="24"/>
          <w:highlight w:val="none"/>
          <w14:textFill>
            <w14:solidFill>
              <w14:schemeClr w14:val="tx1"/>
            </w14:solidFill>
          </w14:textFill>
        </w:rPr>
        <w:t>元）的磋商报价承包该项目，并同意如下条款：</w:t>
      </w:r>
    </w:p>
    <w:p w14:paraId="1D843F41">
      <w:pPr>
        <w:spacing w:line="540" w:lineRule="exact"/>
        <w:ind w:firstLine="480" w:firstLineChars="200"/>
        <w:rPr>
          <w:rFonts w:hint="eastAsia"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1</w:t>
      </w:r>
      <w:r>
        <w:rPr>
          <w:rFonts w:hint="eastAsia" w:asciiTheme="minorEastAsia" w:hAnsiTheme="minorEastAsia"/>
          <w:color w:val="000000" w:themeColor="text1"/>
          <w:sz w:val="24"/>
          <w:szCs w:val="24"/>
          <w:highlight w:val="none"/>
          <w14:textFill>
            <w14:solidFill>
              <w14:schemeClr w14:val="tx1"/>
            </w14:solidFill>
          </w14:textFill>
        </w:rPr>
        <w:t>、我方已详细审核并确认全部磋商文件，包括修改文件（如有时）及有关附件。</w:t>
      </w:r>
    </w:p>
    <w:p w14:paraId="757B63F9">
      <w:pPr>
        <w:spacing w:line="540" w:lineRule="exact"/>
        <w:ind w:firstLine="480" w:firstLineChars="200"/>
        <w:rPr>
          <w:rFonts w:hint="eastAsia"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2</w:t>
      </w:r>
      <w:r>
        <w:rPr>
          <w:rFonts w:hint="eastAsia" w:asciiTheme="minorEastAsia" w:hAnsiTheme="minorEastAsia"/>
          <w:color w:val="000000" w:themeColor="text1"/>
          <w:sz w:val="24"/>
          <w:szCs w:val="24"/>
          <w:highlight w:val="none"/>
          <w14:textFill>
            <w14:solidFill>
              <w14:schemeClr w14:val="tx1"/>
            </w14:solidFill>
          </w14:textFill>
        </w:rPr>
        <w:t>、一旦我方</w:t>
      </w:r>
      <w:r>
        <w:rPr>
          <w:rFonts w:hint="eastAsia" w:asciiTheme="minorEastAsia" w:hAnsiTheme="minorEastAsia"/>
          <w:color w:val="000000" w:themeColor="text1"/>
          <w:sz w:val="24"/>
          <w:szCs w:val="24"/>
          <w:highlight w:val="none"/>
          <w:lang w:eastAsia="zh-CN"/>
          <w14:textFill>
            <w14:solidFill>
              <w14:schemeClr w14:val="tx1"/>
            </w14:solidFill>
          </w14:textFill>
        </w:rPr>
        <w:t>成交</w:t>
      </w:r>
      <w:r>
        <w:rPr>
          <w:rFonts w:hint="eastAsia" w:asciiTheme="minorEastAsia" w:hAnsiTheme="minorEastAsia"/>
          <w:color w:val="000000" w:themeColor="text1"/>
          <w:sz w:val="24"/>
          <w:szCs w:val="24"/>
          <w:highlight w:val="none"/>
          <w14:textFill>
            <w14:solidFill>
              <w14:schemeClr w14:val="tx1"/>
            </w14:solidFill>
          </w14:textFill>
        </w:rPr>
        <w:t>，我方将组建本项目的项目管理机构，保证按文件规定的在服务期限提供相应的服务。</w:t>
      </w:r>
    </w:p>
    <w:p w14:paraId="19B72C9D">
      <w:pPr>
        <w:spacing w:line="540" w:lineRule="exact"/>
        <w:ind w:firstLine="480" w:firstLineChars="200"/>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3、除非另外达成协议并生效，你方的成交通知和本磋商响应文件将成为约束双方的合同文件的组成部分。</w:t>
      </w:r>
    </w:p>
    <w:p w14:paraId="23373EE8">
      <w:pPr>
        <w:spacing w:line="540" w:lineRule="exact"/>
        <w:ind w:firstLine="480" w:firstLineChars="200"/>
        <w:rPr>
          <w:rFonts w:hint="eastAsia" w:asciiTheme="minorEastAsia" w:hAnsiTheme="minorEastAsia"/>
          <w:color w:val="000000" w:themeColor="text1"/>
          <w:sz w:val="24"/>
          <w:szCs w:val="24"/>
          <w:highlight w:val="none"/>
          <w:u w:val="singl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4、其他补充说明：</w:t>
      </w:r>
      <w:r>
        <w:rPr>
          <w:rFonts w:hint="eastAsia" w:asciiTheme="minorEastAsia" w:hAnsiTheme="minorEastAsia"/>
          <w:color w:val="000000" w:themeColor="text1"/>
          <w:sz w:val="24"/>
          <w:szCs w:val="24"/>
          <w:highlight w:val="none"/>
          <w:u w:val="single"/>
          <w14:textFill>
            <w14:solidFill>
              <w14:schemeClr w14:val="tx1"/>
            </w14:solidFill>
          </w14:textFill>
        </w:rPr>
        <w:t>（补充说明事项）</w:t>
      </w:r>
    </w:p>
    <w:p w14:paraId="197502C8">
      <w:pPr>
        <w:spacing w:line="540" w:lineRule="exact"/>
        <w:rPr>
          <w:rFonts w:hint="eastAsia" w:asciiTheme="minorEastAsia" w:hAnsiTheme="minorEastAsia"/>
          <w:color w:val="000000" w:themeColor="text1"/>
          <w:sz w:val="24"/>
          <w:szCs w:val="24"/>
          <w:highlight w:val="none"/>
          <w14:textFill>
            <w14:solidFill>
              <w14:schemeClr w14:val="tx1"/>
            </w14:solidFill>
          </w14:textFill>
        </w:rPr>
      </w:pPr>
    </w:p>
    <w:p w14:paraId="38F8647C">
      <w:pPr>
        <w:spacing w:line="480" w:lineRule="auto"/>
        <w:ind w:firstLine="480"/>
        <w:rPr>
          <w:rFonts w:hint="eastAsia" w:asciiTheme="minorEastAsia" w:hAnsiTheme="minorEastAsia"/>
          <w:color w:val="000000" w:themeColor="text1"/>
          <w:spacing w:val="46"/>
          <w:sz w:val="24"/>
          <w:szCs w:val="24"/>
          <w:highlight w:val="none"/>
          <w14:textFill>
            <w14:solidFill>
              <w14:schemeClr w14:val="tx1"/>
            </w14:solidFill>
          </w14:textFill>
        </w:rPr>
      </w:pPr>
    </w:p>
    <w:p w14:paraId="6EABD884">
      <w:pPr>
        <w:spacing w:line="440" w:lineRule="exact"/>
        <w:ind w:firstLine="2400" w:firstLineChars="1000"/>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供应商名称：（签章）</w:t>
      </w:r>
    </w:p>
    <w:p w14:paraId="79670078">
      <w:pPr>
        <w:spacing w:line="360" w:lineRule="auto"/>
        <w:ind w:firstLine="2400" w:firstLineChars="1000"/>
        <w:jc w:val="righ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法定代表人：（电子签章）</w:t>
      </w:r>
    </w:p>
    <w:p w14:paraId="5794BDF9">
      <w:pPr>
        <w:spacing w:line="480" w:lineRule="auto"/>
        <w:jc w:val="right"/>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pacing w:val="46"/>
          <w:sz w:val="24"/>
          <w:szCs w:val="24"/>
          <w:highlight w:val="none"/>
          <w14:textFill>
            <w14:solidFill>
              <w14:schemeClr w14:val="tx1"/>
            </w14:solidFill>
          </w14:textFill>
        </w:rPr>
        <w:t xml:space="preserve">日 期： 年 月 日 </w:t>
      </w:r>
    </w:p>
    <w:p w14:paraId="0048E5CF">
      <w:pPr>
        <w:spacing w:line="480" w:lineRule="auto"/>
        <w:ind w:firstLine="1100" w:firstLineChars="550"/>
        <w:jc w:val="center"/>
        <w:rPr>
          <w:rFonts w:hint="eastAsia" w:cs="Courier New" w:asciiTheme="minorEastAsia" w:hAnsiTheme="minorEastAsia"/>
          <w:bCs/>
          <w:color w:val="000000" w:themeColor="text1"/>
          <w:szCs w:val="21"/>
          <w:highlight w:val="none"/>
          <w14:textFill>
            <w14:solidFill>
              <w14:schemeClr w14:val="tx1"/>
            </w14:solidFill>
          </w14:textFill>
        </w:rPr>
      </w:pPr>
    </w:p>
    <w:p w14:paraId="07A4DC57">
      <w:pPr>
        <w:spacing w:line="360" w:lineRule="auto"/>
        <w:jc w:val="center"/>
        <w:outlineLvl w:val="1"/>
        <w:rPr>
          <w:rFonts w:hint="eastAsia" w:asciiTheme="minorEastAsia" w:hAnsiTheme="minorEastAsia"/>
          <w:bCs/>
          <w:color w:val="000000" w:themeColor="text1"/>
          <w:szCs w:val="21"/>
          <w:highlight w:val="none"/>
          <w14:textFill>
            <w14:solidFill>
              <w14:schemeClr w14:val="tx1"/>
            </w14:solidFill>
          </w14:textFill>
        </w:rPr>
      </w:pPr>
    </w:p>
    <w:p w14:paraId="5AA5BA8A">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22F22C8C">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3FA3BB0B">
      <w:pPr>
        <w:spacing w:after="120"/>
        <w:ind w:firstLine="200" w:firstLineChars="100"/>
        <w:rPr>
          <w:rFonts w:ascii="Calibri" w:hAnsi="Calibri"/>
          <w:color w:val="000000" w:themeColor="text1"/>
          <w:highlight w:val="none"/>
          <w14:textFill>
            <w14:solidFill>
              <w14:schemeClr w14:val="tx1"/>
            </w14:solidFill>
          </w14:textFill>
        </w:rPr>
      </w:pPr>
    </w:p>
    <w:p w14:paraId="074B7A14">
      <w:pPr>
        <w:rPr>
          <w:rFonts w:ascii="Calibri" w:hAnsi="Calibri"/>
          <w:color w:val="000000" w:themeColor="text1"/>
          <w:highlight w:val="none"/>
          <w14:textFill>
            <w14:solidFill>
              <w14:schemeClr w14:val="tx1"/>
            </w14:solidFill>
          </w14:textFill>
        </w:rPr>
      </w:pPr>
    </w:p>
    <w:p w14:paraId="75970603">
      <w:pPr>
        <w:spacing w:after="120"/>
        <w:ind w:firstLine="200" w:firstLineChars="100"/>
        <w:rPr>
          <w:rFonts w:ascii="Calibri" w:hAnsi="Calibri"/>
          <w:color w:val="000000" w:themeColor="text1"/>
          <w:highlight w:val="none"/>
          <w14:textFill>
            <w14:solidFill>
              <w14:schemeClr w14:val="tx1"/>
            </w14:solidFill>
          </w14:textFill>
        </w:rPr>
      </w:pPr>
    </w:p>
    <w:p w14:paraId="3DCE9C7F">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3A569445">
      <w:pPr>
        <w:jc w:val="center"/>
        <w:rPr>
          <w:rFonts w:hint="eastAsia" w:cs="宋体" w:asciiTheme="minorEastAsia" w:hAnsiTheme="minorEastAsia"/>
          <w:b/>
          <w:color w:val="000000" w:themeColor="text1"/>
          <w:sz w:val="28"/>
          <w:szCs w:val="28"/>
          <w:highlight w:val="none"/>
          <w14:textFill>
            <w14:solidFill>
              <w14:schemeClr w14:val="tx1"/>
            </w14:solidFill>
          </w14:textFill>
        </w:rPr>
      </w:pPr>
    </w:p>
    <w:p w14:paraId="1AC8F343">
      <w:pPr>
        <w:rPr>
          <w:rFonts w:hint="eastAsia" w:cs="宋体" w:asciiTheme="minorEastAsia" w:hAnsiTheme="minorEastAsia"/>
          <w:b/>
          <w:color w:val="000000" w:themeColor="text1"/>
          <w:sz w:val="28"/>
          <w:szCs w:val="28"/>
          <w:highlight w:val="none"/>
          <w14:textFill>
            <w14:solidFill>
              <w14:schemeClr w14:val="tx1"/>
            </w14:solidFill>
          </w14:textFill>
        </w:rPr>
      </w:pPr>
      <w:bookmarkStart w:id="124" w:name="_Toc26537"/>
      <w:r>
        <w:rPr>
          <w:rFonts w:hint="eastAsia" w:cs="宋体" w:asciiTheme="minorEastAsia" w:hAnsiTheme="minorEastAsia"/>
          <w:b/>
          <w:color w:val="000000" w:themeColor="text1"/>
          <w:sz w:val="28"/>
          <w:szCs w:val="28"/>
          <w:highlight w:val="none"/>
          <w14:textFill>
            <w14:solidFill>
              <w14:schemeClr w14:val="tx1"/>
            </w14:solidFill>
          </w14:textFill>
        </w:rPr>
        <w:br w:type="page"/>
      </w:r>
    </w:p>
    <w:p w14:paraId="2682F6A1">
      <w:pPr>
        <w:jc w:val="center"/>
        <w:outlineLvl w:val="1"/>
        <w:rPr>
          <w:rFonts w:hint="eastAsia" w:asciiTheme="minorEastAsia" w:hAnsiTheme="minorEastAsia"/>
          <w:b/>
          <w:color w:val="000000" w:themeColor="text1"/>
          <w:sz w:val="28"/>
          <w:highlight w:val="none"/>
          <w14:textFill>
            <w14:solidFill>
              <w14:schemeClr w14:val="tx1"/>
            </w14:solidFill>
          </w14:textFill>
        </w:rPr>
      </w:pPr>
      <w:bookmarkStart w:id="125" w:name="_Toc6496"/>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三</w:t>
      </w:r>
      <w:r>
        <w:rPr>
          <w:rFonts w:hint="eastAsia" w:cs="宋体" w:asciiTheme="minorEastAsia" w:hAnsiTheme="minorEastAsia"/>
          <w:b/>
          <w:color w:val="000000" w:themeColor="text1"/>
          <w:sz w:val="28"/>
          <w:szCs w:val="28"/>
          <w:highlight w:val="none"/>
          <w14:textFill>
            <w14:solidFill>
              <w14:schemeClr w14:val="tx1"/>
            </w14:solidFill>
          </w14:textFill>
        </w:rPr>
        <w:t>、</w:t>
      </w:r>
      <w:bookmarkEnd w:id="121"/>
      <w:r>
        <w:rPr>
          <w:rFonts w:hint="eastAsia" w:asciiTheme="minorEastAsia" w:hAnsiTheme="minorEastAsia"/>
          <w:b/>
          <w:color w:val="000000" w:themeColor="text1"/>
          <w:sz w:val="28"/>
          <w:highlight w:val="none"/>
          <w14:textFill>
            <w14:solidFill>
              <w14:schemeClr w14:val="tx1"/>
            </w14:solidFill>
          </w14:textFill>
        </w:rPr>
        <w:t>磋商函附录</w:t>
      </w:r>
      <w:bookmarkEnd w:id="124"/>
      <w:bookmarkEnd w:id="125"/>
    </w:p>
    <w:p w14:paraId="093C56FB">
      <w:pPr>
        <w:rPr>
          <w:rFonts w:hint="eastAsia" w:asciiTheme="minorEastAsia" w:hAnsiTheme="minorEastAsia"/>
          <w:b/>
          <w:color w:val="000000" w:themeColor="text1"/>
          <w:sz w:val="18"/>
          <w:szCs w:val="18"/>
          <w:highlight w:val="none"/>
          <w14:textFill>
            <w14:solidFill>
              <w14:schemeClr w14:val="tx1"/>
            </w14:solidFill>
          </w14:textFill>
        </w:rPr>
      </w:pPr>
    </w:p>
    <w:tbl>
      <w:tblPr>
        <w:tblStyle w:val="18"/>
        <w:tblW w:w="916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502"/>
        <w:gridCol w:w="6660"/>
      </w:tblGrid>
      <w:tr w14:paraId="6F4800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2502" w:type="dxa"/>
            <w:tcBorders>
              <w:top w:val="single" w:color="auto" w:sz="12" w:space="0"/>
              <w:left w:val="single" w:color="auto" w:sz="12" w:space="0"/>
              <w:bottom w:val="single" w:color="auto" w:sz="6" w:space="0"/>
              <w:right w:val="single" w:color="auto" w:sz="6" w:space="0"/>
            </w:tcBorders>
            <w:vAlign w:val="center"/>
          </w:tcPr>
          <w:p w14:paraId="6AE1A283">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项目名称</w:t>
            </w:r>
          </w:p>
        </w:tc>
        <w:tc>
          <w:tcPr>
            <w:tcW w:w="6660" w:type="dxa"/>
            <w:tcBorders>
              <w:top w:val="single" w:color="auto" w:sz="12" w:space="0"/>
              <w:left w:val="single" w:color="auto" w:sz="6" w:space="0"/>
              <w:bottom w:val="single" w:color="auto" w:sz="6" w:space="0"/>
              <w:right w:val="single" w:color="auto" w:sz="12" w:space="0"/>
            </w:tcBorders>
            <w:vAlign w:val="center"/>
          </w:tcPr>
          <w:p w14:paraId="0F55F295">
            <w:pPr>
              <w:jc w:val="center"/>
              <w:rPr>
                <w:rFonts w:hint="eastAsia" w:asciiTheme="minorEastAsia" w:hAnsiTheme="minorEastAsia"/>
                <w:color w:val="000000" w:themeColor="text1"/>
                <w:sz w:val="24"/>
                <w:szCs w:val="24"/>
                <w:highlight w:val="none"/>
                <w14:textFill>
                  <w14:solidFill>
                    <w14:schemeClr w14:val="tx1"/>
                  </w14:solidFill>
                </w14:textFill>
              </w:rPr>
            </w:pPr>
          </w:p>
        </w:tc>
      </w:tr>
      <w:tr w14:paraId="2CD8B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391B5659">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项目编号</w:t>
            </w:r>
          </w:p>
        </w:tc>
        <w:tc>
          <w:tcPr>
            <w:tcW w:w="6660" w:type="dxa"/>
            <w:tcBorders>
              <w:top w:val="single" w:color="auto" w:sz="6" w:space="0"/>
              <w:left w:val="single" w:color="auto" w:sz="6" w:space="0"/>
              <w:bottom w:val="single" w:color="auto" w:sz="6" w:space="0"/>
              <w:right w:val="single" w:color="auto" w:sz="12" w:space="0"/>
            </w:tcBorders>
            <w:vAlign w:val="center"/>
          </w:tcPr>
          <w:p w14:paraId="1225971C">
            <w:pPr>
              <w:jc w:val="center"/>
              <w:rPr>
                <w:rFonts w:hint="eastAsia" w:asciiTheme="minorEastAsia" w:hAnsiTheme="minorEastAsia"/>
                <w:color w:val="000000" w:themeColor="text1"/>
                <w:sz w:val="24"/>
                <w:szCs w:val="24"/>
                <w:highlight w:val="none"/>
                <w14:textFill>
                  <w14:solidFill>
                    <w14:schemeClr w14:val="tx1"/>
                  </w14:solidFill>
                </w14:textFill>
              </w:rPr>
            </w:pPr>
          </w:p>
        </w:tc>
      </w:tr>
      <w:tr w14:paraId="73EFB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383D1FC3">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供应商名称</w:t>
            </w:r>
          </w:p>
        </w:tc>
        <w:tc>
          <w:tcPr>
            <w:tcW w:w="6660" w:type="dxa"/>
            <w:tcBorders>
              <w:top w:val="single" w:color="auto" w:sz="6" w:space="0"/>
              <w:left w:val="single" w:color="auto" w:sz="6" w:space="0"/>
              <w:bottom w:val="single" w:color="auto" w:sz="6" w:space="0"/>
              <w:right w:val="single" w:color="auto" w:sz="12" w:space="0"/>
            </w:tcBorders>
            <w:vAlign w:val="center"/>
          </w:tcPr>
          <w:p w14:paraId="1BF85754">
            <w:pPr>
              <w:jc w:val="center"/>
              <w:rPr>
                <w:rFonts w:hint="eastAsia" w:asciiTheme="minorEastAsia" w:hAnsiTheme="minorEastAsia"/>
                <w:color w:val="000000" w:themeColor="text1"/>
                <w:sz w:val="24"/>
                <w:szCs w:val="24"/>
                <w:highlight w:val="none"/>
                <w14:textFill>
                  <w14:solidFill>
                    <w14:schemeClr w14:val="tx1"/>
                  </w14:solidFill>
                </w14:textFill>
              </w:rPr>
            </w:pPr>
          </w:p>
          <w:p w14:paraId="213B030A">
            <w:pPr>
              <w:jc w:val="center"/>
              <w:rPr>
                <w:rFonts w:hint="eastAsia" w:asciiTheme="minorEastAsia" w:hAnsiTheme="minorEastAsia"/>
                <w:color w:val="000000" w:themeColor="text1"/>
                <w:sz w:val="24"/>
                <w:szCs w:val="24"/>
                <w:highlight w:val="none"/>
                <w14:textFill>
                  <w14:solidFill>
                    <w14:schemeClr w14:val="tx1"/>
                  </w14:solidFill>
                </w14:textFill>
              </w:rPr>
            </w:pPr>
          </w:p>
          <w:p w14:paraId="6FF06215">
            <w:pPr>
              <w:jc w:val="center"/>
              <w:rPr>
                <w:rFonts w:hint="eastAsia" w:asciiTheme="minorEastAsia" w:hAnsiTheme="minorEastAsia"/>
                <w:color w:val="000000" w:themeColor="text1"/>
                <w:sz w:val="24"/>
                <w:szCs w:val="24"/>
                <w:highlight w:val="none"/>
                <w14:textFill>
                  <w14:solidFill>
                    <w14:schemeClr w14:val="tx1"/>
                  </w14:solidFill>
                </w14:textFill>
              </w:rPr>
            </w:pPr>
          </w:p>
        </w:tc>
      </w:tr>
      <w:tr w14:paraId="64F7C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4"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11003E52">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磋商报价</w:t>
            </w:r>
          </w:p>
          <w:p w14:paraId="7B0965C5">
            <w:pPr>
              <w:jc w:val="center"/>
              <w:rPr>
                <w:rFonts w:hint="eastAsia" w:eastAsia="宋体" w:asciiTheme="minorEastAsia" w:hAnsi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color w:val="000000" w:themeColor="text1"/>
                <w:sz w:val="22"/>
                <w:szCs w:val="22"/>
                <w:highlight w:val="none"/>
                <w14:textFill>
                  <w14:solidFill>
                    <w14:schemeClr w14:val="tx1"/>
                  </w14:solidFill>
                </w14:textFill>
              </w:rPr>
              <w:t>元</w:t>
            </w:r>
            <w:r>
              <w:rPr>
                <w:rFonts w:hint="eastAsia" w:asciiTheme="minorEastAsia" w:hAnsiTheme="minorEastAsia"/>
                <w:color w:val="000000" w:themeColor="text1"/>
                <w:sz w:val="22"/>
                <w:szCs w:val="22"/>
                <w:highlight w:val="none"/>
                <w:lang w:eastAsia="zh-CN"/>
                <w14:textFill>
                  <w14:solidFill>
                    <w14:schemeClr w14:val="tx1"/>
                  </w14:solidFill>
                </w14:textFill>
              </w:rPr>
              <w:t>）</w:t>
            </w:r>
          </w:p>
        </w:tc>
        <w:tc>
          <w:tcPr>
            <w:tcW w:w="6660" w:type="dxa"/>
            <w:tcBorders>
              <w:top w:val="single" w:color="auto" w:sz="6" w:space="0"/>
              <w:left w:val="single" w:color="auto" w:sz="6" w:space="0"/>
              <w:bottom w:val="single" w:color="auto" w:sz="6" w:space="0"/>
              <w:right w:val="single" w:color="auto" w:sz="12" w:space="0"/>
            </w:tcBorders>
            <w:vAlign w:val="center"/>
          </w:tcPr>
          <w:p w14:paraId="44428ED9">
            <w:pPr>
              <w:spacing w:line="360" w:lineRule="auto"/>
              <w:rPr>
                <w:rFonts w:hint="eastAsia"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大写：</w:t>
            </w:r>
            <w:r>
              <w:rPr>
                <w:rFonts w:hint="eastAsia" w:asciiTheme="minorEastAsia" w:hAnsiTheme="minorEastAsia"/>
                <w:color w:val="000000" w:themeColor="text1"/>
                <w:sz w:val="24"/>
                <w:szCs w:val="24"/>
                <w:highlight w:val="none"/>
                <w:u w:val="single"/>
                <w14:textFill>
                  <w14:solidFill>
                    <w14:schemeClr w14:val="tx1"/>
                  </w14:solidFill>
                </w14:textFill>
              </w:rPr>
              <w:t xml:space="preserve">           </w:t>
            </w:r>
          </w:p>
          <w:p w14:paraId="486EFD4A">
            <w:pPr>
              <w:spacing w:line="360" w:lineRule="auto"/>
              <w:rPr>
                <w:rFonts w:hint="eastAsia" w:asciiTheme="minorEastAsia" w:hAnsiTheme="minorEastAsia"/>
                <w:color w:val="000000" w:themeColor="text1"/>
                <w:sz w:val="24"/>
                <w:szCs w:val="24"/>
                <w:highlight w:val="none"/>
                <w:u w:val="singl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小写：</w:t>
            </w:r>
            <w:r>
              <w:rPr>
                <w:rFonts w:hint="eastAsia" w:asciiTheme="minorEastAsia" w:hAnsiTheme="minorEastAsia"/>
                <w:color w:val="000000" w:themeColor="text1"/>
                <w:sz w:val="22"/>
                <w:szCs w:val="22"/>
                <w:highlight w:val="none"/>
                <w:u w:val="single"/>
                <w14:textFill>
                  <w14:solidFill>
                    <w14:schemeClr w14:val="tx1"/>
                  </w14:solidFill>
                </w14:textFill>
              </w:rPr>
              <w:t xml:space="preserve">   </w:t>
            </w:r>
            <w:r>
              <w:rPr>
                <w:rFonts w:hint="eastAsia" w:asciiTheme="minorEastAsia" w:hAnsiTheme="minorEastAsia"/>
                <w:color w:val="000000" w:themeColor="text1"/>
                <w:sz w:val="22"/>
                <w:szCs w:val="22"/>
                <w:highlight w:val="none"/>
                <w:u w:val="single"/>
                <w:lang w:val="en-US" w:eastAsia="zh-CN"/>
                <w14:textFill>
                  <w14:solidFill>
                    <w14:schemeClr w14:val="tx1"/>
                  </w14:solidFill>
                </w14:textFill>
              </w:rPr>
              <w:t xml:space="preserve">    </w:t>
            </w:r>
            <w:r>
              <w:rPr>
                <w:rFonts w:hint="eastAsia" w:asciiTheme="minorEastAsia" w:hAnsiTheme="minorEastAsia"/>
                <w:color w:val="000000" w:themeColor="text1"/>
                <w:sz w:val="22"/>
                <w:szCs w:val="22"/>
                <w:highlight w:val="none"/>
                <w:u w:val="single"/>
                <w14:textFill>
                  <w14:solidFill>
                    <w14:schemeClr w14:val="tx1"/>
                  </w14:solidFill>
                </w14:textFill>
              </w:rPr>
              <w:t xml:space="preserve">     </w:t>
            </w:r>
          </w:p>
        </w:tc>
      </w:tr>
      <w:tr w14:paraId="6D1C02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118B355A">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服务期限</w:t>
            </w:r>
          </w:p>
        </w:tc>
        <w:tc>
          <w:tcPr>
            <w:tcW w:w="6660" w:type="dxa"/>
            <w:tcBorders>
              <w:top w:val="single" w:color="auto" w:sz="6" w:space="0"/>
              <w:left w:val="single" w:color="auto" w:sz="6" w:space="0"/>
              <w:bottom w:val="single" w:color="auto" w:sz="6" w:space="0"/>
              <w:right w:val="single" w:color="auto" w:sz="12" w:space="0"/>
            </w:tcBorders>
            <w:vAlign w:val="center"/>
          </w:tcPr>
          <w:p w14:paraId="248A6A48">
            <w:pPr>
              <w:rPr>
                <w:rFonts w:hint="eastAsia" w:asciiTheme="minorEastAsia" w:hAnsiTheme="minorEastAsia"/>
                <w:color w:val="000000" w:themeColor="text1"/>
                <w:sz w:val="24"/>
                <w:szCs w:val="24"/>
                <w:highlight w:val="none"/>
                <w14:textFill>
                  <w14:solidFill>
                    <w14:schemeClr w14:val="tx1"/>
                  </w14:solidFill>
                </w14:textFill>
              </w:rPr>
            </w:pPr>
          </w:p>
        </w:tc>
      </w:tr>
      <w:tr w14:paraId="2298E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6"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669AD67A">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lang w:eastAsia="zh-CN"/>
                <w14:textFill>
                  <w14:solidFill>
                    <w14:schemeClr w14:val="tx1"/>
                  </w14:solidFill>
                </w14:textFill>
              </w:rPr>
              <w:t>服务要求</w:t>
            </w:r>
          </w:p>
        </w:tc>
        <w:tc>
          <w:tcPr>
            <w:tcW w:w="6660" w:type="dxa"/>
            <w:tcBorders>
              <w:top w:val="single" w:color="auto" w:sz="6" w:space="0"/>
              <w:left w:val="single" w:color="auto" w:sz="6" w:space="0"/>
              <w:bottom w:val="single" w:color="auto" w:sz="6" w:space="0"/>
              <w:right w:val="single" w:color="auto" w:sz="12" w:space="0"/>
            </w:tcBorders>
            <w:vAlign w:val="center"/>
          </w:tcPr>
          <w:p w14:paraId="5D22FEE1">
            <w:pPr>
              <w:rPr>
                <w:rFonts w:hint="eastAsia" w:asciiTheme="minorEastAsia" w:hAnsiTheme="minorEastAsia"/>
                <w:color w:val="000000" w:themeColor="text1"/>
                <w:sz w:val="24"/>
                <w:szCs w:val="24"/>
                <w:highlight w:val="none"/>
                <w14:textFill>
                  <w14:solidFill>
                    <w14:schemeClr w14:val="tx1"/>
                  </w14:solidFill>
                </w14:textFill>
              </w:rPr>
            </w:pPr>
          </w:p>
        </w:tc>
      </w:tr>
      <w:tr w14:paraId="6D334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50011FF8">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宋体" w:hAnsi="宋体" w:cs="宋体"/>
                <w:sz w:val="24"/>
                <w:szCs w:val="24"/>
              </w:rPr>
              <w:t>服务地点</w:t>
            </w:r>
          </w:p>
        </w:tc>
        <w:tc>
          <w:tcPr>
            <w:tcW w:w="6660" w:type="dxa"/>
            <w:tcBorders>
              <w:top w:val="single" w:color="auto" w:sz="6" w:space="0"/>
              <w:left w:val="single" w:color="auto" w:sz="6" w:space="0"/>
              <w:bottom w:val="single" w:color="auto" w:sz="6" w:space="0"/>
              <w:right w:val="single" w:color="auto" w:sz="12" w:space="0"/>
            </w:tcBorders>
            <w:vAlign w:val="center"/>
          </w:tcPr>
          <w:p w14:paraId="2A1285AC">
            <w:pPr>
              <w:rPr>
                <w:rFonts w:hint="eastAsia" w:asciiTheme="minorEastAsia" w:hAnsiTheme="minorEastAsia"/>
                <w:color w:val="000000" w:themeColor="text1"/>
                <w:sz w:val="24"/>
                <w:szCs w:val="24"/>
                <w:highlight w:val="none"/>
                <w14:textFill>
                  <w14:solidFill>
                    <w14:schemeClr w14:val="tx1"/>
                  </w14:solidFill>
                </w14:textFill>
              </w:rPr>
            </w:pPr>
          </w:p>
        </w:tc>
      </w:tr>
      <w:tr w14:paraId="4136BC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1" w:hRule="atLeast"/>
          <w:jc w:val="center"/>
        </w:trPr>
        <w:tc>
          <w:tcPr>
            <w:tcW w:w="2502" w:type="dxa"/>
            <w:tcBorders>
              <w:top w:val="single" w:color="auto" w:sz="6" w:space="0"/>
              <w:left w:val="single" w:color="auto" w:sz="12" w:space="0"/>
              <w:bottom w:val="single" w:color="auto" w:sz="6" w:space="0"/>
              <w:right w:val="single" w:color="auto" w:sz="6" w:space="0"/>
            </w:tcBorders>
            <w:vAlign w:val="center"/>
          </w:tcPr>
          <w:p w14:paraId="5E11693C">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磋商有效期</w:t>
            </w:r>
          </w:p>
        </w:tc>
        <w:tc>
          <w:tcPr>
            <w:tcW w:w="6660" w:type="dxa"/>
            <w:tcBorders>
              <w:top w:val="single" w:color="auto" w:sz="6" w:space="0"/>
              <w:left w:val="single" w:color="auto" w:sz="6" w:space="0"/>
              <w:bottom w:val="single" w:color="auto" w:sz="6" w:space="0"/>
              <w:right w:val="single" w:color="auto" w:sz="12" w:space="0"/>
            </w:tcBorders>
            <w:vAlign w:val="center"/>
          </w:tcPr>
          <w:p w14:paraId="5CFF1789">
            <w:pPr>
              <w:rPr>
                <w:rFonts w:hint="eastAsia" w:asciiTheme="minorEastAsia" w:hAnsiTheme="minorEastAsia"/>
                <w:color w:val="000000" w:themeColor="text1"/>
                <w:sz w:val="24"/>
                <w:szCs w:val="24"/>
                <w:highlight w:val="none"/>
                <w14:textFill>
                  <w14:solidFill>
                    <w14:schemeClr w14:val="tx1"/>
                  </w14:solidFill>
                </w14:textFill>
              </w:rPr>
            </w:pPr>
          </w:p>
        </w:tc>
      </w:tr>
      <w:tr w14:paraId="1B0D0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7" w:hRule="atLeast"/>
          <w:jc w:val="center"/>
        </w:trPr>
        <w:tc>
          <w:tcPr>
            <w:tcW w:w="2502" w:type="dxa"/>
            <w:tcBorders>
              <w:top w:val="single" w:color="auto" w:sz="6" w:space="0"/>
              <w:left w:val="single" w:color="auto" w:sz="12" w:space="0"/>
              <w:bottom w:val="single" w:color="auto" w:sz="12" w:space="0"/>
              <w:right w:val="single" w:color="auto" w:sz="6" w:space="0"/>
            </w:tcBorders>
            <w:vAlign w:val="center"/>
          </w:tcPr>
          <w:p w14:paraId="6BE8BE9A">
            <w:pPr>
              <w:jc w:val="center"/>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备注</w:t>
            </w:r>
          </w:p>
        </w:tc>
        <w:tc>
          <w:tcPr>
            <w:tcW w:w="6660" w:type="dxa"/>
            <w:tcBorders>
              <w:top w:val="single" w:color="auto" w:sz="6" w:space="0"/>
              <w:left w:val="single" w:color="auto" w:sz="6" w:space="0"/>
              <w:bottom w:val="single" w:color="auto" w:sz="12" w:space="0"/>
              <w:right w:val="single" w:color="auto" w:sz="12" w:space="0"/>
            </w:tcBorders>
            <w:vAlign w:val="center"/>
          </w:tcPr>
          <w:p w14:paraId="5AE4FB93">
            <w:pPr>
              <w:jc w:val="center"/>
              <w:rPr>
                <w:rFonts w:hint="eastAsia" w:asciiTheme="minorEastAsia" w:hAnsiTheme="minorEastAsia"/>
                <w:color w:val="000000" w:themeColor="text1"/>
                <w:sz w:val="24"/>
                <w:szCs w:val="24"/>
                <w:highlight w:val="none"/>
                <w14:textFill>
                  <w14:solidFill>
                    <w14:schemeClr w14:val="tx1"/>
                  </w14:solidFill>
                </w14:textFill>
              </w:rPr>
            </w:pPr>
          </w:p>
          <w:p w14:paraId="1D942A52">
            <w:pPr>
              <w:jc w:val="both"/>
              <w:rPr>
                <w:rFonts w:hint="eastAsia" w:asciiTheme="minorEastAsia" w:hAnsiTheme="minorEastAsia"/>
                <w:color w:val="000000" w:themeColor="text1"/>
                <w:sz w:val="24"/>
                <w:szCs w:val="24"/>
                <w:highlight w:val="none"/>
                <w14:textFill>
                  <w14:solidFill>
                    <w14:schemeClr w14:val="tx1"/>
                  </w14:solidFill>
                </w14:textFill>
              </w:rPr>
            </w:pPr>
          </w:p>
          <w:p w14:paraId="58283F30">
            <w:pPr>
              <w:rPr>
                <w:rFonts w:hint="eastAsia" w:asciiTheme="minorEastAsia" w:hAnsiTheme="minorEastAsia"/>
                <w:color w:val="000000" w:themeColor="text1"/>
                <w:sz w:val="24"/>
                <w:szCs w:val="24"/>
                <w:highlight w:val="none"/>
                <w14:textFill>
                  <w14:solidFill>
                    <w14:schemeClr w14:val="tx1"/>
                  </w14:solidFill>
                </w14:textFill>
              </w:rPr>
            </w:pPr>
          </w:p>
        </w:tc>
      </w:tr>
    </w:tbl>
    <w:p w14:paraId="5D99035F">
      <w:pPr>
        <w:spacing w:line="360" w:lineRule="auto"/>
        <w:ind w:firstLine="420" w:firstLineChars="150"/>
        <w:jc w:val="right"/>
        <w:rPr>
          <w:rFonts w:hint="eastAsia" w:asciiTheme="minorEastAsia" w:hAnsiTheme="minorEastAsia"/>
          <w:color w:val="000000" w:themeColor="text1"/>
          <w:sz w:val="28"/>
          <w:szCs w:val="28"/>
          <w:highlight w:val="none"/>
          <w14:textFill>
            <w14:solidFill>
              <w14:schemeClr w14:val="tx1"/>
            </w14:solidFill>
          </w14:textFill>
        </w:rPr>
      </w:pPr>
    </w:p>
    <w:p w14:paraId="1D53CD57">
      <w:pPr>
        <w:spacing w:line="440" w:lineRule="exact"/>
        <w:ind w:firstLine="2400" w:firstLineChars="1000"/>
        <w:jc w:val="center"/>
        <w:rPr>
          <w:rFonts w:hint="eastAsia" w:ascii="宋体" w:hAnsi="宋体"/>
          <w:color w:val="000000" w:themeColor="text1"/>
          <w:sz w:val="24"/>
          <w:szCs w:val="24"/>
          <w:highlight w:val="none"/>
          <w14:textFill>
            <w14:solidFill>
              <w14:schemeClr w14:val="tx1"/>
            </w14:solidFill>
          </w14:textFill>
        </w:rPr>
      </w:pPr>
      <w:bookmarkStart w:id="126" w:name="_Toc50564917"/>
      <w:bookmarkStart w:id="127" w:name="_Toc10093"/>
      <w:bookmarkStart w:id="128" w:name="_Toc25552"/>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供应商名称：（签章）</w:t>
      </w:r>
    </w:p>
    <w:p w14:paraId="78AD0FFF">
      <w:pPr>
        <w:spacing w:line="360" w:lineRule="auto"/>
        <w:ind w:firstLine="2400" w:firstLineChars="1000"/>
        <w:jc w:val="righ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法定代表人：（电子签章）</w:t>
      </w:r>
    </w:p>
    <w:p w14:paraId="3CD89E9D">
      <w:pPr>
        <w:spacing w:line="480" w:lineRule="auto"/>
        <w:jc w:val="right"/>
        <w:rPr>
          <w:rFonts w:hint="eastAsia"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pacing w:val="46"/>
          <w:sz w:val="24"/>
          <w:szCs w:val="24"/>
          <w:highlight w:val="none"/>
          <w14:textFill>
            <w14:solidFill>
              <w14:schemeClr w14:val="tx1"/>
            </w14:solidFill>
          </w14:textFill>
        </w:rPr>
        <w:t xml:space="preserve">日 期： 年 月 日 </w:t>
      </w:r>
    </w:p>
    <w:p w14:paraId="04E6340E">
      <w:pPr>
        <w:spacing w:line="360" w:lineRule="auto"/>
        <w:ind w:firstLine="422" w:firstLineChars="150"/>
        <w:jc w:val="right"/>
        <w:rPr>
          <w:rFonts w:hint="eastAsia" w:cs="宋体" w:asciiTheme="minorEastAsia" w:hAnsiTheme="minorEastAsia"/>
          <w:b/>
          <w:color w:val="000000" w:themeColor="text1"/>
          <w:sz w:val="28"/>
          <w:szCs w:val="28"/>
          <w:highlight w:val="none"/>
          <w14:textFill>
            <w14:solidFill>
              <w14:schemeClr w14:val="tx1"/>
            </w14:solidFill>
          </w14:textFill>
        </w:rPr>
      </w:pPr>
      <w:r>
        <w:rPr>
          <w:rFonts w:hint="eastAsia" w:cs="宋体" w:asciiTheme="minorEastAsia" w:hAnsiTheme="minorEastAsia"/>
          <w:b/>
          <w:color w:val="000000" w:themeColor="text1"/>
          <w:sz w:val="28"/>
          <w:szCs w:val="28"/>
          <w:highlight w:val="none"/>
          <w14:textFill>
            <w14:solidFill>
              <w14:schemeClr w14:val="tx1"/>
            </w14:solidFill>
          </w14:textFill>
        </w:rPr>
        <w:br w:type="page"/>
      </w:r>
    </w:p>
    <w:p w14:paraId="0E67B5BC">
      <w:pPr>
        <w:jc w:val="center"/>
        <w:outlineLvl w:val="1"/>
        <w:rPr>
          <w:rFonts w:hint="eastAsia" w:cs="宋体" w:asciiTheme="minorEastAsia" w:hAnsiTheme="minorEastAsia"/>
          <w:b/>
          <w:color w:val="000000" w:themeColor="text1"/>
          <w:sz w:val="28"/>
          <w:szCs w:val="28"/>
          <w:highlight w:val="none"/>
          <w14:textFill>
            <w14:solidFill>
              <w14:schemeClr w14:val="tx1"/>
            </w14:solidFill>
          </w14:textFill>
        </w:rPr>
      </w:pPr>
      <w:bookmarkStart w:id="129" w:name="_Toc24313"/>
      <w:bookmarkStart w:id="130" w:name="_Toc21241"/>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四</w:t>
      </w:r>
      <w:r>
        <w:rPr>
          <w:rFonts w:hint="eastAsia" w:cs="宋体" w:asciiTheme="minorEastAsia" w:hAnsiTheme="minorEastAsia"/>
          <w:b/>
          <w:color w:val="000000" w:themeColor="text1"/>
          <w:sz w:val="28"/>
          <w:szCs w:val="28"/>
          <w:highlight w:val="none"/>
          <w14:textFill>
            <w14:solidFill>
              <w14:schemeClr w14:val="tx1"/>
            </w14:solidFill>
          </w14:textFill>
        </w:rPr>
        <w:t>、</w:t>
      </w:r>
      <w:r>
        <w:rPr>
          <w:rFonts w:cs="宋体" w:asciiTheme="minorEastAsia" w:hAnsiTheme="minorEastAsia"/>
          <w:b/>
          <w:color w:val="000000" w:themeColor="text1"/>
          <w:sz w:val="28"/>
          <w:szCs w:val="28"/>
          <w:highlight w:val="none"/>
          <w14:textFill>
            <w14:solidFill>
              <w14:schemeClr w14:val="tx1"/>
            </w14:solidFill>
          </w14:textFill>
        </w:rPr>
        <w:t>响应供应商基本情况表</w:t>
      </w:r>
      <w:bookmarkEnd w:id="126"/>
      <w:bookmarkEnd w:id="127"/>
      <w:bookmarkEnd w:id="129"/>
      <w:bookmarkEnd w:id="130"/>
    </w:p>
    <w:tbl>
      <w:tblPr>
        <w:tblStyle w:val="18"/>
        <w:tblW w:w="9259" w:type="dxa"/>
        <w:tblInd w:w="108" w:type="dxa"/>
        <w:tblLayout w:type="fixed"/>
        <w:tblCellMar>
          <w:top w:w="0" w:type="dxa"/>
          <w:left w:w="108" w:type="dxa"/>
          <w:bottom w:w="0" w:type="dxa"/>
          <w:right w:w="108" w:type="dxa"/>
        </w:tblCellMar>
      </w:tblPr>
      <w:tblGrid>
        <w:gridCol w:w="1923"/>
        <w:gridCol w:w="1046"/>
        <w:gridCol w:w="1552"/>
        <w:gridCol w:w="1416"/>
        <w:gridCol w:w="1217"/>
        <w:gridCol w:w="2105"/>
      </w:tblGrid>
      <w:tr w14:paraId="4A65CC67">
        <w:tblPrEx>
          <w:tblCellMar>
            <w:top w:w="0" w:type="dxa"/>
            <w:left w:w="108" w:type="dxa"/>
            <w:bottom w:w="0" w:type="dxa"/>
            <w:right w:w="108" w:type="dxa"/>
          </w:tblCellMar>
        </w:tblPrEx>
        <w:trPr>
          <w:trHeight w:val="728"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3BB3AD10">
            <w:pPr>
              <w:jc w:val="center"/>
              <w:rPr>
                <w:rFonts w:hint="eastAsia" w:ascii="宋体" w:hAnsi="宋体" w:cs="楷体"/>
                <w:kern w:val="1"/>
                <w:sz w:val="24"/>
                <w:szCs w:val="24"/>
                <w:highlight w:val="none"/>
              </w:rPr>
            </w:pPr>
            <w:r>
              <w:rPr>
                <w:rFonts w:hint="eastAsia" w:ascii="宋体" w:hAnsi="宋体" w:cs="楷体"/>
                <w:kern w:val="1"/>
                <w:sz w:val="24"/>
                <w:szCs w:val="24"/>
                <w:highlight w:val="none"/>
              </w:rPr>
              <w:t>供应商名称</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77030864">
            <w:pPr>
              <w:jc w:val="center"/>
              <w:rPr>
                <w:rFonts w:hint="eastAsia" w:ascii="宋体" w:hAnsi="宋体" w:cs="楷体"/>
                <w:kern w:val="1"/>
                <w:sz w:val="24"/>
                <w:szCs w:val="24"/>
                <w:highlight w:val="none"/>
              </w:rPr>
            </w:pPr>
          </w:p>
        </w:tc>
      </w:tr>
      <w:tr w14:paraId="63F7F646">
        <w:tblPrEx>
          <w:tblCellMar>
            <w:top w:w="0" w:type="dxa"/>
            <w:left w:w="108" w:type="dxa"/>
            <w:bottom w:w="0" w:type="dxa"/>
            <w:right w:w="108" w:type="dxa"/>
          </w:tblCellMar>
        </w:tblPrEx>
        <w:trPr>
          <w:trHeight w:val="568"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3E5F70CC">
            <w:pPr>
              <w:jc w:val="center"/>
              <w:rPr>
                <w:rFonts w:hint="eastAsia" w:ascii="宋体" w:hAnsi="宋体" w:cs="楷体"/>
                <w:kern w:val="1"/>
                <w:sz w:val="24"/>
                <w:szCs w:val="24"/>
                <w:highlight w:val="none"/>
              </w:rPr>
            </w:pPr>
            <w:r>
              <w:rPr>
                <w:rFonts w:hint="eastAsia" w:ascii="宋体" w:hAnsi="宋体" w:cs="楷体"/>
                <w:kern w:val="1"/>
                <w:sz w:val="24"/>
                <w:szCs w:val="24"/>
                <w:highlight w:val="none"/>
              </w:rPr>
              <w:t>注册地址</w:t>
            </w:r>
          </w:p>
        </w:tc>
        <w:tc>
          <w:tcPr>
            <w:tcW w:w="4014" w:type="dxa"/>
            <w:gridSpan w:val="3"/>
            <w:tcBorders>
              <w:top w:val="single" w:color="000000" w:sz="4" w:space="0"/>
              <w:left w:val="single" w:color="000000" w:sz="4" w:space="0"/>
              <w:bottom w:val="single" w:color="000000" w:sz="4" w:space="0"/>
              <w:right w:val="single" w:color="000000" w:sz="4" w:space="0"/>
            </w:tcBorders>
            <w:noWrap/>
            <w:vAlign w:val="center"/>
          </w:tcPr>
          <w:p w14:paraId="6E7712BB">
            <w:pPr>
              <w:jc w:val="center"/>
              <w:rPr>
                <w:rFonts w:hint="eastAsia" w:ascii="宋体" w:hAnsi="宋体" w:cs="楷体"/>
                <w:kern w:val="1"/>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noWrap/>
            <w:vAlign w:val="center"/>
          </w:tcPr>
          <w:p w14:paraId="69167ADB">
            <w:pPr>
              <w:jc w:val="center"/>
              <w:rPr>
                <w:rFonts w:hint="eastAsia" w:ascii="宋体" w:hAnsi="宋体" w:cs="楷体"/>
                <w:kern w:val="1"/>
                <w:sz w:val="24"/>
                <w:szCs w:val="24"/>
                <w:highlight w:val="none"/>
              </w:rPr>
            </w:pPr>
            <w:r>
              <w:rPr>
                <w:rFonts w:hint="eastAsia" w:ascii="宋体" w:hAnsi="宋体" w:cs="楷体"/>
                <w:kern w:val="1"/>
                <w:sz w:val="24"/>
                <w:szCs w:val="24"/>
                <w:highlight w:val="none"/>
              </w:rPr>
              <w:t>邮政编码</w:t>
            </w:r>
          </w:p>
        </w:tc>
        <w:tc>
          <w:tcPr>
            <w:tcW w:w="2105" w:type="dxa"/>
            <w:tcBorders>
              <w:top w:val="single" w:color="000000" w:sz="4" w:space="0"/>
              <w:left w:val="single" w:color="000000" w:sz="4" w:space="0"/>
              <w:bottom w:val="single" w:color="000000" w:sz="4" w:space="0"/>
              <w:right w:val="single" w:color="000000" w:sz="4" w:space="0"/>
            </w:tcBorders>
            <w:noWrap/>
            <w:vAlign w:val="center"/>
          </w:tcPr>
          <w:p w14:paraId="1E740531">
            <w:pPr>
              <w:jc w:val="center"/>
              <w:rPr>
                <w:rFonts w:hint="eastAsia" w:ascii="宋体" w:hAnsi="宋体" w:cs="楷体"/>
                <w:kern w:val="1"/>
                <w:sz w:val="24"/>
                <w:szCs w:val="24"/>
                <w:highlight w:val="none"/>
              </w:rPr>
            </w:pPr>
          </w:p>
        </w:tc>
      </w:tr>
      <w:tr w14:paraId="2C04B0C7">
        <w:tblPrEx>
          <w:tblCellMar>
            <w:top w:w="0" w:type="dxa"/>
            <w:left w:w="108" w:type="dxa"/>
            <w:bottom w:w="0" w:type="dxa"/>
            <w:right w:w="108" w:type="dxa"/>
          </w:tblCellMar>
        </w:tblPrEx>
        <w:trPr>
          <w:trHeight w:val="713" w:hRule="atLeast"/>
        </w:trPr>
        <w:tc>
          <w:tcPr>
            <w:tcW w:w="1923" w:type="dxa"/>
            <w:vMerge w:val="restart"/>
            <w:tcBorders>
              <w:top w:val="single" w:color="000000" w:sz="4" w:space="0"/>
              <w:left w:val="single" w:color="000000" w:sz="4" w:space="0"/>
              <w:bottom w:val="single" w:color="000000" w:sz="4" w:space="0"/>
              <w:right w:val="single" w:color="000000" w:sz="4" w:space="0"/>
            </w:tcBorders>
            <w:noWrap/>
            <w:vAlign w:val="center"/>
          </w:tcPr>
          <w:p w14:paraId="3AAFD497">
            <w:pPr>
              <w:jc w:val="center"/>
              <w:rPr>
                <w:rFonts w:hint="eastAsia" w:ascii="宋体" w:hAnsi="宋体" w:cs="楷体"/>
                <w:kern w:val="1"/>
                <w:sz w:val="24"/>
                <w:szCs w:val="24"/>
                <w:highlight w:val="none"/>
              </w:rPr>
            </w:pPr>
            <w:r>
              <w:rPr>
                <w:rFonts w:hint="eastAsia" w:ascii="宋体" w:hAnsi="宋体" w:cs="楷体"/>
                <w:kern w:val="1"/>
                <w:sz w:val="24"/>
                <w:szCs w:val="24"/>
                <w:highlight w:val="none"/>
              </w:rPr>
              <w:t>联系方式</w:t>
            </w: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067B73AF">
            <w:pPr>
              <w:jc w:val="center"/>
              <w:rPr>
                <w:rFonts w:hint="eastAsia" w:ascii="宋体" w:hAnsi="宋体" w:cs="楷体"/>
                <w:kern w:val="1"/>
                <w:sz w:val="24"/>
                <w:szCs w:val="24"/>
                <w:highlight w:val="none"/>
              </w:rPr>
            </w:pPr>
            <w:r>
              <w:rPr>
                <w:rFonts w:hint="eastAsia" w:ascii="宋体" w:hAnsi="宋体" w:cs="楷体"/>
                <w:kern w:val="1"/>
                <w:sz w:val="24"/>
                <w:szCs w:val="24"/>
                <w:highlight w:val="none"/>
              </w:rPr>
              <w:t>联系人</w:t>
            </w:r>
          </w:p>
        </w:tc>
        <w:tc>
          <w:tcPr>
            <w:tcW w:w="2968" w:type="dxa"/>
            <w:gridSpan w:val="2"/>
            <w:tcBorders>
              <w:top w:val="single" w:color="000000" w:sz="4" w:space="0"/>
              <w:left w:val="single" w:color="000000" w:sz="4" w:space="0"/>
              <w:bottom w:val="single" w:color="000000" w:sz="4" w:space="0"/>
              <w:right w:val="single" w:color="000000" w:sz="4" w:space="0"/>
            </w:tcBorders>
            <w:noWrap/>
            <w:vAlign w:val="center"/>
          </w:tcPr>
          <w:p w14:paraId="4911B759">
            <w:pPr>
              <w:jc w:val="center"/>
              <w:rPr>
                <w:rFonts w:hint="eastAsia" w:ascii="宋体" w:hAnsi="宋体" w:cs="楷体"/>
                <w:kern w:val="1"/>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noWrap/>
            <w:vAlign w:val="center"/>
          </w:tcPr>
          <w:p w14:paraId="47B3A2B4">
            <w:pPr>
              <w:jc w:val="center"/>
              <w:rPr>
                <w:rFonts w:hint="eastAsia" w:ascii="宋体" w:hAnsi="宋体" w:cs="楷体"/>
                <w:kern w:val="1"/>
                <w:sz w:val="24"/>
                <w:szCs w:val="24"/>
                <w:highlight w:val="none"/>
              </w:rPr>
            </w:pPr>
            <w:r>
              <w:rPr>
                <w:rFonts w:hint="eastAsia" w:ascii="宋体" w:hAnsi="宋体" w:cs="楷体"/>
                <w:kern w:val="1"/>
                <w:sz w:val="24"/>
                <w:szCs w:val="24"/>
                <w:highlight w:val="none"/>
              </w:rPr>
              <w:t>电话</w:t>
            </w:r>
          </w:p>
        </w:tc>
        <w:tc>
          <w:tcPr>
            <w:tcW w:w="2105" w:type="dxa"/>
            <w:tcBorders>
              <w:top w:val="single" w:color="000000" w:sz="4" w:space="0"/>
              <w:left w:val="single" w:color="000000" w:sz="4" w:space="0"/>
              <w:bottom w:val="single" w:color="000000" w:sz="4" w:space="0"/>
              <w:right w:val="single" w:color="000000" w:sz="4" w:space="0"/>
            </w:tcBorders>
            <w:noWrap/>
            <w:vAlign w:val="center"/>
          </w:tcPr>
          <w:p w14:paraId="5175B745">
            <w:pPr>
              <w:jc w:val="center"/>
              <w:rPr>
                <w:rFonts w:hint="eastAsia" w:ascii="宋体" w:hAnsi="宋体" w:cs="楷体"/>
                <w:kern w:val="1"/>
                <w:sz w:val="24"/>
                <w:szCs w:val="24"/>
                <w:highlight w:val="none"/>
              </w:rPr>
            </w:pPr>
          </w:p>
        </w:tc>
      </w:tr>
      <w:tr w14:paraId="33C11BF1">
        <w:tblPrEx>
          <w:tblCellMar>
            <w:top w:w="0" w:type="dxa"/>
            <w:left w:w="108" w:type="dxa"/>
            <w:bottom w:w="0" w:type="dxa"/>
            <w:right w:w="108" w:type="dxa"/>
          </w:tblCellMar>
        </w:tblPrEx>
        <w:trPr>
          <w:trHeight w:val="729" w:hRule="atLeast"/>
        </w:trPr>
        <w:tc>
          <w:tcPr>
            <w:tcW w:w="1923" w:type="dxa"/>
            <w:vMerge w:val="continue"/>
            <w:tcBorders>
              <w:top w:val="single" w:color="000000" w:sz="4" w:space="0"/>
              <w:left w:val="single" w:color="000000" w:sz="4" w:space="0"/>
              <w:bottom w:val="single" w:color="000000" w:sz="4" w:space="0"/>
              <w:right w:val="single" w:color="000000" w:sz="4" w:space="0"/>
            </w:tcBorders>
            <w:noWrap/>
            <w:vAlign w:val="center"/>
          </w:tcPr>
          <w:p w14:paraId="4AFE8C8C">
            <w:pPr>
              <w:rPr>
                <w:rFonts w:hint="eastAsia" w:ascii="宋体" w:hAnsi="宋体" w:cs="楷体"/>
                <w:kern w:val="1"/>
                <w:sz w:val="24"/>
                <w:szCs w:val="24"/>
                <w:highlight w:val="none"/>
              </w:rPr>
            </w:pP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2262B0ED">
            <w:pPr>
              <w:jc w:val="center"/>
              <w:rPr>
                <w:rFonts w:hint="eastAsia" w:ascii="宋体" w:hAnsi="宋体" w:cs="楷体"/>
                <w:kern w:val="1"/>
                <w:sz w:val="24"/>
                <w:szCs w:val="24"/>
                <w:highlight w:val="none"/>
              </w:rPr>
            </w:pPr>
            <w:r>
              <w:rPr>
                <w:rFonts w:hint="eastAsia" w:ascii="宋体" w:hAnsi="宋体" w:cs="楷体"/>
                <w:kern w:val="1"/>
                <w:sz w:val="24"/>
                <w:szCs w:val="24"/>
                <w:highlight w:val="none"/>
              </w:rPr>
              <w:t>传真</w:t>
            </w:r>
          </w:p>
        </w:tc>
        <w:tc>
          <w:tcPr>
            <w:tcW w:w="2968" w:type="dxa"/>
            <w:gridSpan w:val="2"/>
            <w:tcBorders>
              <w:top w:val="single" w:color="000000" w:sz="4" w:space="0"/>
              <w:left w:val="single" w:color="000000" w:sz="4" w:space="0"/>
              <w:bottom w:val="single" w:color="000000" w:sz="4" w:space="0"/>
              <w:right w:val="single" w:color="000000" w:sz="4" w:space="0"/>
            </w:tcBorders>
            <w:noWrap/>
            <w:vAlign w:val="center"/>
          </w:tcPr>
          <w:p w14:paraId="3F2A3450">
            <w:pPr>
              <w:jc w:val="center"/>
              <w:rPr>
                <w:rFonts w:hint="eastAsia" w:ascii="宋体" w:hAnsi="宋体" w:cs="楷体"/>
                <w:kern w:val="1"/>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noWrap/>
            <w:vAlign w:val="center"/>
          </w:tcPr>
          <w:p w14:paraId="5125AE17">
            <w:pPr>
              <w:jc w:val="center"/>
              <w:rPr>
                <w:rFonts w:hint="eastAsia" w:ascii="宋体" w:hAnsi="宋体" w:cs="楷体"/>
                <w:kern w:val="1"/>
                <w:sz w:val="24"/>
                <w:szCs w:val="24"/>
                <w:highlight w:val="none"/>
              </w:rPr>
            </w:pPr>
            <w:r>
              <w:rPr>
                <w:rFonts w:hint="eastAsia" w:ascii="宋体" w:hAnsi="宋体" w:cs="楷体"/>
                <w:kern w:val="1"/>
                <w:sz w:val="24"/>
                <w:szCs w:val="24"/>
                <w:highlight w:val="none"/>
              </w:rPr>
              <w:t>邮箱</w:t>
            </w:r>
          </w:p>
        </w:tc>
        <w:tc>
          <w:tcPr>
            <w:tcW w:w="2105" w:type="dxa"/>
            <w:tcBorders>
              <w:top w:val="single" w:color="000000" w:sz="4" w:space="0"/>
              <w:left w:val="single" w:color="000000" w:sz="4" w:space="0"/>
              <w:bottom w:val="single" w:color="000000" w:sz="4" w:space="0"/>
              <w:right w:val="single" w:color="000000" w:sz="4" w:space="0"/>
            </w:tcBorders>
            <w:noWrap/>
            <w:vAlign w:val="center"/>
          </w:tcPr>
          <w:p w14:paraId="2D9477B5">
            <w:pPr>
              <w:jc w:val="center"/>
              <w:rPr>
                <w:rFonts w:hint="eastAsia" w:ascii="宋体" w:hAnsi="宋体" w:cs="楷体"/>
                <w:kern w:val="1"/>
                <w:sz w:val="24"/>
                <w:szCs w:val="24"/>
                <w:highlight w:val="none"/>
              </w:rPr>
            </w:pPr>
          </w:p>
        </w:tc>
      </w:tr>
      <w:tr w14:paraId="0A41C425">
        <w:tblPrEx>
          <w:tblCellMar>
            <w:top w:w="0" w:type="dxa"/>
            <w:left w:w="108" w:type="dxa"/>
            <w:bottom w:w="0" w:type="dxa"/>
            <w:right w:w="108" w:type="dxa"/>
          </w:tblCellMar>
        </w:tblPrEx>
        <w:trPr>
          <w:trHeight w:val="714"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37849E65">
            <w:pPr>
              <w:jc w:val="center"/>
              <w:rPr>
                <w:rFonts w:hint="eastAsia" w:ascii="宋体" w:hAnsi="宋体" w:cs="楷体"/>
                <w:kern w:val="1"/>
                <w:sz w:val="24"/>
                <w:szCs w:val="24"/>
                <w:highlight w:val="none"/>
              </w:rPr>
            </w:pPr>
            <w:r>
              <w:rPr>
                <w:rFonts w:hint="eastAsia" w:ascii="宋体" w:hAnsi="宋体" w:cs="楷体"/>
                <w:kern w:val="1"/>
                <w:sz w:val="24"/>
                <w:szCs w:val="24"/>
                <w:highlight w:val="none"/>
              </w:rPr>
              <w:t>法定代表人</w:t>
            </w:r>
          </w:p>
        </w:tc>
        <w:tc>
          <w:tcPr>
            <w:tcW w:w="1046" w:type="dxa"/>
            <w:tcBorders>
              <w:top w:val="single" w:color="000000" w:sz="4" w:space="0"/>
              <w:left w:val="single" w:color="000000" w:sz="4" w:space="0"/>
              <w:bottom w:val="single" w:color="000000" w:sz="4" w:space="0"/>
              <w:right w:val="single" w:color="000000" w:sz="4" w:space="0"/>
            </w:tcBorders>
            <w:noWrap/>
            <w:vAlign w:val="center"/>
          </w:tcPr>
          <w:p w14:paraId="75BD4980">
            <w:pPr>
              <w:jc w:val="center"/>
              <w:rPr>
                <w:rFonts w:hint="eastAsia" w:ascii="宋体" w:hAnsi="宋体" w:cs="楷体"/>
                <w:kern w:val="1"/>
                <w:sz w:val="24"/>
                <w:szCs w:val="24"/>
                <w:highlight w:val="none"/>
              </w:rPr>
            </w:pPr>
            <w:r>
              <w:rPr>
                <w:rFonts w:hint="eastAsia" w:ascii="宋体" w:hAnsi="宋体" w:cs="楷体"/>
                <w:kern w:val="1"/>
                <w:sz w:val="24"/>
                <w:szCs w:val="24"/>
                <w:highlight w:val="none"/>
              </w:rPr>
              <w:t>姓名</w:t>
            </w:r>
          </w:p>
        </w:tc>
        <w:tc>
          <w:tcPr>
            <w:tcW w:w="2968" w:type="dxa"/>
            <w:gridSpan w:val="2"/>
            <w:tcBorders>
              <w:top w:val="single" w:color="000000" w:sz="4" w:space="0"/>
              <w:left w:val="single" w:color="000000" w:sz="4" w:space="0"/>
              <w:bottom w:val="single" w:color="000000" w:sz="4" w:space="0"/>
              <w:right w:val="single" w:color="000000" w:sz="4" w:space="0"/>
            </w:tcBorders>
            <w:noWrap/>
            <w:vAlign w:val="center"/>
          </w:tcPr>
          <w:p w14:paraId="64DF2A2C">
            <w:pPr>
              <w:jc w:val="center"/>
              <w:rPr>
                <w:rFonts w:hint="eastAsia" w:ascii="宋体" w:hAnsi="宋体" w:cs="楷体"/>
                <w:kern w:val="1"/>
                <w:sz w:val="24"/>
                <w:szCs w:val="24"/>
                <w:highlight w:val="none"/>
              </w:rPr>
            </w:pPr>
          </w:p>
        </w:tc>
        <w:tc>
          <w:tcPr>
            <w:tcW w:w="1217" w:type="dxa"/>
            <w:tcBorders>
              <w:top w:val="single" w:color="000000" w:sz="4" w:space="0"/>
              <w:left w:val="single" w:color="000000" w:sz="4" w:space="0"/>
              <w:bottom w:val="single" w:color="000000" w:sz="4" w:space="0"/>
              <w:right w:val="single" w:color="000000" w:sz="4" w:space="0"/>
            </w:tcBorders>
            <w:noWrap/>
            <w:vAlign w:val="center"/>
          </w:tcPr>
          <w:p w14:paraId="6061C49B">
            <w:pPr>
              <w:jc w:val="center"/>
              <w:rPr>
                <w:rFonts w:hint="eastAsia" w:ascii="宋体" w:hAnsi="宋体" w:cs="楷体"/>
                <w:kern w:val="1"/>
                <w:sz w:val="24"/>
                <w:szCs w:val="24"/>
                <w:highlight w:val="none"/>
              </w:rPr>
            </w:pPr>
            <w:r>
              <w:rPr>
                <w:rFonts w:hint="eastAsia" w:ascii="宋体" w:hAnsi="宋体" w:cs="楷体"/>
                <w:kern w:val="1"/>
                <w:sz w:val="24"/>
                <w:szCs w:val="24"/>
                <w:highlight w:val="none"/>
              </w:rPr>
              <w:t>电话</w:t>
            </w:r>
          </w:p>
        </w:tc>
        <w:tc>
          <w:tcPr>
            <w:tcW w:w="2105" w:type="dxa"/>
            <w:tcBorders>
              <w:top w:val="single" w:color="000000" w:sz="4" w:space="0"/>
              <w:left w:val="single" w:color="000000" w:sz="4" w:space="0"/>
              <w:bottom w:val="single" w:color="000000" w:sz="4" w:space="0"/>
              <w:right w:val="single" w:color="000000" w:sz="4" w:space="0"/>
            </w:tcBorders>
            <w:noWrap/>
            <w:vAlign w:val="center"/>
          </w:tcPr>
          <w:p w14:paraId="6B572C0C">
            <w:pPr>
              <w:jc w:val="center"/>
              <w:rPr>
                <w:rFonts w:hint="eastAsia" w:ascii="宋体" w:hAnsi="宋体" w:cs="楷体"/>
                <w:kern w:val="1"/>
                <w:sz w:val="24"/>
                <w:szCs w:val="24"/>
                <w:highlight w:val="none"/>
              </w:rPr>
            </w:pPr>
          </w:p>
        </w:tc>
      </w:tr>
      <w:tr w14:paraId="2D80DA5D">
        <w:tblPrEx>
          <w:tblCellMar>
            <w:top w:w="0" w:type="dxa"/>
            <w:left w:w="108" w:type="dxa"/>
            <w:bottom w:w="0" w:type="dxa"/>
            <w:right w:w="108" w:type="dxa"/>
          </w:tblCellMar>
        </w:tblPrEx>
        <w:trPr>
          <w:trHeight w:val="728"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5E40E5D8">
            <w:pPr>
              <w:jc w:val="center"/>
              <w:rPr>
                <w:rFonts w:hint="eastAsia" w:ascii="宋体" w:hAnsi="宋体" w:cs="楷体"/>
                <w:kern w:val="1"/>
                <w:sz w:val="24"/>
                <w:szCs w:val="24"/>
                <w:highlight w:val="none"/>
              </w:rPr>
            </w:pPr>
            <w:r>
              <w:rPr>
                <w:rFonts w:hint="eastAsia" w:ascii="宋体" w:hAnsi="宋体" w:cs="楷体"/>
                <w:kern w:val="1"/>
                <w:sz w:val="24"/>
                <w:szCs w:val="24"/>
                <w:highlight w:val="none"/>
              </w:rPr>
              <w:t>成立时间</w:t>
            </w:r>
          </w:p>
        </w:tc>
        <w:tc>
          <w:tcPr>
            <w:tcW w:w="2598" w:type="dxa"/>
            <w:gridSpan w:val="2"/>
            <w:tcBorders>
              <w:top w:val="single" w:color="000000" w:sz="4" w:space="0"/>
              <w:left w:val="single" w:color="000000" w:sz="4" w:space="0"/>
              <w:bottom w:val="single" w:color="000000" w:sz="4" w:space="0"/>
              <w:right w:val="single" w:color="000000" w:sz="4" w:space="0"/>
            </w:tcBorders>
            <w:noWrap/>
            <w:vAlign w:val="center"/>
          </w:tcPr>
          <w:p w14:paraId="7ABE7AB0">
            <w:pPr>
              <w:jc w:val="center"/>
              <w:rPr>
                <w:rFonts w:hint="eastAsia" w:ascii="宋体" w:hAnsi="宋体" w:cs="楷体"/>
                <w:kern w:val="1"/>
                <w:sz w:val="24"/>
                <w:szCs w:val="24"/>
                <w:highlight w:val="none"/>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875AF5D">
            <w:pPr>
              <w:jc w:val="center"/>
              <w:rPr>
                <w:rFonts w:hint="eastAsia" w:ascii="宋体" w:hAnsi="宋体" w:cs="楷体"/>
                <w:kern w:val="1"/>
                <w:sz w:val="24"/>
                <w:szCs w:val="24"/>
                <w:highlight w:val="none"/>
              </w:rPr>
            </w:pPr>
            <w:r>
              <w:rPr>
                <w:rFonts w:hint="eastAsia" w:ascii="宋体" w:hAnsi="宋体" w:cs="楷体"/>
                <w:kern w:val="1"/>
                <w:sz w:val="24"/>
                <w:szCs w:val="24"/>
                <w:highlight w:val="none"/>
              </w:rPr>
              <w:t>员工总人数</w:t>
            </w:r>
          </w:p>
        </w:tc>
        <w:tc>
          <w:tcPr>
            <w:tcW w:w="3322" w:type="dxa"/>
            <w:gridSpan w:val="2"/>
            <w:tcBorders>
              <w:top w:val="single" w:color="000000" w:sz="4" w:space="0"/>
              <w:left w:val="single" w:color="000000" w:sz="4" w:space="0"/>
              <w:bottom w:val="single" w:color="000000" w:sz="4" w:space="0"/>
              <w:right w:val="single" w:color="000000" w:sz="4" w:space="0"/>
            </w:tcBorders>
            <w:noWrap/>
            <w:vAlign w:val="center"/>
          </w:tcPr>
          <w:p w14:paraId="277F09DD">
            <w:pPr>
              <w:jc w:val="center"/>
              <w:rPr>
                <w:rFonts w:hint="eastAsia" w:ascii="宋体" w:hAnsi="宋体" w:cs="楷体"/>
                <w:kern w:val="1"/>
                <w:sz w:val="24"/>
                <w:szCs w:val="24"/>
                <w:highlight w:val="none"/>
              </w:rPr>
            </w:pPr>
          </w:p>
        </w:tc>
      </w:tr>
      <w:tr w14:paraId="76BD1902">
        <w:tblPrEx>
          <w:tblCellMar>
            <w:top w:w="0" w:type="dxa"/>
            <w:left w:w="108" w:type="dxa"/>
            <w:bottom w:w="0" w:type="dxa"/>
            <w:right w:w="108" w:type="dxa"/>
          </w:tblCellMar>
        </w:tblPrEx>
        <w:trPr>
          <w:trHeight w:val="903"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7B7670FF">
            <w:pPr>
              <w:jc w:val="center"/>
              <w:rPr>
                <w:rFonts w:hint="eastAsia" w:ascii="宋体" w:hAnsi="宋体" w:cs="楷体"/>
                <w:kern w:val="1"/>
                <w:sz w:val="24"/>
                <w:szCs w:val="24"/>
                <w:highlight w:val="none"/>
              </w:rPr>
            </w:pPr>
            <w:r>
              <w:rPr>
                <w:rFonts w:hint="eastAsia" w:ascii="宋体" w:hAnsi="宋体" w:cs="楷体"/>
                <w:kern w:val="1"/>
                <w:sz w:val="24"/>
                <w:szCs w:val="24"/>
                <w:highlight w:val="none"/>
              </w:rPr>
              <w:t>统一社会信用代码</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2368637B">
            <w:pPr>
              <w:jc w:val="center"/>
              <w:rPr>
                <w:rFonts w:hint="eastAsia" w:ascii="宋体" w:hAnsi="宋体" w:cs="楷体"/>
                <w:kern w:val="1"/>
                <w:sz w:val="24"/>
                <w:szCs w:val="24"/>
                <w:highlight w:val="none"/>
              </w:rPr>
            </w:pPr>
          </w:p>
        </w:tc>
      </w:tr>
      <w:tr w14:paraId="1AF7D627">
        <w:tblPrEx>
          <w:tblCellMar>
            <w:top w:w="0" w:type="dxa"/>
            <w:left w:w="108" w:type="dxa"/>
            <w:bottom w:w="0" w:type="dxa"/>
            <w:right w:w="108" w:type="dxa"/>
          </w:tblCellMar>
        </w:tblPrEx>
        <w:trPr>
          <w:trHeight w:val="743"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4F754BD3">
            <w:pPr>
              <w:jc w:val="center"/>
              <w:rPr>
                <w:rFonts w:hint="eastAsia" w:ascii="宋体" w:hAnsi="宋体" w:cs="楷体"/>
                <w:kern w:val="1"/>
                <w:sz w:val="24"/>
                <w:szCs w:val="24"/>
                <w:highlight w:val="none"/>
              </w:rPr>
            </w:pPr>
            <w:r>
              <w:rPr>
                <w:rFonts w:hint="eastAsia" w:ascii="宋体" w:hAnsi="宋体" w:cs="楷体"/>
                <w:kern w:val="1"/>
                <w:sz w:val="24"/>
                <w:szCs w:val="24"/>
                <w:highlight w:val="none"/>
              </w:rPr>
              <w:t>注册资金</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2A33A96F">
            <w:pPr>
              <w:jc w:val="center"/>
              <w:rPr>
                <w:rFonts w:hint="eastAsia" w:ascii="宋体" w:hAnsi="宋体" w:cs="楷体"/>
                <w:kern w:val="1"/>
                <w:sz w:val="24"/>
                <w:szCs w:val="24"/>
                <w:highlight w:val="none"/>
              </w:rPr>
            </w:pPr>
          </w:p>
        </w:tc>
      </w:tr>
      <w:tr w14:paraId="0005E125">
        <w:tblPrEx>
          <w:tblCellMar>
            <w:top w:w="0" w:type="dxa"/>
            <w:left w:w="108" w:type="dxa"/>
            <w:bottom w:w="0" w:type="dxa"/>
            <w:right w:w="108" w:type="dxa"/>
          </w:tblCellMar>
        </w:tblPrEx>
        <w:trPr>
          <w:trHeight w:val="903"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30DF4CF1">
            <w:pPr>
              <w:jc w:val="center"/>
              <w:rPr>
                <w:rFonts w:hint="eastAsia" w:ascii="宋体" w:hAnsi="宋体" w:cs="楷体"/>
                <w:kern w:val="1"/>
                <w:sz w:val="24"/>
                <w:szCs w:val="24"/>
                <w:highlight w:val="none"/>
              </w:rPr>
            </w:pPr>
            <w:r>
              <w:rPr>
                <w:rFonts w:hint="eastAsia" w:ascii="宋体" w:hAnsi="宋体" w:cs="楷体"/>
                <w:kern w:val="1"/>
                <w:sz w:val="24"/>
                <w:szCs w:val="24"/>
                <w:highlight w:val="none"/>
              </w:rPr>
              <w:t>开户银行</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3C2F5CBF">
            <w:pPr>
              <w:jc w:val="center"/>
              <w:rPr>
                <w:rFonts w:hint="eastAsia" w:ascii="宋体" w:hAnsi="宋体" w:cs="楷体"/>
                <w:kern w:val="1"/>
                <w:sz w:val="24"/>
                <w:szCs w:val="24"/>
                <w:highlight w:val="none"/>
              </w:rPr>
            </w:pPr>
          </w:p>
        </w:tc>
      </w:tr>
      <w:tr w14:paraId="090176C3">
        <w:tblPrEx>
          <w:tblCellMar>
            <w:top w:w="0" w:type="dxa"/>
            <w:left w:w="108" w:type="dxa"/>
            <w:bottom w:w="0" w:type="dxa"/>
            <w:right w:w="108" w:type="dxa"/>
          </w:tblCellMar>
        </w:tblPrEx>
        <w:trPr>
          <w:trHeight w:val="729"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7C9B0AD3">
            <w:pPr>
              <w:jc w:val="center"/>
              <w:rPr>
                <w:rFonts w:hint="eastAsia" w:ascii="宋体" w:hAnsi="宋体" w:cs="楷体"/>
                <w:kern w:val="1"/>
                <w:sz w:val="24"/>
                <w:szCs w:val="24"/>
                <w:highlight w:val="none"/>
              </w:rPr>
            </w:pPr>
            <w:r>
              <w:rPr>
                <w:rFonts w:hint="eastAsia" w:ascii="宋体" w:hAnsi="宋体" w:cs="楷体"/>
                <w:kern w:val="1"/>
                <w:sz w:val="24"/>
                <w:szCs w:val="24"/>
                <w:highlight w:val="none"/>
              </w:rPr>
              <w:t>账号</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131ADF9E">
            <w:pPr>
              <w:jc w:val="center"/>
              <w:rPr>
                <w:rFonts w:hint="eastAsia" w:ascii="宋体" w:hAnsi="宋体" w:cs="楷体"/>
                <w:kern w:val="1"/>
                <w:sz w:val="24"/>
                <w:szCs w:val="24"/>
                <w:highlight w:val="none"/>
              </w:rPr>
            </w:pPr>
          </w:p>
        </w:tc>
      </w:tr>
      <w:tr w14:paraId="29FA2213">
        <w:tblPrEx>
          <w:tblCellMar>
            <w:top w:w="0" w:type="dxa"/>
            <w:left w:w="108" w:type="dxa"/>
            <w:bottom w:w="0" w:type="dxa"/>
            <w:right w:w="108" w:type="dxa"/>
          </w:tblCellMar>
        </w:tblPrEx>
        <w:trPr>
          <w:trHeight w:val="1891" w:hRule="atLeast"/>
        </w:trPr>
        <w:tc>
          <w:tcPr>
            <w:tcW w:w="1923" w:type="dxa"/>
            <w:tcBorders>
              <w:top w:val="single" w:color="000000" w:sz="4" w:space="0"/>
              <w:left w:val="single" w:color="000000" w:sz="4" w:space="0"/>
              <w:bottom w:val="single" w:color="000000" w:sz="4" w:space="0"/>
              <w:right w:val="single" w:color="000000" w:sz="4" w:space="0"/>
            </w:tcBorders>
            <w:noWrap/>
            <w:vAlign w:val="center"/>
          </w:tcPr>
          <w:p w14:paraId="1835B976">
            <w:pPr>
              <w:spacing w:line="420" w:lineRule="auto"/>
              <w:jc w:val="center"/>
              <w:rPr>
                <w:rFonts w:hint="eastAsia" w:ascii="宋体" w:hAnsi="宋体" w:cs="楷体"/>
                <w:kern w:val="1"/>
                <w:sz w:val="24"/>
                <w:szCs w:val="24"/>
                <w:highlight w:val="none"/>
              </w:rPr>
            </w:pPr>
            <w:r>
              <w:rPr>
                <w:rFonts w:hint="eastAsia" w:ascii="宋体" w:hAnsi="宋体" w:cs="楷体"/>
                <w:kern w:val="1"/>
                <w:sz w:val="24"/>
                <w:szCs w:val="24"/>
                <w:highlight w:val="none"/>
              </w:rPr>
              <w:t>经营范围</w:t>
            </w:r>
          </w:p>
        </w:tc>
        <w:tc>
          <w:tcPr>
            <w:tcW w:w="7336" w:type="dxa"/>
            <w:gridSpan w:val="5"/>
            <w:tcBorders>
              <w:top w:val="single" w:color="000000" w:sz="4" w:space="0"/>
              <w:left w:val="single" w:color="000000" w:sz="4" w:space="0"/>
              <w:bottom w:val="single" w:color="000000" w:sz="4" w:space="0"/>
              <w:right w:val="single" w:color="000000" w:sz="4" w:space="0"/>
            </w:tcBorders>
            <w:noWrap/>
            <w:vAlign w:val="center"/>
          </w:tcPr>
          <w:p w14:paraId="60189432">
            <w:pPr>
              <w:spacing w:line="420" w:lineRule="auto"/>
              <w:ind w:firstLine="480"/>
              <w:jc w:val="center"/>
              <w:rPr>
                <w:rFonts w:hint="eastAsia" w:ascii="宋体" w:hAnsi="宋体" w:cs="楷体"/>
                <w:kern w:val="1"/>
                <w:sz w:val="24"/>
                <w:szCs w:val="24"/>
                <w:highlight w:val="none"/>
              </w:rPr>
            </w:pPr>
          </w:p>
        </w:tc>
      </w:tr>
    </w:tbl>
    <w:p w14:paraId="53D79C66">
      <w:pPr>
        <w:jc w:val="center"/>
        <w:outlineLvl w:val="1"/>
        <w:rPr>
          <w:rFonts w:hint="eastAsia" w:ascii="宋体" w:hAnsi="宋体" w:eastAsia="宋体" w:cs="宋体"/>
          <w:sz w:val="24"/>
          <w:szCs w:val="24"/>
          <w:highlight w:val="none"/>
          <w:lang w:val="en-US" w:eastAsia="zh-CN"/>
        </w:rPr>
      </w:pPr>
      <w:r>
        <w:rPr>
          <w:rFonts w:cs="宋体" w:asciiTheme="minorEastAsia" w:hAnsiTheme="minorEastAsia"/>
          <w:color w:val="000000" w:themeColor="text1"/>
          <w:sz w:val="28"/>
          <w:szCs w:val="28"/>
          <w:highlight w:val="none"/>
          <w14:textFill>
            <w14:solidFill>
              <w14:schemeClr w14:val="tx1"/>
            </w14:solidFill>
          </w14:textFill>
        </w:rPr>
        <w:br w:type="page"/>
      </w:r>
      <w:r>
        <w:rPr>
          <w:rFonts w:hint="eastAsia" w:cs="宋体" w:asciiTheme="minorEastAsia" w:hAnsiTheme="minorEastAsia"/>
          <w:color w:val="000000" w:themeColor="text1"/>
          <w:sz w:val="28"/>
          <w:szCs w:val="28"/>
          <w:highlight w:val="none"/>
          <w:lang w:val="en-US" w:eastAsia="zh-CN"/>
          <w14:textFill>
            <w14:solidFill>
              <w14:schemeClr w14:val="tx1"/>
            </w14:solidFill>
          </w14:textFill>
        </w:rPr>
        <w:t>五</w:t>
      </w:r>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、供应商做过的类似项目业绩</w:t>
      </w:r>
    </w:p>
    <w:tbl>
      <w:tblPr>
        <w:tblStyle w:val="18"/>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644"/>
        <w:gridCol w:w="2361"/>
        <w:gridCol w:w="1905"/>
        <w:gridCol w:w="1903"/>
      </w:tblGrid>
      <w:tr w14:paraId="28A7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809" w:type="dxa"/>
            <w:noWrap/>
            <w:vAlign w:val="center"/>
          </w:tcPr>
          <w:p w14:paraId="39E8F032">
            <w:pPr>
              <w:spacing w:line="360" w:lineRule="auto"/>
              <w:jc w:val="center"/>
              <w:rPr>
                <w:rFonts w:hint="eastAsia" w:ascii="宋体" w:hAnsi="宋体"/>
                <w:b w:val="0"/>
                <w:bCs w:val="0"/>
                <w:sz w:val="24"/>
                <w:szCs w:val="24"/>
                <w:highlight w:val="none"/>
              </w:rPr>
            </w:pPr>
            <w:r>
              <w:rPr>
                <w:rFonts w:hint="eastAsia" w:ascii="宋体" w:hAnsi="宋体"/>
                <w:b w:val="0"/>
                <w:bCs w:val="0"/>
                <w:sz w:val="24"/>
                <w:szCs w:val="24"/>
                <w:highlight w:val="none"/>
              </w:rPr>
              <w:t>序号</w:t>
            </w:r>
          </w:p>
        </w:tc>
        <w:tc>
          <w:tcPr>
            <w:tcW w:w="1644" w:type="dxa"/>
            <w:noWrap/>
            <w:vAlign w:val="center"/>
          </w:tcPr>
          <w:p w14:paraId="750E9D21">
            <w:pPr>
              <w:spacing w:line="360" w:lineRule="auto"/>
              <w:jc w:val="center"/>
              <w:rPr>
                <w:rFonts w:hint="eastAsia" w:ascii="宋体" w:hAnsi="宋体"/>
                <w:b w:val="0"/>
                <w:bCs w:val="0"/>
                <w:sz w:val="24"/>
                <w:szCs w:val="24"/>
                <w:highlight w:val="none"/>
              </w:rPr>
            </w:pPr>
            <w:r>
              <w:rPr>
                <w:rFonts w:hint="eastAsia" w:ascii="宋体" w:hAnsi="宋体"/>
                <w:b w:val="0"/>
                <w:bCs w:val="0"/>
                <w:sz w:val="24"/>
                <w:szCs w:val="24"/>
                <w:highlight w:val="none"/>
              </w:rPr>
              <w:t>项目名称</w:t>
            </w:r>
          </w:p>
        </w:tc>
        <w:tc>
          <w:tcPr>
            <w:tcW w:w="2361" w:type="dxa"/>
            <w:noWrap/>
            <w:vAlign w:val="center"/>
          </w:tcPr>
          <w:p w14:paraId="47E636D6">
            <w:pPr>
              <w:spacing w:line="360" w:lineRule="auto"/>
              <w:jc w:val="center"/>
              <w:rPr>
                <w:rFonts w:hint="eastAsia" w:ascii="宋体" w:hAnsi="宋体"/>
                <w:b w:val="0"/>
                <w:bCs w:val="0"/>
                <w:sz w:val="24"/>
                <w:szCs w:val="24"/>
                <w:highlight w:val="none"/>
              </w:rPr>
            </w:pPr>
            <w:r>
              <w:rPr>
                <w:rFonts w:hint="eastAsia" w:ascii="宋体" w:hAnsi="宋体"/>
                <w:b w:val="0"/>
                <w:bCs w:val="0"/>
                <w:sz w:val="24"/>
                <w:szCs w:val="24"/>
                <w:highlight w:val="none"/>
              </w:rPr>
              <w:t>采购单位名称</w:t>
            </w:r>
          </w:p>
        </w:tc>
        <w:tc>
          <w:tcPr>
            <w:tcW w:w="1905" w:type="dxa"/>
            <w:noWrap/>
            <w:vAlign w:val="center"/>
          </w:tcPr>
          <w:p w14:paraId="66D6F686">
            <w:pPr>
              <w:spacing w:line="360" w:lineRule="auto"/>
              <w:jc w:val="center"/>
              <w:rPr>
                <w:rFonts w:hint="eastAsia" w:ascii="宋体" w:hAnsi="宋体"/>
                <w:b w:val="0"/>
                <w:bCs w:val="0"/>
                <w:sz w:val="24"/>
                <w:szCs w:val="24"/>
                <w:highlight w:val="none"/>
              </w:rPr>
            </w:pPr>
            <w:r>
              <w:rPr>
                <w:rFonts w:hint="eastAsia" w:ascii="宋体" w:hAnsi="宋体"/>
                <w:b w:val="0"/>
                <w:bCs w:val="0"/>
                <w:sz w:val="24"/>
                <w:szCs w:val="24"/>
                <w:highlight w:val="none"/>
              </w:rPr>
              <w:t>合同金额（元）</w:t>
            </w:r>
          </w:p>
        </w:tc>
        <w:tc>
          <w:tcPr>
            <w:tcW w:w="1903" w:type="dxa"/>
            <w:noWrap/>
            <w:vAlign w:val="center"/>
          </w:tcPr>
          <w:p w14:paraId="19A8A272">
            <w:pPr>
              <w:spacing w:line="360" w:lineRule="auto"/>
              <w:jc w:val="center"/>
              <w:rPr>
                <w:rFonts w:hint="eastAsia" w:ascii="宋体" w:hAnsi="宋体"/>
                <w:b w:val="0"/>
                <w:bCs w:val="0"/>
                <w:sz w:val="24"/>
                <w:szCs w:val="24"/>
                <w:highlight w:val="none"/>
              </w:rPr>
            </w:pPr>
            <w:r>
              <w:rPr>
                <w:rFonts w:hint="eastAsia" w:ascii="宋体" w:hAnsi="宋体"/>
                <w:b w:val="0"/>
                <w:bCs w:val="0"/>
                <w:sz w:val="24"/>
                <w:szCs w:val="24"/>
                <w:highlight w:val="none"/>
              </w:rPr>
              <w:t>合同签订时间</w:t>
            </w:r>
          </w:p>
        </w:tc>
      </w:tr>
      <w:tr w14:paraId="4BDE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809" w:type="dxa"/>
            <w:noWrap/>
            <w:vAlign w:val="center"/>
          </w:tcPr>
          <w:p w14:paraId="3CDA7283">
            <w:pPr>
              <w:spacing w:line="360" w:lineRule="auto"/>
              <w:jc w:val="center"/>
              <w:rPr>
                <w:rFonts w:hint="eastAsia" w:ascii="宋体" w:hAnsi="宋体"/>
                <w:b/>
                <w:bCs/>
                <w:highlight w:val="none"/>
              </w:rPr>
            </w:pPr>
          </w:p>
        </w:tc>
        <w:tc>
          <w:tcPr>
            <w:tcW w:w="1644" w:type="dxa"/>
            <w:noWrap/>
            <w:vAlign w:val="center"/>
          </w:tcPr>
          <w:p w14:paraId="2367E68E">
            <w:pPr>
              <w:spacing w:line="360" w:lineRule="auto"/>
              <w:jc w:val="center"/>
              <w:rPr>
                <w:rFonts w:hint="eastAsia" w:ascii="宋体" w:hAnsi="宋体"/>
                <w:bCs/>
                <w:highlight w:val="none"/>
              </w:rPr>
            </w:pPr>
          </w:p>
        </w:tc>
        <w:tc>
          <w:tcPr>
            <w:tcW w:w="2361" w:type="dxa"/>
            <w:noWrap/>
            <w:vAlign w:val="center"/>
          </w:tcPr>
          <w:p w14:paraId="6DA27E09">
            <w:pPr>
              <w:spacing w:line="360" w:lineRule="auto"/>
              <w:jc w:val="center"/>
              <w:rPr>
                <w:rFonts w:hint="eastAsia" w:ascii="宋体" w:hAnsi="宋体"/>
                <w:b/>
                <w:bCs/>
                <w:highlight w:val="none"/>
              </w:rPr>
            </w:pPr>
          </w:p>
        </w:tc>
        <w:tc>
          <w:tcPr>
            <w:tcW w:w="1905" w:type="dxa"/>
            <w:noWrap/>
            <w:vAlign w:val="center"/>
          </w:tcPr>
          <w:p w14:paraId="0C30F326">
            <w:pPr>
              <w:spacing w:line="360" w:lineRule="auto"/>
              <w:jc w:val="center"/>
              <w:rPr>
                <w:rFonts w:hint="eastAsia" w:ascii="宋体" w:hAnsi="宋体"/>
                <w:b/>
                <w:bCs/>
                <w:highlight w:val="none"/>
              </w:rPr>
            </w:pPr>
          </w:p>
        </w:tc>
        <w:tc>
          <w:tcPr>
            <w:tcW w:w="1903" w:type="dxa"/>
            <w:noWrap/>
            <w:vAlign w:val="center"/>
          </w:tcPr>
          <w:p w14:paraId="1FCCEA32">
            <w:pPr>
              <w:spacing w:line="360" w:lineRule="auto"/>
              <w:jc w:val="center"/>
              <w:rPr>
                <w:rFonts w:hint="eastAsia" w:ascii="宋体" w:hAnsi="宋体"/>
                <w:b/>
                <w:bCs/>
                <w:highlight w:val="none"/>
              </w:rPr>
            </w:pPr>
          </w:p>
        </w:tc>
      </w:tr>
      <w:tr w14:paraId="7825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809" w:type="dxa"/>
            <w:noWrap/>
            <w:vAlign w:val="center"/>
          </w:tcPr>
          <w:p w14:paraId="2EFADD6B">
            <w:pPr>
              <w:spacing w:line="360" w:lineRule="auto"/>
              <w:jc w:val="center"/>
              <w:rPr>
                <w:rFonts w:hint="eastAsia" w:ascii="宋体" w:hAnsi="宋体"/>
                <w:b/>
                <w:bCs/>
                <w:highlight w:val="none"/>
              </w:rPr>
            </w:pPr>
          </w:p>
        </w:tc>
        <w:tc>
          <w:tcPr>
            <w:tcW w:w="1644" w:type="dxa"/>
            <w:noWrap/>
            <w:vAlign w:val="center"/>
          </w:tcPr>
          <w:p w14:paraId="690D0CEA">
            <w:pPr>
              <w:spacing w:line="360" w:lineRule="auto"/>
              <w:jc w:val="center"/>
              <w:rPr>
                <w:rFonts w:hint="eastAsia" w:ascii="宋体" w:hAnsi="宋体"/>
                <w:b/>
                <w:bCs/>
                <w:highlight w:val="none"/>
              </w:rPr>
            </w:pPr>
          </w:p>
        </w:tc>
        <w:tc>
          <w:tcPr>
            <w:tcW w:w="2361" w:type="dxa"/>
            <w:noWrap/>
            <w:vAlign w:val="center"/>
          </w:tcPr>
          <w:p w14:paraId="6E3173A0">
            <w:pPr>
              <w:spacing w:line="360" w:lineRule="auto"/>
              <w:jc w:val="center"/>
              <w:rPr>
                <w:rFonts w:hint="eastAsia" w:ascii="宋体" w:hAnsi="宋体"/>
                <w:b/>
                <w:bCs/>
                <w:highlight w:val="none"/>
              </w:rPr>
            </w:pPr>
          </w:p>
        </w:tc>
        <w:tc>
          <w:tcPr>
            <w:tcW w:w="1905" w:type="dxa"/>
            <w:noWrap/>
            <w:vAlign w:val="center"/>
          </w:tcPr>
          <w:p w14:paraId="075A2DE4">
            <w:pPr>
              <w:spacing w:line="360" w:lineRule="auto"/>
              <w:jc w:val="center"/>
              <w:rPr>
                <w:rFonts w:hint="eastAsia" w:ascii="宋体" w:hAnsi="宋体"/>
                <w:b/>
                <w:bCs/>
                <w:highlight w:val="none"/>
              </w:rPr>
            </w:pPr>
          </w:p>
        </w:tc>
        <w:tc>
          <w:tcPr>
            <w:tcW w:w="1903" w:type="dxa"/>
            <w:noWrap/>
            <w:vAlign w:val="center"/>
          </w:tcPr>
          <w:p w14:paraId="564AF493">
            <w:pPr>
              <w:spacing w:line="360" w:lineRule="auto"/>
              <w:jc w:val="center"/>
              <w:rPr>
                <w:rFonts w:hint="eastAsia" w:ascii="宋体" w:hAnsi="宋体"/>
                <w:b/>
                <w:bCs/>
                <w:highlight w:val="none"/>
              </w:rPr>
            </w:pPr>
          </w:p>
        </w:tc>
      </w:tr>
      <w:tr w14:paraId="175A0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09" w:type="dxa"/>
            <w:noWrap/>
            <w:vAlign w:val="center"/>
          </w:tcPr>
          <w:p w14:paraId="1C153C89">
            <w:pPr>
              <w:spacing w:line="360" w:lineRule="auto"/>
              <w:jc w:val="center"/>
              <w:rPr>
                <w:rFonts w:hint="eastAsia" w:ascii="宋体" w:hAnsi="宋体"/>
                <w:b/>
                <w:bCs/>
                <w:highlight w:val="none"/>
              </w:rPr>
            </w:pPr>
          </w:p>
        </w:tc>
        <w:tc>
          <w:tcPr>
            <w:tcW w:w="1644" w:type="dxa"/>
            <w:noWrap/>
            <w:vAlign w:val="center"/>
          </w:tcPr>
          <w:p w14:paraId="75C01388">
            <w:pPr>
              <w:spacing w:line="360" w:lineRule="auto"/>
              <w:jc w:val="center"/>
              <w:rPr>
                <w:rFonts w:hint="eastAsia" w:ascii="宋体" w:hAnsi="宋体"/>
                <w:b/>
                <w:bCs/>
                <w:highlight w:val="none"/>
              </w:rPr>
            </w:pPr>
          </w:p>
        </w:tc>
        <w:tc>
          <w:tcPr>
            <w:tcW w:w="2361" w:type="dxa"/>
            <w:noWrap/>
            <w:vAlign w:val="center"/>
          </w:tcPr>
          <w:p w14:paraId="0FFB5E6E">
            <w:pPr>
              <w:spacing w:line="360" w:lineRule="auto"/>
              <w:jc w:val="center"/>
              <w:rPr>
                <w:rFonts w:hint="eastAsia" w:ascii="宋体" w:hAnsi="宋体"/>
                <w:b/>
                <w:bCs/>
                <w:highlight w:val="none"/>
              </w:rPr>
            </w:pPr>
          </w:p>
        </w:tc>
        <w:tc>
          <w:tcPr>
            <w:tcW w:w="1905" w:type="dxa"/>
            <w:noWrap/>
            <w:vAlign w:val="center"/>
          </w:tcPr>
          <w:p w14:paraId="224483C7">
            <w:pPr>
              <w:spacing w:line="360" w:lineRule="auto"/>
              <w:jc w:val="center"/>
              <w:rPr>
                <w:rFonts w:hint="eastAsia" w:ascii="宋体" w:hAnsi="宋体"/>
                <w:b/>
                <w:bCs/>
                <w:highlight w:val="none"/>
              </w:rPr>
            </w:pPr>
          </w:p>
        </w:tc>
        <w:tc>
          <w:tcPr>
            <w:tcW w:w="1903" w:type="dxa"/>
            <w:noWrap/>
            <w:vAlign w:val="center"/>
          </w:tcPr>
          <w:p w14:paraId="5B1A6583">
            <w:pPr>
              <w:spacing w:line="360" w:lineRule="auto"/>
              <w:jc w:val="center"/>
              <w:rPr>
                <w:rFonts w:hint="eastAsia" w:ascii="宋体" w:hAnsi="宋体"/>
                <w:b/>
                <w:bCs/>
                <w:highlight w:val="none"/>
              </w:rPr>
            </w:pPr>
          </w:p>
        </w:tc>
      </w:tr>
      <w:tr w14:paraId="63C1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809" w:type="dxa"/>
            <w:noWrap/>
            <w:vAlign w:val="center"/>
          </w:tcPr>
          <w:p w14:paraId="134DE148">
            <w:pPr>
              <w:spacing w:line="360" w:lineRule="auto"/>
              <w:jc w:val="center"/>
              <w:rPr>
                <w:rFonts w:hint="eastAsia" w:ascii="宋体" w:hAnsi="宋体"/>
                <w:b/>
                <w:bCs/>
                <w:highlight w:val="none"/>
              </w:rPr>
            </w:pPr>
          </w:p>
        </w:tc>
        <w:tc>
          <w:tcPr>
            <w:tcW w:w="1644" w:type="dxa"/>
            <w:noWrap/>
            <w:vAlign w:val="center"/>
          </w:tcPr>
          <w:p w14:paraId="2DC84D71">
            <w:pPr>
              <w:spacing w:line="360" w:lineRule="auto"/>
              <w:jc w:val="center"/>
              <w:rPr>
                <w:rFonts w:hint="eastAsia" w:ascii="宋体" w:hAnsi="宋体"/>
                <w:b/>
                <w:bCs/>
                <w:highlight w:val="none"/>
              </w:rPr>
            </w:pPr>
          </w:p>
        </w:tc>
        <w:tc>
          <w:tcPr>
            <w:tcW w:w="2361" w:type="dxa"/>
            <w:noWrap/>
            <w:vAlign w:val="center"/>
          </w:tcPr>
          <w:p w14:paraId="65568492">
            <w:pPr>
              <w:spacing w:line="360" w:lineRule="auto"/>
              <w:jc w:val="center"/>
              <w:rPr>
                <w:rFonts w:hint="eastAsia" w:ascii="宋体" w:hAnsi="宋体"/>
                <w:b/>
                <w:bCs/>
                <w:highlight w:val="none"/>
              </w:rPr>
            </w:pPr>
          </w:p>
        </w:tc>
        <w:tc>
          <w:tcPr>
            <w:tcW w:w="1905" w:type="dxa"/>
            <w:noWrap/>
            <w:vAlign w:val="center"/>
          </w:tcPr>
          <w:p w14:paraId="40D38665">
            <w:pPr>
              <w:spacing w:line="360" w:lineRule="auto"/>
              <w:jc w:val="center"/>
              <w:rPr>
                <w:rFonts w:hint="eastAsia" w:ascii="宋体" w:hAnsi="宋体"/>
                <w:b/>
                <w:bCs/>
                <w:highlight w:val="none"/>
              </w:rPr>
            </w:pPr>
          </w:p>
        </w:tc>
        <w:tc>
          <w:tcPr>
            <w:tcW w:w="1903" w:type="dxa"/>
            <w:noWrap/>
            <w:vAlign w:val="center"/>
          </w:tcPr>
          <w:p w14:paraId="4F9CC87B">
            <w:pPr>
              <w:spacing w:line="360" w:lineRule="auto"/>
              <w:jc w:val="center"/>
              <w:rPr>
                <w:rFonts w:hint="eastAsia" w:ascii="宋体" w:hAnsi="宋体"/>
                <w:b/>
                <w:bCs/>
                <w:highlight w:val="none"/>
              </w:rPr>
            </w:pPr>
          </w:p>
        </w:tc>
      </w:tr>
      <w:tr w14:paraId="12F3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09" w:type="dxa"/>
            <w:noWrap/>
            <w:vAlign w:val="center"/>
          </w:tcPr>
          <w:p w14:paraId="40F361D3">
            <w:pPr>
              <w:spacing w:line="360" w:lineRule="auto"/>
              <w:jc w:val="center"/>
              <w:rPr>
                <w:rFonts w:hint="eastAsia" w:ascii="宋体" w:hAnsi="宋体"/>
                <w:b/>
                <w:bCs/>
                <w:highlight w:val="none"/>
              </w:rPr>
            </w:pPr>
          </w:p>
        </w:tc>
        <w:tc>
          <w:tcPr>
            <w:tcW w:w="1644" w:type="dxa"/>
            <w:noWrap/>
            <w:vAlign w:val="center"/>
          </w:tcPr>
          <w:p w14:paraId="53FCAD66">
            <w:pPr>
              <w:spacing w:line="360" w:lineRule="auto"/>
              <w:jc w:val="center"/>
              <w:rPr>
                <w:rFonts w:hint="eastAsia" w:ascii="宋体" w:hAnsi="宋体"/>
                <w:b/>
                <w:bCs/>
                <w:highlight w:val="none"/>
              </w:rPr>
            </w:pPr>
          </w:p>
        </w:tc>
        <w:tc>
          <w:tcPr>
            <w:tcW w:w="2361" w:type="dxa"/>
            <w:noWrap/>
            <w:vAlign w:val="center"/>
          </w:tcPr>
          <w:p w14:paraId="518F50B6">
            <w:pPr>
              <w:spacing w:line="360" w:lineRule="auto"/>
              <w:jc w:val="center"/>
              <w:rPr>
                <w:rFonts w:hint="eastAsia" w:ascii="宋体" w:hAnsi="宋体"/>
                <w:b/>
                <w:bCs/>
                <w:highlight w:val="none"/>
              </w:rPr>
            </w:pPr>
          </w:p>
        </w:tc>
        <w:tc>
          <w:tcPr>
            <w:tcW w:w="1905" w:type="dxa"/>
            <w:noWrap/>
            <w:vAlign w:val="center"/>
          </w:tcPr>
          <w:p w14:paraId="7F827758">
            <w:pPr>
              <w:spacing w:line="360" w:lineRule="auto"/>
              <w:jc w:val="center"/>
              <w:rPr>
                <w:rFonts w:hint="eastAsia" w:ascii="宋体" w:hAnsi="宋体"/>
                <w:b/>
                <w:bCs/>
                <w:highlight w:val="none"/>
              </w:rPr>
            </w:pPr>
          </w:p>
        </w:tc>
        <w:tc>
          <w:tcPr>
            <w:tcW w:w="1903" w:type="dxa"/>
            <w:noWrap/>
            <w:vAlign w:val="center"/>
          </w:tcPr>
          <w:p w14:paraId="070F0B79">
            <w:pPr>
              <w:spacing w:line="360" w:lineRule="auto"/>
              <w:jc w:val="center"/>
              <w:rPr>
                <w:rFonts w:hint="eastAsia" w:ascii="宋体" w:hAnsi="宋体"/>
                <w:b/>
                <w:bCs/>
                <w:highlight w:val="none"/>
              </w:rPr>
            </w:pPr>
          </w:p>
        </w:tc>
      </w:tr>
      <w:tr w14:paraId="620E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6E18B84A">
            <w:pPr>
              <w:spacing w:line="360" w:lineRule="auto"/>
              <w:jc w:val="center"/>
              <w:rPr>
                <w:rFonts w:hint="eastAsia" w:ascii="宋体" w:hAnsi="宋体"/>
                <w:b/>
                <w:bCs/>
                <w:highlight w:val="none"/>
              </w:rPr>
            </w:pPr>
          </w:p>
        </w:tc>
        <w:tc>
          <w:tcPr>
            <w:tcW w:w="1644" w:type="dxa"/>
            <w:noWrap/>
            <w:vAlign w:val="center"/>
          </w:tcPr>
          <w:p w14:paraId="4562CEA4">
            <w:pPr>
              <w:spacing w:line="360" w:lineRule="auto"/>
              <w:jc w:val="center"/>
              <w:rPr>
                <w:rFonts w:hint="eastAsia" w:ascii="宋体" w:hAnsi="宋体"/>
                <w:bCs/>
                <w:highlight w:val="none"/>
              </w:rPr>
            </w:pPr>
          </w:p>
        </w:tc>
        <w:tc>
          <w:tcPr>
            <w:tcW w:w="2361" w:type="dxa"/>
            <w:noWrap/>
            <w:vAlign w:val="center"/>
          </w:tcPr>
          <w:p w14:paraId="629D7307">
            <w:pPr>
              <w:spacing w:line="360" w:lineRule="auto"/>
              <w:jc w:val="center"/>
              <w:rPr>
                <w:rFonts w:hint="eastAsia" w:ascii="宋体" w:hAnsi="宋体"/>
                <w:b/>
                <w:bCs/>
                <w:highlight w:val="none"/>
              </w:rPr>
            </w:pPr>
          </w:p>
        </w:tc>
        <w:tc>
          <w:tcPr>
            <w:tcW w:w="1905" w:type="dxa"/>
            <w:noWrap/>
            <w:vAlign w:val="center"/>
          </w:tcPr>
          <w:p w14:paraId="31BD478E">
            <w:pPr>
              <w:spacing w:line="360" w:lineRule="auto"/>
              <w:jc w:val="center"/>
              <w:rPr>
                <w:rFonts w:hint="eastAsia" w:ascii="宋体" w:hAnsi="宋体"/>
                <w:b/>
                <w:bCs/>
                <w:highlight w:val="none"/>
              </w:rPr>
            </w:pPr>
          </w:p>
        </w:tc>
        <w:tc>
          <w:tcPr>
            <w:tcW w:w="1903" w:type="dxa"/>
            <w:noWrap/>
            <w:vAlign w:val="center"/>
          </w:tcPr>
          <w:p w14:paraId="1E659855">
            <w:pPr>
              <w:spacing w:line="360" w:lineRule="auto"/>
              <w:jc w:val="center"/>
              <w:rPr>
                <w:rFonts w:hint="eastAsia" w:ascii="宋体" w:hAnsi="宋体"/>
                <w:b/>
                <w:bCs/>
                <w:highlight w:val="none"/>
              </w:rPr>
            </w:pPr>
          </w:p>
        </w:tc>
      </w:tr>
      <w:tr w14:paraId="6C15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687D0DE3">
            <w:pPr>
              <w:spacing w:line="360" w:lineRule="auto"/>
              <w:jc w:val="center"/>
              <w:rPr>
                <w:rFonts w:hint="eastAsia" w:ascii="宋体" w:hAnsi="宋体"/>
                <w:b/>
                <w:bCs/>
                <w:highlight w:val="none"/>
              </w:rPr>
            </w:pPr>
          </w:p>
        </w:tc>
        <w:tc>
          <w:tcPr>
            <w:tcW w:w="1644" w:type="dxa"/>
            <w:noWrap/>
            <w:vAlign w:val="center"/>
          </w:tcPr>
          <w:p w14:paraId="208AA6F7">
            <w:pPr>
              <w:spacing w:line="360" w:lineRule="auto"/>
              <w:jc w:val="center"/>
              <w:rPr>
                <w:rFonts w:hint="eastAsia" w:ascii="宋体" w:hAnsi="宋体"/>
                <w:bCs/>
                <w:highlight w:val="none"/>
              </w:rPr>
            </w:pPr>
          </w:p>
        </w:tc>
        <w:tc>
          <w:tcPr>
            <w:tcW w:w="2361" w:type="dxa"/>
            <w:noWrap/>
            <w:vAlign w:val="center"/>
          </w:tcPr>
          <w:p w14:paraId="3E6A2280">
            <w:pPr>
              <w:spacing w:line="360" w:lineRule="auto"/>
              <w:jc w:val="center"/>
              <w:rPr>
                <w:rFonts w:hint="eastAsia" w:ascii="宋体" w:hAnsi="宋体"/>
                <w:b/>
                <w:bCs/>
                <w:highlight w:val="none"/>
              </w:rPr>
            </w:pPr>
          </w:p>
        </w:tc>
        <w:tc>
          <w:tcPr>
            <w:tcW w:w="1905" w:type="dxa"/>
            <w:noWrap/>
            <w:vAlign w:val="center"/>
          </w:tcPr>
          <w:p w14:paraId="2B5003FC">
            <w:pPr>
              <w:spacing w:line="360" w:lineRule="auto"/>
              <w:jc w:val="center"/>
              <w:rPr>
                <w:rFonts w:hint="eastAsia" w:ascii="宋体" w:hAnsi="宋体"/>
                <w:b/>
                <w:bCs/>
                <w:highlight w:val="none"/>
              </w:rPr>
            </w:pPr>
          </w:p>
        </w:tc>
        <w:tc>
          <w:tcPr>
            <w:tcW w:w="1903" w:type="dxa"/>
            <w:noWrap/>
            <w:vAlign w:val="center"/>
          </w:tcPr>
          <w:p w14:paraId="579C37B1">
            <w:pPr>
              <w:spacing w:line="360" w:lineRule="auto"/>
              <w:jc w:val="center"/>
              <w:rPr>
                <w:rFonts w:hint="eastAsia" w:ascii="宋体" w:hAnsi="宋体"/>
                <w:b/>
                <w:bCs/>
                <w:highlight w:val="none"/>
              </w:rPr>
            </w:pPr>
          </w:p>
        </w:tc>
      </w:tr>
      <w:tr w14:paraId="5BEC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76387D87">
            <w:pPr>
              <w:spacing w:line="360" w:lineRule="auto"/>
              <w:jc w:val="center"/>
              <w:rPr>
                <w:rFonts w:hint="eastAsia" w:ascii="宋体" w:hAnsi="宋体"/>
                <w:b/>
                <w:bCs/>
                <w:highlight w:val="none"/>
              </w:rPr>
            </w:pPr>
          </w:p>
        </w:tc>
        <w:tc>
          <w:tcPr>
            <w:tcW w:w="1644" w:type="dxa"/>
            <w:noWrap/>
            <w:vAlign w:val="center"/>
          </w:tcPr>
          <w:p w14:paraId="70349E53">
            <w:pPr>
              <w:spacing w:line="360" w:lineRule="auto"/>
              <w:jc w:val="center"/>
              <w:rPr>
                <w:rFonts w:hint="eastAsia" w:ascii="宋体" w:hAnsi="宋体"/>
                <w:bCs/>
                <w:highlight w:val="none"/>
              </w:rPr>
            </w:pPr>
          </w:p>
        </w:tc>
        <w:tc>
          <w:tcPr>
            <w:tcW w:w="2361" w:type="dxa"/>
            <w:noWrap/>
            <w:vAlign w:val="center"/>
          </w:tcPr>
          <w:p w14:paraId="5B67B2DF">
            <w:pPr>
              <w:spacing w:line="360" w:lineRule="auto"/>
              <w:jc w:val="center"/>
              <w:rPr>
                <w:rFonts w:hint="eastAsia" w:ascii="宋体" w:hAnsi="宋体"/>
                <w:b/>
                <w:bCs/>
                <w:highlight w:val="none"/>
              </w:rPr>
            </w:pPr>
          </w:p>
        </w:tc>
        <w:tc>
          <w:tcPr>
            <w:tcW w:w="1905" w:type="dxa"/>
            <w:noWrap/>
            <w:vAlign w:val="center"/>
          </w:tcPr>
          <w:p w14:paraId="10476773">
            <w:pPr>
              <w:spacing w:line="360" w:lineRule="auto"/>
              <w:jc w:val="center"/>
              <w:rPr>
                <w:rFonts w:hint="eastAsia" w:ascii="宋体" w:hAnsi="宋体"/>
                <w:b/>
                <w:bCs/>
                <w:highlight w:val="none"/>
              </w:rPr>
            </w:pPr>
          </w:p>
        </w:tc>
        <w:tc>
          <w:tcPr>
            <w:tcW w:w="1903" w:type="dxa"/>
            <w:noWrap/>
            <w:vAlign w:val="center"/>
          </w:tcPr>
          <w:p w14:paraId="737AD3AF">
            <w:pPr>
              <w:spacing w:line="360" w:lineRule="auto"/>
              <w:jc w:val="center"/>
              <w:rPr>
                <w:rFonts w:hint="eastAsia" w:ascii="宋体" w:hAnsi="宋体"/>
                <w:b/>
                <w:bCs/>
                <w:highlight w:val="none"/>
              </w:rPr>
            </w:pPr>
          </w:p>
        </w:tc>
      </w:tr>
      <w:tr w14:paraId="1F99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1EBB90CA">
            <w:pPr>
              <w:spacing w:line="360" w:lineRule="auto"/>
              <w:jc w:val="center"/>
              <w:rPr>
                <w:rFonts w:hint="eastAsia" w:ascii="宋体" w:hAnsi="宋体"/>
                <w:b/>
                <w:bCs/>
                <w:highlight w:val="none"/>
              </w:rPr>
            </w:pPr>
          </w:p>
        </w:tc>
        <w:tc>
          <w:tcPr>
            <w:tcW w:w="1644" w:type="dxa"/>
            <w:noWrap/>
            <w:vAlign w:val="center"/>
          </w:tcPr>
          <w:p w14:paraId="1CAE523A">
            <w:pPr>
              <w:spacing w:line="360" w:lineRule="auto"/>
              <w:jc w:val="center"/>
              <w:rPr>
                <w:rFonts w:hint="eastAsia" w:ascii="宋体" w:hAnsi="宋体"/>
                <w:bCs/>
                <w:highlight w:val="none"/>
              </w:rPr>
            </w:pPr>
          </w:p>
        </w:tc>
        <w:tc>
          <w:tcPr>
            <w:tcW w:w="2361" w:type="dxa"/>
            <w:noWrap/>
            <w:vAlign w:val="center"/>
          </w:tcPr>
          <w:p w14:paraId="0FF7776F">
            <w:pPr>
              <w:spacing w:line="360" w:lineRule="auto"/>
              <w:jc w:val="center"/>
              <w:rPr>
                <w:rFonts w:hint="eastAsia" w:ascii="宋体" w:hAnsi="宋体"/>
                <w:b/>
                <w:bCs/>
                <w:highlight w:val="none"/>
              </w:rPr>
            </w:pPr>
          </w:p>
        </w:tc>
        <w:tc>
          <w:tcPr>
            <w:tcW w:w="1905" w:type="dxa"/>
            <w:noWrap/>
            <w:vAlign w:val="center"/>
          </w:tcPr>
          <w:p w14:paraId="4D5F7AD7">
            <w:pPr>
              <w:spacing w:line="360" w:lineRule="auto"/>
              <w:jc w:val="center"/>
              <w:rPr>
                <w:rFonts w:hint="eastAsia" w:ascii="宋体" w:hAnsi="宋体"/>
                <w:b/>
                <w:bCs/>
                <w:highlight w:val="none"/>
              </w:rPr>
            </w:pPr>
          </w:p>
        </w:tc>
        <w:tc>
          <w:tcPr>
            <w:tcW w:w="1903" w:type="dxa"/>
            <w:noWrap/>
            <w:vAlign w:val="center"/>
          </w:tcPr>
          <w:p w14:paraId="32670249">
            <w:pPr>
              <w:spacing w:line="360" w:lineRule="auto"/>
              <w:jc w:val="center"/>
              <w:rPr>
                <w:rFonts w:hint="eastAsia" w:ascii="宋体" w:hAnsi="宋体"/>
                <w:b/>
                <w:bCs/>
                <w:highlight w:val="none"/>
              </w:rPr>
            </w:pPr>
          </w:p>
        </w:tc>
      </w:tr>
      <w:tr w14:paraId="0C46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39FA76D7">
            <w:pPr>
              <w:spacing w:line="360" w:lineRule="auto"/>
              <w:jc w:val="center"/>
              <w:rPr>
                <w:rFonts w:hint="eastAsia" w:ascii="宋体" w:hAnsi="宋体"/>
                <w:b/>
                <w:bCs/>
                <w:highlight w:val="none"/>
              </w:rPr>
            </w:pPr>
          </w:p>
        </w:tc>
        <w:tc>
          <w:tcPr>
            <w:tcW w:w="1644" w:type="dxa"/>
            <w:noWrap/>
            <w:vAlign w:val="center"/>
          </w:tcPr>
          <w:p w14:paraId="58ADE3F4">
            <w:pPr>
              <w:spacing w:line="360" w:lineRule="auto"/>
              <w:jc w:val="center"/>
              <w:rPr>
                <w:rFonts w:hint="eastAsia" w:ascii="宋体" w:hAnsi="宋体"/>
                <w:bCs/>
                <w:highlight w:val="none"/>
              </w:rPr>
            </w:pPr>
          </w:p>
        </w:tc>
        <w:tc>
          <w:tcPr>
            <w:tcW w:w="2361" w:type="dxa"/>
            <w:noWrap/>
            <w:vAlign w:val="center"/>
          </w:tcPr>
          <w:p w14:paraId="0498F63C">
            <w:pPr>
              <w:spacing w:line="360" w:lineRule="auto"/>
              <w:jc w:val="center"/>
              <w:rPr>
                <w:rFonts w:hint="eastAsia" w:ascii="宋体" w:hAnsi="宋体"/>
                <w:b/>
                <w:bCs/>
                <w:highlight w:val="none"/>
              </w:rPr>
            </w:pPr>
          </w:p>
        </w:tc>
        <w:tc>
          <w:tcPr>
            <w:tcW w:w="1905" w:type="dxa"/>
            <w:noWrap/>
            <w:vAlign w:val="center"/>
          </w:tcPr>
          <w:p w14:paraId="21E692FF">
            <w:pPr>
              <w:spacing w:line="360" w:lineRule="auto"/>
              <w:jc w:val="center"/>
              <w:rPr>
                <w:rFonts w:hint="eastAsia" w:ascii="宋体" w:hAnsi="宋体"/>
                <w:b/>
                <w:bCs/>
                <w:highlight w:val="none"/>
              </w:rPr>
            </w:pPr>
          </w:p>
        </w:tc>
        <w:tc>
          <w:tcPr>
            <w:tcW w:w="1903" w:type="dxa"/>
            <w:noWrap/>
            <w:vAlign w:val="center"/>
          </w:tcPr>
          <w:p w14:paraId="03EF7FF0">
            <w:pPr>
              <w:spacing w:line="360" w:lineRule="auto"/>
              <w:jc w:val="center"/>
              <w:rPr>
                <w:rFonts w:hint="eastAsia" w:ascii="宋体" w:hAnsi="宋体"/>
                <w:b/>
                <w:bCs/>
                <w:highlight w:val="none"/>
              </w:rPr>
            </w:pPr>
          </w:p>
        </w:tc>
      </w:tr>
      <w:tr w14:paraId="701F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809" w:type="dxa"/>
            <w:noWrap/>
            <w:vAlign w:val="center"/>
          </w:tcPr>
          <w:p w14:paraId="73BFF7CD">
            <w:pPr>
              <w:spacing w:line="360" w:lineRule="auto"/>
              <w:jc w:val="center"/>
              <w:rPr>
                <w:rFonts w:hint="eastAsia" w:ascii="宋体" w:hAnsi="宋体"/>
                <w:b/>
                <w:bCs/>
                <w:highlight w:val="none"/>
              </w:rPr>
            </w:pPr>
          </w:p>
        </w:tc>
        <w:tc>
          <w:tcPr>
            <w:tcW w:w="1644" w:type="dxa"/>
            <w:noWrap/>
            <w:vAlign w:val="center"/>
          </w:tcPr>
          <w:p w14:paraId="26925674">
            <w:pPr>
              <w:spacing w:line="360" w:lineRule="auto"/>
              <w:jc w:val="center"/>
              <w:rPr>
                <w:rFonts w:hint="eastAsia" w:ascii="宋体" w:hAnsi="宋体"/>
                <w:bCs/>
                <w:highlight w:val="none"/>
              </w:rPr>
            </w:pPr>
          </w:p>
        </w:tc>
        <w:tc>
          <w:tcPr>
            <w:tcW w:w="2361" w:type="dxa"/>
            <w:noWrap/>
            <w:vAlign w:val="center"/>
          </w:tcPr>
          <w:p w14:paraId="78D3904D">
            <w:pPr>
              <w:spacing w:line="360" w:lineRule="auto"/>
              <w:jc w:val="center"/>
              <w:rPr>
                <w:rFonts w:hint="eastAsia" w:ascii="宋体" w:hAnsi="宋体"/>
                <w:b/>
                <w:bCs/>
                <w:highlight w:val="none"/>
              </w:rPr>
            </w:pPr>
          </w:p>
        </w:tc>
        <w:tc>
          <w:tcPr>
            <w:tcW w:w="1905" w:type="dxa"/>
            <w:noWrap/>
            <w:vAlign w:val="center"/>
          </w:tcPr>
          <w:p w14:paraId="65AB6DAF">
            <w:pPr>
              <w:spacing w:line="360" w:lineRule="auto"/>
              <w:jc w:val="center"/>
              <w:rPr>
                <w:rFonts w:hint="eastAsia" w:ascii="宋体" w:hAnsi="宋体"/>
                <w:b/>
                <w:bCs/>
                <w:highlight w:val="none"/>
              </w:rPr>
            </w:pPr>
          </w:p>
        </w:tc>
        <w:tc>
          <w:tcPr>
            <w:tcW w:w="1903" w:type="dxa"/>
            <w:noWrap/>
            <w:vAlign w:val="center"/>
          </w:tcPr>
          <w:p w14:paraId="15818A97">
            <w:pPr>
              <w:spacing w:line="360" w:lineRule="auto"/>
              <w:jc w:val="center"/>
              <w:rPr>
                <w:rFonts w:hint="eastAsia" w:ascii="宋体" w:hAnsi="宋体"/>
                <w:b/>
                <w:bCs/>
                <w:highlight w:val="none"/>
              </w:rPr>
            </w:pPr>
          </w:p>
        </w:tc>
      </w:tr>
    </w:tbl>
    <w:p w14:paraId="003296C5">
      <w:pPr>
        <w:jc w:val="both"/>
        <w:outlineLvl w:val="1"/>
        <w:rPr>
          <w:rFonts w:hint="eastAsia" w:cs="宋体" w:asciiTheme="minorEastAsia" w:hAnsiTheme="minorEastAsia"/>
          <w:b/>
          <w:color w:val="000000" w:themeColor="text1"/>
          <w:sz w:val="28"/>
          <w:szCs w:val="28"/>
          <w:highlight w:val="none"/>
          <w14:textFill>
            <w14:solidFill>
              <w14:schemeClr w14:val="tx1"/>
            </w14:solidFill>
          </w14:textFill>
        </w:rPr>
      </w:pPr>
    </w:p>
    <w:p w14:paraId="2FCEBC70">
      <w:pPr>
        <w:widowControl w:val="0"/>
        <w:adjustRightInd w:val="0"/>
        <w:snapToGrid w:val="0"/>
        <w:spacing w:line="360" w:lineRule="auto"/>
        <w:ind w:firstLine="480" w:firstLineChars="200"/>
        <w:jc w:val="both"/>
        <w:rPr>
          <w:rFonts w:ascii="Calibri" w:hAnsi="Calibri"/>
          <w:color w:val="000000" w:themeColor="text1"/>
          <w:sz w:val="24"/>
          <w:szCs w:val="28"/>
          <w:highlight w:val="none"/>
          <w14:textFill>
            <w14:solidFill>
              <w14:schemeClr w14:val="tx1"/>
            </w14:solidFill>
          </w14:textFill>
        </w:rPr>
      </w:pPr>
      <w:r>
        <w:rPr>
          <w:rFonts w:hint="eastAsia" w:ascii="Calibri" w:hAnsi="Calibri"/>
          <w:color w:val="000000" w:themeColor="text1"/>
          <w:sz w:val="24"/>
          <w:szCs w:val="28"/>
          <w:highlight w:val="none"/>
          <w14:textFill>
            <w14:solidFill>
              <w14:schemeClr w14:val="tx1"/>
            </w14:solidFill>
          </w14:textFill>
        </w:rPr>
        <w:t>注：</w:t>
      </w:r>
      <w:r>
        <w:rPr>
          <w:rFonts w:hint="eastAsia" w:ascii="宋体" w:hAnsi="宋体" w:cs="宋体"/>
          <w:bCs/>
          <w:kern w:val="2"/>
          <w:sz w:val="24"/>
          <w:szCs w:val="24"/>
          <w:highlight w:val="none"/>
        </w:rPr>
        <w:t>202</w:t>
      </w:r>
      <w:r>
        <w:rPr>
          <w:rFonts w:hint="eastAsia" w:ascii="宋体" w:hAnsi="宋体" w:cs="宋体"/>
          <w:bCs/>
          <w:kern w:val="2"/>
          <w:sz w:val="24"/>
          <w:szCs w:val="24"/>
          <w:highlight w:val="none"/>
          <w:lang w:val="en-US" w:eastAsia="zh-CN"/>
        </w:rPr>
        <w:t>3</w:t>
      </w:r>
      <w:r>
        <w:rPr>
          <w:rFonts w:hint="eastAsia" w:ascii="宋体" w:hAnsi="宋体" w:cs="宋体"/>
          <w:bCs/>
          <w:kern w:val="2"/>
          <w:sz w:val="24"/>
          <w:szCs w:val="24"/>
          <w:highlight w:val="none"/>
        </w:rPr>
        <w:t>年1月1日以来，供应商具有类似项目业绩的</w:t>
      </w:r>
      <w:r>
        <w:rPr>
          <w:rFonts w:hint="eastAsia" w:ascii="宋体" w:hAnsi="宋体" w:cs="宋体"/>
          <w:bCs/>
          <w:kern w:val="2"/>
          <w:sz w:val="24"/>
          <w:szCs w:val="24"/>
          <w:highlight w:val="none"/>
          <w:lang w:eastAsia="zh-CN"/>
        </w:rPr>
        <w:t>（</w:t>
      </w:r>
      <w:r>
        <w:rPr>
          <w:rFonts w:hint="eastAsia" w:ascii="宋体" w:hAnsi="宋体" w:cs="宋体"/>
          <w:bCs/>
          <w:kern w:val="2"/>
          <w:sz w:val="24"/>
          <w:szCs w:val="24"/>
          <w:highlight w:val="none"/>
        </w:rPr>
        <w:t>以合同为准)，须提供合同原件扫描件</w:t>
      </w:r>
      <w:r>
        <w:rPr>
          <w:rFonts w:hint="eastAsia" w:ascii="Calibri" w:hAnsi="Calibri"/>
          <w:color w:val="000000" w:themeColor="text1"/>
          <w:sz w:val="24"/>
          <w:szCs w:val="28"/>
          <w:highlight w:val="none"/>
          <w14:textFill>
            <w14:solidFill>
              <w14:schemeClr w14:val="tx1"/>
            </w14:solidFill>
          </w14:textFill>
        </w:rPr>
        <w:t>。</w:t>
      </w:r>
    </w:p>
    <w:p w14:paraId="291FE95C">
      <w:pPr>
        <w:spacing w:line="460" w:lineRule="atLeast"/>
        <w:jc w:val="center"/>
        <w:rPr>
          <w:rFonts w:hint="eastAsia" w:cs="宋体" w:asciiTheme="minorEastAsia" w:hAnsiTheme="minorEastAsia"/>
          <w:color w:val="000000" w:themeColor="text1"/>
          <w:sz w:val="32"/>
          <w:szCs w:val="32"/>
          <w:highlight w:val="none"/>
          <w14:textFill>
            <w14:solidFill>
              <w14:schemeClr w14:val="tx1"/>
            </w14:solidFill>
          </w14:textFill>
        </w:rPr>
      </w:pPr>
    </w:p>
    <w:p w14:paraId="48483A06">
      <w:pPr>
        <w:jc w:val="center"/>
        <w:outlineLvl w:val="1"/>
        <w:rPr>
          <w:rFonts w:hint="eastAsia" w:cs="宋体" w:asciiTheme="minorEastAsia" w:hAnsiTheme="minorEastAsia"/>
          <w:b/>
          <w:color w:val="000000" w:themeColor="text1"/>
          <w:sz w:val="28"/>
          <w:szCs w:val="28"/>
          <w:highlight w:val="none"/>
          <w14:textFill>
            <w14:solidFill>
              <w14:schemeClr w14:val="tx1"/>
            </w14:solidFill>
          </w14:textFill>
        </w:rPr>
      </w:pPr>
      <w:r>
        <w:rPr>
          <w:rFonts w:cs="宋体" w:asciiTheme="minorEastAsia" w:hAnsiTheme="minorEastAsia"/>
          <w:color w:val="000000" w:themeColor="text1"/>
          <w:sz w:val="28"/>
          <w:szCs w:val="28"/>
          <w:highlight w:val="none"/>
          <w14:textFill>
            <w14:solidFill>
              <w14:schemeClr w14:val="tx1"/>
            </w14:solidFill>
          </w14:textFill>
        </w:rPr>
        <w:br w:type="page"/>
      </w:r>
      <w:bookmarkStart w:id="131" w:name="_Toc29071"/>
      <w:bookmarkStart w:id="132" w:name="_Toc392"/>
      <w:bookmarkStart w:id="133" w:name="_Toc20950"/>
      <w:bookmarkStart w:id="134" w:name="_Toc50564919"/>
      <w:r>
        <w:rPr>
          <w:rFonts w:hint="eastAsia" w:cs="宋体" w:asciiTheme="minorEastAsia" w:hAnsiTheme="minorEastAsia"/>
          <w:color w:val="000000" w:themeColor="text1"/>
          <w:sz w:val="28"/>
          <w:szCs w:val="28"/>
          <w:highlight w:val="none"/>
          <w:lang w:val="en-US" w:eastAsia="zh-CN"/>
          <w14:textFill>
            <w14:solidFill>
              <w14:schemeClr w14:val="tx1"/>
            </w14:solidFill>
          </w14:textFill>
        </w:rPr>
        <w:t>六</w:t>
      </w:r>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、拟投入本项目主要人员情况汇总表</w:t>
      </w:r>
      <w:bookmarkEnd w:id="131"/>
      <w:bookmarkEnd w:id="132"/>
      <w:bookmarkEnd w:id="133"/>
      <w:bookmarkEnd w:id="134"/>
    </w:p>
    <w:p w14:paraId="15E6DC96">
      <w:pPr>
        <w:rPr>
          <w:rFonts w:hint="eastAsia" w:ascii="宋体" w:hAnsi="宋体" w:cs="宋体"/>
          <w:sz w:val="24"/>
          <w:szCs w:val="24"/>
          <w:highlight w:val="none"/>
        </w:rPr>
      </w:pPr>
    </w:p>
    <w:tbl>
      <w:tblPr>
        <w:tblStyle w:val="18"/>
        <w:tblW w:w="4007" w:type="pct"/>
        <w:jc w:val="center"/>
        <w:tblLayout w:type="autofit"/>
        <w:tblCellMar>
          <w:top w:w="0" w:type="dxa"/>
          <w:left w:w="0" w:type="dxa"/>
          <w:bottom w:w="0" w:type="dxa"/>
          <w:right w:w="0" w:type="dxa"/>
        </w:tblCellMar>
      </w:tblPr>
      <w:tblGrid>
        <w:gridCol w:w="720"/>
        <w:gridCol w:w="1874"/>
        <w:gridCol w:w="1471"/>
        <w:gridCol w:w="912"/>
        <w:gridCol w:w="1438"/>
        <w:gridCol w:w="1403"/>
      </w:tblGrid>
      <w:tr w14:paraId="1572DC69">
        <w:tblPrEx>
          <w:tblCellMar>
            <w:top w:w="0" w:type="dxa"/>
            <w:left w:w="0" w:type="dxa"/>
            <w:bottom w:w="0" w:type="dxa"/>
            <w:right w:w="0" w:type="dxa"/>
          </w:tblCellMar>
        </w:tblPrEx>
        <w:trPr>
          <w:trHeight w:val="890"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376DD98E">
            <w:pPr>
              <w:autoSpaceDE w:val="0"/>
              <w:autoSpaceDN w:val="0"/>
              <w:adjustRightInd w:val="0"/>
              <w:spacing w:line="360" w:lineRule="auto"/>
              <w:jc w:val="center"/>
              <w:rPr>
                <w:rFonts w:hint="eastAsia" w:ascii="宋体" w:hAnsi="宋体" w:eastAsia="宋体" w:cs="宋体"/>
                <w:color w:val="auto"/>
                <w:kern w:val="0"/>
                <w:sz w:val="24"/>
                <w:szCs w:val="24"/>
                <w:highlight w:val="none"/>
              </w:rPr>
            </w:pPr>
            <w:bookmarkStart w:id="135" w:name="_Toc16809"/>
            <w:bookmarkEnd w:id="135"/>
            <w:bookmarkStart w:id="136" w:name="_Toc18390"/>
            <w:bookmarkEnd w:id="136"/>
            <w:bookmarkStart w:id="137" w:name="_Toc1638"/>
            <w:bookmarkEnd w:id="137"/>
            <w:bookmarkStart w:id="138" w:name="_Toc214173938"/>
            <w:bookmarkEnd w:id="138"/>
            <w:r>
              <w:rPr>
                <w:rFonts w:hint="eastAsia" w:ascii="宋体" w:hAnsi="宋体" w:eastAsia="宋体" w:cs="宋体"/>
                <w:color w:val="auto"/>
                <w:kern w:val="0"/>
                <w:sz w:val="24"/>
                <w:szCs w:val="24"/>
                <w:highlight w:val="none"/>
              </w:rPr>
              <w:t>序号</w:t>
            </w:r>
          </w:p>
        </w:tc>
        <w:tc>
          <w:tcPr>
            <w:tcW w:w="1198" w:type="pct"/>
            <w:tcBorders>
              <w:top w:val="single" w:color="000000" w:sz="4" w:space="0"/>
              <w:left w:val="single" w:color="000000" w:sz="4" w:space="0"/>
              <w:bottom w:val="single" w:color="000000" w:sz="4" w:space="0"/>
              <w:right w:val="single" w:color="000000" w:sz="4" w:space="0"/>
            </w:tcBorders>
            <w:vAlign w:val="center"/>
          </w:tcPr>
          <w:p w14:paraId="2494977D">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拟在本项目中担任的职务</w:t>
            </w:r>
          </w:p>
        </w:tc>
        <w:tc>
          <w:tcPr>
            <w:tcW w:w="940" w:type="pct"/>
            <w:tcBorders>
              <w:top w:val="single" w:color="000000" w:sz="4" w:space="0"/>
              <w:left w:val="single" w:color="000000" w:sz="4" w:space="0"/>
              <w:bottom w:val="single" w:color="000000" w:sz="4" w:space="0"/>
              <w:right w:val="single" w:color="000000" w:sz="4" w:space="0"/>
            </w:tcBorders>
            <w:vAlign w:val="center"/>
          </w:tcPr>
          <w:p w14:paraId="15EE77C6">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p>
        </w:tc>
        <w:tc>
          <w:tcPr>
            <w:tcW w:w="583" w:type="pct"/>
            <w:tcBorders>
              <w:top w:val="single" w:color="000000" w:sz="4" w:space="0"/>
              <w:left w:val="single" w:color="000000" w:sz="4" w:space="0"/>
              <w:bottom w:val="single" w:color="000000" w:sz="4" w:space="0"/>
              <w:right w:val="single" w:color="000000" w:sz="4" w:space="0"/>
            </w:tcBorders>
            <w:vAlign w:val="center"/>
          </w:tcPr>
          <w:p w14:paraId="13F9A7E5">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年龄</w:t>
            </w:r>
          </w:p>
        </w:tc>
        <w:tc>
          <w:tcPr>
            <w:tcW w:w="919" w:type="pct"/>
            <w:tcBorders>
              <w:top w:val="single" w:color="000000" w:sz="4" w:space="0"/>
              <w:left w:val="single" w:color="000000" w:sz="4" w:space="0"/>
              <w:bottom w:val="single" w:color="000000" w:sz="4" w:space="0"/>
              <w:right w:val="single" w:color="000000" w:sz="4" w:space="0"/>
            </w:tcBorders>
            <w:vAlign w:val="center"/>
          </w:tcPr>
          <w:p w14:paraId="58B11E2F">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工作年限</w:t>
            </w:r>
          </w:p>
        </w:tc>
        <w:tc>
          <w:tcPr>
            <w:tcW w:w="897" w:type="pct"/>
            <w:tcBorders>
              <w:top w:val="single" w:color="000000" w:sz="4" w:space="0"/>
              <w:left w:val="single" w:color="000000" w:sz="4" w:space="0"/>
              <w:bottom w:val="single" w:color="000000" w:sz="4" w:space="0"/>
              <w:right w:val="single" w:color="000000" w:sz="4" w:space="0"/>
            </w:tcBorders>
            <w:vAlign w:val="center"/>
          </w:tcPr>
          <w:p w14:paraId="5BFCBF93">
            <w:pPr>
              <w:autoSpaceDE w:val="0"/>
              <w:autoSpaceDN w:val="0"/>
              <w:adjustRightIn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r>
      <w:tr w14:paraId="24AB72BF">
        <w:tblPrEx>
          <w:tblCellMar>
            <w:top w:w="0" w:type="dxa"/>
            <w:left w:w="0" w:type="dxa"/>
            <w:bottom w:w="0" w:type="dxa"/>
            <w:right w:w="0" w:type="dxa"/>
          </w:tblCellMar>
        </w:tblPrEx>
        <w:trPr>
          <w:trHeight w:val="578"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5EAA6A76">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17D1233A">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98DFB1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442B9C80">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539B0AE5">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3EE2D14D">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01B80F9A">
        <w:tblPrEx>
          <w:tblCellMar>
            <w:top w:w="0" w:type="dxa"/>
            <w:left w:w="0" w:type="dxa"/>
            <w:bottom w:w="0" w:type="dxa"/>
            <w:right w:w="0" w:type="dxa"/>
          </w:tblCellMar>
        </w:tblPrEx>
        <w:trPr>
          <w:trHeight w:val="599"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06E0630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7DD2C776">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57DD373C">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15C9494D">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4D231BE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70C005C1">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50D4021D">
        <w:tblPrEx>
          <w:tblCellMar>
            <w:top w:w="0" w:type="dxa"/>
            <w:left w:w="0" w:type="dxa"/>
            <w:bottom w:w="0" w:type="dxa"/>
            <w:right w:w="0" w:type="dxa"/>
          </w:tblCellMar>
        </w:tblPrEx>
        <w:trPr>
          <w:trHeight w:val="527"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1C97B53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56EAB23D">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CA299CD">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707FA54C">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3444569C">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59D19056">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2A56279E">
        <w:tblPrEx>
          <w:tblCellMar>
            <w:top w:w="0" w:type="dxa"/>
            <w:left w:w="0" w:type="dxa"/>
            <w:bottom w:w="0" w:type="dxa"/>
            <w:right w:w="0" w:type="dxa"/>
          </w:tblCellMar>
        </w:tblPrEx>
        <w:trPr>
          <w:trHeight w:val="593"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3FF436EB">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2B19516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916B078">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76EA7E97">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22629E40">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7094884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1BB11F42">
        <w:tblPrEx>
          <w:tblCellMar>
            <w:top w:w="0" w:type="dxa"/>
            <w:left w:w="0" w:type="dxa"/>
            <w:bottom w:w="0" w:type="dxa"/>
            <w:right w:w="0" w:type="dxa"/>
          </w:tblCellMar>
        </w:tblPrEx>
        <w:trPr>
          <w:trHeight w:val="548"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75CD8238">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2B9513B2">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267F695">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5669E64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74586C20">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108A0A4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0D7B0343">
        <w:tblPrEx>
          <w:tblCellMar>
            <w:top w:w="0" w:type="dxa"/>
            <w:left w:w="0" w:type="dxa"/>
            <w:bottom w:w="0" w:type="dxa"/>
            <w:right w:w="0" w:type="dxa"/>
          </w:tblCellMar>
        </w:tblPrEx>
        <w:trPr>
          <w:trHeight w:val="593"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7550E2F9">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49E58D85">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90B48FC">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49A4586B">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4F0E9639">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5F0D9056">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7D7769A9">
        <w:tblPrEx>
          <w:tblCellMar>
            <w:top w:w="0" w:type="dxa"/>
            <w:left w:w="0" w:type="dxa"/>
            <w:bottom w:w="0" w:type="dxa"/>
            <w:right w:w="0" w:type="dxa"/>
          </w:tblCellMar>
        </w:tblPrEx>
        <w:trPr>
          <w:trHeight w:val="564"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476A9458">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12A73B3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F72A81">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3264B14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7AD5CE9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689C9732">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0FE4ADDC">
        <w:tblPrEx>
          <w:tblCellMar>
            <w:top w:w="0" w:type="dxa"/>
            <w:left w:w="0" w:type="dxa"/>
            <w:bottom w:w="0" w:type="dxa"/>
            <w:right w:w="0" w:type="dxa"/>
          </w:tblCellMar>
        </w:tblPrEx>
        <w:trPr>
          <w:trHeight w:val="542"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3D9AF77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1A7EC197">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F518677">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13DF8880">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21839C8">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01431A91">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78299C46">
        <w:tblPrEx>
          <w:tblCellMar>
            <w:top w:w="0" w:type="dxa"/>
            <w:left w:w="0" w:type="dxa"/>
            <w:bottom w:w="0" w:type="dxa"/>
            <w:right w:w="0" w:type="dxa"/>
          </w:tblCellMar>
        </w:tblPrEx>
        <w:trPr>
          <w:trHeight w:val="572"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65F04198">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14EB5F21">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2EC27782">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3D814942">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68B6C6D3">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7047F84B">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r w14:paraId="79E43581">
        <w:tblPrEx>
          <w:tblCellMar>
            <w:top w:w="0" w:type="dxa"/>
            <w:left w:w="0" w:type="dxa"/>
            <w:bottom w:w="0" w:type="dxa"/>
            <w:right w:w="0" w:type="dxa"/>
          </w:tblCellMar>
        </w:tblPrEx>
        <w:trPr>
          <w:trHeight w:val="642" w:hRule="exact"/>
          <w:jc w:val="center"/>
        </w:trPr>
        <w:tc>
          <w:tcPr>
            <w:tcW w:w="460" w:type="pct"/>
            <w:tcBorders>
              <w:top w:val="single" w:color="000000" w:sz="4" w:space="0"/>
              <w:left w:val="single" w:color="000000" w:sz="4" w:space="0"/>
              <w:bottom w:val="single" w:color="000000" w:sz="4" w:space="0"/>
              <w:right w:val="single" w:color="000000" w:sz="4" w:space="0"/>
            </w:tcBorders>
            <w:vAlign w:val="center"/>
          </w:tcPr>
          <w:p w14:paraId="699723AB">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1198" w:type="pct"/>
            <w:tcBorders>
              <w:top w:val="single" w:color="000000" w:sz="4" w:space="0"/>
              <w:left w:val="single" w:color="000000" w:sz="4" w:space="0"/>
              <w:bottom w:val="single" w:color="000000" w:sz="4" w:space="0"/>
              <w:right w:val="single" w:color="000000" w:sz="4" w:space="0"/>
            </w:tcBorders>
            <w:vAlign w:val="center"/>
          </w:tcPr>
          <w:p w14:paraId="7843C87F">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5F0B4E">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583" w:type="pct"/>
            <w:tcBorders>
              <w:top w:val="single" w:color="000000" w:sz="4" w:space="0"/>
              <w:left w:val="single" w:color="000000" w:sz="4" w:space="0"/>
              <w:bottom w:val="single" w:color="000000" w:sz="4" w:space="0"/>
              <w:right w:val="single" w:color="000000" w:sz="4" w:space="0"/>
            </w:tcBorders>
            <w:vAlign w:val="center"/>
          </w:tcPr>
          <w:p w14:paraId="25754905">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40D8B06C">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c>
          <w:tcPr>
            <w:tcW w:w="897" w:type="pct"/>
            <w:tcBorders>
              <w:top w:val="single" w:color="000000" w:sz="4" w:space="0"/>
              <w:left w:val="single" w:color="000000" w:sz="4" w:space="0"/>
              <w:bottom w:val="single" w:color="000000" w:sz="4" w:space="0"/>
              <w:right w:val="single" w:color="000000" w:sz="4" w:space="0"/>
            </w:tcBorders>
            <w:vAlign w:val="center"/>
          </w:tcPr>
          <w:p w14:paraId="43AFBEBB">
            <w:pPr>
              <w:autoSpaceDE w:val="0"/>
              <w:autoSpaceDN w:val="0"/>
              <w:adjustRightInd w:val="0"/>
              <w:spacing w:line="360" w:lineRule="auto"/>
              <w:jc w:val="center"/>
              <w:rPr>
                <w:rFonts w:hint="eastAsia" w:ascii="宋体" w:hAnsi="宋体" w:eastAsia="宋体" w:cs="宋体"/>
                <w:color w:val="auto"/>
                <w:kern w:val="0"/>
                <w:sz w:val="24"/>
                <w:szCs w:val="24"/>
                <w:highlight w:val="none"/>
              </w:rPr>
            </w:pPr>
          </w:p>
        </w:tc>
      </w:tr>
    </w:tbl>
    <w:p w14:paraId="31B313BA">
      <w:pPr>
        <w:spacing w:line="520" w:lineRule="atLeast"/>
        <w:ind w:firstLine="480" w:firstLineChars="200"/>
        <w:jc w:val="both"/>
        <w:rPr>
          <w:rFonts w:hint="eastAsia" w:cs="宋体" w:asciiTheme="minorEastAsia" w:hAnsiTheme="minorEastAsia"/>
          <w:b/>
          <w:color w:val="000000" w:themeColor="text1"/>
          <w:sz w:val="28"/>
          <w:szCs w:val="28"/>
          <w:highlight w:val="none"/>
          <w14:textFill>
            <w14:solidFill>
              <w14:schemeClr w14:val="tx1"/>
            </w14:solidFill>
          </w14:textFill>
        </w:rPr>
      </w:pPr>
      <w:r>
        <w:rPr>
          <w:rFonts w:hint="eastAsia" w:cs="宋体" w:asciiTheme="minorEastAsia" w:hAnsiTheme="minorEastAsia"/>
          <w:color w:val="000000" w:themeColor="text1"/>
          <w:sz w:val="24"/>
          <w:szCs w:val="24"/>
          <w:highlight w:val="none"/>
          <w14:textFill>
            <w14:solidFill>
              <w14:schemeClr w14:val="tx1"/>
            </w14:solidFill>
          </w14:textFill>
        </w:rPr>
        <w:t>注：须提供人员身份证扫描件并加盖供应商电子章。</w:t>
      </w:r>
      <w:r>
        <w:rPr>
          <w:rFonts w:cs="宋体" w:asciiTheme="minorEastAsia" w:hAnsiTheme="minorEastAsia"/>
          <w:color w:val="000000" w:themeColor="text1"/>
          <w:sz w:val="28"/>
          <w:szCs w:val="28"/>
          <w:highlight w:val="none"/>
          <w14:textFill>
            <w14:solidFill>
              <w14:schemeClr w14:val="tx1"/>
            </w14:solidFill>
          </w14:textFill>
        </w:rPr>
        <w:br w:type="page"/>
      </w:r>
    </w:p>
    <w:bookmarkEnd w:id="128"/>
    <w:p w14:paraId="3E08855C">
      <w:pPr>
        <w:jc w:val="center"/>
        <w:outlineLvl w:val="1"/>
        <w:rPr>
          <w:rFonts w:hint="eastAsia" w:cs="宋体" w:asciiTheme="minorEastAsia" w:hAnsiTheme="minorEastAsia"/>
          <w:b/>
          <w:color w:val="000000" w:themeColor="text1"/>
          <w:sz w:val="28"/>
          <w:szCs w:val="28"/>
          <w:highlight w:val="none"/>
          <w14:textFill>
            <w14:solidFill>
              <w14:schemeClr w14:val="tx1"/>
            </w14:solidFill>
          </w14:textFill>
        </w:rPr>
      </w:pPr>
      <w:bookmarkStart w:id="139" w:name="_Toc24533"/>
      <w:bookmarkStart w:id="140" w:name="_Toc50564921"/>
      <w:bookmarkStart w:id="141" w:name="_Toc14118"/>
      <w:bookmarkStart w:id="142" w:name="_Toc23006"/>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七</w:t>
      </w:r>
      <w:r>
        <w:rPr>
          <w:rFonts w:hint="eastAsia" w:cs="宋体" w:asciiTheme="minorEastAsia" w:hAnsiTheme="minorEastAsia"/>
          <w:b/>
          <w:color w:val="000000" w:themeColor="text1"/>
          <w:sz w:val="28"/>
          <w:szCs w:val="28"/>
          <w:highlight w:val="none"/>
          <w14:textFill>
            <w14:solidFill>
              <w14:schemeClr w14:val="tx1"/>
            </w14:solidFill>
          </w14:textFill>
        </w:rPr>
        <w:t>、</w:t>
      </w:r>
      <w:bookmarkEnd w:id="139"/>
      <w:bookmarkEnd w:id="140"/>
      <w:r>
        <w:rPr>
          <w:rFonts w:hint="eastAsia" w:cs="宋体" w:asciiTheme="minorEastAsia" w:hAnsiTheme="minorEastAsia"/>
          <w:b/>
          <w:color w:val="000000" w:themeColor="text1"/>
          <w:sz w:val="28"/>
          <w:szCs w:val="28"/>
          <w:highlight w:val="none"/>
          <w14:textFill>
            <w14:solidFill>
              <w14:schemeClr w14:val="tx1"/>
            </w14:solidFill>
          </w14:textFill>
        </w:rPr>
        <w:t>技术部分</w:t>
      </w:r>
      <w:bookmarkEnd w:id="141"/>
      <w:bookmarkEnd w:id="142"/>
    </w:p>
    <w:p w14:paraId="67F0FC80">
      <w:pPr>
        <w:autoSpaceDE w:val="0"/>
        <w:autoSpaceDN w:val="0"/>
        <w:adjustRightInd w:val="0"/>
        <w:spacing w:before="32" w:line="360" w:lineRule="auto"/>
        <w:ind w:right="-57"/>
        <w:jc w:val="center"/>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此项格式自拟，内容应包括但不限制于评分办法提到的内容</w:t>
      </w:r>
    </w:p>
    <w:p w14:paraId="2313B1CA">
      <w:pPr>
        <w:widowControl w:val="0"/>
        <w:autoSpaceDE w:val="0"/>
        <w:autoSpaceDN w:val="0"/>
        <w:adjustRightInd w:val="0"/>
        <w:spacing w:line="360" w:lineRule="auto"/>
        <w:jc w:val="center"/>
        <w:rPr>
          <w:rFonts w:hint="eastAsia" w:ascii="宋体" w:hAnsi="宋体" w:cs="宋体"/>
          <w:spacing w:val="10"/>
          <w:sz w:val="28"/>
          <w:szCs w:val="28"/>
          <w:highlight w:val="none"/>
        </w:rPr>
      </w:pPr>
    </w:p>
    <w:p w14:paraId="45984C74">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7EB9CF36">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394F38FD">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2F4A0AD1">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468DC3A6">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47979B55">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1E2EF887">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0B01150F">
      <w:pPr>
        <w:widowControl w:val="0"/>
        <w:autoSpaceDE w:val="0"/>
        <w:autoSpaceDN w:val="0"/>
        <w:adjustRightInd w:val="0"/>
        <w:spacing w:line="360" w:lineRule="auto"/>
        <w:rPr>
          <w:rFonts w:hint="eastAsia" w:ascii="宋体" w:hAnsi="宋体" w:cs="宋体"/>
          <w:spacing w:val="10"/>
          <w:sz w:val="28"/>
          <w:szCs w:val="28"/>
          <w:highlight w:val="none"/>
        </w:rPr>
      </w:pPr>
      <w:r>
        <w:rPr>
          <w:rFonts w:hint="eastAsia" w:ascii="宋体" w:hAnsi="宋体" w:cs="宋体"/>
          <w:spacing w:val="10"/>
          <w:sz w:val="28"/>
          <w:szCs w:val="28"/>
          <w:highlight w:val="none"/>
        </w:rPr>
        <w:t xml:space="preserve"> </w:t>
      </w:r>
    </w:p>
    <w:p w14:paraId="5CC81025">
      <w:pPr>
        <w:widowControl w:val="0"/>
        <w:autoSpaceDE w:val="0"/>
        <w:autoSpaceDN w:val="0"/>
        <w:adjustRightInd w:val="0"/>
        <w:spacing w:line="360" w:lineRule="auto"/>
        <w:jc w:val="right"/>
        <w:rPr>
          <w:rFonts w:hint="eastAsia" w:ascii="宋体" w:hAnsi="宋体" w:cs="宋体"/>
          <w:spacing w:val="10"/>
          <w:sz w:val="24"/>
          <w:szCs w:val="24"/>
          <w:highlight w:val="none"/>
        </w:rPr>
      </w:pPr>
      <w:r>
        <w:rPr>
          <w:rFonts w:hint="eastAsia" w:ascii="宋体" w:hAnsi="宋体" w:cs="宋体"/>
          <w:spacing w:val="10"/>
          <w:sz w:val="24"/>
          <w:szCs w:val="24"/>
          <w:highlight w:val="none"/>
        </w:rPr>
        <w:t xml:space="preserve"> </w:t>
      </w:r>
      <w:r>
        <w:rPr>
          <w:rFonts w:hint="eastAsia" w:ascii="宋体" w:hAnsi="宋体" w:cs="宋体"/>
          <w:spacing w:val="10"/>
          <w:sz w:val="24"/>
          <w:szCs w:val="24"/>
          <w:highlight w:val="none"/>
          <w:lang w:val="en-US" w:eastAsia="zh-CN"/>
        </w:rPr>
        <w:t xml:space="preserve">                         </w:t>
      </w:r>
    </w:p>
    <w:p w14:paraId="16CD59DE">
      <w:pPr>
        <w:widowControl w:val="0"/>
        <w:jc w:val="center"/>
        <w:rPr>
          <w:rFonts w:hint="eastAsia" w:ascii="宋体" w:hAnsi="宋体" w:cs="宋体"/>
          <w:b/>
          <w:kern w:val="2"/>
          <w:sz w:val="28"/>
          <w:szCs w:val="28"/>
          <w:highlight w:val="none"/>
        </w:rPr>
      </w:pPr>
      <w:r>
        <w:rPr>
          <w:rFonts w:hint="eastAsia" w:ascii="宋体" w:hAnsi="宋体" w:cs="宋体"/>
          <w:spacing w:val="10"/>
          <w:sz w:val="28"/>
          <w:szCs w:val="28"/>
          <w:highlight w:val="none"/>
        </w:rPr>
        <w:br w:type="page"/>
      </w:r>
      <w:bookmarkStart w:id="143" w:name="_Toc269219207"/>
      <w:bookmarkEnd w:id="143"/>
      <w:bookmarkStart w:id="144" w:name="_Toc12530"/>
      <w:bookmarkStart w:id="145" w:name="_Toc461977437"/>
    </w:p>
    <w:p w14:paraId="5EFD5E0E">
      <w:pPr>
        <w:widowControl w:val="0"/>
        <w:spacing w:line="360" w:lineRule="auto"/>
        <w:jc w:val="center"/>
        <w:outlineLvl w:val="1"/>
        <w:rPr>
          <w:rFonts w:hint="eastAsia" w:ascii="宋体" w:hAnsi="宋体" w:cs="宋体"/>
          <w:b/>
          <w:kern w:val="2"/>
          <w:sz w:val="28"/>
          <w:szCs w:val="28"/>
          <w:highlight w:val="none"/>
        </w:rPr>
      </w:pPr>
      <w:bookmarkStart w:id="146" w:name="_Toc11154"/>
      <w:bookmarkStart w:id="147" w:name="_Toc31051"/>
      <w:r>
        <w:rPr>
          <w:rFonts w:hint="eastAsia" w:ascii="宋体" w:hAnsi="宋体" w:cs="宋体"/>
          <w:b/>
          <w:kern w:val="2"/>
          <w:sz w:val="28"/>
          <w:szCs w:val="28"/>
          <w:highlight w:val="none"/>
          <w:lang w:val="en-US" w:eastAsia="zh-CN"/>
        </w:rPr>
        <w:t>八</w:t>
      </w:r>
      <w:r>
        <w:rPr>
          <w:rFonts w:hint="eastAsia" w:ascii="宋体" w:hAnsi="宋体" w:cs="宋体"/>
          <w:b/>
          <w:kern w:val="2"/>
          <w:sz w:val="28"/>
          <w:szCs w:val="28"/>
          <w:highlight w:val="none"/>
        </w:rPr>
        <w:t>、</w:t>
      </w:r>
      <w:bookmarkEnd w:id="144"/>
      <w:bookmarkEnd w:id="145"/>
      <w:r>
        <w:rPr>
          <w:rFonts w:hint="eastAsia" w:ascii="宋体" w:hAnsi="宋体" w:cs="宋体"/>
          <w:b/>
          <w:kern w:val="2"/>
          <w:sz w:val="28"/>
          <w:szCs w:val="28"/>
          <w:highlight w:val="none"/>
        </w:rPr>
        <w:t>投标供应商资格声明函</w:t>
      </w:r>
      <w:bookmarkEnd w:id="146"/>
      <w:bookmarkEnd w:id="147"/>
    </w:p>
    <w:p w14:paraId="390E3912">
      <w:pPr>
        <w:jc w:val="center"/>
        <w:rPr>
          <w:rFonts w:hint="eastAsia" w:ascii="宋体" w:hAnsi="宋体"/>
          <w:b/>
          <w:bCs/>
          <w:color w:val="000000" w:themeColor="text1"/>
          <w:sz w:val="32"/>
          <w:szCs w:val="32"/>
          <w:highlight w:val="none"/>
          <w14:textFill>
            <w14:solidFill>
              <w14:schemeClr w14:val="tx1"/>
            </w14:solidFill>
          </w14:textFill>
        </w:rPr>
      </w:pPr>
    </w:p>
    <w:p w14:paraId="71B03649">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致：（采购人名称）</w:t>
      </w:r>
    </w:p>
    <w:p w14:paraId="101F8B0E">
      <w:pPr>
        <w:autoSpaceDE w:val="0"/>
        <w:autoSpaceDN w:val="0"/>
        <w:adjustRightInd w:val="0"/>
        <w:spacing w:before="32" w:line="360" w:lineRule="auto"/>
        <w:ind w:right="-57" w:firstLine="468" w:firstLineChars="200"/>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我方在此声明，我方具备并满足《中华人民共和国政府采购法》二十二条及实施条例第十七条所规定的投标供应商的条件：</w:t>
      </w:r>
    </w:p>
    <w:p w14:paraId="2526475E">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（1）具有独立承担民事责任的能力；</w:t>
      </w:r>
    </w:p>
    <w:p w14:paraId="488CAC3A">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（2）具有良好的商业信誉和健全的财务会计制度；</w:t>
      </w:r>
    </w:p>
    <w:p w14:paraId="57B8070F">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（3）具有履行合同所必需的设备和专业技术能力；</w:t>
      </w:r>
    </w:p>
    <w:p w14:paraId="49F3AA0F">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（4）有依法缴纳税收和社会保障资金的良好记录；</w:t>
      </w:r>
    </w:p>
    <w:p w14:paraId="23CFD299">
      <w:pPr>
        <w:autoSpaceDE w:val="0"/>
        <w:autoSpaceDN w:val="0"/>
        <w:adjustRightInd w:val="0"/>
        <w:spacing w:before="32" w:line="360" w:lineRule="auto"/>
        <w:ind w:right="-57"/>
        <w:rPr>
          <w:rFonts w:hint="eastAsia" w:ascii="宋体" w:hAnsi="宋体" w:cs="宋体"/>
          <w:color w:val="000000" w:themeColor="text1"/>
          <w:spacing w:val="-3"/>
          <w:sz w:val="24"/>
          <w:szCs w:val="24"/>
          <w:highlight w:val="none"/>
          <w14:textFill>
            <w14:solidFill>
              <w14:schemeClr w14:val="tx1"/>
            </w14:solidFill>
          </w14:textFill>
        </w:rPr>
      </w:pPr>
      <w:r>
        <w:rPr>
          <w:rFonts w:hint="eastAsia" w:ascii="宋体" w:hAnsi="宋体" w:cs="宋体"/>
          <w:color w:val="000000" w:themeColor="text1"/>
          <w:spacing w:val="-3"/>
          <w:sz w:val="24"/>
          <w:szCs w:val="24"/>
          <w:highlight w:val="none"/>
          <w14:textFill>
            <w14:solidFill>
              <w14:schemeClr w14:val="tx1"/>
            </w14:solidFill>
          </w14:textFill>
        </w:rPr>
        <w:t>（5）参加本次政府采购活动前三年内，在经营活动中没有重大违法记录。</w:t>
      </w:r>
    </w:p>
    <w:p w14:paraId="76CF068E">
      <w:pPr>
        <w:spacing w:line="360" w:lineRule="auto"/>
        <w:rPr>
          <w:rFonts w:hint="eastAsia" w:ascii="宋体" w:hAnsi="宋体"/>
          <w:color w:val="000000" w:themeColor="text1"/>
          <w:sz w:val="28"/>
          <w:highlight w:val="none"/>
          <w14:textFill>
            <w14:solidFill>
              <w14:schemeClr w14:val="tx1"/>
            </w14:solidFill>
          </w14:textFill>
        </w:rPr>
      </w:pPr>
    </w:p>
    <w:p w14:paraId="7F3B60A8">
      <w:pPr>
        <w:rPr>
          <w:rFonts w:hint="eastAsia" w:ascii="宋体" w:hAnsi="宋体"/>
          <w:color w:val="000000" w:themeColor="text1"/>
          <w:sz w:val="28"/>
          <w:highlight w:val="none"/>
          <w14:textFill>
            <w14:solidFill>
              <w14:schemeClr w14:val="tx1"/>
            </w14:solidFill>
          </w14:textFill>
        </w:rPr>
      </w:pPr>
    </w:p>
    <w:p w14:paraId="6D4EAFC0">
      <w:pPr>
        <w:spacing w:line="440" w:lineRule="exact"/>
        <w:ind w:firstLine="2400" w:firstLineChars="1000"/>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供应商名称：（签章）</w:t>
      </w:r>
    </w:p>
    <w:p w14:paraId="0AE779A2">
      <w:pPr>
        <w:spacing w:line="360" w:lineRule="auto"/>
        <w:ind w:firstLine="2400" w:firstLineChars="1000"/>
        <w:jc w:val="righ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法定代表人：（电子签章）</w:t>
      </w:r>
    </w:p>
    <w:p w14:paraId="656D15CB">
      <w:pPr>
        <w:autoSpaceDE w:val="0"/>
        <w:autoSpaceDN w:val="0"/>
        <w:adjustRightInd w:val="0"/>
        <w:spacing w:before="32" w:line="360" w:lineRule="auto"/>
        <w:ind w:right="-57"/>
        <w:jc w:val="right"/>
        <w:rPr>
          <w:rFonts w:hint="eastAsia" w:ascii="宋体" w:hAnsi="宋体" w:cs="宋体"/>
          <w:color w:val="000000" w:themeColor="text1"/>
          <w:spacing w:val="-3"/>
          <w:sz w:val="28"/>
          <w:szCs w:val="28"/>
          <w:highlight w:val="none"/>
          <w14:textFill>
            <w14:solidFill>
              <w14:schemeClr w14:val="tx1"/>
            </w14:solidFill>
          </w14:textFill>
        </w:rPr>
      </w:pPr>
      <w:r>
        <w:rPr>
          <w:rFonts w:hint="eastAsia" w:asciiTheme="minorEastAsia" w:hAnsiTheme="minorEastAsia"/>
          <w:color w:val="000000" w:themeColor="text1"/>
          <w:spacing w:val="46"/>
          <w:sz w:val="24"/>
          <w:szCs w:val="24"/>
          <w:highlight w:val="none"/>
          <w14:textFill>
            <w14:solidFill>
              <w14:schemeClr w14:val="tx1"/>
            </w14:solidFill>
          </w14:textFill>
        </w:rPr>
        <w:t>日 期： 年 月 日</w:t>
      </w:r>
    </w:p>
    <w:p w14:paraId="7660B3CB">
      <w:pPr>
        <w:widowControl w:val="0"/>
        <w:spacing w:line="360" w:lineRule="auto"/>
        <w:jc w:val="both"/>
        <w:rPr>
          <w:rFonts w:hint="eastAsia" w:ascii="宋体" w:hAnsi="宋体" w:cs="宋体"/>
          <w:sz w:val="28"/>
          <w:szCs w:val="28"/>
          <w:highlight w:val="none"/>
        </w:rPr>
      </w:pPr>
    </w:p>
    <w:p w14:paraId="76DE726C">
      <w:pPr>
        <w:widowControl w:val="0"/>
        <w:spacing w:line="360" w:lineRule="auto"/>
        <w:jc w:val="both"/>
        <w:rPr>
          <w:rFonts w:hint="eastAsia" w:ascii="宋体" w:hAnsi="宋体" w:cs="宋体"/>
          <w:kern w:val="2"/>
          <w:sz w:val="28"/>
          <w:szCs w:val="28"/>
          <w:highlight w:val="none"/>
        </w:rPr>
      </w:pPr>
      <w:r>
        <w:rPr>
          <w:rFonts w:hint="eastAsia" w:ascii="宋体" w:hAnsi="宋体" w:cs="宋体"/>
          <w:kern w:val="2"/>
          <w:sz w:val="28"/>
          <w:szCs w:val="28"/>
          <w:highlight w:val="none"/>
        </w:rPr>
        <w:t xml:space="preserve"> </w:t>
      </w:r>
    </w:p>
    <w:p w14:paraId="4ED886DB">
      <w:pPr>
        <w:widowControl w:val="0"/>
        <w:spacing w:line="360" w:lineRule="auto"/>
        <w:jc w:val="both"/>
        <w:rPr>
          <w:rFonts w:hint="eastAsia" w:ascii="宋体" w:hAnsi="宋体" w:cs="宋体"/>
          <w:kern w:val="2"/>
          <w:sz w:val="28"/>
          <w:szCs w:val="28"/>
          <w:highlight w:val="none"/>
        </w:rPr>
      </w:pPr>
    </w:p>
    <w:p w14:paraId="63BA4F81">
      <w:pPr>
        <w:widowControl w:val="0"/>
        <w:spacing w:line="360" w:lineRule="auto"/>
        <w:jc w:val="both"/>
        <w:rPr>
          <w:rFonts w:hint="eastAsia" w:ascii="宋体" w:hAnsi="宋体" w:cs="宋体"/>
          <w:kern w:val="2"/>
          <w:sz w:val="28"/>
          <w:szCs w:val="28"/>
          <w:highlight w:val="none"/>
        </w:rPr>
      </w:pPr>
    </w:p>
    <w:p w14:paraId="7D8900CB">
      <w:pPr>
        <w:widowControl w:val="0"/>
        <w:spacing w:line="360" w:lineRule="auto"/>
        <w:jc w:val="both"/>
        <w:rPr>
          <w:rFonts w:hint="eastAsia" w:ascii="宋体" w:hAnsi="宋体" w:cs="宋体"/>
          <w:kern w:val="2"/>
          <w:sz w:val="28"/>
          <w:szCs w:val="28"/>
          <w:highlight w:val="none"/>
        </w:rPr>
      </w:pPr>
    </w:p>
    <w:p w14:paraId="0BF07265">
      <w:pPr>
        <w:rPr>
          <w:rFonts w:hint="eastAsia" w:ascii="宋体" w:hAnsi="宋体" w:cs="宋体"/>
          <w:kern w:val="2"/>
          <w:sz w:val="28"/>
          <w:szCs w:val="28"/>
          <w:highlight w:val="none"/>
        </w:rPr>
      </w:pPr>
      <w:r>
        <w:rPr>
          <w:rFonts w:hint="eastAsia" w:ascii="宋体" w:hAnsi="宋体" w:cs="宋体"/>
          <w:kern w:val="2"/>
          <w:sz w:val="28"/>
          <w:szCs w:val="28"/>
          <w:highlight w:val="none"/>
        </w:rPr>
        <w:br w:type="page"/>
      </w:r>
    </w:p>
    <w:p w14:paraId="4D678AAD">
      <w:pPr>
        <w:jc w:val="center"/>
        <w:outlineLvl w:val="1"/>
        <w:rPr>
          <w:rFonts w:hint="eastAsia" w:cs="宋体" w:asciiTheme="minorEastAsia" w:hAnsiTheme="minorEastAsia"/>
          <w:b/>
          <w:color w:val="000000" w:themeColor="text1"/>
          <w:sz w:val="28"/>
          <w:szCs w:val="28"/>
          <w:highlight w:val="none"/>
          <w14:textFill>
            <w14:solidFill>
              <w14:schemeClr w14:val="tx1"/>
            </w14:solidFill>
          </w14:textFill>
        </w:rPr>
      </w:pPr>
      <w:bookmarkStart w:id="148" w:name="_Toc11816"/>
      <w:bookmarkStart w:id="149" w:name="_Toc9193"/>
      <w:r>
        <w:rPr>
          <w:rFonts w:hint="eastAsia" w:cs="宋体" w:asciiTheme="minorEastAsia" w:hAnsiTheme="minorEastAsia"/>
          <w:b/>
          <w:color w:val="000000" w:themeColor="text1"/>
          <w:sz w:val="28"/>
          <w:szCs w:val="28"/>
          <w:highlight w:val="none"/>
          <w:lang w:val="en-US" w:eastAsia="zh-CN"/>
          <w14:textFill>
            <w14:solidFill>
              <w14:schemeClr w14:val="tx1"/>
            </w14:solidFill>
          </w14:textFill>
        </w:rPr>
        <w:t>九</w:t>
      </w:r>
      <w:r>
        <w:rPr>
          <w:rFonts w:hint="eastAsia" w:cs="宋体" w:asciiTheme="minorEastAsia" w:hAnsiTheme="minorEastAsia"/>
          <w:b/>
          <w:color w:val="000000" w:themeColor="text1"/>
          <w:sz w:val="28"/>
          <w:szCs w:val="28"/>
          <w:highlight w:val="none"/>
          <w14:textFill>
            <w14:solidFill>
              <w14:schemeClr w14:val="tx1"/>
            </w14:solidFill>
          </w14:textFill>
        </w:rPr>
        <w:t>、资格要求证明文件</w:t>
      </w:r>
      <w:bookmarkEnd w:id="148"/>
      <w:bookmarkEnd w:id="149"/>
    </w:p>
    <w:p w14:paraId="183FDF06">
      <w:pPr>
        <w:widowControl w:val="0"/>
        <w:spacing w:line="360" w:lineRule="auto"/>
        <w:ind w:firstLine="480" w:firstLineChars="200"/>
        <w:jc w:val="both"/>
        <w:rPr>
          <w:rFonts w:hint="eastAsia" w:ascii="宋体" w:hAnsi="宋体" w:cs="宋体"/>
          <w:bCs/>
          <w:sz w:val="24"/>
          <w:szCs w:val="24"/>
          <w:highlight w:val="none"/>
        </w:rPr>
      </w:pPr>
    </w:p>
    <w:p w14:paraId="4A7B5EB4">
      <w:pPr>
        <w:pStyle w:val="15"/>
        <w:spacing w:before="0" w:beforeAutospacing="0" w:after="0" w:afterAutospacing="0" w:line="360" w:lineRule="auto"/>
        <w:ind w:firstLine="480" w:firstLineChars="200"/>
        <w:rPr>
          <w:rFonts w:hint="eastAsia"/>
          <w:bCs/>
          <w:szCs w:val="24"/>
          <w:highlight w:val="none"/>
        </w:rPr>
      </w:pPr>
      <w:r>
        <w:rPr>
          <w:rFonts w:hint="eastAsia"/>
          <w:bCs/>
          <w:szCs w:val="24"/>
          <w:highlight w:val="none"/>
        </w:rPr>
        <w:t>1</w:t>
      </w:r>
      <w:r>
        <w:rPr>
          <w:rFonts w:hint="eastAsia"/>
          <w:bCs/>
          <w:szCs w:val="24"/>
          <w:highlight w:val="none"/>
          <w:lang w:eastAsia="zh-CN"/>
        </w:rPr>
        <w:t>、</w:t>
      </w:r>
      <w:r>
        <w:rPr>
          <w:rFonts w:hint="eastAsia"/>
          <w:bCs/>
          <w:szCs w:val="24"/>
          <w:highlight w:val="none"/>
        </w:rPr>
        <w:t>供应商具有独立承担民事责任的能力，持有有效的营业执照或事业单位法人证书</w:t>
      </w:r>
      <w:r>
        <w:rPr>
          <w:rFonts w:hint="eastAsia"/>
          <w:bCs/>
          <w:szCs w:val="24"/>
          <w:highlight w:val="none"/>
          <w:lang w:eastAsia="zh-CN"/>
        </w:rPr>
        <w:t>；</w:t>
      </w:r>
    </w:p>
    <w:p w14:paraId="3DC59DD6">
      <w:pPr>
        <w:pStyle w:val="15"/>
        <w:spacing w:before="0" w:beforeAutospacing="0" w:after="0" w:afterAutospacing="0" w:line="360" w:lineRule="auto"/>
        <w:ind w:firstLine="480" w:firstLineChars="200"/>
        <w:rPr>
          <w:rFonts w:hint="eastAsia"/>
          <w:bCs/>
          <w:szCs w:val="24"/>
          <w:highlight w:val="none"/>
        </w:rPr>
      </w:pPr>
      <w:r>
        <w:rPr>
          <w:rFonts w:hint="eastAsia"/>
          <w:bCs/>
          <w:szCs w:val="24"/>
          <w:highlight w:val="none"/>
          <w:lang w:val="en-US" w:eastAsia="zh-CN"/>
        </w:rPr>
        <w:t>2、供应商单位负责人为同一人或者存在直接控股、管理关系的不同供应商，不得参加同一合同项下的采购活动（提供“国家企业信用信息公示系统”网页查询或出具承诺书，查询截图需包含公司基本信息、股东信息及股权变更信息内容，查询时间自公告发布之日起至投标截止时间）</w:t>
      </w:r>
      <w:r>
        <w:rPr>
          <w:bCs/>
          <w:szCs w:val="24"/>
          <w:highlight w:val="none"/>
        </w:rPr>
        <w:t>；</w:t>
      </w:r>
    </w:p>
    <w:p w14:paraId="6392A950">
      <w:pPr>
        <w:pStyle w:val="15"/>
        <w:spacing w:before="0" w:beforeAutospacing="0" w:after="0" w:afterAutospacing="0" w:line="360" w:lineRule="auto"/>
        <w:ind w:firstLine="480" w:firstLineChars="200"/>
        <w:rPr>
          <w:rFonts w:hint="eastAsia"/>
          <w:bCs/>
          <w:szCs w:val="24"/>
          <w:highlight w:val="none"/>
        </w:rPr>
      </w:pPr>
      <w:r>
        <w:rPr>
          <w:rFonts w:hint="eastAsia"/>
          <w:bCs/>
          <w:szCs w:val="24"/>
          <w:highlight w:val="none"/>
          <w:lang w:val="en-US" w:eastAsia="zh-CN"/>
        </w:rPr>
        <w:t>3、</w:t>
      </w:r>
      <w:r>
        <w:rPr>
          <w:rFonts w:hint="eastAsia"/>
          <w:bCs/>
          <w:szCs w:val="24"/>
          <w:highlight w:val="none"/>
        </w:rPr>
        <w:t>供应商需提供本企业的无商业贿赂及不正当竞争行为的承诺书；</w:t>
      </w:r>
    </w:p>
    <w:p w14:paraId="4F68B01B">
      <w:pPr>
        <w:pStyle w:val="15"/>
        <w:spacing w:before="0" w:beforeAutospacing="0" w:after="0" w:afterAutospacing="0" w:line="360" w:lineRule="auto"/>
        <w:ind w:firstLine="480" w:firstLineChars="200"/>
        <w:rPr>
          <w:rFonts w:hint="eastAsia"/>
          <w:bCs/>
          <w:szCs w:val="24"/>
          <w:highlight w:val="none"/>
        </w:rPr>
      </w:pPr>
      <w:r>
        <w:rPr>
          <w:rFonts w:hint="eastAsia"/>
          <w:bCs/>
          <w:szCs w:val="24"/>
          <w:highlight w:val="none"/>
          <w:lang w:val="en-US" w:eastAsia="zh-CN"/>
        </w:rPr>
        <w:t>4、根据《关于在政府采购活动中查询及使用信用记录有关问题的通知》(财库[2016]125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相关网站有最新规定的，按最新规定执行）；</w:t>
      </w:r>
    </w:p>
    <w:p w14:paraId="2B3EC8FF">
      <w:pPr>
        <w:pStyle w:val="15"/>
        <w:spacing w:before="0" w:beforeAutospacing="0" w:after="0" w:afterAutospacing="0" w:line="360" w:lineRule="auto"/>
        <w:ind w:firstLine="480" w:firstLineChars="200"/>
        <w:rPr>
          <w:rFonts w:hint="eastAsia" w:eastAsia="宋体"/>
          <w:szCs w:val="24"/>
          <w:highlight w:val="none"/>
          <w:lang w:eastAsia="zh-CN"/>
        </w:rPr>
      </w:pPr>
      <w:r>
        <w:rPr>
          <w:rFonts w:hint="eastAsia"/>
          <w:szCs w:val="24"/>
          <w:highlight w:val="none"/>
          <w:lang w:val="en-US" w:eastAsia="zh-CN"/>
        </w:rPr>
        <w:t>5、</w:t>
      </w:r>
      <w:r>
        <w:rPr>
          <w:szCs w:val="24"/>
          <w:highlight w:val="none"/>
        </w:rPr>
        <w:t>本项目不接受联合体投标</w:t>
      </w:r>
      <w:r>
        <w:rPr>
          <w:rFonts w:hint="eastAsia"/>
          <w:szCs w:val="24"/>
          <w:highlight w:val="none"/>
        </w:rPr>
        <w:t>（提供承诺书）</w:t>
      </w:r>
      <w:r>
        <w:rPr>
          <w:rFonts w:hint="eastAsia"/>
          <w:szCs w:val="24"/>
          <w:highlight w:val="none"/>
          <w:lang w:eastAsia="zh-CN"/>
        </w:rPr>
        <w:t>。</w:t>
      </w:r>
    </w:p>
    <w:p w14:paraId="08F0CF32">
      <w:pPr>
        <w:widowControl w:val="0"/>
        <w:spacing w:line="360" w:lineRule="auto"/>
        <w:jc w:val="center"/>
        <w:rPr>
          <w:rFonts w:hint="eastAsia" w:ascii="宋体" w:hAnsi="宋体" w:cs="宋体"/>
          <w:sz w:val="28"/>
          <w:szCs w:val="28"/>
          <w:highlight w:val="none"/>
        </w:rPr>
      </w:pPr>
      <w:r>
        <w:rPr>
          <w:rFonts w:hint="eastAsia" w:ascii="宋体" w:hAnsi="宋体" w:cs="宋体"/>
          <w:kern w:val="2"/>
          <w:sz w:val="28"/>
          <w:szCs w:val="28"/>
          <w:highlight w:val="none"/>
        </w:rPr>
        <w:t xml:space="preserve"> </w:t>
      </w:r>
    </w:p>
    <w:p w14:paraId="1949694A">
      <w:pPr>
        <w:widowControl w:val="0"/>
        <w:spacing w:line="360" w:lineRule="auto"/>
        <w:jc w:val="center"/>
        <w:rPr>
          <w:rFonts w:hint="eastAsia" w:ascii="宋体" w:hAnsi="宋体" w:cs="宋体"/>
          <w:sz w:val="28"/>
          <w:szCs w:val="28"/>
          <w:highlight w:val="none"/>
        </w:rPr>
      </w:pPr>
      <w:r>
        <w:rPr>
          <w:rFonts w:hint="eastAsia" w:ascii="宋体" w:hAnsi="宋体" w:cs="宋体"/>
          <w:kern w:val="2"/>
          <w:sz w:val="28"/>
          <w:szCs w:val="28"/>
          <w:highlight w:val="none"/>
        </w:rPr>
        <w:t xml:space="preserve"> </w:t>
      </w:r>
    </w:p>
    <w:p w14:paraId="3058F13C">
      <w:pPr>
        <w:widowControl w:val="0"/>
        <w:spacing w:line="360" w:lineRule="auto"/>
        <w:jc w:val="center"/>
        <w:rPr>
          <w:rFonts w:hint="eastAsia" w:ascii="宋体" w:hAnsi="宋体" w:cs="宋体"/>
          <w:sz w:val="28"/>
          <w:szCs w:val="28"/>
          <w:highlight w:val="none"/>
        </w:rPr>
      </w:pPr>
      <w:r>
        <w:rPr>
          <w:rFonts w:hint="eastAsia" w:ascii="宋体" w:hAnsi="宋体" w:cs="宋体"/>
          <w:kern w:val="2"/>
          <w:sz w:val="28"/>
          <w:szCs w:val="28"/>
          <w:highlight w:val="none"/>
        </w:rPr>
        <w:t xml:space="preserve"> </w:t>
      </w:r>
    </w:p>
    <w:p w14:paraId="5F2B4ADC">
      <w:pPr>
        <w:widowControl w:val="0"/>
        <w:jc w:val="center"/>
        <w:rPr>
          <w:rFonts w:hint="eastAsia" w:ascii="宋体" w:hAnsi="宋体" w:cs="宋体"/>
          <w:sz w:val="28"/>
          <w:szCs w:val="28"/>
          <w:highlight w:val="none"/>
        </w:rPr>
      </w:pPr>
      <w:bookmarkStart w:id="150" w:name="_Toc30508"/>
      <w:r>
        <w:rPr>
          <w:rFonts w:ascii="宋体" w:hAnsi="宋体" w:cs="宋体"/>
          <w:b/>
          <w:kern w:val="2"/>
          <w:sz w:val="28"/>
          <w:szCs w:val="28"/>
          <w:highlight w:val="none"/>
        </w:rPr>
        <w:br w:type="page"/>
      </w:r>
      <w:bookmarkEnd w:id="150"/>
    </w:p>
    <w:p w14:paraId="1AE3BF61">
      <w:pPr>
        <w:widowControl w:val="0"/>
        <w:spacing w:line="360" w:lineRule="auto"/>
        <w:jc w:val="center"/>
        <w:outlineLvl w:val="1"/>
        <w:rPr>
          <w:rFonts w:hint="eastAsia" w:ascii="宋体" w:hAnsi="宋体" w:cs="宋体"/>
          <w:b/>
          <w:sz w:val="28"/>
          <w:szCs w:val="28"/>
          <w:highlight w:val="none"/>
        </w:rPr>
      </w:pPr>
      <w:bookmarkStart w:id="151" w:name="_Toc14784"/>
      <w:bookmarkStart w:id="152" w:name="_Toc16788"/>
      <w:r>
        <w:rPr>
          <w:rFonts w:hint="eastAsia" w:ascii="宋体" w:hAnsi="宋体" w:cs="宋体"/>
          <w:b/>
          <w:kern w:val="2"/>
          <w:sz w:val="28"/>
          <w:szCs w:val="28"/>
          <w:highlight w:val="none"/>
        </w:rPr>
        <w:t>十、其他资料</w:t>
      </w:r>
      <w:bookmarkEnd w:id="151"/>
      <w:bookmarkEnd w:id="152"/>
    </w:p>
    <w:p w14:paraId="2E319D78">
      <w:pPr>
        <w:widowControl w:val="0"/>
        <w:spacing w:line="360" w:lineRule="auto"/>
        <w:jc w:val="center"/>
        <w:rPr>
          <w:rFonts w:hint="eastAsia" w:ascii="宋体" w:hAnsi="宋体" w:cs="宋体"/>
          <w:b/>
          <w:sz w:val="28"/>
          <w:szCs w:val="28"/>
          <w:highlight w:val="none"/>
        </w:rPr>
      </w:pPr>
      <w:r>
        <w:rPr>
          <w:rFonts w:hint="eastAsia" w:ascii="宋体" w:hAnsi="宋体" w:cs="宋体"/>
          <w:b/>
          <w:kern w:val="2"/>
          <w:sz w:val="28"/>
          <w:szCs w:val="28"/>
          <w:highlight w:val="none"/>
        </w:rPr>
        <w:t xml:space="preserve"> </w:t>
      </w:r>
      <w:bookmarkStart w:id="153" w:name="_Toc461977439"/>
      <w:bookmarkEnd w:id="153"/>
    </w:p>
    <w:p w14:paraId="4072C508">
      <w:pPr>
        <w:widowControl w:val="0"/>
        <w:spacing w:line="360" w:lineRule="auto"/>
        <w:ind w:firstLine="480" w:firstLineChars="200"/>
        <w:jc w:val="center"/>
        <w:rPr>
          <w:rFonts w:hint="eastAsia" w:ascii="宋体" w:hAnsi="宋体" w:cs="宋体"/>
          <w:bCs/>
          <w:sz w:val="24"/>
          <w:szCs w:val="24"/>
          <w:highlight w:val="none"/>
        </w:rPr>
      </w:pPr>
      <w:r>
        <w:rPr>
          <w:rFonts w:hint="eastAsia" w:ascii="宋体" w:hAnsi="宋体" w:cs="宋体"/>
          <w:bCs/>
          <w:sz w:val="24"/>
          <w:szCs w:val="24"/>
          <w:highlight w:val="none"/>
        </w:rPr>
        <w:t>评分办法中的其他资料及供应商认为应附的其他资料并逐页签章</w:t>
      </w:r>
    </w:p>
    <w:p w14:paraId="0DFDA5D7">
      <w:pPr>
        <w:widowControl w:val="0"/>
        <w:jc w:val="both"/>
        <w:rPr>
          <w:rFonts w:hint="eastAsia" w:ascii="宋体" w:hAnsi="宋体" w:cs="宋体"/>
          <w:sz w:val="28"/>
          <w:szCs w:val="28"/>
          <w:highlight w:val="none"/>
        </w:rPr>
      </w:pPr>
    </w:p>
    <w:p w14:paraId="56CFEC17">
      <w:pPr>
        <w:spacing w:line="480" w:lineRule="auto"/>
        <w:jc w:val="both"/>
        <w:rPr>
          <w:rFonts w:hint="eastAsia" w:ascii="宋体" w:hAnsi="宋体" w:cs="宋体"/>
          <w:b/>
          <w:bCs/>
          <w:sz w:val="32"/>
          <w:szCs w:val="32"/>
          <w:highlight w:val="none"/>
        </w:rPr>
      </w:pPr>
    </w:p>
    <w:p w14:paraId="01A11709">
      <w:pPr>
        <w:spacing w:line="480" w:lineRule="auto"/>
        <w:jc w:val="both"/>
        <w:rPr>
          <w:rFonts w:hint="eastAsia" w:ascii="宋体" w:hAnsi="宋体" w:cs="宋体"/>
          <w:b/>
          <w:bCs/>
          <w:sz w:val="32"/>
          <w:szCs w:val="32"/>
          <w:highlight w:val="none"/>
        </w:rPr>
      </w:pPr>
    </w:p>
    <w:p w14:paraId="1BFD5E3B">
      <w:pPr>
        <w:spacing w:line="480" w:lineRule="auto"/>
        <w:jc w:val="both"/>
        <w:rPr>
          <w:rFonts w:hint="eastAsia" w:ascii="宋体" w:hAnsi="宋体" w:cs="宋体"/>
          <w:b/>
          <w:bCs/>
          <w:sz w:val="32"/>
          <w:szCs w:val="32"/>
          <w:highlight w:val="none"/>
        </w:rPr>
      </w:pPr>
    </w:p>
    <w:p w14:paraId="6214CC7B">
      <w:pPr>
        <w:spacing w:line="480" w:lineRule="auto"/>
        <w:jc w:val="both"/>
        <w:rPr>
          <w:rFonts w:hint="eastAsia" w:ascii="宋体" w:hAnsi="宋体" w:cs="宋体"/>
          <w:b/>
          <w:bCs/>
          <w:sz w:val="32"/>
          <w:szCs w:val="32"/>
          <w:highlight w:val="none"/>
        </w:rPr>
      </w:pPr>
    </w:p>
    <w:p w14:paraId="52F5883A">
      <w:pPr>
        <w:spacing w:line="480" w:lineRule="auto"/>
        <w:jc w:val="both"/>
        <w:rPr>
          <w:rFonts w:hint="eastAsia" w:ascii="宋体" w:hAnsi="宋体" w:cs="宋体"/>
          <w:b/>
          <w:bCs/>
          <w:sz w:val="32"/>
          <w:szCs w:val="32"/>
          <w:highlight w:val="none"/>
        </w:rPr>
      </w:pPr>
    </w:p>
    <w:p w14:paraId="3077ECB1">
      <w:pPr>
        <w:spacing w:line="480" w:lineRule="auto"/>
        <w:jc w:val="both"/>
        <w:rPr>
          <w:rFonts w:hint="eastAsia" w:ascii="宋体" w:hAnsi="宋体" w:cs="宋体"/>
          <w:b/>
          <w:bCs/>
          <w:sz w:val="32"/>
          <w:szCs w:val="32"/>
          <w:highlight w:val="none"/>
        </w:rPr>
      </w:pPr>
    </w:p>
    <w:p w14:paraId="03C0110E">
      <w:pPr>
        <w:spacing w:line="480" w:lineRule="auto"/>
        <w:jc w:val="both"/>
        <w:rPr>
          <w:rFonts w:hint="eastAsia" w:ascii="宋体" w:hAnsi="宋体" w:cs="宋体"/>
          <w:b/>
          <w:bCs/>
          <w:sz w:val="32"/>
          <w:szCs w:val="32"/>
          <w:highlight w:val="none"/>
        </w:rPr>
      </w:pPr>
    </w:p>
    <w:p w14:paraId="7A5AF5E3">
      <w:pPr>
        <w:spacing w:line="480" w:lineRule="auto"/>
        <w:jc w:val="both"/>
        <w:rPr>
          <w:rFonts w:hint="eastAsia" w:ascii="宋体" w:hAnsi="宋体" w:cs="宋体"/>
          <w:b/>
          <w:bCs/>
          <w:sz w:val="32"/>
          <w:szCs w:val="32"/>
          <w:highlight w:val="none"/>
        </w:rPr>
      </w:pPr>
    </w:p>
    <w:p w14:paraId="0E980153">
      <w:pPr>
        <w:spacing w:line="480" w:lineRule="auto"/>
        <w:jc w:val="both"/>
        <w:rPr>
          <w:rFonts w:hint="eastAsia" w:ascii="宋体" w:hAnsi="宋体" w:cs="宋体"/>
          <w:b/>
          <w:bCs/>
          <w:sz w:val="32"/>
          <w:szCs w:val="32"/>
          <w:highlight w:val="none"/>
        </w:rPr>
      </w:pPr>
    </w:p>
    <w:p w14:paraId="78778A5E">
      <w:pPr>
        <w:spacing w:line="480" w:lineRule="auto"/>
        <w:jc w:val="both"/>
        <w:rPr>
          <w:rFonts w:hint="eastAsia" w:ascii="宋体" w:hAnsi="宋体" w:cs="宋体"/>
          <w:b/>
          <w:bCs/>
          <w:sz w:val="32"/>
          <w:szCs w:val="32"/>
          <w:highlight w:val="none"/>
        </w:rPr>
      </w:pPr>
    </w:p>
    <w:p w14:paraId="1D04215A">
      <w:pPr>
        <w:spacing w:line="480" w:lineRule="auto"/>
        <w:jc w:val="both"/>
        <w:rPr>
          <w:rFonts w:hint="eastAsia" w:ascii="宋体" w:hAnsi="宋体" w:cs="宋体"/>
          <w:b/>
          <w:bCs/>
          <w:sz w:val="32"/>
          <w:szCs w:val="32"/>
          <w:highlight w:val="none"/>
        </w:rPr>
      </w:pPr>
    </w:p>
    <w:p w14:paraId="42802E12">
      <w:pPr>
        <w:spacing w:line="480" w:lineRule="auto"/>
        <w:jc w:val="both"/>
        <w:rPr>
          <w:rFonts w:hint="eastAsia" w:ascii="宋体" w:hAnsi="宋体" w:cs="宋体"/>
          <w:b/>
          <w:bCs/>
          <w:sz w:val="32"/>
          <w:szCs w:val="32"/>
          <w:highlight w:val="none"/>
        </w:rPr>
      </w:pPr>
    </w:p>
    <w:p w14:paraId="4A74411B">
      <w:pPr>
        <w:spacing w:line="480" w:lineRule="auto"/>
        <w:jc w:val="both"/>
        <w:rPr>
          <w:rFonts w:hint="eastAsia" w:ascii="宋体" w:hAnsi="宋体" w:cs="宋体"/>
          <w:b/>
          <w:bCs/>
          <w:sz w:val="32"/>
          <w:szCs w:val="32"/>
          <w:highlight w:val="none"/>
        </w:rPr>
      </w:pPr>
    </w:p>
    <w:p w14:paraId="68F2771B">
      <w:pPr>
        <w:spacing w:line="480" w:lineRule="auto"/>
        <w:jc w:val="both"/>
        <w:rPr>
          <w:rFonts w:hint="eastAsia" w:ascii="宋体" w:hAnsi="宋体" w:cs="宋体"/>
          <w:b/>
          <w:bCs/>
          <w:sz w:val="32"/>
          <w:szCs w:val="32"/>
          <w:highlight w:val="none"/>
        </w:rPr>
      </w:pPr>
    </w:p>
    <w:p w14:paraId="38D03FE5">
      <w:pPr>
        <w:spacing w:line="480" w:lineRule="auto"/>
        <w:jc w:val="both"/>
        <w:rPr>
          <w:rFonts w:hint="eastAsia" w:ascii="宋体" w:hAnsi="宋体" w:cs="宋体"/>
          <w:b/>
          <w:bCs/>
          <w:sz w:val="32"/>
          <w:szCs w:val="32"/>
          <w:highlight w:val="none"/>
        </w:rPr>
      </w:pPr>
    </w:p>
    <w:p w14:paraId="282FFC0D">
      <w:pPr>
        <w:spacing w:line="480" w:lineRule="auto"/>
        <w:jc w:val="both"/>
        <w:rPr>
          <w:rFonts w:hint="eastAsia" w:ascii="宋体" w:hAnsi="宋体" w:cs="宋体"/>
          <w:b/>
          <w:bCs/>
          <w:sz w:val="32"/>
          <w:szCs w:val="32"/>
          <w:highlight w:val="none"/>
        </w:rPr>
      </w:pPr>
    </w:p>
    <w:p w14:paraId="53E5399E">
      <w:pPr>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br w:type="page"/>
      </w:r>
    </w:p>
    <w:p w14:paraId="1BE03366">
      <w:pPr>
        <w:rPr>
          <w:rFonts w:hint="eastAsia"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附件</w:t>
      </w:r>
    </w:p>
    <w:p w14:paraId="03209119">
      <w:pPr>
        <w:spacing w:line="360" w:lineRule="auto"/>
        <w:jc w:val="center"/>
        <w:outlineLvl w:val="1"/>
        <w:rPr>
          <w:rFonts w:hint="eastAsia" w:ascii="宋体" w:hAnsi="宋体" w:cs="宋体"/>
          <w:b/>
          <w:bCs/>
          <w:color w:val="000000" w:themeColor="text1"/>
          <w:sz w:val="32"/>
          <w:szCs w:val="32"/>
          <w:highlight w:val="none"/>
          <w14:textFill>
            <w14:solidFill>
              <w14:schemeClr w14:val="tx1"/>
            </w14:solidFill>
          </w14:textFill>
        </w:rPr>
      </w:pPr>
      <w:bookmarkStart w:id="154" w:name="_Toc15511"/>
      <w:bookmarkStart w:id="155" w:name="_Toc28407"/>
      <w:r>
        <w:rPr>
          <w:rFonts w:hint="eastAsia" w:ascii="宋体" w:hAnsi="宋体" w:cs="宋体"/>
          <w:b/>
          <w:bCs/>
          <w:color w:val="000000" w:themeColor="text1"/>
          <w:sz w:val="32"/>
          <w:szCs w:val="32"/>
          <w:highlight w:val="none"/>
          <w14:textFill>
            <w14:solidFill>
              <w14:schemeClr w14:val="tx1"/>
            </w14:solidFill>
          </w14:textFill>
        </w:rPr>
        <w:t>中小企业声明函（服务）（如有）</w:t>
      </w:r>
      <w:bookmarkEnd w:id="154"/>
      <w:bookmarkEnd w:id="155"/>
    </w:p>
    <w:p w14:paraId="136B12AC">
      <w:pPr>
        <w:spacing w:line="360" w:lineRule="auto"/>
        <w:rPr>
          <w:rFonts w:hint="eastAsia" w:ascii="宋体" w:hAnsi="宋体" w:cs="宋体"/>
          <w:color w:val="000000" w:themeColor="text1"/>
          <w:sz w:val="28"/>
          <w:szCs w:val="28"/>
          <w:highlight w:val="none"/>
          <w:u w:val="single"/>
          <w14:textFill>
            <w14:solidFill>
              <w14:schemeClr w14:val="tx1"/>
            </w14:solidFill>
          </w14:textFill>
        </w:rPr>
      </w:pPr>
    </w:p>
    <w:p w14:paraId="0DB818DF">
      <w:pPr>
        <w:spacing w:line="60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本公司郑重声明，根据《政府采购促进中小企业发展管理办法》（财库</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2020</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46号）的规定，本公司参加</w:t>
      </w:r>
      <w:r>
        <w:rPr>
          <w:rFonts w:ascii="宋体" w:hAnsi="宋体" w:cs="宋体"/>
          <w:color w:val="000000" w:themeColor="text1"/>
          <w:sz w:val="24"/>
          <w:szCs w:val="24"/>
          <w:highlight w:val="none"/>
          <w:u w:val="single"/>
          <w14:textFill>
            <w14:solidFill>
              <w14:schemeClr w14:val="tx1"/>
            </w14:solidFill>
          </w14:textFill>
        </w:rPr>
        <w:t>（单位名称）</w:t>
      </w:r>
      <w:r>
        <w:rPr>
          <w:rFonts w:ascii="宋体" w:hAnsi="宋体" w:cs="宋体"/>
          <w:color w:val="000000" w:themeColor="text1"/>
          <w:sz w:val="24"/>
          <w:szCs w:val="24"/>
          <w:highlight w:val="none"/>
          <w14:textFill>
            <w14:solidFill>
              <w14:schemeClr w14:val="tx1"/>
            </w14:solidFill>
          </w14:textFill>
        </w:rPr>
        <w:t>的</w:t>
      </w:r>
      <w:r>
        <w:rPr>
          <w:rFonts w:ascii="宋体" w:hAnsi="宋体" w:cs="宋体"/>
          <w:color w:val="000000" w:themeColor="text1"/>
          <w:sz w:val="24"/>
          <w:szCs w:val="24"/>
          <w:highlight w:val="none"/>
          <w:u w:val="single"/>
          <w14:textFill>
            <w14:solidFill>
              <w14:schemeClr w14:val="tx1"/>
            </w14:solidFill>
          </w14:textFill>
        </w:rPr>
        <w:t>（项目名称）</w:t>
      </w:r>
      <w:r>
        <w:rPr>
          <w:rFonts w:ascii="宋体" w:hAnsi="宋体" w:cs="宋体"/>
          <w:color w:val="000000" w:themeColor="text1"/>
          <w:sz w:val="24"/>
          <w:szCs w:val="24"/>
          <w:highlight w:val="none"/>
          <w14:textFill>
            <w14:solidFill>
              <w14:schemeClr w14:val="tx1"/>
            </w14:solidFill>
          </w14:textFill>
        </w:rPr>
        <w:t>采购</w:t>
      </w:r>
      <w:r>
        <w:rPr>
          <w:rFonts w:hint="eastAsia" w:ascii="宋体" w:hAnsi="宋体" w:cs="宋体"/>
          <w:color w:val="000000" w:themeColor="text1"/>
          <w:sz w:val="24"/>
          <w:szCs w:val="24"/>
          <w:highlight w:val="none"/>
          <w14:textFill>
            <w14:solidFill>
              <w14:schemeClr w14:val="tx1"/>
            </w14:solidFill>
          </w14:textFill>
        </w:rPr>
        <w:t>活动</w:t>
      </w:r>
      <w:r>
        <w:rPr>
          <w:rFonts w:ascii="宋体" w:hAnsi="宋体" w:cs="宋体"/>
          <w:color w:val="000000" w:themeColor="text1"/>
          <w:sz w:val="24"/>
          <w:szCs w:val="24"/>
          <w:highlight w:val="none"/>
          <w14:textFill>
            <w14:solidFill>
              <w14:schemeClr w14:val="tx1"/>
            </w14:solidFill>
          </w14:textFill>
        </w:rPr>
        <w:t>，服务全部由符合政策要求的中小企业承接</w:t>
      </w:r>
      <w:r>
        <w:rPr>
          <w:rFonts w:hint="eastAsia" w:ascii="宋体" w:hAnsi="宋体" w:cs="宋体"/>
          <w:color w:val="000000" w:themeColor="text1"/>
          <w:sz w:val="24"/>
          <w:szCs w:val="24"/>
          <w:highlight w:val="none"/>
          <w14:textFill>
            <w14:solidFill>
              <w14:schemeClr w14:val="tx1"/>
            </w14:solidFill>
          </w14:textFill>
        </w:rPr>
        <w:t>。</w:t>
      </w:r>
      <w:r>
        <w:rPr>
          <w:rFonts w:ascii="宋体" w:hAnsi="宋体" w:cs="宋体"/>
          <w:color w:val="000000" w:themeColor="text1"/>
          <w:sz w:val="24"/>
          <w:szCs w:val="24"/>
          <w:highlight w:val="none"/>
          <w14:textFill>
            <w14:solidFill>
              <w14:schemeClr w14:val="tx1"/>
            </w14:solidFill>
          </w14:textFill>
        </w:rPr>
        <w:t>相关企业的具体情况如下</w:t>
      </w:r>
      <w:r>
        <w:rPr>
          <w:rFonts w:hint="eastAsia" w:ascii="宋体" w:hAnsi="宋体" w:cs="宋体"/>
          <w:color w:val="000000" w:themeColor="text1"/>
          <w:sz w:val="24"/>
          <w:szCs w:val="24"/>
          <w:highlight w:val="none"/>
          <w14:textFill>
            <w14:solidFill>
              <w14:schemeClr w14:val="tx1"/>
            </w14:solidFill>
          </w14:textFill>
        </w:rPr>
        <w:t>：</w:t>
      </w:r>
    </w:p>
    <w:p w14:paraId="6A9ED8F5">
      <w:pPr>
        <w:spacing w:line="60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u w:val="single"/>
          <w14:textFill>
            <w14:solidFill>
              <w14:schemeClr w14:val="tx1"/>
            </w14:solidFill>
          </w14:textFill>
        </w:rPr>
        <w:t>（标的名称）</w:t>
      </w:r>
      <w:r>
        <w:rPr>
          <w:rFonts w:hint="eastAsia" w:ascii="宋体" w:hAnsi="宋体" w:cs="宋体"/>
          <w:color w:val="000000" w:themeColor="text1"/>
          <w:sz w:val="24"/>
          <w:szCs w:val="24"/>
          <w:highlight w:val="none"/>
          <w14:textFill>
            <w14:solidFill>
              <w14:schemeClr w14:val="tx1"/>
            </w14:solidFill>
          </w14:textFill>
        </w:rPr>
        <w:t>，属于</w:t>
      </w:r>
      <w:r>
        <w:rPr>
          <w:rFonts w:hint="eastAsia" w:ascii="宋体" w:hAnsi="宋体" w:cs="宋体"/>
          <w:color w:val="000000" w:themeColor="text1"/>
          <w:sz w:val="24"/>
          <w:szCs w:val="24"/>
          <w:highlight w:val="none"/>
          <w:u w:val="single"/>
          <w14:textFill>
            <w14:solidFill>
              <w14:schemeClr w14:val="tx1"/>
            </w14:solidFill>
          </w14:textFill>
        </w:rPr>
        <w:t>（采购文件中明确的所属行业）</w:t>
      </w:r>
      <w:r>
        <w:rPr>
          <w:rFonts w:hint="eastAsia" w:ascii="宋体" w:hAnsi="宋体" w:cs="宋体"/>
          <w:color w:val="000000" w:themeColor="text1"/>
          <w:sz w:val="24"/>
          <w:szCs w:val="24"/>
          <w:highlight w:val="none"/>
          <w14:textFill>
            <w14:solidFill>
              <w14:schemeClr w14:val="tx1"/>
            </w14:solidFill>
          </w14:textFill>
        </w:rPr>
        <w:t>；承接企业为</w:t>
      </w:r>
      <w:r>
        <w:rPr>
          <w:rFonts w:hint="eastAsia" w:ascii="宋体" w:hAnsi="宋体" w:cs="宋体"/>
          <w:color w:val="000000" w:themeColor="text1"/>
          <w:sz w:val="24"/>
          <w:szCs w:val="24"/>
          <w:highlight w:val="none"/>
          <w:u w:val="single"/>
          <w14:textFill>
            <w14:solidFill>
              <w14:schemeClr w14:val="tx1"/>
            </w14:solidFill>
          </w14:textFill>
        </w:rPr>
        <w:t>（企业名称）</w:t>
      </w:r>
      <w:r>
        <w:rPr>
          <w:rFonts w:hint="eastAsia" w:ascii="宋体" w:hAnsi="宋体" w:cs="宋体"/>
          <w:color w:val="000000" w:themeColor="text1"/>
          <w:sz w:val="24"/>
          <w:szCs w:val="24"/>
          <w:highlight w:val="none"/>
          <w14:textFill>
            <w14:solidFill>
              <w14:schemeClr w14:val="tx1"/>
            </w14:solidFill>
          </w14:textFill>
        </w:rPr>
        <w:t>，从业人员人，营业收入为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万元，资产总额为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万元，属于</w:t>
      </w:r>
      <w:r>
        <w:rPr>
          <w:rFonts w:hint="eastAsia" w:ascii="宋体" w:hAnsi="宋体" w:cs="宋体"/>
          <w:color w:val="000000" w:themeColor="text1"/>
          <w:sz w:val="24"/>
          <w:szCs w:val="24"/>
          <w:highlight w:val="none"/>
          <w:u w:val="single"/>
          <w14:textFill>
            <w14:solidFill>
              <w14:schemeClr w14:val="tx1"/>
            </w14:solidFill>
          </w14:textFill>
        </w:rPr>
        <w:t>（中型企业、小型企业、微型企业）</w:t>
      </w:r>
      <w:r>
        <w:rPr>
          <w:rFonts w:hint="eastAsia" w:ascii="宋体" w:hAnsi="宋体" w:cs="宋体"/>
          <w:color w:val="000000" w:themeColor="text1"/>
          <w:sz w:val="24"/>
          <w:szCs w:val="24"/>
          <w:highlight w:val="none"/>
          <w14:textFill>
            <w14:solidFill>
              <w14:schemeClr w14:val="tx1"/>
            </w14:solidFill>
          </w14:textFill>
        </w:rPr>
        <w:t>；</w:t>
      </w:r>
    </w:p>
    <w:p w14:paraId="6AF626D0">
      <w:pPr>
        <w:spacing w:line="60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003BE46A">
      <w:pPr>
        <w:spacing w:line="600" w:lineRule="exact"/>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本企业对上述声明内容的真实性负责。如有虚假，将依法承担相应责任。</w:t>
      </w:r>
    </w:p>
    <w:p w14:paraId="14B66AE3">
      <w:pPr>
        <w:spacing w:line="600" w:lineRule="exact"/>
        <w:ind w:right="560" w:firstLine="480" w:firstLineChars="200"/>
        <w:rPr>
          <w:rFonts w:hint="eastAsia" w:ascii="宋体" w:hAnsi="宋体" w:cs="宋体"/>
          <w:color w:val="000000" w:themeColor="text1"/>
          <w:sz w:val="24"/>
          <w:szCs w:val="24"/>
          <w:highlight w:val="none"/>
          <w14:textFill>
            <w14:solidFill>
              <w14:schemeClr w14:val="tx1"/>
            </w14:solidFill>
          </w14:textFill>
        </w:rPr>
      </w:pPr>
    </w:p>
    <w:p w14:paraId="352F38AB">
      <w:pPr>
        <w:spacing w:line="600" w:lineRule="exact"/>
        <w:ind w:right="560" w:firstLine="480" w:firstLineChars="200"/>
        <w:rPr>
          <w:rFonts w:hint="eastAsia" w:ascii="宋体" w:hAnsi="宋体" w:cs="宋体"/>
          <w:color w:val="000000" w:themeColor="text1"/>
          <w:sz w:val="24"/>
          <w:szCs w:val="24"/>
          <w:highlight w:val="none"/>
          <w14:textFill>
            <w14:solidFill>
              <w14:schemeClr w14:val="tx1"/>
            </w14:solidFill>
          </w14:textFill>
        </w:rPr>
      </w:pPr>
    </w:p>
    <w:p w14:paraId="76CF7304">
      <w:pPr>
        <w:spacing w:line="440" w:lineRule="exact"/>
        <w:ind w:firstLine="2400" w:firstLineChars="1000"/>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供应商名称：（签章）</w:t>
      </w:r>
    </w:p>
    <w:p w14:paraId="1458F907">
      <w:pPr>
        <w:spacing w:line="360" w:lineRule="auto"/>
        <w:ind w:right="560" w:firstLine="664" w:firstLineChars="200"/>
        <w:jc w:val="right"/>
        <w:rPr>
          <w:rFonts w:hint="eastAsia" w:ascii="宋体" w:hAnsi="宋体" w:cs="宋体"/>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pacing w:val="46"/>
          <w:sz w:val="24"/>
          <w:szCs w:val="24"/>
          <w:highlight w:val="none"/>
          <w14:textFill>
            <w14:solidFill>
              <w14:schemeClr w14:val="tx1"/>
            </w14:solidFill>
          </w14:textFill>
        </w:rPr>
        <w:t>日 期： 年 月 日</w:t>
      </w:r>
    </w:p>
    <w:p w14:paraId="5E21D367">
      <w:pPr>
        <w:spacing w:line="360" w:lineRule="auto"/>
        <w:ind w:right="560" w:firstLine="480" w:firstLineChars="200"/>
        <w:rPr>
          <w:rFonts w:hint="eastAsia" w:ascii="宋体" w:hAnsi="宋体" w:cs="宋体"/>
          <w:color w:val="000000" w:themeColor="text1"/>
          <w:sz w:val="24"/>
          <w:szCs w:val="24"/>
          <w:highlight w:val="none"/>
          <w14:textFill>
            <w14:solidFill>
              <w14:schemeClr w14:val="tx1"/>
            </w14:solidFill>
          </w14:textFill>
        </w:rPr>
      </w:pPr>
    </w:p>
    <w:p w14:paraId="52B7F2A7">
      <w:pPr>
        <w:spacing w:line="360" w:lineRule="auto"/>
        <w:ind w:right="560"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注：从业人员、营业收入、资产总额填报上一年度数据，无上一年度数据的新成立企业可不填报。</w:t>
      </w:r>
    </w:p>
    <w:p w14:paraId="75E4E182">
      <w:pPr>
        <w:spacing w:line="360" w:lineRule="auto"/>
        <w:ind w:right="560" w:firstLine="400" w:firstLineChars="200"/>
        <w:rPr>
          <w:rFonts w:hint="eastAsia" w:ascii="宋体" w:hAnsi="宋体" w:cs="宋体"/>
          <w:color w:val="000000" w:themeColor="text1"/>
          <w:szCs w:val="28"/>
          <w:highlight w:val="none"/>
          <w14:textFill>
            <w14:solidFill>
              <w14:schemeClr w14:val="tx1"/>
            </w14:solidFill>
          </w14:textFill>
        </w:rPr>
      </w:pPr>
    </w:p>
    <w:p w14:paraId="68AC2731">
      <w:pPr>
        <w:spacing w:line="360" w:lineRule="auto"/>
        <w:ind w:right="560" w:firstLine="400" w:firstLineChars="200"/>
        <w:rPr>
          <w:rFonts w:hint="eastAsia" w:ascii="宋体" w:hAnsi="宋体" w:cs="宋体"/>
          <w:color w:val="000000" w:themeColor="text1"/>
          <w:szCs w:val="28"/>
          <w:highlight w:val="none"/>
          <w14:textFill>
            <w14:solidFill>
              <w14:schemeClr w14:val="tx1"/>
            </w14:solidFill>
          </w14:textFill>
        </w:rPr>
      </w:pPr>
    </w:p>
    <w:p w14:paraId="2F688374">
      <w:pPr>
        <w:rPr>
          <w:rFonts w:hint="eastAsia" w:ascii="宋体" w:hAnsi="宋体"/>
          <w:b/>
          <w:color w:val="000000" w:themeColor="text1"/>
          <w:sz w:val="30"/>
          <w:szCs w:val="24"/>
          <w:highlight w:val="none"/>
          <w14:textFill>
            <w14:solidFill>
              <w14:schemeClr w14:val="tx1"/>
            </w14:solidFill>
          </w14:textFill>
        </w:rPr>
      </w:pPr>
      <w:bookmarkStart w:id="156" w:name="_Toc23336"/>
      <w:bookmarkStart w:id="157" w:name="OLE_LINK13"/>
      <w:bookmarkStart w:id="158" w:name="OLE_LINK14"/>
      <w:r>
        <w:rPr>
          <w:rFonts w:hint="eastAsia" w:ascii="宋体" w:hAnsi="宋体"/>
          <w:b/>
          <w:color w:val="000000" w:themeColor="text1"/>
          <w:sz w:val="30"/>
          <w:szCs w:val="24"/>
          <w:highlight w:val="none"/>
          <w14:textFill>
            <w14:solidFill>
              <w14:schemeClr w14:val="tx1"/>
            </w14:solidFill>
          </w14:textFill>
        </w:rPr>
        <w:br w:type="page"/>
      </w:r>
    </w:p>
    <w:p w14:paraId="5787CE42">
      <w:pPr>
        <w:keepNext/>
        <w:keepLines/>
        <w:tabs>
          <w:tab w:val="left" w:pos="840"/>
        </w:tabs>
        <w:spacing w:before="260" w:after="260" w:line="412" w:lineRule="auto"/>
        <w:ind w:left="420"/>
        <w:jc w:val="center"/>
        <w:outlineLvl w:val="1"/>
        <w:rPr>
          <w:rFonts w:hint="eastAsia" w:ascii="宋体" w:hAnsi="宋体"/>
          <w:b/>
          <w:color w:val="000000" w:themeColor="text1"/>
          <w:sz w:val="30"/>
          <w:szCs w:val="24"/>
          <w:highlight w:val="none"/>
          <w14:textFill>
            <w14:solidFill>
              <w14:schemeClr w14:val="tx1"/>
            </w14:solidFill>
          </w14:textFill>
        </w:rPr>
      </w:pPr>
      <w:bookmarkStart w:id="159" w:name="_Toc30415"/>
      <w:bookmarkStart w:id="160" w:name="_Toc25642"/>
      <w:r>
        <w:rPr>
          <w:rFonts w:hint="eastAsia" w:ascii="宋体" w:hAnsi="宋体"/>
          <w:b/>
          <w:color w:val="000000" w:themeColor="text1"/>
          <w:sz w:val="30"/>
          <w:szCs w:val="24"/>
          <w:highlight w:val="none"/>
          <w14:textFill>
            <w14:solidFill>
              <w14:schemeClr w14:val="tx1"/>
            </w14:solidFill>
          </w14:textFill>
        </w:rPr>
        <w:t>残疾人福利性单位声明函</w:t>
      </w:r>
      <w:r>
        <w:rPr>
          <w:rFonts w:hint="eastAsia" w:ascii="宋体" w:hAnsi="宋体" w:cs="微软雅黑"/>
          <w:b/>
          <w:color w:val="000000" w:themeColor="text1"/>
          <w:sz w:val="30"/>
          <w:szCs w:val="21"/>
          <w:highlight w:val="none"/>
          <w14:textFill>
            <w14:solidFill>
              <w14:schemeClr w14:val="tx1"/>
            </w14:solidFill>
          </w14:textFill>
        </w:rPr>
        <w:t>（如有）</w:t>
      </w:r>
      <w:bookmarkEnd w:id="156"/>
      <w:bookmarkEnd w:id="159"/>
      <w:bookmarkEnd w:id="160"/>
    </w:p>
    <w:bookmarkEnd w:id="157"/>
    <w:bookmarkEnd w:id="158"/>
    <w:p w14:paraId="1000A102">
      <w:pPr>
        <w:spacing w:line="360" w:lineRule="auto"/>
        <w:rPr>
          <w:rFonts w:hint="eastAsia" w:ascii="宋体" w:hAnsi="宋体" w:cs="宋体"/>
          <w:b/>
          <w:color w:val="000000" w:themeColor="text1"/>
          <w:spacing w:val="6"/>
          <w:szCs w:val="21"/>
          <w:highlight w:val="none"/>
          <w14:textFill>
            <w14:solidFill>
              <w14:schemeClr w14:val="tx1"/>
            </w14:solidFill>
          </w14:textFill>
        </w:rPr>
      </w:pPr>
    </w:p>
    <w:p w14:paraId="032D73D7">
      <w:pPr>
        <w:spacing w:line="360" w:lineRule="auto"/>
        <w:ind w:firstLine="504" w:firstLineChars="200"/>
        <w:rPr>
          <w:rFonts w:hint="eastAsia" w:ascii="宋体" w:hAnsi="宋体" w:cs="宋体"/>
          <w:color w:val="000000" w:themeColor="text1"/>
          <w:spacing w:val="6"/>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本单位郑重声明，根据《财政部民政部中国残疾人联合会关于促进残疾人就业政府采购政策的通知》（财库</w:t>
      </w:r>
      <w:r>
        <w:rPr>
          <w:rFonts w:hint="eastAsia" w:ascii="宋体" w:hAnsi="宋体" w:cs="宋体"/>
          <w:color w:val="000000" w:themeColor="text1"/>
          <w:sz w:val="24"/>
          <w:szCs w:val="24"/>
          <w:highlight w:val="none"/>
          <w14:textFill>
            <w14:solidFill>
              <w14:schemeClr w14:val="tx1"/>
            </w14:solidFill>
          </w14:textFill>
        </w:rPr>
        <w:t>〔2017〕 141</w:t>
      </w:r>
      <w:r>
        <w:rPr>
          <w:rFonts w:hint="eastAsia" w:ascii="宋体" w:hAnsi="宋体" w:cs="宋体"/>
          <w:color w:val="000000" w:themeColor="text1"/>
          <w:spacing w:val="6"/>
          <w:sz w:val="24"/>
          <w:szCs w:val="24"/>
          <w:highlight w:val="none"/>
          <w14:textFill>
            <w14:solidFill>
              <w14:schemeClr w14:val="tx1"/>
            </w14:solidFill>
          </w14:textFill>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01C1B5BB">
      <w:pPr>
        <w:spacing w:line="360" w:lineRule="auto"/>
        <w:ind w:firstLine="504" w:firstLineChars="200"/>
        <w:rPr>
          <w:rFonts w:hint="eastAsia" w:ascii="宋体" w:hAnsi="宋体" w:cs="宋体"/>
          <w:color w:val="000000" w:themeColor="text1"/>
          <w:spacing w:val="6"/>
          <w:sz w:val="24"/>
          <w:szCs w:val="24"/>
          <w:highlight w:val="none"/>
          <w14:textFill>
            <w14:solidFill>
              <w14:schemeClr w14:val="tx1"/>
            </w14:solidFill>
          </w14:textFill>
        </w:rPr>
      </w:pPr>
      <w:r>
        <w:rPr>
          <w:rFonts w:hint="eastAsia" w:ascii="宋体" w:hAnsi="宋体" w:cs="宋体"/>
          <w:color w:val="000000" w:themeColor="text1"/>
          <w:spacing w:val="6"/>
          <w:sz w:val="24"/>
          <w:szCs w:val="24"/>
          <w:highlight w:val="none"/>
          <w14:textFill>
            <w14:solidFill>
              <w14:schemeClr w14:val="tx1"/>
            </w14:solidFill>
          </w14:textFill>
        </w:rPr>
        <w:t>本单位对上述声明的真实性负责。如有虚假，将依法承担相应责任。</w:t>
      </w:r>
    </w:p>
    <w:p w14:paraId="7F658A5E">
      <w:pPr>
        <w:spacing w:line="360" w:lineRule="auto"/>
        <w:ind w:firstLine="504" w:firstLineChars="200"/>
        <w:rPr>
          <w:rFonts w:hint="eastAsia" w:ascii="宋体" w:hAnsi="宋体" w:cs="宋体"/>
          <w:color w:val="000000" w:themeColor="text1"/>
          <w:spacing w:val="6"/>
          <w:sz w:val="24"/>
          <w:szCs w:val="24"/>
          <w:highlight w:val="none"/>
          <w14:textFill>
            <w14:solidFill>
              <w14:schemeClr w14:val="tx1"/>
            </w14:solidFill>
          </w14:textFill>
        </w:rPr>
      </w:pPr>
    </w:p>
    <w:p w14:paraId="757A3B44">
      <w:pPr>
        <w:spacing w:line="360" w:lineRule="auto"/>
        <w:ind w:firstLine="504" w:firstLineChars="200"/>
        <w:rPr>
          <w:rFonts w:hint="eastAsia" w:ascii="宋体" w:hAnsi="宋体" w:cs="宋体"/>
          <w:color w:val="000000" w:themeColor="text1"/>
          <w:spacing w:val="6"/>
          <w:sz w:val="24"/>
          <w:szCs w:val="24"/>
          <w:highlight w:val="none"/>
          <w14:textFill>
            <w14:solidFill>
              <w14:schemeClr w14:val="tx1"/>
            </w14:solidFill>
          </w14:textFill>
        </w:rPr>
      </w:pPr>
    </w:p>
    <w:p w14:paraId="485780EC">
      <w:pPr>
        <w:spacing w:line="440" w:lineRule="exact"/>
        <w:ind w:firstLine="2400" w:firstLineChars="1000"/>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供应商名称：（签章）</w:t>
      </w:r>
    </w:p>
    <w:p w14:paraId="6EB683A8">
      <w:pPr>
        <w:tabs>
          <w:tab w:val="left" w:pos="4860"/>
        </w:tabs>
        <w:spacing w:line="360" w:lineRule="auto"/>
        <w:ind w:right="1560" w:firstLine="664" w:firstLineChars="200"/>
        <w:jc w:val="right"/>
        <w:rPr>
          <w:rFonts w:hint="eastAsia" w:ascii="宋体" w:hAnsi="宋体" w:cs="宋体"/>
          <w:color w:val="000000" w:themeColor="text1"/>
          <w:spacing w:val="6"/>
          <w:sz w:val="24"/>
          <w:szCs w:val="24"/>
          <w:highlight w:val="none"/>
          <w14:textFill>
            <w14:solidFill>
              <w14:schemeClr w14:val="tx1"/>
            </w14:solidFill>
          </w14:textFill>
        </w:rPr>
      </w:pPr>
      <w:r>
        <w:rPr>
          <w:rFonts w:hint="eastAsia" w:asciiTheme="minorEastAsia" w:hAnsiTheme="minorEastAsia"/>
          <w:color w:val="000000" w:themeColor="text1"/>
          <w:spacing w:val="46"/>
          <w:sz w:val="24"/>
          <w:szCs w:val="24"/>
          <w:highlight w:val="none"/>
          <w14:textFill>
            <w14:solidFill>
              <w14:schemeClr w14:val="tx1"/>
            </w14:solidFill>
          </w14:textFill>
        </w:rPr>
        <w:t>日 期： 年 月 日</w:t>
      </w:r>
    </w:p>
    <w:p w14:paraId="28129821">
      <w:pPr>
        <w:spacing w:line="360" w:lineRule="auto"/>
        <w:rPr>
          <w:rFonts w:hint="eastAsia" w:ascii="宋体" w:hAnsi="宋体" w:cs="宋体"/>
          <w:b/>
          <w:color w:val="000000" w:themeColor="text1"/>
          <w:sz w:val="24"/>
          <w:szCs w:val="24"/>
          <w:highlight w:val="none"/>
          <w14:textFill>
            <w14:solidFill>
              <w14:schemeClr w14:val="tx1"/>
            </w14:solidFill>
          </w14:textFill>
        </w:rPr>
      </w:pPr>
    </w:p>
    <w:p w14:paraId="6C62E33B">
      <w:pPr>
        <w:spacing w:line="360" w:lineRule="auto"/>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（提醒：如果</w:t>
      </w:r>
      <w:r>
        <w:rPr>
          <w:rFonts w:hint="eastAsia" w:ascii="宋体" w:hAnsi="宋体" w:cs="宋体"/>
          <w:b/>
          <w:color w:val="000000" w:themeColor="text1"/>
          <w:sz w:val="24"/>
          <w:szCs w:val="24"/>
          <w:highlight w:val="none"/>
          <w:lang w:val="en-US" w:eastAsia="zh-CN"/>
          <w14:textFill>
            <w14:solidFill>
              <w14:schemeClr w14:val="tx1"/>
            </w14:solidFill>
          </w14:textFill>
        </w:rPr>
        <w:t>供应商</w:t>
      </w:r>
      <w:r>
        <w:rPr>
          <w:rFonts w:hint="eastAsia" w:ascii="宋体" w:hAnsi="宋体" w:cs="宋体"/>
          <w:b/>
          <w:color w:val="000000" w:themeColor="text1"/>
          <w:spacing w:val="10"/>
          <w:sz w:val="24"/>
          <w:szCs w:val="24"/>
          <w:highlight w:val="none"/>
          <w14:textFill>
            <w14:solidFill>
              <w14:schemeClr w14:val="tx1"/>
            </w14:solidFill>
          </w14:textFill>
        </w:rPr>
        <w:t>不是残疾人福利性单位</w:t>
      </w:r>
      <w:r>
        <w:rPr>
          <w:rFonts w:hint="eastAsia" w:ascii="宋体" w:hAnsi="宋体" w:cs="宋体"/>
          <w:b/>
          <w:color w:val="000000" w:themeColor="text1"/>
          <w:sz w:val="24"/>
          <w:szCs w:val="24"/>
          <w:highlight w:val="none"/>
          <w14:textFill>
            <w14:solidFill>
              <w14:schemeClr w14:val="tx1"/>
            </w14:solidFill>
          </w14:textFill>
        </w:rPr>
        <w:t>，则不需要提供《残疾人福利性单位声明函</w:t>
      </w:r>
    </w:p>
    <w:p w14:paraId="28B445F2">
      <w:pPr>
        <w:spacing w:line="360" w:lineRule="auto"/>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p>
    <w:p w14:paraId="4C2C8668">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《财政部民政部中国残疾人联合会关于促进残疾人就业政府采购政策的通知》（财库（2017〔141〕号）的规定：</w:t>
      </w:r>
    </w:p>
    <w:p w14:paraId="632D2F27">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 享受政府采购支持政策的残疾人福利性单位应当同时满足以下条件：</w:t>
      </w:r>
    </w:p>
    <w:p w14:paraId="5776D02C">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（1）安置的残疾人占本单位在职职工人数的比例不低于25%（含25%），并且安置的残疾人人数不少于10人（含10人）；</w:t>
      </w:r>
    </w:p>
    <w:p w14:paraId="041CFC22">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（2）依法与安置的每位残疾人签订了一年以上（含一年）的劳动合同或服务协议；</w:t>
      </w:r>
    </w:p>
    <w:p w14:paraId="67015727">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（3）为安置的每位残疾人按月足额缴纳了基本养老保险、基本医疗保险、失业保险、工伤保险和生育保险等社会保险费；</w:t>
      </w:r>
    </w:p>
    <w:p w14:paraId="397952DA">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（4）通过银行等金融机构向安置的每位残疾人，按月支付了不低于单位所在区县适用的经省级人民政府批准的月最低工资标准的工资；</w:t>
      </w:r>
    </w:p>
    <w:p w14:paraId="7E6C4D4F">
      <w:pPr>
        <w:spacing w:line="360" w:lineRule="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14:paraId="1BDEC0EB">
      <w:pPr>
        <w:spacing w:line="360" w:lineRule="auto"/>
        <w:ind w:firstLine="480" w:firstLineChars="200"/>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2. </w:t>
      </w:r>
      <w:r>
        <w:rPr>
          <w:rFonts w:hint="eastAsia" w:ascii="宋体" w:hAnsi="宋体" w:cs="宋体"/>
          <w:color w:val="000000" w:themeColor="text1"/>
          <w:sz w:val="24"/>
          <w:szCs w:val="24"/>
          <w:highlight w:val="none"/>
          <w:lang w:eastAsia="zh-CN"/>
          <w14:textFill>
            <w14:solidFill>
              <w14:schemeClr w14:val="tx1"/>
            </w14:solidFill>
          </w14:textFill>
        </w:rPr>
        <w:t>成交</w:t>
      </w:r>
      <w:r>
        <w:rPr>
          <w:rFonts w:hint="eastAsia" w:ascii="宋体" w:hAnsi="宋体" w:cs="宋体"/>
          <w:color w:val="000000" w:themeColor="text1"/>
          <w:sz w:val="24"/>
          <w:szCs w:val="24"/>
          <w:highlight w:val="none"/>
          <w14:textFill>
            <w14:solidFill>
              <w14:schemeClr w14:val="tx1"/>
            </w14:solidFill>
          </w14:textFill>
        </w:rPr>
        <w:t>人为残疾人福利性单位的，采购人或者其委托的采购代理机构应当随中标、成交结果同时公告其《残疾人福利性单位声明函》，接受社会监督。</w:t>
      </w:r>
    </w:p>
    <w:p w14:paraId="4B9BBC88">
      <w:pPr>
        <w:keepNext/>
        <w:keepLines/>
        <w:tabs>
          <w:tab w:val="left" w:pos="840"/>
        </w:tabs>
        <w:spacing w:before="260" w:after="260" w:line="412" w:lineRule="auto"/>
        <w:ind w:left="420"/>
        <w:jc w:val="center"/>
        <w:outlineLvl w:val="1"/>
        <w:rPr>
          <w:rFonts w:hint="eastAsia" w:ascii="宋体" w:hAnsi="宋体"/>
          <w:b/>
          <w:color w:val="000000" w:themeColor="text1"/>
          <w:sz w:val="30"/>
          <w:szCs w:val="24"/>
          <w:highlight w:val="none"/>
          <w:lang w:val="en-GB"/>
          <w14:textFill>
            <w14:solidFill>
              <w14:schemeClr w14:val="tx1"/>
            </w14:solidFill>
          </w14:textFill>
        </w:rPr>
      </w:pPr>
      <w:bookmarkStart w:id="161" w:name="_Toc15900"/>
      <w:bookmarkStart w:id="162" w:name="_Toc9629"/>
      <w:bookmarkStart w:id="163" w:name="_Toc6772"/>
      <w:r>
        <w:rPr>
          <w:rFonts w:hint="eastAsia" w:ascii="宋体" w:hAnsi="宋体"/>
          <w:b/>
          <w:color w:val="000000" w:themeColor="text1"/>
          <w:sz w:val="30"/>
          <w:szCs w:val="24"/>
          <w:highlight w:val="none"/>
          <w:lang w:val="en-GB"/>
          <w14:textFill>
            <w14:solidFill>
              <w14:schemeClr w14:val="tx1"/>
            </w14:solidFill>
          </w14:textFill>
        </w:rPr>
        <w:t>监狱企业证明材料</w:t>
      </w:r>
      <w:r>
        <w:rPr>
          <w:rFonts w:hint="eastAsia" w:ascii="宋体" w:hAnsi="宋体" w:cs="微软雅黑"/>
          <w:b/>
          <w:color w:val="000000" w:themeColor="text1"/>
          <w:sz w:val="30"/>
          <w:szCs w:val="21"/>
          <w:highlight w:val="none"/>
          <w14:textFill>
            <w14:solidFill>
              <w14:schemeClr w14:val="tx1"/>
            </w14:solidFill>
          </w14:textFill>
        </w:rPr>
        <w:t>（如有）</w:t>
      </w:r>
      <w:bookmarkEnd w:id="161"/>
      <w:bookmarkEnd w:id="162"/>
      <w:bookmarkEnd w:id="163"/>
    </w:p>
    <w:p w14:paraId="309C79FC">
      <w:pPr>
        <w:rPr>
          <w:color w:val="000000" w:themeColor="text1"/>
          <w:highlight w:val="none"/>
          <w:lang w:val="en-GB"/>
          <w14:textFill>
            <w14:solidFill>
              <w14:schemeClr w14:val="tx1"/>
            </w14:solidFill>
          </w14:textFill>
        </w:rPr>
      </w:pPr>
    </w:p>
    <w:p w14:paraId="7E008472">
      <w:pPr>
        <w:spacing w:line="360" w:lineRule="auto"/>
        <w:ind w:firstLine="480" w:firstLineChars="200"/>
        <w:rPr>
          <w:color w:val="000000" w:themeColor="text1"/>
          <w:sz w:val="24"/>
          <w:szCs w:val="24"/>
          <w:highlight w:val="none"/>
          <w:lang w:val="en-GB"/>
          <w14:textFill>
            <w14:solidFill>
              <w14:schemeClr w14:val="tx1"/>
            </w14:solidFill>
          </w14:textFill>
        </w:rPr>
      </w:pPr>
      <w:r>
        <w:rPr>
          <w:rFonts w:hint="eastAsia" w:asciiTheme="minorHAnsi"/>
          <w:color w:val="000000" w:themeColor="text1"/>
          <w:sz w:val="24"/>
          <w:szCs w:val="24"/>
          <w:highlight w:val="none"/>
          <w:lang w:val="en-GB"/>
          <w14:textFill>
            <w14:solidFill>
              <w14:schemeClr w14:val="tx1"/>
            </w14:solidFill>
          </w14:textFill>
        </w:rPr>
        <w:t>监狱企业参加政府采购活动时，应当提供由省级以上监狱管理局、戒毒管理局（含新疆生产建设兵团）出具的属于监狱企业的证明文件。</w:t>
      </w:r>
    </w:p>
    <w:p w14:paraId="74E609B0">
      <w:pPr>
        <w:spacing w:line="360" w:lineRule="auto"/>
        <w:rPr>
          <w:color w:val="000000" w:themeColor="text1"/>
          <w:sz w:val="24"/>
          <w:szCs w:val="24"/>
          <w:highlight w:val="none"/>
          <w:lang w:val="en-GB"/>
          <w14:textFill>
            <w14:solidFill>
              <w14:schemeClr w14:val="tx1"/>
            </w14:solidFill>
          </w14:textFill>
        </w:rPr>
      </w:pPr>
    </w:p>
    <w:p w14:paraId="380EA3F1">
      <w:pPr>
        <w:spacing w:line="360" w:lineRule="auto"/>
        <w:rPr>
          <w:color w:val="000000" w:themeColor="text1"/>
          <w:sz w:val="24"/>
          <w:szCs w:val="24"/>
          <w:highlight w:val="none"/>
          <w:lang w:val="en-GB"/>
          <w14:textFill>
            <w14:solidFill>
              <w14:schemeClr w14:val="tx1"/>
            </w14:solidFill>
          </w14:textFill>
        </w:rPr>
      </w:pPr>
    </w:p>
    <w:p w14:paraId="24B429E5">
      <w:pPr>
        <w:spacing w:line="360" w:lineRule="auto"/>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（提醒：如果</w:t>
      </w:r>
      <w:r>
        <w:rPr>
          <w:rFonts w:hint="eastAsia" w:ascii="宋体" w:hAnsi="宋体" w:cs="宋体"/>
          <w:b/>
          <w:color w:val="000000" w:themeColor="text1"/>
          <w:sz w:val="24"/>
          <w:szCs w:val="24"/>
          <w:highlight w:val="none"/>
          <w:lang w:val="en-US" w:eastAsia="zh-CN"/>
          <w14:textFill>
            <w14:solidFill>
              <w14:schemeClr w14:val="tx1"/>
            </w14:solidFill>
          </w14:textFill>
        </w:rPr>
        <w:t>供应商</w:t>
      </w:r>
      <w:r>
        <w:rPr>
          <w:rFonts w:hint="eastAsia" w:ascii="宋体" w:hAnsi="宋体" w:cs="宋体"/>
          <w:b/>
          <w:color w:val="000000" w:themeColor="text1"/>
          <w:spacing w:val="10"/>
          <w:sz w:val="24"/>
          <w:szCs w:val="24"/>
          <w:highlight w:val="none"/>
          <w14:textFill>
            <w14:solidFill>
              <w14:schemeClr w14:val="tx1"/>
            </w14:solidFill>
          </w14:textFill>
        </w:rPr>
        <w:t>不是</w:t>
      </w:r>
      <w:r>
        <w:rPr>
          <w:rFonts w:hint="eastAsia" w:ascii="宋体" w:hAnsi="宋体"/>
          <w:b/>
          <w:bCs/>
          <w:color w:val="000000" w:themeColor="text1"/>
          <w:sz w:val="24"/>
          <w:szCs w:val="24"/>
          <w:highlight w:val="none"/>
          <w:lang w:val="en-GB"/>
          <w14:textFill>
            <w14:solidFill>
              <w14:schemeClr w14:val="tx1"/>
            </w14:solidFill>
          </w14:textFill>
        </w:rPr>
        <w:t>监狱企业</w:t>
      </w:r>
      <w:r>
        <w:rPr>
          <w:rFonts w:hint="eastAsia" w:ascii="宋体" w:hAnsi="宋体" w:cs="宋体"/>
          <w:b/>
          <w:color w:val="000000" w:themeColor="text1"/>
          <w:sz w:val="24"/>
          <w:szCs w:val="24"/>
          <w:highlight w:val="none"/>
          <w14:textFill>
            <w14:solidFill>
              <w14:schemeClr w14:val="tx1"/>
            </w14:solidFill>
          </w14:textFill>
        </w:rPr>
        <w:t>，则不需要提供</w:t>
      </w:r>
      <w:r>
        <w:rPr>
          <w:rFonts w:hint="eastAsia" w:ascii="宋体" w:hAnsi="宋体" w:cs="宋体"/>
          <w:b/>
          <w:color w:val="000000" w:themeColor="text1"/>
          <w:sz w:val="24"/>
          <w:szCs w:val="24"/>
          <w:highlight w:val="none"/>
          <w:lang w:val="en-GB"/>
          <w14:textFill>
            <w14:solidFill>
              <w14:schemeClr w14:val="tx1"/>
            </w14:solidFill>
          </w14:textFill>
        </w:rPr>
        <w:t>监狱企业证明材料</w:t>
      </w:r>
      <w:r>
        <w:rPr>
          <w:rFonts w:hint="eastAsia" w:ascii="宋体" w:hAnsi="宋体" w:cs="宋体"/>
          <w:b/>
          <w:color w:val="000000" w:themeColor="text1"/>
          <w:sz w:val="24"/>
          <w:szCs w:val="24"/>
          <w:highlight w:val="none"/>
          <w14:textFill>
            <w14:solidFill>
              <w14:schemeClr w14:val="tx1"/>
            </w14:solidFill>
          </w14:textFill>
        </w:rPr>
        <w:t>）</w:t>
      </w:r>
    </w:p>
    <w:p w14:paraId="2EB80BC3">
      <w:pPr>
        <w:widowControl w:val="0"/>
        <w:jc w:val="both"/>
        <w:rPr>
          <w:rFonts w:hint="eastAsia" w:ascii="宋体" w:hAnsi="宋体" w:cs="宋体"/>
          <w:sz w:val="28"/>
          <w:szCs w:val="28"/>
          <w:highlight w:val="none"/>
        </w:rPr>
      </w:pPr>
    </w:p>
    <w:p w14:paraId="65A7FBF3">
      <w:pPr>
        <w:widowControl w:val="0"/>
        <w:jc w:val="center"/>
        <w:rPr>
          <w:rFonts w:hint="eastAsia" w:ascii="宋体" w:hAnsi="宋体"/>
          <w:sz w:val="24"/>
          <w:szCs w:val="24"/>
          <w:highlight w:val="none"/>
        </w:rPr>
      </w:pPr>
    </w:p>
    <w:p w14:paraId="78797762">
      <w:pPr>
        <w:widowControl w:val="0"/>
        <w:jc w:val="both"/>
        <w:rPr>
          <w:rFonts w:hint="eastAsia" w:ascii="宋体" w:hAnsi="宋体"/>
          <w:sz w:val="24"/>
          <w:szCs w:val="24"/>
          <w:highlight w:val="none"/>
        </w:rPr>
      </w:pPr>
    </w:p>
    <w:p w14:paraId="66E5F032">
      <w:pPr>
        <w:widowControl w:val="0"/>
        <w:jc w:val="both"/>
        <w:rPr>
          <w:rFonts w:hint="eastAsia" w:ascii="宋体" w:hAnsi="宋体"/>
          <w:sz w:val="24"/>
          <w:szCs w:val="24"/>
          <w:highlight w:val="none"/>
        </w:rPr>
      </w:pPr>
    </w:p>
    <w:p w14:paraId="1E3CA946">
      <w:pPr>
        <w:widowControl w:val="0"/>
        <w:jc w:val="both"/>
        <w:rPr>
          <w:rFonts w:hint="eastAsia" w:ascii="宋体" w:hAnsi="宋体"/>
          <w:sz w:val="24"/>
          <w:szCs w:val="24"/>
          <w:highlight w:val="none"/>
        </w:rPr>
      </w:pPr>
    </w:p>
    <w:p w14:paraId="1836A69E">
      <w:pPr>
        <w:widowControl w:val="0"/>
        <w:jc w:val="both"/>
        <w:rPr>
          <w:rFonts w:hint="eastAsia" w:ascii="宋体" w:hAnsi="宋体"/>
          <w:sz w:val="24"/>
          <w:szCs w:val="24"/>
          <w:highlight w:val="none"/>
        </w:rPr>
      </w:pPr>
    </w:p>
    <w:p w14:paraId="03A2BA1E">
      <w:pPr>
        <w:widowControl w:val="0"/>
        <w:jc w:val="both"/>
        <w:rPr>
          <w:rFonts w:hint="eastAsia" w:ascii="宋体" w:hAnsi="宋体"/>
          <w:sz w:val="24"/>
          <w:szCs w:val="24"/>
          <w:highlight w:val="none"/>
        </w:rPr>
      </w:pPr>
    </w:p>
    <w:p w14:paraId="14CAC5A7">
      <w:pPr>
        <w:widowControl w:val="0"/>
        <w:jc w:val="both"/>
        <w:rPr>
          <w:rFonts w:hint="eastAsia" w:ascii="宋体" w:hAnsi="宋体"/>
          <w:sz w:val="24"/>
          <w:szCs w:val="24"/>
          <w:highlight w:val="none"/>
        </w:rPr>
      </w:pPr>
    </w:p>
    <w:p w14:paraId="420D4659">
      <w:pPr>
        <w:widowControl w:val="0"/>
        <w:jc w:val="both"/>
        <w:rPr>
          <w:rFonts w:hint="eastAsia" w:ascii="宋体" w:hAnsi="宋体"/>
          <w:sz w:val="24"/>
          <w:szCs w:val="24"/>
          <w:highlight w:val="none"/>
        </w:rPr>
      </w:pPr>
    </w:p>
    <w:p w14:paraId="1250A465">
      <w:pPr>
        <w:widowControl w:val="0"/>
        <w:jc w:val="both"/>
        <w:rPr>
          <w:rFonts w:hint="eastAsia" w:ascii="宋体" w:hAnsi="宋体"/>
          <w:sz w:val="24"/>
          <w:szCs w:val="24"/>
          <w:highlight w:val="none"/>
        </w:rPr>
      </w:pPr>
    </w:p>
    <w:p w14:paraId="3ABF64EC">
      <w:pPr>
        <w:widowControl w:val="0"/>
        <w:jc w:val="both"/>
        <w:rPr>
          <w:rFonts w:hint="eastAsia" w:ascii="宋体" w:hAnsi="宋体"/>
          <w:sz w:val="24"/>
          <w:szCs w:val="24"/>
          <w:highlight w:val="none"/>
        </w:rPr>
      </w:pPr>
    </w:p>
    <w:p w14:paraId="5B8F8E58">
      <w:pPr>
        <w:widowControl w:val="0"/>
        <w:jc w:val="both"/>
        <w:rPr>
          <w:rFonts w:hint="eastAsia" w:ascii="宋体" w:hAnsi="宋体"/>
          <w:sz w:val="24"/>
          <w:szCs w:val="24"/>
          <w:highlight w:val="none"/>
        </w:rPr>
      </w:pPr>
    </w:p>
    <w:p w14:paraId="2D54B34A">
      <w:pPr>
        <w:widowControl w:val="0"/>
        <w:jc w:val="both"/>
        <w:rPr>
          <w:rFonts w:hint="eastAsia" w:ascii="宋体" w:hAnsi="宋体"/>
          <w:sz w:val="24"/>
          <w:szCs w:val="24"/>
          <w:highlight w:val="none"/>
        </w:rPr>
      </w:pPr>
    </w:p>
    <w:p w14:paraId="256EF840">
      <w:pPr>
        <w:widowControl w:val="0"/>
        <w:jc w:val="both"/>
        <w:rPr>
          <w:rFonts w:hint="eastAsia" w:ascii="宋体" w:hAnsi="宋体"/>
          <w:sz w:val="24"/>
          <w:szCs w:val="24"/>
          <w:highlight w:val="none"/>
        </w:rPr>
      </w:pPr>
    </w:p>
    <w:p w14:paraId="2D3664FA">
      <w:pPr>
        <w:widowControl w:val="0"/>
        <w:jc w:val="both"/>
        <w:rPr>
          <w:rFonts w:hint="eastAsia" w:ascii="宋体" w:hAnsi="宋体"/>
          <w:sz w:val="24"/>
          <w:szCs w:val="24"/>
          <w:highlight w:val="none"/>
        </w:rPr>
      </w:pPr>
    </w:p>
    <w:p w14:paraId="1ACC875D">
      <w:pPr>
        <w:widowControl w:val="0"/>
        <w:jc w:val="both"/>
        <w:rPr>
          <w:rFonts w:hint="eastAsia" w:ascii="宋体" w:hAnsi="宋体"/>
          <w:sz w:val="24"/>
          <w:szCs w:val="24"/>
          <w:highlight w:val="none"/>
        </w:rPr>
      </w:pPr>
    </w:p>
    <w:p w14:paraId="3371CBA2">
      <w:pPr>
        <w:widowControl w:val="0"/>
        <w:jc w:val="both"/>
        <w:rPr>
          <w:rFonts w:hint="eastAsia" w:ascii="宋体" w:hAnsi="宋体"/>
          <w:sz w:val="24"/>
          <w:szCs w:val="24"/>
          <w:highlight w:val="none"/>
        </w:rPr>
      </w:pPr>
    </w:p>
    <w:p w14:paraId="2F9DDF51">
      <w:pPr>
        <w:widowControl w:val="0"/>
        <w:jc w:val="both"/>
        <w:rPr>
          <w:rFonts w:hint="eastAsia" w:ascii="宋体" w:hAnsi="宋体"/>
          <w:sz w:val="24"/>
          <w:szCs w:val="24"/>
          <w:highlight w:val="none"/>
        </w:rPr>
      </w:pPr>
    </w:p>
    <w:p w14:paraId="568CFB9E">
      <w:pPr>
        <w:widowControl w:val="0"/>
        <w:jc w:val="both"/>
        <w:rPr>
          <w:rFonts w:hint="eastAsia" w:ascii="宋体" w:hAnsi="宋体"/>
          <w:sz w:val="24"/>
          <w:szCs w:val="24"/>
          <w:highlight w:val="none"/>
        </w:rPr>
      </w:pPr>
    </w:p>
    <w:p w14:paraId="799DCA64">
      <w:pPr>
        <w:widowControl w:val="0"/>
        <w:jc w:val="both"/>
        <w:rPr>
          <w:rFonts w:hint="eastAsia" w:ascii="宋体" w:hAnsi="宋体"/>
          <w:sz w:val="24"/>
          <w:szCs w:val="24"/>
          <w:highlight w:val="none"/>
        </w:rPr>
      </w:pPr>
    </w:p>
    <w:p w14:paraId="356A510B">
      <w:pPr>
        <w:widowControl w:val="0"/>
        <w:jc w:val="both"/>
        <w:rPr>
          <w:rFonts w:hint="eastAsia" w:ascii="宋体" w:hAnsi="宋体"/>
          <w:sz w:val="24"/>
          <w:szCs w:val="24"/>
          <w:highlight w:val="none"/>
        </w:rPr>
      </w:pPr>
    </w:p>
    <w:p w14:paraId="4AB3F06E">
      <w:pPr>
        <w:widowControl w:val="0"/>
        <w:jc w:val="both"/>
        <w:rPr>
          <w:rFonts w:hint="eastAsia" w:ascii="宋体" w:hAnsi="宋体"/>
          <w:sz w:val="24"/>
          <w:szCs w:val="24"/>
          <w:highlight w:val="none"/>
        </w:rPr>
      </w:pPr>
    </w:p>
    <w:p w14:paraId="741B9934">
      <w:pPr>
        <w:widowControl w:val="0"/>
        <w:jc w:val="both"/>
        <w:rPr>
          <w:rFonts w:hint="eastAsia" w:ascii="宋体" w:hAnsi="宋体"/>
          <w:sz w:val="24"/>
          <w:szCs w:val="24"/>
          <w:highlight w:val="none"/>
        </w:rPr>
      </w:pPr>
    </w:p>
    <w:p w14:paraId="61D159A6">
      <w:pPr>
        <w:rPr>
          <w:highlight w:val="none"/>
        </w:rPr>
      </w:pPr>
    </w:p>
    <w:sectPr>
      <w:footerReference r:id="rId6" w:type="default"/>
      <w:pgSz w:w="11906" w:h="16838"/>
      <w:pgMar w:top="1440" w:right="1080" w:bottom="1440" w:left="108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22FB">
    <w:pPr>
      <w:pStyle w:val="10"/>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5E309">
                          <w:pPr>
                            <w:pStyle w:val="10"/>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505E309">
                    <w:pPr>
                      <w:pStyle w:val="10"/>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9CBD9">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598B9">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D296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797D25"/>
    <w:multiLevelType w:val="singleLevel"/>
    <w:tmpl w:val="3E797D25"/>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1sZpMu9V7tjwx2wz6HhlidkD+DM=" w:salt="4frxzWmifEQQxCh1Ct8Uu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ZTg4NDJmZDlhYjQ2YWQ4NThhNjFkMGY3NGQ4ZTIifQ=="/>
  </w:docVars>
  <w:rsids>
    <w:rsidRoot w:val="27DE0696"/>
    <w:rsid w:val="00033B23"/>
    <w:rsid w:val="000B1DA4"/>
    <w:rsid w:val="000E5CFB"/>
    <w:rsid w:val="00120664"/>
    <w:rsid w:val="00170468"/>
    <w:rsid w:val="00170E4E"/>
    <w:rsid w:val="00180D2C"/>
    <w:rsid w:val="0019485F"/>
    <w:rsid w:val="001C4173"/>
    <w:rsid w:val="001E2B45"/>
    <w:rsid w:val="001F18BB"/>
    <w:rsid w:val="00250283"/>
    <w:rsid w:val="002774DB"/>
    <w:rsid w:val="00282389"/>
    <w:rsid w:val="002D67BE"/>
    <w:rsid w:val="002E7A96"/>
    <w:rsid w:val="003553EA"/>
    <w:rsid w:val="003E6389"/>
    <w:rsid w:val="003F2D1B"/>
    <w:rsid w:val="003F489F"/>
    <w:rsid w:val="00416146"/>
    <w:rsid w:val="00432394"/>
    <w:rsid w:val="004470EE"/>
    <w:rsid w:val="00457F76"/>
    <w:rsid w:val="004615F6"/>
    <w:rsid w:val="00481283"/>
    <w:rsid w:val="0049148F"/>
    <w:rsid w:val="004A0F6C"/>
    <w:rsid w:val="004A58E0"/>
    <w:rsid w:val="004B5346"/>
    <w:rsid w:val="004B594B"/>
    <w:rsid w:val="005023AF"/>
    <w:rsid w:val="005319D6"/>
    <w:rsid w:val="00532088"/>
    <w:rsid w:val="0055666B"/>
    <w:rsid w:val="00563E05"/>
    <w:rsid w:val="005653A1"/>
    <w:rsid w:val="00585B3F"/>
    <w:rsid w:val="005B55C4"/>
    <w:rsid w:val="005D7BB1"/>
    <w:rsid w:val="005F53B5"/>
    <w:rsid w:val="006033F0"/>
    <w:rsid w:val="00610597"/>
    <w:rsid w:val="00650A9B"/>
    <w:rsid w:val="00755A51"/>
    <w:rsid w:val="00780620"/>
    <w:rsid w:val="0078697B"/>
    <w:rsid w:val="007F6B19"/>
    <w:rsid w:val="00802C17"/>
    <w:rsid w:val="00806F17"/>
    <w:rsid w:val="00815719"/>
    <w:rsid w:val="0083756A"/>
    <w:rsid w:val="00844285"/>
    <w:rsid w:val="008C01EE"/>
    <w:rsid w:val="008D138C"/>
    <w:rsid w:val="00980553"/>
    <w:rsid w:val="009B77B3"/>
    <w:rsid w:val="00A56BEE"/>
    <w:rsid w:val="00A67D58"/>
    <w:rsid w:val="00AB5B99"/>
    <w:rsid w:val="00B34BF3"/>
    <w:rsid w:val="00B62220"/>
    <w:rsid w:val="00BE6CDD"/>
    <w:rsid w:val="00BE7011"/>
    <w:rsid w:val="00C50B1A"/>
    <w:rsid w:val="00D139DB"/>
    <w:rsid w:val="00D737E9"/>
    <w:rsid w:val="00DC0390"/>
    <w:rsid w:val="00DE4815"/>
    <w:rsid w:val="00E4218D"/>
    <w:rsid w:val="00EB603A"/>
    <w:rsid w:val="00FA5355"/>
    <w:rsid w:val="00FB4417"/>
    <w:rsid w:val="00FB7827"/>
    <w:rsid w:val="00FC5B7A"/>
    <w:rsid w:val="012B4701"/>
    <w:rsid w:val="01374E54"/>
    <w:rsid w:val="01390BCC"/>
    <w:rsid w:val="01633E9B"/>
    <w:rsid w:val="017165B7"/>
    <w:rsid w:val="01875DDB"/>
    <w:rsid w:val="01DD1E9F"/>
    <w:rsid w:val="020C5D83"/>
    <w:rsid w:val="020F7B7E"/>
    <w:rsid w:val="02201D8C"/>
    <w:rsid w:val="0224187C"/>
    <w:rsid w:val="0227311A"/>
    <w:rsid w:val="026F4C75"/>
    <w:rsid w:val="02CA1EB1"/>
    <w:rsid w:val="02CB55B9"/>
    <w:rsid w:val="03231B33"/>
    <w:rsid w:val="0328714A"/>
    <w:rsid w:val="032F672A"/>
    <w:rsid w:val="033B50CF"/>
    <w:rsid w:val="037E6D6A"/>
    <w:rsid w:val="038A3960"/>
    <w:rsid w:val="03906A9D"/>
    <w:rsid w:val="03AA4003"/>
    <w:rsid w:val="03E20FD9"/>
    <w:rsid w:val="03E80687"/>
    <w:rsid w:val="03EE3EEF"/>
    <w:rsid w:val="03FA485C"/>
    <w:rsid w:val="03FE43AE"/>
    <w:rsid w:val="040E6340"/>
    <w:rsid w:val="041462FC"/>
    <w:rsid w:val="047563BF"/>
    <w:rsid w:val="04784101"/>
    <w:rsid w:val="04893C18"/>
    <w:rsid w:val="04A66578"/>
    <w:rsid w:val="051536FE"/>
    <w:rsid w:val="053A3164"/>
    <w:rsid w:val="054D711D"/>
    <w:rsid w:val="05AB7BBE"/>
    <w:rsid w:val="05B922DB"/>
    <w:rsid w:val="05F23A3F"/>
    <w:rsid w:val="06163BD1"/>
    <w:rsid w:val="06514C09"/>
    <w:rsid w:val="066E1317"/>
    <w:rsid w:val="06BD404D"/>
    <w:rsid w:val="06BF1B73"/>
    <w:rsid w:val="06C158EB"/>
    <w:rsid w:val="06C62F02"/>
    <w:rsid w:val="06D82C35"/>
    <w:rsid w:val="06E23AB3"/>
    <w:rsid w:val="06EC048E"/>
    <w:rsid w:val="07342FC9"/>
    <w:rsid w:val="078E0C06"/>
    <w:rsid w:val="07D433FC"/>
    <w:rsid w:val="081B54CF"/>
    <w:rsid w:val="081E7ACB"/>
    <w:rsid w:val="08381BDD"/>
    <w:rsid w:val="084E40B1"/>
    <w:rsid w:val="085E53BC"/>
    <w:rsid w:val="08713341"/>
    <w:rsid w:val="08A47272"/>
    <w:rsid w:val="08AC25CB"/>
    <w:rsid w:val="08B512B0"/>
    <w:rsid w:val="08BA6A96"/>
    <w:rsid w:val="08C711B3"/>
    <w:rsid w:val="08D37B58"/>
    <w:rsid w:val="08ED10DA"/>
    <w:rsid w:val="08F8136C"/>
    <w:rsid w:val="090146C5"/>
    <w:rsid w:val="091C32AD"/>
    <w:rsid w:val="09DC0C8E"/>
    <w:rsid w:val="09E87633"/>
    <w:rsid w:val="09F935EE"/>
    <w:rsid w:val="0A067AB9"/>
    <w:rsid w:val="0A0A57FB"/>
    <w:rsid w:val="0A153A78"/>
    <w:rsid w:val="0A326B00"/>
    <w:rsid w:val="0A342878"/>
    <w:rsid w:val="0A360D3E"/>
    <w:rsid w:val="0A8C7FBE"/>
    <w:rsid w:val="0AA50DCD"/>
    <w:rsid w:val="0AC0410C"/>
    <w:rsid w:val="0AC059AF"/>
    <w:rsid w:val="0AEC3153"/>
    <w:rsid w:val="0B00275A"/>
    <w:rsid w:val="0B037571"/>
    <w:rsid w:val="0B100BEF"/>
    <w:rsid w:val="0B215421"/>
    <w:rsid w:val="0B640F3B"/>
    <w:rsid w:val="0B6E5916"/>
    <w:rsid w:val="0B8B64C8"/>
    <w:rsid w:val="0B9E269F"/>
    <w:rsid w:val="0BA17A99"/>
    <w:rsid w:val="0BB43C70"/>
    <w:rsid w:val="0C040028"/>
    <w:rsid w:val="0C0A1AE2"/>
    <w:rsid w:val="0C1378E4"/>
    <w:rsid w:val="0C2B3807"/>
    <w:rsid w:val="0C6E49EA"/>
    <w:rsid w:val="0C765344"/>
    <w:rsid w:val="0CA041F5"/>
    <w:rsid w:val="0CA710DF"/>
    <w:rsid w:val="0CB101B0"/>
    <w:rsid w:val="0CB16402"/>
    <w:rsid w:val="0CB87790"/>
    <w:rsid w:val="0CCA74C4"/>
    <w:rsid w:val="0CD34190"/>
    <w:rsid w:val="0D755681"/>
    <w:rsid w:val="0D7731A8"/>
    <w:rsid w:val="0D870F11"/>
    <w:rsid w:val="0D9A3628"/>
    <w:rsid w:val="0DD00B0A"/>
    <w:rsid w:val="0DDF2AFB"/>
    <w:rsid w:val="0E016F15"/>
    <w:rsid w:val="0E19425F"/>
    <w:rsid w:val="0E1A5AD0"/>
    <w:rsid w:val="0E2F12B5"/>
    <w:rsid w:val="0E3746E5"/>
    <w:rsid w:val="0E440BB0"/>
    <w:rsid w:val="0E925DBF"/>
    <w:rsid w:val="0EA7677B"/>
    <w:rsid w:val="0EA93835"/>
    <w:rsid w:val="0EAF4BC3"/>
    <w:rsid w:val="0EE003A8"/>
    <w:rsid w:val="0EEC1973"/>
    <w:rsid w:val="0F6A2898"/>
    <w:rsid w:val="0F960455"/>
    <w:rsid w:val="0F9F69E6"/>
    <w:rsid w:val="0FB3233C"/>
    <w:rsid w:val="0FC71A98"/>
    <w:rsid w:val="0FCB7DC9"/>
    <w:rsid w:val="0FD50659"/>
    <w:rsid w:val="101D790A"/>
    <w:rsid w:val="10261EFB"/>
    <w:rsid w:val="10306924"/>
    <w:rsid w:val="106C2D6C"/>
    <w:rsid w:val="10861954"/>
    <w:rsid w:val="108B0D18"/>
    <w:rsid w:val="10C4711C"/>
    <w:rsid w:val="10D12BCF"/>
    <w:rsid w:val="10DD77C5"/>
    <w:rsid w:val="10FE773C"/>
    <w:rsid w:val="110A4333"/>
    <w:rsid w:val="111D4066"/>
    <w:rsid w:val="11205904"/>
    <w:rsid w:val="113B44EC"/>
    <w:rsid w:val="117A3266"/>
    <w:rsid w:val="11B97751"/>
    <w:rsid w:val="11FF376C"/>
    <w:rsid w:val="122356AC"/>
    <w:rsid w:val="1232769D"/>
    <w:rsid w:val="12394ECF"/>
    <w:rsid w:val="127A7296"/>
    <w:rsid w:val="12992932"/>
    <w:rsid w:val="12AA7B7B"/>
    <w:rsid w:val="12B24C82"/>
    <w:rsid w:val="12C77321"/>
    <w:rsid w:val="12D6271E"/>
    <w:rsid w:val="12D70244"/>
    <w:rsid w:val="12FA4178"/>
    <w:rsid w:val="130C4392"/>
    <w:rsid w:val="130F79DE"/>
    <w:rsid w:val="132D2758"/>
    <w:rsid w:val="1351449B"/>
    <w:rsid w:val="13857CA0"/>
    <w:rsid w:val="13936861"/>
    <w:rsid w:val="13A46379"/>
    <w:rsid w:val="13AF2F6F"/>
    <w:rsid w:val="13B81E24"/>
    <w:rsid w:val="13F53078"/>
    <w:rsid w:val="140212F1"/>
    <w:rsid w:val="141352AC"/>
    <w:rsid w:val="1424570B"/>
    <w:rsid w:val="14327E28"/>
    <w:rsid w:val="14563F61"/>
    <w:rsid w:val="145D51FA"/>
    <w:rsid w:val="14C32DA9"/>
    <w:rsid w:val="14D02C0A"/>
    <w:rsid w:val="14EA425F"/>
    <w:rsid w:val="14EC0A9D"/>
    <w:rsid w:val="15023C9F"/>
    <w:rsid w:val="15113EE2"/>
    <w:rsid w:val="151B08BC"/>
    <w:rsid w:val="15237771"/>
    <w:rsid w:val="1534372C"/>
    <w:rsid w:val="154F67B8"/>
    <w:rsid w:val="155E47AB"/>
    <w:rsid w:val="159863B1"/>
    <w:rsid w:val="15D254ED"/>
    <w:rsid w:val="15F86E50"/>
    <w:rsid w:val="160F7CF5"/>
    <w:rsid w:val="16225C7A"/>
    <w:rsid w:val="163A2FC4"/>
    <w:rsid w:val="163B0AEA"/>
    <w:rsid w:val="16775FC6"/>
    <w:rsid w:val="167F4E7B"/>
    <w:rsid w:val="16B56AEF"/>
    <w:rsid w:val="17123F41"/>
    <w:rsid w:val="1761330E"/>
    <w:rsid w:val="17B46240"/>
    <w:rsid w:val="17D96D13"/>
    <w:rsid w:val="17EB450E"/>
    <w:rsid w:val="18001FEB"/>
    <w:rsid w:val="18277578"/>
    <w:rsid w:val="183A374F"/>
    <w:rsid w:val="186D58D3"/>
    <w:rsid w:val="18837189"/>
    <w:rsid w:val="18F25DD8"/>
    <w:rsid w:val="190B44C8"/>
    <w:rsid w:val="190D3817"/>
    <w:rsid w:val="194A0A34"/>
    <w:rsid w:val="195F4655"/>
    <w:rsid w:val="19923117"/>
    <w:rsid w:val="19AA220F"/>
    <w:rsid w:val="19AE61A3"/>
    <w:rsid w:val="19D92AF4"/>
    <w:rsid w:val="19E73463"/>
    <w:rsid w:val="19E75211"/>
    <w:rsid w:val="19F351B3"/>
    <w:rsid w:val="19F4792E"/>
    <w:rsid w:val="1A0F4768"/>
    <w:rsid w:val="1A1D5C27"/>
    <w:rsid w:val="1A402B73"/>
    <w:rsid w:val="1A4759FF"/>
    <w:rsid w:val="1A9C249F"/>
    <w:rsid w:val="1B040045"/>
    <w:rsid w:val="1B391A9C"/>
    <w:rsid w:val="1B522B5E"/>
    <w:rsid w:val="1B8D3B96"/>
    <w:rsid w:val="1BE51C24"/>
    <w:rsid w:val="1BEA0AC8"/>
    <w:rsid w:val="1C7C1CC6"/>
    <w:rsid w:val="1CB33AD0"/>
    <w:rsid w:val="1CE43119"/>
    <w:rsid w:val="1DD45AAC"/>
    <w:rsid w:val="1DD7559C"/>
    <w:rsid w:val="1DE57CB9"/>
    <w:rsid w:val="1DEA52D0"/>
    <w:rsid w:val="1E051FAB"/>
    <w:rsid w:val="1E2025E8"/>
    <w:rsid w:val="1E28404A"/>
    <w:rsid w:val="1E5E7A6C"/>
    <w:rsid w:val="1E5F4151"/>
    <w:rsid w:val="1E637348"/>
    <w:rsid w:val="1E6D7CAF"/>
    <w:rsid w:val="1E742207"/>
    <w:rsid w:val="1EA01E32"/>
    <w:rsid w:val="1EB31B66"/>
    <w:rsid w:val="1ECA6EAF"/>
    <w:rsid w:val="1ECE699F"/>
    <w:rsid w:val="1ED3045A"/>
    <w:rsid w:val="1EF9549C"/>
    <w:rsid w:val="1F394761"/>
    <w:rsid w:val="1F3C5FFF"/>
    <w:rsid w:val="1FA31BDA"/>
    <w:rsid w:val="1FA85442"/>
    <w:rsid w:val="1FAA740D"/>
    <w:rsid w:val="1FAF3A62"/>
    <w:rsid w:val="1FFC753C"/>
    <w:rsid w:val="200D1749"/>
    <w:rsid w:val="20146634"/>
    <w:rsid w:val="202C7E22"/>
    <w:rsid w:val="20623843"/>
    <w:rsid w:val="20684BD2"/>
    <w:rsid w:val="208C0993"/>
    <w:rsid w:val="20A167CD"/>
    <w:rsid w:val="20C444FE"/>
    <w:rsid w:val="20D12777"/>
    <w:rsid w:val="21090163"/>
    <w:rsid w:val="21110DC5"/>
    <w:rsid w:val="212925B3"/>
    <w:rsid w:val="21466CC1"/>
    <w:rsid w:val="214747E7"/>
    <w:rsid w:val="215A276C"/>
    <w:rsid w:val="216929AF"/>
    <w:rsid w:val="218E0668"/>
    <w:rsid w:val="21A63C04"/>
    <w:rsid w:val="21C81185"/>
    <w:rsid w:val="21DF0EC4"/>
    <w:rsid w:val="22513B6F"/>
    <w:rsid w:val="225E44DE"/>
    <w:rsid w:val="22993768"/>
    <w:rsid w:val="229F0A7E"/>
    <w:rsid w:val="22A243CB"/>
    <w:rsid w:val="22D65496"/>
    <w:rsid w:val="22E67478"/>
    <w:rsid w:val="23152DEF"/>
    <w:rsid w:val="231F3C6E"/>
    <w:rsid w:val="23720241"/>
    <w:rsid w:val="239161EE"/>
    <w:rsid w:val="23B73EA6"/>
    <w:rsid w:val="24275145"/>
    <w:rsid w:val="243F3E9B"/>
    <w:rsid w:val="2446522A"/>
    <w:rsid w:val="245E2574"/>
    <w:rsid w:val="24A106B2"/>
    <w:rsid w:val="24A87C93"/>
    <w:rsid w:val="24BE1264"/>
    <w:rsid w:val="24E862E1"/>
    <w:rsid w:val="24EA02AB"/>
    <w:rsid w:val="24F829C8"/>
    <w:rsid w:val="25473008"/>
    <w:rsid w:val="25710085"/>
    <w:rsid w:val="259D0E7A"/>
    <w:rsid w:val="25B52B28"/>
    <w:rsid w:val="25D02FFD"/>
    <w:rsid w:val="25E1520A"/>
    <w:rsid w:val="26217CFD"/>
    <w:rsid w:val="26A5448A"/>
    <w:rsid w:val="26E825C8"/>
    <w:rsid w:val="26E86112"/>
    <w:rsid w:val="27233601"/>
    <w:rsid w:val="274F2647"/>
    <w:rsid w:val="27581292"/>
    <w:rsid w:val="275D2FB6"/>
    <w:rsid w:val="2786250D"/>
    <w:rsid w:val="27CE7A10"/>
    <w:rsid w:val="27DE0696"/>
    <w:rsid w:val="27F136FF"/>
    <w:rsid w:val="28090A48"/>
    <w:rsid w:val="280C3B76"/>
    <w:rsid w:val="281A0EA7"/>
    <w:rsid w:val="281F026C"/>
    <w:rsid w:val="288B5901"/>
    <w:rsid w:val="2895052E"/>
    <w:rsid w:val="28CB3F50"/>
    <w:rsid w:val="28D177B8"/>
    <w:rsid w:val="28D728F5"/>
    <w:rsid w:val="28E15521"/>
    <w:rsid w:val="28F97E28"/>
    <w:rsid w:val="29235B3A"/>
    <w:rsid w:val="292A15D6"/>
    <w:rsid w:val="29323FCF"/>
    <w:rsid w:val="293C6C50"/>
    <w:rsid w:val="29455AB0"/>
    <w:rsid w:val="296F6FD1"/>
    <w:rsid w:val="29712D49"/>
    <w:rsid w:val="29870D4C"/>
    <w:rsid w:val="29DB0A24"/>
    <w:rsid w:val="2A063491"/>
    <w:rsid w:val="2A2102CB"/>
    <w:rsid w:val="2A353998"/>
    <w:rsid w:val="2A3873C3"/>
    <w:rsid w:val="2A663F30"/>
    <w:rsid w:val="2A816FBC"/>
    <w:rsid w:val="2AAD1B5F"/>
    <w:rsid w:val="2AF7727E"/>
    <w:rsid w:val="2B035C23"/>
    <w:rsid w:val="2B3373C8"/>
    <w:rsid w:val="2B54647E"/>
    <w:rsid w:val="2B9845BD"/>
    <w:rsid w:val="2BA32F62"/>
    <w:rsid w:val="2BAA609E"/>
    <w:rsid w:val="2BBF5FEE"/>
    <w:rsid w:val="2BC96E6C"/>
    <w:rsid w:val="2BEC4909"/>
    <w:rsid w:val="2C210A56"/>
    <w:rsid w:val="2C293467"/>
    <w:rsid w:val="2C3D5164"/>
    <w:rsid w:val="2C7548FE"/>
    <w:rsid w:val="2CAD4098"/>
    <w:rsid w:val="2CC6515A"/>
    <w:rsid w:val="2CD6491A"/>
    <w:rsid w:val="2CDE7B16"/>
    <w:rsid w:val="2D087520"/>
    <w:rsid w:val="2D2F4DAB"/>
    <w:rsid w:val="2D4367AA"/>
    <w:rsid w:val="2D482013"/>
    <w:rsid w:val="2D8D3ECA"/>
    <w:rsid w:val="2D927606"/>
    <w:rsid w:val="2DA03BFD"/>
    <w:rsid w:val="2DCC67A0"/>
    <w:rsid w:val="2DF83A39"/>
    <w:rsid w:val="2E3F3416"/>
    <w:rsid w:val="2E5A09CB"/>
    <w:rsid w:val="2E5D564A"/>
    <w:rsid w:val="2E717347"/>
    <w:rsid w:val="2E7A444E"/>
    <w:rsid w:val="2E7D5CEC"/>
    <w:rsid w:val="2E8E7EF9"/>
    <w:rsid w:val="2E903C71"/>
    <w:rsid w:val="2E9A064C"/>
    <w:rsid w:val="2E9D1EEA"/>
    <w:rsid w:val="2EB96346"/>
    <w:rsid w:val="2EBE07DF"/>
    <w:rsid w:val="2ECA33AD"/>
    <w:rsid w:val="2EDC6EB7"/>
    <w:rsid w:val="2EDF2503"/>
    <w:rsid w:val="2F0401BB"/>
    <w:rsid w:val="2F5578BA"/>
    <w:rsid w:val="2F6D5D61"/>
    <w:rsid w:val="2F9B28CE"/>
    <w:rsid w:val="2FA15A0A"/>
    <w:rsid w:val="2FB76905"/>
    <w:rsid w:val="2FBB4D1E"/>
    <w:rsid w:val="2FE04785"/>
    <w:rsid w:val="2FE9188B"/>
    <w:rsid w:val="2FFB7533"/>
    <w:rsid w:val="30182170"/>
    <w:rsid w:val="308C2216"/>
    <w:rsid w:val="30A371B5"/>
    <w:rsid w:val="30A752A2"/>
    <w:rsid w:val="30C6397A"/>
    <w:rsid w:val="30CB2D3F"/>
    <w:rsid w:val="30E958BB"/>
    <w:rsid w:val="3106021B"/>
    <w:rsid w:val="3112096E"/>
    <w:rsid w:val="312E1520"/>
    <w:rsid w:val="31480833"/>
    <w:rsid w:val="314B20D2"/>
    <w:rsid w:val="315F792B"/>
    <w:rsid w:val="31757E6B"/>
    <w:rsid w:val="31794E91"/>
    <w:rsid w:val="319B20A1"/>
    <w:rsid w:val="31BC4D7D"/>
    <w:rsid w:val="31CA5E09"/>
    <w:rsid w:val="31F2079F"/>
    <w:rsid w:val="3227669B"/>
    <w:rsid w:val="32650F71"/>
    <w:rsid w:val="32807B59"/>
    <w:rsid w:val="32870EE7"/>
    <w:rsid w:val="32B31CDC"/>
    <w:rsid w:val="32BD2B5B"/>
    <w:rsid w:val="32EC3440"/>
    <w:rsid w:val="33092F71"/>
    <w:rsid w:val="331704BD"/>
    <w:rsid w:val="332633F4"/>
    <w:rsid w:val="333A41AC"/>
    <w:rsid w:val="336E3E55"/>
    <w:rsid w:val="33865421"/>
    <w:rsid w:val="33A53D1B"/>
    <w:rsid w:val="33AD2BD0"/>
    <w:rsid w:val="33CF6FEA"/>
    <w:rsid w:val="340F388A"/>
    <w:rsid w:val="341744ED"/>
    <w:rsid w:val="341D7D55"/>
    <w:rsid w:val="34264730"/>
    <w:rsid w:val="342A2472"/>
    <w:rsid w:val="3431735D"/>
    <w:rsid w:val="345117AD"/>
    <w:rsid w:val="34774E23"/>
    <w:rsid w:val="34806769"/>
    <w:rsid w:val="34880F47"/>
    <w:rsid w:val="34A264AC"/>
    <w:rsid w:val="34C75F13"/>
    <w:rsid w:val="3502519D"/>
    <w:rsid w:val="35150A2C"/>
    <w:rsid w:val="351B1DBB"/>
    <w:rsid w:val="358A249C"/>
    <w:rsid w:val="35946738"/>
    <w:rsid w:val="35AF70D3"/>
    <w:rsid w:val="35BD48B3"/>
    <w:rsid w:val="35D00DF7"/>
    <w:rsid w:val="35DE52C2"/>
    <w:rsid w:val="35ED7BFB"/>
    <w:rsid w:val="35FE3BB6"/>
    <w:rsid w:val="363D46DF"/>
    <w:rsid w:val="364C66D0"/>
    <w:rsid w:val="365612FD"/>
    <w:rsid w:val="36657792"/>
    <w:rsid w:val="368C4D7F"/>
    <w:rsid w:val="37182A56"/>
    <w:rsid w:val="37270EEB"/>
    <w:rsid w:val="372E105F"/>
    <w:rsid w:val="374B4BD9"/>
    <w:rsid w:val="374F1E8B"/>
    <w:rsid w:val="376C4B50"/>
    <w:rsid w:val="37C30C14"/>
    <w:rsid w:val="37D7646D"/>
    <w:rsid w:val="37E1553E"/>
    <w:rsid w:val="3810372D"/>
    <w:rsid w:val="3834566E"/>
    <w:rsid w:val="383C4522"/>
    <w:rsid w:val="383E029A"/>
    <w:rsid w:val="386121DB"/>
    <w:rsid w:val="3870241E"/>
    <w:rsid w:val="388C7258"/>
    <w:rsid w:val="3894610C"/>
    <w:rsid w:val="38985A08"/>
    <w:rsid w:val="389D76B7"/>
    <w:rsid w:val="38A327F3"/>
    <w:rsid w:val="38B93DC5"/>
    <w:rsid w:val="38EF77E6"/>
    <w:rsid w:val="38F60B75"/>
    <w:rsid w:val="38F82B3F"/>
    <w:rsid w:val="39180AEB"/>
    <w:rsid w:val="391C6B1C"/>
    <w:rsid w:val="391D4354"/>
    <w:rsid w:val="392751D2"/>
    <w:rsid w:val="39627FB8"/>
    <w:rsid w:val="39AD65CB"/>
    <w:rsid w:val="39B76556"/>
    <w:rsid w:val="39FF3A59"/>
    <w:rsid w:val="3A1C285D"/>
    <w:rsid w:val="3A2A1301"/>
    <w:rsid w:val="3A993EAE"/>
    <w:rsid w:val="3AA27206"/>
    <w:rsid w:val="3AA34D2C"/>
    <w:rsid w:val="3AAA009C"/>
    <w:rsid w:val="3AF64E5C"/>
    <w:rsid w:val="3AFF6407"/>
    <w:rsid w:val="3B9052B1"/>
    <w:rsid w:val="3BAC5E63"/>
    <w:rsid w:val="3BD50F16"/>
    <w:rsid w:val="3BF3464D"/>
    <w:rsid w:val="3BFA71D7"/>
    <w:rsid w:val="3C381322"/>
    <w:rsid w:val="3C85293C"/>
    <w:rsid w:val="3CDC7E0B"/>
    <w:rsid w:val="3CF57C73"/>
    <w:rsid w:val="3D347EBE"/>
    <w:rsid w:val="3D3879AE"/>
    <w:rsid w:val="3D491BBB"/>
    <w:rsid w:val="3D597924"/>
    <w:rsid w:val="3D632551"/>
    <w:rsid w:val="3D911206"/>
    <w:rsid w:val="3D98669F"/>
    <w:rsid w:val="3DAC214A"/>
    <w:rsid w:val="3DB01C3A"/>
    <w:rsid w:val="3DD82F3F"/>
    <w:rsid w:val="3DDA2813"/>
    <w:rsid w:val="3E23065E"/>
    <w:rsid w:val="3E4660FB"/>
    <w:rsid w:val="3E4D56DB"/>
    <w:rsid w:val="3E554590"/>
    <w:rsid w:val="3E9143BA"/>
    <w:rsid w:val="3E9F1194"/>
    <w:rsid w:val="3EB968CD"/>
    <w:rsid w:val="3EC75DAA"/>
    <w:rsid w:val="3EDB4A95"/>
    <w:rsid w:val="3EFB1CE9"/>
    <w:rsid w:val="3F03223E"/>
    <w:rsid w:val="3F19380F"/>
    <w:rsid w:val="3F1C50AD"/>
    <w:rsid w:val="3F32042D"/>
    <w:rsid w:val="3F402B4A"/>
    <w:rsid w:val="3F8D4479"/>
    <w:rsid w:val="3F982986"/>
    <w:rsid w:val="3FBF6165"/>
    <w:rsid w:val="3FCB2D5B"/>
    <w:rsid w:val="3FD57736"/>
    <w:rsid w:val="400277B2"/>
    <w:rsid w:val="403501D5"/>
    <w:rsid w:val="40632F94"/>
    <w:rsid w:val="40816F42"/>
    <w:rsid w:val="409749EB"/>
    <w:rsid w:val="40D0553A"/>
    <w:rsid w:val="40E1210B"/>
    <w:rsid w:val="40E35E83"/>
    <w:rsid w:val="40EE65D6"/>
    <w:rsid w:val="40F40090"/>
    <w:rsid w:val="410A340F"/>
    <w:rsid w:val="41232723"/>
    <w:rsid w:val="41362456"/>
    <w:rsid w:val="414C3A28"/>
    <w:rsid w:val="41670862"/>
    <w:rsid w:val="41870F04"/>
    <w:rsid w:val="41A76EB0"/>
    <w:rsid w:val="41F940E8"/>
    <w:rsid w:val="42051E29"/>
    <w:rsid w:val="420C31B7"/>
    <w:rsid w:val="424010B3"/>
    <w:rsid w:val="42507548"/>
    <w:rsid w:val="425C5EED"/>
    <w:rsid w:val="426C3C56"/>
    <w:rsid w:val="429D6505"/>
    <w:rsid w:val="42D27F5D"/>
    <w:rsid w:val="43087E22"/>
    <w:rsid w:val="43615785"/>
    <w:rsid w:val="43994F1E"/>
    <w:rsid w:val="43A63197"/>
    <w:rsid w:val="43EE7018"/>
    <w:rsid w:val="44056110"/>
    <w:rsid w:val="44150A49"/>
    <w:rsid w:val="442347E8"/>
    <w:rsid w:val="443B5FD6"/>
    <w:rsid w:val="443D1D4E"/>
    <w:rsid w:val="444C672F"/>
    <w:rsid w:val="445B21D4"/>
    <w:rsid w:val="447119F7"/>
    <w:rsid w:val="4484172B"/>
    <w:rsid w:val="44913E48"/>
    <w:rsid w:val="44A26055"/>
    <w:rsid w:val="44A91191"/>
    <w:rsid w:val="44E328F5"/>
    <w:rsid w:val="45062140"/>
    <w:rsid w:val="45125677"/>
    <w:rsid w:val="45126EBF"/>
    <w:rsid w:val="453C1EDF"/>
    <w:rsid w:val="4561381A"/>
    <w:rsid w:val="457A2FCB"/>
    <w:rsid w:val="45921C25"/>
    <w:rsid w:val="45B002FD"/>
    <w:rsid w:val="45F918AE"/>
    <w:rsid w:val="460F14C8"/>
    <w:rsid w:val="4618037D"/>
    <w:rsid w:val="46565349"/>
    <w:rsid w:val="468A6D33"/>
    <w:rsid w:val="46A2615F"/>
    <w:rsid w:val="46B300A5"/>
    <w:rsid w:val="46E22739"/>
    <w:rsid w:val="46E81D53"/>
    <w:rsid w:val="46EB5A91"/>
    <w:rsid w:val="4703102D"/>
    <w:rsid w:val="471843AC"/>
    <w:rsid w:val="473835FD"/>
    <w:rsid w:val="47665118"/>
    <w:rsid w:val="47775577"/>
    <w:rsid w:val="47AE5204"/>
    <w:rsid w:val="47CA47A9"/>
    <w:rsid w:val="47D66741"/>
    <w:rsid w:val="47DF6244"/>
    <w:rsid w:val="48214913"/>
    <w:rsid w:val="48552871"/>
    <w:rsid w:val="485D476D"/>
    <w:rsid w:val="48743864"/>
    <w:rsid w:val="487D6BBD"/>
    <w:rsid w:val="4893018E"/>
    <w:rsid w:val="489363E0"/>
    <w:rsid w:val="48D34A2F"/>
    <w:rsid w:val="48FA1FBB"/>
    <w:rsid w:val="49094ECF"/>
    <w:rsid w:val="491017DF"/>
    <w:rsid w:val="492928A1"/>
    <w:rsid w:val="494E0559"/>
    <w:rsid w:val="495A0CAC"/>
    <w:rsid w:val="496D3B74"/>
    <w:rsid w:val="49731D6E"/>
    <w:rsid w:val="49783701"/>
    <w:rsid w:val="498C643A"/>
    <w:rsid w:val="499F5849"/>
    <w:rsid w:val="49A40B0A"/>
    <w:rsid w:val="4A06505B"/>
    <w:rsid w:val="4A0D21F0"/>
    <w:rsid w:val="4A0D5D1E"/>
    <w:rsid w:val="4A501AB6"/>
    <w:rsid w:val="4A5D0A54"/>
    <w:rsid w:val="4A600544"/>
    <w:rsid w:val="4A704CC1"/>
    <w:rsid w:val="4A742241"/>
    <w:rsid w:val="4AD54A8E"/>
    <w:rsid w:val="4B166E55"/>
    <w:rsid w:val="4B325670"/>
    <w:rsid w:val="4B35552D"/>
    <w:rsid w:val="4B50324F"/>
    <w:rsid w:val="4B645E12"/>
    <w:rsid w:val="4BA95F1B"/>
    <w:rsid w:val="4BE53A2A"/>
    <w:rsid w:val="4C041E93"/>
    <w:rsid w:val="4C0B2731"/>
    <w:rsid w:val="4C3B3017"/>
    <w:rsid w:val="4C5E0AB3"/>
    <w:rsid w:val="4C6205A3"/>
    <w:rsid w:val="4CA54934"/>
    <w:rsid w:val="4CBD1C7E"/>
    <w:rsid w:val="4CCA439B"/>
    <w:rsid w:val="4CCF19B1"/>
    <w:rsid w:val="4CDB65A8"/>
    <w:rsid w:val="4CFA0BEC"/>
    <w:rsid w:val="4D2B308B"/>
    <w:rsid w:val="4D2E0486"/>
    <w:rsid w:val="4D8B1D7C"/>
    <w:rsid w:val="4D9A3D6D"/>
    <w:rsid w:val="4DA5737C"/>
    <w:rsid w:val="4DAB1AD6"/>
    <w:rsid w:val="4DB90697"/>
    <w:rsid w:val="4DC94652"/>
    <w:rsid w:val="4DCB03CA"/>
    <w:rsid w:val="4DCF7EBB"/>
    <w:rsid w:val="4E0833CC"/>
    <w:rsid w:val="4E121B55"/>
    <w:rsid w:val="4E1A4EAE"/>
    <w:rsid w:val="4E9E5ADF"/>
    <w:rsid w:val="4EAA6232"/>
    <w:rsid w:val="4EF13E61"/>
    <w:rsid w:val="4F3A5808"/>
    <w:rsid w:val="4F4E12B3"/>
    <w:rsid w:val="4F4E3061"/>
    <w:rsid w:val="4F602576"/>
    <w:rsid w:val="4F7C7BCE"/>
    <w:rsid w:val="4F8F0597"/>
    <w:rsid w:val="4F936CC6"/>
    <w:rsid w:val="4FAD5FDA"/>
    <w:rsid w:val="501F67AB"/>
    <w:rsid w:val="5039556B"/>
    <w:rsid w:val="50395ABF"/>
    <w:rsid w:val="50463D38"/>
    <w:rsid w:val="50483F54"/>
    <w:rsid w:val="5076286F"/>
    <w:rsid w:val="508D1967"/>
    <w:rsid w:val="509F249B"/>
    <w:rsid w:val="50D13F4A"/>
    <w:rsid w:val="50F10148"/>
    <w:rsid w:val="513E0EB3"/>
    <w:rsid w:val="513F4816"/>
    <w:rsid w:val="515D57DD"/>
    <w:rsid w:val="51787F3A"/>
    <w:rsid w:val="51B737ED"/>
    <w:rsid w:val="523A18EA"/>
    <w:rsid w:val="52432C25"/>
    <w:rsid w:val="52522E68"/>
    <w:rsid w:val="525C3CE7"/>
    <w:rsid w:val="526A0160"/>
    <w:rsid w:val="5294142D"/>
    <w:rsid w:val="52E31D12"/>
    <w:rsid w:val="52E87329"/>
    <w:rsid w:val="5302488E"/>
    <w:rsid w:val="53065A01"/>
    <w:rsid w:val="532E7431"/>
    <w:rsid w:val="535914C6"/>
    <w:rsid w:val="538928BA"/>
    <w:rsid w:val="53C47D96"/>
    <w:rsid w:val="53D0673A"/>
    <w:rsid w:val="53E81962"/>
    <w:rsid w:val="53FE4B2B"/>
    <w:rsid w:val="54696247"/>
    <w:rsid w:val="547F5A6B"/>
    <w:rsid w:val="54C53DC5"/>
    <w:rsid w:val="54CD2C7A"/>
    <w:rsid w:val="54FE4BE1"/>
    <w:rsid w:val="55651104"/>
    <w:rsid w:val="557355CF"/>
    <w:rsid w:val="559612BE"/>
    <w:rsid w:val="55A90FF1"/>
    <w:rsid w:val="55CA0F67"/>
    <w:rsid w:val="55D10548"/>
    <w:rsid w:val="55DD0C9B"/>
    <w:rsid w:val="55EE4C56"/>
    <w:rsid w:val="55F34962"/>
    <w:rsid w:val="55FC3817"/>
    <w:rsid w:val="56130B60"/>
    <w:rsid w:val="562B7C58"/>
    <w:rsid w:val="564B3E56"/>
    <w:rsid w:val="56665134"/>
    <w:rsid w:val="569958AC"/>
    <w:rsid w:val="56A1616C"/>
    <w:rsid w:val="56AE2637"/>
    <w:rsid w:val="56C105BC"/>
    <w:rsid w:val="56FF2E93"/>
    <w:rsid w:val="57141583"/>
    <w:rsid w:val="5714693E"/>
    <w:rsid w:val="572648C3"/>
    <w:rsid w:val="57390153"/>
    <w:rsid w:val="573945F7"/>
    <w:rsid w:val="575136EE"/>
    <w:rsid w:val="576D604E"/>
    <w:rsid w:val="579655A5"/>
    <w:rsid w:val="57B43C7D"/>
    <w:rsid w:val="57DB56AE"/>
    <w:rsid w:val="57F4051E"/>
    <w:rsid w:val="57F81DBC"/>
    <w:rsid w:val="57FA1FD8"/>
    <w:rsid w:val="5827444F"/>
    <w:rsid w:val="588E0972"/>
    <w:rsid w:val="589420B7"/>
    <w:rsid w:val="58A93537"/>
    <w:rsid w:val="58D77C23"/>
    <w:rsid w:val="59012EF2"/>
    <w:rsid w:val="592A2449"/>
    <w:rsid w:val="594E27B5"/>
    <w:rsid w:val="59837DAB"/>
    <w:rsid w:val="59B14918"/>
    <w:rsid w:val="5A184997"/>
    <w:rsid w:val="5A186745"/>
    <w:rsid w:val="5A401E1F"/>
    <w:rsid w:val="5A407A4A"/>
    <w:rsid w:val="5A5534F6"/>
    <w:rsid w:val="5A573808"/>
    <w:rsid w:val="5A70032F"/>
    <w:rsid w:val="5A753B98"/>
    <w:rsid w:val="5AA1673B"/>
    <w:rsid w:val="5B37709F"/>
    <w:rsid w:val="5B417F1E"/>
    <w:rsid w:val="5B5A2D8E"/>
    <w:rsid w:val="5B5B0FE0"/>
    <w:rsid w:val="5B635479"/>
    <w:rsid w:val="5B920779"/>
    <w:rsid w:val="5BB66216"/>
    <w:rsid w:val="5BBB7CD0"/>
    <w:rsid w:val="5BD42B40"/>
    <w:rsid w:val="5C121541"/>
    <w:rsid w:val="5C1D45E7"/>
    <w:rsid w:val="5C2C2C75"/>
    <w:rsid w:val="5C3435DF"/>
    <w:rsid w:val="5C4849EC"/>
    <w:rsid w:val="5C602626"/>
    <w:rsid w:val="5C6F4617"/>
    <w:rsid w:val="5C763BF7"/>
    <w:rsid w:val="5CBF3C55"/>
    <w:rsid w:val="5D261179"/>
    <w:rsid w:val="5D290C69"/>
    <w:rsid w:val="5D79574D"/>
    <w:rsid w:val="5D900CE9"/>
    <w:rsid w:val="5DAB5B22"/>
    <w:rsid w:val="5DAB78D0"/>
    <w:rsid w:val="5DB669A1"/>
    <w:rsid w:val="5DC10EA2"/>
    <w:rsid w:val="5DCC4E01"/>
    <w:rsid w:val="5DDC7185"/>
    <w:rsid w:val="5DF63241"/>
    <w:rsid w:val="5DF72B16"/>
    <w:rsid w:val="5E113BD7"/>
    <w:rsid w:val="5E2F22B0"/>
    <w:rsid w:val="5E7F3237"/>
    <w:rsid w:val="5EA507C4"/>
    <w:rsid w:val="5EB84053"/>
    <w:rsid w:val="5EF62DCD"/>
    <w:rsid w:val="5F021772"/>
    <w:rsid w:val="5F0E45BB"/>
    <w:rsid w:val="5F1D035A"/>
    <w:rsid w:val="5F1D34B8"/>
    <w:rsid w:val="5F2E07B9"/>
    <w:rsid w:val="5F506981"/>
    <w:rsid w:val="5F571ABE"/>
    <w:rsid w:val="5F683CCB"/>
    <w:rsid w:val="5F893C41"/>
    <w:rsid w:val="5F9B4DC5"/>
    <w:rsid w:val="5FD27396"/>
    <w:rsid w:val="5FDE21DF"/>
    <w:rsid w:val="5FE80968"/>
    <w:rsid w:val="5FFE1F39"/>
    <w:rsid w:val="60206354"/>
    <w:rsid w:val="602D6CC3"/>
    <w:rsid w:val="604A517F"/>
    <w:rsid w:val="605129B1"/>
    <w:rsid w:val="60575AEE"/>
    <w:rsid w:val="606B45BC"/>
    <w:rsid w:val="606D5311"/>
    <w:rsid w:val="60793F68"/>
    <w:rsid w:val="60B3541A"/>
    <w:rsid w:val="60C767CF"/>
    <w:rsid w:val="60C87C85"/>
    <w:rsid w:val="60CD394A"/>
    <w:rsid w:val="60D04E07"/>
    <w:rsid w:val="60DD4245"/>
    <w:rsid w:val="60E5134B"/>
    <w:rsid w:val="61314591"/>
    <w:rsid w:val="613C71BD"/>
    <w:rsid w:val="615269E1"/>
    <w:rsid w:val="6168137E"/>
    <w:rsid w:val="61A15272"/>
    <w:rsid w:val="61AE798F"/>
    <w:rsid w:val="61BC5108"/>
    <w:rsid w:val="61DC7574"/>
    <w:rsid w:val="61E40AEE"/>
    <w:rsid w:val="6220263B"/>
    <w:rsid w:val="62465E1A"/>
    <w:rsid w:val="62726C0F"/>
    <w:rsid w:val="628250A4"/>
    <w:rsid w:val="62830E1C"/>
    <w:rsid w:val="629628FD"/>
    <w:rsid w:val="629C4E5A"/>
    <w:rsid w:val="62BF00A6"/>
    <w:rsid w:val="63251ED3"/>
    <w:rsid w:val="63253C81"/>
    <w:rsid w:val="632E6FDA"/>
    <w:rsid w:val="63952BB5"/>
    <w:rsid w:val="63BD210C"/>
    <w:rsid w:val="63E36016"/>
    <w:rsid w:val="640146EE"/>
    <w:rsid w:val="640A32DB"/>
    <w:rsid w:val="64112FF4"/>
    <w:rsid w:val="6416019A"/>
    <w:rsid w:val="64283A29"/>
    <w:rsid w:val="645B2050"/>
    <w:rsid w:val="64713622"/>
    <w:rsid w:val="64787FA6"/>
    <w:rsid w:val="647B3C49"/>
    <w:rsid w:val="649E018F"/>
    <w:rsid w:val="64C25C2B"/>
    <w:rsid w:val="64D4595F"/>
    <w:rsid w:val="64E02555"/>
    <w:rsid w:val="64E75692"/>
    <w:rsid w:val="651D5558"/>
    <w:rsid w:val="651E6BDA"/>
    <w:rsid w:val="65222B6E"/>
    <w:rsid w:val="6578453C"/>
    <w:rsid w:val="657F58CB"/>
    <w:rsid w:val="65905D2A"/>
    <w:rsid w:val="65991C7A"/>
    <w:rsid w:val="65C94D98"/>
    <w:rsid w:val="65F22540"/>
    <w:rsid w:val="65F939B1"/>
    <w:rsid w:val="66067D9A"/>
    <w:rsid w:val="664B017C"/>
    <w:rsid w:val="6663343E"/>
    <w:rsid w:val="66684541"/>
    <w:rsid w:val="66815672"/>
    <w:rsid w:val="669106AC"/>
    <w:rsid w:val="66A852F5"/>
    <w:rsid w:val="66CF4630"/>
    <w:rsid w:val="66D24120"/>
    <w:rsid w:val="66D94D7E"/>
    <w:rsid w:val="67340937"/>
    <w:rsid w:val="674566A0"/>
    <w:rsid w:val="675D1C3B"/>
    <w:rsid w:val="67690D45"/>
    <w:rsid w:val="6784541A"/>
    <w:rsid w:val="67980EC5"/>
    <w:rsid w:val="679D028A"/>
    <w:rsid w:val="67AB6E4B"/>
    <w:rsid w:val="67AE2497"/>
    <w:rsid w:val="67B35CFF"/>
    <w:rsid w:val="67E1286C"/>
    <w:rsid w:val="67ED3BE0"/>
    <w:rsid w:val="67EF7AB2"/>
    <w:rsid w:val="685748DD"/>
    <w:rsid w:val="686B65DA"/>
    <w:rsid w:val="68703BF0"/>
    <w:rsid w:val="68831B76"/>
    <w:rsid w:val="68BF2482"/>
    <w:rsid w:val="68C56E46"/>
    <w:rsid w:val="68DC4DE2"/>
    <w:rsid w:val="68FF64C9"/>
    <w:rsid w:val="6942733B"/>
    <w:rsid w:val="695D5F23"/>
    <w:rsid w:val="696C260A"/>
    <w:rsid w:val="699B6A4B"/>
    <w:rsid w:val="69E5416A"/>
    <w:rsid w:val="69F36887"/>
    <w:rsid w:val="69F60125"/>
    <w:rsid w:val="69F66377"/>
    <w:rsid w:val="6A152DAC"/>
    <w:rsid w:val="6A4C5F97"/>
    <w:rsid w:val="6A892D47"/>
    <w:rsid w:val="6A95793E"/>
    <w:rsid w:val="6A981507"/>
    <w:rsid w:val="6AEA1A38"/>
    <w:rsid w:val="6AF81D99"/>
    <w:rsid w:val="6B040620"/>
    <w:rsid w:val="6B517D09"/>
    <w:rsid w:val="6BB34520"/>
    <w:rsid w:val="6BD423B2"/>
    <w:rsid w:val="6C0C7A8D"/>
    <w:rsid w:val="6C134FBF"/>
    <w:rsid w:val="6C353187"/>
    <w:rsid w:val="6C360CAD"/>
    <w:rsid w:val="6C4E4249"/>
    <w:rsid w:val="6C68355C"/>
    <w:rsid w:val="6C711CE5"/>
    <w:rsid w:val="6D062D75"/>
    <w:rsid w:val="6D605FE2"/>
    <w:rsid w:val="6D761CA9"/>
    <w:rsid w:val="6D7B106D"/>
    <w:rsid w:val="6D9E4D5C"/>
    <w:rsid w:val="6DA57E98"/>
    <w:rsid w:val="6DAD4F9F"/>
    <w:rsid w:val="6DBE71AC"/>
    <w:rsid w:val="6DD32C57"/>
    <w:rsid w:val="6E0B0643"/>
    <w:rsid w:val="6E183AA7"/>
    <w:rsid w:val="6E380D0C"/>
    <w:rsid w:val="6E5C0E9F"/>
    <w:rsid w:val="6E70494A"/>
    <w:rsid w:val="6E7066F8"/>
    <w:rsid w:val="6E7F2DDF"/>
    <w:rsid w:val="6E8712B3"/>
    <w:rsid w:val="6E9543B1"/>
    <w:rsid w:val="6E9F5303"/>
    <w:rsid w:val="6EB90D72"/>
    <w:rsid w:val="6EBC193D"/>
    <w:rsid w:val="6EBF4F8A"/>
    <w:rsid w:val="6ED07197"/>
    <w:rsid w:val="6ED31DC2"/>
    <w:rsid w:val="6EDD18B4"/>
    <w:rsid w:val="6EDE17E0"/>
    <w:rsid w:val="6F16587E"/>
    <w:rsid w:val="6F343BCA"/>
    <w:rsid w:val="6F3911E0"/>
    <w:rsid w:val="6F40683E"/>
    <w:rsid w:val="6F4D6A39"/>
    <w:rsid w:val="6F543D73"/>
    <w:rsid w:val="6F7246F2"/>
    <w:rsid w:val="6FA7614A"/>
    <w:rsid w:val="6FB1521A"/>
    <w:rsid w:val="6FB55123"/>
    <w:rsid w:val="6FCA008A"/>
    <w:rsid w:val="6FDB4045"/>
    <w:rsid w:val="6FE74798"/>
    <w:rsid w:val="6FFB46E7"/>
    <w:rsid w:val="70052E70"/>
    <w:rsid w:val="70161521"/>
    <w:rsid w:val="70291255"/>
    <w:rsid w:val="704020FA"/>
    <w:rsid w:val="70913FF7"/>
    <w:rsid w:val="70A24B63"/>
    <w:rsid w:val="70BC3E77"/>
    <w:rsid w:val="70DA60AB"/>
    <w:rsid w:val="71175551"/>
    <w:rsid w:val="71397275"/>
    <w:rsid w:val="71542301"/>
    <w:rsid w:val="7161057A"/>
    <w:rsid w:val="71614A1E"/>
    <w:rsid w:val="71744751"/>
    <w:rsid w:val="719E17CE"/>
    <w:rsid w:val="71A468A7"/>
    <w:rsid w:val="71AD37BF"/>
    <w:rsid w:val="71BC3A02"/>
    <w:rsid w:val="71BE71B9"/>
    <w:rsid w:val="71E17B41"/>
    <w:rsid w:val="71E371E1"/>
    <w:rsid w:val="71EA4A14"/>
    <w:rsid w:val="720535FB"/>
    <w:rsid w:val="72056524"/>
    <w:rsid w:val="7213221D"/>
    <w:rsid w:val="721C6132"/>
    <w:rsid w:val="722D66AE"/>
    <w:rsid w:val="725E4ABA"/>
    <w:rsid w:val="72695938"/>
    <w:rsid w:val="729A01E8"/>
    <w:rsid w:val="72F316A6"/>
    <w:rsid w:val="730072C7"/>
    <w:rsid w:val="7315786E"/>
    <w:rsid w:val="732D105C"/>
    <w:rsid w:val="733028FA"/>
    <w:rsid w:val="73530500"/>
    <w:rsid w:val="737F2F3A"/>
    <w:rsid w:val="73920EBF"/>
    <w:rsid w:val="73927111"/>
    <w:rsid w:val="73A20590"/>
    <w:rsid w:val="73A82490"/>
    <w:rsid w:val="73C66DBA"/>
    <w:rsid w:val="73F2195D"/>
    <w:rsid w:val="74017DF2"/>
    <w:rsid w:val="74640AAD"/>
    <w:rsid w:val="74B22513"/>
    <w:rsid w:val="74EC2851"/>
    <w:rsid w:val="74FC6F38"/>
    <w:rsid w:val="75461F61"/>
    <w:rsid w:val="757271FA"/>
    <w:rsid w:val="75826D11"/>
    <w:rsid w:val="759C6025"/>
    <w:rsid w:val="75B443BF"/>
    <w:rsid w:val="75D457BF"/>
    <w:rsid w:val="7621652A"/>
    <w:rsid w:val="767E572A"/>
    <w:rsid w:val="76845DE8"/>
    <w:rsid w:val="76CE0460"/>
    <w:rsid w:val="76D67314"/>
    <w:rsid w:val="77534E09"/>
    <w:rsid w:val="777222A2"/>
    <w:rsid w:val="77980A6E"/>
    <w:rsid w:val="77B8570D"/>
    <w:rsid w:val="77D01FB6"/>
    <w:rsid w:val="77DA2487"/>
    <w:rsid w:val="77EF68E0"/>
    <w:rsid w:val="77F57C6E"/>
    <w:rsid w:val="7836450F"/>
    <w:rsid w:val="78454752"/>
    <w:rsid w:val="78715547"/>
    <w:rsid w:val="787C3EEC"/>
    <w:rsid w:val="789631FF"/>
    <w:rsid w:val="78B6564F"/>
    <w:rsid w:val="78BE4504"/>
    <w:rsid w:val="78F41CD4"/>
    <w:rsid w:val="79110AD8"/>
    <w:rsid w:val="79336CA0"/>
    <w:rsid w:val="794C7D62"/>
    <w:rsid w:val="796706F8"/>
    <w:rsid w:val="798968C0"/>
    <w:rsid w:val="79A4194C"/>
    <w:rsid w:val="79A436FA"/>
    <w:rsid w:val="79AE6327"/>
    <w:rsid w:val="79B7167F"/>
    <w:rsid w:val="7A1268B5"/>
    <w:rsid w:val="7A3C7DD6"/>
    <w:rsid w:val="7A3D12AC"/>
    <w:rsid w:val="7A664E53"/>
    <w:rsid w:val="7A831561"/>
    <w:rsid w:val="7AAA11E4"/>
    <w:rsid w:val="7AB06E64"/>
    <w:rsid w:val="7AB076DD"/>
    <w:rsid w:val="7AE2272C"/>
    <w:rsid w:val="7B072192"/>
    <w:rsid w:val="7B0C1557"/>
    <w:rsid w:val="7B106A1D"/>
    <w:rsid w:val="7B315461"/>
    <w:rsid w:val="7B31720F"/>
    <w:rsid w:val="7B3D3E06"/>
    <w:rsid w:val="7B4909FD"/>
    <w:rsid w:val="7B845591"/>
    <w:rsid w:val="7B9C0015"/>
    <w:rsid w:val="7BAC2D3A"/>
    <w:rsid w:val="7C093CE8"/>
    <w:rsid w:val="7C376AA7"/>
    <w:rsid w:val="7C506205"/>
    <w:rsid w:val="7C5132EC"/>
    <w:rsid w:val="7C615057"/>
    <w:rsid w:val="7C684EB3"/>
    <w:rsid w:val="7C725D31"/>
    <w:rsid w:val="7C9C2DAE"/>
    <w:rsid w:val="7CCA16C9"/>
    <w:rsid w:val="7CE00EED"/>
    <w:rsid w:val="7D00333D"/>
    <w:rsid w:val="7D034BDB"/>
    <w:rsid w:val="7D080444"/>
    <w:rsid w:val="7D0C1CE2"/>
    <w:rsid w:val="7D272678"/>
    <w:rsid w:val="7D553689"/>
    <w:rsid w:val="7D603DDC"/>
    <w:rsid w:val="7D7358BD"/>
    <w:rsid w:val="7D8B47B7"/>
    <w:rsid w:val="7D9B51C2"/>
    <w:rsid w:val="7DB67EA0"/>
    <w:rsid w:val="7DCA74A7"/>
    <w:rsid w:val="7E3239CA"/>
    <w:rsid w:val="7E837D82"/>
    <w:rsid w:val="7E846768"/>
    <w:rsid w:val="7E867872"/>
    <w:rsid w:val="7EAA3560"/>
    <w:rsid w:val="7EE95C34"/>
    <w:rsid w:val="7EF40C80"/>
    <w:rsid w:val="7F4D213E"/>
    <w:rsid w:val="7F7678E7"/>
    <w:rsid w:val="7F936B8B"/>
    <w:rsid w:val="7FA2248A"/>
    <w:rsid w:val="7FA51F7A"/>
    <w:rsid w:val="7FAA57E2"/>
    <w:rsid w:val="7FC9210C"/>
    <w:rsid w:val="7FEF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0" w:semiHidden="0" w:name="heading 2"/>
    <w:lsdException w:qFormat="1" w:unhideWhenUsed="0" w:uiPriority="6"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spacing w:before="240" w:after="60"/>
      <w:outlineLvl w:val="1"/>
    </w:pPr>
    <w:rPr>
      <w:rFonts w:ascii="Arial" w:hAnsi="Arial"/>
      <w:kern w:val="2"/>
      <w:sz w:val="28"/>
      <w:szCs w:val="28"/>
    </w:rPr>
  </w:style>
  <w:style w:type="paragraph" w:styleId="4">
    <w:name w:val="heading 3"/>
    <w:basedOn w:val="1"/>
    <w:next w:val="1"/>
    <w:link w:val="25"/>
    <w:qFormat/>
    <w:uiPriority w:val="6"/>
    <w:pPr>
      <w:keepNext/>
      <w:spacing w:before="240" w:after="60"/>
      <w:outlineLvl w:val="2"/>
    </w:pPr>
    <w:rPr>
      <w:b/>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qFormat/>
    <w:uiPriority w:val="0"/>
    <w:pPr>
      <w:widowControl w:val="0"/>
      <w:spacing w:after="120"/>
      <w:jc w:val="both"/>
    </w:pPr>
    <w:rPr>
      <w:kern w:val="2"/>
      <w:sz w:val="21"/>
      <w:szCs w:val="24"/>
    </w:rPr>
  </w:style>
  <w:style w:type="paragraph" w:styleId="6">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7">
    <w:name w:val="Body Text Indent"/>
    <w:basedOn w:val="1"/>
    <w:semiHidden/>
    <w:unhideWhenUsed/>
    <w:qFormat/>
    <w:uiPriority w:val="99"/>
    <w:pPr>
      <w:spacing w:after="120"/>
      <w:ind w:left="420" w:leftChars="200"/>
    </w:pPr>
  </w:style>
  <w:style w:type="paragraph" w:styleId="8">
    <w:name w:val="List 2"/>
    <w:basedOn w:val="1"/>
    <w:qFormat/>
    <w:uiPriority w:val="0"/>
    <w:pPr>
      <w:ind w:left="100" w:leftChars="200" w:hanging="200" w:hangingChars="200"/>
    </w:pPr>
  </w:style>
  <w:style w:type="paragraph" w:styleId="9">
    <w:name w:val="Plain Text"/>
    <w:basedOn w:val="1"/>
    <w:unhideWhenUsed/>
    <w:qFormat/>
    <w:uiPriority w:val="0"/>
    <w:rPr>
      <w:rFonts w:hint="eastAsia" w:ascii="宋体" w:hAnsi="Courier New"/>
      <w:sz w:val="21"/>
      <w:szCs w:val="21"/>
    </w:rPr>
  </w:style>
  <w:style w:type="paragraph" w:styleId="10">
    <w:name w:val="footer"/>
    <w:basedOn w:val="1"/>
    <w:unhideWhenUsed/>
    <w:qFormat/>
    <w:uiPriority w:val="0"/>
    <w:pPr>
      <w:tabs>
        <w:tab w:val="center" w:pos="4153"/>
        <w:tab w:val="right" w:pos="8306"/>
      </w:tabs>
      <w:snapToGrid w:val="0"/>
    </w:pPr>
    <w:rPr>
      <w:kern w:val="2"/>
      <w:sz w:val="18"/>
    </w:rPr>
  </w:style>
  <w:style w:type="paragraph" w:styleId="11">
    <w:name w:val="envelope return"/>
    <w:basedOn w:val="1"/>
    <w:qFormat/>
    <w:uiPriority w:val="99"/>
    <w:rPr>
      <w:rFonts w:ascii="Arial" w:hAnsi="Arial"/>
    </w:rPr>
  </w:style>
  <w:style w:type="paragraph" w:styleId="12">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3">
    <w:name w:val="toc 1"/>
    <w:basedOn w:val="1"/>
    <w:next w:val="1"/>
    <w:qFormat/>
    <w:uiPriority w:val="39"/>
    <w:pPr>
      <w:widowControl w:val="0"/>
      <w:jc w:val="both"/>
    </w:pPr>
    <w:rPr>
      <w:kern w:val="2"/>
      <w:sz w:val="21"/>
      <w:szCs w:val="24"/>
    </w:rPr>
  </w:style>
  <w:style w:type="paragraph" w:styleId="14">
    <w:name w:val="toc 2"/>
    <w:basedOn w:val="1"/>
    <w:next w:val="1"/>
    <w:qFormat/>
    <w:uiPriority w:val="0"/>
    <w:pPr>
      <w:ind w:left="420" w:leftChars="200"/>
    </w:pPr>
  </w:style>
  <w:style w:type="paragraph" w:styleId="15">
    <w:name w:val="Normal (Web)"/>
    <w:basedOn w:val="1"/>
    <w:qFormat/>
    <w:uiPriority w:val="99"/>
    <w:pPr>
      <w:spacing w:before="100" w:beforeAutospacing="1" w:after="100" w:afterAutospacing="1"/>
    </w:pPr>
    <w:rPr>
      <w:rFonts w:ascii="宋体" w:hAnsi="宋体" w:cs="宋体"/>
      <w:sz w:val="24"/>
    </w:rPr>
  </w:style>
  <w:style w:type="paragraph" w:styleId="16">
    <w:name w:val="Body Text First Indent"/>
    <w:basedOn w:val="5"/>
    <w:next w:val="17"/>
    <w:qFormat/>
    <w:uiPriority w:val="0"/>
    <w:pPr>
      <w:ind w:firstLine="420"/>
    </w:pPr>
    <w:rPr>
      <w:rFonts w:eastAsia="楷体_GB2312"/>
      <w:sz w:val="32"/>
      <w:szCs w:val="32"/>
    </w:rPr>
  </w:style>
  <w:style w:type="paragraph" w:styleId="17">
    <w:name w:val="Body Text First Indent 2"/>
    <w:basedOn w:val="7"/>
    <w:unhideWhenUsed/>
    <w:qFormat/>
    <w:uiPriority w:val="99"/>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u w:val="single"/>
    </w:rPr>
  </w:style>
  <w:style w:type="paragraph" w:customStyle="1" w:styleId="22">
    <w:name w:val="样式 正文首行缩进 2 + Arial"/>
    <w:basedOn w:val="1"/>
    <w:next w:val="1"/>
    <w:qFormat/>
    <w:uiPriority w:val="0"/>
    <w:pPr>
      <w:spacing w:after="120" w:line="320" w:lineRule="atLeast"/>
      <w:ind w:firstLine="200" w:firstLineChars="200"/>
    </w:pPr>
    <w:rPr>
      <w:rFonts w:ascii="Arial" w:hAnsi="Arial"/>
    </w:rPr>
  </w:style>
  <w:style w:type="paragraph" w:customStyle="1" w:styleId="23">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4">
    <w:name w:val="Table Paragraph"/>
    <w:basedOn w:val="1"/>
    <w:qFormat/>
    <w:uiPriority w:val="1"/>
    <w:rPr>
      <w:rFonts w:ascii="宋体" w:hAnsi="宋体" w:cs="宋体"/>
      <w:lang w:val="zh-CN" w:bidi="zh-CN"/>
    </w:rPr>
  </w:style>
  <w:style w:type="character" w:customStyle="1" w:styleId="25">
    <w:name w:val="标题 3 字符"/>
    <w:basedOn w:val="20"/>
    <w:link w:val="4"/>
    <w:qFormat/>
    <w:locked/>
    <w:uiPriority w:val="99"/>
    <w:rPr>
      <w:b/>
    </w:rPr>
  </w:style>
  <w:style w:type="paragraph" w:customStyle="1" w:styleId="26">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我的正文"/>
    <w:basedOn w:val="7"/>
    <w:qFormat/>
    <w:uiPriority w:val="0"/>
    <w:pPr>
      <w:ind w:firstLine="480" w:firstLineChars="200"/>
    </w:pPr>
  </w:style>
  <w:style w:type="paragraph" w:customStyle="1" w:styleId="28">
    <w:name w:val="Table Text"/>
    <w:basedOn w:val="1"/>
    <w:semiHidden/>
    <w:qFormat/>
    <w:uiPriority w:val="0"/>
    <w:rPr>
      <w:rFonts w:ascii="宋体" w:hAnsi="宋体" w:eastAsia="宋体" w:cs="宋体"/>
      <w:sz w:val="24"/>
      <w:szCs w:val="24"/>
      <w:lang w:val="en-US" w:eastAsia="en-US" w:bidi="ar-SA"/>
    </w:rPr>
  </w:style>
  <w:style w:type="table" w:customStyle="1" w:styleId="29">
    <w:name w:val="Table Normal"/>
    <w:unhideWhenUsed/>
    <w:qFormat/>
    <w:uiPriority w:val="0"/>
    <w:tblPr>
      <w:tblCellMar>
        <w:top w:w="0" w:type="dxa"/>
        <w:left w:w="0" w:type="dxa"/>
        <w:bottom w:w="0" w:type="dxa"/>
        <w:right w:w="0" w:type="dxa"/>
      </w:tblCellMar>
    </w:tblPr>
  </w:style>
  <w:style w:type="paragraph" w:customStyle="1" w:styleId="30">
    <w:name w:val="文档正文"/>
    <w:basedOn w:val="1"/>
    <w:qFormat/>
    <w:uiPriority w:val="0"/>
    <w:pPr>
      <w:ind w:firstLine="482"/>
    </w:pPr>
  </w:style>
  <w:style w:type="paragraph" w:customStyle="1" w:styleId="31">
    <w:name w:val="无间隔1"/>
    <w:qFormat/>
    <w:uiPriority w:val="0"/>
    <w:pPr>
      <w:widowControl w:val="0"/>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21115</Words>
  <Characters>22518</Characters>
  <Lines>1251</Lines>
  <Paragraphs>946</Paragraphs>
  <TotalTime>0</TotalTime>
  <ScaleCrop>false</ScaleCrop>
  <LinksUpToDate>false</LinksUpToDate>
  <CharactersWithSpaces>23314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2023-10-30T10:10:00Z</dcterms:created>
  <dc:creator>Administrator</dc:creator>
  <cp:lastModifiedBy>雨后 晴天</cp:lastModifiedBy>
  <cp:lastPrinted>2025-07-18T07:18:00Z</cp:lastPrinted>
  <dcterms:modified xsi:type="dcterms:W3CDTF">2026-04-08T01:36:46Z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95C183E4FD7448D8894E61A613D0727D_13</vt:lpwstr>
  </property>
  <property fmtid="{D5CDD505-2E9C-101B-9397-08002B2CF9AE}" pid="4" name="KSOTemplateDocerSaveRecord">
    <vt:lpwstr>eyJoZGlkIjoiYmYyZmNmNzdlY2MwNjUwZmUyOTNlYmRiMGRlMTE3N2IiLCJ1c2VySWQiOiIzMDE0NjgxMjYifQ==</vt:lpwstr>
  </property>
</Properties>
</file>