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B83E5B9">
      <w:pPr>
        <w:jc w:val="center"/>
        <w:rPr>
          <w:rFonts w:hint="eastAsia" w:ascii="宋体" w:hAnsi="宋体" w:eastAsia="宋体" w:cs="宋体"/>
          <w:b/>
          <w:color w:val="auto"/>
          <w:sz w:val="44"/>
          <w:szCs w:val="44"/>
          <w:highlight w:val="none"/>
          <w:lang w:val="en-US" w:eastAsia="zh-CN"/>
        </w:rPr>
      </w:pPr>
    </w:p>
    <w:p w14:paraId="13B710E8">
      <w:pPr>
        <w:spacing w:line="360" w:lineRule="auto"/>
        <w:ind w:firstLine="0" w:firstLineChars="0"/>
        <w:jc w:val="center"/>
        <w:rPr>
          <w:rFonts w:hint="eastAsia" w:ascii="宋体" w:hAnsi="宋体" w:eastAsia="宋体" w:cs="宋体"/>
          <w:b/>
          <w:bCs/>
          <w:color w:val="auto"/>
          <w:spacing w:val="12"/>
          <w:sz w:val="44"/>
          <w:szCs w:val="44"/>
          <w:highlight w:val="none"/>
          <w:lang w:val="en-US" w:eastAsia="zh-CN"/>
        </w:rPr>
      </w:pPr>
      <w:r>
        <w:rPr>
          <w:rFonts w:hint="eastAsia" w:ascii="宋体" w:hAnsi="宋体" w:eastAsia="宋体" w:cs="宋体"/>
          <w:b/>
          <w:bCs/>
          <w:color w:val="auto"/>
          <w:spacing w:val="12"/>
          <w:sz w:val="44"/>
          <w:szCs w:val="44"/>
          <w:highlight w:val="none"/>
          <w:lang w:val="en-US" w:eastAsia="zh-CN"/>
        </w:rPr>
        <w:t>河南省周口生态环境监测中心2026年监测能力建设项目</w:t>
      </w:r>
    </w:p>
    <w:p w14:paraId="566F0791">
      <w:pPr>
        <w:spacing w:line="360" w:lineRule="auto"/>
        <w:ind w:firstLine="0" w:firstLineChars="0"/>
        <w:jc w:val="both"/>
        <w:rPr>
          <w:rFonts w:hint="eastAsia" w:ascii="宋体" w:hAnsi="宋体" w:eastAsia="宋体" w:cs="宋体"/>
          <w:b/>
          <w:color w:val="auto"/>
          <w:spacing w:val="12"/>
          <w:sz w:val="48"/>
          <w:highlight w:val="none"/>
        </w:rPr>
      </w:pPr>
    </w:p>
    <w:p w14:paraId="7346970C">
      <w:pPr>
        <w:spacing w:line="360" w:lineRule="auto"/>
        <w:ind w:firstLine="0" w:firstLineChars="0"/>
        <w:jc w:val="center"/>
        <w:rPr>
          <w:rFonts w:hint="eastAsia" w:ascii="宋体" w:hAnsi="宋体" w:eastAsia="宋体" w:cs="宋体"/>
          <w:b/>
          <w:bCs/>
          <w:color w:val="auto"/>
          <w:spacing w:val="12"/>
          <w:sz w:val="84"/>
          <w:highlight w:val="none"/>
        </w:rPr>
      </w:pPr>
      <w:r>
        <w:rPr>
          <w:rFonts w:hint="eastAsia" w:ascii="宋体" w:hAnsi="宋体" w:eastAsia="宋体" w:cs="宋体"/>
          <w:b/>
          <w:bCs/>
          <w:color w:val="auto"/>
          <w:spacing w:val="12"/>
          <w:sz w:val="84"/>
          <w:highlight w:val="none"/>
          <w:lang w:val="en-US" w:eastAsia="zh-CN"/>
        </w:rPr>
        <w:t>招标</w:t>
      </w:r>
      <w:r>
        <w:rPr>
          <w:rFonts w:hint="eastAsia" w:ascii="宋体" w:hAnsi="宋体" w:eastAsia="宋体" w:cs="宋体"/>
          <w:b/>
          <w:bCs/>
          <w:color w:val="auto"/>
          <w:spacing w:val="12"/>
          <w:sz w:val="84"/>
          <w:highlight w:val="none"/>
        </w:rPr>
        <w:t>文件</w:t>
      </w:r>
    </w:p>
    <w:p w14:paraId="068BE908">
      <w:pPr>
        <w:spacing w:line="360" w:lineRule="auto"/>
        <w:ind w:firstLine="0" w:firstLineChars="0"/>
        <w:jc w:val="center"/>
        <w:rPr>
          <w:rFonts w:hint="default" w:ascii="宋体" w:hAnsi="宋体" w:eastAsia="宋体" w:cs="宋体"/>
          <w:color w:val="auto"/>
          <w:sz w:val="24"/>
          <w:highlight w:val="none"/>
          <w:lang w:val="en-US" w:eastAsia="zh-CN"/>
        </w:rPr>
      </w:pPr>
      <w:r>
        <w:rPr>
          <w:rFonts w:hint="eastAsia" w:ascii="宋体" w:hAnsi="宋体" w:eastAsia="宋体" w:cs="宋体"/>
          <w:color w:val="auto"/>
          <w:sz w:val="24"/>
          <w:highlight w:val="none"/>
        </w:rPr>
        <w:t>项目编号：豫财招标采购-2026-</w:t>
      </w:r>
      <w:r>
        <w:rPr>
          <w:rFonts w:hint="eastAsia" w:cs="宋体"/>
          <w:color w:val="auto"/>
          <w:sz w:val="24"/>
          <w:highlight w:val="none"/>
          <w:lang w:val="en-US" w:eastAsia="zh-CN"/>
        </w:rPr>
        <w:t>297</w:t>
      </w:r>
    </w:p>
    <w:p w14:paraId="127F0C43">
      <w:pPr>
        <w:spacing w:line="360" w:lineRule="auto"/>
        <w:ind w:firstLine="0" w:firstLineChars="0"/>
        <w:jc w:val="center"/>
        <w:rPr>
          <w:rFonts w:hint="eastAsia" w:ascii="宋体" w:hAnsi="宋体" w:eastAsia="宋体" w:cs="宋体"/>
          <w:color w:val="auto"/>
          <w:sz w:val="24"/>
          <w:highlight w:val="none"/>
        </w:rPr>
      </w:pPr>
    </w:p>
    <w:p w14:paraId="7C6BCB2E">
      <w:pPr>
        <w:spacing w:line="360" w:lineRule="auto"/>
        <w:ind w:firstLine="0" w:firstLineChars="0"/>
        <w:jc w:val="center"/>
        <w:rPr>
          <w:rFonts w:hint="eastAsia" w:ascii="宋体" w:hAnsi="宋体" w:eastAsia="宋体" w:cs="宋体"/>
          <w:color w:val="auto"/>
          <w:sz w:val="24"/>
          <w:highlight w:val="none"/>
        </w:rPr>
      </w:pPr>
      <w:r>
        <w:rPr>
          <w:rFonts w:hint="eastAsia" w:ascii="宋体" w:hAnsi="宋体" w:eastAsia="宋体" w:cs="宋体"/>
          <w:color w:val="auto"/>
          <w:highlight w:val="none"/>
        </w:rPr>
        <w:drawing>
          <wp:inline distT="0" distB="0" distL="114300" distR="114300">
            <wp:extent cx="2221230" cy="2006600"/>
            <wp:effectExtent l="0" t="0" r="0" b="12700"/>
            <wp:docPr id="1" name="图片 2" descr="8f562f5910b6a12fd0b867dca89168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8f562f5910b6a12fd0b867dca89168f"/>
                    <pic:cNvPicPr>
                      <a:picLocks noChangeAspect="1"/>
                    </pic:cNvPicPr>
                  </pic:nvPicPr>
                  <pic:blipFill>
                    <a:blip r:embed="rId19"/>
                    <a:srcRect r="69313"/>
                    <a:stretch>
                      <a:fillRect/>
                    </a:stretch>
                  </pic:blipFill>
                  <pic:spPr>
                    <a:xfrm>
                      <a:off x="0" y="0"/>
                      <a:ext cx="2221230" cy="2006600"/>
                    </a:xfrm>
                    <a:prstGeom prst="rect">
                      <a:avLst/>
                    </a:prstGeom>
                    <a:noFill/>
                    <a:ln>
                      <a:noFill/>
                    </a:ln>
                  </pic:spPr>
                </pic:pic>
              </a:graphicData>
            </a:graphic>
          </wp:inline>
        </w:drawing>
      </w:r>
    </w:p>
    <w:p w14:paraId="4AD986C7">
      <w:pPr>
        <w:spacing w:line="360" w:lineRule="auto"/>
        <w:ind w:firstLine="0" w:firstLineChars="0"/>
        <w:jc w:val="center"/>
        <w:rPr>
          <w:rFonts w:hint="eastAsia" w:ascii="宋体" w:hAnsi="宋体" w:eastAsia="宋体" w:cs="宋体"/>
          <w:color w:val="auto"/>
          <w:sz w:val="24"/>
          <w:highlight w:val="none"/>
        </w:rPr>
      </w:pPr>
    </w:p>
    <w:p w14:paraId="6CF6362E">
      <w:pPr>
        <w:tabs>
          <w:tab w:val="left" w:pos="840"/>
        </w:tabs>
        <w:spacing w:line="360" w:lineRule="auto"/>
        <w:ind w:firstLine="0" w:firstLineChars="0"/>
        <w:jc w:val="center"/>
        <w:rPr>
          <w:rFonts w:hint="eastAsia" w:ascii="宋体" w:hAnsi="宋体" w:eastAsia="宋体" w:cs="宋体"/>
          <w:b/>
          <w:color w:val="auto"/>
          <w:sz w:val="32"/>
          <w:szCs w:val="32"/>
          <w:highlight w:val="none"/>
        </w:rPr>
      </w:pPr>
    </w:p>
    <w:p w14:paraId="2E907EA7">
      <w:pPr>
        <w:widowControl w:val="0"/>
        <w:spacing w:after="120" w:line="360" w:lineRule="auto"/>
        <w:jc w:val="both"/>
        <w:rPr>
          <w:rFonts w:hint="eastAsia" w:ascii="宋体" w:hAnsi="宋体" w:eastAsia="宋体" w:cs="宋体"/>
          <w:color w:val="auto"/>
          <w:kern w:val="2"/>
          <w:sz w:val="24"/>
          <w:szCs w:val="24"/>
          <w:highlight w:val="none"/>
          <w:lang w:val="en-US" w:eastAsia="zh-CN" w:bidi="ar-SA"/>
        </w:rPr>
      </w:pPr>
    </w:p>
    <w:p w14:paraId="462E85FF">
      <w:pPr>
        <w:tabs>
          <w:tab w:val="left" w:pos="840"/>
        </w:tabs>
        <w:spacing w:line="360" w:lineRule="auto"/>
        <w:ind w:firstLine="0" w:firstLineChars="0"/>
        <w:jc w:val="center"/>
        <w:rPr>
          <w:rFonts w:hint="eastAsia" w:ascii="宋体" w:hAnsi="宋体" w:eastAsia="宋体" w:cs="宋体"/>
          <w:b/>
          <w:color w:val="auto"/>
          <w:sz w:val="32"/>
          <w:szCs w:val="32"/>
          <w:highlight w:val="none"/>
        </w:rPr>
      </w:pPr>
    </w:p>
    <w:p w14:paraId="3D6DE775">
      <w:pPr>
        <w:tabs>
          <w:tab w:val="left" w:pos="840"/>
        </w:tabs>
        <w:spacing w:line="360" w:lineRule="auto"/>
        <w:ind w:firstLine="0" w:firstLineChars="0"/>
        <w:jc w:val="center"/>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采购人：河南省周口生态环境监测中心</w:t>
      </w:r>
    </w:p>
    <w:p w14:paraId="444B6DDB">
      <w:pPr>
        <w:spacing w:line="360" w:lineRule="auto"/>
        <w:ind w:firstLine="0" w:firstLineChars="0"/>
        <w:jc w:val="center"/>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采购代理机构：建基工程咨询有限公司</w:t>
      </w:r>
    </w:p>
    <w:p w14:paraId="71130E3A">
      <w:pPr>
        <w:spacing w:line="360" w:lineRule="auto"/>
        <w:ind w:firstLine="0" w:firstLineChars="0"/>
        <w:jc w:val="center"/>
        <w:rPr>
          <w:rFonts w:hint="eastAsia" w:ascii="宋体" w:hAnsi="宋体" w:eastAsia="宋体" w:cs="宋体"/>
          <w:color w:val="auto"/>
          <w:sz w:val="24"/>
          <w:highlight w:val="none"/>
        </w:rPr>
      </w:pPr>
      <w:r>
        <w:rPr>
          <w:rFonts w:hint="eastAsia" w:ascii="宋体" w:hAnsi="宋体" w:eastAsia="宋体" w:cs="宋体"/>
          <w:b/>
          <w:color w:val="auto"/>
          <w:sz w:val="30"/>
          <w:szCs w:val="30"/>
          <w:highlight w:val="none"/>
        </w:rPr>
        <w:t>二〇二</w:t>
      </w:r>
      <w:r>
        <w:rPr>
          <w:rFonts w:hint="eastAsia" w:ascii="宋体" w:hAnsi="宋体" w:eastAsia="宋体" w:cs="宋体"/>
          <w:b/>
          <w:color w:val="auto"/>
          <w:sz w:val="30"/>
          <w:szCs w:val="30"/>
          <w:highlight w:val="none"/>
          <w:lang w:val="en-US" w:eastAsia="zh-CN"/>
        </w:rPr>
        <w:t>六</w:t>
      </w:r>
      <w:r>
        <w:rPr>
          <w:rFonts w:hint="eastAsia" w:ascii="宋体" w:hAnsi="宋体" w:eastAsia="宋体" w:cs="宋体"/>
          <w:b/>
          <w:color w:val="auto"/>
          <w:sz w:val="30"/>
          <w:szCs w:val="30"/>
          <w:highlight w:val="none"/>
        </w:rPr>
        <w:t>年</w:t>
      </w:r>
      <w:r>
        <w:rPr>
          <w:rFonts w:hint="eastAsia" w:ascii="宋体" w:hAnsi="宋体" w:eastAsia="宋体" w:cs="宋体"/>
          <w:b/>
          <w:color w:val="auto"/>
          <w:sz w:val="30"/>
          <w:szCs w:val="30"/>
          <w:highlight w:val="none"/>
          <w:lang w:val="en-US" w:eastAsia="zh-CN"/>
        </w:rPr>
        <w:t>四</w:t>
      </w:r>
      <w:r>
        <w:rPr>
          <w:rFonts w:hint="eastAsia" w:ascii="宋体" w:hAnsi="宋体" w:eastAsia="宋体" w:cs="宋体"/>
          <w:b/>
          <w:color w:val="auto"/>
          <w:sz w:val="30"/>
          <w:szCs w:val="30"/>
          <w:highlight w:val="none"/>
        </w:rPr>
        <w:t>月</w:t>
      </w:r>
    </w:p>
    <w:p w14:paraId="6E8A346F">
      <w:pPr>
        <w:spacing w:line="800" w:lineRule="exact"/>
        <w:jc w:val="both"/>
        <w:rPr>
          <w:rFonts w:hint="eastAsia" w:ascii="宋体" w:hAnsi="宋体" w:eastAsia="宋体" w:cs="宋体"/>
          <w:b/>
          <w:bCs/>
          <w:color w:val="auto"/>
          <w:sz w:val="36"/>
          <w:szCs w:val="36"/>
          <w:highlight w:val="none"/>
        </w:rPr>
        <w:sectPr>
          <w:headerReference r:id="rId4" w:type="first"/>
          <w:footerReference r:id="rId6" w:type="first"/>
          <w:headerReference r:id="rId3" w:type="default"/>
          <w:footerReference r:id="rId5" w:type="default"/>
          <w:pgSz w:w="12240" w:h="15840"/>
          <w:pgMar w:top="1304" w:right="1797" w:bottom="1304" w:left="1797" w:header="850" w:footer="720" w:gutter="0"/>
          <w:pgNumType w:fmt="decimal"/>
          <w:cols w:space="720" w:num="1"/>
          <w:titlePg/>
          <w:rtlGutter w:val="0"/>
          <w:docGrid w:linePitch="0" w:charSpace="0"/>
        </w:sectPr>
      </w:pPr>
      <w:bookmarkStart w:id="0" w:name="_Toc22804073"/>
      <w:bookmarkEnd w:id="0"/>
      <w:bookmarkStart w:id="1" w:name="_Toc22953395"/>
      <w:bookmarkEnd w:id="1"/>
    </w:p>
    <w:p w14:paraId="3C44224F">
      <w:pPr>
        <w:pageBreakBefore w:val="0"/>
        <w:kinsoku/>
        <w:overflowPunct/>
        <w:bidi w:val="0"/>
        <w:spacing w:line="360" w:lineRule="auto"/>
        <w:jc w:val="center"/>
        <w:rPr>
          <w:rFonts w:hint="eastAsia" w:ascii="宋体" w:hAnsi="宋体" w:eastAsia="宋体" w:cs="宋体"/>
          <w:b/>
          <w:bCs/>
          <w:color w:val="auto"/>
          <w:sz w:val="36"/>
          <w:szCs w:val="36"/>
          <w:highlight w:val="none"/>
        </w:rPr>
      </w:pPr>
      <w:r>
        <w:rPr>
          <w:rFonts w:hint="eastAsia" w:ascii="宋体" w:hAnsi="宋体" w:eastAsia="宋体" w:cs="宋体"/>
          <w:b/>
          <w:bCs/>
          <w:color w:val="auto"/>
          <w:sz w:val="36"/>
          <w:szCs w:val="36"/>
          <w:highlight w:val="none"/>
        </w:rPr>
        <w:t>目  录</w:t>
      </w:r>
    </w:p>
    <w:p w14:paraId="5D619473">
      <w:pPr>
        <w:pStyle w:val="23"/>
        <w:tabs>
          <w:tab w:val="right" w:leader="dot" w:pos="9072"/>
          <w:tab w:val="clear" w:pos="8460"/>
        </w:tabs>
        <w:rPr>
          <w:rFonts w:hint="eastAsia" w:ascii="宋体" w:hAnsi="宋体" w:eastAsia="宋体" w:cs="宋体"/>
          <w:color w:val="auto"/>
          <w:highlight w:val="none"/>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TOC \o "1-2" \h \u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_Toc31096 </w:instrText>
      </w:r>
      <w:r>
        <w:rPr>
          <w:rFonts w:hint="eastAsia" w:ascii="宋体" w:hAnsi="宋体" w:eastAsia="宋体" w:cs="宋体"/>
          <w:color w:val="auto"/>
          <w:szCs w:val="21"/>
          <w:highlight w:val="none"/>
        </w:rPr>
        <w:fldChar w:fldCharType="separate"/>
      </w:r>
      <w:r>
        <w:rPr>
          <w:rFonts w:hint="eastAsia" w:ascii="宋体" w:hAnsi="宋体" w:eastAsia="宋体" w:cs="宋体"/>
          <w:color w:val="auto"/>
          <w:szCs w:val="32"/>
          <w:highlight w:val="none"/>
        </w:rPr>
        <w:t>第</w:t>
      </w:r>
      <w:r>
        <w:rPr>
          <w:rFonts w:hint="eastAsia" w:ascii="宋体" w:hAnsi="宋体" w:eastAsia="宋体" w:cs="宋体"/>
          <w:color w:val="auto"/>
          <w:szCs w:val="32"/>
          <w:highlight w:val="none"/>
          <w:lang w:eastAsia="zh-CN"/>
        </w:rPr>
        <w:t>一</w:t>
      </w:r>
      <w:r>
        <w:rPr>
          <w:rFonts w:hint="eastAsia" w:ascii="宋体" w:hAnsi="宋体" w:eastAsia="宋体" w:cs="宋体"/>
          <w:color w:val="auto"/>
          <w:szCs w:val="32"/>
          <w:highlight w:val="none"/>
        </w:rPr>
        <w:t xml:space="preserve">章 </w:t>
      </w:r>
      <w:r>
        <w:rPr>
          <w:rFonts w:hint="eastAsia" w:ascii="宋体" w:hAnsi="宋体" w:eastAsia="宋体" w:cs="宋体"/>
          <w:color w:val="auto"/>
          <w:szCs w:val="32"/>
          <w:highlight w:val="none"/>
          <w:lang w:eastAsia="zh-CN"/>
        </w:rPr>
        <w:t>投标邀请</w:t>
      </w:r>
      <w:r>
        <w:rPr>
          <w:rFonts w:hint="eastAsia" w:ascii="宋体" w:hAnsi="宋体" w:eastAsia="宋体" w:cs="宋体"/>
          <w:color w:val="auto"/>
          <w:highlight w:val="none"/>
        </w:rPr>
        <w:tab/>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PAGEREF _Toc31096 \h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3</w:t>
      </w:r>
      <w:r>
        <w:rPr>
          <w:rFonts w:hint="eastAsia" w:ascii="宋体" w:hAnsi="宋体" w:eastAsia="宋体" w:cs="宋体"/>
          <w:color w:val="auto"/>
          <w:highlight w:val="none"/>
        </w:rPr>
        <w:fldChar w:fldCharType="end"/>
      </w:r>
      <w:r>
        <w:rPr>
          <w:rFonts w:hint="eastAsia" w:ascii="宋体" w:hAnsi="宋体" w:eastAsia="宋体" w:cs="宋体"/>
          <w:color w:val="auto"/>
          <w:szCs w:val="21"/>
          <w:highlight w:val="none"/>
        </w:rPr>
        <w:fldChar w:fldCharType="end"/>
      </w:r>
    </w:p>
    <w:p w14:paraId="650FE0FA">
      <w:pPr>
        <w:pStyle w:val="23"/>
        <w:tabs>
          <w:tab w:val="right" w:leader="dot" w:pos="9072"/>
          <w:tab w:val="clear" w:pos="8460"/>
        </w:tabs>
        <w:rPr>
          <w:rFonts w:hint="eastAsia" w:ascii="宋体" w:hAnsi="宋体" w:eastAsia="宋体" w:cs="宋体"/>
          <w:color w:val="auto"/>
          <w:highlight w:val="none"/>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_Toc21010 </w:instrText>
      </w:r>
      <w:r>
        <w:rPr>
          <w:rFonts w:hint="eastAsia" w:ascii="宋体" w:hAnsi="宋体" w:eastAsia="宋体" w:cs="宋体"/>
          <w:color w:val="auto"/>
          <w:szCs w:val="21"/>
          <w:highlight w:val="none"/>
        </w:rPr>
        <w:fldChar w:fldCharType="separate"/>
      </w:r>
      <w:r>
        <w:rPr>
          <w:rFonts w:hint="eastAsia" w:ascii="宋体" w:hAnsi="宋体" w:eastAsia="宋体" w:cs="宋体"/>
          <w:color w:val="auto"/>
          <w:highlight w:val="none"/>
          <w:lang w:val="en-US" w:eastAsia="zh-CN"/>
        </w:rPr>
        <w:t xml:space="preserve">第二章 </w:t>
      </w:r>
      <w:r>
        <w:rPr>
          <w:rFonts w:hint="eastAsia" w:ascii="宋体" w:hAnsi="宋体" w:eastAsia="宋体" w:cs="宋体"/>
          <w:color w:val="auto"/>
          <w:highlight w:val="none"/>
          <w:lang w:eastAsia="zh-CN"/>
        </w:rPr>
        <w:t>投标人须知</w:t>
      </w:r>
      <w:r>
        <w:rPr>
          <w:rFonts w:hint="eastAsia" w:ascii="宋体" w:hAnsi="宋体" w:eastAsia="宋体" w:cs="宋体"/>
          <w:color w:val="auto"/>
          <w:highlight w:val="none"/>
        </w:rPr>
        <w:tab/>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PAGEREF _Toc21010 \h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6</w:t>
      </w:r>
      <w:r>
        <w:rPr>
          <w:rFonts w:hint="eastAsia" w:ascii="宋体" w:hAnsi="宋体" w:eastAsia="宋体" w:cs="宋体"/>
          <w:color w:val="auto"/>
          <w:highlight w:val="none"/>
        </w:rPr>
        <w:fldChar w:fldCharType="end"/>
      </w:r>
      <w:r>
        <w:rPr>
          <w:rFonts w:hint="eastAsia" w:ascii="宋体" w:hAnsi="宋体" w:eastAsia="宋体" w:cs="宋体"/>
          <w:color w:val="auto"/>
          <w:szCs w:val="21"/>
          <w:highlight w:val="none"/>
        </w:rPr>
        <w:fldChar w:fldCharType="end"/>
      </w:r>
    </w:p>
    <w:p w14:paraId="622995E4">
      <w:pPr>
        <w:pStyle w:val="29"/>
        <w:tabs>
          <w:tab w:val="right" w:leader="dot" w:pos="9072"/>
        </w:tabs>
        <w:rPr>
          <w:rFonts w:hint="eastAsia" w:ascii="宋体" w:hAnsi="宋体" w:eastAsia="宋体" w:cs="宋体"/>
          <w:color w:val="auto"/>
          <w:highlight w:val="none"/>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_Toc15783 </w:instrText>
      </w:r>
      <w:r>
        <w:rPr>
          <w:rFonts w:hint="eastAsia" w:ascii="宋体" w:hAnsi="宋体" w:eastAsia="宋体" w:cs="宋体"/>
          <w:color w:val="auto"/>
          <w:szCs w:val="21"/>
          <w:highlight w:val="none"/>
        </w:rPr>
        <w:fldChar w:fldCharType="separate"/>
      </w:r>
      <w:r>
        <w:rPr>
          <w:rFonts w:hint="eastAsia" w:ascii="宋体" w:hAnsi="宋体" w:eastAsia="宋体" w:cs="宋体"/>
          <w:color w:val="auto"/>
          <w:szCs w:val="24"/>
          <w:highlight w:val="none"/>
          <w:lang w:eastAsia="zh-CN"/>
        </w:rPr>
        <w:t>投标人须知前附表</w:t>
      </w:r>
      <w:r>
        <w:rPr>
          <w:rFonts w:hint="eastAsia" w:ascii="宋体" w:hAnsi="宋体" w:eastAsia="宋体" w:cs="宋体"/>
          <w:color w:val="auto"/>
          <w:highlight w:val="none"/>
        </w:rPr>
        <w:tab/>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PAGEREF _Toc15783 \h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6</w:t>
      </w:r>
      <w:r>
        <w:rPr>
          <w:rFonts w:hint="eastAsia" w:ascii="宋体" w:hAnsi="宋体" w:eastAsia="宋体" w:cs="宋体"/>
          <w:color w:val="auto"/>
          <w:highlight w:val="none"/>
        </w:rPr>
        <w:fldChar w:fldCharType="end"/>
      </w:r>
      <w:r>
        <w:rPr>
          <w:rFonts w:hint="eastAsia" w:ascii="宋体" w:hAnsi="宋体" w:eastAsia="宋体" w:cs="宋体"/>
          <w:color w:val="auto"/>
          <w:szCs w:val="21"/>
          <w:highlight w:val="none"/>
        </w:rPr>
        <w:fldChar w:fldCharType="end"/>
      </w:r>
    </w:p>
    <w:p w14:paraId="7C251EB0">
      <w:pPr>
        <w:pStyle w:val="29"/>
        <w:tabs>
          <w:tab w:val="right" w:leader="dot" w:pos="9072"/>
        </w:tabs>
        <w:rPr>
          <w:rFonts w:hint="eastAsia" w:ascii="宋体" w:hAnsi="宋体" w:eastAsia="宋体" w:cs="宋体"/>
          <w:color w:val="auto"/>
          <w:highlight w:val="none"/>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_Toc12865 </w:instrText>
      </w:r>
      <w:r>
        <w:rPr>
          <w:rFonts w:hint="eastAsia" w:ascii="宋体" w:hAnsi="宋体" w:eastAsia="宋体" w:cs="宋体"/>
          <w:color w:val="auto"/>
          <w:szCs w:val="21"/>
          <w:highlight w:val="none"/>
        </w:rPr>
        <w:fldChar w:fldCharType="separate"/>
      </w:r>
      <w:r>
        <w:rPr>
          <w:rFonts w:hint="eastAsia" w:ascii="宋体" w:hAnsi="宋体" w:eastAsia="宋体" w:cs="宋体"/>
          <w:color w:val="auto"/>
          <w:szCs w:val="24"/>
          <w:highlight w:val="none"/>
        </w:rPr>
        <w:t xml:space="preserve">1. </w:t>
      </w:r>
      <w:r>
        <w:rPr>
          <w:rFonts w:hint="eastAsia" w:ascii="宋体" w:hAnsi="宋体" w:eastAsia="宋体" w:cs="宋体"/>
          <w:color w:val="auto"/>
          <w:szCs w:val="24"/>
          <w:highlight w:val="none"/>
          <w:lang w:val="en-US" w:eastAsia="zh-CN"/>
        </w:rPr>
        <w:t>总则</w:t>
      </w:r>
      <w:r>
        <w:rPr>
          <w:rFonts w:hint="eastAsia" w:ascii="宋体" w:hAnsi="宋体" w:eastAsia="宋体" w:cs="宋体"/>
          <w:color w:val="auto"/>
          <w:highlight w:val="none"/>
        </w:rPr>
        <w:tab/>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PAGEREF _Toc12865 \h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12</w:t>
      </w:r>
      <w:r>
        <w:rPr>
          <w:rFonts w:hint="eastAsia" w:ascii="宋体" w:hAnsi="宋体" w:eastAsia="宋体" w:cs="宋体"/>
          <w:color w:val="auto"/>
          <w:highlight w:val="none"/>
        </w:rPr>
        <w:fldChar w:fldCharType="end"/>
      </w:r>
      <w:r>
        <w:rPr>
          <w:rFonts w:hint="eastAsia" w:ascii="宋体" w:hAnsi="宋体" w:eastAsia="宋体" w:cs="宋体"/>
          <w:color w:val="auto"/>
          <w:szCs w:val="21"/>
          <w:highlight w:val="none"/>
        </w:rPr>
        <w:fldChar w:fldCharType="end"/>
      </w:r>
    </w:p>
    <w:p w14:paraId="114CDA01">
      <w:pPr>
        <w:pStyle w:val="29"/>
        <w:tabs>
          <w:tab w:val="right" w:leader="dot" w:pos="9072"/>
        </w:tabs>
        <w:rPr>
          <w:rFonts w:hint="eastAsia" w:ascii="宋体" w:hAnsi="宋体" w:eastAsia="宋体" w:cs="宋体"/>
          <w:color w:val="auto"/>
          <w:highlight w:val="none"/>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_Toc31128 </w:instrText>
      </w:r>
      <w:r>
        <w:rPr>
          <w:rFonts w:hint="eastAsia" w:ascii="宋体" w:hAnsi="宋体" w:eastAsia="宋体" w:cs="宋体"/>
          <w:color w:val="auto"/>
          <w:szCs w:val="21"/>
          <w:highlight w:val="none"/>
        </w:rPr>
        <w:fldChar w:fldCharType="separate"/>
      </w:r>
      <w:r>
        <w:rPr>
          <w:rFonts w:hint="eastAsia" w:ascii="宋体" w:hAnsi="宋体" w:eastAsia="宋体" w:cs="宋体"/>
          <w:color w:val="auto"/>
          <w:szCs w:val="24"/>
          <w:highlight w:val="none"/>
          <w:lang w:val="en-US" w:eastAsia="zh-CN"/>
        </w:rPr>
        <w:t>2. 招标文件</w:t>
      </w:r>
      <w:r>
        <w:rPr>
          <w:rFonts w:hint="eastAsia" w:ascii="宋体" w:hAnsi="宋体" w:eastAsia="宋体" w:cs="宋体"/>
          <w:color w:val="auto"/>
          <w:highlight w:val="none"/>
        </w:rPr>
        <w:tab/>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PAGEREF _Toc31128 \h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14</w:t>
      </w:r>
      <w:r>
        <w:rPr>
          <w:rFonts w:hint="eastAsia" w:ascii="宋体" w:hAnsi="宋体" w:eastAsia="宋体" w:cs="宋体"/>
          <w:color w:val="auto"/>
          <w:highlight w:val="none"/>
        </w:rPr>
        <w:fldChar w:fldCharType="end"/>
      </w:r>
      <w:r>
        <w:rPr>
          <w:rFonts w:hint="eastAsia" w:ascii="宋体" w:hAnsi="宋体" w:eastAsia="宋体" w:cs="宋体"/>
          <w:color w:val="auto"/>
          <w:szCs w:val="21"/>
          <w:highlight w:val="none"/>
        </w:rPr>
        <w:fldChar w:fldCharType="end"/>
      </w:r>
    </w:p>
    <w:p w14:paraId="5C9DBA61">
      <w:pPr>
        <w:pStyle w:val="29"/>
        <w:tabs>
          <w:tab w:val="right" w:leader="dot" w:pos="9072"/>
        </w:tabs>
        <w:rPr>
          <w:rFonts w:hint="eastAsia" w:ascii="宋体" w:hAnsi="宋体" w:eastAsia="宋体" w:cs="宋体"/>
          <w:color w:val="auto"/>
          <w:highlight w:val="none"/>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_Toc4756 </w:instrText>
      </w:r>
      <w:r>
        <w:rPr>
          <w:rFonts w:hint="eastAsia" w:ascii="宋体" w:hAnsi="宋体" w:eastAsia="宋体" w:cs="宋体"/>
          <w:color w:val="auto"/>
          <w:szCs w:val="21"/>
          <w:highlight w:val="none"/>
        </w:rPr>
        <w:fldChar w:fldCharType="separate"/>
      </w:r>
      <w:r>
        <w:rPr>
          <w:rFonts w:hint="eastAsia" w:ascii="宋体" w:hAnsi="宋体" w:eastAsia="宋体" w:cs="宋体"/>
          <w:color w:val="auto"/>
          <w:szCs w:val="24"/>
          <w:highlight w:val="none"/>
          <w:lang w:val="en-US" w:eastAsia="zh-CN"/>
        </w:rPr>
        <w:t>3. 投标文件的编写</w:t>
      </w:r>
      <w:r>
        <w:rPr>
          <w:rFonts w:hint="eastAsia" w:ascii="宋体" w:hAnsi="宋体" w:eastAsia="宋体" w:cs="宋体"/>
          <w:color w:val="auto"/>
          <w:highlight w:val="none"/>
        </w:rPr>
        <w:tab/>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PAGEREF _Toc4756 \h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15</w:t>
      </w:r>
      <w:r>
        <w:rPr>
          <w:rFonts w:hint="eastAsia" w:ascii="宋体" w:hAnsi="宋体" w:eastAsia="宋体" w:cs="宋体"/>
          <w:color w:val="auto"/>
          <w:highlight w:val="none"/>
        </w:rPr>
        <w:fldChar w:fldCharType="end"/>
      </w:r>
      <w:r>
        <w:rPr>
          <w:rFonts w:hint="eastAsia" w:ascii="宋体" w:hAnsi="宋体" w:eastAsia="宋体" w:cs="宋体"/>
          <w:color w:val="auto"/>
          <w:szCs w:val="21"/>
          <w:highlight w:val="none"/>
        </w:rPr>
        <w:fldChar w:fldCharType="end"/>
      </w:r>
    </w:p>
    <w:p w14:paraId="216839E0">
      <w:pPr>
        <w:pStyle w:val="29"/>
        <w:tabs>
          <w:tab w:val="right" w:leader="dot" w:pos="9072"/>
        </w:tabs>
        <w:rPr>
          <w:rFonts w:hint="eastAsia" w:ascii="宋体" w:hAnsi="宋体" w:eastAsia="宋体" w:cs="宋体"/>
          <w:color w:val="auto"/>
          <w:highlight w:val="none"/>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_Toc8011 </w:instrText>
      </w:r>
      <w:r>
        <w:rPr>
          <w:rFonts w:hint="eastAsia" w:ascii="宋体" w:hAnsi="宋体" w:eastAsia="宋体" w:cs="宋体"/>
          <w:color w:val="auto"/>
          <w:szCs w:val="21"/>
          <w:highlight w:val="none"/>
        </w:rPr>
        <w:fldChar w:fldCharType="separate"/>
      </w:r>
      <w:r>
        <w:rPr>
          <w:rFonts w:hint="eastAsia" w:ascii="宋体" w:hAnsi="宋体" w:eastAsia="宋体" w:cs="宋体"/>
          <w:color w:val="auto"/>
          <w:szCs w:val="24"/>
          <w:highlight w:val="none"/>
          <w:lang w:val="en-US" w:eastAsia="zh-CN"/>
        </w:rPr>
        <w:t>4. 投标</w:t>
      </w:r>
      <w:r>
        <w:rPr>
          <w:rFonts w:hint="eastAsia" w:ascii="宋体" w:hAnsi="宋体" w:eastAsia="宋体" w:cs="宋体"/>
          <w:color w:val="auto"/>
          <w:highlight w:val="none"/>
        </w:rPr>
        <w:tab/>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PAGEREF _Toc8011 \h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17</w:t>
      </w:r>
      <w:r>
        <w:rPr>
          <w:rFonts w:hint="eastAsia" w:ascii="宋体" w:hAnsi="宋体" w:eastAsia="宋体" w:cs="宋体"/>
          <w:color w:val="auto"/>
          <w:highlight w:val="none"/>
        </w:rPr>
        <w:fldChar w:fldCharType="end"/>
      </w:r>
      <w:r>
        <w:rPr>
          <w:rFonts w:hint="eastAsia" w:ascii="宋体" w:hAnsi="宋体" w:eastAsia="宋体" w:cs="宋体"/>
          <w:color w:val="auto"/>
          <w:szCs w:val="21"/>
          <w:highlight w:val="none"/>
        </w:rPr>
        <w:fldChar w:fldCharType="end"/>
      </w:r>
    </w:p>
    <w:p w14:paraId="63FB406E">
      <w:pPr>
        <w:pStyle w:val="29"/>
        <w:tabs>
          <w:tab w:val="right" w:leader="dot" w:pos="9072"/>
        </w:tabs>
        <w:rPr>
          <w:rFonts w:hint="eastAsia" w:ascii="宋体" w:hAnsi="宋体" w:eastAsia="宋体" w:cs="宋体"/>
          <w:color w:val="auto"/>
          <w:highlight w:val="none"/>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_Toc17426 </w:instrText>
      </w:r>
      <w:r>
        <w:rPr>
          <w:rFonts w:hint="eastAsia" w:ascii="宋体" w:hAnsi="宋体" w:eastAsia="宋体" w:cs="宋体"/>
          <w:color w:val="auto"/>
          <w:szCs w:val="21"/>
          <w:highlight w:val="none"/>
        </w:rPr>
        <w:fldChar w:fldCharType="separate"/>
      </w:r>
      <w:r>
        <w:rPr>
          <w:rFonts w:hint="eastAsia" w:ascii="宋体" w:hAnsi="宋体" w:eastAsia="宋体" w:cs="宋体"/>
          <w:color w:val="auto"/>
          <w:szCs w:val="24"/>
          <w:highlight w:val="none"/>
          <w:lang w:val="en-US" w:eastAsia="zh-CN"/>
        </w:rPr>
        <w:t>5. 开标、资格审查与评标</w:t>
      </w:r>
      <w:r>
        <w:rPr>
          <w:rFonts w:hint="eastAsia" w:ascii="宋体" w:hAnsi="宋体" w:eastAsia="宋体" w:cs="宋体"/>
          <w:color w:val="auto"/>
          <w:highlight w:val="none"/>
        </w:rPr>
        <w:tab/>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PAGEREF _Toc17426 \h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17</w:t>
      </w:r>
      <w:r>
        <w:rPr>
          <w:rFonts w:hint="eastAsia" w:ascii="宋体" w:hAnsi="宋体" w:eastAsia="宋体" w:cs="宋体"/>
          <w:color w:val="auto"/>
          <w:highlight w:val="none"/>
        </w:rPr>
        <w:fldChar w:fldCharType="end"/>
      </w:r>
      <w:r>
        <w:rPr>
          <w:rFonts w:hint="eastAsia" w:ascii="宋体" w:hAnsi="宋体" w:eastAsia="宋体" w:cs="宋体"/>
          <w:color w:val="auto"/>
          <w:szCs w:val="21"/>
          <w:highlight w:val="none"/>
        </w:rPr>
        <w:fldChar w:fldCharType="end"/>
      </w:r>
    </w:p>
    <w:p w14:paraId="4C4204C8">
      <w:pPr>
        <w:pStyle w:val="29"/>
        <w:tabs>
          <w:tab w:val="right" w:leader="dot" w:pos="9072"/>
        </w:tabs>
        <w:rPr>
          <w:rFonts w:hint="eastAsia" w:ascii="宋体" w:hAnsi="宋体" w:eastAsia="宋体" w:cs="宋体"/>
          <w:color w:val="auto"/>
          <w:highlight w:val="none"/>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_Toc16167 </w:instrText>
      </w:r>
      <w:r>
        <w:rPr>
          <w:rFonts w:hint="eastAsia" w:ascii="宋体" w:hAnsi="宋体" w:eastAsia="宋体" w:cs="宋体"/>
          <w:color w:val="auto"/>
          <w:szCs w:val="21"/>
          <w:highlight w:val="none"/>
        </w:rPr>
        <w:fldChar w:fldCharType="separate"/>
      </w:r>
      <w:r>
        <w:rPr>
          <w:rFonts w:hint="eastAsia" w:ascii="宋体" w:hAnsi="宋体" w:eastAsia="宋体" w:cs="宋体"/>
          <w:color w:val="auto"/>
          <w:szCs w:val="24"/>
          <w:highlight w:val="none"/>
          <w:lang w:val="en-US" w:eastAsia="zh-CN"/>
        </w:rPr>
        <w:t>6. 授予合同</w:t>
      </w:r>
      <w:r>
        <w:rPr>
          <w:rFonts w:hint="eastAsia" w:ascii="宋体" w:hAnsi="宋体" w:eastAsia="宋体" w:cs="宋体"/>
          <w:color w:val="auto"/>
          <w:highlight w:val="none"/>
        </w:rPr>
        <w:tab/>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PAGEREF _Toc16167 \h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19</w:t>
      </w:r>
      <w:r>
        <w:rPr>
          <w:rFonts w:hint="eastAsia" w:ascii="宋体" w:hAnsi="宋体" w:eastAsia="宋体" w:cs="宋体"/>
          <w:color w:val="auto"/>
          <w:highlight w:val="none"/>
        </w:rPr>
        <w:fldChar w:fldCharType="end"/>
      </w:r>
      <w:r>
        <w:rPr>
          <w:rFonts w:hint="eastAsia" w:ascii="宋体" w:hAnsi="宋体" w:eastAsia="宋体" w:cs="宋体"/>
          <w:color w:val="auto"/>
          <w:szCs w:val="21"/>
          <w:highlight w:val="none"/>
        </w:rPr>
        <w:fldChar w:fldCharType="end"/>
      </w:r>
    </w:p>
    <w:p w14:paraId="5A44ECA5">
      <w:pPr>
        <w:pStyle w:val="29"/>
        <w:tabs>
          <w:tab w:val="right" w:leader="dot" w:pos="9072"/>
        </w:tabs>
        <w:rPr>
          <w:rFonts w:hint="eastAsia" w:ascii="宋体" w:hAnsi="宋体" w:eastAsia="宋体" w:cs="宋体"/>
          <w:color w:val="auto"/>
          <w:highlight w:val="none"/>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_Toc29466 </w:instrText>
      </w:r>
      <w:r>
        <w:rPr>
          <w:rFonts w:hint="eastAsia" w:ascii="宋体" w:hAnsi="宋体" w:eastAsia="宋体" w:cs="宋体"/>
          <w:color w:val="auto"/>
          <w:szCs w:val="21"/>
          <w:highlight w:val="none"/>
        </w:rPr>
        <w:fldChar w:fldCharType="separate"/>
      </w:r>
      <w:r>
        <w:rPr>
          <w:rFonts w:hint="eastAsia" w:ascii="宋体" w:hAnsi="宋体" w:eastAsia="宋体" w:cs="宋体"/>
          <w:color w:val="auto"/>
          <w:szCs w:val="24"/>
          <w:highlight w:val="none"/>
          <w:lang w:val="en-US" w:eastAsia="zh-CN"/>
        </w:rPr>
        <w:t>7. 政府采购政策</w:t>
      </w:r>
      <w:r>
        <w:rPr>
          <w:rFonts w:hint="eastAsia" w:ascii="宋体" w:hAnsi="宋体" w:eastAsia="宋体" w:cs="宋体"/>
          <w:color w:val="auto"/>
          <w:highlight w:val="none"/>
        </w:rPr>
        <w:tab/>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PAGEREF _Toc29466 \h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20</w:t>
      </w:r>
      <w:r>
        <w:rPr>
          <w:rFonts w:hint="eastAsia" w:ascii="宋体" w:hAnsi="宋体" w:eastAsia="宋体" w:cs="宋体"/>
          <w:color w:val="auto"/>
          <w:highlight w:val="none"/>
        </w:rPr>
        <w:fldChar w:fldCharType="end"/>
      </w:r>
      <w:r>
        <w:rPr>
          <w:rFonts w:hint="eastAsia" w:ascii="宋体" w:hAnsi="宋体" w:eastAsia="宋体" w:cs="宋体"/>
          <w:color w:val="auto"/>
          <w:szCs w:val="21"/>
          <w:highlight w:val="none"/>
        </w:rPr>
        <w:fldChar w:fldCharType="end"/>
      </w:r>
    </w:p>
    <w:p w14:paraId="6517EE9F">
      <w:pPr>
        <w:pStyle w:val="29"/>
        <w:tabs>
          <w:tab w:val="right" w:leader="dot" w:pos="9072"/>
        </w:tabs>
        <w:rPr>
          <w:rFonts w:hint="eastAsia" w:ascii="宋体" w:hAnsi="宋体" w:eastAsia="宋体" w:cs="宋体"/>
          <w:color w:val="auto"/>
          <w:highlight w:val="none"/>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_Toc856 </w:instrText>
      </w:r>
      <w:r>
        <w:rPr>
          <w:rFonts w:hint="eastAsia" w:ascii="宋体" w:hAnsi="宋体" w:eastAsia="宋体" w:cs="宋体"/>
          <w:color w:val="auto"/>
          <w:szCs w:val="21"/>
          <w:highlight w:val="none"/>
        </w:rPr>
        <w:fldChar w:fldCharType="separate"/>
      </w:r>
      <w:r>
        <w:rPr>
          <w:rFonts w:hint="eastAsia" w:ascii="宋体" w:hAnsi="宋体" w:eastAsia="宋体" w:cs="宋体"/>
          <w:color w:val="auto"/>
          <w:szCs w:val="24"/>
          <w:highlight w:val="none"/>
          <w:lang w:val="en-US" w:eastAsia="zh-CN"/>
        </w:rPr>
        <w:t>8. 询问、质疑和投诉</w:t>
      </w:r>
      <w:r>
        <w:rPr>
          <w:rFonts w:hint="eastAsia" w:ascii="宋体" w:hAnsi="宋体" w:eastAsia="宋体" w:cs="宋体"/>
          <w:color w:val="auto"/>
          <w:highlight w:val="none"/>
        </w:rPr>
        <w:tab/>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PAGEREF _Toc856 \h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22</w:t>
      </w:r>
      <w:r>
        <w:rPr>
          <w:rFonts w:hint="eastAsia" w:ascii="宋体" w:hAnsi="宋体" w:eastAsia="宋体" w:cs="宋体"/>
          <w:color w:val="auto"/>
          <w:highlight w:val="none"/>
        </w:rPr>
        <w:fldChar w:fldCharType="end"/>
      </w:r>
      <w:r>
        <w:rPr>
          <w:rFonts w:hint="eastAsia" w:ascii="宋体" w:hAnsi="宋体" w:eastAsia="宋体" w:cs="宋体"/>
          <w:color w:val="auto"/>
          <w:szCs w:val="21"/>
          <w:highlight w:val="none"/>
        </w:rPr>
        <w:fldChar w:fldCharType="end"/>
      </w:r>
    </w:p>
    <w:p w14:paraId="5BEE5700">
      <w:pPr>
        <w:pStyle w:val="29"/>
        <w:tabs>
          <w:tab w:val="right" w:leader="dot" w:pos="9072"/>
        </w:tabs>
        <w:rPr>
          <w:rFonts w:hint="eastAsia" w:ascii="宋体" w:hAnsi="宋体" w:eastAsia="宋体" w:cs="宋体"/>
          <w:color w:val="auto"/>
          <w:highlight w:val="none"/>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_Toc15178 </w:instrText>
      </w:r>
      <w:r>
        <w:rPr>
          <w:rFonts w:hint="eastAsia" w:ascii="宋体" w:hAnsi="宋体" w:eastAsia="宋体" w:cs="宋体"/>
          <w:color w:val="auto"/>
          <w:szCs w:val="21"/>
          <w:highlight w:val="none"/>
        </w:rPr>
        <w:fldChar w:fldCharType="separate"/>
      </w:r>
      <w:r>
        <w:rPr>
          <w:rFonts w:hint="eastAsia" w:ascii="宋体" w:hAnsi="宋体" w:eastAsia="宋体" w:cs="宋体"/>
          <w:color w:val="auto"/>
          <w:szCs w:val="24"/>
          <w:highlight w:val="none"/>
          <w:lang w:val="en-US" w:eastAsia="zh-CN"/>
        </w:rPr>
        <w:t>9. 需要补充的其他内容</w:t>
      </w:r>
      <w:r>
        <w:rPr>
          <w:rFonts w:hint="eastAsia" w:ascii="宋体" w:hAnsi="宋体" w:eastAsia="宋体" w:cs="宋体"/>
          <w:color w:val="auto"/>
          <w:highlight w:val="none"/>
        </w:rPr>
        <w:tab/>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PAGEREF _Toc15178 \h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22</w:t>
      </w:r>
      <w:r>
        <w:rPr>
          <w:rFonts w:hint="eastAsia" w:ascii="宋体" w:hAnsi="宋体" w:eastAsia="宋体" w:cs="宋体"/>
          <w:color w:val="auto"/>
          <w:highlight w:val="none"/>
        </w:rPr>
        <w:fldChar w:fldCharType="end"/>
      </w:r>
      <w:r>
        <w:rPr>
          <w:rFonts w:hint="eastAsia" w:ascii="宋体" w:hAnsi="宋体" w:eastAsia="宋体" w:cs="宋体"/>
          <w:color w:val="auto"/>
          <w:szCs w:val="21"/>
          <w:highlight w:val="none"/>
        </w:rPr>
        <w:fldChar w:fldCharType="end"/>
      </w:r>
    </w:p>
    <w:p w14:paraId="4F317C86">
      <w:pPr>
        <w:pStyle w:val="23"/>
        <w:tabs>
          <w:tab w:val="right" w:leader="dot" w:pos="9072"/>
          <w:tab w:val="clear" w:pos="8460"/>
        </w:tabs>
        <w:rPr>
          <w:rFonts w:hint="eastAsia" w:ascii="宋体" w:hAnsi="宋体" w:eastAsia="宋体" w:cs="宋体"/>
          <w:color w:val="auto"/>
          <w:highlight w:val="none"/>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_Toc21151 </w:instrText>
      </w:r>
      <w:r>
        <w:rPr>
          <w:rFonts w:hint="eastAsia" w:ascii="宋体" w:hAnsi="宋体" w:eastAsia="宋体" w:cs="宋体"/>
          <w:color w:val="auto"/>
          <w:szCs w:val="21"/>
          <w:highlight w:val="none"/>
        </w:rPr>
        <w:fldChar w:fldCharType="separate"/>
      </w:r>
      <w:r>
        <w:rPr>
          <w:rFonts w:hint="eastAsia" w:ascii="宋体" w:hAnsi="宋体" w:eastAsia="宋体" w:cs="宋体"/>
          <w:color w:val="auto"/>
          <w:szCs w:val="22"/>
          <w:highlight w:val="none"/>
          <w:lang w:val="en-US" w:eastAsia="zh-CN" w:bidi="ar-SA"/>
        </w:rPr>
        <w:t>第三章 资格审查</w:t>
      </w:r>
      <w:r>
        <w:rPr>
          <w:rFonts w:hint="eastAsia" w:ascii="宋体" w:hAnsi="宋体" w:eastAsia="宋体" w:cs="宋体"/>
          <w:color w:val="auto"/>
          <w:highlight w:val="none"/>
        </w:rPr>
        <w:tab/>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PAGEREF _Toc21151 \h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28</w:t>
      </w:r>
      <w:r>
        <w:rPr>
          <w:rFonts w:hint="eastAsia" w:ascii="宋体" w:hAnsi="宋体" w:eastAsia="宋体" w:cs="宋体"/>
          <w:color w:val="auto"/>
          <w:highlight w:val="none"/>
        </w:rPr>
        <w:fldChar w:fldCharType="end"/>
      </w:r>
      <w:r>
        <w:rPr>
          <w:rFonts w:hint="eastAsia" w:ascii="宋体" w:hAnsi="宋体" w:eastAsia="宋体" w:cs="宋体"/>
          <w:color w:val="auto"/>
          <w:szCs w:val="21"/>
          <w:highlight w:val="none"/>
        </w:rPr>
        <w:fldChar w:fldCharType="end"/>
      </w:r>
    </w:p>
    <w:p w14:paraId="1923F6EF">
      <w:pPr>
        <w:pStyle w:val="23"/>
        <w:tabs>
          <w:tab w:val="right" w:leader="dot" w:pos="9072"/>
          <w:tab w:val="clear" w:pos="8460"/>
        </w:tabs>
        <w:rPr>
          <w:rFonts w:hint="eastAsia" w:ascii="宋体" w:hAnsi="宋体" w:eastAsia="宋体" w:cs="宋体"/>
          <w:color w:val="auto"/>
          <w:highlight w:val="none"/>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_Toc9104 </w:instrText>
      </w:r>
      <w:r>
        <w:rPr>
          <w:rFonts w:hint="eastAsia" w:ascii="宋体" w:hAnsi="宋体" w:eastAsia="宋体" w:cs="宋体"/>
          <w:color w:val="auto"/>
          <w:szCs w:val="21"/>
          <w:highlight w:val="none"/>
        </w:rPr>
        <w:fldChar w:fldCharType="separate"/>
      </w:r>
      <w:r>
        <w:rPr>
          <w:rFonts w:hint="eastAsia" w:ascii="宋体" w:hAnsi="宋体" w:eastAsia="宋体" w:cs="宋体"/>
          <w:color w:val="auto"/>
          <w:szCs w:val="32"/>
          <w:highlight w:val="none"/>
          <w:lang w:eastAsia="zh-CN"/>
        </w:rPr>
        <w:t>第四章</w:t>
      </w:r>
      <w:r>
        <w:rPr>
          <w:rFonts w:hint="eastAsia" w:ascii="宋体" w:hAnsi="宋体" w:eastAsia="宋体" w:cs="宋体"/>
          <w:color w:val="auto"/>
          <w:szCs w:val="32"/>
          <w:highlight w:val="none"/>
          <w:lang w:val="en-US" w:eastAsia="zh-CN"/>
        </w:rPr>
        <w:t xml:space="preserve"> 评标办法（综合评分法）</w:t>
      </w:r>
      <w:r>
        <w:rPr>
          <w:rFonts w:hint="eastAsia" w:ascii="宋体" w:hAnsi="宋体" w:eastAsia="宋体" w:cs="宋体"/>
          <w:color w:val="auto"/>
          <w:highlight w:val="none"/>
        </w:rPr>
        <w:tab/>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PAGEREF _Toc9104 \h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29</w:t>
      </w:r>
      <w:r>
        <w:rPr>
          <w:rFonts w:hint="eastAsia" w:ascii="宋体" w:hAnsi="宋体" w:eastAsia="宋体" w:cs="宋体"/>
          <w:color w:val="auto"/>
          <w:highlight w:val="none"/>
        </w:rPr>
        <w:fldChar w:fldCharType="end"/>
      </w:r>
      <w:r>
        <w:rPr>
          <w:rFonts w:hint="eastAsia" w:ascii="宋体" w:hAnsi="宋体" w:eastAsia="宋体" w:cs="宋体"/>
          <w:color w:val="auto"/>
          <w:szCs w:val="21"/>
          <w:highlight w:val="none"/>
        </w:rPr>
        <w:fldChar w:fldCharType="end"/>
      </w:r>
    </w:p>
    <w:p w14:paraId="111CD54F">
      <w:pPr>
        <w:pStyle w:val="23"/>
        <w:tabs>
          <w:tab w:val="right" w:leader="dot" w:pos="9072"/>
          <w:tab w:val="clear" w:pos="8460"/>
        </w:tabs>
        <w:rPr>
          <w:rFonts w:hint="eastAsia" w:ascii="宋体" w:hAnsi="宋体" w:eastAsia="宋体" w:cs="宋体"/>
          <w:color w:val="auto"/>
          <w:highlight w:val="none"/>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_Toc11931 </w:instrText>
      </w:r>
      <w:r>
        <w:rPr>
          <w:rFonts w:hint="eastAsia" w:ascii="宋体" w:hAnsi="宋体" w:eastAsia="宋体" w:cs="宋体"/>
          <w:color w:val="auto"/>
          <w:szCs w:val="21"/>
          <w:highlight w:val="none"/>
        </w:rPr>
        <w:fldChar w:fldCharType="separate"/>
      </w:r>
      <w:r>
        <w:rPr>
          <w:rFonts w:hint="eastAsia" w:ascii="宋体" w:hAnsi="宋体" w:eastAsia="宋体" w:cs="宋体"/>
          <w:color w:val="auto"/>
          <w:szCs w:val="32"/>
          <w:highlight w:val="none"/>
          <w:lang w:val="en-US" w:eastAsia="zh-CN"/>
        </w:rPr>
        <w:t xml:space="preserve">第五章 </w:t>
      </w:r>
      <w:r>
        <w:rPr>
          <w:rFonts w:hint="eastAsia" w:ascii="宋体" w:hAnsi="宋体" w:eastAsia="宋体" w:cs="宋体"/>
          <w:color w:val="auto"/>
          <w:szCs w:val="32"/>
          <w:highlight w:val="none"/>
          <w:lang w:eastAsia="zh-CN"/>
        </w:rPr>
        <w:t>合同</w:t>
      </w:r>
      <w:r>
        <w:rPr>
          <w:rFonts w:hint="eastAsia" w:ascii="宋体" w:hAnsi="宋体" w:eastAsia="宋体" w:cs="宋体"/>
          <w:color w:val="auto"/>
          <w:highlight w:val="none"/>
        </w:rPr>
        <w:tab/>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PAGEREF _Toc11931 \h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37</w:t>
      </w:r>
      <w:r>
        <w:rPr>
          <w:rFonts w:hint="eastAsia" w:ascii="宋体" w:hAnsi="宋体" w:eastAsia="宋体" w:cs="宋体"/>
          <w:color w:val="auto"/>
          <w:highlight w:val="none"/>
        </w:rPr>
        <w:fldChar w:fldCharType="end"/>
      </w:r>
      <w:r>
        <w:rPr>
          <w:rFonts w:hint="eastAsia" w:ascii="宋体" w:hAnsi="宋体" w:eastAsia="宋体" w:cs="宋体"/>
          <w:color w:val="auto"/>
          <w:szCs w:val="21"/>
          <w:highlight w:val="none"/>
        </w:rPr>
        <w:fldChar w:fldCharType="end"/>
      </w:r>
    </w:p>
    <w:p w14:paraId="7F2ED436">
      <w:pPr>
        <w:pStyle w:val="23"/>
        <w:tabs>
          <w:tab w:val="right" w:leader="dot" w:pos="9072"/>
          <w:tab w:val="clear" w:pos="8460"/>
        </w:tabs>
        <w:rPr>
          <w:rFonts w:hint="eastAsia" w:ascii="宋体" w:hAnsi="宋体" w:eastAsia="宋体" w:cs="宋体"/>
          <w:color w:val="auto"/>
          <w:highlight w:val="none"/>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_Toc3028 </w:instrText>
      </w:r>
      <w:r>
        <w:rPr>
          <w:rFonts w:hint="eastAsia" w:ascii="宋体" w:hAnsi="宋体" w:eastAsia="宋体" w:cs="宋体"/>
          <w:color w:val="auto"/>
          <w:szCs w:val="21"/>
          <w:highlight w:val="none"/>
        </w:rPr>
        <w:fldChar w:fldCharType="separate"/>
      </w:r>
      <w:r>
        <w:rPr>
          <w:rFonts w:hint="eastAsia" w:ascii="宋体" w:hAnsi="宋体" w:eastAsia="宋体" w:cs="宋体"/>
          <w:color w:val="auto"/>
          <w:szCs w:val="32"/>
          <w:highlight w:val="none"/>
          <w:lang w:val="en-US" w:eastAsia="zh-CN"/>
        </w:rPr>
        <w:t xml:space="preserve">第六章 </w:t>
      </w:r>
      <w:r>
        <w:rPr>
          <w:rFonts w:hint="eastAsia" w:ascii="宋体" w:hAnsi="宋体" w:eastAsia="宋体" w:cs="宋体"/>
          <w:color w:val="auto"/>
          <w:szCs w:val="32"/>
          <w:highlight w:val="none"/>
          <w:lang w:eastAsia="zh-CN"/>
        </w:rPr>
        <w:t>采购需求</w:t>
      </w:r>
      <w:r>
        <w:rPr>
          <w:rFonts w:hint="eastAsia" w:ascii="宋体" w:hAnsi="宋体" w:eastAsia="宋体" w:cs="宋体"/>
          <w:color w:val="auto"/>
          <w:highlight w:val="none"/>
        </w:rPr>
        <w:tab/>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PAGEREF _Toc3028 \h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54</w:t>
      </w:r>
      <w:r>
        <w:rPr>
          <w:rFonts w:hint="eastAsia" w:ascii="宋体" w:hAnsi="宋体" w:eastAsia="宋体" w:cs="宋体"/>
          <w:color w:val="auto"/>
          <w:highlight w:val="none"/>
        </w:rPr>
        <w:fldChar w:fldCharType="end"/>
      </w:r>
      <w:r>
        <w:rPr>
          <w:rFonts w:hint="eastAsia" w:ascii="宋体" w:hAnsi="宋体" w:eastAsia="宋体" w:cs="宋体"/>
          <w:color w:val="auto"/>
          <w:szCs w:val="21"/>
          <w:highlight w:val="none"/>
        </w:rPr>
        <w:fldChar w:fldCharType="end"/>
      </w:r>
    </w:p>
    <w:p w14:paraId="43F80BCF">
      <w:pPr>
        <w:pStyle w:val="23"/>
        <w:tabs>
          <w:tab w:val="right" w:leader="dot" w:pos="9072"/>
          <w:tab w:val="clear" w:pos="8460"/>
        </w:tabs>
        <w:rPr>
          <w:rFonts w:hint="eastAsia" w:ascii="宋体" w:hAnsi="宋体" w:eastAsia="宋体" w:cs="宋体"/>
          <w:color w:val="auto"/>
          <w:highlight w:val="none"/>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_Toc20815 </w:instrText>
      </w:r>
      <w:r>
        <w:rPr>
          <w:rFonts w:hint="eastAsia" w:ascii="宋体" w:hAnsi="宋体" w:eastAsia="宋体" w:cs="宋体"/>
          <w:color w:val="auto"/>
          <w:szCs w:val="21"/>
          <w:highlight w:val="none"/>
        </w:rPr>
        <w:fldChar w:fldCharType="separate"/>
      </w:r>
      <w:r>
        <w:rPr>
          <w:rFonts w:hint="eastAsia" w:ascii="宋体" w:hAnsi="宋体" w:eastAsia="宋体" w:cs="宋体"/>
          <w:color w:val="auto"/>
          <w:szCs w:val="32"/>
          <w:highlight w:val="none"/>
          <w:lang w:val="en-US" w:eastAsia="zh-CN"/>
        </w:rPr>
        <w:t>第七章 投标文件</w:t>
      </w:r>
      <w:r>
        <w:rPr>
          <w:rFonts w:hint="eastAsia" w:ascii="宋体" w:hAnsi="宋体" w:eastAsia="宋体" w:cs="宋体"/>
          <w:color w:val="auto"/>
          <w:szCs w:val="32"/>
          <w:highlight w:val="none"/>
          <w:lang w:eastAsia="zh-CN"/>
        </w:rPr>
        <w:t>资格审查文件册通用格式</w:t>
      </w:r>
      <w:r>
        <w:rPr>
          <w:rFonts w:hint="eastAsia" w:ascii="宋体" w:hAnsi="宋体" w:eastAsia="宋体" w:cs="宋体"/>
          <w:color w:val="auto"/>
          <w:highlight w:val="none"/>
        </w:rPr>
        <w:tab/>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PAGEREF _Toc20815 \h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80</w:t>
      </w:r>
      <w:r>
        <w:rPr>
          <w:rFonts w:hint="eastAsia" w:ascii="宋体" w:hAnsi="宋体" w:eastAsia="宋体" w:cs="宋体"/>
          <w:color w:val="auto"/>
          <w:highlight w:val="none"/>
        </w:rPr>
        <w:fldChar w:fldCharType="end"/>
      </w:r>
      <w:r>
        <w:rPr>
          <w:rFonts w:hint="eastAsia" w:ascii="宋体" w:hAnsi="宋体" w:eastAsia="宋体" w:cs="宋体"/>
          <w:color w:val="auto"/>
          <w:szCs w:val="21"/>
          <w:highlight w:val="none"/>
        </w:rPr>
        <w:fldChar w:fldCharType="end"/>
      </w:r>
    </w:p>
    <w:p w14:paraId="3AFA6817">
      <w:pPr>
        <w:pStyle w:val="29"/>
        <w:tabs>
          <w:tab w:val="right" w:leader="dot" w:pos="9072"/>
        </w:tabs>
        <w:rPr>
          <w:rFonts w:hint="eastAsia" w:ascii="宋体" w:hAnsi="宋体" w:eastAsia="宋体" w:cs="宋体"/>
          <w:color w:val="auto"/>
          <w:highlight w:val="none"/>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_Toc8410 </w:instrText>
      </w:r>
      <w:r>
        <w:rPr>
          <w:rFonts w:hint="eastAsia" w:ascii="宋体" w:hAnsi="宋体" w:eastAsia="宋体" w:cs="宋体"/>
          <w:color w:val="auto"/>
          <w:szCs w:val="21"/>
          <w:highlight w:val="none"/>
        </w:rPr>
        <w:fldChar w:fldCharType="separate"/>
      </w:r>
      <w:r>
        <w:rPr>
          <w:rFonts w:hint="eastAsia" w:ascii="宋体" w:hAnsi="宋体" w:eastAsia="宋体" w:cs="宋体"/>
          <w:color w:val="auto"/>
          <w:szCs w:val="24"/>
          <w:highlight w:val="none"/>
          <w:lang w:val="en-US" w:eastAsia="zh-CN"/>
        </w:rPr>
        <w:t>一、 投标人资格声明函</w:t>
      </w:r>
      <w:r>
        <w:rPr>
          <w:rFonts w:hint="eastAsia" w:ascii="宋体" w:hAnsi="宋体" w:eastAsia="宋体" w:cs="宋体"/>
          <w:color w:val="auto"/>
          <w:highlight w:val="none"/>
        </w:rPr>
        <w:tab/>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PAGEREF _Toc8410 \h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82</w:t>
      </w:r>
      <w:r>
        <w:rPr>
          <w:rFonts w:hint="eastAsia" w:ascii="宋体" w:hAnsi="宋体" w:eastAsia="宋体" w:cs="宋体"/>
          <w:color w:val="auto"/>
          <w:highlight w:val="none"/>
        </w:rPr>
        <w:fldChar w:fldCharType="end"/>
      </w:r>
      <w:r>
        <w:rPr>
          <w:rFonts w:hint="eastAsia" w:ascii="宋体" w:hAnsi="宋体" w:eastAsia="宋体" w:cs="宋体"/>
          <w:color w:val="auto"/>
          <w:szCs w:val="21"/>
          <w:highlight w:val="none"/>
        </w:rPr>
        <w:fldChar w:fldCharType="end"/>
      </w:r>
    </w:p>
    <w:p w14:paraId="0C0390FF">
      <w:pPr>
        <w:pStyle w:val="29"/>
        <w:tabs>
          <w:tab w:val="right" w:leader="dot" w:pos="9072"/>
        </w:tabs>
        <w:rPr>
          <w:rFonts w:hint="eastAsia" w:ascii="宋体" w:hAnsi="宋体" w:eastAsia="宋体" w:cs="宋体"/>
          <w:color w:val="auto"/>
          <w:highlight w:val="none"/>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_Toc27640 </w:instrText>
      </w:r>
      <w:r>
        <w:rPr>
          <w:rFonts w:hint="eastAsia" w:ascii="宋体" w:hAnsi="宋体" w:eastAsia="宋体" w:cs="宋体"/>
          <w:color w:val="auto"/>
          <w:szCs w:val="21"/>
          <w:highlight w:val="none"/>
        </w:rPr>
        <w:fldChar w:fldCharType="separate"/>
      </w:r>
      <w:r>
        <w:rPr>
          <w:rFonts w:hint="eastAsia" w:ascii="宋体" w:hAnsi="宋体" w:eastAsia="宋体" w:cs="宋体"/>
          <w:color w:val="auto"/>
          <w:szCs w:val="24"/>
          <w:highlight w:val="none"/>
          <w:lang w:val="en-US" w:eastAsia="zh-CN"/>
        </w:rPr>
        <w:t>二、 投标人基本情况</w:t>
      </w:r>
      <w:r>
        <w:rPr>
          <w:rFonts w:hint="eastAsia" w:ascii="宋体" w:hAnsi="宋体" w:eastAsia="宋体" w:cs="宋体"/>
          <w:color w:val="auto"/>
          <w:highlight w:val="none"/>
        </w:rPr>
        <w:tab/>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PAGEREF _Toc27640 \h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83</w:t>
      </w:r>
      <w:r>
        <w:rPr>
          <w:rFonts w:hint="eastAsia" w:ascii="宋体" w:hAnsi="宋体" w:eastAsia="宋体" w:cs="宋体"/>
          <w:color w:val="auto"/>
          <w:highlight w:val="none"/>
        </w:rPr>
        <w:fldChar w:fldCharType="end"/>
      </w:r>
      <w:r>
        <w:rPr>
          <w:rFonts w:hint="eastAsia" w:ascii="宋体" w:hAnsi="宋体" w:eastAsia="宋体" w:cs="宋体"/>
          <w:color w:val="auto"/>
          <w:szCs w:val="21"/>
          <w:highlight w:val="none"/>
        </w:rPr>
        <w:fldChar w:fldCharType="end"/>
      </w:r>
    </w:p>
    <w:p w14:paraId="2511A237">
      <w:pPr>
        <w:pStyle w:val="29"/>
        <w:tabs>
          <w:tab w:val="right" w:leader="dot" w:pos="9072"/>
        </w:tabs>
        <w:rPr>
          <w:rFonts w:hint="eastAsia" w:ascii="宋体" w:hAnsi="宋体" w:eastAsia="宋体" w:cs="宋体"/>
          <w:color w:val="auto"/>
          <w:highlight w:val="none"/>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_Toc20556 </w:instrText>
      </w:r>
      <w:r>
        <w:rPr>
          <w:rFonts w:hint="eastAsia" w:ascii="宋体" w:hAnsi="宋体" w:eastAsia="宋体" w:cs="宋体"/>
          <w:color w:val="auto"/>
          <w:szCs w:val="21"/>
          <w:highlight w:val="none"/>
        </w:rPr>
        <w:fldChar w:fldCharType="separate"/>
      </w:r>
      <w:r>
        <w:rPr>
          <w:rFonts w:hint="eastAsia" w:ascii="宋体" w:hAnsi="宋体" w:eastAsia="宋体" w:cs="宋体"/>
          <w:color w:val="auto"/>
          <w:highlight w:val="none"/>
        </w:rPr>
        <w:t xml:space="preserve">三、 </w:t>
      </w:r>
      <w:r>
        <w:rPr>
          <w:rFonts w:hint="eastAsia" w:ascii="宋体" w:hAnsi="宋体" w:eastAsia="宋体" w:cs="宋体"/>
          <w:color w:val="auto"/>
          <w:szCs w:val="24"/>
          <w:highlight w:val="none"/>
          <w:lang w:val="en-US" w:eastAsia="zh-CN"/>
        </w:rPr>
        <w:t>投标人资格证明文件</w:t>
      </w:r>
      <w:r>
        <w:rPr>
          <w:rFonts w:hint="eastAsia" w:ascii="宋体" w:hAnsi="宋体" w:eastAsia="宋体" w:cs="宋体"/>
          <w:color w:val="auto"/>
          <w:highlight w:val="none"/>
        </w:rPr>
        <w:tab/>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PAGEREF _Toc20556 \h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84</w:t>
      </w:r>
      <w:r>
        <w:rPr>
          <w:rFonts w:hint="eastAsia" w:ascii="宋体" w:hAnsi="宋体" w:eastAsia="宋体" w:cs="宋体"/>
          <w:color w:val="auto"/>
          <w:highlight w:val="none"/>
        </w:rPr>
        <w:fldChar w:fldCharType="end"/>
      </w:r>
      <w:r>
        <w:rPr>
          <w:rFonts w:hint="eastAsia" w:ascii="宋体" w:hAnsi="宋体" w:eastAsia="宋体" w:cs="宋体"/>
          <w:color w:val="auto"/>
          <w:szCs w:val="21"/>
          <w:highlight w:val="none"/>
        </w:rPr>
        <w:fldChar w:fldCharType="end"/>
      </w:r>
    </w:p>
    <w:p w14:paraId="66D3894C">
      <w:pPr>
        <w:pStyle w:val="23"/>
        <w:tabs>
          <w:tab w:val="right" w:leader="dot" w:pos="9072"/>
          <w:tab w:val="clear" w:pos="8460"/>
        </w:tabs>
        <w:rPr>
          <w:rFonts w:hint="eastAsia" w:ascii="宋体" w:hAnsi="宋体" w:eastAsia="宋体" w:cs="宋体"/>
          <w:color w:val="auto"/>
          <w:highlight w:val="none"/>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_Toc14704 </w:instrText>
      </w:r>
      <w:r>
        <w:rPr>
          <w:rFonts w:hint="eastAsia" w:ascii="宋体" w:hAnsi="宋体" w:eastAsia="宋体" w:cs="宋体"/>
          <w:color w:val="auto"/>
          <w:szCs w:val="21"/>
          <w:highlight w:val="none"/>
        </w:rPr>
        <w:fldChar w:fldCharType="separate"/>
      </w:r>
      <w:r>
        <w:rPr>
          <w:rFonts w:hint="eastAsia" w:ascii="宋体" w:hAnsi="宋体" w:eastAsia="宋体" w:cs="宋体"/>
          <w:color w:val="auto"/>
          <w:kern w:val="44"/>
          <w:szCs w:val="32"/>
          <w:highlight w:val="none"/>
          <w:lang w:val="en-US" w:eastAsia="zh-CN" w:bidi="ar-SA"/>
        </w:rPr>
        <w:t xml:space="preserve">第八章 </w:t>
      </w:r>
      <w:r>
        <w:rPr>
          <w:rFonts w:hint="eastAsia" w:ascii="宋体" w:hAnsi="宋体" w:eastAsia="宋体" w:cs="宋体"/>
          <w:color w:val="auto"/>
          <w:szCs w:val="32"/>
          <w:highlight w:val="none"/>
          <w:lang w:eastAsia="zh-CN"/>
        </w:rPr>
        <w:t>投标文件通用格式</w:t>
      </w:r>
      <w:r>
        <w:rPr>
          <w:rFonts w:hint="eastAsia" w:ascii="宋体" w:hAnsi="宋体" w:eastAsia="宋体" w:cs="宋体"/>
          <w:color w:val="auto"/>
          <w:highlight w:val="none"/>
        </w:rPr>
        <w:tab/>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PAGEREF _Toc14704 \h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92</w:t>
      </w:r>
      <w:r>
        <w:rPr>
          <w:rFonts w:hint="eastAsia" w:ascii="宋体" w:hAnsi="宋体" w:eastAsia="宋体" w:cs="宋体"/>
          <w:color w:val="auto"/>
          <w:highlight w:val="none"/>
        </w:rPr>
        <w:fldChar w:fldCharType="end"/>
      </w:r>
      <w:r>
        <w:rPr>
          <w:rFonts w:hint="eastAsia" w:ascii="宋体" w:hAnsi="宋体" w:eastAsia="宋体" w:cs="宋体"/>
          <w:color w:val="auto"/>
          <w:szCs w:val="21"/>
          <w:highlight w:val="none"/>
        </w:rPr>
        <w:fldChar w:fldCharType="end"/>
      </w:r>
    </w:p>
    <w:p w14:paraId="650B9F3A">
      <w:pPr>
        <w:pStyle w:val="29"/>
        <w:tabs>
          <w:tab w:val="right" w:leader="dot" w:pos="9072"/>
        </w:tabs>
        <w:rPr>
          <w:rFonts w:hint="eastAsia" w:ascii="宋体" w:hAnsi="宋体" w:eastAsia="宋体" w:cs="宋体"/>
          <w:color w:val="auto"/>
          <w:highlight w:val="none"/>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_Toc17941 </w:instrText>
      </w:r>
      <w:r>
        <w:rPr>
          <w:rFonts w:hint="eastAsia" w:ascii="宋体" w:hAnsi="宋体" w:eastAsia="宋体" w:cs="宋体"/>
          <w:color w:val="auto"/>
          <w:szCs w:val="21"/>
          <w:highlight w:val="none"/>
        </w:rPr>
        <w:fldChar w:fldCharType="separate"/>
      </w:r>
      <w:r>
        <w:rPr>
          <w:rFonts w:hint="eastAsia" w:ascii="宋体" w:hAnsi="宋体" w:eastAsia="宋体" w:cs="宋体"/>
          <w:color w:val="auto"/>
          <w:szCs w:val="24"/>
          <w:highlight w:val="none"/>
          <w:lang w:eastAsia="zh-CN"/>
        </w:rPr>
        <w:t>一、</w:t>
      </w:r>
      <w:r>
        <w:rPr>
          <w:rFonts w:hint="eastAsia" w:ascii="宋体" w:hAnsi="宋体" w:eastAsia="宋体" w:cs="宋体"/>
          <w:color w:val="auto"/>
          <w:szCs w:val="24"/>
          <w:highlight w:val="none"/>
        </w:rPr>
        <w:t>法定代表人身份证明</w:t>
      </w:r>
      <w:r>
        <w:rPr>
          <w:rFonts w:hint="eastAsia" w:ascii="宋体" w:hAnsi="宋体" w:eastAsia="宋体" w:cs="宋体"/>
          <w:color w:val="auto"/>
          <w:highlight w:val="none"/>
        </w:rPr>
        <w:tab/>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PAGEREF _Toc17941 \h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94</w:t>
      </w:r>
      <w:r>
        <w:rPr>
          <w:rFonts w:hint="eastAsia" w:ascii="宋体" w:hAnsi="宋体" w:eastAsia="宋体" w:cs="宋体"/>
          <w:color w:val="auto"/>
          <w:highlight w:val="none"/>
        </w:rPr>
        <w:fldChar w:fldCharType="end"/>
      </w:r>
      <w:r>
        <w:rPr>
          <w:rFonts w:hint="eastAsia" w:ascii="宋体" w:hAnsi="宋体" w:eastAsia="宋体" w:cs="宋体"/>
          <w:color w:val="auto"/>
          <w:szCs w:val="21"/>
          <w:highlight w:val="none"/>
        </w:rPr>
        <w:fldChar w:fldCharType="end"/>
      </w:r>
    </w:p>
    <w:p w14:paraId="12EECF74">
      <w:pPr>
        <w:pStyle w:val="29"/>
        <w:tabs>
          <w:tab w:val="right" w:leader="dot" w:pos="9072"/>
        </w:tabs>
        <w:rPr>
          <w:rFonts w:hint="eastAsia" w:ascii="宋体" w:hAnsi="宋体" w:eastAsia="宋体" w:cs="宋体"/>
          <w:color w:val="auto"/>
          <w:highlight w:val="none"/>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_Toc26791 </w:instrText>
      </w:r>
      <w:r>
        <w:rPr>
          <w:rFonts w:hint="eastAsia" w:ascii="宋体" w:hAnsi="宋体" w:eastAsia="宋体" w:cs="宋体"/>
          <w:color w:val="auto"/>
          <w:szCs w:val="21"/>
          <w:highlight w:val="none"/>
        </w:rPr>
        <w:fldChar w:fldCharType="separate"/>
      </w:r>
      <w:r>
        <w:rPr>
          <w:rFonts w:hint="eastAsia" w:ascii="宋体" w:hAnsi="宋体" w:eastAsia="宋体" w:cs="宋体"/>
          <w:color w:val="auto"/>
          <w:kern w:val="0"/>
          <w:szCs w:val="24"/>
          <w:highlight w:val="none"/>
        </w:rPr>
        <w:t xml:space="preserve">一、 </w:t>
      </w:r>
      <w:r>
        <w:rPr>
          <w:rFonts w:hint="eastAsia" w:ascii="宋体" w:hAnsi="宋体" w:eastAsia="宋体" w:cs="宋体"/>
          <w:color w:val="auto"/>
          <w:szCs w:val="24"/>
          <w:highlight w:val="none"/>
        </w:rPr>
        <w:t>法定代表人授权</w:t>
      </w:r>
      <w:r>
        <w:rPr>
          <w:rFonts w:hint="eastAsia" w:ascii="宋体" w:hAnsi="宋体" w:eastAsia="宋体" w:cs="宋体"/>
          <w:color w:val="auto"/>
          <w:szCs w:val="24"/>
          <w:highlight w:val="none"/>
          <w:lang w:eastAsia="zh-CN"/>
        </w:rPr>
        <w:t>委托</w:t>
      </w:r>
      <w:r>
        <w:rPr>
          <w:rFonts w:hint="eastAsia" w:ascii="宋体" w:hAnsi="宋体" w:eastAsia="宋体" w:cs="宋体"/>
          <w:color w:val="auto"/>
          <w:szCs w:val="24"/>
          <w:highlight w:val="none"/>
        </w:rPr>
        <w:t>书</w:t>
      </w:r>
      <w:r>
        <w:rPr>
          <w:rFonts w:hint="eastAsia" w:ascii="宋体" w:hAnsi="宋体" w:eastAsia="宋体" w:cs="宋体"/>
          <w:color w:val="auto"/>
          <w:highlight w:val="none"/>
        </w:rPr>
        <w:tab/>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PAGEREF _Toc26791 \h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95</w:t>
      </w:r>
      <w:r>
        <w:rPr>
          <w:rFonts w:hint="eastAsia" w:ascii="宋体" w:hAnsi="宋体" w:eastAsia="宋体" w:cs="宋体"/>
          <w:color w:val="auto"/>
          <w:highlight w:val="none"/>
        </w:rPr>
        <w:fldChar w:fldCharType="end"/>
      </w:r>
      <w:r>
        <w:rPr>
          <w:rFonts w:hint="eastAsia" w:ascii="宋体" w:hAnsi="宋体" w:eastAsia="宋体" w:cs="宋体"/>
          <w:color w:val="auto"/>
          <w:szCs w:val="21"/>
          <w:highlight w:val="none"/>
        </w:rPr>
        <w:fldChar w:fldCharType="end"/>
      </w:r>
    </w:p>
    <w:p w14:paraId="10FB32AE">
      <w:pPr>
        <w:pStyle w:val="29"/>
        <w:tabs>
          <w:tab w:val="right" w:leader="dot" w:pos="9072"/>
        </w:tabs>
        <w:rPr>
          <w:rFonts w:hint="eastAsia" w:ascii="宋体" w:hAnsi="宋体" w:eastAsia="宋体" w:cs="宋体"/>
          <w:color w:val="auto"/>
          <w:highlight w:val="none"/>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_Toc1380 </w:instrText>
      </w:r>
      <w:r>
        <w:rPr>
          <w:rFonts w:hint="eastAsia" w:ascii="宋体" w:hAnsi="宋体" w:eastAsia="宋体" w:cs="宋体"/>
          <w:color w:val="auto"/>
          <w:szCs w:val="21"/>
          <w:highlight w:val="none"/>
        </w:rPr>
        <w:fldChar w:fldCharType="separate"/>
      </w:r>
      <w:r>
        <w:rPr>
          <w:rFonts w:hint="eastAsia" w:ascii="宋体" w:hAnsi="宋体" w:eastAsia="宋体" w:cs="宋体"/>
          <w:color w:val="auto"/>
          <w:szCs w:val="24"/>
          <w:highlight w:val="none"/>
          <w:lang w:val="en-US" w:eastAsia="zh-CN"/>
        </w:rPr>
        <w:t>二、 投标书</w:t>
      </w:r>
      <w:r>
        <w:rPr>
          <w:rFonts w:hint="eastAsia" w:ascii="宋体" w:hAnsi="宋体" w:eastAsia="宋体" w:cs="宋体"/>
          <w:color w:val="auto"/>
          <w:highlight w:val="none"/>
        </w:rPr>
        <w:tab/>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PAGEREF _Toc1380 \h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96</w:t>
      </w:r>
      <w:r>
        <w:rPr>
          <w:rFonts w:hint="eastAsia" w:ascii="宋体" w:hAnsi="宋体" w:eastAsia="宋体" w:cs="宋体"/>
          <w:color w:val="auto"/>
          <w:highlight w:val="none"/>
        </w:rPr>
        <w:fldChar w:fldCharType="end"/>
      </w:r>
      <w:r>
        <w:rPr>
          <w:rFonts w:hint="eastAsia" w:ascii="宋体" w:hAnsi="宋体" w:eastAsia="宋体" w:cs="宋体"/>
          <w:color w:val="auto"/>
          <w:szCs w:val="21"/>
          <w:highlight w:val="none"/>
        </w:rPr>
        <w:fldChar w:fldCharType="end"/>
      </w:r>
    </w:p>
    <w:p w14:paraId="2CD93ED1">
      <w:pPr>
        <w:pStyle w:val="29"/>
        <w:tabs>
          <w:tab w:val="right" w:leader="dot" w:pos="9072"/>
        </w:tabs>
        <w:rPr>
          <w:rFonts w:hint="eastAsia" w:ascii="宋体" w:hAnsi="宋体" w:eastAsia="宋体" w:cs="宋体"/>
          <w:color w:val="auto"/>
          <w:highlight w:val="none"/>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_Toc18432 </w:instrText>
      </w:r>
      <w:r>
        <w:rPr>
          <w:rFonts w:hint="eastAsia" w:ascii="宋体" w:hAnsi="宋体" w:eastAsia="宋体" w:cs="宋体"/>
          <w:color w:val="auto"/>
          <w:szCs w:val="21"/>
          <w:highlight w:val="none"/>
        </w:rPr>
        <w:fldChar w:fldCharType="separate"/>
      </w:r>
      <w:r>
        <w:rPr>
          <w:rFonts w:hint="eastAsia" w:ascii="宋体" w:hAnsi="宋体" w:eastAsia="宋体" w:cs="宋体"/>
          <w:color w:val="auto"/>
          <w:szCs w:val="24"/>
          <w:highlight w:val="none"/>
        </w:rPr>
        <w:t xml:space="preserve">三、 </w:t>
      </w:r>
      <w:r>
        <w:rPr>
          <w:rFonts w:hint="eastAsia" w:ascii="宋体" w:hAnsi="宋体" w:eastAsia="宋体" w:cs="宋体"/>
          <w:color w:val="auto"/>
          <w:szCs w:val="24"/>
          <w:highlight w:val="none"/>
          <w:lang w:eastAsia="zh-CN"/>
        </w:rPr>
        <w:t>投标</w:t>
      </w:r>
      <w:r>
        <w:rPr>
          <w:rFonts w:hint="eastAsia" w:ascii="宋体" w:hAnsi="宋体" w:eastAsia="宋体" w:cs="宋体"/>
          <w:color w:val="auto"/>
          <w:szCs w:val="24"/>
          <w:highlight w:val="none"/>
          <w:lang w:val="en-US" w:eastAsia="zh-CN"/>
        </w:rPr>
        <w:t>承诺函</w:t>
      </w:r>
      <w:r>
        <w:rPr>
          <w:rFonts w:hint="eastAsia" w:ascii="宋体" w:hAnsi="宋体" w:eastAsia="宋体" w:cs="宋体"/>
          <w:color w:val="auto"/>
          <w:highlight w:val="none"/>
        </w:rPr>
        <w:tab/>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PAGEREF _Toc18432 \h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97</w:t>
      </w:r>
      <w:r>
        <w:rPr>
          <w:rFonts w:hint="eastAsia" w:ascii="宋体" w:hAnsi="宋体" w:eastAsia="宋体" w:cs="宋体"/>
          <w:color w:val="auto"/>
          <w:highlight w:val="none"/>
        </w:rPr>
        <w:fldChar w:fldCharType="end"/>
      </w:r>
      <w:r>
        <w:rPr>
          <w:rFonts w:hint="eastAsia" w:ascii="宋体" w:hAnsi="宋体" w:eastAsia="宋体" w:cs="宋体"/>
          <w:color w:val="auto"/>
          <w:szCs w:val="21"/>
          <w:highlight w:val="none"/>
        </w:rPr>
        <w:fldChar w:fldCharType="end"/>
      </w:r>
    </w:p>
    <w:p w14:paraId="16137818">
      <w:pPr>
        <w:pStyle w:val="29"/>
        <w:tabs>
          <w:tab w:val="right" w:leader="dot" w:pos="9072"/>
        </w:tabs>
        <w:rPr>
          <w:rFonts w:hint="eastAsia" w:ascii="宋体" w:hAnsi="宋体" w:eastAsia="宋体" w:cs="宋体"/>
          <w:color w:val="auto"/>
          <w:highlight w:val="none"/>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_Toc799 </w:instrText>
      </w:r>
      <w:r>
        <w:rPr>
          <w:rFonts w:hint="eastAsia" w:ascii="宋体" w:hAnsi="宋体" w:eastAsia="宋体" w:cs="宋体"/>
          <w:color w:val="auto"/>
          <w:szCs w:val="21"/>
          <w:highlight w:val="none"/>
        </w:rPr>
        <w:fldChar w:fldCharType="separate"/>
      </w:r>
      <w:r>
        <w:rPr>
          <w:rFonts w:hint="eastAsia" w:ascii="宋体" w:hAnsi="宋体" w:eastAsia="宋体" w:cs="宋体"/>
          <w:color w:val="auto"/>
          <w:szCs w:val="24"/>
          <w:highlight w:val="none"/>
        </w:rPr>
        <w:t>四、 投标报价表格</w:t>
      </w:r>
      <w:r>
        <w:rPr>
          <w:rFonts w:hint="eastAsia" w:ascii="宋体" w:hAnsi="宋体" w:eastAsia="宋体" w:cs="宋体"/>
          <w:color w:val="auto"/>
          <w:highlight w:val="none"/>
        </w:rPr>
        <w:tab/>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PAGEREF _Toc799 \h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98</w:t>
      </w:r>
      <w:r>
        <w:rPr>
          <w:rFonts w:hint="eastAsia" w:ascii="宋体" w:hAnsi="宋体" w:eastAsia="宋体" w:cs="宋体"/>
          <w:color w:val="auto"/>
          <w:highlight w:val="none"/>
        </w:rPr>
        <w:fldChar w:fldCharType="end"/>
      </w:r>
      <w:r>
        <w:rPr>
          <w:rFonts w:hint="eastAsia" w:ascii="宋体" w:hAnsi="宋体" w:eastAsia="宋体" w:cs="宋体"/>
          <w:color w:val="auto"/>
          <w:szCs w:val="21"/>
          <w:highlight w:val="none"/>
        </w:rPr>
        <w:fldChar w:fldCharType="end"/>
      </w:r>
    </w:p>
    <w:p w14:paraId="2F81ADC3">
      <w:pPr>
        <w:pStyle w:val="29"/>
        <w:tabs>
          <w:tab w:val="right" w:leader="dot" w:pos="9072"/>
        </w:tabs>
        <w:rPr>
          <w:rFonts w:hint="eastAsia" w:ascii="宋体" w:hAnsi="宋体" w:eastAsia="宋体" w:cs="宋体"/>
          <w:color w:val="auto"/>
          <w:highlight w:val="none"/>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_Toc8349 </w:instrText>
      </w:r>
      <w:r>
        <w:rPr>
          <w:rFonts w:hint="eastAsia" w:ascii="宋体" w:hAnsi="宋体" w:eastAsia="宋体" w:cs="宋体"/>
          <w:color w:val="auto"/>
          <w:szCs w:val="21"/>
          <w:highlight w:val="none"/>
        </w:rPr>
        <w:fldChar w:fldCharType="separate"/>
      </w:r>
      <w:r>
        <w:rPr>
          <w:rFonts w:hint="eastAsia" w:ascii="宋体" w:hAnsi="宋体" w:eastAsia="宋体" w:cs="宋体"/>
          <w:color w:val="auto"/>
          <w:szCs w:val="24"/>
          <w:highlight w:val="none"/>
        </w:rPr>
        <w:t xml:space="preserve">五、 </w:t>
      </w:r>
      <w:r>
        <w:rPr>
          <w:rFonts w:hint="eastAsia" w:ascii="宋体" w:hAnsi="宋体" w:eastAsia="宋体" w:cs="宋体"/>
          <w:color w:val="auto"/>
          <w:szCs w:val="24"/>
          <w:highlight w:val="none"/>
          <w:lang w:eastAsia="zh-CN"/>
        </w:rPr>
        <w:t>商务技术偏差表</w:t>
      </w:r>
      <w:r>
        <w:rPr>
          <w:rFonts w:hint="eastAsia" w:ascii="宋体" w:hAnsi="宋体" w:eastAsia="宋体" w:cs="宋体"/>
          <w:color w:val="auto"/>
          <w:highlight w:val="none"/>
        </w:rPr>
        <w:tab/>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PAGEREF _Toc8349 \h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102</w:t>
      </w:r>
      <w:r>
        <w:rPr>
          <w:rFonts w:hint="eastAsia" w:ascii="宋体" w:hAnsi="宋体" w:eastAsia="宋体" w:cs="宋体"/>
          <w:color w:val="auto"/>
          <w:highlight w:val="none"/>
        </w:rPr>
        <w:fldChar w:fldCharType="end"/>
      </w:r>
      <w:r>
        <w:rPr>
          <w:rFonts w:hint="eastAsia" w:ascii="宋体" w:hAnsi="宋体" w:eastAsia="宋体" w:cs="宋体"/>
          <w:color w:val="auto"/>
          <w:szCs w:val="21"/>
          <w:highlight w:val="none"/>
        </w:rPr>
        <w:fldChar w:fldCharType="end"/>
      </w:r>
    </w:p>
    <w:p w14:paraId="6FFCA128">
      <w:pPr>
        <w:pStyle w:val="29"/>
        <w:tabs>
          <w:tab w:val="right" w:leader="dot" w:pos="9072"/>
        </w:tabs>
        <w:rPr>
          <w:rFonts w:hint="eastAsia" w:ascii="宋体" w:hAnsi="宋体" w:eastAsia="宋体" w:cs="宋体"/>
          <w:color w:val="auto"/>
          <w:highlight w:val="none"/>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_Toc5255 </w:instrText>
      </w:r>
      <w:r>
        <w:rPr>
          <w:rFonts w:hint="eastAsia" w:ascii="宋体" w:hAnsi="宋体" w:eastAsia="宋体" w:cs="宋体"/>
          <w:color w:val="auto"/>
          <w:szCs w:val="21"/>
          <w:highlight w:val="none"/>
        </w:rPr>
        <w:fldChar w:fldCharType="separate"/>
      </w:r>
      <w:r>
        <w:rPr>
          <w:rFonts w:hint="eastAsia" w:ascii="宋体" w:hAnsi="宋体" w:eastAsia="宋体" w:cs="宋体"/>
          <w:color w:val="auto"/>
          <w:szCs w:val="24"/>
          <w:highlight w:val="none"/>
        </w:rPr>
        <w:t xml:space="preserve">六、 </w:t>
      </w:r>
      <w:r>
        <w:rPr>
          <w:rFonts w:hint="eastAsia" w:ascii="宋体" w:hAnsi="宋体" w:eastAsia="宋体" w:cs="宋体"/>
          <w:color w:val="auto"/>
          <w:szCs w:val="24"/>
          <w:highlight w:val="none"/>
          <w:lang w:val="en-US" w:eastAsia="zh-CN"/>
        </w:rPr>
        <w:t>技术部分</w:t>
      </w:r>
      <w:r>
        <w:rPr>
          <w:rFonts w:hint="eastAsia" w:ascii="宋体" w:hAnsi="宋体" w:eastAsia="宋体" w:cs="宋体"/>
          <w:color w:val="auto"/>
          <w:highlight w:val="none"/>
        </w:rPr>
        <w:tab/>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PAGEREF _Toc5255 \h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104</w:t>
      </w:r>
      <w:r>
        <w:rPr>
          <w:rFonts w:hint="eastAsia" w:ascii="宋体" w:hAnsi="宋体" w:eastAsia="宋体" w:cs="宋体"/>
          <w:color w:val="auto"/>
          <w:highlight w:val="none"/>
        </w:rPr>
        <w:fldChar w:fldCharType="end"/>
      </w:r>
      <w:r>
        <w:rPr>
          <w:rFonts w:hint="eastAsia" w:ascii="宋体" w:hAnsi="宋体" w:eastAsia="宋体" w:cs="宋体"/>
          <w:color w:val="auto"/>
          <w:szCs w:val="21"/>
          <w:highlight w:val="none"/>
        </w:rPr>
        <w:fldChar w:fldCharType="end"/>
      </w:r>
    </w:p>
    <w:p w14:paraId="7408B5E8">
      <w:pPr>
        <w:pStyle w:val="29"/>
        <w:tabs>
          <w:tab w:val="right" w:leader="dot" w:pos="9072"/>
        </w:tabs>
        <w:rPr>
          <w:rFonts w:hint="eastAsia" w:ascii="宋体" w:hAnsi="宋体" w:eastAsia="宋体" w:cs="宋体"/>
          <w:color w:val="auto"/>
          <w:highlight w:val="none"/>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_Toc26830 </w:instrText>
      </w:r>
      <w:r>
        <w:rPr>
          <w:rFonts w:hint="eastAsia" w:ascii="宋体" w:hAnsi="宋体" w:eastAsia="宋体" w:cs="宋体"/>
          <w:color w:val="auto"/>
          <w:szCs w:val="21"/>
          <w:highlight w:val="none"/>
        </w:rPr>
        <w:fldChar w:fldCharType="separate"/>
      </w:r>
      <w:r>
        <w:rPr>
          <w:rFonts w:hint="eastAsia" w:ascii="宋体" w:hAnsi="宋体" w:eastAsia="宋体" w:cs="宋体"/>
          <w:color w:val="auto"/>
          <w:szCs w:val="24"/>
          <w:highlight w:val="none"/>
        </w:rPr>
        <w:t xml:space="preserve">七、 </w:t>
      </w:r>
      <w:r>
        <w:rPr>
          <w:rFonts w:hint="eastAsia" w:ascii="宋体" w:hAnsi="宋体" w:eastAsia="宋体" w:cs="宋体"/>
          <w:color w:val="auto"/>
          <w:szCs w:val="24"/>
          <w:highlight w:val="none"/>
          <w:lang w:eastAsia="zh-CN"/>
        </w:rPr>
        <w:t>反商业贿赂承诺书</w:t>
      </w:r>
      <w:r>
        <w:rPr>
          <w:rFonts w:hint="eastAsia" w:ascii="宋体" w:hAnsi="宋体" w:eastAsia="宋体" w:cs="宋体"/>
          <w:color w:val="auto"/>
          <w:highlight w:val="none"/>
        </w:rPr>
        <w:tab/>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PAGEREF _Toc26830 \h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105</w:t>
      </w:r>
      <w:r>
        <w:rPr>
          <w:rFonts w:hint="eastAsia" w:ascii="宋体" w:hAnsi="宋体" w:eastAsia="宋体" w:cs="宋体"/>
          <w:color w:val="auto"/>
          <w:highlight w:val="none"/>
        </w:rPr>
        <w:fldChar w:fldCharType="end"/>
      </w:r>
      <w:r>
        <w:rPr>
          <w:rFonts w:hint="eastAsia" w:ascii="宋体" w:hAnsi="宋体" w:eastAsia="宋体" w:cs="宋体"/>
          <w:color w:val="auto"/>
          <w:szCs w:val="21"/>
          <w:highlight w:val="none"/>
        </w:rPr>
        <w:fldChar w:fldCharType="end"/>
      </w:r>
    </w:p>
    <w:p w14:paraId="784C6B52">
      <w:pPr>
        <w:pStyle w:val="29"/>
        <w:tabs>
          <w:tab w:val="right" w:leader="dot" w:pos="9072"/>
        </w:tabs>
        <w:rPr>
          <w:rFonts w:hint="eastAsia" w:ascii="宋体" w:hAnsi="宋体" w:eastAsia="宋体" w:cs="宋体"/>
          <w:color w:val="auto"/>
          <w:highlight w:val="none"/>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_Toc23641 </w:instrText>
      </w:r>
      <w:r>
        <w:rPr>
          <w:rFonts w:hint="eastAsia" w:ascii="宋体" w:hAnsi="宋体" w:eastAsia="宋体" w:cs="宋体"/>
          <w:color w:val="auto"/>
          <w:szCs w:val="21"/>
          <w:highlight w:val="none"/>
        </w:rPr>
        <w:fldChar w:fldCharType="separate"/>
      </w:r>
      <w:r>
        <w:rPr>
          <w:rFonts w:hint="eastAsia" w:ascii="宋体" w:hAnsi="宋体" w:eastAsia="宋体" w:cs="宋体"/>
          <w:color w:val="auto"/>
          <w:szCs w:val="24"/>
          <w:highlight w:val="none"/>
          <w:lang w:val="en-US" w:eastAsia="zh-CN"/>
        </w:rPr>
        <w:t>八、 售后服务方案及其他</w:t>
      </w:r>
      <w:r>
        <w:rPr>
          <w:rFonts w:hint="eastAsia" w:ascii="宋体" w:hAnsi="宋体" w:eastAsia="宋体" w:cs="宋体"/>
          <w:color w:val="auto"/>
          <w:highlight w:val="none"/>
        </w:rPr>
        <w:tab/>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PAGEREF _Toc23641 \h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106</w:t>
      </w:r>
      <w:r>
        <w:rPr>
          <w:rFonts w:hint="eastAsia" w:ascii="宋体" w:hAnsi="宋体" w:eastAsia="宋体" w:cs="宋体"/>
          <w:color w:val="auto"/>
          <w:highlight w:val="none"/>
        </w:rPr>
        <w:fldChar w:fldCharType="end"/>
      </w:r>
      <w:r>
        <w:rPr>
          <w:rFonts w:hint="eastAsia" w:ascii="宋体" w:hAnsi="宋体" w:eastAsia="宋体" w:cs="宋体"/>
          <w:color w:val="auto"/>
          <w:szCs w:val="21"/>
          <w:highlight w:val="none"/>
        </w:rPr>
        <w:fldChar w:fldCharType="end"/>
      </w:r>
    </w:p>
    <w:p w14:paraId="24C10D8A">
      <w:pPr>
        <w:pStyle w:val="29"/>
        <w:tabs>
          <w:tab w:val="right" w:leader="dot" w:pos="9072"/>
        </w:tabs>
        <w:rPr>
          <w:rFonts w:hint="eastAsia" w:ascii="宋体" w:hAnsi="宋体" w:eastAsia="宋体" w:cs="宋体"/>
          <w:color w:val="auto"/>
          <w:highlight w:val="none"/>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_Toc28487 </w:instrText>
      </w:r>
      <w:r>
        <w:rPr>
          <w:rFonts w:hint="eastAsia" w:ascii="宋体" w:hAnsi="宋体" w:eastAsia="宋体" w:cs="宋体"/>
          <w:color w:val="auto"/>
          <w:szCs w:val="21"/>
          <w:highlight w:val="none"/>
        </w:rPr>
        <w:fldChar w:fldCharType="separate"/>
      </w:r>
      <w:r>
        <w:rPr>
          <w:rFonts w:hint="eastAsia" w:ascii="宋体" w:hAnsi="宋体" w:eastAsia="宋体" w:cs="宋体"/>
          <w:color w:val="auto"/>
          <w:szCs w:val="24"/>
          <w:highlight w:val="none"/>
          <w:lang w:val="en-US" w:eastAsia="zh-CN"/>
        </w:rPr>
        <w:t>九、 中小企业声明函（如有）</w:t>
      </w:r>
      <w:r>
        <w:rPr>
          <w:rFonts w:hint="eastAsia" w:ascii="宋体" w:hAnsi="宋体" w:eastAsia="宋体" w:cs="宋体"/>
          <w:color w:val="auto"/>
          <w:highlight w:val="none"/>
        </w:rPr>
        <w:tab/>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PAGEREF _Toc28487 \h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107</w:t>
      </w:r>
      <w:r>
        <w:rPr>
          <w:rFonts w:hint="eastAsia" w:ascii="宋体" w:hAnsi="宋体" w:eastAsia="宋体" w:cs="宋体"/>
          <w:color w:val="auto"/>
          <w:highlight w:val="none"/>
        </w:rPr>
        <w:fldChar w:fldCharType="end"/>
      </w:r>
      <w:r>
        <w:rPr>
          <w:rFonts w:hint="eastAsia" w:ascii="宋体" w:hAnsi="宋体" w:eastAsia="宋体" w:cs="宋体"/>
          <w:color w:val="auto"/>
          <w:szCs w:val="21"/>
          <w:highlight w:val="none"/>
        </w:rPr>
        <w:fldChar w:fldCharType="end"/>
      </w:r>
    </w:p>
    <w:p w14:paraId="3AE79E03">
      <w:pPr>
        <w:pStyle w:val="29"/>
        <w:tabs>
          <w:tab w:val="right" w:leader="dot" w:pos="9072"/>
        </w:tabs>
        <w:rPr>
          <w:rFonts w:hint="eastAsia" w:ascii="宋体" w:hAnsi="宋体" w:eastAsia="宋体" w:cs="宋体"/>
          <w:color w:val="auto"/>
          <w:highlight w:val="none"/>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_Toc29116 </w:instrText>
      </w:r>
      <w:r>
        <w:rPr>
          <w:rFonts w:hint="eastAsia" w:ascii="宋体" w:hAnsi="宋体" w:eastAsia="宋体" w:cs="宋体"/>
          <w:color w:val="auto"/>
          <w:szCs w:val="21"/>
          <w:highlight w:val="none"/>
        </w:rPr>
        <w:fldChar w:fldCharType="separate"/>
      </w:r>
      <w:r>
        <w:rPr>
          <w:rFonts w:hint="eastAsia" w:ascii="宋体" w:hAnsi="宋体" w:eastAsia="宋体" w:cs="宋体"/>
          <w:color w:val="auto"/>
          <w:kern w:val="0"/>
          <w:szCs w:val="24"/>
          <w:highlight w:val="none"/>
          <w:lang w:val="en-US" w:eastAsia="zh-CN" w:bidi="ar"/>
        </w:rPr>
        <w:t xml:space="preserve">十、 </w:t>
      </w:r>
      <w:r>
        <w:rPr>
          <w:rFonts w:hint="eastAsia" w:ascii="宋体" w:hAnsi="宋体" w:eastAsia="宋体" w:cs="宋体"/>
          <w:color w:val="auto"/>
          <w:szCs w:val="24"/>
          <w:highlight w:val="none"/>
          <w:lang w:val="en-US" w:eastAsia="zh-CN"/>
        </w:rPr>
        <w:t>关于符合本国产品标准的声明函（如有）或财政部会同有关部门规定的有关证明文件（如有）</w:t>
      </w:r>
      <w:r>
        <w:rPr>
          <w:rFonts w:hint="eastAsia" w:ascii="宋体" w:hAnsi="宋体" w:eastAsia="宋体" w:cs="宋体"/>
          <w:color w:val="auto"/>
          <w:highlight w:val="none"/>
        </w:rPr>
        <w:tab/>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PAGEREF _Toc29116 \h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109</w:t>
      </w:r>
      <w:r>
        <w:rPr>
          <w:rFonts w:hint="eastAsia" w:ascii="宋体" w:hAnsi="宋体" w:eastAsia="宋体" w:cs="宋体"/>
          <w:color w:val="auto"/>
          <w:highlight w:val="none"/>
        </w:rPr>
        <w:fldChar w:fldCharType="end"/>
      </w:r>
      <w:r>
        <w:rPr>
          <w:rFonts w:hint="eastAsia" w:ascii="宋体" w:hAnsi="宋体" w:eastAsia="宋体" w:cs="宋体"/>
          <w:color w:val="auto"/>
          <w:szCs w:val="21"/>
          <w:highlight w:val="none"/>
        </w:rPr>
        <w:fldChar w:fldCharType="end"/>
      </w:r>
    </w:p>
    <w:p w14:paraId="73D9DA03">
      <w:pPr>
        <w:pStyle w:val="29"/>
        <w:tabs>
          <w:tab w:val="right" w:leader="dot" w:pos="9072"/>
        </w:tabs>
        <w:rPr>
          <w:rFonts w:hint="eastAsia" w:ascii="宋体" w:hAnsi="宋体" w:eastAsia="宋体" w:cs="宋体"/>
          <w:color w:val="auto"/>
          <w:highlight w:val="none"/>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_Toc27857 </w:instrText>
      </w:r>
      <w:r>
        <w:rPr>
          <w:rFonts w:hint="eastAsia" w:ascii="宋体" w:hAnsi="宋体" w:eastAsia="宋体" w:cs="宋体"/>
          <w:color w:val="auto"/>
          <w:szCs w:val="21"/>
          <w:highlight w:val="none"/>
        </w:rPr>
        <w:fldChar w:fldCharType="separate"/>
      </w:r>
      <w:r>
        <w:rPr>
          <w:rFonts w:hint="eastAsia" w:ascii="宋体" w:hAnsi="宋体" w:eastAsia="宋体" w:cs="宋体"/>
          <w:color w:val="auto"/>
          <w:szCs w:val="24"/>
          <w:highlight w:val="none"/>
          <w:lang w:val="en-US" w:eastAsia="zh-CN"/>
        </w:rPr>
        <w:t>十一、 残疾人福利性单位声明函（如有）</w:t>
      </w:r>
      <w:r>
        <w:rPr>
          <w:rFonts w:hint="eastAsia" w:ascii="宋体" w:hAnsi="宋体" w:eastAsia="宋体" w:cs="宋体"/>
          <w:color w:val="auto"/>
          <w:highlight w:val="none"/>
        </w:rPr>
        <w:tab/>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PAGEREF _Toc27857 \h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110</w:t>
      </w:r>
      <w:r>
        <w:rPr>
          <w:rFonts w:hint="eastAsia" w:ascii="宋体" w:hAnsi="宋体" w:eastAsia="宋体" w:cs="宋体"/>
          <w:color w:val="auto"/>
          <w:highlight w:val="none"/>
        </w:rPr>
        <w:fldChar w:fldCharType="end"/>
      </w:r>
      <w:r>
        <w:rPr>
          <w:rFonts w:hint="eastAsia" w:ascii="宋体" w:hAnsi="宋体" w:eastAsia="宋体" w:cs="宋体"/>
          <w:color w:val="auto"/>
          <w:szCs w:val="21"/>
          <w:highlight w:val="none"/>
        </w:rPr>
        <w:fldChar w:fldCharType="end"/>
      </w:r>
    </w:p>
    <w:p w14:paraId="52DB2513">
      <w:pPr>
        <w:pStyle w:val="29"/>
        <w:tabs>
          <w:tab w:val="right" w:leader="dot" w:pos="9072"/>
        </w:tabs>
        <w:rPr>
          <w:rFonts w:hint="eastAsia" w:ascii="宋体" w:hAnsi="宋体" w:eastAsia="宋体" w:cs="宋体"/>
          <w:color w:val="auto"/>
          <w:highlight w:val="none"/>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_Toc6059 </w:instrText>
      </w:r>
      <w:r>
        <w:rPr>
          <w:rFonts w:hint="eastAsia" w:ascii="宋体" w:hAnsi="宋体" w:eastAsia="宋体" w:cs="宋体"/>
          <w:color w:val="auto"/>
          <w:szCs w:val="21"/>
          <w:highlight w:val="none"/>
        </w:rPr>
        <w:fldChar w:fldCharType="separate"/>
      </w:r>
      <w:r>
        <w:rPr>
          <w:rFonts w:hint="eastAsia" w:ascii="宋体" w:hAnsi="宋体" w:eastAsia="宋体" w:cs="宋体"/>
          <w:color w:val="auto"/>
          <w:szCs w:val="24"/>
          <w:highlight w:val="none"/>
          <w:lang w:val="en-GB" w:eastAsia="zh-CN"/>
        </w:rPr>
        <w:t>十二、 监狱企业证明材料</w:t>
      </w:r>
      <w:r>
        <w:rPr>
          <w:rFonts w:hint="eastAsia" w:ascii="宋体" w:hAnsi="宋体" w:eastAsia="宋体" w:cs="宋体"/>
          <w:color w:val="auto"/>
          <w:szCs w:val="24"/>
          <w:highlight w:val="none"/>
          <w:lang w:val="en-US" w:eastAsia="zh-CN"/>
        </w:rPr>
        <w:t>（如有）</w:t>
      </w:r>
      <w:r>
        <w:rPr>
          <w:rFonts w:hint="eastAsia" w:ascii="宋体" w:hAnsi="宋体" w:eastAsia="宋体" w:cs="宋体"/>
          <w:color w:val="auto"/>
          <w:highlight w:val="none"/>
        </w:rPr>
        <w:tab/>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PAGEREF _Toc6059 \h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111</w:t>
      </w:r>
      <w:r>
        <w:rPr>
          <w:rFonts w:hint="eastAsia" w:ascii="宋体" w:hAnsi="宋体" w:eastAsia="宋体" w:cs="宋体"/>
          <w:color w:val="auto"/>
          <w:highlight w:val="none"/>
        </w:rPr>
        <w:fldChar w:fldCharType="end"/>
      </w:r>
      <w:r>
        <w:rPr>
          <w:rFonts w:hint="eastAsia" w:ascii="宋体" w:hAnsi="宋体" w:eastAsia="宋体" w:cs="宋体"/>
          <w:color w:val="auto"/>
          <w:szCs w:val="21"/>
          <w:highlight w:val="none"/>
        </w:rPr>
        <w:fldChar w:fldCharType="end"/>
      </w:r>
    </w:p>
    <w:p w14:paraId="5BD7C57F">
      <w:pPr>
        <w:pStyle w:val="29"/>
        <w:tabs>
          <w:tab w:val="right" w:leader="dot" w:pos="9072"/>
        </w:tabs>
        <w:rPr>
          <w:rFonts w:hint="eastAsia" w:ascii="宋体" w:hAnsi="宋体" w:eastAsia="宋体" w:cs="宋体"/>
          <w:color w:val="auto"/>
          <w:highlight w:val="none"/>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_Toc6270 </w:instrText>
      </w:r>
      <w:r>
        <w:rPr>
          <w:rFonts w:hint="eastAsia" w:ascii="宋体" w:hAnsi="宋体" w:eastAsia="宋体" w:cs="宋体"/>
          <w:color w:val="auto"/>
          <w:szCs w:val="21"/>
          <w:highlight w:val="none"/>
        </w:rPr>
        <w:fldChar w:fldCharType="separate"/>
      </w:r>
      <w:r>
        <w:rPr>
          <w:rFonts w:hint="eastAsia" w:ascii="宋体" w:hAnsi="宋体" w:eastAsia="宋体" w:cs="宋体"/>
          <w:color w:val="auto"/>
          <w:szCs w:val="24"/>
          <w:highlight w:val="none"/>
          <w:lang w:val="en-GB"/>
        </w:rPr>
        <w:t xml:space="preserve">十三、 </w:t>
      </w:r>
      <w:r>
        <w:rPr>
          <w:rFonts w:hint="eastAsia" w:ascii="宋体" w:hAnsi="宋体" w:eastAsia="宋体" w:cs="宋体"/>
          <w:color w:val="auto"/>
          <w:szCs w:val="24"/>
          <w:highlight w:val="none"/>
          <w:lang w:val="en-GB" w:eastAsia="zh-CN"/>
        </w:rPr>
        <w:t>节能产品、环境标志产品明细表</w:t>
      </w:r>
      <w:r>
        <w:rPr>
          <w:rFonts w:hint="eastAsia" w:ascii="宋体" w:hAnsi="宋体" w:eastAsia="宋体" w:cs="宋体"/>
          <w:color w:val="auto"/>
          <w:szCs w:val="24"/>
          <w:highlight w:val="none"/>
          <w:lang w:val="en-US" w:eastAsia="zh-CN"/>
        </w:rPr>
        <w:t>（如有）</w:t>
      </w:r>
      <w:r>
        <w:rPr>
          <w:rFonts w:hint="eastAsia" w:ascii="宋体" w:hAnsi="宋体" w:eastAsia="宋体" w:cs="宋体"/>
          <w:color w:val="auto"/>
          <w:highlight w:val="none"/>
        </w:rPr>
        <w:tab/>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PAGEREF _Toc6270 \h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112</w:t>
      </w:r>
      <w:r>
        <w:rPr>
          <w:rFonts w:hint="eastAsia" w:ascii="宋体" w:hAnsi="宋体" w:eastAsia="宋体" w:cs="宋体"/>
          <w:color w:val="auto"/>
          <w:highlight w:val="none"/>
        </w:rPr>
        <w:fldChar w:fldCharType="end"/>
      </w:r>
      <w:r>
        <w:rPr>
          <w:rFonts w:hint="eastAsia" w:ascii="宋体" w:hAnsi="宋体" w:eastAsia="宋体" w:cs="宋体"/>
          <w:color w:val="auto"/>
          <w:szCs w:val="21"/>
          <w:highlight w:val="none"/>
        </w:rPr>
        <w:fldChar w:fldCharType="end"/>
      </w:r>
    </w:p>
    <w:p w14:paraId="348BD193">
      <w:pPr>
        <w:pStyle w:val="29"/>
        <w:tabs>
          <w:tab w:val="right" w:leader="dot" w:pos="9072"/>
        </w:tabs>
        <w:rPr>
          <w:rFonts w:hint="eastAsia" w:ascii="宋体" w:hAnsi="宋体" w:eastAsia="宋体" w:cs="宋体"/>
          <w:color w:val="auto"/>
          <w:highlight w:val="none"/>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_Toc20684 </w:instrText>
      </w:r>
      <w:r>
        <w:rPr>
          <w:rFonts w:hint="eastAsia" w:ascii="宋体" w:hAnsi="宋体" w:eastAsia="宋体" w:cs="宋体"/>
          <w:color w:val="auto"/>
          <w:szCs w:val="21"/>
          <w:highlight w:val="none"/>
        </w:rPr>
        <w:fldChar w:fldCharType="separate"/>
      </w:r>
      <w:r>
        <w:rPr>
          <w:rFonts w:hint="eastAsia" w:ascii="宋体" w:hAnsi="宋体" w:eastAsia="宋体" w:cs="宋体"/>
          <w:color w:val="auto"/>
          <w:szCs w:val="24"/>
          <w:highlight w:val="none"/>
          <w:lang w:val="en-US" w:eastAsia="zh-CN"/>
        </w:rPr>
        <w:t>十四、 其他资料</w:t>
      </w:r>
      <w:r>
        <w:rPr>
          <w:rFonts w:hint="eastAsia" w:ascii="宋体" w:hAnsi="宋体" w:eastAsia="宋体" w:cs="宋体"/>
          <w:color w:val="auto"/>
          <w:highlight w:val="none"/>
        </w:rPr>
        <w:tab/>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PAGEREF _Toc20684 \h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114</w:t>
      </w:r>
      <w:r>
        <w:rPr>
          <w:rFonts w:hint="eastAsia" w:ascii="宋体" w:hAnsi="宋体" w:eastAsia="宋体" w:cs="宋体"/>
          <w:color w:val="auto"/>
          <w:highlight w:val="none"/>
        </w:rPr>
        <w:fldChar w:fldCharType="end"/>
      </w:r>
      <w:r>
        <w:rPr>
          <w:rFonts w:hint="eastAsia" w:ascii="宋体" w:hAnsi="宋体" w:eastAsia="宋体" w:cs="宋体"/>
          <w:color w:val="auto"/>
          <w:szCs w:val="21"/>
          <w:highlight w:val="none"/>
        </w:rPr>
        <w:fldChar w:fldCharType="end"/>
      </w:r>
    </w:p>
    <w:p w14:paraId="7702771D">
      <w:pPr>
        <w:keepNext w:val="0"/>
        <w:keepLines w:val="0"/>
        <w:pageBreakBefore w:val="0"/>
        <w:widowControl w:val="0"/>
        <w:kinsoku/>
        <w:wordWrap/>
        <w:overflowPunct/>
        <w:topLinePunct w:val="0"/>
        <w:autoSpaceDE/>
        <w:autoSpaceDN/>
        <w:bidi w:val="0"/>
        <w:adjustRightInd/>
        <w:snapToGrid/>
        <w:spacing w:line="360" w:lineRule="auto"/>
        <w:jc w:val="righ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Cs w:val="21"/>
          <w:highlight w:val="none"/>
        </w:rPr>
        <w:fldChar w:fldCharType="end"/>
      </w:r>
    </w:p>
    <w:p w14:paraId="6C9D72AB">
      <w:pPr>
        <w:pStyle w:val="4"/>
        <w:pageBreakBefore w:val="0"/>
        <w:kinsoku/>
        <w:overflowPunct/>
        <w:bidi w:val="0"/>
        <w:spacing w:line="360" w:lineRule="auto"/>
        <w:rPr>
          <w:rFonts w:hint="eastAsia" w:ascii="宋体" w:hAnsi="宋体" w:eastAsia="宋体" w:cs="宋体"/>
          <w:color w:val="auto"/>
          <w:sz w:val="32"/>
          <w:szCs w:val="32"/>
          <w:highlight w:val="none"/>
          <w:lang w:eastAsia="zh-CN"/>
        </w:rPr>
      </w:pPr>
      <w:r>
        <w:rPr>
          <w:rFonts w:hint="eastAsia" w:ascii="宋体" w:hAnsi="宋体" w:eastAsia="宋体" w:cs="宋体"/>
          <w:color w:val="auto"/>
          <w:sz w:val="32"/>
          <w:szCs w:val="32"/>
          <w:highlight w:val="none"/>
        </w:rPr>
        <w:br w:type="page"/>
      </w:r>
      <w:bookmarkStart w:id="2" w:name="_Toc31096"/>
      <w:bookmarkStart w:id="3" w:name="_Toc10455"/>
      <w:r>
        <w:rPr>
          <w:rFonts w:hint="eastAsia" w:ascii="宋体" w:hAnsi="宋体" w:eastAsia="宋体" w:cs="宋体"/>
          <w:color w:val="auto"/>
          <w:sz w:val="32"/>
          <w:szCs w:val="32"/>
          <w:highlight w:val="none"/>
        </w:rPr>
        <w:t>第</w:t>
      </w:r>
      <w:r>
        <w:rPr>
          <w:rFonts w:hint="eastAsia" w:ascii="宋体" w:hAnsi="宋体" w:eastAsia="宋体" w:cs="宋体"/>
          <w:color w:val="auto"/>
          <w:sz w:val="32"/>
          <w:szCs w:val="32"/>
          <w:highlight w:val="none"/>
          <w:lang w:eastAsia="zh-CN"/>
        </w:rPr>
        <w:t>一</w:t>
      </w:r>
      <w:r>
        <w:rPr>
          <w:rFonts w:hint="eastAsia" w:ascii="宋体" w:hAnsi="宋体" w:eastAsia="宋体" w:cs="宋体"/>
          <w:color w:val="auto"/>
          <w:sz w:val="32"/>
          <w:szCs w:val="32"/>
          <w:highlight w:val="none"/>
        </w:rPr>
        <w:t xml:space="preserve">章 </w:t>
      </w:r>
      <w:r>
        <w:rPr>
          <w:rFonts w:hint="eastAsia" w:ascii="宋体" w:hAnsi="宋体" w:eastAsia="宋体" w:cs="宋体"/>
          <w:color w:val="auto"/>
          <w:sz w:val="32"/>
          <w:szCs w:val="32"/>
          <w:highlight w:val="none"/>
          <w:lang w:eastAsia="zh-CN"/>
        </w:rPr>
        <w:t>投标邀请</w:t>
      </w:r>
      <w:bookmarkEnd w:id="2"/>
      <w:bookmarkEnd w:id="3"/>
    </w:p>
    <w:p w14:paraId="2ADD2089">
      <w:pPr>
        <w:keepNext w:val="0"/>
        <w:keepLines w:val="0"/>
        <w:pageBreakBefore w:val="0"/>
        <w:widowControl/>
        <w:kinsoku/>
        <w:overflowPunct/>
        <w:topLinePunct w:val="0"/>
        <w:bidi w:val="0"/>
        <w:adjustRightInd w:val="0"/>
        <w:snapToGrid w:val="0"/>
        <w:spacing w:line="360" w:lineRule="auto"/>
        <w:jc w:val="center"/>
        <w:textAlignment w:val="auto"/>
        <w:rPr>
          <w:rFonts w:hint="eastAsia" w:ascii="宋体" w:hAnsi="宋体" w:eastAsia="宋体" w:cs="宋体"/>
          <w:b/>
          <w:bCs w:val="0"/>
          <w:color w:val="auto"/>
          <w:kern w:val="0"/>
          <w:sz w:val="28"/>
          <w:szCs w:val="28"/>
          <w:highlight w:val="none"/>
        </w:rPr>
      </w:pPr>
      <w:bookmarkStart w:id="4" w:name="_Toc312133603"/>
      <w:r>
        <w:rPr>
          <w:rFonts w:hint="eastAsia" w:ascii="宋体" w:hAnsi="宋体" w:eastAsia="宋体" w:cs="宋体"/>
          <w:b/>
          <w:bCs w:val="0"/>
          <w:color w:val="auto"/>
          <w:kern w:val="0"/>
          <w:sz w:val="28"/>
          <w:szCs w:val="28"/>
          <w:highlight w:val="none"/>
          <w:lang w:val="en-US" w:eastAsia="zh-CN"/>
        </w:rPr>
        <w:t>河南省周口生态环境监测中心2026年监测能力建设项目-</w:t>
      </w:r>
      <w:r>
        <w:rPr>
          <w:rFonts w:hint="eastAsia" w:ascii="宋体" w:hAnsi="宋体" w:eastAsia="宋体" w:cs="宋体"/>
          <w:b/>
          <w:bCs w:val="0"/>
          <w:color w:val="auto"/>
          <w:kern w:val="0"/>
          <w:sz w:val="28"/>
          <w:szCs w:val="28"/>
          <w:highlight w:val="none"/>
        </w:rPr>
        <w:t>公开招标公告</w:t>
      </w:r>
    </w:p>
    <w:p w14:paraId="2CD4E045">
      <w:pPr>
        <w:pStyle w:val="5"/>
        <w:keepNext w:val="0"/>
        <w:keepLines w:val="0"/>
        <w:pageBreakBefore w:val="0"/>
        <w:widowControl/>
        <w:numPr>
          <w:ilvl w:val="0"/>
          <w:numId w:val="0"/>
        </w:numPr>
        <w:kinsoku/>
        <w:overflowPunct/>
        <w:topLinePunct w:val="0"/>
        <w:bidi w:val="0"/>
        <w:spacing w:before="0" w:after="0" w:line="360" w:lineRule="auto"/>
        <w:ind w:firstLine="422" w:firstLineChars="200"/>
        <w:jc w:val="left"/>
        <w:textAlignment w:val="auto"/>
        <w:rPr>
          <w:rFonts w:hint="eastAsia" w:ascii="宋体" w:hAnsi="宋体" w:eastAsia="宋体" w:cs="宋体"/>
          <w:bCs/>
          <w:color w:val="auto"/>
          <w:sz w:val="21"/>
          <w:szCs w:val="21"/>
          <w:highlight w:val="none"/>
          <w:shd w:val="clear" w:color="auto" w:fill="FFFFFF"/>
          <w:lang w:eastAsia="zh-CN"/>
        </w:rPr>
      </w:pPr>
      <w:bookmarkStart w:id="5" w:name="_Toc5687"/>
      <w:bookmarkStart w:id="6" w:name="_Toc6549"/>
      <w:bookmarkStart w:id="7" w:name="_Toc3676"/>
      <w:bookmarkStart w:id="8" w:name="_Toc22719"/>
      <w:bookmarkStart w:id="9" w:name="_Toc12701"/>
      <w:bookmarkStart w:id="10" w:name="_Toc14822"/>
      <w:bookmarkStart w:id="11" w:name="_Toc13979"/>
      <w:bookmarkStart w:id="12" w:name="_Toc22853"/>
      <w:bookmarkStart w:id="13" w:name="_Toc14490"/>
      <w:r>
        <w:rPr>
          <w:rFonts w:hint="eastAsia" w:ascii="宋体" w:hAnsi="宋体" w:eastAsia="宋体" w:cs="宋体"/>
          <w:bCs/>
          <w:color w:val="auto"/>
          <w:sz w:val="21"/>
          <w:szCs w:val="21"/>
          <w:highlight w:val="none"/>
          <w:shd w:val="clear" w:color="auto" w:fill="FFFFFF"/>
          <w:lang w:eastAsia="zh-CN"/>
        </w:rPr>
        <w:t>项目概况</w:t>
      </w:r>
      <w:bookmarkEnd w:id="5"/>
      <w:bookmarkEnd w:id="6"/>
      <w:bookmarkEnd w:id="7"/>
      <w:bookmarkEnd w:id="8"/>
      <w:bookmarkEnd w:id="9"/>
      <w:bookmarkEnd w:id="10"/>
      <w:bookmarkEnd w:id="11"/>
      <w:bookmarkEnd w:id="12"/>
      <w:bookmarkEnd w:id="13"/>
    </w:p>
    <w:p w14:paraId="2ED351A9">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河南省周口生态环境监测中心2026年监测能力建设项目招标项目的潜在投标人应在河南省公共资源交易中心（https://hnsggzyjy.henan.gov.cn/）获取招标文件，并于2026年04月28日09时00分（北京时间）前递交投标文件。</w:t>
      </w:r>
    </w:p>
    <w:p w14:paraId="214A2E5A">
      <w:pPr>
        <w:pStyle w:val="5"/>
        <w:keepNext w:val="0"/>
        <w:keepLines w:val="0"/>
        <w:pageBreakBefore w:val="0"/>
        <w:widowControl/>
        <w:numPr>
          <w:ilvl w:val="0"/>
          <w:numId w:val="0"/>
        </w:numPr>
        <w:kinsoku/>
        <w:overflowPunct/>
        <w:topLinePunct w:val="0"/>
        <w:bidi w:val="0"/>
        <w:spacing w:before="0" w:after="0" w:line="360" w:lineRule="auto"/>
        <w:jc w:val="left"/>
        <w:textAlignment w:val="auto"/>
        <w:rPr>
          <w:rFonts w:hint="eastAsia" w:ascii="宋体" w:hAnsi="宋体" w:eastAsia="宋体" w:cs="宋体"/>
          <w:bCs/>
          <w:color w:val="auto"/>
          <w:sz w:val="21"/>
          <w:szCs w:val="21"/>
          <w:highlight w:val="none"/>
          <w:shd w:val="clear" w:color="auto" w:fill="FFFFFF"/>
          <w:lang w:eastAsia="zh-CN"/>
        </w:rPr>
      </w:pPr>
      <w:bookmarkStart w:id="14" w:name="_Toc23003"/>
      <w:bookmarkStart w:id="15" w:name="_Toc31249"/>
      <w:bookmarkStart w:id="16" w:name="_Toc26789"/>
      <w:bookmarkStart w:id="17" w:name="_Toc21078"/>
      <w:bookmarkStart w:id="18" w:name="_Toc14093"/>
      <w:bookmarkStart w:id="19" w:name="_Toc12664"/>
      <w:bookmarkStart w:id="20" w:name="_Toc18407"/>
      <w:bookmarkStart w:id="21" w:name="_Toc25507"/>
      <w:bookmarkStart w:id="22" w:name="_Toc12691"/>
      <w:bookmarkStart w:id="23" w:name="_Toc22447"/>
      <w:bookmarkStart w:id="24" w:name="_Toc16825"/>
      <w:r>
        <w:rPr>
          <w:rFonts w:hint="eastAsia" w:ascii="宋体" w:hAnsi="宋体" w:eastAsia="宋体" w:cs="宋体"/>
          <w:bCs/>
          <w:color w:val="auto"/>
          <w:sz w:val="21"/>
          <w:szCs w:val="21"/>
          <w:highlight w:val="none"/>
          <w:shd w:val="clear" w:color="auto" w:fill="FFFFFF"/>
          <w:lang w:eastAsia="zh-CN"/>
        </w:rPr>
        <w:t>一、项目基本情况</w:t>
      </w:r>
      <w:bookmarkEnd w:id="14"/>
      <w:bookmarkEnd w:id="15"/>
      <w:bookmarkEnd w:id="16"/>
      <w:bookmarkEnd w:id="17"/>
      <w:bookmarkEnd w:id="18"/>
      <w:bookmarkEnd w:id="19"/>
      <w:bookmarkEnd w:id="20"/>
      <w:bookmarkEnd w:id="21"/>
      <w:bookmarkEnd w:id="22"/>
      <w:bookmarkEnd w:id="23"/>
      <w:bookmarkEnd w:id="24"/>
    </w:p>
    <w:p w14:paraId="0C91F1C9">
      <w:pPr>
        <w:keepNext w:val="0"/>
        <w:keepLines w:val="0"/>
        <w:pageBreakBefore w:val="0"/>
        <w:widowControl/>
        <w:numPr>
          <w:ilvl w:val="0"/>
          <w:numId w:val="0"/>
        </w:numPr>
        <w:tabs>
          <w:tab w:val="left" w:pos="840"/>
        </w:tabs>
        <w:kinsoku/>
        <w:wordWrap/>
        <w:overflowPunct/>
        <w:topLinePunct w:val="0"/>
        <w:autoSpaceDE/>
        <w:autoSpaceDN/>
        <w:bidi w:val="0"/>
        <w:adjustRightInd/>
        <w:snapToGrid/>
        <w:spacing w:before="0" w:after="0" w:line="360" w:lineRule="auto"/>
        <w:ind w:firstLine="420" w:firstLineChars="200"/>
        <w:jc w:val="left"/>
        <w:textAlignment w:val="auto"/>
        <w:outlineLvl w:val="9"/>
        <w:rPr>
          <w:rFonts w:hint="eastAsia" w:ascii="宋体" w:hAnsi="宋体" w:eastAsia="宋体" w:cs="宋体"/>
          <w:b w:val="0"/>
          <w:bCs w:val="0"/>
          <w:color w:val="auto"/>
          <w:sz w:val="21"/>
          <w:szCs w:val="21"/>
          <w:highlight w:val="none"/>
          <w:shd w:val="clear" w:color="auto" w:fill="FFFFFF"/>
          <w:lang w:val="en-US" w:eastAsia="zh-CN"/>
        </w:rPr>
      </w:pPr>
      <w:r>
        <w:rPr>
          <w:rFonts w:hint="eastAsia" w:ascii="宋体" w:hAnsi="宋体" w:eastAsia="宋体" w:cs="宋体"/>
          <w:b w:val="0"/>
          <w:bCs w:val="0"/>
          <w:color w:val="auto"/>
          <w:sz w:val="21"/>
          <w:szCs w:val="21"/>
          <w:highlight w:val="none"/>
          <w:shd w:val="clear" w:color="auto" w:fill="FFFFFF"/>
          <w:lang w:val="en-US" w:eastAsia="zh-CN"/>
        </w:rPr>
        <w:t>1、</w:t>
      </w:r>
      <w:r>
        <w:rPr>
          <w:rFonts w:hint="eastAsia" w:ascii="宋体" w:hAnsi="宋体" w:eastAsia="宋体" w:cs="宋体"/>
          <w:b w:val="0"/>
          <w:bCs w:val="0"/>
          <w:color w:val="auto"/>
          <w:sz w:val="21"/>
          <w:szCs w:val="21"/>
          <w:highlight w:val="none"/>
          <w:shd w:val="clear" w:color="auto" w:fill="FFFFFF"/>
        </w:rPr>
        <w:t>项目编号：豫财招标采购-2026-297</w:t>
      </w:r>
    </w:p>
    <w:p w14:paraId="23B1312C">
      <w:pPr>
        <w:keepNext w:val="0"/>
        <w:keepLines w:val="0"/>
        <w:pageBreakBefore w:val="0"/>
        <w:widowControl/>
        <w:numPr>
          <w:ilvl w:val="0"/>
          <w:numId w:val="0"/>
        </w:numPr>
        <w:tabs>
          <w:tab w:val="left" w:pos="840"/>
        </w:tabs>
        <w:kinsoku/>
        <w:wordWrap/>
        <w:overflowPunct/>
        <w:topLinePunct w:val="0"/>
        <w:autoSpaceDE/>
        <w:autoSpaceDN/>
        <w:bidi w:val="0"/>
        <w:adjustRightInd/>
        <w:snapToGrid/>
        <w:spacing w:before="0" w:after="0" w:line="360" w:lineRule="auto"/>
        <w:ind w:firstLine="420" w:firstLineChars="200"/>
        <w:jc w:val="left"/>
        <w:textAlignment w:val="auto"/>
        <w:outlineLvl w:val="9"/>
        <w:rPr>
          <w:rFonts w:hint="eastAsia" w:ascii="宋体" w:hAnsi="宋体" w:eastAsia="宋体" w:cs="宋体"/>
          <w:b w:val="0"/>
          <w:bCs w:val="0"/>
          <w:color w:val="auto"/>
          <w:sz w:val="21"/>
          <w:szCs w:val="21"/>
          <w:highlight w:val="none"/>
          <w:shd w:val="clear" w:color="auto" w:fill="FFFFFF"/>
          <w:lang w:eastAsia="zh-CN"/>
        </w:rPr>
      </w:pPr>
      <w:r>
        <w:rPr>
          <w:rFonts w:hint="eastAsia" w:ascii="宋体" w:hAnsi="宋体" w:eastAsia="宋体" w:cs="宋体"/>
          <w:b w:val="0"/>
          <w:bCs w:val="0"/>
          <w:color w:val="auto"/>
          <w:sz w:val="21"/>
          <w:szCs w:val="21"/>
          <w:highlight w:val="none"/>
          <w:shd w:val="clear" w:color="auto" w:fill="FFFFFF"/>
          <w:lang w:val="en-US" w:eastAsia="zh-CN"/>
        </w:rPr>
        <w:t>2、</w:t>
      </w:r>
      <w:r>
        <w:rPr>
          <w:rFonts w:hint="eastAsia" w:ascii="宋体" w:hAnsi="宋体" w:eastAsia="宋体" w:cs="宋体"/>
          <w:b w:val="0"/>
          <w:bCs w:val="0"/>
          <w:color w:val="auto"/>
          <w:sz w:val="21"/>
          <w:szCs w:val="21"/>
          <w:highlight w:val="none"/>
          <w:shd w:val="clear" w:color="auto" w:fill="FFFFFF"/>
        </w:rPr>
        <w:t>项目名称</w:t>
      </w:r>
      <w:r>
        <w:rPr>
          <w:rFonts w:hint="eastAsia" w:ascii="宋体" w:hAnsi="宋体" w:eastAsia="宋体" w:cs="宋体"/>
          <w:b w:val="0"/>
          <w:bCs w:val="0"/>
          <w:color w:val="auto"/>
          <w:sz w:val="21"/>
          <w:szCs w:val="21"/>
          <w:highlight w:val="none"/>
          <w:shd w:val="clear" w:color="auto" w:fill="FFFFFF"/>
          <w:lang w:eastAsia="zh-CN"/>
        </w:rPr>
        <w:t>：河南省周口生态环境监测中心2026年监测能力建设项目</w:t>
      </w:r>
    </w:p>
    <w:p w14:paraId="3ACBA521">
      <w:pPr>
        <w:keepNext w:val="0"/>
        <w:keepLines w:val="0"/>
        <w:pageBreakBefore w:val="0"/>
        <w:widowControl/>
        <w:numPr>
          <w:ilvl w:val="0"/>
          <w:numId w:val="0"/>
        </w:numPr>
        <w:tabs>
          <w:tab w:val="left" w:pos="840"/>
        </w:tabs>
        <w:kinsoku/>
        <w:wordWrap/>
        <w:overflowPunct/>
        <w:topLinePunct w:val="0"/>
        <w:autoSpaceDE/>
        <w:autoSpaceDN/>
        <w:bidi w:val="0"/>
        <w:adjustRightInd/>
        <w:snapToGrid/>
        <w:spacing w:before="0" w:after="0" w:line="360" w:lineRule="auto"/>
        <w:ind w:firstLine="420" w:firstLineChars="200"/>
        <w:jc w:val="left"/>
        <w:textAlignment w:val="auto"/>
        <w:outlineLvl w:val="9"/>
        <w:rPr>
          <w:rFonts w:hint="eastAsia" w:ascii="宋体" w:hAnsi="宋体" w:eastAsia="宋体" w:cs="宋体"/>
          <w:b w:val="0"/>
          <w:bCs w:val="0"/>
          <w:color w:val="auto"/>
          <w:sz w:val="21"/>
          <w:szCs w:val="21"/>
          <w:highlight w:val="none"/>
          <w:shd w:val="clear" w:color="auto" w:fill="FFFFFF"/>
        </w:rPr>
      </w:pPr>
      <w:r>
        <w:rPr>
          <w:rFonts w:hint="eastAsia" w:ascii="宋体" w:hAnsi="宋体" w:eastAsia="宋体" w:cs="宋体"/>
          <w:b w:val="0"/>
          <w:bCs w:val="0"/>
          <w:color w:val="auto"/>
          <w:sz w:val="21"/>
          <w:szCs w:val="21"/>
          <w:highlight w:val="none"/>
          <w:shd w:val="clear" w:color="auto" w:fill="FFFFFF"/>
          <w:lang w:val="en-US" w:eastAsia="zh-CN"/>
        </w:rPr>
        <w:t>3</w:t>
      </w:r>
      <w:bookmarkStart w:id="25" w:name="_Toc26725"/>
      <w:r>
        <w:rPr>
          <w:rFonts w:hint="eastAsia" w:ascii="宋体" w:hAnsi="宋体" w:eastAsia="宋体" w:cs="宋体"/>
          <w:b w:val="0"/>
          <w:bCs w:val="0"/>
          <w:color w:val="auto"/>
          <w:sz w:val="21"/>
          <w:szCs w:val="21"/>
          <w:highlight w:val="none"/>
          <w:shd w:val="clear" w:color="auto" w:fill="FFFFFF"/>
          <w:lang w:val="en-US" w:eastAsia="zh-CN"/>
        </w:rPr>
        <w:t>、</w:t>
      </w:r>
      <w:r>
        <w:rPr>
          <w:rFonts w:hint="eastAsia" w:ascii="宋体" w:hAnsi="宋体" w:eastAsia="宋体" w:cs="宋体"/>
          <w:b w:val="0"/>
          <w:bCs w:val="0"/>
          <w:color w:val="auto"/>
          <w:sz w:val="21"/>
          <w:szCs w:val="21"/>
          <w:highlight w:val="none"/>
          <w:shd w:val="clear" w:color="auto" w:fill="FFFFFF"/>
          <w:lang w:eastAsia="zh-CN"/>
        </w:rPr>
        <w:t>采购方式</w:t>
      </w:r>
      <w:r>
        <w:rPr>
          <w:rFonts w:hint="eastAsia" w:ascii="宋体" w:hAnsi="宋体" w:eastAsia="宋体" w:cs="宋体"/>
          <w:b w:val="0"/>
          <w:bCs w:val="0"/>
          <w:color w:val="auto"/>
          <w:sz w:val="21"/>
          <w:szCs w:val="21"/>
          <w:highlight w:val="none"/>
          <w:shd w:val="clear" w:color="auto" w:fill="FFFFFF"/>
          <w:lang w:val="en-US" w:eastAsia="zh-CN"/>
        </w:rPr>
        <w:t>：</w:t>
      </w:r>
      <w:r>
        <w:rPr>
          <w:rFonts w:hint="eastAsia" w:ascii="宋体" w:hAnsi="宋体" w:eastAsia="宋体" w:cs="宋体"/>
          <w:b w:val="0"/>
          <w:bCs w:val="0"/>
          <w:color w:val="auto"/>
          <w:sz w:val="21"/>
          <w:szCs w:val="21"/>
          <w:highlight w:val="none"/>
          <w:shd w:val="clear" w:color="auto" w:fill="FFFFFF"/>
          <w:lang w:eastAsia="zh-CN"/>
        </w:rPr>
        <w:t>公开招标</w:t>
      </w:r>
    </w:p>
    <w:p w14:paraId="7A9FDBBA">
      <w:pPr>
        <w:keepNext w:val="0"/>
        <w:keepLines w:val="0"/>
        <w:pageBreakBefore w:val="0"/>
        <w:kinsoku/>
        <w:wordWrap/>
        <w:overflowPunct/>
        <w:topLinePunct w:val="0"/>
        <w:autoSpaceDE/>
        <w:autoSpaceDN/>
        <w:bidi w:val="0"/>
        <w:adjustRightInd/>
        <w:snapToGrid/>
        <w:spacing w:line="360" w:lineRule="auto"/>
        <w:ind w:firstLine="420" w:firstLineChars="200"/>
        <w:textAlignment w:val="auto"/>
        <w:outlineLvl w:val="9"/>
        <w:rPr>
          <w:rFonts w:hint="eastAsia" w:ascii="宋体" w:hAnsi="宋体" w:eastAsia="宋体" w:cs="宋体"/>
          <w:b w:val="0"/>
          <w:bCs w:val="0"/>
          <w:color w:val="auto"/>
          <w:sz w:val="21"/>
          <w:szCs w:val="21"/>
          <w:highlight w:val="none"/>
          <w:shd w:val="clear" w:color="auto" w:fill="FFFFFF"/>
          <w:lang w:val="en-US" w:eastAsia="zh-CN"/>
        </w:rPr>
      </w:pPr>
      <w:r>
        <w:rPr>
          <w:rFonts w:hint="eastAsia" w:ascii="宋体" w:hAnsi="宋体" w:eastAsia="宋体" w:cs="宋体"/>
          <w:b w:val="0"/>
          <w:bCs w:val="0"/>
          <w:color w:val="auto"/>
          <w:sz w:val="21"/>
          <w:szCs w:val="21"/>
          <w:highlight w:val="none"/>
          <w:shd w:val="clear" w:color="auto" w:fill="FFFFFF"/>
          <w:lang w:val="en-US" w:eastAsia="zh-CN"/>
        </w:rPr>
        <w:t>4、</w:t>
      </w:r>
      <w:r>
        <w:rPr>
          <w:rFonts w:hint="eastAsia" w:ascii="宋体" w:hAnsi="宋体" w:eastAsia="宋体" w:cs="宋体"/>
          <w:b w:val="0"/>
          <w:bCs w:val="0"/>
          <w:color w:val="auto"/>
          <w:sz w:val="21"/>
          <w:szCs w:val="21"/>
          <w:highlight w:val="none"/>
          <w:shd w:val="clear" w:color="auto" w:fill="FFFFFF"/>
        </w:rPr>
        <w:t>预算金额</w:t>
      </w:r>
      <w:r>
        <w:rPr>
          <w:rFonts w:hint="eastAsia" w:ascii="宋体" w:hAnsi="宋体" w:eastAsia="宋体" w:cs="宋体"/>
          <w:b w:val="0"/>
          <w:bCs w:val="0"/>
          <w:color w:val="auto"/>
          <w:sz w:val="21"/>
          <w:szCs w:val="21"/>
          <w:highlight w:val="none"/>
          <w:shd w:val="clear" w:color="auto" w:fill="FFFFFF"/>
          <w:lang w:val="en-US" w:eastAsia="zh-CN"/>
        </w:rPr>
        <w:t>：1662000.00元</w:t>
      </w:r>
    </w:p>
    <w:p w14:paraId="4501048F">
      <w:pPr>
        <w:pStyle w:val="70"/>
        <w:keepNext w:val="0"/>
        <w:keepLines w:val="0"/>
        <w:pageBreakBefore w:val="0"/>
        <w:kinsoku/>
        <w:wordWrap/>
        <w:overflowPunct/>
        <w:topLinePunct w:val="0"/>
        <w:bidi w:val="0"/>
        <w:spacing w:line="360" w:lineRule="auto"/>
        <w:textAlignment w:val="auto"/>
        <w:outlineLvl w:val="9"/>
        <w:rPr>
          <w:rFonts w:hint="eastAsia" w:ascii="宋体" w:hAnsi="宋体" w:eastAsia="宋体" w:cs="宋体"/>
          <w:b w:val="0"/>
          <w:bCs w:val="0"/>
          <w:color w:val="auto"/>
          <w:sz w:val="21"/>
          <w:szCs w:val="21"/>
          <w:highlight w:val="none"/>
          <w:shd w:val="clear" w:color="auto" w:fill="FFFFFF"/>
          <w:lang w:val="en-US" w:eastAsia="zh-CN"/>
        </w:rPr>
      </w:pPr>
      <w:r>
        <w:rPr>
          <w:rFonts w:hint="eastAsia" w:ascii="宋体" w:hAnsi="宋体" w:eastAsia="宋体" w:cs="宋体"/>
          <w:b w:val="0"/>
          <w:bCs w:val="0"/>
          <w:color w:val="auto"/>
          <w:sz w:val="21"/>
          <w:szCs w:val="21"/>
          <w:highlight w:val="none"/>
          <w:shd w:val="clear" w:color="auto" w:fill="FFFFFF"/>
          <w:lang w:val="en-US" w:eastAsia="zh-CN"/>
        </w:rPr>
        <w:t xml:space="preserve">       最高限价：1662000.00元</w:t>
      </w:r>
    </w:p>
    <w:tbl>
      <w:tblPr>
        <w:tblStyle w:val="37"/>
        <w:tblW w:w="463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6"/>
        <w:gridCol w:w="1625"/>
        <w:gridCol w:w="3413"/>
        <w:gridCol w:w="1475"/>
        <w:gridCol w:w="1394"/>
      </w:tblGrid>
      <w:tr w14:paraId="76A566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0" w:hRule="atLeast"/>
          <w:jc w:val="center"/>
        </w:trPr>
        <w:tc>
          <w:tcPr>
            <w:tcW w:w="696" w:type="dxa"/>
            <w:noWrap w:val="0"/>
            <w:vAlign w:val="center"/>
          </w:tcPr>
          <w:p w14:paraId="602F6D85">
            <w:pPr>
              <w:pStyle w:val="70"/>
              <w:keepNext w:val="0"/>
              <w:keepLines w:val="0"/>
              <w:pageBreakBefore w:val="0"/>
              <w:kinsoku/>
              <w:wordWrap/>
              <w:overflowPunct/>
              <w:topLinePunct w:val="0"/>
              <w:bidi w:val="0"/>
              <w:spacing w:line="360" w:lineRule="auto"/>
              <w:jc w:val="center"/>
              <w:textAlignment w:val="auto"/>
              <w:outlineLvl w:val="9"/>
              <w:rPr>
                <w:rFonts w:hint="eastAsia" w:ascii="宋体" w:hAnsi="宋体" w:eastAsia="宋体" w:cs="宋体"/>
                <w:b w:val="0"/>
                <w:bCs w:val="0"/>
                <w:color w:val="auto"/>
                <w:sz w:val="21"/>
                <w:szCs w:val="21"/>
                <w:highlight w:val="none"/>
                <w:shd w:val="clear" w:color="auto" w:fill="FFFFFF"/>
                <w:vertAlign w:val="baseline"/>
                <w:lang w:val="en-US" w:eastAsia="zh-CN"/>
              </w:rPr>
            </w:pPr>
            <w:r>
              <w:rPr>
                <w:rFonts w:hint="eastAsia" w:ascii="宋体" w:hAnsi="宋体" w:eastAsia="宋体" w:cs="宋体"/>
                <w:b w:val="0"/>
                <w:bCs w:val="0"/>
                <w:color w:val="auto"/>
                <w:sz w:val="21"/>
                <w:szCs w:val="21"/>
                <w:highlight w:val="none"/>
                <w:shd w:val="clear" w:color="auto" w:fill="FFFFFF"/>
                <w:vertAlign w:val="baseline"/>
                <w:lang w:val="en-US" w:eastAsia="zh-CN"/>
              </w:rPr>
              <w:t>序号</w:t>
            </w:r>
          </w:p>
        </w:tc>
        <w:tc>
          <w:tcPr>
            <w:tcW w:w="1625" w:type="dxa"/>
            <w:noWrap w:val="0"/>
            <w:vAlign w:val="center"/>
          </w:tcPr>
          <w:p w14:paraId="15B96441">
            <w:pPr>
              <w:pStyle w:val="70"/>
              <w:keepNext w:val="0"/>
              <w:keepLines w:val="0"/>
              <w:pageBreakBefore w:val="0"/>
              <w:kinsoku/>
              <w:wordWrap/>
              <w:overflowPunct/>
              <w:topLinePunct w:val="0"/>
              <w:bidi w:val="0"/>
              <w:spacing w:line="360" w:lineRule="auto"/>
              <w:jc w:val="center"/>
              <w:textAlignment w:val="auto"/>
              <w:outlineLvl w:val="9"/>
              <w:rPr>
                <w:rFonts w:hint="eastAsia" w:ascii="宋体" w:hAnsi="宋体" w:eastAsia="宋体" w:cs="宋体"/>
                <w:b w:val="0"/>
                <w:bCs w:val="0"/>
                <w:color w:val="auto"/>
                <w:sz w:val="21"/>
                <w:szCs w:val="21"/>
                <w:highlight w:val="none"/>
                <w:shd w:val="clear" w:color="auto" w:fill="FFFFFF"/>
                <w:vertAlign w:val="baseline"/>
                <w:lang w:val="en-US" w:eastAsia="zh-CN"/>
              </w:rPr>
            </w:pPr>
            <w:r>
              <w:rPr>
                <w:rFonts w:hint="eastAsia" w:ascii="宋体" w:hAnsi="宋体" w:eastAsia="宋体" w:cs="宋体"/>
                <w:b w:val="0"/>
                <w:bCs w:val="0"/>
                <w:color w:val="auto"/>
                <w:sz w:val="21"/>
                <w:szCs w:val="21"/>
                <w:highlight w:val="none"/>
                <w:shd w:val="clear" w:color="auto" w:fill="FFFFFF"/>
                <w:vertAlign w:val="baseline"/>
                <w:lang w:val="en-US" w:eastAsia="zh-CN"/>
              </w:rPr>
              <w:t>包号</w:t>
            </w:r>
          </w:p>
        </w:tc>
        <w:tc>
          <w:tcPr>
            <w:tcW w:w="3413" w:type="dxa"/>
            <w:noWrap w:val="0"/>
            <w:vAlign w:val="center"/>
          </w:tcPr>
          <w:p w14:paraId="002F33B3">
            <w:pPr>
              <w:pStyle w:val="70"/>
              <w:keepNext w:val="0"/>
              <w:keepLines w:val="0"/>
              <w:pageBreakBefore w:val="0"/>
              <w:kinsoku/>
              <w:wordWrap/>
              <w:overflowPunct/>
              <w:topLinePunct w:val="0"/>
              <w:bidi w:val="0"/>
              <w:spacing w:line="360" w:lineRule="auto"/>
              <w:jc w:val="center"/>
              <w:textAlignment w:val="auto"/>
              <w:outlineLvl w:val="9"/>
              <w:rPr>
                <w:rFonts w:hint="eastAsia" w:ascii="宋体" w:hAnsi="宋体" w:eastAsia="宋体" w:cs="宋体"/>
                <w:b w:val="0"/>
                <w:bCs w:val="0"/>
                <w:color w:val="auto"/>
                <w:sz w:val="21"/>
                <w:szCs w:val="21"/>
                <w:highlight w:val="none"/>
                <w:shd w:val="clear" w:color="auto" w:fill="FFFFFF"/>
                <w:vertAlign w:val="baseline"/>
                <w:lang w:val="en-US" w:eastAsia="zh-CN"/>
              </w:rPr>
            </w:pPr>
            <w:r>
              <w:rPr>
                <w:rFonts w:hint="eastAsia" w:ascii="宋体" w:hAnsi="宋体" w:eastAsia="宋体" w:cs="宋体"/>
                <w:b w:val="0"/>
                <w:bCs w:val="0"/>
                <w:color w:val="auto"/>
                <w:sz w:val="21"/>
                <w:szCs w:val="21"/>
                <w:highlight w:val="none"/>
                <w:shd w:val="clear" w:color="auto" w:fill="FFFFFF"/>
                <w:vertAlign w:val="baseline"/>
                <w:lang w:val="en-US" w:eastAsia="zh-CN"/>
              </w:rPr>
              <w:t>包名称</w:t>
            </w:r>
          </w:p>
        </w:tc>
        <w:tc>
          <w:tcPr>
            <w:tcW w:w="1475" w:type="dxa"/>
            <w:noWrap w:val="0"/>
            <w:vAlign w:val="center"/>
          </w:tcPr>
          <w:p w14:paraId="3B1BF8A1">
            <w:pPr>
              <w:pStyle w:val="70"/>
              <w:keepNext w:val="0"/>
              <w:keepLines w:val="0"/>
              <w:pageBreakBefore w:val="0"/>
              <w:kinsoku/>
              <w:wordWrap/>
              <w:overflowPunct/>
              <w:topLinePunct w:val="0"/>
              <w:bidi w:val="0"/>
              <w:spacing w:line="360" w:lineRule="auto"/>
              <w:jc w:val="center"/>
              <w:textAlignment w:val="auto"/>
              <w:outlineLvl w:val="9"/>
              <w:rPr>
                <w:rFonts w:hint="eastAsia" w:ascii="宋体" w:hAnsi="宋体" w:eastAsia="宋体" w:cs="宋体"/>
                <w:b w:val="0"/>
                <w:bCs w:val="0"/>
                <w:color w:val="auto"/>
                <w:sz w:val="21"/>
                <w:szCs w:val="21"/>
                <w:highlight w:val="none"/>
                <w:shd w:val="clear" w:color="auto" w:fill="FFFFFF"/>
                <w:vertAlign w:val="baseline"/>
                <w:lang w:val="en-US" w:eastAsia="zh-CN"/>
              </w:rPr>
            </w:pPr>
            <w:r>
              <w:rPr>
                <w:rFonts w:hint="eastAsia" w:ascii="宋体" w:hAnsi="宋体" w:eastAsia="宋体" w:cs="宋体"/>
                <w:b w:val="0"/>
                <w:bCs w:val="0"/>
                <w:color w:val="auto"/>
                <w:sz w:val="21"/>
                <w:szCs w:val="21"/>
                <w:highlight w:val="none"/>
                <w:shd w:val="clear" w:color="auto" w:fill="FFFFFF"/>
                <w:vertAlign w:val="baseline"/>
                <w:lang w:val="en-US" w:eastAsia="zh-CN"/>
              </w:rPr>
              <w:t>包预算（元）</w:t>
            </w:r>
          </w:p>
        </w:tc>
        <w:tc>
          <w:tcPr>
            <w:tcW w:w="1394" w:type="dxa"/>
            <w:noWrap w:val="0"/>
            <w:vAlign w:val="center"/>
          </w:tcPr>
          <w:p w14:paraId="7E87228A">
            <w:pPr>
              <w:pStyle w:val="70"/>
              <w:keepNext w:val="0"/>
              <w:keepLines w:val="0"/>
              <w:pageBreakBefore w:val="0"/>
              <w:kinsoku/>
              <w:wordWrap/>
              <w:overflowPunct/>
              <w:topLinePunct w:val="0"/>
              <w:bidi w:val="0"/>
              <w:spacing w:line="360" w:lineRule="auto"/>
              <w:jc w:val="center"/>
              <w:textAlignment w:val="auto"/>
              <w:outlineLvl w:val="9"/>
              <w:rPr>
                <w:rFonts w:hint="eastAsia" w:ascii="宋体" w:hAnsi="宋体" w:eastAsia="宋体" w:cs="宋体"/>
                <w:b w:val="0"/>
                <w:bCs w:val="0"/>
                <w:color w:val="auto"/>
                <w:sz w:val="21"/>
                <w:szCs w:val="21"/>
                <w:highlight w:val="none"/>
                <w:shd w:val="clear" w:color="auto" w:fill="FFFFFF"/>
                <w:vertAlign w:val="baseline"/>
                <w:lang w:val="en-US" w:eastAsia="zh-CN"/>
              </w:rPr>
            </w:pPr>
            <w:r>
              <w:rPr>
                <w:rFonts w:hint="eastAsia" w:ascii="宋体" w:hAnsi="宋体" w:eastAsia="宋体" w:cs="宋体"/>
                <w:b w:val="0"/>
                <w:bCs w:val="0"/>
                <w:color w:val="auto"/>
                <w:sz w:val="21"/>
                <w:szCs w:val="21"/>
                <w:highlight w:val="none"/>
                <w:shd w:val="clear" w:color="auto" w:fill="FFFFFF"/>
                <w:vertAlign w:val="baseline"/>
                <w:lang w:val="en-US" w:eastAsia="zh-CN"/>
              </w:rPr>
              <w:t>包最高限价（元）</w:t>
            </w:r>
          </w:p>
        </w:tc>
      </w:tr>
      <w:tr w14:paraId="0012A9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96" w:type="dxa"/>
            <w:noWrap w:val="0"/>
            <w:vAlign w:val="center"/>
          </w:tcPr>
          <w:p w14:paraId="7872448F">
            <w:pPr>
              <w:pStyle w:val="70"/>
              <w:keepNext w:val="0"/>
              <w:keepLines w:val="0"/>
              <w:pageBreakBefore w:val="0"/>
              <w:kinsoku/>
              <w:wordWrap/>
              <w:overflowPunct/>
              <w:topLinePunct w:val="0"/>
              <w:bidi w:val="0"/>
              <w:spacing w:line="360" w:lineRule="auto"/>
              <w:jc w:val="center"/>
              <w:textAlignment w:val="auto"/>
              <w:outlineLvl w:val="9"/>
              <w:rPr>
                <w:rFonts w:hint="eastAsia" w:ascii="宋体" w:hAnsi="宋体" w:eastAsia="宋体" w:cs="宋体"/>
                <w:b w:val="0"/>
                <w:bCs w:val="0"/>
                <w:color w:val="auto"/>
                <w:sz w:val="21"/>
                <w:szCs w:val="21"/>
                <w:highlight w:val="none"/>
                <w:shd w:val="clear" w:color="auto" w:fill="FFFFFF"/>
                <w:vertAlign w:val="baseline"/>
                <w:lang w:val="en-US" w:eastAsia="zh-CN"/>
              </w:rPr>
            </w:pPr>
            <w:r>
              <w:rPr>
                <w:rFonts w:hint="eastAsia" w:ascii="宋体" w:hAnsi="宋体" w:eastAsia="宋体" w:cs="宋体"/>
                <w:b w:val="0"/>
                <w:bCs w:val="0"/>
                <w:color w:val="auto"/>
                <w:sz w:val="21"/>
                <w:szCs w:val="21"/>
                <w:highlight w:val="none"/>
                <w:shd w:val="clear" w:color="auto" w:fill="FFFFFF"/>
                <w:vertAlign w:val="baseline"/>
                <w:lang w:val="en-US" w:eastAsia="zh-CN"/>
              </w:rPr>
              <w:t>1</w:t>
            </w:r>
          </w:p>
        </w:tc>
        <w:tc>
          <w:tcPr>
            <w:tcW w:w="1625" w:type="dxa"/>
            <w:noWrap w:val="0"/>
            <w:vAlign w:val="center"/>
          </w:tcPr>
          <w:p w14:paraId="3B657ED2">
            <w:pPr>
              <w:pStyle w:val="70"/>
              <w:keepNext w:val="0"/>
              <w:keepLines w:val="0"/>
              <w:pageBreakBefore w:val="0"/>
              <w:kinsoku/>
              <w:wordWrap/>
              <w:overflowPunct/>
              <w:topLinePunct w:val="0"/>
              <w:bidi w:val="0"/>
              <w:spacing w:line="360" w:lineRule="auto"/>
              <w:jc w:val="center"/>
              <w:textAlignment w:val="auto"/>
              <w:outlineLvl w:val="9"/>
              <w:rPr>
                <w:rFonts w:hint="eastAsia" w:ascii="宋体" w:hAnsi="宋体" w:eastAsia="宋体" w:cs="宋体"/>
                <w:b w:val="0"/>
                <w:bCs w:val="0"/>
                <w:color w:val="auto"/>
                <w:sz w:val="21"/>
                <w:szCs w:val="21"/>
                <w:highlight w:val="none"/>
                <w:shd w:val="clear" w:color="auto" w:fill="FFFFFF"/>
                <w:vertAlign w:val="baseline"/>
                <w:lang w:val="en-US" w:eastAsia="zh-CN"/>
              </w:rPr>
            </w:pPr>
            <w:r>
              <w:rPr>
                <w:rFonts w:hint="eastAsia" w:ascii="宋体" w:hAnsi="宋体" w:eastAsia="宋体" w:cs="宋体"/>
                <w:b w:val="0"/>
                <w:bCs w:val="0"/>
                <w:color w:val="auto"/>
                <w:sz w:val="21"/>
                <w:szCs w:val="21"/>
                <w:highlight w:val="none"/>
                <w:shd w:val="clear" w:color="auto" w:fill="FFFFFF"/>
                <w:vertAlign w:val="baseline"/>
                <w:lang w:val="en-US" w:eastAsia="zh-CN"/>
              </w:rPr>
              <w:t>豫政采(2)20260348-1</w:t>
            </w:r>
          </w:p>
        </w:tc>
        <w:tc>
          <w:tcPr>
            <w:tcW w:w="3413" w:type="dxa"/>
            <w:noWrap w:val="0"/>
            <w:vAlign w:val="center"/>
          </w:tcPr>
          <w:p w14:paraId="0AFEFC69">
            <w:pPr>
              <w:keepNext w:val="0"/>
              <w:keepLines w:val="0"/>
              <w:pageBreakBefore w:val="0"/>
              <w:widowControl/>
              <w:numPr>
                <w:ilvl w:val="0"/>
                <w:numId w:val="0"/>
              </w:numPr>
              <w:tabs>
                <w:tab w:val="left" w:pos="840"/>
              </w:tabs>
              <w:kinsoku/>
              <w:wordWrap/>
              <w:overflowPunct/>
              <w:topLinePunct w:val="0"/>
              <w:autoSpaceDE/>
              <w:autoSpaceDN/>
              <w:bidi w:val="0"/>
              <w:adjustRightInd/>
              <w:snapToGrid/>
              <w:spacing w:before="0" w:after="0" w:line="360" w:lineRule="auto"/>
              <w:jc w:val="center"/>
              <w:textAlignment w:val="auto"/>
              <w:outlineLvl w:val="9"/>
              <w:rPr>
                <w:rFonts w:hint="eastAsia" w:ascii="宋体" w:hAnsi="宋体" w:eastAsia="宋体" w:cs="宋体"/>
                <w:b w:val="0"/>
                <w:bCs w:val="0"/>
                <w:color w:val="auto"/>
                <w:sz w:val="21"/>
                <w:szCs w:val="21"/>
                <w:highlight w:val="none"/>
                <w:shd w:val="clear" w:color="auto" w:fill="FFFFFF"/>
                <w:vertAlign w:val="baseline"/>
                <w:lang w:val="en-US" w:eastAsia="zh-CN"/>
              </w:rPr>
            </w:pPr>
            <w:r>
              <w:rPr>
                <w:rFonts w:hint="eastAsia" w:ascii="宋体" w:hAnsi="宋体" w:eastAsia="宋体" w:cs="宋体"/>
                <w:b w:val="0"/>
                <w:bCs w:val="0"/>
                <w:color w:val="auto"/>
                <w:sz w:val="21"/>
                <w:szCs w:val="21"/>
                <w:highlight w:val="none"/>
                <w:shd w:val="clear" w:color="auto" w:fill="FFFFFF"/>
                <w:lang w:eastAsia="zh-CN"/>
              </w:rPr>
              <w:t>河南省周口生态环境监测中心2026年监测能力建设项目</w:t>
            </w:r>
          </w:p>
        </w:tc>
        <w:tc>
          <w:tcPr>
            <w:tcW w:w="1475" w:type="dxa"/>
            <w:noWrap w:val="0"/>
            <w:vAlign w:val="center"/>
          </w:tcPr>
          <w:p w14:paraId="64B5CD8D">
            <w:pPr>
              <w:pStyle w:val="70"/>
              <w:keepNext w:val="0"/>
              <w:keepLines w:val="0"/>
              <w:pageBreakBefore w:val="0"/>
              <w:kinsoku/>
              <w:wordWrap/>
              <w:overflowPunct/>
              <w:topLinePunct w:val="0"/>
              <w:bidi w:val="0"/>
              <w:spacing w:line="360" w:lineRule="auto"/>
              <w:jc w:val="center"/>
              <w:textAlignment w:val="auto"/>
              <w:outlineLvl w:val="9"/>
              <w:rPr>
                <w:rFonts w:hint="eastAsia" w:ascii="宋体" w:hAnsi="宋体" w:eastAsia="宋体" w:cs="宋体"/>
                <w:b w:val="0"/>
                <w:bCs w:val="0"/>
                <w:color w:val="auto"/>
                <w:sz w:val="21"/>
                <w:szCs w:val="21"/>
                <w:highlight w:val="none"/>
                <w:shd w:val="clear" w:color="auto" w:fill="FFFFFF"/>
                <w:vertAlign w:val="baseline"/>
                <w:lang w:val="en-US" w:eastAsia="zh-CN"/>
              </w:rPr>
            </w:pPr>
            <w:r>
              <w:rPr>
                <w:rFonts w:hint="eastAsia" w:ascii="宋体" w:hAnsi="宋体" w:eastAsia="宋体" w:cs="宋体"/>
                <w:b w:val="0"/>
                <w:bCs w:val="0"/>
                <w:color w:val="auto"/>
                <w:sz w:val="21"/>
                <w:szCs w:val="21"/>
                <w:highlight w:val="none"/>
                <w:shd w:val="clear" w:color="auto" w:fill="FFFFFF"/>
                <w:lang w:val="en-US" w:eastAsia="zh-CN"/>
              </w:rPr>
              <w:t>1662000.00</w:t>
            </w:r>
          </w:p>
        </w:tc>
        <w:tc>
          <w:tcPr>
            <w:tcW w:w="1394" w:type="dxa"/>
            <w:noWrap w:val="0"/>
            <w:vAlign w:val="center"/>
          </w:tcPr>
          <w:p w14:paraId="38D817ED">
            <w:pPr>
              <w:pStyle w:val="70"/>
              <w:keepNext w:val="0"/>
              <w:keepLines w:val="0"/>
              <w:pageBreakBefore w:val="0"/>
              <w:kinsoku/>
              <w:wordWrap/>
              <w:overflowPunct/>
              <w:topLinePunct w:val="0"/>
              <w:bidi w:val="0"/>
              <w:spacing w:line="360" w:lineRule="auto"/>
              <w:jc w:val="center"/>
              <w:textAlignment w:val="auto"/>
              <w:outlineLvl w:val="9"/>
              <w:rPr>
                <w:rFonts w:hint="eastAsia" w:ascii="宋体" w:hAnsi="宋体" w:eastAsia="宋体" w:cs="宋体"/>
                <w:b w:val="0"/>
                <w:bCs w:val="0"/>
                <w:color w:val="auto"/>
                <w:sz w:val="21"/>
                <w:szCs w:val="21"/>
                <w:highlight w:val="none"/>
                <w:shd w:val="clear" w:color="auto" w:fill="FFFFFF"/>
                <w:vertAlign w:val="baseline"/>
                <w:lang w:val="en-US" w:eastAsia="zh-CN"/>
              </w:rPr>
            </w:pPr>
            <w:r>
              <w:rPr>
                <w:rFonts w:hint="eastAsia" w:ascii="宋体" w:hAnsi="宋体" w:eastAsia="宋体" w:cs="宋体"/>
                <w:b w:val="0"/>
                <w:bCs w:val="0"/>
                <w:color w:val="auto"/>
                <w:sz w:val="21"/>
                <w:szCs w:val="21"/>
                <w:highlight w:val="none"/>
                <w:shd w:val="clear" w:color="auto" w:fill="FFFFFF"/>
                <w:lang w:val="en-US" w:eastAsia="zh-CN"/>
              </w:rPr>
              <w:t>1662000.00</w:t>
            </w:r>
          </w:p>
        </w:tc>
      </w:tr>
    </w:tbl>
    <w:p w14:paraId="4642A0EF">
      <w:pPr>
        <w:keepNext w:val="0"/>
        <w:keepLines w:val="0"/>
        <w:pageBreakBefore w:val="0"/>
        <w:widowControl/>
        <w:numPr>
          <w:ilvl w:val="0"/>
          <w:numId w:val="0"/>
        </w:numPr>
        <w:tabs>
          <w:tab w:val="left" w:pos="840"/>
        </w:tabs>
        <w:kinsoku/>
        <w:wordWrap/>
        <w:overflowPunct/>
        <w:topLinePunct w:val="0"/>
        <w:autoSpaceDE/>
        <w:autoSpaceDN/>
        <w:bidi w:val="0"/>
        <w:adjustRightInd/>
        <w:snapToGrid/>
        <w:spacing w:before="0" w:after="0" w:line="360" w:lineRule="auto"/>
        <w:ind w:firstLine="420" w:firstLineChars="200"/>
        <w:jc w:val="left"/>
        <w:textAlignment w:val="auto"/>
        <w:outlineLvl w:val="9"/>
        <w:rPr>
          <w:rFonts w:hint="eastAsia" w:ascii="宋体" w:hAnsi="宋体" w:eastAsia="宋体" w:cs="宋体"/>
          <w:i w:val="0"/>
          <w:caps w:val="0"/>
          <w:color w:val="auto"/>
          <w:spacing w:val="0"/>
          <w:sz w:val="21"/>
          <w:szCs w:val="21"/>
          <w:highlight w:val="none"/>
          <w:shd w:val="clear" w:color="auto" w:fill="FFFFFF"/>
        </w:rPr>
      </w:pPr>
      <w:bookmarkStart w:id="26" w:name="_Toc24040"/>
      <w:bookmarkStart w:id="27" w:name="_Toc27913"/>
      <w:bookmarkStart w:id="28" w:name="_Toc19521"/>
      <w:bookmarkStart w:id="29" w:name="_Toc26079"/>
      <w:bookmarkStart w:id="30" w:name="_Toc21071"/>
      <w:r>
        <w:rPr>
          <w:rFonts w:hint="eastAsia" w:ascii="宋体" w:hAnsi="宋体" w:eastAsia="宋体" w:cs="宋体"/>
          <w:b w:val="0"/>
          <w:bCs w:val="0"/>
          <w:color w:val="auto"/>
          <w:sz w:val="21"/>
          <w:szCs w:val="21"/>
          <w:highlight w:val="none"/>
          <w:shd w:val="clear" w:color="auto" w:fill="FFFFFF"/>
          <w:lang w:val="en-US" w:eastAsia="zh-CN"/>
        </w:rPr>
        <w:t>5、</w:t>
      </w:r>
      <w:r>
        <w:rPr>
          <w:rFonts w:hint="eastAsia" w:ascii="宋体" w:hAnsi="宋体" w:eastAsia="宋体" w:cs="宋体"/>
          <w:b w:val="0"/>
          <w:bCs w:val="0"/>
          <w:color w:val="auto"/>
          <w:sz w:val="21"/>
          <w:szCs w:val="21"/>
          <w:highlight w:val="none"/>
          <w:shd w:val="clear" w:color="auto" w:fill="FFFFFF"/>
        </w:rPr>
        <w:t>采购需求</w:t>
      </w:r>
      <w:bookmarkEnd w:id="26"/>
      <w:bookmarkEnd w:id="27"/>
      <w:bookmarkEnd w:id="28"/>
      <w:bookmarkEnd w:id="29"/>
      <w:bookmarkEnd w:id="30"/>
      <w:r>
        <w:rPr>
          <w:rFonts w:hint="eastAsia" w:ascii="宋体" w:hAnsi="宋体" w:eastAsia="宋体" w:cs="宋体"/>
          <w:b w:val="0"/>
          <w:bCs w:val="0"/>
          <w:color w:val="auto"/>
          <w:sz w:val="21"/>
          <w:szCs w:val="21"/>
          <w:highlight w:val="none"/>
          <w:shd w:val="clear" w:color="auto" w:fill="FFFFFF"/>
          <w:lang w:val="en-US" w:eastAsia="zh-CN"/>
        </w:rPr>
        <w:t>：</w:t>
      </w:r>
      <w:r>
        <w:rPr>
          <w:rFonts w:hint="eastAsia" w:ascii="宋体" w:hAnsi="宋体" w:eastAsia="宋体" w:cs="宋体"/>
          <w:i w:val="0"/>
          <w:caps w:val="0"/>
          <w:color w:val="auto"/>
          <w:spacing w:val="0"/>
          <w:sz w:val="21"/>
          <w:szCs w:val="21"/>
          <w:highlight w:val="none"/>
          <w:shd w:val="clear" w:color="auto" w:fill="FFFFFF"/>
        </w:rPr>
        <w:t>（包括但不限于标的的名称、数量、简要技术需求或服务要求等）</w:t>
      </w:r>
    </w:p>
    <w:p w14:paraId="30B1E243">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auto"/>
          <w:sz w:val="21"/>
          <w:szCs w:val="21"/>
          <w:highlight w:val="none"/>
          <w:shd w:val="clear" w:color="auto" w:fill="FFFFFF"/>
          <w:lang w:val="en-US" w:eastAsia="zh-CN"/>
        </w:rPr>
      </w:pPr>
      <w:r>
        <w:rPr>
          <w:rFonts w:hint="eastAsia" w:ascii="宋体" w:hAnsi="宋体" w:eastAsia="宋体" w:cs="宋体"/>
          <w:color w:val="auto"/>
          <w:kern w:val="2"/>
          <w:sz w:val="21"/>
          <w:szCs w:val="21"/>
          <w:highlight w:val="none"/>
          <w:lang w:val="en-US" w:eastAsia="zh-CN" w:bidi="ar-SA"/>
        </w:rPr>
        <w:t>5.1 采购内容：河南省周口生态环境监测中心2026年监测能力建设项目采购内容主要包括：离子色谱仪（1套）、全自动红外测油仪（1套）、便携式气相分子吸收光谱仪（1套）、双光束紫外可见分光光度计（1套）、紫外可见分光光度计（1套）、干燥箱（1套）、便携式抽滤装置（1套）、氟离子计（1套）、立式高压蒸汽灭菌器（2套）、CODcr回流消解仪（2套）、便携式浊度计（2套）、便携式pH测定仪（2套）、便携式溶解氧测定仪（2套）、便携式电导率测定仪（2套），</w:t>
      </w:r>
      <w:r>
        <w:rPr>
          <w:rFonts w:hint="eastAsia" w:ascii="宋体" w:hAnsi="宋体" w:eastAsia="宋体" w:cs="宋体"/>
          <w:color w:val="auto"/>
          <w:kern w:val="0"/>
          <w:sz w:val="21"/>
          <w:szCs w:val="21"/>
          <w:highlight w:val="none"/>
        </w:rPr>
        <w:t>包含设备</w:t>
      </w:r>
      <w:r>
        <w:rPr>
          <w:rFonts w:hint="eastAsia" w:ascii="宋体" w:hAnsi="宋体" w:eastAsia="宋体" w:cs="宋体"/>
          <w:color w:val="auto"/>
          <w:kern w:val="0"/>
          <w:sz w:val="21"/>
          <w:szCs w:val="21"/>
          <w:highlight w:val="none"/>
          <w:lang w:val="en-US" w:eastAsia="zh-CN"/>
        </w:rPr>
        <w:t>的</w:t>
      </w:r>
      <w:r>
        <w:rPr>
          <w:rFonts w:hint="eastAsia" w:ascii="宋体" w:hAnsi="宋体" w:eastAsia="宋体" w:cs="宋体"/>
          <w:color w:val="auto"/>
          <w:kern w:val="0"/>
          <w:sz w:val="21"/>
          <w:szCs w:val="21"/>
          <w:highlight w:val="none"/>
        </w:rPr>
        <w:t>采购、安装、调试、试运行及相关服务等</w:t>
      </w:r>
      <w:r>
        <w:rPr>
          <w:rFonts w:hint="eastAsia" w:ascii="宋体" w:hAnsi="宋体" w:eastAsia="宋体" w:cs="宋体"/>
          <w:color w:val="auto"/>
          <w:kern w:val="0"/>
          <w:sz w:val="21"/>
          <w:szCs w:val="21"/>
          <w:highlight w:val="none"/>
          <w:lang w:val="en-US" w:eastAsia="zh-CN"/>
        </w:rPr>
        <w:t>全部内容</w:t>
      </w:r>
      <w:r>
        <w:rPr>
          <w:rFonts w:hint="eastAsia" w:ascii="宋体" w:hAnsi="宋体" w:eastAsia="宋体" w:cs="宋体"/>
          <w:color w:val="auto"/>
          <w:kern w:val="2"/>
          <w:sz w:val="21"/>
          <w:szCs w:val="21"/>
          <w:highlight w:val="none"/>
          <w:lang w:val="en-US" w:eastAsia="zh-CN" w:bidi="ar-SA"/>
        </w:rPr>
        <w:t>，</w:t>
      </w:r>
      <w:r>
        <w:rPr>
          <w:rFonts w:hint="eastAsia" w:ascii="宋体" w:hAnsi="宋体" w:eastAsia="宋体" w:cs="宋体"/>
          <w:color w:val="auto"/>
          <w:sz w:val="21"/>
          <w:szCs w:val="21"/>
          <w:highlight w:val="none"/>
          <w:shd w:val="clear" w:color="auto" w:fill="FFFFFF"/>
          <w:lang w:val="en-US" w:eastAsia="zh-CN"/>
        </w:rPr>
        <w:t>具体采购内容详见《河南省政府采购网》附件。</w:t>
      </w:r>
    </w:p>
    <w:p w14:paraId="7AC8A2AE">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5.2</w:t>
      </w:r>
      <w:r>
        <w:rPr>
          <w:rFonts w:hint="eastAsia" w:ascii="宋体" w:hAnsi="宋体" w:eastAsia="宋体" w:cs="宋体"/>
          <w:color w:val="auto"/>
          <w:szCs w:val="21"/>
          <w:highlight w:val="none"/>
          <w:lang w:val="en-US" w:eastAsia="zh-CN"/>
        </w:rPr>
        <w:t xml:space="preserve"> </w:t>
      </w:r>
      <w:r>
        <w:rPr>
          <w:rFonts w:hint="eastAsia" w:ascii="宋体" w:hAnsi="宋体" w:eastAsia="宋体" w:cs="宋体"/>
          <w:color w:val="auto"/>
          <w:szCs w:val="21"/>
          <w:highlight w:val="none"/>
        </w:rPr>
        <w:t>质量标准：合格并验收通过。</w:t>
      </w:r>
    </w:p>
    <w:p w14:paraId="4D061F68">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5.3</w:t>
      </w:r>
      <w:r>
        <w:rPr>
          <w:rFonts w:hint="eastAsia" w:ascii="宋体" w:hAnsi="宋体" w:eastAsia="宋体" w:cs="宋体"/>
          <w:color w:val="auto"/>
          <w:szCs w:val="21"/>
          <w:highlight w:val="none"/>
          <w:lang w:val="en-US" w:eastAsia="zh-CN"/>
        </w:rPr>
        <w:t xml:space="preserve"> </w:t>
      </w:r>
      <w:r>
        <w:rPr>
          <w:rFonts w:hint="eastAsia" w:ascii="宋体" w:hAnsi="宋体" w:eastAsia="宋体" w:cs="宋体"/>
          <w:color w:val="auto"/>
          <w:szCs w:val="21"/>
          <w:highlight w:val="none"/>
        </w:rPr>
        <w:t>交货</w:t>
      </w:r>
      <w:r>
        <w:rPr>
          <w:rFonts w:hint="eastAsia" w:ascii="宋体" w:hAnsi="宋体" w:eastAsia="宋体" w:cs="宋体"/>
          <w:color w:val="auto"/>
          <w:szCs w:val="21"/>
          <w:highlight w:val="none"/>
          <w:lang w:val="en-US" w:eastAsia="zh-CN"/>
        </w:rPr>
        <w:t>及安装调试</w:t>
      </w:r>
      <w:r>
        <w:rPr>
          <w:rFonts w:hint="eastAsia" w:ascii="宋体" w:hAnsi="宋体" w:eastAsia="宋体" w:cs="宋体"/>
          <w:color w:val="auto"/>
          <w:szCs w:val="21"/>
          <w:highlight w:val="none"/>
        </w:rPr>
        <w:t>期：合同签订生效后</w:t>
      </w:r>
      <w:r>
        <w:rPr>
          <w:rFonts w:hint="eastAsia" w:cs="宋体"/>
          <w:color w:val="auto"/>
          <w:szCs w:val="21"/>
          <w:highlight w:val="none"/>
          <w:lang w:val="en-US" w:eastAsia="zh-CN"/>
        </w:rPr>
        <w:t>60</w:t>
      </w:r>
      <w:r>
        <w:rPr>
          <w:rFonts w:hint="eastAsia" w:ascii="宋体" w:hAnsi="宋体" w:eastAsia="宋体" w:cs="宋体"/>
          <w:color w:val="auto"/>
          <w:szCs w:val="21"/>
          <w:highlight w:val="none"/>
          <w:lang w:val="en-US" w:eastAsia="zh-CN"/>
        </w:rPr>
        <w:t>日历天</w:t>
      </w:r>
      <w:r>
        <w:rPr>
          <w:rFonts w:hint="eastAsia" w:ascii="宋体" w:hAnsi="宋体" w:eastAsia="宋体" w:cs="宋体"/>
          <w:color w:val="auto"/>
          <w:szCs w:val="21"/>
          <w:highlight w:val="none"/>
        </w:rPr>
        <w:t>内</w:t>
      </w:r>
      <w:r>
        <w:rPr>
          <w:rFonts w:hint="eastAsia" w:ascii="宋体" w:hAnsi="宋体" w:eastAsia="宋体" w:cs="宋体"/>
          <w:color w:val="auto"/>
          <w:szCs w:val="21"/>
          <w:highlight w:val="none"/>
          <w:lang w:val="en-US" w:eastAsia="zh-CN"/>
        </w:rPr>
        <w:t>交货并</w:t>
      </w:r>
      <w:r>
        <w:rPr>
          <w:rFonts w:hint="eastAsia" w:ascii="宋体" w:hAnsi="宋体" w:eastAsia="宋体" w:cs="宋体"/>
          <w:color w:val="auto"/>
          <w:szCs w:val="21"/>
          <w:highlight w:val="none"/>
        </w:rPr>
        <w:t>安装调试完毕。</w:t>
      </w:r>
    </w:p>
    <w:p w14:paraId="5263236A">
      <w:pPr>
        <w:keepNext w:val="0"/>
        <w:keepLines w:val="0"/>
        <w:pageBreakBefore w:val="0"/>
        <w:widowControl w:val="0"/>
        <w:kinsoku/>
        <w:wordWrap/>
        <w:overflowPunct/>
        <w:topLinePunct w:val="0"/>
        <w:autoSpaceDE/>
        <w:autoSpaceDN/>
        <w:bidi w:val="0"/>
        <w:adjustRightInd/>
        <w:snapToGrid/>
        <w:spacing w:after="0" w:line="360" w:lineRule="auto"/>
        <w:ind w:left="0" w:leftChars="0" w:firstLine="420" w:firstLineChars="200"/>
        <w:jc w:val="both"/>
        <w:textAlignment w:val="auto"/>
        <w:rPr>
          <w:rFonts w:hint="eastAsia" w:ascii="宋体" w:hAnsi="宋体" w:eastAsia="宋体" w:cs="宋体"/>
          <w:color w:val="auto"/>
          <w:kern w:val="2"/>
          <w:sz w:val="21"/>
          <w:szCs w:val="24"/>
          <w:highlight w:val="none"/>
          <w:lang w:val="en-US" w:eastAsia="zh-CN" w:bidi="ar-SA"/>
        </w:rPr>
      </w:pPr>
      <w:r>
        <w:rPr>
          <w:rFonts w:hint="eastAsia" w:ascii="宋体" w:hAnsi="宋体" w:eastAsia="宋体" w:cs="宋体"/>
          <w:color w:val="auto"/>
          <w:kern w:val="2"/>
          <w:sz w:val="21"/>
          <w:szCs w:val="21"/>
          <w:highlight w:val="none"/>
          <w:lang w:val="en-US" w:eastAsia="zh-CN" w:bidi="ar-SA"/>
        </w:rPr>
        <w:t>5.4 交货地点：河南省周口生态环境监测中心指定地点。</w:t>
      </w:r>
    </w:p>
    <w:p w14:paraId="4B5B5B0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Cs w:val="21"/>
          <w:highlight w:val="none"/>
          <w:lang w:val="zh-CN" w:eastAsia="zh-CN"/>
        </w:rPr>
      </w:pPr>
      <w:r>
        <w:rPr>
          <w:rFonts w:hint="eastAsia" w:ascii="宋体" w:hAnsi="宋体" w:eastAsia="宋体" w:cs="宋体"/>
          <w:color w:val="auto"/>
          <w:szCs w:val="21"/>
          <w:highlight w:val="none"/>
        </w:rPr>
        <w:t>5.5</w:t>
      </w:r>
      <w:r>
        <w:rPr>
          <w:rFonts w:hint="eastAsia" w:ascii="宋体" w:hAnsi="宋体" w:eastAsia="宋体" w:cs="宋体"/>
          <w:color w:val="auto"/>
          <w:szCs w:val="21"/>
          <w:highlight w:val="none"/>
          <w:lang w:val="en-US" w:eastAsia="zh-CN"/>
        </w:rPr>
        <w:t xml:space="preserve"> </w:t>
      </w:r>
      <w:r>
        <w:rPr>
          <w:rFonts w:hint="eastAsia" w:ascii="宋体" w:hAnsi="宋体" w:eastAsia="宋体" w:cs="宋体"/>
          <w:color w:val="auto"/>
          <w:szCs w:val="21"/>
          <w:highlight w:val="none"/>
          <w:lang w:eastAsia="zh-CN"/>
        </w:rPr>
        <w:t>质量保证期：设备验收合格后，整机质保</w:t>
      </w:r>
      <w:r>
        <w:rPr>
          <w:rFonts w:hint="eastAsia" w:ascii="宋体" w:hAnsi="宋体" w:eastAsia="宋体" w:cs="宋体"/>
          <w:color w:val="auto"/>
          <w:szCs w:val="21"/>
          <w:highlight w:val="none"/>
          <w:lang w:val="en-US" w:eastAsia="zh-CN"/>
        </w:rPr>
        <w:t>24个月</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其中</w:t>
      </w:r>
      <w:r>
        <w:rPr>
          <w:rFonts w:hint="eastAsia" w:ascii="宋体" w:hAnsi="宋体" w:eastAsia="宋体" w:cs="宋体"/>
          <w:color w:val="auto"/>
          <w:szCs w:val="21"/>
          <w:highlight w:val="none"/>
          <w:lang w:eastAsia="zh-CN"/>
        </w:rPr>
        <w:t>离子色谱仪整机质保60个月）。</w:t>
      </w:r>
    </w:p>
    <w:p w14:paraId="2BDF02C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5.6</w:t>
      </w:r>
      <w:r>
        <w:rPr>
          <w:rFonts w:hint="eastAsia" w:ascii="宋体" w:hAnsi="宋体" w:eastAsia="宋体" w:cs="宋体"/>
          <w:color w:val="auto"/>
          <w:szCs w:val="21"/>
          <w:highlight w:val="none"/>
          <w:lang w:val="en-US" w:eastAsia="zh-CN"/>
        </w:rPr>
        <w:t xml:space="preserve"> 包号</w:t>
      </w:r>
      <w:r>
        <w:rPr>
          <w:rFonts w:hint="eastAsia" w:ascii="宋体" w:hAnsi="宋体" w:eastAsia="宋体" w:cs="宋体"/>
          <w:color w:val="auto"/>
          <w:szCs w:val="21"/>
          <w:highlight w:val="none"/>
        </w:rPr>
        <w:t>划分：本项目分为1个标包</w:t>
      </w:r>
      <w:r>
        <w:rPr>
          <w:rFonts w:hint="eastAsia" w:ascii="宋体" w:hAnsi="宋体" w:eastAsia="宋体" w:cs="宋体"/>
          <w:color w:val="auto"/>
          <w:szCs w:val="21"/>
          <w:highlight w:val="none"/>
          <w:lang w:eastAsia="zh-CN"/>
        </w:rPr>
        <w:t>。</w:t>
      </w:r>
    </w:p>
    <w:p w14:paraId="2522300D">
      <w:pPr>
        <w:pStyle w:val="33"/>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firstLine="420" w:firstLineChars="200"/>
        <w:textAlignment w:val="auto"/>
        <w:outlineLvl w:val="9"/>
        <w:rPr>
          <w:rFonts w:hint="eastAsia" w:ascii="宋体" w:hAnsi="宋体" w:eastAsia="宋体" w:cs="宋体"/>
          <w:color w:val="auto"/>
          <w:sz w:val="21"/>
          <w:szCs w:val="21"/>
          <w:highlight w:val="none"/>
          <w:shd w:val="clear" w:color="auto" w:fill="FFFFFF"/>
          <w:lang w:val="en-US" w:eastAsia="zh-CN"/>
        </w:rPr>
      </w:pPr>
      <w:r>
        <w:rPr>
          <w:rFonts w:hint="eastAsia" w:ascii="宋体" w:hAnsi="宋体" w:eastAsia="宋体" w:cs="宋体"/>
          <w:color w:val="auto"/>
          <w:sz w:val="21"/>
          <w:szCs w:val="21"/>
          <w:highlight w:val="none"/>
          <w:shd w:val="clear" w:color="auto" w:fill="FFFFFF"/>
          <w:lang w:val="en-US" w:eastAsia="zh-CN"/>
        </w:rPr>
        <w:t>6、合同履行期限：合同生效至质量保证期结束。</w:t>
      </w:r>
    </w:p>
    <w:p w14:paraId="0220B564">
      <w:pPr>
        <w:pStyle w:val="33"/>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firstLine="420" w:firstLineChars="200"/>
        <w:textAlignment w:val="auto"/>
        <w:outlineLvl w:val="9"/>
        <w:rPr>
          <w:rFonts w:hint="eastAsia" w:ascii="宋体" w:hAnsi="宋体" w:eastAsia="宋体" w:cs="宋体"/>
          <w:color w:val="auto"/>
          <w:sz w:val="21"/>
          <w:szCs w:val="21"/>
          <w:highlight w:val="none"/>
          <w:shd w:val="clear" w:color="auto" w:fill="FFFFFF"/>
          <w:lang w:val="en-US" w:eastAsia="zh-CN"/>
        </w:rPr>
      </w:pPr>
      <w:r>
        <w:rPr>
          <w:rFonts w:hint="eastAsia" w:ascii="宋体" w:hAnsi="宋体" w:eastAsia="宋体" w:cs="宋体"/>
          <w:color w:val="auto"/>
          <w:sz w:val="21"/>
          <w:szCs w:val="21"/>
          <w:highlight w:val="none"/>
          <w:shd w:val="clear" w:color="auto" w:fill="FFFFFF"/>
          <w:lang w:val="en-US" w:eastAsia="zh-CN"/>
        </w:rPr>
        <w:t>7、本项目是否接受联合体投标：否。</w:t>
      </w:r>
    </w:p>
    <w:p w14:paraId="19C2E0E9">
      <w:pPr>
        <w:pStyle w:val="33"/>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firstLine="420" w:firstLineChars="200"/>
        <w:textAlignment w:val="auto"/>
        <w:outlineLvl w:val="9"/>
        <w:rPr>
          <w:rFonts w:hint="eastAsia" w:ascii="宋体" w:hAnsi="宋体" w:eastAsia="宋体" w:cs="宋体"/>
          <w:color w:val="auto"/>
          <w:sz w:val="21"/>
          <w:szCs w:val="21"/>
          <w:highlight w:val="none"/>
          <w:shd w:val="clear" w:color="auto" w:fill="FFFFFF"/>
          <w:lang w:val="en-US" w:eastAsia="zh-CN"/>
        </w:rPr>
      </w:pPr>
      <w:r>
        <w:rPr>
          <w:rFonts w:hint="eastAsia" w:ascii="宋体" w:hAnsi="宋体" w:eastAsia="宋体" w:cs="宋体"/>
          <w:color w:val="auto"/>
          <w:sz w:val="21"/>
          <w:szCs w:val="21"/>
          <w:highlight w:val="none"/>
          <w:shd w:val="clear" w:color="auto" w:fill="FFFFFF"/>
          <w:lang w:val="en-US" w:eastAsia="zh-CN"/>
        </w:rPr>
        <w:t>8、是否接受进口产品：否。</w:t>
      </w:r>
    </w:p>
    <w:p w14:paraId="33699C33">
      <w:pPr>
        <w:pStyle w:val="33"/>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firstLine="420" w:firstLineChars="200"/>
        <w:textAlignment w:val="auto"/>
        <w:outlineLvl w:val="9"/>
        <w:rPr>
          <w:rFonts w:hint="eastAsia" w:ascii="宋体" w:hAnsi="宋体" w:eastAsia="宋体" w:cs="宋体"/>
          <w:b/>
          <w:bCs/>
          <w:color w:val="auto"/>
          <w:sz w:val="21"/>
          <w:szCs w:val="21"/>
          <w:highlight w:val="none"/>
          <w:shd w:val="clear" w:color="auto" w:fill="FFFFFF"/>
          <w:lang w:val="en-US" w:eastAsia="zh-CN"/>
        </w:rPr>
      </w:pPr>
      <w:r>
        <w:rPr>
          <w:rFonts w:hint="eastAsia" w:ascii="宋体" w:hAnsi="宋体" w:eastAsia="宋体" w:cs="宋体"/>
          <w:color w:val="auto"/>
          <w:sz w:val="21"/>
          <w:szCs w:val="21"/>
          <w:highlight w:val="none"/>
          <w:shd w:val="clear" w:color="auto" w:fill="FFFFFF"/>
          <w:lang w:val="en-US" w:eastAsia="zh-CN"/>
        </w:rPr>
        <w:t>9、是否专门面向中小企业：否。</w:t>
      </w:r>
    </w:p>
    <w:p w14:paraId="0BDC6D7D">
      <w:pPr>
        <w:pStyle w:val="5"/>
        <w:keepNext w:val="0"/>
        <w:keepLines w:val="0"/>
        <w:pageBreakBefore w:val="0"/>
        <w:widowControl/>
        <w:numPr>
          <w:ilvl w:val="0"/>
          <w:numId w:val="0"/>
        </w:numPr>
        <w:kinsoku/>
        <w:overflowPunct/>
        <w:topLinePunct w:val="0"/>
        <w:bidi w:val="0"/>
        <w:spacing w:before="0" w:after="0" w:line="360" w:lineRule="auto"/>
        <w:jc w:val="left"/>
        <w:textAlignment w:val="auto"/>
        <w:rPr>
          <w:rFonts w:hint="eastAsia" w:ascii="宋体" w:hAnsi="宋体" w:eastAsia="宋体" w:cs="宋体"/>
          <w:bCs/>
          <w:color w:val="auto"/>
          <w:sz w:val="21"/>
          <w:szCs w:val="21"/>
          <w:highlight w:val="none"/>
          <w:shd w:val="clear" w:color="auto" w:fill="FFFFFF"/>
        </w:rPr>
      </w:pPr>
      <w:bookmarkStart w:id="31" w:name="_Toc18607"/>
      <w:bookmarkStart w:id="32" w:name="_Toc16639"/>
      <w:bookmarkStart w:id="33" w:name="_Toc23626"/>
      <w:bookmarkStart w:id="34" w:name="_Toc27704"/>
      <w:bookmarkStart w:id="35" w:name="_Toc9383"/>
      <w:bookmarkStart w:id="36" w:name="_Toc21997"/>
      <w:bookmarkStart w:id="37" w:name="_Toc29800"/>
      <w:bookmarkStart w:id="38" w:name="_Toc24570"/>
      <w:bookmarkStart w:id="39" w:name="_Toc8922"/>
      <w:bookmarkStart w:id="40" w:name="_Toc5353"/>
      <w:bookmarkStart w:id="41" w:name="_Toc613"/>
      <w:bookmarkStart w:id="42" w:name="_Toc18664"/>
      <w:bookmarkStart w:id="43" w:name="_Toc9330"/>
      <w:bookmarkStart w:id="44" w:name="_Toc17467"/>
      <w:bookmarkStart w:id="45" w:name="_Toc30066"/>
      <w:r>
        <w:rPr>
          <w:rFonts w:hint="eastAsia" w:ascii="宋体" w:hAnsi="宋体" w:eastAsia="宋体" w:cs="宋体"/>
          <w:bCs/>
          <w:color w:val="auto"/>
          <w:sz w:val="21"/>
          <w:szCs w:val="21"/>
          <w:highlight w:val="none"/>
          <w:shd w:val="clear" w:color="auto" w:fill="FFFFFF"/>
          <w:lang w:eastAsia="zh-CN"/>
        </w:rPr>
        <w:t>二</w:t>
      </w:r>
      <w:r>
        <w:rPr>
          <w:rFonts w:hint="eastAsia" w:ascii="宋体" w:hAnsi="宋体" w:eastAsia="宋体" w:cs="宋体"/>
          <w:bCs/>
          <w:color w:val="auto"/>
          <w:sz w:val="21"/>
          <w:szCs w:val="21"/>
          <w:highlight w:val="none"/>
          <w:shd w:val="clear" w:color="auto" w:fill="FFFFFF"/>
        </w:rPr>
        <w:t>、</w:t>
      </w:r>
      <w:bookmarkEnd w:id="25"/>
      <w:bookmarkEnd w:id="31"/>
      <w:bookmarkEnd w:id="32"/>
      <w:bookmarkEnd w:id="33"/>
      <w:bookmarkEnd w:id="34"/>
      <w:r>
        <w:rPr>
          <w:rFonts w:hint="eastAsia" w:ascii="宋体" w:hAnsi="宋体" w:eastAsia="宋体" w:cs="宋体"/>
          <w:bCs/>
          <w:color w:val="auto"/>
          <w:sz w:val="21"/>
          <w:szCs w:val="21"/>
          <w:highlight w:val="none"/>
          <w:shd w:val="clear" w:color="auto" w:fill="FFFFFF"/>
        </w:rPr>
        <w:t>申请人资格要求：</w:t>
      </w:r>
      <w:bookmarkEnd w:id="35"/>
      <w:bookmarkEnd w:id="36"/>
      <w:bookmarkEnd w:id="37"/>
      <w:bookmarkEnd w:id="38"/>
      <w:bookmarkEnd w:id="39"/>
      <w:bookmarkEnd w:id="40"/>
      <w:bookmarkEnd w:id="41"/>
      <w:bookmarkEnd w:id="42"/>
      <w:bookmarkEnd w:id="43"/>
      <w:bookmarkEnd w:id="44"/>
      <w:bookmarkEnd w:id="45"/>
    </w:p>
    <w:p w14:paraId="38492BB7">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1、满足《中华人民共和国政府采购法》第二十二条规定；</w:t>
      </w:r>
    </w:p>
    <w:p w14:paraId="2E6436BB">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2、落实政府采购政策满足的资格要求：无。</w:t>
      </w:r>
    </w:p>
    <w:p w14:paraId="22FCDBA4">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3、本项目的特定资格要求</w:t>
      </w:r>
    </w:p>
    <w:p w14:paraId="32A82C2F">
      <w:pPr>
        <w:keepNext w:val="0"/>
        <w:keepLines w:val="0"/>
        <w:pageBreakBefore w:val="0"/>
        <w:widowControl w:val="0"/>
        <w:kinsoku/>
        <w:wordWrap w:val="0"/>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lang w:val="en-US" w:eastAsia="zh-CN"/>
        </w:rPr>
      </w:pPr>
      <w:bookmarkStart w:id="46" w:name="_Toc30643"/>
      <w:bookmarkStart w:id="47" w:name="_Toc9562"/>
      <w:bookmarkStart w:id="48" w:name="_Toc23395"/>
      <w:bookmarkStart w:id="49" w:name="_Toc9226"/>
      <w:bookmarkStart w:id="50" w:name="_Toc1430"/>
      <w:bookmarkStart w:id="51" w:name="_Toc30971"/>
      <w:bookmarkStart w:id="52" w:name="_Toc7823"/>
      <w:bookmarkStart w:id="53" w:name="_Toc17576"/>
      <w:r>
        <w:rPr>
          <w:rFonts w:hint="eastAsia" w:ascii="宋体" w:hAnsi="宋体" w:eastAsia="宋体" w:cs="宋体"/>
          <w:color w:val="auto"/>
          <w:sz w:val="21"/>
          <w:szCs w:val="21"/>
          <w:highlight w:val="none"/>
          <w:lang w:val="en-US" w:eastAsia="zh-CN"/>
        </w:rPr>
        <w:t>3.1 根据《关于在政府采购活动中查询及使用信用记录有关问题的通知》（财库[2016]125号）的规定，采购人或采购代理机构将通过“中国执行信息公开网”网站（https://zxgk.court.gov.cn/）、“信用中国”网站（https://www.creditchina.gov.cn/）、中国政府采购网（http://www.ccgp.gov.cn/）、国家企业信用信息公示系统（http://www.gsxt.gov.cn）等渠道查询投标人信用记录，被列入失信被执行人、重大税收违法失信主体、政府采购严重违法失信行为记录名单、严重违法失信名单的投标人将被拒绝参与本项目政府采购活动（截止时点：投标截止时间）。在规定的查询时间之后，网站信息发生的任何变更均不再作为评审依据。投标人自行提供的与网站信息不一致的其他证明材料亦不作为资格审查的依据。信用信息查询记录和证据将同采购文件等资料一同归档保存。</w:t>
      </w:r>
    </w:p>
    <w:p w14:paraId="604BDD5C">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3.2单位负责人为同一人或者存在直接控股、管理关系的不同投标人，不得参加同一合同项下的政府采购活动。</w:t>
      </w:r>
    </w:p>
    <w:p w14:paraId="66E3C080">
      <w:pPr>
        <w:pStyle w:val="5"/>
        <w:keepNext w:val="0"/>
        <w:keepLines w:val="0"/>
        <w:pageBreakBefore w:val="0"/>
        <w:widowControl/>
        <w:numPr>
          <w:ilvl w:val="0"/>
          <w:numId w:val="0"/>
        </w:numPr>
        <w:kinsoku/>
        <w:overflowPunct/>
        <w:topLinePunct w:val="0"/>
        <w:bidi w:val="0"/>
        <w:spacing w:before="0" w:after="0" w:line="360" w:lineRule="auto"/>
        <w:jc w:val="left"/>
        <w:textAlignment w:val="auto"/>
        <w:rPr>
          <w:rFonts w:hint="eastAsia" w:ascii="宋体" w:hAnsi="宋体" w:eastAsia="宋体" w:cs="宋体"/>
          <w:bCs/>
          <w:color w:val="auto"/>
          <w:sz w:val="21"/>
          <w:szCs w:val="21"/>
          <w:highlight w:val="none"/>
        </w:rPr>
      </w:pPr>
      <w:bookmarkStart w:id="54" w:name="_Toc5519"/>
      <w:bookmarkStart w:id="55" w:name="_Toc25665"/>
      <w:bookmarkStart w:id="56" w:name="_Toc5893"/>
      <w:bookmarkStart w:id="57" w:name="_Toc28569"/>
      <w:bookmarkStart w:id="58" w:name="_Toc21268"/>
      <w:bookmarkStart w:id="59" w:name="_Toc12041"/>
      <w:bookmarkStart w:id="60" w:name="_Toc23730"/>
      <w:bookmarkStart w:id="61" w:name="_Toc29346"/>
      <w:r>
        <w:rPr>
          <w:rFonts w:hint="eastAsia" w:ascii="宋体" w:hAnsi="宋体" w:eastAsia="宋体" w:cs="宋体"/>
          <w:bCs/>
          <w:color w:val="auto"/>
          <w:sz w:val="21"/>
          <w:szCs w:val="21"/>
          <w:highlight w:val="none"/>
          <w:shd w:val="clear" w:color="auto" w:fill="FFFFFF"/>
          <w:lang w:eastAsia="zh-CN"/>
        </w:rPr>
        <w:t>三</w:t>
      </w:r>
      <w:r>
        <w:rPr>
          <w:rFonts w:hint="eastAsia" w:ascii="宋体" w:hAnsi="宋体" w:eastAsia="宋体" w:cs="宋体"/>
          <w:bCs/>
          <w:color w:val="auto"/>
          <w:sz w:val="21"/>
          <w:szCs w:val="21"/>
          <w:highlight w:val="none"/>
          <w:shd w:val="clear" w:color="auto" w:fill="FFFFFF"/>
        </w:rPr>
        <w:t>、获取招标文件</w:t>
      </w:r>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p>
    <w:p w14:paraId="5708F295">
      <w:pPr>
        <w:keepNext w:val="0"/>
        <w:keepLines w:val="0"/>
        <w:pageBreakBefore w:val="0"/>
        <w:widowControl/>
        <w:kinsoku/>
        <w:overflowPunct/>
        <w:topLinePunct w:val="0"/>
        <w:bidi w:val="0"/>
        <w:adjustRightInd w:val="0"/>
        <w:snapToGrid w:val="0"/>
        <w:spacing w:line="360" w:lineRule="auto"/>
        <w:ind w:firstLine="420" w:firstLineChars="200"/>
        <w:jc w:val="left"/>
        <w:textAlignment w:val="auto"/>
        <w:rPr>
          <w:rFonts w:hint="eastAsia" w:ascii="宋体" w:hAnsi="宋体" w:eastAsia="宋体" w:cs="宋体"/>
          <w:color w:val="auto"/>
          <w:sz w:val="21"/>
          <w:szCs w:val="21"/>
          <w:highlight w:val="none"/>
          <w:shd w:val="clear" w:color="auto" w:fill="FFFFFF"/>
          <w:lang w:val="en-US" w:eastAsia="zh-CN"/>
        </w:rPr>
      </w:pPr>
      <w:r>
        <w:rPr>
          <w:rFonts w:hint="eastAsia" w:ascii="宋体" w:hAnsi="宋体" w:eastAsia="宋体" w:cs="宋体"/>
          <w:color w:val="auto"/>
          <w:sz w:val="21"/>
          <w:szCs w:val="21"/>
          <w:highlight w:val="none"/>
          <w:shd w:val="clear" w:color="auto" w:fill="FFFFFF"/>
          <w:lang w:val="en-US" w:eastAsia="zh-CN"/>
        </w:rPr>
        <w:t>1.</w:t>
      </w:r>
      <w:r>
        <w:rPr>
          <w:rFonts w:hint="eastAsia" w:ascii="宋体" w:hAnsi="宋体" w:eastAsia="宋体" w:cs="宋体"/>
          <w:color w:val="auto"/>
          <w:sz w:val="21"/>
          <w:szCs w:val="21"/>
          <w:highlight w:val="none"/>
          <w:shd w:val="clear" w:color="auto" w:fill="FFFFFF"/>
        </w:rPr>
        <w:t>时间：</w:t>
      </w:r>
      <w:r>
        <w:rPr>
          <w:rFonts w:hint="eastAsia" w:ascii="宋体" w:hAnsi="宋体" w:eastAsia="宋体" w:cs="宋体"/>
          <w:color w:val="auto"/>
          <w:sz w:val="21"/>
          <w:szCs w:val="21"/>
          <w:highlight w:val="none"/>
          <w:shd w:val="clear" w:color="auto" w:fill="FFFFFF"/>
          <w:lang w:val="en-US" w:eastAsia="zh-CN"/>
        </w:rPr>
        <w:t>2026</w:t>
      </w:r>
      <w:r>
        <w:rPr>
          <w:rFonts w:hint="eastAsia" w:ascii="宋体" w:hAnsi="宋体" w:eastAsia="宋体" w:cs="宋体"/>
          <w:color w:val="auto"/>
          <w:kern w:val="0"/>
          <w:sz w:val="21"/>
          <w:szCs w:val="21"/>
          <w:highlight w:val="none"/>
        </w:rPr>
        <w:t>年</w:t>
      </w:r>
      <w:r>
        <w:rPr>
          <w:rFonts w:hint="eastAsia" w:cs="宋体"/>
          <w:color w:val="auto"/>
          <w:kern w:val="0"/>
          <w:sz w:val="21"/>
          <w:szCs w:val="21"/>
          <w:highlight w:val="none"/>
          <w:lang w:val="en-US" w:eastAsia="zh-CN"/>
        </w:rPr>
        <w:t>04</w:t>
      </w:r>
      <w:r>
        <w:rPr>
          <w:rFonts w:hint="eastAsia" w:ascii="宋体" w:hAnsi="宋体" w:eastAsia="宋体" w:cs="宋体"/>
          <w:color w:val="auto"/>
          <w:kern w:val="0"/>
          <w:sz w:val="21"/>
          <w:szCs w:val="21"/>
          <w:highlight w:val="none"/>
        </w:rPr>
        <w:t>月</w:t>
      </w:r>
      <w:r>
        <w:rPr>
          <w:rFonts w:hint="eastAsia" w:cs="宋体"/>
          <w:color w:val="auto"/>
          <w:kern w:val="0"/>
          <w:sz w:val="21"/>
          <w:szCs w:val="21"/>
          <w:highlight w:val="none"/>
          <w:lang w:val="en-US" w:eastAsia="zh-CN"/>
        </w:rPr>
        <w:t>08</w:t>
      </w:r>
      <w:r>
        <w:rPr>
          <w:rFonts w:hint="eastAsia" w:ascii="宋体" w:hAnsi="宋体" w:eastAsia="宋体" w:cs="宋体"/>
          <w:color w:val="auto"/>
          <w:kern w:val="0"/>
          <w:sz w:val="21"/>
          <w:szCs w:val="21"/>
          <w:highlight w:val="none"/>
        </w:rPr>
        <w:t>日</w:t>
      </w:r>
      <w:r>
        <w:rPr>
          <w:rFonts w:hint="eastAsia" w:ascii="宋体" w:hAnsi="宋体" w:eastAsia="宋体" w:cs="宋体"/>
          <w:color w:val="auto"/>
          <w:sz w:val="21"/>
          <w:szCs w:val="21"/>
          <w:highlight w:val="none"/>
          <w:shd w:val="clear" w:color="auto" w:fill="FFFFFF"/>
        </w:rPr>
        <w:t>至</w:t>
      </w:r>
      <w:r>
        <w:rPr>
          <w:rFonts w:hint="eastAsia" w:ascii="宋体" w:hAnsi="宋体" w:eastAsia="宋体" w:cs="宋体"/>
          <w:color w:val="auto"/>
          <w:sz w:val="21"/>
          <w:szCs w:val="21"/>
          <w:highlight w:val="none"/>
          <w:shd w:val="clear" w:color="auto" w:fill="FFFFFF"/>
          <w:lang w:val="en-US" w:eastAsia="zh-CN"/>
        </w:rPr>
        <w:t>2026</w:t>
      </w:r>
      <w:r>
        <w:rPr>
          <w:rFonts w:hint="eastAsia" w:ascii="宋体" w:hAnsi="宋体" w:eastAsia="宋体" w:cs="宋体"/>
          <w:color w:val="auto"/>
          <w:kern w:val="0"/>
          <w:sz w:val="21"/>
          <w:szCs w:val="21"/>
          <w:highlight w:val="none"/>
        </w:rPr>
        <w:t>年</w:t>
      </w:r>
      <w:r>
        <w:rPr>
          <w:rFonts w:hint="eastAsia" w:cs="宋体"/>
          <w:color w:val="auto"/>
          <w:kern w:val="0"/>
          <w:sz w:val="21"/>
          <w:szCs w:val="21"/>
          <w:highlight w:val="none"/>
          <w:lang w:val="en-US" w:eastAsia="zh-CN"/>
        </w:rPr>
        <w:t>04</w:t>
      </w:r>
      <w:r>
        <w:rPr>
          <w:rFonts w:hint="eastAsia" w:ascii="宋体" w:hAnsi="宋体" w:eastAsia="宋体" w:cs="宋体"/>
          <w:color w:val="auto"/>
          <w:kern w:val="0"/>
          <w:sz w:val="21"/>
          <w:szCs w:val="21"/>
          <w:highlight w:val="none"/>
        </w:rPr>
        <w:t>月</w:t>
      </w:r>
      <w:r>
        <w:rPr>
          <w:rFonts w:hint="eastAsia" w:cs="宋体"/>
          <w:color w:val="auto"/>
          <w:kern w:val="0"/>
          <w:sz w:val="21"/>
          <w:szCs w:val="21"/>
          <w:highlight w:val="none"/>
          <w:lang w:val="en-US" w:eastAsia="zh-CN"/>
        </w:rPr>
        <w:t>14</w:t>
      </w:r>
      <w:r>
        <w:rPr>
          <w:rFonts w:hint="eastAsia" w:ascii="宋体" w:hAnsi="宋体" w:eastAsia="宋体" w:cs="宋体"/>
          <w:color w:val="auto"/>
          <w:kern w:val="0"/>
          <w:sz w:val="21"/>
          <w:szCs w:val="21"/>
          <w:highlight w:val="none"/>
        </w:rPr>
        <w:t>日</w:t>
      </w:r>
      <w:r>
        <w:rPr>
          <w:rFonts w:hint="eastAsia" w:ascii="宋体" w:hAnsi="宋体" w:eastAsia="宋体" w:cs="宋体"/>
          <w:color w:val="auto"/>
          <w:kern w:val="0"/>
          <w:sz w:val="21"/>
          <w:szCs w:val="21"/>
          <w:highlight w:val="none"/>
          <w:lang w:eastAsia="zh-CN"/>
        </w:rPr>
        <w:t>，每天上午00</w:t>
      </w:r>
      <w:r>
        <w:rPr>
          <w:rFonts w:hint="eastAsia" w:ascii="宋体" w:hAnsi="宋体" w:eastAsia="宋体" w:cs="宋体"/>
          <w:color w:val="auto"/>
          <w:kern w:val="0"/>
          <w:sz w:val="21"/>
          <w:szCs w:val="21"/>
          <w:highlight w:val="none"/>
          <w:lang w:val="en-US" w:eastAsia="zh-CN"/>
        </w:rPr>
        <w:t>：</w:t>
      </w:r>
      <w:r>
        <w:rPr>
          <w:rFonts w:hint="eastAsia" w:ascii="宋体" w:hAnsi="宋体" w:eastAsia="宋体" w:cs="宋体"/>
          <w:color w:val="auto"/>
          <w:kern w:val="0"/>
          <w:sz w:val="21"/>
          <w:szCs w:val="21"/>
          <w:highlight w:val="none"/>
          <w:lang w:eastAsia="zh-CN"/>
        </w:rPr>
        <w:t>00至12：00</w:t>
      </w:r>
      <w:r>
        <w:rPr>
          <w:rFonts w:hint="eastAsia" w:ascii="宋体" w:hAnsi="宋体" w:eastAsia="宋体" w:cs="宋体"/>
          <w:color w:val="auto"/>
          <w:kern w:val="0"/>
          <w:sz w:val="21"/>
          <w:szCs w:val="21"/>
          <w:highlight w:val="none"/>
          <w:lang w:val="en-US" w:eastAsia="zh-CN"/>
        </w:rPr>
        <w:t>，下午12：00至23：59（北京时间，法定节假日除外。</w:t>
      </w:r>
      <w:r>
        <w:rPr>
          <w:rFonts w:hint="eastAsia" w:ascii="宋体" w:hAnsi="宋体" w:eastAsia="宋体" w:cs="宋体"/>
          <w:color w:val="auto"/>
          <w:sz w:val="21"/>
          <w:szCs w:val="21"/>
          <w:highlight w:val="none"/>
          <w:shd w:val="clear" w:color="auto" w:fill="FFFFFF"/>
          <w:lang w:val="en-US" w:eastAsia="zh-CN"/>
        </w:rPr>
        <w:t>）</w:t>
      </w:r>
    </w:p>
    <w:p w14:paraId="74061E4F">
      <w:pPr>
        <w:pStyle w:val="33"/>
        <w:keepNext w:val="0"/>
        <w:keepLines w:val="0"/>
        <w:pageBreakBefore w:val="0"/>
        <w:widowControl/>
        <w:numPr>
          <w:ilvl w:val="0"/>
          <w:numId w:val="0"/>
        </w:numPr>
        <w:kinsoku/>
        <w:wordWrap w:val="0"/>
        <w:overflowPunct/>
        <w:topLinePunct w:val="0"/>
        <w:autoSpaceDE/>
        <w:autoSpaceDN/>
        <w:bidi w:val="0"/>
        <w:adjustRightInd/>
        <w:snapToGrid/>
        <w:spacing w:before="0" w:beforeAutospacing="0" w:after="0" w:afterAutospacing="0" w:line="360" w:lineRule="auto"/>
        <w:ind w:leftChars="0" w:right="0" w:rightChars="0" w:firstLine="420" w:firstLineChars="200"/>
        <w:textAlignment w:val="auto"/>
        <w:rPr>
          <w:rFonts w:hint="eastAsia" w:ascii="宋体" w:hAnsi="宋体" w:eastAsia="宋体" w:cs="宋体"/>
          <w:b w:val="0"/>
          <w:bCs w:val="0"/>
          <w:color w:val="auto"/>
          <w:sz w:val="21"/>
          <w:szCs w:val="21"/>
          <w:highlight w:val="none"/>
          <w:shd w:val="clear" w:color="auto" w:fill="FFFFFF"/>
          <w:lang w:val="en-US" w:eastAsia="zh-CN"/>
        </w:rPr>
      </w:pPr>
      <w:r>
        <w:rPr>
          <w:rFonts w:hint="eastAsia" w:ascii="宋体" w:hAnsi="宋体" w:eastAsia="宋体" w:cs="宋体"/>
          <w:b w:val="0"/>
          <w:bCs w:val="0"/>
          <w:color w:val="auto"/>
          <w:sz w:val="21"/>
          <w:szCs w:val="21"/>
          <w:highlight w:val="none"/>
          <w:shd w:val="clear" w:color="auto" w:fill="FFFFFF"/>
          <w:lang w:val="en-US" w:eastAsia="zh-CN"/>
        </w:rPr>
        <w:t>2.地点：</w:t>
      </w:r>
      <w:r>
        <w:rPr>
          <w:rFonts w:hint="eastAsia" w:ascii="宋体" w:hAnsi="宋体" w:eastAsia="宋体" w:cs="宋体"/>
          <w:b w:val="0"/>
          <w:bCs w:val="0"/>
          <w:color w:val="auto"/>
          <w:kern w:val="0"/>
          <w:sz w:val="21"/>
          <w:szCs w:val="21"/>
          <w:highlight w:val="none"/>
          <w:u w:val="none" w:color="auto"/>
          <w:lang w:val="en-US" w:eastAsia="zh-CN"/>
        </w:rPr>
        <w:t>河南省公共资源交易中心（https://hnsggzyjy.henan.gov.cn/）</w:t>
      </w:r>
    </w:p>
    <w:p w14:paraId="13770361">
      <w:pPr>
        <w:pStyle w:val="33"/>
        <w:keepNext w:val="0"/>
        <w:keepLines w:val="0"/>
        <w:pageBreakBefore w:val="0"/>
        <w:widowControl/>
        <w:numPr>
          <w:ilvl w:val="0"/>
          <w:numId w:val="0"/>
        </w:numPr>
        <w:kinsoku/>
        <w:wordWrap w:val="0"/>
        <w:overflowPunct/>
        <w:topLinePunct w:val="0"/>
        <w:autoSpaceDE/>
        <w:autoSpaceDN/>
        <w:bidi w:val="0"/>
        <w:adjustRightInd/>
        <w:snapToGrid/>
        <w:spacing w:before="0" w:beforeAutospacing="0" w:after="0" w:afterAutospacing="0" w:line="360" w:lineRule="auto"/>
        <w:ind w:leftChars="0" w:right="0" w:rightChars="0" w:firstLine="420" w:firstLineChars="200"/>
        <w:textAlignment w:val="auto"/>
        <w:rPr>
          <w:rFonts w:hint="eastAsia" w:ascii="宋体" w:hAnsi="宋体" w:eastAsia="宋体" w:cs="宋体"/>
          <w:b w:val="0"/>
          <w:bCs w:val="0"/>
          <w:color w:val="auto"/>
          <w:sz w:val="21"/>
          <w:szCs w:val="21"/>
          <w:highlight w:val="none"/>
          <w:shd w:val="clear" w:color="auto" w:fill="FFFFFF"/>
          <w:lang w:val="en-US" w:eastAsia="zh-CN"/>
        </w:rPr>
      </w:pPr>
      <w:r>
        <w:rPr>
          <w:rFonts w:hint="eastAsia" w:ascii="宋体" w:hAnsi="宋体" w:eastAsia="宋体" w:cs="宋体"/>
          <w:b w:val="0"/>
          <w:bCs w:val="0"/>
          <w:color w:val="auto"/>
          <w:sz w:val="21"/>
          <w:szCs w:val="21"/>
          <w:highlight w:val="none"/>
          <w:shd w:val="clear" w:color="auto" w:fill="FFFFFF"/>
          <w:lang w:val="en-US" w:eastAsia="zh-CN"/>
        </w:rPr>
        <w:t>3.方式：市场主体需要完成 CA 数字证书办理，凭 CA 密钥登陆河南省公共资源交易中心系统并在规定时间内按网上提示下载招标文件，获取招标文件后，</w:t>
      </w:r>
      <w:r>
        <w:rPr>
          <w:rFonts w:hint="eastAsia" w:ascii="宋体" w:hAnsi="宋体" w:eastAsia="宋体" w:cs="宋体"/>
          <w:color w:val="auto"/>
          <w:sz w:val="21"/>
          <w:szCs w:val="21"/>
          <w:highlight w:val="none"/>
          <w:lang w:val="en-US" w:eastAsia="zh-CN"/>
        </w:rPr>
        <w:t>投标人</w:t>
      </w:r>
      <w:r>
        <w:rPr>
          <w:rFonts w:hint="eastAsia" w:ascii="宋体" w:hAnsi="宋体" w:eastAsia="宋体" w:cs="宋体"/>
          <w:b w:val="0"/>
          <w:bCs w:val="0"/>
          <w:color w:val="auto"/>
          <w:sz w:val="21"/>
          <w:szCs w:val="21"/>
          <w:highlight w:val="none"/>
          <w:shd w:val="clear" w:color="auto" w:fill="FFFFFF"/>
          <w:lang w:val="en-US" w:eastAsia="zh-CN"/>
        </w:rPr>
        <w:t>请到河南省公共资源交易中心网站下载最新版本的投标文件制作工具安装包，并使用安装后的最新版本投标文件制作工具制作电子投标文件。</w:t>
      </w:r>
    </w:p>
    <w:p w14:paraId="65478DDC">
      <w:pPr>
        <w:pStyle w:val="33"/>
        <w:keepNext w:val="0"/>
        <w:keepLines w:val="0"/>
        <w:pageBreakBefore w:val="0"/>
        <w:widowControl/>
        <w:numPr>
          <w:ilvl w:val="0"/>
          <w:numId w:val="0"/>
        </w:numPr>
        <w:kinsoku/>
        <w:wordWrap w:val="0"/>
        <w:overflowPunct/>
        <w:topLinePunct w:val="0"/>
        <w:autoSpaceDE/>
        <w:autoSpaceDN/>
        <w:bidi w:val="0"/>
        <w:adjustRightInd/>
        <w:snapToGrid/>
        <w:spacing w:before="0" w:beforeAutospacing="0" w:after="0" w:afterAutospacing="0" w:line="360" w:lineRule="auto"/>
        <w:ind w:leftChars="0" w:right="0" w:rightChars="0" w:firstLine="420" w:firstLineChars="200"/>
        <w:textAlignment w:val="auto"/>
        <w:rPr>
          <w:rFonts w:hint="eastAsia" w:ascii="宋体" w:hAnsi="宋体" w:eastAsia="宋体" w:cs="宋体"/>
          <w:b w:val="0"/>
          <w:bCs w:val="0"/>
          <w:color w:val="auto"/>
          <w:sz w:val="21"/>
          <w:szCs w:val="21"/>
          <w:highlight w:val="none"/>
          <w:shd w:val="clear" w:color="auto" w:fill="FFFFFF"/>
          <w:lang w:val="en-US" w:eastAsia="zh-CN"/>
        </w:rPr>
      </w:pPr>
      <w:r>
        <w:rPr>
          <w:rFonts w:hint="eastAsia" w:ascii="宋体" w:hAnsi="宋体" w:eastAsia="宋体" w:cs="宋体"/>
          <w:b w:val="0"/>
          <w:bCs w:val="0"/>
          <w:color w:val="auto"/>
          <w:sz w:val="21"/>
          <w:szCs w:val="21"/>
          <w:highlight w:val="none"/>
          <w:shd w:val="clear" w:color="auto" w:fill="FFFFFF"/>
          <w:lang w:val="en-US" w:eastAsia="zh-CN"/>
        </w:rPr>
        <w:t>4.售价：0元</w:t>
      </w:r>
    </w:p>
    <w:p w14:paraId="27AB68F3">
      <w:pPr>
        <w:pStyle w:val="5"/>
        <w:keepNext w:val="0"/>
        <w:keepLines w:val="0"/>
        <w:pageBreakBefore w:val="0"/>
        <w:widowControl/>
        <w:numPr>
          <w:ilvl w:val="0"/>
          <w:numId w:val="0"/>
        </w:numPr>
        <w:kinsoku/>
        <w:overflowPunct/>
        <w:topLinePunct w:val="0"/>
        <w:bidi w:val="0"/>
        <w:spacing w:before="0" w:after="0" w:line="360" w:lineRule="auto"/>
        <w:jc w:val="left"/>
        <w:textAlignment w:val="auto"/>
        <w:rPr>
          <w:rFonts w:hint="eastAsia" w:ascii="宋体" w:hAnsi="宋体" w:eastAsia="宋体" w:cs="宋体"/>
          <w:bCs/>
          <w:color w:val="auto"/>
          <w:sz w:val="21"/>
          <w:szCs w:val="21"/>
          <w:highlight w:val="none"/>
        </w:rPr>
      </w:pPr>
      <w:bookmarkStart w:id="62" w:name="_Toc27480"/>
      <w:bookmarkStart w:id="63" w:name="_Toc178"/>
      <w:bookmarkStart w:id="64" w:name="_Toc23864"/>
      <w:bookmarkStart w:id="65" w:name="_Toc2743"/>
      <w:bookmarkStart w:id="66" w:name="_Toc24254"/>
      <w:bookmarkStart w:id="67" w:name="_Toc17064"/>
      <w:bookmarkStart w:id="68" w:name="_Toc22481"/>
      <w:bookmarkStart w:id="69" w:name="_Toc25869"/>
      <w:bookmarkStart w:id="70" w:name="_Toc761"/>
      <w:bookmarkStart w:id="71" w:name="_Toc25136"/>
      <w:bookmarkStart w:id="72" w:name="_Toc10738"/>
      <w:bookmarkStart w:id="73" w:name="_Toc13403"/>
      <w:bookmarkStart w:id="74" w:name="_Toc22374"/>
      <w:bookmarkStart w:id="75" w:name="_Toc27293"/>
      <w:bookmarkStart w:id="76" w:name="_Toc15111"/>
      <w:bookmarkStart w:id="77" w:name="_Toc15135"/>
      <w:r>
        <w:rPr>
          <w:rFonts w:hint="eastAsia" w:ascii="宋体" w:hAnsi="宋体" w:eastAsia="宋体" w:cs="宋体"/>
          <w:bCs/>
          <w:color w:val="auto"/>
          <w:sz w:val="21"/>
          <w:szCs w:val="21"/>
          <w:highlight w:val="none"/>
          <w:shd w:val="clear" w:color="auto" w:fill="FFFFFF"/>
          <w:lang w:eastAsia="zh-CN"/>
        </w:rPr>
        <w:t>四</w:t>
      </w:r>
      <w:r>
        <w:rPr>
          <w:rFonts w:hint="eastAsia" w:ascii="宋体" w:hAnsi="宋体" w:eastAsia="宋体" w:cs="宋体"/>
          <w:bCs/>
          <w:color w:val="auto"/>
          <w:sz w:val="21"/>
          <w:szCs w:val="21"/>
          <w:highlight w:val="none"/>
          <w:shd w:val="clear" w:color="auto" w:fill="FFFFFF"/>
        </w:rPr>
        <w:t>、投标截止时间及地点</w:t>
      </w:r>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p>
    <w:p w14:paraId="32E8387B">
      <w:pPr>
        <w:pStyle w:val="33"/>
        <w:keepNext w:val="0"/>
        <w:keepLines w:val="0"/>
        <w:pageBreakBefore w:val="0"/>
        <w:widowControl/>
        <w:kinsoku/>
        <w:overflowPunct/>
        <w:topLinePunct w:val="0"/>
        <w:bidi w:val="0"/>
        <w:spacing w:before="0" w:beforeAutospacing="0" w:after="0" w:afterAutospacing="0"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shd w:val="clear" w:color="auto" w:fill="FFFFFF"/>
        </w:rPr>
        <w:t>1</w:t>
      </w:r>
      <w:r>
        <w:rPr>
          <w:rFonts w:hint="eastAsia" w:ascii="宋体" w:hAnsi="宋体" w:eastAsia="宋体" w:cs="宋体"/>
          <w:color w:val="auto"/>
          <w:sz w:val="21"/>
          <w:szCs w:val="21"/>
          <w:highlight w:val="none"/>
          <w:shd w:val="clear" w:color="auto" w:fill="FFFFFF"/>
          <w:lang w:val="en-US" w:eastAsia="zh-CN"/>
        </w:rPr>
        <w:t>.</w:t>
      </w:r>
      <w:r>
        <w:rPr>
          <w:rFonts w:hint="eastAsia" w:ascii="宋体" w:hAnsi="宋体" w:eastAsia="宋体" w:cs="宋体"/>
          <w:color w:val="auto"/>
          <w:sz w:val="21"/>
          <w:szCs w:val="21"/>
          <w:highlight w:val="none"/>
          <w:shd w:val="clear" w:color="auto" w:fill="FFFFFF"/>
        </w:rPr>
        <w:t>时间：</w:t>
      </w:r>
      <w:r>
        <w:rPr>
          <w:rFonts w:hint="eastAsia" w:ascii="宋体" w:hAnsi="宋体" w:eastAsia="宋体" w:cs="宋体"/>
          <w:color w:val="auto"/>
          <w:sz w:val="21"/>
          <w:szCs w:val="21"/>
          <w:highlight w:val="none"/>
          <w:lang w:val="en-US" w:eastAsia="zh-CN"/>
        </w:rPr>
        <w:t>2026</w:t>
      </w:r>
      <w:r>
        <w:rPr>
          <w:rFonts w:hint="eastAsia" w:ascii="宋体" w:hAnsi="宋体" w:eastAsia="宋体" w:cs="宋体"/>
          <w:color w:val="auto"/>
          <w:kern w:val="0"/>
          <w:sz w:val="21"/>
          <w:szCs w:val="21"/>
          <w:highlight w:val="none"/>
        </w:rPr>
        <w:t>年</w:t>
      </w:r>
      <w:r>
        <w:rPr>
          <w:rFonts w:hint="eastAsia" w:cs="宋体"/>
          <w:color w:val="auto"/>
          <w:kern w:val="0"/>
          <w:sz w:val="21"/>
          <w:szCs w:val="21"/>
          <w:highlight w:val="none"/>
          <w:lang w:val="en-US" w:eastAsia="zh-CN"/>
        </w:rPr>
        <w:t>04</w:t>
      </w:r>
      <w:r>
        <w:rPr>
          <w:rFonts w:hint="eastAsia" w:ascii="宋体" w:hAnsi="宋体" w:eastAsia="宋体" w:cs="宋体"/>
          <w:color w:val="auto"/>
          <w:kern w:val="0"/>
          <w:sz w:val="21"/>
          <w:szCs w:val="21"/>
          <w:highlight w:val="none"/>
        </w:rPr>
        <w:t>月</w:t>
      </w:r>
      <w:r>
        <w:rPr>
          <w:rFonts w:hint="eastAsia" w:cs="宋体"/>
          <w:color w:val="auto"/>
          <w:kern w:val="0"/>
          <w:sz w:val="21"/>
          <w:szCs w:val="21"/>
          <w:highlight w:val="none"/>
          <w:lang w:val="en-US" w:eastAsia="zh-CN"/>
        </w:rPr>
        <w:t>28</w:t>
      </w:r>
      <w:r>
        <w:rPr>
          <w:rFonts w:hint="eastAsia" w:ascii="宋体" w:hAnsi="宋体" w:eastAsia="宋体" w:cs="宋体"/>
          <w:color w:val="auto"/>
          <w:kern w:val="0"/>
          <w:sz w:val="21"/>
          <w:szCs w:val="21"/>
          <w:highlight w:val="none"/>
        </w:rPr>
        <w:t>日</w:t>
      </w:r>
      <w:r>
        <w:rPr>
          <w:rFonts w:hint="eastAsia" w:ascii="宋体" w:hAnsi="宋体" w:eastAsia="宋体" w:cs="宋体"/>
          <w:color w:val="auto"/>
          <w:kern w:val="0"/>
          <w:sz w:val="21"/>
          <w:szCs w:val="21"/>
          <w:highlight w:val="none"/>
          <w:lang w:val="en-US" w:eastAsia="zh-CN"/>
        </w:rPr>
        <w:t>09</w:t>
      </w:r>
      <w:r>
        <w:rPr>
          <w:rFonts w:hint="eastAsia" w:ascii="宋体" w:hAnsi="宋体" w:eastAsia="宋体" w:cs="宋体"/>
          <w:color w:val="auto"/>
          <w:kern w:val="0"/>
          <w:sz w:val="21"/>
          <w:szCs w:val="21"/>
          <w:highlight w:val="none"/>
        </w:rPr>
        <w:t>时</w:t>
      </w:r>
      <w:r>
        <w:rPr>
          <w:rFonts w:hint="eastAsia" w:ascii="宋体" w:hAnsi="宋体" w:eastAsia="宋体" w:cs="宋体"/>
          <w:color w:val="auto"/>
          <w:kern w:val="0"/>
          <w:sz w:val="21"/>
          <w:szCs w:val="21"/>
          <w:highlight w:val="none"/>
          <w:lang w:val="en-US" w:eastAsia="zh-CN"/>
        </w:rPr>
        <w:t>00</w:t>
      </w:r>
      <w:r>
        <w:rPr>
          <w:rFonts w:hint="eastAsia" w:ascii="宋体" w:hAnsi="宋体" w:eastAsia="宋体" w:cs="宋体"/>
          <w:color w:val="auto"/>
          <w:kern w:val="0"/>
          <w:sz w:val="21"/>
          <w:szCs w:val="21"/>
          <w:highlight w:val="none"/>
        </w:rPr>
        <w:t>分</w:t>
      </w:r>
      <w:r>
        <w:rPr>
          <w:rFonts w:hint="eastAsia" w:ascii="宋体" w:hAnsi="宋体" w:eastAsia="宋体" w:cs="宋体"/>
          <w:color w:val="auto"/>
          <w:sz w:val="21"/>
          <w:szCs w:val="21"/>
          <w:highlight w:val="none"/>
          <w:shd w:val="clear" w:color="auto" w:fill="FFFFFF"/>
        </w:rPr>
        <w:t>（北京时间）</w:t>
      </w:r>
    </w:p>
    <w:p w14:paraId="6DBCE1A5">
      <w:pPr>
        <w:pStyle w:val="33"/>
        <w:keepNext w:val="0"/>
        <w:keepLines w:val="0"/>
        <w:pageBreakBefore w:val="0"/>
        <w:widowControl/>
        <w:kinsoku/>
        <w:overflowPunct/>
        <w:topLinePunct w:val="0"/>
        <w:bidi w:val="0"/>
        <w:spacing w:before="0" w:beforeAutospacing="0" w:after="0" w:afterAutospacing="0"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shd w:val="clear" w:color="auto" w:fill="FFFFFF"/>
        </w:rPr>
        <w:t>2</w:t>
      </w:r>
      <w:r>
        <w:rPr>
          <w:rFonts w:hint="eastAsia" w:ascii="宋体" w:hAnsi="宋体" w:eastAsia="宋体" w:cs="宋体"/>
          <w:color w:val="auto"/>
          <w:sz w:val="21"/>
          <w:szCs w:val="21"/>
          <w:highlight w:val="none"/>
          <w:shd w:val="clear" w:color="auto" w:fill="FFFFFF"/>
          <w:lang w:val="en-US" w:eastAsia="zh-CN"/>
        </w:rPr>
        <w:t>.</w:t>
      </w:r>
      <w:r>
        <w:rPr>
          <w:rFonts w:hint="eastAsia" w:ascii="宋体" w:hAnsi="宋体" w:eastAsia="宋体" w:cs="宋体"/>
          <w:color w:val="auto"/>
          <w:sz w:val="21"/>
          <w:szCs w:val="21"/>
          <w:highlight w:val="none"/>
          <w:shd w:val="clear" w:color="auto" w:fill="FFFFFF"/>
        </w:rPr>
        <w:t>地点：</w:t>
      </w:r>
      <w:r>
        <w:rPr>
          <w:rFonts w:hint="eastAsia" w:ascii="宋体" w:hAnsi="宋体" w:eastAsia="宋体" w:cs="宋体"/>
          <w:color w:val="auto"/>
          <w:sz w:val="21"/>
          <w:szCs w:val="21"/>
          <w:highlight w:val="none"/>
          <w:shd w:val="clear" w:color="auto" w:fill="auto"/>
          <w:lang w:val="en-US" w:eastAsia="zh-CN"/>
        </w:rPr>
        <w:t>电子投标文件应于投标文件提交截止时间前在河南省公共资源交易中心交易系统中加密上传成功</w:t>
      </w:r>
      <w:r>
        <w:rPr>
          <w:rFonts w:hint="eastAsia" w:ascii="宋体" w:hAnsi="宋体" w:eastAsia="宋体" w:cs="宋体"/>
          <w:color w:val="auto"/>
          <w:sz w:val="21"/>
          <w:szCs w:val="21"/>
          <w:highlight w:val="none"/>
          <w:shd w:val="clear" w:color="auto" w:fill="FFFFFF"/>
          <w:lang w:val="en-US" w:eastAsia="zh-CN"/>
        </w:rPr>
        <w:t>（逾期未上传或上传不成功采购人将不予受理）。</w:t>
      </w:r>
    </w:p>
    <w:p w14:paraId="302A575A">
      <w:pPr>
        <w:pStyle w:val="5"/>
        <w:keepNext w:val="0"/>
        <w:keepLines w:val="0"/>
        <w:pageBreakBefore w:val="0"/>
        <w:widowControl/>
        <w:numPr>
          <w:ilvl w:val="0"/>
          <w:numId w:val="0"/>
        </w:numPr>
        <w:kinsoku/>
        <w:overflowPunct/>
        <w:topLinePunct w:val="0"/>
        <w:bidi w:val="0"/>
        <w:spacing w:before="0" w:after="0" w:line="360" w:lineRule="auto"/>
        <w:jc w:val="left"/>
        <w:textAlignment w:val="auto"/>
        <w:rPr>
          <w:rFonts w:hint="eastAsia" w:ascii="宋体" w:hAnsi="宋体" w:eastAsia="宋体" w:cs="宋体"/>
          <w:bCs/>
          <w:color w:val="auto"/>
          <w:sz w:val="21"/>
          <w:szCs w:val="21"/>
          <w:highlight w:val="none"/>
        </w:rPr>
      </w:pPr>
      <w:bookmarkStart w:id="78" w:name="_Toc31799"/>
      <w:bookmarkStart w:id="79" w:name="_Toc20992"/>
      <w:bookmarkStart w:id="80" w:name="_Toc12179"/>
      <w:bookmarkStart w:id="81" w:name="_Toc13279"/>
      <w:bookmarkStart w:id="82" w:name="_Toc13997"/>
      <w:bookmarkStart w:id="83" w:name="_Toc25928"/>
      <w:bookmarkStart w:id="84" w:name="_Toc19424"/>
      <w:bookmarkStart w:id="85" w:name="_Toc10652"/>
      <w:bookmarkStart w:id="86" w:name="_Toc32183"/>
      <w:bookmarkStart w:id="87" w:name="_Toc27882"/>
      <w:bookmarkStart w:id="88" w:name="_Toc23175"/>
      <w:bookmarkStart w:id="89" w:name="_Toc20438"/>
      <w:bookmarkStart w:id="90" w:name="_Toc21063"/>
      <w:bookmarkStart w:id="91" w:name="_Toc21301"/>
      <w:bookmarkStart w:id="92" w:name="_Toc32411"/>
      <w:bookmarkStart w:id="93" w:name="_Toc18536"/>
      <w:r>
        <w:rPr>
          <w:rFonts w:hint="eastAsia" w:ascii="宋体" w:hAnsi="宋体" w:eastAsia="宋体" w:cs="宋体"/>
          <w:bCs/>
          <w:color w:val="auto"/>
          <w:sz w:val="21"/>
          <w:szCs w:val="21"/>
          <w:highlight w:val="none"/>
          <w:shd w:val="clear" w:color="auto" w:fill="FFFFFF"/>
          <w:lang w:eastAsia="zh-CN"/>
        </w:rPr>
        <w:t>五</w:t>
      </w:r>
      <w:r>
        <w:rPr>
          <w:rFonts w:hint="eastAsia" w:ascii="宋体" w:hAnsi="宋体" w:eastAsia="宋体" w:cs="宋体"/>
          <w:bCs/>
          <w:color w:val="auto"/>
          <w:sz w:val="21"/>
          <w:szCs w:val="21"/>
          <w:highlight w:val="none"/>
          <w:shd w:val="clear" w:color="auto" w:fill="FFFFFF"/>
        </w:rPr>
        <w:t>、开标时间及地点</w:t>
      </w:r>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p>
    <w:p w14:paraId="45D638CE">
      <w:pPr>
        <w:pStyle w:val="33"/>
        <w:keepNext w:val="0"/>
        <w:keepLines w:val="0"/>
        <w:pageBreakBefore w:val="0"/>
        <w:widowControl/>
        <w:kinsoku/>
        <w:overflowPunct/>
        <w:topLinePunct w:val="0"/>
        <w:bidi w:val="0"/>
        <w:spacing w:before="0" w:beforeAutospacing="0" w:after="0" w:afterAutospacing="0"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shd w:val="clear" w:color="auto" w:fill="FFFFFF"/>
        </w:rPr>
        <w:t>1</w:t>
      </w:r>
      <w:r>
        <w:rPr>
          <w:rFonts w:hint="eastAsia" w:ascii="宋体" w:hAnsi="宋体" w:eastAsia="宋体" w:cs="宋体"/>
          <w:color w:val="auto"/>
          <w:sz w:val="21"/>
          <w:szCs w:val="21"/>
          <w:highlight w:val="none"/>
          <w:shd w:val="clear" w:color="auto" w:fill="FFFFFF"/>
          <w:lang w:val="en-US" w:eastAsia="zh-CN"/>
        </w:rPr>
        <w:t>.</w:t>
      </w:r>
      <w:r>
        <w:rPr>
          <w:rFonts w:hint="eastAsia" w:ascii="宋体" w:hAnsi="宋体" w:eastAsia="宋体" w:cs="宋体"/>
          <w:color w:val="auto"/>
          <w:sz w:val="21"/>
          <w:szCs w:val="21"/>
          <w:highlight w:val="none"/>
          <w:shd w:val="clear" w:color="auto" w:fill="FFFFFF"/>
        </w:rPr>
        <w:t>时间：</w:t>
      </w:r>
      <w:r>
        <w:rPr>
          <w:rFonts w:hint="eastAsia" w:ascii="宋体" w:hAnsi="宋体" w:eastAsia="宋体" w:cs="宋体"/>
          <w:color w:val="auto"/>
          <w:sz w:val="21"/>
          <w:szCs w:val="21"/>
          <w:highlight w:val="none"/>
          <w:lang w:val="en-US" w:eastAsia="zh-CN"/>
        </w:rPr>
        <w:t>2026</w:t>
      </w:r>
      <w:r>
        <w:rPr>
          <w:rFonts w:hint="eastAsia" w:ascii="宋体" w:hAnsi="宋体" w:eastAsia="宋体" w:cs="宋体"/>
          <w:color w:val="auto"/>
          <w:kern w:val="0"/>
          <w:sz w:val="21"/>
          <w:szCs w:val="21"/>
          <w:highlight w:val="none"/>
        </w:rPr>
        <w:t>年</w:t>
      </w:r>
      <w:r>
        <w:rPr>
          <w:rFonts w:hint="eastAsia" w:cs="宋体"/>
          <w:color w:val="auto"/>
          <w:kern w:val="0"/>
          <w:sz w:val="21"/>
          <w:szCs w:val="21"/>
          <w:highlight w:val="none"/>
          <w:lang w:val="en-US" w:eastAsia="zh-CN"/>
        </w:rPr>
        <w:t>04</w:t>
      </w:r>
      <w:r>
        <w:rPr>
          <w:rFonts w:hint="eastAsia" w:ascii="宋体" w:hAnsi="宋体" w:eastAsia="宋体" w:cs="宋体"/>
          <w:color w:val="auto"/>
          <w:kern w:val="0"/>
          <w:sz w:val="21"/>
          <w:szCs w:val="21"/>
          <w:highlight w:val="none"/>
        </w:rPr>
        <w:t>月</w:t>
      </w:r>
      <w:r>
        <w:rPr>
          <w:rFonts w:hint="eastAsia" w:cs="宋体"/>
          <w:color w:val="auto"/>
          <w:kern w:val="0"/>
          <w:sz w:val="21"/>
          <w:szCs w:val="21"/>
          <w:highlight w:val="none"/>
          <w:lang w:val="en-US" w:eastAsia="zh-CN"/>
        </w:rPr>
        <w:t>28</w:t>
      </w:r>
      <w:r>
        <w:rPr>
          <w:rFonts w:hint="eastAsia" w:ascii="宋体" w:hAnsi="宋体" w:eastAsia="宋体" w:cs="宋体"/>
          <w:color w:val="auto"/>
          <w:kern w:val="0"/>
          <w:sz w:val="21"/>
          <w:szCs w:val="21"/>
          <w:highlight w:val="none"/>
        </w:rPr>
        <w:t>日</w:t>
      </w:r>
      <w:r>
        <w:rPr>
          <w:rFonts w:hint="eastAsia" w:ascii="宋体" w:hAnsi="宋体" w:eastAsia="宋体" w:cs="宋体"/>
          <w:color w:val="auto"/>
          <w:kern w:val="0"/>
          <w:sz w:val="21"/>
          <w:szCs w:val="21"/>
          <w:highlight w:val="none"/>
          <w:lang w:val="en-US" w:eastAsia="zh-CN"/>
        </w:rPr>
        <w:t>09</w:t>
      </w:r>
      <w:r>
        <w:rPr>
          <w:rFonts w:hint="eastAsia" w:ascii="宋体" w:hAnsi="宋体" w:eastAsia="宋体" w:cs="宋体"/>
          <w:color w:val="auto"/>
          <w:kern w:val="0"/>
          <w:sz w:val="21"/>
          <w:szCs w:val="21"/>
          <w:highlight w:val="none"/>
        </w:rPr>
        <w:t>时</w:t>
      </w:r>
      <w:r>
        <w:rPr>
          <w:rFonts w:hint="eastAsia" w:ascii="宋体" w:hAnsi="宋体" w:eastAsia="宋体" w:cs="宋体"/>
          <w:color w:val="auto"/>
          <w:kern w:val="0"/>
          <w:sz w:val="21"/>
          <w:szCs w:val="21"/>
          <w:highlight w:val="none"/>
          <w:lang w:val="en-US" w:eastAsia="zh-CN"/>
        </w:rPr>
        <w:t>00</w:t>
      </w:r>
      <w:r>
        <w:rPr>
          <w:rFonts w:hint="eastAsia" w:ascii="宋体" w:hAnsi="宋体" w:eastAsia="宋体" w:cs="宋体"/>
          <w:color w:val="auto"/>
          <w:kern w:val="0"/>
          <w:sz w:val="21"/>
          <w:szCs w:val="21"/>
          <w:highlight w:val="none"/>
        </w:rPr>
        <w:t>分</w:t>
      </w:r>
      <w:r>
        <w:rPr>
          <w:rFonts w:hint="eastAsia" w:ascii="宋体" w:hAnsi="宋体" w:eastAsia="宋体" w:cs="宋体"/>
          <w:color w:val="auto"/>
          <w:sz w:val="21"/>
          <w:szCs w:val="21"/>
          <w:highlight w:val="none"/>
          <w:shd w:val="clear" w:color="auto" w:fill="FFFFFF"/>
        </w:rPr>
        <w:t>（北京时间）</w:t>
      </w:r>
    </w:p>
    <w:p w14:paraId="79842935">
      <w:pPr>
        <w:pStyle w:val="33"/>
        <w:keepNext w:val="0"/>
        <w:keepLines w:val="0"/>
        <w:pageBreakBefore w:val="0"/>
        <w:widowControl/>
        <w:kinsoku/>
        <w:overflowPunct/>
        <w:topLinePunct w:val="0"/>
        <w:bidi w:val="0"/>
        <w:spacing w:before="0" w:beforeAutospacing="0" w:after="0" w:afterAutospacing="0"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shd w:val="clear" w:color="auto" w:fill="FFFFFF"/>
        </w:rPr>
        <w:t>2</w:t>
      </w:r>
      <w:r>
        <w:rPr>
          <w:rFonts w:hint="eastAsia" w:ascii="宋体" w:hAnsi="宋体" w:eastAsia="宋体" w:cs="宋体"/>
          <w:color w:val="auto"/>
          <w:sz w:val="21"/>
          <w:szCs w:val="21"/>
          <w:highlight w:val="none"/>
          <w:shd w:val="clear" w:color="auto" w:fill="FFFFFF"/>
          <w:lang w:val="en-US" w:eastAsia="zh-CN"/>
        </w:rPr>
        <w:t>.</w:t>
      </w:r>
      <w:r>
        <w:rPr>
          <w:rFonts w:hint="eastAsia" w:ascii="宋体" w:hAnsi="宋体" w:eastAsia="宋体" w:cs="宋体"/>
          <w:color w:val="auto"/>
          <w:sz w:val="21"/>
          <w:szCs w:val="21"/>
          <w:highlight w:val="none"/>
          <w:shd w:val="clear" w:color="auto" w:fill="FFFFFF"/>
        </w:rPr>
        <w:t>地点：</w:t>
      </w:r>
      <w:r>
        <w:rPr>
          <w:rFonts w:hint="eastAsia" w:ascii="宋体" w:hAnsi="宋体" w:eastAsia="宋体" w:cs="宋体"/>
          <w:color w:val="auto"/>
          <w:sz w:val="21"/>
          <w:szCs w:val="21"/>
          <w:highlight w:val="none"/>
          <w:shd w:val="clear" w:color="auto" w:fill="auto"/>
        </w:rPr>
        <w:t>河南省公共资源交易中心远程开标室(</w:t>
      </w:r>
      <w:r>
        <w:rPr>
          <w:rFonts w:hint="eastAsia" w:cs="宋体"/>
          <w:color w:val="auto"/>
          <w:sz w:val="21"/>
          <w:szCs w:val="21"/>
          <w:highlight w:val="none"/>
          <w:shd w:val="clear" w:color="auto" w:fill="auto"/>
          <w:lang w:val="en-US" w:eastAsia="zh-CN"/>
        </w:rPr>
        <w:t>二</w:t>
      </w:r>
      <w:r>
        <w:rPr>
          <w:rFonts w:hint="eastAsia" w:ascii="宋体" w:hAnsi="宋体" w:eastAsia="宋体" w:cs="宋体"/>
          <w:color w:val="auto"/>
          <w:sz w:val="21"/>
          <w:szCs w:val="21"/>
          <w:highlight w:val="none"/>
          <w:shd w:val="clear" w:color="auto" w:fill="auto"/>
        </w:rPr>
        <w:t>)-</w:t>
      </w:r>
      <w:r>
        <w:rPr>
          <w:rFonts w:hint="eastAsia" w:cs="宋体"/>
          <w:color w:val="auto"/>
          <w:sz w:val="21"/>
          <w:szCs w:val="21"/>
          <w:highlight w:val="none"/>
          <w:shd w:val="clear" w:color="auto" w:fill="auto"/>
          <w:lang w:val="en-US" w:eastAsia="zh-CN"/>
        </w:rPr>
        <w:t>2</w:t>
      </w:r>
      <w:r>
        <w:rPr>
          <w:rFonts w:hint="eastAsia" w:ascii="宋体" w:hAnsi="宋体" w:eastAsia="宋体" w:cs="宋体"/>
          <w:color w:val="auto"/>
          <w:sz w:val="21"/>
          <w:szCs w:val="21"/>
          <w:highlight w:val="none"/>
          <w:shd w:val="clear" w:color="auto" w:fill="auto"/>
        </w:rPr>
        <w:t>（郑州市经二路与纬四路交叉口向南50米路西）</w:t>
      </w:r>
      <w:r>
        <w:rPr>
          <w:rFonts w:hint="eastAsia" w:ascii="宋体" w:hAnsi="宋体" w:eastAsia="宋体" w:cs="宋体"/>
          <w:color w:val="auto"/>
          <w:sz w:val="21"/>
          <w:szCs w:val="21"/>
          <w:highlight w:val="none"/>
          <w:shd w:val="clear" w:color="auto" w:fill="FFFFFF"/>
          <w:lang w:val="en-US" w:eastAsia="zh-CN"/>
        </w:rPr>
        <w:t>。</w:t>
      </w:r>
    </w:p>
    <w:p w14:paraId="73E767B4">
      <w:pPr>
        <w:pStyle w:val="5"/>
        <w:keepNext w:val="0"/>
        <w:keepLines w:val="0"/>
        <w:pageBreakBefore w:val="0"/>
        <w:widowControl/>
        <w:numPr>
          <w:ilvl w:val="0"/>
          <w:numId w:val="0"/>
        </w:numPr>
        <w:kinsoku/>
        <w:overflowPunct/>
        <w:topLinePunct w:val="0"/>
        <w:bidi w:val="0"/>
        <w:spacing w:before="0" w:after="0" w:line="360" w:lineRule="auto"/>
        <w:jc w:val="left"/>
        <w:textAlignment w:val="auto"/>
        <w:rPr>
          <w:rFonts w:hint="eastAsia" w:ascii="宋体" w:hAnsi="宋体" w:eastAsia="宋体" w:cs="宋体"/>
          <w:bCs/>
          <w:color w:val="auto"/>
          <w:sz w:val="21"/>
          <w:szCs w:val="21"/>
          <w:highlight w:val="none"/>
        </w:rPr>
      </w:pPr>
      <w:bookmarkStart w:id="94" w:name="_Toc20287"/>
      <w:bookmarkStart w:id="95" w:name="_Toc29784"/>
      <w:bookmarkStart w:id="96" w:name="_Toc5039"/>
      <w:bookmarkStart w:id="97" w:name="_Toc7516"/>
      <w:bookmarkStart w:id="98" w:name="_Toc30073"/>
      <w:bookmarkStart w:id="99" w:name="_Toc14225"/>
      <w:bookmarkStart w:id="100" w:name="_Toc6523"/>
      <w:bookmarkStart w:id="101" w:name="_Toc30918"/>
      <w:bookmarkStart w:id="102" w:name="_Toc5627"/>
      <w:bookmarkStart w:id="103" w:name="_Toc16030"/>
      <w:bookmarkStart w:id="104" w:name="_Toc8965"/>
      <w:bookmarkStart w:id="105" w:name="_Toc1538"/>
      <w:bookmarkStart w:id="106" w:name="_Toc16669"/>
      <w:bookmarkStart w:id="107" w:name="_Toc5075"/>
      <w:bookmarkStart w:id="108" w:name="_Toc32709"/>
      <w:bookmarkStart w:id="109" w:name="_Toc27544"/>
      <w:r>
        <w:rPr>
          <w:rFonts w:hint="eastAsia" w:ascii="宋体" w:hAnsi="宋体" w:eastAsia="宋体" w:cs="宋体"/>
          <w:bCs/>
          <w:color w:val="auto"/>
          <w:sz w:val="21"/>
          <w:szCs w:val="21"/>
          <w:highlight w:val="none"/>
          <w:shd w:val="clear" w:color="auto" w:fill="FFFFFF"/>
          <w:lang w:eastAsia="zh-CN"/>
        </w:rPr>
        <w:t>六</w:t>
      </w:r>
      <w:r>
        <w:rPr>
          <w:rFonts w:hint="eastAsia" w:ascii="宋体" w:hAnsi="宋体" w:eastAsia="宋体" w:cs="宋体"/>
          <w:bCs/>
          <w:color w:val="auto"/>
          <w:sz w:val="21"/>
          <w:szCs w:val="21"/>
          <w:highlight w:val="none"/>
          <w:shd w:val="clear" w:color="auto" w:fill="FFFFFF"/>
        </w:rPr>
        <w:t>、发布公告的媒介及招标公告期限</w:t>
      </w:r>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p>
    <w:p w14:paraId="66D34934">
      <w:pPr>
        <w:pStyle w:val="33"/>
        <w:keepNext w:val="0"/>
        <w:keepLines w:val="0"/>
        <w:pageBreakBefore w:val="0"/>
        <w:widowControl/>
        <w:kinsoku/>
        <w:overflowPunct/>
        <w:topLinePunct w:val="0"/>
        <w:bidi w:val="0"/>
        <w:spacing w:before="0" w:beforeAutospacing="0" w:after="0" w:afterAutospacing="0" w:line="360" w:lineRule="auto"/>
        <w:ind w:firstLine="420" w:firstLineChars="200"/>
        <w:textAlignment w:val="auto"/>
        <w:rPr>
          <w:rFonts w:hint="eastAsia" w:ascii="宋体" w:hAnsi="宋体" w:eastAsia="宋体" w:cs="宋体"/>
          <w:color w:val="auto"/>
          <w:sz w:val="21"/>
          <w:szCs w:val="21"/>
          <w:highlight w:val="none"/>
          <w:shd w:val="clear" w:color="auto" w:fill="FFFFFF"/>
          <w:lang w:eastAsia="zh-CN"/>
        </w:rPr>
      </w:pPr>
      <w:r>
        <w:rPr>
          <w:rFonts w:hint="eastAsia" w:ascii="宋体" w:hAnsi="宋体" w:eastAsia="宋体" w:cs="宋体"/>
          <w:color w:val="auto"/>
          <w:sz w:val="21"/>
          <w:szCs w:val="21"/>
          <w:highlight w:val="none"/>
          <w:shd w:val="clear" w:color="auto" w:fill="FFFFFF"/>
        </w:rPr>
        <w:t>本次招标公告在</w:t>
      </w:r>
      <w:r>
        <w:rPr>
          <w:rFonts w:hint="eastAsia" w:ascii="宋体" w:hAnsi="宋体" w:eastAsia="宋体" w:cs="宋体"/>
          <w:color w:val="auto"/>
          <w:sz w:val="21"/>
          <w:szCs w:val="21"/>
          <w:highlight w:val="none"/>
          <w:shd w:val="clear" w:color="auto" w:fill="FFFFFF"/>
          <w:lang w:val="en-US" w:eastAsia="zh-CN"/>
        </w:rPr>
        <w:t>《河南省政府采购网》、《河南省公共资源交易中心》、</w:t>
      </w:r>
      <w:r>
        <w:rPr>
          <w:rFonts w:hint="eastAsia" w:ascii="宋体" w:hAnsi="宋体" w:eastAsia="宋体" w:cs="宋体"/>
          <w:color w:val="auto"/>
          <w:sz w:val="21"/>
          <w:szCs w:val="21"/>
          <w:highlight w:val="none"/>
        </w:rPr>
        <w:t>《中国招标投标公共服务平台》</w:t>
      </w:r>
      <w:r>
        <w:rPr>
          <w:rFonts w:hint="eastAsia" w:ascii="宋体" w:hAnsi="宋体" w:eastAsia="宋体" w:cs="宋体"/>
          <w:color w:val="auto"/>
          <w:sz w:val="21"/>
          <w:szCs w:val="21"/>
          <w:highlight w:val="none"/>
          <w:shd w:val="clear" w:color="auto" w:fill="FFFFFF"/>
        </w:rPr>
        <w:t>上发布</w:t>
      </w:r>
      <w:r>
        <w:rPr>
          <w:rFonts w:hint="eastAsia" w:ascii="宋体" w:hAnsi="宋体" w:eastAsia="宋体" w:cs="宋体"/>
          <w:color w:val="auto"/>
          <w:sz w:val="21"/>
          <w:szCs w:val="21"/>
          <w:highlight w:val="none"/>
          <w:shd w:val="clear" w:color="auto" w:fill="FFFFFF"/>
          <w:lang w:eastAsia="zh-CN"/>
        </w:rPr>
        <w:t>，</w:t>
      </w:r>
      <w:r>
        <w:rPr>
          <w:rFonts w:hint="eastAsia" w:ascii="宋体" w:hAnsi="宋体" w:eastAsia="宋体" w:cs="宋体"/>
          <w:color w:val="auto"/>
          <w:sz w:val="21"/>
          <w:szCs w:val="21"/>
          <w:highlight w:val="none"/>
          <w:shd w:val="clear" w:color="auto" w:fill="FFFFFF"/>
        </w:rPr>
        <w:t>招标公告期限为五个工作日</w:t>
      </w:r>
      <w:bookmarkStart w:id="110" w:name="_Toc35393626"/>
      <w:bookmarkStart w:id="111" w:name="_Toc35393795"/>
      <w:r>
        <w:rPr>
          <w:rFonts w:hint="eastAsia" w:ascii="宋体" w:hAnsi="宋体" w:eastAsia="宋体" w:cs="宋体"/>
          <w:color w:val="auto"/>
          <w:sz w:val="21"/>
          <w:szCs w:val="21"/>
          <w:highlight w:val="none"/>
          <w:shd w:val="clear" w:color="auto" w:fill="FFFFFF"/>
          <w:lang w:eastAsia="zh-CN"/>
        </w:rPr>
        <w:t>。</w:t>
      </w:r>
    </w:p>
    <w:p w14:paraId="6719DEC6">
      <w:pPr>
        <w:pStyle w:val="5"/>
        <w:keepNext w:val="0"/>
        <w:keepLines w:val="0"/>
        <w:pageBreakBefore w:val="0"/>
        <w:widowControl/>
        <w:numPr>
          <w:ilvl w:val="0"/>
          <w:numId w:val="0"/>
        </w:numPr>
        <w:kinsoku/>
        <w:overflowPunct/>
        <w:topLinePunct w:val="0"/>
        <w:bidi w:val="0"/>
        <w:spacing w:before="0" w:after="0" w:line="360" w:lineRule="auto"/>
        <w:jc w:val="left"/>
        <w:textAlignment w:val="auto"/>
        <w:rPr>
          <w:rFonts w:hint="eastAsia" w:ascii="宋体" w:hAnsi="宋体" w:eastAsia="宋体" w:cs="宋体"/>
          <w:bCs/>
          <w:color w:val="auto"/>
          <w:sz w:val="21"/>
          <w:szCs w:val="21"/>
          <w:highlight w:val="none"/>
          <w:shd w:val="clear" w:color="auto" w:fill="FFFFFF"/>
          <w:lang w:val="en-US" w:eastAsia="zh-CN"/>
        </w:rPr>
      </w:pPr>
      <w:bookmarkStart w:id="112" w:name="_Toc24476"/>
      <w:bookmarkStart w:id="113" w:name="_Toc15404"/>
      <w:bookmarkStart w:id="114" w:name="_Toc23412"/>
      <w:bookmarkStart w:id="115" w:name="_Toc18552"/>
      <w:bookmarkStart w:id="116" w:name="_Toc20291"/>
      <w:bookmarkStart w:id="117" w:name="_Toc11979"/>
      <w:bookmarkStart w:id="118" w:name="_Toc5182"/>
      <w:bookmarkStart w:id="119" w:name="_Toc14866"/>
      <w:bookmarkStart w:id="120" w:name="_Toc11145"/>
      <w:bookmarkStart w:id="121" w:name="_Toc20903"/>
      <w:bookmarkStart w:id="122" w:name="_Toc2338"/>
      <w:r>
        <w:rPr>
          <w:rFonts w:hint="eastAsia" w:ascii="宋体" w:hAnsi="宋体" w:eastAsia="宋体" w:cs="宋体"/>
          <w:bCs/>
          <w:color w:val="auto"/>
          <w:sz w:val="21"/>
          <w:szCs w:val="21"/>
          <w:highlight w:val="none"/>
          <w:shd w:val="clear" w:color="auto" w:fill="FFFFFF"/>
          <w:lang w:val="en-US" w:eastAsia="zh-CN"/>
        </w:rPr>
        <w:t>七、其他补充事宜</w:t>
      </w:r>
      <w:bookmarkEnd w:id="110"/>
      <w:bookmarkEnd w:id="111"/>
      <w:bookmarkEnd w:id="112"/>
      <w:bookmarkEnd w:id="113"/>
      <w:bookmarkEnd w:id="114"/>
      <w:bookmarkEnd w:id="115"/>
      <w:bookmarkEnd w:id="116"/>
      <w:bookmarkEnd w:id="117"/>
      <w:bookmarkEnd w:id="118"/>
      <w:bookmarkEnd w:id="119"/>
      <w:bookmarkEnd w:id="120"/>
      <w:bookmarkEnd w:id="121"/>
      <w:bookmarkEnd w:id="122"/>
    </w:p>
    <w:p w14:paraId="7F43C8E9">
      <w:pPr>
        <w:keepNext w:val="0"/>
        <w:keepLines w:val="0"/>
        <w:pageBreakBefore w:val="0"/>
        <w:widowControl/>
        <w:numPr>
          <w:ilvl w:val="0"/>
          <w:numId w:val="0"/>
        </w:numPr>
        <w:tabs>
          <w:tab w:val="left" w:pos="840"/>
        </w:tabs>
        <w:kinsoku/>
        <w:wordWrap/>
        <w:overflowPunct/>
        <w:topLinePunct w:val="0"/>
        <w:autoSpaceDE/>
        <w:autoSpaceDN/>
        <w:bidi w:val="0"/>
        <w:adjustRightInd/>
        <w:snapToGrid/>
        <w:spacing w:before="0" w:after="0" w:line="360" w:lineRule="auto"/>
        <w:ind w:firstLine="420" w:firstLineChars="200"/>
        <w:jc w:val="left"/>
        <w:textAlignment w:val="auto"/>
        <w:outlineLvl w:val="9"/>
        <w:rPr>
          <w:rFonts w:hint="eastAsia" w:ascii="宋体" w:hAnsi="宋体" w:eastAsia="宋体" w:cs="宋体"/>
          <w:b w:val="0"/>
          <w:bCs w:val="0"/>
          <w:color w:val="auto"/>
          <w:kern w:val="2"/>
          <w:sz w:val="21"/>
          <w:szCs w:val="21"/>
          <w:highlight w:val="none"/>
          <w:shd w:val="clear" w:color="auto" w:fill="FFFFFF"/>
          <w:lang w:val="en-US" w:eastAsia="zh-CN" w:bidi="ar-SA"/>
        </w:rPr>
      </w:pPr>
      <w:r>
        <w:rPr>
          <w:rFonts w:hint="eastAsia" w:ascii="宋体" w:hAnsi="宋体" w:eastAsia="宋体" w:cs="宋体"/>
          <w:b w:val="0"/>
          <w:bCs w:val="0"/>
          <w:color w:val="auto"/>
          <w:kern w:val="2"/>
          <w:sz w:val="21"/>
          <w:szCs w:val="21"/>
          <w:highlight w:val="none"/>
          <w:shd w:val="clear" w:color="auto" w:fill="FFFFFF"/>
          <w:lang w:val="en-US" w:eastAsia="zh-CN" w:bidi="ar-SA"/>
        </w:rPr>
        <w:t>1.代理服务费用收取方式及标准：本项目以中标金额为计费基数，具体按照河南省招标投标协会关于印发《河南省招标代理服务收费指导意见》（豫招协【2023】002号）中的招标收费标准，由中标人一次性支付给采购代理机构代理服务费用。</w:t>
      </w:r>
    </w:p>
    <w:p w14:paraId="624C8B99">
      <w:pPr>
        <w:keepNext w:val="0"/>
        <w:keepLines w:val="0"/>
        <w:pageBreakBefore w:val="0"/>
        <w:widowControl/>
        <w:numPr>
          <w:ilvl w:val="0"/>
          <w:numId w:val="0"/>
        </w:numPr>
        <w:tabs>
          <w:tab w:val="left" w:pos="840"/>
        </w:tabs>
        <w:kinsoku/>
        <w:wordWrap w:val="0"/>
        <w:overflowPunct/>
        <w:topLinePunct w:val="0"/>
        <w:autoSpaceDE/>
        <w:autoSpaceDN/>
        <w:bidi w:val="0"/>
        <w:adjustRightInd/>
        <w:snapToGrid/>
        <w:spacing w:before="0" w:after="0" w:line="360" w:lineRule="auto"/>
        <w:ind w:firstLine="420" w:firstLineChars="200"/>
        <w:jc w:val="left"/>
        <w:textAlignment w:val="auto"/>
        <w:outlineLvl w:val="9"/>
        <w:rPr>
          <w:rFonts w:hint="eastAsia" w:ascii="宋体" w:hAnsi="宋体" w:eastAsia="宋体" w:cs="宋体"/>
          <w:color w:val="auto"/>
          <w:highlight w:val="none"/>
          <w:lang w:val="en-US" w:eastAsia="zh-CN"/>
        </w:rPr>
      </w:pPr>
      <w:r>
        <w:rPr>
          <w:rFonts w:hint="eastAsia" w:ascii="宋体" w:hAnsi="宋体" w:eastAsia="宋体" w:cs="宋体"/>
          <w:b w:val="0"/>
          <w:bCs w:val="0"/>
          <w:color w:val="auto"/>
          <w:kern w:val="2"/>
          <w:sz w:val="21"/>
          <w:szCs w:val="21"/>
          <w:highlight w:val="none"/>
          <w:shd w:val="clear" w:color="auto" w:fill="FFFFFF"/>
          <w:lang w:val="en-US" w:eastAsia="zh-CN" w:bidi="ar-SA"/>
        </w:rPr>
        <w:t>2.本项目采用“远程不见面”开标方式，投标人应当在招标（采购）文件确定的投标截止时间前，登录远程开标大厅，在线准时参加开标活动并进行文件解密、答疑澄清等，投标人无需到开标现场开标解密（投标人如在交易平台系统规定时间内没有解密成功的，视为放弃投标）。</w:t>
      </w:r>
    </w:p>
    <w:p w14:paraId="08FA0CC4">
      <w:pPr>
        <w:keepNext w:val="0"/>
        <w:keepLines w:val="0"/>
        <w:pageBreakBefore w:val="0"/>
        <w:widowControl/>
        <w:numPr>
          <w:ilvl w:val="0"/>
          <w:numId w:val="0"/>
        </w:numPr>
        <w:tabs>
          <w:tab w:val="left" w:pos="840"/>
        </w:tabs>
        <w:kinsoku/>
        <w:wordWrap/>
        <w:overflowPunct/>
        <w:topLinePunct w:val="0"/>
        <w:autoSpaceDE/>
        <w:autoSpaceDN/>
        <w:bidi w:val="0"/>
        <w:adjustRightInd/>
        <w:snapToGrid/>
        <w:spacing w:before="0" w:after="0" w:line="360" w:lineRule="auto"/>
        <w:ind w:firstLine="420" w:firstLineChars="200"/>
        <w:jc w:val="left"/>
        <w:textAlignment w:val="auto"/>
        <w:outlineLvl w:val="9"/>
        <w:rPr>
          <w:rFonts w:hint="eastAsia" w:ascii="宋体" w:hAnsi="宋体" w:eastAsia="宋体" w:cs="宋体"/>
          <w:b w:val="0"/>
          <w:bCs w:val="0"/>
          <w:color w:val="auto"/>
          <w:kern w:val="2"/>
          <w:sz w:val="21"/>
          <w:szCs w:val="21"/>
          <w:highlight w:val="none"/>
          <w:shd w:val="clear" w:color="auto" w:fill="FFFFFF"/>
          <w:lang w:val="en-US" w:eastAsia="zh-CN" w:bidi="ar-SA"/>
        </w:rPr>
      </w:pPr>
      <w:r>
        <w:rPr>
          <w:rFonts w:hint="eastAsia" w:ascii="宋体" w:hAnsi="宋体" w:eastAsia="宋体" w:cs="宋体"/>
          <w:b w:val="0"/>
          <w:bCs w:val="0"/>
          <w:color w:val="auto"/>
          <w:kern w:val="2"/>
          <w:sz w:val="21"/>
          <w:szCs w:val="21"/>
          <w:highlight w:val="none"/>
          <w:shd w:val="clear" w:color="auto" w:fill="FFFFFF"/>
          <w:lang w:val="en-US" w:eastAsia="zh-CN" w:bidi="ar-SA"/>
        </w:rPr>
        <w:t>3.“远程不见面”具体事宜请查阅河南省公共资源交易中心网站“办事指南”专区的《河南省公共资源交易平台不见面服务系统使用指南》。</w:t>
      </w:r>
    </w:p>
    <w:p w14:paraId="7641285F">
      <w:pPr>
        <w:keepNext w:val="0"/>
        <w:keepLines w:val="0"/>
        <w:pageBreakBefore w:val="0"/>
        <w:widowControl/>
        <w:numPr>
          <w:ilvl w:val="0"/>
          <w:numId w:val="0"/>
        </w:numPr>
        <w:tabs>
          <w:tab w:val="left" w:pos="840"/>
        </w:tabs>
        <w:kinsoku/>
        <w:wordWrap/>
        <w:overflowPunct/>
        <w:topLinePunct w:val="0"/>
        <w:autoSpaceDE/>
        <w:autoSpaceDN/>
        <w:bidi w:val="0"/>
        <w:adjustRightInd/>
        <w:snapToGrid/>
        <w:spacing w:before="0" w:after="0" w:line="360" w:lineRule="auto"/>
        <w:ind w:firstLine="420" w:firstLineChars="200"/>
        <w:jc w:val="left"/>
        <w:textAlignment w:val="auto"/>
        <w:outlineLvl w:val="9"/>
        <w:rPr>
          <w:rFonts w:hint="eastAsia" w:ascii="宋体" w:hAnsi="宋体" w:eastAsia="宋体" w:cs="宋体"/>
          <w:b w:val="0"/>
          <w:bCs w:val="0"/>
          <w:color w:val="auto"/>
          <w:kern w:val="2"/>
          <w:sz w:val="21"/>
          <w:szCs w:val="21"/>
          <w:highlight w:val="none"/>
          <w:shd w:val="clear" w:color="auto" w:fill="FFFFFF"/>
          <w:lang w:val="en-US" w:eastAsia="zh-CN" w:bidi="ar-SA"/>
        </w:rPr>
      </w:pPr>
      <w:r>
        <w:rPr>
          <w:rFonts w:hint="eastAsia" w:ascii="宋体" w:hAnsi="宋体" w:eastAsia="宋体" w:cs="宋体"/>
          <w:b w:val="0"/>
          <w:bCs w:val="0"/>
          <w:color w:val="auto"/>
          <w:kern w:val="2"/>
          <w:sz w:val="21"/>
          <w:szCs w:val="21"/>
          <w:highlight w:val="none"/>
          <w:shd w:val="clear" w:color="auto" w:fill="FFFFFF"/>
          <w:lang w:val="en-US" w:eastAsia="zh-CN" w:bidi="ar-SA"/>
        </w:rPr>
        <w:t>4.本项目执行促进中小型企业发展政策（监狱企业、残疾人福利性企业视同小微企业），优先采购节能环保产品，政府强制采购节能产品，本国产品标准及相关政策等。本项目支持河南省政府采购合同融资政策。</w:t>
      </w:r>
    </w:p>
    <w:p w14:paraId="6D0C275F">
      <w:pPr>
        <w:pStyle w:val="5"/>
        <w:keepNext w:val="0"/>
        <w:keepLines w:val="0"/>
        <w:pageBreakBefore w:val="0"/>
        <w:widowControl/>
        <w:numPr>
          <w:ilvl w:val="0"/>
          <w:numId w:val="0"/>
        </w:numPr>
        <w:kinsoku/>
        <w:overflowPunct/>
        <w:topLinePunct w:val="0"/>
        <w:bidi w:val="0"/>
        <w:spacing w:before="0" w:after="0" w:line="360" w:lineRule="auto"/>
        <w:jc w:val="left"/>
        <w:textAlignment w:val="auto"/>
        <w:rPr>
          <w:rFonts w:hint="eastAsia" w:ascii="宋体" w:hAnsi="宋体" w:eastAsia="宋体" w:cs="宋体"/>
          <w:bCs/>
          <w:color w:val="auto"/>
          <w:sz w:val="21"/>
          <w:szCs w:val="21"/>
          <w:highlight w:val="none"/>
          <w:lang w:eastAsia="zh-CN"/>
        </w:rPr>
      </w:pPr>
      <w:bookmarkStart w:id="123" w:name="_Toc16291"/>
      <w:bookmarkStart w:id="124" w:name="_Toc24274"/>
      <w:bookmarkStart w:id="125" w:name="_Toc31928"/>
      <w:bookmarkStart w:id="126" w:name="_Toc3604"/>
      <w:bookmarkStart w:id="127" w:name="_Toc27370"/>
      <w:bookmarkStart w:id="128" w:name="_Toc15907"/>
      <w:bookmarkStart w:id="129" w:name="_Toc10704"/>
      <w:bookmarkStart w:id="130" w:name="_Toc30094"/>
      <w:bookmarkStart w:id="131" w:name="_Toc274"/>
      <w:bookmarkStart w:id="132" w:name="_Toc5637"/>
      <w:bookmarkStart w:id="133" w:name="_Toc27693"/>
      <w:bookmarkStart w:id="134" w:name="_Toc30731"/>
      <w:bookmarkStart w:id="135" w:name="_Toc22171"/>
      <w:bookmarkStart w:id="136" w:name="_Toc22219"/>
      <w:bookmarkStart w:id="137" w:name="_Toc13754"/>
      <w:bookmarkStart w:id="138" w:name="_Toc1530"/>
      <w:r>
        <w:rPr>
          <w:rFonts w:hint="eastAsia" w:ascii="宋体" w:hAnsi="宋体" w:eastAsia="宋体" w:cs="宋体"/>
          <w:bCs/>
          <w:color w:val="auto"/>
          <w:sz w:val="21"/>
          <w:szCs w:val="21"/>
          <w:highlight w:val="none"/>
          <w:shd w:val="clear" w:color="auto" w:fill="FFFFFF"/>
          <w:lang w:eastAsia="zh-CN"/>
        </w:rPr>
        <w:t>八</w:t>
      </w:r>
      <w:r>
        <w:rPr>
          <w:rFonts w:hint="eastAsia" w:ascii="宋体" w:hAnsi="宋体" w:eastAsia="宋体" w:cs="宋体"/>
          <w:bCs/>
          <w:color w:val="auto"/>
          <w:sz w:val="21"/>
          <w:szCs w:val="21"/>
          <w:highlight w:val="none"/>
          <w:shd w:val="clear" w:color="auto" w:fill="FFFFFF"/>
        </w:rPr>
        <w:t>、</w:t>
      </w:r>
      <w:bookmarkEnd w:id="123"/>
      <w:bookmarkEnd w:id="124"/>
      <w:bookmarkEnd w:id="125"/>
      <w:bookmarkEnd w:id="126"/>
      <w:bookmarkEnd w:id="127"/>
      <w:r>
        <w:rPr>
          <w:rFonts w:hint="eastAsia" w:ascii="宋体" w:hAnsi="宋体" w:eastAsia="宋体" w:cs="宋体"/>
          <w:b/>
          <w:bCs/>
          <w:color w:val="auto"/>
          <w:kern w:val="2"/>
          <w:sz w:val="21"/>
          <w:szCs w:val="21"/>
          <w:highlight w:val="none"/>
          <w:shd w:val="clear" w:color="auto" w:fill="FFFFFF"/>
          <w:lang w:val="en-US" w:eastAsia="zh-CN" w:bidi="ar-SA"/>
        </w:rPr>
        <w:t>凡对本次招标提出询问，请按照以下方式联系</w:t>
      </w:r>
      <w:bookmarkEnd w:id="128"/>
      <w:bookmarkEnd w:id="129"/>
      <w:bookmarkEnd w:id="130"/>
      <w:bookmarkEnd w:id="131"/>
      <w:bookmarkEnd w:id="132"/>
      <w:bookmarkEnd w:id="133"/>
      <w:bookmarkEnd w:id="134"/>
      <w:bookmarkEnd w:id="135"/>
      <w:bookmarkEnd w:id="136"/>
      <w:bookmarkEnd w:id="137"/>
      <w:bookmarkEnd w:id="138"/>
    </w:p>
    <w:p w14:paraId="2E3C8916">
      <w:pPr>
        <w:pStyle w:val="33"/>
        <w:keepNext w:val="0"/>
        <w:keepLines w:val="0"/>
        <w:pageBreakBefore w:val="0"/>
        <w:widowControl/>
        <w:kinsoku/>
        <w:overflowPunct/>
        <w:topLinePunct w:val="0"/>
        <w:bidi w:val="0"/>
        <w:spacing w:before="0" w:beforeAutospacing="0" w:after="0" w:afterAutospacing="0" w:line="360" w:lineRule="auto"/>
        <w:ind w:firstLine="420" w:firstLineChars="200"/>
        <w:textAlignment w:val="auto"/>
        <w:rPr>
          <w:rFonts w:hint="eastAsia" w:ascii="宋体" w:hAnsi="宋体" w:eastAsia="宋体" w:cs="宋体"/>
          <w:b w:val="0"/>
          <w:bCs w:val="0"/>
          <w:color w:val="auto"/>
          <w:kern w:val="2"/>
          <w:sz w:val="21"/>
          <w:szCs w:val="21"/>
          <w:highlight w:val="none"/>
          <w:shd w:val="clear" w:color="auto" w:fill="FFFFFF"/>
          <w:lang w:val="en-US" w:eastAsia="zh-CN" w:bidi="ar-SA"/>
        </w:rPr>
      </w:pPr>
      <w:r>
        <w:rPr>
          <w:rFonts w:hint="eastAsia" w:ascii="宋体" w:hAnsi="宋体" w:eastAsia="宋体" w:cs="宋体"/>
          <w:b w:val="0"/>
          <w:bCs w:val="0"/>
          <w:color w:val="auto"/>
          <w:kern w:val="2"/>
          <w:sz w:val="21"/>
          <w:szCs w:val="21"/>
          <w:highlight w:val="none"/>
          <w:shd w:val="clear" w:color="auto" w:fill="FFFFFF"/>
          <w:lang w:val="en-US" w:eastAsia="zh-CN" w:bidi="ar-SA"/>
        </w:rPr>
        <w:t>1. 采购人信息</w:t>
      </w:r>
    </w:p>
    <w:p w14:paraId="0CBB62A5">
      <w:pPr>
        <w:pStyle w:val="33"/>
        <w:keepNext w:val="0"/>
        <w:keepLines w:val="0"/>
        <w:pageBreakBefore w:val="0"/>
        <w:widowControl/>
        <w:kinsoku/>
        <w:overflowPunct/>
        <w:topLinePunct w:val="0"/>
        <w:bidi w:val="0"/>
        <w:spacing w:before="0" w:beforeAutospacing="0" w:after="0" w:afterAutospacing="0" w:line="360" w:lineRule="auto"/>
        <w:ind w:firstLine="420" w:firstLineChars="200"/>
        <w:textAlignment w:val="auto"/>
        <w:rPr>
          <w:rFonts w:hint="eastAsia" w:ascii="宋体" w:hAnsi="宋体" w:eastAsia="宋体" w:cs="宋体"/>
          <w:b w:val="0"/>
          <w:bCs w:val="0"/>
          <w:color w:val="auto"/>
          <w:kern w:val="2"/>
          <w:sz w:val="21"/>
          <w:szCs w:val="21"/>
          <w:highlight w:val="none"/>
          <w:shd w:val="clear" w:color="auto" w:fill="FFFFFF"/>
          <w:lang w:val="en-US" w:eastAsia="zh-CN" w:bidi="ar-SA"/>
        </w:rPr>
      </w:pPr>
      <w:r>
        <w:rPr>
          <w:rFonts w:hint="eastAsia" w:ascii="宋体" w:hAnsi="宋体" w:eastAsia="宋体" w:cs="宋体"/>
          <w:b w:val="0"/>
          <w:bCs w:val="0"/>
          <w:color w:val="auto"/>
          <w:kern w:val="2"/>
          <w:sz w:val="21"/>
          <w:szCs w:val="21"/>
          <w:highlight w:val="none"/>
          <w:shd w:val="clear" w:color="auto" w:fill="FFFFFF"/>
          <w:lang w:val="en-US" w:eastAsia="zh-CN" w:bidi="ar-SA"/>
        </w:rPr>
        <w:t>名称：河南省周口生态环境监测中心　　</w:t>
      </w:r>
    </w:p>
    <w:p w14:paraId="36063E9D">
      <w:pPr>
        <w:pStyle w:val="33"/>
        <w:keepNext w:val="0"/>
        <w:keepLines w:val="0"/>
        <w:pageBreakBefore w:val="0"/>
        <w:widowControl/>
        <w:kinsoku/>
        <w:overflowPunct/>
        <w:topLinePunct w:val="0"/>
        <w:bidi w:val="0"/>
        <w:spacing w:before="0" w:beforeAutospacing="0" w:after="0" w:afterAutospacing="0" w:line="360" w:lineRule="auto"/>
        <w:ind w:firstLine="420" w:firstLineChars="200"/>
        <w:textAlignment w:val="auto"/>
        <w:rPr>
          <w:rFonts w:hint="eastAsia" w:ascii="宋体" w:hAnsi="宋体" w:eastAsia="宋体" w:cs="宋体"/>
          <w:b w:val="0"/>
          <w:bCs w:val="0"/>
          <w:color w:val="auto"/>
          <w:kern w:val="2"/>
          <w:sz w:val="21"/>
          <w:szCs w:val="21"/>
          <w:highlight w:val="none"/>
          <w:shd w:val="clear" w:color="auto" w:fill="FFFFFF"/>
          <w:lang w:val="en-US" w:eastAsia="zh-CN" w:bidi="ar-SA"/>
        </w:rPr>
      </w:pPr>
      <w:r>
        <w:rPr>
          <w:rFonts w:hint="eastAsia" w:ascii="宋体" w:hAnsi="宋体" w:eastAsia="宋体" w:cs="宋体"/>
          <w:b w:val="0"/>
          <w:bCs w:val="0"/>
          <w:color w:val="auto"/>
          <w:kern w:val="2"/>
          <w:sz w:val="21"/>
          <w:szCs w:val="21"/>
          <w:highlight w:val="none"/>
          <w:shd w:val="clear" w:color="auto" w:fill="FFFFFF"/>
          <w:lang w:val="en-US" w:eastAsia="zh-CN" w:bidi="ar-SA"/>
        </w:rPr>
        <w:t>地址：</w:t>
      </w:r>
      <w:r>
        <w:rPr>
          <w:rFonts w:hint="eastAsia" w:ascii="宋体" w:hAnsi="宋体" w:eastAsia="宋体" w:cs="宋体"/>
          <w:color w:val="auto"/>
          <w:sz w:val="21"/>
          <w:szCs w:val="21"/>
          <w:highlight w:val="none"/>
        </w:rPr>
        <w:t xml:space="preserve">周口市大庆路中段路西 </w:t>
      </w:r>
    </w:p>
    <w:p w14:paraId="77D9612F">
      <w:pPr>
        <w:pStyle w:val="33"/>
        <w:keepNext w:val="0"/>
        <w:keepLines w:val="0"/>
        <w:pageBreakBefore w:val="0"/>
        <w:widowControl/>
        <w:kinsoku/>
        <w:overflowPunct/>
        <w:topLinePunct w:val="0"/>
        <w:bidi w:val="0"/>
        <w:spacing w:before="0" w:beforeAutospacing="0" w:after="0" w:afterAutospacing="0" w:line="360" w:lineRule="auto"/>
        <w:ind w:firstLine="420" w:firstLineChars="200"/>
        <w:textAlignment w:val="auto"/>
        <w:rPr>
          <w:rFonts w:hint="eastAsia" w:ascii="宋体" w:hAnsi="宋体" w:eastAsia="宋体" w:cs="宋体"/>
          <w:b w:val="0"/>
          <w:bCs w:val="0"/>
          <w:color w:val="auto"/>
          <w:kern w:val="2"/>
          <w:sz w:val="21"/>
          <w:szCs w:val="21"/>
          <w:highlight w:val="none"/>
          <w:shd w:val="clear" w:color="auto" w:fill="FFFFFF"/>
          <w:lang w:val="en-US" w:eastAsia="zh-CN" w:bidi="ar-SA"/>
        </w:rPr>
      </w:pPr>
      <w:r>
        <w:rPr>
          <w:rFonts w:hint="eastAsia" w:ascii="宋体" w:hAnsi="宋体" w:eastAsia="宋体" w:cs="宋体"/>
          <w:b w:val="0"/>
          <w:bCs w:val="0"/>
          <w:color w:val="auto"/>
          <w:kern w:val="2"/>
          <w:sz w:val="21"/>
          <w:szCs w:val="21"/>
          <w:highlight w:val="none"/>
          <w:shd w:val="clear" w:color="auto" w:fill="FFFFFF"/>
          <w:lang w:val="en-US" w:eastAsia="zh-CN" w:bidi="ar-SA"/>
        </w:rPr>
        <w:t>联系人：</w:t>
      </w:r>
      <w:r>
        <w:rPr>
          <w:rFonts w:hint="eastAsia" w:ascii="宋体" w:hAnsi="宋体" w:eastAsia="宋体" w:cs="宋体"/>
          <w:color w:val="auto"/>
          <w:sz w:val="21"/>
          <w:szCs w:val="21"/>
          <w:highlight w:val="none"/>
        </w:rPr>
        <w:t>黄涛</w:t>
      </w:r>
    </w:p>
    <w:p w14:paraId="53E9C64B">
      <w:pPr>
        <w:pStyle w:val="33"/>
        <w:keepNext w:val="0"/>
        <w:keepLines w:val="0"/>
        <w:pageBreakBefore w:val="0"/>
        <w:widowControl/>
        <w:kinsoku/>
        <w:overflowPunct/>
        <w:topLinePunct w:val="0"/>
        <w:bidi w:val="0"/>
        <w:spacing w:before="0" w:beforeAutospacing="0" w:after="0" w:afterAutospacing="0" w:line="360" w:lineRule="auto"/>
        <w:ind w:firstLine="420" w:firstLineChars="200"/>
        <w:textAlignment w:val="auto"/>
        <w:rPr>
          <w:rFonts w:hint="eastAsia" w:ascii="宋体" w:hAnsi="宋体" w:eastAsia="宋体" w:cs="宋体"/>
          <w:b w:val="0"/>
          <w:bCs w:val="0"/>
          <w:color w:val="auto"/>
          <w:kern w:val="2"/>
          <w:sz w:val="21"/>
          <w:szCs w:val="21"/>
          <w:highlight w:val="none"/>
          <w:shd w:val="clear" w:color="auto" w:fill="FFFFFF"/>
          <w:lang w:val="en-US" w:eastAsia="zh-CN" w:bidi="ar-SA"/>
        </w:rPr>
      </w:pPr>
      <w:r>
        <w:rPr>
          <w:rFonts w:hint="eastAsia" w:ascii="宋体" w:hAnsi="宋体" w:eastAsia="宋体" w:cs="宋体"/>
          <w:b w:val="0"/>
          <w:bCs w:val="0"/>
          <w:color w:val="auto"/>
          <w:kern w:val="2"/>
          <w:sz w:val="21"/>
          <w:szCs w:val="21"/>
          <w:highlight w:val="none"/>
          <w:shd w:val="clear" w:color="auto" w:fill="FFFFFF"/>
          <w:lang w:val="en-US" w:eastAsia="zh-CN" w:bidi="ar-SA"/>
        </w:rPr>
        <w:t>联系方式：</w:t>
      </w:r>
      <w:r>
        <w:rPr>
          <w:rFonts w:hint="eastAsia" w:ascii="宋体" w:hAnsi="宋体" w:eastAsia="宋体" w:cs="宋体"/>
          <w:color w:val="auto"/>
          <w:sz w:val="21"/>
          <w:szCs w:val="21"/>
          <w:highlight w:val="none"/>
        </w:rPr>
        <w:t>0394-8686675</w:t>
      </w:r>
    </w:p>
    <w:p w14:paraId="7DC244BA">
      <w:pPr>
        <w:pStyle w:val="33"/>
        <w:keepNext w:val="0"/>
        <w:keepLines w:val="0"/>
        <w:pageBreakBefore w:val="0"/>
        <w:widowControl/>
        <w:kinsoku/>
        <w:overflowPunct/>
        <w:topLinePunct w:val="0"/>
        <w:bidi w:val="0"/>
        <w:spacing w:before="0" w:beforeAutospacing="0" w:after="0" w:afterAutospacing="0" w:line="360" w:lineRule="auto"/>
        <w:ind w:firstLine="420" w:firstLineChars="200"/>
        <w:textAlignment w:val="auto"/>
        <w:rPr>
          <w:rFonts w:hint="eastAsia" w:ascii="宋体" w:hAnsi="宋体" w:eastAsia="宋体" w:cs="宋体"/>
          <w:b w:val="0"/>
          <w:bCs w:val="0"/>
          <w:color w:val="auto"/>
          <w:kern w:val="2"/>
          <w:sz w:val="21"/>
          <w:szCs w:val="21"/>
          <w:highlight w:val="none"/>
          <w:shd w:val="clear" w:color="auto" w:fill="FFFFFF"/>
          <w:lang w:val="en-US" w:eastAsia="zh-CN" w:bidi="ar-SA"/>
        </w:rPr>
      </w:pPr>
      <w:r>
        <w:rPr>
          <w:rFonts w:hint="eastAsia" w:ascii="宋体" w:hAnsi="宋体" w:eastAsia="宋体" w:cs="宋体"/>
          <w:b w:val="0"/>
          <w:bCs w:val="0"/>
          <w:color w:val="auto"/>
          <w:kern w:val="2"/>
          <w:sz w:val="21"/>
          <w:szCs w:val="21"/>
          <w:highlight w:val="none"/>
          <w:shd w:val="clear" w:color="auto" w:fill="FFFFFF"/>
          <w:lang w:val="en-US" w:eastAsia="zh-CN" w:bidi="ar-SA"/>
        </w:rPr>
        <w:t>2.采购代理机构信息（如有）</w:t>
      </w:r>
    </w:p>
    <w:p w14:paraId="38A6E340">
      <w:pPr>
        <w:pStyle w:val="33"/>
        <w:keepNext w:val="0"/>
        <w:keepLines w:val="0"/>
        <w:pageBreakBefore w:val="0"/>
        <w:widowControl/>
        <w:kinsoku/>
        <w:overflowPunct/>
        <w:topLinePunct w:val="0"/>
        <w:bidi w:val="0"/>
        <w:spacing w:before="0" w:beforeAutospacing="0" w:after="0" w:afterAutospacing="0" w:line="360" w:lineRule="auto"/>
        <w:ind w:firstLine="420" w:firstLineChars="200"/>
        <w:textAlignment w:val="auto"/>
        <w:rPr>
          <w:rFonts w:hint="eastAsia" w:ascii="宋体" w:hAnsi="宋体" w:eastAsia="宋体" w:cs="宋体"/>
          <w:b w:val="0"/>
          <w:bCs w:val="0"/>
          <w:color w:val="auto"/>
          <w:kern w:val="2"/>
          <w:sz w:val="21"/>
          <w:szCs w:val="21"/>
          <w:highlight w:val="none"/>
          <w:shd w:val="clear" w:color="auto" w:fill="FFFFFF"/>
          <w:lang w:val="en-US" w:eastAsia="zh-CN" w:bidi="ar-SA"/>
        </w:rPr>
      </w:pPr>
      <w:r>
        <w:rPr>
          <w:rFonts w:hint="eastAsia" w:ascii="宋体" w:hAnsi="宋体" w:eastAsia="宋体" w:cs="宋体"/>
          <w:b w:val="0"/>
          <w:bCs w:val="0"/>
          <w:color w:val="auto"/>
          <w:kern w:val="2"/>
          <w:sz w:val="21"/>
          <w:szCs w:val="21"/>
          <w:highlight w:val="none"/>
          <w:shd w:val="clear" w:color="auto" w:fill="FFFFFF"/>
          <w:lang w:val="en-US" w:eastAsia="zh-CN" w:bidi="ar-SA"/>
        </w:rPr>
        <w:t>名称：</w:t>
      </w:r>
      <w:r>
        <w:rPr>
          <w:rFonts w:hint="eastAsia" w:ascii="宋体" w:hAnsi="宋体" w:eastAsia="宋体" w:cs="宋体"/>
          <w:color w:val="auto"/>
          <w:sz w:val="21"/>
          <w:szCs w:val="21"/>
          <w:highlight w:val="none"/>
        </w:rPr>
        <w:t>建基工程咨询有限公司</w:t>
      </w:r>
    </w:p>
    <w:p w14:paraId="095B9D46">
      <w:pPr>
        <w:pStyle w:val="33"/>
        <w:keepNext w:val="0"/>
        <w:keepLines w:val="0"/>
        <w:pageBreakBefore w:val="0"/>
        <w:widowControl/>
        <w:kinsoku/>
        <w:overflowPunct/>
        <w:topLinePunct w:val="0"/>
        <w:bidi w:val="0"/>
        <w:spacing w:before="0" w:beforeAutospacing="0" w:after="0" w:afterAutospacing="0" w:line="360" w:lineRule="auto"/>
        <w:ind w:firstLine="420" w:firstLineChars="200"/>
        <w:textAlignment w:val="auto"/>
        <w:rPr>
          <w:rFonts w:hint="eastAsia" w:ascii="宋体" w:hAnsi="宋体" w:eastAsia="宋体" w:cs="宋体"/>
          <w:b w:val="0"/>
          <w:bCs w:val="0"/>
          <w:color w:val="auto"/>
          <w:kern w:val="2"/>
          <w:sz w:val="21"/>
          <w:szCs w:val="21"/>
          <w:highlight w:val="none"/>
          <w:shd w:val="clear" w:color="auto" w:fill="FFFFFF"/>
          <w:lang w:val="en-US" w:eastAsia="zh-CN" w:bidi="ar-SA"/>
        </w:rPr>
      </w:pPr>
      <w:r>
        <w:rPr>
          <w:rFonts w:hint="eastAsia" w:ascii="宋体" w:hAnsi="宋体" w:eastAsia="宋体" w:cs="宋体"/>
          <w:b w:val="0"/>
          <w:bCs w:val="0"/>
          <w:color w:val="auto"/>
          <w:kern w:val="2"/>
          <w:sz w:val="21"/>
          <w:szCs w:val="21"/>
          <w:highlight w:val="none"/>
          <w:shd w:val="clear" w:color="auto" w:fill="FFFFFF"/>
          <w:lang w:val="en-US" w:eastAsia="zh-CN" w:bidi="ar-SA"/>
        </w:rPr>
        <w:t>地址：</w:t>
      </w:r>
      <w:r>
        <w:rPr>
          <w:rFonts w:hint="eastAsia" w:ascii="宋体" w:hAnsi="宋体" w:eastAsia="宋体" w:cs="宋体"/>
          <w:color w:val="auto"/>
          <w:sz w:val="21"/>
          <w:szCs w:val="21"/>
          <w:highlight w:val="none"/>
        </w:rPr>
        <w:t>河南省郑州市管城回族区城东路100号1号楼1单元14层1401号</w:t>
      </w:r>
    </w:p>
    <w:p w14:paraId="6B2A0EB2">
      <w:pPr>
        <w:pStyle w:val="33"/>
        <w:keepNext w:val="0"/>
        <w:keepLines w:val="0"/>
        <w:pageBreakBefore w:val="0"/>
        <w:widowControl/>
        <w:kinsoku/>
        <w:overflowPunct/>
        <w:topLinePunct w:val="0"/>
        <w:bidi w:val="0"/>
        <w:spacing w:before="0" w:beforeAutospacing="0" w:after="0" w:afterAutospacing="0" w:line="360" w:lineRule="auto"/>
        <w:ind w:firstLine="420" w:firstLineChars="200"/>
        <w:textAlignment w:val="auto"/>
        <w:rPr>
          <w:rFonts w:hint="default" w:ascii="宋体" w:hAnsi="宋体" w:eastAsia="宋体" w:cs="宋体"/>
          <w:b w:val="0"/>
          <w:bCs w:val="0"/>
          <w:color w:val="auto"/>
          <w:kern w:val="2"/>
          <w:sz w:val="21"/>
          <w:szCs w:val="21"/>
          <w:highlight w:val="none"/>
          <w:shd w:val="clear" w:color="auto" w:fill="FFFFFF"/>
          <w:lang w:val="en-US" w:eastAsia="zh-CN" w:bidi="ar-SA"/>
        </w:rPr>
      </w:pPr>
      <w:r>
        <w:rPr>
          <w:rFonts w:hint="eastAsia" w:ascii="宋体" w:hAnsi="宋体" w:eastAsia="宋体" w:cs="宋体"/>
          <w:b w:val="0"/>
          <w:bCs w:val="0"/>
          <w:color w:val="auto"/>
          <w:kern w:val="2"/>
          <w:sz w:val="21"/>
          <w:szCs w:val="21"/>
          <w:highlight w:val="none"/>
          <w:shd w:val="clear" w:color="auto" w:fill="FFFFFF"/>
          <w:lang w:val="en-US" w:eastAsia="zh-CN" w:bidi="ar-SA"/>
        </w:rPr>
        <w:t>联系人：苏菲芳</w:t>
      </w:r>
      <w:r>
        <w:rPr>
          <w:rFonts w:hint="eastAsia" w:cs="宋体"/>
          <w:b w:val="0"/>
          <w:bCs w:val="0"/>
          <w:color w:val="auto"/>
          <w:kern w:val="2"/>
          <w:sz w:val="21"/>
          <w:szCs w:val="21"/>
          <w:highlight w:val="none"/>
          <w:shd w:val="clear" w:color="auto" w:fill="FFFFFF"/>
          <w:lang w:val="en-US" w:eastAsia="zh-CN" w:bidi="ar-SA"/>
        </w:rPr>
        <w:t>、王志超、何佳丽</w:t>
      </w:r>
    </w:p>
    <w:p w14:paraId="5A25FFDC">
      <w:pPr>
        <w:pStyle w:val="33"/>
        <w:keepNext w:val="0"/>
        <w:keepLines w:val="0"/>
        <w:pageBreakBefore w:val="0"/>
        <w:widowControl/>
        <w:kinsoku/>
        <w:overflowPunct/>
        <w:topLinePunct w:val="0"/>
        <w:bidi w:val="0"/>
        <w:spacing w:before="0" w:beforeAutospacing="0" w:after="0" w:afterAutospacing="0" w:line="360" w:lineRule="auto"/>
        <w:ind w:firstLine="420" w:firstLineChars="200"/>
        <w:textAlignment w:val="auto"/>
        <w:rPr>
          <w:rFonts w:hint="eastAsia" w:ascii="宋体" w:hAnsi="宋体" w:eastAsia="宋体" w:cs="宋体"/>
          <w:b w:val="0"/>
          <w:bCs w:val="0"/>
          <w:color w:val="auto"/>
          <w:kern w:val="2"/>
          <w:sz w:val="21"/>
          <w:szCs w:val="21"/>
          <w:highlight w:val="none"/>
          <w:shd w:val="clear" w:color="auto" w:fill="FFFFFF"/>
          <w:lang w:val="en-US" w:eastAsia="zh-CN" w:bidi="ar-SA"/>
        </w:rPr>
      </w:pPr>
      <w:r>
        <w:rPr>
          <w:rFonts w:hint="eastAsia" w:ascii="宋体" w:hAnsi="宋体" w:eastAsia="宋体" w:cs="宋体"/>
          <w:b w:val="0"/>
          <w:bCs w:val="0"/>
          <w:color w:val="auto"/>
          <w:kern w:val="2"/>
          <w:sz w:val="21"/>
          <w:szCs w:val="21"/>
          <w:highlight w:val="none"/>
          <w:shd w:val="clear" w:color="auto" w:fill="FFFFFF"/>
          <w:lang w:val="en-US" w:eastAsia="zh-CN" w:bidi="ar-SA"/>
        </w:rPr>
        <w:t>联系方式：0371-55238190　</w:t>
      </w:r>
    </w:p>
    <w:p w14:paraId="17987813">
      <w:pPr>
        <w:pStyle w:val="33"/>
        <w:keepNext w:val="0"/>
        <w:keepLines w:val="0"/>
        <w:pageBreakBefore w:val="0"/>
        <w:widowControl/>
        <w:kinsoku/>
        <w:overflowPunct/>
        <w:topLinePunct w:val="0"/>
        <w:bidi w:val="0"/>
        <w:spacing w:before="0" w:beforeAutospacing="0" w:after="0" w:afterAutospacing="0" w:line="360" w:lineRule="auto"/>
        <w:ind w:firstLine="420" w:firstLineChars="200"/>
        <w:textAlignment w:val="auto"/>
        <w:rPr>
          <w:rFonts w:hint="eastAsia" w:ascii="宋体" w:hAnsi="宋体" w:eastAsia="宋体" w:cs="宋体"/>
          <w:b w:val="0"/>
          <w:bCs w:val="0"/>
          <w:color w:val="auto"/>
          <w:kern w:val="2"/>
          <w:sz w:val="21"/>
          <w:szCs w:val="21"/>
          <w:highlight w:val="none"/>
          <w:shd w:val="clear" w:color="auto" w:fill="FFFFFF"/>
          <w:lang w:val="en-US" w:eastAsia="zh-CN" w:bidi="ar-SA"/>
        </w:rPr>
      </w:pPr>
      <w:r>
        <w:rPr>
          <w:rFonts w:hint="eastAsia" w:ascii="宋体" w:hAnsi="宋体" w:eastAsia="宋体" w:cs="宋体"/>
          <w:b w:val="0"/>
          <w:bCs w:val="0"/>
          <w:color w:val="auto"/>
          <w:kern w:val="2"/>
          <w:sz w:val="21"/>
          <w:szCs w:val="21"/>
          <w:highlight w:val="none"/>
          <w:shd w:val="clear" w:color="auto" w:fill="FFFFFF"/>
          <w:lang w:val="en-US" w:eastAsia="zh-CN" w:bidi="ar-SA"/>
        </w:rPr>
        <w:t>3.项目联系方式</w:t>
      </w:r>
    </w:p>
    <w:p w14:paraId="39DB55D9">
      <w:pPr>
        <w:pStyle w:val="33"/>
        <w:keepNext w:val="0"/>
        <w:keepLines w:val="0"/>
        <w:pageBreakBefore w:val="0"/>
        <w:widowControl/>
        <w:kinsoku/>
        <w:overflowPunct/>
        <w:topLinePunct w:val="0"/>
        <w:bidi w:val="0"/>
        <w:spacing w:before="0" w:beforeAutospacing="0" w:after="0" w:afterAutospacing="0" w:line="360" w:lineRule="auto"/>
        <w:ind w:firstLine="420" w:firstLineChars="200"/>
        <w:textAlignment w:val="auto"/>
        <w:rPr>
          <w:rFonts w:hint="eastAsia" w:ascii="宋体" w:hAnsi="宋体" w:eastAsia="宋体" w:cs="宋体"/>
          <w:b w:val="0"/>
          <w:bCs w:val="0"/>
          <w:color w:val="auto"/>
          <w:kern w:val="2"/>
          <w:sz w:val="21"/>
          <w:szCs w:val="21"/>
          <w:highlight w:val="none"/>
          <w:shd w:val="clear" w:color="auto" w:fill="FFFFFF"/>
          <w:lang w:val="en-US" w:eastAsia="zh-CN" w:bidi="ar-SA"/>
        </w:rPr>
      </w:pPr>
      <w:r>
        <w:rPr>
          <w:rFonts w:hint="eastAsia" w:ascii="宋体" w:hAnsi="宋体" w:eastAsia="宋体" w:cs="宋体"/>
          <w:b w:val="0"/>
          <w:bCs w:val="0"/>
          <w:color w:val="auto"/>
          <w:kern w:val="2"/>
          <w:sz w:val="21"/>
          <w:szCs w:val="21"/>
          <w:highlight w:val="none"/>
          <w:shd w:val="clear" w:color="auto" w:fill="FFFFFF"/>
          <w:lang w:val="en-US" w:eastAsia="zh-CN" w:bidi="ar-SA"/>
        </w:rPr>
        <w:t>项目联系人：苏菲芳</w:t>
      </w:r>
      <w:r>
        <w:rPr>
          <w:rFonts w:hint="eastAsia" w:cs="宋体"/>
          <w:b w:val="0"/>
          <w:bCs w:val="0"/>
          <w:color w:val="auto"/>
          <w:kern w:val="2"/>
          <w:sz w:val="21"/>
          <w:szCs w:val="21"/>
          <w:highlight w:val="none"/>
          <w:shd w:val="clear" w:color="auto" w:fill="FFFFFF"/>
          <w:lang w:val="en-US" w:eastAsia="zh-CN" w:bidi="ar-SA"/>
        </w:rPr>
        <w:t>、王志超、何佳丽</w:t>
      </w:r>
    </w:p>
    <w:p w14:paraId="0ACB0A16">
      <w:pPr>
        <w:pStyle w:val="33"/>
        <w:keepNext w:val="0"/>
        <w:keepLines w:val="0"/>
        <w:pageBreakBefore w:val="0"/>
        <w:widowControl/>
        <w:kinsoku/>
        <w:overflowPunct/>
        <w:topLinePunct w:val="0"/>
        <w:bidi w:val="0"/>
        <w:spacing w:before="0" w:beforeAutospacing="0" w:after="0" w:afterAutospacing="0" w:line="360" w:lineRule="auto"/>
        <w:ind w:firstLine="420" w:firstLineChars="200"/>
        <w:textAlignment w:val="auto"/>
        <w:rPr>
          <w:rFonts w:hint="eastAsia" w:ascii="宋体" w:hAnsi="宋体" w:eastAsia="宋体" w:cs="宋体"/>
          <w:b w:val="0"/>
          <w:bCs w:val="0"/>
          <w:color w:val="auto"/>
          <w:kern w:val="2"/>
          <w:sz w:val="21"/>
          <w:szCs w:val="21"/>
          <w:highlight w:val="none"/>
          <w:shd w:val="clear" w:color="auto" w:fill="FFFFFF"/>
          <w:lang w:val="en-US" w:eastAsia="zh-CN" w:bidi="ar-SA"/>
        </w:rPr>
      </w:pPr>
      <w:r>
        <w:rPr>
          <w:rFonts w:hint="eastAsia" w:ascii="宋体" w:hAnsi="宋体" w:eastAsia="宋体" w:cs="宋体"/>
          <w:b w:val="0"/>
          <w:bCs w:val="0"/>
          <w:color w:val="auto"/>
          <w:kern w:val="2"/>
          <w:sz w:val="21"/>
          <w:szCs w:val="21"/>
          <w:highlight w:val="none"/>
          <w:shd w:val="clear" w:color="auto" w:fill="FFFFFF"/>
          <w:lang w:val="en-US" w:eastAsia="zh-CN" w:bidi="ar-SA"/>
        </w:rPr>
        <w:t>联系方式：0371-55238190　</w:t>
      </w:r>
    </w:p>
    <w:p w14:paraId="24E66B8E">
      <w:pPr>
        <w:pStyle w:val="33"/>
        <w:keepNext w:val="0"/>
        <w:keepLines w:val="0"/>
        <w:pageBreakBefore w:val="0"/>
        <w:widowControl/>
        <w:kinsoku/>
        <w:overflowPunct/>
        <w:topLinePunct w:val="0"/>
        <w:bidi w:val="0"/>
        <w:spacing w:before="0" w:beforeAutospacing="0" w:after="0" w:afterAutospacing="0" w:line="360" w:lineRule="auto"/>
        <w:ind w:firstLine="420" w:firstLineChars="200"/>
        <w:textAlignment w:val="auto"/>
        <w:rPr>
          <w:rFonts w:hint="eastAsia" w:ascii="宋体" w:hAnsi="宋体" w:eastAsia="宋体" w:cs="宋体"/>
          <w:color w:val="auto"/>
          <w:sz w:val="21"/>
          <w:szCs w:val="21"/>
          <w:highlight w:val="none"/>
          <w:u w:val="single"/>
          <w:shd w:val="clear" w:color="auto" w:fill="FFFFFF"/>
          <w:lang w:val="en-US" w:eastAsia="zh-CN"/>
        </w:rPr>
      </w:pPr>
    </w:p>
    <w:p w14:paraId="02C422D3">
      <w:pPr>
        <w:pageBreakBefore w:val="0"/>
        <w:kinsoku/>
        <w:overflowPunct/>
        <w:bidi w:val="0"/>
        <w:spacing w:line="360" w:lineRule="auto"/>
        <w:rPr>
          <w:rFonts w:hint="eastAsia" w:ascii="宋体" w:hAnsi="宋体" w:eastAsia="宋体" w:cs="宋体"/>
          <w:color w:val="auto"/>
          <w:highlight w:val="none"/>
        </w:rPr>
      </w:pPr>
    </w:p>
    <w:p w14:paraId="2AE7A96F">
      <w:pPr>
        <w:pageBreakBefore w:val="0"/>
        <w:kinsoku/>
        <w:overflowPunct/>
        <w:bidi w:val="0"/>
        <w:spacing w:line="360" w:lineRule="auto"/>
        <w:rPr>
          <w:rFonts w:hint="eastAsia" w:ascii="宋体" w:hAnsi="宋体" w:eastAsia="宋体" w:cs="宋体"/>
          <w:color w:val="auto"/>
          <w:highlight w:val="none"/>
        </w:rPr>
      </w:pPr>
    </w:p>
    <w:bookmarkEnd w:id="4"/>
    <w:p w14:paraId="01DB025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right="0" w:rightChars="0"/>
        <w:jc w:val="center"/>
        <w:textAlignment w:val="auto"/>
        <w:outlineLvl w:val="0"/>
        <w:rPr>
          <w:rStyle w:val="52"/>
          <w:rFonts w:hint="eastAsia" w:ascii="宋体" w:hAnsi="宋体" w:eastAsia="宋体" w:cs="宋体"/>
          <w:color w:val="auto"/>
          <w:highlight w:val="none"/>
          <w:lang w:eastAsia="zh-CN"/>
        </w:rPr>
      </w:pPr>
      <w:bookmarkStart w:id="139" w:name="_Toc25086"/>
      <w:bookmarkStart w:id="140" w:name="_Toc32570"/>
      <w:r>
        <w:rPr>
          <w:rStyle w:val="52"/>
          <w:rFonts w:hint="eastAsia" w:ascii="宋体" w:hAnsi="宋体" w:eastAsia="宋体" w:cs="宋体"/>
          <w:color w:val="auto"/>
          <w:highlight w:val="none"/>
          <w:lang w:eastAsia="zh-CN"/>
        </w:rPr>
        <w:br w:type="page"/>
      </w:r>
      <w:bookmarkStart w:id="141" w:name="_Toc21010"/>
      <w:r>
        <w:rPr>
          <w:rStyle w:val="52"/>
          <w:rFonts w:hint="eastAsia" w:ascii="宋体" w:hAnsi="宋体" w:eastAsia="宋体" w:cs="宋体"/>
          <w:color w:val="auto"/>
          <w:highlight w:val="none"/>
          <w:lang w:val="en-US" w:eastAsia="zh-CN"/>
        </w:rPr>
        <w:t xml:space="preserve">第二章 </w:t>
      </w:r>
      <w:r>
        <w:rPr>
          <w:rStyle w:val="52"/>
          <w:rFonts w:hint="eastAsia" w:ascii="宋体" w:hAnsi="宋体" w:eastAsia="宋体" w:cs="宋体"/>
          <w:color w:val="auto"/>
          <w:highlight w:val="none"/>
          <w:lang w:eastAsia="zh-CN"/>
        </w:rPr>
        <w:t>投标人须知</w:t>
      </w:r>
      <w:bookmarkEnd w:id="139"/>
      <w:bookmarkEnd w:id="140"/>
      <w:bookmarkEnd w:id="141"/>
    </w:p>
    <w:p w14:paraId="7337F5C3">
      <w:pPr>
        <w:pStyle w:val="5"/>
        <w:keepNext/>
        <w:keepLines/>
        <w:pageBreakBefore w:val="0"/>
        <w:widowControl w:val="0"/>
        <w:numPr>
          <w:ilvl w:val="0"/>
          <w:numId w:val="0"/>
        </w:numPr>
        <w:kinsoku/>
        <w:wordWrap/>
        <w:overflowPunct/>
        <w:topLinePunct w:val="0"/>
        <w:autoSpaceDE/>
        <w:autoSpaceDN/>
        <w:bidi w:val="0"/>
        <w:adjustRightInd/>
        <w:snapToGrid/>
        <w:spacing w:before="0" w:after="0" w:line="360" w:lineRule="auto"/>
        <w:ind w:left="420" w:leftChars="0"/>
        <w:jc w:val="center"/>
        <w:textAlignment w:val="auto"/>
        <w:outlineLvl w:val="1"/>
        <w:rPr>
          <w:rStyle w:val="52"/>
          <w:rFonts w:hint="eastAsia" w:ascii="宋体" w:hAnsi="宋体" w:eastAsia="宋体" w:cs="宋体"/>
          <w:b/>
          <w:color w:val="auto"/>
          <w:sz w:val="24"/>
          <w:szCs w:val="24"/>
          <w:highlight w:val="none"/>
          <w:lang w:eastAsia="zh-CN"/>
        </w:rPr>
      </w:pPr>
      <w:bookmarkStart w:id="142" w:name="_Toc2805"/>
      <w:bookmarkStart w:id="143" w:name="_Toc12544"/>
      <w:bookmarkStart w:id="144" w:name="_Toc15783"/>
      <w:r>
        <w:rPr>
          <w:rStyle w:val="52"/>
          <w:rFonts w:hint="eastAsia" w:ascii="宋体" w:hAnsi="宋体" w:eastAsia="宋体" w:cs="宋体"/>
          <w:b/>
          <w:color w:val="auto"/>
          <w:sz w:val="24"/>
          <w:szCs w:val="24"/>
          <w:highlight w:val="none"/>
          <w:lang w:eastAsia="zh-CN"/>
        </w:rPr>
        <w:t>投标人须知前附表</w:t>
      </w:r>
      <w:bookmarkEnd w:id="142"/>
      <w:bookmarkEnd w:id="143"/>
      <w:bookmarkEnd w:id="144"/>
    </w:p>
    <w:p w14:paraId="6BE0178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9"/>
        <w:rPr>
          <w:rFonts w:hint="eastAsia" w:ascii="宋体" w:hAnsi="宋体" w:eastAsia="宋体" w:cs="宋体"/>
          <w:color w:val="auto"/>
          <w:highlight w:val="none"/>
          <w:lang w:eastAsia="zh-CN"/>
        </w:rPr>
      </w:pPr>
      <w:r>
        <w:rPr>
          <w:rFonts w:hint="eastAsia" w:ascii="宋体" w:hAnsi="宋体" w:eastAsia="宋体" w:cs="宋体"/>
          <w:color w:val="auto"/>
          <w:szCs w:val="21"/>
          <w:highlight w:val="none"/>
        </w:rPr>
        <w:t>本表关于采购的货物</w:t>
      </w:r>
      <w:r>
        <w:rPr>
          <w:rFonts w:hint="eastAsia" w:ascii="宋体" w:hAnsi="宋体" w:eastAsia="宋体" w:cs="宋体"/>
          <w:color w:val="auto"/>
          <w:szCs w:val="21"/>
          <w:highlight w:val="none"/>
          <w:lang w:eastAsia="zh-CN"/>
        </w:rPr>
        <w:t>及其伴随服务</w:t>
      </w:r>
      <w:r>
        <w:rPr>
          <w:rFonts w:hint="eastAsia" w:ascii="宋体" w:hAnsi="宋体" w:eastAsia="宋体" w:cs="宋体"/>
          <w:color w:val="auto"/>
          <w:szCs w:val="21"/>
          <w:highlight w:val="none"/>
        </w:rPr>
        <w:t>的具体资料是对投标人须知的补充，</w:t>
      </w:r>
      <w:r>
        <w:rPr>
          <w:rFonts w:hint="eastAsia" w:ascii="宋体" w:hAnsi="宋体" w:eastAsia="宋体" w:cs="宋体"/>
          <w:color w:val="auto"/>
          <w:highlight w:val="none"/>
          <w:lang w:eastAsia="zh-CN"/>
        </w:rPr>
        <w:t>如有矛盾，应以本表为准，此表中“</w:t>
      </w:r>
      <w:r>
        <w:rPr>
          <w:rFonts w:hint="eastAsia" w:ascii="宋体" w:hAnsi="宋体" w:eastAsia="宋体" w:cs="宋体"/>
          <w:color w:val="auto"/>
          <w:highlight w:val="none"/>
        </w:rPr>
        <w:t>※</w:t>
      </w:r>
      <w:r>
        <w:rPr>
          <w:rFonts w:hint="eastAsia" w:ascii="宋体" w:hAnsi="宋体" w:eastAsia="宋体" w:cs="宋体"/>
          <w:color w:val="auto"/>
          <w:highlight w:val="none"/>
          <w:lang w:eastAsia="zh-CN"/>
        </w:rPr>
        <w:t>”为投标人必须满足的条件，如不满足，可能导致</w:t>
      </w:r>
      <w:r>
        <w:rPr>
          <w:rFonts w:hint="eastAsia" w:ascii="宋体" w:hAnsi="宋体" w:eastAsia="宋体" w:cs="宋体"/>
          <w:b/>
          <w:bCs/>
          <w:color w:val="auto"/>
          <w:highlight w:val="none"/>
          <w:lang w:eastAsia="zh-CN"/>
        </w:rPr>
        <w:t>投标无效</w:t>
      </w:r>
      <w:r>
        <w:rPr>
          <w:rFonts w:hint="eastAsia" w:ascii="宋体" w:hAnsi="宋体" w:eastAsia="宋体" w:cs="宋体"/>
          <w:color w:val="auto"/>
          <w:highlight w:val="none"/>
          <w:lang w:eastAsia="zh-CN"/>
        </w:rPr>
        <w:t>。</w:t>
      </w:r>
    </w:p>
    <w:tbl>
      <w:tblPr>
        <w:tblStyle w:val="3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9"/>
        <w:gridCol w:w="1634"/>
        <w:gridCol w:w="6655"/>
      </w:tblGrid>
      <w:tr w14:paraId="17F340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9" w:type="dxa"/>
            <w:noWrap w:val="0"/>
            <w:vAlign w:val="center"/>
          </w:tcPr>
          <w:p w14:paraId="4030270F">
            <w:pPr>
              <w:pageBreakBefore w:val="0"/>
              <w:kinsoku/>
              <w:overflowPunct/>
              <w:bidi w:val="0"/>
              <w:spacing w:line="360" w:lineRule="auto"/>
              <w:ind w:left="38" w:leftChars="18"/>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条款号</w:t>
            </w:r>
          </w:p>
        </w:tc>
        <w:tc>
          <w:tcPr>
            <w:tcW w:w="1634" w:type="dxa"/>
            <w:noWrap w:val="0"/>
            <w:vAlign w:val="center"/>
          </w:tcPr>
          <w:p w14:paraId="1CCCDCC7">
            <w:pPr>
              <w:pageBreakBefore w:val="0"/>
              <w:kinsoku/>
              <w:overflowPunct/>
              <w:bidi w:val="0"/>
              <w:spacing w:line="360" w:lineRule="auto"/>
              <w:ind w:left="38" w:leftChars="18"/>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条款名称</w:t>
            </w:r>
          </w:p>
        </w:tc>
        <w:tc>
          <w:tcPr>
            <w:tcW w:w="6655" w:type="dxa"/>
            <w:noWrap w:val="0"/>
            <w:vAlign w:val="center"/>
          </w:tcPr>
          <w:p w14:paraId="570A8F32">
            <w:pPr>
              <w:pageBreakBefore w:val="0"/>
              <w:kinsoku/>
              <w:overflowPunct/>
              <w:bidi w:val="0"/>
              <w:spacing w:line="360" w:lineRule="auto"/>
              <w:ind w:left="38" w:leftChars="18"/>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编列内容</w:t>
            </w:r>
          </w:p>
        </w:tc>
      </w:tr>
      <w:tr w14:paraId="2983F2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9" w:type="dxa"/>
            <w:noWrap w:val="0"/>
            <w:vAlign w:val="center"/>
          </w:tcPr>
          <w:p w14:paraId="1662464D">
            <w:pPr>
              <w:keepNext w:val="0"/>
              <w:keepLines w:val="0"/>
              <w:pageBreakBefore w:val="0"/>
              <w:widowControl w:val="0"/>
              <w:kinsoku/>
              <w:wordWrap/>
              <w:overflowPunct/>
              <w:topLinePunct w:val="0"/>
              <w:autoSpaceDE/>
              <w:autoSpaceDN/>
              <w:bidi w:val="0"/>
              <w:adjustRightInd/>
              <w:snapToGrid/>
              <w:spacing w:line="360" w:lineRule="auto"/>
              <w:ind w:left="38" w:leftChars="18"/>
              <w:jc w:val="center"/>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1.2.1</w:t>
            </w:r>
          </w:p>
        </w:tc>
        <w:tc>
          <w:tcPr>
            <w:tcW w:w="1634" w:type="dxa"/>
            <w:noWrap w:val="0"/>
            <w:vAlign w:val="center"/>
          </w:tcPr>
          <w:p w14:paraId="3E2A6D66">
            <w:pPr>
              <w:keepNext w:val="0"/>
              <w:keepLines w:val="0"/>
              <w:pageBreakBefore w:val="0"/>
              <w:widowControl w:val="0"/>
              <w:kinsoku/>
              <w:wordWrap/>
              <w:overflowPunct/>
              <w:topLinePunct w:val="0"/>
              <w:autoSpaceDE/>
              <w:autoSpaceDN/>
              <w:bidi w:val="0"/>
              <w:adjustRightInd/>
              <w:snapToGrid/>
              <w:spacing w:line="360" w:lineRule="auto"/>
              <w:ind w:left="38" w:leftChars="18"/>
              <w:jc w:val="center"/>
              <w:textAlignment w:val="auto"/>
              <w:outlineLvl w:val="9"/>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采购人</w:t>
            </w:r>
          </w:p>
        </w:tc>
        <w:tc>
          <w:tcPr>
            <w:tcW w:w="6655" w:type="dxa"/>
            <w:noWrap w:val="0"/>
            <w:vAlign w:val="center"/>
          </w:tcPr>
          <w:p w14:paraId="3221CB76">
            <w:pPr>
              <w:keepNext w:val="0"/>
              <w:keepLines w:val="0"/>
              <w:pageBreakBefore w:val="0"/>
              <w:widowControl w:val="0"/>
              <w:kinsoku/>
              <w:wordWrap/>
              <w:overflowPunct/>
              <w:topLinePunct w:val="0"/>
              <w:autoSpaceDE/>
              <w:autoSpaceDN/>
              <w:bidi w:val="0"/>
              <w:adjustRightInd/>
              <w:snapToGrid/>
              <w:spacing w:line="360" w:lineRule="auto"/>
              <w:ind w:left="38" w:leftChars="18"/>
              <w:jc w:val="both"/>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名称：河南省周口生态环境监测中心　　</w:t>
            </w:r>
          </w:p>
          <w:p w14:paraId="59EF771C">
            <w:pPr>
              <w:keepNext w:val="0"/>
              <w:keepLines w:val="0"/>
              <w:pageBreakBefore w:val="0"/>
              <w:widowControl w:val="0"/>
              <w:kinsoku/>
              <w:wordWrap/>
              <w:overflowPunct/>
              <w:topLinePunct w:val="0"/>
              <w:autoSpaceDE/>
              <w:autoSpaceDN/>
              <w:bidi w:val="0"/>
              <w:adjustRightInd/>
              <w:snapToGrid/>
              <w:spacing w:line="360" w:lineRule="auto"/>
              <w:ind w:left="38" w:leftChars="18"/>
              <w:jc w:val="both"/>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地址：周口市大庆路中段路西 </w:t>
            </w:r>
          </w:p>
          <w:p w14:paraId="6452A8C2">
            <w:pPr>
              <w:keepNext w:val="0"/>
              <w:keepLines w:val="0"/>
              <w:pageBreakBefore w:val="0"/>
              <w:widowControl w:val="0"/>
              <w:kinsoku/>
              <w:wordWrap/>
              <w:overflowPunct/>
              <w:topLinePunct w:val="0"/>
              <w:autoSpaceDE/>
              <w:autoSpaceDN/>
              <w:bidi w:val="0"/>
              <w:adjustRightInd/>
              <w:snapToGrid/>
              <w:spacing w:line="360" w:lineRule="auto"/>
              <w:ind w:left="38" w:leftChars="18"/>
              <w:jc w:val="both"/>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联系人：黄涛</w:t>
            </w:r>
          </w:p>
          <w:p w14:paraId="34F16FAF">
            <w:pPr>
              <w:keepNext w:val="0"/>
              <w:keepLines w:val="0"/>
              <w:pageBreakBefore w:val="0"/>
              <w:widowControl w:val="0"/>
              <w:kinsoku/>
              <w:wordWrap/>
              <w:overflowPunct/>
              <w:topLinePunct w:val="0"/>
              <w:autoSpaceDE/>
              <w:autoSpaceDN/>
              <w:bidi w:val="0"/>
              <w:adjustRightInd/>
              <w:snapToGrid/>
              <w:spacing w:line="360" w:lineRule="auto"/>
              <w:ind w:left="38" w:leftChars="18"/>
              <w:jc w:val="both"/>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联系方式：0394-8686675</w:t>
            </w:r>
          </w:p>
        </w:tc>
      </w:tr>
      <w:tr w14:paraId="2AE8A8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9" w:type="dxa"/>
            <w:noWrap w:val="0"/>
            <w:vAlign w:val="center"/>
          </w:tcPr>
          <w:p w14:paraId="39633BDB">
            <w:pPr>
              <w:keepNext w:val="0"/>
              <w:keepLines w:val="0"/>
              <w:pageBreakBefore w:val="0"/>
              <w:widowControl w:val="0"/>
              <w:kinsoku/>
              <w:wordWrap/>
              <w:overflowPunct/>
              <w:topLinePunct w:val="0"/>
              <w:autoSpaceDE/>
              <w:autoSpaceDN/>
              <w:bidi w:val="0"/>
              <w:adjustRightInd/>
              <w:snapToGrid/>
              <w:spacing w:line="360" w:lineRule="auto"/>
              <w:ind w:left="38" w:leftChars="18"/>
              <w:jc w:val="center"/>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1.2.2</w:t>
            </w:r>
          </w:p>
        </w:tc>
        <w:tc>
          <w:tcPr>
            <w:tcW w:w="1634" w:type="dxa"/>
            <w:noWrap w:val="0"/>
            <w:vAlign w:val="center"/>
          </w:tcPr>
          <w:p w14:paraId="1D469189">
            <w:pPr>
              <w:keepNext w:val="0"/>
              <w:keepLines w:val="0"/>
              <w:pageBreakBefore w:val="0"/>
              <w:widowControl w:val="0"/>
              <w:kinsoku/>
              <w:wordWrap/>
              <w:overflowPunct/>
              <w:topLinePunct w:val="0"/>
              <w:autoSpaceDE/>
              <w:autoSpaceDN/>
              <w:bidi w:val="0"/>
              <w:adjustRightInd/>
              <w:snapToGrid/>
              <w:spacing w:line="360" w:lineRule="auto"/>
              <w:ind w:left="38" w:leftChars="18"/>
              <w:jc w:val="center"/>
              <w:textAlignment w:val="auto"/>
              <w:outlineLvl w:val="9"/>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采购代理机构</w:t>
            </w:r>
          </w:p>
        </w:tc>
        <w:tc>
          <w:tcPr>
            <w:tcW w:w="6655" w:type="dxa"/>
            <w:noWrap w:val="0"/>
            <w:vAlign w:val="center"/>
          </w:tcPr>
          <w:p w14:paraId="2598EF52">
            <w:pPr>
              <w:keepNext w:val="0"/>
              <w:keepLines w:val="0"/>
              <w:pageBreakBefore w:val="0"/>
              <w:widowControl w:val="0"/>
              <w:kinsoku/>
              <w:wordWrap/>
              <w:overflowPunct/>
              <w:topLinePunct w:val="0"/>
              <w:autoSpaceDE/>
              <w:autoSpaceDN/>
              <w:bidi w:val="0"/>
              <w:adjustRightInd/>
              <w:snapToGrid/>
              <w:spacing w:line="360" w:lineRule="auto"/>
              <w:ind w:left="38" w:leftChars="18"/>
              <w:jc w:val="both"/>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名称：建基工程咨询有限公司</w:t>
            </w:r>
          </w:p>
          <w:p w14:paraId="5EBEF131">
            <w:pPr>
              <w:keepNext w:val="0"/>
              <w:keepLines w:val="0"/>
              <w:pageBreakBefore w:val="0"/>
              <w:widowControl w:val="0"/>
              <w:kinsoku/>
              <w:wordWrap/>
              <w:overflowPunct/>
              <w:topLinePunct w:val="0"/>
              <w:autoSpaceDE/>
              <w:autoSpaceDN/>
              <w:bidi w:val="0"/>
              <w:adjustRightInd/>
              <w:snapToGrid/>
              <w:spacing w:line="360" w:lineRule="auto"/>
              <w:ind w:left="38" w:leftChars="18"/>
              <w:jc w:val="both"/>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地址：河南省郑州市管城回族区城东路100号1号楼1单元14层1401号</w:t>
            </w:r>
          </w:p>
          <w:p w14:paraId="6CEB8D25">
            <w:pPr>
              <w:keepNext w:val="0"/>
              <w:keepLines w:val="0"/>
              <w:pageBreakBefore w:val="0"/>
              <w:widowControl w:val="0"/>
              <w:kinsoku/>
              <w:wordWrap/>
              <w:overflowPunct/>
              <w:topLinePunct w:val="0"/>
              <w:autoSpaceDE/>
              <w:autoSpaceDN/>
              <w:bidi w:val="0"/>
              <w:adjustRightInd/>
              <w:snapToGrid/>
              <w:spacing w:line="360" w:lineRule="auto"/>
              <w:ind w:left="38" w:leftChars="18"/>
              <w:jc w:val="both"/>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联系人：</w:t>
            </w:r>
            <w:r>
              <w:rPr>
                <w:rFonts w:hint="eastAsia" w:ascii="宋体" w:hAnsi="宋体" w:eastAsia="宋体" w:cs="宋体"/>
                <w:b w:val="0"/>
                <w:bCs w:val="0"/>
                <w:color w:val="auto"/>
                <w:kern w:val="2"/>
                <w:sz w:val="21"/>
                <w:szCs w:val="21"/>
                <w:highlight w:val="none"/>
                <w:shd w:val="clear" w:color="auto" w:fill="FFFFFF"/>
                <w:lang w:val="en-US" w:eastAsia="zh-CN" w:bidi="ar-SA"/>
              </w:rPr>
              <w:t>苏菲芳</w:t>
            </w:r>
            <w:r>
              <w:rPr>
                <w:rFonts w:hint="eastAsia" w:cs="宋体"/>
                <w:b w:val="0"/>
                <w:bCs w:val="0"/>
                <w:color w:val="auto"/>
                <w:kern w:val="2"/>
                <w:sz w:val="21"/>
                <w:szCs w:val="21"/>
                <w:highlight w:val="none"/>
                <w:shd w:val="clear" w:color="auto" w:fill="FFFFFF"/>
                <w:lang w:val="en-US" w:eastAsia="zh-CN" w:bidi="ar-SA"/>
              </w:rPr>
              <w:t>、王志超、何佳丽</w:t>
            </w:r>
            <w:bookmarkStart w:id="789" w:name="_GoBack"/>
            <w:bookmarkEnd w:id="789"/>
          </w:p>
          <w:p w14:paraId="591DCE12">
            <w:pPr>
              <w:keepNext w:val="0"/>
              <w:keepLines w:val="0"/>
              <w:pageBreakBefore w:val="0"/>
              <w:widowControl w:val="0"/>
              <w:kinsoku/>
              <w:wordWrap/>
              <w:overflowPunct/>
              <w:topLinePunct w:val="0"/>
              <w:autoSpaceDE/>
              <w:autoSpaceDN/>
              <w:bidi w:val="0"/>
              <w:adjustRightInd/>
              <w:snapToGrid/>
              <w:spacing w:line="360" w:lineRule="auto"/>
              <w:ind w:left="38" w:leftChars="18"/>
              <w:jc w:val="both"/>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联系方式：0371-55238190　</w:t>
            </w:r>
          </w:p>
        </w:tc>
      </w:tr>
      <w:tr w14:paraId="174DE3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jc w:val="center"/>
        </w:trPr>
        <w:tc>
          <w:tcPr>
            <w:tcW w:w="999" w:type="dxa"/>
            <w:noWrap w:val="0"/>
            <w:vAlign w:val="center"/>
          </w:tcPr>
          <w:p w14:paraId="67F8472B">
            <w:pPr>
              <w:keepNext w:val="0"/>
              <w:keepLines w:val="0"/>
              <w:pageBreakBefore w:val="0"/>
              <w:widowControl w:val="0"/>
              <w:kinsoku/>
              <w:wordWrap/>
              <w:overflowPunct/>
              <w:topLinePunct w:val="0"/>
              <w:autoSpaceDE/>
              <w:autoSpaceDN/>
              <w:bidi w:val="0"/>
              <w:adjustRightInd/>
              <w:snapToGrid/>
              <w:spacing w:line="360" w:lineRule="auto"/>
              <w:ind w:left="38" w:leftChars="18"/>
              <w:jc w:val="center"/>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1.2.3</w:t>
            </w:r>
          </w:p>
        </w:tc>
        <w:tc>
          <w:tcPr>
            <w:tcW w:w="1634" w:type="dxa"/>
            <w:noWrap w:val="0"/>
            <w:vAlign w:val="center"/>
          </w:tcPr>
          <w:p w14:paraId="4C5A6603">
            <w:pPr>
              <w:keepNext w:val="0"/>
              <w:keepLines w:val="0"/>
              <w:pageBreakBefore w:val="0"/>
              <w:widowControl w:val="0"/>
              <w:kinsoku/>
              <w:wordWrap/>
              <w:overflowPunct/>
              <w:topLinePunct w:val="0"/>
              <w:autoSpaceDE/>
              <w:autoSpaceDN/>
              <w:bidi w:val="0"/>
              <w:adjustRightInd/>
              <w:snapToGrid/>
              <w:spacing w:line="360" w:lineRule="auto"/>
              <w:ind w:left="38" w:leftChars="18"/>
              <w:jc w:val="center"/>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项目名称及</w:t>
            </w:r>
            <w:r>
              <w:rPr>
                <w:rFonts w:hint="eastAsia" w:ascii="宋体" w:hAnsi="宋体" w:eastAsia="宋体" w:cs="宋体"/>
                <w:color w:val="auto"/>
                <w:sz w:val="21"/>
                <w:szCs w:val="21"/>
                <w:highlight w:val="none"/>
                <w:lang w:eastAsia="zh-CN"/>
              </w:rPr>
              <w:t>项目编号</w:t>
            </w:r>
          </w:p>
        </w:tc>
        <w:tc>
          <w:tcPr>
            <w:tcW w:w="6655" w:type="dxa"/>
            <w:noWrap w:val="0"/>
            <w:vAlign w:val="center"/>
          </w:tcPr>
          <w:p w14:paraId="7EB5AE57">
            <w:pPr>
              <w:keepNext w:val="0"/>
              <w:keepLines w:val="0"/>
              <w:pageBreakBefore w:val="0"/>
              <w:widowControl w:val="0"/>
              <w:kinsoku/>
              <w:wordWrap/>
              <w:overflowPunct/>
              <w:topLinePunct w:val="0"/>
              <w:autoSpaceDE/>
              <w:autoSpaceDN/>
              <w:bidi w:val="0"/>
              <w:adjustRightInd/>
              <w:snapToGrid/>
              <w:spacing w:line="360" w:lineRule="auto"/>
              <w:jc w:val="both"/>
              <w:textAlignment w:val="auto"/>
              <w:outlineLvl w:val="9"/>
              <w:rPr>
                <w:rFonts w:hint="eastAsia" w:ascii="宋体" w:hAnsi="宋体" w:eastAsia="宋体" w:cs="宋体"/>
                <w:b/>
                <w:color w:val="auto"/>
                <w:sz w:val="21"/>
                <w:szCs w:val="21"/>
                <w:highlight w:val="none"/>
                <w:shd w:val="clear" w:color="auto" w:fill="auto"/>
                <w:lang w:eastAsia="zh-CN"/>
              </w:rPr>
            </w:pPr>
            <w:r>
              <w:rPr>
                <w:rFonts w:hint="eastAsia" w:ascii="宋体" w:hAnsi="宋体" w:eastAsia="宋体" w:cs="宋体"/>
                <w:color w:val="auto"/>
                <w:sz w:val="21"/>
                <w:szCs w:val="21"/>
                <w:highlight w:val="none"/>
                <w:shd w:val="clear" w:color="auto" w:fill="auto"/>
              </w:rPr>
              <w:t>项目名称：河南省周口生态环境监测中心2026年监测能力建设项目</w:t>
            </w:r>
          </w:p>
          <w:p w14:paraId="3E4940DF">
            <w:pPr>
              <w:keepNext w:val="0"/>
              <w:keepLines w:val="0"/>
              <w:pageBreakBefore w:val="0"/>
              <w:widowControl w:val="0"/>
              <w:kinsoku/>
              <w:wordWrap/>
              <w:overflowPunct/>
              <w:topLinePunct w:val="0"/>
              <w:autoSpaceDE/>
              <w:autoSpaceDN/>
              <w:bidi w:val="0"/>
              <w:adjustRightInd/>
              <w:snapToGrid/>
              <w:spacing w:line="360" w:lineRule="auto"/>
              <w:jc w:val="both"/>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shd w:val="clear" w:color="auto" w:fill="auto"/>
                <w:lang w:eastAsia="zh-CN"/>
              </w:rPr>
              <w:t>项目编号</w:t>
            </w:r>
            <w:r>
              <w:rPr>
                <w:rFonts w:hint="eastAsia" w:ascii="宋体" w:hAnsi="宋体" w:eastAsia="宋体" w:cs="宋体"/>
                <w:color w:val="auto"/>
                <w:sz w:val="21"/>
                <w:szCs w:val="21"/>
                <w:highlight w:val="none"/>
                <w:shd w:val="clear" w:color="auto" w:fill="auto"/>
              </w:rPr>
              <w:t>：豫财招标采购-2026-297</w:t>
            </w:r>
          </w:p>
        </w:tc>
      </w:tr>
      <w:tr w14:paraId="6ED62C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9" w:type="dxa"/>
            <w:noWrap w:val="0"/>
            <w:vAlign w:val="center"/>
          </w:tcPr>
          <w:p w14:paraId="026E80FE">
            <w:pPr>
              <w:keepNext w:val="0"/>
              <w:keepLines w:val="0"/>
              <w:pageBreakBefore w:val="0"/>
              <w:widowControl w:val="0"/>
              <w:kinsoku/>
              <w:wordWrap/>
              <w:overflowPunct/>
              <w:topLinePunct w:val="0"/>
              <w:autoSpaceDE/>
              <w:autoSpaceDN/>
              <w:bidi w:val="0"/>
              <w:adjustRightInd/>
              <w:snapToGrid/>
              <w:spacing w:line="360" w:lineRule="auto"/>
              <w:ind w:left="38" w:leftChars="18"/>
              <w:jc w:val="center"/>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1.2.4</w:t>
            </w:r>
          </w:p>
        </w:tc>
        <w:tc>
          <w:tcPr>
            <w:tcW w:w="1634" w:type="dxa"/>
            <w:noWrap w:val="0"/>
            <w:vAlign w:val="center"/>
          </w:tcPr>
          <w:p w14:paraId="535675FF">
            <w:pPr>
              <w:keepNext w:val="0"/>
              <w:keepLines w:val="0"/>
              <w:pageBreakBefore w:val="0"/>
              <w:widowControl w:val="0"/>
              <w:kinsoku/>
              <w:wordWrap/>
              <w:overflowPunct/>
              <w:topLinePunct w:val="0"/>
              <w:autoSpaceDE/>
              <w:autoSpaceDN/>
              <w:bidi w:val="0"/>
              <w:adjustRightInd/>
              <w:snapToGrid/>
              <w:spacing w:line="360" w:lineRule="auto"/>
              <w:ind w:left="38" w:leftChars="18"/>
              <w:jc w:val="center"/>
              <w:textAlignment w:val="auto"/>
              <w:outlineLvl w:val="9"/>
              <w:rPr>
                <w:rFonts w:hint="eastAsia" w:ascii="宋体" w:hAnsi="宋体" w:eastAsia="宋体" w:cs="宋体"/>
                <w:color w:val="auto"/>
                <w:sz w:val="21"/>
                <w:szCs w:val="21"/>
                <w:highlight w:val="none"/>
                <w:shd w:val="clear" w:color="auto" w:fill="auto"/>
                <w:lang w:eastAsia="zh-CN"/>
              </w:rPr>
            </w:pPr>
            <w:r>
              <w:rPr>
                <w:rFonts w:hint="eastAsia" w:ascii="宋体" w:hAnsi="宋体" w:eastAsia="宋体" w:cs="宋体"/>
                <w:color w:val="auto"/>
                <w:sz w:val="21"/>
                <w:szCs w:val="21"/>
                <w:highlight w:val="none"/>
                <w:shd w:val="clear" w:color="auto" w:fill="auto"/>
                <w:lang w:eastAsia="zh-CN"/>
              </w:rPr>
              <w:t>采购范围</w:t>
            </w:r>
          </w:p>
        </w:tc>
        <w:tc>
          <w:tcPr>
            <w:tcW w:w="6655" w:type="dxa"/>
            <w:noWrap w:val="0"/>
            <w:vAlign w:val="center"/>
          </w:tcPr>
          <w:p w14:paraId="1421F9D0">
            <w:pPr>
              <w:keepNext w:val="0"/>
              <w:keepLines w:val="0"/>
              <w:pageBreakBefore w:val="0"/>
              <w:widowControl w:val="0"/>
              <w:kinsoku/>
              <w:wordWrap/>
              <w:overflowPunct/>
              <w:topLinePunct w:val="0"/>
              <w:autoSpaceDE/>
              <w:autoSpaceDN/>
              <w:bidi w:val="0"/>
              <w:adjustRightInd/>
              <w:snapToGrid/>
              <w:spacing w:line="360" w:lineRule="auto"/>
              <w:jc w:val="left"/>
              <w:textAlignment w:val="auto"/>
              <w:outlineLvl w:val="9"/>
              <w:rPr>
                <w:rFonts w:hint="eastAsia" w:ascii="宋体" w:hAnsi="宋体" w:eastAsia="宋体" w:cs="宋体"/>
                <w:color w:val="auto"/>
                <w:sz w:val="21"/>
                <w:szCs w:val="21"/>
                <w:highlight w:val="none"/>
                <w:shd w:val="clear" w:color="auto" w:fill="auto"/>
              </w:rPr>
            </w:pPr>
            <w:r>
              <w:rPr>
                <w:rFonts w:hint="eastAsia" w:ascii="宋体" w:hAnsi="宋体" w:eastAsia="宋体" w:cs="宋体"/>
                <w:b/>
                <w:color w:val="auto"/>
                <w:szCs w:val="21"/>
                <w:highlight w:val="none"/>
              </w:rPr>
              <w:t>※</w:t>
            </w:r>
            <w:r>
              <w:rPr>
                <w:rFonts w:hint="eastAsia" w:ascii="宋体" w:hAnsi="宋体" w:eastAsia="宋体" w:cs="宋体"/>
                <w:color w:val="auto"/>
                <w:kern w:val="2"/>
                <w:sz w:val="21"/>
                <w:szCs w:val="21"/>
                <w:highlight w:val="none"/>
                <w:lang w:val="en-US" w:eastAsia="zh-CN" w:bidi="ar-SA"/>
              </w:rPr>
              <w:t>采购内容：河南省周口生态环境监测中心2026年监测能力建设项目采购内容主要包括：离子色谱仪（1套）、全自动红外测油仪（1套）、便携式气相分子吸收光谱仪（1套）、双光束紫外可见分光光度计（1套）、紫外可见分光光度计（1套）、干燥箱（1套）、便携式抽滤装置（1套）、氟离子计（1套）、立式高压蒸汽灭菌器（2套）、CODcr回流消解仪（2套）、便携式浊度计（2套）、便携式pH测定仪（2套）、便携式溶解氧测定仪（2套）、便携式电导率测定仪（2套），</w:t>
            </w:r>
            <w:r>
              <w:rPr>
                <w:rFonts w:hint="eastAsia" w:ascii="宋体" w:hAnsi="宋体" w:eastAsia="宋体" w:cs="宋体"/>
                <w:color w:val="auto"/>
                <w:kern w:val="0"/>
                <w:sz w:val="21"/>
                <w:szCs w:val="21"/>
                <w:highlight w:val="none"/>
              </w:rPr>
              <w:t>包含设备</w:t>
            </w:r>
            <w:r>
              <w:rPr>
                <w:rFonts w:hint="eastAsia" w:ascii="宋体" w:hAnsi="宋体" w:eastAsia="宋体" w:cs="宋体"/>
                <w:color w:val="auto"/>
                <w:kern w:val="0"/>
                <w:sz w:val="21"/>
                <w:szCs w:val="21"/>
                <w:highlight w:val="none"/>
                <w:lang w:val="en-US" w:eastAsia="zh-CN"/>
              </w:rPr>
              <w:t>的</w:t>
            </w:r>
            <w:r>
              <w:rPr>
                <w:rFonts w:hint="eastAsia" w:ascii="宋体" w:hAnsi="宋体" w:eastAsia="宋体" w:cs="宋体"/>
                <w:color w:val="auto"/>
                <w:kern w:val="0"/>
                <w:sz w:val="21"/>
                <w:szCs w:val="21"/>
                <w:highlight w:val="none"/>
              </w:rPr>
              <w:t>采购、安装、调试、试运行及相关服务等</w:t>
            </w:r>
            <w:r>
              <w:rPr>
                <w:rFonts w:hint="eastAsia" w:ascii="宋体" w:hAnsi="宋体" w:eastAsia="宋体" w:cs="宋体"/>
                <w:color w:val="auto"/>
                <w:kern w:val="0"/>
                <w:sz w:val="21"/>
                <w:szCs w:val="21"/>
                <w:highlight w:val="none"/>
                <w:lang w:val="en-US" w:eastAsia="zh-CN"/>
              </w:rPr>
              <w:t>全部内容</w:t>
            </w:r>
            <w:r>
              <w:rPr>
                <w:rFonts w:hint="eastAsia" w:ascii="宋体" w:hAnsi="宋体" w:eastAsia="宋体" w:cs="宋体"/>
                <w:color w:val="auto"/>
                <w:kern w:val="2"/>
                <w:sz w:val="21"/>
                <w:szCs w:val="21"/>
                <w:highlight w:val="none"/>
                <w:lang w:val="en-US" w:eastAsia="zh-CN" w:bidi="ar-SA"/>
              </w:rPr>
              <w:t>，</w:t>
            </w:r>
            <w:r>
              <w:rPr>
                <w:rFonts w:hint="eastAsia" w:ascii="宋体" w:hAnsi="宋体" w:eastAsia="宋体" w:cs="宋体"/>
                <w:color w:val="auto"/>
                <w:sz w:val="21"/>
                <w:szCs w:val="21"/>
                <w:highlight w:val="none"/>
                <w:shd w:val="clear" w:color="auto" w:fill="FFFFFF"/>
                <w:lang w:val="en-US" w:eastAsia="zh-CN"/>
              </w:rPr>
              <w:t>具体采购内容详见第六章“采购需求”。</w:t>
            </w:r>
          </w:p>
        </w:tc>
      </w:tr>
      <w:tr w14:paraId="57F5FF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8" w:hRule="atLeast"/>
          <w:jc w:val="center"/>
        </w:trPr>
        <w:tc>
          <w:tcPr>
            <w:tcW w:w="999" w:type="dxa"/>
            <w:noWrap w:val="0"/>
            <w:vAlign w:val="center"/>
          </w:tcPr>
          <w:p w14:paraId="434ACEE8">
            <w:pPr>
              <w:keepNext w:val="0"/>
              <w:keepLines w:val="0"/>
              <w:pageBreakBefore w:val="0"/>
              <w:widowControl w:val="0"/>
              <w:kinsoku/>
              <w:wordWrap/>
              <w:overflowPunct/>
              <w:topLinePunct w:val="0"/>
              <w:autoSpaceDE/>
              <w:autoSpaceDN/>
              <w:bidi w:val="0"/>
              <w:adjustRightInd/>
              <w:snapToGrid/>
              <w:spacing w:line="360" w:lineRule="auto"/>
              <w:ind w:left="38" w:leftChars="18"/>
              <w:jc w:val="center"/>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1.2.5</w:t>
            </w:r>
          </w:p>
        </w:tc>
        <w:tc>
          <w:tcPr>
            <w:tcW w:w="1634" w:type="dxa"/>
            <w:noWrap w:val="0"/>
            <w:vAlign w:val="center"/>
          </w:tcPr>
          <w:p w14:paraId="6CD753B5">
            <w:pPr>
              <w:keepNext w:val="0"/>
              <w:keepLines w:val="0"/>
              <w:pageBreakBefore w:val="0"/>
              <w:widowControl w:val="0"/>
              <w:kinsoku/>
              <w:wordWrap/>
              <w:overflowPunct/>
              <w:topLinePunct w:val="0"/>
              <w:autoSpaceDE/>
              <w:autoSpaceDN/>
              <w:bidi w:val="0"/>
              <w:adjustRightInd/>
              <w:snapToGrid/>
              <w:spacing w:line="360" w:lineRule="auto"/>
              <w:ind w:left="38" w:leftChars="18"/>
              <w:jc w:val="center"/>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shd w:val="clear" w:color="auto" w:fill="auto"/>
                <w:lang w:eastAsia="zh-CN"/>
              </w:rPr>
              <w:t>资金来源及</w:t>
            </w:r>
            <w:r>
              <w:rPr>
                <w:rFonts w:hint="eastAsia" w:ascii="宋体" w:hAnsi="宋体" w:eastAsia="宋体" w:cs="宋体"/>
                <w:color w:val="auto"/>
                <w:sz w:val="21"/>
                <w:szCs w:val="21"/>
                <w:highlight w:val="none"/>
                <w:shd w:val="clear" w:color="auto" w:fill="auto"/>
              </w:rPr>
              <w:t>预算</w:t>
            </w:r>
            <w:r>
              <w:rPr>
                <w:rFonts w:hint="eastAsia" w:ascii="宋体" w:hAnsi="宋体" w:eastAsia="宋体" w:cs="宋体"/>
                <w:color w:val="auto"/>
                <w:sz w:val="21"/>
                <w:szCs w:val="21"/>
                <w:highlight w:val="none"/>
                <w:shd w:val="clear" w:color="auto" w:fill="auto"/>
                <w:lang w:eastAsia="zh-CN"/>
              </w:rPr>
              <w:t>金额</w:t>
            </w:r>
          </w:p>
        </w:tc>
        <w:tc>
          <w:tcPr>
            <w:tcW w:w="6655" w:type="dxa"/>
            <w:noWrap w:val="0"/>
            <w:vAlign w:val="center"/>
          </w:tcPr>
          <w:p w14:paraId="3F3B3D50">
            <w:pPr>
              <w:keepNext w:val="0"/>
              <w:keepLines w:val="0"/>
              <w:pageBreakBefore w:val="0"/>
              <w:widowControl w:val="0"/>
              <w:kinsoku/>
              <w:wordWrap/>
              <w:overflowPunct/>
              <w:topLinePunct w:val="0"/>
              <w:autoSpaceDE/>
              <w:autoSpaceDN/>
              <w:bidi w:val="0"/>
              <w:adjustRightInd/>
              <w:snapToGrid/>
              <w:spacing w:line="360" w:lineRule="auto"/>
              <w:jc w:val="left"/>
              <w:textAlignment w:val="auto"/>
              <w:outlineLvl w:val="9"/>
              <w:rPr>
                <w:rFonts w:hint="eastAsia"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auto"/>
                <w:sz w:val="21"/>
                <w:szCs w:val="21"/>
                <w:highlight w:val="none"/>
                <w:shd w:val="clear" w:color="auto" w:fill="auto"/>
                <w:lang w:eastAsia="zh-CN"/>
              </w:rPr>
              <w:t>资金来源：</w:t>
            </w:r>
            <w:r>
              <w:rPr>
                <w:rFonts w:hint="eastAsia" w:ascii="宋体" w:hAnsi="宋体" w:eastAsia="宋体" w:cs="宋体"/>
                <w:color w:val="auto"/>
                <w:sz w:val="21"/>
                <w:szCs w:val="21"/>
                <w:highlight w:val="none"/>
                <w:shd w:val="clear" w:color="auto" w:fill="auto"/>
                <w:lang w:val="en-US" w:eastAsia="zh-CN"/>
              </w:rPr>
              <w:t>财政资金</w:t>
            </w:r>
          </w:p>
          <w:p w14:paraId="720E8A34">
            <w:pPr>
              <w:keepNext w:val="0"/>
              <w:keepLines w:val="0"/>
              <w:pageBreakBefore w:val="0"/>
              <w:kinsoku/>
              <w:wordWrap/>
              <w:overflowPunct/>
              <w:topLinePunct w:val="0"/>
              <w:autoSpaceDE/>
              <w:autoSpaceDN/>
              <w:bidi w:val="0"/>
              <w:adjustRightInd/>
              <w:snapToGrid/>
              <w:spacing w:line="360" w:lineRule="auto"/>
              <w:textAlignment w:val="auto"/>
              <w:outlineLvl w:val="9"/>
              <w:rPr>
                <w:rFonts w:hint="eastAsia" w:ascii="宋体" w:hAnsi="宋体" w:eastAsia="宋体" w:cs="宋体"/>
                <w:b w:val="0"/>
                <w:bCs w:val="0"/>
                <w:color w:val="auto"/>
                <w:sz w:val="21"/>
                <w:szCs w:val="21"/>
                <w:highlight w:val="none"/>
                <w:shd w:val="clear" w:color="auto" w:fill="FFFFFF"/>
                <w:lang w:val="en-US" w:eastAsia="zh-CN"/>
              </w:rPr>
            </w:pPr>
            <w:r>
              <w:rPr>
                <w:rFonts w:hint="eastAsia" w:ascii="宋体" w:hAnsi="宋体" w:eastAsia="宋体" w:cs="宋体"/>
                <w:b w:val="0"/>
                <w:bCs w:val="0"/>
                <w:color w:val="auto"/>
                <w:sz w:val="21"/>
                <w:szCs w:val="21"/>
                <w:highlight w:val="none"/>
                <w:shd w:val="clear" w:color="auto" w:fill="FFFFFF"/>
              </w:rPr>
              <w:t>预算金额</w:t>
            </w:r>
            <w:r>
              <w:rPr>
                <w:rFonts w:hint="eastAsia" w:ascii="宋体" w:hAnsi="宋体" w:eastAsia="宋体" w:cs="宋体"/>
                <w:b w:val="0"/>
                <w:bCs w:val="0"/>
                <w:color w:val="auto"/>
                <w:sz w:val="21"/>
                <w:szCs w:val="21"/>
                <w:highlight w:val="none"/>
                <w:shd w:val="clear" w:color="auto" w:fill="FFFFFF"/>
                <w:lang w:val="en-US" w:eastAsia="zh-CN"/>
              </w:rPr>
              <w:t>：1662000.00元</w:t>
            </w:r>
          </w:p>
          <w:p w14:paraId="028A6321">
            <w:pPr>
              <w:keepNext w:val="0"/>
              <w:keepLines w:val="0"/>
              <w:pageBreakBefore w:val="0"/>
              <w:widowControl w:val="0"/>
              <w:kinsoku/>
              <w:wordWrap/>
              <w:overflowPunct/>
              <w:topLinePunct w:val="0"/>
              <w:autoSpaceDE w:val="0"/>
              <w:autoSpaceDN w:val="0"/>
              <w:bidi w:val="0"/>
              <w:adjustRightInd w:val="0"/>
              <w:spacing w:line="360" w:lineRule="auto"/>
              <w:textAlignment w:val="auto"/>
              <w:outlineLvl w:val="9"/>
              <w:rPr>
                <w:rFonts w:hint="eastAsia" w:ascii="宋体" w:hAnsi="宋体" w:eastAsia="宋体" w:cs="宋体"/>
                <w:b/>
                <w:bCs/>
                <w:color w:val="auto"/>
                <w:sz w:val="21"/>
                <w:szCs w:val="21"/>
                <w:highlight w:val="none"/>
              </w:rPr>
            </w:pPr>
            <w:r>
              <w:rPr>
                <w:rFonts w:hint="eastAsia" w:ascii="宋体" w:hAnsi="宋体" w:eastAsia="宋体" w:cs="宋体"/>
                <w:b w:val="0"/>
                <w:bCs w:val="0"/>
                <w:color w:val="auto"/>
                <w:sz w:val="21"/>
                <w:szCs w:val="21"/>
                <w:highlight w:val="none"/>
                <w:shd w:val="clear" w:color="auto" w:fill="FFFFFF"/>
                <w:lang w:val="en-US" w:eastAsia="zh-CN" w:bidi="ar-SA"/>
              </w:rPr>
              <w:t>最高限价：</w:t>
            </w:r>
            <w:r>
              <w:rPr>
                <w:rFonts w:hint="eastAsia" w:ascii="宋体" w:hAnsi="宋体" w:eastAsia="宋体" w:cs="宋体"/>
                <w:b w:val="0"/>
                <w:bCs w:val="0"/>
                <w:color w:val="auto"/>
                <w:sz w:val="21"/>
                <w:szCs w:val="21"/>
                <w:highlight w:val="none"/>
                <w:shd w:val="clear" w:color="auto" w:fill="FFFFFF"/>
                <w:lang w:val="en-US" w:eastAsia="zh-CN"/>
              </w:rPr>
              <w:t>1662000.00</w:t>
            </w:r>
            <w:r>
              <w:rPr>
                <w:rFonts w:hint="eastAsia" w:ascii="宋体" w:hAnsi="宋体" w:eastAsia="宋体" w:cs="宋体"/>
                <w:b w:val="0"/>
                <w:bCs w:val="0"/>
                <w:color w:val="auto"/>
                <w:sz w:val="21"/>
                <w:szCs w:val="21"/>
                <w:highlight w:val="none"/>
                <w:shd w:val="clear" w:color="auto" w:fill="FFFFFF"/>
                <w:lang w:val="en-US" w:eastAsia="zh-CN" w:bidi="ar-SA"/>
              </w:rPr>
              <w:t>元</w:t>
            </w:r>
          </w:p>
          <w:p w14:paraId="0263DCE8">
            <w:pPr>
              <w:keepNext w:val="0"/>
              <w:keepLines w:val="0"/>
              <w:pageBreakBefore w:val="0"/>
              <w:widowControl w:val="0"/>
              <w:kinsoku/>
              <w:wordWrap/>
              <w:overflowPunct/>
              <w:topLinePunct w:val="0"/>
              <w:autoSpaceDE/>
              <w:autoSpaceDN/>
              <w:bidi w:val="0"/>
              <w:adjustRightInd/>
              <w:snapToGrid/>
              <w:spacing w:line="360" w:lineRule="auto"/>
              <w:jc w:val="left"/>
              <w:textAlignment w:val="auto"/>
              <w:outlineLvl w:val="9"/>
              <w:rPr>
                <w:rFonts w:hint="eastAsia" w:ascii="宋体" w:hAnsi="宋体" w:eastAsia="宋体" w:cs="宋体"/>
                <w:color w:val="auto"/>
                <w:highlight w:val="none"/>
                <w:lang w:val="en-US" w:eastAsia="zh-CN"/>
              </w:rPr>
            </w:pPr>
            <w:r>
              <w:rPr>
                <w:rFonts w:hint="eastAsia" w:ascii="宋体" w:hAnsi="宋体" w:eastAsia="宋体" w:cs="宋体"/>
                <w:b/>
                <w:bCs/>
                <w:color w:val="auto"/>
                <w:sz w:val="21"/>
                <w:szCs w:val="21"/>
                <w:highlight w:val="none"/>
              </w:rPr>
              <w:t>注：投标人报价不得高于预算金额</w:t>
            </w:r>
            <w:r>
              <w:rPr>
                <w:rFonts w:hint="eastAsia" w:ascii="宋体" w:hAnsi="宋体" w:eastAsia="宋体" w:cs="宋体"/>
                <w:b/>
                <w:bCs/>
                <w:color w:val="auto"/>
                <w:sz w:val="21"/>
                <w:szCs w:val="21"/>
                <w:highlight w:val="none"/>
                <w:lang w:eastAsia="zh-CN"/>
              </w:rPr>
              <w:t>（</w:t>
            </w:r>
            <w:r>
              <w:rPr>
                <w:rFonts w:hint="eastAsia" w:ascii="宋体" w:hAnsi="宋体" w:eastAsia="宋体" w:cs="宋体"/>
                <w:b/>
                <w:bCs/>
                <w:color w:val="auto"/>
                <w:sz w:val="21"/>
                <w:szCs w:val="21"/>
                <w:highlight w:val="none"/>
                <w:lang w:val="en-US" w:eastAsia="zh-CN"/>
              </w:rPr>
              <w:t>最高限价</w:t>
            </w:r>
            <w:r>
              <w:rPr>
                <w:rFonts w:hint="eastAsia" w:ascii="宋体" w:hAnsi="宋体" w:eastAsia="宋体" w:cs="宋体"/>
                <w:b/>
                <w:bCs/>
                <w:color w:val="auto"/>
                <w:sz w:val="21"/>
                <w:szCs w:val="21"/>
                <w:highlight w:val="none"/>
                <w:lang w:eastAsia="zh-CN"/>
              </w:rPr>
              <w:t>），</w:t>
            </w:r>
            <w:r>
              <w:rPr>
                <w:rFonts w:hint="eastAsia" w:ascii="宋体" w:hAnsi="宋体" w:eastAsia="宋体" w:cs="宋体"/>
                <w:b/>
                <w:bCs/>
                <w:color w:val="auto"/>
                <w:sz w:val="21"/>
                <w:szCs w:val="21"/>
                <w:highlight w:val="none"/>
                <w:lang w:val="en-US" w:eastAsia="zh-CN"/>
              </w:rPr>
              <w:t>否则其投标无效</w:t>
            </w:r>
            <w:r>
              <w:rPr>
                <w:rFonts w:hint="eastAsia" w:ascii="宋体" w:hAnsi="宋体" w:eastAsia="宋体" w:cs="宋体"/>
                <w:b/>
                <w:bCs/>
                <w:color w:val="auto"/>
                <w:sz w:val="21"/>
                <w:szCs w:val="21"/>
                <w:highlight w:val="none"/>
              </w:rPr>
              <w:t>。</w:t>
            </w:r>
          </w:p>
        </w:tc>
      </w:tr>
      <w:tr w14:paraId="72F73C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9" w:type="dxa"/>
            <w:noWrap w:val="0"/>
            <w:vAlign w:val="center"/>
          </w:tcPr>
          <w:p w14:paraId="097346E7">
            <w:pPr>
              <w:keepNext w:val="0"/>
              <w:keepLines w:val="0"/>
              <w:pageBreakBefore w:val="0"/>
              <w:widowControl w:val="0"/>
              <w:kinsoku/>
              <w:wordWrap/>
              <w:overflowPunct/>
              <w:topLinePunct w:val="0"/>
              <w:autoSpaceDE/>
              <w:autoSpaceDN/>
              <w:bidi w:val="0"/>
              <w:adjustRightInd/>
              <w:snapToGrid/>
              <w:spacing w:line="360" w:lineRule="auto"/>
              <w:ind w:left="38" w:leftChars="18"/>
              <w:jc w:val="center"/>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1.2.6</w:t>
            </w:r>
          </w:p>
        </w:tc>
        <w:tc>
          <w:tcPr>
            <w:tcW w:w="1634" w:type="dxa"/>
            <w:noWrap w:val="0"/>
            <w:vAlign w:val="center"/>
          </w:tcPr>
          <w:p w14:paraId="0712C215">
            <w:pPr>
              <w:keepNext w:val="0"/>
              <w:keepLines w:val="0"/>
              <w:pageBreakBefore w:val="0"/>
              <w:widowControl w:val="0"/>
              <w:kinsoku/>
              <w:wordWrap/>
              <w:overflowPunct/>
              <w:topLinePunct w:val="0"/>
              <w:autoSpaceDE/>
              <w:autoSpaceDN/>
              <w:bidi w:val="0"/>
              <w:adjustRightInd/>
              <w:snapToGrid/>
              <w:spacing w:line="360" w:lineRule="auto"/>
              <w:ind w:left="38" w:leftChars="18"/>
              <w:jc w:val="center"/>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交货及安装调试期</w:t>
            </w:r>
          </w:p>
        </w:tc>
        <w:tc>
          <w:tcPr>
            <w:tcW w:w="6655" w:type="dxa"/>
            <w:noWrap w:val="0"/>
            <w:vAlign w:val="center"/>
          </w:tcPr>
          <w:p w14:paraId="1368D0A5">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w:t>
            </w:r>
            <w:r>
              <w:rPr>
                <w:rFonts w:hint="eastAsia" w:ascii="宋体" w:hAnsi="宋体" w:eastAsia="宋体" w:cs="宋体"/>
                <w:color w:val="auto"/>
                <w:szCs w:val="21"/>
                <w:highlight w:val="none"/>
              </w:rPr>
              <w:t>合同签订生效后</w:t>
            </w:r>
            <w:r>
              <w:rPr>
                <w:rFonts w:hint="eastAsia" w:cs="宋体"/>
                <w:color w:val="auto"/>
                <w:szCs w:val="21"/>
                <w:highlight w:val="none"/>
                <w:lang w:val="en-US" w:eastAsia="zh-CN"/>
              </w:rPr>
              <w:t>60</w:t>
            </w:r>
            <w:r>
              <w:rPr>
                <w:rFonts w:hint="eastAsia" w:ascii="宋体" w:hAnsi="宋体" w:eastAsia="宋体" w:cs="宋体"/>
                <w:color w:val="auto"/>
                <w:szCs w:val="21"/>
                <w:highlight w:val="none"/>
                <w:lang w:val="en-US" w:eastAsia="zh-CN"/>
              </w:rPr>
              <w:t>日历天</w:t>
            </w:r>
            <w:r>
              <w:rPr>
                <w:rFonts w:hint="eastAsia" w:ascii="宋体" w:hAnsi="宋体" w:eastAsia="宋体" w:cs="宋体"/>
                <w:color w:val="auto"/>
                <w:szCs w:val="21"/>
                <w:highlight w:val="none"/>
              </w:rPr>
              <w:t>内</w:t>
            </w:r>
            <w:r>
              <w:rPr>
                <w:rFonts w:hint="eastAsia" w:ascii="宋体" w:hAnsi="宋体" w:eastAsia="宋体" w:cs="宋体"/>
                <w:color w:val="auto"/>
                <w:szCs w:val="21"/>
                <w:highlight w:val="none"/>
                <w:lang w:val="en-US" w:eastAsia="zh-CN"/>
              </w:rPr>
              <w:t>交货并</w:t>
            </w:r>
            <w:r>
              <w:rPr>
                <w:rFonts w:hint="eastAsia" w:ascii="宋体" w:hAnsi="宋体" w:eastAsia="宋体" w:cs="宋体"/>
                <w:color w:val="auto"/>
                <w:szCs w:val="21"/>
                <w:highlight w:val="none"/>
              </w:rPr>
              <w:t>安装调试完毕</w:t>
            </w:r>
          </w:p>
        </w:tc>
      </w:tr>
      <w:tr w14:paraId="38C83D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9" w:type="dxa"/>
            <w:noWrap w:val="0"/>
            <w:vAlign w:val="center"/>
          </w:tcPr>
          <w:p w14:paraId="03179905">
            <w:pPr>
              <w:keepNext w:val="0"/>
              <w:keepLines w:val="0"/>
              <w:pageBreakBefore w:val="0"/>
              <w:widowControl w:val="0"/>
              <w:kinsoku/>
              <w:wordWrap/>
              <w:overflowPunct/>
              <w:topLinePunct w:val="0"/>
              <w:autoSpaceDE/>
              <w:autoSpaceDN/>
              <w:bidi w:val="0"/>
              <w:adjustRightInd/>
              <w:snapToGrid/>
              <w:spacing w:line="360" w:lineRule="auto"/>
              <w:ind w:left="38" w:leftChars="18"/>
              <w:jc w:val="center"/>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1.2.7</w:t>
            </w:r>
          </w:p>
        </w:tc>
        <w:tc>
          <w:tcPr>
            <w:tcW w:w="1634" w:type="dxa"/>
            <w:noWrap w:val="0"/>
            <w:vAlign w:val="center"/>
          </w:tcPr>
          <w:p w14:paraId="50EB20FB">
            <w:pPr>
              <w:keepNext w:val="0"/>
              <w:keepLines w:val="0"/>
              <w:pageBreakBefore w:val="0"/>
              <w:widowControl w:val="0"/>
              <w:kinsoku/>
              <w:wordWrap/>
              <w:overflowPunct/>
              <w:topLinePunct w:val="0"/>
              <w:autoSpaceDE/>
              <w:autoSpaceDN/>
              <w:bidi w:val="0"/>
              <w:adjustRightInd/>
              <w:snapToGrid/>
              <w:spacing w:line="360" w:lineRule="auto"/>
              <w:ind w:left="38" w:leftChars="18"/>
              <w:jc w:val="center"/>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shd w:val="clear" w:color="auto" w:fill="auto"/>
                <w:lang w:eastAsia="zh-CN"/>
              </w:rPr>
              <w:t>交货</w:t>
            </w:r>
            <w:r>
              <w:rPr>
                <w:rFonts w:hint="eastAsia" w:ascii="宋体" w:hAnsi="宋体" w:eastAsia="宋体" w:cs="宋体"/>
                <w:color w:val="auto"/>
                <w:sz w:val="21"/>
                <w:szCs w:val="21"/>
                <w:highlight w:val="none"/>
                <w:shd w:val="clear" w:color="auto" w:fill="auto"/>
              </w:rPr>
              <w:t>地点</w:t>
            </w:r>
          </w:p>
        </w:tc>
        <w:tc>
          <w:tcPr>
            <w:tcW w:w="6655" w:type="dxa"/>
            <w:noWrap w:val="0"/>
            <w:vAlign w:val="center"/>
          </w:tcPr>
          <w:p w14:paraId="59803AA4">
            <w:pPr>
              <w:keepNext w:val="0"/>
              <w:keepLines w:val="0"/>
              <w:pageBreakBefore w:val="0"/>
              <w:widowControl w:val="0"/>
              <w:kinsoku/>
              <w:wordWrap/>
              <w:overflowPunct/>
              <w:topLinePunct w:val="0"/>
              <w:autoSpaceDE/>
              <w:autoSpaceDN/>
              <w:bidi w:val="0"/>
              <w:adjustRightInd/>
              <w:snapToGrid/>
              <w:spacing w:line="360" w:lineRule="auto"/>
              <w:jc w:val="left"/>
              <w:textAlignment w:val="auto"/>
              <w:outlineLvl w:val="9"/>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※河南省周口生态环境监测中心指定地点</w:t>
            </w:r>
          </w:p>
        </w:tc>
      </w:tr>
      <w:tr w14:paraId="483159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7" w:hRule="atLeast"/>
          <w:jc w:val="center"/>
        </w:trPr>
        <w:tc>
          <w:tcPr>
            <w:tcW w:w="999" w:type="dxa"/>
            <w:noWrap w:val="0"/>
            <w:vAlign w:val="center"/>
          </w:tcPr>
          <w:p w14:paraId="1895A1E7">
            <w:pPr>
              <w:keepNext w:val="0"/>
              <w:keepLines w:val="0"/>
              <w:pageBreakBefore w:val="0"/>
              <w:widowControl w:val="0"/>
              <w:kinsoku/>
              <w:wordWrap/>
              <w:overflowPunct/>
              <w:topLinePunct w:val="0"/>
              <w:autoSpaceDE/>
              <w:autoSpaceDN/>
              <w:bidi w:val="0"/>
              <w:adjustRightInd/>
              <w:snapToGrid/>
              <w:spacing w:line="360" w:lineRule="auto"/>
              <w:ind w:left="38" w:leftChars="18"/>
              <w:jc w:val="center"/>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1.2.8</w:t>
            </w:r>
          </w:p>
        </w:tc>
        <w:tc>
          <w:tcPr>
            <w:tcW w:w="1634" w:type="dxa"/>
            <w:noWrap w:val="0"/>
            <w:vAlign w:val="center"/>
          </w:tcPr>
          <w:p w14:paraId="42242790">
            <w:pPr>
              <w:keepNext w:val="0"/>
              <w:keepLines w:val="0"/>
              <w:pageBreakBefore w:val="0"/>
              <w:widowControl w:val="0"/>
              <w:kinsoku/>
              <w:wordWrap/>
              <w:overflowPunct/>
              <w:topLinePunct w:val="0"/>
              <w:autoSpaceDE/>
              <w:autoSpaceDN/>
              <w:bidi w:val="0"/>
              <w:adjustRightInd/>
              <w:snapToGrid/>
              <w:spacing w:line="360" w:lineRule="auto"/>
              <w:ind w:left="38" w:leftChars="18"/>
              <w:jc w:val="center"/>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shd w:val="clear" w:color="auto" w:fill="auto"/>
              </w:rPr>
              <w:t>质量标准</w:t>
            </w:r>
          </w:p>
        </w:tc>
        <w:tc>
          <w:tcPr>
            <w:tcW w:w="6655" w:type="dxa"/>
            <w:noWrap w:val="0"/>
            <w:vAlign w:val="center"/>
          </w:tcPr>
          <w:p w14:paraId="24595C7B">
            <w:pPr>
              <w:pStyle w:val="33"/>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合格并验收通过</w:t>
            </w:r>
          </w:p>
        </w:tc>
      </w:tr>
      <w:tr w14:paraId="33B493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9" w:type="dxa"/>
            <w:noWrap w:val="0"/>
            <w:vAlign w:val="center"/>
          </w:tcPr>
          <w:p w14:paraId="78F51BD7">
            <w:pPr>
              <w:keepNext w:val="0"/>
              <w:keepLines w:val="0"/>
              <w:pageBreakBefore w:val="0"/>
              <w:widowControl w:val="0"/>
              <w:kinsoku/>
              <w:wordWrap/>
              <w:overflowPunct/>
              <w:topLinePunct w:val="0"/>
              <w:autoSpaceDE/>
              <w:autoSpaceDN/>
              <w:bidi w:val="0"/>
              <w:adjustRightInd/>
              <w:snapToGrid/>
              <w:spacing w:line="360" w:lineRule="auto"/>
              <w:ind w:left="38" w:leftChars="18"/>
              <w:jc w:val="center"/>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1.2.9</w:t>
            </w:r>
          </w:p>
        </w:tc>
        <w:tc>
          <w:tcPr>
            <w:tcW w:w="1634" w:type="dxa"/>
            <w:noWrap w:val="0"/>
            <w:vAlign w:val="center"/>
          </w:tcPr>
          <w:p w14:paraId="5EEA87FA">
            <w:pPr>
              <w:keepNext w:val="0"/>
              <w:keepLines w:val="0"/>
              <w:pageBreakBefore w:val="0"/>
              <w:widowControl w:val="0"/>
              <w:kinsoku/>
              <w:wordWrap/>
              <w:overflowPunct/>
              <w:topLinePunct w:val="0"/>
              <w:autoSpaceDE/>
              <w:autoSpaceDN/>
              <w:bidi w:val="0"/>
              <w:adjustRightInd/>
              <w:snapToGrid/>
              <w:spacing w:line="360" w:lineRule="auto"/>
              <w:ind w:left="38" w:leftChars="18"/>
              <w:jc w:val="center"/>
              <w:textAlignment w:val="auto"/>
              <w:outlineLvl w:val="9"/>
              <w:rPr>
                <w:rFonts w:hint="eastAsia"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auto"/>
                <w:sz w:val="21"/>
                <w:szCs w:val="21"/>
                <w:highlight w:val="none"/>
                <w:shd w:val="clear" w:color="auto" w:fill="auto"/>
                <w:lang w:val="en-US" w:eastAsia="zh-CN"/>
              </w:rPr>
              <w:t>质量保证期</w:t>
            </w:r>
          </w:p>
        </w:tc>
        <w:tc>
          <w:tcPr>
            <w:tcW w:w="6655" w:type="dxa"/>
            <w:noWrap w:val="0"/>
            <w:vAlign w:val="center"/>
          </w:tcPr>
          <w:p w14:paraId="5E7F9E47">
            <w:pPr>
              <w:pStyle w:val="33"/>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※设备验收合格后，整机质保24个月（其中离子色谱仪整机质保60个月）</w:t>
            </w:r>
          </w:p>
        </w:tc>
      </w:tr>
      <w:tr w14:paraId="6FC214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9" w:type="dxa"/>
            <w:noWrap w:val="0"/>
            <w:vAlign w:val="center"/>
          </w:tcPr>
          <w:p w14:paraId="706C68B6">
            <w:pPr>
              <w:keepNext w:val="0"/>
              <w:keepLines w:val="0"/>
              <w:pageBreakBefore w:val="0"/>
              <w:widowControl w:val="0"/>
              <w:kinsoku/>
              <w:wordWrap/>
              <w:overflowPunct/>
              <w:topLinePunct w:val="0"/>
              <w:autoSpaceDE/>
              <w:autoSpaceDN/>
              <w:bidi w:val="0"/>
              <w:adjustRightInd/>
              <w:snapToGrid/>
              <w:spacing w:line="360" w:lineRule="auto"/>
              <w:ind w:left="38" w:leftChars="18"/>
              <w:jc w:val="center"/>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1.2.10</w:t>
            </w:r>
          </w:p>
        </w:tc>
        <w:tc>
          <w:tcPr>
            <w:tcW w:w="1634" w:type="dxa"/>
            <w:noWrap w:val="0"/>
            <w:vAlign w:val="center"/>
          </w:tcPr>
          <w:p w14:paraId="5E39101B">
            <w:pPr>
              <w:keepNext w:val="0"/>
              <w:keepLines w:val="0"/>
              <w:pageBreakBefore w:val="0"/>
              <w:widowControl w:val="0"/>
              <w:kinsoku/>
              <w:wordWrap/>
              <w:overflowPunct/>
              <w:topLinePunct w:val="0"/>
              <w:autoSpaceDE/>
              <w:autoSpaceDN/>
              <w:bidi w:val="0"/>
              <w:adjustRightInd/>
              <w:snapToGrid/>
              <w:spacing w:line="360" w:lineRule="auto"/>
              <w:ind w:left="38" w:leftChars="18"/>
              <w:jc w:val="center"/>
              <w:textAlignment w:val="auto"/>
              <w:outlineLvl w:val="9"/>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投标人资格要求</w:t>
            </w:r>
          </w:p>
        </w:tc>
        <w:tc>
          <w:tcPr>
            <w:tcW w:w="6655" w:type="dxa"/>
            <w:noWrap w:val="0"/>
            <w:vAlign w:val="center"/>
          </w:tcPr>
          <w:p w14:paraId="7083DBAF">
            <w:pPr>
              <w:spacing w:line="360" w:lineRule="auto"/>
              <w:rPr>
                <w:rFonts w:hint="eastAsia" w:ascii="宋体" w:hAnsi="宋体" w:eastAsia="宋体" w:cs="宋体"/>
                <w:color w:val="auto"/>
                <w:highlight w:val="none"/>
              </w:rPr>
            </w:pPr>
            <w:r>
              <w:rPr>
                <w:rFonts w:hint="eastAsia" w:ascii="宋体" w:hAnsi="宋体" w:eastAsia="宋体" w:cs="宋体"/>
                <w:bCs/>
                <w:color w:val="auto"/>
                <w:szCs w:val="21"/>
                <w:highlight w:val="none"/>
              </w:rPr>
              <w:t>※</w:t>
            </w:r>
            <w:r>
              <w:rPr>
                <w:rFonts w:hint="eastAsia" w:ascii="宋体" w:hAnsi="宋体" w:eastAsia="宋体" w:cs="宋体"/>
                <w:color w:val="auto"/>
                <w:highlight w:val="none"/>
              </w:rPr>
              <w:t>1. 符合《中华人民共和国政府采购法》第二十二条及《中华人民共和国政府采购法实施条例》第十七条条件，并提供下列材料：</w:t>
            </w:r>
          </w:p>
          <w:p w14:paraId="3B5CDB48">
            <w:pPr>
              <w:widowControl/>
              <w:spacing w:line="360" w:lineRule="auto"/>
              <w:jc w:val="left"/>
              <w:rPr>
                <w:rFonts w:hint="eastAsia" w:ascii="宋体" w:hAnsi="宋体" w:eastAsia="宋体" w:cs="宋体"/>
                <w:color w:val="auto"/>
                <w:kern w:val="0"/>
                <w:szCs w:val="21"/>
                <w:highlight w:val="none"/>
              </w:rPr>
            </w:pPr>
            <w:r>
              <w:rPr>
                <w:rFonts w:hint="eastAsia" w:ascii="宋体" w:hAnsi="宋体" w:eastAsia="宋体" w:cs="宋体"/>
                <w:color w:val="auto"/>
                <w:highlight w:val="none"/>
              </w:rPr>
              <w:t>1.1</w:t>
            </w:r>
            <w:r>
              <w:rPr>
                <w:rFonts w:hint="eastAsia" w:ascii="宋体" w:hAnsi="宋体" w:eastAsia="宋体" w:cs="宋体"/>
                <w:color w:val="auto"/>
                <w:kern w:val="0"/>
                <w:szCs w:val="21"/>
                <w:highlight w:val="none"/>
              </w:rPr>
              <w:t>具有独立承担民事责任的能力的证明材料：</w:t>
            </w:r>
          </w:p>
          <w:p w14:paraId="5F17A60E">
            <w:pPr>
              <w:widowControl w:val="0"/>
              <w:spacing w:after="0" w:line="360" w:lineRule="auto"/>
              <w:ind w:left="0" w:leftChars="0" w:firstLine="0" w:firstLineChars="0"/>
              <w:jc w:val="both"/>
              <w:rPr>
                <w:rFonts w:hint="eastAsia" w:ascii="宋体" w:hAnsi="宋体" w:eastAsia="宋体" w:cs="宋体"/>
                <w:color w:val="auto"/>
                <w:kern w:val="2"/>
                <w:sz w:val="21"/>
                <w:szCs w:val="24"/>
                <w:highlight w:val="none"/>
                <w:lang w:val="en-US" w:eastAsia="zh-CN" w:bidi="ar-SA"/>
              </w:rPr>
            </w:pPr>
            <w:r>
              <w:rPr>
                <w:rFonts w:hint="eastAsia" w:ascii="宋体" w:hAnsi="宋体" w:eastAsia="宋体" w:cs="宋体"/>
                <w:color w:val="auto"/>
                <w:kern w:val="2"/>
                <w:sz w:val="21"/>
                <w:szCs w:val="24"/>
                <w:highlight w:val="none"/>
                <w:lang w:val="en-US" w:eastAsia="zh-CN" w:bidi="ar-SA"/>
              </w:rPr>
              <w:t>投标人为企业（包括合伙企业）的，应提供有效的“营业执照”；</w:t>
            </w:r>
          </w:p>
          <w:p w14:paraId="2A0602ED">
            <w:pPr>
              <w:widowControl w:val="0"/>
              <w:spacing w:after="0" w:line="360" w:lineRule="auto"/>
              <w:ind w:left="0" w:leftChars="0" w:firstLine="0" w:firstLineChars="0"/>
              <w:jc w:val="both"/>
              <w:rPr>
                <w:rFonts w:hint="eastAsia" w:ascii="宋体" w:hAnsi="宋体" w:eastAsia="宋体" w:cs="宋体"/>
                <w:color w:val="auto"/>
                <w:kern w:val="2"/>
                <w:sz w:val="21"/>
                <w:szCs w:val="24"/>
                <w:highlight w:val="none"/>
                <w:lang w:val="en-US" w:eastAsia="zh-CN" w:bidi="ar-SA"/>
              </w:rPr>
            </w:pPr>
            <w:r>
              <w:rPr>
                <w:rFonts w:hint="eastAsia" w:ascii="宋体" w:hAnsi="宋体" w:eastAsia="宋体" w:cs="宋体"/>
                <w:color w:val="auto"/>
                <w:kern w:val="2"/>
                <w:sz w:val="21"/>
                <w:szCs w:val="24"/>
                <w:highlight w:val="none"/>
                <w:lang w:val="en-US" w:eastAsia="zh-CN" w:bidi="ar-SA"/>
              </w:rPr>
              <w:t>投标人为事业单位的，应提供有效的“事业单位法人证书”；</w:t>
            </w:r>
          </w:p>
          <w:p w14:paraId="59B50A85">
            <w:pPr>
              <w:widowControl w:val="0"/>
              <w:spacing w:after="0" w:line="360" w:lineRule="auto"/>
              <w:ind w:left="0" w:leftChars="0" w:firstLine="0" w:firstLineChars="0"/>
              <w:jc w:val="both"/>
              <w:rPr>
                <w:rFonts w:hint="eastAsia" w:ascii="宋体" w:hAnsi="宋体" w:eastAsia="宋体" w:cs="宋体"/>
                <w:color w:val="auto"/>
                <w:kern w:val="2"/>
                <w:sz w:val="21"/>
                <w:szCs w:val="24"/>
                <w:highlight w:val="none"/>
                <w:lang w:val="en-US" w:eastAsia="zh-CN" w:bidi="ar-SA"/>
              </w:rPr>
            </w:pPr>
            <w:r>
              <w:rPr>
                <w:rFonts w:hint="eastAsia" w:ascii="宋体" w:hAnsi="宋体" w:eastAsia="宋体" w:cs="宋体"/>
                <w:color w:val="auto"/>
                <w:kern w:val="2"/>
                <w:sz w:val="21"/>
                <w:szCs w:val="24"/>
                <w:highlight w:val="none"/>
                <w:lang w:val="en-US" w:eastAsia="zh-CN" w:bidi="ar-SA"/>
              </w:rPr>
              <w:t>投标人是非企业机构的，应提供有效的“执业许可证”“登记证书”等证明文件；</w:t>
            </w:r>
          </w:p>
          <w:p w14:paraId="153DA77D">
            <w:pPr>
              <w:widowControl w:val="0"/>
              <w:spacing w:after="0" w:line="360" w:lineRule="auto"/>
              <w:ind w:left="0" w:leftChars="0" w:firstLine="0" w:firstLineChars="0"/>
              <w:jc w:val="both"/>
              <w:rPr>
                <w:rFonts w:hint="eastAsia" w:ascii="宋体" w:hAnsi="宋体" w:eastAsia="宋体" w:cs="宋体"/>
                <w:color w:val="auto"/>
                <w:kern w:val="2"/>
                <w:sz w:val="21"/>
                <w:szCs w:val="24"/>
                <w:highlight w:val="none"/>
                <w:lang w:val="en-US" w:eastAsia="zh-CN" w:bidi="ar-SA"/>
              </w:rPr>
            </w:pPr>
            <w:r>
              <w:rPr>
                <w:rFonts w:hint="eastAsia" w:ascii="宋体" w:hAnsi="宋体" w:eastAsia="宋体" w:cs="宋体"/>
                <w:color w:val="auto"/>
                <w:kern w:val="2"/>
                <w:sz w:val="21"/>
                <w:szCs w:val="24"/>
                <w:highlight w:val="none"/>
                <w:lang w:val="en-US" w:eastAsia="zh-CN" w:bidi="ar-SA"/>
              </w:rPr>
              <w:t>投标人是个体工商户的，应提供有效的“个体工商户营业执照”；</w:t>
            </w:r>
          </w:p>
          <w:p w14:paraId="73C6344A">
            <w:pPr>
              <w:widowControl w:val="0"/>
              <w:spacing w:after="0" w:line="360" w:lineRule="auto"/>
              <w:ind w:left="0" w:leftChars="0" w:firstLine="0" w:firstLineChars="0"/>
              <w:jc w:val="both"/>
              <w:rPr>
                <w:rFonts w:hint="eastAsia" w:ascii="宋体" w:hAnsi="宋体" w:eastAsia="宋体" w:cs="宋体"/>
                <w:color w:val="auto"/>
                <w:kern w:val="2"/>
                <w:sz w:val="21"/>
                <w:szCs w:val="24"/>
                <w:highlight w:val="none"/>
                <w:lang w:val="en-US" w:eastAsia="zh-CN" w:bidi="ar-SA"/>
              </w:rPr>
            </w:pPr>
            <w:r>
              <w:rPr>
                <w:rFonts w:hint="eastAsia" w:ascii="宋体" w:hAnsi="宋体" w:eastAsia="宋体" w:cs="宋体"/>
                <w:color w:val="auto"/>
                <w:kern w:val="2"/>
                <w:sz w:val="21"/>
                <w:szCs w:val="24"/>
                <w:highlight w:val="none"/>
                <w:lang w:val="en-US" w:eastAsia="zh-CN" w:bidi="ar-SA"/>
              </w:rPr>
              <w:t>投标人是自然人的，应提供有效的自然人身份证明。</w:t>
            </w:r>
          </w:p>
          <w:p w14:paraId="1401E7AD">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1.2 投标人是企业法人的，应提供2024年度</w:t>
            </w:r>
            <w:r>
              <w:rPr>
                <w:rFonts w:hint="eastAsia" w:ascii="宋体" w:hAnsi="宋体" w:eastAsia="宋体" w:cs="宋体"/>
                <w:color w:val="auto"/>
                <w:highlight w:val="none"/>
                <w:lang w:val="en-US" w:eastAsia="zh-CN"/>
              </w:rPr>
              <w:t>或2025年度</w:t>
            </w:r>
            <w:r>
              <w:rPr>
                <w:rFonts w:hint="eastAsia" w:ascii="宋体" w:hAnsi="宋体" w:eastAsia="宋体" w:cs="宋体"/>
                <w:color w:val="auto"/>
                <w:highlight w:val="none"/>
              </w:rPr>
              <w:t>经审计的财务报告，包括“四表一注或三表一注”，即资产负债表、利润表（损益表）、现金流量表、所有者权益变动表（所有者权益变动表如无，可不提供）及其附注或基本开户银行出具的资信证明。部分其他组织和自然人，没有经审计的财务报告，可以提供银行出具的资信证明。投标人为事业单位的，至少应提供近一年的资产负债表。</w:t>
            </w:r>
            <w:r>
              <w:rPr>
                <w:rFonts w:hint="eastAsia" w:ascii="宋体" w:hAnsi="宋体" w:eastAsia="宋体" w:cs="宋体"/>
                <w:b/>
                <w:bCs/>
                <w:color w:val="auto"/>
                <w:kern w:val="0"/>
                <w:highlight w:val="none"/>
              </w:rPr>
              <w:t>（根据《关于加强审计报告查验工作的通知》，审计报告须具有注册会计师行业统一监管平台赋予的验证码）</w:t>
            </w:r>
          </w:p>
          <w:p w14:paraId="62737FDD">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1.3 具有履行合同所必需的设备和专业技术能力书面声明函。</w:t>
            </w:r>
          </w:p>
          <w:p w14:paraId="00FA5901">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1.4 投标人缴纳税收证明材料：202</w:t>
            </w:r>
            <w:r>
              <w:rPr>
                <w:rFonts w:hint="eastAsia" w:ascii="宋体" w:hAnsi="宋体" w:eastAsia="宋体" w:cs="宋体"/>
                <w:color w:val="auto"/>
                <w:highlight w:val="none"/>
                <w:lang w:val="en-US" w:eastAsia="zh-CN"/>
              </w:rPr>
              <w:t>5</w:t>
            </w:r>
            <w:r>
              <w:rPr>
                <w:rFonts w:hint="eastAsia" w:ascii="宋体" w:hAnsi="宋体" w:eastAsia="宋体" w:cs="宋体"/>
                <w:color w:val="auto"/>
                <w:highlight w:val="none"/>
              </w:rPr>
              <w:t>年</w:t>
            </w:r>
            <w:r>
              <w:rPr>
                <w:rFonts w:hint="eastAsia" w:ascii="宋体" w:hAnsi="宋体" w:eastAsia="宋体" w:cs="宋体"/>
                <w:color w:val="auto"/>
                <w:highlight w:val="none"/>
                <w:lang w:val="en-US" w:eastAsia="zh-CN"/>
              </w:rPr>
              <w:t>6</w:t>
            </w:r>
            <w:r>
              <w:rPr>
                <w:rFonts w:hint="eastAsia" w:ascii="宋体" w:hAnsi="宋体" w:eastAsia="宋体" w:cs="宋体"/>
                <w:color w:val="auto"/>
                <w:highlight w:val="none"/>
              </w:rPr>
              <w:t>月</w:t>
            </w:r>
            <w:r>
              <w:rPr>
                <w:rFonts w:hint="eastAsia" w:ascii="宋体" w:hAnsi="宋体" w:eastAsia="宋体" w:cs="宋体"/>
                <w:color w:val="auto"/>
                <w:highlight w:val="none"/>
                <w:lang w:val="en-US" w:eastAsia="zh-CN"/>
              </w:rPr>
              <w:t>1日</w:t>
            </w:r>
            <w:r>
              <w:rPr>
                <w:rFonts w:hint="eastAsia" w:ascii="宋体" w:hAnsi="宋体" w:eastAsia="宋体" w:cs="宋体"/>
                <w:color w:val="auto"/>
                <w:highlight w:val="none"/>
              </w:rPr>
              <w:t>以来任意</w:t>
            </w:r>
            <w:r>
              <w:rPr>
                <w:rFonts w:hint="eastAsia" w:ascii="宋体" w:hAnsi="宋体" w:eastAsia="宋体" w:cs="宋体"/>
                <w:color w:val="auto"/>
                <w:highlight w:val="none"/>
                <w:lang w:val="en-US" w:eastAsia="zh-CN"/>
              </w:rPr>
              <w:t>一</w:t>
            </w:r>
            <w:r>
              <w:rPr>
                <w:rFonts w:hint="eastAsia" w:ascii="宋体" w:hAnsi="宋体" w:eastAsia="宋体" w:cs="宋体"/>
                <w:color w:val="auto"/>
                <w:highlight w:val="none"/>
              </w:rPr>
              <w:t>个月缴纳的相关税收凭据（主管行政部门或银行出具）。其他组织和自然人也需要提供缴纳税收的凭证（新成立企业从成立之日起计算，依法免税的投标人，应提供相应行政部门出具的证明文件，证明其依法免税）。</w:t>
            </w:r>
          </w:p>
          <w:p w14:paraId="4E82A808">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1.5 投标人缴纳社会保障资金证明材料：202</w:t>
            </w:r>
            <w:r>
              <w:rPr>
                <w:rFonts w:hint="eastAsia" w:ascii="宋体" w:hAnsi="宋体" w:eastAsia="宋体" w:cs="宋体"/>
                <w:color w:val="auto"/>
                <w:highlight w:val="none"/>
                <w:lang w:val="en-US" w:eastAsia="zh-CN"/>
              </w:rPr>
              <w:t>5</w:t>
            </w:r>
            <w:r>
              <w:rPr>
                <w:rFonts w:hint="eastAsia" w:ascii="宋体" w:hAnsi="宋体" w:eastAsia="宋体" w:cs="宋体"/>
                <w:color w:val="auto"/>
                <w:highlight w:val="none"/>
              </w:rPr>
              <w:t>年</w:t>
            </w:r>
            <w:r>
              <w:rPr>
                <w:rFonts w:hint="eastAsia" w:ascii="宋体" w:hAnsi="宋体" w:eastAsia="宋体" w:cs="宋体"/>
                <w:color w:val="auto"/>
                <w:highlight w:val="none"/>
                <w:lang w:val="en-US" w:eastAsia="zh-CN"/>
              </w:rPr>
              <w:t>6</w:t>
            </w:r>
            <w:r>
              <w:rPr>
                <w:rFonts w:hint="eastAsia" w:ascii="宋体" w:hAnsi="宋体" w:eastAsia="宋体" w:cs="宋体"/>
                <w:color w:val="auto"/>
                <w:highlight w:val="none"/>
              </w:rPr>
              <w:t>月</w:t>
            </w:r>
            <w:r>
              <w:rPr>
                <w:rFonts w:hint="eastAsia" w:ascii="宋体" w:hAnsi="宋体" w:eastAsia="宋体" w:cs="宋体"/>
                <w:color w:val="auto"/>
                <w:highlight w:val="none"/>
                <w:lang w:val="en-US" w:eastAsia="zh-CN"/>
              </w:rPr>
              <w:t>1日</w:t>
            </w:r>
            <w:r>
              <w:rPr>
                <w:rFonts w:hint="eastAsia" w:ascii="宋体" w:hAnsi="宋体" w:eastAsia="宋体" w:cs="宋体"/>
                <w:color w:val="auto"/>
                <w:highlight w:val="none"/>
              </w:rPr>
              <w:t>以来任意</w:t>
            </w:r>
            <w:r>
              <w:rPr>
                <w:rFonts w:hint="eastAsia" w:ascii="宋体" w:hAnsi="宋体" w:eastAsia="宋体" w:cs="宋体"/>
                <w:color w:val="auto"/>
                <w:highlight w:val="none"/>
                <w:lang w:val="en-US" w:eastAsia="zh-CN"/>
              </w:rPr>
              <w:t>一</w:t>
            </w:r>
            <w:r>
              <w:rPr>
                <w:rFonts w:hint="eastAsia" w:ascii="宋体" w:hAnsi="宋体" w:eastAsia="宋体" w:cs="宋体"/>
                <w:color w:val="auto"/>
                <w:highlight w:val="none"/>
              </w:rPr>
              <w:t>个月缴纳社会保险凭据（专用收据或社会保险缴纳清单）。其他组织和自然人也需要提供缴纳社会保险的凭证（新成立企业从成立之日起计算，依法不需要缴纳社会保障资金的投标人，应提供相应行政部门出具的证明文件，证明其依法不需要缴纳社会保障资金）。</w:t>
            </w:r>
          </w:p>
          <w:p w14:paraId="295B2625">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1.6 投标人参与采购活动前三年内在经营活动中没有重大违法记录的书面声明函。</w:t>
            </w:r>
          </w:p>
          <w:p w14:paraId="27AC13E9">
            <w:pPr>
              <w:widowControl/>
              <w:spacing w:before="0" w:beforeAutospacing="0" w:after="0" w:afterAutospacing="0" w:line="360" w:lineRule="auto"/>
              <w:ind w:left="0" w:right="0"/>
              <w:jc w:val="left"/>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b/>
                <w:bCs/>
                <w:color w:val="auto"/>
                <w:kern w:val="2"/>
                <w:sz w:val="21"/>
                <w:szCs w:val="21"/>
                <w:highlight w:val="none"/>
                <w:lang w:val="en-US" w:eastAsia="zh-CN" w:bidi="ar"/>
              </w:rPr>
              <w:t>※</w:t>
            </w:r>
            <w:r>
              <w:rPr>
                <w:rFonts w:hint="eastAsia" w:ascii="宋体" w:hAnsi="宋体" w:eastAsia="宋体" w:cs="宋体"/>
                <w:color w:val="auto"/>
                <w:kern w:val="2"/>
                <w:sz w:val="21"/>
                <w:szCs w:val="21"/>
                <w:highlight w:val="none"/>
                <w:lang w:val="en-US" w:eastAsia="zh-CN" w:bidi="ar"/>
              </w:rPr>
              <w:t>2. 落实政府采购政策满足的资格要求：无</w:t>
            </w:r>
            <w:r>
              <w:rPr>
                <w:rFonts w:hint="eastAsia" w:ascii="宋体" w:hAnsi="宋体" w:eastAsia="宋体" w:cs="宋体"/>
                <w:bCs/>
                <w:color w:val="auto"/>
                <w:kern w:val="2"/>
                <w:sz w:val="21"/>
                <w:szCs w:val="21"/>
                <w:highlight w:val="none"/>
                <w:lang w:val="en-US" w:eastAsia="zh-CN" w:bidi="ar"/>
              </w:rPr>
              <w:t>。</w:t>
            </w:r>
          </w:p>
          <w:p w14:paraId="7AAE9FEA">
            <w:pPr>
              <w:spacing w:line="360" w:lineRule="auto"/>
              <w:rPr>
                <w:rFonts w:hint="eastAsia" w:ascii="宋体" w:hAnsi="宋体" w:eastAsia="宋体" w:cs="宋体"/>
                <w:color w:val="auto"/>
                <w:highlight w:val="none"/>
                <w:shd w:val="clear" w:color="auto" w:fill="FFFFFF"/>
                <w:lang w:eastAsia="zh-CN"/>
              </w:rPr>
            </w:pPr>
            <w:r>
              <w:rPr>
                <w:rFonts w:hint="eastAsia" w:ascii="宋体" w:hAnsi="宋体" w:eastAsia="宋体" w:cs="宋体"/>
                <w:b/>
                <w:bCs/>
                <w:color w:val="auto"/>
                <w:szCs w:val="21"/>
                <w:highlight w:val="none"/>
              </w:rPr>
              <w:t>※</w:t>
            </w:r>
            <w:r>
              <w:rPr>
                <w:rFonts w:hint="eastAsia" w:ascii="宋体" w:hAnsi="宋体" w:eastAsia="宋体" w:cs="宋体"/>
                <w:color w:val="auto"/>
                <w:highlight w:val="none"/>
              </w:rPr>
              <w:t>3.根据《中华人民共和国政府采购法》第二十二条第二款和项目特点规定的其他资质条件：</w:t>
            </w:r>
            <w:r>
              <w:rPr>
                <w:rFonts w:hint="eastAsia" w:ascii="宋体" w:hAnsi="宋体" w:eastAsia="宋体" w:cs="宋体"/>
                <w:color w:val="auto"/>
                <w:highlight w:val="none"/>
                <w:shd w:val="clear" w:color="auto" w:fill="FFFFFF"/>
                <w:lang w:eastAsia="zh-CN"/>
              </w:rPr>
              <w:t xml:space="preserve"> </w:t>
            </w:r>
          </w:p>
          <w:p w14:paraId="658CE6E6">
            <w:pPr>
              <w:keepNext w:val="0"/>
              <w:keepLines w:val="0"/>
              <w:pageBreakBefore w:val="0"/>
              <w:widowControl w:val="0"/>
              <w:tabs>
                <w:tab w:val="left" w:pos="630"/>
              </w:tabs>
              <w:kinsoku/>
              <w:wordWrap/>
              <w:overflowPunct/>
              <w:topLinePunct w:val="0"/>
              <w:autoSpaceDE/>
              <w:autoSpaceDN/>
              <w:bidi w:val="0"/>
              <w:adjustRightInd/>
              <w:snapToGrid/>
              <w:spacing w:line="360" w:lineRule="auto"/>
              <w:jc w:val="both"/>
              <w:textAlignment w:val="auto"/>
              <w:outlineLvl w:val="9"/>
              <w:rPr>
                <w:rFonts w:hint="eastAsia" w:ascii="宋体" w:hAnsi="宋体" w:eastAsia="宋体" w:cs="宋体"/>
                <w:color w:val="auto"/>
                <w:highlight w:val="none"/>
                <w:shd w:val="clear" w:color="auto" w:fill="FFFFFF"/>
                <w:lang w:eastAsia="zh-CN"/>
              </w:rPr>
            </w:pPr>
            <w:r>
              <w:rPr>
                <w:rFonts w:hint="eastAsia" w:ascii="宋体" w:hAnsi="宋体" w:eastAsia="宋体" w:cs="宋体"/>
                <w:color w:val="auto"/>
                <w:highlight w:val="none"/>
                <w:shd w:val="clear" w:color="auto" w:fill="FFFFFF"/>
                <w:lang w:eastAsia="zh-CN"/>
              </w:rPr>
              <w:t>3.</w:t>
            </w:r>
            <w:r>
              <w:rPr>
                <w:rFonts w:hint="eastAsia" w:ascii="宋体" w:hAnsi="宋体" w:eastAsia="宋体" w:cs="宋体"/>
                <w:color w:val="auto"/>
                <w:highlight w:val="none"/>
                <w:shd w:val="clear" w:color="auto" w:fill="FFFFFF"/>
                <w:lang w:val="en-US" w:eastAsia="zh-CN"/>
              </w:rPr>
              <w:t>1</w:t>
            </w:r>
            <w:r>
              <w:rPr>
                <w:rFonts w:hint="eastAsia" w:ascii="宋体" w:hAnsi="宋体" w:eastAsia="宋体" w:cs="宋体"/>
                <w:color w:val="auto"/>
                <w:highlight w:val="none"/>
                <w:shd w:val="clear" w:color="auto" w:fill="FFFFFF"/>
                <w:lang w:eastAsia="zh-CN"/>
              </w:rPr>
              <w:t xml:space="preserve"> </w:t>
            </w:r>
            <w:r>
              <w:rPr>
                <w:rFonts w:hint="eastAsia" w:ascii="宋体" w:hAnsi="宋体" w:eastAsia="宋体" w:cs="宋体"/>
                <w:color w:val="auto"/>
                <w:sz w:val="21"/>
                <w:szCs w:val="21"/>
                <w:highlight w:val="none"/>
                <w:lang w:val="en-US" w:eastAsia="zh-CN"/>
              </w:rPr>
              <w:t>根据《关于在政府采购活动中查询及使用信用记录有关问题的通知》（财库[2016]125号）的规定，采购人或采购代理机构将通过“中国执行信息公开网”网站（https://zxgk.court.gov.cn/）、“信用中国”网站（https://www.creditchina.gov.cn/）、中国政府采购网（http://www.ccgp.gov.cn/）、国家企业信用信息公示系统（http://www.gsxt.gov.cn）等渠道查询投标人信用记录，被列入失信被执行人、重大税收违法失信主体、政府采购严重违法失信行为记录名单、严重违法失信名单的投标人将被拒绝参与本项目政府采购活动（截止时点：投标截止时间）。在规定的查询时间之后，网站信息发生的任何变更均不再作为评审依据。投标人自行提供的与网站信息不一致的其他证明材料亦不作为资格审查的依据。信用信息查询记录和证据将同采购文件等资料一同归档保存</w:t>
            </w:r>
            <w:r>
              <w:rPr>
                <w:rFonts w:hint="eastAsia" w:ascii="宋体" w:hAnsi="宋体" w:eastAsia="宋体" w:cs="宋体"/>
                <w:color w:val="auto"/>
                <w:highlight w:val="none"/>
                <w:shd w:val="clear" w:color="auto" w:fill="FFFFFF"/>
                <w:lang w:eastAsia="zh-CN"/>
              </w:rPr>
              <w:t>。【具体以采购人或采购代理机构查询为准】</w:t>
            </w:r>
          </w:p>
          <w:p w14:paraId="7391E21B">
            <w:pPr>
              <w:keepNext w:val="0"/>
              <w:keepLines w:val="0"/>
              <w:pageBreakBefore w:val="0"/>
              <w:widowControl w:val="0"/>
              <w:tabs>
                <w:tab w:val="left" w:pos="630"/>
              </w:tabs>
              <w:kinsoku/>
              <w:wordWrap/>
              <w:overflowPunct/>
              <w:topLinePunct w:val="0"/>
              <w:autoSpaceDE/>
              <w:autoSpaceDN/>
              <w:bidi w:val="0"/>
              <w:adjustRightInd/>
              <w:snapToGrid/>
              <w:spacing w:line="360" w:lineRule="auto"/>
              <w:jc w:val="both"/>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highlight w:val="none"/>
                <w:shd w:val="clear" w:color="auto" w:fill="FFFFFF"/>
                <w:lang w:eastAsia="zh-CN"/>
              </w:rPr>
              <w:t>3.</w:t>
            </w:r>
            <w:r>
              <w:rPr>
                <w:rFonts w:hint="eastAsia" w:ascii="宋体" w:hAnsi="宋体" w:eastAsia="宋体" w:cs="宋体"/>
                <w:color w:val="auto"/>
                <w:highlight w:val="none"/>
                <w:shd w:val="clear" w:color="auto" w:fill="FFFFFF"/>
                <w:lang w:val="en-US" w:eastAsia="zh-CN"/>
              </w:rPr>
              <w:t>2</w:t>
            </w:r>
            <w:r>
              <w:rPr>
                <w:rFonts w:hint="eastAsia" w:ascii="宋体" w:hAnsi="宋体" w:eastAsia="宋体" w:cs="宋体"/>
                <w:color w:val="auto"/>
                <w:highlight w:val="none"/>
                <w:shd w:val="clear" w:color="auto" w:fill="FFFFFF"/>
                <w:lang w:eastAsia="zh-CN"/>
              </w:rPr>
              <w:t>单位负责人为同一人或者存在直接控股、管理关系的不同</w:t>
            </w:r>
            <w:r>
              <w:rPr>
                <w:rFonts w:hint="eastAsia" w:ascii="宋体" w:hAnsi="宋体" w:eastAsia="宋体" w:cs="宋体"/>
                <w:color w:val="auto"/>
                <w:sz w:val="21"/>
                <w:szCs w:val="21"/>
                <w:highlight w:val="none"/>
                <w:lang w:val="en-US" w:eastAsia="zh-CN"/>
              </w:rPr>
              <w:t>投标人</w:t>
            </w:r>
            <w:r>
              <w:rPr>
                <w:rFonts w:hint="eastAsia" w:ascii="宋体" w:hAnsi="宋体" w:eastAsia="宋体" w:cs="宋体"/>
                <w:color w:val="auto"/>
                <w:highlight w:val="none"/>
                <w:shd w:val="clear" w:color="auto" w:fill="FFFFFF"/>
                <w:lang w:eastAsia="zh-CN"/>
              </w:rPr>
              <w:t>，不得参加同一合同项下的政府采购活动。【</w:t>
            </w:r>
            <w:r>
              <w:rPr>
                <w:rFonts w:hint="eastAsia" w:ascii="宋体" w:hAnsi="宋体" w:eastAsia="宋体" w:cs="宋体"/>
                <w:color w:val="auto"/>
                <w:highlight w:val="none"/>
                <w:shd w:val="clear" w:color="auto" w:fill="FFFFFF"/>
                <w:lang w:val="en-US" w:eastAsia="zh-CN"/>
              </w:rPr>
              <w:t>建议投标人提供</w:t>
            </w:r>
            <w:r>
              <w:rPr>
                <w:rFonts w:hint="eastAsia" w:ascii="宋体" w:hAnsi="宋体" w:eastAsia="宋体" w:cs="宋体"/>
                <w:color w:val="auto"/>
                <w:highlight w:val="none"/>
              </w:rPr>
              <w:t>“国家企业信用信息公示系统”中公示的公司信息、股东（或投资人）信息网站查询页</w:t>
            </w:r>
            <w:r>
              <w:rPr>
                <w:rFonts w:hint="eastAsia" w:ascii="宋体" w:hAnsi="宋体" w:eastAsia="宋体" w:cs="宋体"/>
                <w:color w:val="auto"/>
                <w:highlight w:val="none"/>
                <w:lang w:val="en-US" w:eastAsia="zh-CN"/>
              </w:rPr>
              <w:t>或承诺函，格式自拟，具体以采购人或采购代理机构查询为准</w:t>
            </w:r>
            <w:r>
              <w:rPr>
                <w:rFonts w:hint="eastAsia" w:ascii="宋体" w:hAnsi="宋体" w:eastAsia="宋体" w:cs="宋体"/>
                <w:color w:val="auto"/>
                <w:highlight w:val="none"/>
                <w:shd w:val="clear" w:color="auto" w:fill="FFFFFF"/>
                <w:lang w:eastAsia="zh-CN"/>
              </w:rPr>
              <w:t>】</w:t>
            </w:r>
          </w:p>
        </w:tc>
      </w:tr>
      <w:tr w14:paraId="45F8EA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9" w:type="dxa"/>
            <w:noWrap w:val="0"/>
            <w:vAlign w:val="center"/>
          </w:tcPr>
          <w:p w14:paraId="3A2BF00F">
            <w:pPr>
              <w:keepNext w:val="0"/>
              <w:keepLines w:val="0"/>
              <w:pageBreakBefore w:val="0"/>
              <w:widowControl w:val="0"/>
              <w:kinsoku/>
              <w:wordWrap/>
              <w:overflowPunct/>
              <w:topLinePunct w:val="0"/>
              <w:autoSpaceDE/>
              <w:autoSpaceDN/>
              <w:bidi w:val="0"/>
              <w:adjustRightInd/>
              <w:snapToGrid/>
              <w:spacing w:line="360" w:lineRule="auto"/>
              <w:ind w:left="38" w:leftChars="18"/>
              <w:jc w:val="center"/>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1.2.10</w:t>
            </w:r>
          </w:p>
        </w:tc>
        <w:tc>
          <w:tcPr>
            <w:tcW w:w="1634" w:type="dxa"/>
            <w:noWrap w:val="0"/>
            <w:vAlign w:val="center"/>
          </w:tcPr>
          <w:p w14:paraId="5BF7A4C5">
            <w:pPr>
              <w:keepNext w:val="0"/>
              <w:keepLines w:val="0"/>
              <w:pageBreakBefore w:val="0"/>
              <w:widowControl w:val="0"/>
              <w:kinsoku/>
              <w:wordWrap/>
              <w:overflowPunct/>
              <w:topLinePunct w:val="0"/>
              <w:autoSpaceDE/>
              <w:autoSpaceDN/>
              <w:bidi w:val="0"/>
              <w:adjustRightInd/>
              <w:snapToGrid/>
              <w:spacing w:line="360" w:lineRule="auto"/>
              <w:ind w:left="38" w:leftChars="18"/>
              <w:jc w:val="center"/>
              <w:textAlignment w:val="auto"/>
              <w:outlineLvl w:val="9"/>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是否接受联合体</w:t>
            </w:r>
          </w:p>
        </w:tc>
        <w:tc>
          <w:tcPr>
            <w:tcW w:w="6655" w:type="dxa"/>
            <w:noWrap w:val="0"/>
            <w:vAlign w:val="center"/>
          </w:tcPr>
          <w:p w14:paraId="7BB9E93E">
            <w:pPr>
              <w:keepNext w:val="0"/>
              <w:keepLines w:val="0"/>
              <w:pageBreakBefore w:val="0"/>
              <w:widowControl w:val="0"/>
              <w:tabs>
                <w:tab w:val="left" w:pos="720"/>
                <w:tab w:val="left" w:pos="1904"/>
              </w:tabs>
              <w:kinsoku/>
              <w:wordWrap/>
              <w:overflowPunct/>
              <w:topLinePunct w:val="0"/>
              <w:autoSpaceDE/>
              <w:autoSpaceDN/>
              <w:bidi w:val="0"/>
              <w:adjustRightInd/>
              <w:snapToGrid/>
              <w:spacing w:line="360" w:lineRule="auto"/>
              <w:jc w:val="both"/>
              <w:textAlignment w:val="auto"/>
              <w:outlineLvl w:val="9"/>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lang w:eastAsia="zh-CN"/>
              </w:rPr>
              <w:t>☑不接受</w:t>
            </w:r>
          </w:p>
        </w:tc>
      </w:tr>
      <w:tr w14:paraId="433C60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9" w:type="dxa"/>
            <w:noWrap w:val="0"/>
            <w:vAlign w:val="center"/>
          </w:tcPr>
          <w:p w14:paraId="4857EEEE">
            <w:pPr>
              <w:keepNext w:val="0"/>
              <w:keepLines w:val="0"/>
              <w:pageBreakBefore w:val="0"/>
              <w:widowControl w:val="0"/>
              <w:kinsoku/>
              <w:wordWrap/>
              <w:overflowPunct/>
              <w:topLinePunct w:val="0"/>
              <w:autoSpaceDE/>
              <w:autoSpaceDN/>
              <w:bidi w:val="0"/>
              <w:adjustRightInd/>
              <w:snapToGrid/>
              <w:spacing w:line="360" w:lineRule="auto"/>
              <w:ind w:left="38" w:leftChars="18"/>
              <w:jc w:val="center"/>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1.4.1</w:t>
            </w:r>
          </w:p>
        </w:tc>
        <w:tc>
          <w:tcPr>
            <w:tcW w:w="1634" w:type="dxa"/>
            <w:noWrap w:val="0"/>
            <w:vAlign w:val="center"/>
          </w:tcPr>
          <w:p w14:paraId="44BE42B4">
            <w:pPr>
              <w:keepNext w:val="0"/>
              <w:keepLines w:val="0"/>
              <w:pageBreakBefore w:val="0"/>
              <w:widowControl w:val="0"/>
              <w:kinsoku/>
              <w:wordWrap/>
              <w:overflowPunct/>
              <w:topLinePunct w:val="0"/>
              <w:autoSpaceDE/>
              <w:autoSpaceDN/>
              <w:bidi w:val="0"/>
              <w:adjustRightInd/>
              <w:snapToGrid/>
              <w:spacing w:line="360" w:lineRule="auto"/>
              <w:ind w:left="38" w:leftChars="18"/>
              <w:jc w:val="center"/>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shd w:val="clear" w:color="auto" w:fill="auto"/>
              </w:rPr>
              <w:t>现场考察</w:t>
            </w:r>
          </w:p>
        </w:tc>
        <w:tc>
          <w:tcPr>
            <w:tcW w:w="6655" w:type="dxa"/>
            <w:noWrap w:val="0"/>
            <w:vAlign w:val="center"/>
          </w:tcPr>
          <w:p w14:paraId="76FF5DA6">
            <w:pPr>
              <w:keepNext w:val="0"/>
              <w:keepLines w:val="0"/>
              <w:pageBreakBefore w:val="0"/>
              <w:widowControl w:val="0"/>
              <w:tabs>
                <w:tab w:val="left" w:pos="720"/>
                <w:tab w:val="left" w:pos="1904"/>
              </w:tabs>
              <w:kinsoku/>
              <w:wordWrap/>
              <w:overflowPunct/>
              <w:topLinePunct w:val="0"/>
              <w:autoSpaceDE/>
              <w:autoSpaceDN/>
              <w:bidi w:val="0"/>
              <w:adjustRightInd/>
              <w:snapToGrid/>
              <w:spacing w:line="360" w:lineRule="auto"/>
              <w:jc w:val="both"/>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shd w:val="clear" w:color="auto" w:fill="auto"/>
                <w:lang w:eastAsia="zh-CN"/>
              </w:rPr>
              <w:t>☑</w:t>
            </w:r>
            <w:r>
              <w:rPr>
                <w:rFonts w:hint="eastAsia" w:ascii="宋体" w:hAnsi="宋体" w:eastAsia="宋体" w:cs="宋体"/>
                <w:color w:val="auto"/>
                <w:sz w:val="21"/>
                <w:szCs w:val="21"/>
                <w:highlight w:val="none"/>
                <w:shd w:val="clear" w:color="auto" w:fill="auto"/>
              </w:rPr>
              <w:t>不组织</w:t>
            </w:r>
          </w:p>
        </w:tc>
      </w:tr>
      <w:tr w14:paraId="30C028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9" w:type="dxa"/>
            <w:noWrap w:val="0"/>
            <w:vAlign w:val="center"/>
          </w:tcPr>
          <w:p w14:paraId="1CBE404E">
            <w:pPr>
              <w:keepNext w:val="0"/>
              <w:keepLines w:val="0"/>
              <w:pageBreakBefore w:val="0"/>
              <w:widowControl w:val="0"/>
              <w:kinsoku/>
              <w:wordWrap/>
              <w:overflowPunct/>
              <w:topLinePunct w:val="0"/>
              <w:autoSpaceDE/>
              <w:autoSpaceDN/>
              <w:bidi w:val="0"/>
              <w:adjustRightInd/>
              <w:snapToGrid/>
              <w:spacing w:line="360" w:lineRule="auto"/>
              <w:ind w:left="38" w:leftChars="18"/>
              <w:jc w:val="center"/>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1.4.5</w:t>
            </w:r>
          </w:p>
        </w:tc>
        <w:tc>
          <w:tcPr>
            <w:tcW w:w="1634" w:type="dxa"/>
            <w:noWrap w:val="0"/>
            <w:vAlign w:val="center"/>
          </w:tcPr>
          <w:p w14:paraId="2B4C206B">
            <w:pPr>
              <w:keepNext w:val="0"/>
              <w:keepLines w:val="0"/>
              <w:pageBreakBefore w:val="0"/>
              <w:widowControl w:val="0"/>
              <w:kinsoku/>
              <w:wordWrap/>
              <w:overflowPunct/>
              <w:topLinePunct w:val="0"/>
              <w:autoSpaceDE/>
              <w:autoSpaceDN/>
              <w:bidi w:val="0"/>
              <w:adjustRightInd/>
              <w:snapToGrid/>
              <w:spacing w:line="360" w:lineRule="auto"/>
              <w:ind w:left="38" w:leftChars="18"/>
              <w:jc w:val="center"/>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shd w:val="clear" w:color="auto" w:fill="auto"/>
              </w:rPr>
              <w:t>答 疑 会</w:t>
            </w:r>
          </w:p>
        </w:tc>
        <w:tc>
          <w:tcPr>
            <w:tcW w:w="6655" w:type="dxa"/>
            <w:noWrap w:val="0"/>
            <w:vAlign w:val="center"/>
          </w:tcPr>
          <w:p w14:paraId="18CC2557">
            <w:pPr>
              <w:keepNext w:val="0"/>
              <w:keepLines w:val="0"/>
              <w:pageBreakBefore w:val="0"/>
              <w:widowControl w:val="0"/>
              <w:tabs>
                <w:tab w:val="left" w:pos="720"/>
                <w:tab w:val="left" w:pos="1904"/>
              </w:tabs>
              <w:kinsoku/>
              <w:wordWrap/>
              <w:overflowPunct/>
              <w:topLinePunct w:val="0"/>
              <w:autoSpaceDE/>
              <w:autoSpaceDN/>
              <w:bidi w:val="0"/>
              <w:adjustRightInd/>
              <w:snapToGrid/>
              <w:spacing w:line="360" w:lineRule="auto"/>
              <w:jc w:val="both"/>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shd w:val="clear" w:color="auto" w:fill="auto"/>
                <w:lang w:eastAsia="zh-CN"/>
              </w:rPr>
              <w:t>☑</w:t>
            </w:r>
            <w:r>
              <w:rPr>
                <w:rFonts w:hint="eastAsia" w:ascii="宋体" w:hAnsi="宋体" w:eastAsia="宋体" w:cs="宋体"/>
                <w:color w:val="auto"/>
                <w:sz w:val="21"/>
                <w:szCs w:val="21"/>
                <w:highlight w:val="none"/>
                <w:shd w:val="clear" w:color="auto" w:fill="auto"/>
              </w:rPr>
              <w:t>不召开</w:t>
            </w:r>
          </w:p>
        </w:tc>
      </w:tr>
      <w:tr w14:paraId="7BC1B8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9" w:type="dxa"/>
            <w:noWrap w:val="0"/>
            <w:vAlign w:val="center"/>
          </w:tcPr>
          <w:p w14:paraId="5A351E1B">
            <w:pPr>
              <w:keepNext w:val="0"/>
              <w:keepLines w:val="0"/>
              <w:pageBreakBefore w:val="0"/>
              <w:widowControl w:val="0"/>
              <w:kinsoku/>
              <w:wordWrap/>
              <w:overflowPunct/>
              <w:topLinePunct w:val="0"/>
              <w:autoSpaceDE/>
              <w:autoSpaceDN/>
              <w:bidi w:val="0"/>
              <w:adjustRightInd/>
              <w:snapToGrid/>
              <w:spacing w:line="360" w:lineRule="auto"/>
              <w:ind w:left="38" w:leftChars="18"/>
              <w:jc w:val="center"/>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1.5</w:t>
            </w:r>
          </w:p>
        </w:tc>
        <w:tc>
          <w:tcPr>
            <w:tcW w:w="1634" w:type="dxa"/>
            <w:noWrap w:val="0"/>
            <w:vAlign w:val="center"/>
          </w:tcPr>
          <w:p w14:paraId="508A105F">
            <w:pPr>
              <w:keepNext w:val="0"/>
              <w:keepLines w:val="0"/>
              <w:pageBreakBefore w:val="0"/>
              <w:widowControl w:val="0"/>
              <w:kinsoku/>
              <w:wordWrap/>
              <w:overflowPunct/>
              <w:topLinePunct w:val="0"/>
              <w:autoSpaceDE/>
              <w:autoSpaceDN/>
              <w:bidi w:val="0"/>
              <w:adjustRightInd/>
              <w:snapToGrid/>
              <w:spacing w:line="360" w:lineRule="auto"/>
              <w:ind w:left="38" w:leftChars="18"/>
              <w:jc w:val="center"/>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shd w:val="clear" w:color="auto" w:fill="auto"/>
              </w:rPr>
              <w:t>分包</w:t>
            </w:r>
          </w:p>
        </w:tc>
        <w:tc>
          <w:tcPr>
            <w:tcW w:w="6655" w:type="dxa"/>
            <w:noWrap w:val="0"/>
            <w:vAlign w:val="center"/>
          </w:tcPr>
          <w:p w14:paraId="7916DF85">
            <w:pPr>
              <w:keepNext w:val="0"/>
              <w:keepLines w:val="0"/>
              <w:pageBreakBefore w:val="0"/>
              <w:widowControl w:val="0"/>
              <w:tabs>
                <w:tab w:val="left" w:pos="720"/>
                <w:tab w:val="left" w:pos="1904"/>
              </w:tabs>
              <w:kinsoku/>
              <w:wordWrap/>
              <w:overflowPunct/>
              <w:topLinePunct w:val="0"/>
              <w:autoSpaceDE/>
              <w:autoSpaceDN/>
              <w:bidi w:val="0"/>
              <w:adjustRightInd/>
              <w:snapToGrid/>
              <w:spacing w:line="360" w:lineRule="auto"/>
              <w:jc w:val="both"/>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shd w:val="clear" w:color="auto" w:fill="auto"/>
                <w:lang w:eastAsia="zh-CN"/>
              </w:rPr>
              <w:t>☑</w:t>
            </w:r>
            <w:r>
              <w:rPr>
                <w:rFonts w:hint="eastAsia" w:ascii="宋体" w:hAnsi="宋体" w:eastAsia="宋体" w:cs="宋体"/>
                <w:color w:val="auto"/>
                <w:sz w:val="21"/>
                <w:szCs w:val="21"/>
                <w:highlight w:val="none"/>
                <w:shd w:val="clear" w:color="auto" w:fill="auto"/>
              </w:rPr>
              <w:t>不允许</w:t>
            </w:r>
          </w:p>
        </w:tc>
      </w:tr>
      <w:tr w14:paraId="589F46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9" w:type="dxa"/>
            <w:noWrap w:val="0"/>
            <w:vAlign w:val="center"/>
          </w:tcPr>
          <w:p w14:paraId="61BC62FA">
            <w:pPr>
              <w:keepNext w:val="0"/>
              <w:keepLines w:val="0"/>
              <w:pageBreakBefore w:val="0"/>
              <w:widowControl w:val="0"/>
              <w:kinsoku/>
              <w:wordWrap/>
              <w:overflowPunct/>
              <w:topLinePunct w:val="0"/>
              <w:autoSpaceDE/>
              <w:autoSpaceDN/>
              <w:bidi w:val="0"/>
              <w:adjustRightInd/>
              <w:snapToGrid/>
              <w:spacing w:line="360" w:lineRule="auto"/>
              <w:ind w:left="38" w:leftChars="18"/>
              <w:jc w:val="center"/>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1.6</w:t>
            </w:r>
          </w:p>
        </w:tc>
        <w:tc>
          <w:tcPr>
            <w:tcW w:w="1634" w:type="dxa"/>
            <w:noWrap w:val="0"/>
            <w:vAlign w:val="center"/>
          </w:tcPr>
          <w:p w14:paraId="3B859AD8">
            <w:pPr>
              <w:keepNext w:val="0"/>
              <w:keepLines w:val="0"/>
              <w:pageBreakBefore w:val="0"/>
              <w:widowControl w:val="0"/>
              <w:kinsoku/>
              <w:wordWrap/>
              <w:overflowPunct/>
              <w:topLinePunct w:val="0"/>
              <w:autoSpaceDE/>
              <w:autoSpaceDN/>
              <w:bidi w:val="0"/>
              <w:adjustRightInd/>
              <w:snapToGrid/>
              <w:spacing w:line="360" w:lineRule="auto"/>
              <w:ind w:left="38" w:leftChars="18"/>
              <w:jc w:val="center"/>
              <w:textAlignment w:val="auto"/>
              <w:outlineLvl w:val="9"/>
              <w:rPr>
                <w:rFonts w:hint="eastAsia" w:ascii="宋体" w:hAnsi="宋体" w:eastAsia="宋体" w:cs="宋体"/>
                <w:color w:val="auto"/>
                <w:kern w:val="0"/>
                <w:sz w:val="21"/>
                <w:szCs w:val="21"/>
                <w:highlight w:val="none"/>
                <w:lang w:eastAsia="zh-CN"/>
              </w:rPr>
            </w:pPr>
            <w:r>
              <w:rPr>
                <w:rFonts w:hint="eastAsia" w:ascii="宋体" w:hAnsi="宋体" w:eastAsia="宋体" w:cs="宋体"/>
                <w:color w:val="auto"/>
                <w:kern w:val="0"/>
                <w:sz w:val="21"/>
                <w:szCs w:val="21"/>
                <w:highlight w:val="none"/>
                <w:lang w:eastAsia="zh-CN"/>
              </w:rPr>
              <w:t>样品</w:t>
            </w:r>
          </w:p>
        </w:tc>
        <w:tc>
          <w:tcPr>
            <w:tcW w:w="6655" w:type="dxa"/>
            <w:noWrap w:val="0"/>
            <w:vAlign w:val="center"/>
          </w:tcPr>
          <w:p w14:paraId="7ACEC1F6">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shd w:val="clear" w:color="auto" w:fill="auto"/>
                <w:lang w:eastAsia="zh-CN"/>
              </w:rPr>
              <w:t>☑</w:t>
            </w:r>
            <w:r>
              <w:rPr>
                <w:rFonts w:hint="eastAsia" w:ascii="宋体" w:hAnsi="宋体" w:eastAsia="宋体" w:cs="宋体"/>
                <w:color w:val="auto"/>
                <w:sz w:val="21"/>
                <w:szCs w:val="21"/>
                <w:highlight w:val="none"/>
                <w:shd w:val="clear" w:color="auto" w:fill="auto"/>
              </w:rPr>
              <w:t>否</w:t>
            </w:r>
          </w:p>
        </w:tc>
      </w:tr>
      <w:tr w14:paraId="0559AB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9" w:type="dxa"/>
            <w:noWrap w:val="0"/>
            <w:vAlign w:val="center"/>
          </w:tcPr>
          <w:p w14:paraId="23916259">
            <w:pPr>
              <w:keepNext w:val="0"/>
              <w:keepLines w:val="0"/>
              <w:pageBreakBefore w:val="0"/>
              <w:widowControl w:val="0"/>
              <w:kinsoku/>
              <w:wordWrap/>
              <w:overflowPunct/>
              <w:topLinePunct w:val="0"/>
              <w:autoSpaceDE/>
              <w:autoSpaceDN/>
              <w:bidi w:val="0"/>
              <w:adjustRightInd/>
              <w:snapToGrid/>
              <w:spacing w:line="360" w:lineRule="auto"/>
              <w:ind w:left="38" w:leftChars="18"/>
              <w:jc w:val="center"/>
              <w:textAlignment w:val="auto"/>
              <w:outlineLvl w:val="9"/>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1.11.2</w:t>
            </w:r>
          </w:p>
        </w:tc>
        <w:tc>
          <w:tcPr>
            <w:tcW w:w="1634" w:type="dxa"/>
            <w:noWrap w:val="0"/>
            <w:vAlign w:val="center"/>
          </w:tcPr>
          <w:p w14:paraId="1D73BDEB">
            <w:pPr>
              <w:keepNext w:val="0"/>
              <w:keepLines w:val="0"/>
              <w:pageBreakBefore w:val="0"/>
              <w:widowControl w:val="0"/>
              <w:kinsoku/>
              <w:wordWrap/>
              <w:overflowPunct/>
              <w:topLinePunct w:val="0"/>
              <w:autoSpaceDE/>
              <w:autoSpaceDN/>
              <w:bidi w:val="0"/>
              <w:adjustRightInd/>
              <w:snapToGrid/>
              <w:spacing w:line="360" w:lineRule="auto"/>
              <w:ind w:left="38" w:leftChars="18"/>
              <w:jc w:val="center"/>
              <w:textAlignment w:val="auto"/>
              <w:outlineLvl w:val="9"/>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eastAsia="zh-CN"/>
              </w:rPr>
              <w:t>偏差</w:t>
            </w:r>
          </w:p>
        </w:tc>
        <w:tc>
          <w:tcPr>
            <w:tcW w:w="6655" w:type="dxa"/>
            <w:noWrap w:val="0"/>
            <w:vAlign w:val="center"/>
          </w:tcPr>
          <w:p w14:paraId="3C949E42">
            <w:pPr>
              <w:keepNext w:val="0"/>
              <w:keepLines w:val="0"/>
              <w:pageBreakBefore w:val="0"/>
              <w:widowControl w:val="0"/>
              <w:kinsoku/>
              <w:wordWrap/>
              <w:overflowPunct/>
              <w:topLinePunct w:val="0"/>
              <w:autoSpaceDE/>
              <w:autoSpaceDN/>
              <w:bidi w:val="0"/>
              <w:adjustRightInd/>
              <w:snapToGrid/>
              <w:spacing w:line="360" w:lineRule="auto"/>
              <w:ind w:left="38" w:leftChars="18"/>
              <w:jc w:val="both"/>
              <w:textAlignment w:val="auto"/>
              <w:outlineLvl w:val="9"/>
              <w:rPr>
                <w:rFonts w:hint="eastAsia" w:ascii="宋体" w:hAnsi="宋体" w:eastAsia="宋体" w:cs="宋体"/>
                <w:color w:val="auto"/>
                <w:kern w:val="2"/>
                <w:sz w:val="21"/>
                <w:szCs w:val="21"/>
                <w:highlight w:val="none"/>
                <w:shd w:val="clear" w:color="auto" w:fill="auto"/>
                <w:lang w:val="en-US" w:eastAsia="zh-CN" w:bidi="ar-SA"/>
              </w:rPr>
            </w:pPr>
            <w:r>
              <w:rPr>
                <w:rFonts w:hint="eastAsia" w:ascii="宋体" w:hAnsi="宋体" w:eastAsia="宋体" w:cs="宋体"/>
                <w:color w:val="auto"/>
                <w:sz w:val="21"/>
                <w:szCs w:val="21"/>
                <w:highlight w:val="none"/>
                <w:shd w:val="clear" w:color="auto" w:fill="auto"/>
                <w:lang w:eastAsia="zh-CN"/>
              </w:rPr>
              <w:t>☑实质性</w:t>
            </w:r>
            <w:r>
              <w:rPr>
                <w:rFonts w:hint="eastAsia" w:ascii="宋体" w:hAnsi="宋体" w:eastAsia="宋体" w:cs="宋体"/>
                <w:color w:val="auto"/>
                <w:sz w:val="21"/>
                <w:szCs w:val="21"/>
                <w:highlight w:val="none"/>
                <w:shd w:val="clear" w:color="auto" w:fill="auto"/>
                <w:lang w:val="en-US" w:eastAsia="zh-CN"/>
              </w:rPr>
              <w:t>偏差</w:t>
            </w:r>
            <w:r>
              <w:rPr>
                <w:rFonts w:hint="eastAsia" w:ascii="宋体" w:hAnsi="宋体" w:eastAsia="宋体" w:cs="宋体"/>
                <w:color w:val="auto"/>
                <w:sz w:val="21"/>
                <w:szCs w:val="21"/>
                <w:highlight w:val="none"/>
                <w:shd w:val="clear" w:color="auto" w:fill="auto"/>
              </w:rPr>
              <w:t>不允许</w:t>
            </w:r>
            <w:r>
              <w:rPr>
                <w:rFonts w:hint="eastAsia" w:ascii="宋体" w:hAnsi="宋体" w:eastAsia="宋体" w:cs="宋体"/>
                <w:color w:val="auto"/>
                <w:sz w:val="21"/>
                <w:szCs w:val="21"/>
                <w:highlight w:val="none"/>
                <w:shd w:val="clear" w:color="auto" w:fill="auto"/>
                <w:lang w:eastAsia="zh-CN"/>
              </w:rPr>
              <w:t>，</w:t>
            </w:r>
            <w:r>
              <w:rPr>
                <w:rFonts w:hint="eastAsia" w:ascii="宋体" w:hAnsi="宋体" w:eastAsia="宋体" w:cs="宋体"/>
                <w:color w:val="auto"/>
                <w:sz w:val="21"/>
                <w:szCs w:val="21"/>
                <w:highlight w:val="none"/>
                <w:shd w:val="clear" w:color="auto" w:fill="auto"/>
                <w:lang w:val="en-US" w:eastAsia="zh-CN"/>
              </w:rPr>
              <w:t>实质性要求和条件指</w:t>
            </w:r>
            <w:r>
              <w:rPr>
                <w:rFonts w:hint="eastAsia" w:ascii="宋体" w:hAnsi="宋体" w:eastAsia="宋体" w:cs="宋体"/>
                <w:color w:val="auto"/>
                <w:sz w:val="21"/>
                <w:szCs w:val="21"/>
                <w:highlight w:val="none"/>
                <w:lang w:val="en-US" w:eastAsia="zh-CN"/>
              </w:rPr>
              <w:t>采购范围、交货及安装调试期、交货地点、质量标准、质量保证期、投标有效期、付款方式</w:t>
            </w:r>
            <w:r>
              <w:rPr>
                <w:rFonts w:hint="eastAsia" w:ascii="宋体" w:hAnsi="宋体" w:eastAsia="宋体" w:cs="宋体"/>
                <w:color w:val="auto"/>
                <w:sz w:val="21"/>
                <w:szCs w:val="21"/>
                <w:highlight w:val="none"/>
                <w:shd w:val="clear" w:color="auto" w:fill="auto"/>
                <w:lang w:val="en-US" w:eastAsia="zh-CN"/>
              </w:rPr>
              <w:t>。</w:t>
            </w:r>
          </w:p>
        </w:tc>
      </w:tr>
      <w:tr w14:paraId="4336D3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9" w:type="dxa"/>
            <w:noWrap w:val="0"/>
            <w:vAlign w:val="center"/>
          </w:tcPr>
          <w:p w14:paraId="77B35BD9">
            <w:pPr>
              <w:keepNext w:val="0"/>
              <w:keepLines w:val="0"/>
              <w:pageBreakBefore w:val="0"/>
              <w:widowControl w:val="0"/>
              <w:kinsoku/>
              <w:wordWrap/>
              <w:overflowPunct/>
              <w:topLinePunct w:val="0"/>
              <w:autoSpaceDE/>
              <w:autoSpaceDN/>
              <w:bidi w:val="0"/>
              <w:adjustRightInd/>
              <w:snapToGrid/>
              <w:spacing w:line="360" w:lineRule="auto"/>
              <w:ind w:left="38" w:leftChars="18"/>
              <w:jc w:val="center"/>
              <w:textAlignment w:val="auto"/>
              <w:outlineLvl w:val="9"/>
              <w:rPr>
                <w:rFonts w:hint="eastAsia" w:ascii="宋体" w:hAnsi="宋体" w:eastAsia="宋体" w:cs="宋体"/>
                <w:color w:val="auto"/>
                <w:sz w:val="21"/>
                <w:szCs w:val="21"/>
                <w:highlight w:val="none"/>
                <w:lang w:eastAsia="zh-CN"/>
              </w:rPr>
            </w:pPr>
            <w:r>
              <w:rPr>
                <w:rFonts w:hint="eastAsia" w:ascii="宋体" w:hAnsi="宋体" w:eastAsia="宋体" w:cs="宋体"/>
                <w:color w:val="auto"/>
                <w:kern w:val="0"/>
                <w:sz w:val="21"/>
                <w:szCs w:val="21"/>
                <w:highlight w:val="none"/>
              </w:rPr>
              <w:t>2.2.</w:t>
            </w:r>
            <w:r>
              <w:rPr>
                <w:rFonts w:hint="eastAsia" w:ascii="宋体" w:hAnsi="宋体" w:eastAsia="宋体" w:cs="宋体"/>
                <w:color w:val="auto"/>
                <w:kern w:val="0"/>
                <w:sz w:val="21"/>
                <w:szCs w:val="21"/>
                <w:highlight w:val="none"/>
                <w:lang w:val="en-US" w:eastAsia="zh-CN"/>
              </w:rPr>
              <w:t>2</w:t>
            </w:r>
          </w:p>
        </w:tc>
        <w:tc>
          <w:tcPr>
            <w:tcW w:w="1634" w:type="dxa"/>
            <w:noWrap w:val="0"/>
            <w:vAlign w:val="center"/>
          </w:tcPr>
          <w:p w14:paraId="0F367DDE">
            <w:pPr>
              <w:keepNext w:val="0"/>
              <w:keepLines w:val="0"/>
              <w:pageBreakBefore w:val="0"/>
              <w:widowControl w:val="0"/>
              <w:kinsoku/>
              <w:wordWrap/>
              <w:overflowPunct/>
              <w:topLinePunct w:val="0"/>
              <w:autoSpaceDE/>
              <w:autoSpaceDN/>
              <w:bidi w:val="0"/>
              <w:adjustRightInd/>
              <w:snapToGrid/>
              <w:spacing w:line="360" w:lineRule="auto"/>
              <w:ind w:left="38" w:leftChars="18"/>
              <w:jc w:val="center"/>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招标文件澄清发出的形式</w:t>
            </w:r>
          </w:p>
        </w:tc>
        <w:tc>
          <w:tcPr>
            <w:tcW w:w="6655" w:type="dxa"/>
            <w:noWrap w:val="0"/>
            <w:vAlign w:val="center"/>
          </w:tcPr>
          <w:p w14:paraId="7FFDEC83">
            <w:pPr>
              <w:keepNext w:val="0"/>
              <w:keepLines w:val="0"/>
              <w:pageBreakBefore w:val="0"/>
              <w:widowControl w:val="0"/>
              <w:kinsoku/>
              <w:wordWrap/>
              <w:overflowPunct/>
              <w:topLinePunct w:val="0"/>
              <w:autoSpaceDE/>
              <w:autoSpaceDN/>
              <w:bidi w:val="0"/>
              <w:adjustRightInd/>
              <w:snapToGrid/>
              <w:spacing w:line="360" w:lineRule="auto"/>
              <w:ind w:left="38" w:leftChars="18"/>
              <w:jc w:val="both"/>
              <w:textAlignment w:val="auto"/>
              <w:outlineLvl w:val="9"/>
              <w:rPr>
                <w:rFonts w:hint="eastAsia" w:ascii="宋体" w:hAnsi="宋体" w:eastAsia="宋体" w:cs="宋体"/>
                <w:color w:val="auto"/>
                <w:sz w:val="21"/>
                <w:szCs w:val="21"/>
                <w:highlight w:val="none"/>
              </w:rPr>
            </w:pPr>
            <w:r>
              <w:rPr>
                <w:rFonts w:hint="eastAsia" w:ascii="宋体" w:hAnsi="宋体" w:eastAsia="宋体" w:cs="宋体"/>
                <w:b w:val="0"/>
                <w:bCs w:val="0"/>
                <w:color w:val="auto"/>
                <w:sz w:val="21"/>
                <w:szCs w:val="21"/>
                <w:highlight w:val="none"/>
                <w:lang w:eastAsia="zh-CN"/>
              </w:rPr>
              <w:t>通过公共电子交易平台发布</w:t>
            </w:r>
            <w:r>
              <w:rPr>
                <w:rFonts w:hint="eastAsia" w:ascii="宋体" w:hAnsi="宋体" w:eastAsia="宋体" w:cs="宋体"/>
                <w:color w:val="auto"/>
                <w:kern w:val="0"/>
                <w:sz w:val="21"/>
                <w:szCs w:val="21"/>
                <w:highlight w:val="none"/>
                <w:lang w:eastAsia="zh-CN"/>
              </w:rPr>
              <w:t>且同时在原公告媒体发布澄清公告</w:t>
            </w:r>
          </w:p>
        </w:tc>
      </w:tr>
      <w:tr w14:paraId="5DF90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99" w:type="dxa"/>
            <w:vMerge w:val="restart"/>
            <w:noWrap w:val="0"/>
            <w:vAlign w:val="center"/>
          </w:tcPr>
          <w:p w14:paraId="7F8166BF">
            <w:pPr>
              <w:keepNext w:val="0"/>
              <w:keepLines w:val="0"/>
              <w:pageBreakBefore w:val="0"/>
              <w:widowControl w:val="0"/>
              <w:kinsoku/>
              <w:wordWrap/>
              <w:overflowPunct/>
              <w:topLinePunct w:val="0"/>
              <w:autoSpaceDE/>
              <w:autoSpaceDN/>
              <w:bidi w:val="0"/>
              <w:adjustRightInd/>
              <w:snapToGrid/>
              <w:spacing w:line="360" w:lineRule="auto"/>
              <w:ind w:left="38" w:leftChars="18"/>
              <w:jc w:val="center"/>
              <w:textAlignment w:val="auto"/>
              <w:outlineLvl w:val="9"/>
              <w:rPr>
                <w:rFonts w:hint="eastAsia" w:ascii="宋体" w:hAnsi="宋体" w:eastAsia="宋体" w:cs="宋体"/>
                <w:color w:val="auto"/>
                <w:sz w:val="21"/>
                <w:szCs w:val="21"/>
                <w:highlight w:val="none"/>
                <w:lang w:eastAsia="zh-CN"/>
              </w:rPr>
            </w:pPr>
            <w:r>
              <w:rPr>
                <w:rFonts w:hint="eastAsia" w:ascii="宋体" w:hAnsi="宋体" w:eastAsia="宋体" w:cs="宋体"/>
                <w:color w:val="auto"/>
                <w:kern w:val="0"/>
                <w:sz w:val="21"/>
                <w:szCs w:val="21"/>
                <w:highlight w:val="none"/>
              </w:rPr>
              <w:t>2.2.</w:t>
            </w:r>
            <w:r>
              <w:rPr>
                <w:rFonts w:hint="eastAsia" w:ascii="宋体" w:hAnsi="宋体" w:eastAsia="宋体" w:cs="宋体"/>
                <w:color w:val="auto"/>
                <w:kern w:val="0"/>
                <w:sz w:val="21"/>
                <w:szCs w:val="21"/>
                <w:highlight w:val="none"/>
                <w:lang w:val="en-US" w:eastAsia="zh-CN"/>
              </w:rPr>
              <w:t>3</w:t>
            </w:r>
          </w:p>
        </w:tc>
        <w:tc>
          <w:tcPr>
            <w:tcW w:w="1634" w:type="dxa"/>
            <w:vMerge w:val="restart"/>
            <w:noWrap w:val="0"/>
            <w:vAlign w:val="center"/>
          </w:tcPr>
          <w:p w14:paraId="0FAE338F">
            <w:pPr>
              <w:keepNext w:val="0"/>
              <w:keepLines w:val="0"/>
              <w:pageBreakBefore w:val="0"/>
              <w:widowControl w:val="0"/>
              <w:kinsoku/>
              <w:wordWrap/>
              <w:overflowPunct/>
              <w:topLinePunct w:val="0"/>
              <w:autoSpaceDE/>
              <w:autoSpaceDN/>
              <w:bidi w:val="0"/>
              <w:adjustRightInd/>
              <w:snapToGrid/>
              <w:spacing w:line="360" w:lineRule="auto"/>
              <w:ind w:left="38" w:leftChars="18"/>
              <w:jc w:val="center"/>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投标人确认收到招标文件澄清</w:t>
            </w:r>
          </w:p>
        </w:tc>
        <w:tc>
          <w:tcPr>
            <w:tcW w:w="6655" w:type="dxa"/>
            <w:noWrap w:val="0"/>
            <w:vAlign w:val="center"/>
          </w:tcPr>
          <w:p w14:paraId="71524F82">
            <w:pPr>
              <w:keepNext w:val="0"/>
              <w:keepLines w:val="0"/>
              <w:pageBreakBefore w:val="0"/>
              <w:widowControl w:val="0"/>
              <w:kinsoku/>
              <w:wordWrap/>
              <w:overflowPunct/>
              <w:topLinePunct w:val="0"/>
              <w:autoSpaceDE/>
              <w:autoSpaceDN/>
              <w:bidi w:val="0"/>
              <w:adjustRightInd/>
              <w:snapToGrid/>
              <w:spacing w:line="360" w:lineRule="auto"/>
              <w:ind w:left="38" w:leftChars="18"/>
              <w:jc w:val="both"/>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时间：</w:t>
            </w:r>
            <w:r>
              <w:rPr>
                <w:rFonts w:hint="eastAsia" w:ascii="宋体" w:hAnsi="宋体" w:eastAsia="宋体" w:cs="宋体"/>
                <w:color w:val="auto"/>
                <w:sz w:val="21"/>
                <w:szCs w:val="21"/>
                <w:highlight w:val="none"/>
              </w:rPr>
              <w:t>在收到相应澄清文件后</w:t>
            </w:r>
            <w:r>
              <w:rPr>
                <w:rFonts w:hint="eastAsia" w:ascii="宋体" w:hAnsi="宋体" w:eastAsia="宋体" w:cs="宋体"/>
                <w:color w:val="auto"/>
                <w:sz w:val="21"/>
                <w:szCs w:val="21"/>
                <w:highlight w:val="none"/>
                <w:u w:val="single"/>
              </w:rPr>
              <w:t xml:space="preserve"> 24 </w:t>
            </w:r>
            <w:r>
              <w:rPr>
                <w:rFonts w:hint="eastAsia" w:ascii="宋体" w:hAnsi="宋体" w:eastAsia="宋体" w:cs="宋体"/>
                <w:color w:val="auto"/>
                <w:sz w:val="21"/>
                <w:szCs w:val="21"/>
                <w:highlight w:val="none"/>
              </w:rPr>
              <w:t>小时内</w:t>
            </w:r>
          </w:p>
        </w:tc>
      </w:tr>
      <w:tr w14:paraId="5E106D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9" w:type="dxa"/>
            <w:vMerge w:val="continue"/>
            <w:noWrap w:val="0"/>
            <w:vAlign w:val="center"/>
          </w:tcPr>
          <w:p w14:paraId="0F6F708A">
            <w:pPr>
              <w:keepNext w:val="0"/>
              <w:keepLines w:val="0"/>
              <w:pageBreakBefore w:val="0"/>
              <w:widowControl w:val="0"/>
              <w:kinsoku/>
              <w:wordWrap/>
              <w:overflowPunct/>
              <w:topLinePunct w:val="0"/>
              <w:autoSpaceDE/>
              <w:autoSpaceDN/>
              <w:bidi w:val="0"/>
              <w:adjustRightInd/>
              <w:snapToGrid/>
              <w:spacing w:line="360" w:lineRule="auto"/>
              <w:ind w:left="38" w:leftChars="18"/>
              <w:jc w:val="center"/>
              <w:textAlignment w:val="auto"/>
              <w:outlineLvl w:val="9"/>
              <w:rPr>
                <w:rFonts w:hint="eastAsia" w:ascii="宋体" w:hAnsi="宋体" w:eastAsia="宋体" w:cs="宋体"/>
                <w:color w:val="auto"/>
                <w:sz w:val="21"/>
                <w:szCs w:val="21"/>
                <w:highlight w:val="none"/>
              </w:rPr>
            </w:pPr>
          </w:p>
        </w:tc>
        <w:tc>
          <w:tcPr>
            <w:tcW w:w="1634" w:type="dxa"/>
            <w:vMerge w:val="continue"/>
            <w:noWrap w:val="0"/>
            <w:vAlign w:val="center"/>
          </w:tcPr>
          <w:p w14:paraId="08330AB1">
            <w:pPr>
              <w:keepNext w:val="0"/>
              <w:keepLines w:val="0"/>
              <w:pageBreakBefore w:val="0"/>
              <w:widowControl w:val="0"/>
              <w:kinsoku/>
              <w:wordWrap/>
              <w:overflowPunct/>
              <w:topLinePunct w:val="0"/>
              <w:autoSpaceDE/>
              <w:autoSpaceDN/>
              <w:bidi w:val="0"/>
              <w:adjustRightInd/>
              <w:snapToGrid/>
              <w:spacing w:line="360" w:lineRule="auto"/>
              <w:ind w:left="38" w:leftChars="18"/>
              <w:jc w:val="center"/>
              <w:textAlignment w:val="auto"/>
              <w:outlineLvl w:val="9"/>
              <w:rPr>
                <w:rFonts w:hint="eastAsia" w:ascii="宋体" w:hAnsi="宋体" w:eastAsia="宋体" w:cs="宋体"/>
                <w:color w:val="auto"/>
                <w:sz w:val="21"/>
                <w:szCs w:val="21"/>
                <w:highlight w:val="none"/>
              </w:rPr>
            </w:pPr>
          </w:p>
        </w:tc>
        <w:tc>
          <w:tcPr>
            <w:tcW w:w="6655" w:type="dxa"/>
            <w:noWrap w:val="0"/>
            <w:vAlign w:val="center"/>
          </w:tcPr>
          <w:p w14:paraId="6703365D">
            <w:pPr>
              <w:keepNext w:val="0"/>
              <w:keepLines w:val="0"/>
              <w:pageBreakBefore w:val="0"/>
              <w:widowControl w:val="0"/>
              <w:kinsoku/>
              <w:wordWrap/>
              <w:overflowPunct/>
              <w:topLinePunct w:val="0"/>
              <w:autoSpaceDE/>
              <w:autoSpaceDN/>
              <w:bidi w:val="0"/>
              <w:adjustRightInd/>
              <w:snapToGrid/>
              <w:spacing w:line="360" w:lineRule="auto"/>
              <w:ind w:left="38" w:leftChars="18"/>
              <w:jc w:val="both"/>
              <w:textAlignment w:val="auto"/>
              <w:outlineLvl w:val="9"/>
              <w:rPr>
                <w:rFonts w:hint="eastAsia" w:ascii="宋体" w:hAnsi="宋体" w:eastAsia="宋体" w:cs="宋体"/>
                <w:b w:val="0"/>
                <w:bCs w:val="0"/>
                <w:color w:val="auto"/>
                <w:sz w:val="21"/>
                <w:szCs w:val="21"/>
                <w:highlight w:val="none"/>
                <w:shd w:val="clear" w:color="auto" w:fill="auto"/>
                <w:lang w:eastAsia="zh-CN"/>
              </w:rPr>
            </w:pPr>
            <w:r>
              <w:rPr>
                <w:rFonts w:hint="eastAsia" w:ascii="宋体" w:hAnsi="宋体" w:eastAsia="宋体" w:cs="宋体"/>
                <w:color w:val="auto"/>
                <w:kern w:val="0"/>
                <w:sz w:val="21"/>
                <w:szCs w:val="21"/>
                <w:highlight w:val="none"/>
              </w:rPr>
              <w:t>形式：</w:t>
            </w:r>
            <w:r>
              <w:rPr>
                <w:rFonts w:hint="eastAsia" w:ascii="宋体" w:hAnsi="宋体" w:eastAsia="宋体" w:cs="宋体"/>
                <w:b w:val="0"/>
                <w:bCs w:val="0"/>
                <w:color w:val="auto"/>
                <w:kern w:val="10"/>
                <w:sz w:val="21"/>
                <w:szCs w:val="21"/>
                <w:highlight w:val="none"/>
                <w:lang w:val="en-US" w:eastAsia="zh-CN"/>
              </w:rPr>
              <w:t>投标人自行在河南省公共资源交易中心平台交易平台系统查看，无需确认。</w:t>
            </w:r>
          </w:p>
        </w:tc>
      </w:tr>
      <w:tr w14:paraId="634409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9" w:type="dxa"/>
            <w:noWrap w:val="0"/>
            <w:vAlign w:val="center"/>
          </w:tcPr>
          <w:p w14:paraId="2D7CA0E9">
            <w:pPr>
              <w:keepNext w:val="0"/>
              <w:keepLines w:val="0"/>
              <w:pageBreakBefore w:val="0"/>
              <w:widowControl w:val="0"/>
              <w:kinsoku/>
              <w:wordWrap/>
              <w:overflowPunct/>
              <w:topLinePunct w:val="0"/>
              <w:autoSpaceDE/>
              <w:autoSpaceDN/>
              <w:bidi w:val="0"/>
              <w:adjustRightInd/>
              <w:snapToGrid/>
              <w:spacing w:line="360" w:lineRule="auto"/>
              <w:ind w:left="38" w:leftChars="18"/>
              <w:jc w:val="center"/>
              <w:textAlignment w:val="auto"/>
              <w:outlineLvl w:val="9"/>
              <w:rPr>
                <w:rFonts w:hint="eastAsia" w:ascii="宋体" w:hAnsi="宋体" w:eastAsia="宋体" w:cs="宋体"/>
                <w:color w:val="auto"/>
                <w:sz w:val="21"/>
                <w:szCs w:val="21"/>
                <w:highlight w:val="none"/>
                <w:lang w:eastAsia="zh-CN"/>
              </w:rPr>
            </w:pPr>
            <w:r>
              <w:rPr>
                <w:rFonts w:hint="eastAsia" w:ascii="宋体" w:hAnsi="宋体" w:eastAsia="宋体" w:cs="宋体"/>
                <w:color w:val="auto"/>
                <w:kern w:val="0"/>
                <w:sz w:val="21"/>
                <w:szCs w:val="21"/>
                <w:highlight w:val="none"/>
              </w:rPr>
              <w:t>2.3.</w:t>
            </w:r>
            <w:r>
              <w:rPr>
                <w:rFonts w:hint="eastAsia" w:ascii="宋体" w:hAnsi="宋体" w:eastAsia="宋体" w:cs="宋体"/>
                <w:color w:val="auto"/>
                <w:kern w:val="0"/>
                <w:sz w:val="21"/>
                <w:szCs w:val="21"/>
                <w:highlight w:val="none"/>
                <w:lang w:val="en-US" w:eastAsia="zh-CN"/>
              </w:rPr>
              <w:t>2</w:t>
            </w:r>
          </w:p>
        </w:tc>
        <w:tc>
          <w:tcPr>
            <w:tcW w:w="1634" w:type="dxa"/>
            <w:noWrap w:val="0"/>
            <w:vAlign w:val="center"/>
          </w:tcPr>
          <w:p w14:paraId="6E9986CB">
            <w:pPr>
              <w:keepNext w:val="0"/>
              <w:keepLines w:val="0"/>
              <w:pageBreakBefore w:val="0"/>
              <w:widowControl w:val="0"/>
              <w:kinsoku/>
              <w:wordWrap/>
              <w:overflowPunct/>
              <w:topLinePunct w:val="0"/>
              <w:autoSpaceDE/>
              <w:autoSpaceDN/>
              <w:bidi w:val="0"/>
              <w:adjustRightInd/>
              <w:snapToGrid/>
              <w:spacing w:line="360" w:lineRule="auto"/>
              <w:ind w:left="38" w:leftChars="18"/>
              <w:jc w:val="center"/>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招标文件修改发出的形式</w:t>
            </w:r>
          </w:p>
        </w:tc>
        <w:tc>
          <w:tcPr>
            <w:tcW w:w="6655" w:type="dxa"/>
            <w:noWrap w:val="0"/>
            <w:vAlign w:val="center"/>
          </w:tcPr>
          <w:p w14:paraId="1E551476">
            <w:pPr>
              <w:keepNext w:val="0"/>
              <w:keepLines w:val="0"/>
              <w:pageBreakBefore w:val="0"/>
              <w:widowControl w:val="0"/>
              <w:kinsoku/>
              <w:wordWrap/>
              <w:overflowPunct/>
              <w:topLinePunct w:val="0"/>
              <w:autoSpaceDE/>
              <w:autoSpaceDN/>
              <w:bidi w:val="0"/>
              <w:adjustRightInd/>
              <w:snapToGrid/>
              <w:spacing w:line="360" w:lineRule="auto"/>
              <w:ind w:left="38" w:leftChars="18"/>
              <w:jc w:val="both"/>
              <w:textAlignment w:val="auto"/>
              <w:outlineLvl w:val="9"/>
              <w:rPr>
                <w:rFonts w:hint="eastAsia" w:ascii="宋体" w:hAnsi="宋体" w:eastAsia="宋体" w:cs="宋体"/>
                <w:b w:val="0"/>
                <w:bCs w:val="0"/>
                <w:color w:val="auto"/>
                <w:sz w:val="21"/>
                <w:szCs w:val="21"/>
                <w:highlight w:val="none"/>
                <w:shd w:val="clear" w:color="auto" w:fill="auto"/>
                <w:lang w:eastAsia="zh-CN"/>
              </w:rPr>
            </w:pPr>
            <w:r>
              <w:rPr>
                <w:rFonts w:hint="eastAsia" w:ascii="宋体" w:hAnsi="宋体" w:eastAsia="宋体" w:cs="宋体"/>
                <w:b w:val="0"/>
                <w:bCs w:val="0"/>
                <w:color w:val="auto"/>
                <w:sz w:val="21"/>
                <w:szCs w:val="21"/>
                <w:highlight w:val="none"/>
                <w:lang w:eastAsia="zh-CN"/>
              </w:rPr>
              <w:t>通过公共电子交易平台发布</w:t>
            </w:r>
            <w:r>
              <w:rPr>
                <w:rFonts w:hint="eastAsia" w:ascii="宋体" w:hAnsi="宋体" w:eastAsia="宋体" w:cs="宋体"/>
                <w:color w:val="auto"/>
                <w:kern w:val="0"/>
                <w:sz w:val="21"/>
                <w:szCs w:val="21"/>
                <w:highlight w:val="none"/>
                <w:lang w:eastAsia="zh-CN"/>
              </w:rPr>
              <w:t>且同时在原公告媒体发布变更公告。</w:t>
            </w:r>
          </w:p>
        </w:tc>
      </w:tr>
      <w:tr w14:paraId="193AFD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9" w:type="dxa"/>
            <w:vMerge w:val="restart"/>
            <w:noWrap w:val="0"/>
            <w:vAlign w:val="center"/>
          </w:tcPr>
          <w:p w14:paraId="3FE4A29B">
            <w:pPr>
              <w:keepNext w:val="0"/>
              <w:keepLines w:val="0"/>
              <w:pageBreakBefore w:val="0"/>
              <w:widowControl w:val="0"/>
              <w:kinsoku/>
              <w:wordWrap/>
              <w:overflowPunct/>
              <w:topLinePunct w:val="0"/>
              <w:autoSpaceDE/>
              <w:autoSpaceDN/>
              <w:bidi w:val="0"/>
              <w:adjustRightInd/>
              <w:snapToGrid/>
              <w:spacing w:line="360" w:lineRule="auto"/>
              <w:ind w:left="38" w:leftChars="18"/>
              <w:jc w:val="center"/>
              <w:textAlignment w:val="auto"/>
              <w:outlineLvl w:val="9"/>
              <w:rPr>
                <w:rFonts w:hint="eastAsia" w:ascii="宋体" w:hAnsi="宋体" w:eastAsia="宋体" w:cs="宋体"/>
                <w:color w:val="auto"/>
                <w:sz w:val="21"/>
                <w:szCs w:val="21"/>
                <w:highlight w:val="none"/>
                <w:lang w:eastAsia="zh-CN"/>
              </w:rPr>
            </w:pPr>
            <w:r>
              <w:rPr>
                <w:rFonts w:hint="eastAsia" w:ascii="宋体" w:hAnsi="宋体" w:eastAsia="宋体" w:cs="宋体"/>
                <w:color w:val="auto"/>
                <w:kern w:val="0"/>
                <w:sz w:val="21"/>
                <w:szCs w:val="21"/>
                <w:highlight w:val="none"/>
              </w:rPr>
              <w:t>2.3.</w:t>
            </w:r>
            <w:r>
              <w:rPr>
                <w:rFonts w:hint="eastAsia" w:ascii="宋体" w:hAnsi="宋体" w:eastAsia="宋体" w:cs="宋体"/>
                <w:color w:val="auto"/>
                <w:kern w:val="0"/>
                <w:sz w:val="21"/>
                <w:szCs w:val="21"/>
                <w:highlight w:val="none"/>
                <w:lang w:val="en-US" w:eastAsia="zh-CN"/>
              </w:rPr>
              <w:t>3</w:t>
            </w:r>
          </w:p>
        </w:tc>
        <w:tc>
          <w:tcPr>
            <w:tcW w:w="1634" w:type="dxa"/>
            <w:vMerge w:val="restart"/>
            <w:noWrap w:val="0"/>
            <w:vAlign w:val="center"/>
          </w:tcPr>
          <w:p w14:paraId="6A4DE1DA">
            <w:pPr>
              <w:keepNext w:val="0"/>
              <w:keepLines w:val="0"/>
              <w:pageBreakBefore w:val="0"/>
              <w:widowControl w:val="0"/>
              <w:kinsoku/>
              <w:wordWrap/>
              <w:overflowPunct/>
              <w:topLinePunct w:val="0"/>
              <w:autoSpaceDE/>
              <w:autoSpaceDN/>
              <w:bidi w:val="0"/>
              <w:adjustRightInd/>
              <w:snapToGrid/>
              <w:spacing w:line="360" w:lineRule="auto"/>
              <w:ind w:left="38" w:leftChars="18"/>
              <w:jc w:val="center"/>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投标人确认收到招标文件修改</w:t>
            </w:r>
          </w:p>
        </w:tc>
        <w:tc>
          <w:tcPr>
            <w:tcW w:w="6655" w:type="dxa"/>
            <w:noWrap w:val="0"/>
            <w:vAlign w:val="center"/>
          </w:tcPr>
          <w:p w14:paraId="431FCB0D">
            <w:pPr>
              <w:keepNext w:val="0"/>
              <w:keepLines w:val="0"/>
              <w:pageBreakBefore w:val="0"/>
              <w:widowControl w:val="0"/>
              <w:kinsoku/>
              <w:wordWrap/>
              <w:overflowPunct/>
              <w:topLinePunct w:val="0"/>
              <w:autoSpaceDE/>
              <w:autoSpaceDN/>
              <w:bidi w:val="0"/>
              <w:adjustRightInd/>
              <w:snapToGrid/>
              <w:spacing w:line="360" w:lineRule="auto"/>
              <w:ind w:left="38" w:leftChars="18"/>
              <w:jc w:val="both"/>
              <w:textAlignment w:val="auto"/>
              <w:outlineLvl w:val="9"/>
              <w:rPr>
                <w:rFonts w:hint="eastAsia" w:ascii="宋体" w:hAnsi="宋体" w:eastAsia="宋体" w:cs="宋体"/>
                <w:b/>
                <w:color w:val="auto"/>
                <w:sz w:val="21"/>
                <w:szCs w:val="21"/>
                <w:highlight w:val="none"/>
                <w:shd w:val="clear" w:color="auto" w:fill="auto"/>
              </w:rPr>
            </w:pPr>
            <w:r>
              <w:rPr>
                <w:rFonts w:hint="eastAsia" w:ascii="宋体" w:hAnsi="宋体" w:eastAsia="宋体" w:cs="宋体"/>
                <w:color w:val="auto"/>
                <w:kern w:val="0"/>
                <w:sz w:val="21"/>
                <w:szCs w:val="21"/>
                <w:highlight w:val="none"/>
              </w:rPr>
              <w:t>时间：在收到相应修改文件后</w:t>
            </w:r>
            <w:r>
              <w:rPr>
                <w:rFonts w:hint="eastAsia" w:ascii="宋体" w:hAnsi="宋体" w:eastAsia="宋体" w:cs="宋体"/>
                <w:color w:val="auto"/>
                <w:sz w:val="21"/>
                <w:szCs w:val="21"/>
                <w:highlight w:val="none"/>
                <w:u w:val="single"/>
              </w:rPr>
              <w:t xml:space="preserve"> 24 </w:t>
            </w:r>
            <w:r>
              <w:rPr>
                <w:rFonts w:hint="eastAsia" w:ascii="宋体" w:hAnsi="宋体" w:eastAsia="宋体" w:cs="宋体"/>
                <w:color w:val="auto"/>
                <w:kern w:val="0"/>
                <w:sz w:val="21"/>
                <w:szCs w:val="21"/>
                <w:highlight w:val="none"/>
              </w:rPr>
              <w:t>小时内</w:t>
            </w:r>
          </w:p>
        </w:tc>
      </w:tr>
      <w:tr w14:paraId="64272D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9" w:type="dxa"/>
            <w:vMerge w:val="continue"/>
            <w:noWrap w:val="0"/>
            <w:vAlign w:val="center"/>
          </w:tcPr>
          <w:p w14:paraId="1DC8496A">
            <w:pPr>
              <w:keepNext w:val="0"/>
              <w:keepLines w:val="0"/>
              <w:pageBreakBefore w:val="0"/>
              <w:widowControl w:val="0"/>
              <w:kinsoku/>
              <w:wordWrap/>
              <w:overflowPunct/>
              <w:topLinePunct w:val="0"/>
              <w:autoSpaceDE/>
              <w:autoSpaceDN/>
              <w:bidi w:val="0"/>
              <w:adjustRightInd/>
              <w:snapToGrid/>
              <w:spacing w:line="360" w:lineRule="auto"/>
              <w:ind w:left="38" w:leftChars="18"/>
              <w:jc w:val="center"/>
              <w:textAlignment w:val="auto"/>
              <w:outlineLvl w:val="9"/>
              <w:rPr>
                <w:rFonts w:hint="eastAsia" w:ascii="宋体" w:hAnsi="宋体" w:eastAsia="宋体" w:cs="宋体"/>
                <w:color w:val="auto"/>
                <w:sz w:val="21"/>
                <w:szCs w:val="21"/>
                <w:highlight w:val="none"/>
              </w:rPr>
            </w:pPr>
          </w:p>
        </w:tc>
        <w:tc>
          <w:tcPr>
            <w:tcW w:w="1634" w:type="dxa"/>
            <w:vMerge w:val="continue"/>
            <w:noWrap w:val="0"/>
            <w:vAlign w:val="center"/>
          </w:tcPr>
          <w:p w14:paraId="2C875B41">
            <w:pPr>
              <w:keepNext w:val="0"/>
              <w:keepLines w:val="0"/>
              <w:pageBreakBefore w:val="0"/>
              <w:widowControl w:val="0"/>
              <w:kinsoku/>
              <w:wordWrap/>
              <w:overflowPunct/>
              <w:topLinePunct w:val="0"/>
              <w:autoSpaceDE/>
              <w:autoSpaceDN/>
              <w:bidi w:val="0"/>
              <w:adjustRightInd/>
              <w:snapToGrid/>
              <w:spacing w:line="360" w:lineRule="auto"/>
              <w:ind w:left="38" w:leftChars="18"/>
              <w:jc w:val="center"/>
              <w:textAlignment w:val="auto"/>
              <w:outlineLvl w:val="9"/>
              <w:rPr>
                <w:rFonts w:hint="eastAsia" w:ascii="宋体" w:hAnsi="宋体" w:eastAsia="宋体" w:cs="宋体"/>
                <w:color w:val="auto"/>
                <w:sz w:val="21"/>
                <w:szCs w:val="21"/>
                <w:highlight w:val="none"/>
              </w:rPr>
            </w:pPr>
          </w:p>
        </w:tc>
        <w:tc>
          <w:tcPr>
            <w:tcW w:w="6655" w:type="dxa"/>
            <w:noWrap w:val="0"/>
            <w:vAlign w:val="center"/>
          </w:tcPr>
          <w:p w14:paraId="4D0177CA">
            <w:pPr>
              <w:keepNext w:val="0"/>
              <w:keepLines w:val="0"/>
              <w:pageBreakBefore w:val="0"/>
              <w:widowControl w:val="0"/>
              <w:kinsoku/>
              <w:wordWrap/>
              <w:overflowPunct/>
              <w:topLinePunct w:val="0"/>
              <w:autoSpaceDE/>
              <w:autoSpaceDN/>
              <w:bidi w:val="0"/>
              <w:adjustRightInd/>
              <w:snapToGrid/>
              <w:spacing w:line="360" w:lineRule="auto"/>
              <w:ind w:left="38" w:leftChars="18"/>
              <w:jc w:val="both"/>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形式：</w:t>
            </w:r>
            <w:r>
              <w:rPr>
                <w:rFonts w:hint="eastAsia" w:ascii="宋体" w:hAnsi="宋体" w:eastAsia="宋体" w:cs="宋体"/>
                <w:b w:val="0"/>
                <w:bCs w:val="0"/>
                <w:color w:val="auto"/>
                <w:kern w:val="10"/>
                <w:sz w:val="21"/>
                <w:szCs w:val="21"/>
                <w:highlight w:val="none"/>
                <w:lang w:val="en-US" w:eastAsia="zh-CN"/>
              </w:rPr>
              <w:t>投标人自行在河南省公共资源交易中心平台交易平台系统查看，无需确认。</w:t>
            </w:r>
          </w:p>
        </w:tc>
      </w:tr>
      <w:tr w14:paraId="22B59D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9" w:type="dxa"/>
            <w:noWrap w:val="0"/>
            <w:vAlign w:val="center"/>
          </w:tcPr>
          <w:p w14:paraId="10571A63">
            <w:pPr>
              <w:keepNext w:val="0"/>
              <w:keepLines w:val="0"/>
              <w:pageBreakBefore w:val="0"/>
              <w:widowControl w:val="0"/>
              <w:kinsoku/>
              <w:wordWrap/>
              <w:overflowPunct/>
              <w:topLinePunct w:val="0"/>
              <w:autoSpaceDE/>
              <w:autoSpaceDN/>
              <w:bidi w:val="0"/>
              <w:adjustRightInd/>
              <w:snapToGrid/>
              <w:spacing w:line="360" w:lineRule="auto"/>
              <w:ind w:left="38" w:leftChars="18"/>
              <w:jc w:val="center"/>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3.4</w:t>
            </w:r>
          </w:p>
        </w:tc>
        <w:tc>
          <w:tcPr>
            <w:tcW w:w="1634" w:type="dxa"/>
            <w:noWrap w:val="0"/>
            <w:vAlign w:val="center"/>
          </w:tcPr>
          <w:p w14:paraId="0309D53A">
            <w:pPr>
              <w:keepNext w:val="0"/>
              <w:keepLines w:val="0"/>
              <w:pageBreakBefore w:val="0"/>
              <w:widowControl w:val="0"/>
              <w:kinsoku/>
              <w:wordWrap/>
              <w:overflowPunct/>
              <w:topLinePunct w:val="0"/>
              <w:autoSpaceDE/>
              <w:autoSpaceDN/>
              <w:bidi w:val="0"/>
              <w:adjustRightInd/>
              <w:snapToGrid/>
              <w:spacing w:line="360" w:lineRule="auto"/>
              <w:ind w:left="38" w:leftChars="18"/>
              <w:jc w:val="center"/>
              <w:textAlignment w:val="auto"/>
              <w:outlineLvl w:val="9"/>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投标保证金</w:t>
            </w:r>
          </w:p>
        </w:tc>
        <w:tc>
          <w:tcPr>
            <w:tcW w:w="6655" w:type="dxa"/>
            <w:noWrap w:val="0"/>
            <w:vAlign w:val="center"/>
          </w:tcPr>
          <w:p w14:paraId="0DFFB55D">
            <w:pPr>
              <w:keepNext w:val="0"/>
              <w:keepLines w:val="0"/>
              <w:pageBreakBefore w:val="0"/>
              <w:widowControl w:val="0"/>
              <w:kinsoku/>
              <w:wordWrap/>
              <w:overflowPunct/>
              <w:topLinePunct w:val="0"/>
              <w:autoSpaceDE/>
              <w:autoSpaceDN/>
              <w:bidi w:val="0"/>
              <w:adjustRightInd/>
              <w:snapToGrid/>
              <w:spacing w:line="360" w:lineRule="auto"/>
              <w:ind w:left="38" w:leftChars="18"/>
              <w:jc w:val="both"/>
              <w:textAlignment w:val="auto"/>
              <w:outlineLvl w:val="9"/>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shd w:val="clear" w:color="auto" w:fill="auto"/>
                <w:lang w:eastAsia="zh-CN"/>
              </w:rPr>
              <w:t>☑</w:t>
            </w:r>
            <w:r>
              <w:rPr>
                <w:rFonts w:hint="eastAsia" w:ascii="宋体" w:hAnsi="宋体" w:eastAsia="宋体" w:cs="宋体"/>
                <w:color w:val="auto"/>
                <w:kern w:val="0"/>
                <w:sz w:val="21"/>
                <w:szCs w:val="21"/>
                <w:highlight w:val="none"/>
                <w:lang w:eastAsia="zh-CN"/>
              </w:rPr>
              <w:t>不要求，根据豫财购</w:t>
            </w:r>
            <w:r>
              <w:rPr>
                <w:rFonts w:hint="eastAsia" w:ascii="宋体" w:hAnsi="宋体" w:eastAsia="宋体" w:cs="宋体"/>
                <w:color w:val="auto"/>
                <w:kern w:val="0"/>
                <w:sz w:val="21"/>
                <w:szCs w:val="21"/>
                <w:highlight w:val="none"/>
                <w:lang w:val="en-US" w:eastAsia="zh-CN"/>
              </w:rPr>
              <w:t>[2019]4号文件的相关规定，</w:t>
            </w:r>
            <w:r>
              <w:rPr>
                <w:rFonts w:hint="eastAsia" w:ascii="宋体" w:hAnsi="宋体" w:eastAsia="宋体" w:cs="宋体"/>
                <w:color w:val="auto"/>
                <w:sz w:val="21"/>
                <w:szCs w:val="21"/>
                <w:highlight w:val="none"/>
                <w:lang w:val="en-US" w:eastAsia="zh-CN"/>
              </w:rPr>
              <w:t>本次招标</w:t>
            </w:r>
            <w:r>
              <w:rPr>
                <w:rFonts w:hint="eastAsia" w:ascii="宋体" w:hAnsi="宋体" w:eastAsia="宋体" w:cs="宋体"/>
                <w:color w:val="auto"/>
                <w:kern w:val="0"/>
                <w:sz w:val="21"/>
                <w:szCs w:val="21"/>
                <w:highlight w:val="none"/>
                <w:lang w:val="en-US" w:eastAsia="zh-CN"/>
              </w:rPr>
              <w:t>不收取投标保证金，需提供投标承诺函。</w:t>
            </w:r>
          </w:p>
        </w:tc>
      </w:tr>
      <w:tr w14:paraId="6B548A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9" w:type="dxa"/>
            <w:noWrap w:val="0"/>
            <w:vAlign w:val="center"/>
          </w:tcPr>
          <w:p w14:paraId="0B2F3279">
            <w:pPr>
              <w:keepNext w:val="0"/>
              <w:keepLines w:val="0"/>
              <w:pageBreakBefore w:val="0"/>
              <w:widowControl w:val="0"/>
              <w:kinsoku/>
              <w:wordWrap/>
              <w:overflowPunct/>
              <w:topLinePunct w:val="0"/>
              <w:autoSpaceDE/>
              <w:autoSpaceDN/>
              <w:bidi w:val="0"/>
              <w:adjustRightInd/>
              <w:snapToGrid/>
              <w:spacing w:line="360" w:lineRule="auto"/>
              <w:ind w:left="38" w:leftChars="18"/>
              <w:jc w:val="center"/>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3.5.1</w:t>
            </w:r>
          </w:p>
        </w:tc>
        <w:tc>
          <w:tcPr>
            <w:tcW w:w="1634" w:type="dxa"/>
            <w:noWrap w:val="0"/>
            <w:vAlign w:val="center"/>
          </w:tcPr>
          <w:p w14:paraId="587E35A8">
            <w:pPr>
              <w:keepNext w:val="0"/>
              <w:keepLines w:val="0"/>
              <w:pageBreakBefore w:val="0"/>
              <w:widowControl w:val="0"/>
              <w:kinsoku/>
              <w:wordWrap/>
              <w:overflowPunct/>
              <w:topLinePunct w:val="0"/>
              <w:autoSpaceDE/>
              <w:autoSpaceDN/>
              <w:bidi w:val="0"/>
              <w:adjustRightInd/>
              <w:snapToGrid/>
              <w:spacing w:line="360" w:lineRule="auto"/>
              <w:ind w:left="38" w:leftChars="18"/>
              <w:jc w:val="center"/>
              <w:textAlignment w:val="auto"/>
              <w:outlineLvl w:val="9"/>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shd w:val="clear" w:color="auto" w:fill="auto"/>
              </w:rPr>
              <w:t>投标有效期</w:t>
            </w:r>
          </w:p>
        </w:tc>
        <w:tc>
          <w:tcPr>
            <w:tcW w:w="6655" w:type="dxa"/>
            <w:noWrap w:val="0"/>
            <w:vAlign w:val="center"/>
          </w:tcPr>
          <w:p w14:paraId="73180BC8">
            <w:pPr>
              <w:keepNext w:val="0"/>
              <w:keepLines w:val="0"/>
              <w:pageBreakBefore w:val="0"/>
              <w:widowControl w:val="0"/>
              <w:kinsoku/>
              <w:wordWrap/>
              <w:overflowPunct/>
              <w:topLinePunct w:val="0"/>
              <w:autoSpaceDE/>
              <w:autoSpaceDN/>
              <w:bidi w:val="0"/>
              <w:adjustRightInd/>
              <w:snapToGrid/>
              <w:spacing w:line="360" w:lineRule="auto"/>
              <w:ind w:left="38" w:leftChars="18"/>
              <w:jc w:val="both"/>
              <w:textAlignment w:val="auto"/>
              <w:outlineLvl w:val="9"/>
              <w:rPr>
                <w:rFonts w:hint="eastAsia" w:ascii="宋体" w:hAnsi="宋体" w:eastAsia="宋体" w:cs="宋体"/>
                <w:color w:val="auto"/>
                <w:kern w:val="0"/>
                <w:sz w:val="21"/>
                <w:szCs w:val="21"/>
                <w:highlight w:val="none"/>
                <w:lang w:eastAsia="zh-CN"/>
              </w:rPr>
            </w:pPr>
            <w:r>
              <w:rPr>
                <w:rFonts w:hint="eastAsia" w:ascii="宋体" w:hAnsi="宋体" w:eastAsia="宋体" w:cs="宋体"/>
                <w:b/>
                <w:color w:val="auto"/>
                <w:sz w:val="21"/>
                <w:szCs w:val="21"/>
                <w:highlight w:val="none"/>
                <w:shd w:val="clear" w:color="auto" w:fill="auto"/>
              </w:rPr>
              <w:t>※</w:t>
            </w:r>
            <w:r>
              <w:rPr>
                <w:rFonts w:hint="eastAsia" w:ascii="宋体" w:hAnsi="宋体" w:eastAsia="宋体" w:cs="宋体"/>
                <w:color w:val="auto"/>
                <w:sz w:val="21"/>
                <w:szCs w:val="21"/>
                <w:highlight w:val="none"/>
                <w:shd w:val="clear" w:color="auto" w:fill="auto"/>
                <w:lang w:eastAsia="zh-CN"/>
              </w:rPr>
              <w:t>递交</w:t>
            </w:r>
            <w:r>
              <w:rPr>
                <w:rFonts w:hint="eastAsia" w:ascii="宋体" w:hAnsi="宋体" w:eastAsia="宋体" w:cs="宋体"/>
                <w:color w:val="auto"/>
                <w:sz w:val="21"/>
                <w:szCs w:val="21"/>
                <w:highlight w:val="none"/>
                <w:shd w:val="clear" w:color="auto" w:fill="auto"/>
              </w:rPr>
              <w:t xml:space="preserve">投标文件的截止之日起 </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b w:val="0"/>
                <w:bCs w:val="0"/>
                <w:color w:val="auto"/>
                <w:sz w:val="21"/>
                <w:szCs w:val="21"/>
                <w:highlight w:val="none"/>
                <w:u w:val="single"/>
                <w:lang w:val="en-US" w:eastAsia="zh-CN"/>
              </w:rPr>
              <w:t>90</w:t>
            </w:r>
            <w:r>
              <w:rPr>
                <w:rFonts w:hint="eastAsia" w:ascii="宋体" w:hAnsi="宋体" w:eastAsia="宋体" w:cs="宋体"/>
                <w:b/>
                <w:bCs/>
                <w:color w:val="auto"/>
                <w:sz w:val="21"/>
                <w:szCs w:val="21"/>
                <w:highlight w:val="none"/>
                <w:u w:val="single"/>
                <w:lang w:val="en-US" w:eastAsia="zh-CN"/>
              </w:rPr>
              <w:t xml:space="preserve"> </w:t>
            </w:r>
            <w:r>
              <w:rPr>
                <w:rFonts w:hint="eastAsia" w:ascii="宋体" w:hAnsi="宋体" w:eastAsia="宋体" w:cs="宋体"/>
                <w:color w:val="auto"/>
                <w:sz w:val="21"/>
                <w:szCs w:val="21"/>
                <w:highlight w:val="none"/>
              </w:rPr>
              <w:t>日历天</w:t>
            </w:r>
            <w:r>
              <w:rPr>
                <w:rFonts w:hint="eastAsia" w:ascii="宋体" w:hAnsi="宋体" w:eastAsia="宋体" w:cs="宋体"/>
                <w:color w:val="auto"/>
                <w:sz w:val="21"/>
                <w:szCs w:val="21"/>
                <w:highlight w:val="none"/>
                <w:lang w:eastAsia="zh-CN"/>
              </w:rPr>
              <w:t>。</w:t>
            </w:r>
          </w:p>
        </w:tc>
      </w:tr>
      <w:tr w14:paraId="6F8579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9" w:type="dxa"/>
            <w:noWrap w:val="0"/>
            <w:vAlign w:val="center"/>
          </w:tcPr>
          <w:p w14:paraId="3F6375F0">
            <w:pPr>
              <w:keepNext w:val="0"/>
              <w:keepLines w:val="0"/>
              <w:pageBreakBefore w:val="0"/>
              <w:widowControl w:val="0"/>
              <w:kinsoku/>
              <w:wordWrap/>
              <w:overflowPunct/>
              <w:topLinePunct w:val="0"/>
              <w:autoSpaceDE/>
              <w:autoSpaceDN/>
              <w:bidi w:val="0"/>
              <w:adjustRightInd/>
              <w:snapToGrid/>
              <w:spacing w:line="360" w:lineRule="auto"/>
              <w:ind w:left="38" w:leftChars="18"/>
              <w:jc w:val="center"/>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3.6.3</w:t>
            </w:r>
          </w:p>
        </w:tc>
        <w:tc>
          <w:tcPr>
            <w:tcW w:w="1634" w:type="dxa"/>
            <w:noWrap w:val="0"/>
            <w:vAlign w:val="center"/>
          </w:tcPr>
          <w:p w14:paraId="12A56D6C">
            <w:pPr>
              <w:keepNext w:val="0"/>
              <w:keepLines w:val="0"/>
              <w:pageBreakBefore w:val="0"/>
              <w:widowControl w:val="0"/>
              <w:kinsoku/>
              <w:wordWrap/>
              <w:overflowPunct/>
              <w:topLinePunct w:val="0"/>
              <w:autoSpaceDE/>
              <w:autoSpaceDN/>
              <w:bidi w:val="0"/>
              <w:adjustRightInd/>
              <w:snapToGrid/>
              <w:spacing w:line="360" w:lineRule="auto"/>
              <w:ind w:left="38" w:leftChars="18"/>
              <w:jc w:val="center"/>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签字盖章要求</w:t>
            </w:r>
          </w:p>
        </w:tc>
        <w:tc>
          <w:tcPr>
            <w:tcW w:w="6655" w:type="dxa"/>
            <w:noWrap w:val="0"/>
            <w:vAlign w:val="center"/>
          </w:tcPr>
          <w:p w14:paraId="527A5C8C">
            <w:pPr>
              <w:pStyle w:val="132"/>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（1）所有要求</w:t>
            </w:r>
            <w:r>
              <w:rPr>
                <w:rFonts w:hint="eastAsia" w:ascii="宋体" w:hAnsi="宋体" w:eastAsia="宋体" w:cs="宋体"/>
                <w:color w:val="auto"/>
                <w:sz w:val="21"/>
                <w:szCs w:val="21"/>
                <w:highlight w:val="none"/>
                <w:lang w:eastAsia="zh-CN"/>
              </w:rPr>
              <w:t>投标人</w:t>
            </w:r>
            <w:r>
              <w:rPr>
                <w:rFonts w:hint="eastAsia" w:ascii="宋体" w:hAnsi="宋体" w:eastAsia="宋体" w:cs="宋体"/>
                <w:color w:val="auto"/>
                <w:sz w:val="21"/>
                <w:szCs w:val="21"/>
                <w:highlight w:val="none"/>
              </w:rPr>
              <w:t>加盖公章的地方</w:t>
            </w:r>
            <w:r>
              <w:rPr>
                <w:rFonts w:hint="eastAsia" w:ascii="宋体" w:hAnsi="宋体" w:eastAsia="宋体" w:cs="宋体"/>
                <w:color w:val="auto"/>
                <w:sz w:val="21"/>
                <w:szCs w:val="21"/>
                <w:highlight w:val="none"/>
                <w:lang w:eastAsia="zh-CN"/>
              </w:rPr>
              <w:t>均用投标人</w:t>
            </w:r>
            <w:r>
              <w:rPr>
                <w:rFonts w:hint="eastAsia" w:ascii="宋体" w:hAnsi="宋体" w:eastAsia="宋体" w:cs="宋体"/>
                <w:color w:val="auto"/>
                <w:sz w:val="21"/>
                <w:szCs w:val="21"/>
                <w:highlight w:val="none"/>
              </w:rPr>
              <w:t>的CA</w:t>
            </w:r>
            <w:r>
              <w:rPr>
                <w:rFonts w:hint="eastAsia" w:ascii="宋体" w:hAnsi="宋体" w:eastAsia="宋体" w:cs="宋体"/>
                <w:color w:val="auto"/>
                <w:sz w:val="21"/>
                <w:szCs w:val="21"/>
                <w:highlight w:val="none"/>
                <w:lang w:eastAsia="zh-CN"/>
              </w:rPr>
              <w:t>锁进行电子签章</w:t>
            </w:r>
            <w:r>
              <w:rPr>
                <w:rFonts w:hint="eastAsia" w:ascii="宋体" w:hAnsi="宋体" w:eastAsia="宋体" w:cs="宋体"/>
                <w:color w:val="auto"/>
                <w:sz w:val="21"/>
                <w:szCs w:val="21"/>
                <w:highlight w:val="none"/>
              </w:rPr>
              <w:t>。</w:t>
            </w:r>
          </w:p>
          <w:p w14:paraId="52118EA3">
            <w:pPr>
              <w:keepNext w:val="0"/>
              <w:keepLines w:val="0"/>
              <w:pageBreakBefore w:val="0"/>
              <w:widowControl w:val="0"/>
              <w:kinsoku/>
              <w:wordWrap/>
              <w:overflowPunct/>
              <w:topLinePunct w:val="0"/>
              <w:autoSpaceDE/>
              <w:autoSpaceDN/>
              <w:bidi w:val="0"/>
              <w:adjustRightInd/>
              <w:snapToGrid/>
              <w:spacing w:line="360" w:lineRule="auto"/>
              <w:ind w:left="0" w:leftChars="0"/>
              <w:jc w:val="both"/>
              <w:textAlignment w:val="auto"/>
              <w:outlineLvl w:val="9"/>
              <w:rPr>
                <w:rFonts w:hint="eastAsia" w:ascii="宋体" w:hAnsi="宋体" w:eastAsia="宋体" w:cs="宋体"/>
                <w:b/>
                <w:color w:val="auto"/>
                <w:sz w:val="21"/>
                <w:szCs w:val="21"/>
                <w:highlight w:val="none"/>
                <w:shd w:val="clear" w:color="auto" w:fill="auto"/>
              </w:rPr>
            </w:pPr>
            <w:r>
              <w:rPr>
                <w:rFonts w:hint="eastAsia" w:ascii="宋体" w:hAnsi="宋体" w:eastAsia="宋体" w:cs="宋体"/>
                <w:color w:val="auto"/>
                <w:sz w:val="21"/>
                <w:szCs w:val="21"/>
                <w:highlight w:val="none"/>
              </w:rPr>
              <w:t>（2）所有要求法定代表人签字</w:t>
            </w:r>
            <w:r>
              <w:rPr>
                <w:rFonts w:hint="eastAsia" w:ascii="宋体" w:hAnsi="宋体" w:eastAsia="宋体" w:cs="宋体"/>
                <w:color w:val="auto"/>
                <w:sz w:val="21"/>
                <w:szCs w:val="21"/>
                <w:highlight w:val="none"/>
                <w:lang w:val="en-US" w:eastAsia="zh-CN"/>
              </w:rPr>
              <w:t>或盖章</w:t>
            </w:r>
            <w:r>
              <w:rPr>
                <w:rFonts w:hint="eastAsia" w:ascii="宋体" w:hAnsi="宋体" w:eastAsia="宋体" w:cs="宋体"/>
                <w:color w:val="auto"/>
                <w:sz w:val="21"/>
                <w:szCs w:val="21"/>
                <w:highlight w:val="none"/>
              </w:rPr>
              <w:t>的地方</w:t>
            </w:r>
            <w:r>
              <w:rPr>
                <w:rFonts w:hint="eastAsia" w:ascii="宋体" w:hAnsi="宋体" w:eastAsia="宋体" w:cs="宋体"/>
                <w:color w:val="auto"/>
                <w:sz w:val="21"/>
                <w:szCs w:val="21"/>
                <w:highlight w:val="none"/>
                <w:lang w:eastAsia="zh-CN"/>
              </w:rPr>
              <w:t>均用</w:t>
            </w:r>
            <w:r>
              <w:rPr>
                <w:rFonts w:hint="eastAsia" w:ascii="宋体" w:hAnsi="宋体" w:eastAsia="宋体" w:cs="宋体"/>
                <w:color w:val="auto"/>
                <w:sz w:val="21"/>
                <w:szCs w:val="21"/>
                <w:highlight w:val="none"/>
              </w:rPr>
              <w:t>法定代表人的CA</w:t>
            </w:r>
            <w:r>
              <w:rPr>
                <w:rFonts w:hint="eastAsia" w:ascii="宋体" w:hAnsi="宋体" w:eastAsia="宋体" w:cs="宋体"/>
                <w:color w:val="auto"/>
                <w:sz w:val="21"/>
                <w:szCs w:val="21"/>
                <w:highlight w:val="none"/>
                <w:lang w:eastAsia="zh-CN"/>
              </w:rPr>
              <w:t>锁进行电子签章</w:t>
            </w:r>
            <w:r>
              <w:rPr>
                <w:rFonts w:hint="eastAsia" w:ascii="宋体" w:hAnsi="宋体" w:eastAsia="宋体" w:cs="宋体"/>
                <w:color w:val="auto"/>
                <w:sz w:val="21"/>
                <w:szCs w:val="21"/>
                <w:highlight w:val="none"/>
              </w:rPr>
              <w:t>。若</w:t>
            </w:r>
            <w:r>
              <w:rPr>
                <w:rFonts w:hint="eastAsia" w:ascii="宋体" w:hAnsi="宋体" w:eastAsia="宋体" w:cs="宋体"/>
                <w:color w:val="auto"/>
                <w:sz w:val="21"/>
                <w:szCs w:val="21"/>
                <w:highlight w:val="none"/>
                <w:lang w:eastAsia="zh-CN"/>
              </w:rPr>
              <w:t>由</w:t>
            </w:r>
            <w:r>
              <w:rPr>
                <w:rFonts w:hint="eastAsia" w:ascii="宋体" w:hAnsi="宋体" w:eastAsia="宋体" w:cs="宋体"/>
                <w:color w:val="auto"/>
                <w:sz w:val="21"/>
                <w:szCs w:val="21"/>
                <w:highlight w:val="none"/>
              </w:rPr>
              <w:t>委托代理人</w:t>
            </w:r>
            <w:r>
              <w:rPr>
                <w:rFonts w:hint="eastAsia" w:ascii="宋体" w:hAnsi="宋体" w:eastAsia="宋体" w:cs="宋体"/>
                <w:color w:val="auto"/>
                <w:sz w:val="21"/>
                <w:szCs w:val="21"/>
                <w:highlight w:val="none"/>
                <w:lang w:eastAsia="zh-CN"/>
              </w:rPr>
              <w:t>签字或盖章</w:t>
            </w:r>
            <w:r>
              <w:rPr>
                <w:rFonts w:hint="eastAsia" w:ascii="宋体" w:hAnsi="宋体" w:eastAsia="宋体" w:cs="宋体"/>
                <w:color w:val="auto"/>
                <w:sz w:val="21"/>
                <w:szCs w:val="21"/>
                <w:highlight w:val="none"/>
              </w:rPr>
              <w:t>，且委托代理人没有CA锁</w:t>
            </w:r>
            <w:r>
              <w:rPr>
                <w:rFonts w:hint="eastAsia" w:ascii="宋体" w:hAnsi="宋体" w:eastAsia="宋体" w:cs="宋体"/>
                <w:color w:val="auto"/>
                <w:sz w:val="21"/>
                <w:szCs w:val="21"/>
                <w:highlight w:val="none"/>
                <w:lang w:eastAsia="zh-CN"/>
              </w:rPr>
              <w:t>的</w:t>
            </w:r>
            <w:r>
              <w:rPr>
                <w:rFonts w:hint="eastAsia" w:ascii="宋体" w:hAnsi="宋体" w:eastAsia="宋体" w:cs="宋体"/>
                <w:color w:val="auto"/>
                <w:sz w:val="21"/>
                <w:szCs w:val="21"/>
                <w:highlight w:val="none"/>
              </w:rPr>
              <w:t>，则</w:t>
            </w:r>
            <w:r>
              <w:rPr>
                <w:rFonts w:hint="eastAsia" w:ascii="宋体" w:hAnsi="宋体" w:eastAsia="宋体" w:cs="宋体"/>
                <w:color w:val="auto"/>
                <w:sz w:val="21"/>
                <w:szCs w:val="21"/>
                <w:highlight w:val="none"/>
                <w:lang w:eastAsia="zh-CN"/>
              </w:rPr>
              <w:t>投标文件</w:t>
            </w:r>
            <w:r>
              <w:rPr>
                <w:rFonts w:hint="eastAsia" w:ascii="宋体" w:hAnsi="宋体" w:eastAsia="宋体" w:cs="宋体"/>
                <w:color w:val="auto"/>
                <w:sz w:val="21"/>
                <w:szCs w:val="21"/>
                <w:highlight w:val="none"/>
              </w:rPr>
              <w:t>需上传有委托代理人手写签名的扫描件。</w:t>
            </w:r>
          </w:p>
        </w:tc>
      </w:tr>
      <w:tr w14:paraId="2AA310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9" w:type="dxa"/>
            <w:noWrap w:val="0"/>
            <w:vAlign w:val="center"/>
          </w:tcPr>
          <w:p w14:paraId="697F49AE">
            <w:pPr>
              <w:pageBreakBefore w:val="0"/>
              <w:kinsoku/>
              <w:overflowPunct/>
              <w:bidi w:val="0"/>
              <w:spacing w:line="360" w:lineRule="auto"/>
              <w:jc w:val="center"/>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4.1.1</w:t>
            </w:r>
          </w:p>
        </w:tc>
        <w:tc>
          <w:tcPr>
            <w:tcW w:w="1634" w:type="dxa"/>
            <w:noWrap w:val="0"/>
            <w:vAlign w:val="center"/>
          </w:tcPr>
          <w:p w14:paraId="54D0D450">
            <w:pPr>
              <w:pageBreakBefore w:val="0"/>
              <w:kinsoku/>
              <w:overflowPunct/>
              <w:bidi w:val="0"/>
              <w:spacing w:line="360" w:lineRule="auto"/>
              <w:jc w:val="center"/>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b w:val="0"/>
                <w:bCs w:val="0"/>
                <w:color w:val="auto"/>
                <w:sz w:val="21"/>
                <w:szCs w:val="21"/>
                <w:highlight w:val="none"/>
                <w:lang w:eastAsia="zh-CN"/>
              </w:rPr>
              <w:t>投标文件加密要求</w:t>
            </w:r>
          </w:p>
        </w:tc>
        <w:tc>
          <w:tcPr>
            <w:tcW w:w="6655" w:type="dxa"/>
            <w:noWrap w:val="0"/>
            <w:vAlign w:val="center"/>
          </w:tcPr>
          <w:p w14:paraId="5479451D">
            <w:pPr>
              <w:pStyle w:val="2"/>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按照河南省交易中心系统要求进行加密。</w:t>
            </w:r>
          </w:p>
        </w:tc>
      </w:tr>
      <w:tr w14:paraId="78A413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9" w:type="dxa"/>
            <w:noWrap w:val="0"/>
            <w:vAlign w:val="center"/>
          </w:tcPr>
          <w:p w14:paraId="115BF165">
            <w:pPr>
              <w:keepNext w:val="0"/>
              <w:keepLines w:val="0"/>
              <w:pageBreakBefore w:val="0"/>
              <w:widowControl w:val="0"/>
              <w:kinsoku/>
              <w:wordWrap/>
              <w:overflowPunct/>
              <w:topLinePunct w:val="0"/>
              <w:autoSpaceDE/>
              <w:autoSpaceDN/>
              <w:bidi w:val="0"/>
              <w:adjustRightInd/>
              <w:snapToGrid/>
              <w:spacing w:line="360" w:lineRule="auto"/>
              <w:ind w:left="38" w:leftChars="18"/>
              <w:jc w:val="center"/>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4.2.1</w:t>
            </w:r>
          </w:p>
        </w:tc>
        <w:tc>
          <w:tcPr>
            <w:tcW w:w="1634" w:type="dxa"/>
            <w:noWrap w:val="0"/>
            <w:vAlign w:val="center"/>
          </w:tcPr>
          <w:p w14:paraId="495165C5">
            <w:pPr>
              <w:keepNext w:val="0"/>
              <w:keepLines w:val="0"/>
              <w:pageBreakBefore w:val="0"/>
              <w:widowControl w:val="0"/>
              <w:numPr>
                <w:ilvl w:val="0"/>
                <w:numId w:val="0"/>
              </w:numPr>
              <w:tabs>
                <w:tab w:val="left" w:pos="720"/>
              </w:tabs>
              <w:kinsoku/>
              <w:wordWrap/>
              <w:overflowPunct/>
              <w:topLinePunct w:val="0"/>
              <w:autoSpaceDE/>
              <w:autoSpaceDN/>
              <w:bidi w:val="0"/>
              <w:adjustRightInd/>
              <w:snapToGrid/>
              <w:spacing w:line="360" w:lineRule="auto"/>
              <w:ind w:leftChars="0"/>
              <w:jc w:val="center"/>
              <w:textAlignment w:val="auto"/>
              <w:outlineLvl w:val="9"/>
              <w:rPr>
                <w:rFonts w:hint="eastAsia" w:ascii="宋体" w:hAnsi="宋体" w:eastAsia="宋体" w:cs="宋体"/>
                <w:color w:val="auto"/>
                <w:sz w:val="21"/>
                <w:szCs w:val="21"/>
                <w:highlight w:val="none"/>
                <w:lang w:eastAsia="zh-CN"/>
              </w:rPr>
            </w:pPr>
            <w:r>
              <w:rPr>
                <w:rFonts w:hint="eastAsia" w:ascii="宋体" w:hAnsi="宋体" w:eastAsia="宋体" w:cs="宋体"/>
                <w:color w:val="auto"/>
                <w:kern w:val="0"/>
                <w:sz w:val="21"/>
                <w:szCs w:val="21"/>
                <w:highlight w:val="none"/>
              </w:rPr>
              <w:t>投标</w:t>
            </w:r>
            <w:r>
              <w:rPr>
                <w:rFonts w:hint="eastAsia" w:ascii="宋体" w:hAnsi="宋体" w:eastAsia="宋体" w:cs="宋体"/>
                <w:color w:val="auto"/>
                <w:spacing w:val="-2"/>
                <w:kern w:val="0"/>
                <w:sz w:val="21"/>
                <w:szCs w:val="21"/>
                <w:highlight w:val="none"/>
              </w:rPr>
              <w:t>截</w:t>
            </w:r>
            <w:r>
              <w:rPr>
                <w:rFonts w:hint="eastAsia" w:ascii="宋体" w:hAnsi="宋体" w:eastAsia="宋体" w:cs="宋体"/>
                <w:color w:val="auto"/>
                <w:kern w:val="0"/>
                <w:sz w:val="21"/>
                <w:szCs w:val="21"/>
                <w:highlight w:val="none"/>
              </w:rPr>
              <w:t>止</w:t>
            </w:r>
            <w:r>
              <w:rPr>
                <w:rFonts w:hint="eastAsia" w:ascii="宋体" w:hAnsi="宋体" w:eastAsia="宋体" w:cs="宋体"/>
                <w:color w:val="auto"/>
                <w:spacing w:val="-2"/>
                <w:kern w:val="0"/>
                <w:sz w:val="21"/>
                <w:szCs w:val="21"/>
                <w:highlight w:val="none"/>
              </w:rPr>
              <w:t>时</w:t>
            </w:r>
            <w:r>
              <w:rPr>
                <w:rFonts w:hint="eastAsia" w:ascii="宋体" w:hAnsi="宋体" w:eastAsia="宋体" w:cs="宋体"/>
                <w:color w:val="auto"/>
                <w:kern w:val="0"/>
                <w:sz w:val="21"/>
                <w:szCs w:val="21"/>
                <w:highlight w:val="none"/>
              </w:rPr>
              <w:t>间</w:t>
            </w:r>
          </w:p>
        </w:tc>
        <w:tc>
          <w:tcPr>
            <w:tcW w:w="6655" w:type="dxa"/>
            <w:noWrap w:val="0"/>
            <w:vAlign w:val="center"/>
          </w:tcPr>
          <w:p w14:paraId="0A66DCF6">
            <w:pPr>
              <w:pStyle w:val="33"/>
              <w:keepNext w:val="0"/>
              <w:keepLines w:val="0"/>
              <w:pageBreakBefore w:val="0"/>
              <w:widowControl/>
              <w:kinsoku/>
              <w:overflowPunct/>
              <w:topLinePunct w:val="0"/>
              <w:bidi w:val="0"/>
              <w:spacing w:before="0" w:beforeAutospacing="0" w:after="0" w:afterAutospacing="0" w:line="36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2026</w:t>
            </w:r>
            <w:r>
              <w:rPr>
                <w:rFonts w:hint="eastAsia" w:ascii="宋体" w:hAnsi="宋体" w:eastAsia="宋体" w:cs="宋体"/>
                <w:color w:val="auto"/>
                <w:kern w:val="0"/>
                <w:sz w:val="21"/>
                <w:szCs w:val="21"/>
                <w:highlight w:val="none"/>
              </w:rPr>
              <w:t>年</w:t>
            </w:r>
            <w:r>
              <w:rPr>
                <w:rFonts w:hint="eastAsia" w:cs="宋体"/>
                <w:color w:val="auto"/>
                <w:kern w:val="0"/>
                <w:sz w:val="21"/>
                <w:szCs w:val="21"/>
                <w:highlight w:val="none"/>
                <w:lang w:val="en-US" w:eastAsia="zh-CN"/>
              </w:rPr>
              <w:t>04</w:t>
            </w:r>
            <w:r>
              <w:rPr>
                <w:rFonts w:hint="eastAsia" w:ascii="宋体" w:hAnsi="宋体" w:eastAsia="宋体" w:cs="宋体"/>
                <w:color w:val="auto"/>
                <w:kern w:val="0"/>
                <w:sz w:val="21"/>
                <w:szCs w:val="21"/>
                <w:highlight w:val="none"/>
              </w:rPr>
              <w:t>月</w:t>
            </w:r>
            <w:r>
              <w:rPr>
                <w:rFonts w:hint="eastAsia" w:cs="宋体"/>
                <w:color w:val="auto"/>
                <w:kern w:val="0"/>
                <w:sz w:val="21"/>
                <w:szCs w:val="21"/>
                <w:highlight w:val="none"/>
                <w:lang w:val="en-US" w:eastAsia="zh-CN"/>
              </w:rPr>
              <w:t>28</w:t>
            </w:r>
            <w:r>
              <w:rPr>
                <w:rFonts w:hint="eastAsia" w:ascii="宋体" w:hAnsi="宋体" w:eastAsia="宋体" w:cs="宋体"/>
                <w:color w:val="auto"/>
                <w:kern w:val="0"/>
                <w:sz w:val="21"/>
                <w:szCs w:val="21"/>
                <w:highlight w:val="none"/>
              </w:rPr>
              <w:t>日</w:t>
            </w:r>
            <w:r>
              <w:rPr>
                <w:rFonts w:hint="eastAsia" w:ascii="宋体" w:hAnsi="宋体" w:eastAsia="宋体" w:cs="宋体"/>
                <w:color w:val="auto"/>
                <w:kern w:val="0"/>
                <w:sz w:val="21"/>
                <w:szCs w:val="21"/>
                <w:highlight w:val="none"/>
                <w:lang w:val="en-US" w:eastAsia="zh-CN"/>
              </w:rPr>
              <w:t>09</w:t>
            </w:r>
            <w:r>
              <w:rPr>
                <w:rFonts w:hint="eastAsia" w:ascii="宋体" w:hAnsi="宋体" w:eastAsia="宋体" w:cs="宋体"/>
                <w:color w:val="auto"/>
                <w:kern w:val="0"/>
                <w:sz w:val="21"/>
                <w:szCs w:val="21"/>
                <w:highlight w:val="none"/>
              </w:rPr>
              <w:t>时</w:t>
            </w:r>
            <w:r>
              <w:rPr>
                <w:rFonts w:hint="eastAsia" w:ascii="宋体" w:hAnsi="宋体" w:eastAsia="宋体" w:cs="宋体"/>
                <w:color w:val="auto"/>
                <w:kern w:val="0"/>
                <w:sz w:val="21"/>
                <w:szCs w:val="21"/>
                <w:highlight w:val="none"/>
                <w:lang w:val="en-US" w:eastAsia="zh-CN"/>
              </w:rPr>
              <w:t>00</w:t>
            </w:r>
            <w:r>
              <w:rPr>
                <w:rFonts w:hint="eastAsia" w:ascii="宋体" w:hAnsi="宋体" w:eastAsia="宋体" w:cs="宋体"/>
                <w:color w:val="auto"/>
                <w:kern w:val="0"/>
                <w:sz w:val="21"/>
                <w:szCs w:val="21"/>
                <w:highlight w:val="none"/>
              </w:rPr>
              <w:t>分</w:t>
            </w:r>
            <w:r>
              <w:rPr>
                <w:rFonts w:hint="eastAsia" w:ascii="宋体" w:hAnsi="宋体" w:eastAsia="宋体" w:cs="宋体"/>
                <w:color w:val="auto"/>
                <w:sz w:val="21"/>
                <w:szCs w:val="21"/>
                <w:highlight w:val="none"/>
                <w:shd w:val="clear" w:color="auto" w:fill="FFFFFF"/>
              </w:rPr>
              <w:t>（北京时间）</w:t>
            </w:r>
          </w:p>
        </w:tc>
      </w:tr>
      <w:tr w14:paraId="6281F4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9" w:type="dxa"/>
            <w:noWrap w:val="0"/>
            <w:vAlign w:val="center"/>
          </w:tcPr>
          <w:p w14:paraId="6D9BF037">
            <w:pPr>
              <w:keepNext w:val="0"/>
              <w:keepLines w:val="0"/>
              <w:pageBreakBefore w:val="0"/>
              <w:widowControl w:val="0"/>
              <w:kinsoku/>
              <w:wordWrap/>
              <w:overflowPunct/>
              <w:topLinePunct w:val="0"/>
              <w:autoSpaceDE/>
              <w:autoSpaceDN/>
              <w:bidi w:val="0"/>
              <w:adjustRightInd/>
              <w:snapToGrid/>
              <w:spacing w:line="360" w:lineRule="auto"/>
              <w:ind w:left="38" w:leftChars="18"/>
              <w:jc w:val="center"/>
              <w:textAlignment w:val="auto"/>
              <w:outlineLvl w:val="9"/>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4.2.2</w:t>
            </w:r>
          </w:p>
        </w:tc>
        <w:tc>
          <w:tcPr>
            <w:tcW w:w="1634" w:type="dxa"/>
            <w:noWrap w:val="0"/>
            <w:vAlign w:val="center"/>
          </w:tcPr>
          <w:p w14:paraId="3E01F068">
            <w:pPr>
              <w:keepNext w:val="0"/>
              <w:keepLines w:val="0"/>
              <w:pageBreakBefore w:val="0"/>
              <w:widowControl w:val="0"/>
              <w:numPr>
                <w:ilvl w:val="0"/>
                <w:numId w:val="0"/>
              </w:numPr>
              <w:tabs>
                <w:tab w:val="left" w:pos="720"/>
              </w:tabs>
              <w:kinsoku/>
              <w:wordWrap/>
              <w:overflowPunct/>
              <w:topLinePunct w:val="0"/>
              <w:autoSpaceDE/>
              <w:autoSpaceDN/>
              <w:bidi w:val="0"/>
              <w:adjustRightInd/>
              <w:snapToGrid/>
              <w:spacing w:line="360" w:lineRule="auto"/>
              <w:ind w:left="0" w:leftChars="0" w:firstLine="0" w:firstLineChars="0"/>
              <w:jc w:val="center"/>
              <w:textAlignment w:val="auto"/>
              <w:outlineLvl w:val="9"/>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eastAsia="zh-CN"/>
              </w:rPr>
              <w:t>递交投标文件地点及方式</w:t>
            </w:r>
          </w:p>
        </w:tc>
        <w:tc>
          <w:tcPr>
            <w:tcW w:w="6655" w:type="dxa"/>
            <w:noWrap w:val="0"/>
            <w:vAlign w:val="center"/>
          </w:tcPr>
          <w:p w14:paraId="062C5B5E">
            <w:pPr>
              <w:pStyle w:val="11"/>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auto"/>
                <w:sz w:val="21"/>
                <w:szCs w:val="21"/>
                <w:highlight w:val="none"/>
                <w:shd w:val="clear" w:color="auto" w:fill="auto"/>
                <w:lang w:val="en-US" w:eastAsia="zh-CN"/>
              </w:rPr>
              <w:t>地点：电子投标文件应于投标文件提交截止时间前在河南省公共资源交易中心交易系统中加密上传成功。</w:t>
            </w:r>
          </w:p>
          <w:p w14:paraId="23835C25">
            <w:pPr>
              <w:pStyle w:val="11"/>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auto"/>
                <w:sz w:val="21"/>
                <w:szCs w:val="21"/>
                <w:highlight w:val="none"/>
                <w:shd w:val="clear" w:color="auto" w:fill="auto"/>
                <w:lang w:val="en-US" w:eastAsia="zh-CN"/>
              </w:rPr>
              <w:t>方式：（1）各投标人应在投标截止时间前上传加密的电子投标文件（*.hntf）到会员系统的指定位置。上传时必须得到电脑“上传成功”的确认回复。请投标人在上传时认真检查上传投标文件是否完整、正确。</w:t>
            </w:r>
          </w:p>
          <w:p w14:paraId="66E4E4E0">
            <w:pPr>
              <w:pStyle w:val="11"/>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auto"/>
                <w:sz w:val="21"/>
                <w:szCs w:val="21"/>
                <w:highlight w:val="none"/>
                <w:shd w:val="clear" w:color="auto" w:fill="auto"/>
                <w:lang w:val="en-US" w:eastAsia="zh-CN"/>
              </w:rPr>
              <w:t>（2）投标人因交易中心投标系统问题无法上传电子投标文件时，请在工作时间与河南省公共资源交易中心联系，联系电话：0371-86095925。</w:t>
            </w:r>
          </w:p>
        </w:tc>
      </w:tr>
      <w:tr w14:paraId="543A4D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9" w:type="dxa"/>
            <w:noWrap w:val="0"/>
            <w:vAlign w:val="center"/>
          </w:tcPr>
          <w:p w14:paraId="56BB3D79">
            <w:pPr>
              <w:keepNext w:val="0"/>
              <w:keepLines w:val="0"/>
              <w:pageBreakBefore w:val="0"/>
              <w:widowControl w:val="0"/>
              <w:kinsoku/>
              <w:wordWrap/>
              <w:overflowPunct/>
              <w:topLinePunct w:val="0"/>
              <w:autoSpaceDE/>
              <w:autoSpaceDN/>
              <w:bidi w:val="0"/>
              <w:adjustRightInd/>
              <w:snapToGrid/>
              <w:spacing w:line="360" w:lineRule="auto"/>
              <w:ind w:left="38" w:leftChars="18"/>
              <w:jc w:val="center"/>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5.1.1</w:t>
            </w:r>
          </w:p>
        </w:tc>
        <w:tc>
          <w:tcPr>
            <w:tcW w:w="1634" w:type="dxa"/>
            <w:noWrap w:val="0"/>
            <w:vAlign w:val="center"/>
          </w:tcPr>
          <w:p w14:paraId="0429E23C">
            <w:pPr>
              <w:keepNext w:val="0"/>
              <w:keepLines w:val="0"/>
              <w:pageBreakBefore w:val="0"/>
              <w:widowControl w:val="0"/>
              <w:kinsoku/>
              <w:wordWrap/>
              <w:overflowPunct/>
              <w:topLinePunct w:val="0"/>
              <w:autoSpaceDE/>
              <w:autoSpaceDN/>
              <w:bidi w:val="0"/>
              <w:adjustRightInd/>
              <w:snapToGrid/>
              <w:spacing w:line="360" w:lineRule="auto"/>
              <w:ind w:left="38" w:leftChars="18"/>
              <w:jc w:val="center"/>
              <w:textAlignment w:val="auto"/>
              <w:outlineLvl w:val="9"/>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开标时间和开标地点</w:t>
            </w:r>
          </w:p>
        </w:tc>
        <w:tc>
          <w:tcPr>
            <w:tcW w:w="6655" w:type="dxa"/>
            <w:noWrap w:val="0"/>
            <w:vAlign w:val="center"/>
          </w:tcPr>
          <w:p w14:paraId="77DA318F">
            <w:pPr>
              <w:keepNext w:val="0"/>
              <w:keepLines w:val="0"/>
              <w:pageBreakBefore w:val="0"/>
              <w:widowControl w:val="0"/>
              <w:kinsoku/>
              <w:wordWrap/>
              <w:overflowPunct/>
              <w:topLinePunct w:val="0"/>
              <w:autoSpaceDE/>
              <w:autoSpaceDN/>
              <w:bidi w:val="0"/>
              <w:adjustRightInd/>
              <w:snapToGrid/>
              <w:spacing w:line="360" w:lineRule="auto"/>
              <w:jc w:val="both"/>
              <w:textAlignment w:val="auto"/>
              <w:outlineLvl w:val="9"/>
              <w:rPr>
                <w:rFonts w:hint="eastAsia" w:ascii="宋体" w:hAnsi="宋体" w:eastAsia="宋体" w:cs="宋体"/>
                <w:color w:val="auto"/>
                <w:sz w:val="21"/>
                <w:szCs w:val="21"/>
                <w:highlight w:val="none"/>
                <w:shd w:val="clear" w:color="auto" w:fill="auto"/>
                <w:lang w:eastAsia="zh-CN"/>
              </w:rPr>
            </w:pPr>
            <w:r>
              <w:rPr>
                <w:rFonts w:hint="eastAsia" w:ascii="宋体" w:hAnsi="宋体" w:eastAsia="宋体" w:cs="宋体"/>
                <w:color w:val="auto"/>
                <w:sz w:val="21"/>
                <w:szCs w:val="21"/>
                <w:highlight w:val="none"/>
                <w:shd w:val="clear" w:color="auto" w:fill="auto"/>
              </w:rPr>
              <w:t>开标时间：</w:t>
            </w:r>
            <w:r>
              <w:rPr>
                <w:rFonts w:hint="eastAsia" w:ascii="宋体" w:hAnsi="宋体" w:eastAsia="宋体" w:cs="宋体"/>
                <w:color w:val="auto"/>
                <w:sz w:val="21"/>
                <w:szCs w:val="21"/>
                <w:highlight w:val="none"/>
                <w:shd w:val="clear" w:color="auto" w:fill="auto"/>
                <w:lang w:eastAsia="zh-CN"/>
              </w:rPr>
              <w:t>同投标截止时间</w:t>
            </w:r>
          </w:p>
          <w:p w14:paraId="6A33624E">
            <w:pPr>
              <w:keepNext w:val="0"/>
              <w:keepLines w:val="0"/>
              <w:pageBreakBefore w:val="0"/>
              <w:widowControl w:val="0"/>
              <w:kinsoku/>
              <w:wordWrap/>
              <w:overflowPunct/>
              <w:topLinePunct w:val="0"/>
              <w:autoSpaceDE/>
              <w:autoSpaceDN/>
              <w:bidi w:val="0"/>
              <w:adjustRightInd/>
              <w:snapToGrid/>
              <w:spacing w:line="360" w:lineRule="auto"/>
              <w:jc w:val="both"/>
              <w:textAlignment w:val="auto"/>
              <w:outlineLvl w:val="9"/>
              <w:rPr>
                <w:rFonts w:hint="eastAsia" w:ascii="宋体" w:hAnsi="宋体" w:eastAsia="宋体" w:cs="宋体"/>
                <w:color w:val="auto"/>
                <w:sz w:val="21"/>
                <w:szCs w:val="21"/>
                <w:highlight w:val="none"/>
                <w:shd w:val="clear" w:color="auto" w:fill="auto"/>
                <w:lang w:eastAsia="zh-CN"/>
              </w:rPr>
            </w:pPr>
            <w:r>
              <w:rPr>
                <w:rFonts w:hint="eastAsia" w:ascii="宋体" w:hAnsi="宋体" w:eastAsia="宋体" w:cs="宋体"/>
                <w:color w:val="auto"/>
                <w:sz w:val="21"/>
                <w:szCs w:val="21"/>
                <w:highlight w:val="none"/>
                <w:shd w:val="clear" w:color="auto" w:fill="auto"/>
              </w:rPr>
              <w:t>开标地点：河南省公共资源交易中心远程开标室(</w:t>
            </w:r>
            <w:r>
              <w:rPr>
                <w:rFonts w:hint="eastAsia" w:cs="宋体"/>
                <w:color w:val="auto"/>
                <w:sz w:val="21"/>
                <w:szCs w:val="21"/>
                <w:highlight w:val="none"/>
                <w:shd w:val="clear" w:color="auto" w:fill="auto"/>
                <w:lang w:val="en-US" w:eastAsia="zh-CN"/>
              </w:rPr>
              <w:t>二</w:t>
            </w:r>
            <w:r>
              <w:rPr>
                <w:rFonts w:hint="eastAsia" w:ascii="宋体" w:hAnsi="宋体" w:eastAsia="宋体" w:cs="宋体"/>
                <w:color w:val="auto"/>
                <w:sz w:val="21"/>
                <w:szCs w:val="21"/>
                <w:highlight w:val="none"/>
                <w:shd w:val="clear" w:color="auto" w:fill="auto"/>
              </w:rPr>
              <w:t>)-</w:t>
            </w:r>
            <w:r>
              <w:rPr>
                <w:rFonts w:hint="eastAsia" w:cs="宋体"/>
                <w:color w:val="auto"/>
                <w:sz w:val="21"/>
                <w:szCs w:val="21"/>
                <w:highlight w:val="none"/>
                <w:shd w:val="clear" w:color="auto" w:fill="auto"/>
                <w:lang w:val="en-US" w:eastAsia="zh-CN"/>
              </w:rPr>
              <w:t>2</w:t>
            </w:r>
            <w:r>
              <w:rPr>
                <w:rFonts w:hint="eastAsia" w:ascii="宋体" w:hAnsi="宋体" w:eastAsia="宋体" w:cs="宋体"/>
                <w:color w:val="auto"/>
                <w:sz w:val="21"/>
                <w:szCs w:val="21"/>
                <w:highlight w:val="none"/>
                <w:shd w:val="clear" w:color="auto" w:fill="auto"/>
              </w:rPr>
              <w:t>（郑州市经二路与纬四路交叉口向南50米路西）</w:t>
            </w:r>
          </w:p>
        </w:tc>
      </w:tr>
      <w:tr w14:paraId="0DBA1A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9" w:type="dxa"/>
            <w:noWrap w:val="0"/>
            <w:vAlign w:val="center"/>
          </w:tcPr>
          <w:p w14:paraId="2BDA0356">
            <w:pPr>
              <w:keepNext w:val="0"/>
              <w:keepLines w:val="0"/>
              <w:pageBreakBefore w:val="0"/>
              <w:widowControl w:val="0"/>
              <w:kinsoku/>
              <w:wordWrap/>
              <w:overflowPunct/>
              <w:topLinePunct w:val="0"/>
              <w:autoSpaceDE/>
              <w:autoSpaceDN/>
              <w:bidi w:val="0"/>
              <w:adjustRightInd/>
              <w:snapToGrid/>
              <w:spacing w:line="360" w:lineRule="auto"/>
              <w:ind w:left="38" w:leftChars="18"/>
              <w:jc w:val="center"/>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5.2.1</w:t>
            </w:r>
          </w:p>
        </w:tc>
        <w:tc>
          <w:tcPr>
            <w:tcW w:w="1634" w:type="dxa"/>
            <w:noWrap w:val="0"/>
            <w:vAlign w:val="center"/>
          </w:tcPr>
          <w:p w14:paraId="1BB61AAE">
            <w:pPr>
              <w:keepNext w:val="0"/>
              <w:keepLines w:val="0"/>
              <w:pageBreakBefore w:val="0"/>
              <w:widowControl w:val="0"/>
              <w:kinsoku/>
              <w:wordWrap/>
              <w:overflowPunct/>
              <w:topLinePunct w:val="0"/>
              <w:autoSpaceDE/>
              <w:autoSpaceDN/>
              <w:bidi w:val="0"/>
              <w:adjustRightInd/>
              <w:snapToGrid/>
              <w:spacing w:line="360" w:lineRule="auto"/>
              <w:ind w:left="38" w:leftChars="18"/>
              <w:jc w:val="center"/>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资格审查</w:t>
            </w:r>
          </w:p>
        </w:tc>
        <w:tc>
          <w:tcPr>
            <w:tcW w:w="6655" w:type="dxa"/>
            <w:noWrap w:val="0"/>
            <w:vAlign w:val="center"/>
          </w:tcPr>
          <w:p w14:paraId="52C07523">
            <w:pPr>
              <w:keepNext w:val="0"/>
              <w:keepLines w:val="0"/>
              <w:pageBreakBefore w:val="0"/>
              <w:widowControl w:val="0"/>
              <w:kinsoku/>
              <w:wordWrap/>
              <w:overflowPunct/>
              <w:topLinePunct w:val="0"/>
              <w:autoSpaceDE/>
              <w:autoSpaceDN/>
              <w:bidi w:val="0"/>
              <w:adjustRightInd/>
              <w:snapToGrid/>
              <w:spacing w:line="360" w:lineRule="auto"/>
              <w:ind w:left="38" w:leftChars="18"/>
              <w:jc w:val="left"/>
              <w:textAlignment w:val="auto"/>
              <w:outlineLvl w:val="9"/>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lang w:eastAsia="zh-CN"/>
              </w:rPr>
              <w:t>由采购人或采购代理机构对投标人的资格进行审查，资格审查人员由采购人或采购代理机构人员共</w:t>
            </w:r>
            <w:r>
              <w:rPr>
                <w:rFonts w:hint="eastAsia" w:ascii="宋体" w:hAnsi="宋体" w:eastAsia="宋体" w:cs="宋体"/>
                <w:color w:val="auto"/>
                <w:sz w:val="21"/>
                <w:szCs w:val="21"/>
                <w:highlight w:val="none"/>
                <w:u w:val="single"/>
                <w:lang w:val="en-US" w:eastAsia="zh-CN"/>
              </w:rPr>
              <w:t xml:space="preserve"> 1 </w:t>
            </w:r>
            <w:r>
              <w:rPr>
                <w:rFonts w:hint="eastAsia" w:ascii="宋体" w:hAnsi="宋体" w:eastAsia="宋体" w:cs="宋体"/>
                <w:color w:val="auto"/>
                <w:sz w:val="21"/>
                <w:szCs w:val="21"/>
                <w:highlight w:val="none"/>
                <w:lang w:eastAsia="zh-CN"/>
              </w:rPr>
              <w:t>人组成。</w:t>
            </w:r>
          </w:p>
        </w:tc>
      </w:tr>
      <w:tr w14:paraId="3594A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9" w:type="dxa"/>
            <w:noWrap w:val="0"/>
            <w:vAlign w:val="center"/>
          </w:tcPr>
          <w:p w14:paraId="2A6EE90B">
            <w:pPr>
              <w:keepNext w:val="0"/>
              <w:keepLines w:val="0"/>
              <w:pageBreakBefore w:val="0"/>
              <w:widowControl w:val="0"/>
              <w:kinsoku/>
              <w:wordWrap/>
              <w:overflowPunct/>
              <w:topLinePunct w:val="0"/>
              <w:autoSpaceDE/>
              <w:autoSpaceDN/>
              <w:bidi w:val="0"/>
              <w:adjustRightInd/>
              <w:snapToGrid/>
              <w:spacing w:line="360" w:lineRule="auto"/>
              <w:ind w:left="38" w:leftChars="18"/>
              <w:jc w:val="center"/>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5.3.1</w:t>
            </w:r>
          </w:p>
        </w:tc>
        <w:tc>
          <w:tcPr>
            <w:tcW w:w="1634" w:type="dxa"/>
            <w:noWrap w:val="0"/>
            <w:vAlign w:val="center"/>
          </w:tcPr>
          <w:p w14:paraId="1120EB5A">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评标委员会组成</w:t>
            </w:r>
          </w:p>
        </w:tc>
        <w:tc>
          <w:tcPr>
            <w:tcW w:w="6655" w:type="dxa"/>
            <w:noWrap w:val="0"/>
            <w:vAlign w:val="center"/>
          </w:tcPr>
          <w:p w14:paraId="579541CA">
            <w:pPr>
              <w:keepNext w:val="0"/>
              <w:keepLines w:val="0"/>
              <w:pageBreakBefore w:val="0"/>
              <w:widowControl w:val="0"/>
              <w:kinsoku/>
              <w:wordWrap/>
              <w:overflowPunct/>
              <w:topLinePunct w:val="0"/>
              <w:autoSpaceDE/>
              <w:autoSpaceDN/>
              <w:bidi w:val="0"/>
              <w:adjustRightInd/>
              <w:snapToGrid/>
              <w:spacing w:line="360" w:lineRule="auto"/>
              <w:jc w:val="both"/>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评标委员会由采购人代表和评审专家组成，成员人数为 5人，其中评审专家不得少于成员总数的三分之二，从省级以上财政部门设立的政府采购评审专家库中，通过随机方式抽取。</w:t>
            </w:r>
          </w:p>
        </w:tc>
      </w:tr>
      <w:tr w14:paraId="1A01AD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9" w:type="dxa"/>
            <w:noWrap w:val="0"/>
            <w:vAlign w:val="center"/>
          </w:tcPr>
          <w:p w14:paraId="35DE6C8B">
            <w:pPr>
              <w:keepNext w:val="0"/>
              <w:keepLines w:val="0"/>
              <w:pageBreakBefore w:val="0"/>
              <w:widowControl w:val="0"/>
              <w:kinsoku/>
              <w:wordWrap/>
              <w:overflowPunct/>
              <w:topLinePunct w:val="0"/>
              <w:autoSpaceDE/>
              <w:autoSpaceDN/>
              <w:bidi w:val="0"/>
              <w:adjustRightInd/>
              <w:snapToGrid/>
              <w:spacing w:line="360" w:lineRule="auto"/>
              <w:ind w:left="38" w:leftChars="18"/>
              <w:jc w:val="center"/>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5.3.4</w:t>
            </w:r>
          </w:p>
        </w:tc>
        <w:tc>
          <w:tcPr>
            <w:tcW w:w="1634" w:type="dxa"/>
            <w:noWrap w:val="0"/>
            <w:vAlign w:val="center"/>
          </w:tcPr>
          <w:p w14:paraId="4570B1EF">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评标委员会推荐中标候选人的人数</w:t>
            </w:r>
          </w:p>
        </w:tc>
        <w:tc>
          <w:tcPr>
            <w:tcW w:w="6655" w:type="dxa"/>
            <w:noWrap w:val="0"/>
            <w:vAlign w:val="center"/>
          </w:tcPr>
          <w:p w14:paraId="159A4D83">
            <w:pPr>
              <w:keepNext w:val="0"/>
              <w:keepLines w:val="0"/>
              <w:pageBreakBefore w:val="0"/>
              <w:widowControl w:val="0"/>
              <w:kinsoku/>
              <w:wordWrap/>
              <w:overflowPunct/>
              <w:topLinePunct w:val="0"/>
              <w:autoSpaceDE/>
              <w:autoSpaceDN/>
              <w:bidi w:val="0"/>
              <w:adjustRightInd/>
              <w:snapToGrid/>
              <w:spacing w:line="360" w:lineRule="auto"/>
              <w:jc w:val="both"/>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评标委员会推荐中标候选人的人数：按综合评分由高到低的顺序推荐3名</w:t>
            </w:r>
          </w:p>
        </w:tc>
      </w:tr>
      <w:tr w14:paraId="5E49D0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99" w:type="dxa"/>
            <w:noWrap w:val="0"/>
            <w:vAlign w:val="center"/>
          </w:tcPr>
          <w:p w14:paraId="08639979">
            <w:pPr>
              <w:keepNext w:val="0"/>
              <w:keepLines w:val="0"/>
              <w:pageBreakBefore w:val="0"/>
              <w:widowControl w:val="0"/>
              <w:kinsoku/>
              <w:wordWrap/>
              <w:overflowPunct/>
              <w:topLinePunct w:val="0"/>
              <w:autoSpaceDE/>
              <w:autoSpaceDN/>
              <w:bidi w:val="0"/>
              <w:adjustRightInd/>
              <w:snapToGrid/>
              <w:spacing w:line="360" w:lineRule="auto"/>
              <w:ind w:left="38" w:leftChars="18"/>
              <w:jc w:val="center"/>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6.4.1</w:t>
            </w:r>
          </w:p>
        </w:tc>
        <w:tc>
          <w:tcPr>
            <w:tcW w:w="1634" w:type="dxa"/>
            <w:noWrap w:val="0"/>
            <w:vAlign w:val="center"/>
          </w:tcPr>
          <w:p w14:paraId="0AF16F83">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履约保证金</w:t>
            </w:r>
          </w:p>
        </w:tc>
        <w:tc>
          <w:tcPr>
            <w:tcW w:w="6655" w:type="dxa"/>
            <w:noWrap w:val="0"/>
            <w:vAlign w:val="center"/>
          </w:tcPr>
          <w:p w14:paraId="57CA2262">
            <w:pPr>
              <w:keepNext w:val="0"/>
              <w:keepLines w:val="0"/>
              <w:pageBreakBefore w:val="0"/>
              <w:widowControl w:val="0"/>
              <w:kinsoku/>
              <w:wordWrap/>
              <w:overflowPunct/>
              <w:topLinePunct w:val="0"/>
              <w:autoSpaceDE/>
              <w:autoSpaceDN/>
              <w:bidi w:val="0"/>
              <w:adjustRightInd/>
              <w:snapToGrid/>
              <w:spacing w:line="360" w:lineRule="auto"/>
              <w:jc w:val="left"/>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shd w:val="clear" w:color="auto" w:fill="auto"/>
                <w:lang w:val="en-US" w:eastAsia="zh-CN"/>
              </w:rPr>
              <w:t>不</w:t>
            </w:r>
            <w:r>
              <w:rPr>
                <w:rFonts w:hint="eastAsia" w:ascii="宋体" w:hAnsi="宋体" w:eastAsia="宋体" w:cs="宋体"/>
                <w:color w:val="auto"/>
                <w:sz w:val="21"/>
                <w:szCs w:val="21"/>
                <w:highlight w:val="none"/>
                <w:shd w:val="clear" w:color="auto" w:fill="auto"/>
                <w:lang w:eastAsia="zh-CN"/>
              </w:rPr>
              <w:t>要求</w:t>
            </w:r>
          </w:p>
        </w:tc>
      </w:tr>
      <w:tr w14:paraId="6259DC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99" w:type="dxa"/>
            <w:noWrap w:val="0"/>
            <w:vAlign w:val="center"/>
          </w:tcPr>
          <w:p w14:paraId="0BD55232">
            <w:pPr>
              <w:keepNext w:val="0"/>
              <w:keepLines w:val="0"/>
              <w:pageBreakBefore w:val="0"/>
              <w:widowControl w:val="0"/>
              <w:kinsoku/>
              <w:wordWrap/>
              <w:overflowPunct/>
              <w:topLinePunct w:val="0"/>
              <w:autoSpaceDE/>
              <w:autoSpaceDN/>
              <w:bidi w:val="0"/>
              <w:adjustRightInd/>
              <w:snapToGrid/>
              <w:spacing w:line="360" w:lineRule="auto"/>
              <w:ind w:left="38" w:leftChars="18"/>
              <w:jc w:val="center"/>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7.2</w:t>
            </w:r>
          </w:p>
        </w:tc>
        <w:tc>
          <w:tcPr>
            <w:tcW w:w="1634" w:type="dxa"/>
            <w:noWrap w:val="0"/>
            <w:vAlign w:val="center"/>
          </w:tcPr>
          <w:p w14:paraId="2AD809CC">
            <w:pPr>
              <w:wordWrap/>
              <w:topLinePunct w:val="0"/>
              <w:spacing w:line="400" w:lineRule="exact"/>
              <w:ind w:left="38" w:leftChars="18"/>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highlight w:val="none"/>
              </w:rPr>
              <w:t>是否涉及政府强制采购节能产品</w:t>
            </w:r>
          </w:p>
        </w:tc>
        <w:tc>
          <w:tcPr>
            <w:tcW w:w="6655" w:type="dxa"/>
            <w:noWrap w:val="0"/>
            <w:vAlign w:val="center"/>
          </w:tcPr>
          <w:p w14:paraId="1AA0A936">
            <w:pPr>
              <w:spacing w:line="400" w:lineRule="exact"/>
              <w:ind w:left="38" w:leftChars="18"/>
              <w:rPr>
                <w:rFonts w:hint="eastAsia"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auto"/>
                <w:highlight w:val="none"/>
                <w:lang w:val="en-US" w:eastAsia="zh-CN"/>
              </w:rPr>
              <w:t>无</w:t>
            </w:r>
          </w:p>
        </w:tc>
      </w:tr>
      <w:tr w14:paraId="3E8794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99" w:type="dxa"/>
            <w:noWrap w:val="0"/>
            <w:vAlign w:val="center"/>
          </w:tcPr>
          <w:p w14:paraId="2ED7B1F2">
            <w:pPr>
              <w:keepNext w:val="0"/>
              <w:keepLines w:val="0"/>
              <w:pageBreakBefore w:val="0"/>
              <w:widowControl w:val="0"/>
              <w:kinsoku/>
              <w:wordWrap/>
              <w:overflowPunct/>
              <w:topLinePunct w:val="0"/>
              <w:autoSpaceDE/>
              <w:autoSpaceDN/>
              <w:bidi w:val="0"/>
              <w:adjustRightInd/>
              <w:snapToGrid/>
              <w:spacing w:line="360" w:lineRule="auto"/>
              <w:ind w:left="38" w:leftChars="18"/>
              <w:jc w:val="center"/>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7.4</w:t>
            </w:r>
          </w:p>
        </w:tc>
        <w:tc>
          <w:tcPr>
            <w:tcW w:w="1634" w:type="dxa"/>
            <w:noWrap w:val="0"/>
            <w:vAlign w:val="center"/>
          </w:tcPr>
          <w:p w14:paraId="17A579C7">
            <w:pPr>
              <w:wordWrap/>
              <w:topLinePunct w:val="0"/>
              <w:spacing w:line="400" w:lineRule="exact"/>
              <w:ind w:left="38" w:leftChars="18"/>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kern w:val="0"/>
                <w:highlight w:val="none"/>
                <w:lang w:bidi="ar"/>
              </w:rPr>
              <w:t>是否属于中国强制性认证（CCC）产品</w:t>
            </w:r>
          </w:p>
        </w:tc>
        <w:tc>
          <w:tcPr>
            <w:tcW w:w="6655" w:type="dxa"/>
            <w:noWrap w:val="0"/>
            <w:vAlign w:val="center"/>
          </w:tcPr>
          <w:p w14:paraId="3F5A3ADE">
            <w:pPr>
              <w:spacing w:line="400" w:lineRule="exact"/>
              <w:ind w:left="38" w:leftChars="18"/>
              <w:rPr>
                <w:rFonts w:hint="eastAsia" w:ascii="宋体" w:hAnsi="宋体" w:eastAsia="宋体" w:cs="宋体"/>
                <w:color w:val="auto"/>
                <w:sz w:val="21"/>
                <w:szCs w:val="21"/>
                <w:highlight w:val="none"/>
                <w:lang w:eastAsia="zh-CN"/>
              </w:rPr>
            </w:pPr>
            <w:r>
              <w:rPr>
                <w:rFonts w:hint="eastAsia" w:ascii="宋体" w:hAnsi="宋体" w:eastAsia="宋体" w:cs="宋体"/>
                <w:color w:val="auto"/>
                <w:highlight w:val="none"/>
                <w:lang w:val="en-US" w:eastAsia="zh-CN"/>
              </w:rPr>
              <w:t>无</w:t>
            </w:r>
          </w:p>
        </w:tc>
      </w:tr>
      <w:tr w14:paraId="6EB3E7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99" w:type="dxa"/>
            <w:noWrap w:val="0"/>
            <w:vAlign w:val="center"/>
          </w:tcPr>
          <w:p w14:paraId="4C748320">
            <w:pPr>
              <w:keepNext w:val="0"/>
              <w:keepLines w:val="0"/>
              <w:pageBreakBefore w:val="0"/>
              <w:widowControl w:val="0"/>
              <w:kinsoku/>
              <w:wordWrap/>
              <w:overflowPunct/>
              <w:topLinePunct w:val="0"/>
              <w:autoSpaceDE/>
              <w:autoSpaceDN/>
              <w:bidi w:val="0"/>
              <w:adjustRightInd/>
              <w:snapToGrid/>
              <w:spacing w:line="360" w:lineRule="auto"/>
              <w:ind w:left="38" w:leftChars="18"/>
              <w:jc w:val="center"/>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7.6</w:t>
            </w:r>
          </w:p>
        </w:tc>
        <w:tc>
          <w:tcPr>
            <w:tcW w:w="1634" w:type="dxa"/>
            <w:noWrap w:val="0"/>
            <w:vAlign w:val="center"/>
          </w:tcPr>
          <w:p w14:paraId="217C1077">
            <w:pPr>
              <w:wordWrap/>
              <w:topLinePunct w:val="0"/>
              <w:spacing w:line="400" w:lineRule="exact"/>
              <w:ind w:left="38" w:leftChars="18"/>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kern w:val="0"/>
                <w:highlight w:val="none"/>
                <w:lang w:bidi="ar"/>
              </w:rPr>
              <w:t>是否涉及信息安全产品</w:t>
            </w:r>
          </w:p>
        </w:tc>
        <w:tc>
          <w:tcPr>
            <w:tcW w:w="6655" w:type="dxa"/>
            <w:noWrap w:val="0"/>
            <w:vAlign w:val="center"/>
          </w:tcPr>
          <w:p w14:paraId="3EEC0A45">
            <w:pPr>
              <w:spacing w:line="400" w:lineRule="exact"/>
              <w:ind w:left="38" w:leftChars="18"/>
              <w:rPr>
                <w:rFonts w:hint="eastAsia" w:ascii="宋体" w:hAnsi="宋体" w:eastAsia="宋体" w:cs="宋体"/>
                <w:color w:val="auto"/>
                <w:sz w:val="21"/>
                <w:szCs w:val="21"/>
                <w:highlight w:val="none"/>
                <w:shd w:val="clear" w:color="auto" w:fill="auto"/>
                <w:lang w:eastAsia="zh-CN"/>
              </w:rPr>
            </w:pPr>
            <w:r>
              <w:rPr>
                <w:rFonts w:hint="eastAsia" w:ascii="宋体" w:hAnsi="宋体" w:eastAsia="宋体" w:cs="宋体"/>
                <w:color w:val="auto"/>
                <w:highlight w:val="none"/>
              </w:rPr>
              <w:t>根据《财政部、工业和信息化部、质检总局、认监委关于信息安全产品实施政府采购的通知》（财库[2010]48号）文件要求，各潜在</w:t>
            </w:r>
            <w:r>
              <w:rPr>
                <w:rFonts w:hint="eastAsia" w:ascii="宋体" w:hAnsi="宋体" w:eastAsia="宋体" w:cs="宋体"/>
                <w:color w:val="auto"/>
                <w:highlight w:val="none"/>
                <w:lang w:val="en-US" w:eastAsia="zh-CN"/>
              </w:rPr>
              <w:t>投标人</w:t>
            </w:r>
            <w:r>
              <w:rPr>
                <w:rFonts w:hint="eastAsia" w:ascii="宋体" w:hAnsi="宋体" w:eastAsia="宋体" w:cs="宋体"/>
                <w:color w:val="auto"/>
                <w:highlight w:val="none"/>
              </w:rPr>
              <w:t>在本次</w:t>
            </w:r>
            <w:r>
              <w:rPr>
                <w:rFonts w:hint="eastAsia" w:ascii="宋体" w:hAnsi="宋体" w:eastAsia="宋体" w:cs="宋体"/>
                <w:color w:val="auto"/>
                <w:highlight w:val="none"/>
                <w:lang w:val="en-US" w:eastAsia="zh-CN"/>
              </w:rPr>
              <w:t>投标</w:t>
            </w:r>
            <w:r>
              <w:rPr>
                <w:rFonts w:hint="eastAsia" w:ascii="宋体" w:hAnsi="宋体" w:eastAsia="宋体" w:cs="宋体"/>
                <w:color w:val="auto"/>
                <w:highlight w:val="none"/>
              </w:rPr>
              <w:t>活动中投标货物中，如有涉信息安全产品</w:t>
            </w:r>
            <w:r>
              <w:rPr>
                <w:rFonts w:hint="eastAsia" w:ascii="宋体" w:hAnsi="宋体" w:eastAsia="宋体" w:cs="宋体"/>
                <w:color w:val="auto"/>
                <w:highlight w:val="none"/>
                <w:lang w:eastAsia="zh-CN"/>
              </w:rPr>
              <w:t>，应当符合《信息安全技术网络安全专用产品安全技术要求》等相关国家标准的强制性要求，由具备资格的机构安全认证合格或者安全检测符合要求，否则认定其</w:t>
            </w:r>
            <w:r>
              <w:rPr>
                <w:rFonts w:hint="eastAsia" w:ascii="宋体" w:hAnsi="宋体" w:eastAsia="宋体" w:cs="宋体"/>
                <w:color w:val="auto"/>
                <w:highlight w:val="none"/>
                <w:lang w:val="en-US" w:eastAsia="zh-CN"/>
              </w:rPr>
              <w:t>投标</w:t>
            </w:r>
            <w:r>
              <w:rPr>
                <w:rFonts w:hint="eastAsia" w:ascii="宋体" w:hAnsi="宋体" w:eastAsia="宋体" w:cs="宋体"/>
                <w:color w:val="auto"/>
                <w:highlight w:val="none"/>
                <w:lang w:eastAsia="zh-CN"/>
              </w:rPr>
              <w:t>文件无效。</w:t>
            </w:r>
          </w:p>
        </w:tc>
      </w:tr>
      <w:tr w14:paraId="2AB6CF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65" w:hRule="atLeast"/>
          <w:jc w:val="center"/>
        </w:trPr>
        <w:tc>
          <w:tcPr>
            <w:tcW w:w="999" w:type="dxa"/>
            <w:noWrap w:val="0"/>
            <w:vAlign w:val="center"/>
          </w:tcPr>
          <w:p w14:paraId="39076FB7">
            <w:pPr>
              <w:keepNext w:val="0"/>
              <w:keepLines w:val="0"/>
              <w:pageBreakBefore w:val="0"/>
              <w:widowControl w:val="0"/>
              <w:kinsoku/>
              <w:wordWrap/>
              <w:overflowPunct/>
              <w:topLinePunct w:val="0"/>
              <w:autoSpaceDE/>
              <w:autoSpaceDN/>
              <w:bidi w:val="0"/>
              <w:adjustRightInd/>
              <w:snapToGrid/>
              <w:spacing w:line="360" w:lineRule="auto"/>
              <w:ind w:left="38" w:leftChars="18"/>
              <w:jc w:val="center"/>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7.7</w:t>
            </w:r>
          </w:p>
        </w:tc>
        <w:tc>
          <w:tcPr>
            <w:tcW w:w="1634" w:type="dxa"/>
            <w:noWrap w:val="0"/>
            <w:vAlign w:val="center"/>
          </w:tcPr>
          <w:p w14:paraId="464AD845">
            <w:pPr>
              <w:wordWrap/>
              <w:topLinePunct w:val="0"/>
              <w:spacing w:line="400" w:lineRule="exact"/>
              <w:ind w:left="38" w:leftChars="18"/>
              <w:jc w:val="center"/>
              <w:rPr>
                <w:rFonts w:hint="eastAsia" w:ascii="宋体" w:hAnsi="宋体" w:eastAsia="宋体" w:cs="宋体"/>
                <w:color w:val="auto"/>
                <w:kern w:val="0"/>
                <w:highlight w:val="none"/>
                <w:lang w:val="en-US" w:eastAsia="zh-CN" w:bidi="ar"/>
              </w:rPr>
            </w:pPr>
            <w:r>
              <w:rPr>
                <w:rFonts w:hint="eastAsia" w:ascii="宋体" w:hAnsi="宋体" w:eastAsia="宋体" w:cs="宋体"/>
                <w:color w:val="auto"/>
                <w:kern w:val="0"/>
                <w:highlight w:val="none"/>
                <w:lang w:val="en-US" w:eastAsia="zh-CN" w:bidi="ar"/>
              </w:rPr>
              <w:t>是否执行对本国产品报价扣除政策</w:t>
            </w:r>
          </w:p>
          <w:p w14:paraId="255464DB">
            <w:pPr>
              <w:wordWrap/>
              <w:topLinePunct w:val="0"/>
              <w:spacing w:line="400" w:lineRule="exact"/>
              <w:ind w:left="38" w:leftChars="18"/>
              <w:jc w:val="center"/>
              <w:rPr>
                <w:rFonts w:hint="eastAsia" w:ascii="宋体" w:hAnsi="宋体" w:eastAsia="宋体" w:cs="宋体"/>
                <w:color w:val="auto"/>
                <w:kern w:val="0"/>
                <w:highlight w:val="none"/>
                <w:lang w:bidi="ar"/>
              </w:rPr>
            </w:pPr>
          </w:p>
        </w:tc>
        <w:tc>
          <w:tcPr>
            <w:tcW w:w="6655" w:type="dxa"/>
            <w:noWrap w:val="0"/>
            <w:vAlign w:val="center"/>
          </w:tcPr>
          <w:p w14:paraId="1581BA27">
            <w:pPr>
              <w:wordWrap/>
              <w:topLinePunct w:val="0"/>
              <w:spacing w:line="400" w:lineRule="exact"/>
              <w:ind w:left="38" w:leftChars="18"/>
              <w:jc w:val="left"/>
              <w:rPr>
                <w:rFonts w:hint="eastAsia" w:ascii="宋体" w:hAnsi="宋体" w:eastAsia="宋体" w:cs="宋体"/>
                <w:color w:val="auto"/>
                <w:highlight w:val="none"/>
              </w:rPr>
            </w:pPr>
            <w:r>
              <w:rPr>
                <w:rFonts w:hint="eastAsia" w:ascii="宋体" w:hAnsi="宋体" w:eastAsia="宋体" w:cs="宋体"/>
                <w:color w:val="auto"/>
                <w:kern w:val="0"/>
                <w:highlight w:val="none"/>
                <w:lang w:val="en-US" w:eastAsia="zh-CN" w:bidi="ar"/>
              </w:rPr>
              <w:t>是，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tc>
      </w:tr>
      <w:tr w14:paraId="5D7955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9" w:type="dxa"/>
            <w:noWrap w:val="0"/>
            <w:vAlign w:val="center"/>
          </w:tcPr>
          <w:p w14:paraId="2DDC7981">
            <w:pPr>
              <w:keepNext w:val="0"/>
              <w:keepLines w:val="0"/>
              <w:pageBreakBefore w:val="0"/>
              <w:widowControl w:val="0"/>
              <w:kinsoku/>
              <w:wordWrap/>
              <w:overflowPunct/>
              <w:topLinePunct w:val="0"/>
              <w:autoSpaceDE/>
              <w:autoSpaceDN/>
              <w:bidi w:val="0"/>
              <w:adjustRightInd/>
              <w:snapToGrid/>
              <w:spacing w:line="360" w:lineRule="auto"/>
              <w:ind w:left="38" w:leftChars="18"/>
              <w:jc w:val="center"/>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9.1</w:t>
            </w:r>
          </w:p>
        </w:tc>
        <w:tc>
          <w:tcPr>
            <w:tcW w:w="1634" w:type="dxa"/>
            <w:noWrap w:val="0"/>
            <w:vAlign w:val="center"/>
          </w:tcPr>
          <w:p w14:paraId="5B923B54">
            <w:pPr>
              <w:pageBreakBefore w:val="0"/>
              <w:kinsoku/>
              <w:overflowPunct/>
              <w:bidi w:val="0"/>
              <w:spacing w:line="360" w:lineRule="auto"/>
              <w:ind w:left="38" w:leftChars="18"/>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是否采用电子招标投标</w:t>
            </w:r>
          </w:p>
        </w:tc>
        <w:tc>
          <w:tcPr>
            <w:tcW w:w="6655" w:type="dxa"/>
            <w:noWrap w:val="0"/>
            <w:vAlign w:val="center"/>
          </w:tcPr>
          <w:p w14:paraId="555A9F2C">
            <w:pPr>
              <w:pageBreakBefore w:val="0"/>
              <w:kinsoku/>
              <w:overflowPunct/>
              <w:bidi w:val="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是，具体要求：</w:t>
            </w:r>
          </w:p>
          <w:p w14:paraId="27B468D9">
            <w:pPr>
              <w:pStyle w:val="70"/>
              <w:spacing w:line="360" w:lineRule="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1.市场主体需要完成信息登记及CA数字证书办理后，登录“河南省公共资源交易中心（</w:t>
            </w:r>
            <w:r>
              <w:rPr>
                <w:rFonts w:hint="eastAsia" w:ascii="宋体" w:hAnsi="宋体" w:eastAsia="宋体" w:cs="宋体"/>
                <w:b w:val="0"/>
                <w:bCs w:val="0"/>
                <w:color w:val="auto"/>
                <w:kern w:val="0"/>
                <w:sz w:val="21"/>
                <w:szCs w:val="21"/>
                <w:highlight w:val="none"/>
                <w:u w:val="none" w:color="auto"/>
                <w:lang w:val="en-US" w:eastAsia="zh-CN"/>
              </w:rPr>
              <w:t>https://hnsggzyjy.henan.gov.cn/</w:t>
            </w:r>
            <w:r>
              <w:rPr>
                <w:rFonts w:hint="eastAsia" w:ascii="宋体" w:hAnsi="宋体" w:eastAsia="宋体" w:cs="宋体"/>
                <w:color w:val="auto"/>
                <w:sz w:val="21"/>
                <w:szCs w:val="21"/>
                <w:highlight w:val="none"/>
                <w:lang w:val="en-US" w:eastAsia="zh-CN"/>
              </w:rPr>
              <w:t>）”网，凭领取的企业身份认证锁（CA密钥）进行网上登记。</w:t>
            </w:r>
          </w:p>
          <w:p w14:paraId="221C0DAC">
            <w:pPr>
              <w:pStyle w:val="70"/>
              <w:spacing w:line="360" w:lineRule="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2.开标时，投标人必须使用企业 CA 密钥对本单位的加密电子投标文件进行解密。投标人解密的企业CA锁应与制作本项目电子投标文件时所用的CA锁为同一把锁，否则由此造成的无法解密或解密失败等问题由投标人自行承担。</w:t>
            </w:r>
          </w:p>
          <w:p w14:paraId="37E5769F">
            <w:pPr>
              <w:pStyle w:val="70"/>
              <w:spacing w:line="360" w:lineRule="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3.投标人如因未详细阅读“新点投标文件制作软件（河南版）”</w:t>
            </w:r>
          </w:p>
          <w:p w14:paraId="40157EEE">
            <w:pPr>
              <w:pStyle w:val="70"/>
              <w:spacing w:line="360" w:lineRule="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及“河南省公共资源交易中心操作手册-投标文件制作手册”等自身原因造成的废标行为，投标人自行负责。</w:t>
            </w:r>
          </w:p>
          <w:p w14:paraId="76171512">
            <w:pPr>
              <w:pStyle w:val="70"/>
              <w:spacing w:line="360" w:lineRule="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4.评标时，评标委员会成员通过电子交易系统，根据招标文件规定的评标标准和方法进行独立评审。</w:t>
            </w:r>
          </w:p>
          <w:p w14:paraId="1100EE02">
            <w:pPr>
              <w:pStyle w:val="70"/>
              <w:spacing w:line="360" w:lineRule="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5.投标人应持本单位CA锁及时更新、维护本企业的交易主体数据库信息，并确保其信息的真实性、准确性、完整性。否则，由此导致的投标失败，由企业自行承担责任。</w:t>
            </w:r>
          </w:p>
          <w:p w14:paraId="66CE69F2">
            <w:pPr>
              <w:pStyle w:val="70"/>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6.投标人在制作电子标书过程中，如遇到电子交易系统的软件操作问题时，可通过热线电话（4009980000）进行咨询。</w:t>
            </w:r>
          </w:p>
        </w:tc>
      </w:tr>
      <w:tr w14:paraId="4E77F1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9" w:type="dxa"/>
            <w:noWrap w:val="0"/>
            <w:vAlign w:val="center"/>
          </w:tcPr>
          <w:p w14:paraId="15B51B2B">
            <w:pPr>
              <w:keepNext w:val="0"/>
              <w:keepLines w:val="0"/>
              <w:pageBreakBefore w:val="0"/>
              <w:widowControl w:val="0"/>
              <w:kinsoku/>
              <w:wordWrap/>
              <w:overflowPunct/>
              <w:topLinePunct w:val="0"/>
              <w:autoSpaceDE/>
              <w:autoSpaceDN/>
              <w:bidi w:val="0"/>
              <w:adjustRightInd/>
              <w:snapToGrid/>
              <w:spacing w:line="360" w:lineRule="auto"/>
              <w:ind w:left="38" w:leftChars="18"/>
              <w:jc w:val="center"/>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9.2</w:t>
            </w:r>
          </w:p>
        </w:tc>
        <w:tc>
          <w:tcPr>
            <w:tcW w:w="1634" w:type="dxa"/>
            <w:noWrap w:val="0"/>
            <w:vAlign w:val="center"/>
          </w:tcPr>
          <w:p w14:paraId="5649422F">
            <w:pPr>
              <w:keepNext w:val="0"/>
              <w:keepLines w:val="0"/>
              <w:pageBreakBefore w:val="0"/>
              <w:widowControl w:val="0"/>
              <w:kinsoku/>
              <w:wordWrap/>
              <w:overflowPunct/>
              <w:topLinePunct w:val="0"/>
              <w:autoSpaceDE/>
              <w:autoSpaceDN/>
              <w:bidi w:val="0"/>
              <w:adjustRightInd/>
              <w:snapToGrid/>
              <w:spacing w:line="360" w:lineRule="auto"/>
              <w:ind w:left="38" w:leftChars="18"/>
              <w:jc w:val="center"/>
              <w:textAlignment w:val="auto"/>
              <w:outlineLvl w:val="9"/>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其他</w:t>
            </w:r>
          </w:p>
        </w:tc>
        <w:tc>
          <w:tcPr>
            <w:tcW w:w="6655" w:type="dxa"/>
            <w:noWrap w:val="0"/>
            <w:vAlign w:val="center"/>
          </w:tcPr>
          <w:p w14:paraId="1D951415">
            <w:pPr>
              <w:keepNext w:val="0"/>
              <w:keepLines w:val="0"/>
              <w:pageBreakBefore w:val="0"/>
              <w:widowControl w:val="0"/>
              <w:numPr>
                <w:ilvl w:val="0"/>
                <w:numId w:val="2"/>
              </w:numPr>
              <w:kinsoku/>
              <w:wordWrap/>
              <w:overflowPunct/>
              <w:topLinePunct w:val="0"/>
              <w:autoSpaceDE/>
              <w:autoSpaceDN/>
              <w:bidi w:val="0"/>
              <w:adjustRightInd/>
              <w:snapToGrid/>
              <w:spacing w:line="360" w:lineRule="auto"/>
              <w:ind w:left="38" w:leftChars="18" w:firstLine="0" w:firstLineChars="0"/>
              <w:jc w:val="both"/>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代理费用收取方式及标准：本项目以中标金额为计费基数，具体按照河南省招标投标协会关于印发《河南省招标代理服务收费指导意见》（豫招协【2023】002号）中的招标收费标准，由中标人一次性支付给采购代理机构代理服务费用。</w:t>
            </w:r>
          </w:p>
          <w:p w14:paraId="2196990B">
            <w:pPr>
              <w:keepNext w:val="0"/>
              <w:keepLines w:val="0"/>
              <w:pageBreakBefore w:val="0"/>
              <w:widowControl w:val="0"/>
              <w:numPr>
                <w:ilvl w:val="0"/>
                <w:numId w:val="2"/>
              </w:numPr>
              <w:kinsoku/>
              <w:wordWrap/>
              <w:overflowPunct/>
              <w:topLinePunct w:val="0"/>
              <w:autoSpaceDE/>
              <w:autoSpaceDN/>
              <w:bidi w:val="0"/>
              <w:adjustRightInd/>
              <w:snapToGrid/>
              <w:spacing w:line="360" w:lineRule="auto"/>
              <w:ind w:left="38" w:leftChars="18" w:firstLine="0" w:firstLineChars="0"/>
              <w:jc w:val="both"/>
              <w:textAlignment w:val="auto"/>
              <w:outlineLvl w:val="9"/>
              <w:rPr>
                <w:rFonts w:hint="eastAsia" w:ascii="宋体" w:hAnsi="宋体" w:eastAsia="宋体" w:cs="宋体"/>
                <w:i w:val="0"/>
                <w:iCs w:val="0"/>
                <w:color w:val="auto"/>
                <w:kern w:val="0"/>
                <w:sz w:val="21"/>
                <w:szCs w:val="21"/>
                <w:highlight w:val="none"/>
                <w:lang w:val="en-US" w:eastAsia="zh-CN" w:bidi="ar-SA"/>
              </w:rPr>
            </w:pPr>
            <w:r>
              <w:rPr>
                <w:rFonts w:hint="eastAsia" w:ascii="宋体" w:hAnsi="宋体" w:eastAsia="宋体" w:cs="宋体"/>
                <w:i w:val="0"/>
                <w:iCs w:val="0"/>
                <w:color w:val="auto"/>
                <w:kern w:val="0"/>
                <w:sz w:val="21"/>
                <w:szCs w:val="21"/>
                <w:highlight w:val="none"/>
                <w:lang w:val="en-US" w:eastAsia="zh-CN" w:bidi="ar-SA"/>
              </w:rPr>
              <w:t>采购资金的支付方式、时间（付款方式）：合同签订后，采购人向中标人支付合同金额的30%；全部设备到达采购人指定的交货地点且验收合格后，采购人向中标人支付合同金额的40%；全部设备安装调试完毕且验收合格后，采购人向中标人支付合同金额的30%。</w:t>
            </w:r>
          </w:p>
          <w:p w14:paraId="08DB876D">
            <w:pPr>
              <w:keepNext w:val="0"/>
              <w:keepLines w:val="0"/>
              <w:pageBreakBefore w:val="0"/>
              <w:widowControl w:val="0"/>
              <w:numPr>
                <w:ilvl w:val="0"/>
                <w:numId w:val="2"/>
              </w:numPr>
              <w:kinsoku/>
              <w:wordWrap/>
              <w:overflowPunct/>
              <w:topLinePunct w:val="0"/>
              <w:autoSpaceDE/>
              <w:autoSpaceDN/>
              <w:bidi w:val="0"/>
              <w:adjustRightInd/>
              <w:snapToGrid/>
              <w:spacing w:line="360" w:lineRule="auto"/>
              <w:ind w:left="38" w:leftChars="18" w:firstLine="0" w:firstLineChars="0"/>
              <w:jc w:val="both"/>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i w:val="0"/>
                <w:iCs w:val="0"/>
                <w:color w:val="auto"/>
                <w:kern w:val="0"/>
                <w:sz w:val="21"/>
                <w:szCs w:val="21"/>
                <w:highlight w:val="none"/>
                <w:lang w:val="en-US" w:eastAsia="zh-CN" w:bidi="ar-SA"/>
              </w:rPr>
              <w:t>履约验收要求：详见第六章“采购需求”</w:t>
            </w:r>
            <w:r>
              <w:rPr>
                <w:rFonts w:hint="eastAsia" w:ascii="宋体" w:hAnsi="宋体" w:eastAsia="宋体" w:cs="宋体"/>
                <w:color w:val="auto"/>
                <w:sz w:val="21"/>
                <w:szCs w:val="21"/>
                <w:highlight w:val="none"/>
                <w:lang w:val="en-US" w:eastAsia="zh-CN"/>
              </w:rPr>
              <w:t>。</w:t>
            </w:r>
          </w:p>
          <w:p w14:paraId="4DEFF3BA">
            <w:pPr>
              <w:keepNext w:val="0"/>
              <w:keepLines w:val="0"/>
              <w:pageBreakBefore w:val="0"/>
              <w:widowControl w:val="0"/>
              <w:numPr>
                <w:ilvl w:val="0"/>
                <w:numId w:val="2"/>
              </w:numPr>
              <w:kinsoku/>
              <w:wordWrap/>
              <w:overflowPunct/>
              <w:topLinePunct w:val="0"/>
              <w:autoSpaceDE/>
              <w:autoSpaceDN/>
              <w:bidi w:val="0"/>
              <w:adjustRightInd/>
              <w:snapToGrid/>
              <w:spacing w:line="360" w:lineRule="auto"/>
              <w:ind w:left="38" w:leftChars="18" w:firstLine="0" w:firstLineChars="0"/>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eastAsia="zh-CN"/>
              </w:rPr>
              <w:t>本项目中标公告将</w:t>
            </w:r>
            <w:r>
              <w:rPr>
                <w:rFonts w:hint="eastAsia" w:ascii="宋体" w:hAnsi="宋体" w:eastAsia="宋体" w:cs="宋体"/>
                <w:color w:val="auto"/>
                <w:sz w:val="21"/>
                <w:szCs w:val="21"/>
                <w:highlight w:val="none"/>
              </w:rPr>
              <w:t>同时在</w:t>
            </w:r>
            <w:r>
              <w:rPr>
                <w:rFonts w:hint="eastAsia" w:ascii="宋体" w:hAnsi="宋体" w:eastAsia="宋体" w:cs="宋体"/>
                <w:color w:val="auto"/>
                <w:sz w:val="21"/>
                <w:szCs w:val="21"/>
                <w:highlight w:val="none"/>
                <w:shd w:val="clear" w:color="auto" w:fill="FFFFFF"/>
                <w:lang w:val="en-US" w:eastAsia="zh-CN"/>
              </w:rPr>
              <w:t>《河南省政府采购网》、《河南省公共资源交易中心》、</w:t>
            </w:r>
            <w:r>
              <w:rPr>
                <w:rFonts w:hint="eastAsia" w:ascii="宋体" w:hAnsi="宋体" w:eastAsia="宋体" w:cs="宋体"/>
                <w:color w:val="auto"/>
                <w:sz w:val="21"/>
                <w:szCs w:val="21"/>
                <w:highlight w:val="none"/>
              </w:rPr>
              <w:t>《中国招标投标公共服务平台》上发布</w:t>
            </w:r>
            <w:r>
              <w:rPr>
                <w:rFonts w:hint="eastAsia" w:ascii="宋体" w:hAnsi="宋体" w:eastAsia="宋体" w:cs="宋体"/>
                <w:color w:val="auto"/>
                <w:sz w:val="21"/>
                <w:szCs w:val="21"/>
                <w:highlight w:val="none"/>
                <w:lang w:eastAsia="zh-CN"/>
              </w:rPr>
              <w:t>。</w:t>
            </w:r>
          </w:p>
          <w:p w14:paraId="43E040B5">
            <w:pPr>
              <w:keepNext w:val="0"/>
              <w:keepLines w:val="0"/>
              <w:pageBreakBefore w:val="0"/>
              <w:widowControl w:val="0"/>
              <w:numPr>
                <w:ilvl w:val="0"/>
                <w:numId w:val="2"/>
              </w:numPr>
              <w:kinsoku/>
              <w:wordWrap/>
              <w:overflowPunct/>
              <w:topLinePunct w:val="0"/>
              <w:autoSpaceDE/>
              <w:autoSpaceDN/>
              <w:bidi w:val="0"/>
              <w:adjustRightInd/>
              <w:snapToGrid/>
              <w:spacing w:line="360" w:lineRule="auto"/>
              <w:ind w:left="38" w:leftChars="18" w:firstLine="0" w:firstLineChars="0"/>
              <w:jc w:val="both"/>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eastAsia="zh-CN"/>
              </w:rPr>
              <w:t>采购人或采购代理机构应当自政府采购合同签订之日起2个工作日内，将政府采购合同在省级以上人民政府财政部门指定的媒体上公告，但政府采购合同中涉及国家秘密、商业秘密的内容除外。</w:t>
            </w:r>
          </w:p>
          <w:p w14:paraId="689E2B5B">
            <w:pPr>
              <w:keepNext w:val="0"/>
              <w:keepLines w:val="0"/>
              <w:pageBreakBefore w:val="0"/>
              <w:widowControl w:val="0"/>
              <w:numPr>
                <w:ilvl w:val="0"/>
                <w:numId w:val="2"/>
              </w:numPr>
              <w:kinsoku/>
              <w:wordWrap/>
              <w:overflowPunct/>
              <w:topLinePunct w:val="0"/>
              <w:autoSpaceDE/>
              <w:autoSpaceDN/>
              <w:bidi w:val="0"/>
              <w:adjustRightInd/>
              <w:snapToGrid/>
              <w:spacing w:line="360" w:lineRule="auto"/>
              <w:ind w:left="38" w:leftChars="18" w:firstLine="0" w:firstLineChars="0"/>
              <w:jc w:val="both"/>
              <w:textAlignment w:val="auto"/>
              <w:outlineLvl w:val="9"/>
              <w:rPr>
                <w:rFonts w:hint="eastAsia" w:ascii="宋体" w:hAnsi="宋体" w:eastAsia="宋体" w:cs="宋体"/>
                <w:color w:val="auto"/>
                <w:highlight w:val="none"/>
                <w:lang w:val="en-US"/>
              </w:rPr>
            </w:pPr>
            <w:r>
              <w:rPr>
                <w:rFonts w:hint="eastAsia" w:ascii="宋体" w:hAnsi="宋体" w:eastAsia="宋体" w:cs="宋体"/>
                <w:b/>
                <w:bCs/>
                <w:color w:val="auto"/>
                <w:sz w:val="21"/>
                <w:szCs w:val="21"/>
                <w:highlight w:val="none"/>
              </w:rPr>
              <w:t>本项目采购标的离子色谱仪（1套）、全自动红外测油仪（1套）、便携式气相分子吸收光谱仪（1套）、双光束紫外可见分光光度计（1套）、紫外可见分光光度计（1套）、干燥箱（1套）、便携式抽滤装置（1套）、氟离子计（1套）、立式高压蒸汽灭菌器（2套）、CODcr回流消解仪（2套）、便携式浊度计（2套）、便携式pH测定仪（2套）、便携式溶解氧测定仪（2套）、便携式电导率测定仪（2套）</w:t>
            </w:r>
            <w:r>
              <w:rPr>
                <w:rFonts w:hint="eastAsia" w:ascii="宋体" w:hAnsi="宋体" w:eastAsia="宋体" w:cs="宋体"/>
                <w:b/>
                <w:bCs/>
                <w:color w:val="auto"/>
                <w:sz w:val="21"/>
                <w:szCs w:val="21"/>
                <w:highlight w:val="none"/>
                <w:lang w:val="en-US" w:eastAsia="zh-CN"/>
              </w:rPr>
              <w:t>均</w:t>
            </w:r>
            <w:r>
              <w:rPr>
                <w:rFonts w:hint="eastAsia" w:ascii="宋体" w:hAnsi="宋体" w:eastAsia="宋体" w:cs="宋体"/>
                <w:b/>
                <w:bCs/>
                <w:color w:val="auto"/>
                <w:sz w:val="21"/>
                <w:szCs w:val="21"/>
                <w:highlight w:val="none"/>
              </w:rPr>
              <w:t>属于工业行业</w:t>
            </w:r>
            <w:r>
              <w:rPr>
                <w:rFonts w:hint="eastAsia" w:ascii="宋体" w:hAnsi="宋体" w:eastAsia="宋体" w:cs="宋体"/>
                <w:b/>
                <w:bCs/>
                <w:color w:val="auto"/>
                <w:sz w:val="21"/>
                <w:szCs w:val="21"/>
                <w:highlight w:val="none"/>
                <w:lang w:eastAsia="zh-CN"/>
              </w:rPr>
              <w:t>。</w:t>
            </w:r>
          </w:p>
        </w:tc>
      </w:tr>
    </w:tbl>
    <w:p w14:paraId="46CAC840">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宋体" w:hAnsi="宋体" w:eastAsia="宋体" w:cs="宋体"/>
          <w:color w:val="auto"/>
          <w:highlight w:val="none"/>
          <w:lang w:val="en-US" w:eastAsia="zh-CN"/>
        </w:rPr>
      </w:pPr>
    </w:p>
    <w:p w14:paraId="486E589F">
      <w:pPr>
        <w:pStyle w:val="5"/>
        <w:keepNext/>
        <w:keepLines/>
        <w:pageBreakBefore w:val="0"/>
        <w:widowControl w:val="0"/>
        <w:numPr>
          <w:ilvl w:val="0"/>
          <w:numId w:val="3"/>
        </w:numPr>
        <w:tabs>
          <w:tab w:val="left" w:pos="721"/>
          <w:tab w:val="left" w:pos="2880"/>
          <w:tab w:val="left" w:pos="3780"/>
        </w:tabs>
        <w:kinsoku/>
        <w:wordWrap/>
        <w:overflowPunct/>
        <w:topLinePunct w:val="0"/>
        <w:autoSpaceDE/>
        <w:autoSpaceDN/>
        <w:bidi w:val="0"/>
        <w:adjustRightInd/>
        <w:snapToGrid/>
        <w:spacing w:before="0" w:after="0" w:line="360" w:lineRule="auto"/>
        <w:ind w:left="0" w:leftChars="0" w:right="0" w:rightChars="0" w:firstLine="0" w:firstLineChars="0"/>
        <w:jc w:val="both"/>
        <w:textAlignment w:val="auto"/>
        <w:outlineLvl w:val="1"/>
        <w:rPr>
          <w:rFonts w:hint="eastAsia" w:ascii="宋体" w:hAnsi="宋体" w:eastAsia="宋体" w:cs="宋体"/>
          <w:color w:val="auto"/>
          <w:sz w:val="24"/>
          <w:szCs w:val="24"/>
          <w:highlight w:val="none"/>
        </w:rPr>
      </w:pPr>
      <w:bookmarkStart w:id="145" w:name="_Toc12329"/>
      <w:bookmarkStart w:id="146" w:name="_Toc312133543"/>
      <w:r>
        <w:rPr>
          <w:rFonts w:hint="eastAsia" w:ascii="宋体" w:hAnsi="宋体" w:eastAsia="宋体" w:cs="宋体"/>
          <w:color w:val="auto"/>
          <w:sz w:val="24"/>
          <w:szCs w:val="24"/>
          <w:highlight w:val="none"/>
          <w:lang w:val="en-US" w:eastAsia="zh-CN"/>
        </w:rPr>
        <w:br w:type="page"/>
      </w:r>
      <w:r>
        <w:rPr>
          <w:rFonts w:hint="eastAsia" w:ascii="宋体" w:hAnsi="宋体" w:eastAsia="宋体" w:cs="宋体"/>
          <w:color w:val="auto"/>
          <w:sz w:val="24"/>
          <w:szCs w:val="24"/>
          <w:highlight w:val="none"/>
          <w:lang w:val="en-US" w:eastAsia="zh-CN"/>
        </w:rPr>
        <w:t xml:space="preserve"> </w:t>
      </w:r>
      <w:bookmarkStart w:id="147" w:name="_Toc12865"/>
      <w:bookmarkStart w:id="148" w:name="_Toc20"/>
      <w:r>
        <w:rPr>
          <w:rFonts w:hint="eastAsia" w:ascii="宋体" w:hAnsi="宋体" w:eastAsia="宋体" w:cs="宋体"/>
          <w:color w:val="auto"/>
          <w:sz w:val="24"/>
          <w:szCs w:val="24"/>
          <w:highlight w:val="none"/>
          <w:lang w:val="en-US" w:eastAsia="zh-CN"/>
        </w:rPr>
        <w:t>总则</w:t>
      </w:r>
      <w:bookmarkEnd w:id="145"/>
      <w:bookmarkEnd w:id="146"/>
      <w:bookmarkEnd w:id="147"/>
      <w:bookmarkEnd w:id="148"/>
    </w:p>
    <w:p w14:paraId="2D89F923">
      <w:pPr>
        <w:pStyle w:val="6"/>
        <w:pageBreakBefore w:val="0"/>
        <w:numPr>
          <w:ilvl w:val="1"/>
          <w:numId w:val="4"/>
        </w:numPr>
        <w:kinsoku/>
        <w:overflowPunct/>
        <w:bidi w:val="0"/>
        <w:spacing w:line="360" w:lineRule="auto"/>
        <w:rPr>
          <w:rFonts w:hint="eastAsia" w:ascii="宋体" w:hAnsi="宋体" w:eastAsia="宋体" w:cs="宋体"/>
          <w:color w:val="auto"/>
          <w:highlight w:val="none"/>
        </w:rPr>
      </w:pPr>
      <w:bookmarkStart w:id="149" w:name="_Toc30432"/>
      <w:bookmarkStart w:id="150" w:name="_Toc28377"/>
      <w:bookmarkStart w:id="151" w:name="_Toc5358"/>
      <w:bookmarkStart w:id="152" w:name="_Toc14496"/>
      <w:bookmarkStart w:id="153" w:name="_Toc4828"/>
      <w:bookmarkStart w:id="154" w:name="_Toc2572"/>
      <w:bookmarkStart w:id="155" w:name="_Toc28200"/>
      <w:bookmarkStart w:id="156" w:name="_Toc30513"/>
      <w:bookmarkStart w:id="157" w:name="_Toc20743"/>
      <w:bookmarkStart w:id="158" w:name="_Toc2081"/>
      <w:bookmarkStart w:id="159" w:name="_Toc15062"/>
      <w:bookmarkStart w:id="160" w:name="_Toc2427"/>
      <w:bookmarkStart w:id="161" w:name="_Toc27597"/>
      <w:r>
        <w:rPr>
          <w:rFonts w:hint="eastAsia" w:ascii="宋体" w:hAnsi="宋体" w:eastAsia="宋体" w:cs="宋体"/>
          <w:color w:val="auto"/>
          <w:highlight w:val="none"/>
        </w:rPr>
        <w:t>适用范围</w:t>
      </w:r>
      <w:bookmarkEnd w:id="149"/>
      <w:bookmarkEnd w:id="150"/>
      <w:bookmarkEnd w:id="151"/>
      <w:bookmarkEnd w:id="152"/>
      <w:bookmarkEnd w:id="153"/>
      <w:bookmarkEnd w:id="154"/>
      <w:bookmarkEnd w:id="155"/>
      <w:bookmarkEnd w:id="156"/>
      <w:bookmarkEnd w:id="157"/>
      <w:bookmarkEnd w:id="158"/>
      <w:bookmarkEnd w:id="159"/>
      <w:bookmarkEnd w:id="160"/>
      <w:bookmarkEnd w:id="161"/>
    </w:p>
    <w:p w14:paraId="550288D5">
      <w:pPr>
        <w:keepNext w:val="0"/>
        <w:keepLines w:val="0"/>
        <w:pageBreakBefore w:val="0"/>
        <w:widowControl w:val="0"/>
        <w:numPr>
          <w:ilvl w:val="2"/>
          <w:numId w:val="4"/>
        </w:numPr>
        <w:kinsoku/>
        <w:wordWrap/>
        <w:overflowPunct/>
        <w:topLinePunct w:val="0"/>
        <w:autoSpaceDE/>
        <w:autoSpaceDN/>
        <w:bidi w:val="0"/>
        <w:adjustRightInd/>
        <w:snapToGrid/>
        <w:spacing w:line="360" w:lineRule="auto"/>
        <w:ind w:left="0" w:leftChars="0" w:firstLine="420" w:firstLineChars="200"/>
        <w:textAlignment w:val="auto"/>
        <w:outlineLvl w:val="9"/>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val="en-US" w:eastAsia="zh-CN"/>
        </w:rPr>
        <w:t xml:space="preserve"> </w:t>
      </w:r>
      <w:r>
        <w:rPr>
          <w:rFonts w:hint="eastAsia" w:ascii="宋体" w:hAnsi="宋体" w:eastAsia="宋体" w:cs="宋体"/>
          <w:color w:val="auto"/>
          <w:kern w:val="0"/>
          <w:szCs w:val="21"/>
          <w:highlight w:val="none"/>
        </w:rPr>
        <w:t>根据《中华人民共和国政府采购法</w:t>
      </w:r>
      <w:r>
        <w:rPr>
          <w:rFonts w:hint="eastAsia" w:ascii="宋体" w:hAnsi="宋体" w:eastAsia="宋体" w:cs="宋体"/>
          <w:color w:val="auto"/>
          <w:kern w:val="0"/>
          <w:szCs w:val="21"/>
          <w:highlight w:val="none"/>
          <w:lang w:eastAsia="zh-CN"/>
        </w:rPr>
        <w:t>》《</w:t>
      </w:r>
      <w:r>
        <w:rPr>
          <w:rFonts w:hint="eastAsia" w:ascii="宋体" w:hAnsi="宋体" w:eastAsia="宋体" w:cs="宋体"/>
          <w:color w:val="auto"/>
          <w:kern w:val="0"/>
          <w:szCs w:val="21"/>
          <w:highlight w:val="none"/>
        </w:rPr>
        <w:t>中华人民共和国政府采购法</w:t>
      </w:r>
      <w:r>
        <w:rPr>
          <w:rFonts w:hint="eastAsia" w:ascii="宋体" w:hAnsi="宋体" w:eastAsia="宋体" w:cs="宋体"/>
          <w:color w:val="auto"/>
          <w:kern w:val="0"/>
          <w:szCs w:val="21"/>
          <w:highlight w:val="none"/>
          <w:lang w:eastAsia="zh-CN"/>
        </w:rPr>
        <w:t>实施条例</w:t>
      </w:r>
      <w:r>
        <w:rPr>
          <w:rFonts w:hint="eastAsia" w:ascii="宋体" w:hAnsi="宋体" w:eastAsia="宋体" w:cs="宋体"/>
          <w:color w:val="auto"/>
          <w:kern w:val="0"/>
          <w:szCs w:val="21"/>
          <w:highlight w:val="none"/>
        </w:rPr>
        <w:t>》等有关法律、法规和规章的规定，本项目已具备</w:t>
      </w:r>
      <w:r>
        <w:rPr>
          <w:rFonts w:hint="eastAsia" w:ascii="宋体" w:hAnsi="宋体" w:eastAsia="宋体" w:cs="宋体"/>
          <w:color w:val="auto"/>
          <w:kern w:val="0"/>
          <w:szCs w:val="21"/>
          <w:highlight w:val="none"/>
          <w:lang w:eastAsia="zh-CN"/>
        </w:rPr>
        <w:t>招标</w:t>
      </w:r>
      <w:r>
        <w:rPr>
          <w:rFonts w:hint="eastAsia" w:ascii="宋体" w:hAnsi="宋体" w:eastAsia="宋体" w:cs="宋体"/>
          <w:color w:val="auto"/>
          <w:kern w:val="0"/>
          <w:szCs w:val="21"/>
          <w:highlight w:val="none"/>
        </w:rPr>
        <w:t>条件，现对本项目</w:t>
      </w:r>
      <w:r>
        <w:rPr>
          <w:rFonts w:hint="eastAsia" w:ascii="宋体" w:hAnsi="宋体" w:eastAsia="宋体" w:cs="宋体"/>
          <w:color w:val="auto"/>
          <w:kern w:val="0"/>
          <w:szCs w:val="21"/>
          <w:highlight w:val="none"/>
          <w:lang w:eastAsia="zh-CN"/>
        </w:rPr>
        <w:t>进行公开招标，</w:t>
      </w:r>
      <w:r>
        <w:rPr>
          <w:rFonts w:hint="eastAsia" w:ascii="宋体" w:hAnsi="宋体" w:eastAsia="宋体" w:cs="宋体"/>
          <w:color w:val="auto"/>
          <w:szCs w:val="21"/>
          <w:highlight w:val="none"/>
        </w:rPr>
        <w:t>本</w:t>
      </w:r>
      <w:r>
        <w:rPr>
          <w:rFonts w:hint="eastAsia" w:ascii="宋体" w:hAnsi="宋体" w:eastAsia="宋体" w:cs="宋体"/>
          <w:color w:val="auto"/>
          <w:szCs w:val="21"/>
          <w:highlight w:val="none"/>
          <w:lang w:eastAsia="zh-CN"/>
        </w:rPr>
        <w:t>招标</w:t>
      </w:r>
      <w:r>
        <w:rPr>
          <w:rFonts w:hint="eastAsia" w:ascii="宋体" w:hAnsi="宋体" w:eastAsia="宋体" w:cs="宋体"/>
          <w:color w:val="auto"/>
          <w:szCs w:val="21"/>
          <w:highlight w:val="none"/>
        </w:rPr>
        <w:t>文件仅适用于本次</w:t>
      </w:r>
      <w:r>
        <w:rPr>
          <w:rFonts w:hint="eastAsia" w:ascii="宋体" w:hAnsi="宋体" w:eastAsia="宋体" w:cs="宋体"/>
          <w:color w:val="auto"/>
          <w:szCs w:val="21"/>
          <w:highlight w:val="none"/>
          <w:lang w:eastAsia="zh-CN"/>
        </w:rPr>
        <w:t>招标文件中</w:t>
      </w:r>
      <w:r>
        <w:rPr>
          <w:rFonts w:hint="eastAsia" w:ascii="宋体" w:hAnsi="宋体" w:eastAsia="宋体" w:cs="宋体"/>
          <w:color w:val="auto"/>
          <w:szCs w:val="21"/>
          <w:highlight w:val="none"/>
        </w:rPr>
        <w:t>所述的货物</w:t>
      </w:r>
      <w:r>
        <w:rPr>
          <w:rFonts w:hint="eastAsia" w:ascii="宋体" w:hAnsi="宋体" w:eastAsia="宋体" w:cs="宋体"/>
          <w:color w:val="auto"/>
          <w:szCs w:val="21"/>
          <w:highlight w:val="none"/>
          <w:lang w:eastAsia="zh-CN"/>
        </w:rPr>
        <w:t>及其伴随的服务</w:t>
      </w:r>
      <w:r>
        <w:rPr>
          <w:rFonts w:hint="eastAsia" w:ascii="宋体" w:hAnsi="宋体" w:eastAsia="宋体" w:cs="宋体"/>
          <w:color w:val="auto"/>
          <w:szCs w:val="21"/>
          <w:highlight w:val="none"/>
        </w:rPr>
        <w:t>。</w:t>
      </w:r>
    </w:p>
    <w:p w14:paraId="0DD05767">
      <w:pPr>
        <w:keepNext w:val="0"/>
        <w:keepLines w:val="0"/>
        <w:pageBreakBefore w:val="0"/>
        <w:widowControl w:val="0"/>
        <w:numPr>
          <w:ilvl w:val="2"/>
          <w:numId w:val="4"/>
        </w:numPr>
        <w:kinsoku/>
        <w:wordWrap/>
        <w:overflowPunct/>
        <w:topLinePunct w:val="0"/>
        <w:autoSpaceDE/>
        <w:autoSpaceDN/>
        <w:bidi w:val="0"/>
        <w:adjustRightInd/>
        <w:snapToGrid/>
        <w:spacing w:line="360" w:lineRule="auto"/>
        <w:ind w:left="0" w:leftChars="0" w:firstLine="420" w:firstLineChars="200"/>
        <w:textAlignment w:val="auto"/>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w:t>
      </w:r>
      <w:r>
        <w:rPr>
          <w:rFonts w:hint="eastAsia" w:ascii="宋体" w:hAnsi="宋体" w:eastAsia="宋体" w:cs="宋体"/>
          <w:color w:val="auto"/>
          <w:szCs w:val="21"/>
          <w:highlight w:val="none"/>
          <w:lang w:eastAsia="zh-CN"/>
        </w:rPr>
        <w:t>招标</w:t>
      </w:r>
      <w:r>
        <w:rPr>
          <w:rFonts w:hint="eastAsia" w:ascii="宋体" w:hAnsi="宋体" w:eastAsia="宋体" w:cs="宋体"/>
          <w:color w:val="auto"/>
          <w:szCs w:val="21"/>
          <w:highlight w:val="none"/>
        </w:rPr>
        <w:t>文件的解释权归采购人所有。</w:t>
      </w:r>
    </w:p>
    <w:p w14:paraId="01934F04">
      <w:pPr>
        <w:pStyle w:val="6"/>
        <w:pageBreakBefore w:val="0"/>
        <w:numPr>
          <w:ilvl w:val="1"/>
          <w:numId w:val="4"/>
        </w:numPr>
        <w:kinsoku/>
        <w:overflowPunct/>
        <w:bidi w:val="0"/>
        <w:spacing w:line="360" w:lineRule="auto"/>
        <w:rPr>
          <w:rFonts w:hint="eastAsia" w:ascii="宋体" w:hAnsi="宋体" w:eastAsia="宋体" w:cs="宋体"/>
          <w:color w:val="auto"/>
          <w:highlight w:val="none"/>
          <w:lang w:eastAsia="zh-CN"/>
        </w:rPr>
      </w:pPr>
      <w:bookmarkStart w:id="162" w:name="_Toc16716"/>
      <w:bookmarkStart w:id="163" w:name="_Toc6443"/>
      <w:bookmarkStart w:id="164" w:name="_Toc29424"/>
      <w:bookmarkStart w:id="165" w:name="_Toc19192"/>
      <w:bookmarkStart w:id="166" w:name="_Toc18955"/>
      <w:bookmarkStart w:id="167" w:name="_Toc13654"/>
      <w:r>
        <w:rPr>
          <w:rFonts w:hint="eastAsia" w:ascii="宋体" w:hAnsi="宋体" w:eastAsia="宋体" w:cs="宋体"/>
          <w:color w:val="auto"/>
          <w:highlight w:val="none"/>
          <w:lang w:eastAsia="zh-CN"/>
        </w:rPr>
        <w:t>招标项目概况</w:t>
      </w:r>
      <w:bookmarkEnd w:id="162"/>
      <w:bookmarkEnd w:id="163"/>
      <w:bookmarkEnd w:id="164"/>
      <w:bookmarkEnd w:id="165"/>
      <w:bookmarkEnd w:id="166"/>
      <w:bookmarkEnd w:id="167"/>
    </w:p>
    <w:p w14:paraId="09A3B86E">
      <w:pPr>
        <w:keepNext w:val="0"/>
        <w:keepLines w:val="0"/>
        <w:pageBreakBefore w:val="0"/>
        <w:widowControl w:val="0"/>
        <w:numPr>
          <w:ilvl w:val="2"/>
          <w:numId w:val="4"/>
        </w:numPr>
        <w:kinsoku/>
        <w:wordWrap/>
        <w:overflowPunct/>
        <w:topLinePunct w:val="0"/>
        <w:autoSpaceDE/>
        <w:autoSpaceDN/>
        <w:bidi w:val="0"/>
        <w:adjustRightInd/>
        <w:snapToGrid/>
        <w:spacing w:line="360" w:lineRule="auto"/>
        <w:ind w:left="0" w:leftChars="0" w:firstLine="420" w:firstLineChars="200"/>
        <w:textAlignment w:val="auto"/>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采购人：</w:t>
      </w:r>
      <w:r>
        <w:rPr>
          <w:rFonts w:hint="eastAsia" w:ascii="宋体" w:hAnsi="宋体" w:eastAsia="宋体" w:cs="宋体"/>
          <w:color w:val="auto"/>
          <w:szCs w:val="21"/>
          <w:highlight w:val="none"/>
          <w:lang w:eastAsia="zh-CN"/>
        </w:rPr>
        <w:t>投标人须知前附表</w:t>
      </w:r>
      <w:r>
        <w:rPr>
          <w:rFonts w:hint="eastAsia" w:ascii="宋体" w:hAnsi="宋体" w:eastAsia="宋体" w:cs="宋体"/>
          <w:color w:val="auto"/>
          <w:szCs w:val="21"/>
          <w:highlight w:val="none"/>
        </w:rPr>
        <w:t>中所述的、依法进行政府采购的国家机关、事业单位、团体组织。</w:t>
      </w:r>
    </w:p>
    <w:p w14:paraId="6283C98B">
      <w:pPr>
        <w:keepNext w:val="0"/>
        <w:keepLines w:val="0"/>
        <w:pageBreakBefore w:val="0"/>
        <w:widowControl w:val="0"/>
        <w:numPr>
          <w:ilvl w:val="2"/>
          <w:numId w:val="4"/>
        </w:numPr>
        <w:kinsoku/>
        <w:wordWrap/>
        <w:overflowPunct/>
        <w:topLinePunct w:val="0"/>
        <w:autoSpaceDE/>
        <w:autoSpaceDN/>
        <w:bidi w:val="0"/>
        <w:adjustRightInd/>
        <w:snapToGrid/>
        <w:spacing w:line="360" w:lineRule="auto"/>
        <w:ind w:left="0" w:leftChars="0" w:firstLine="420" w:firstLineChars="200"/>
        <w:textAlignment w:val="auto"/>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采购代理机构：受采购人委托组织招标活动，在招标过程中负有相应责任的社会中介组织。</w:t>
      </w:r>
    </w:p>
    <w:p w14:paraId="39D70E87">
      <w:pPr>
        <w:keepNext w:val="0"/>
        <w:keepLines w:val="0"/>
        <w:pageBreakBefore w:val="0"/>
        <w:widowControl w:val="0"/>
        <w:numPr>
          <w:ilvl w:val="2"/>
          <w:numId w:val="4"/>
        </w:numPr>
        <w:kinsoku/>
        <w:wordWrap/>
        <w:overflowPunct/>
        <w:topLinePunct w:val="0"/>
        <w:autoSpaceDE/>
        <w:autoSpaceDN/>
        <w:bidi w:val="0"/>
        <w:adjustRightInd/>
        <w:snapToGrid/>
        <w:spacing w:line="360" w:lineRule="auto"/>
        <w:ind w:left="0" w:leftChars="0" w:firstLine="420" w:firstLineChars="200"/>
        <w:textAlignment w:val="auto"/>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项目名称及</w:t>
      </w:r>
      <w:r>
        <w:rPr>
          <w:rFonts w:hint="eastAsia" w:ascii="宋体" w:hAnsi="宋体" w:eastAsia="宋体" w:cs="宋体"/>
          <w:color w:val="auto"/>
          <w:szCs w:val="21"/>
          <w:highlight w:val="none"/>
          <w:lang w:eastAsia="zh-CN"/>
        </w:rPr>
        <w:t>项目编号</w:t>
      </w:r>
      <w:r>
        <w:rPr>
          <w:rFonts w:hint="eastAsia" w:ascii="宋体" w:hAnsi="宋体" w:eastAsia="宋体" w:cs="宋体"/>
          <w:color w:val="auto"/>
          <w:szCs w:val="21"/>
          <w:highlight w:val="none"/>
        </w:rPr>
        <w:t>：见</w:t>
      </w:r>
      <w:r>
        <w:rPr>
          <w:rFonts w:hint="eastAsia" w:ascii="宋体" w:hAnsi="宋体" w:eastAsia="宋体" w:cs="宋体"/>
          <w:color w:val="auto"/>
          <w:szCs w:val="21"/>
          <w:highlight w:val="none"/>
          <w:lang w:eastAsia="zh-CN"/>
        </w:rPr>
        <w:t>投标人须知前附表</w:t>
      </w:r>
      <w:r>
        <w:rPr>
          <w:rFonts w:hint="eastAsia" w:ascii="宋体" w:hAnsi="宋体" w:eastAsia="宋体" w:cs="宋体"/>
          <w:color w:val="auto"/>
          <w:szCs w:val="21"/>
          <w:highlight w:val="none"/>
        </w:rPr>
        <w:t>。</w:t>
      </w:r>
    </w:p>
    <w:p w14:paraId="1C2D87D2">
      <w:pPr>
        <w:keepNext w:val="0"/>
        <w:keepLines w:val="0"/>
        <w:pageBreakBefore w:val="0"/>
        <w:widowControl w:val="0"/>
        <w:numPr>
          <w:ilvl w:val="2"/>
          <w:numId w:val="4"/>
        </w:numPr>
        <w:kinsoku/>
        <w:wordWrap/>
        <w:overflowPunct/>
        <w:topLinePunct w:val="0"/>
        <w:autoSpaceDE/>
        <w:autoSpaceDN/>
        <w:bidi w:val="0"/>
        <w:adjustRightInd/>
        <w:snapToGrid/>
        <w:spacing w:line="360" w:lineRule="auto"/>
        <w:ind w:left="0" w:leftChars="0" w:firstLine="420" w:firstLineChars="200"/>
        <w:textAlignment w:val="auto"/>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采购范围：</w:t>
      </w:r>
      <w:r>
        <w:rPr>
          <w:rFonts w:hint="eastAsia" w:ascii="宋体" w:hAnsi="宋体" w:eastAsia="宋体" w:cs="宋体"/>
          <w:color w:val="auto"/>
          <w:szCs w:val="21"/>
          <w:highlight w:val="none"/>
        </w:rPr>
        <w:t>见</w:t>
      </w:r>
      <w:r>
        <w:rPr>
          <w:rFonts w:hint="eastAsia" w:ascii="宋体" w:hAnsi="宋体" w:eastAsia="宋体" w:cs="宋体"/>
          <w:color w:val="auto"/>
          <w:szCs w:val="21"/>
          <w:highlight w:val="none"/>
          <w:lang w:eastAsia="zh-CN"/>
        </w:rPr>
        <w:t>投标人须知前附表</w:t>
      </w:r>
      <w:r>
        <w:rPr>
          <w:rFonts w:hint="eastAsia" w:ascii="宋体" w:hAnsi="宋体" w:eastAsia="宋体" w:cs="宋体"/>
          <w:color w:val="auto"/>
          <w:szCs w:val="21"/>
          <w:highlight w:val="none"/>
        </w:rPr>
        <w:t>。</w:t>
      </w:r>
    </w:p>
    <w:p w14:paraId="23EF6333">
      <w:pPr>
        <w:keepNext w:val="0"/>
        <w:keepLines w:val="0"/>
        <w:pageBreakBefore w:val="0"/>
        <w:widowControl w:val="0"/>
        <w:numPr>
          <w:ilvl w:val="2"/>
          <w:numId w:val="4"/>
        </w:numPr>
        <w:kinsoku/>
        <w:wordWrap/>
        <w:overflowPunct/>
        <w:topLinePunct w:val="0"/>
        <w:autoSpaceDE/>
        <w:autoSpaceDN/>
        <w:bidi w:val="0"/>
        <w:adjustRightInd/>
        <w:snapToGrid/>
        <w:spacing w:line="360" w:lineRule="auto"/>
        <w:ind w:left="0" w:leftChars="0" w:firstLine="420" w:firstLineChars="200"/>
        <w:textAlignment w:val="auto"/>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资金来源及</w:t>
      </w:r>
      <w:r>
        <w:rPr>
          <w:rFonts w:hint="eastAsia" w:ascii="宋体" w:hAnsi="宋体" w:eastAsia="宋体" w:cs="宋体"/>
          <w:color w:val="auto"/>
          <w:szCs w:val="21"/>
          <w:highlight w:val="none"/>
        </w:rPr>
        <w:t>预算</w:t>
      </w:r>
      <w:r>
        <w:rPr>
          <w:rFonts w:hint="eastAsia" w:ascii="宋体" w:hAnsi="宋体" w:eastAsia="宋体" w:cs="宋体"/>
          <w:color w:val="auto"/>
          <w:szCs w:val="21"/>
          <w:highlight w:val="none"/>
          <w:lang w:eastAsia="zh-CN"/>
        </w:rPr>
        <w:t>金额</w:t>
      </w:r>
      <w:r>
        <w:rPr>
          <w:rFonts w:hint="eastAsia" w:ascii="宋体" w:hAnsi="宋体" w:eastAsia="宋体" w:cs="宋体"/>
          <w:color w:val="auto"/>
          <w:szCs w:val="21"/>
          <w:highlight w:val="none"/>
        </w:rPr>
        <w:t>：见</w:t>
      </w:r>
      <w:r>
        <w:rPr>
          <w:rFonts w:hint="eastAsia" w:ascii="宋体" w:hAnsi="宋体" w:eastAsia="宋体" w:cs="宋体"/>
          <w:color w:val="auto"/>
          <w:szCs w:val="21"/>
          <w:highlight w:val="none"/>
          <w:lang w:eastAsia="zh-CN"/>
        </w:rPr>
        <w:t>投标人须知前附表</w:t>
      </w:r>
      <w:r>
        <w:rPr>
          <w:rFonts w:hint="eastAsia" w:ascii="宋体" w:hAnsi="宋体" w:eastAsia="宋体" w:cs="宋体"/>
          <w:color w:val="auto"/>
          <w:szCs w:val="21"/>
          <w:highlight w:val="none"/>
        </w:rPr>
        <w:t>。</w:t>
      </w:r>
    </w:p>
    <w:p w14:paraId="5CDD6481">
      <w:pPr>
        <w:keepNext w:val="0"/>
        <w:keepLines w:val="0"/>
        <w:pageBreakBefore w:val="0"/>
        <w:widowControl w:val="0"/>
        <w:numPr>
          <w:ilvl w:val="2"/>
          <w:numId w:val="4"/>
        </w:numPr>
        <w:kinsoku/>
        <w:wordWrap/>
        <w:overflowPunct/>
        <w:topLinePunct w:val="0"/>
        <w:autoSpaceDE/>
        <w:autoSpaceDN/>
        <w:bidi w:val="0"/>
        <w:adjustRightInd/>
        <w:snapToGrid/>
        <w:spacing w:line="360" w:lineRule="auto"/>
        <w:ind w:left="0" w:leftChars="0" w:firstLine="420" w:firstLineChars="200"/>
        <w:textAlignment w:val="auto"/>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交货及安装调试期：见</w:t>
      </w:r>
      <w:r>
        <w:rPr>
          <w:rFonts w:hint="eastAsia" w:ascii="宋体" w:hAnsi="宋体" w:eastAsia="宋体" w:cs="宋体"/>
          <w:color w:val="auto"/>
          <w:szCs w:val="21"/>
          <w:highlight w:val="none"/>
          <w:lang w:eastAsia="zh-CN"/>
        </w:rPr>
        <w:t>投标人须知前附表</w:t>
      </w:r>
      <w:r>
        <w:rPr>
          <w:rFonts w:hint="eastAsia" w:ascii="宋体" w:hAnsi="宋体" w:eastAsia="宋体" w:cs="宋体"/>
          <w:color w:val="auto"/>
          <w:szCs w:val="21"/>
          <w:highlight w:val="none"/>
        </w:rPr>
        <w:t>。</w:t>
      </w:r>
    </w:p>
    <w:p w14:paraId="6E69D07E">
      <w:pPr>
        <w:keepNext w:val="0"/>
        <w:keepLines w:val="0"/>
        <w:pageBreakBefore w:val="0"/>
        <w:widowControl w:val="0"/>
        <w:numPr>
          <w:ilvl w:val="2"/>
          <w:numId w:val="4"/>
        </w:numPr>
        <w:kinsoku/>
        <w:wordWrap/>
        <w:overflowPunct/>
        <w:topLinePunct w:val="0"/>
        <w:autoSpaceDE/>
        <w:autoSpaceDN/>
        <w:bidi w:val="0"/>
        <w:adjustRightInd/>
        <w:snapToGrid/>
        <w:spacing w:line="360" w:lineRule="auto"/>
        <w:ind w:left="0" w:leftChars="0" w:firstLine="420" w:firstLineChars="200"/>
        <w:textAlignment w:val="auto"/>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交货地点：见</w:t>
      </w:r>
      <w:r>
        <w:rPr>
          <w:rFonts w:hint="eastAsia" w:ascii="宋体" w:hAnsi="宋体" w:eastAsia="宋体" w:cs="宋体"/>
          <w:color w:val="auto"/>
          <w:szCs w:val="21"/>
          <w:highlight w:val="none"/>
          <w:lang w:eastAsia="zh-CN"/>
        </w:rPr>
        <w:t>投标人须知前附表</w:t>
      </w:r>
      <w:r>
        <w:rPr>
          <w:rFonts w:hint="eastAsia" w:ascii="宋体" w:hAnsi="宋体" w:eastAsia="宋体" w:cs="宋体"/>
          <w:color w:val="auto"/>
          <w:szCs w:val="21"/>
          <w:highlight w:val="none"/>
        </w:rPr>
        <w:t>。</w:t>
      </w:r>
    </w:p>
    <w:p w14:paraId="346964AA">
      <w:pPr>
        <w:keepNext w:val="0"/>
        <w:keepLines w:val="0"/>
        <w:pageBreakBefore w:val="0"/>
        <w:widowControl w:val="0"/>
        <w:numPr>
          <w:ilvl w:val="2"/>
          <w:numId w:val="4"/>
        </w:numPr>
        <w:kinsoku/>
        <w:wordWrap/>
        <w:overflowPunct/>
        <w:topLinePunct w:val="0"/>
        <w:autoSpaceDE/>
        <w:autoSpaceDN/>
        <w:bidi w:val="0"/>
        <w:adjustRightInd/>
        <w:snapToGrid/>
        <w:spacing w:line="360" w:lineRule="auto"/>
        <w:ind w:left="0" w:leftChars="0" w:firstLine="420" w:firstLineChars="200"/>
        <w:textAlignment w:val="auto"/>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质量标准：见</w:t>
      </w:r>
      <w:r>
        <w:rPr>
          <w:rFonts w:hint="eastAsia" w:ascii="宋体" w:hAnsi="宋体" w:eastAsia="宋体" w:cs="宋体"/>
          <w:color w:val="auto"/>
          <w:szCs w:val="21"/>
          <w:highlight w:val="none"/>
          <w:lang w:eastAsia="zh-CN"/>
        </w:rPr>
        <w:t>投标人须知前附表</w:t>
      </w:r>
      <w:r>
        <w:rPr>
          <w:rFonts w:hint="eastAsia" w:ascii="宋体" w:hAnsi="宋体" w:eastAsia="宋体" w:cs="宋体"/>
          <w:color w:val="auto"/>
          <w:szCs w:val="21"/>
          <w:highlight w:val="none"/>
        </w:rPr>
        <w:t>。</w:t>
      </w:r>
    </w:p>
    <w:p w14:paraId="0BDE58AC">
      <w:pPr>
        <w:keepNext w:val="0"/>
        <w:keepLines w:val="0"/>
        <w:pageBreakBefore w:val="0"/>
        <w:widowControl w:val="0"/>
        <w:numPr>
          <w:ilvl w:val="2"/>
          <w:numId w:val="4"/>
        </w:numPr>
        <w:kinsoku/>
        <w:wordWrap/>
        <w:overflowPunct/>
        <w:topLinePunct w:val="0"/>
        <w:autoSpaceDE/>
        <w:autoSpaceDN/>
        <w:bidi w:val="0"/>
        <w:adjustRightInd/>
        <w:snapToGrid/>
        <w:spacing w:line="360" w:lineRule="auto"/>
        <w:ind w:left="0" w:leftChars="0" w:firstLine="420" w:firstLineChars="200"/>
        <w:textAlignment w:val="auto"/>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质量保证期：</w:t>
      </w:r>
      <w:r>
        <w:rPr>
          <w:rFonts w:hint="eastAsia" w:ascii="宋体" w:hAnsi="宋体" w:eastAsia="宋体" w:cs="宋体"/>
          <w:color w:val="auto"/>
          <w:szCs w:val="21"/>
          <w:highlight w:val="none"/>
        </w:rPr>
        <w:t>见</w:t>
      </w:r>
      <w:r>
        <w:rPr>
          <w:rFonts w:hint="eastAsia" w:ascii="宋体" w:hAnsi="宋体" w:eastAsia="宋体" w:cs="宋体"/>
          <w:color w:val="auto"/>
          <w:szCs w:val="21"/>
          <w:highlight w:val="none"/>
          <w:lang w:eastAsia="zh-CN"/>
        </w:rPr>
        <w:t>投标人须知前附表</w:t>
      </w:r>
      <w:r>
        <w:rPr>
          <w:rFonts w:hint="eastAsia" w:ascii="宋体" w:hAnsi="宋体" w:eastAsia="宋体" w:cs="宋体"/>
          <w:color w:val="auto"/>
          <w:szCs w:val="21"/>
          <w:highlight w:val="none"/>
        </w:rPr>
        <w:t>。</w:t>
      </w:r>
    </w:p>
    <w:p w14:paraId="0D1BB33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textAlignment w:val="auto"/>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1.2.10</w:t>
      </w:r>
      <w:r>
        <w:rPr>
          <w:rFonts w:hint="eastAsia" w:ascii="宋体" w:hAnsi="宋体" w:eastAsia="宋体" w:cs="宋体"/>
          <w:color w:val="auto"/>
          <w:szCs w:val="21"/>
          <w:highlight w:val="none"/>
        </w:rPr>
        <w:t>合格投标人</w:t>
      </w:r>
    </w:p>
    <w:p w14:paraId="02E23F35">
      <w:pPr>
        <w:keepNext w:val="0"/>
        <w:keepLines w:val="0"/>
        <w:pageBreakBefore w:val="0"/>
        <w:widowControl w:val="0"/>
        <w:numPr>
          <w:ilvl w:val="0"/>
          <w:numId w:val="5"/>
        </w:numPr>
        <w:kinsoku/>
        <w:wordWrap/>
        <w:overflowPunct/>
        <w:topLinePunct w:val="0"/>
        <w:autoSpaceDE w:val="0"/>
        <w:autoSpaceDN w:val="0"/>
        <w:bidi w:val="0"/>
        <w:adjustRightInd w:val="0"/>
        <w:snapToGrid/>
        <w:spacing w:line="360" w:lineRule="auto"/>
        <w:ind w:left="0" w:leftChars="0" w:right="40" w:firstLine="420" w:firstLineChars="200"/>
        <w:jc w:val="left"/>
        <w:textAlignment w:val="auto"/>
        <w:outlineLvl w:val="9"/>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具有独立承担民事责任能力的法人、其他组织或者自然人；</w:t>
      </w:r>
    </w:p>
    <w:p w14:paraId="10264B70">
      <w:pPr>
        <w:keepNext w:val="0"/>
        <w:keepLines w:val="0"/>
        <w:pageBreakBefore w:val="0"/>
        <w:widowControl w:val="0"/>
        <w:numPr>
          <w:ilvl w:val="0"/>
          <w:numId w:val="5"/>
        </w:numPr>
        <w:kinsoku/>
        <w:wordWrap/>
        <w:overflowPunct/>
        <w:topLinePunct w:val="0"/>
        <w:autoSpaceDE w:val="0"/>
        <w:autoSpaceDN w:val="0"/>
        <w:bidi w:val="0"/>
        <w:adjustRightInd w:val="0"/>
        <w:snapToGrid/>
        <w:spacing w:line="360" w:lineRule="auto"/>
        <w:ind w:left="0" w:leftChars="0" w:right="40" w:firstLine="420" w:firstLineChars="200"/>
        <w:jc w:val="left"/>
        <w:textAlignment w:val="auto"/>
        <w:outlineLvl w:val="9"/>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具有良好的商业信誉和健全的财务会计制度；</w:t>
      </w:r>
    </w:p>
    <w:p w14:paraId="19B393F2">
      <w:pPr>
        <w:keepNext w:val="0"/>
        <w:keepLines w:val="0"/>
        <w:pageBreakBefore w:val="0"/>
        <w:widowControl w:val="0"/>
        <w:numPr>
          <w:ilvl w:val="0"/>
          <w:numId w:val="5"/>
        </w:numPr>
        <w:kinsoku/>
        <w:wordWrap/>
        <w:overflowPunct/>
        <w:topLinePunct w:val="0"/>
        <w:autoSpaceDE w:val="0"/>
        <w:autoSpaceDN w:val="0"/>
        <w:bidi w:val="0"/>
        <w:adjustRightInd w:val="0"/>
        <w:snapToGrid/>
        <w:spacing w:line="360" w:lineRule="auto"/>
        <w:ind w:left="0" w:leftChars="0" w:right="40" w:firstLine="420" w:firstLineChars="200"/>
        <w:jc w:val="left"/>
        <w:textAlignment w:val="auto"/>
        <w:outlineLvl w:val="9"/>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具有履行合同所必需的设备和专业技术能力；</w:t>
      </w:r>
    </w:p>
    <w:p w14:paraId="53D53C16">
      <w:pPr>
        <w:keepNext w:val="0"/>
        <w:keepLines w:val="0"/>
        <w:pageBreakBefore w:val="0"/>
        <w:widowControl w:val="0"/>
        <w:numPr>
          <w:ilvl w:val="0"/>
          <w:numId w:val="5"/>
        </w:numPr>
        <w:kinsoku/>
        <w:wordWrap/>
        <w:overflowPunct/>
        <w:topLinePunct w:val="0"/>
        <w:autoSpaceDE w:val="0"/>
        <w:autoSpaceDN w:val="0"/>
        <w:bidi w:val="0"/>
        <w:adjustRightInd w:val="0"/>
        <w:snapToGrid/>
        <w:spacing w:line="360" w:lineRule="auto"/>
        <w:ind w:left="0" w:leftChars="0" w:right="40" w:firstLine="420" w:firstLineChars="200"/>
        <w:jc w:val="left"/>
        <w:textAlignment w:val="auto"/>
        <w:outlineLvl w:val="9"/>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有依法缴纳税收和社会保障资金的良好记录；</w:t>
      </w:r>
    </w:p>
    <w:p w14:paraId="1E092557">
      <w:pPr>
        <w:keepNext w:val="0"/>
        <w:keepLines w:val="0"/>
        <w:pageBreakBefore w:val="0"/>
        <w:widowControl w:val="0"/>
        <w:numPr>
          <w:ilvl w:val="0"/>
          <w:numId w:val="5"/>
        </w:numPr>
        <w:kinsoku/>
        <w:wordWrap/>
        <w:overflowPunct/>
        <w:topLinePunct w:val="0"/>
        <w:autoSpaceDE w:val="0"/>
        <w:autoSpaceDN w:val="0"/>
        <w:bidi w:val="0"/>
        <w:adjustRightInd w:val="0"/>
        <w:snapToGrid/>
        <w:spacing w:line="360" w:lineRule="auto"/>
        <w:ind w:left="0" w:leftChars="0" w:right="40" w:firstLine="420" w:firstLineChars="200"/>
        <w:jc w:val="left"/>
        <w:textAlignment w:val="auto"/>
        <w:outlineLvl w:val="9"/>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参加政府采购活动前三年内，在经营活动中没有重大违法记录；</w:t>
      </w:r>
    </w:p>
    <w:p w14:paraId="750AE373">
      <w:pPr>
        <w:keepNext w:val="0"/>
        <w:keepLines w:val="0"/>
        <w:pageBreakBefore w:val="0"/>
        <w:widowControl w:val="0"/>
        <w:numPr>
          <w:ilvl w:val="0"/>
          <w:numId w:val="5"/>
        </w:numPr>
        <w:kinsoku/>
        <w:wordWrap/>
        <w:overflowPunct/>
        <w:topLinePunct w:val="0"/>
        <w:autoSpaceDE w:val="0"/>
        <w:autoSpaceDN w:val="0"/>
        <w:bidi w:val="0"/>
        <w:adjustRightInd w:val="0"/>
        <w:snapToGrid/>
        <w:spacing w:line="360" w:lineRule="auto"/>
        <w:ind w:left="0" w:leftChars="0" w:right="40" w:firstLine="420" w:firstLineChars="200"/>
        <w:jc w:val="left"/>
        <w:textAlignment w:val="auto"/>
        <w:outlineLvl w:val="9"/>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具有完善的售后服务体系，并能承担招标项目的供货和相关服务的企业；</w:t>
      </w:r>
    </w:p>
    <w:p w14:paraId="549378C9">
      <w:pPr>
        <w:keepNext w:val="0"/>
        <w:keepLines w:val="0"/>
        <w:pageBreakBefore w:val="0"/>
        <w:widowControl w:val="0"/>
        <w:numPr>
          <w:ilvl w:val="0"/>
          <w:numId w:val="5"/>
        </w:numPr>
        <w:kinsoku/>
        <w:wordWrap/>
        <w:overflowPunct/>
        <w:topLinePunct w:val="0"/>
        <w:autoSpaceDE w:val="0"/>
        <w:autoSpaceDN w:val="0"/>
        <w:bidi w:val="0"/>
        <w:adjustRightInd w:val="0"/>
        <w:snapToGrid/>
        <w:spacing w:line="360" w:lineRule="auto"/>
        <w:ind w:left="0" w:leftChars="0" w:right="40" w:firstLine="420" w:firstLineChars="200"/>
        <w:jc w:val="left"/>
        <w:textAlignment w:val="auto"/>
        <w:outlineLvl w:val="9"/>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已</w:t>
      </w:r>
      <w:r>
        <w:rPr>
          <w:rFonts w:hint="eastAsia" w:ascii="宋体" w:hAnsi="宋体" w:eastAsia="宋体" w:cs="宋体"/>
          <w:color w:val="auto"/>
          <w:kern w:val="0"/>
          <w:szCs w:val="21"/>
          <w:highlight w:val="none"/>
          <w:lang w:eastAsia="zh-CN"/>
        </w:rPr>
        <w:t>通过正规渠道获得本项目的招标文件</w:t>
      </w:r>
      <w:r>
        <w:rPr>
          <w:rFonts w:hint="eastAsia" w:ascii="宋体" w:hAnsi="宋体" w:eastAsia="宋体" w:cs="宋体"/>
          <w:color w:val="auto"/>
          <w:kern w:val="0"/>
          <w:szCs w:val="21"/>
          <w:highlight w:val="none"/>
        </w:rPr>
        <w:t>；</w:t>
      </w:r>
    </w:p>
    <w:p w14:paraId="0BB71667">
      <w:pPr>
        <w:keepNext w:val="0"/>
        <w:keepLines w:val="0"/>
        <w:pageBreakBefore w:val="0"/>
        <w:widowControl w:val="0"/>
        <w:numPr>
          <w:ilvl w:val="0"/>
          <w:numId w:val="5"/>
        </w:numPr>
        <w:kinsoku/>
        <w:wordWrap/>
        <w:overflowPunct/>
        <w:topLinePunct w:val="0"/>
        <w:autoSpaceDE w:val="0"/>
        <w:autoSpaceDN w:val="0"/>
        <w:bidi w:val="0"/>
        <w:adjustRightInd w:val="0"/>
        <w:snapToGrid/>
        <w:spacing w:line="360" w:lineRule="auto"/>
        <w:ind w:left="0" w:leftChars="0" w:right="40" w:firstLine="420" w:firstLineChars="200"/>
        <w:jc w:val="left"/>
        <w:textAlignment w:val="auto"/>
        <w:outlineLvl w:val="9"/>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未被依法暂停或者取消投标资格；</w:t>
      </w:r>
    </w:p>
    <w:p w14:paraId="52F37C38">
      <w:pPr>
        <w:keepNext w:val="0"/>
        <w:keepLines w:val="0"/>
        <w:pageBreakBefore w:val="0"/>
        <w:widowControl w:val="0"/>
        <w:numPr>
          <w:ilvl w:val="0"/>
          <w:numId w:val="5"/>
        </w:numPr>
        <w:kinsoku/>
        <w:wordWrap/>
        <w:overflowPunct/>
        <w:topLinePunct w:val="0"/>
        <w:autoSpaceDE w:val="0"/>
        <w:autoSpaceDN w:val="0"/>
        <w:bidi w:val="0"/>
        <w:adjustRightInd w:val="0"/>
        <w:snapToGrid/>
        <w:spacing w:line="360" w:lineRule="auto"/>
        <w:ind w:left="0" w:leftChars="0" w:right="40" w:firstLine="420" w:firstLineChars="200"/>
        <w:jc w:val="left"/>
        <w:textAlignment w:val="auto"/>
        <w:outlineLvl w:val="9"/>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未被责令停产停业、暂扣或者吊销许可证、暂扣或者吊销执照；</w:t>
      </w:r>
    </w:p>
    <w:p w14:paraId="29DC4065">
      <w:pPr>
        <w:keepNext w:val="0"/>
        <w:keepLines w:val="0"/>
        <w:pageBreakBefore w:val="0"/>
        <w:widowControl w:val="0"/>
        <w:numPr>
          <w:ilvl w:val="0"/>
          <w:numId w:val="5"/>
        </w:numPr>
        <w:kinsoku/>
        <w:wordWrap/>
        <w:overflowPunct/>
        <w:topLinePunct w:val="0"/>
        <w:autoSpaceDE w:val="0"/>
        <w:autoSpaceDN w:val="0"/>
        <w:bidi w:val="0"/>
        <w:adjustRightInd w:val="0"/>
        <w:snapToGrid/>
        <w:spacing w:line="360" w:lineRule="auto"/>
        <w:ind w:left="0" w:leftChars="0" w:right="40" w:firstLine="420" w:firstLineChars="200"/>
        <w:jc w:val="left"/>
        <w:textAlignment w:val="auto"/>
        <w:outlineLvl w:val="9"/>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法律、行政法规规定的其他条件。</w:t>
      </w:r>
    </w:p>
    <w:p w14:paraId="14B2597A">
      <w:pPr>
        <w:keepNext w:val="0"/>
        <w:keepLines w:val="0"/>
        <w:pageBreakBefore w:val="0"/>
        <w:widowControl w:val="0"/>
        <w:numPr>
          <w:ilvl w:val="0"/>
          <w:numId w:val="5"/>
        </w:numPr>
        <w:kinsoku/>
        <w:wordWrap/>
        <w:overflowPunct/>
        <w:topLinePunct w:val="0"/>
        <w:autoSpaceDE w:val="0"/>
        <w:autoSpaceDN w:val="0"/>
        <w:bidi w:val="0"/>
        <w:adjustRightInd w:val="0"/>
        <w:snapToGrid/>
        <w:spacing w:line="360" w:lineRule="auto"/>
        <w:ind w:left="0" w:leftChars="0" w:right="40" w:firstLine="420" w:firstLineChars="200"/>
        <w:jc w:val="left"/>
        <w:textAlignment w:val="auto"/>
        <w:outlineLvl w:val="9"/>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lang w:eastAsia="zh-CN"/>
        </w:rPr>
        <w:t>投标人须知前附表规定的其他条件。</w:t>
      </w:r>
    </w:p>
    <w:p w14:paraId="42D9043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textAlignment w:val="auto"/>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1.2.11</w:t>
      </w:r>
      <w:r>
        <w:rPr>
          <w:rFonts w:hint="eastAsia" w:ascii="宋体" w:hAnsi="宋体" w:eastAsia="宋体" w:cs="宋体"/>
          <w:color w:val="auto"/>
          <w:szCs w:val="21"/>
          <w:highlight w:val="none"/>
        </w:rPr>
        <w:t>投标人不得存在下列情形之一：</w:t>
      </w:r>
    </w:p>
    <w:p w14:paraId="286272BD">
      <w:pPr>
        <w:keepNext w:val="0"/>
        <w:keepLines w:val="0"/>
        <w:pageBreakBefore w:val="0"/>
        <w:widowControl w:val="0"/>
        <w:numPr>
          <w:ilvl w:val="0"/>
          <w:numId w:val="6"/>
        </w:numPr>
        <w:kinsoku/>
        <w:wordWrap/>
        <w:overflowPunct/>
        <w:topLinePunct w:val="0"/>
        <w:autoSpaceDE w:val="0"/>
        <w:autoSpaceDN w:val="0"/>
        <w:bidi w:val="0"/>
        <w:adjustRightInd w:val="0"/>
        <w:snapToGrid/>
        <w:spacing w:line="360" w:lineRule="auto"/>
        <w:ind w:left="0" w:leftChars="0" w:right="40" w:firstLine="420" w:firstLineChars="200"/>
        <w:jc w:val="left"/>
        <w:textAlignment w:val="auto"/>
        <w:outlineLvl w:val="9"/>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与采购人存在利害关系且可能影响招标公正性；</w:t>
      </w:r>
    </w:p>
    <w:p w14:paraId="5B89498D">
      <w:pPr>
        <w:keepNext w:val="0"/>
        <w:keepLines w:val="0"/>
        <w:pageBreakBefore w:val="0"/>
        <w:widowControl w:val="0"/>
        <w:numPr>
          <w:ilvl w:val="0"/>
          <w:numId w:val="6"/>
        </w:numPr>
        <w:kinsoku/>
        <w:wordWrap/>
        <w:overflowPunct/>
        <w:topLinePunct w:val="0"/>
        <w:autoSpaceDE w:val="0"/>
        <w:autoSpaceDN w:val="0"/>
        <w:bidi w:val="0"/>
        <w:adjustRightInd w:val="0"/>
        <w:snapToGrid/>
        <w:spacing w:line="360" w:lineRule="auto"/>
        <w:ind w:left="0" w:leftChars="0" w:right="40" w:firstLine="420" w:firstLineChars="200"/>
        <w:jc w:val="left"/>
        <w:textAlignment w:val="auto"/>
        <w:outlineLvl w:val="9"/>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与本招标项目的其他投标人为同一个单位负责人；</w:t>
      </w:r>
    </w:p>
    <w:p w14:paraId="4BF0EE06">
      <w:pPr>
        <w:keepNext w:val="0"/>
        <w:keepLines w:val="0"/>
        <w:pageBreakBefore w:val="0"/>
        <w:widowControl w:val="0"/>
        <w:numPr>
          <w:ilvl w:val="0"/>
          <w:numId w:val="6"/>
        </w:numPr>
        <w:kinsoku/>
        <w:wordWrap/>
        <w:overflowPunct/>
        <w:topLinePunct w:val="0"/>
        <w:autoSpaceDE w:val="0"/>
        <w:autoSpaceDN w:val="0"/>
        <w:bidi w:val="0"/>
        <w:adjustRightInd w:val="0"/>
        <w:snapToGrid/>
        <w:spacing w:line="360" w:lineRule="auto"/>
        <w:ind w:left="0" w:leftChars="0" w:right="40" w:firstLine="420" w:firstLineChars="200"/>
        <w:jc w:val="left"/>
        <w:textAlignment w:val="auto"/>
        <w:outlineLvl w:val="9"/>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与本招标项目的其他投标人存在控股、管理关系；</w:t>
      </w:r>
    </w:p>
    <w:p w14:paraId="135E1695">
      <w:pPr>
        <w:keepNext w:val="0"/>
        <w:keepLines w:val="0"/>
        <w:pageBreakBefore w:val="0"/>
        <w:widowControl w:val="0"/>
        <w:numPr>
          <w:ilvl w:val="0"/>
          <w:numId w:val="6"/>
        </w:numPr>
        <w:kinsoku/>
        <w:wordWrap/>
        <w:overflowPunct/>
        <w:topLinePunct w:val="0"/>
        <w:autoSpaceDE w:val="0"/>
        <w:autoSpaceDN w:val="0"/>
        <w:bidi w:val="0"/>
        <w:adjustRightInd w:val="0"/>
        <w:snapToGrid/>
        <w:spacing w:line="360" w:lineRule="auto"/>
        <w:ind w:left="0" w:leftChars="0" w:right="40" w:firstLine="420" w:firstLineChars="200"/>
        <w:jc w:val="left"/>
        <w:textAlignment w:val="auto"/>
        <w:outlineLvl w:val="9"/>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为本招标项目提供过</w:t>
      </w:r>
      <w:r>
        <w:rPr>
          <w:rFonts w:hint="eastAsia" w:ascii="宋体" w:hAnsi="宋体" w:eastAsia="宋体" w:cs="宋体"/>
          <w:color w:val="auto"/>
          <w:kern w:val="0"/>
          <w:szCs w:val="21"/>
          <w:highlight w:val="none"/>
          <w:lang w:eastAsia="zh-CN"/>
        </w:rPr>
        <w:t>整体</w:t>
      </w:r>
      <w:r>
        <w:rPr>
          <w:rFonts w:hint="eastAsia" w:ascii="宋体" w:hAnsi="宋体" w:eastAsia="宋体" w:cs="宋体"/>
          <w:color w:val="auto"/>
          <w:kern w:val="0"/>
          <w:szCs w:val="21"/>
          <w:highlight w:val="none"/>
        </w:rPr>
        <w:t>设计、</w:t>
      </w:r>
      <w:r>
        <w:rPr>
          <w:rFonts w:hint="eastAsia" w:ascii="宋体" w:hAnsi="宋体" w:eastAsia="宋体" w:cs="宋体"/>
          <w:color w:val="auto"/>
          <w:kern w:val="0"/>
          <w:szCs w:val="21"/>
          <w:highlight w:val="none"/>
          <w:lang w:eastAsia="zh-CN"/>
        </w:rPr>
        <w:t>规范</w:t>
      </w:r>
      <w:r>
        <w:rPr>
          <w:rFonts w:hint="eastAsia" w:ascii="宋体" w:hAnsi="宋体" w:eastAsia="宋体" w:cs="宋体"/>
          <w:color w:val="auto"/>
          <w:kern w:val="0"/>
          <w:szCs w:val="21"/>
          <w:highlight w:val="none"/>
        </w:rPr>
        <w:t>编制</w:t>
      </w:r>
      <w:r>
        <w:rPr>
          <w:rFonts w:hint="eastAsia" w:ascii="宋体" w:hAnsi="宋体" w:eastAsia="宋体" w:cs="宋体"/>
          <w:color w:val="auto"/>
          <w:kern w:val="0"/>
          <w:szCs w:val="21"/>
          <w:highlight w:val="none"/>
          <w:lang w:eastAsia="zh-CN"/>
        </w:rPr>
        <w:t>或者项目管理、监理、检测等服务</w:t>
      </w:r>
      <w:r>
        <w:rPr>
          <w:rFonts w:hint="eastAsia" w:ascii="宋体" w:hAnsi="宋体" w:eastAsia="宋体" w:cs="宋体"/>
          <w:color w:val="auto"/>
          <w:kern w:val="0"/>
          <w:szCs w:val="21"/>
          <w:highlight w:val="none"/>
        </w:rPr>
        <w:t>；</w:t>
      </w:r>
    </w:p>
    <w:p w14:paraId="3E6DF87D">
      <w:pPr>
        <w:keepNext w:val="0"/>
        <w:keepLines w:val="0"/>
        <w:pageBreakBefore w:val="0"/>
        <w:widowControl w:val="0"/>
        <w:numPr>
          <w:ilvl w:val="0"/>
          <w:numId w:val="6"/>
        </w:numPr>
        <w:kinsoku/>
        <w:wordWrap/>
        <w:overflowPunct/>
        <w:topLinePunct w:val="0"/>
        <w:autoSpaceDE w:val="0"/>
        <w:autoSpaceDN w:val="0"/>
        <w:bidi w:val="0"/>
        <w:adjustRightInd w:val="0"/>
        <w:snapToGrid/>
        <w:spacing w:line="360" w:lineRule="auto"/>
        <w:ind w:left="0" w:leftChars="0" w:right="40" w:firstLine="420" w:firstLineChars="200"/>
        <w:jc w:val="left"/>
        <w:textAlignment w:val="auto"/>
        <w:outlineLvl w:val="9"/>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为本招标项目的招标代理机构；</w:t>
      </w:r>
    </w:p>
    <w:p w14:paraId="26BEC5A6">
      <w:pPr>
        <w:keepNext w:val="0"/>
        <w:keepLines w:val="0"/>
        <w:pageBreakBefore w:val="0"/>
        <w:widowControl w:val="0"/>
        <w:numPr>
          <w:ilvl w:val="0"/>
          <w:numId w:val="6"/>
        </w:numPr>
        <w:kinsoku/>
        <w:wordWrap/>
        <w:overflowPunct/>
        <w:topLinePunct w:val="0"/>
        <w:autoSpaceDE w:val="0"/>
        <w:autoSpaceDN w:val="0"/>
        <w:bidi w:val="0"/>
        <w:adjustRightInd w:val="0"/>
        <w:snapToGrid/>
        <w:spacing w:line="360" w:lineRule="auto"/>
        <w:ind w:left="0" w:leftChars="0" w:right="40" w:firstLine="420" w:firstLineChars="200"/>
        <w:jc w:val="left"/>
        <w:textAlignment w:val="auto"/>
        <w:outlineLvl w:val="9"/>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投标人以他人名义投标、串通投标、以行贿手段牟取中标，或在投标中弄虚作假的；</w:t>
      </w:r>
    </w:p>
    <w:p w14:paraId="477AA909">
      <w:pPr>
        <w:keepNext w:val="0"/>
        <w:keepLines w:val="0"/>
        <w:pageBreakBefore w:val="0"/>
        <w:widowControl w:val="0"/>
        <w:numPr>
          <w:ilvl w:val="0"/>
          <w:numId w:val="6"/>
        </w:numPr>
        <w:kinsoku/>
        <w:wordWrap/>
        <w:overflowPunct/>
        <w:topLinePunct w:val="0"/>
        <w:autoSpaceDE w:val="0"/>
        <w:autoSpaceDN w:val="0"/>
        <w:bidi w:val="0"/>
        <w:adjustRightInd w:val="0"/>
        <w:snapToGrid/>
        <w:spacing w:line="360" w:lineRule="auto"/>
        <w:ind w:left="0" w:leftChars="0" w:right="40" w:firstLine="420" w:firstLineChars="200"/>
        <w:jc w:val="left"/>
        <w:textAlignment w:val="auto"/>
        <w:outlineLvl w:val="9"/>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法律法规规定的其他情形。</w:t>
      </w:r>
    </w:p>
    <w:p w14:paraId="226C4A1D">
      <w:pPr>
        <w:keepNext w:val="0"/>
        <w:keepLines w:val="0"/>
        <w:pageBreakBefore w:val="0"/>
        <w:widowControl w:val="0"/>
        <w:numPr>
          <w:ilvl w:val="0"/>
          <w:numId w:val="0"/>
        </w:numPr>
        <w:kinsoku/>
        <w:wordWrap/>
        <w:overflowPunct/>
        <w:topLinePunct/>
        <w:autoSpaceDE/>
        <w:autoSpaceDN/>
        <w:bidi w:val="0"/>
        <w:adjustRightInd/>
        <w:snapToGrid/>
        <w:spacing w:beforeAutospacing="0" w:afterAutospacing="0" w:line="360" w:lineRule="auto"/>
        <w:ind w:leftChars="200" w:right="0" w:rightChars="0"/>
        <w:jc w:val="both"/>
        <w:textAlignment w:val="auto"/>
        <w:outlineLvl w:val="9"/>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1.2.12有下列情形之一的，视为投标人串通投标，其投标文件无效：</w:t>
      </w:r>
    </w:p>
    <w:p w14:paraId="4CF8D7BB">
      <w:pPr>
        <w:keepNext w:val="0"/>
        <w:keepLines w:val="0"/>
        <w:pageBreakBefore w:val="0"/>
        <w:widowControl w:val="0"/>
        <w:numPr>
          <w:ilvl w:val="0"/>
          <w:numId w:val="7"/>
        </w:numPr>
        <w:kinsoku/>
        <w:wordWrap/>
        <w:overflowPunct/>
        <w:topLinePunct w:val="0"/>
        <w:autoSpaceDE w:val="0"/>
        <w:autoSpaceDN w:val="0"/>
        <w:bidi w:val="0"/>
        <w:adjustRightInd w:val="0"/>
        <w:snapToGrid/>
        <w:spacing w:line="360" w:lineRule="auto"/>
        <w:ind w:left="0" w:leftChars="0" w:right="40" w:firstLine="420" w:firstLineChars="200"/>
        <w:jc w:val="left"/>
        <w:textAlignment w:val="auto"/>
        <w:outlineLvl w:val="9"/>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不同投标人的投标文件由同一单位或者个人编制；</w:t>
      </w:r>
    </w:p>
    <w:p w14:paraId="5A164784">
      <w:pPr>
        <w:keepNext w:val="0"/>
        <w:keepLines w:val="0"/>
        <w:pageBreakBefore w:val="0"/>
        <w:widowControl w:val="0"/>
        <w:numPr>
          <w:ilvl w:val="0"/>
          <w:numId w:val="7"/>
        </w:numPr>
        <w:kinsoku/>
        <w:wordWrap/>
        <w:overflowPunct/>
        <w:topLinePunct w:val="0"/>
        <w:autoSpaceDE w:val="0"/>
        <w:autoSpaceDN w:val="0"/>
        <w:bidi w:val="0"/>
        <w:adjustRightInd w:val="0"/>
        <w:snapToGrid/>
        <w:spacing w:line="360" w:lineRule="auto"/>
        <w:ind w:left="0" w:leftChars="0" w:right="40" w:firstLine="420" w:firstLineChars="200"/>
        <w:jc w:val="left"/>
        <w:textAlignment w:val="auto"/>
        <w:outlineLvl w:val="9"/>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不同投标人委托同一单位或者个人办理投标事宜；</w:t>
      </w:r>
    </w:p>
    <w:p w14:paraId="1785182D">
      <w:pPr>
        <w:keepNext w:val="0"/>
        <w:keepLines w:val="0"/>
        <w:pageBreakBefore w:val="0"/>
        <w:widowControl w:val="0"/>
        <w:numPr>
          <w:ilvl w:val="0"/>
          <w:numId w:val="7"/>
        </w:numPr>
        <w:kinsoku/>
        <w:wordWrap/>
        <w:overflowPunct/>
        <w:topLinePunct w:val="0"/>
        <w:autoSpaceDE w:val="0"/>
        <w:autoSpaceDN w:val="0"/>
        <w:bidi w:val="0"/>
        <w:adjustRightInd w:val="0"/>
        <w:snapToGrid/>
        <w:spacing w:line="360" w:lineRule="auto"/>
        <w:ind w:left="0" w:leftChars="0" w:right="40" w:firstLine="420" w:firstLineChars="200"/>
        <w:jc w:val="left"/>
        <w:textAlignment w:val="auto"/>
        <w:outlineLvl w:val="9"/>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不同投标人的投标文件载明的项目管理成员或者联系人员为同一人；</w:t>
      </w:r>
    </w:p>
    <w:p w14:paraId="49A909D9">
      <w:pPr>
        <w:keepNext w:val="0"/>
        <w:keepLines w:val="0"/>
        <w:pageBreakBefore w:val="0"/>
        <w:widowControl w:val="0"/>
        <w:numPr>
          <w:ilvl w:val="0"/>
          <w:numId w:val="7"/>
        </w:numPr>
        <w:kinsoku/>
        <w:wordWrap/>
        <w:overflowPunct/>
        <w:topLinePunct w:val="0"/>
        <w:autoSpaceDE w:val="0"/>
        <w:autoSpaceDN w:val="0"/>
        <w:bidi w:val="0"/>
        <w:adjustRightInd w:val="0"/>
        <w:snapToGrid/>
        <w:spacing w:line="360" w:lineRule="auto"/>
        <w:ind w:left="0" w:leftChars="0" w:right="40" w:firstLine="420" w:firstLineChars="200"/>
        <w:jc w:val="left"/>
        <w:textAlignment w:val="auto"/>
        <w:outlineLvl w:val="9"/>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不同投标人的投标文件异常一致或者响应报价呈规律性差异；</w:t>
      </w:r>
    </w:p>
    <w:p w14:paraId="3F454CB7">
      <w:pPr>
        <w:keepNext w:val="0"/>
        <w:keepLines w:val="0"/>
        <w:pageBreakBefore w:val="0"/>
        <w:widowControl w:val="0"/>
        <w:numPr>
          <w:ilvl w:val="0"/>
          <w:numId w:val="7"/>
        </w:numPr>
        <w:kinsoku/>
        <w:wordWrap/>
        <w:overflowPunct/>
        <w:topLinePunct w:val="0"/>
        <w:autoSpaceDE w:val="0"/>
        <w:autoSpaceDN w:val="0"/>
        <w:bidi w:val="0"/>
        <w:adjustRightInd w:val="0"/>
        <w:snapToGrid/>
        <w:spacing w:line="360" w:lineRule="auto"/>
        <w:ind w:left="0" w:leftChars="0" w:right="40" w:firstLine="420" w:firstLineChars="200"/>
        <w:jc w:val="left"/>
        <w:textAlignment w:val="auto"/>
        <w:outlineLvl w:val="9"/>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不同投标人的投标文件相互混装；</w:t>
      </w:r>
    </w:p>
    <w:p w14:paraId="0678E4DF">
      <w:pPr>
        <w:keepNext w:val="0"/>
        <w:keepLines w:val="0"/>
        <w:pageBreakBefore w:val="0"/>
        <w:widowControl w:val="0"/>
        <w:numPr>
          <w:ilvl w:val="0"/>
          <w:numId w:val="7"/>
        </w:numPr>
        <w:kinsoku/>
        <w:wordWrap/>
        <w:overflowPunct/>
        <w:topLinePunct w:val="0"/>
        <w:autoSpaceDE w:val="0"/>
        <w:autoSpaceDN w:val="0"/>
        <w:bidi w:val="0"/>
        <w:adjustRightInd w:val="0"/>
        <w:snapToGrid/>
        <w:spacing w:line="360" w:lineRule="auto"/>
        <w:ind w:left="0" w:leftChars="0" w:right="40" w:firstLine="420" w:firstLineChars="200"/>
        <w:jc w:val="left"/>
        <w:textAlignment w:val="auto"/>
        <w:outlineLvl w:val="9"/>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不同投标人的入围保证金从同一单位或者个人的账户转出；</w:t>
      </w:r>
    </w:p>
    <w:p w14:paraId="38B5B336">
      <w:pPr>
        <w:keepNext w:val="0"/>
        <w:keepLines w:val="0"/>
        <w:pageBreakBefore w:val="0"/>
        <w:widowControl w:val="0"/>
        <w:numPr>
          <w:ilvl w:val="0"/>
          <w:numId w:val="7"/>
        </w:numPr>
        <w:kinsoku/>
        <w:wordWrap/>
        <w:overflowPunct/>
        <w:topLinePunct w:val="0"/>
        <w:autoSpaceDE w:val="0"/>
        <w:autoSpaceDN w:val="0"/>
        <w:bidi w:val="0"/>
        <w:adjustRightInd w:val="0"/>
        <w:snapToGrid/>
        <w:spacing w:line="360" w:lineRule="auto"/>
        <w:ind w:left="0" w:leftChars="0" w:right="40" w:firstLine="420" w:firstLineChars="200"/>
        <w:jc w:val="left"/>
        <w:textAlignment w:val="auto"/>
        <w:outlineLvl w:val="9"/>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不同投标人的电子投标文件上传计算机的网卡MAC地址、CPU序列号和硬盘序列号等硬件信息相同的；</w:t>
      </w:r>
    </w:p>
    <w:p w14:paraId="184333D0">
      <w:pPr>
        <w:keepNext w:val="0"/>
        <w:keepLines w:val="0"/>
        <w:pageBreakBefore w:val="0"/>
        <w:widowControl w:val="0"/>
        <w:numPr>
          <w:ilvl w:val="0"/>
          <w:numId w:val="7"/>
        </w:numPr>
        <w:kinsoku/>
        <w:wordWrap/>
        <w:overflowPunct/>
        <w:topLinePunct w:val="0"/>
        <w:autoSpaceDE w:val="0"/>
        <w:autoSpaceDN w:val="0"/>
        <w:bidi w:val="0"/>
        <w:adjustRightInd w:val="0"/>
        <w:snapToGrid/>
        <w:spacing w:line="360" w:lineRule="auto"/>
        <w:ind w:left="0" w:leftChars="0" w:right="40" w:firstLine="420" w:firstLineChars="200"/>
        <w:jc w:val="left"/>
        <w:textAlignment w:val="auto"/>
        <w:outlineLvl w:val="9"/>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不同投标人的投标文件由同一电子设备编制、打印加密或者上传；</w:t>
      </w:r>
    </w:p>
    <w:p w14:paraId="6FBF054E">
      <w:pPr>
        <w:keepNext w:val="0"/>
        <w:keepLines w:val="0"/>
        <w:pageBreakBefore w:val="0"/>
        <w:widowControl w:val="0"/>
        <w:numPr>
          <w:ilvl w:val="0"/>
          <w:numId w:val="7"/>
        </w:numPr>
        <w:kinsoku/>
        <w:wordWrap/>
        <w:overflowPunct/>
        <w:topLinePunct w:val="0"/>
        <w:autoSpaceDE w:val="0"/>
        <w:autoSpaceDN w:val="0"/>
        <w:bidi w:val="0"/>
        <w:adjustRightInd w:val="0"/>
        <w:snapToGrid/>
        <w:spacing w:line="360" w:lineRule="auto"/>
        <w:ind w:left="0" w:leftChars="0" w:right="40" w:firstLine="420" w:firstLineChars="200"/>
        <w:jc w:val="left"/>
        <w:textAlignment w:val="auto"/>
        <w:outlineLvl w:val="9"/>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不同投标人的投标文件由同一电子设备打印、复印；</w:t>
      </w:r>
    </w:p>
    <w:p w14:paraId="74CAAF31">
      <w:pPr>
        <w:keepNext w:val="0"/>
        <w:keepLines w:val="0"/>
        <w:pageBreakBefore w:val="0"/>
        <w:widowControl w:val="0"/>
        <w:numPr>
          <w:ilvl w:val="0"/>
          <w:numId w:val="7"/>
        </w:numPr>
        <w:kinsoku/>
        <w:wordWrap/>
        <w:overflowPunct/>
        <w:topLinePunct w:val="0"/>
        <w:autoSpaceDE w:val="0"/>
        <w:autoSpaceDN w:val="0"/>
        <w:bidi w:val="0"/>
        <w:adjustRightInd w:val="0"/>
        <w:snapToGrid/>
        <w:spacing w:line="360" w:lineRule="auto"/>
        <w:ind w:left="0" w:leftChars="0" w:right="40" w:firstLine="420" w:firstLineChars="200"/>
        <w:jc w:val="left"/>
        <w:textAlignment w:val="auto"/>
        <w:outlineLvl w:val="9"/>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不同投标人的投标文件由同一人送达或者分发，或者不同投标人联系人为同一人或不同联系人的联系电话一致的；</w:t>
      </w:r>
    </w:p>
    <w:p w14:paraId="7E647DA2">
      <w:pPr>
        <w:keepNext w:val="0"/>
        <w:keepLines w:val="0"/>
        <w:pageBreakBefore w:val="0"/>
        <w:widowControl w:val="0"/>
        <w:numPr>
          <w:ilvl w:val="0"/>
          <w:numId w:val="7"/>
        </w:numPr>
        <w:kinsoku/>
        <w:wordWrap/>
        <w:overflowPunct/>
        <w:topLinePunct w:val="0"/>
        <w:autoSpaceDE w:val="0"/>
        <w:autoSpaceDN w:val="0"/>
        <w:bidi w:val="0"/>
        <w:adjustRightInd w:val="0"/>
        <w:snapToGrid/>
        <w:spacing w:line="360" w:lineRule="auto"/>
        <w:ind w:left="0" w:leftChars="0" w:right="40" w:firstLine="420" w:firstLineChars="200"/>
        <w:jc w:val="left"/>
        <w:textAlignment w:val="auto"/>
        <w:outlineLvl w:val="9"/>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不同投标人的投标文件的内容存在两处以上细节错误一致；</w:t>
      </w:r>
    </w:p>
    <w:p w14:paraId="761CCC69">
      <w:pPr>
        <w:keepNext w:val="0"/>
        <w:keepLines w:val="0"/>
        <w:pageBreakBefore w:val="0"/>
        <w:widowControl w:val="0"/>
        <w:numPr>
          <w:ilvl w:val="0"/>
          <w:numId w:val="7"/>
        </w:numPr>
        <w:kinsoku/>
        <w:wordWrap/>
        <w:overflowPunct/>
        <w:topLinePunct w:val="0"/>
        <w:autoSpaceDE w:val="0"/>
        <w:autoSpaceDN w:val="0"/>
        <w:bidi w:val="0"/>
        <w:adjustRightInd w:val="0"/>
        <w:snapToGrid/>
        <w:spacing w:line="360" w:lineRule="auto"/>
        <w:ind w:left="0" w:leftChars="0" w:right="40" w:firstLine="420" w:firstLineChars="200"/>
        <w:jc w:val="left"/>
        <w:textAlignment w:val="auto"/>
        <w:outlineLvl w:val="9"/>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不同投标人的法定代表人、委托代理人、项目经理、项目负责人等由同一个单位缴纳社会保险或者领取报酬的；</w:t>
      </w:r>
    </w:p>
    <w:p w14:paraId="1726162C">
      <w:pPr>
        <w:keepNext w:val="0"/>
        <w:keepLines w:val="0"/>
        <w:pageBreakBefore w:val="0"/>
        <w:widowControl w:val="0"/>
        <w:numPr>
          <w:ilvl w:val="0"/>
          <w:numId w:val="7"/>
        </w:numPr>
        <w:kinsoku/>
        <w:wordWrap/>
        <w:overflowPunct/>
        <w:topLinePunct w:val="0"/>
        <w:autoSpaceDE w:val="0"/>
        <w:autoSpaceDN w:val="0"/>
        <w:bidi w:val="0"/>
        <w:adjustRightInd w:val="0"/>
        <w:snapToGrid/>
        <w:spacing w:line="360" w:lineRule="auto"/>
        <w:ind w:left="0" w:leftChars="0" w:right="40" w:firstLine="420" w:firstLineChars="200"/>
        <w:jc w:val="left"/>
        <w:textAlignment w:val="auto"/>
        <w:outlineLvl w:val="9"/>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不同投标人投标文件中法定代表人或者负责人签字出自同一人之手；</w:t>
      </w:r>
    </w:p>
    <w:p w14:paraId="0EB7A6CA">
      <w:pPr>
        <w:keepNext w:val="0"/>
        <w:keepLines w:val="0"/>
        <w:pageBreakBefore w:val="0"/>
        <w:widowControl w:val="0"/>
        <w:numPr>
          <w:ilvl w:val="0"/>
          <w:numId w:val="7"/>
        </w:numPr>
        <w:kinsoku/>
        <w:wordWrap/>
        <w:overflowPunct/>
        <w:topLinePunct w:val="0"/>
        <w:autoSpaceDE w:val="0"/>
        <w:autoSpaceDN w:val="0"/>
        <w:bidi w:val="0"/>
        <w:adjustRightInd w:val="0"/>
        <w:snapToGrid/>
        <w:spacing w:line="360" w:lineRule="auto"/>
        <w:ind w:left="0" w:leftChars="0" w:right="40" w:firstLine="420" w:firstLineChars="200"/>
        <w:jc w:val="left"/>
        <w:textAlignment w:val="auto"/>
        <w:outlineLvl w:val="9"/>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其它涉嫌串通的情形。</w:t>
      </w:r>
    </w:p>
    <w:p w14:paraId="73B150F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textAlignment w:val="auto"/>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1.2.13</w:t>
      </w:r>
      <w:r>
        <w:rPr>
          <w:rFonts w:hint="eastAsia" w:ascii="宋体" w:hAnsi="宋体" w:eastAsia="宋体" w:cs="宋体"/>
          <w:color w:val="auto"/>
          <w:szCs w:val="21"/>
          <w:highlight w:val="none"/>
        </w:rPr>
        <w:t>中标人：接到并接受中标通知，最终被授予合同的投标人。</w:t>
      </w:r>
    </w:p>
    <w:p w14:paraId="5549FA7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textAlignment w:val="auto"/>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1.2.14</w:t>
      </w:r>
      <w:r>
        <w:rPr>
          <w:rFonts w:hint="eastAsia" w:ascii="宋体" w:hAnsi="宋体" w:eastAsia="宋体" w:cs="宋体"/>
          <w:color w:val="auto"/>
          <w:szCs w:val="21"/>
          <w:highlight w:val="none"/>
        </w:rPr>
        <w:t>投标文件：指投标人根据招标文件提交的所有文件。</w:t>
      </w:r>
    </w:p>
    <w:p w14:paraId="01E59024">
      <w:pPr>
        <w:pStyle w:val="6"/>
        <w:pageBreakBefore w:val="0"/>
        <w:numPr>
          <w:ilvl w:val="1"/>
          <w:numId w:val="4"/>
        </w:numPr>
        <w:kinsoku/>
        <w:overflowPunct/>
        <w:bidi w:val="0"/>
        <w:spacing w:line="360" w:lineRule="auto"/>
        <w:rPr>
          <w:rFonts w:hint="eastAsia" w:ascii="宋体" w:hAnsi="宋体" w:eastAsia="宋体" w:cs="宋体"/>
          <w:color w:val="auto"/>
          <w:highlight w:val="none"/>
          <w:lang w:eastAsia="zh-CN"/>
        </w:rPr>
      </w:pPr>
      <w:bookmarkStart w:id="168" w:name="_Toc8166"/>
      <w:bookmarkStart w:id="169" w:name="_Toc29288"/>
      <w:bookmarkStart w:id="170" w:name="_Toc25850"/>
      <w:bookmarkStart w:id="171" w:name="_Toc31273"/>
      <w:bookmarkStart w:id="172" w:name="_Toc4927"/>
      <w:bookmarkStart w:id="173" w:name="_Toc9501"/>
      <w:r>
        <w:rPr>
          <w:rFonts w:hint="eastAsia" w:ascii="宋体" w:hAnsi="宋体" w:eastAsia="宋体" w:cs="宋体"/>
          <w:color w:val="auto"/>
          <w:highlight w:val="none"/>
          <w:lang w:eastAsia="zh-CN"/>
        </w:rPr>
        <w:t>投标费用</w:t>
      </w:r>
      <w:bookmarkEnd w:id="168"/>
      <w:bookmarkEnd w:id="169"/>
      <w:bookmarkEnd w:id="170"/>
      <w:bookmarkEnd w:id="171"/>
      <w:bookmarkEnd w:id="172"/>
      <w:bookmarkEnd w:id="173"/>
    </w:p>
    <w:p w14:paraId="485416B3">
      <w:pPr>
        <w:keepNext w:val="0"/>
        <w:keepLines w:val="0"/>
        <w:pageBreakBefore w:val="0"/>
        <w:widowControl w:val="0"/>
        <w:numPr>
          <w:ilvl w:val="2"/>
          <w:numId w:val="4"/>
        </w:numPr>
        <w:kinsoku/>
        <w:wordWrap/>
        <w:overflowPunct/>
        <w:topLinePunct w:val="0"/>
        <w:autoSpaceDE/>
        <w:autoSpaceDN/>
        <w:bidi w:val="0"/>
        <w:adjustRightInd/>
        <w:snapToGrid/>
        <w:spacing w:line="360" w:lineRule="auto"/>
        <w:ind w:left="0" w:leftChars="0" w:firstLine="420" w:firstLineChars="200"/>
        <w:textAlignment w:val="auto"/>
        <w:outlineLvl w:val="9"/>
        <w:rPr>
          <w:rFonts w:hint="eastAsia" w:ascii="宋体" w:hAnsi="宋体" w:eastAsia="宋体" w:cs="宋体"/>
          <w:color w:val="auto"/>
          <w:szCs w:val="21"/>
          <w:highlight w:val="none"/>
        </w:rPr>
      </w:pPr>
      <w:bookmarkStart w:id="174" w:name="_Toc22953398"/>
      <w:bookmarkEnd w:id="174"/>
      <w:bookmarkStart w:id="175" w:name="_Toc312133544"/>
      <w:r>
        <w:rPr>
          <w:rFonts w:hint="eastAsia" w:ascii="宋体" w:hAnsi="宋体" w:eastAsia="宋体" w:cs="宋体"/>
          <w:color w:val="auto"/>
          <w:szCs w:val="21"/>
          <w:highlight w:val="none"/>
        </w:rPr>
        <w:t>投标人准备和参加投标活动发生的费用自理。</w:t>
      </w:r>
    </w:p>
    <w:p w14:paraId="52574B10">
      <w:pPr>
        <w:pStyle w:val="6"/>
        <w:pageBreakBefore w:val="0"/>
        <w:numPr>
          <w:ilvl w:val="1"/>
          <w:numId w:val="4"/>
        </w:numPr>
        <w:kinsoku/>
        <w:overflowPunct/>
        <w:bidi w:val="0"/>
        <w:spacing w:line="360" w:lineRule="auto"/>
        <w:rPr>
          <w:rFonts w:hint="eastAsia" w:ascii="宋体" w:hAnsi="宋体" w:eastAsia="宋体" w:cs="宋体"/>
          <w:color w:val="auto"/>
          <w:highlight w:val="none"/>
        </w:rPr>
      </w:pPr>
      <w:bookmarkStart w:id="176" w:name="_Toc1130"/>
      <w:bookmarkStart w:id="177" w:name="_Toc13179"/>
      <w:bookmarkStart w:id="178" w:name="_Toc28829"/>
      <w:bookmarkStart w:id="179" w:name="_Toc30990"/>
      <w:bookmarkStart w:id="180" w:name="_Toc27093"/>
      <w:bookmarkStart w:id="181" w:name="_Toc12301"/>
      <w:bookmarkStart w:id="182" w:name="_Toc28577"/>
      <w:bookmarkStart w:id="183" w:name="_Toc27047"/>
      <w:bookmarkStart w:id="184" w:name="_Toc13660"/>
      <w:bookmarkStart w:id="185" w:name="_Toc7192"/>
      <w:bookmarkStart w:id="186" w:name="_Toc31440"/>
      <w:bookmarkStart w:id="187" w:name="_Toc23865"/>
      <w:bookmarkStart w:id="188" w:name="_Toc18613"/>
      <w:r>
        <w:rPr>
          <w:rFonts w:hint="eastAsia" w:ascii="宋体" w:hAnsi="宋体" w:eastAsia="宋体" w:cs="宋体"/>
          <w:color w:val="auto"/>
          <w:highlight w:val="none"/>
        </w:rPr>
        <w:t>现场考察或答疑会</w:t>
      </w:r>
      <w:bookmarkEnd w:id="176"/>
      <w:bookmarkEnd w:id="177"/>
      <w:bookmarkEnd w:id="178"/>
      <w:bookmarkEnd w:id="179"/>
      <w:bookmarkEnd w:id="180"/>
      <w:bookmarkEnd w:id="181"/>
      <w:bookmarkEnd w:id="182"/>
      <w:bookmarkEnd w:id="183"/>
      <w:bookmarkEnd w:id="184"/>
      <w:bookmarkEnd w:id="185"/>
      <w:bookmarkEnd w:id="186"/>
      <w:bookmarkEnd w:id="187"/>
      <w:bookmarkEnd w:id="188"/>
      <w:r>
        <w:rPr>
          <w:rFonts w:hint="eastAsia" w:ascii="宋体" w:hAnsi="宋体" w:eastAsia="宋体" w:cs="宋体"/>
          <w:color w:val="auto"/>
          <w:highlight w:val="none"/>
          <w:lang w:eastAsia="zh-CN"/>
        </w:rPr>
        <w:t>（</w:t>
      </w:r>
      <w:r>
        <w:rPr>
          <w:rFonts w:hint="eastAsia" w:ascii="宋体" w:hAnsi="宋体" w:eastAsia="宋体" w:cs="宋体"/>
          <w:color w:val="auto"/>
          <w:highlight w:val="none"/>
          <w:lang w:val="en-US" w:eastAsia="zh-CN"/>
        </w:rPr>
        <w:t>不适用</w:t>
      </w:r>
      <w:r>
        <w:rPr>
          <w:rFonts w:hint="eastAsia" w:ascii="宋体" w:hAnsi="宋体" w:eastAsia="宋体" w:cs="宋体"/>
          <w:color w:val="auto"/>
          <w:highlight w:val="none"/>
          <w:lang w:eastAsia="zh-CN"/>
        </w:rPr>
        <w:t>）</w:t>
      </w:r>
    </w:p>
    <w:p w14:paraId="4E293839">
      <w:pPr>
        <w:keepNext w:val="0"/>
        <w:keepLines w:val="0"/>
        <w:pageBreakBefore w:val="0"/>
        <w:widowControl w:val="0"/>
        <w:numPr>
          <w:ilvl w:val="2"/>
          <w:numId w:val="4"/>
        </w:numPr>
        <w:kinsoku/>
        <w:wordWrap/>
        <w:overflowPunct/>
        <w:topLinePunct w:val="0"/>
        <w:autoSpaceDE/>
        <w:autoSpaceDN/>
        <w:bidi w:val="0"/>
        <w:adjustRightInd/>
        <w:snapToGrid/>
        <w:spacing w:line="360" w:lineRule="auto"/>
        <w:ind w:left="0" w:leftChars="0" w:firstLine="420" w:firstLineChars="200"/>
        <w:textAlignment w:val="auto"/>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现场考察：投标人须知前附表规定组织现场</w:t>
      </w:r>
      <w:r>
        <w:rPr>
          <w:rFonts w:hint="eastAsia" w:ascii="宋体" w:hAnsi="宋体" w:eastAsia="宋体" w:cs="宋体"/>
          <w:color w:val="auto"/>
          <w:szCs w:val="21"/>
          <w:highlight w:val="none"/>
          <w:lang w:eastAsia="zh-CN"/>
        </w:rPr>
        <w:t>考察</w:t>
      </w:r>
      <w:r>
        <w:rPr>
          <w:rFonts w:hint="eastAsia" w:ascii="宋体" w:hAnsi="宋体" w:eastAsia="宋体" w:cs="宋体"/>
          <w:color w:val="auto"/>
          <w:szCs w:val="21"/>
          <w:highlight w:val="none"/>
        </w:rPr>
        <w:t>的，</w:t>
      </w:r>
      <w:r>
        <w:rPr>
          <w:rFonts w:hint="eastAsia" w:ascii="宋体" w:hAnsi="宋体" w:eastAsia="宋体" w:cs="宋体"/>
          <w:color w:val="auto"/>
          <w:szCs w:val="21"/>
          <w:highlight w:val="none"/>
          <w:lang w:eastAsia="zh-CN"/>
        </w:rPr>
        <w:t>采购人</w:t>
      </w:r>
      <w:r>
        <w:rPr>
          <w:rFonts w:hint="eastAsia" w:ascii="宋体" w:hAnsi="宋体" w:eastAsia="宋体" w:cs="宋体"/>
          <w:color w:val="auto"/>
          <w:szCs w:val="21"/>
          <w:highlight w:val="none"/>
        </w:rPr>
        <w:t>按投标人须知前附表规定的时间、地点组织投标人</w:t>
      </w:r>
      <w:r>
        <w:rPr>
          <w:rFonts w:hint="eastAsia" w:ascii="宋体" w:hAnsi="宋体" w:eastAsia="宋体" w:cs="宋体"/>
          <w:color w:val="auto"/>
          <w:szCs w:val="21"/>
          <w:highlight w:val="none"/>
          <w:lang w:eastAsia="zh-CN"/>
        </w:rPr>
        <w:t>考察</w:t>
      </w:r>
      <w:r>
        <w:rPr>
          <w:rFonts w:hint="eastAsia" w:ascii="宋体" w:hAnsi="宋体" w:eastAsia="宋体" w:cs="宋体"/>
          <w:color w:val="auto"/>
          <w:szCs w:val="21"/>
          <w:highlight w:val="none"/>
        </w:rPr>
        <w:t>项目现场。部分投标人未按时参加现场</w:t>
      </w:r>
      <w:r>
        <w:rPr>
          <w:rFonts w:hint="eastAsia" w:ascii="宋体" w:hAnsi="宋体" w:eastAsia="宋体" w:cs="宋体"/>
          <w:color w:val="auto"/>
          <w:szCs w:val="21"/>
          <w:highlight w:val="none"/>
          <w:lang w:eastAsia="zh-CN"/>
        </w:rPr>
        <w:t>考察</w:t>
      </w:r>
      <w:r>
        <w:rPr>
          <w:rFonts w:hint="eastAsia" w:ascii="宋体" w:hAnsi="宋体" w:eastAsia="宋体" w:cs="宋体"/>
          <w:color w:val="auto"/>
          <w:szCs w:val="21"/>
          <w:highlight w:val="none"/>
        </w:rPr>
        <w:t>的，不影响现场</w:t>
      </w:r>
      <w:r>
        <w:rPr>
          <w:rFonts w:hint="eastAsia" w:ascii="宋体" w:hAnsi="宋体" w:eastAsia="宋体" w:cs="宋体"/>
          <w:color w:val="auto"/>
          <w:szCs w:val="21"/>
          <w:highlight w:val="none"/>
          <w:lang w:eastAsia="zh-CN"/>
        </w:rPr>
        <w:t>考察</w:t>
      </w:r>
      <w:r>
        <w:rPr>
          <w:rFonts w:hint="eastAsia" w:ascii="宋体" w:hAnsi="宋体" w:eastAsia="宋体" w:cs="宋体"/>
          <w:color w:val="auto"/>
          <w:szCs w:val="21"/>
          <w:highlight w:val="none"/>
        </w:rPr>
        <w:t>的正常进行。</w:t>
      </w:r>
    </w:p>
    <w:p w14:paraId="105E603D">
      <w:pPr>
        <w:keepNext w:val="0"/>
        <w:keepLines w:val="0"/>
        <w:pageBreakBefore w:val="0"/>
        <w:widowControl w:val="0"/>
        <w:numPr>
          <w:ilvl w:val="2"/>
          <w:numId w:val="4"/>
        </w:numPr>
        <w:kinsoku/>
        <w:wordWrap/>
        <w:overflowPunct/>
        <w:topLinePunct w:val="0"/>
        <w:autoSpaceDE/>
        <w:autoSpaceDN/>
        <w:bidi w:val="0"/>
        <w:adjustRightInd/>
        <w:snapToGrid/>
        <w:spacing w:line="360" w:lineRule="auto"/>
        <w:ind w:left="0" w:leftChars="0" w:firstLine="420" w:firstLineChars="200"/>
        <w:textAlignment w:val="auto"/>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投标人现场</w:t>
      </w:r>
      <w:r>
        <w:rPr>
          <w:rFonts w:hint="eastAsia" w:ascii="宋体" w:hAnsi="宋体" w:eastAsia="宋体" w:cs="宋体"/>
          <w:color w:val="auto"/>
          <w:szCs w:val="21"/>
          <w:highlight w:val="none"/>
          <w:lang w:eastAsia="zh-CN"/>
        </w:rPr>
        <w:t>考察</w:t>
      </w:r>
      <w:r>
        <w:rPr>
          <w:rFonts w:hint="eastAsia" w:ascii="宋体" w:hAnsi="宋体" w:eastAsia="宋体" w:cs="宋体"/>
          <w:color w:val="auto"/>
          <w:szCs w:val="21"/>
          <w:highlight w:val="none"/>
        </w:rPr>
        <w:t>发生的费用自理。</w:t>
      </w:r>
    </w:p>
    <w:p w14:paraId="264F5AAC">
      <w:pPr>
        <w:keepNext w:val="0"/>
        <w:keepLines w:val="0"/>
        <w:pageBreakBefore w:val="0"/>
        <w:widowControl w:val="0"/>
        <w:numPr>
          <w:ilvl w:val="2"/>
          <w:numId w:val="4"/>
        </w:numPr>
        <w:kinsoku/>
        <w:wordWrap/>
        <w:overflowPunct/>
        <w:topLinePunct w:val="0"/>
        <w:autoSpaceDE/>
        <w:autoSpaceDN/>
        <w:bidi w:val="0"/>
        <w:adjustRightInd/>
        <w:snapToGrid/>
        <w:spacing w:line="360" w:lineRule="auto"/>
        <w:ind w:left="0" w:leftChars="0" w:firstLine="420" w:firstLineChars="200"/>
        <w:textAlignment w:val="auto"/>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除</w:t>
      </w:r>
      <w:r>
        <w:rPr>
          <w:rFonts w:hint="eastAsia" w:ascii="宋体" w:hAnsi="宋体" w:eastAsia="宋体" w:cs="宋体"/>
          <w:color w:val="auto"/>
          <w:szCs w:val="21"/>
          <w:highlight w:val="none"/>
          <w:lang w:eastAsia="zh-CN"/>
        </w:rPr>
        <w:t>采购人</w:t>
      </w:r>
      <w:r>
        <w:rPr>
          <w:rFonts w:hint="eastAsia" w:ascii="宋体" w:hAnsi="宋体" w:eastAsia="宋体" w:cs="宋体"/>
          <w:color w:val="auto"/>
          <w:szCs w:val="21"/>
          <w:highlight w:val="none"/>
        </w:rPr>
        <w:t>的原因外，投标人自行负责在现场</w:t>
      </w:r>
      <w:r>
        <w:rPr>
          <w:rFonts w:hint="eastAsia" w:ascii="宋体" w:hAnsi="宋体" w:eastAsia="宋体" w:cs="宋体"/>
          <w:color w:val="auto"/>
          <w:szCs w:val="21"/>
          <w:highlight w:val="none"/>
          <w:lang w:eastAsia="zh-CN"/>
        </w:rPr>
        <w:t>考察</w:t>
      </w:r>
      <w:r>
        <w:rPr>
          <w:rFonts w:hint="eastAsia" w:ascii="宋体" w:hAnsi="宋体" w:eastAsia="宋体" w:cs="宋体"/>
          <w:color w:val="auto"/>
          <w:szCs w:val="21"/>
          <w:highlight w:val="none"/>
        </w:rPr>
        <w:t>中所发生的人员伤亡和财产损失。</w:t>
      </w:r>
    </w:p>
    <w:p w14:paraId="1A385AF9">
      <w:pPr>
        <w:keepNext w:val="0"/>
        <w:keepLines w:val="0"/>
        <w:pageBreakBefore w:val="0"/>
        <w:widowControl w:val="0"/>
        <w:numPr>
          <w:ilvl w:val="2"/>
          <w:numId w:val="4"/>
        </w:numPr>
        <w:kinsoku/>
        <w:wordWrap/>
        <w:overflowPunct/>
        <w:topLinePunct w:val="0"/>
        <w:autoSpaceDE/>
        <w:autoSpaceDN/>
        <w:bidi w:val="0"/>
        <w:adjustRightInd/>
        <w:snapToGrid/>
        <w:spacing w:line="360" w:lineRule="auto"/>
        <w:ind w:left="0" w:leftChars="0" w:firstLine="420" w:firstLineChars="200"/>
        <w:textAlignment w:val="auto"/>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采购人</w:t>
      </w:r>
      <w:r>
        <w:rPr>
          <w:rFonts w:hint="eastAsia" w:ascii="宋体" w:hAnsi="宋体" w:eastAsia="宋体" w:cs="宋体"/>
          <w:color w:val="auto"/>
          <w:szCs w:val="21"/>
          <w:highlight w:val="none"/>
        </w:rPr>
        <w:t>在现场</w:t>
      </w:r>
      <w:r>
        <w:rPr>
          <w:rFonts w:hint="eastAsia" w:ascii="宋体" w:hAnsi="宋体" w:eastAsia="宋体" w:cs="宋体"/>
          <w:color w:val="auto"/>
          <w:szCs w:val="21"/>
          <w:highlight w:val="none"/>
          <w:lang w:eastAsia="zh-CN"/>
        </w:rPr>
        <w:t>考察</w:t>
      </w:r>
      <w:r>
        <w:rPr>
          <w:rFonts w:hint="eastAsia" w:ascii="宋体" w:hAnsi="宋体" w:eastAsia="宋体" w:cs="宋体"/>
          <w:color w:val="auto"/>
          <w:szCs w:val="21"/>
          <w:highlight w:val="none"/>
        </w:rPr>
        <w:t>中介绍的</w:t>
      </w:r>
      <w:r>
        <w:rPr>
          <w:rFonts w:hint="eastAsia" w:ascii="宋体" w:hAnsi="宋体" w:eastAsia="宋体" w:cs="宋体"/>
          <w:color w:val="auto"/>
          <w:szCs w:val="21"/>
          <w:highlight w:val="none"/>
          <w:lang w:eastAsia="zh-CN"/>
        </w:rPr>
        <w:t>项目</w:t>
      </w:r>
      <w:r>
        <w:rPr>
          <w:rFonts w:hint="eastAsia" w:ascii="宋体" w:hAnsi="宋体" w:eastAsia="宋体" w:cs="宋体"/>
          <w:color w:val="auto"/>
          <w:szCs w:val="21"/>
          <w:highlight w:val="none"/>
        </w:rPr>
        <w:t>场地和相关的周边环境情况，供投标人在编制投标文件时参考，</w:t>
      </w:r>
      <w:r>
        <w:rPr>
          <w:rFonts w:hint="eastAsia" w:ascii="宋体" w:hAnsi="宋体" w:eastAsia="宋体" w:cs="宋体"/>
          <w:color w:val="auto"/>
          <w:szCs w:val="21"/>
          <w:highlight w:val="none"/>
          <w:lang w:eastAsia="zh-CN"/>
        </w:rPr>
        <w:t>采购人</w:t>
      </w:r>
      <w:r>
        <w:rPr>
          <w:rFonts w:hint="eastAsia" w:ascii="宋体" w:hAnsi="宋体" w:eastAsia="宋体" w:cs="宋体"/>
          <w:color w:val="auto"/>
          <w:szCs w:val="21"/>
          <w:highlight w:val="none"/>
        </w:rPr>
        <w:t>不对投标人据此作出的判断和决策负责。</w:t>
      </w:r>
    </w:p>
    <w:p w14:paraId="120AABC9">
      <w:pPr>
        <w:keepNext w:val="0"/>
        <w:keepLines w:val="0"/>
        <w:pageBreakBefore w:val="0"/>
        <w:widowControl w:val="0"/>
        <w:numPr>
          <w:ilvl w:val="2"/>
          <w:numId w:val="4"/>
        </w:numPr>
        <w:kinsoku/>
        <w:wordWrap/>
        <w:overflowPunct/>
        <w:topLinePunct w:val="0"/>
        <w:autoSpaceDE/>
        <w:autoSpaceDN/>
        <w:bidi w:val="0"/>
        <w:adjustRightInd/>
        <w:snapToGrid/>
        <w:spacing w:line="360" w:lineRule="auto"/>
        <w:ind w:left="0" w:leftChars="0" w:firstLine="420" w:firstLineChars="200"/>
        <w:textAlignment w:val="auto"/>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答疑会：见</w:t>
      </w:r>
      <w:r>
        <w:rPr>
          <w:rFonts w:hint="eastAsia" w:ascii="宋体" w:hAnsi="宋体" w:eastAsia="宋体" w:cs="宋体"/>
          <w:color w:val="auto"/>
          <w:szCs w:val="21"/>
          <w:highlight w:val="none"/>
          <w:lang w:eastAsia="zh-CN"/>
        </w:rPr>
        <w:t>投标人须知前附表</w:t>
      </w:r>
      <w:r>
        <w:rPr>
          <w:rFonts w:hint="eastAsia" w:ascii="宋体" w:hAnsi="宋体" w:eastAsia="宋体" w:cs="宋体"/>
          <w:color w:val="auto"/>
          <w:szCs w:val="21"/>
          <w:highlight w:val="none"/>
        </w:rPr>
        <w:t>。</w:t>
      </w:r>
    </w:p>
    <w:p w14:paraId="21BA1B7B">
      <w:pPr>
        <w:pStyle w:val="6"/>
        <w:pageBreakBefore w:val="0"/>
        <w:numPr>
          <w:ilvl w:val="1"/>
          <w:numId w:val="4"/>
        </w:numPr>
        <w:kinsoku/>
        <w:overflowPunct/>
        <w:bidi w:val="0"/>
        <w:spacing w:line="360" w:lineRule="auto"/>
        <w:rPr>
          <w:rFonts w:hint="eastAsia" w:ascii="宋体" w:hAnsi="宋体" w:eastAsia="宋体" w:cs="宋体"/>
          <w:color w:val="auto"/>
          <w:highlight w:val="none"/>
        </w:rPr>
      </w:pPr>
      <w:bookmarkStart w:id="189" w:name="_Toc11040"/>
      <w:bookmarkStart w:id="190" w:name="_Toc9110"/>
      <w:bookmarkStart w:id="191" w:name="_Toc9561"/>
      <w:bookmarkStart w:id="192" w:name="_Toc7448"/>
      <w:bookmarkStart w:id="193" w:name="_Toc20467"/>
      <w:bookmarkStart w:id="194" w:name="_Toc30032"/>
      <w:bookmarkStart w:id="195" w:name="_Toc6051"/>
      <w:bookmarkStart w:id="196" w:name="_Toc27635"/>
      <w:bookmarkStart w:id="197" w:name="_Toc10737"/>
      <w:bookmarkStart w:id="198" w:name="_Toc28493"/>
      <w:bookmarkStart w:id="199" w:name="_Toc26711"/>
      <w:bookmarkStart w:id="200" w:name="_Toc8265"/>
      <w:bookmarkStart w:id="201" w:name="_Toc9989"/>
      <w:r>
        <w:rPr>
          <w:rFonts w:hint="eastAsia" w:ascii="宋体" w:hAnsi="宋体" w:eastAsia="宋体" w:cs="宋体"/>
          <w:color w:val="auto"/>
          <w:highlight w:val="none"/>
        </w:rPr>
        <w:t>分包</w:t>
      </w:r>
      <w:bookmarkEnd w:id="189"/>
      <w:bookmarkEnd w:id="190"/>
      <w:bookmarkEnd w:id="191"/>
      <w:bookmarkEnd w:id="192"/>
      <w:bookmarkEnd w:id="193"/>
      <w:bookmarkEnd w:id="194"/>
      <w:bookmarkEnd w:id="195"/>
      <w:bookmarkEnd w:id="196"/>
      <w:bookmarkEnd w:id="197"/>
      <w:bookmarkEnd w:id="198"/>
      <w:bookmarkEnd w:id="199"/>
      <w:bookmarkEnd w:id="200"/>
      <w:bookmarkEnd w:id="201"/>
    </w:p>
    <w:p w14:paraId="406488F4">
      <w:pPr>
        <w:pStyle w:val="70"/>
        <w:keepNext w:val="0"/>
        <w:keepLines w:val="0"/>
        <w:pageBreakBefore w:val="0"/>
        <w:widowControl w:val="0"/>
        <w:numPr>
          <w:ilvl w:val="0"/>
          <w:numId w:val="0"/>
        </w:numPr>
        <w:kinsoku/>
        <w:wordWrap/>
        <w:overflowPunct/>
        <w:topLinePunct w:val="0"/>
        <w:autoSpaceDE w:val="0"/>
        <w:autoSpaceDN w:val="0"/>
        <w:bidi w:val="0"/>
        <w:adjustRightInd w:val="0"/>
        <w:snapToGrid/>
        <w:spacing w:line="360" w:lineRule="auto"/>
        <w:ind w:leftChars="200"/>
        <w:textAlignment w:val="auto"/>
        <w:rPr>
          <w:rFonts w:hint="eastAsia" w:ascii="宋体" w:hAnsi="宋体" w:eastAsia="宋体" w:cs="宋体"/>
          <w:color w:val="auto"/>
          <w:kern w:val="0"/>
          <w:sz w:val="21"/>
          <w:szCs w:val="21"/>
          <w:highlight w:val="none"/>
          <w:lang w:val="en-US" w:eastAsia="zh-CN" w:bidi="ar-SA"/>
        </w:rPr>
      </w:pPr>
      <w:bookmarkStart w:id="202" w:name="_Toc28651"/>
      <w:bookmarkStart w:id="203" w:name="_Toc20874"/>
      <w:r>
        <w:rPr>
          <w:rFonts w:hint="eastAsia" w:ascii="宋体" w:hAnsi="宋体" w:eastAsia="宋体" w:cs="宋体"/>
          <w:color w:val="auto"/>
          <w:kern w:val="0"/>
          <w:sz w:val="21"/>
          <w:szCs w:val="21"/>
          <w:highlight w:val="none"/>
          <w:lang w:val="en-US" w:eastAsia="zh-CN" w:bidi="ar-SA"/>
        </w:rPr>
        <w:t>不允许</w:t>
      </w:r>
    </w:p>
    <w:bookmarkEnd w:id="202"/>
    <w:bookmarkEnd w:id="203"/>
    <w:p w14:paraId="2B03E043">
      <w:pPr>
        <w:pStyle w:val="6"/>
        <w:pageBreakBefore w:val="0"/>
        <w:numPr>
          <w:ilvl w:val="1"/>
          <w:numId w:val="4"/>
        </w:numPr>
        <w:kinsoku/>
        <w:overflowPunct/>
        <w:bidi w:val="0"/>
        <w:spacing w:line="360" w:lineRule="auto"/>
        <w:rPr>
          <w:rFonts w:hint="eastAsia" w:ascii="宋体" w:hAnsi="宋体" w:eastAsia="宋体" w:cs="宋体"/>
          <w:color w:val="auto"/>
          <w:highlight w:val="none"/>
        </w:rPr>
      </w:pPr>
      <w:bookmarkStart w:id="204" w:name="_Toc10772"/>
      <w:bookmarkStart w:id="205" w:name="_Toc20927"/>
      <w:bookmarkStart w:id="206" w:name="_Toc1044"/>
      <w:bookmarkStart w:id="207" w:name="_Toc11842"/>
      <w:bookmarkStart w:id="208" w:name="_Toc19467"/>
      <w:bookmarkStart w:id="209" w:name="_Toc21622"/>
      <w:r>
        <w:rPr>
          <w:rFonts w:hint="eastAsia" w:ascii="宋体" w:hAnsi="宋体" w:eastAsia="宋体" w:cs="宋体"/>
          <w:color w:val="auto"/>
          <w:highlight w:val="none"/>
        </w:rPr>
        <w:t>样品</w:t>
      </w:r>
      <w:bookmarkEnd w:id="204"/>
      <w:bookmarkEnd w:id="205"/>
      <w:bookmarkEnd w:id="206"/>
      <w:bookmarkEnd w:id="207"/>
      <w:bookmarkEnd w:id="208"/>
      <w:bookmarkEnd w:id="209"/>
    </w:p>
    <w:p w14:paraId="5A0476C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outlineLvl w:val="9"/>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不提供</w:t>
      </w:r>
    </w:p>
    <w:p w14:paraId="69EE3913">
      <w:pPr>
        <w:pStyle w:val="6"/>
        <w:pageBreakBefore w:val="0"/>
        <w:numPr>
          <w:ilvl w:val="1"/>
          <w:numId w:val="4"/>
        </w:numPr>
        <w:kinsoku/>
        <w:overflowPunct/>
        <w:bidi w:val="0"/>
        <w:spacing w:line="360" w:lineRule="auto"/>
        <w:rPr>
          <w:rFonts w:hint="eastAsia" w:ascii="宋体" w:hAnsi="宋体" w:eastAsia="宋体" w:cs="宋体"/>
          <w:color w:val="auto"/>
          <w:highlight w:val="none"/>
        </w:rPr>
      </w:pPr>
      <w:bookmarkStart w:id="210" w:name="_Toc5477"/>
      <w:bookmarkStart w:id="211" w:name="_Toc16595"/>
      <w:bookmarkStart w:id="212" w:name="_Toc29202"/>
      <w:bookmarkStart w:id="213" w:name="_Toc14740"/>
      <w:bookmarkStart w:id="214" w:name="_Toc15630"/>
      <w:bookmarkStart w:id="215" w:name="_Toc12548"/>
      <w:bookmarkStart w:id="216" w:name="_Toc12963"/>
      <w:bookmarkStart w:id="217" w:name="_Toc29163"/>
      <w:bookmarkStart w:id="218" w:name="_Toc29855"/>
      <w:bookmarkStart w:id="219" w:name="_Toc11845"/>
      <w:bookmarkStart w:id="220" w:name="_Toc9588"/>
      <w:bookmarkStart w:id="221" w:name="_Toc9147"/>
      <w:bookmarkStart w:id="222" w:name="_Toc25924"/>
      <w:r>
        <w:rPr>
          <w:rFonts w:hint="eastAsia" w:ascii="宋体" w:hAnsi="宋体" w:eastAsia="宋体" w:cs="宋体"/>
          <w:color w:val="auto"/>
          <w:highlight w:val="none"/>
        </w:rPr>
        <w:t>投标语言</w:t>
      </w:r>
      <w:bookmarkEnd w:id="210"/>
      <w:bookmarkEnd w:id="211"/>
      <w:bookmarkEnd w:id="212"/>
      <w:bookmarkEnd w:id="213"/>
      <w:bookmarkEnd w:id="214"/>
      <w:bookmarkEnd w:id="215"/>
      <w:bookmarkEnd w:id="216"/>
      <w:bookmarkEnd w:id="217"/>
      <w:bookmarkEnd w:id="218"/>
      <w:bookmarkEnd w:id="219"/>
      <w:bookmarkEnd w:id="220"/>
      <w:bookmarkEnd w:id="221"/>
      <w:bookmarkEnd w:id="222"/>
    </w:p>
    <w:p w14:paraId="6BE3003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outlineLvl w:val="9"/>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招标</w:t>
      </w:r>
      <w:r>
        <w:rPr>
          <w:rFonts w:hint="eastAsia" w:ascii="宋体" w:hAnsi="宋体" w:eastAsia="宋体" w:cs="宋体"/>
          <w:color w:val="auto"/>
          <w:spacing w:val="-2"/>
          <w:kern w:val="0"/>
          <w:szCs w:val="21"/>
          <w:highlight w:val="none"/>
        </w:rPr>
        <w:t>投</w:t>
      </w:r>
      <w:r>
        <w:rPr>
          <w:rFonts w:hint="eastAsia" w:ascii="宋体" w:hAnsi="宋体" w:eastAsia="宋体" w:cs="宋体"/>
          <w:color w:val="auto"/>
          <w:kern w:val="0"/>
          <w:szCs w:val="21"/>
          <w:highlight w:val="none"/>
        </w:rPr>
        <w:t>标</w:t>
      </w:r>
      <w:r>
        <w:rPr>
          <w:rFonts w:hint="eastAsia" w:ascii="宋体" w:hAnsi="宋体" w:eastAsia="宋体" w:cs="宋体"/>
          <w:color w:val="auto"/>
          <w:spacing w:val="-2"/>
          <w:kern w:val="0"/>
          <w:szCs w:val="21"/>
          <w:highlight w:val="none"/>
        </w:rPr>
        <w:t>文</w:t>
      </w:r>
      <w:r>
        <w:rPr>
          <w:rFonts w:hint="eastAsia" w:ascii="宋体" w:hAnsi="宋体" w:eastAsia="宋体" w:cs="宋体"/>
          <w:color w:val="auto"/>
          <w:kern w:val="0"/>
          <w:szCs w:val="21"/>
          <w:highlight w:val="none"/>
        </w:rPr>
        <w:t>件</w:t>
      </w:r>
      <w:r>
        <w:rPr>
          <w:rFonts w:hint="eastAsia" w:ascii="宋体" w:hAnsi="宋体" w:eastAsia="宋体" w:cs="宋体"/>
          <w:color w:val="auto"/>
          <w:spacing w:val="-2"/>
          <w:kern w:val="0"/>
          <w:szCs w:val="21"/>
          <w:highlight w:val="none"/>
        </w:rPr>
        <w:t>使</w:t>
      </w:r>
      <w:r>
        <w:rPr>
          <w:rFonts w:hint="eastAsia" w:ascii="宋体" w:hAnsi="宋体" w:eastAsia="宋体" w:cs="宋体"/>
          <w:color w:val="auto"/>
          <w:kern w:val="0"/>
          <w:szCs w:val="21"/>
          <w:highlight w:val="none"/>
        </w:rPr>
        <w:t>用</w:t>
      </w:r>
      <w:r>
        <w:rPr>
          <w:rFonts w:hint="eastAsia" w:ascii="宋体" w:hAnsi="宋体" w:eastAsia="宋体" w:cs="宋体"/>
          <w:color w:val="auto"/>
          <w:spacing w:val="-2"/>
          <w:kern w:val="0"/>
          <w:szCs w:val="21"/>
          <w:highlight w:val="none"/>
        </w:rPr>
        <w:t>的</w:t>
      </w:r>
      <w:r>
        <w:rPr>
          <w:rFonts w:hint="eastAsia" w:ascii="宋体" w:hAnsi="宋体" w:eastAsia="宋体" w:cs="宋体"/>
          <w:color w:val="auto"/>
          <w:kern w:val="0"/>
          <w:szCs w:val="21"/>
          <w:highlight w:val="none"/>
        </w:rPr>
        <w:t>语</w:t>
      </w:r>
      <w:r>
        <w:rPr>
          <w:rFonts w:hint="eastAsia" w:ascii="宋体" w:hAnsi="宋体" w:eastAsia="宋体" w:cs="宋体"/>
          <w:color w:val="auto"/>
          <w:spacing w:val="-2"/>
          <w:kern w:val="0"/>
          <w:szCs w:val="21"/>
          <w:highlight w:val="none"/>
        </w:rPr>
        <w:t>言</w:t>
      </w:r>
      <w:r>
        <w:rPr>
          <w:rFonts w:hint="eastAsia" w:ascii="宋体" w:hAnsi="宋体" w:eastAsia="宋体" w:cs="宋体"/>
          <w:color w:val="auto"/>
          <w:kern w:val="0"/>
          <w:szCs w:val="21"/>
          <w:highlight w:val="none"/>
        </w:rPr>
        <w:t>文字</w:t>
      </w:r>
      <w:r>
        <w:rPr>
          <w:rFonts w:hint="eastAsia" w:ascii="宋体" w:hAnsi="宋体" w:eastAsia="宋体" w:cs="宋体"/>
          <w:color w:val="auto"/>
          <w:spacing w:val="-2"/>
          <w:kern w:val="0"/>
          <w:szCs w:val="21"/>
          <w:highlight w:val="none"/>
        </w:rPr>
        <w:t>为</w:t>
      </w:r>
      <w:r>
        <w:rPr>
          <w:rFonts w:hint="eastAsia" w:ascii="宋体" w:hAnsi="宋体" w:eastAsia="宋体" w:cs="宋体"/>
          <w:color w:val="auto"/>
          <w:kern w:val="0"/>
          <w:szCs w:val="21"/>
          <w:highlight w:val="none"/>
        </w:rPr>
        <w:t>中</w:t>
      </w:r>
      <w:r>
        <w:rPr>
          <w:rFonts w:hint="eastAsia" w:ascii="宋体" w:hAnsi="宋体" w:eastAsia="宋体" w:cs="宋体"/>
          <w:color w:val="auto"/>
          <w:spacing w:val="-2"/>
          <w:kern w:val="0"/>
          <w:szCs w:val="21"/>
          <w:highlight w:val="none"/>
        </w:rPr>
        <w:t>文</w:t>
      </w:r>
      <w:r>
        <w:rPr>
          <w:rFonts w:hint="eastAsia" w:ascii="宋体" w:hAnsi="宋体" w:eastAsia="宋体" w:cs="宋体"/>
          <w:color w:val="auto"/>
          <w:kern w:val="0"/>
          <w:szCs w:val="21"/>
          <w:highlight w:val="none"/>
        </w:rPr>
        <w:t>。</w:t>
      </w:r>
      <w:r>
        <w:rPr>
          <w:rFonts w:hint="eastAsia" w:ascii="宋体" w:hAnsi="宋体" w:eastAsia="宋体" w:cs="宋体"/>
          <w:color w:val="auto"/>
          <w:spacing w:val="-2"/>
          <w:kern w:val="0"/>
          <w:szCs w:val="21"/>
          <w:highlight w:val="none"/>
        </w:rPr>
        <w:t>专</w:t>
      </w:r>
      <w:r>
        <w:rPr>
          <w:rFonts w:hint="eastAsia" w:ascii="宋体" w:hAnsi="宋体" w:eastAsia="宋体" w:cs="宋体"/>
          <w:color w:val="auto"/>
          <w:kern w:val="0"/>
          <w:szCs w:val="21"/>
          <w:highlight w:val="none"/>
        </w:rPr>
        <w:t>用</w:t>
      </w:r>
      <w:r>
        <w:rPr>
          <w:rFonts w:hint="eastAsia" w:ascii="宋体" w:hAnsi="宋体" w:eastAsia="宋体" w:cs="宋体"/>
          <w:color w:val="auto"/>
          <w:spacing w:val="-2"/>
          <w:kern w:val="0"/>
          <w:szCs w:val="21"/>
          <w:highlight w:val="none"/>
        </w:rPr>
        <w:t>术</w:t>
      </w:r>
      <w:r>
        <w:rPr>
          <w:rFonts w:hint="eastAsia" w:ascii="宋体" w:hAnsi="宋体" w:eastAsia="宋体" w:cs="宋体"/>
          <w:color w:val="auto"/>
          <w:kern w:val="0"/>
          <w:szCs w:val="21"/>
          <w:highlight w:val="none"/>
        </w:rPr>
        <w:t>语</w:t>
      </w:r>
      <w:r>
        <w:rPr>
          <w:rFonts w:hint="eastAsia" w:ascii="宋体" w:hAnsi="宋体" w:eastAsia="宋体" w:cs="宋体"/>
          <w:color w:val="auto"/>
          <w:spacing w:val="-2"/>
          <w:kern w:val="0"/>
          <w:szCs w:val="21"/>
          <w:highlight w:val="none"/>
        </w:rPr>
        <w:t>使</w:t>
      </w:r>
      <w:r>
        <w:rPr>
          <w:rFonts w:hint="eastAsia" w:ascii="宋体" w:hAnsi="宋体" w:eastAsia="宋体" w:cs="宋体"/>
          <w:color w:val="auto"/>
          <w:kern w:val="0"/>
          <w:szCs w:val="21"/>
          <w:highlight w:val="none"/>
        </w:rPr>
        <w:t>用外</w:t>
      </w:r>
      <w:r>
        <w:rPr>
          <w:rFonts w:hint="eastAsia" w:ascii="宋体" w:hAnsi="宋体" w:eastAsia="宋体" w:cs="宋体"/>
          <w:color w:val="auto"/>
          <w:spacing w:val="-2"/>
          <w:kern w:val="0"/>
          <w:szCs w:val="21"/>
          <w:highlight w:val="none"/>
        </w:rPr>
        <w:t>文</w:t>
      </w:r>
      <w:r>
        <w:rPr>
          <w:rFonts w:hint="eastAsia" w:ascii="宋体" w:hAnsi="宋体" w:eastAsia="宋体" w:cs="宋体"/>
          <w:color w:val="auto"/>
          <w:kern w:val="0"/>
          <w:szCs w:val="21"/>
          <w:highlight w:val="none"/>
        </w:rPr>
        <w:t>的</w:t>
      </w:r>
      <w:r>
        <w:rPr>
          <w:rFonts w:hint="eastAsia" w:ascii="宋体" w:hAnsi="宋体" w:eastAsia="宋体" w:cs="宋体"/>
          <w:color w:val="auto"/>
          <w:spacing w:val="-2"/>
          <w:kern w:val="0"/>
          <w:szCs w:val="21"/>
          <w:highlight w:val="none"/>
        </w:rPr>
        <w:t>，</w:t>
      </w:r>
      <w:r>
        <w:rPr>
          <w:rFonts w:hint="eastAsia" w:ascii="宋体" w:hAnsi="宋体" w:eastAsia="宋体" w:cs="宋体"/>
          <w:color w:val="auto"/>
          <w:kern w:val="0"/>
          <w:szCs w:val="21"/>
          <w:highlight w:val="none"/>
        </w:rPr>
        <w:t>应</w:t>
      </w:r>
      <w:r>
        <w:rPr>
          <w:rFonts w:hint="eastAsia" w:ascii="宋体" w:hAnsi="宋体" w:eastAsia="宋体" w:cs="宋体"/>
          <w:color w:val="auto"/>
          <w:spacing w:val="-2"/>
          <w:kern w:val="0"/>
          <w:szCs w:val="21"/>
          <w:highlight w:val="none"/>
        </w:rPr>
        <w:t>附</w:t>
      </w:r>
      <w:r>
        <w:rPr>
          <w:rFonts w:hint="eastAsia" w:ascii="宋体" w:hAnsi="宋体" w:eastAsia="宋体" w:cs="宋体"/>
          <w:color w:val="auto"/>
          <w:kern w:val="0"/>
          <w:szCs w:val="21"/>
          <w:highlight w:val="none"/>
        </w:rPr>
        <w:t>有</w:t>
      </w:r>
      <w:r>
        <w:rPr>
          <w:rFonts w:hint="eastAsia" w:ascii="宋体" w:hAnsi="宋体" w:eastAsia="宋体" w:cs="宋体"/>
          <w:color w:val="auto"/>
          <w:spacing w:val="-2"/>
          <w:kern w:val="0"/>
          <w:szCs w:val="21"/>
          <w:highlight w:val="none"/>
        </w:rPr>
        <w:t>中</w:t>
      </w:r>
      <w:r>
        <w:rPr>
          <w:rFonts w:hint="eastAsia" w:ascii="宋体" w:hAnsi="宋体" w:eastAsia="宋体" w:cs="宋体"/>
          <w:color w:val="auto"/>
          <w:kern w:val="0"/>
          <w:szCs w:val="21"/>
          <w:highlight w:val="none"/>
        </w:rPr>
        <w:t>文</w:t>
      </w:r>
      <w:r>
        <w:rPr>
          <w:rFonts w:hint="eastAsia" w:ascii="宋体" w:hAnsi="宋体" w:eastAsia="宋体" w:cs="宋体"/>
          <w:color w:val="auto"/>
          <w:spacing w:val="-2"/>
          <w:kern w:val="0"/>
          <w:szCs w:val="21"/>
          <w:highlight w:val="none"/>
        </w:rPr>
        <w:t>注</w:t>
      </w:r>
      <w:r>
        <w:rPr>
          <w:rFonts w:hint="eastAsia" w:ascii="宋体" w:hAnsi="宋体" w:eastAsia="宋体" w:cs="宋体"/>
          <w:color w:val="auto"/>
          <w:kern w:val="0"/>
          <w:szCs w:val="21"/>
          <w:highlight w:val="none"/>
        </w:rPr>
        <w:t>释</w:t>
      </w:r>
      <w:r>
        <w:rPr>
          <w:rFonts w:hint="eastAsia" w:ascii="宋体" w:hAnsi="宋体" w:eastAsia="宋体" w:cs="宋体"/>
          <w:color w:val="auto"/>
          <w:szCs w:val="21"/>
          <w:highlight w:val="none"/>
        </w:rPr>
        <w:t>。</w:t>
      </w:r>
    </w:p>
    <w:p w14:paraId="35EB571E">
      <w:pPr>
        <w:pStyle w:val="6"/>
        <w:pageBreakBefore w:val="0"/>
        <w:numPr>
          <w:ilvl w:val="1"/>
          <w:numId w:val="4"/>
        </w:numPr>
        <w:kinsoku/>
        <w:overflowPunct/>
        <w:bidi w:val="0"/>
        <w:spacing w:line="360" w:lineRule="auto"/>
        <w:rPr>
          <w:rFonts w:hint="eastAsia" w:ascii="宋体" w:hAnsi="宋体" w:eastAsia="宋体" w:cs="宋体"/>
          <w:color w:val="auto"/>
          <w:highlight w:val="none"/>
        </w:rPr>
      </w:pPr>
      <w:bookmarkStart w:id="223" w:name="_Toc7785"/>
      <w:bookmarkStart w:id="224" w:name="_Toc19599"/>
      <w:bookmarkStart w:id="225" w:name="_Toc30395"/>
      <w:bookmarkStart w:id="226" w:name="_Toc5019"/>
      <w:bookmarkStart w:id="227" w:name="_Toc26242"/>
      <w:bookmarkStart w:id="228" w:name="_Toc20418"/>
      <w:bookmarkStart w:id="229" w:name="_Toc9167"/>
      <w:bookmarkStart w:id="230" w:name="_Toc2194"/>
      <w:bookmarkStart w:id="231" w:name="_Toc14186"/>
      <w:bookmarkStart w:id="232" w:name="_Toc21374"/>
      <w:bookmarkStart w:id="233" w:name="_Toc22466"/>
      <w:bookmarkStart w:id="234" w:name="_Toc22605"/>
      <w:bookmarkStart w:id="235" w:name="_Toc14812"/>
      <w:r>
        <w:rPr>
          <w:rFonts w:hint="eastAsia" w:ascii="宋体" w:hAnsi="宋体" w:eastAsia="宋体" w:cs="宋体"/>
          <w:color w:val="auto"/>
          <w:highlight w:val="none"/>
        </w:rPr>
        <w:t>投标文件计量单位</w:t>
      </w:r>
      <w:bookmarkEnd w:id="223"/>
      <w:bookmarkEnd w:id="224"/>
      <w:bookmarkEnd w:id="225"/>
      <w:bookmarkEnd w:id="226"/>
      <w:bookmarkEnd w:id="227"/>
      <w:bookmarkEnd w:id="228"/>
      <w:bookmarkEnd w:id="229"/>
      <w:bookmarkEnd w:id="230"/>
      <w:bookmarkEnd w:id="231"/>
      <w:bookmarkEnd w:id="232"/>
      <w:bookmarkEnd w:id="233"/>
      <w:bookmarkEnd w:id="234"/>
      <w:bookmarkEnd w:id="235"/>
    </w:p>
    <w:p w14:paraId="6608052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textAlignment w:val="auto"/>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除在招标文件的技术文件中另有规定外，计量单位均使用中华人民共和国法定计量标准单位。</w:t>
      </w:r>
    </w:p>
    <w:p w14:paraId="5392B0E6">
      <w:pPr>
        <w:pStyle w:val="6"/>
        <w:pageBreakBefore w:val="0"/>
        <w:numPr>
          <w:ilvl w:val="1"/>
          <w:numId w:val="4"/>
        </w:numPr>
        <w:kinsoku/>
        <w:overflowPunct/>
        <w:bidi w:val="0"/>
        <w:spacing w:line="360" w:lineRule="auto"/>
        <w:rPr>
          <w:rFonts w:hint="eastAsia" w:ascii="宋体" w:hAnsi="宋体" w:eastAsia="宋体" w:cs="宋体"/>
          <w:color w:val="auto"/>
          <w:highlight w:val="none"/>
        </w:rPr>
      </w:pPr>
      <w:bookmarkStart w:id="236" w:name="_Toc9975"/>
      <w:bookmarkStart w:id="237" w:name="_Toc19923"/>
      <w:bookmarkStart w:id="238" w:name="_Toc26769"/>
      <w:bookmarkStart w:id="239" w:name="_Toc23957"/>
      <w:bookmarkStart w:id="240" w:name="_Toc24747"/>
      <w:bookmarkStart w:id="241" w:name="_Toc16602"/>
      <w:bookmarkStart w:id="242" w:name="_Toc26796"/>
      <w:bookmarkStart w:id="243" w:name="_Toc10045"/>
      <w:bookmarkStart w:id="244" w:name="_Toc2806"/>
      <w:bookmarkStart w:id="245" w:name="_Toc4326"/>
      <w:bookmarkStart w:id="246" w:name="_Toc12071"/>
      <w:bookmarkStart w:id="247" w:name="_Toc15754"/>
      <w:bookmarkStart w:id="248" w:name="_Toc23880"/>
      <w:r>
        <w:rPr>
          <w:rFonts w:hint="eastAsia" w:ascii="宋体" w:hAnsi="宋体" w:eastAsia="宋体" w:cs="宋体"/>
          <w:color w:val="auto"/>
          <w:highlight w:val="none"/>
        </w:rPr>
        <w:t>投标货币</w:t>
      </w:r>
      <w:bookmarkEnd w:id="236"/>
      <w:bookmarkEnd w:id="237"/>
      <w:bookmarkEnd w:id="238"/>
      <w:bookmarkEnd w:id="239"/>
      <w:bookmarkEnd w:id="240"/>
      <w:bookmarkEnd w:id="241"/>
      <w:bookmarkEnd w:id="242"/>
      <w:bookmarkEnd w:id="243"/>
      <w:bookmarkEnd w:id="244"/>
      <w:bookmarkEnd w:id="245"/>
      <w:bookmarkEnd w:id="246"/>
      <w:bookmarkEnd w:id="247"/>
      <w:bookmarkEnd w:id="248"/>
    </w:p>
    <w:p w14:paraId="395686A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textAlignment w:val="auto"/>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除非另有规定，投标人提供的所有</w:t>
      </w:r>
      <w:r>
        <w:rPr>
          <w:rFonts w:hint="eastAsia" w:ascii="宋体" w:hAnsi="宋体" w:eastAsia="宋体" w:cs="宋体"/>
          <w:color w:val="auto"/>
          <w:szCs w:val="21"/>
          <w:highlight w:val="none"/>
          <w:lang w:val="en-US" w:eastAsia="zh-CN"/>
        </w:rPr>
        <w:t>货物</w:t>
      </w:r>
      <w:r>
        <w:rPr>
          <w:rFonts w:hint="eastAsia" w:ascii="宋体" w:hAnsi="宋体" w:eastAsia="宋体" w:cs="宋体"/>
          <w:color w:val="auto"/>
          <w:szCs w:val="21"/>
          <w:highlight w:val="none"/>
        </w:rPr>
        <w:t>用</w:t>
      </w:r>
      <w:r>
        <w:rPr>
          <w:rFonts w:hint="eastAsia" w:ascii="宋体" w:hAnsi="宋体" w:eastAsia="宋体" w:cs="宋体"/>
          <w:color w:val="auto"/>
          <w:szCs w:val="21"/>
          <w:highlight w:val="none"/>
          <w:lang w:val="en-US" w:eastAsia="zh-CN"/>
        </w:rPr>
        <w:t>人民币</w:t>
      </w:r>
      <w:r>
        <w:rPr>
          <w:rFonts w:hint="eastAsia" w:ascii="宋体" w:hAnsi="宋体" w:eastAsia="宋体" w:cs="宋体"/>
          <w:color w:val="auto"/>
          <w:szCs w:val="21"/>
          <w:highlight w:val="none"/>
        </w:rPr>
        <w:t>报价。</w:t>
      </w:r>
    </w:p>
    <w:p w14:paraId="2422E7E7">
      <w:pPr>
        <w:pStyle w:val="6"/>
        <w:pageBreakBefore w:val="0"/>
        <w:numPr>
          <w:ilvl w:val="1"/>
          <w:numId w:val="4"/>
        </w:numPr>
        <w:kinsoku/>
        <w:overflowPunct/>
        <w:bidi w:val="0"/>
        <w:spacing w:line="360" w:lineRule="auto"/>
        <w:rPr>
          <w:rFonts w:hint="eastAsia" w:ascii="宋体" w:hAnsi="宋体" w:eastAsia="宋体" w:cs="宋体"/>
          <w:color w:val="auto"/>
          <w:highlight w:val="none"/>
        </w:rPr>
      </w:pPr>
      <w:bookmarkStart w:id="249" w:name="_Toc16853"/>
      <w:bookmarkStart w:id="250" w:name="_Toc24561"/>
      <w:bookmarkStart w:id="251" w:name="_Toc29095"/>
      <w:bookmarkStart w:id="252" w:name="_Toc4030"/>
      <w:bookmarkStart w:id="253" w:name="_Toc13340"/>
      <w:bookmarkStart w:id="254" w:name="_Toc12030"/>
      <w:bookmarkStart w:id="255" w:name="_Toc32032"/>
      <w:bookmarkStart w:id="256" w:name="_Toc25980"/>
      <w:bookmarkStart w:id="257" w:name="_Toc19335"/>
      <w:bookmarkStart w:id="258" w:name="_Toc141"/>
      <w:bookmarkStart w:id="259" w:name="_Toc28184"/>
      <w:bookmarkStart w:id="260" w:name="_Toc14764"/>
      <w:bookmarkStart w:id="261" w:name="_Toc26021"/>
      <w:bookmarkStart w:id="262" w:name="_Toc11598"/>
      <w:bookmarkStart w:id="263" w:name="_Toc31058"/>
      <w:r>
        <w:rPr>
          <w:rFonts w:hint="eastAsia" w:ascii="宋体" w:hAnsi="宋体" w:eastAsia="宋体" w:cs="宋体"/>
          <w:color w:val="auto"/>
          <w:highlight w:val="none"/>
        </w:rPr>
        <w:t>保密</w:t>
      </w:r>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p>
    <w:p w14:paraId="2A9B477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参与招标投标活动的各方应对招标文件和投标文件中的商业和技术等秘密保密，否则应承担相应的法律责任。</w:t>
      </w:r>
    </w:p>
    <w:p w14:paraId="5964493D">
      <w:pPr>
        <w:pStyle w:val="6"/>
        <w:pageBreakBefore w:val="0"/>
        <w:numPr>
          <w:ilvl w:val="1"/>
          <w:numId w:val="4"/>
        </w:numPr>
        <w:kinsoku/>
        <w:overflowPunct/>
        <w:bidi w:val="0"/>
        <w:spacing w:line="360" w:lineRule="auto"/>
        <w:rPr>
          <w:rFonts w:hint="eastAsia" w:ascii="宋体" w:hAnsi="宋体" w:eastAsia="宋体" w:cs="宋体"/>
          <w:color w:val="auto"/>
          <w:highlight w:val="none"/>
        </w:rPr>
      </w:pPr>
      <w:bookmarkStart w:id="264" w:name="_Toc6725"/>
      <w:bookmarkStart w:id="265" w:name="_Toc9963"/>
      <w:bookmarkStart w:id="266" w:name="_Toc6977"/>
      <w:bookmarkStart w:id="267" w:name="_Toc11954"/>
      <w:bookmarkStart w:id="268" w:name="_Toc26753"/>
      <w:bookmarkStart w:id="269" w:name="_Toc31207"/>
      <w:bookmarkStart w:id="270" w:name="_Toc25440"/>
      <w:bookmarkStart w:id="271" w:name="_Toc18743"/>
      <w:bookmarkStart w:id="272" w:name="_Toc25995"/>
      <w:bookmarkStart w:id="273" w:name="_Toc26863"/>
      <w:bookmarkStart w:id="274" w:name="_Toc21582"/>
      <w:bookmarkStart w:id="275" w:name="_Toc10914"/>
      <w:bookmarkStart w:id="276" w:name="_Toc2167"/>
      <w:r>
        <w:rPr>
          <w:rFonts w:hint="eastAsia" w:ascii="宋体" w:hAnsi="宋体" w:eastAsia="宋体" w:cs="宋体"/>
          <w:color w:val="auto"/>
          <w:highlight w:val="none"/>
        </w:rPr>
        <w:t>响应和偏差</w:t>
      </w:r>
      <w:bookmarkEnd w:id="264"/>
      <w:bookmarkEnd w:id="265"/>
      <w:bookmarkEnd w:id="266"/>
      <w:bookmarkEnd w:id="267"/>
      <w:bookmarkEnd w:id="268"/>
      <w:bookmarkEnd w:id="269"/>
      <w:bookmarkEnd w:id="270"/>
      <w:bookmarkEnd w:id="271"/>
      <w:bookmarkEnd w:id="272"/>
      <w:bookmarkEnd w:id="273"/>
      <w:bookmarkEnd w:id="274"/>
      <w:bookmarkEnd w:id="275"/>
      <w:bookmarkEnd w:id="276"/>
    </w:p>
    <w:p w14:paraId="486148E0">
      <w:pPr>
        <w:keepNext w:val="0"/>
        <w:keepLines w:val="0"/>
        <w:pageBreakBefore w:val="0"/>
        <w:widowControl w:val="0"/>
        <w:numPr>
          <w:ilvl w:val="2"/>
          <w:numId w:val="4"/>
        </w:numPr>
        <w:kinsoku/>
        <w:wordWrap/>
        <w:overflowPunct/>
        <w:topLinePunct w:val="0"/>
        <w:autoSpaceDE/>
        <w:autoSpaceDN/>
        <w:bidi w:val="0"/>
        <w:adjustRightInd/>
        <w:snapToGrid/>
        <w:spacing w:line="360" w:lineRule="auto"/>
        <w:ind w:left="0" w:leftChars="0" w:firstLine="420" w:firstLineChars="200"/>
        <w:textAlignment w:val="auto"/>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投标文件应当对招标文件的实质性要求和条件作出满足性或更有利于</w:t>
      </w:r>
      <w:r>
        <w:rPr>
          <w:rFonts w:hint="eastAsia" w:ascii="宋体" w:hAnsi="宋体" w:eastAsia="宋体" w:cs="宋体"/>
          <w:color w:val="auto"/>
          <w:szCs w:val="21"/>
          <w:highlight w:val="none"/>
          <w:lang w:eastAsia="zh-CN"/>
        </w:rPr>
        <w:t>采购人</w:t>
      </w:r>
      <w:r>
        <w:rPr>
          <w:rFonts w:hint="eastAsia" w:ascii="宋体" w:hAnsi="宋体" w:eastAsia="宋体" w:cs="宋体"/>
          <w:color w:val="auto"/>
          <w:szCs w:val="21"/>
          <w:highlight w:val="none"/>
        </w:rPr>
        <w:t>的响应，否则，投标人的投标将被否决。</w:t>
      </w:r>
    </w:p>
    <w:p w14:paraId="2F9984D1">
      <w:pPr>
        <w:keepNext w:val="0"/>
        <w:keepLines w:val="0"/>
        <w:pageBreakBefore w:val="0"/>
        <w:widowControl w:val="0"/>
        <w:numPr>
          <w:ilvl w:val="2"/>
          <w:numId w:val="4"/>
        </w:numPr>
        <w:kinsoku/>
        <w:wordWrap/>
        <w:overflowPunct/>
        <w:topLinePunct w:val="0"/>
        <w:autoSpaceDE/>
        <w:autoSpaceDN/>
        <w:bidi w:val="0"/>
        <w:adjustRightInd/>
        <w:snapToGrid/>
        <w:spacing w:line="360" w:lineRule="auto"/>
        <w:ind w:left="0" w:leftChars="0" w:firstLine="420" w:firstLineChars="200"/>
        <w:textAlignment w:val="auto"/>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允许投标文件偏离招标文件某些要求的，偏差应当符合招标文件</w:t>
      </w:r>
      <w:r>
        <w:rPr>
          <w:rFonts w:hint="eastAsia" w:ascii="宋体" w:hAnsi="宋体" w:eastAsia="宋体" w:cs="宋体"/>
          <w:color w:val="auto"/>
          <w:szCs w:val="21"/>
          <w:highlight w:val="none"/>
          <w:lang w:eastAsia="zh-CN"/>
        </w:rPr>
        <w:t>投标人须知前附表</w:t>
      </w:r>
      <w:r>
        <w:rPr>
          <w:rFonts w:hint="eastAsia" w:ascii="宋体" w:hAnsi="宋体" w:eastAsia="宋体" w:cs="宋体"/>
          <w:color w:val="auto"/>
          <w:szCs w:val="21"/>
          <w:highlight w:val="none"/>
        </w:rPr>
        <w:t>规定的偏差范围和幅度。</w:t>
      </w:r>
    </w:p>
    <w:p w14:paraId="6AA01F84">
      <w:pPr>
        <w:keepNext w:val="0"/>
        <w:keepLines w:val="0"/>
        <w:pageBreakBefore w:val="0"/>
        <w:widowControl w:val="0"/>
        <w:numPr>
          <w:ilvl w:val="2"/>
          <w:numId w:val="4"/>
        </w:numPr>
        <w:kinsoku/>
        <w:wordWrap/>
        <w:overflowPunct/>
        <w:topLinePunct w:val="0"/>
        <w:autoSpaceDE/>
        <w:autoSpaceDN/>
        <w:bidi w:val="0"/>
        <w:adjustRightInd/>
        <w:snapToGrid/>
        <w:spacing w:line="360" w:lineRule="auto"/>
        <w:ind w:left="0" w:leftChars="0" w:firstLine="420" w:firstLineChars="200"/>
        <w:textAlignment w:val="auto"/>
        <w:outlineLvl w:val="9"/>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投标</w:t>
      </w:r>
      <w:r>
        <w:rPr>
          <w:rFonts w:hint="eastAsia" w:ascii="宋体" w:hAnsi="宋体" w:eastAsia="宋体" w:cs="宋体"/>
          <w:color w:val="auto"/>
          <w:spacing w:val="-2"/>
          <w:kern w:val="0"/>
          <w:szCs w:val="21"/>
          <w:highlight w:val="none"/>
        </w:rPr>
        <w:t>文</w:t>
      </w:r>
      <w:r>
        <w:rPr>
          <w:rFonts w:hint="eastAsia" w:ascii="宋体" w:hAnsi="宋体" w:eastAsia="宋体" w:cs="宋体"/>
          <w:color w:val="auto"/>
          <w:kern w:val="0"/>
          <w:szCs w:val="21"/>
          <w:highlight w:val="none"/>
        </w:rPr>
        <w:t>件对招标</w:t>
      </w:r>
      <w:r>
        <w:rPr>
          <w:rFonts w:hint="eastAsia" w:ascii="宋体" w:hAnsi="宋体" w:eastAsia="宋体" w:cs="宋体"/>
          <w:color w:val="auto"/>
          <w:spacing w:val="-2"/>
          <w:kern w:val="0"/>
          <w:szCs w:val="21"/>
          <w:highlight w:val="none"/>
        </w:rPr>
        <w:t>文</w:t>
      </w:r>
      <w:r>
        <w:rPr>
          <w:rFonts w:hint="eastAsia" w:ascii="宋体" w:hAnsi="宋体" w:eastAsia="宋体" w:cs="宋体"/>
          <w:color w:val="auto"/>
          <w:kern w:val="0"/>
          <w:szCs w:val="21"/>
          <w:highlight w:val="none"/>
        </w:rPr>
        <w:t>件的全部偏差，均应在</w:t>
      </w:r>
      <w:r>
        <w:rPr>
          <w:rFonts w:hint="eastAsia" w:ascii="宋体" w:hAnsi="宋体" w:eastAsia="宋体" w:cs="宋体"/>
          <w:color w:val="auto"/>
          <w:spacing w:val="-2"/>
          <w:kern w:val="0"/>
          <w:szCs w:val="21"/>
          <w:highlight w:val="none"/>
        </w:rPr>
        <w:t>投</w:t>
      </w:r>
      <w:r>
        <w:rPr>
          <w:rFonts w:hint="eastAsia" w:ascii="宋体" w:hAnsi="宋体" w:eastAsia="宋体" w:cs="宋体"/>
          <w:color w:val="auto"/>
          <w:kern w:val="0"/>
          <w:szCs w:val="21"/>
          <w:highlight w:val="none"/>
        </w:rPr>
        <w:t>标文件</w:t>
      </w:r>
      <w:r>
        <w:rPr>
          <w:rFonts w:hint="eastAsia" w:ascii="宋体" w:hAnsi="宋体" w:eastAsia="宋体" w:cs="宋体"/>
          <w:color w:val="auto"/>
          <w:spacing w:val="1"/>
          <w:kern w:val="0"/>
          <w:szCs w:val="21"/>
          <w:highlight w:val="none"/>
        </w:rPr>
        <w:t>的</w:t>
      </w:r>
      <w:r>
        <w:rPr>
          <w:rFonts w:hint="eastAsia" w:ascii="宋体" w:hAnsi="宋体" w:eastAsia="宋体" w:cs="宋体"/>
          <w:color w:val="auto"/>
          <w:kern w:val="0"/>
          <w:szCs w:val="21"/>
          <w:highlight w:val="none"/>
          <w:lang w:eastAsia="zh-CN"/>
        </w:rPr>
        <w:t>商务技术偏差表</w:t>
      </w:r>
      <w:r>
        <w:rPr>
          <w:rFonts w:hint="eastAsia" w:ascii="宋体" w:hAnsi="宋体" w:eastAsia="宋体" w:cs="宋体"/>
          <w:color w:val="auto"/>
          <w:kern w:val="0"/>
          <w:szCs w:val="21"/>
          <w:highlight w:val="none"/>
        </w:rPr>
        <w:t>中列明，除列明</w:t>
      </w:r>
      <w:r>
        <w:rPr>
          <w:rFonts w:hint="eastAsia" w:ascii="宋体" w:hAnsi="宋体" w:eastAsia="宋体" w:cs="宋体"/>
          <w:color w:val="auto"/>
          <w:spacing w:val="-2"/>
          <w:kern w:val="0"/>
          <w:szCs w:val="21"/>
          <w:highlight w:val="none"/>
        </w:rPr>
        <w:t>的</w:t>
      </w:r>
      <w:r>
        <w:rPr>
          <w:rFonts w:hint="eastAsia" w:ascii="宋体" w:hAnsi="宋体" w:eastAsia="宋体" w:cs="宋体"/>
          <w:color w:val="auto"/>
          <w:kern w:val="0"/>
          <w:szCs w:val="21"/>
          <w:highlight w:val="none"/>
        </w:rPr>
        <w:t>内</w:t>
      </w:r>
      <w:r>
        <w:rPr>
          <w:rFonts w:hint="eastAsia" w:ascii="宋体" w:hAnsi="宋体" w:eastAsia="宋体" w:cs="宋体"/>
          <w:color w:val="auto"/>
          <w:spacing w:val="-2"/>
          <w:kern w:val="0"/>
          <w:szCs w:val="21"/>
          <w:highlight w:val="none"/>
        </w:rPr>
        <w:t>容</w:t>
      </w:r>
      <w:r>
        <w:rPr>
          <w:rFonts w:hint="eastAsia" w:ascii="宋体" w:hAnsi="宋体" w:eastAsia="宋体" w:cs="宋体"/>
          <w:color w:val="auto"/>
          <w:kern w:val="0"/>
          <w:szCs w:val="21"/>
          <w:highlight w:val="none"/>
        </w:rPr>
        <w:t>外</w:t>
      </w:r>
      <w:r>
        <w:rPr>
          <w:rFonts w:hint="eastAsia" w:ascii="宋体" w:hAnsi="宋体" w:eastAsia="宋体" w:cs="宋体"/>
          <w:color w:val="auto"/>
          <w:spacing w:val="-2"/>
          <w:kern w:val="0"/>
          <w:szCs w:val="21"/>
          <w:highlight w:val="none"/>
        </w:rPr>
        <w:t>，</w:t>
      </w:r>
      <w:r>
        <w:rPr>
          <w:rFonts w:hint="eastAsia" w:ascii="宋体" w:hAnsi="宋体" w:eastAsia="宋体" w:cs="宋体"/>
          <w:color w:val="auto"/>
          <w:kern w:val="0"/>
          <w:szCs w:val="21"/>
          <w:highlight w:val="none"/>
        </w:rPr>
        <w:t>视</w:t>
      </w:r>
      <w:r>
        <w:rPr>
          <w:rFonts w:hint="eastAsia" w:ascii="宋体" w:hAnsi="宋体" w:eastAsia="宋体" w:cs="宋体"/>
          <w:color w:val="auto"/>
          <w:spacing w:val="-2"/>
          <w:kern w:val="0"/>
          <w:szCs w:val="21"/>
          <w:highlight w:val="none"/>
        </w:rPr>
        <w:t>为</w:t>
      </w:r>
      <w:r>
        <w:rPr>
          <w:rFonts w:hint="eastAsia" w:ascii="宋体" w:hAnsi="宋体" w:eastAsia="宋体" w:cs="宋体"/>
          <w:color w:val="auto"/>
          <w:kern w:val="0"/>
          <w:szCs w:val="21"/>
          <w:highlight w:val="none"/>
        </w:rPr>
        <w:t>投</w:t>
      </w:r>
      <w:r>
        <w:rPr>
          <w:rFonts w:hint="eastAsia" w:ascii="宋体" w:hAnsi="宋体" w:eastAsia="宋体" w:cs="宋体"/>
          <w:color w:val="auto"/>
          <w:spacing w:val="-2"/>
          <w:kern w:val="0"/>
          <w:szCs w:val="21"/>
          <w:highlight w:val="none"/>
        </w:rPr>
        <w:t>标</w:t>
      </w:r>
      <w:r>
        <w:rPr>
          <w:rFonts w:hint="eastAsia" w:ascii="宋体" w:hAnsi="宋体" w:eastAsia="宋体" w:cs="宋体"/>
          <w:color w:val="auto"/>
          <w:kern w:val="0"/>
          <w:szCs w:val="21"/>
          <w:highlight w:val="none"/>
        </w:rPr>
        <w:t>人响</w:t>
      </w:r>
      <w:r>
        <w:rPr>
          <w:rFonts w:hint="eastAsia" w:ascii="宋体" w:hAnsi="宋体" w:eastAsia="宋体" w:cs="宋体"/>
          <w:color w:val="auto"/>
          <w:spacing w:val="-2"/>
          <w:kern w:val="0"/>
          <w:szCs w:val="21"/>
          <w:highlight w:val="none"/>
        </w:rPr>
        <w:t>应</w:t>
      </w:r>
      <w:r>
        <w:rPr>
          <w:rFonts w:hint="eastAsia" w:ascii="宋体" w:hAnsi="宋体" w:eastAsia="宋体" w:cs="宋体"/>
          <w:color w:val="auto"/>
          <w:kern w:val="0"/>
          <w:szCs w:val="21"/>
          <w:highlight w:val="none"/>
        </w:rPr>
        <w:t>招</w:t>
      </w:r>
      <w:r>
        <w:rPr>
          <w:rFonts w:hint="eastAsia" w:ascii="宋体" w:hAnsi="宋体" w:eastAsia="宋体" w:cs="宋体"/>
          <w:color w:val="auto"/>
          <w:spacing w:val="-2"/>
          <w:kern w:val="0"/>
          <w:szCs w:val="21"/>
          <w:highlight w:val="none"/>
        </w:rPr>
        <w:t>标</w:t>
      </w:r>
      <w:r>
        <w:rPr>
          <w:rFonts w:hint="eastAsia" w:ascii="宋体" w:hAnsi="宋体" w:eastAsia="宋体" w:cs="宋体"/>
          <w:color w:val="auto"/>
          <w:kern w:val="0"/>
          <w:szCs w:val="21"/>
          <w:highlight w:val="none"/>
        </w:rPr>
        <w:t>文</w:t>
      </w:r>
      <w:r>
        <w:rPr>
          <w:rFonts w:hint="eastAsia" w:ascii="宋体" w:hAnsi="宋体" w:eastAsia="宋体" w:cs="宋体"/>
          <w:color w:val="auto"/>
          <w:spacing w:val="-2"/>
          <w:kern w:val="0"/>
          <w:szCs w:val="21"/>
          <w:highlight w:val="none"/>
        </w:rPr>
        <w:t>件</w:t>
      </w:r>
      <w:r>
        <w:rPr>
          <w:rFonts w:hint="eastAsia" w:ascii="宋体" w:hAnsi="宋体" w:eastAsia="宋体" w:cs="宋体"/>
          <w:color w:val="auto"/>
          <w:kern w:val="0"/>
          <w:szCs w:val="21"/>
          <w:highlight w:val="none"/>
        </w:rPr>
        <w:t>的</w:t>
      </w:r>
      <w:r>
        <w:rPr>
          <w:rFonts w:hint="eastAsia" w:ascii="宋体" w:hAnsi="宋体" w:eastAsia="宋体" w:cs="宋体"/>
          <w:color w:val="auto"/>
          <w:spacing w:val="-2"/>
          <w:kern w:val="0"/>
          <w:szCs w:val="21"/>
          <w:highlight w:val="none"/>
        </w:rPr>
        <w:t>全</w:t>
      </w:r>
      <w:r>
        <w:rPr>
          <w:rFonts w:hint="eastAsia" w:ascii="宋体" w:hAnsi="宋体" w:eastAsia="宋体" w:cs="宋体"/>
          <w:color w:val="auto"/>
          <w:kern w:val="0"/>
          <w:szCs w:val="21"/>
          <w:highlight w:val="none"/>
        </w:rPr>
        <w:t>部</w:t>
      </w:r>
      <w:r>
        <w:rPr>
          <w:rFonts w:hint="eastAsia" w:ascii="宋体" w:hAnsi="宋体" w:eastAsia="宋体" w:cs="宋体"/>
          <w:color w:val="auto"/>
          <w:spacing w:val="-2"/>
          <w:kern w:val="0"/>
          <w:szCs w:val="21"/>
          <w:highlight w:val="none"/>
        </w:rPr>
        <w:t>要</w:t>
      </w:r>
      <w:r>
        <w:rPr>
          <w:rFonts w:hint="eastAsia" w:ascii="宋体" w:hAnsi="宋体" w:eastAsia="宋体" w:cs="宋体"/>
          <w:color w:val="auto"/>
          <w:kern w:val="0"/>
          <w:szCs w:val="21"/>
          <w:highlight w:val="none"/>
        </w:rPr>
        <w:t>求。</w:t>
      </w:r>
    </w:p>
    <w:p w14:paraId="6891DDEC">
      <w:pPr>
        <w:pStyle w:val="5"/>
        <w:keepNext/>
        <w:keepLines/>
        <w:pageBreakBefore w:val="0"/>
        <w:widowControl w:val="0"/>
        <w:numPr>
          <w:ilvl w:val="0"/>
          <w:numId w:val="3"/>
        </w:numPr>
        <w:tabs>
          <w:tab w:val="left" w:pos="721"/>
          <w:tab w:val="left" w:pos="840"/>
          <w:tab w:val="left" w:pos="2880"/>
          <w:tab w:val="left" w:pos="3780"/>
        </w:tabs>
        <w:kinsoku/>
        <w:wordWrap/>
        <w:overflowPunct/>
        <w:topLinePunct w:val="0"/>
        <w:autoSpaceDE/>
        <w:autoSpaceDN/>
        <w:bidi w:val="0"/>
        <w:adjustRightInd/>
        <w:snapToGrid/>
        <w:spacing w:before="0" w:after="0" w:line="360" w:lineRule="auto"/>
        <w:ind w:left="0" w:leftChars="0" w:right="0" w:rightChars="0" w:firstLine="0" w:firstLineChars="0"/>
        <w:jc w:val="both"/>
        <w:textAlignment w:val="auto"/>
        <w:outlineLvl w:val="1"/>
        <w:rPr>
          <w:rFonts w:hint="eastAsia" w:ascii="宋体" w:hAnsi="宋体" w:eastAsia="宋体" w:cs="宋体"/>
          <w:color w:val="auto"/>
          <w:sz w:val="24"/>
          <w:szCs w:val="24"/>
          <w:highlight w:val="none"/>
          <w:lang w:val="en-US" w:eastAsia="zh-CN"/>
        </w:rPr>
      </w:pPr>
      <w:bookmarkStart w:id="277" w:name="_Toc31128"/>
      <w:bookmarkStart w:id="278" w:name="_Toc27053"/>
      <w:r>
        <w:rPr>
          <w:rFonts w:hint="eastAsia" w:ascii="宋体" w:hAnsi="宋体" w:eastAsia="宋体" w:cs="宋体"/>
          <w:color w:val="auto"/>
          <w:sz w:val="24"/>
          <w:szCs w:val="24"/>
          <w:highlight w:val="none"/>
          <w:lang w:val="en-US" w:eastAsia="zh-CN"/>
        </w:rPr>
        <w:t>招标文件</w:t>
      </w:r>
      <w:bookmarkEnd w:id="175"/>
      <w:bookmarkEnd w:id="277"/>
      <w:bookmarkEnd w:id="278"/>
    </w:p>
    <w:p w14:paraId="5FE36B0C">
      <w:pPr>
        <w:pStyle w:val="6"/>
        <w:pageBreakBefore w:val="0"/>
        <w:numPr>
          <w:ilvl w:val="1"/>
          <w:numId w:val="3"/>
        </w:numPr>
        <w:kinsoku/>
        <w:overflowPunct/>
        <w:bidi w:val="0"/>
        <w:spacing w:before="140" w:after="140" w:line="360" w:lineRule="auto"/>
        <w:rPr>
          <w:rFonts w:hint="eastAsia" w:ascii="宋体" w:hAnsi="宋体" w:eastAsia="宋体" w:cs="宋体"/>
          <w:color w:val="auto"/>
          <w:highlight w:val="none"/>
        </w:rPr>
      </w:pPr>
      <w:bookmarkStart w:id="279" w:name="_Toc28051"/>
      <w:bookmarkStart w:id="280" w:name="_Toc8008"/>
      <w:bookmarkStart w:id="281" w:name="_Toc11"/>
      <w:bookmarkStart w:id="282" w:name="_Toc20524"/>
      <w:bookmarkStart w:id="283" w:name="_Toc3764"/>
      <w:bookmarkStart w:id="284" w:name="_Toc14801"/>
      <w:r>
        <w:rPr>
          <w:rFonts w:hint="eastAsia" w:ascii="宋体" w:hAnsi="宋体" w:eastAsia="宋体" w:cs="宋体"/>
          <w:color w:val="auto"/>
          <w:highlight w:val="none"/>
        </w:rPr>
        <w:t>招标文件的构成</w:t>
      </w:r>
      <w:bookmarkEnd w:id="279"/>
      <w:bookmarkEnd w:id="280"/>
      <w:bookmarkEnd w:id="281"/>
      <w:bookmarkEnd w:id="282"/>
      <w:bookmarkEnd w:id="283"/>
      <w:bookmarkEnd w:id="284"/>
    </w:p>
    <w:p w14:paraId="3FC0B7E5">
      <w:pPr>
        <w:keepNext w:val="0"/>
        <w:keepLines w:val="0"/>
        <w:pageBreakBefore w:val="0"/>
        <w:widowControl w:val="0"/>
        <w:numPr>
          <w:ilvl w:val="2"/>
          <w:numId w:val="3"/>
        </w:numPr>
        <w:kinsoku/>
        <w:wordWrap/>
        <w:overflowPunct/>
        <w:topLinePunct w:val="0"/>
        <w:autoSpaceDE/>
        <w:autoSpaceDN/>
        <w:bidi w:val="0"/>
        <w:adjustRightInd/>
        <w:snapToGrid/>
        <w:spacing w:line="360" w:lineRule="auto"/>
        <w:ind w:left="0" w:leftChars="0" w:firstLine="420" w:firstLineChars="200"/>
        <w:textAlignment w:val="auto"/>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招标文件用以阐明本次招标的货物</w:t>
      </w:r>
      <w:r>
        <w:rPr>
          <w:rFonts w:hint="eastAsia" w:ascii="宋体" w:hAnsi="宋体" w:eastAsia="宋体" w:cs="宋体"/>
          <w:color w:val="auto"/>
          <w:szCs w:val="21"/>
          <w:highlight w:val="none"/>
          <w:lang w:eastAsia="zh-CN"/>
        </w:rPr>
        <w:t>及其伴随的服务</w:t>
      </w:r>
      <w:r>
        <w:rPr>
          <w:rFonts w:hint="eastAsia" w:ascii="宋体" w:hAnsi="宋体" w:eastAsia="宋体" w:cs="宋体"/>
          <w:color w:val="auto"/>
          <w:szCs w:val="21"/>
          <w:highlight w:val="none"/>
        </w:rPr>
        <w:t>要求、招标投标程序和合同条件。</w:t>
      </w:r>
    </w:p>
    <w:p w14:paraId="4EBD57F4">
      <w:pPr>
        <w:pStyle w:val="26"/>
        <w:pageBreakBefore w:val="0"/>
        <w:tabs>
          <w:tab w:val="left" w:pos="720"/>
          <w:tab w:val="left" w:pos="1080"/>
        </w:tabs>
        <w:kinsoku/>
        <w:overflowPunct/>
        <w:bidi w:val="0"/>
        <w:spacing w:line="360" w:lineRule="auto"/>
        <w:ind w:left="720" w:firstLine="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招标文件由下述部分组成： </w:t>
      </w:r>
    </w:p>
    <w:p w14:paraId="1CDA265D">
      <w:pPr>
        <w:pStyle w:val="18"/>
        <w:pageBreakBefore w:val="0"/>
        <w:numPr>
          <w:ilvl w:val="0"/>
          <w:numId w:val="8"/>
        </w:numPr>
        <w:tabs>
          <w:tab w:val="left" w:pos="1080"/>
        </w:tabs>
        <w:kinsoku/>
        <w:overflowPunct/>
        <w:bidi w:val="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投标邀请</w:t>
      </w:r>
    </w:p>
    <w:p w14:paraId="1BD8AB65">
      <w:pPr>
        <w:pStyle w:val="18"/>
        <w:pageBreakBefore w:val="0"/>
        <w:numPr>
          <w:ilvl w:val="0"/>
          <w:numId w:val="8"/>
        </w:numPr>
        <w:tabs>
          <w:tab w:val="left" w:pos="1080"/>
        </w:tabs>
        <w:kinsoku/>
        <w:overflowPunct/>
        <w:bidi w:val="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投标人须知</w:t>
      </w:r>
    </w:p>
    <w:p w14:paraId="15DA0F02">
      <w:pPr>
        <w:pStyle w:val="18"/>
        <w:pageBreakBefore w:val="0"/>
        <w:numPr>
          <w:ilvl w:val="0"/>
          <w:numId w:val="8"/>
        </w:numPr>
        <w:tabs>
          <w:tab w:val="left" w:pos="1080"/>
        </w:tabs>
        <w:kinsoku/>
        <w:overflowPunct/>
        <w:bidi w:val="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资格审查</w:t>
      </w:r>
    </w:p>
    <w:p w14:paraId="3FD3B203">
      <w:pPr>
        <w:pStyle w:val="18"/>
        <w:pageBreakBefore w:val="0"/>
        <w:numPr>
          <w:ilvl w:val="0"/>
          <w:numId w:val="8"/>
        </w:numPr>
        <w:tabs>
          <w:tab w:val="left" w:pos="1080"/>
        </w:tabs>
        <w:kinsoku/>
        <w:overflowPunct/>
        <w:bidi w:val="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评标办法</w:t>
      </w:r>
    </w:p>
    <w:p w14:paraId="06161285">
      <w:pPr>
        <w:pStyle w:val="18"/>
        <w:pageBreakBefore w:val="0"/>
        <w:numPr>
          <w:ilvl w:val="0"/>
          <w:numId w:val="8"/>
        </w:numPr>
        <w:tabs>
          <w:tab w:val="left" w:pos="1080"/>
        </w:tabs>
        <w:kinsoku/>
        <w:overflowPunct/>
        <w:bidi w:val="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"_合同条款"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合同</w:t>
      </w:r>
      <w:r>
        <w:rPr>
          <w:rFonts w:hint="eastAsia" w:ascii="宋体" w:hAnsi="宋体" w:eastAsia="宋体" w:cs="宋体"/>
          <w:color w:val="auto"/>
          <w:sz w:val="21"/>
          <w:szCs w:val="21"/>
          <w:highlight w:val="none"/>
        </w:rPr>
        <w:fldChar w:fldCharType="end"/>
      </w:r>
    </w:p>
    <w:p w14:paraId="55055A16">
      <w:pPr>
        <w:pStyle w:val="18"/>
        <w:pageBreakBefore w:val="0"/>
        <w:numPr>
          <w:ilvl w:val="0"/>
          <w:numId w:val="8"/>
        </w:numPr>
        <w:tabs>
          <w:tab w:val="left" w:pos="1080"/>
        </w:tabs>
        <w:kinsoku/>
        <w:overflowPunct/>
        <w:bidi w:val="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采购需求</w:t>
      </w:r>
    </w:p>
    <w:p w14:paraId="79700ECB">
      <w:pPr>
        <w:pStyle w:val="18"/>
        <w:pageBreakBefore w:val="0"/>
        <w:numPr>
          <w:ilvl w:val="0"/>
          <w:numId w:val="8"/>
        </w:numPr>
        <w:tabs>
          <w:tab w:val="left" w:pos="1080"/>
        </w:tabs>
        <w:kinsoku/>
        <w:overflowPunct/>
        <w:bidi w:val="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投标文件</w:t>
      </w:r>
      <w:r>
        <w:rPr>
          <w:rFonts w:hint="eastAsia" w:ascii="宋体" w:hAnsi="宋体" w:eastAsia="宋体" w:cs="宋体"/>
          <w:color w:val="auto"/>
          <w:sz w:val="21"/>
          <w:szCs w:val="21"/>
          <w:highlight w:val="none"/>
        </w:rPr>
        <w:t>资格审查文件</w:t>
      </w:r>
      <w:r>
        <w:rPr>
          <w:rFonts w:hint="eastAsia" w:ascii="宋体" w:hAnsi="宋体" w:eastAsia="宋体" w:cs="宋体"/>
          <w:color w:val="auto"/>
          <w:sz w:val="21"/>
          <w:szCs w:val="21"/>
          <w:highlight w:val="none"/>
          <w:lang w:eastAsia="zh-CN"/>
        </w:rPr>
        <w:t>册</w:t>
      </w:r>
      <w:r>
        <w:rPr>
          <w:rFonts w:hint="eastAsia" w:ascii="宋体" w:hAnsi="宋体" w:eastAsia="宋体" w:cs="宋体"/>
          <w:color w:val="auto"/>
          <w:sz w:val="21"/>
          <w:szCs w:val="21"/>
          <w:highlight w:val="none"/>
        </w:rPr>
        <w:t>通用格式</w:t>
      </w:r>
    </w:p>
    <w:p w14:paraId="0159A0A0">
      <w:pPr>
        <w:pStyle w:val="18"/>
        <w:pageBreakBefore w:val="0"/>
        <w:numPr>
          <w:ilvl w:val="0"/>
          <w:numId w:val="8"/>
        </w:numPr>
        <w:tabs>
          <w:tab w:val="left" w:pos="1080"/>
        </w:tabs>
        <w:kinsoku/>
        <w:overflowPunct/>
        <w:bidi w:val="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投标文件通用格式</w:t>
      </w:r>
    </w:p>
    <w:p w14:paraId="2D83CB02">
      <w:pPr>
        <w:keepNext w:val="0"/>
        <w:keepLines w:val="0"/>
        <w:pageBreakBefore w:val="0"/>
        <w:widowControl w:val="0"/>
        <w:numPr>
          <w:ilvl w:val="2"/>
          <w:numId w:val="3"/>
        </w:numPr>
        <w:kinsoku/>
        <w:wordWrap/>
        <w:overflowPunct/>
        <w:topLinePunct w:val="0"/>
        <w:autoSpaceDE/>
        <w:autoSpaceDN/>
        <w:bidi w:val="0"/>
        <w:adjustRightInd/>
        <w:snapToGrid/>
        <w:spacing w:line="360" w:lineRule="auto"/>
        <w:ind w:left="0" w:leftChars="0" w:firstLine="420" w:firstLineChars="200"/>
        <w:textAlignment w:val="auto"/>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投标人应仔细阅读招标文件中投标人须知、合同条款的所有事项、格式要求和技术规范，按招标文件的要求提供投标文件，并保证所提供的全部资料的真实性，以使其投标对招标文件</w:t>
      </w:r>
      <w:r>
        <w:rPr>
          <w:rFonts w:hint="eastAsia" w:ascii="宋体" w:hAnsi="宋体" w:eastAsia="宋体" w:cs="宋体"/>
          <w:color w:val="auto"/>
          <w:szCs w:val="21"/>
          <w:highlight w:val="none"/>
          <w:lang w:eastAsia="zh-CN"/>
        </w:rPr>
        <w:t>作出</w:t>
      </w:r>
      <w:r>
        <w:rPr>
          <w:rFonts w:hint="eastAsia" w:ascii="宋体" w:hAnsi="宋体" w:eastAsia="宋体" w:cs="宋体"/>
          <w:color w:val="auto"/>
          <w:szCs w:val="21"/>
          <w:highlight w:val="none"/>
        </w:rPr>
        <w:t>实质性响应，否则，将承担其</w:t>
      </w:r>
      <w:r>
        <w:rPr>
          <w:rFonts w:hint="eastAsia" w:ascii="宋体" w:hAnsi="宋体" w:eastAsia="宋体" w:cs="宋体"/>
          <w:b/>
          <w:bCs/>
          <w:color w:val="auto"/>
          <w:szCs w:val="21"/>
          <w:highlight w:val="none"/>
        </w:rPr>
        <w:t>投标被拒绝或认定为投标无效的风险</w:t>
      </w:r>
      <w:r>
        <w:rPr>
          <w:rFonts w:hint="eastAsia" w:ascii="宋体" w:hAnsi="宋体" w:eastAsia="宋体" w:cs="宋体"/>
          <w:color w:val="auto"/>
          <w:szCs w:val="21"/>
          <w:highlight w:val="none"/>
        </w:rPr>
        <w:t>。</w:t>
      </w:r>
    </w:p>
    <w:p w14:paraId="0F8C5998">
      <w:pPr>
        <w:keepNext w:val="0"/>
        <w:keepLines w:val="0"/>
        <w:pageBreakBefore w:val="0"/>
        <w:widowControl w:val="0"/>
        <w:numPr>
          <w:ilvl w:val="2"/>
          <w:numId w:val="3"/>
        </w:numPr>
        <w:kinsoku/>
        <w:wordWrap/>
        <w:overflowPunct/>
        <w:topLinePunct w:val="0"/>
        <w:autoSpaceDE/>
        <w:autoSpaceDN/>
        <w:bidi w:val="0"/>
        <w:adjustRightInd/>
        <w:snapToGrid/>
        <w:spacing w:line="360" w:lineRule="auto"/>
        <w:ind w:left="0" w:leftChars="0" w:firstLine="420" w:firstLineChars="200"/>
        <w:textAlignment w:val="auto"/>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投标人制作投标文件时应充分完整理解招标文件的整体要求。</w:t>
      </w:r>
    </w:p>
    <w:p w14:paraId="23A2D237">
      <w:pPr>
        <w:keepNext w:val="0"/>
        <w:keepLines w:val="0"/>
        <w:pageBreakBefore w:val="0"/>
        <w:widowControl w:val="0"/>
        <w:numPr>
          <w:ilvl w:val="2"/>
          <w:numId w:val="3"/>
        </w:numPr>
        <w:kinsoku/>
        <w:wordWrap/>
        <w:overflowPunct/>
        <w:topLinePunct w:val="0"/>
        <w:autoSpaceDE/>
        <w:autoSpaceDN/>
        <w:bidi w:val="0"/>
        <w:adjustRightInd/>
        <w:snapToGrid/>
        <w:spacing w:line="360" w:lineRule="auto"/>
        <w:ind w:left="0" w:leftChars="0" w:firstLine="420" w:firstLineChars="200"/>
        <w:textAlignment w:val="auto"/>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根据本章第</w:t>
      </w:r>
      <w:r>
        <w:rPr>
          <w:rFonts w:hint="eastAsia" w:ascii="宋体" w:hAnsi="宋体" w:eastAsia="宋体" w:cs="宋体"/>
          <w:color w:val="auto"/>
          <w:szCs w:val="21"/>
          <w:highlight w:val="none"/>
          <w:lang w:val="en-US" w:eastAsia="zh-CN"/>
        </w:rPr>
        <w:t>1.4款、第2.2款和第2.3款对招标文件所做的澄清和修改，构成招标文件的组成部分。</w:t>
      </w:r>
    </w:p>
    <w:p w14:paraId="63906A0D">
      <w:pPr>
        <w:pStyle w:val="6"/>
        <w:pageBreakBefore w:val="0"/>
        <w:numPr>
          <w:ilvl w:val="1"/>
          <w:numId w:val="3"/>
        </w:numPr>
        <w:kinsoku/>
        <w:overflowPunct/>
        <w:bidi w:val="0"/>
        <w:spacing w:before="140" w:after="140" w:line="360" w:lineRule="auto"/>
        <w:rPr>
          <w:rFonts w:hint="eastAsia" w:ascii="宋体" w:hAnsi="宋体" w:eastAsia="宋体" w:cs="宋体"/>
          <w:color w:val="auto"/>
          <w:highlight w:val="none"/>
        </w:rPr>
      </w:pPr>
      <w:bookmarkStart w:id="285" w:name="_Toc23431"/>
      <w:bookmarkStart w:id="286" w:name="_Toc6978"/>
      <w:bookmarkStart w:id="287" w:name="_Toc18984"/>
      <w:bookmarkStart w:id="288" w:name="_Toc3408"/>
      <w:bookmarkStart w:id="289" w:name="_Toc1423"/>
      <w:bookmarkStart w:id="290" w:name="_Toc7923"/>
      <w:r>
        <w:rPr>
          <w:rFonts w:hint="eastAsia" w:ascii="宋体" w:hAnsi="宋体" w:eastAsia="宋体" w:cs="宋体"/>
          <w:color w:val="auto"/>
          <w:highlight w:val="none"/>
        </w:rPr>
        <w:t>招标文件的澄清</w:t>
      </w:r>
      <w:bookmarkEnd w:id="285"/>
      <w:bookmarkEnd w:id="286"/>
      <w:bookmarkEnd w:id="287"/>
      <w:bookmarkEnd w:id="288"/>
      <w:bookmarkEnd w:id="289"/>
      <w:bookmarkEnd w:id="290"/>
    </w:p>
    <w:p w14:paraId="6F05B0A1">
      <w:pPr>
        <w:keepNext w:val="0"/>
        <w:keepLines w:val="0"/>
        <w:pageBreakBefore w:val="0"/>
        <w:widowControl w:val="0"/>
        <w:numPr>
          <w:ilvl w:val="2"/>
          <w:numId w:val="3"/>
        </w:numPr>
        <w:kinsoku/>
        <w:wordWrap/>
        <w:overflowPunct/>
        <w:topLinePunct w:val="0"/>
        <w:autoSpaceDE/>
        <w:autoSpaceDN/>
        <w:bidi w:val="0"/>
        <w:adjustRightInd/>
        <w:snapToGrid/>
        <w:spacing w:line="360" w:lineRule="auto"/>
        <w:ind w:left="0" w:leftChars="0" w:firstLine="420" w:firstLineChars="200"/>
        <w:textAlignment w:val="auto"/>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投标人应仔细阅读和检查招标文件的全部内容。如发现缺页或附件不全，应及时向</w:t>
      </w:r>
      <w:r>
        <w:rPr>
          <w:rFonts w:hint="eastAsia" w:ascii="宋体" w:hAnsi="宋体" w:eastAsia="宋体" w:cs="宋体"/>
          <w:color w:val="auto"/>
          <w:szCs w:val="21"/>
          <w:highlight w:val="none"/>
          <w:lang w:eastAsia="zh-CN"/>
        </w:rPr>
        <w:t>采购人</w:t>
      </w:r>
      <w:r>
        <w:rPr>
          <w:rFonts w:hint="eastAsia" w:ascii="宋体" w:hAnsi="宋体" w:eastAsia="宋体" w:cs="宋体"/>
          <w:color w:val="auto"/>
          <w:szCs w:val="21"/>
          <w:highlight w:val="none"/>
        </w:rPr>
        <w:t>提出，以便补齐。</w:t>
      </w:r>
    </w:p>
    <w:p w14:paraId="0179AE01">
      <w:pPr>
        <w:keepNext w:val="0"/>
        <w:keepLines w:val="0"/>
        <w:pageBreakBefore w:val="0"/>
        <w:widowControl w:val="0"/>
        <w:numPr>
          <w:ilvl w:val="2"/>
          <w:numId w:val="3"/>
        </w:numPr>
        <w:kinsoku/>
        <w:wordWrap/>
        <w:overflowPunct/>
        <w:topLinePunct w:val="0"/>
        <w:autoSpaceDE/>
        <w:autoSpaceDN/>
        <w:bidi w:val="0"/>
        <w:adjustRightInd/>
        <w:snapToGrid/>
        <w:spacing w:line="360" w:lineRule="auto"/>
        <w:ind w:left="0" w:leftChars="0" w:firstLine="420" w:firstLineChars="200"/>
        <w:textAlignment w:val="auto"/>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招标文件的澄清以投标人须知前附表规定的形式发给所有</w:t>
      </w:r>
      <w:r>
        <w:rPr>
          <w:rFonts w:hint="eastAsia" w:ascii="宋体" w:hAnsi="宋体" w:eastAsia="宋体" w:cs="宋体"/>
          <w:color w:val="auto"/>
          <w:szCs w:val="21"/>
          <w:highlight w:val="none"/>
          <w:lang w:eastAsia="zh-CN"/>
        </w:rPr>
        <w:t>获取</w:t>
      </w:r>
      <w:r>
        <w:rPr>
          <w:rFonts w:hint="eastAsia" w:ascii="宋体" w:hAnsi="宋体" w:eastAsia="宋体" w:cs="宋体"/>
          <w:color w:val="auto"/>
          <w:szCs w:val="21"/>
          <w:highlight w:val="none"/>
        </w:rPr>
        <w:t>招标文件的投标人，</w:t>
      </w:r>
      <w:r>
        <w:rPr>
          <w:rFonts w:hint="eastAsia" w:ascii="宋体" w:hAnsi="宋体" w:eastAsia="宋体" w:cs="宋体"/>
          <w:color w:val="auto"/>
          <w:szCs w:val="21"/>
          <w:highlight w:val="none"/>
          <w:lang w:eastAsia="zh-CN"/>
        </w:rPr>
        <w:t>同时在原公告媒体发布澄清公告，</w:t>
      </w:r>
      <w:r>
        <w:rPr>
          <w:rFonts w:hint="eastAsia" w:ascii="宋体" w:hAnsi="宋体" w:eastAsia="宋体" w:cs="宋体"/>
          <w:color w:val="auto"/>
          <w:szCs w:val="21"/>
          <w:highlight w:val="none"/>
        </w:rPr>
        <w:t>但不指明澄清问题的来源。澄清发出的时间距本章第4.2.1项规定的投标截止时间不足15日的，并且澄清内容可能影响投标文件编制的，将相应延长投标截止时间。</w:t>
      </w:r>
    </w:p>
    <w:p w14:paraId="411A9C05">
      <w:pPr>
        <w:keepNext w:val="0"/>
        <w:keepLines w:val="0"/>
        <w:pageBreakBefore w:val="0"/>
        <w:widowControl w:val="0"/>
        <w:numPr>
          <w:ilvl w:val="2"/>
          <w:numId w:val="3"/>
        </w:numPr>
        <w:kinsoku/>
        <w:wordWrap/>
        <w:overflowPunct/>
        <w:topLinePunct w:val="0"/>
        <w:autoSpaceDE/>
        <w:autoSpaceDN/>
        <w:bidi w:val="0"/>
        <w:adjustRightInd/>
        <w:snapToGrid/>
        <w:spacing w:line="360" w:lineRule="auto"/>
        <w:ind w:left="0" w:leftChars="0" w:firstLine="420" w:firstLineChars="200"/>
        <w:textAlignment w:val="auto"/>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投标人在收到澄清后，应按投标人须知前附表规定的时间和形式通知</w:t>
      </w:r>
      <w:r>
        <w:rPr>
          <w:rFonts w:hint="eastAsia" w:ascii="宋体" w:hAnsi="宋体" w:eastAsia="宋体" w:cs="宋体"/>
          <w:color w:val="auto"/>
          <w:szCs w:val="21"/>
          <w:highlight w:val="none"/>
          <w:lang w:eastAsia="zh-CN"/>
        </w:rPr>
        <w:t>采购人</w:t>
      </w:r>
      <w:r>
        <w:rPr>
          <w:rFonts w:hint="eastAsia" w:ascii="宋体" w:hAnsi="宋体" w:eastAsia="宋体" w:cs="宋体"/>
          <w:color w:val="auto"/>
          <w:szCs w:val="21"/>
          <w:highlight w:val="none"/>
        </w:rPr>
        <w:t>，确认已收到该澄清。</w:t>
      </w:r>
    </w:p>
    <w:p w14:paraId="3D81D726">
      <w:pPr>
        <w:pStyle w:val="6"/>
        <w:pageBreakBefore w:val="0"/>
        <w:numPr>
          <w:ilvl w:val="1"/>
          <w:numId w:val="3"/>
        </w:numPr>
        <w:kinsoku/>
        <w:overflowPunct/>
        <w:bidi w:val="0"/>
        <w:spacing w:before="140" w:after="140" w:line="360" w:lineRule="auto"/>
        <w:rPr>
          <w:rFonts w:hint="eastAsia" w:ascii="宋体" w:hAnsi="宋体" w:eastAsia="宋体" w:cs="宋体"/>
          <w:color w:val="auto"/>
          <w:highlight w:val="none"/>
        </w:rPr>
      </w:pPr>
      <w:bookmarkStart w:id="291" w:name="_Toc12162"/>
      <w:bookmarkStart w:id="292" w:name="_Toc25801"/>
      <w:bookmarkStart w:id="293" w:name="_Toc28742"/>
      <w:bookmarkStart w:id="294" w:name="_Toc3549"/>
      <w:bookmarkStart w:id="295" w:name="_Toc28686"/>
      <w:bookmarkStart w:id="296" w:name="_Toc32510"/>
      <w:r>
        <w:rPr>
          <w:rFonts w:hint="eastAsia" w:ascii="宋体" w:hAnsi="宋体" w:eastAsia="宋体" w:cs="宋体"/>
          <w:color w:val="auto"/>
          <w:highlight w:val="none"/>
        </w:rPr>
        <w:t>招标文件的修改</w:t>
      </w:r>
      <w:bookmarkEnd w:id="291"/>
      <w:bookmarkEnd w:id="292"/>
      <w:bookmarkEnd w:id="293"/>
      <w:bookmarkEnd w:id="294"/>
      <w:bookmarkEnd w:id="295"/>
      <w:bookmarkEnd w:id="296"/>
    </w:p>
    <w:p w14:paraId="622FA16F">
      <w:pPr>
        <w:keepNext w:val="0"/>
        <w:keepLines w:val="0"/>
        <w:pageBreakBefore w:val="0"/>
        <w:widowControl w:val="0"/>
        <w:numPr>
          <w:ilvl w:val="2"/>
          <w:numId w:val="3"/>
        </w:numPr>
        <w:kinsoku/>
        <w:wordWrap/>
        <w:overflowPunct/>
        <w:topLinePunct w:val="0"/>
        <w:autoSpaceDE/>
        <w:autoSpaceDN/>
        <w:bidi w:val="0"/>
        <w:adjustRightInd/>
        <w:snapToGrid/>
        <w:spacing w:line="360" w:lineRule="auto"/>
        <w:ind w:left="0" w:leftChars="0" w:firstLine="420" w:firstLineChars="200"/>
        <w:textAlignment w:val="auto"/>
        <w:outlineLvl w:val="9"/>
        <w:rPr>
          <w:rFonts w:hint="eastAsia" w:ascii="宋体" w:hAnsi="宋体" w:eastAsia="宋体" w:cs="宋体"/>
          <w:b w:val="0"/>
          <w:bCs w:val="0"/>
          <w:color w:val="auto"/>
          <w:szCs w:val="21"/>
          <w:highlight w:val="none"/>
        </w:rPr>
      </w:pPr>
      <w:r>
        <w:rPr>
          <w:rFonts w:hint="eastAsia" w:ascii="宋体" w:hAnsi="宋体" w:eastAsia="宋体" w:cs="宋体"/>
          <w:color w:val="auto"/>
          <w:szCs w:val="21"/>
          <w:highlight w:val="none"/>
        </w:rPr>
        <w:t>采购人或者采购代理机构可以对已发出的招标文件进行必要的修改，但不得改变采购标的和资格条件</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修改的内容为招标文件的组成部分</w:t>
      </w:r>
      <w:r>
        <w:rPr>
          <w:rFonts w:hint="eastAsia" w:ascii="宋体" w:hAnsi="宋体" w:eastAsia="宋体" w:cs="宋体"/>
          <w:color w:val="auto"/>
          <w:szCs w:val="21"/>
          <w:highlight w:val="none"/>
          <w:lang w:eastAsia="zh-CN"/>
        </w:rPr>
        <w:t>。</w:t>
      </w:r>
    </w:p>
    <w:p w14:paraId="719CB253">
      <w:pPr>
        <w:keepNext w:val="0"/>
        <w:keepLines w:val="0"/>
        <w:pageBreakBefore w:val="0"/>
        <w:widowControl w:val="0"/>
        <w:numPr>
          <w:ilvl w:val="2"/>
          <w:numId w:val="3"/>
        </w:numPr>
        <w:kinsoku/>
        <w:wordWrap/>
        <w:overflowPunct/>
        <w:topLinePunct w:val="0"/>
        <w:autoSpaceDE/>
        <w:autoSpaceDN/>
        <w:bidi w:val="0"/>
        <w:adjustRightInd/>
        <w:snapToGrid/>
        <w:spacing w:line="360" w:lineRule="auto"/>
        <w:ind w:left="0" w:leftChars="0" w:firstLine="420" w:firstLineChars="200"/>
        <w:textAlignment w:val="auto"/>
        <w:outlineLvl w:val="9"/>
        <w:rPr>
          <w:rFonts w:hint="eastAsia" w:ascii="宋体" w:hAnsi="宋体" w:eastAsia="宋体" w:cs="宋体"/>
          <w:b w:val="0"/>
          <w:bCs w:val="0"/>
          <w:color w:val="auto"/>
          <w:szCs w:val="21"/>
          <w:highlight w:val="none"/>
        </w:rPr>
      </w:pPr>
      <w:r>
        <w:rPr>
          <w:rFonts w:hint="eastAsia" w:ascii="宋体" w:hAnsi="宋体" w:eastAsia="宋体" w:cs="宋体"/>
          <w:b w:val="0"/>
          <w:bCs w:val="0"/>
          <w:color w:val="auto"/>
          <w:szCs w:val="21"/>
          <w:highlight w:val="none"/>
          <w:lang w:eastAsia="zh-CN"/>
        </w:rPr>
        <w:t>采购人或采购代理机构</w:t>
      </w:r>
      <w:r>
        <w:rPr>
          <w:rFonts w:hint="eastAsia" w:ascii="宋体" w:hAnsi="宋体" w:eastAsia="宋体" w:cs="宋体"/>
          <w:b w:val="0"/>
          <w:bCs w:val="0"/>
          <w:color w:val="auto"/>
          <w:szCs w:val="21"/>
          <w:highlight w:val="none"/>
        </w:rPr>
        <w:t>以投标人须知前附表规定的形式修改招标文件，并通知所有已</w:t>
      </w:r>
      <w:r>
        <w:rPr>
          <w:rFonts w:hint="eastAsia" w:ascii="宋体" w:hAnsi="宋体" w:eastAsia="宋体" w:cs="宋体"/>
          <w:color w:val="auto"/>
          <w:szCs w:val="21"/>
          <w:highlight w:val="none"/>
          <w:lang w:eastAsia="zh-CN"/>
        </w:rPr>
        <w:t>获取</w:t>
      </w:r>
      <w:r>
        <w:rPr>
          <w:rFonts w:hint="eastAsia" w:ascii="宋体" w:hAnsi="宋体" w:eastAsia="宋体" w:cs="宋体"/>
          <w:b w:val="0"/>
          <w:bCs w:val="0"/>
          <w:color w:val="auto"/>
          <w:szCs w:val="21"/>
          <w:highlight w:val="none"/>
        </w:rPr>
        <w:t>招标文件的投标人</w:t>
      </w:r>
      <w:r>
        <w:rPr>
          <w:rFonts w:hint="eastAsia" w:ascii="宋体" w:hAnsi="宋体" w:eastAsia="宋体" w:cs="宋体"/>
          <w:b w:val="0"/>
          <w:bCs w:val="0"/>
          <w:color w:val="auto"/>
          <w:szCs w:val="21"/>
          <w:highlight w:val="none"/>
          <w:lang w:eastAsia="zh-CN"/>
        </w:rPr>
        <w:t>，</w:t>
      </w:r>
      <w:r>
        <w:rPr>
          <w:rFonts w:hint="eastAsia" w:ascii="宋体" w:hAnsi="宋体" w:eastAsia="宋体" w:cs="宋体"/>
          <w:color w:val="auto"/>
          <w:szCs w:val="21"/>
          <w:highlight w:val="none"/>
          <w:lang w:eastAsia="zh-CN"/>
        </w:rPr>
        <w:t>同时在原公告媒体发布变更公告</w:t>
      </w:r>
      <w:r>
        <w:rPr>
          <w:rFonts w:hint="eastAsia" w:ascii="宋体" w:hAnsi="宋体" w:eastAsia="宋体" w:cs="宋体"/>
          <w:b w:val="0"/>
          <w:bCs w:val="0"/>
          <w:color w:val="auto"/>
          <w:szCs w:val="21"/>
          <w:highlight w:val="none"/>
        </w:rPr>
        <w:t>。修改招标文件的时间距本章第4.2.1项规定的投标截止时间不足15日的，并且修改内容可能影响投标文件编制的，将相应延长投标截止时间。</w:t>
      </w:r>
    </w:p>
    <w:p w14:paraId="1688FE54">
      <w:pPr>
        <w:keepNext w:val="0"/>
        <w:keepLines w:val="0"/>
        <w:pageBreakBefore w:val="0"/>
        <w:widowControl w:val="0"/>
        <w:numPr>
          <w:ilvl w:val="2"/>
          <w:numId w:val="3"/>
        </w:numPr>
        <w:kinsoku/>
        <w:wordWrap/>
        <w:overflowPunct/>
        <w:topLinePunct w:val="0"/>
        <w:autoSpaceDE/>
        <w:autoSpaceDN/>
        <w:bidi w:val="0"/>
        <w:adjustRightInd/>
        <w:snapToGrid/>
        <w:spacing w:line="360" w:lineRule="auto"/>
        <w:ind w:left="0" w:leftChars="0" w:firstLine="420" w:firstLineChars="200"/>
        <w:textAlignment w:val="auto"/>
        <w:outlineLvl w:val="9"/>
        <w:rPr>
          <w:rFonts w:hint="eastAsia" w:ascii="宋体" w:hAnsi="宋体" w:eastAsia="宋体" w:cs="宋体"/>
          <w:b w:val="0"/>
          <w:bCs w:val="0"/>
          <w:color w:val="auto"/>
          <w:szCs w:val="21"/>
          <w:highlight w:val="none"/>
        </w:rPr>
      </w:pPr>
      <w:r>
        <w:rPr>
          <w:rFonts w:hint="eastAsia" w:ascii="宋体" w:hAnsi="宋体" w:eastAsia="宋体" w:cs="宋体"/>
          <w:b w:val="0"/>
          <w:bCs w:val="0"/>
          <w:color w:val="auto"/>
          <w:szCs w:val="21"/>
          <w:highlight w:val="none"/>
        </w:rPr>
        <w:t>投标人收到修改内容后，应按投标人须知前附表规定的时间和形式通知</w:t>
      </w:r>
      <w:r>
        <w:rPr>
          <w:rFonts w:hint="eastAsia" w:ascii="宋体" w:hAnsi="宋体" w:eastAsia="宋体" w:cs="宋体"/>
          <w:b w:val="0"/>
          <w:bCs w:val="0"/>
          <w:color w:val="auto"/>
          <w:szCs w:val="21"/>
          <w:highlight w:val="none"/>
          <w:lang w:eastAsia="zh-CN"/>
        </w:rPr>
        <w:t>采购人</w:t>
      </w:r>
      <w:r>
        <w:rPr>
          <w:rFonts w:hint="eastAsia" w:ascii="宋体" w:hAnsi="宋体" w:eastAsia="宋体" w:cs="宋体"/>
          <w:b w:val="0"/>
          <w:bCs w:val="0"/>
          <w:color w:val="auto"/>
          <w:szCs w:val="21"/>
          <w:highlight w:val="none"/>
          <w:lang w:val="en-US" w:eastAsia="zh-CN"/>
        </w:rPr>
        <w:t xml:space="preserve"> </w:t>
      </w:r>
      <w:r>
        <w:rPr>
          <w:rFonts w:hint="eastAsia" w:ascii="宋体" w:hAnsi="宋体" w:eastAsia="宋体" w:cs="宋体"/>
          <w:b w:val="0"/>
          <w:bCs w:val="0"/>
          <w:color w:val="auto"/>
          <w:szCs w:val="21"/>
          <w:highlight w:val="none"/>
        </w:rPr>
        <w:t>，确认已收到该修改。</w:t>
      </w:r>
    </w:p>
    <w:p w14:paraId="31C2AA06">
      <w:pPr>
        <w:pStyle w:val="5"/>
        <w:keepNext/>
        <w:keepLines/>
        <w:pageBreakBefore w:val="0"/>
        <w:widowControl w:val="0"/>
        <w:numPr>
          <w:ilvl w:val="0"/>
          <w:numId w:val="3"/>
        </w:numPr>
        <w:tabs>
          <w:tab w:val="left" w:pos="721"/>
          <w:tab w:val="left" w:pos="840"/>
          <w:tab w:val="left" w:pos="2880"/>
          <w:tab w:val="left" w:pos="3780"/>
        </w:tabs>
        <w:kinsoku/>
        <w:wordWrap/>
        <w:overflowPunct/>
        <w:topLinePunct w:val="0"/>
        <w:autoSpaceDE/>
        <w:autoSpaceDN/>
        <w:bidi w:val="0"/>
        <w:adjustRightInd/>
        <w:snapToGrid/>
        <w:spacing w:before="0" w:after="0" w:line="360" w:lineRule="auto"/>
        <w:ind w:left="0" w:leftChars="0" w:right="0" w:rightChars="0" w:firstLine="0" w:firstLineChars="0"/>
        <w:jc w:val="both"/>
        <w:textAlignment w:val="auto"/>
        <w:outlineLvl w:val="1"/>
        <w:rPr>
          <w:rFonts w:hint="eastAsia" w:ascii="宋体" w:hAnsi="宋体" w:eastAsia="宋体" w:cs="宋体"/>
          <w:color w:val="auto"/>
          <w:sz w:val="24"/>
          <w:szCs w:val="24"/>
          <w:highlight w:val="none"/>
          <w:lang w:val="en-US" w:eastAsia="zh-CN"/>
        </w:rPr>
      </w:pPr>
      <w:bookmarkStart w:id="297" w:name="_Toc4694"/>
      <w:bookmarkStart w:id="298" w:name="_Toc312133545"/>
      <w:bookmarkStart w:id="299" w:name="_Toc4756"/>
      <w:r>
        <w:rPr>
          <w:rFonts w:hint="eastAsia" w:ascii="宋体" w:hAnsi="宋体" w:eastAsia="宋体" w:cs="宋体"/>
          <w:color w:val="auto"/>
          <w:sz w:val="24"/>
          <w:szCs w:val="24"/>
          <w:highlight w:val="none"/>
          <w:lang w:val="en-US" w:eastAsia="zh-CN"/>
        </w:rPr>
        <w:t>投标文件的编写</w:t>
      </w:r>
      <w:bookmarkEnd w:id="297"/>
      <w:bookmarkEnd w:id="298"/>
      <w:bookmarkEnd w:id="299"/>
    </w:p>
    <w:p w14:paraId="77FA2FF7">
      <w:pPr>
        <w:pStyle w:val="6"/>
        <w:pageBreakBefore w:val="0"/>
        <w:numPr>
          <w:ilvl w:val="1"/>
          <w:numId w:val="3"/>
        </w:numPr>
        <w:kinsoku/>
        <w:overflowPunct/>
        <w:bidi w:val="0"/>
        <w:spacing w:before="140" w:after="140" w:line="360" w:lineRule="auto"/>
        <w:rPr>
          <w:rFonts w:hint="eastAsia" w:ascii="宋体" w:hAnsi="宋体" w:eastAsia="宋体" w:cs="宋体"/>
          <w:color w:val="auto"/>
          <w:highlight w:val="none"/>
        </w:rPr>
      </w:pPr>
      <w:bookmarkStart w:id="300" w:name="_Toc13551"/>
      <w:bookmarkStart w:id="301" w:name="_Toc27498"/>
      <w:bookmarkStart w:id="302" w:name="_Toc17436"/>
      <w:bookmarkStart w:id="303" w:name="_Toc9605"/>
      <w:bookmarkStart w:id="304" w:name="_Toc21879"/>
      <w:bookmarkStart w:id="305" w:name="_Toc17591"/>
      <w:r>
        <w:rPr>
          <w:rFonts w:hint="eastAsia" w:ascii="宋体" w:hAnsi="宋体" w:eastAsia="宋体" w:cs="宋体"/>
          <w:color w:val="auto"/>
          <w:highlight w:val="none"/>
        </w:rPr>
        <w:t>投标文件的组成</w:t>
      </w:r>
      <w:bookmarkEnd w:id="300"/>
      <w:bookmarkEnd w:id="301"/>
      <w:bookmarkEnd w:id="302"/>
      <w:bookmarkEnd w:id="303"/>
      <w:bookmarkEnd w:id="304"/>
      <w:bookmarkEnd w:id="305"/>
    </w:p>
    <w:p w14:paraId="5A08C922">
      <w:pPr>
        <w:keepNext w:val="0"/>
        <w:keepLines w:val="0"/>
        <w:pageBreakBefore w:val="0"/>
        <w:widowControl w:val="0"/>
        <w:numPr>
          <w:ilvl w:val="2"/>
          <w:numId w:val="3"/>
        </w:numPr>
        <w:kinsoku/>
        <w:wordWrap/>
        <w:overflowPunct/>
        <w:topLinePunct w:val="0"/>
        <w:autoSpaceDE/>
        <w:autoSpaceDN/>
        <w:bidi w:val="0"/>
        <w:adjustRightInd/>
        <w:snapToGrid/>
        <w:spacing w:line="360" w:lineRule="auto"/>
        <w:ind w:left="0" w:leftChars="0" w:firstLine="420" w:firstLineChars="200"/>
        <w:textAlignment w:val="auto"/>
        <w:outlineLvl w:val="9"/>
        <w:rPr>
          <w:rFonts w:hint="eastAsia" w:ascii="宋体" w:hAnsi="宋体" w:eastAsia="宋体" w:cs="宋体"/>
          <w:b w:val="0"/>
          <w:bCs w:val="0"/>
          <w:color w:val="auto"/>
          <w:szCs w:val="21"/>
          <w:highlight w:val="none"/>
        </w:rPr>
      </w:pPr>
      <w:r>
        <w:rPr>
          <w:rFonts w:hint="eastAsia" w:ascii="宋体" w:hAnsi="宋体" w:eastAsia="宋体" w:cs="宋体"/>
          <w:b w:val="0"/>
          <w:bCs w:val="0"/>
          <w:color w:val="auto"/>
          <w:szCs w:val="21"/>
          <w:highlight w:val="none"/>
        </w:rPr>
        <w:t>投标文件包括下列部分：</w:t>
      </w:r>
    </w:p>
    <w:p w14:paraId="2889CB43">
      <w:pPr>
        <w:pageBreakBefore w:val="0"/>
        <w:tabs>
          <w:tab w:val="left" w:pos="720"/>
        </w:tabs>
        <w:kinsoku/>
        <w:overflowPunct/>
        <w:bidi w:val="0"/>
        <w:spacing w:line="360" w:lineRule="auto"/>
        <w:ind w:firstLine="422" w:firstLineChars="200"/>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投标文件资格审查文件</w:t>
      </w:r>
      <w:r>
        <w:rPr>
          <w:rFonts w:hint="eastAsia" w:ascii="宋体" w:hAnsi="宋体" w:eastAsia="宋体" w:cs="宋体"/>
          <w:b/>
          <w:bCs/>
          <w:color w:val="auto"/>
          <w:szCs w:val="21"/>
          <w:highlight w:val="none"/>
          <w:lang w:eastAsia="zh-CN"/>
        </w:rPr>
        <w:t>册</w:t>
      </w:r>
      <w:r>
        <w:rPr>
          <w:rFonts w:hint="eastAsia" w:ascii="宋体" w:hAnsi="宋体" w:eastAsia="宋体" w:cs="宋体"/>
          <w:b/>
          <w:bCs/>
          <w:color w:val="auto"/>
          <w:szCs w:val="21"/>
          <w:highlight w:val="none"/>
        </w:rPr>
        <w:t>组成</w:t>
      </w:r>
    </w:p>
    <w:p w14:paraId="527B9404">
      <w:pPr>
        <w:keepNext w:val="0"/>
        <w:keepLines w:val="0"/>
        <w:pageBreakBefore w:val="0"/>
        <w:widowControl w:val="0"/>
        <w:numPr>
          <w:ilvl w:val="0"/>
          <w:numId w:val="9"/>
        </w:numPr>
        <w:kinsoku/>
        <w:wordWrap/>
        <w:overflowPunct/>
        <w:topLinePunct w:val="0"/>
        <w:autoSpaceDE w:val="0"/>
        <w:autoSpaceDN w:val="0"/>
        <w:bidi w:val="0"/>
        <w:adjustRightInd w:val="0"/>
        <w:snapToGrid/>
        <w:spacing w:line="360" w:lineRule="auto"/>
        <w:ind w:left="987" w:leftChars="200" w:right="40" w:hanging="567" w:firstLineChars="0"/>
        <w:jc w:val="left"/>
        <w:textAlignment w:val="auto"/>
        <w:outlineLvl w:val="9"/>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lang w:val="en-US" w:eastAsia="zh-CN"/>
        </w:rPr>
        <w:t>参考招标文件第七章“投标文件资格审查册通用格式”。</w:t>
      </w:r>
    </w:p>
    <w:p w14:paraId="074C3418">
      <w:pPr>
        <w:keepNext w:val="0"/>
        <w:keepLines w:val="0"/>
        <w:pageBreakBefore w:val="0"/>
        <w:widowControl w:val="0"/>
        <w:numPr>
          <w:ilvl w:val="0"/>
          <w:numId w:val="0"/>
        </w:numPr>
        <w:tabs>
          <w:tab w:val="left" w:pos="720"/>
        </w:tabs>
        <w:kinsoku/>
        <w:wordWrap/>
        <w:overflowPunct/>
        <w:topLinePunct w:val="0"/>
        <w:bidi w:val="0"/>
        <w:snapToGrid/>
        <w:spacing w:line="360" w:lineRule="auto"/>
        <w:ind w:leftChars="200"/>
        <w:textAlignment w:val="auto"/>
        <w:outlineLvl w:val="9"/>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投标文件组成</w:t>
      </w:r>
    </w:p>
    <w:p w14:paraId="0E73D731">
      <w:pPr>
        <w:keepNext w:val="0"/>
        <w:keepLines w:val="0"/>
        <w:pageBreakBefore w:val="0"/>
        <w:widowControl w:val="0"/>
        <w:numPr>
          <w:ilvl w:val="0"/>
          <w:numId w:val="10"/>
        </w:numPr>
        <w:kinsoku/>
        <w:wordWrap/>
        <w:overflowPunct/>
        <w:topLinePunct w:val="0"/>
        <w:autoSpaceDE w:val="0"/>
        <w:autoSpaceDN w:val="0"/>
        <w:bidi w:val="0"/>
        <w:adjustRightInd w:val="0"/>
        <w:snapToGrid/>
        <w:spacing w:line="360" w:lineRule="auto"/>
        <w:ind w:left="987" w:leftChars="200" w:right="40" w:hanging="567" w:firstLineChars="0"/>
        <w:jc w:val="left"/>
        <w:textAlignment w:val="auto"/>
        <w:outlineLvl w:val="9"/>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lang w:val="en-US" w:eastAsia="zh-CN"/>
        </w:rPr>
        <w:t>参考招标文件第八章“投标文件通用格式”。</w:t>
      </w:r>
    </w:p>
    <w:p w14:paraId="418BEBF7">
      <w:pPr>
        <w:keepNext w:val="0"/>
        <w:keepLines w:val="0"/>
        <w:pageBreakBefore w:val="0"/>
        <w:widowControl w:val="0"/>
        <w:numPr>
          <w:ilvl w:val="2"/>
          <w:numId w:val="3"/>
        </w:numPr>
        <w:kinsoku/>
        <w:wordWrap/>
        <w:overflowPunct/>
        <w:topLinePunct w:val="0"/>
        <w:autoSpaceDE/>
        <w:autoSpaceDN/>
        <w:bidi w:val="0"/>
        <w:adjustRightInd/>
        <w:snapToGrid/>
        <w:spacing w:line="360" w:lineRule="auto"/>
        <w:ind w:left="0" w:leftChars="0" w:firstLine="420" w:firstLineChars="200"/>
        <w:textAlignment w:val="auto"/>
        <w:outlineLvl w:val="9"/>
        <w:rPr>
          <w:rFonts w:hint="eastAsia" w:ascii="宋体" w:hAnsi="宋体" w:eastAsia="宋体" w:cs="宋体"/>
          <w:b w:val="0"/>
          <w:bCs w:val="0"/>
          <w:color w:val="auto"/>
          <w:szCs w:val="21"/>
          <w:highlight w:val="none"/>
        </w:rPr>
      </w:pPr>
      <w:r>
        <w:rPr>
          <w:rFonts w:hint="eastAsia" w:ascii="宋体" w:hAnsi="宋体" w:eastAsia="宋体" w:cs="宋体"/>
          <w:b w:val="0"/>
          <w:bCs w:val="0"/>
          <w:color w:val="auto"/>
          <w:szCs w:val="21"/>
          <w:highlight w:val="none"/>
        </w:rPr>
        <w:t>投标文件应与招标文件的投标文件格式次序一一对应。</w:t>
      </w:r>
    </w:p>
    <w:p w14:paraId="7357C37D">
      <w:pPr>
        <w:keepNext w:val="0"/>
        <w:keepLines w:val="0"/>
        <w:pageBreakBefore w:val="0"/>
        <w:widowControl w:val="0"/>
        <w:numPr>
          <w:ilvl w:val="2"/>
          <w:numId w:val="3"/>
        </w:numPr>
        <w:kinsoku/>
        <w:wordWrap/>
        <w:overflowPunct/>
        <w:topLinePunct w:val="0"/>
        <w:autoSpaceDE/>
        <w:autoSpaceDN/>
        <w:bidi w:val="0"/>
        <w:adjustRightInd/>
        <w:snapToGrid/>
        <w:spacing w:line="360" w:lineRule="auto"/>
        <w:ind w:left="0" w:leftChars="0" w:firstLine="420" w:firstLineChars="200"/>
        <w:textAlignment w:val="auto"/>
        <w:outlineLvl w:val="9"/>
        <w:rPr>
          <w:rFonts w:hint="eastAsia" w:ascii="宋体" w:hAnsi="宋体" w:eastAsia="宋体" w:cs="宋体"/>
          <w:b w:val="0"/>
          <w:bCs w:val="0"/>
          <w:color w:val="auto"/>
          <w:szCs w:val="21"/>
          <w:highlight w:val="none"/>
        </w:rPr>
      </w:pPr>
      <w:r>
        <w:rPr>
          <w:rFonts w:hint="eastAsia" w:ascii="宋体" w:hAnsi="宋体" w:eastAsia="宋体" w:cs="宋体"/>
          <w:b w:val="0"/>
          <w:bCs w:val="0"/>
          <w:color w:val="auto"/>
          <w:szCs w:val="21"/>
          <w:highlight w:val="none"/>
        </w:rPr>
        <w:t>招标文件中的每个分包，是项目招标不可拆分的最小投标单元，投标人必须按此分包编制投标文件，提交相应的文件资料，拆包投标将视为漏项或非实质性响应予以认定为</w:t>
      </w:r>
      <w:r>
        <w:rPr>
          <w:rFonts w:hint="eastAsia" w:ascii="宋体" w:hAnsi="宋体" w:eastAsia="宋体" w:cs="宋体"/>
          <w:b/>
          <w:bCs/>
          <w:color w:val="auto"/>
          <w:szCs w:val="21"/>
          <w:highlight w:val="none"/>
        </w:rPr>
        <w:t>投标无效</w:t>
      </w:r>
      <w:r>
        <w:rPr>
          <w:rFonts w:hint="eastAsia" w:ascii="宋体" w:hAnsi="宋体" w:eastAsia="宋体" w:cs="宋体"/>
          <w:b w:val="0"/>
          <w:bCs w:val="0"/>
          <w:color w:val="auto"/>
          <w:szCs w:val="21"/>
          <w:highlight w:val="none"/>
        </w:rPr>
        <w:t>。</w:t>
      </w:r>
    </w:p>
    <w:p w14:paraId="5E1C21C5">
      <w:pPr>
        <w:pStyle w:val="6"/>
        <w:pageBreakBefore w:val="0"/>
        <w:numPr>
          <w:ilvl w:val="1"/>
          <w:numId w:val="3"/>
        </w:numPr>
        <w:kinsoku/>
        <w:overflowPunct/>
        <w:bidi w:val="0"/>
        <w:spacing w:before="140" w:after="140" w:line="360" w:lineRule="auto"/>
        <w:rPr>
          <w:rFonts w:hint="eastAsia" w:ascii="宋体" w:hAnsi="宋体" w:eastAsia="宋体" w:cs="宋体"/>
          <w:color w:val="auto"/>
          <w:highlight w:val="none"/>
        </w:rPr>
      </w:pPr>
      <w:bookmarkStart w:id="306" w:name="_Toc2826"/>
      <w:bookmarkStart w:id="307" w:name="_Toc32754"/>
      <w:bookmarkStart w:id="308" w:name="_Toc28885"/>
      <w:bookmarkStart w:id="309" w:name="_Toc4941"/>
      <w:bookmarkStart w:id="310" w:name="_Toc1833"/>
      <w:bookmarkStart w:id="311" w:name="_Toc25737"/>
      <w:r>
        <w:rPr>
          <w:rFonts w:hint="eastAsia" w:ascii="宋体" w:hAnsi="宋体" w:eastAsia="宋体" w:cs="宋体"/>
          <w:color w:val="auto"/>
          <w:highlight w:val="none"/>
        </w:rPr>
        <w:t>投标报价</w:t>
      </w:r>
      <w:bookmarkEnd w:id="306"/>
      <w:bookmarkEnd w:id="307"/>
      <w:bookmarkEnd w:id="308"/>
      <w:bookmarkEnd w:id="309"/>
      <w:bookmarkEnd w:id="310"/>
      <w:bookmarkEnd w:id="311"/>
    </w:p>
    <w:p w14:paraId="5290C3CD">
      <w:pPr>
        <w:keepNext w:val="0"/>
        <w:keepLines w:val="0"/>
        <w:pageBreakBefore w:val="0"/>
        <w:widowControl w:val="0"/>
        <w:numPr>
          <w:ilvl w:val="2"/>
          <w:numId w:val="3"/>
        </w:numPr>
        <w:kinsoku/>
        <w:wordWrap/>
        <w:overflowPunct/>
        <w:topLinePunct w:val="0"/>
        <w:autoSpaceDE/>
        <w:autoSpaceDN/>
        <w:bidi w:val="0"/>
        <w:adjustRightInd/>
        <w:snapToGrid/>
        <w:spacing w:line="360" w:lineRule="auto"/>
        <w:ind w:left="0" w:leftChars="0" w:firstLine="420" w:firstLineChars="200"/>
        <w:textAlignment w:val="auto"/>
        <w:outlineLvl w:val="9"/>
        <w:rPr>
          <w:rFonts w:hint="eastAsia" w:ascii="宋体" w:hAnsi="宋体" w:eastAsia="宋体" w:cs="宋体"/>
          <w:b w:val="0"/>
          <w:bCs w:val="0"/>
          <w:color w:val="auto"/>
          <w:szCs w:val="21"/>
          <w:highlight w:val="none"/>
        </w:rPr>
      </w:pPr>
      <w:r>
        <w:rPr>
          <w:rFonts w:hint="eastAsia" w:ascii="宋体" w:hAnsi="宋体" w:eastAsia="宋体" w:cs="宋体"/>
          <w:color w:val="auto"/>
          <w:highlight w:val="none"/>
          <w:shd w:val="clear" w:color="auto" w:fill="auto"/>
        </w:rPr>
        <w:t>投标报价为目的地交货价</w:t>
      </w:r>
      <w:r>
        <w:rPr>
          <w:rFonts w:hint="eastAsia" w:ascii="宋体" w:hAnsi="宋体" w:eastAsia="宋体" w:cs="宋体"/>
          <w:color w:val="auto"/>
          <w:highlight w:val="none"/>
          <w:shd w:val="clear" w:color="auto" w:fill="auto"/>
          <w:lang w:eastAsia="zh-CN"/>
        </w:rPr>
        <w:t>。</w:t>
      </w:r>
      <w:r>
        <w:rPr>
          <w:rFonts w:hint="eastAsia" w:ascii="宋体" w:hAnsi="宋体" w:eastAsia="宋体" w:cs="宋体"/>
          <w:b w:val="0"/>
          <w:bCs w:val="0"/>
          <w:color w:val="auto"/>
          <w:szCs w:val="21"/>
          <w:highlight w:val="none"/>
        </w:rPr>
        <w:t>投标人应按照招标文件提供的投标报价表格式填写提供各项货物及服务的单价、分项总价和总投标价。</w:t>
      </w:r>
    </w:p>
    <w:p w14:paraId="5CDF8C5F">
      <w:pPr>
        <w:keepNext w:val="0"/>
        <w:keepLines w:val="0"/>
        <w:pageBreakBefore w:val="0"/>
        <w:widowControl w:val="0"/>
        <w:numPr>
          <w:ilvl w:val="2"/>
          <w:numId w:val="3"/>
        </w:numPr>
        <w:kinsoku/>
        <w:wordWrap/>
        <w:overflowPunct/>
        <w:topLinePunct w:val="0"/>
        <w:autoSpaceDE/>
        <w:autoSpaceDN/>
        <w:bidi w:val="0"/>
        <w:adjustRightInd/>
        <w:snapToGrid/>
        <w:spacing w:line="360" w:lineRule="auto"/>
        <w:ind w:left="0" w:leftChars="0" w:firstLine="420" w:firstLineChars="200"/>
        <w:textAlignment w:val="auto"/>
        <w:outlineLvl w:val="9"/>
        <w:rPr>
          <w:rFonts w:hint="eastAsia" w:ascii="宋体" w:hAnsi="宋体" w:eastAsia="宋体" w:cs="宋体"/>
          <w:color w:val="auto"/>
          <w:highlight w:val="none"/>
        </w:rPr>
      </w:pPr>
      <w:r>
        <w:rPr>
          <w:rFonts w:hint="eastAsia" w:ascii="宋体" w:hAnsi="宋体" w:eastAsia="宋体" w:cs="宋体"/>
          <w:b w:val="0"/>
          <w:bCs w:val="0"/>
          <w:color w:val="auto"/>
          <w:szCs w:val="21"/>
          <w:highlight w:val="none"/>
        </w:rPr>
        <w:t>投标总报价应是采购人指定地点交货的，包括基于交货或提供服务前发生的</w:t>
      </w:r>
      <w:r>
        <w:rPr>
          <w:rFonts w:hint="eastAsia" w:ascii="宋体" w:hAnsi="宋体" w:eastAsia="宋体" w:cs="宋体"/>
          <w:b w:val="0"/>
          <w:bCs w:val="0"/>
          <w:color w:val="auto"/>
          <w:szCs w:val="21"/>
          <w:highlight w:val="none"/>
          <w:lang w:val="en-US" w:eastAsia="zh-CN"/>
        </w:rPr>
        <w:t>设备费、</w:t>
      </w:r>
      <w:r>
        <w:rPr>
          <w:rFonts w:hint="eastAsia" w:ascii="宋体" w:hAnsi="宋体" w:eastAsia="宋体" w:cs="宋体"/>
          <w:b w:val="0"/>
          <w:bCs w:val="0"/>
          <w:color w:val="auto"/>
          <w:szCs w:val="21"/>
          <w:highlight w:val="none"/>
        </w:rPr>
        <w:t>运费</w:t>
      </w:r>
      <w:r>
        <w:rPr>
          <w:rFonts w:hint="eastAsia" w:ascii="宋体" w:hAnsi="宋体" w:eastAsia="宋体" w:cs="宋体"/>
          <w:b w:val="0"/>
          <w:bCs w:val="0"/>
          <w:color w:val="auto"/>
          <w:szCs w:val="21"/>
          <w:highlight w:val="none"/>
          <w:lang w:val="en-US" w:eastAsia="zh-CN"/>
        </w:rPr>
        <w:t>和</w:t>
      </w:r>
      <w:r>
        <w:rPr>
          <w:rFonts w:hint="eastAsia" w:ascii="宋体" w:hAnsi="宋体" w:eastAsia="宋体" w:cs="宋体"/>
          <w:b w:val="0"/>
          <w:bCs w:val="0"/>
          <w:color w:val="auto"/>
          <w:szCs w:val="21"/>
          <w:highlight w:val="none"/>
        </w:rPr>
        <w:t>保险费、技术服务</w:t>
      </w:r>
      <w:r>
        <w:rPr>
          <w:rFonts w:hint="eastAsia" w:ascii="宋体" w:hAnsi="宋体" w:eastAsia="宋体" w:cs="宋体"/>
          <w:b w:val="0"/>
          <w:bCs w:val="0"/>
          <w:color w:val="auto"/>
          <w:szCs w:val="21"/>
          <w:highlight w:val="none"/>
          <w:lang w:val="en-US" w:eastAsia="zh-CN"/>
        </w:rPr>
        <w:t>费</w:t>
      </w:r>
      <w:r>
        <w:rPr>
          <w:rFonts w:hint="eastAsia" w:ascii="宋体" w:hAnsi="宋体" w:eastAsia="宋体" w:cs="宋体"/>
          <w:b w:val="0"/>
          <w:bCs w:val="0"/>
          <w:color w:val="auto"/>
          <w:szCs w:val="21"/>
          <w:highlight w:val="none"/>
          <w:lang w:eastAsia="zh-CN"/>
        </w:rPr>
        <w:t>（安装、调试、试车、运行</w:t>
      </w:r>
      <w:r>
        <w:rPr>
          <w:rFonts w:hint="eastAsia" w:ascii="宋体" w:hAnsi="宋体" w:eastAsia="宋体" w:cs="宋体"/>
          <w:b w:val="0"/>
          <w:bCs w:val="0"/>
          <w:color w:val="auto"/>
          <w:szCs w:val="21"/>
          <w:highlight w:val="none"/>
          <w:lang w:val="en-US" w:eastAsia="zh-CN"/>
        </w:rPr>
        <w:t>等</w:t>
      </w:r>
      <w:r>
        <w:rPr>
          <w:rFonts w:hint="eastAsia" w:ascii="宋体" w:hAnsi="宋体" w:eastAsia="宋体" w:cs="宋体"/>
          <w:b w:val="0"/>
          <w:bCs w:val="0"/>
          <w:color w:val="auto"/>
          <w:szCs w:val="21"/>
          <w:highlight w:val="none"/>
          <w:lang w:eastAsia="zh-CN"/>
        </w:rPr>
        <w:t>）</w:t>
      </w:r>
      <w:r>
        <w:rPr>
          <w:rFonts w:hint="eastAsia" w:ascii="宋体" w:hAnsi="宋体" w:eastAsia="宋体" w:cs="宋体"/>
          <w:b w:val="0"/>
          <w:bCs w:val="0"/>
          <w:color w:val="auto"/>
          <w:szCs w:val="21"/>
          <w:highlight w:val="none"/>
        </w:rPr>
        <w:t>、检验费及伴随的消耗材料</w:t>
      </w:r>
      <w:r>
        <w:rPr>
          <w:rFonts w:hint="eastAsia" w:ascii="宋体" w:hAnsi="宋体" w:eastAsia="宋体" w:cs="宋体"/>
          <w:b w:val="0"/>
          <w:bCs w:val="0"/>
          <w:color w:val="auto"/>
          <w:szCs w:val="21"/>
          <w:highlight w:val="none"/>
          <w:lang w:val="en-US" w:eastAsia="zh-CN"/>
        </w:rPr>
        <w:t>费</w:t>
      </w:r>
      <w:r>
        <w:rPr>
          <w:rFonts w:hint="eastAsia" w:ascii="宋体" w:hAnsi="宋体" w:eastAsia="宋体" w:cs="宋体"/>
          <w:b w:val="0"/>
          <w:bCs w:val="0"/>
          <w:color w:val="auto"/>
          <w:szCs w:val="21"/>
          <w:highlight w:val="none"/>
        </w:rPr>
        <w:t>、备品备件</w:t>
      </w:r>
      <w:r>
        <w:rPr>
          <w:rFonts w:hint="eastAsia" w:ascii="宋体" w:hAnsi="宋体" w:eastAsia="宋体" w:cs="宋体"/>
          <w:b w:val="0"/>
          <w:bCs w:val="0"/>
          <w:color w:val="auto"/>
          <w:szCs w:val="21"/>
          <w:highlight w:val="none"/>
          <w:lang w:val="en-US" w:eastAsia="zh-CN"/>
        </w:rPr>
        <w:t>和</w:t>
      </w:r>
      <w:r>
        <w:rPr>
          <w:rFonts w:hint="eastAsia" w:ascii="宋体" w:hAnsi="宋体" w:eastAsia="宋体" w:cs="宋体"/>
          <w:b w:val="0"/>
          <w:bCs w:val="0"/>
          <w:color w:val="auto"/>
          <w:szCs w:val="21"/>
          <w:highlight w:val="none"/>
        </w:rPr>
        <w:t>专用工具</w:t>
      </w:r>
      <w:r>
        <w:rPr>
          <w:rFonts w:hint="eastAsia" w:ascii="宋体" w:hAnsi="宋体" w:eastAsia="宋体" w:cs="宋体"/>
          <w:b w:val="0"/>
          <w:bCs w:val="0"/>
          <w:color w:val="auto"/>
          <w:szCs w:val="21"/>
          <w:highlight w:val="none"/>
          <w:lang w:val="en-US" w:eastAsia="zh-CN"/>
        </w:rPr>
        <w:t>费</w:t>
      </w:r>
      <w:r>
        <w:rPr>
          <w:rFonts w:hint="eastAsia" w:ascii="宋体" w:hAnsi="宋体" w:eastAsia="宋体" w:cs="宋体"/>
          <w:b w:val="0"/>
          <w:bCs w:val="0"/>
          <w:color w:val="auto"/>
          <w:szCs w:val="21"/>
          <w:highlight w:val="none"/>
          <w:lang w:eastAsia="zh-CN"/>
        </w:rPr>
        <w:t>、</w:t>
      </w:r>
      <w:r>
        <w:rPr>
          <w:rFonts w:hint="eastAsia" w:ascii="宋体" w:hAnsi="宋体" w:eastAsia="宋体" w:cs="宋体"/>
          <w:b w:val="0"/>
          <w:bCs w:val="0"/>
          <w:color w:val="auto"/>
          <w:szCs w:val="21"/>
          <w:highlight w:val="none"/>
          <w:lang w:val="en-US" w:eastAsia="zh-CN"/>
        </w:rPr>
        <w:t>培训费、</w:t>
      </w:r>
      <w:r>
        <w:rPr>
          <w:rFonts w:hint="eastAsia" w:ascii="宋体" w:hAnsi="宋体" w:eastAsia="宋体" w:cs="宋体"/>
          <w:b w:val="0"/>
          <w:bCs w:val="0"/>
          <w:color w:val="auto"/>
          <w:szCs w:val="21"/>
          <w:highlight w:val="none"/>
        </w:rPr>
        <w:t>各种税费</w:t>
      </w:r>
      <w:r>
        <w:rPr>
          <w:rFonts w:hint="eastAsia" w:ascii="宋体" w:hAnsi="宋体" w:eastAsia="宋体" w:cs="宋体"/>
          <w:b w:val="0"/>
          <w:bCs w:val="0"/>
          <w:color w:val="auto"/>
          <w:szCs w:val="21"/>
          <w:highlight w:val="none"/>
          <w:lang w:eastAsia="zh-CN"/>
        </w:rPr>
        <w:t>和其他</w:t>
      </w:r>
      <w:r>
        <w:rPr>
          <w:rFonts w:hint="eastAsia" w:ascii="宋体" w:hAnsi="宋体" w:eastAsia="宋体" w:cs="宋体"/>
          <w:b w:val="0"/>
          <w:bCs w:val="0"/>
          <w:color w:val="auto"/>
          <w:szCs w:val="21"/>
          <w:highlight w:val="none"/>
          <w:lang w:val="en-US" w:eastAsia="zh-CN"/>
        </w:rPr>
        <w:t>相关</w:t>
      </w:r>
      <w:r>
        <w:rPr>
          <w:rFonts w:hint="eastAsia" w:ascii="宋体" w:hAnsi="宋体" w:eastAsia="宋体" w:cs="宋体"/>
          <w:b w:val="0"/>
          <w:bCs w:val="0"/>
          <w:color w:val="auto"/>
          <w:szCs w:val="21"/>
          <w:highlight w:val="none"/>
        </w:rPr>
        <w:t>服务</w:t>
      </w:r>
      <w:r>
        <w:rPr>
          <w:rFonts w:hint="eastAsia" w:ascii="宋体" w:hAnsi="宋体" w:eastAsia="宋体" w:cs="宋体"/>
          <w:b w:val="0"/>
          <w:bCs w:val="0"/>
          <w:color w:val="auto"/>
          <w:szCs w:val="21"/>
          <w:highlight w:val="none"/>
          <w:lang w:val="en-US" w:eastAsia="zh-CN"/>
        </w:rPr>
        <w:t>费等全部费用</w:t>
      </w:r>
      <w:r>
        <w:rPr>
          <w:rFonts w:hint="eastAsia" w:ascii="宋体" w:hAnsi="宋体" w:eastAsia="宋体" w:cs="宋体"/>
          <w:b w:val="0"/>
          <w:bCs w:val="0"/>
          <w:color w:val="auto"/>
          <w:szCs w:val="21"/>
          <w:highlight w:val="none"/>
        </w:rPr>
        <w:t>。</w:t>
      </w:r>
      <w:r>
        <w:rPr>
          <w:rFonts w:hint="eastAsia" w:ascii="宋体" w:hAnsi="宋体" w:eastAsia="宋体" w:cs="宋体"/>
          <w:b w:val="0"/>
          <w:bCs w:val="0"/>
          <w:color w:val="auto"/>
          <w:szCs w:val="21"/>
          <w:highlight w:val="none"/>
          <w:lang w:eastAsia="zh-CN"/>
        </w:rPr>
        <w:t>投标报价一览表是将总报价进行分解，</w:t>
      </w:r>
      <w:r>
        <w:rPr>
          <w:rFonts w:hint="eastAsia" w:ascii="宋体" w:hAnsi="宋体" w:eastAsia="宋体" w:cs="宋体"/>
          <w:b w:val="0"/>
          <w:bCs w:val="0"/>
          <w:color w:val="auto"/>
          <w:szCs w:val="21"/>
          <w:highlight w:val="none"/>
        </w:rPr>
        <w:t>各项报价应准确填入投标报价</w:t>
      </w:r>
      <w:r>
        <w:rPr>
          <w:rFonts w:hint="eastAsia" w:ascii="宋体" w:hAnsi="宋体" w:eastAsia="宋体" w:cs="宋体"/>
          <w:b w:val="0"/>
          <w:bCs w:val="0"/>
          <w:color w:val="auto"/>
          <w:szCs w:val="21"/>
          <w:highlight w:val="none"/>
          <w:lang w:eastAsia="zh-CN"/>
        </w:rPr>
        <w:t>一览</w:t>
      </w:r>
      <w:r>
        <w:rPr>
          <w:rFonts w:hint="eastAsia" w:ascii="宋体" w:hAnsi="宋体" w:eastAsia="宋体" w:cs="宋体"/>
          <w:b w:val="0"/>
          <w:bCs w:val="0"/>
          <w:color w:val="auto"/>
          <w:szCs w:val="21"/>
          <w:highlight w:val="none"/>
        </w:rPr>
        <w:t>表相应栏内。未填入报价项目评标委员会可以认定为已包含在总报价，也可能做出对投标人不利的判断，后果由投标人自行承担。</w:t>
      </w:r>
    </w:p>
    <w:p w14:paraId="28374866">
      <w:pPr>
        <w:keepNext w:val="0"/>
        <w:keepLines w:val="0"/>
        <w:pageBreakBefore w:val="0"/>
        <w:widowControl w:val="0"/>
        <w:numPr>
          <w:ilvl w:val="2"/>
          <w:numId w:val="3"/>
        </w:numPr>
        <w:kinsoku/>
        <w:wordWrap/>
        <w:overflowPunct/>
        <w:topLinePunct w:val="0"/>
        <w:autoSpaceDE/>
        <w:autoSpaceDN/>
        <w:bidi w:val="0"/>
        <w:adjustRightInd/>
        <w:snapToGrid/>
        <w:spacing w:line="360" w:lineRule="auto"/>
        <w:ind w:left="0" w:leftChars="0" w:firstLine="420" w:firstLineChars="200"/>
        <w:textAlignment w:val="auto"/>
        <w:outlineLvl w:val="9"/>
        <w:rPr>
          <w:rFonts w:hint="eastAsia" w:ascii="宋体" w:hAnsi="宋体" w:eastAsia="宋体" w:cs="宋体"/>
          <w:b w:val="0"/>
          <w:bCs w:val="0"/>
          <w:color w:val="auto"/>
          <w:szCs w:val="21"/>
          <w:highlight w:val="none"/>
        </w:rPr>
      </w:pPr>
      <w:r>
        <w:rPr>
          <w:rFonts w:hint="eastAsia" w:ascii="宋体" w:hAnsi="宋体" w:eastAsia="宋体" w:cs="宋体"/>
          <w:b w:val="0"/>
          <w:bCs w:val="0"/>
          <w:color w:val="auto"/>
          <w:szCs w:val="21"/>
          <w:highlight w:val="none"/>
        </w:rPr>
        <w:t>投标人根据上述规定所作分项报价的目的只是为了评标时对投标文件进行比较的方便，但并不限制采购人订立合同的权力。</w:t>
      </w:r>
    </w:p>
    <w:p w14:paraId="7CC85E6D">
      <w:pPr>
        <w:keepNext w:val="0"/>
        <w:keepLines w:val="0"/>
        <w:pageBreakBefore w:val="0"/>
        <w:widowControl w:val="0"/>
        <w:numPr>
          <w:ilvl w:val="2"/>
          <w:numId w:val="3"/>
        </w:numPr>
        <w:kinsoku/>
        <w:wordWrap/>
        <w:overflowPunct/>
        <w:topLinePunct w:val="0"/>
        <w:autoSpaceDE/>
        <w:autoSpaceDN/>
        <w:bidi w:val="0"/>
        <w:adjustRightInd/>
        <w:snapToGrid/>
        <w:spacing w:line="360" w:lineRule="auto"/>
        <w:ind w:left="0" w:leftChars="0" w:firstLine="420" w:firstLineChars="200"/>
        <w:textAlignment w:val="auto"/>
        <w:outlineLvl w:val="9"/>
        <w:rPr>
          <w:rFonts w:hint="eastAsia" w:ascii="宋体" w:hAnsi="宋体" w:eastAsia="宋体" w:cs="宋体"/>
          <w:b w:val="0"/>
          <w:bCs w:val="0"/>
          <w:color w:val="auto"/>
          <w:szCs w:val="21"/>
          <w:highlight w:val="none"/>
        </w:rPr>
      </w:pPr>
      <w:r>
        <w:rPr>
          <w:rFonts w:hint="eastAsia" w:ascii="宋体" w:hAnsi="宋体" w:eastAsia="宋体" w:cs="宋体"/>
          <w:b w:val="0"/>
          <w:bCs w:val="0"/>
          <w:color w:val="auto"/>
          <w:szCs w:val="21"/>
          <w:highlight w:val="none"/>
        </w:rPr>
        <w:t>投标报价应完全包括招标文件规定的全部货物</w:t>
      </w:r>
      <w:r>
        <w:rPr>
          <w:rFonts w:hint="eastAsia" w:ascii="宋体" w:hAnsi="宋体" w:eastAsia="宋体" w:cs="宋体"/>
          <w:b w:val="0"/>
          <w:bCs w:val="0"/>
          <w:color w:val="auto"/>
          <w:szCs w:val="21"/>
          <w:highlight w:val="none"/>
          <w:lang w:eastAsia="zh-CN"/>
        </w:rPr>
        <w:t>及其伴随的</w:t>
      </w:r>
      <w:r>
        <w:rPr>
          <w:rFonts w:hint="eastAsia" w:ascii="宋体" w:hAnsi="宋体" w:eastAsia="宋体" w:cs="宋体"/>
          <w:b w:val="0"/>
          <w:bCs w:val="0"/>
          <w:color w:val="auto"/>
          <w:szCs w:val="21"/>
          <w:highlight w:val="none"/>
        </w:rPr>
        <w:t>服务范围，不得任意分割或合并所规定的货物</w:t>
      </w:r>
      <w:r>
        <w:rPr>
          <w:rFonts w:hint="eastAsia" w:ascii="宋体" w:hAnsi="宋体" w:eastAsia="宋体" w:cs="宋体"/>
          <w:b w:val="0"/>
          <w:bCs w:val="0"/>
          <w:color w:val="auto"/>
          <w:szCs w:val="21"/>
          <w:highlight w:val="none"/>
          <w:lang w:eastAsia="zh-CN"/>
        </w:rPr>
        <w:t>及其伴随的</w:t>
      </w:r>
      <w:r>
        <w:rPr>
          <w:rFonts w:hint="eastAsia" w:ascii="宋体" w:hAnsi="宋体" w:eastAsia="宋体" w:cs="宋体"/>
          <w:b w:val="0"/>
          <w:bCs w:val="0"/>
          <w:color w:val="auto"/>
          <w:szCs w:val="21"/>
          <w:highlight w:val="none"/>
        </w:rPr>
        <w:t>服务分项。</w:t>
      </w:r>
    </w:p>
    <w:p w14:paraId="2A058EE6">
      <w:pPr>
        <w:keepNext w:val="0"/>
        <w:keepLines w:val="0"/>
        <w:pageBreakBefore w:val="0"/>
        <w:widowControl w:val="0"/>
        <w:numPr>
          <w:ilvl w:val="2"/>
          <w:numId w:val="3"/>
        </w:numPr>
        <w:kinsoku/>
        <w:wordWrap/>
        <w:overflowPunct/>
        <w:topLinePunct w:val="0"/>
        <w:autoSpaceDE/>
        <w:autoSpaceDN/>
        <w:bidi w:val="0"/>
        <w:adjustRightInd/>
        <w:snapToGrid/>
        <w:spacing w:line="360" w:lineRule="auto"/>
        <w:ind w:left="0" w:leftChars="0" w:firstLine="420" w:firstLineChars="200"/>
        <w:textAlignment w:val="auto"/>
        <w:outlineLvl w:val="9"/>
        <w:rPr>
          <w:rFonts w:hint="eastAsia" w:ascii="宋体" w:hAnsi="宋体" w:eastAsia="宋体" w:cs="宋体"/>
          <w:b w:val="0"/>
          <w:bCs w:val="0"/>
          <w:color w:val="auto"/>
          <w:szCs w:val="21"/>
          <w:highlight w:val="none"/>
        </w:rPr>
      </w:pPr>
      <w:r>
        <w:rPr>
          <w:rFonts w:hint="eastAsia" w:ascii="宋体" w:hAnsi="宋体" w:eastAsia="宋体" w:cs="宋体"/>
          <w:b w:val="0"/>
          <w:bCs w:val="0"/>
          <w:color w:val="auto"/>
          <w:szCs w:val="21"/>
          <w:highlight w:val="none"/>
        </w:rPr>
        <w:t>投标人对每种货物只允许有一个报价，采购人和采购代理机构不接受有任何选择报价的投标。</w:t>
      </w:r>
    </w:p>
    <w:p w14:paraId="50F8C797">
      <w:pPr>
        <w:keepNext w:val="0"/>
        <w:keepLines w:val="0"/>
        <w:pageBreakBefore w:val="0"/>
        <w:widowControl w:val="0"/>
        <w:numPr>
          <w:ilvl w:val="2"/>
          <w:numId w:val="3"/>
        </w:numPr>
        <w:kinsoku/>
        <w:wordWrap/>
        <w:overflowPunct/>
        <w:topLinePunct w:val="0"/>
        <w:autoSpaceDE/>
        <w:autoSpaceDN/>
        <w:bidi w:val="0"/>
        <w:adjustRightInd/>
        <w:snapToGrid/>
        <w:spacing w:line="360" w:lineRule="auto"/>
        <w:ind w:left="0" w:leftChars="0" w:firstLine="420" w:firstLineChars="200"/>
        <w:textAlignment w:val="auto"/>
        <w:outlineLvl w:val="9"/>
        <w:rPr>
          <w:rFonts w:hint="eastAsia" w:ascii="宋体" w:hAnsi="宋体" w:eastAsia="宋体" w:cs="宋体"/>
          <w:color w:val="auto"/>
          <w:highlight w:val="none"/>
        </w:rPr>
      </w:pPr>
      <w:r>
        <w:rPr>
          <w:rFonts w:hint="eastAsia" w:ascii="宋体" w:hAnsi="宋体" w:eastAsia="宋体" w:cs="宋体"/>
          <w:b w:val="0"/>
          <w:bCs w:val="0"/>
          <w:color w:val="auto"/>
          <w:szCs w:val="21"/>
          <w:highlight w:val="none"/>
        </w:rPr>
        <w:t>投标人不得以任何理由在开标后对投标报价予以修改，报价在投标有效期内是固定的，不因任何原因而改变。任何包含价格调整要求和条件的投标，将被视为非实质性响应投标而予以拒绝。最低投标报价并不意味着一定中标。</w:t>
      </w:r>
    </w:p>
    <w:p w14:paraId="0B8335BC">
      <w:pPr>
        <w:pStyle w:val="6"/>
        <w:pageBreakBefore w:val="0"/>
        <w:numPr>
          <w:ilvl w:val="1"/>
          <w:numId w:val="3"/>
        </w:numPr>
        <w:kinsoku/>
        <w:overflowPunct/>
        <w:bidi w:val="0"/>
        <w:spacing w:before="140" w:after="140" w:line="360" w:lineRule="auto"/>
        <w:rPr>
          <w:rFonts w:hint="eastAsia" w:ascii="宋体" w:hAnsi="宋体" w:eastAsia="宋体" w:cs="宋体"/>
          <w:color w:val="auto"/>
          <w:highlight w:val="none"/>
        </w:rPr>
      </w:pPr>
      <w:bookmarkStart w:id="312" w:name="_Toc13817"/>
      <w:bookmarkStart w:id="313" w:name="_Toc25999"/>
      <w:bookmarkStart w:id="314" w:name="_Toc26916"/>
      <w:bookmarkStart w:id="315" w:name="_Toc31023"/>
      <w:bookmarkStart w:id="316" w:name="_Toc28543"/>
      <w:bookmarkStart w:id="317" w:name="_Toc22838"/>
      <w:r>
        <w:rPr>
          <w:rFonts w:hint="eastAsia" w:ascii="宋体" w:hAnsi="宋体" w:eastAsia="宋体" w:cs="宋体"/>
          <w:color w:val="auto"/>
          <w:highlight w:val="none"/>
        </w:rPr>
        <w:t>投标人资格的证明文件</w:t>
      </w:r>
      <w:bookmarkEnd w:id="312"/>
      <w:bookmarkEnd w:id="313"/>
      <w:bookmarkEnd w:id="314"/>
      <w:bookmarkEnd w:id="315"/>
      <w:bookmarkEnd w:id="316"/>
      <w:bookmarkEnd w:id="317"/>
    </w:p>
    <w:p w14:paraId="07C622E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outlineLvl w:val="9"/>
        <w:rPr>
          <w:rFonts w:hint="eastAsia" w:ascii="宋体" w:hAnsi="宋体" w:eastAsia="宋体" w:cs="宋体"/>
          <w:color w:val="auto"/>
          <w:szCs w:val="21"/>
          <w:highlight w:val="none"/>
        </w:rPr>
      </w:pPr>
      <w:bookmarkStart w:id="318" w:name="_Toc30002"/>
      <w:bookmarkStart w:id="319" w:name="_Toc28461"/>
      <w:r>
        <w:rPr>
          <w:rFonts w:hint="eastAsia" w:ascii="宋体" w:hAnsi="宋体" w:eastAsia="宋体" w:cs="宋体"/>
          <w:color w:val="auto"/>
          <w:szCs w:val="21"/>
          <w:highlight w:val="none"/>
        </w:rPr>
        <w:t>依据</w:t>
      </w:r>
      <w:r>
        <w:rPr>
          <w:rFonts w:hint="eastAsia" w:ascii="宋体" w:hAnsi="宋体" w:eastAsia="宋体" w:cs="宋体"/>
          <w:color w:val="auto"/>
          <w:szCs w:val="21"/>
          <w:highlight w:val="none"/>
          <w:lang w:eastAsia="zh-CN"/>
        </w:rPr>
        <w:t>投标人须知前附表</w:t>
      </w:r>
      <w:r>
        <w:rPr>
          <w:rFonts w:hint="eastAsia" w:ascii="宋体" w:hAnsi="宋体" w:eastAsia="宋体" w:cs="宋体"/>
          <w:color w:val="auto"/>
          <w:szCs w:val="21"/>
          <w:highlight w:val="none"/>
        </w:rPr>
        <w:t>中的要求提交相应的资格证明文件，作为投标文件资格审查册的一部分，以证明其有资格进行投标和有能力履行合同。</w:t>
      </w:r>
    </w:p>
    <w:bookmarkEnd w:id="318"/>
    <w:bookmarkEnd w:id="319"/>
    <w:p w14:paraId="07C4B39E">
      <w:pPr>
        <w:pStyle w:val="6"/>
        <w:pageBreakBefore w:val="0"/>
        <w:numPr>
          <w:ilvl w:val="1"/>
          <w:numId w:val="3"/>
        </w:numPr>
        <w:kinsoku/>
        <w:overflowPunct/>
        <w:bidi w:val="0"/>
        <w:spacing w:before="140" w:after="140" w:line="360" w:lineRule="auto"/>
        <w:rPr>
          <w:rFonts w:hint="eastAsia" w:ascii="宋体" w:hAnsi="宋体" w:eastAsia="宋体" w:cs="宋体"/>
          <w:color w:val="auto"/>
          <w:highlight w:val="none"/>
        </w:rPr>
      </w:pPr>
      <w:bookmarkStart w:id="320" w:name="_Toc23963"/>
      <w:bookmarkStart w:id="321" w:name="_Toc14418"/>
      <w:bookmarkStart w:id="322" w:name="_Toc29192"/>
      <w:bookmarkStart w:id="323" w:name="_Toc26473"/>
      <w:bookmarkStart w:id="324" w:name="_Toc26009"/>
      <w:bookmarkStart w:id="325" w:name="_Toc20716"/>
      <w:r>
        <w:rPr>
          <w:rFonts w:hint="eastAsia" w:ascii="宋体" w:hAnsi="宋体" w:eastAsia="宋体" w:cs="宋体"/>
          <w:color w:val="auto"/>
          <w:highlight w:val="none"/>
        </w:rPr>
        <w:t>投标保证金</w:t>
      </w:r>
      <w:bookmarkEnd w:id="320"/>
      <w:bookmarkEnd w:id="321"/>
      <w:bookmarkEnd w:id="322"/>
      <w:bookmarkEnd w:id="323"/>
      <w:bookmarkEnd w:id="324"/>
      <w:bookmarkEnd w:id="325"/>
    </w:p>
    <w:p w14:paraId="461AD8E3">
      <w:pPr>
        <w:keepNext w:val="0"/>
        <w:keepLines w:val="0"/>
        <w:pageBreakBefore w:val="0"/>
        <w:widowControl w:val="0"/>
        <w:numPr>
          <w:ilvl w:val="0"/>
          <w:numId w:val="0"/>
        </w:numPr>
        <w:kinsoku/>
        <w:wordWrap/>
        <w:overflowPunct/>
        <w:topLinePunct w:val="0"/>
        <w:autoSpaceDE w:val="0"/>
        <w:autoSpaceDN w:val="0"/>
        <w:bidi w:val="0"/>
        <w:adjustRightInd w:val="0"/>
        <w:snapToGrid/>
        <w:spacing w:line="360" w:lineRule="auto"/>
        <w:ind w:leftChars="200" w:right="40" w:rightChars="0"/>
        <w:jc w:val="left"/>
        <w:textAlignment w:val="auto"/>
        <w:outlineLvl w:val="9"/>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val="en-US" w:eastAsia="zh-CN"/>
        </w:rPr>
        <w:t>不要求</w:t>
      </w:r>
    </w:p>
    <w:p w14:paraId="5DD94D4E">
      <w:pPr>
        <w:pStyle w:val="6"/>
        <w:pageBreakBefore w:val="0"/>
        <w:numPr>
          <w:ilvl w:val="1"/>
          <w:numId w:val="3"/>
        </w:numPr>
        <w:kinsoku/>
        <w:overflowPunct/>
        <w:bidi w:val="0"/>
        <w:spacing w:before="140" w:after="140" w:line="360" w:lineRule="auto"/>
        <w:rPr>
          <w:rFonts w:hint="eastAsia" w:ascii="宋体" w:hAnsi="宋体" w:eastAsia="宋体" w:cs="宋体"/>
          <w:color w:val="auto"/>
          <w:highlight w:val="none"/>
        </w:rPr>
      </w:pPr>
      <w:bookmarkStart w:id="326" w:name="_Toc11525"/>
      <w:bookmarkStart w:id="327" w:name="_Toc22418"/>
      <w:bookmarkStart w:id="328" w:name="_Toc29010"/>
      <w:bookmarkStart w:id="329" w:name="_Toc878"/>
      <w:bookmarkStart w:id="330" w:name="_Toc26671"/>
      <w:bookmarkStart w:id="331" w:name="_Toc11749"/>
      <w:r>
        <w:rPr>
          <w:rFonts w:hint="eastAsia" w:ascii="宋体" w:hAnsi="宋体" w:eastAsia="宋体" w:cs="宋体"/>
          <w:color w:val="auto"/>
          <w:highlight w:val="none"/>
        </w:rPr>
        <w:t>投标有效期</w:t>
      </w:r>
      <w:bookmarkEnd w:id="326"/>
      <w:bookmarkEnd w:id="327"/>
      <w:bookmarkEnd w:id="328"/>
      <w:bookmarkEnd w:id="329"/>
      <w:bookmarkEnd w:id="330"/>
      <w:bookmarkEnd w:id="331"/>
    </w:p>
    <w:p w14:paraId="7F5A9BAC">
      <w:pPr>
        <w:keepNext w:val="0"/>
        <w:keepLines w:val="0"/>
        <w:pageBreakBefore w:val="0"/>
        <w:widowControl w:val="0"/>
        <w:numPr>
          <w:ilvl w:val="2"/>
          <w:numId w:val="3"/>
        </w:numPr>
        <w:kinsoku/>
        <w:wordWrap/>
        <w:overflowPunct/>
        <w:topLinePunct w:val="0"/>
        <w:autoSpaceDE/>
        <w:autoSpaceDN/>
        <w:bidi w:val="0"/>
        <w:adjustRightInd/>
        <w:snapToGrid/>
        <w:spacing w:line="360" w:lineRule="auto"/>
        <w:ind w:left="0" w:leftChars="0" w:firstLine="420" w:firstLineChars="200"/>
        <w:textAlignment w:val="auto"/>
        <w:outlineLvl w:val="9"/>
        <w:rPr>
          <w:rFonts w:hint="eastAsia" w:ascii="宋体" w:hAnsi="宋体" w:eastAsia="宋体" w:cs="宋体"/>
          <w:b/>
          <w:bCs/>
          <w:color w:val="auto"/>
          <w:szCs w:val="21"/>
          <w:highlight w:val="none"/>
        </w:rPr>
      </w:pPr>
      <w:r>
        <w:rPr>
          <w:rFonts w:hint="eastAsia" w:ascii="宋体" w:hAnsi="宋体" w:eastAsia="宋体" w:cs="宋体"/>
          <w:color w:val="auto"/>
          <w:szCs w:val="21"/>
          <w:highlight w:val="none"/>
        </w:rPr>
        <w:t>投标有效期</w:t>
      </w:r>
      <w:r>
        <w:rPr>
          <w:rFonts w:hint="eastAsia" w:ascii="宋体" w:hAnsi="宋体" w:eastAsia="宋体" w:cs="宋体"/>
          <w:color w:val="auto"/>
          <w:szCs w:val="21"/>
          <w:highlight w:val="none"/>
          <w:lang w:eastAsia="zh-CN"/>
        </w:rPr>
        <w:t>见投标人须知前附表，</w:t>
      </w:r>
      <w:r>
        <w:rPr>
          <w:rFonts w:hint="eastAsia" w:ascii="宋体" w:hAnsi="宋体" w:eastAsia="宋体" w:cs="宋体"/>
          <w:color w:val="auto"/>
          <w:szCs w:val="21"/>
          <w:highlight w:val="none"/>
        </w:rPr>
        <w:t>从</w:t>
      </w:r>
      <w:r>
        <w:rPr>
          <w:rFonts w:hint="eastAsia" w:ascii="宋体" w:hAnsi="宋体" w:eastAsia="宋体" w:cs="宋体"/>
          <w:color w:val="auto"/>
          <w:szCs w:val="21"/>
          <w:highlight w:val="none"/>
          <w:lang w:eastAsia="zh-CN"/>
        </w:rPr>
        <w:t>递交</w:t>
      </w:r>
      <w:r>
        <w:rPr>
          <w:rFonts w:hint="eastAsia" w:ascii="宋体" w:hAnsi="宋体" w:eastAsia="宋体" w:cs="宋体"/>
          <w:color w:val="auto"/>
          <w:szCs w:val="21"/>
          <w:highlight w:val="none"/>
        </w:rPr>
        <w:t>投标文件的截止之日起算</w:t>
      </w:r>
      <w:r>
        <w:rPr>
          <w:rFonts w:hint="eastAsia" w:ascii="宋体" w:hAnsi="宋体" w:eastAsia="宋体" w:cs="宋体"/>
          <w:color w:val="auto"/>
          <w:szCs w:val="21"/>
          <w:highlight w:val="none"/>
          <w:lang w:eastAsia="zh-CN"/>
        </w:rPr>
        <w:t>。</w:t>
      </w:r>
    </w:p>
    <w:p w14:paraId="1B672F04">
      <w:pPr>
        <w:keepNext w:val="0"/>
        <w:keepLines w:val="0"/>
        <w:pageBreakBefore w:val="0"/>
        <w:widowControl w:val="0"/>
        <w:numPr>
          <w:ilvl w:val="2"/>
          <w:numId w:val="3"/>
        </w:numPr>
        <w:kinsoku/>
        <w:wordWrap/>
        <w:overflowPunct/>
        <w:topLinePunct w:val="0"/>
        <w:autoSpaceDE/>
        <w:autoSpaceDN/>
        <w:bidi w:val="0"/>
        <w:adjustRightInd/>
        <w:snapToGrid/>
        <w:spacing w:line="360" w:lineRule="auto"/>
        <w:ind w:left="0" w:leftChars="0" w:firstLine="420" w:firstLineChars="200"/>
        <w:textAlignment w:val="auto"/>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投标文件应自</w:t>
      </w:r>
      <w:r>
        <w:rPr>
          <w:rFonts w:hint="eastAsia" w:ascii="宋体" w:hAnsi="宋体" w:eastAsia="宋体" w:cs="宋体"/>
          <w:color w:val="auto"/>
          <w:szCs w:val="21"/>
          <w:highlight w:val="none"/>
          <w:lang w:eastAsia="zh-CN"/>
        </w:rPr>
        <w:t>递交</w:t>
      </w:r>
      <w:r>
        <w:rPr>
          <w:rFonts w:hint="eastAsia" w:ascii="宋体" w:hAnsi="宋体" w:eastAsia="宋体" w:cs="宋体"/>
          <w:color w:val="auto"/>
          <w:szCs w:val="21"/>
          <w:highlight w:val="none"/>
        </w:rPr>
        <w:t>投标文件的截止之日起，在</w:t>
      </w:r>
      <w:r>
        <w:rPr>
          <w:rFonts w:hint="eastAsia" w:ascii="宋体" w:hAnsi="宋体" w:eastAsia="宋体" w:cs="宋体"/>
          <w:color w:val="auto"/>
          <w:szCs w:val="21"/>
          <w:highlight w:val="none"/>
          <w:lang w:eastAsia="zh-CN"/>
        </w:rPr>
        <w:t>投标人须知前附表</w:t>
      </w:r>
      <w:r>
        <w:rPr>
          <w:rFonts w:hint="eastAsia" w:ascii="宋体" w:hAnsi="宋体" w:eastAsia="宋体" w:cs="宋体"/>
          <w:color w:val="auto"/>
          <w:szCs w:val="21"/>
          <w:highlight w:val="none"/>
        </w:rPr>
        <w:t>规定的时间内保持有效。投标有效期不足的将被视为非响应投标而予以拒绝。</w:t>
      </w:r>
    </w:p>
    <w:p w14:paraId="397ADA6B">
      <w:pPr>
        <w:keepNext w:val="0"/>
        <w:keepLines w:val="0"/>
        <w:pageBreakBefore w:val="0"/>
        <w:widowControl w:val="0"/>
        <w:numPr>
          <w:ilvl w:val="2"/>
          <w:numId w:val="3"/>
        </w:numPr>
        <w:kinsoku/>
        <w:wordWrap/>
        <w:overflowPunct/>
        <w:topLinePunct w:val="0"/>
        <w:autoSpaceDE/>
        <w:autoSpaceDN/>
        <w:bidi w:val="0"/>
        <w:adjustRightInd/>
        <w:snapToGrid/>
        <w:spacing w:line="360" w:lineRule="auto"/>
        <w:ind w:left="0" w:leftChars="0" w:firstLine="420" w:firstLineChars="200"/>
        <w:textAlignment w:val="auto"/>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在特殊情况下，在原投标有效期截止之前，采购人和采购代理机构可征求投标人同意延长投标有效期。这种要求与答复均应以书面形式提交。投标人可以拒绝这种要求。同意延期的投标人将不会被要求也不允许修改其投标。</w:t>
      </w:r>
    </w:p>
    <w:p w14:paraId="210AC976">
      <w:pPr>
        <w:pStyle w:val="6"/>
        <w:pageBreakBefore w:val="0"/>
        <w:numPr>
          <w:ilvl w:val="1"/>
          <w:numId w:val="3"/>
        </w:numPr>
        <w:kinsoku/>
        <w:overflowPunct/>
        <w:bidi w:val="0"/>
        <w:spacing w:before="140" w:after="140" w:line="360" w:lineRule="auto"/>
        <w:rPr>
          <w:rFonts w:hint="eastAsia" w:ascii="宋体" w:hAnsi="宋体" w:eastAsia="宋体" w:cs="宋体"/>
          <w:color w:val="auto"/>
          <w:highlight w:val="none"/>
        </w:rPr>
      </w:pPr>
      <w:bookmarkStart w:id="332" w:name="_Toc10777"/>
      <w:bookmarkStart w:id="333" w:name="_Toc9753"/>
      <w:bookmarkStart w:id="334" w:name="_Toc8140"/>
      <w:bookmarkStart w:id="335" w:name="_Toc25268"/>
      <w:bookmarkStart w:id="336" w:name="_Toc5773"/>
      <w:bookmarkStart w:id="337" w:name="_Toc25251"/>
      <w:r>
        <w:rPr>
          <w:rFonts w:hint="eastAsia" w:ascii="宋体" w:hAnsi="宋体" w:eastAsia="宋体" w:cs="宋体"/>
          <w:color w:val="auto"/>
          <w:highlight w:val="none"/>
        </w:rPr>
        <w:t>投标文件</w:t>
      </w:r>
      <w:r>
        <w:rPr>
          <w:rFonts w:hint="eastAsia" w:ascii="宋体" w:hAnsi="宋体" w:eastAsia="宋体" w:cs="宋体"/>
          <w:color w:val="auto"/>
          <w:highlight w:val="none"/>
          <w:lang w:eastAsia="zh-CN"/>
        </w:rPr>
        <w:t>编制</w:t>
      </w:r>
      <w:bookmarkEnd w:id="332"/>
      <w:bookmarkEnd w:id="333"/>
      <w:bookmarkEnd w:id="334"/>
      <w:bookmarkEnd w:id="335"/>
      <w:bookmarkEnd w:id="336"/>
      <w:bookmarkEnd w:id="337"/>
    </w:p>
    <w:p w14:paraId="75BED224">
      <w:pPr>
        <w:keepNext w:val="0"/>
        <w:keepLines w:val="0"/>
        <w:pageBreakBefore w:val="0"/>
        <w:widowControl w:val="0"/>
        <w:numPr>
          <w:ilvl w:val="2"/>
          <w:numId w:val="3"/>
        </w:numPr>
        <w:kinsoku/>
        <w:wordWrap/>
        <w:overflowPunct/>
        <w:topLinePunct w:val="0"/>
        <w:autoSpaceDE/>
        <w:autoSpaceDN/>
        <w:bidi w:val="0"/>
        <w:adjustRightInd/>
        <w:snapToGrid/>
        <w:spacing w:line="360" w:lineRule="auto"/>
        <w:ind w:left="0" w:leftChars="0" w:firstLine="420" w:firstLineChars="200"/>
        <w:textAlignment w:val="auto"/>
        <w:outlineLvl w:val="9"/>
        <w:rPr>
          <w:rFonts w:hint="eastAsia" w:ascii="宋体" w:hAnsi="宋体" w:eastAsia="宋体" w:cs="宋体"/>
          <w:color w:val="auto"/>
          <w:szCs w:val="21"/>
          <w:highlight w:val="none"/>
        </w:rPr>
      </w:pPr>
      <w:bookmarkStart w:id="338" w:name="_Toc312133546"/>
      <w:r>
        <w:rPr>
          <w:rFonts w:hint="eastAsia" w:ascii="宋体" w:hAnsi="宋体" w:eastAsia="宋体" w:cs="宋体"/>
          <w:color w:val="auto"/>
          <w:szCs w:val="21"/>
          <w:highlight w:val="none"/>
        </w:rPr>
        <w:t>投标文件应按</w:t>
      </w:r>
      <w:r>
        <w:rPr>
          <w:rFonts w:hint="eastAsia" w:ascii="宋体" w:hAnsi="宋体" w:eastAsia="宋体" w:cs="宋体"/>
          <w:color w:val="auto"/>
          <w:szCs w:val="21"/>
          <w:highlight w:val="none"/>
          <w:lang w:eastAsia="zh-CN"/>
        </w:rPr>
        <w:t>“投标文件资格审查册通用格式”“</w:t>
      </w:r>
      <w:r>
        <w:rPr>
          <w:rFonts w:hint="eastAsia" w:ascii="宋体" w:hAnsi="宋体" w:eastAsia="宋体" w:cs="宋体"/>
          <w:color w:val="auto"/>
          <w:szCs w:val="21"/>
          <w:highlight w:val="none"/>
        </w:rPr>
        <w:t>投标文件</w:t>
      </w:r>
      <w:r>
        <w:rPr>
          <w:rFonts w:hint="eastAsia" w:ascii="宋体" w:hAnsi="宋体" w:eastAsia="宋体" w:cs="宋体"/>
          <w:color w:val="auto"/>
          <w:szCs w:val="21"/>
          <w:highlight w:val="none"/>
          <w:lang w:eastAsia="zh-CN"/>
        </w:rPr>
        <w:t>通用</w:t>
      </w:r>
      <w:r>
        <w:rPr>
          <w:rFonts w:hint="eastAsia" w:ascii="宋体" w:hAnsi="宋体" w:eastAsia="宋体" w:cs="宋体"/>
          <w:color w:val="auto"/>
          <w:szCs w:val="21"/>
          <w:highlight w:val="none"/>
        </w:rPr>
        <w:t>格式”进行编写，如有必要，可以增加附页，作为投标文件的组成部分。</w:t>
      </w:r>
      <w:r>
        <w:rPr>
          <w:rFonts w:hint="eastAsia" w:ascii="宋体" w:hAnsi="宋体" w:eastAsia="宋体" w:cs="宋体"/>
          <w:color w:val="auto"/>
          <w:szCs w:val="21"/>
          <w:highlight w:val="none"/>
          <w:lang w:eastAsia="zh-CN"/>
        </w:rPr>
        <w:t>其中，开标一览表（</w:t>
      </w:r>
      <w:r>
        <w:rPr>
          <w:rFonts w:hint="eastAsia" w:ascii="宋体" w:hAnsi="宋体" w:eastAsia="宋体" w:cs="宋体"/>
          <w:color w:val="auto"/>
          <w:szCs w:val="21"/>
          <w:highlight w:val="none"/>
          <w:lang w:val="en-US" w:eastAsia="zh-CN"/>
        </w:rPr>
        <w:t>投标报价表</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在满足招标文件实质性要求的基础上，可以提出比招标文件要求更有利于</w:t>
      </w:r>
      <w:r>
        <w:rPr>
          <w:rFonts w:hint="eastAsia" w:ascii="宋体" w:hAnsi="宋体" w:eastAsia="宋体" w:cs="宋体"/>
          <w:color w:val="auto"/>
          <w:szCs w:val="21"/>
          <w:highlight w:val="none"/>
          <w:lang w:eastAsia="zh-CN"/>
        </w:rPr>
        <w:t>采购人</w:t>
      </w:r>
      <w:r>
        <w:rPr>
          <w:rFonts w:hint="eastAsia" w:ascii="宋体" w:hAnsi="宋体" w:eastAsia="宋体" w:cs="宋体"/>
          <w:color w:val="auto"/>
          <w:szCs w:val="21"/>
          <w:highlight w:val="none"/>
        </w:rPr>
        <w:t>的承诺。</w:t>
      </w:r>
    </w:p>
    <w:p w14:paraId="28F5332A">
      <w:pPr>
        <w:keepNext w:val="0"/>
        <w:keepLines w:val="0"/>
        <w:pageBreakBefore w:val="0"/>
        <w:widowControl w:val="0"/>
        <w:numPr>
          <w:ilvl w:val="2"/>
          <w:numId w:val="3"/>
        </w:numPr>
        <w:kinsoku/>
        <w:wordWrap/>
        <w:overflowPunct/>
        <w:topLinePunct w:val="0"/>
        <w:autoSpaceDE/>
        <w:autoSpaceDN/>
        <w:bidi w:val="0"/>
        <w:adjustRightInd/>
        <w:snapToGrid/>
        <w:spacing w:line="360" w:lineRule="auto"/>
        <w:ind w:left="0" w:leftChars="0" w:firstLine="420" w:firstLineChars="200"/>
        <w:textAlignment w:val="auto"/>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投标文件应当对招标文件有关投标有效期、</w:t>
      </w:r>
      <w:r>
        <w:rPr>
          <w:rFonts w:hint="eastAsia" w:ascii="宋体" w:hAnsi="宋体" w:eastAsia="宋体" w:cs="宋体"/>
          <w:color w:val="auto"/>
          <w:szCs w:val="21"/>
          <w:highlight w:val="none"/>
          <w:lang w:eastAsia="zh-CN"/>
        </w:rPr>
        <w:t>采购</w:t>
      </w:r>
      <w:r>
        <w:rPr>
          <w:rFonts w:hint="eastAsia" w:ascii="宋体" w:hAnsi="宋体" w:eastAsia="宋体" w:cs="宋体"/>
          <w:color w:val="auto"/>
          <w:szCs w:val="21"/>
          <w:highlight w:val="none"/>
        </w:rPr>
        <w:t>范围等实质性内容作出响应。</w:t>
      </w:r>
    </w:p>
    <w:p w14:paraId="203D5425">
      <w:pPr>
        <w:keepNext w:val="0"/>
        <w:keepLines w:val="0"/>
        <w:pageBreakBefore w:val="0"/>
        <w:widowControl w:val="0"/>
        <w:numPr>
          <w:ilvl w:val="2"/>
          <w:numId w:val="3"/>
        </w:numPr>
        <w:kinsoku/>
        <w:wordWrap/>
        <w:overflowPunct/>
        <w:topLinePunct w:val="0"/>
        <w:autoSpaceDE/>
        <w:autoSpaceDN/>
        <w:bidi w:val="0"/>
        <w:adjustRightInd/>
        <w:snapToGrid/>
        <w:spacing w:line="360" w:lineRule="auto"/>
        <w:ind w:left="0" w:leftChars="0" w:firstLine="420" w:firstLineChars="200"/>
        <w:textAlignment w:val="auto"/>
        <w:outlineLvl w:val="9"/>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投标文件全部采用电子文档，除投标人须知前附表另有规定外，投标文件所附证书证件均为原件扫描件，并采用单位和个人数字证书，按招标文件要求在相应位置加盖电子印章。由投标人的法定代表人（单位负责人）签字或加盖电子印章的，应附法定代表人（单位负责人）身份证明，由代理人签字或加盖电子印章的，应附由法定代表人（单位负责人）签署的法定代表人授权委托书。签字或盖章的具体要求见投标人须知前附表。</w:t>
      </w:r>
    </w:p>
    <w:p w14:paraId="61F6C57B">
      <w:pPr>
        <w:keepNext w:val="0"/>
        <w:keepLines w:val="0"/>
        <w:pageBreakBefore w:val="0"/>
        <w:widowControl w:val="0"/>
        <w:numPr>
          <w:ilvl w:val="2"/>
          <w:numId w:val="3"/>
        </w:numPr>
        <w:kinsoku/>
        <w:wordWrap/>
        <w:overflowPunct/>
        <w:topLinePunct w:val="0"/>
        <w:autoSpaceDE/>
        <w:autoSpaceDN/>
        <w:bidi w:val="0"/>
        <w:adjustRightInd/>
        <w:snapToGrid/>
        <w:spacing w:line="360" w:lineRule="auto"/>
        <w:ind w:left="0" w:leftChars="0" w:firstLine="420" w:firstLineChars="200"/>
        <w:textAlignment w:val="auto"/>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电报、电传和传真投标文件一律不接受。</w:t>
      </w:r>
    </w:p>
    <w:p w14:paraId="032D09F9">
      <w:pPr>
        <w:pStyle w:val="5"/>
        <w:keepNext/>
        <w:keepLines/>
        <w:pageBreakBefore w:val="0"/>
        <w:widowControl w:val="0"/>
        <w:numPr>
          <w:ilvl w:val="0"/>
          <w:numId w:val="3"/>
        </w:numPr>
        <w:tabs>
          <w:tab w:val="left" w:pos="721"/>
          <w:tab w:val="left" w:pos="840"/>
          <w:tab w:val="left" w:pos="2880"/>
          <w:tab w:val="left" w:pos="3780"/>
        </w:tabs>
        <w:kinsoku/>
        <w:wordWrap/>
        <w:overflowPunct/>
        <w:topLinePunct w:val="0"/>
        <w:autoSpaceDE/>
        <w:autoSpaceDN/>
        <w:bidi w:val="0"/>
        <w:adjustRightInd/>
        <w:snapToGrid/>
        <w:spacing w:before="0" w:after="0" w:line="360" w:lineRule="auto"/>
        <w:ind w:left="0" w:leftChars="0" w:right="0" w:rightChars="0" w:firstLine="0" w:firstLineChars="0"/>
        <w:jc w:val="both"/>
        <w:textAlignment w:val="auto"/>
        <w:outlineLvl w:val="1"/>
        <w:rPr>
          <w:rFonts w:hint="eastAsia" w:ascii="宋体" w:hAnsi="宋体" w:eastAsia="宋体" w:cs="宋体"/>
          <w:color w:val="auto"/>
          <w:sz w:val="24"/>
          <w:szCs w:val="24"/>
          <w:highlight w:val="none"/>
          <w:lang w:val="en-US" w:eastAsia="zh-CN"/>
        </w:rPr>
      </w:pPr>
      <w:bookmarkStart w:id="339" w:name="_Toc8011"/>
      <w:bookmarkStart w:id="340" w:name="_Toc10788"/>
      <w:r>
        <w:rPr>
          <w:rFonts w:hint="eastAsia" w:ascii="宋体" w:hAnsi="宋体" w:eastAsia="宋体" w:cs="宋体"/>
          <w:color w:val="auto"/>
          <w:sz w:val="24"/>
          <w:szCs w:val="24"/>
          <w:highlight w:val="none"/>
          <w:lang w:val="en-US" w:eastAsia="zh-CN"/>
        </w:rPr>
        <w:t>投标</w:t>
      </w:r>
      <w:bookmarkEnd w:id="338"/>
      <w:bookmarkEnd w:id="339"/>
      <w:bookmarkEnd w:id="340"/>
    </w:p>
    <w:p w14:paraId="52BBC3D0">
      <w:pPr>
        <w:pStyle w:val="6"/>
        <w:pageBreakBefore w:val="0"/>
        <w:numPr>
          <w:ilvl w:val="1"/>
          <w:numId w:val="3"/>
        </w:numPr>
        <w:kinsoku/>
        <w:overflowPunct/>
        <w:bidi w:val="0"/>
        <w:spacing w:line="360" w:lineRule="auto"/>
        <w:rPr>
          <w:rFonts w:hint="eastAsia" w:ascii="宋体" w:hAnsi="宋体" w:eastAsia="宋体" w:cs="宋体"/>
          <w:color w:val="auto"/>
          <w:highlight w:val="none"/>
        </w:rPr>
      </w:pPr>
      <w:bookmarkStart w:id="341" w:name="_Toc23777"/>
      <w:bookmarkStart w:id="342" w:name="_Toc25740"/>
      <w:bookmarkStart w:id="343" w:name="_Toc15515"/>
      <w:bookmarkStart w:id="344" w:name="_Toc7201"/>
      <w:bookmarkStart w:id="345" w:name="_Toc9486"/>
      <w:bookmarkStart w:id="346" w:name="_Toc1285"/>
      <w:bookmarkStart w:id="347" w:name="_Toc24089"/>
      <w:bookmarkStart w:id="348" w:name="_Toc2541"/>
      <w:bookmarkStart w:id="349" w:name="_Toc7004"/>
      <w:bookmarkStart w:id="350" w:name="_Toc24770"/>
      <w:bookmarkStart w:id="351" w:name="_Toc17190"/>
      <w:bookmarkStart w:id="352" w:name="_Toc22690"/>
      <w:bookmarkStart w:id="353" w:name="_Toc32620"/>
      <w:bookmarkStart w:id="354" w:name="_Toc312133547"/>
      <w:r>
        <w:rPr>
          <w:rFonts w:hint="eastAsia" w:ascii="宋体" w:hAnsi="宋体" w:eastAsia="宋体" w:cs="宋体"/>
          <w:color w:val="auto"/>
          <w:highlight w:val="none"/>
        </w:rPr>
        <w:t>投标文件的密封</w:t>
      </w:r>
      <w:bookmarkEnd w:id="341"/>
      <w:bookmarkEnd w:id="342"/>
      <w:bookmarkEnd w:id="343"/>
      <w:bookmarkEnd w:id="344"/>
      <w:bookmarkEnd w:id="345"/>
      <w:bookmarkEnd w:id="346"/>
      <w:bookmarkEnd w:id="347"/>
      <w:bookmarkEnd w:id="348"/>
      <w:bookmarkEnd w:id="349"/>
      <w:bookmarkEnd w:id="350"/>
      <w:bookmarkEnd w:id="351"/>
      <w:bookmarkEnd w:id="352"/>
      <w:bookmarkEnd w:id="353"/>
      <w:r>
        <w:rPr>
          <w:rFonts w:hint="eastAsia" w:ascii="宋体" w:hAnsi="宋体" w:eastAsia="宋体" w:cs="宋体"/>
          <w:color w:val="auto"/>
          <w:highlight w:val="none"/>
          <w:lang w:eastAsia="zh-CN"/>
        </w:rPr>
        <w:t>和标记</w:t>
      </w:r>
    </w:p>
    <w:p w14:paraId="1F4E520B">
      <w:pPr>
        <w:keepNext w:val="0"/>
        <w:keepLines w:val="0"/>
        <w:pageBreakBefore w:val="0"/>
        <w:widowControl w:val="0"/>
        <w:numPr>
          <w:ilvl w:val="0"/>
          <w:numId w:val="0"/>
        </w:numPr>
        <w:kinsoku/>
        <w:wordWrap/>
        <w:overflowPunct/>
        <w:topLinePunct w:val="0"/>
        <w:autoSpaceDE w:val="0"/>
        <w:autoSpaceDN w:val="0"/>
        <w:bidi w:val="0"/>
        <w:adjustRightInd w:val="0"/>
        <w:snapToGrid/>
        <w:spacing w:line="360" w:lineRule="auto"/>
        <w:ind w:leftChars="0" w:right="0" w:rightChars="0" w:firstLine="420" w:firstLineChars="200"/>
        <w:textAlignment w:val="auto"/>
        <w:outlineLvl w:val="9"/>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4.1.1 投标人应当按照招标文件和电子招标投标交易平台的要求加密投标文件，具体要求见投标人须知前附表。</w:t>
      </w:r>
    </w:p>
    <w:p w14:paraId="0A44FD6E">
      <w:pPr>
        <w:pStyle w:val="6"/>
        <w:pageBreakBefore w:val="0"/>
        <w:numPr>
          <w:ilvl w:val="1"/>
          <w:numId w:val="3"/>
        </w:numPr>
        <w:kinsoku/>
        <w:overflowPunct/>
        <w:bidi w:val="0"/>
        <w:spacing w:line="360" w:lineRule="auto"/>
        <w:rPr>
          <w:rFonts w:hint="eastAsia" w:ascii="宋体" w:hAnsi="宋体" w:eastAsia="宋体" w:cs="宋体"/>
          <w:color w:val="auto"/>
          <w:highlight w:val="none"/>
        </w:rPr>
      </w:pPr>
      <w:bookmarkStart w:id="355" w:name="_Toc25206"/>
      <w:bookmarkStart w:id="356" w:name="_Toc2882"/>
      <w:bookmarkStart w:id="357" w:name="_Toc20161"/>
      <w:bookmarkStart w:id="358" w:name="_Toc27859"/>
      <w:bookmarkStart w:id="359" w:name="_Toc7745"/>
      <w:bookmarkStart w:id="360" w:name="_Toc17234"/>
      <w:bookmarkStart w:id="361" w:name="_Toc24802"/>
      <w:bookmarkStart w:id="362" w:name="_Toc8642"/>
      <w:bookmarkStart w:id="363" w:name="_Toc17164"/>
      <w:bookmarkStart w:id="364" w:name="_Toc10849"/>
      <w:bookmarkStart w:id="365" w:name="_Toc27621"/>
      <w:bookmarkStart w:id="366" w:name="_Toc28937"/>
      <w:bookmarkStart w:id="367" w:name="_Toc14647"/>
      <w:r>
        <w:rPr>
          <w:rFonts w:hint="eastAsia" w:ascii="宋体" w:hAnsi="宋体" w:eastAsia="宋体" w:cs="宋体"/>
          <w:color w:val="auto"/>
          <w:highlight w:val="none"/>
          <w:lang w:eastAsia="zh-CN"/>
        </w:rPr>
        <w:t>投标文件的递交</w:t>
      </w:r>
      <w:bookmarkEnd w:id="355"/>
      <w:bookmarkEnd w:id="356"/>
      <w:bookmarkEnd w:id="357"/>
      <w:bookmarkEnd w:id="358"/>
      <w:bookmarkEnd w:id="359"/>
      <w:bookmarkEnd w:id="360"/>
      <w:bookmarkEnd w:id="361"/>
      <w:bookmarkEnd w:id="362"/>
      <w:bookmarkEnd w:id="363"/>
      <w:bookmarkEnd w:id="364"/>
      <w:bookmarkEnd w:id="365"/>
      <w:bookmarkEnd w:id="366"/>
      <w:bookmarkEnd w:id="367"/>
    </w:p>
    <w:p w14:paraId="45F34553">
      <w:pPr>
        <w:keepNext w:val="0"/>
        <w:keepLines w:val="0"/>
        <w:pageBreakBefore w:val="0"/>
        <w:widowControl w:val="0"/>
        <w:numPr>
          <w:ilvl w:val="2"/>
          <w:numId w:val="3"/>
        </w:numPr>
        <w:kinsoku/>
        <w:wordWrap/>
        <w:overflowPunct/>
        <w:topLinePunct w:val="0"/>
        <w:autoSpaceDE/>
        <w:autoSpaceDN/>
        <w:bidi w:val="0"/>
        <w:adjustRightInd/>
        <w:snapToGrid/>
        <w:spacing w:line="360" w:lineRule="auto"/>
        <w:ind w:left="0" w:leftChars="0" w:firstLine="420" w:firstLineChars="200"/>
        <w:textAlignment w:val="auto"/>
        <w:outlineLvl w:val="9"/>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投</w:t>
      </w:r>
      <w:r>
        <w:rPr>
          <w:rFonts w:hint="eastAsia" w:ascii="宋体" w:hAnsi="宋体" w:eastAsia="宋体" w:cs="宋体"/>
          <w:color w:val="auto"/>
          <w:spacing w:val="-2"/>
          <w:kern w:val="0"/>
          <w:szCs w:val="21"/>
          <w:highlight w:val="none"/>
        </w:rPr>
        <w:t>标</w:t>
      </w:r>
      <w:r>
        <w:rPr>
          <w:rFonts w:hint="eastAsia" w:ascii="宋体" w:hAnsi="宋体" w:eastAsia="宋体" w:cs="宋体"/>
          <w:color w:val="auto"/>
          <w:kern w:val="0"/>
          <w:szCs w:val="21"/>
          <w:highlight w:val="none"/>
        </w:rPr>
        <w:t>人</w:t>
      </w:r>
      <w:r>
        <w:rPr>
          <w:rFonts w:hint="eastAsia" w:ascii="宋体" w:hAnsi="宋体" w:eastAsia="宋体" w:cs="宋体"/>
          <w:color w:val="auto"/>
          <w:spacing w:val="-2"/>
          <w:kern w:val="0"/>
          <w:szCs w:val="21"/>
          <w:highlight w:val="none"/>
        </w:rPr>
        <w:t>应</w:t>
      </w:r>
      <w:r>
        <w:rPr>
          <w:rFonts w:hint="eastAsia" w:ascii="宋体" w:hAnsi="宋体" w:eastAsia="宋体" w:cs="宋体"/>
          <w:color w:val="auto"/>
          <w:kern w:val="0"/>
          <w:szCs w:val="21"/>
          <w:highlight w:val="none"/>
        </w:rPr>
        <w:t>在</w:t>
      </w:r>
      <w:r>
        <w:rPr>
          <w:rFonts w:hint="eastAsia" w:ascii="宋体" w:hAnsi="宋体" w:eastAsia="宋体" w:cs="宋体"/>
          <w:color w:val="auto"/>
          <w:spacing w:val="-2"/>
          <w:kern w:val="0"/>
          <w:szCs w:val="21"/>
          <w:highlight w:val="none"/>
        </w:rPr>
        <w:t>投</w:t>
      </w:r>
      <w:r>
        <w:rPr>
          <w:rFonts w:hint="eastAsia" w:ascii="宋体" w:hAnsi="宋体" w:eastAsia="宋体" w:cs="宋体"/>
          <w:color w:val="auto"/>
          <w:kern w:val="0"/>
          <w:szCs w:val="21"/>
          <w:highlight w:val="none"/>
        </w:rPr>
        <w:t>标</w:t>
      </w:r>
      <w:r>
        <w:rPr>
          <w:rFonts w:hint="eastAsia" w:ascii="宋体" w:hAnsi="宋体" w:eastAsia="宋体" w:cs="宋体"/>
          <w:color w:val="auto"/>
          <w:spacing w:val="-2"/>
          <w:kern w:val="0"/>
          <w:szCs w:val="21"/>
          <w:highlight w:val="none"/>
        </w:rPr>
        <w:t>人须</w:t>
      </w:r>
      <w:r>
        <w:rPr>
          <w:rFonts w:hint="eastAsia" w:ascii="宋体" w:hAnsi="宋体" w:eastAsia="宋体" w:cs="宋体"/>
          <w:color w:val="auto"/>
          <w:kern w:val="0"/>
          <w:szCs w:val="21"/>
          <w:highlight w:val="none"/>
        </w:rPr>
        <w:t>知前</w:t>
      </w:r>
      <w:r>
        <w:rPr>
          <w:rFonts w:hint="eastAsia" w:ascii="宋体" w:hAnsi="宋体" w:eastAsia="宋体" w:cs="宋体"/>
          <w:color w:val="auto"/>
          <w:spacing w:val="-2"/>
          <w:kern w:val="0"/>
          <w:szCs w:val="21"/>
          <w:highlight w:val="none"/>
        </w:rPr>
        <w:t>附</w:t>
      </w:r>
      <w:r>
        <w:rPr>
          <w:rFonts w:hint="eastAsia" w:ascii="宋体" w:hAnsi="宋体" w:eastAsia="宋体" w:cs="宋体"/>
          <w:color w:val="auto"/>
          <w:kern w:val="0"/>
          <w:szCs w:val="21"/>
          <w:highlight w:val="none"/>
        </w:rPr>
        <w:t>表</w:t>
      </w:r>
      <w:r>
        <w:rPr>
          <w:rFonts w:hint="eastAsia" w:ascii="宋体" w:hAnsi="宋体" w:eastAsia="宋体" w:cs="宋体"/>
          <w:color w:val="auto"/>
          <w:spacing w:val="-2"/>
          <w:kern w:val="0"/>
          <w:szCs w:val="21"/>
          <w:highlight w:val="none"/>
        </w:rPr>
        <w:t>规</w:t>
      </w:r>
      <w:r>
        <w:rPr>
          <w:rFonts w:hint="eastAsia" w:ascii="宋体" w:hAnsi="宋体" w:eastAsia="宋体" w:cs="宋体"/>
          <w:color w:val="auto"/>
          <w:kern w:val="0"/>
          <w:szCs w:val="21"/>
          <w:highlight w:val="none"/>
        </w:rPr>
        <w:t>定</w:t>
      </w:r>
      <w:r>
        <w:rPr>
          <w:rFonts w:hint="eastAsia" w:ascii="宋体" w:hAnsi="宋体" w:eastAsia="宋体" w:cs="宋体"/>
          <w:color w:val="auto"/>
          <w:spacing w:val="-2"/>
          <w:kern w:val="0"/>
          <w:szCs w:val="21"/>
          <w:highlight w:val="none"/>
        </w:rPr>
        <w:t>的</w:t>
      </w:r>
      <w:r>
        <w:rPr>
          <w:rFonts w:hint="eastAsia" w:ascii="宋体" w:hAnsi="宋体" w:eastAsia="宋体" w:cs="宋体"/>
          <w:color w:val="auto"/>
          <w:kern w:val="0"/>
          <w:szCs w:val="21"/>
          <w:highlight w:val="none"/>
        </w:rPr>
        <w:t>投</w:t>
      </w:r>
      <w:r>
        <w:rPr>
          <w:rFonts w:hint="eastAsia" w:ascii="宋体" w:hAnsi="宋体" w:eastAsia="宋体" w:cs="宋体"/>
          <w:color w:val="auto"/>
          <w:spacing w:val="-2"/>
          <w:kern w:val="0"/>
          <w:szCs w:val="21"/>
          <w:highlight w:val="none"/>
        </w:rPr>
        <w:t>标</w:t>
      </w:r>
      <w:r>
        <w:rPr>
          <w:rFonts w:hint="eastAsia" w:ascii="宋体" w:hAnsi="宋体" w:eastAsia="宋体" w:cs="宋体"/>
          <w:color w:val="auto"/>
          <w:kern w:val="0"/>
          <w:szCs w:val="21"/>
          <w:highlight w:val="none"/>
        </w:rPr>
        <w:t>截</w:t>
      </w:r>
      <w:r>
        <w:rPr>
          <w:rFonts w:hint="eastAsia" w:ascii="宋体" w:hAnsi="宋体" w:eastAsia="宋体" w:cs="宋体"/>
          <w:color w:val="auto"/>
          <w:spacing w:val="-2"/>
          <w:kern w:val="0"/>
          <w:szCs w:val="21"/>
          <w:highlight w:val="none"/>
        </w:rPr>
        <w:t>止</w:t>
      </w:r>
      <w:r>
        <w:rPr>
          <w:rFonts w:hint="eastAsia" w:ascii="宋体" w:hAnsi="宋体" w:eastAsia="宋体" w:cs="宋体"/>
          <w:color w:val="auto"/>
          <w:kern w:val="0"/>
          <w:szCs w:val="21"/>
          <w:highlight w:val="none"/>
        </w:rPr>
        <w:t>时间</w:t>
      </w:r>
      <w:r>
        <w:rPr>
          <w:rFonts w:hint="eastAsia" w:ascii="宋体" w:hAnsi="宋体" w:eastAsia="宋体" w:cs="宋体"/>
          <w:color w:val="auto"/>
          <w:spacing w:val="-2"/>
          <w:kern w:val="0"/>
          <w:szCs w:val="21"/>
          <w:highlight w:val="none"/>
        </w:rPr>
        <w:t>前</w:t>
      </w:r>
      <w:r>
        <w:rPr>
          <w:rFonts w:hint="eastAsia" w:ascii="宋体" w:hAnsi="宋体" w:eastAsia="宋体" w:cs="宋体"/>
          <w:color w:val="auto"/>
          <w:kern w:val="0"/>
          <w:szCs w:val="21"/>
          <w:highlight w:val="none"/>
        </w:rPr>
        <w:t>递</w:t>
      </w:r>
      <w:r>
        <w:rPr>
          <w:rFonts w:hint="eastAsia" w:ascii="宋体" w:hAnsi="宋体" w:eastAsia="宋体" w:cs="宋体"/>
          <w:color w:val="auto"/>
          <w:spacing w:val="-2"/>
          <w:kern w:val="0"/>
          <w:szCs w:val="21"/>
          <w:highlight w:val="none"/>
        </w:rPr>
        <w:t>交</w:t>
      </w:r>
      <w:r>
        <w:rPr>
          <w:rFonts w:hint="eastAsia" w:ascii="宋体" w:hAnsi="宋体" w:eastAsia="宋体" w:cs="宋体"/>
          <w:color w:val="auto"/>
          <w:kern w:val="0"/>
          <w:szCs w:val="21"/>
          <w:highlight w:val="none"/>
        </w:rPr>
        <w:t>投</w:t>
      </w:r>
      <w:r>
        <w:rPr>
          <w:rFonts w:hint="eastAsia" w:ascii="宋体" w:hAnsi="宋体" w:eastAsia="宋体" w:cs="宋体"/>
          <w:color w:val="auto"/>
          <w:spacing w:val="-2"/>
          <w:kern w:val="0"/>
          <w:szCs w:val="21"/>
          <w:highlight w:val="none"/>
        </w:rPr>
        <w:t>标</w:t>
      </w:r>
      <w:r>
        <w:rPr>
          <w:rFonts w:hint="eastAsia" w:ascii="宋体" w:hAnsi="宋体" w:eastAsia="宋体" w:cs="宋体"/>
          <w:color w:val="auto"/>
          <w:kern w:val="0"/>
          <w:szCs w:val="21"/>
          <w:highlight w:val="none"/>
        </w:rPr>
        <w:t>文</w:t>
      </w:r>
      <w:r>
        <w:rPr>
          <w:rFonts w:hint="eastAsia" w:ascii="宋体" w:hAnsi="宋体" w:eastAsia="宋体" w:cs="宋体"/>
          <w:color w:val="auto"/>
          <w:spacing w:val="-2"/>
          <w:kern w:val="0"/>
          <w:szCs w:val="21"/>
          <w:highlight w:val="none"/>
        </w:rPr>
        <w:t>件</w:t>
      </w:r>
      <w:r>
        <w:rPr>
          <w:rFonts w:hint="eastAsia" w:ascii="宋体" w:hAnsi="宋体" w:eastAsia="宋体" w:cs="宋体"/>
          <w:color w:val="auto"/>
          <w:kern w:val="0"/>
          <w:szCs w:val="21"/>
          <w:highlight w:val="none"/>
        </w:rPr>
        <w:t>。</w:t>
      </w:r>
    </w:p>
    <w:p w14:paraId="45DC97A6">
      <w:pPr>
        <w:pageBreakBefore w:val="0"/>
        <w:kinsoku/>
        <w:overflowPunct/>
        <w:bidi w:val="0"/>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sz w:val="21"/>
          <w:szCs w:val="21"/>
          <w:highlight w:val="none"/>
        </w:rPr>
        <w:t>4.2.2</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投标人通过下载招标文件的电子招标投标交易平台递交电子投标文件</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Cs w:val="21"/>
          <w:highlight w:val="none"/>
        </w:rPr>
        <w:t>具体要求见投标人须知前附表。</w:t>
      </w:r>
    </w:p>
    <w:p w14:paraId="65D0A204">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4.2.</w:t>
      </w:r>
      <w:r>
        <w:rPr>
          <w:rFonts w:hint="eastAsia" w:ascii="宋体" w:hAnsi="宋体" w:eastAsia="宋体" w:cs="宋体"/>
          <w:color w:val="auto"/>
          <w:sz w:val="21"/>
          <w:szCs w:val="21"/>
          <w:highlight w:val="none"/>
          <w:lang w:val="en-US" w:eastAsia="zh-CN"/>
        </w:rPr>
        <w:t xml:space="preserve">3 </w:t>
      </w:r>
      <w:r>
        <w:rPr>
          <w:rFonts w:hint="eastAsia" w:ascii="宋体" w:hAnsi="宋体" w:eastAsia="宋体" w:cs="宋体"/>
          <w:color w:val="auto"/>
          <w:sz w:val="21"/>
          <w:szCs w:val="21"/>
          <w:highlight w:val="none"/>
        </w:rPr>
        <w:t>投标人完成电子投标文件上传后，电子招标投标交易平台即时向投标人发出递交回执通知。递交时间以递交回执通知载明的传输完成时间为准。</w:t>
      </w:r>
    </w:p>
    <w:p w14:paraId="1A3D0C8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lang w:val="en-US" w:eastAsia="zh-CN"/>
        </w:rPr>
        <w:t xml:space="preserve">4.2.4 </w:t>
      </w:r>
      <w:r>
        <w:rPr>
          <w:rFonts w:hint="eastAsia" w:ascii="宋体" w:hAnsi="宋体" w:eastAsia="宋体" w:cs="宋体"/>
          <w:color w:val="auto"/>
          <w:sz w:val="21"/>
          <w:szCs w:val="21"/>
          <w:highlight w:val="none"/>
        </w:rPr>
        <w:t>逾期送达的投标文件</w:t>
      </w:r>
      <w:r>
        <w:rPr>
          <w:rFonts w:hint="eastAsia" w:ascii="宋体" w:hAnsi="宋体" w:eastAsia="宋体" w:cs="宋体"/>
          <w:color w:val="auto"/>
          <w:sz w:val="21"/>
          <w:szCs w:val="21"/>
          <w:highlight w:val="none"/>
          <w:lang w:eastAsia="zh-CN"/>
        </w:rPr>
        <w:t>或</w:t>
      </w:r>
      <w:r>
        <w:rPr>
          <w:rFonts w:hint="eastAsia" w:ascii="宋体" w:hAnsi="宋体" w:eastAsia="宋体" w:cs="宋体"/>
          <w:color w:val="auto"/>
          <w:sz w:val="21"/>
          <w:szCs w:val="21"/>
          <w:highlight w:val="none"/>
          <w:lang w:val="en-US" w:eastAsia="zh-CN"/>
        </w:rPr>
        <w:t>未按规定加密的投标文件</w:t>
      </w:r>
      <w:r>
        <w:rPr>
          <w:rFonts w:hint="eastAsia" w:ascii="宋体" w:hAnsi="宋体" w:eastAsia="宋体" w:cs="宋体"/>
          <w:color w:val="auto"/>
          <w:sz w:val="21"/>
          <w:szCs w:val="21"/>
          <w:highlight w:val="none"/>
        </w:rPr>
        <w:t>，电子招标投标交易平台将予以拒收。</w:t>
      </w:r>
    </w:p>
    <w:p w14:paraId="29E2C998">
      <w:pPr>
        <w:pStyle w:val="6"/>
        <w:pageBreakBefore w:val="0"/>
        <w:numPr>
          <w:ilvl w:val="1"/>
          <w:numId w:val="3"/>
        </w:numPr>
        <w:kinsoku/>
        <w:overflowPunct/>
        <w:bidi w:val="0"/>
        <w:spacing w:line="360" w:lineRule="auto"/>
        <w:rPr>
          <w:rFonts w:hint="eastAsia" w:ascii="宋体" w:hAnsi="宋体" w:eastAsia="宋体" w:cs="宋体"/>
          <w:color w:val="auto"/>
          <w:highlight w:val="none"/>
        </w:rPr>
      </w:pPr>
      <w:bookmarkStart w:id="368" w:name="_Toc13886"/>
      <w:bookmarkStart w:id="369" w:name="_Toc8025"/>
      <w:bookmarkStart w:id="370" w:name="_Toc23125"/>
      <w:bookmarkStart w:id="371" w:name="_Toc27084"/>
      <w:bookmarkStart w:id="372" w:name="_Toc32365"/>
      <w:bookmarkStart w:id="373" w:name="_Toc22212"/>
      <w:bookmarkStart w:id="374" w:name="_Toc19554"/>
      <w:bookmarkStart w:id="375" w:name="_Toc7628"/>
      <w:bookmarkStart w:id="376" w:name="_Toc3471"/>
      <w:bookmarkStart w:id="377" w:name="_Toc27900"/>
      <w:bookmarkStart w:id="378" w:name="_Toc7423"/>
      <w:bookmarkStart w:id="379" w:name="_Toc31018"/>
      <w:bookmarkStart w:id="380" w:name="_Toc23714"/>
      <w:r>
        <w:rPr>
          <w:rFonts w:hint="eastAsia" w:ascii="宋体" w:hAnsi="宋体" w:eastAsia="宋体" w:cs="宋体"/>
          <w:color w:val="auto"/>
          <w:highlight w:val="none"/>
        </w:rPr>
        <w:t>投标文件的修改和撤回</w:t>
      </w:r>
      <w:bookmarkEnd w:id="368"/>
      <w:bookmarkEnd w:id="369"/>
      <w:bookmarkEnd w:id="370"/>
      <w:bookmarkEnd w:id="371"/>
      <w:bookmarkEnd w:id="372"/>
      <w:bookmarkEnd w:id="373"/>
      <w:bookmarkEnd w:id="374"/>
      <w:bookmarkEnd w:id="375"/>
      <w:bookmarkEnd w:id="376"/>
      <w:bookmarkEnd w:id="377"/>
      <w:bookmarkEnd w:id="378"/>
      <w:bookmarkEnd w:id="379"/>
      <w:bookmarkEnd w:id="380"/>
    </w:p>
    <w:p w14:paraId="359A583E">
      <w:pPr>
        <w:keepNext w:val="0"/>
        <w:keepLines w:val="0"/>
        <w:pageBreakBefore w:val="0"/>
        <w:widowControl w:val="0"/>
        <w:numPr>
          <w:ilvl w:val="2"/>
          <w:numId w:val="3"/>
        </w:numPr>
        <w:kinsoku/>
        <w:wordWrap/>
        <w:overflowPunct/>
        <w:topLinePunct w:val="0"/>
        <w:autoSpaceDE/>
        <w:autoSpaceDN/>
        <w:bidi w:val="0"/>
        <w:adjustRightInd/>
        <w:snapToGrid/>
        <w:spacing w:line="360" w:lineRule="auto"/>
        <w:ind w:left="0" w:leftChars="0" w:firstLine="420" w:firstLineChars="200"/>
        <w:textAlignment w:val="auto"/>
        <w:outlineLvl w:val="9"/>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递交投标文件以后，如果投标人进行修改或撤回投标</w:t>
      </w:r>
      <w:r>
        <w:rPr>
          <w:rFonts w:hint="eastAsia" w:ascii="宋体" w:hAnsi="宋体" w:eastAsia="宋体" w:cs="宋体"/>
          <w:color w:val="auto"/>
          <w:kern w:val="0"/>
          <w:szCs w:val="21"/>
          <w:highlight w:val="none"/>
          <w:lang w:eastAsia="zh-CN"/>
        </w:rPr>
        <w:t>的</w:t>
      </w:r>
      <w:r>
        <w:rPr>
          <w:rFonts w:hint="eastAsia" w:ascii="宋体" w:hAnsi="宋体" w:eastAsia="宋体" w:cs="宋体"/>
          <w:color w:val="auto"/>
          <w:kern w:val="0"/>
          <w:szCs w:val="21"/>
          <w:highlight w:val="none"/>
        </w:rPr>
        <w:t>，须提出书面申请并在投标截止时间前送达</w:t>
      </w:r>
      <w:r>
        <w:rPr>
          <w:rFonts w:hint="eastAsia" w:ascii="宋体" w:hAnsi="宋体" w:eastAsia="宋体" w:cs="宋体"/>
          <w:color w:val="auto"/>
          <w:kern w:val="0"/>
          <w:szCs w:val="21"/>
          <w:highlight w:val="none"/>
          <w:lang w:val="en-US" w:eastAsia="zh-CN"/>
        </w:rPr>
        <w:t>开标</w:t>
      </w:r>
      <w:r>
        <w:rPr>
          <w:rFonts w:hint="eastAsia" w:ascii="宋体" w:hAnsi="宋体" w:eastAsia="宋体" w:cs="宋体"/>
          <w:color w:val="auto"/>
          <w:kern w:val="0"/>
          <w:szCs w:val="21"/>
          <w:highlight w:val="none"/>
        </w:rPr>
        <w:t>地点，提出的书面申请应按照本章第</w:t>
      </w:r>
      <w:r>
        <w:rPr>
          <w:rFonts w:hint="eastAsia" w:ascii="宋体" w:hAnsi="宋体" w:eastAsia="宋体" w:cs="宋体"/>
          <w:color w:val="auto"/>
          <w:sz w:val="21"/>
          <w:szCs w:val="21"/>
          <w:highlight w:val="none"/>
          <w:lang w:val="en-US" w:eastAsia="zh-CN"/>
        </w:rPr>
        <w:t>3.6.3</w:t>
      </w:r>
      <w:r>
        <w:rPr>
          <w:rFonts w:hint="eastAsia" w:ascii="宋体" w:hAnsi="宋体" w:eastAsia="宋体" w:cs="宋体"/>
          <w:color w:val="auto"/>
          <w:kern w:val="0"/>
          <w:szCs w:val="21"/>
          <w:highlight w:val="none"/>
        </w:rPr>
        <w:t>项的要求签字或盖章。修改内容为投标文件的组成部分，投标人对投标文件的修改应按本须知规定编制、</w:t>
      </w:r>
      <w:r>
        <w:rPr>
          <w:rFonts w:hint="eastAsia" w:ascii="宋体" w:hAnsi="宋体" w:eastAsia="宋体" w:cs="宋体"/>
          <w:color w:val="auto"/>
          <w:kern w:val="0"/>
          <w:szCs w:val="21"/>
          <w:highlight w:val="none"/>
          <w:lang w:val="en-US" w:eastAsia="zh-CN"/>
        </w:rPr>
        <w:t>加密</w:t>
      </w:r>
      <w:r>
        <w:rPr>
          <w:rFonts w:hint="eastAsia" w:ascii="宋体" w:hAnsi="宋体" w:eastAsia="宋体" w:cs="宋体"/>
          <w:color w:val="auto"/>
          <w:kern w:val="0"/>
          <w:szCs w:val="21"/>
          <w:highlight w:val="none"/>
        </w:rPr>
        <w:t>、标记，并标明“修改”字样。</w:t>
      </w:r>
    </w:p>
    <w:p w14:paraId="3BA249C1">
      <w:pPr>
        <w:keepNext w:val="0"/>
        <w:keepLines w:val="0"/>
        <w:pageBreakBefore w:val="0"/>
        <w:widowControl w:val="0"/>
        <w:numPr>
          <w:ilvl w:val="2"/>
          <w:numId w:val="3"/>
        </w:numPr>
        <w:kinsoku/>
        <w:wordWrap/>
        <w:overflowPunct/>
        <w:topLinePunct w:val="0"/>
        <w:autoSpaceDE/>
        <w:autoSpaceDN/>
        <w:bidi w:val="0"/>
        <w:adjustRightInd/>
        <w:snapToGrid/>
        <w:spacing w:line="360" w:lineRule="auto"/>
        <w:ind w:left="0" w:leftChars="0" w:firstLine="420" w:firstLineChars="200"/>
        <w:textAlignment w:val="auto"/>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在投标截止</w:t>
      </w:r>
      <w:r>
        <w:rPr>
          <w:rFonts w:hint="eastAsia" w:ascii="宋体" w:hAnsi="宋体" w:eastAsia="宋体" w:cs="宋体"/>
          <w:color w:val="auto"/>
          <w:szCs w:val="21"/>
          <w:highlight w:val="none"/>
          <w:lang w:eastAsia="zh-CN"/>
        </w:rPr>
        <w:t>时间</w:t>
      </w:r>
      <w:r>
        <w:rPr>
          <w:rFonts w:hint="eastAsia" w:ascii="宋体" w:hAnsi="宋体" w:eastAsia="宋体" w:cs="宋体"/>
          <w:color w:val="auto"/>
          <w:szCs w:val="21"/>
          <w:highlight w:val="none"/>
        </w:rPr>
        <w:t>之后，投标人不得对其投标</w:t>
      </w:r>
      <w:r>
        <w:rPr>
          <w:rFonts w:hint="eastAsia" w:ascii="宋体" w:hAnsi="宋体" w:eastAsia="宋体" w:cs="宋体"/>
          <w:color w:val="auto"/>
          <w:szCs w:val="21"/>
          <w:highlight w:val="none"/>
          <w:lang w:eastAsia="zh-CN"/>
        </w:rPr>
        <w:t>文件</w:t>
      </w:r>
      <w:r>
        <w:rPr>
          <w:rFonts w:hint="eastAsia" w:ascii="宋体" w:hAnsi="宋体" w:eastAsia="宋体" w:cs="宋体"/>
          <w:color w:val="auto"/>
          <w:szCs w:val="21"/>
          <w:highlight w:val="none"/>
        </w:rPr>
        <w:t>做任何修改。</w:t>
      </w:r>
    </w:p>
    <w:p w14:paraId="57A2C320">
      <w:pPr>
        <w:keepNext w:val="0"/>
        <w:keepLines w:val="0"/>
        <w:pageBreakBefore w:val="0"/>
        <w:widowControl w:val="0"/>
        <w:numPr>
          <w:ilvl w:val="2"/>
          <w:numId w:val="3"/>
        </w:numPr>
        <w:kinsoku/>
        <w:wordWrap/>
        <w:overflowPunct/>
        <w:topLinePunct w:val="0"/>
        <w:autoSpaceDE/>
        <w:autoSpaceDN/>
        <w:bidi w:val="0"/>
        <w:adjustRightInd/>
        <w:snapToGrid/>
        <w:spacing w:line="360" w:lineRule="auto"/>
        <w:ind w:left="0" w:leftChars="0" w:firstLine="420" w:firstLineChars="200"/>
        <w:textAlignment w:val="auto"/>
        <w:outlineLvl w:val="9"/>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rPr>
        <w:t>从投标截止</w:t>
      </w:r>
      <w:r>
        <w:rPr>
          <w:rFonts w:hint="eastAsia" w:ascii="宋体" w:hAnsi="宋体" w:eastAsia="宋体" w:cs="宋体"/>
          <w:color w:val="auto"/>
          <w:szCs w:val="21"/>
          <w:highlight w:val="none"/>
          <w:lang w:eastAsia="zh-CN"/>
        </w:rPr>
        <w:t>时间</w:t>
      </w:r>
      <w:r>
        <w:rPr>
          <w:rFonts w:hint="eastAsia" w:ascii="宋体" w:hAnsi="宋体" w:eastAsia="宋体" w:cs="宋体"/>
          <w:color w:val="auto"/>
          <w:szCs w:val="21"/>
          <w:highlight w:val="none"/>
        </w:rPr>
        <w:t>至投标人在投标文件中载明的投标有效期满期间，投标人不得撤回其投标</w:t>
      </w:r>
      <w:r>
        <w:rPr>
          <w:rFonts w:hint="eastAsia" w:ascii="宋体" w:hAnsi="宋体" w:eastAsia="宋体" w:cs="宋体"/>
          <w:color w:val="auto"/>
          <w:szCs w:val="21"/>
          <w:highlight w:val="none"/>
          <w:lang w:eastAsia="zh-CN"/>
        </w:rPr>
        <w:t>文件</w:t>
      </w:r>
      <w:r>
        <w:rPr>
          <w:rFonts w:hint="eastAsia" w:ascii="宋体" w:hAnsi="宋体" w:eastAsia="宋体" w:cs="宋体"/>
          <w:color w:val="auto"/>
          <w:szCs w:val="21"/>
          <w:highlight w:val="none"/>
        </w:rPr>
        <w:t>。</w:t>
      </w:r>
    </w:p>
    <w:p w14:paraId="41C641D9">
      <w:pPr>
        <w:pStyle w:val="5"/>
        <w:keepNext/>
        <w:keepLines/>
        <w:pageBreakBefore w:val="0"/>
        <w:widowControl w:val="0"/>
        <w:numPr>
          <w:ilvl w:val="0"/>
          <w:numId w:val="3"/>
        </w:numPr>
        <w:tabs>
          <w:tab w:val="left" w:pos="721"/>
          <w:tab w:val="left" w:pos="840"/>
          <w:tab w:val="left" w:pos="2880"/>
          <w:tab w:val="left" w:pos="3780"/>
        </w:tabs>
        <w:kinsoku/>
        <w:wordWrap/>
        <w:overflowPunct/>
        <w:topLinePunct w:val="0"/>
        <w:autoSpaceDE/>
        <w:autoSpaceDN/>
        <w:bidi w:val="0"/>
        <w:adjustRightInd/>
        <w:snapToGrid/>
        <w:spacing w:before="0" w:after="0" w:line="360" w:lineRule="auto"/>
        <w:ind w:left="0" w:leftChars="0" w:right="0" w:rightChars="0" w:firstLine="0" w:firstLineChars="0"/>
        <w:jc w:val="both"/>
        <w:textAlignment w:val="auto"/>
        <w:outlineLvl w:val="1"/>
        <w:rPr>
          <w:rFonts w:hint="eastAsia" w:ascii="宋体" w:hAnsi="宋体" w:eastAsia="宋体" w:cs="宋体"/>
          <w:color w:val="auto"/>
          <w:sz w:val="24"/>
          <w:szCs w:val="24"/>
          <w:highlight w:val="none"/>
          <w:lang w:val="en-US" w:eastAsia="zh-CN"/>
        </w:rPr>
      </w:pPr>
      <w:bookmarkStart w:id="381" w:name="_Toc11311"/>
      <w:bookmarkStart w:id="382" w:name="_Toc17426"/>
      <w:r>
        <w:rPr>
          <w:rFonts w:hint="eastAsia" w:ascii="宋体" w:hAnsi="宋体" w:eastAsia="宋体" w:cs="宋体"/>
          <w:color w:val="auto"/>
          <w:sz w:val="24"/>
          <w:szCs w:val="24"/>
          <w:highlight w:val="none"/>
          <w:lang w:val="en-US" w:eastAsia="zh-CN"/>
        </w:rPr>
        <w:t>开标、资格审查与评标</w:t>
      </w:r>
      <w:bookmarkEnd w:id="354"/>
      <w:bookmarkEnd w:id="381"/>
      <w:bookmarkEnd w:id="382"/>
    </w:p>
    <w:p w14:paraId="5063439B">
      <w:pPr>
        <w:pStyle w:val="6"/>
        <w:pageBreakBefore w:val="0"/>
        <w:numPr>
          <w:ilvl w:val="1"/>
          <w:numId w:val="3"/>
        </w:numPr>
        <w:kinsoku/>
        <w:overflowPunct/>
        <w:bidi w:val="0"/>
        <w:spacing w:line="360" w:lineRule="auto"/>
        <w:rPr>
          <w:rFonts w:hint="eastAsia" w:ascii="宋体" w:hAnsi="宋体" w:eastAsia="宋体" w:cs="宋体"/>
          <w:color w:val="auto"/>
          <w:highlight w:val="none"/>
        </w:rPr>
      </w:pPr>
      <w:bookmarkStart w:id="383" w:name="_Toc3802"/>
      <w:bookmarkStart w:id="384" w:name="_Toc24837"/>
      <w:bookmarkStart w:id="385" w:name="_Toc10372"/>
      <w:bookmarkStart w:id="386" w:name="_Toc18834"/>
      <w:bookmarkStart w:id="387" w:name="_Toc22058"/>
      <w:bookmarkStart w:id="388" w:name="_Toc28821"/>
      <w:bookmarkStart w:id="389" w:name="_Toc21689"/>
      <w:bookmarkStart w:id="390" w:name="_Toc30917"/>
      <w:bookmarkStart w:id="391" w:name="_Toc10066"/>
      <w:bookmarkStart w:id="392" w:name="_Toc3484"/>
      <w:bookmarkStart w:id="393" w:name="_Toc2359"/>
      <w:bookmarkStart w:id="394" w:name="_Toc1051"/>
      <w:bookmarkStart w:id="395" w:name="_Toc25258"/>
      <w:bookmarkStart w:id="396" w:name="_Toc312133548"/>
      <w:r>
        <w:rPr>
          <w:rFonts w:hint="eastAsia" w:ascii="宋体" w:hAnsi="宋体" w:eastAsia="宋体" w:cs="宋体"/>
          <w:color w:val="auto"/>
          <w:highlight w:val="none"/>
        </w:rPr>
        <w:t>开标</w:t>
      </w:r>
      <w:bookmarkEnd w:id="383"/>
      <w:bookmarkEnd w:id="384"/>
      <w:bookmarkEnd w:id="385"/>
      <w:bookmarkEnd w:id="386"/>
      <w:bookmarkEnd w:id="387"/>
      <w:bookmarkEnd w:id="388"/>
      <w:bookmarkEnd w:id="389"/>
      <w:bookmarkEnd w:id="390"/>
      <w:bookmarkEnd w:id="391"/>
      <w:bookmarkEnd w:id="392"/>
      <w:bookmarkEnd w:id="393"/>
      <w:bookmarkEnd w:id="394"/>
      <w:bookmarkEnd w:id="395"/>
    </w:p>
    <w:p w14:paraId="7BBABD60">
      <w:pPr>
        <w:keepNext w:val="0"/>
        <w:keepLines w:val="0"/>
        <w:pageBreakBefore w:val="0"/>
        <w:widowControl w:val="0"/>
        <w:numPr>
          <w:ilvl w:val="2"/>
          <w:numId w:val="3"/>
        </w:numPr>
        <w:kinsoku/>
        <w:wordWrap/>
        <w:overflowPunct/>
        <w:topLinePunct w:val="0"/>
        <w:autoSpaceDE/>
        <w:autoSpaceDN/>
        <w:bidi w:val="0"/>
        <w:adjustRightInd/>
        <w:snapToGrid/>
        <w:spacing w:line="360" w:lineRule="auto"/>
        <w:ind w:left="0" w:leftChars="0" w:firstLine="420" w:firstLineChars="200"/>
        <w:textAlignment w:val="auto"/>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采购代理机构在</w:t>
      </w:r>
      <w:r>
        <w:rPr>
          <w:rFonts w:hint="eastAsia" w:ascii="宋体" w:hAnsi="宋体" w:eastAsia="宋体" w:cs="宋体"/>
          <w:color w:val="auto"/>
          <w:szCs w:val="21"/>
          <w:highlight w:val="none"/>
          <w:lang w:eastAsia="zh-CN"/>
        </w:rPr>
        <w:t>投标人须知前附表</w:t>
      </w:r>
      <w:r>
        <w:rPr>
          <w:rFonts w:hint="eastAsia" w:ascii="宋体" w:hAnsi="宋体" w:eastAsia="宋体" w:cs="宋体"/>
          <w:color w:val="auto"/>
          <w:szCs w:val="21"/>
          <w:highlight w:val="none"/>
        </w:rPr>
        <w:t>中规定的时间和地点组织公开开标。投标人不足3家的，不得开标。开标由采购人或者采购代理机构主持，邀请</w:t>
      </w:r>
      <w:r>
        <w:rPr>
          <w:rFonts w:hint="eastAsia" w:ascii="宋体" w:hAnsi="宋体" w:eastAsia="宋体" w:cs="宋体"/>
          <w:color w:val="auto"/>
          <w:szCs w:val="21"/>
          <w:highlight w:val="none"/>
          <w:lang w:eastAsia="zh-CN"/>
        </w:rPr>
        <w:t>所有</w:t>
      </w:r>
      <w:r>
        <w:rPr>
          <w:rFonts w:hint="eastAsia" w:ascii="宋体" w:hAnsi="宋体" w:eastAsia="宋体" w:cs="宋体"/>
          <w:color w:val="auto"/>
          <w:szCs w:val="21"/>
          <w:highlight w:val="none"/>
        </w:rPr>
        <w:t>投标人</w:t>
      </w:r>
      <w:r>
        <w:rPr>
          <w:rFonts w:hint="eastAsia" w:ascii="宋体" w:hAnsi="宋体" w:eastAsia="宋体" w:cs="宋体"/>
          <w:color w:val="auto"/>
          <w:szCs w:val="21"/>
          <w:highlight w:val="none"/>
          <w:lang w:eastAsia="zh-CN"/>
        </w:rPr>
        <w:t>的法定代表人或委托代理人</w:t>
      </w:r>
      <w:r>
        <w:rPr>
          <w:rFonts w:hint="eastAsia" w:ascii="宋体" w:hAnsi="宋体" w:eastAsia="宋体" w:cs="宋体"/>
          <w:color w:val="auto"/>
          <w:szCs w:val="21"/>
          <w:highlight w:val="none"/>
        </w:rPr>
        <w:t>参加。</w:t>
      </w:r>
    </w:p>
    <w:p w14:paraId="2C3007DF">
      <w:pPr>
        <w:keepNext w:val="0"/>
        <w:keepLines w:val="0"/>
        <w:pageBreakBefore w:val="0"/>
        <w:widowControl w:val="0"/>
        <w:numPr>
          <w:ilvl w:val="2"/>
          <w:numId w:val="3"/>
        </w:numPr>
        <w:kinsoku/>
        <w:wordWrap/>
        <w:overflowPunct/>
        <w:topLinePunct w:val="0"/>
        <w:autoSpaceDE/>
        <w:autoSpaceDN/>
        <w:bidi w:val="0"/>
        <w:adjustRightInd/>
        <w:snapToGrid/>
        <w:spacing w:line="360" w:lineRule="auto"/>
        <w:ind w:left="0" w:leftChars="0" w:firstLine="420" w:firstLineChars="200"/>
        <w:textAlignment w:val="auto"/>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开标程序：</w:t>
      </w:r>
    </w:p>
    <w:p w14:paraId="643A75E0">
      <w:pPr>
        <w:keepNext w:val="0"/>
        <w:keepLines w:val="0"/>
        <w:pageBreakBefore w:val="0"/>
        <w:widowControl w:val="0"/>
        <w:numPr>
          <w:ilvl w:val="0"/>
          <w:numId w:val="11"/>
        </w:numPr>
        <w:kinsoku/>
        <w:wordWrap/>
        <w:overflowPunct/>
        <w:topLinePunct w:val="0"/>
        <w:autoSpaceDE w:val="0"/>
        <w:autoSpaceDN w:val="0"/>
        <w:bidi w:val="0"/>
        <w:adjustRightInd w:val="0"/>
        <w:snapToGrid/>
        <w:spacing w:line="360" w:lineRule="auto"/>
        <w:ind w:left="0" w:leftChars="0" w:right="40" w:firstLine="420" w:firstLineChars="200"/>
        <w:jc w:val="left"/>
        <w:textAlignment w:val="auto"/>
        <w:outlineLvl w:val="9"/>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宣布开标纪律；</w:t>
      </w:r>
    </w:p>
    <w:p w14:paraId="6BCE19B8">
      <w:pPr>
        <w:keepNext w:val="0"/>
        <w:keepLines w:val="0"/>
        <w:pageBreakBefore w:val="0"/>
        <w:widowControl w:val="0"/>
        <w:numPr>
          <w:ilvl w:val="0"/>
          <w:numId w:val="11"/>
        </w:numPr>
        <w:kinsoku/>
        <w:wordWrap/>
        <w:overflowPunct/>
        <w:topLinePunct w:val="0"/>
        <w:autoSpaceDE w:val="0"/>
        <w:autoSpaceDN w:val="0"/>
        <w:bidi w:val="0"/>
        <w:adjustRightInd w:val="0"/>
        <w:snapToGrid/>
        <w:spacing w:line="360" w:lineRule="auto"/>
        <w:ind w:left="0" w:leftChars="0" w:right="40" w:firstLine="420" w:firstLineChars="200"/>
        <w:jc w:val="left"/>
        <w:textAlignment w:val="auto"/>
        <w:outlineLvl w:val="9"/>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公布在投标截止时间前递交投标文件的投标人名称；</w:t>
      </w:r>
    </w:p>
    <w:p w14:paraId="162098BB">
      <w:pPr>
        <w:keepNext w:val="0"/>
        <w:keepLines w:val="0"/>
        <w:pageBreakBefore w:val="0"/>
        <w:widowControl w:val="0"/>
        <w:numPr>
          <w:ilvl w:val="0"/>
          <w:numId w:val="12"/>
        </w:numPr>
        <w:kinsoku/>
        <w:wordWrap/>
        <w:overflowPunct/>
        <w:topLinePunct w:val="0"/>
        <w:autoSpaceDE w:val="0"/>
        <w:autoSpaceDN w:val="0"/>
        <w:bidi w:val="0"/>
        <w:adjustRightInd w:val="0"/>
        <w:snapToGrid/>
        <w:spacing w:line="360" w:lineRule="auto"/>
        <w:ind w:left="0" w:leftChars="0" w:right="40" w:firstLine="420" w:firstLineChars="200"/>
        <w:jc w:val="left"/>
        <w:textAlignment w:val="auto"/>
        <w:outlineLvl w:val="9"/>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投标人通过电子招标投标交易平台对已递交的电子投标文件进行解密；</w:t>
      </w:r>
    </w:p>
    <w:p w14:paraId="575DF799">
      <w:pPr>
        <w:keepNext w:val="0"/>
        <w:keepLines w:val="0"/>
        <w:pageBreakBefore w:val="0"/>
        <w:widowControl w:val="0"/>
        <w:numPr>
          <w:ilvl w:val="0"/>
          <w:numId w:val="12"/>
        </w:numPr>
        <w:kinsoku/>
        <w:wordWrap/>
        <w:overflowPunct/>
        <w:topLinePunct w:val="0"/>
        <w:autoSpaceDE w:val="0"/>
        <w:autoSpaceDN w:val="0"/>
        <w:bidi w:val="0"/>
        <w:adjustRightInd w:val="0"/>
        <w:snapToGrid/>
        <w:spacing w:line="360" w:lineRule="auto"/>
        <w:ind w:left="0" w:leftChars="0" w:right="40" w:firstLine="420" w:firstLineChars="200"/>
        <w:jc w:val="left"/>
        <w:textAlignment w:val="auto"/>
        <w:outlineLvl w:val="9"/>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由采购人或者采购代理机构工作人员</w:t>
      </w:r>
      <w:r>
        <w:rPr>
          <w:rFonts w:hint="eastAsia" w:ascii="宋体" w:hAnsi="宋体" w:eastAsia="宋体" w:cs="宋体"/>
          <w:color w:val="auto"/>
          <w:kern w:val="0"/>
          <w:szCs w:val="21"/>
          <w:highlight w:val="none"/>
          <w:lang w:eastAsia="zh-CN"/>
        </w:rPr>
        <w:t>按</w:t>
      </w:r>
      <w:r>
        <w:rPr>
          <w:rFonts w:hint="eastAsia" w:ascii="宋体" w:hAnsi="宋体" w:eastAsia="宋体" w:cs="宋体"/>
          <w:color w:val="auto"/>
          <w:kern w:val="0"/>
          <w:szCs w:val="21"/>
          <w:highlight w:val="none"/>
          <w:lang w:val="en-US" w:eastAsia="zh-CN"/>
        </w:rPr>
        <w:t>河南省公共资源交易中心平台交易平台系统默认</w:t>
      </w:r>
      <w:r>
        <w:rPr>
          <w:rFonts w:hint="eastAsia" w:ascii="宋体" w:hAnsi="宋体" w:eastAsia="宋体" w:cs="宋体"/>
          <w:color w:val="auto"/>
          <w:kern w:val="0"/>
          <w:szCs w:val="21"/>
          <w:highlight w:val="none"/>
        </w:rPr>
        <w:t>顺序</w:t>
      </w:r>
      <w:r>
        <w:rPr>
          <w:rFonts w:hint="eastAsia" w:ascii="宋体" w:hAnsi="宋体" w:eastAsia="宋体" w:cs="宋体"/>
          <w:color w:val="auto"/>
          <w:kern w:val="0"/>
          <w:szCs w:val="21"/>
          <w:highlight w:val="none"/>
          <w:lang w:val="en-US" w:eastAsia="zh-CN"/>
        </w:rPr>
        <w:t>解密</w:t>
      </w:r>
      <w:r>
        <w:rPr>
          <w:rFonts w:hint="eastAsia" w:ascii="宋体" w:hAnsi="宋体" w:eastAsia="宋体" w:cs="宋体"/>
          <w:color w:val="auto"/>
          <w:kern w:val="0"/>
          <w:szCs w:val="21"/>
          <w:highlight w:val="none"/>
        </w:rPr>
        <w:t>投标文件，宣布投标人名称、投标价格以及其他采购人和采购代理机构认为必要的内容，并记录在案；</w:t>
      </w:r>
    </w:p>
    <w:p w14:paraId="1F9858A0">
      <w:pPr>
        <w:keepNext w:val="0"/>
        <w:keepLines w:val="0"/>
        <w:pageBreakBefore w:val="0"/>
        <w:widowControl w:val="0"/>
        <w:numPr>
          <w:ilvl w:val="0"/>
          <w:numId w:val="13"/>
        </w:numPr>
        <w:kinsoku/>
        <w:wordWrap/>
        <w:overflowPunct/>
        <w:topLinePunct w:val="0"/>
        <w:autoSpaceDE w:val="0"/>
        <w:autoSpaceDN w:val="0"/>
        <w:bidi w:val="0"/>
        <w:adjustRightInd w:val="0"/>
        <w:snapToGrid/>
        <w:spacing w:line="360" w:lineRule="auto"/>
        <w:ind w:left="0" w:leftChars="0" w:right="40" w:firstLine="420" w:firstLineChars="200"/>
        <w:jc w:val="left"/>
        <w:textAlignment w:val="auto"/>
        <w:outlineLvl w:val="9"/>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参加开标的各投标人代表和相关工作人员</w:t>
      </w:r>
      <w:r>
        <w:rPr>
          <w:rFonts w:hint="eastAsia" w:ascii="宋体" w:hAnsi="宋体" w:eastAsia="宋体" w:cs="宋体"/>
          <w:color w:val="auto"/>
          <w:kern w:val="0"/>
          <w:sz w:val="21"/>
          <w:szCs w:val="21"/>
          <w:highlight w:val="none"/>
          <w:lang w:val="en-US" w:eastAsia="zh-CN" w:bidi="ar-SA"/>
        </w:rPr>
        <w:t>使用本人的电子印章在开标记录上签字确认</w:t>
      </w:r>
      <w:r>
        <w:rPr>
          <w:rFonts w:hint="eastAsia" w:ascii="宋体" w:hAnsi="宋体" w:eastAsia="宋体" w:cs="宋体"/>
          <w:b w:val="0"/>
          <w:bCs w:val="0"/>
          <w:color w:val="auto"/>
          <w:kern w:val="0"/>
          <w:sz w:val="21"/>
          <w:szCs w:val="21"/>
          <w:highlight w:val="none"/>
          <w:lang w:val="en-US" w:eastAsia="zh-CN" w:bidi="ar-SA"/>
        </w:rPr>
        <w:t>；</w:t>
      </w:r>
    </w:p>
    <w:p w14:paraId="1F793DC4">
      <w:pPr>
        <w:keepNext w:val="0"/>
        <w:keepLines w:val="0"/>
        <w:pageBreakBefore w:val="0"/>
        <w:widowControl w:val="0"/>
        <w:numPr>
          <w:ilvl w:val="0"/>
          <w:numId w:val="13"/>
        </w:numPr>
        <w:kinsoku/>
        <w:wordWrap/>
        <w:overflowPunct/>
        <w:topLinePunct w:val="0"/>
        <w:autoSpaceDE w:val="0"/>
        <w:autoSpaceDN w:val="0"/>
        <w:bidi w:val="0"/>
        <w:adjustRightInd w:val="0"/>
        <w:snapToGrid/>
        <w:spacing w:line="360" w:lineRule="auto"/>
        <w:ind w:left="0" w:leftChars="0" w:right="40" w:firstLine="420" w:firstLineChars="200"/>
        <w:jc w:val="left"/>
        <w:textAlignment w:val="auto"/>
        <w:outlineLvl w:val="9"/>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开标结束。</w:t>
      </w:r>
    </w:p>
    <w:p w14:paraId="1FC412FE">
      <w:pPr>
        <w:keepNext w:val="0"/>
        <w:keepLines w:val="0"/>
        <w:pageBreakBefore w:val="0"/>
        <w:widowControl w:val="0"/>
        <w:numPr>
          <w:ilvl w:val="2"/>
          <w:numId w:val="3"/>
        </w:numPr>
        <w:kinsoku/>
        <w:wordWrap/>
        <w:overflowPunct/>
        <w:topLinePunct w:val="0"/>
        <w:autoSpaceDE/>
        <w:autoSpaceDN/>
        <w:bidi w:val="0"/>
        <w:adjustRightInd/>
        <w:snapToGrid/>
        <w:spacing w:line="360" w:lineRule="auto"/>
        <w:ind w:left="0" w:leftChars="0" w:firstLine="420" w:firstLineChars="200"/>
        <w:textAlignment w:val="auto"/>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投标人代表对开标过程和开标记录有疑义，以及认为采购人、采购代理机构相关工作人员有需要回避的情形的，应当场提出询问或者回避申请。采购人、采购代理机构对投标人代表提出的询问或者回避申请应当及时处理，并制作记录。</w:t>
      </w:r>
    </w:p>
    <w:p w14:paraId="440B74FF">
      <w:pPr>
        <w:keepNext w:val="0"/>
        <w:keepLines w:val="0"/>
        <w:pageBreakBefore w:val="0"/>
        <w:widowControl w:val="0"/>
        <w:numPr>
          <w:ilvl w:val="2"/>
          <w:numId w:val="3"/>
        </w:numPr>
        <w:kinsoku/>
        <w:wordWrap/>
        <w:overflowPunct/>
        <w:topLinePunct w:val="0"/>
        <w:autoSpaceDE/>
        <w:autoSpaceDN/>
        <w:bidi w:val="0"/>
        <w:adjustRightInd/>
        <w:snapToGrid/>
        <w:spacing w:line="360" w:lineRule="auto"/>
        <w:ind w:left="0" w:leftChars="0" w:firstLine="420" w:firstLineChars="200"/>
        <w:textAlignment w:val="auto"/>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投标人未参加开标的，视同认可开标结果。</w:t>
      </w:r>
    </w:p>
    <w:p w14:paraId="1D3F79E7">
      <w:pPr>
        <w:pStyle w:val="6"/>
        <w:pageBreakBefore w:val="0"/>
        <w:numPr>
          <w:ilvl w:val="1"/>
          <w:numId w:val="3"/>
        </w:numPr>
        <w:kinsoku/>
        <w:overflowPunct/>
        <w:bidi w:val="0"/>
        <w:spacing w:line="360" w:lineRule="auto"/>
        <w:rPr>
          <w:rFonts w:hint="eastAsia" w:ascii="宋体" w:hAnsi="宋体" w:eastAsia="宋体" w:cs="宋体"/>
          <w:color w:val="auto"/>
          <w:highlight w:val="none"/>
        </w:rPr>
      </w:pPr>
      <w:bookmarkStart w:id="397" w:name="_Toc29315"/>
      <w:bookmarkStart w:id="398" w:name="_Toc22209"/>
      <w:bookmarkStart w:id="399" w:name="_Toc3031"/>
      <w:bookmarkStart w:id="400" w:name="_Toc29588"/>
      <w:bookmarkStart w:id="401" w:name="_Toc16453"/>
      <w:bookmarkStart w:id="402" w:name="_Toc18862"/>
      <w:bookmarkStart w:id="403" w:name="_Toc29637"/>
      <w:bookmarkStart w:id="404" w:name="_Toc24277"/>
      <w:bookmarkStart w:id="405" w:name="_Toc22131"/>
      <w:bookmarkStart w:id="406" w:name="_Toc29955"/>
      <w:bookmarkStart w:id="407" w:name="_Toc13168"/>
      <w:bookmarkStart w:id="408" w:name="_Toc11192"/>
      <w:bookmarkStart w:id="409" w:name="_Toc11443"/>
      <w:r>
        <w:rPr>
          <w:rFonts w:hint="eastAsia" w:ascii="宋体" w:hAnsi="宋体" w:eastAsia="宋体" w:cs="宋体"/>
          <w:color w:val="auto"/>
          <w:highlight w:val="none"/>
        </w:rPr>
        <w:t>资格审查工作</w:t>
      </w:r>
      <w:bookmarkEnd w:id="397"/>
      <w:bookmarkEnd w:id="398"/>
      <w:bookmarkEnd w:id="399"/>
      <w:bookmarkEnd w:id="400"/>
      <w:bookmarkEnd w:id="401"/>
      <w:bookmarkEnd w:id="402"/>
      <w:bookmarkEnd w:id="403"/>
      <w:bookmarkEnd w:id="404"/>
      <w:bookmarkEnd w:id="405"/>
      <w:bookmarkEnd w:id="406"/>
      <w:bookmarkEnd w:id="407"/>
      <w:bookmarkEnd w:id="408"/>
      <w:bookmarkEnd w:id="409"/>
    </w:p>
    <w:p w14:paraId="02DD469C">
      <w:pPr>
        <w:keepNext w:val="0"/>
        <w:keepLines w:val="0"/>
        <w:pageBreakBefore w:val="0"/>
        <w:widowControl w:val="0"/>
        <w:numPr>
          <w:ilvl w:val="2"/>
          <w:numId w:val="3"/>
        </w:numPr>
        <w:kinsoku/>
        <w:wordWrap/>
        <w:overflowPunct/>
        <w:topLinePunct w:val="0"/>
        <w:autoSpaceDE/>
        <w:autoSpaceDN/>
        <w:bidi w:val="0"/>
        <w:adjustRightInd/>
        <w:snapToGrid/>
        <w:spacing w:line="360" w:lineRule="auto"/>
        <w:ind w:left="0" w:leftChars="0" w:firstLine="420" w:firstLineChars="200"/>
        <w:textAlignment w:val="auto"/>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开标结束后，采购人或者采购代理机构应当依法对投标人的资格进行审查。合格投标人不足3家的，不得评标。</w:t>
      </w:r>
    </w:p>
    <w:p w14:paraId="3770A234">
      <w:pPr>
        <w:pStyle w:val="6"/>
        <w:pageBreakBefore w:val="0"/>
        <w:numPr>
          <w:ilvl w:val="1"/>
          <w:numId w:val="3"/>
        </w:numPr>
        <w:kinsoku/>
        <w:overflowPunct/>
        <w:bidi w:val="0"/>
        <w:spacing w:line="360" w:lineRule="auto"/>
        <w:rPr>
          <w:rFonts w:hint="eastAsia" w:ascii="宋体" w:hAnsi="宋体" w:eastAsia="宋体" w:cs="宋体"/>
          <w:color w:val="auto"/>
          <w:highlight w:val="none"/>
        </w:rPr>
      </w:pPr>
      <w:bookmarkStart w:id="410" w:name="_Toc32305"/>
      <w:bookmarkStart w:id="411" w:name="_Toc8092"/>
      <w:bookmarkStart w:id="412" w:name="_Toc22105"/>
      <w:bookmarkStart w:id="413" w:name="_Toc19513"/>
      <w:bookmarkStart w:id="414" w:name="_Toc16180"/>
      <w:bookmarkStart w:id="415" w:name="_Toc2042"/>
      <w:bookmarkStart w:id="416" w:name="_Toc22789"/>
      <w:bookmarkStart w:id="417" w:name="_Toc31474"/>
      <w:bookmarkStart w:id="418" w:name="_Toc12598"/>
      <w:bookmarkStart w:id="419" w:name="_Toc26746"/>
      <w:bookmarkStart w:id="420" w:name="_Toc24379"/>
      <w:bookmarkStart w:id="421" w:name="_Toc31129"/>
      <w:bookmarkStart w:id="422" w:name="_Toc4865"/>
      <w:r>
        <w:rPr>
          <w:rFonts w:hint="eastAsia" w:ascii="宋体" w:hAnsi="宋体" w:eastAsia="宋体" w:cs="宋体"/>
          <w:color w:val="auto"/>
          <w:highlight w:val="none"/>
        </w:rPr>
        <w:t>评标工作</w:t>
      </w:r>
      <w:bookmarkEnd w:id="410"/>
      <w:bookmarkEnd w:id="411"/>
      <w:bookmarkEnd w:id="412"/>
      <w:bookmarkEnd w:id="413"/>
      <w:bookmarkEnd w:id="414"/>
      <w:bookmarkEnd w:id="415"/>
      <w:bookmarkEnd w:id="416"/>
      <w:bookmarkEnd w:id="417"/>
      <w:bookmarkEnd w:id="418"/>
      <w:bookmarkEnd w:id="419"/>
      <w:bookmarkEnd w:id="420"/>
      <w:bookmarkEnd w:id="421"/>
      <w:bookmarkEnd w:id="422"/>
    </w:p>
    <w:p w14:paraId="5C4BFD43">
      <w:pPr>
        <w:keepNext w:val="0"/>
        <w:keepLines w:val="0"/>
        <w:pageBreakBefore w:val="0"/>
        <w:widowControl w:val="0"/>
        <w:numPr>
          <w:ilvl w:val="2"/>
          <w:numId w:val="3"/>
        </w:numPr>
        <w:kinsoku/>
        <w:wordWrap/>
        <w:overflowPunct/>
        <w:topLinePunct w:val="0"/>
        <w:autoSpaceDE/>
        <w:autoSpaceDN/>
        <w:bidi w:val="0"/>
        <w:adjustRightInd/>
        <w:snapToGrid/>
        <w:spacing w:line="360" w:lineRule="auto"/>
        <w:ind w:left="0" w:leftChars="0" w:firstLine="420" w:firstLineChars="200"/>
        <w:textAlignment w:val="auto"/>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评标委员会</w:t>
      </w:r>
    </w:p>
    <w:p w14:paraId="1AFE7E5C">
      <w:pPr>
        <w:keepNext w:val="0"/>
        <w:keepLines w:val="0"/>
        <w:pageBreakBefore w:val="0"/>
        <w:widowControl w:val="0"/>
        <w:numPr>
          <w:ilvl w:val="0"/>
          <w:numId w:val="14"/>
        </w:numPr>
        <w:kinsoku/>
        <w:wordWrap/>
        <w:overflowPunct/>
        <w:topLinePunct w:val="0"/>
        <w:autoSpaceDE w:val="0"/>
        <w:autoSpaceDN w:val="0"/>
        <w:bidi w:val="0"/>
        <w:adjustRightInd w:val="0"/>
        <w:snapToGrid/>
        <w:spacing w:line="360" w:lineRule="auto"/>
        <w:ind w:left="0" w:leftChars="0" w:right="40" w:firstLine="420" w:firstLineChars="200"/>
        <w:jc w:val="left"/>
        <w:textAlignment w:val="auto"/>
        <w:outlineLvl w:val="9"/>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评标工作由</w:t>
      </w:r>
      <w:r>
        <w:rPr>
          <w:rFonts w:hint="eastAsia" w:ascii="宋体" w:hAnsi="宋体" w:eastAsia="宋体" w:cs="宋体"/>
          <w:color w:val="auto"/>
          <w:kern w:val="0"/>
          <w:szCs w:val="21"/>
          <w:highlight w:val="none"/>
          <w:lang w:eastAsia="zh-CN"/>
        </w:rPr>
        <w:t>采购人依法组建的</w:t>
      </w:r>
      <w:r>
        <w:rPr>
          <w:rFonts w:hint="eastAsia" w:ascii="宋体" w:hAnsi="宋体" w:eastAsia="宋体" w:cs="宋体"/>
          <w:color w:val="auto"/>
          <w:kern w:val="0"/>
          <w:szCs w:val="21"/>
          <w:highlight w:val="none"/>
        </w:rPr>
        <w:t>评标委员会</w:t>
      </w:r>
      <w:r>
        <w:rPr>
          <w:rFonts w:hint="eastAsia" w:ascii="宋体" w:hAnsi="宋体" w:eastAsia="宋体" w:cs="宋体"/>
          <w:color w:val="auto"/>
          <w:kern w:val="0"/>
          <w:szCs w:val="21"/>
          <w:highlight w:val="none"/>
          <w:lang w:eastAsia="zh-CN"/>
        </w:rPr>
        <w:t>负责，</w:t>
      </w:r>
      <w:r>
        <w:rPr>
          <w:rFonts w:hint="eastAsia" w:ascii="宋体" w:hAnsi="宋体" w:eastAsia="宋体" w:cs="宋体"/>
          <w:color w:val="auto"/>
          <w:kern w:val="0"/>
          <w:szCs w:val="21"/>
          <w:highlight w:val="none"/>
        </w:rPr>
        <w:t>对所有投标人的投标文件进行审评，并按</w:t>
      </w:r>
      <w:r>
        <w:rPr>
          <w:rFonts w:hint="eastAsia" w:ascii="宋体" w:hAnsi="宋体" w:eastAsia="宋体" w:cs="宋体"/>
          <w:color w:val="auto"/>
          <w:kern w:val="0"/>
          <w:szCs w:val="21"/>
          <w:highlight w:val="none"/>
          <w:lang w:eastAsia="zh-CN"/>
        </w:rPr>
        <w:t>评标办法规定的方式</w:t>
      </w:r>
      <w:r>
        <w:rPr>
          <w:rFonts w:hint="eastAsia" w:ascii="宋体" w:hAnsi="宋体" w:eastAsia="宋体" w:cs="宋体"/>
          <w:color w:val="auto"/>
          <w:kern w:val="0"/>
          <w:szCs w:val="21"/>
          <w:highlight w:val="none"/>
        </w:rPr>
        <w:t>推荐出</w:t>
      </w:r>
      <w:r>
        <w:rPr>
          <w:rFonts w:hint="eastAsia" w:ascii="宋体" w:hAnsi="宋体" w:eastAsia="宋体" w:cs="宋体"/>
          <w:color w:val="auto"/>
          <w:kern w:val="0"/>
          <w:szCs w:val="21"/>
          <w:highlight w:val="none"/>
          <w:lang w:eastAsia="zh-CN"/>
        </w:rPr>
        <w:t>投标人须知前附表</w:t>
      </w:r>
      <w:r>
        <w:rPr>
          <w:rFonts w:hint="eastAsia" w:ascii="宋体" w:hAnsi="宋体" w:eastAsia="宋体" w:cs="宋体"/>
          <w:color w:val="auto"/>
          <w:kern w:val="0"/>
          <w:szCs w:val="21"/>
          <w:highlight w:val="none"/>
        </w:rPr>
        <w:t>中载明数量的中标候选人。</w:t>
      </w:r>
    </w:p>
    <w:p w14:paraId="1A68D580">
      <w:pPr>
        <w:keepNext w:val="0"/>
        <w:keepLines w:val="0"/>
        <w:pageBreakBefore w:val="0"/>
        <w:widowControl w:val="0"/>
        <w:numPr>
          <w:ilvl w:val="0"/>
          <w:numId w:val="14"/>
        </w:numPr>
        <w:kinsoku/>
        <w:wordWrap/>
        <w:overflowPunct/>
        <w:topLinePunct w:val="0"/>
        <w:autoSpaceDE w:val="0"/>
        <w:autoSpaceDN w:val="0"/>
        <w:bidi w:val="0"/>
        <w:adjustRightInd w:val="0"/>
        <w:snapToGrid/>
        <w:spacing w:line="360" w:lineRule="auto"/>
        <w:ind w:left="0" w:leftChars="0" w:right="40" w:firstLine="420" w:firstLineChars="200"/>
        <w:jc w:val="left"/>
        <w:textAlignment w:val="auto"/>
        <w:outlineLvl w:val="9"/>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评标委员会由采购人代表和评审专家组成，成员人数为5人，其中评审专家不得少于成员总数的三分之二。对采购预算金额在1000万元以上或技术复杂或社会影响较大的采购项目，评标委员会成员人数应当为7人以上单数。</w:t>
      </w:r>
    </w:p>
    <w:p w14:paraId="4473CE45">
      <w:pPr>
        <w:keepNext w:val="0"/>
        <w:keepLines w:val="0"/>
        <w:pageBreakBefore w:val="0"/>
        <w:widowControl w:val="0"/>
        <w:numPr>
          <w:ilvl w:val="0"/>
          <w:numId w:val="14"/>
        </w:numPr>
        <w:kinsoku/>
        <w:wordWrap/>
        <w:overflowPunct/>
        <w:topLinePunct w:val="0"/>
        <w:autoSpaceDE w:val="0"/>
        <w:autoSpaceDN w:val="0"/>
        <w:bidi w:val="0"/>
        <w:adjustRightInd w:val="0"/>
        <w:snapToGrid/>
        <w:spacing w:line="360" w:lineRule="auto"/>
        <w:ind w:left="0" w:leftChars="0" w:right="40" w:firstLine="420" w:firstLineChars="200"/>
        <w:jc w:val="left"/>
        <w:textAlignment w:val="auto"/>
        <w:outlineLvl w:val="9"/>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评审专家对本单位的采购项目只能作为采购人代表参与评标，对技术复杂、专业性强的采购项目，通过随机方式难以确定合适评审专家的情形除外。</w:t>
      </w:r>
    </w:p>
    <w:p w14:paraId="18526E11">
      <w:pPr>
        <w:keepNext w:val="0"/>
        <w:keepLines w:val="0"/>
        <w:pageBreakBefore w:val="0"/>
        <w:widowControl w:val="0"/>
        <w:numPr>
          <w:ilvl w:val="0"/>
          <w:numId w:val="14"/>
        </w:numPr>
        <w:kinsoku/>
        <w:wordWrap/>
        <w:overflowPunct/>
        <w:topLinePunct w:val="0"/>
        <w:autoSpaceDE w:val="0"/>
        <w:autoSpaceDN w:val="0"/>
        <w:bidi w:val="0"/>
        <w:adjustRightInd w:val="0"/>
        <w:snapToGrid/>
        <w:spacing w:line="360" w:lineRule="auto"/>
        <w:ind w:left="0" w:leftChars="0" w:right="40" w:firstLine="420" w:firstLineChars="200"/>
        <w:jc w:val="left"/>
        <w:textAlignment w:val="auto"/>
        <w:outlineLvl w:val="9"/>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采购代理机构工作人员不得参加由本机构代理的政府采购项目的评标。</w:t>
      </w:r>
    </w:p>
    <w:p w14:paraId="2F4D4DB1">
      <w:pPr>
        <w:keepNext w:val="0"/>
        <w:keepLines w:val="0"/>
        <w:pageBreakBefore w:val="0"/>
        <w:widowControl w:val="0"/>
        <w:numPr>
          <w:ilvl w:val="0"/>
          <w:numId w:val="14"/>
        </w:numPr>
        <w:kinsoku/>
        <w:wordWrap/>
        <w:overflowPunct/>
        <w:topLinePunct w:val="0"/>
        <w:autoSpaceDE w:val="0"/>
        <w:autoSpaceDN w:val="0"/>
        <w:bidi w:val="0"/>
        <w:adjustRightInd w:val="0"/>
        <w:snapToGrid/>
        <w:spacing w:line="360" w:lineRule="auto"/>
        <w:ind w:left="0" w:leftChars="0" w:right="40" w:firstLine="420" w:firstLineChars="200"/>
        <w:jc w:val="left"/>
        <w:textAlignment w:val="auto"/>
        <w:outlineLvl w:val="9"/>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评标委员会成员名单在评标结果公告前应当保密。</w:t>
      </w:r>
    </w:p>
    <w:p w14:paraId="2327E096">
      <w:pPr>
        <w:keepNext w:val="0"/>
        <w:keepLines w:val="0"/>
        <w:pageBreakBefore w:val="0"/>
        <w:widowControl w:val="0"/>
        <w:numPr>
          <w:ilvl w:val="2"/>
          <w:numId w:val="3"/>
        </w:numPr>
        <w:kinsoku/>
        <w:wordWrap/>
        <w:overflowPunct/>
        <w:topLinePunct w:val="0"/>
        <w:autoSpaceDE/>
        <w:autoSpaceDN/>
        <w:bidi w:val="0"/>
        <w:adjustRightInd/>
        <w:snapToGrid/>
        <w:spacing w:line="360" w:lineRule="auto"/>
        <w:ind w:left="0" w:leftChars="0" w:firstLine="420" w:firstLineChars="200"/>
        <w:textAlignment w:val="auto"/>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评标委员会及其成员不得有下列行为：</w:t>
      </w:r>
    </w:p>
    <w:p w14:paraId="2FABCA9F">
      <w:pPr>
        <w:keepNext w:val="0"/>
        <w:keepLines w:val="0"/>
        <w:pageBreakBefore w:val="0"/>
        <w:widowControl w:val="0"/>
        <w:numPr>
          <w:ilvl w:val="0"/>
          <w:numId w:val="15"/>
        </w:numPr>
        <w:kinsoku/>
        <w:wordWrap/>
        <w:overflowPunct/>
        <w:topLinePunct w:val="0"/>
        <w:autoSpaceDE w:val="0"/>
        <w:autoSpaceDN w:val="0"/>
        <w:bidi w:val="0"/>
        <w:adjustRightInd w:val="0"/>
        <w:snapToGrid/>
        <w:spacing w:line="360" w:lineRule="auto"/>
        <w:ind w:left="0" w:leftChars="0" w:right="40" w:firstLine="420" w:firstLineChars="200"/>
        <w:jc w:val="left"/>
        <w:textAlignment w:val="auto"/>
        <w:outlineLvl w:val="9"/>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确定参与评标至评标结束前私自接触投标人；</w:t>
      </w:r>
    </w:p>
    <w:p w14:paraId="2B6281F4">
      <w:pPr>
        <w:keepNext w:val="0"/>
        <w:keepLines w:val="0"/>
        <w:pageBreakBefore w:val="0"/>
        <w:widowControl w:val="0"/>
        <w:numPr>
          <w:ilvl w:val="0"/>
          <w:numId w:val="15"/>
        </w:numPr>
        <w:kinsoku/>
        <w:wordWrap/>
        <w:overflowPunct/>
        <w:topLinePunct w:val="0"/>
        <w:autoSpaceDE w:val="0"/>
        <w:autoSpaceDN w:val="0"/>
        <w:bidi w:val="0"/>
        <w:adjustRightInd w:val="0"/>
        <w:snapToGrid/>
        <w:spacing w:line="360" w:lineRule="auto"/>
        <w:ind w:left="0" w:leftChars="0" w:right="40" w:firstLine="420" w:firstLineChars="200"/>
        <w:jc w:val="left"/>
        <w:textAlignment w:val="auto"/>
        <w:outlineLvl w:val="9"/>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接受投标人提出的与投标文件不一致的澄清或者说明（对于投标文件中含义不明确、同类问题表述不一致或者有明显文字和计算错误的内容，评标委员会以书面形式要求投标人作出必要的澄清、说明或者补正的除外）</w:t>
      </w:r>
      <w:r>
        <w:rPr>
          <w:rFonts w:hint="eastAsia" w:ascii="宋体" w:hAnsi="宋体" w:eastAsia="宋体" w:cs="宋体"/>
          <w:color w:val="auto"/>
          <w:kern w:val="0"/>
          <w:szCs w:val="21"/>
          <w:highlight w:val="none"/>
          <w:lang w:eastAsia="zh-CN"/>
        </w:rPr>
        <w:t>；</w:t>
      </w:r>
    </w:p>
    <w:p w14:paraId="183AD72E">
      <w:pPr>
        <w:keepNext w:val="0"/>
        <w:keepLines w:val="0"/>
        <w:pageBreakBefore w:val="0"/>
        <w:widowControl w:val="0"/>
        <w:numPr>
          <w:ilvl w:val="0"/>
          <w:numId w:val="15"/>
        </w:numPr>
        <w:kinsoku/>
        <w:wordWrap/>
        <w:overflowPunct/>
        <w:topLinePunct w:val="0"/>
        <w:autoSpaceDE w:val="0"/>
        <w:autoSpaceDN w:val="0"/>
        <w:bidi w:val="0"/>
        <w:adjustRightInd w:val="0"/>
        <w:snapToGrid/>
        <w:spacing w:line="360" w:lineRule="auto"/>
        <w:ind w:left="0" w:leftChars="0" w:right="40" w:firstLine="420" w:firstLineChars="200"/>
        <w:jc w:val="left"/>
        <w:textAlignment w:val="auto"/>
        <w:outlineLvl w:val="9"/>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违反评标纪律发表倾向性意见或者征询采购人的倾向性意见；</w:t>
      </w:r>
    </w:p>
    <w:p w14:paraId="2E22B754">
      <w:pPr>
        <w:keepNext w:val="0"/>
        <w:keepLines w:val="0"/>
        <w:pageBreakBefore w:val="0"/>
        <w:widowControl w:val="0"/>
        <w:numPr>
          <w:ilvl w:val="0"/>
          <w:numId w:val="15"/>
        </w:numPr>
        <w:kinsoku/>
        <w:wordWrap/>
        <w:overflowPunct/>
        <w:topLinePunct w:val="0"/>
        <w:autoSpaceDE w:val="0"/>
        <w:autoSpaceDN w:val="0"/>
        <w:bidi w:val="0"/>
        <w:adjustRightInd w:val="0"/>
        <w:snapToGrid/>
        <w:spacing w:line="360" w:lineRule="auto"/>
        <w:ind w:left="0" w:leftChars="0" w:right="40" w:firstLine="420" w:firstLineChars="200"/>
        <w:jc w:val="left"/>
        <w:textAlignment w:val="auto"/>
        <w:outlineLvl w:val="9"/>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对需要专业判断的主观评审因素协商评分；</w:t>
      </w:r>
    </w:p>
    <w:p w14:paraId="3C01C3BA">
      <w:pPr>
        <w:keepNext w:val="0"/>
        <w:keepLines w:val="0"/>
        <w:pageBreakBefore w:val="0"/>
        <w:widowControl w:val="0"/>
        <w:numPr>
          <w:ilvl w:val="0"/>
          <w:numId w:val="15"/>
        </w:numPr>
        <w:kinsoku/>
        <w:wordWrap/>
        <w:overflowPunct/>
        <w:topLinePunct w:val="0"/>
        <w:autoSpaceDE w:val="0"/>
        <w:autoSpaceDN w:val="0"/>
        <w:bidi w:val="0"/>
        <w:adjustRightInd w:val="0"/>
        <w:snapToGrid/>
        <w:spacing w:line="360" w:lineRule="auto"/>
        <w:ind w:left="0" w:leftChars="0" w:right="40" w:firstLine="420" w:firstLineChars="200"/>
        <w:jc w:val="left"/>
        <w:textAlignment w:val="auto"/>
        <w:outlineLvl w:val="9"/>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在评标过程中擅离职守，影响评标程序正常进行的；</w:t>
      </w:r>
    </w:p>
    <w:p w14:paraId="52C6C70F">
      <w:pPr>
        <w:keepNext w:val="0"/>
        <w:keepLines w:val="0"/>
        <w:pageBreakBefore w:val="0"/>
        <w:widowControl w:val="0"/>
        <w:numPr>
          <w:ilvl w:val="0"/>
          <w:numId w:val="15"/>
        </w:numPr>
        <w:kinsoku/>
        <w:wordWrap/>
        <w:overflowPunct/>
        <w:topLinePunct w:val="0"/>
        <w:autoSpaceDE w:val="0"/>
        <w:autoSpaceDN w:val="0"/>
        <w:bidi w:val="0"/>
        <w:adjustRightInd w:val="0"/>
        <w:snapToGrid/>
        <w:spacing w:line="360" w:lineRule="auto"/>
        <w:ind w:left="0" w:leftChars="0" w:right="40" w:firstLine="420" w:firstLineChars="200"/>
        <w:jc w:val="left"/>
        <w:textAlignment w:val="auto"/>
        <w:outlineLvl w:val="9"/>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记录、复制或者带走任何评标资料；</w:t>
      </w:r>
    </w:p>
    <w:p w14:paraId="29E7418E">
      <w:pPr>
        <w:keepNext w:val="0"/>
        <w:keepLines w:val="0"/>
        <w:pageBreakBefore w:val="0"/>
        <w:widowControl w:val="0"/>
        <w:numPr>
          <w:ilvl w:val="0"/>
          <w:numId w:val="15"/>
        </w:numPr>
        <w:kinsoku/>
        <w:wordWrap/>
        <w:overflowPunct/>
        <w:topLinePunct w:val="0"/>
        <w:autoSpaceDE w:val="0"/>
        <w:autoSpaceDN w:val="0"/>
        <w:bidi w:val="0"/>
        <w:adjustRightInd w:val="0"/>
        <w:snapToGrid/>
        <w:spacing w:line="360" w:lineRule="auto"/>
        <w:ind w:left="0" w:leftChars="0" w:right="40" w:firstLine="420" w:firstLineChars="200"/>
        <w:jc w:val="left"/>
        <w:textAlignment w:val="auto"/>
        <w:outlineLvl w:val="9"/>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其他不遵守评标纪律的行为。</w:t>
      </w:r>
    </w:p>
    <w:p w14:paraId="01171D12">
      <w:pPr>
        <w:pageBreakBefore w:val="0"/>
        <w:tabs>
          <w:tab w:val="left" w:pos="720"/>
        </w:tabs>
        <w:kinsoku/>
        <w:overflowPunct/>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评标委员会成员有</w:t>
      </w:r>
      <w:r>
        <w:rPr>
          <w:rFonts w:hint="eastAsia" w:ascii="宋体" w:hAnsi="宋体" w:eastAsia="宋体" w:cs="宋体"/>
          <w:color w:val="auto"/>
          <w:szCs w:val="21"/>
          <w:highlight w:val="none"/>
          <w:lang w:eastAsia="zh-CN"/>
        </w:rPr>
        <w:t>本章第</w:t>
      </w:r>
      <w:r>
        <w:rPr>
          <w:rFonts w:hint="eastAsia" w:ascii="宋体" w:hAnsi="宋体" w:eastAsia="宋体" w:cs="宋体"/>
          <w:color w:val="auto"/>
          <w:szCs w:val="21"/>
          <w:highlight w:val="none"/>
          <w:lang w:val="en-US" w:eastAsia="zh-CN"/>
        </w:rPr>
        <w:t>5.3.2项</w:t>
      </w:r>
      <w:r>
        <w:rPr>
          <w:rFonts w:hint="eastAsia" w:ascii="宋体" w:hAnsi="宋体" w:eastAsia="宋体" w:cs="宋体"/>
          <w:color w:val="auto"/>
          <w:szCs w:val="21"/>
          <w:highlight w:val="none"/>
        </w:rPr>
        <w:t>第</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1</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至</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5</w:t>
      </w:r>
      <w:r>
        <w:rPr>
          <w:rFonts w:hint="eastAsia" w:ascii="宋体" w:hAnsi="宋体" w:eastAsia="宋体" w:cs="宋体"/>
          <w:color w:val="auto"/>
          <w:szCs w:val="21"/>
          <w:highlight w:val="none"/>
          <w:lang w:eastAsia="zh-CN"/>
        </w:rPr>
        <w:t>）目</w:t>
      </w:r>
      <w:r>
        <w:rPr>
          <w:rFonts w:hint="eastAsia" w:ascii="宋体" w:hAnsi="宋体" w:eastAsia="宋体" w:cs="宋体"/>
          <w:color w:val="auto"/>
          <w:szCs w:val="21"/>
          <w:highlight w:val="none"/>
        </w:rPr>
        <w:t>行为之一的，其评审意见无效，并不得获取评审劳务报酬和报销异地评审差旅费。</w:t>
      </w:r>
    </w:p>
    <w:p w14:paraId="1313F95A">
      <w:pPr>
        <w:keepNext w:val="0"/>
        <w:keepLines w:val="0"/>
        <w:pageBreakBefore w:val="0"/>
        <w:widowControl w:val="0"/>
        <w:numPr>
          <w:ilvl w:val="2"/>
          <w:numId w:val="3"/>
        </w:numPr>
        <w:kinsoku/>
        <w:wordWrap/>
        <w:overflowPunct/>
        <w:topLinePunct w:val="0"/>
        <w:autoSpaceDE/>
        <w:autoSpaceDN/>
        <w:bidi w:val="0"/>
        <w:adjustRightInd/>
        <w:snapToGrid/>
        <w:spacing w:line="360" w:lineRule="auto"/>
        <w:ind w:left="0" w:leftChars="0" w:firstLine="420" w:firstLineChars="200"/>
        <w:textAlignment w:val="auto"/>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评标委员会成员对需要共同认定的事项存在争议的，应当按照少数服从多数的原则作出结论。持不同意见的评标委员会成员应当在评标报告上签署不同意见及理由，否则视为同意评标报告。</w:t>
      </w:r>
    </w:p>
    <w:p w14:paraId="480E0A12">
      <w:pPr>
        <w:keepNext w:val="0"/>
        <w:keepLines w:val="0"/>
        <w:pageBreakBefore w:val="0"/>
        <w:widowControl w:val="0"/>
        <w:numPr>
          <w:ilvl w:val="2"/>
          <w:numId w:val="3"/>
        </w:numPr>
        <w:kinsoku/>
        <w:wordWrap/>
        <w:overflowPunct/>
        <w:topLinePunct w:val="0"/>
        <w:autoSpaceDE/>
        <w:autoSpaceDN/>
        <w:bidi w:val="0"/>
        <w:adjustRightInd/>
        <w:snapToGrid/>
        <w:spacing w:line="360" w:lineRule="auto"/>
        <w:ind w:left="0" w:leftChars="0" w:firstLine="420" w:firstLineChars="200"/>
        <w:textAlignment w:val="auto"/>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评标</w:t>
      </w:r>
    </w:p>
    <w:p w14:paraId="728123FC">
      <w:pPr>
        <w:keepNext w:val="0"/>
        <w:keepLines w:val="0"/>
        <w:pageBreakBefore w:val="0"/>
        <w:widowControl w:val="0"/>
        <w:numPr>
          <w:ilvl w:val="0"/>
          <w:numId w:val="16"/>
        </w:numPr>
        <w:kinsoku/>
        <w:wordWrap/>
        <w:overflowPunct/>
        <w:topLinePunct w:val="0"/>
        <w:autoSpaceDE w:val="0"/>
        <w:autoSpaceDN w:val="0"/>
        <w:bidi w:val="0"/>
        <w:adjustRightInd w:val="0"/>
        <w:snapToGrid/>
        <w:spacing w:line="360" w:lineRule="auto"/>
        <w:ind w:left="0" w:leftChars="0" w:right="40" w:firstLine="420" w:firstLineChars="200"/>
        <w:jc w:val="left"/>
        <w:textAlignment w:val="auto"/>
        <w:outlineLvl w:val="9"/>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评标委员会按照</w:t>
      </w:r>
      <w:r>
        <w:rPr>
          <w:rFonts w:hint="eastAsia" w:ascii="宋体" w:hAnsi="宋体" w:eastAsia="宋体" w:cs="宋体"/>
          <w:color w:val="auto"/>
          <w:kern w:val="0"/>
          <w:szCs w:val="21"/>
          <w:highlight w:val="none"/>
          <w:lang w:eastAsia="zh-CN"/>
        </w:rPr>
        <w:t>“</w:t>
      </w:r>
      <w:r>
        <w:rPr>
          <w:rFonts w:hint="eastAsia" w:ascii="宋体" w:hAnsi="宋体" w:eastAsia="宋体" w:cs="宋体"/>
          <w:color w:val="auto"/>
          <w:kern w:val="0"/>
          <w:szCs w:val="21"/>
          <w:highlight w:val="none"/>
        </w:rPr>
        <w:t>评标办法</w:t>
      </w:r>
      <w:r>
        <w:rPr>
          <w:rFonts w:hint="eastAsia" w:ascii="宋体" w:hAnsi="宋体" w:eastAsia="宋体" w:cs="宋体"/>
          <w:color w:val="auto"/>
          <w:kern w:val="0"/>
          <w:szCs w:val="21"/>
          <w:highlight w:val="none"/>
          <w:lang w:eastAsia="zh-CN"/>
        </w:rPr>
        <w:t>”</w:t>
      </w:r>
      <w:r>
        <w:rPr>
          <w:rFonts w:hint="eastAsia" w:ascii="宋体" w:hAnsi="宋体" w:eastAsia="宋体" w:cs="宋体"/>
          <w:color w:val="auto"/>
          <w:kern w:val="0"/>
          <w:szCs w:val="21"/>
          <w:highlight w:val="none"/>
        </w:rPr>
        <w:t>规定的方法、评审因素、标准和程序对投标文件进行评审。</w:t>
      </w:r>
      <w:r>
        <w:rPr>
          <w:rFonts w:hint="eastAsia" w:ascii="宋体" w:hAnsi="宋体" w:eastAsia="宋体" w:cs="宋体"/>
          <w:color w:val="auto"/>
          <w:kern w:val="0"/>
          <w:szCs w:val="21"/>
          <w:highlight w:val="none"/>
          <w:lang w:eastAsia="zh-CN"/>
        </w:rPr>
        <w:t>“</w:t>
      </w:r>
      <w:r>
        <w:rPr>
          <w:rFonts w:hint="eastAsia" w:ascii="宋体" w:hAnsi="宋体" w:eastAsia="宋体" w:cs="宋体"/>
          <w:color w:val="auto"/>
          <w:kern w:val="0"/>
          <w:szCs w:val="21"/>
          <w:highlight w:val="none"/>
        </w:rPr>
        <w:t>评标办法</w:t>
      </w:r>
      <w:r>
        <w:rPr>
          <w:rFonts w:hint="eastAsia" w:ascii="宋体" w:hAnsi="宋体" w:eastAsia="宋体" w:cs="宋体"/>
          <w:color w:val="auto"/>
          <w:kern w:val="0"/>
          <w:szCs w:val="21"/>
          <w:highlight w:val="none"/>
          <w:lang w:eastAsia="zh-CN"/>
        </w:rPr>
        <w:t>”</w:t>
      </w:r>
      <w:r>
        <w:rPr>
          <w:rFonts w:hint="eastAsia" w:ascii="宋体" w:hAnsi="宋体" w:eastAsia="宋体" w:cs="宋体"/>
          <w:color w:val="auto"/>
          <w:kern w:val="0"/>
          <w:szCs w:val="21"/>
          <w:highlight w:val="none"/>
        </w:rPr>
        <w:t>没有规定的方法、评审因素和标准，不作为评标依据。</w:t>
      </w:r>
    </w:p>
    <w:p w14:paraId="7BD82C21">
      <w:pPr>
        <w:keepNext w:val="0"/>
        <w:keepLines w:val="0"/>
        <w:pageBreakBefore w:val="0"/>
        <w:widowControl w:val="0"/>
        <w:numPr>
          <w:ilvl w:val="0"/>
          <w:numId w:val="16"/>
        </w:numPr>
        <w:kinsoku/>
        <w:wordWrap/>
        <w:overflowPunct/>
        <w:topLinePunct w:val="0"/>
        <w:autoSpaceDE w:val="0"/>
        <w:autoSpaceDN w:val="0"/>
        <w:bidi w:val="0"/>
        <w:adjustRightInd w:val="0"/>
        <w:snapToGrid/>
        <w:spacing w:line="360" w:lineRule="auto"/>
        <w:ind w:left="0" w:leftChars="0" w:right="40" w:firstLine="420" w:firstLineChars="200"/>
        <w:jc w:val="left"/>
        <w:textAlignment w:val="auto"/>
        <w:outlineLvl w:val="9"/>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评标完成后，评标委员会应当向采购人提交书面评标报告和中标候选人名单。评标委员会推荐中标候选人的人数见</w:t>
      </w:r>
      <w:r>
        <w:rPr>
          <w:rFonts w:hint="eastAsia" w:ascii="宋体" w:hAnsi="宋体" w:eastAsia="宋体" w:cs="宋体"/>
          <w:color w:val="auto"/>
          <w:kern w:val="0"/>
          <w:szCs w:val="21"/>
          <w:highlight w:val="none"/>
          <w:lang w:eastAsia="zh-CN"/>
        </w:rPr>
        <w:t>投标人须知前附表</w:t>
      </w:r>
      <w:r>
        <w:rPr>
          <w:rFonts w:hint="eastAsia" w:ascii="宋体" w:hAnsi="宋体" w:eastAsia="宋体" w:cs="宋体"/>
          <w:color w:val="auto"/>
          <w:kern w:val="0"/>
          <w:szCs w:val="21"/>
          <w:highlight w:val="none"/>
        </w:rPr>
        <w:t>。</w:t>
      </w:r>
    </w:p>
    <w:p w14:paraId="57DF4F12">
      <w:pPr>
        <w:pStyle w:val="6"/>
        <w:pageBreakBefore w:val="0"/>
        <w:numPr>
          <w:ilvl w:val="1"/>
          <w:numId w:val="3"/>
        </w:numPr>
        <w:kinsoku/>
        <w:overflowPunct/>
        <w:bidi w:val="0"/>
        <w:spacing w:line="360" w:lineRule="auto"/>
        <w:rPr>
          <w:rFonts w:hint="eastAsia" w:ascii="宋体" w:hAnsi="宋体" w:eastAsia="宋体" w:cs="宋体"/>
          <w:color w:val="auto"/>
          <w:highlight w:val="none"/>
        </w:rPr>
      </w:pPr>
      <w:bookmarkStart w:id="423" w:name="_Toc12131"/>
      <w:bookmarkStart w:id="424" w:name="_Toc12609"/>
      <w:bookmarkStart w:id="425" w:name="_Toc25530"/>
      <w:bookmarkStart w:id="426" w:name="_Toc7396"/>
      <w:bookmarkStart w:id="427" w:name="_Toc25509"/>
      <w:bookmarkStart w:id="428" w:name="_Toc5830"/>
      <w:bookmarkStart w:id="429" w:name="_Toc10927"/>
      <w:bookmarkStart w:id="430" w:name="_Toc19479"/>
      <w:bookmarkStart w:id="431" w:name="_Toc8996"/>
      <w:bookmarkStart w:id="432" w:name="_Toc25755"/>
      <w:bookmarkStart w:id="433" w:name="_Toc5485"/>
      <w:bookmarkStart w:id="434" w:name="_Toc608"/>
      <w:bookmarkStart w:id="435" w:name="_Toc22420"/>
      <w:r>
        <w:rPr>
          <w:rFonts w:hint="eastAsia" w:ascii="宋体" w:hAnsi="宋体" w:eastAsia="宋体" w:cs="宋体"/>
          <w:color w:val="auto"/>
          <w:highlight w:val="none"/>
        </w:rPr>
        <w:t>保密</w:t>
      </w:r>
      <w:r>
        <w:rPr>
          <w:rFonts w:hint="eastAsia" w:ascii="宋体" w:hAnsi="宋体" w:eastAsia="宋体" w:cs="宋体"/>
          <w:color w:val="auto"/>
          <w:highlight w:val="none"/>
          <w:lang w:eastAsia="zh-CN"/>
        </w:rPr>
        <w:t>及其他</w:t>
      </w:r>
      <w:r>
        <w:rPr>
          <w:rFonts w:hint="eastAsia" w:ascii="宋体" w:hAnsi="宋体" w:eastAsia="宋体" w:cs="宋体"/>
          <w:color w:val="auto"/>
          <w:highlight w:val="none"/>
        </w:rPr>
        <w:t>注意事项</w:t>
      </w:r>
      <w:bookmarkEnd w:id="423"/>
      <w:bookmarkEnd w:id="424"/>
      <w:bookmarkEnd w:id="425"/>
      <w:bookmarkEnd w:id="426"/>
      <w:bookmarkEnd w:id="427"/>
      <w:bookmarkEnd w:id="428"/>
      <w:bookmarkEnd w:id="429"/>
      <w:bookmarkEnd w:id="430"/>
      <w:bookmarkEnd w:id="431"/>
      <w:bookmarkEnd w:id="432"/>
      <w:bookmarkEnd w:id="433"/>
      <w:bookmarkEnd w:id="434"/>
      <w:bookmarkEnd w:id="435"/>
    </w:p>
    <w:p w14:paraId="1D492D5E">
      <w:pPr>
        <w:keepNext w:val="0"/>
        <w:keepLines w:val="0"/>
        <w:pageBreakBefore w:val="0"/>
        <w:widowControl w:val="0"/>
        <w:numPr>
          <w:ilvl w:val="2"/>
          <w:numId w:val="3"/>
        </w:numPr>
        <w:kinsoku/>
        <w:wordWrap/>
        <w:overflowPunct/>
        <w:topLinePunct w:val="0"/>
        <w:autoSpaceDE/>
        <w:autoSpaceDN/>
        <w:bidi w:val="0"/>
        <w:adjustRightInd/>
        <w:snapToGrid/>
        <w:spacing w:line="360" w:lineRule="auto"/>
        <w:ind w:left="0" w:leftChars="0" w:firstLine="420" w:firstLineChars="200"/>
        <w:textAlignment w:val="auto"/>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评标是招标工作的重要环节，评标工作在</w:t>
      </w:r>
      <w:r>
        <w:rPr>
          <w:rFonts w:hint="eastAsia" w:ascii="宋体" w:hAnsi="宋体" w:eastAsia="宋体" w:cs="宋体"/>
          <w:color w:val="auto"/>
          <w:szCs w:val="21"/>
          <w:highlight w:val="none"/>
          <w:lang w:eastAsia="zh-CN"/>
        </w:rPr>
        <w:t>评标委员会</w:t>
      </w:r>
      <w:r>
        <w:rPr>
          <w:rFonts w:hint="eastAsia" w:ascii="宋体" w:hAnsi="宋体" w:eastAsia="宋体" w:cs="宋体"/>
          <w:color w:val="auto"/>
          <w:szCs w:val="21"/>
          <w:highlight w:val="none"/>
        </w:rPr>
        <w:t>内独立进行。</w:t>
      </w:r>
    </w:p>
    <w:p w14:paraId="3081CC75">
      <w:pPr>
        <w:keepNext w:val="0"/>
        <w:keepLines w:val="0"/>
        <w:pageBreakBefore w:val="0"/>
        <w:widowControl w:val="0"/>
        <w:numPr>
          <w:ilvl w:val="2"/>
          <w:numId w:val="3"/>
        </w:numPr>
        <w:kinsoku/>
        <w:wordWrap/>
        <w:overflowPunct/>
        <w:topLinePunct w:val="0"/>
        <w:autoSpaceDE/>
        <w:autoSpaceDN/>
        <w:bidi w:val="0"/>
        <w:adjustRightInd/>
        <w:snapToGrid/>
        <w:spacing w:line="360" w:lineRule="auto"/>
        <w:ind w:left="0" w:leftChars="0" w:firstLine="420" w:firstLineChars="200"/>
        <w:textAlignment w:val="auto"/>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评标委员会</w:t>
      </w:r>
      <w:r>
        <w:rPr>
          <w:rFonts w:hint="eastAsia" w:ascii="宋体" w:hAnsi="宋体" w:eastAsia="宋体" w:cs="宋体"/>
          <w:color w:val="auto"/>
          <w:szCs w:val="21"/>
          <w:highlight w:val="none"/>
        </w:rPr>
        <w:t>将遵照规定的评标方法，公正、平等地对待所有投标人。</w:t>
      </w:r>
    </w:p>
    <w:p w14:paraId="56A0D66C">
      <w:pPr>
        <w:keepNext w:val="0"/>
        <w:keepLines w:val="0"/>
        <w:pageBreakBefore w:val="0"/>
        <w:widowControl w:val="0"/>
        <w:numPr>
          <w:ilvl w:val="2"/>
          <w:numId w:val="3"/>
        </w:numPr>
        <w:kinsoku/>
        <w:wordWrap/>
        <w:overflowPunct/>
        <w:topLinePunct w:val="0"/>
        <w:autoSpaceDE/>
        <w:autoSpaceDN/>
        <w:bidi w:val="0"/>
        <w:adjustRightInd/>
        <w:snapToGrid/>
        <w:spacing w:line="360" w:lineRule="auto"/>
        <w:ind w:left="0" w:leftChars="0" w:firstLine="420" w:firstLineChars="200"/>
        <w:textAlignment w:val="auto"/>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在开标、评标期间，投标人不得向评委询问评标情况，不得进行旨在影响评标结果的活动。否则其投标可能被拒绝。</w:t>
      </w:r>
    </w:p>
    <w:p w14:paraId="4A59FD3A">
      <w:pPr>
        <w:keepNext w:val="0"/>
        <w:keepLines w:val="0"/>
        <w:pageBreakBefore w:val="0"/>
        <w:widowControl w:val="0"/>
        <w:numPr>
          <w:ilvl w:val="2"/>
          <w:numId w:val="3"/>
        </w:numPr>
        <w:kinsoku/>
        <w:wordWrap/>
        <w:overflowPunct/>
        <w:topLinePunct w:val="0"/>
        <w:autoSpaceDE/>
        <w:autoSpaceDN/>
        <w:bidi w:val="0"/>
        <w:adjustRightInd/>
        <w:snapToGrid/>
        <w:spacing w:line="360" w:lineRule="auto"/>
        <w:ind w:left="0" w:leftChars="0" w:firstLine="420" w:firstLineChars="200"/>
        <w:textAlignment w:val="auto"/>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为保证评标的公正性，开标后直至授予投标人合同，评委不得与投标人私下交换意见。</w:t>
      </w:r>
    </w:p>
    <w:p w14:paraId="205D25FF">
      <w:pPr>
        <w:keepNext w:val="0"/>
        <w:keepLines w:val="0"/>
        <w:pageBreakBefore w:val="0"/>
        <w:widowControl w:val="0"/>
        <w:numPr>
          <w:ilvl w:val="2"/>
          <w:numId w:val="3"/>
        </w:numPr>
        <w:kinsoku/>
        <w:wordWrap/>
        <w:overflowPunct/>
        <w:topLinePunct w:val="0"/>
        <w:autoSpaceDE/>
        <w:autoSpaceDN/>
        <w:bidi w:val="0"/>
        <w:adjustRightInd/>
        <w:snapToGrid/>
        <w:spacing w:line="360" w:lineRule="auto"/>
        <w:ind w:left="0" w:leftChars="0" w:firstLine="420" w:firstLineChars="200"/>
        <w:textAlignment w:val="auto"/>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在评标工作结束后，凡与评标情况有接触的任何人不得擅自将评标情况扩散出评标人员之外。</w:t>
      </w:r>
    </w:p>
    <w:p w14:paraId="45F64B5B">
      <w:pPr>
        <w:pStyle w:val="5"/>
        <w:keepNext/>
        <w:keepLines/>
        <w:pageBreakBefore w:val="0"/>
        <w:widowControl w:val="0"/>
        <w:numPr>
          <w:ilvl w:val="0"/>
          <w:numId w:val="3"/>
        </w:numPr>
        <w:tabs>
          <w:tab w:val="left" w:pos="721"/>
          <w:tab w:val="left" w:pos="840"/>
          <w:tab w:val="left" w:pos="2880"/>
          <w:tab w:val="left" w:pos="3780"/>
        </w:tabs>
        <w:kinsoku/>
        <w:wordWrap/>
        <w:overflowPunct/>
        <w:topLinePunct w:val="0"/>
        <w:autoSpaceDE/>
        <w:autoSpaceDN/>
        <w:bidi w:val="0"/>
        <w:adjustRightInd/>
        <w:snapToGrid/>
        <w:spacing w:before="0" w:after="0" w:line="360" w:lineRule="auto"/>
        <w:ind w:left="0" w:leftChars="0" w:right="0" w:rightChars="0" w:firstLine="0" w:firstLineChars="0"/>
        <w:jc w:val="both"/>
        <w:textAlignment w:val="auto"/>
        <w:outlineLvl w:val="1"/>
        <w:rPr>
          <w:rFonts w:hint="eastAsia" w:ascii="宋体" w:hAnsi="宋体" w:eastAsia="宋体" w:cs="宋体"/>
          <w:color w:val="auto"/>
          <w:sz w:val="24"/>
          <w:szCs w:val="24"/>
          <w:highlight w:val="none"/>
          <w:lang w:val="en-US" w:eastAsia="zh-CN"/>
        </w:rPr>
      </w:pPr>
      <w:bookmarkStart w:id="436" w:name="_Toc16167"/>
      <w:bookmarkStart w:id="437" w:name="_Toc28963"/>
      <w:r>
        <w:rPr>
          <w:rFonts w:hint="eastAsia" w:ascii="宋体" w:hAnsi="宋体" w:eastAsia="宋体" w:cs="宋体"/>
          <w:color w:val="auto"/>
          <w:sz w:val="24"/>
          <w:szCs w:val="24"/>
          <w:highlight w:val="none"/>
          <w:lang w:val="en-US" w:eastAsia="zh-CN"/>
        </w:rPr>
        <w:t>授予合同</w:t>
      </w:r>
      <w:bookmarkEnd w:id="396"/>
      <w:bookmarkEnd w:id="436"/>
      <w:bookmarkEnd w:id="437"/>
    </w:p>
    <w:p w14:paraId="36D23B3C">
      <w:pPr>
        <w:pStyle w:val="6"/>
        <w:pageBreakBefore w:val="0"/>
        <w:numPr>
          <w:ilvl w:val="1"/>
          <w:numId w:val="3"/>
        </w:numPr>
        <w:kinsoku/>
        <w:overflowPunct/>
        <w:bidi w:val="0"/>
        <w:spacing w:line="360" w:lineRule="auto"/>
        <w:rPr>
          <w:rFonts w:hint="eastAsia" w:ascii="宋体" w:hAnsi="宋体" w:eastAsia="宋体" w:cs="宋体"/>
          <w:color w:val="auto"/>
          <w:highlight w:val="none"/>
        </w:rPr>
      </w:pPr>
      <w:bookmarkStart w:id="438" w:name="_Toc16230"/>
      <w:bookmarkStart w:id="439" w:name="_Toc21756"/>
      <w:bookmarkStart w:id="440" w:name="_Toc32241"/>
      <w:bookmarkStart w:id="441" w:name="_Toc9349"/>
      <w:bookmarkStart w:id="442" w:name="_Toc22971"/>
      <w:bookmarkStart w:id="443" w:name="_Toc6320"/>
      <w:bookmarkStart w:id="444" w:name="_Toc15637"/>
      <w:bookmarkStart w:id="445" w:name="_Toc7898"/>
      <w:bookmarkStart w:id="446" w:name="_Toc7404"/>
      <w:bookmarkStart w:id="447" w:name="_Toc22245"/>
      <w:bookmarkStart w:id="448" w:name="_Toc27126"/>
      <w:bookmarkStart w:id="449" w:name="_Toc3574"/>
      <w:bookmarkStart w:id="450" w:name="_Toc13599"/>
      <w:bookmarkStart w:id="451" w:name="_Toc22088"/>
      <w:bookmarkStart w:id="452" w:name="_Toc23900"/>
      <w:bookmarkStart w:id="453" w:name="_Toc17818"/>
      <w:bookmarkStart w:id="454" w:name="_Toc26604"/>
      <w:bookmarkStart w:id="455" w:name="_Toc30644"/>
      <w:bookmarkStart w:id="456" w:name="_Toc22457"/>
      <w:r>
        <w:rPr>
          <w:rFonts w:hint="eastAsia" w:ascii="宋体" w:hAnsi="宋体" w:eastAsia="宋体" w:cs="宋体"/>
          <w:color w:val="auto"/>
          <w:highlight w:val="none"/>
          <w:lang w:eastAsia="zh-CN"/>
        </w:rPr>
        <w:t>中标</w:t>
      </w:r>
      <w:r>
        <w:rPr>
          <w:rFonts w:hint="eastAsia" w:ascii="宋体" w:hAnsi="宋体" w:eastAsia="宋体" w:cs="宋体"/>
          <w:color w:val="auto"/>
          <w:highlight w:val="none"/>
        </w:rPr>
        <w:t>公告</w:t>
      </w:r>
      <w:bookmarkEnd w:id="438"/>
      <w:bookmarkEnd w:id="439"/>
      <w:bookmarkEnd w:id="440"/>
      <w:bookmarkEnd w:id="441"/>
      <w:bookmarkEnd w:id="442"/>
      <w:bookmarkEnd w:id="443"/>
      <w:bookmarkEnd w:id="444"/>
      <w:bookmarkEnd w:id="445"/>
      <w:bookmarkEnd w:id="446"/>
      <w:bookmarkEnd w:id="447"/>
      <w:bookmarkEnd w:id="448"/>
      <w:bookmarkEnd w:id="449"/>
      <w:bookmarkEnd w:id="450"/>
    </w:p>
    <w:p w14:paraId="15707BA5">
      <w:pPr>
        <w:keepNext w:val="0"/>
        <w:keepLines w:val="0"/>
        <w:pageBreakBefore w:val="0"/>
        <w:widowControl w:val="0"/>
        <w:numPr>
          <w:ilvl w:val="2"/>
          <w:numId w:val="3"/>
        </w:numPr>
        <w:kinsoku/>
        <w:wordWrap/>
        <w:overflowPunct/>
        <w:topLinePunct w:val="0"/>
        <w:autoSpaceDE/>
        <w:autoSpaceDN/>
        <w:bidi w:val="0"/>
        <w:adjustRightInd/>
        <w:snapToGrid/>
        <w:spacing w:line="360" w:lineRule="auto"/>
        <w:ind w:left="0" w:leftChars="0" w:firstLine="420" w:firstLineChars="20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采购代理机构应当在评标结束后2个工作日内将评标报告送采购人。采购人应</w:t>
      </w:r>
      <w:r>
        <w:rPr>
          <w:rFonts w:hint="eastAsia" w:ascii="宋体" w:hAnsi="宋体" w:eastAsia="宋体" w:cs="宋体"/>
          <w:color w:val="auto"/>
          <w:sz w:val="21"/>
          <w:szCs w:val="21"/>
          <w:highlight w:val="none"/>
          <w:lang w:eastAsia="zh-CN"/>
        </w:rPr>
        <w:t>自</w:t>
      </w:r>
      <w:r>
        <w:rPr>
          <w:rFonts w:hint="eastAsia" w:ascii="宋体" w:hAnsi="宋体" w:eastAsia="宋体" w:cs="宋体"/>
          <w:color w:val="auto"/>
          <w:sz w:val="21"/>
          <w:szCs w:val="21"/>
          <w:highlight w:val="none"/>
        </w:rPr>
        <w:t>收到评标报告</w:t>
      </w:r>
      <w:r>
        <w:rPr>
          <w:rFonts w:hint="eastAsia" w:ascii="宋体" w:hAnsi="宋体" w:eastAsia="宋体" w:cs="宋体"/>
          <w:color w:val="auto"/>
          <w:sz w:val="21"/>
          <w:szCs w:val="21"/>
          <w:highlight w:val="none"/>
          <w:lang w:eastAsia="zh-CN"/>
        </w:rPr>
        <w:t>之日起</w:t>
      </w:r>
      <w:r>
        <w:rPr>
          <w:rFonts w:hint="eastAsia" w:ascii="宋体" w:hAnsi="宋体" w:eastAsia="宋体" w:cs="宋体"/>
          <w:color w:val="auto"/>
          <w:sz w:val="21"/>
          <w:szCs w:val="21"/>
          <w:highlight w:val="none"/>
        </w:rPr>
        <w:t>5个工作日内，在评标报告确定的中标候选人名单中按顺序确定中标人。中标候选人并列的，由采购人采取随机抽取的方式确定中标人。</w:t>
      </w:r>
    </w:p>
    <w:p w14:paraId="211FE124">
      <w:pPr>
        <w:keepNext w:val="0"/>
        <w:keepLines w:val="0"/>
        <w:pageBreakBefore w:val="0"/>
        <w:widowControl w:val="0"/>
        <w:numPr>
          <w:ilvl w:val="2"/>
          <w:numId w:val="3"/>
        </w:numPr>
        <w:kinsoku/>
        <w:wordWrap/>
        <w:overflowPunct/>
        <w:topLinePunct w:val="0"/>
        <w:autoSpaceDE/>
        <w:autoSpaceDN/>
        <w:bidi w:val="0"/>
        <w:adjustRightInd/>
        <w:snapToGrid/>
        <w:spacing w:line="360" w:lineRule="auto"/>
        <w:ind w:left="0" w:leftChars="0" w:firstLine="420" w:firstLineChars="20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采购代理机构应当自中标人确定之日起2个工作日内，在省级以上财政部门指定的媒体上公告中标结果，招标文件应当随中标结果同时公告</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公告期限为1个工作日。</w:t>
      </w:r>
    </w:p>
    <w:p w14:paraId="27B79F48">
      <w:pPr>
        <w:keepNext w:val="0"/>
        <w:keepLines w:val="0"/>
        <w:pageBreakBefore w:val="0"/>
        <w:widowControl w:val="0"/>
        <w:numPr>
          <w:ilvl w:val="2"/>
          <w:numId w:val="3"/>
        </w:numPr>
        <w:kinsoku/>
        <w:wordWrap/>
        <w:overflowPunct/>
        <w:topLinePunct w:val="0"/>
        <w:autoSpaceDE/>
        <w:autoSpaceDN/>
        <w:bidi w:val="0"/>
        <w:adjustRightInd/>
        <w:snapToGrid/>
        <w:spacing w:line="360" w:lineRule="auto"/>
        <w:ind w:left="0" w:leftChars="0" w:firstLine="420" w:firstLineChars="200"/>
        <w:textAlignment w:val="auto"/>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中标通知书发出后，采购人不得违法改变中标结果，中标人无正当理由不得放弃中标。</w:t>
      </w:r>
    </w:p>
    <w:p w14:paraId="06C0AC8E">
      <w:pPr>
        <w:keepNext w:val="0"/>
        <w:keepLines w:val="0"/>
        <w:pageBreakBefore w:val="0"/>
        <w:widowControl w:val="0"/>
        <w:numPr>
          <w:ilvl w:val="2"/>
          <w:numId w:val="3"/>
        </w:numPr>
        <w:kinsoku/>
        <w:wordWrap/>
        <w:overflowPunct/>
        <w:topLinePunct w:val="0"/>
        <w:autoSpaceDE/>
        <w:autoSpaceDN/>
        <w:bidi w:val="0"/>
        <w:adjustRightInd/>
        <w:snapToGrid/>
        <w:spacing w:line="360" w:lineRule="auto"/>
        <w:ind w:left="0" w:leftChars="0" w:firstLine="420" w:firstLineChars="200"/>
        <w:textAlignment w:val="auto"/>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中标人为残疾人福利性单位的，采购代理机构将随中标结果同时公告其《残疾人福利性单位声明函》，接受社会监督。</w:t>
      </w:r>
      <w:r>
        <w:rPr>
          <w:rFonts w:hint="eastAsia" w:ascii="宋体" w:hAnsi="宋体" w:eastAsia="宋体" w:cs="宋体"/>
          <w:color w:val="auto"/>
          <w:szCs w:val="21"/>
          <w:highlight w:val="none"/>
          <w:lang w:val="en-US" w:eastAsia="zh-CN"/>
        </w:rPr>
        <w:t>中标人享受《政府采购促进中小企业发展管理办法》规定的中小企业扶持政策的，采购人、采购代理机构应当随中标结果公开中标人的《中小企业声明函》，中标人对本国产品给予价格评审优惠的，采购代理机构将随中标结果同时公告其提供的《关于符合本国产品标准的声明函》或有关证明文件。</w:t>
      </w:r>
    </w:p>
    <w:p w14:paraId="2B1F2438">
      <w:pPr>
        <w:keepNext w:val="0"/>
        <w:keepLines w:val="0"/>
        <w:pageBreakBefore w:val="0"/>
        <w:widowControl w:val="0"/>
        <w:numPr>
          <w:ilvl w:val="2"/>
          <w:numId w:val="3"/>
        </w:numPr>
        <w:kinsoku/>
        <w:wordWrap/>
        <w:overflowPunct/>
        <w:topLinePunct w:val="0"/>
        <w:autoSpaceDE/>
        <w:autoSpaceDN/>
        <w:bidi w:val="0"/>
        <w:adjustRightInd/>
        <w:snapToGrid/>
        <w:spacing w:line="360" w:lineRule="auto"/>
        <w:ind w:left="0" w:leftChars="0" w:firstLine="420" w:firstLineChars="200"/>
        <w:textAlignment w:val="auto"/>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各有关当事人对中标结果有异议的，可以在</w:t>
      </w:r>
      <w:r>
        <w:rPr>
          <w:rFonts w:hint="eastAsia" w:ascii="宋体" w:hAnsi="宋体" w:eastAsia="宋体" w:cs="宋体"/>
          <w:color w:val="auto"/>
          <w:szCs w:val="21"/>
          <w:highlight w:val="none"/>
          <w:lang w:eastAsia="zh-CN"/>
        </w:rPr>
        <w:t>中标结果</w:t>
      </w:r>
      <w:r>
        <w:rPr>
          <w:rFonts w:hint="eastAsia" w:ascii="宋体" w:hAnsi="宋体" w:eastAsia="宋体" w:cs="宋体"/>
          <w:color w:val="auto"/>
          <w:szCs w:val="21"/>
          <w:highlight w:val="none"/>
        </w:rPr>
        <w:t>公告期限届满之日起七个工作日内，</w:t>
      </w:r>
      <w:r>
        <w:rPr>
          <w:rFonts w:hint="eastAsia" w:ascii="宋体" w:hAnsi="宋体" w:eastAsia="宋体" w:cs="宋体"/>
          <w:color w:val="auto"/>
          <w:szCs w:val="21"/>
          <w:highlight w:val="none"/>
          <w:lang w:eastAsia="zh-CN"/>
        </w:rPr>
        <w:t>按《政府采购质疑和投诉办法》（中华人民共和国财政部令第</w:t>
      </w:r>
      <w:r>
        <w:rPr>
          <w:rFonts w:hint="eastAsia" w:ascii="宋体" w:hAnsi="宋体" w:eastAsia="宋体" w:cs="宋体"/>
          <w:color w:val="auto"/>
          <w:szCs w:val="21"/>
          <w:highlight w:val="none"/>
          <w:lang w:val="en-US" w:eastAsia="zh-CN"/>
        </w:rPr>
        <w:t>94号</w:t>
      </w:r>
      <w:r>
        <w:rPr>
          <w:rFonts w:hint="eastAsia" w:ascii="宋体" w:hAnsi="宋体" w:eastAsia="宋体" w:cs="宋体"/>
          <w:color w:val="auto"/>
          <w:szCs w:val="21"/>
          <w:highlight w:val="none"/>
          <w:lang w:eastAsia="zh-CN"/>
        </w:rPr>
        <w:t>）要求</w:t>
      </w:r>
      <w:r>
        <w:rPr>
          <w:rFonts w:hint="eastAsia" w:ascii="宋体" w:hAnsi="宋体" w:eastAsia="宋体" w:cs="宋体"/>
          <w:color w:val="auto"/>
          <w:szCs w:val="21"/>
          <w:highlight w:val="none"/>
        </w:rPr>
        <w:t>以书面形式向采购人和采购代理机构提出质疑</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逾期提交或未按照要求提交的质疑函将不予受理。</w:t>
      </w:r>
    </w:p>
    <w:bookmarkEnd w:id="451"/>
    <w:bookmarkEnd w:id="452"/>
    <w:bookmarkEnd w:id="453"/>
    <w:bookmarkEnd w:id="454"/>
    <w:bookmarkEnd w:id="455"/>
    <w:bookmarkEnd w:id="456"/>
    <w:p w14:paraId="73462EC9">
      <w:pPr>
        <w:pStyle w:val="6"/>
        <w:pageBreakBefore w:val="0"/>
        <w:numPr>
          <w:ilvl w:val="1"/>
          <w:numId w:val="3"/>
        </w:numPr>
        <w:kinsoku/>
        <w:overflowPunct/>
        <w:bidi w:val="0"/>
        <w:spacing w:line="360" w:lineRule="auto"/>
        <w:rPr>
          <w:rFonts w:hint="eastAsia" w:ascii="宋体" w:hAnsi="宋体" w:eastAsia="宋体" w:cs="宋体"/>
          <w:color w:val="auto"/>
          <w:highlight w:val="none"/>
        </w:rPr>
      </w:pPr>
      <w:bookmarkStart w:id="457" w:name="_Toc30096"/>
      <w:bookmarkStart w:id="458" w:name="_Toc10365"/>
      <w:bookmarkStart w:id="459" w:name="_Toc7497"/>
      <w:r>
        <w:rPr>
          <w:rFonts w:hint="eastAsia" w:ascii="宋体" w:hAnsi="宋体" w:eastAsia="宋体" w:cs="宋体"/>
          <w:color w:val="auto"/>
          <w:highlight w:val="none"/>
        </w:rPr>
        <w:t>采购任务取消</w:t>
      </w:r>
      <w:bookmarkEnd w:id="457"/>
      <w:bookmarkEnd w:id="458"/>
      <w:bookmarkEnd w:id="459"/>
    </w:p>
    <w:p w14:paraId="1812EAA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因重大变故采购任务取消时，采购人有权拒绝任何投标人中标，且对受影响的投标人不承担任何责任。</w:t>
      </w:r>
    </w:p>
    <w:p w14:paraId="2034F309">
      <w:pPr>
        <w:pStyle w:val="6"/>
        <w:pageBreakBefore w:val="0"/>
        <w:numPr>
          <w:ilvl w:val="1"/>
          <w:numId w:val="3"/>
        </w:numPr>
        <w:kinsoku/>
        <w:overflowPunct/>
        <w:bidi w:val="0"/>
        <w:spacing w:line="360" w:lineRule="auto"/>
        <w:rPr>
          <w:rFonts w:hint="eastAsia" w:ascii="宋体" w:hAnsi="宋体" w:eastAsia="宋体" w:cs="宋体"/>
          <w:color w:val="auto"/>
          <w:highlight w:val="none"/>
        </w:rPr>
      </w:pPr>
      <w:bookmarkStart w:id="460" w:name="_Toc12305"/>
      <w:bookmarkStart w:id="461" w:name="_Toc28970"/>
      <w:bookmarkStart w:id="462" w:name="_Toc21282"/>
      <w:bookmarkStart w:id="463" w:name="_Toc12174"/>
      <w:bookmarkStart w:id="464" w:name="_Toc3846"/>
      <w:bookmarkStart w:id="465" w:name="_Toc19825"/>
      <w:bookmarkStart w:id="466" w:name="_Toc23214"/>
      <w:bookmarkStart w:id="467" w:name="_Toc14610"/>
      <w:bookmarkStart w:id="468" w:name="_Toc29785"/>
      <w:bookmarkStart w:id="469" w:name="_Toc5799"/>
      <w:bookmarkStart w:id="470" w:name="_Toc25326"/>
      <w:bookmarkStart w:id="471" w:name="_Toc24223"/>
      <w:bookmarkStart w:id="472" w:name="_Toc1468"/>
      <w:r>
        <w:rPr>
          <w:rFonts w:hint="eastAsia" w:ascii="宋体" w:hAnsi="宋体" w:eastAsia="宋体" w:cs="宋体"/>
          <w:color w:val="auto"/>
          <w:highlight w:val="none"/>
        </w:rPr>
        <w:t>中标通知书</w:t>
      </w:r>
      <w:bookmarkEnd w:id="460"/>
      <w:bookmarkEnd w:id="461"/>
      <w:bookmarkEnd w:id="462"/>
      <w:bookmarkEnd w:id="463"/>
      <w:bookmarkEnd w:id="464"/>
      <w:bookmarkEnd w:id="465"/>
      <w:bookmarkEnd w:id="466"/>
      <w:bookmarkEnd w:id="467"/>
      <w:bookmarkEnd w:id="468"/>
      <w:bookmarkEnd w:id="469"/>
      <w:bookmarkEnd w:id="470"/>
      <w:bookmarkEnd w:id="471"/>
      <w:bookmarkEnd w:id="472"/>
    </w:p>
    <w:p w14:paraId="2202B61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在公告中标结果的同时，采购人或者采购代理机构应当向中标人发出中标通知书</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中标通知书将作为进行合同谈判和签订合同的依据。</w:t>
      </w:r>
    </w:p>
    <w:p w14:paraId="61E545BE">
      <w:pPr>
        <w:pStyle w:val="6"/>
        <w:pageBreakBefore w:val="0"/>
        <w:numPr>
          <w:ilvl w:val="1"/>
          <w:numId w:val="3"/>
        </w:numPr>
        <w:kinsoku/>
        <w:overflowPunct/>
        <w:bidi w:val="0"/>
        <w:spacing w:line="360" w:lineRule="auto"/>
        <w:rPr>
          <w:rFonts w:hint="eastAsia" w:ascii="宋体" w:hAnsi="宋体" w:eastAsia="宋体" w:cs="宋体"/>
          <w:color w:val="auto"/>
          <w:highlight w:val="none"/>
        </w:rPr>
      </w:pPr>
      <w:bookmarkStart w:id="473" w:name="_Toc25686"/>
      <w:bookmarkStart w:id="474" w:name="_Toc9865"/>
      <w:bookmarkStart w:id="475" w:name="_Toc19608"/>
      <w:bookmarkStart w:id="476" w:name="_Toc9428"/>
      <w:bookmarkStart w:id="477" w:name="_Toc20517"/>
      <w:bookmarkStart w:id="478" w:name="_Toc15209"/>
      <w:bookmarkStart w:id="479" w:name="_Toc11448"/>
      <w:bookmarkStart w:id="480" w:name="_Toc14397"/>
      <w:bookmarkStart w:id="481" w:name="_Toc26111"/>
      <w:bookmarkStart w:id="482" w:name="_Toc3979"/>
      <w:bookmarkStart w:id="483" w:name="_Toc31317"/>
      <w:bookmarkStart w:id="484" w:name="_Toc25990"/>
      <w:bookmarkStart w:id="485" w:name="_Toc21924"/>
      <w:bookmarkStart w:id="486" w:name="_Toc11221"/>
      <w:bookmarkStart w:id="487" w:name="_Toc12530"/>
      <w:bookmarkStart w:id="488" w:name="_Toc3376"/>
      <w:bookmarkStart w:id="489" w:name="_Toc1226"/>
      <w:bookmarkStart w:id="490" w:name="_Toc26471"/>
      <w:bookmarkStart w:id="491" w:name="_Toc15061"/>
      <w:r>
        <w:rPr>
          <w:rFonts w:hint="eastAsia" w:ascii="宋体" w:hAnsi="宋体" w:eastAsia="宋体" w:cs="宋体"/>
          <w:color w:val="auto"/>
          <w:highlight w:val="none"/>
        </w:rPr>
        <w:t>履约保证金</w:t>
      </w:r>
      <w:bookmarkEnd w:id="473"/>
      <w:bookmarkEnd w:id="474"/>
      <w:bookmarkEnd w:id="475"/>
      <w:bookmarkEnd w:id="476"/>
      <w:bookmarkEnd w:id="477"/>
      <w:bookmarkEnd w:id="478"/>
      <w:bookmarkEnd w:id="479"/>
      <w:bookmarkEnd w:id="480"/>
      <w:bookmarkEnd w:id="481"/>
      <w:bookmarkEnd w:id="482"/>
      <w:bookmarkEnd w:id="483"/>
      <w:bookmarkEnd w:id="484"/>
      <w:bookmarkEnd w:id="485"/>
      <w:r>
        <w:rPr>
          <w:rFonts w:hint="eastAsia" w:ascii="宋体" w:hAnsi="宋体" w:eastAsia="宋体" w:cs="宋体"/>
          <w:color w:val="auto"/>
          <w:highlight w:val="none"/>
          <w:lang w:eastAsia="zh-CN"/>
        </w:rPr>
        <w:t>（</w:t>
      </w:r>
      <w:r>
        <w:rPr>
          <w:rFonts w:hint="eastAsia" w:ascii="宋体" w:hAnsi="宋体" w:eastAsia="宋体" w:cs="宋体"/>
          <w:color w:val="auto"/>
          <w:highlight w:val="none"/>
          <w:lang w:val="en-US" w:eastAsia="zh-CN"/>
        </w:rPr>
        <w:t>不适用</w:t>
      </w:r>
      <w:r>
        <w:rPr>
          <w:rFonts w:hint="eastAsia" w:ascii="宋体" w:hAnsi="宋体" w:eastAsia="宋体" w:cs="宋体"/>
          <w:color w:val="auto"/>
          <w:highlight w:val="none"/>
          <w:lang w:eastAsia="zh-CN"/>
        </w:rPr>
        <w:t>）</w:t>
      </w:r>
    </w:p>
    <w:p w14:paraId="11BBEE3F">
      <w:pPr>
        <w:keepNext w:val="0"/>
        <w:keepLines w:val="0"/>
        <w:pageBreakBefore w:val="0"/>
        <w:widowControl w:val="0"/>
        <w:numPr>
          <w:ilvl w:val="2"/>
          <w:numId w:val="3"/>
        </w:numPr>
        <w:kinsoku/>
        <w:wordWrap/>
        <w:overflowPunct/>
        <w:topLinePunct w:val="0"/>
        <w:autoSpaceDE/>
        <w:autoSpaceDN/>
        <w:bidi w:val="0"/>
        <w:adjustRightInd/>
        <w:snapToGrid/>
        <w:spacing w:line="360" w:lineRule="auto"/>
        <w:ind w:left="0" w:leftChars="0" w:firstLine="420" w:firstLineChars="200"/>
        <w:textAlignment w:val="auto"/>
        <w:outlineLvl w:val="9"/>
        <w:rPr>
          <w:rFonts w:hint="eastAsia" w:ascii="宋体" w:hAnsi="宋体" w:eastAsia="宋体" w:cs="宋体"/>
          <w:color w:val="auto"/>
          <w:szCs w:val="21"/>
          <w:highlight w:val="none"/>
        </w:rPr>
      </w:pPr>
      <w:bookmarkStart w:id="492" w:name="_Toc20184"/>
      <w:bookmarkStart w:id="493" w:name="_Toc13295"/>
      <w:bookmarkStart w:id="494" w:name="_Toc24299"/>
      <w:bookmarkStart w:id="495" w:name="_Toc1508"/>
      <w:bookmarkStart w:id="496" w:name="_Toc22384"/>
      <w:r>
        <w:rPr>
          <w:rFonts w:hint="eastAsia" w:ascii="宋体" w:hAnsi="宋体" w:eastAsia="宋体" w:cs="宋体"/>
          <w:color w:val="auto"/>
          <w:szCs w:val="21"/>
          <w:highlight w:val="none"/>
        </w:rPr>
        <w:t>中标人应按投标人须知前附表规定的形式、金额向招标人提交履约保证金。</w:t>
      </w:r>
    </w:p>
    <w:p w14:paraId="735D61F9">
      <w:pPr>
        <w:keepNext w:val="0"/>
        <w:keepLines w:val="0"/>
        <w:pageBreakBefore w:val="0"/>
        <w:widowControl w:val="0"/>
        <w:numPr>
          <w:ilvl w:val="2"/>
          <w:numId w:val="3"/>
        </w:numPr>
        <w:kinsoku/>
        <w:wordWrap/>
        <w:overflowPunct/>
        <w:topLinePunct w:val="0"/>
        <w:autoSpaceDE/>
        <w:autoSpaceDN/>
        <w:bidi w:val="0"/>
        <w:adjustRightInd/>
        <w:snapToGrid/>
        <w:spacing w:line="360" w:lineRule="auto"/>
        <w:ind w:left="0" w:leftChars="0" w:firstLine="420" w:firstLineChars="200"/>
        <w:textAlignment w:val="auto"/>
        <w:outlineLvl w:val="9"/>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rPr>
        <w:t>中标人不能按本章第</w:t>
      </w:r>
      <w:r>
        <w:rPr>
          <w:rFonts w:hint="eastAsia" w:ascii="宋体" w:hAnsi="宋体" w:eastAsia="宋体" w:cs="宋体"/>
          <w:color w:val="auto"/>
          <w:szCs w:val="21"/>
          <w:highlight w:val="none"/>
          <w:lang w:val="en-US" w:eastAsia="zh-CN"/>
        </w:rPr>
        <w:t>6.4.1</w:t>
      </w:r>
      <w:r>
        <w:rPr>
          <w:rFonts w:hint="eastAsia" w:ascii="宋体" w:hAnsi="宋体" w:eastAsia="宋体" w:cs="宋体"/>
          <w:color w:val="auto"/>
          <w:szCs w:val="21"/>
          <w:highlight w:val="none"/>
        </w:rPr>
        <w:t>项要求提交履约保证金的，视为放弃中标，给招标人造成损失的，中标人应当予以赔偿。</w:t>
      </w:r>
    </w:p>
    <w:p w14:paraId="786E9E25">
      <w:pPr>
        <w:pStyle w:val="6"/>
        <w:pageBreakBefore w:val="0"/>
        <w:numPr>
          <w:ilvl w:val="1"/>
          <w:numId w:val="3"/>
        </w:numPr>
        <w:kinsoku/>
        <w:overflowPunct/>
        <w:bidi w:val="0"/>
        <w:spacing w:line="360" w:lineRule="auto"/>
        <w:rPr>
          <w:rFonts w:hint="eastAsia" w:ascii="宋体" w:hAnsi="宋体" w:eastAsia="宋体" w:cs="宋体"/>
          <w:color w:val="auto"/>
          <w:highlight w:val="none"/>
        </w:rPr>
      </w:pPr>
      <w:bookmarkStart w:id="497" w:name="_Toc2117"/>
      <w:bookmarkStart w:id="498" w:name="_Toc16475"/>
      <w:r>
        <w:rPr>
          <w:rFonts w:hint="eastAsia" w:ascii="宋体" w:hAnsi="宋体" w:eastAsia="宋体" w:cs="宋体"/>
          <w:color w:val="auto"/>
          <w:highlight w:val="none"/>
        </w:rPr>
        <w:t>签订合同</w:t>
      </w:r>
      <w:bookmarkEnd w:id="486"/>
      <w:bookmarkEnd w:id="487"/>
      <w:bookmarkEnd w:id="488"/>
      <w:bookmarkEnd w:id="489"/>
      <w:bookmarkEnd w:id="490"/>
      <w:bookmarkEnd w:id="491"/>
      <w:bookmarkEnd w:id="492"/>
      <w:bookmarkEnd w:id="493"/>
      <w:bookmarkEnd w:id="494"/>
      <w:bookmarkEnd w:id="495"/>
      <w:bookmarkEnd w:id="496"/>
      <w:bookmarkEnd w:id="497"/>
      <w:bookmarkEnd w:id="498"/>
    </w:p>
    <w:p w14:paraId="544EB4D3">
      <w:pPr>
        <w:keepNext w:val="0"/>
        <w:keepLines w:val="0"/>
        <w:pageBreakBefore w:val="0"/>
        <w:widowControl w:val="0"/>
        <w:numPr>
          <w:ilvl w:val="2"/>
          <w:numId w:val="3"/>
        </w:numPr>
        <w:kinsoku/>
        <w:wordWrap/>
        <w:overflowPunct/>
        <w:topLinePunct w:val="0"/>
        <w:autoSpaceDE/>
        <w:autoSpaceDN/>
        <w:bidi w:val="0"/>
        <w:adjustRightInd/>
        <w:snapToGrid/>
        <w:spacing w:line="360" w:lineRule="auto"/>
        <w:ind w:left="0" w:leftChars="0" w:firstLine="420" w:firstLineChars="200"/>
        <w:textAlignment w:val="auto"/>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采购人应当自中标通知书发出之日起</w:t>
      </w:r>
      <w:r>
        <w:rPr>
          <w:rFonts w:hint="eastAsia" w:ascii="宋体" w:hAnsi="宋体" w:eastAsia="宋体" w:cs="宋体"/>
          <w:color w:val="auto"/>
          <w:szCs w:val="21"/>
          <w:highlight w:val="none"/>
          <w:lang w:val="en-US" w:eastAsia="zh-CN"/>
        </w:rPr>
        <w:t>15</w:t>
      </w:r>
      <w:r>
        <w:rPr>
          <w:rFonts w:hint="eastAsia" w:ascii="宋体" w:hAnsi="宋体" w:eastAsia="宋体" w:cs="宋体"/>
          <w:color w:val="auto"/>
          <w:szCs w:val="21"/>
          <w:highlight w:val="none"/>
        </w:rPr>
        <w:t>日内，按照招标文件和中标人投标文件的规定，与中标人签订书面合同。所签订的合同不得对招标文件确定的事项和中标人投标文件作实质性修改。采购人因不可抗力原因迟延签订合同的，应当自不可抗力事由消除之日起7日内完成合同签订事宜。</w:t>
      </w:r>
    </w:p>
    <w:p w14:paraId="56C5C7C3">
      <w:pPr>
        <w:keepNext w:val="0"/>
        <w:keepLines w:val="0"/>
        <w:pageBreakBefore w:val="0"/>
        <w:widowControl w:val="0"/>
        <w:numPr>
          <w:ilvl w:val="2"/>
          <w:numId w:val="3"/>
        </w:numPr>
        <w:kinsoku/>
        <w:wordWrap/>
        <w:overflowPunct/>
        <w:topLinePunct w:val="0"/>
        <w:autoSpaceDE/>
        <w:autoSpaceDN/>
        <w:bidi w:val="0"/>
        <w:adjustRightInd/>
        <w:snapToGrid/>
        <w:spacing w:line="360" w:lineRule="auto"/>
        <w:ind w:left="0" w:leftChars="0" w:firstLine="420" w:firstLineChars="200"/>
        <w:textAlignment w:val="auto"/>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rPr>
        <w:t>中标</w:t>
      </w:r>
      <w:r>
        <w:rPr>
          <w:rFonts w:hint="eastAsia" w:ascii="宋体" w:hAnsi="宋体" w:eastAsia="宋体" w:cs="宋体"/>
          <w:color w:val="auto"/>
          <w:szCs w:val="21"/>
          <w:highlight w:val="none"/>
          <w:lang w:val="en-US" w:eastAsia="zh-CN"/>
        </w:rPr>
        <w:t>人</w:t>
      </w:r>
      <w:r>
        <w:rPr>
          <w:rFonts w:hint="eastAsia" w:ascii="宋体" w:hAnsi="宋体" w:eastAsia="宋体" w:cs="宋体"/>
          <w:color w:val="auto"/>
          <w:szCs w:val="21"/>
          <w:highlight w:val="none"/>
          <w:lang w:val="en-US"/>
        </w:rPr>
        <w:t>拒绝与采购人签订合同的，采购人可以按照评审报告推荐的中标或者成交候选人名单排序，确定下一候选人为中标或者成交</w:t>
      </w:r>
      <w:r>
        <w:rPr>
          <w:rFonts w:hint="eastAsia" w:ascii="宋体" w:hAnsi="宋体" w:eastAsia="宋体" w:cs="宋体"/>
          <w:color w:val="auto"/>
          <w:szCs w:val="21"/>
          <w:highlight w:val="none"/>
          <w:lang w:val="en-US" w:eastAsia="zh-CN"/>
        </w:rPr>
        <w:t>投标人</w:t>
      </w:r>
      <w:r>
        <w:rPr>
          <w:rFonts w:hint="eastAsia" w:ascii="宋体" w:hAnsi="宋体" w:eastAsia="宋体" w:cs="宋体"/>
          <w:color w:val="auto"/>
          <w:szCs w:val="21"/>
          <w:highlight w:val="none"/>
          <w:lang w:val="en-US"/>
        </w:rPr>
        <w:t>，也可以重新开展政府采购活动。</w:t>
      </w:r>
    </w:p>
    <w:p w14:paraId="6577A82F">
      <w:pPr>
        <w:keepNext w:val="0"/>
        <w:keepLines w:val="0"/>
        <w:pageBreakBefore w:val="0"/>
        <w:widowControl w:val="0"/>
        <w:numPr>
          <w:ilvl w:val="2"/>
          <w:numId w:val="3"/>
        </w:numPr>
        <w:kinsoku/>
        <w:wordWrap/>
        <w:overflowPunct/>
        <w:topLinePunct w:val="0"/>
        <w:autoSpaceDE/>
        <w:autoSpaceDN/>
        <w:bidi w:val="0"/>
        <w:adjustRightInd/>
        <w:snapToGrid/>
        <w:spacing w:line="360" w:lineRule="auto"/>
        <w:ind w:left="0" w:leftChars="0" w:firstLine="420" w:firstLineChars="200"/>
        <w:textAlignment w:val="auto"/>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招标文件、中标人的投标文件和澄清文件等，均应作为签约的合同文本的基础。</w:t>
      </w:r>
    </w:p>
    <w:p w14:paraId="003C7FB6">
      <w:pPr>
        <w:keepNext w:val="0"/>
        <w:keepLines w:val="0"/>
        <w:pageBreakBefore w:val="0"/>
        <w:widowControl w:val="0"/>
        <w:numPr>
          <w:ilvl w:val="2"/>
          <w:numId w:val="3"/>
        </w:numPr>
        <w:kinsoku/>
        <w:wordWrap/>
        <w:overflowPunct/>
        <w:topLinePunct w:val="0"/>
        <w:autoSpaceDE/>
        <w:autoSpaceDN/>
        <w:bidi w:val="0"/>
        <w:adjustRightInd/>
        <w:snapToGrid/>
        <w:spacing w:line="360" w:lineRule="auto"/>
        <w:ind w:left="0" w:leftChars="0" w:firstLine="420" w:firstLineChars="200"/>
        <w:textAlignment w:val="auto"/>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如采购人或中标人拒签合同，则按违约处理。</w:t>
      </w:r>
    </w:p>
    <w:p w14:paraId="04B519C2">
      <w:pPr>
        <w:keepNext w:val="0"/>
        <w:keepLines w:val="0"/>
        <w:pageBreakBefore w:val="0"/>
        <w:widowControl w:val="0"/>
        <w:numPr>
          <w:ilvl w:val="2"/>
          <w:numId w:val="3"/>
        </w:numPr>
        <w:kinsoku/>
        <w:wordWrap/>
        <w:overflowPunct/>
        <w:topLinePunct w:val="0"/>
        <w:autoSpaceDE/>
        <w:autoSpaceDN/>
        <w:bidi w:val="0"/>
        <w:adjustRightInd/>
        <w:snapToGrid/>
        <w:spacing w:line="360" w:lineRule="auto"/>
        <w:ind w:left="0" w:leftChars="0" w:firstLine="420" w:firstLineChars="200"/>
        <w:textAlignment w:val="auto"/>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政府采购合同应当包括采购人与中标人的名称和住所、标的、数量、质量、价款或者报酬、履行期限及地点和方式、验收要求、违约责任、解决争议的方法等内容。</w:t>
      </w:r>
    </w:p>
    <w:p w14:paraId="5FD9F913">
      <w:pPr>
        <w:keepNext w:val="0"/>
        <w:keepLines w:val="0"/>
        <w:pageBreakBefore w:val="0"/>
        <w:widowControl w:val="0"/>
        <w:numPr>
          <w:ilvl w:val="2"/>
          <w:numId w:val="3"/>
        </w:numPr>
        <w:kinsoku/>
        <w:wordWrap/>
        <w:overflowPunct/>
        <w:topLinePunct w:val="0"/>
        <w:autoSpaceDE/>
        <w:autoSpaceDN/>
        <w:bidi w:val="0"/>
        <w:adjustRightInd/>
        <w:snapToGrid/>
        <w:spacing w:line="360" w:lineRule="auto"/>
        <w:ind w:left="0" w:leftChars="0" w:firstLine="420" w:firstLineChars="200"/>
        <w:textAlignment w:val="auto"/>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如中标人不按</w:t>
      </w:r>
      <w:r>
        <w:rPr>
          <w:rFonts w:hint="eastAsia" w:ascii="宋体" w:hAnsi="宋体" w:eastAsia="宋体" w:cs="宋体"/>
          <w:color w:val="auto"/>
          <w:szCs w:val="21"/>
          <w:highlight w:val="none"/>
          <w:lang w:eastAsia="zh-CN"/>
        </w:rPr>
        <w:t>本章</w:t>
      </w:r>
      <w:r>
        <w:rPr>
          <w:rFonts w:hint="eastAsia" w:ascii="宋体" w:hAnsi="宋体" w:eastAsia="宋体" w:cs="宋体"/>
          <w:color w:val="auto"/>
          <w:szCs w:val="21"/>
          <w:highlight w:val="none"/>
        </w:rPr>
        <w:t>第</w:t>
      </w:r>
      <w:r>
        <w:rPr>
          <w:rFonts w:hint="eastAsia" w:ascii="宋体" w:hAnsi="宋体" w:eastAsia="宋体" w:cs="宋体"/>
          <w:color w:val="auto"/>
          <w:szCs w:val="21"/>
          <w:highlight w:val="none"/>
          <w:lang w:val="en-US" w:eastAsia="zh-CN"/>
        </w:rPr>
        <w:t>6.5.1项</w:t>
      </w:r>
      <w:r>
        <w:rPr>
          <w:rFonts w:hint="eastAsia" w:ascii="宋体" w:hAnsi="宋体" w:eastAsia="宋体" w:cs="宋体"/>
          <w:color w:val="auto"/>
          <w:szCs w:val="21"/>
          <w:highlight w:val="none"/>
        </w:rPr>
        <w:t>约定签订合同，采购人将报请取消其中标决定。采购人可在中标候选人中重新选定</w:t>
      </w:r>
      <w:r>
        <w:rPr>
          <w:rFonts w:hint="eastAsia" w:ascii="宋体" w:hAnsi="宋体" w:eastAsia="宋体" w:cs="宋体"/>
          <w:color w:val="auto"/>
          <w:szCs w:val="21"/>
          <w:highlight w:val="none"/>
          <w:lang w:eastAsia="zh-CN"/>
        </w:rPr>
        <w:t>中标人</w:t>
      </w:r>
      <w:r>
        <w:rPr>
          <w:rFonts w:hint="eastAsia" w:ascii="宋体" w:hAnsi="宋体" w:eastAsia="宋体" w:cs="宋体"/>
          <w:color w:val="auto"/>
          <w:szCs w:val="21"/>
          <w:highlight w:val="none"/>
        </w:rPr>
        <w:t>或者重新招标。</w:t>
      </w:r>
    </w:p>
    <w:p w14:paraId="29F89884">
      <w:pPr>
        <w:pStyle w:val="5"/>
        <w:keepNext/>
        <w:keepLines/>
        <w:pageBreakBefore w:val="0"/>
        <w:widowControl w:val="0"/>
        <w:numPr>
          <w:ilvl w:val="0"/>
          <w:numId w:val="3"/>
        </w:numPr>
        <w:tabs>
          <w:tab w:val="left" w:pos="721"/>
          <w:tab w:val="left" w:pos="840"/>
          <w:tab w:val="left" w:pos="2880"/>
          <w:tab w:val="left" w:pos="3780"/>
        </w:tabs>
        <w:kinsoku/>
        <w:wordWrap/>
        <w:overflowPunct/>
        <w:topLinePunct w:val="0"/>
        <w:autoSpaceDE/>
        <w:autoSpaceDN/>
        <w:bidi w:val="0"/>
        <w:adjustRightInd/>
        <w:snapToGrid/>
        <w:spacing w:before="0" w:after="0" w:line="360" w:lineRule="auto"/>
        <w:ind w:left="0" w:leftChars="0" w:right="0" w:rightChars="0" w:firstLine="0" w:firstLineChars="0"/>
        <w:jc w:val="both"/>
        <w:textAlignment w:val="auto"/>
        <w:outlineLvl w:val="1"/>
        <w:rPr>
          <w:rFonts w:hint="eastAsia" w:ascii="宋体" w:hAnsi="宋体" w:eastAsia="宋体" w:cs="宋体"/>
          <w:color w:val="auto"/>
          <w:sz w:val="24"/>
          <w:szCs w:val="24"/>
          <w:highlight w:val="none"/>
          <w:lang w:val="en-US" w:eastAsia="zh-CN"/>
        </w:rPr>
      </w:pPr>
      <w:bookmarkStart w:id="499" w:name="_Toc11291"/>
      <w:bookmarkStart w:id="500" w:name="_Toc29466"/>
      <w:r>
        <w:rPr>
          <w:rFonts w:hint="eastAsia" w:ascii="宋体" w:hAnsi="宋体" w:eastAsia="宋体" w:cs="宋体"/>
          <w:color w:val="auto"/>
          <w:sz w:val="24"/>
          <w:szCs w:val="24"/>
          <w:highlight w:val="none"/>
          <w:lang w:val="en-US" w:eastAsia="zh-CN"/>
        </w:rPr>
        <w:t>政府采购政策</w:t>
      </w:r>
      <w:bookmarkEnd w:id="499"/>
      <w:bookmarkEnd w:id="500"/>
    </w:p>
    <w:p w14:paraId="558DB5D4">
      <w:pPr>
        <w:keepNext w:val="0"/>
        <w:keepLines w:val="0"/>
        <w:pageBreakBefore w:val="0"/>
        <w:widowControl w:val="0"/>
        <w:numPr>
          <w:ilvl w:val="1"/>
          <w:numId w:val="3"/>
        </w:numPr>
        <w:kinsoku/>
        <w:wordWrap/>
        <w:overflowPunct/>
        <w:topLinePunct w:val="0"/>
        <w:autoSpaceDE/>
        <w:autoSpaceDN/>
        <w:bidi w:val="0"/>
        <w:adjustRightInd/>
        <w:snapToGrid/>
        <w:spacing w:line="360" w:lineRule="auto"/>
        <w:ind w:left="0" w:leftChars="0" w:firstLine="420" w:firstLineChars="200"/>
        <w:textAlignment w:val="auto"/>
        <w:outlineLvl w:val="9"/>
        <w:rPr>
          <w:rFonts w:hint="eastAsia" w:ascii="宋体" w:hAnsi="宋体" w:eastAsia="宋体" w:cs="宋体"/>
          <w:color w:val="auto"/>
          <w:szCs w:val="21"/>
          <w:highlight w:val="none"/>
        </w:rPr>
      </w:pPr>
      <w:bookmarkStart w:id="501" w:name="_Toc16339"/>
      <w:r>
        <w:rPr>
          <w:rFonts w:hint="eastAsia" w:ascii="宋体" w:hAnsi="宋体" w:eastAsia="宋体" w:cs="宋体"/>
          <w:color w:val="auto"/>
          <w:szCs w:val="21"/>
          <w:highlight w:val="none"/>
        </w:rPr>
        <w:t>投标产品符合国家环保、节能标准，并载入财政部、</w:t>
      </w:r>
      <w:r>
        <w:rPr>
          <w:rFonts w:hint="eastAsia" w:ascii="宋体" w:hAnsi="宋体" w:eastAsia="宋体" w:cs="宋体"/>
          <w:color w:val="auto"/>
          <w:szCs w:val="21"/>
          <w:highlight w:val="none"/>
          <w:lang w:eastAsia="zh-CN"/>
        </w:rPr>
        <w:t>国家发改委、国家环保总局</w:t>
      </w:r>
      <w:r>
        <w:rPr>
          <w:rFonts w:hint="eastAsia" w:ascii="宋体" w:hAnsi="宋体" w:eastAsia="宋体" w:cs="宋体"/>
          <w:color w:val="auto"/>
          <w:szCs w:val="21"/>
          <w:highlight w:val="none"/>
        </w:rPr>
        <w:t>发布的《环境标志产品政府采购品目清单</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节能产品政府采购品目清单》内，且具</w:t>
      </w:r>
      <w:r>
        <w:rPr>
          <w:rFonts w:hint="eastAsia" w:ascii="宋体" w:hAnsi="宋体" w:eastAsia="宋体" w:cs="宋体"/>
          <w:color w:val="auto"/>
          <w:szCs w:val="21"/>
          <w:highlight w:val="none"/>
          <w:lang w:eastAsia="zh-CN"/>
        </w:rPr>
        <w:t>有</w:t>
      </w:r>
      <w:r>
        <w:rPr>
          <w:rFonts w:hint="eastAsia" w:ascii="宋体" w:hAnsi="宋体" w:eastAsia="宋体" w:cs="宋体"/>
          <w:color w:val="auto"/>
          <w:szCs w:val="21"/>
          <w:highlight w:val="none"/>
        </w:rPr>
        <w:t>国家确定的认证机构出具的</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处于有效期之内的《国家节能产品认证证书》或《中国环境标志产品认证证书》（投标人必须提供有关证明材料和文件等），将分别给予投标人在评标办法中规定的标准分值进行</w:t>
      </w:r>
      <w:r>
        <w:rPr>
          <w:rFonts w:hint="eastAsia" w:ascii="宋体" w:hAnsi="宋体" w:eastAsia="宋体" w:cs="宋体"/>
          <w:color w:val="auto"/>
          <w:szCs w:val="21"/>
          <w:highlight w:val="none"/>
          <w:lang w:eastAsia="zh-CN"/>
        </w:rPr>
        <w:t>加分</w:t>
      </w:r>
      <w:r>
        <w:rPr>
          <w:rFonts w:hint="eastAsia" w:ascii="宋体" w:hAnsi="宋体" w:eastAsia="宋体" w:cs="宋体"/>
          <w:color w:val="auto"/>
          <w:szCs w:val="21"/>
          <w:highlight w:val="none"/>
        </w:rPr>
        <w:t>评审。</w:t>
      </w:r>
    </w:p>
    <w:p w14:paraId="2E2879CE">
      <w:pPr>
        <w:keepNext w:val="0"/>
        <w:keepLines w:val="0"/>
        <w:pageBreakBefore w:val="0"/>
        <w:widowControl w:val="0"/>
        <w:numPr>
          <w:ilvl w:val="1"/>
          <w:numId w:val="3"/>
        </w:numPr>
        <w:kinsoku/>
        <w:wordWrap/>
        <w:overflowPunct/>
        <w:topLinePunct w:val="0"/>
        <w:autoSpaceDE/>
        <w:autoSpaceDN/>
        <w:bidi w:val="0"/>
        <w:adjustRightInd/>
        <w:snapToGrid/>
        <w:spacing w:line="360" w:lineRule="auto"/>
        <w:ind w:left="0" w:leftChars="0" w:firstLine="420" w:firstLineChars="200"/>
        <w:textAlignment w:val="auto"/>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如投标产品属于财政部和国家发展改革委发布的《节能产品政府采购品目清单》中要求的</w:t>
      </w:r>
      <w:r>
        <w:rPr>
          <w:rFonts w:hint="eastAsia" w:ascii="宋体" w:hAnsi="宋体" w:eastAsia="宋体" w:cs="宋体"/>
          <w:color w:val="auto"/>
          <w:szCs w:val="21"/>
          <w:highlight w:val="none"/>
          <w:lang w:eastAsia="zh-CN"/>
        </w:rPr>
        <w:t>政府强制采购节能</w:t>
      </w:r>
      <w:r>
        <w:rPr>
          <w:rFonts w:hint="eastAsia" w:ascii="宋体" w:hAnsi="宋体" w:eastAsia="宋体" w:cs="宋体"/>
          <w:color w:val="auto"/>
          <w:szCs w:val="21"/>
          <w:highlight w:val="none"/>
        </w:rPr>
        <w:t>产品的，投标人必须提供所投产品</w:t>
      </w:r>
      <w:r>
        <w:rPr>
          <w:rFonts w:hint="eastAsia" w:ascii="宋体" w:hAnsi="宋体" w:eastAsia="宋体" w:cs="宋体"/>
          <w:color w:val="auto"/>
          <w:szCs w:val="21"/>
          <w:highlight w:val="none"/>
          <w:lang w:eastAsia="zh-CN"/>
        </w:rPr>
        <w:t>经</w:t>
      </w:r>
      <w:r>
        <w:rPr>
          <w:rFonts w:hint="eastAsia" w:ascii="宋体" w:hAnsi="宋体" w:eastAsia="宋体" w:cs="宋体"/>
          <w:color w:val="auto"/>
          <w:szCs w:val="21"/>
          <w:highlight w:val="none"/>
        </w:rPr>
        <w:t>国家确定的认证机构出具的、处于有效期之内的《国家节能产品认证证书》</w:t>
      </w:r>
      <w:r>
        <w:rPr>
          <w:rFonts w:hint="eastAsia" w:ascii="宋体" w:hAnsi="宋体" w:eastAsia="宋体" w:cs="宋体"/>
          <w:color w:val="auto"/>
          <w:szCs w:val="21"/>
          <w:highlight w:val="none"/>
          <w:lang w:eastAsia="zh-CN"/>
        </w:rPr>
        <w:t>复印件或扫描件</w:t>
      </w:r>
      <w:r>
        <w:rPr>
          <w:rFonts w:hint="eastAsia" w:ascii="宋体" w:hAnsi="宋体" w:eastAsia="宋体" w:cs="宋体"/>
          <w:color w:val="auto"/>
          <w:szCs w:val="21"/>
          <w:highlight w:val="none"/>
        </w:rPr>
        <w:t>，如</w:t>
      </w:r>
      <w:r>
        <w:rPr>
          <w:rFonts w:hint="eastAsia" w:ascii="宋体" w:hAnsi="宋体" w:eastAsia="宋体" w:cs="宋体"/>
          <w:color w:val="auto"/>
          <w:szCs w:val="21"/>
          <w:highlight w:val="none"/>
          <w:lang w:eastAsia="zh-CN"/>
        </w:rPr>
        <w:t>未提供</w:t>
      </w:r>
      <w:r>
        <w:rPr>
          <w:rFonts w:hint="eastAsia" w:ascii="宋体" w:hAnsi="宋体" w:eastAsia="宋体" w:cs="宋体"/>
          <w:color w:val="auto"/>
          <w:szCs w:val="21"/>
          <w:highlight w:val="none"/>
        </w:rPr>
        <w:t>《节能产品政府采购品目清单》中要求的政府强制采购</w:t>
      </w:r>
      <w:r>
        <w:rPr>
          <w:rFonts w:hint="eastAsia" w:ascii="宋体" w:hAnsi="宋体" w:eastAsia="宋体" w:cs="宋体"/>
          <w:color w:val="auto"/>
          <w:szCs w:val="21"/>
          <w:highlight w:val="none"/>
          <w:lang w:eastAsia="zh-CN"/>
        </w:rPr>
        <w:t>节能</w:t>
      </w:r>
      <w:r>
        <w:rPr>
          <w:rFonts w:hint="eastAsia" w:ascii="宋体" w:hAnsi="宋体" w:eastAsia="宋体" w:cs="宋体"/>
          <w:color w:val="auto"/>
          <w:szCs w:val="21"/>
          <w:highlight w:val="none"/>
        </w:rPr>
        <w:t>产品</w:t>
      </w:r>
      <w:r>
        <w:rPr>
          <w:rFonts w:hint="eastAsia" w:ascii="宋体" w:hAnsi="宋体" w:eastAsia="宋体" w:cs="宋体"/>
          <w:color w:val="auto"/>
          <w:szCs w:val="21"/>
          <w:highlight w:val="none"/>
          <w:lang w:eastAsia="zh-CN"/>
        </w:rPr>
        <w:t>及认证证书</w:t>
      </w:r>
      <w:r>
        <w:rPr>
          <w:rFonts w:hint="eastAsia" w:ascii="宋体" w:hAnsi="宋体" w:eastAsia="宋体" w:cs="宋体"/>
          <w:color w:val="auto"/>
          <w:szCs w:val="21"/>
          <w:highlight w:val="none"/>
        </w:rPr>
        <w:t>的，</w:t>
      </w:r>
      <w:r>
        <w:rPr>
          <w:rFonts w:hint="eastAsia" w:ascii="宋体" w:hAnsi="宋体" w:eastAsia="宋体" w:cs="宋体"/>
          <w:color w:val="auto"/>
          <w:szCs w:val="21"/>
          <w:highlight w:val="none"/>
          <w:lang w:eastAsia="zh-CN"/>
        </w:rPr>
        <w:t>则认定其</w:t>
      </w:r>
      <w:r>
        <w:rPr>
          <w:rFonts w:hint="eastAsia" w:ascii="宋体" w:hAnsi="宋体" w:eastAsia="宋体" w:cs="宋体"/>
          <w:b/>
          <w:bCs/>
          <w:color w:val="auto"/>
          <w:szCs w:val="21"/>
          <w:highlight w:val="none"/>
        </w:rPr>
        <w:t>投标文件无效</w:t>
      </w:r>
      <w:r>
        <w:rPr>
          <w:rFonts w:hint="eastAsia" w:ascii="宋体" w:hAnsi="宋体" w:eastAsia="宋体" w:cs="宋体"/>
          <w:color w:val="auto"/>
          <w:szCs w:val="21"/>
          <w:highlight w:val="none"/>
        </w:rPr>
        <w:t>。</w:t>
      </w:r>
    </w:p>
    <w:p w14:paraId="326F6B9A">
      <w:pPr>
        <w:keepNext w:val="0"/>
        <w:keepLines w:val="0"/>
        <w:pageBreakBefore w:val="0"/>
        <w:widowControl w:val="0"/>
        <w:numPr>
          <w:ilvl w:val="1"/>
          <w:numId w:val="3"/>
        </w:numPr>
        <w:kinsoku/>
        <w:wordWrap/>
        <w:overflowPunct/>
        <w:topLinePunct w:val="0"/>
        <w:autoSpaceDE/>
        <w:autoSpaceDN/>
        <w:bidi w:val="0"/>
        <w:adjustRightInd/>
        <w:snapToGrid/>
        <w:spacing w:line="360" w:lineRule="auto"/>
        <w:ind w:left="0" w:leftChars="0" w:firstLine="420" w:firstLineChars="200"/>
        <w:textAlignment w:val="auto"/>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关于计算机办公设备，必须执行国家版权局、信息产业部、财政部等部门规定，投标人所投货物必须是国家信息部、版权局、商务部等部门认可的预装正版操作系统软件的计算机产品。</w:t>
      </w:r>
    </w:p>
    <w:p w14:paraId="3EB7B2B6">
      <w:pPr>
        <w:keepNext w:val="0"/>
        <w:keepLines w:val="0"/>
        <w:pageBreakBefore w:val="0"/>
        <w:widowControl w:val="0"/>
        <w:numPr>
          <w:ilvl w:val="1"/>
          <w:numId w:val="3"/>
        </w:numPr>
        <w:kinsoku/>
        <w:wordWrap/>
        <w:overflowPunct/>
        <w:topLinePunct w:val="0"/>
        <w:autoSpaceDE/>
        <w:autoSpaceDN/>
        <w:bidi w:val="0"/>
        <w:adjustRightInd/>
        <w:snapToGrid/>
        <w:spacing w:line="360" w:lineRule="auto"/>
        <w:ind w:left="0" w:leftChars="0" w:firstLine="420" w:firstLineChars="200"/>
        <w:textAlignment w:val="auto"/>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采购货物为国家强制性认证产品的，必须符合强制性标准</w:t>
      </w:r>
      <w:r>
        <w:rPr>
          <w:rFonts w:hint="eastAsia" w:ascii="宋体" w:hAnsi="宋体" w:eastAsia="宋体" w:cs="宋体"/>
          <w:color w:val="auto"/>
          <w:szCs w:val="21"/>
          <w:highlight w:val="none"/>
          <w:lang w:eastAsia="zh-CN"/>
        </w:rPr>
        <w:t>，并提供相关证明材料，否则认定其</w:t>
      </w:r>
      <w:r>
        <w:rPr>
          <w:rFonts w:hint="eastAsia" w:ascii="宋体" w:hAnsi="宋体" w:eastAsia="宋体" w:cs="宋体"/>
          <w:b/>
          <w:bCs/>
          <w:color w:val="auto"/>
          <w:szCs w:val="21"/>
          <w:highlight w:val="none"/>
          <w:lang w:eastAsia="zh-CN"/>
        </w:rPr>
        <w:t>投标文件无效</w:t>
      </w:r>
      <w:r>
        <w:rPr>
          <w:rFonts w:hint="eastAsia" w:ascii="宋体" w:hAnsi="宋体" w:eastAsia="宋体" w:cs="宋体"/>
          <w:color w:val="auto"/>
          <w:szCs w:val="21"/>
          <w:highlight w:val="none"/>
        </w:rPr>
        <w:t>。</w:t>
      </w:r>
    </w:p>
    <w:p w14:paraId="24F07DC9">
      <w:pPr>
        <w:keepNext w:val="0"/>
        <w:keepLines w:val="0"/>
        <w:pageBreakBefore w:val="0"/>
        <w:widowControl w:val="0"/>
        <w:numPr>
          <w:ilvl w:val="1"/>
          <w:numId w:val="3"/>
        </w:numPr>
        <w:kinsoku/>
        <w:wordWrap/>
        <w:overflowPunct/>
        <w:topLinePunct w:val="0"/>
        <w:autoSpaceDE/>
        <w:autoSpaceDN/>
        <w:bidi w:val="0"/>
        <w:adjustRightInd/>
        <w:snapToGrid/>
        <w:spacing w:line="360" w:lineRule="auto"/>
        <w:ind w:left="0" w:leftChars="0" w:firstLine="420" w:firstLineChars="200"/>
        <w:textAlignment w:val="auto"/>
        <w:outlineLvl w:val="9"/>
        <w:rPr>
          <w:rFonts w:hint="eastAsia" w:ascii="宋体" w:hAnsi="宋体" w:eastAsia="宋体" w:cs="宋体"/>
          <w:b w:val="0"/>
          <w:bCs w:val="0"/>
          <w:color w:val="auto"/>
          <w:szCs w:val="21"/>
          <w:highlight w:val="none"/>
        </w:rPr>
      </w:pPr>
      <w:r>
        <w:rPr>
          <w:rFonts w:hint="eastAsia" w:ascii="宋体" w:hAnsi="宋体" w:eastAsia="宋体" w:cs="宋体"/>
          <w:color w:val="auto"/>
          <w:highlight w:val="none"/>
          <w:lang w:val="en-US" w:eastAsia="zh-CN"/>
        </w:rPr>
        <w:t>采购信息安全产品的，应当符合《信息安全技术网络安全专用产品安全技术要求》等相关国家标准的强制性要求，由具备资格的机构安全认证合格或者安全检测符合要求，否则认定其投标无效。</w:t>
      </w:r>
    </w:p>
    <w:p w14:paraId="4B293652">
      <w:pPr>
        <w:keepNext w:val="0"/>
        <w:keepLines w:val="0"/>
        <w:pageBreakBefore w:val="0"/>
        <w:widowControl w:val="0"/>
        <w:numPr>
          <w:ilvl w:val="1"/>
          <w:numId w:val="3"/>
        </w:numPr>
        <w:kinsoku/>
        <w:wordWrap/>
        <w:overflowPunct/>
        <w:topLinePunct w:val="0"/>
        <w:autoSpaceDE/>
        <w:autoSpaceDN/>
        <w:bidi w:val="0"/>
        <w:adjustRightInd/>
        <w:snapToGrid/>
        <w:spacing w:line="360" w:lineRule="auto"/>
        <w:ind w:left="0" w:leftChars="0" w:firstLine="420" w:firstLineChars="200"/>
        <w:textAlignment w:val="auto"/>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促进中小型企业发展，必须执行财政部、工信部印发的《</w:t>
      </w:r>
      <w:r>
        <w:rPr>
          <w:rFonts w:hint="eastAsia" w:ascii="宋体" w:hAnsi="宋体" w:eastAsia="宋体" w:cs="宋体"/>
          <w:color w:val="auto"/>
          <w:szCs w:val="21"/>
          <w:highlight w:val="none"/>
          <w:lang w:val="en-US" w:eastAsia="zh-CN"/>
        </w:rPr>
        <w:t>政府采购促进中小企业发展管理办法</w:t>
      </w:r>
      <w:r>
        <w:rPr>
          <w:rFonts w:hint="eastAsia" w:ascii="宋体" w:hAnsi="宋体" w:eastAsia="宋体" w:cs="宋体"/>
          <w:color w:val="auto"/>
          <w:szCs w:val="21"/>
          <w:highlight w:val="none"/>
        </w:rPr>
        <w:t>》及《财政部关于进一步加大政府采购支持中小企业力度的通知》（财库〔2022〕19号），</w:t>
      </w:r>
      <w:r>
        <w:rPr>
          <w:rFonts w:hint="eastAsia" w:ascii="宋体" w:hAnsi="宋体" w:eastAsia="宋体" w:cs="宋体"/>
          <w:color w:val="auto"/>
          <w:szCs w:val="21"/>
          <w:highlight w:val="none"/>
          <w:lang w:val="en-US" w:eastAsia="zh-CN"/>
        </w:rPr>
        <w:t>对于经主管预算单位统筹后未预留份额专门面向中小企业采购的采购项目，以及预留份额项目中的非预留部分采购包，应当对货物由小微企业制造（即货物由小微企业生产且使用该小微企业商号或者注册商标）的投标报价给予10%的扣除，用扣除后的价格参加评审</w:t>
      </w:r>
      <w:r>
        <w:rPr>
          <w:rFonts w:hint="eastAsia" w:ascii="宋体" w:hAnsi="宋体" w:eastAsia="宋体" w:cs="宋体"/>
          <w:color w:val="auto"/>
          <w:szCs w:val="21"/>
          <w:highlight w:val="none"/>
        </w:rPr>
        <w:t>（监狱企业</w:t>
      </w:r>
      <w:r>
        <w:rPr>
          <w:rFonts w:hint="eastAsia" w:ascii="宋体" w:hAnsi="宋体" w:eastAsia="宋体" w:cs="宋体"/>
          <w:color w:val="auto"/>
          <w:szCs w:val="21"/>
          <w:highlight w:val="none"/>
          <w:lang w:val="en-US" w:eastAsia="zh-CN"/>
        </w:rPr>
        <w:t>/</w:t>
      </w:r>
      <w:r>
        <w:rPr>
          <w:rFonts w:hint="eastAsia" w:ascii="宋体" w:hAnsi="宋体" w:eastAsia="宋体" w:cs="宋体"/>
          <w:color w:val="auto"/>
          <w:szCs w:val="21"/>
          <w:highlight w:val="none"/>
        </w:rPr>
        <w:t>残疾人福利</w:t>
      </w:r>
      <w:r>
        <w:rPr>
          <w:rFonts w:hint="eastAsia" w:ascii="宋体" w:hAnsi="宋体" w:eastAsia="宋体" w:cs="宋体"/>
          <w:color w:val="auto"/>
          <w:szCs w:val="21"/>
          <w:highlight w:val="none"/>
          <w:lang w:eastAsia="zh-CN"/>
        </w:rPr>
        <w:t>性</w:t>
      </w:r>
      <w:r>
        <w:rPr>
          <w:rFonts w:hint="eastAsia" w:ascii="宋体" w:hAnsi="宋体" w:eastAsia="宋体" w:cs="宋体"/>
          <w:color w:val="auto"/>
          <w:szCs w:val="21"/>
          <w:highlight w:val="none"/>
        </w:rPr>
        <w:t>企业视同小型、微型企业）</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参加政府采购活动的中小企业应当提供《中小企业声明函》，未填写中小企业声明函的在评标过程中不予认可</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参加政府采购活动的</w:t>
      </w:r>
      <w:r>
        <w:rPr>
          <w:rFonts w:hint="eastAsia" w:ascii="宋体" w:hAnsi="宋体" w:eastAsia="宋体" w:cs="宋体"/>
          <w:color w:val="auto"/>
          <w:szCs w:val="21"/>
          <w:highlight w:val="none"/>
          <w:lang w:eastAsia="zh-CN"/>
        </w:rPr>
        <w:t>残疾人福利性单位</w:t>
      </w:r>
      <w:r>
        <w:rPr>
          <w:rFonts w:hint="eastAsia" w:ascii="宋体" w:hAnsi="宋体" w:eastAsia="宋体" w:cs="宋体"/>
          <w:color w:val="auto"/>
          <w:szCs w:val="21"/>
          <w:highlight w:val="none"/>
        </w:rPr>
        <w:t>应当提供《</w:t>
      </w:r>
      <w:r>
        <w:rPr>
          <w:rFonts w:hint="eastAsia" w:ascii="宋体" w:hAnsi="宋体" w:eastAsia="宋体" w:cs="宋体"/>
          <w:color w:val="auto"/>
          <w:szCs w:val="21"/>
          <w:highlight w:val="none"/>
          <w:lang w:eastAsia="zh-CN"/>
        </w:rPr>
        <w:t>残疾人福利性单位</w:t>
      </w:r>
      <w:r>
        <w:rPr>
          <w:rFonts w:hint="eastAsia" w:ascii="宋体" w:hAnsi="宋体" w:eastAsia="宋体" w:cs="宋体"/>
          <w:color w:val="auto"/>
          <w:szCs w:val="21"/>
          <w:highlight w:val="none"/>
        </w:rPr>
        <w:t>声明函》，未填写</w:t>
      </w:r>
      <w:r>
        <w:rPr>
          <w:rFonts w:hint="eastAsia" w:ascii="宋体" w:hAnsi="宋体" w:eastAsia="宋体" w:cs="宋体"/>
          <w:color w:val="auto"/>
          <w:szCs w:val="21"/>
          <w:highlight w:val="none"/>
          <w:lang w:eastAsia="zh-CN"/>
        </w:rPr>
        <w:t>残疾人福利性单位</w:t>
      </w:r>
      <w:r>
        <w:rPr>
          <w:rFonts w:hint="eastAsia" w:ascii="宋体" w:hAnsi="宋体" w:eastAsia="宋体" w:cs="宋体"/>
          <w:color w:val="auto"/>
          <w:szCs w:val="21"/>
          <w:highlight w:val="none"/>
        </w:rPr>
        <w:t>声明函的在评标过程中不予认可</w:t>
      </w:r>
      <w:r>
        <w:rPr>
          <w:rFonts w:hint="eastAsia" w:ascii="宋体" w:hAnsi="宋体" w:eastAsia="宋体" w:cs="宋体"/>
          <w:color w:val="auto"/>
          <w:szCs w:val="21"/>
          <w:highlight w:val="none"/>
          <w:lang w:eastAsia="zh-CN"/>
        </w:rPr>
        <w:t>；参加政府采购活动的</w:t>
      </w:r>
      <w:r>
        <w:rPr>
          <w:rFonts w:hint="eastAsia" w:ascii="宋体" w:hAnsi="宋体" w:eastAsia="宋体" w:cs="宋体"/>
          <w:color w:val="auto"/>
          <w:szCs w:val="21"/>
          <w:highlight w:val="none"/>
        </w:rPr>
        <w:t>监狱企业，</w:t>
      </w:r>
      <w:r>
        <w:rPr>
          <w:rFonts w:hint="eastAsia" w:ascii="宋体" w:hAnsi="宋体" w:eastAsia="宋体" w:cs="宋体"/>
          <w:color w:val="auto"/>
          <w:szCs w:val="21"/>
          <w:highlight w:val="none"/>
          <w:lang w:eastAsia="zh-CN"/>
        </w:rPr>
        <w:t>未提供</w:t>
      </w:r>
      <w:r>
        <w:rPr>
          <w:rFonts w:hint="eastAsia" w:ascii="宋体" w:hAnsi="宋体" w:eastAsia="宋体" w:cs="宋体"/>
          <w:color w:val="auto"/>
          <w:szCs w:val="21"/>
          <w:highlight w:val="none"/>
        </w:rPr>
        <w:t>由省级以上监狱管理局、戒毒管理局（含新疆生产建设兵团）出具的属于监狱企业的证明文件</w:t>
      </w:r>
      <w:r>
        <w:rPr>
          <w:rFonts w:hint="eastAsia" w:ascii="宋体" w:hAnsi="宋体" w:eastAsia="宋体" w:cs="宋体"/>
          <w:color w:val="auto"/>
          <w:szCs w:val="21"/>
          <w:highlight w:val="none"/>
          <w:lang w:eastAsia="zh-CN"/>
        </w:rPr>
        <w:t>的不予认可</w:t>
      </w:r>
      <w:r>
        <w:rPr>
          <w:rFonts w:hint="eastAsia" w:ascii="宋体" w:hAnsi="宋体" w:eastAsia="宋体" w:cs="宋体"/>
          <w:color w:val="auto"/>
          <w:szCs w:val="21"/>
          <w:highlight w:val="none"/>
        </w:rPr>
        <w:t>。</w:t>
      </w:r>
    </w:p>
    <w:p w14:paraId="27B9DE36">
      <w:pPr>
        <w:keepNext w:val="0"/>
        <w:keepLines w:val="0"/>
        <w:pageBreakBefore w:val="0"/>
        <w:widowControl w:val="0"/>
        <w:numPr>
          <w:ilvl w:val="1"/>
          <w:numId w:val="3"/>
        </w:numPr>
        <w:kinsoku/>
        <w:wordWrap/>
        <w:overflowPunct/>
        <w:topLinePunct w:val="0"/>
        <w:autoSpaceDE/>
        <w:autoSpaceDN/>
        <w:bidi w:val="0"/>
        <w:adjustRightInd/>
        <w:snapToGrid/>
        <w:spacing w:line="360" w:lineRule="auto"/>
        <w:ind w:left="0" w:leftChars="0" w:firstLine="420" w:firstLineChars="200"/>
        <w:textAlignment w:val="auto"/>
        <w:outlineLvl w:val="9"/>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rPr>
        <w:t>对本国产品的支持政策，根据《国务院办公厅关于在政府采购中实施本国产品标准及相关政策的通知》（国办发〔2025〕34号）要求，政府采购活动中既有本国产品又有非本国产品参与竞争的，依法对本国产品给予价格评审优惠，对本国产品的报价给予20%的价格扣除，用扣除后的价格参与评审。本国产品应符合以下条件，产品应当在中国境内生产，即在中华人民共和国关境内实现从原材料、组件到产品的属性改变。属性改变是指经过制造、加工或者组装等工序，产生完全不同于原材料、组件的新产品，并具有新的名称和特征（用途）。属性改变不包括以下细微操作：为确保产品在运输或者储存期间保持某种状态而进行的操作；为产品运输或者销售进行的包装或者展示；在产品或者其包装上粘贴或者印刷品牌、标志、标识以及其他用于区别的标记；简单的上漆、磨光和分装；其他不属于属性改变的情形。</w:t>
      </w:r>
    </w:p>
    <w:p w14:paraId="29A4A1C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pacing w:val="15"/>
          <w:sz w:val="21"/>
          <w:szCs w:val="21"/>
          <w:highlight w:val="none"/>
          <w:lang w:val="en-US" w:eastAsia="zh-CN"/>
        </w:rPr>
      </w:pPr>
      <w:r>
        <w:rPr>
          <w:rFonts w:hint="eastAsia" w:ascii="宋体" w:hAnsi="宋体" w:eastAsia="宋体" w:cs="宋体"/>
          <w:color w:val="auto"/>
          <w:spacing w:val="15"/>
          <w:sz w:val="21"/>
          <w:szCs w:val="21"/>
          <w:highlight w:val="none"/>
          <w:lang w:val="en-US" w:eastAsia="zh-CN"/>
        </w:rPr>
        <w:t>在分产品的中国境内生产组件成本占比要求，以及对特定产品关键组件、关键工序的相关要求实施前，只要是符合在中国境内生产要求的产品，在政府采购活动中即视同本国产品。</w:t>
      </w:r>
    </w:p>
    <w:p w14:paraId="050F036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5"/>
          <w:sz w:val="21"/>
          <w:szCs w:val="21"/>
          <w:highlight w:val="none"/>
          <w:lang w:val="en-US" w:eastAsia="zh-CN"/>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供应商提供的产品出具《关于符合本国产品标准的声明函》或财政部会同有关部门规定的有关证明文件，符合要求的，该产品视为本国产品</w:t>
      </w:r>
      <w:r>
        <w:rPr>
          <w:rFonts w:hint="eastAsia" w:ascii="宋体" w:hAnsi="宋体" w:eastAsia="宋体" w:cs="宋体"/>
          <w:color w:val="auto"/>
          <w:sz w:val="21"/>
          <w:szCs w:val="21"/>
          <w:highlight w:val="none"/>
        </w:rPr>
        <w:t>。</w:t>
      </w:r>
    </w:p>
    <w:p w14:paraId="6D121D62">
      <w:pPr>
        <w:keepNext w:val="0"/>
        <w:keepLines w:val="0"/>
        <w:pageBreakBefore w:val="0"/>
        <w:widowControl w:val="0"/>
        <w:numPr>
          <w:ilvl w:val="1"/>
          <w:numId w:val="3"/>
        </w:numPr>
        <w:kinsoku/>
        <w:wordWrap/>
        <w:overflowPunct/>
        <w:topLinePunct w:val="0"/>
        <w:autoSpaceDE/>
        <w:autoSpaceDN/>
        <w:bidi w:val="0"/>
        <w:adjustRightInd/>
        <w:snapToGrid/>
        <w:spacing w:line="360" w:lineRule="auto"/>
        <w:ind w:left="0" w:leftChars="0" w:firstLine="420" w:firstLineChars="200"/>
        <w:textAlignment w:val="auto"/>
        <w:outlineLvl w:val="9"/>
        <w:rPr>
          <w:rFonts w:hint="eastAsia" w:ascii="宋体" w:hAnsi="宋体" w:eastAsia="宋体" w:cs="宋体"/>
          <w:color w:val="auto"/>
          <w:highlight w:val="none"/>
          <w:lang w:val="en-US" w:eastAsia="zh-CN"/>
        </w:rPr>
      </w:pPr>
      <w:r>
        <w:rPr>
          <w:rFonts w:hint="eastAsia" w:ascii="宋体" w:hAnsi="宋体" w:eastAsia="宋体" w:cs="宋体"/>
          <w:color w:val="auto"/>
          <w:szCs w:val="21"/>
          <w:highlight w:val="none"/>
        </w:rPr>
        <w:t>开源节流，执行低价优先的采购政策规定。</w:t>
      </w:r>
    </w:p>
    <w:p w14:paraId="2ECDF50D">
      <w:pPr>
        <w:keepNext w:val="0"/>
        <w:keepLines w:val="0"/>
        <w:pageBreakBefore w:val="0"/>
        <w:widowControl w:val="0"/>
        <w:numPr>
          <w:ilvl w:val="1"/>
          <w:numId w:val="3"/>
        </w:numPr>
        <w:kinsoku/>
        <w:wordWrap/>
        <w:overflowPunct/>
        <w:topLinePunct w:val="0"/>
        <w:autoSpaceDE/>
        <w:autoSpaceDN/>
        <w:bidi w:val="0"/>
        <w:adjustRightInd/>
        <w:snapToGrid/>
        <w:spacing w:line="360" w:lineRule="auto"/>
        <w:ind w:left="0" w:leftChars="0" w:firstLine="420" w:firstLineChars="200"/>
        <w:textAlignment w:val="auto"/>
        <w:outlineLvl w:val="9"/>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商品包装和快递包装应符合《商品包装政府采购需求标准（试行）》和《快递包装政府采购需求标准（试行）》规定。</w:t>
      </w:r>
    </w:p>
    <w:p w14:paraId="1447ABE1">
      <w:pPr>
        <w:keepNext w:val="0"/>
        <w:keepLines w:val="0"/>
        <w:pageBreakBefore w:val="0"/>
        <w:widowControl w:val="0"/>
        <w:numPr>
          <w:ilvl w:val="1"/>
          <w:numId w:val="3"/>
        </w:numPr>
        <w:kinsoku/>
        <w:wordWrap/>
        <w:overflowPunct/>
        <w:topLinePunct w:val="0"/>
        <w:autoSpaceDE/>
        <w:autoSpaceDN/>
        <w:bidi w:val="0"/>
        <w:adjustRightInd/>
        <w:snapToGrid/>
        <w:spacing w:line="360" w:lineRule="auto"/>
        <w:ind w:left="0" w:leftChars="0" w:firstLine="420" w:firstLineChars="200"/>
        <w:textAlignment w:val="auto"/>
        <w:outlineLvl w:val="9"/>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为加快数据中心绿色转型，根据财政部、生态环境部、工业和信息化部关于印发《绿色数据中心政府采购需求标准（试行）》的通知（财库〔2023〕7 号），本项目如涉及绿色数据中心，则具体要求见《采购需求》。</w:t>
      </w:r>
    </w:p>
    <w:p w14:paraId="29988124">
      <w:pPr>
        <w:pStyle w:val="5"/>
        <w:keepNext/>
        <w:keepLines/>
        <w:pageBreakBefore w:val="0"/>
        <w:widowControl w:val="0"/>
        <w:numPr>
          <w:ilvl w:val="0"/>
          <w:numId w:val="3"/>
        </w:numPr>
        <w:tabs>
          <w:tab w:val="left" w:pos="721"/>
          <w:tab w:val="left" w:pos="840"/>
          <w:tab w:val="left" w:pos="2880"/>
          <w:tab w:val="left" w:pos="3780"/>
        </w:tabs>
        <w:kinsoku/>
        <w:wordWrap/>
        <w:overflowPunct/>
        <w:topLinePunct w:val="0"/>
        <w:autoSpaceDE/>
        <w:autoSpaceDN/>
        <w:bidi w:val="0"/>
        <w:adjustRightInd/>
        <w:snapToGrid/>
        <w:spacing w:before="0" w:after="0" w:line="360" w:lineRule="auto"/>
        <w:ind w:left="0" w:leftChars="0" w:right="0" w:rightChars="0" w:firstLine="0" w:firstLineChars="0"/>
        <w:jc w:val="both"/>
        <w:textAlignment w:val="auto"/>
        <w:outlineLvl w:val="1"/>
        <w:rPr>
          <w:rFonts w:hint="eastAsia" w:ascii="宋体" w:hAnsi="宋体" w:eastAsia="宋体" w:cs="宋体"/>
          <w:color w:val="auto"/>
          <w:sz w:val="24"/>
          <w:szCs w:val="24"/>
          <w:highlight w:val="none"/>
          <w:lang w:val="en-US" w:eastAsia="zh-CN"/>
        </w:rPr>
      </w:pPr>
      <w:bookmarkStart w:id="502" w:name="_Toc30131"/>
      <w:bookmarkStart w:id="503" w:name="_Toc29089"/>
      <w:bookmarkStart w:id="504" w:name="_Toc270604842"/>
      <w:bookmarkStart w:id="505" w:name="_Toc277149403"/>
      <w:bookmarkStart w:id="506" w:name="_Toc856"/>
      <w:bookmarkStart w:id="507" w:name="_Toc428276610"/>
      <w:bookmarkStart w:id="508" w:name="_Toc270604615"/>
      <w:bookmarkStart w:id="509" w:name="_Toc428351670"/>
      <w:bookmarkStart w:id="510" w:name="_Toc269470343"/>
      <w:bookmarkStart w:id="511" w:name="_Toc454788050"/>
      <w:r>
        <w:rPr>
          <w:rFonts w:hint="eastAsia" w:ascii="宋体" w:hAnsi="宋体" w:eastAsia="宋体" w:cs="宋体"/>
          <w:color w:val="auto"/>
          <w:sz w:val="24"/>
          <w:szCs w:val="24"/>
          <w:highlight w:val="none"/>
          <w:lang w:val="en-US" w:eastAsia="zh-CN"/>
        </w:rPr>
        <w:t>询问、质疑和投诉</w:t>
      </w:r>
      <w:bookmarkEnd w:id="502"/>
      <w:bookmarkEnd w:id="503"/>
      <w:bookmarkEnd w:id="504"/>
      <w:bookmarkEnd w:id="505"/>
      <w:bookmarkEnd w:id="506"/>
      <w:bookmarkEnd w:id="507"/>
      <w:bookmarkEnd w:id="508"/>
      <w:bookmarkEnd w:id="509"/>
      <w:bookmarkEnd w:id="510"/>
      <w:bookmarkEnd w:id="511"/>
    </w:p>
    <w:p w14:paraId="598CBB8B">
      <w:pPr>
        <w:keepNext w:val="0"/>
        <w:keepLines w:val="0"/>
        <w:pageBreakBefore w:val="0"/>
        <w:widowControl w:val="0"/>
        <w:numPr>
          <w:ilvl w:val="1"/>
          <w:numId w:val="3"/>
        </w:numPr>
        <w:kinsoku/>
        <w:wordWrap/>
        <w:overflowPunct/>
        <w:topLinePunct w:val="0"/>
        <w:autoSpaceDE/>
        <w:autoSpaceDN/>
        <w:bidi w:val="0"/>
        <w:adjustRightInd/>
        <w:snapToGrid/>
        <w:spacing w:line="360" w:lineRule="auto"/>
        <w:ind w:left="0" w:leftChars="0" w:firstLine="420" w:firstLineChars="200"/>
        <w:textAlignment w:val="auto"/>
        <w:outlineLvl w:val="9"/>
        <w:rPr>
          <w:rFonts w:hint="eastAsia" w:ascii="宋体" w:hAnsi="宋体" w:eastAsia="宋体" w:cs="宋体"/>
          <w:color w:val="auto"/>
          <w:szCs w:val="21"/>
          <w:highlight w:val="none"/>
          <w:lang w:eastAsia="zh-CN"/>
        </w:rPr>
      </w:pPr>
      <w:bookmarkStart w:id="512" w:name="_Toc17445"/>
      <w:bookmarkStart w:id="513" w:name="_Toc455678154"/>
      <w:bookmarkStart w:id="514" w:name="_Toc462934328"/>
      <w:bookmarkStart w:id="515" w:name="_Toc463011307"/>
      <w:r>
        <w:rPr>
          <w:rFonts w:hint="eastAsia" w:ascii="宋体" w:hAnsi="宋体" w:eastAsia="宋体" w:cs="宋体"/>
          <w:color w:val="auto"/>
          <w:szCs w:val="21"/>
          <w:highlight w:val="none"/>
          <w:lang w:eastAsia="zh-CN"/>
        </w:rPr>
        <w:t>投标人或有关当事人对采购过程、中标结果有异议的，可以向采购人或者采购代理机构提出询问。</w:t>
      </w:r>
      <w:bookmarkEnd w:id="512"/>
      <w:bookmarkEnd w:id="513"/>
      <w:bookmarkEnd w:id="514"/>
      <w:bookmarkEnd w:id="515"/>
    </w:p>
    <w:p w14:paraId="3BA54B2F">
      <w:pPr>
        <w:keepNext w:val="0"/>
        <w:keepLines w:val="0"/>
        <w:pageBreakBefore w:val="0"/>
        <w:widowControl w:val="0"/>
        <w:numPr>
          <w:ilvl w:val="1"/>
          <w:numId w:val="3"/>
        </w:numPr>
        <w:kinsoku/>
        <w:wordWrap/>
        <w:overflowPunct/>
        <w:topLinePunct w:val="0"/>
        <w:autoSpaceDE/>
        <w:autoSpaceDN/>
        <w:bidi w:val="0"/>
        <w:adjustRightInd/>
        <w:snapToGrid/>
        <w:spacing w:line="360" w:lineRule="auto"/>
        <w:ind w:left="0" w:leftChars="0" w:firstLine="420" w:firstLineChars="200"/>
        <w:textAlignment w:val="auto"/>
        <w:outlineLvl w:val="9"/>
        <w:rPr>
          <w:rFonts w:hint="eastAsia" w:ascii="宋体" w:hAnsi="宋体" w:eastAsia="宋体" w:cs="宋体"/>
          <w:color w:val="auto"/>
          <w:szCs w:val="21"/>
          <w:highlight w:val="none"/>
          <w:lang w:eastAsia="zh-CN"/>
        </w:rPr>
      </w:pPr>
      <w:bookmarkStart w:id="516" w:name="_Toc463011308"/>
      <w:bookmarkStart w:id="517" w:name="_Toc455678155"/>
      <w:bookmarkStart w:id="518" w:name="_Toc462934329"/>
      <w:bookmarkStart w:id="519" w:name="_Toc27421"/>
      <w:bookmarkStart w:id="520" w:name="_Toc24621"/>
      <w:r>
        <w:rPr>
          <w:rFonts w:hint="eastAsia" w:ascii="宋体" w:hAnsi="宋体" w:eastAsia="宋体" w:cs="宋体"/>
          <w:color w:val="auto"/>
          <w:szCs w:val="21"/>
          <w:highlight w:val="none"/>
          <w:lang w:eastAsia="zh-CN"/>
        </w:rPr>
        <w:t>采购人或者采购代理机构应当在三个工作日内对投标人依法提出的询问作出答复。</w:t>
      </w:r>
      <w:bookmarkEnd w:id="516"/>
      <w:bookmarkEnd w:id="517"/>
      <w:bookmarkEnd w:id="518"/>
      <w:bookmarkEnd w:id="519"/>
      <w:bookmarkEnd w:id="520"/>
    </w:p>
    <w:p w14:paraId="12A12435">
      <w:pPr>
        <w:keepNext w:val="0"/>
        <w:keepLines w:val="0"/>
        <w:pageBreakBefore w:val="0"/>
        <w:widowControl w:val="0"/>
        <w:numPr>
          <w:ilvl w:val="1"/>
          <w:numId w:val="3"/>
        </w:numPr>
        <w:kinsoku/>
        <w:wordWrap/>
        <w:overflowPunct/>
        <w:topLinePunct w:val="0"/>
        <w:autoSpaceDE/>
        <w:autoSpaceDN/>
        <w:bidi w:val="0"/>
        <w:adjustRightInd/>
        <w:snapToGrid/>
        <w:spacing w:line="360" w:lineRule="auto"/>
        <w:ind w:left="0" w:leftChars="0" w:firstLine="420" w:firstLineChars="200"/>
        <w:textAlignment w:val="auto"/>
        <w:outlineLvl w:val="9"/>
        <w:rPr>
          <w:rFonts w:hint="eastAsia" w:ascii="宋体" w:hAnsi="宋体" w:eastAsia="宋体" w:cs="宋体"/>
          <w:color w:val="auto"/>
          <w:szCs w:val="21"/>
          <w:highlight w:val="none"/>
          <w:lang w:eastAsia="zh-CN"/>
        </w:rPr>
      </w:pPr>
      <w:bookmarkStart w:id="521" w:name="_Toc28381"/>
      <w:bookmarkStart w:id="522" w:name="_Toc455678156"/>
      <w:bookmarkStart w:id="523" w:name="_Toc462934330"/>
      <w:bookmarkStart w:id="524" w:name="_Toc463011309"/>
      <w:bookmarkStart w:id="525" w:name="_Toc30298"/>
      <w:r>
        <w:rPr>
          <w:rFonts w:hint="eastAsia" w:ascii="宋体" w:hAnsi="宋体" w:eastAsia="宋体" w:cs="宋体"/>
          <w:color w:val="auto"/>
          <w:szCs w:val="21"/>
          <w:highlight w:val="none"/>
          <w:lang w:eastAsia="zh-CN"/>
        </w:rPr>
        <w:t>投标人认为招标文件、采购过程使自己的权益受到损害的，可以在知道或者应知其权益受到损害之日起七个工作日内，以书面形式向采购人</w:t>
      </w:r>
      <w:r>
        <w:rPr>
          <w:rFonts w:hint="eastAsia" w:ascii="宋体" w:hAnsi="宋体" w:eastAsia="宋体" w:cs="宋体"/>
          <w:color w:val="auto"/>
          <w:kern w:val="2"/>
          <w:sz w:val="21"/>
          <w:szCs w:val="21"/>
          <w:highlight w:val="none"/>
        </w:rPr>
        <w:t>或者采购代理机构</w:t>
      </w:r>
      <w:r>
        <w:rPr>
          <w:rFonts w:hint="eastAsia" w:ascii="宋体" w:hAnsi="宋体" w:eastAsia="宋体" w:cs="宋体"/>
          <w:color w:val="auto"/>
          <w:szCs w:val="21"/>
          <w:highlight w:val="none"/>
          <w:lang w:eastAsia="zh-CN"/>
        </w:rPr>
        <w:t>提出质疑。</w:t>
      </w:r>
      <w:bookmarkEnd w:id="521"/>
      <w:bookmarkEnd w:id="522"/>
      <w:bookmarkEnd w:id="523"/>
      <w:bookmarkEnd w:id="524"/>
      <w:bookmarkEnd w:id="525"/>
    </w:p>
    <w:p w14:paraId="1137BF37">
      <w:pPr>
        <w:keepNext w:val="0"/>
        <w:keepLines w:val="0"/>
        <w:pageBreakBefore w:val="0"/>
        <w:widowControl w:val="0"/>
        <w:numPr>
          <w:ilvl w:val="1"/>
          <w:numId w:val="3"/>
        </w:numPr>
        <w:kinsoku/>
        <w:wordWrap/>
        <w:overflowPunct/>
        <w:topLinePunct w:val="0"/>
        <w:autoSpaceDE/>
        <w:autoSpaceDN/>
        <w:bidi w:val="0"/>
        <w:adjustRightInd/>
        <w:snapToGrid/>
        <w:spacing w:line="360" w:lineRule="auto"/>
        <w:ind w:left="0" w:leftChars="0" w:firstLine="420" w:firstLineChars="200"/>
        <w:textAlignment w:val="auto"/>
        <w:outlineLvl w:val="9"/>
        <w:rPr>
          <w:rFonts w:hint="eastAsia" w:ascii="宋体" w:hAnsi="宋体" w:eastAsia="宋体" w:cs="宋体"/>
          <w:color w:val="auto"/>
          <w:szCs w:val="21"/>
          <w:highlight w:val="none"/>
          <w:lang w:eastAsia="zh-CN"/>
        </w:rPr>
      </w:pPr>
      <w:bookmarkStart w:id="526" w:name="_Toc463011310"/>
      <w:bookmarkStart w:id="527" w:name="_Toc462934331"/>
      <w:bookmarkStart w:id="528" w:name="_Toc288"/>
      <w:bookmarkStart w:id="529" w:name="_Toc16614"/>
      <w:r>
        <w:rPr>
          <w:rFonts w:hint="eastAsia" w:ascii="宋体" w:hAnsi="宋体" w:eastAsia="宋体" w:cs="宋体"/>
          <w:color w:val="auto"/>
          <w:szCs w:val="21"/>
          <w:highlight w:val="none"/>
          <w:lang w:eastAsia="zh-CN"/>
        </w:rPr>
        <w:t>投标人认为中标结果使自己的权益受到损害的，可以在中标结果公告期限届满之日起七个工作日内，以书面形式向采购人</w:t>
      </w:r>
      <w:r>
        <w:rPr>
          <w:rFonts w:hint="eastAsia" w:ascii="宋体" w:hAnsi="宋体" w:eastAsia="宋体" w:cs="宋体"/>
          <w:color w:val="auto"/>
          <w:kern w:val="2"/>
          <w:sz w:val="21"/>
          <w:szCs w:val="21"/>
          <w:highlight w:val="none"/>
        </w:rPr>
        <w:t>或者采购代理机构</w:t>
      </w:r>
      <w:r>
        <w:rPr>
          <w:rFonts w:hint="eastAsia" w:ascii="宋体" w:hAnsi="宋体" w:eastAsia="宋体" w:cs="宋体"/>
          <w:color w:val="auto"/>
          <w:szCs w:val="21"/>
          <w:highlight w:val="none"/>
          <w:lang w:eastAsia="zh-CN"/>
        </w:rPr>
        <w:t>提出质疑，接收质疑函</w:t>
      </w:r>
      <w:r>
        <w:rPr>
          <w:rFonts w:hint="eastAsia" w:ascii="宋体" w:hAnsi="宋体" w:eastAsia="宋体" w:cs="宋体"/>
          <w:color w:val="auto"/>
          <w:szCs w:val="21"/>
          <w:highlight w:val="none"/>
          <w:lang w:val="en-US" w:eastAsia="zh-CN"/>
        </w:rPr>
        <w:t>联系部门、电话及地址详见招标公告</w:t>
      </w:r>
      <w:r>
        <w:rPr>
          <w:rFonts w:hint="eastAsia" w:ascii="宋体" w:hAnsi="宋体" w:eastAsia="宋体" w:cs="宋体"/>
          <w:color w:val="auto"/>
          <w:szCs w:val="21"/>
          <w:highlight w:val="none"/>
          <w:lang w:eastAsia="zh-CN"/>
        </w:rPr>
        <w:t>。</w:t>
      </w:r>
      <w:bookmarkEnd w:id="526"/>
      <w:bookmarkEnd w:id="527"/>
      <w:bookmarkEnd w:id="528"/>
      <w:bookmarkEnd w:id="529"/>
      <w:r>
        <w:rPr>
          <w:rFonts w:hint="eastAsia" w:ascii="宋体" w:hAnsi="宋体" w:eastAsia="宋体" w:cs="宋体"/>
          <w:color w:val="auto"/>
          <w:szCs w:val="21"/>
          <w:highlight w:val="none"/>
          <w:lang w:eastAsia="zh-CN"/>
        </w:rPr>
        <w:t>在法定质疑期内投标人针对同一采购程序环节的质疑应当一次性提出。</w:t>
      </w:r>
    </w:p>
    <w:p w14:paraId="0DD27291">
      <w:pPr>
        <w:keepNext w:val="0"/>
        <w:keepLines w:val="0"/>
        <w:pageBreakBefore w:val="0"/>
        <w:widowControl w:val="0"/>
        <w:numPr>
          <w:ilvl w:val="1"/>
          <w:numId w:val="3"/>
        </w:numPr>
        <w:kinsoku/>
        <w:wordWrap/>
        <w:overflowPunct/>
        <w:topLinePunct w:val="0"/>
        <w:autoSpaceDE/>
        <w:autoSpaceDN/>
        <w:bidi w:val="0"/>
        <w:adjustRightInd/>
        <w:snapToGrid/>
        <w:spacing w:line="360" w:lineRule="auto"/>
        <w:ind w:left="0" w:leftChars="0" w:firstLine="420" w:firstLineChars="200"/>
        <w:textAlignment w:val="auto"/>
        <w:outlineLvl w:val="9"/>
        <w:rPr>
          <w:rFonts w:hint="eastAsia" w:ascii="宋体" w:hAnsi="宋体" w:eastAsia="宋体" w:cs="宋体"/>
          <w:color w:val="auto"/>
          <w:szCs w:val="21"/>
          <w:highlight w:val="none"/>
          <w:lang w:eastAsia="zh-CN"/>
        </w:rPr>
      </w:pPr>
      <w:bookmarkStart w:id="530" w:name="_Toc5258"/>
      <w:bookmarkStart w:id="531" w:name="_Toc455678157"/>
      <w:bookmarkStart w:id="532" w:name="_Toc463011311"/>
      <w:bookmarkStart w:id="533" w:name="_Toc462934332"/>
      <w:bookmarkStart w:id="534" w:name="_Toc18478"/>
      <w:r>
        <w:rPr>
          <w:rFonts w:hint="eastAsia" w:ascii="宋体" w:hAnsi="宋体" w:eastAsia="宋体" w:cs="宋体"/>
          <w:color w:val="auto"/>
          <w:szCs w:val="21"/>
          <w:highlight w:val="none"/>
          <w:lang w:eastAsia="zh-CN"/>
        </w:rPr>
        <w:t>采购人或者采购代理机构应当在收到投标人的书面质疑后七个工作日内作出答复，并以书面形式通知质疑投标人和其他有关投标人，但答复的内容不得涉及商业秘密。</w:t>
      </w:r>
      <w:bookmarkEnd w:id="530"/>
      <w:bookmarkEnd w:id="531"/>
      <w:bookmarkEnd w:id="532"/>
      <w:bookmarkEnd w:id="533"/>
      <w:bookmarkEnd w:id="534"/>
    </w:p>
    <w:p w14:paraId="5C220B49">
      <w:pPr>
        <w:keepNext w:val="0"/>
        <w:keepLines w:val="0"/>
        <w:pageBreakBefore w:val="0"/>
        <w:widowControl w:val="0"/>
        <w:numPr>
          <w:ilvl w:val="1"/>
          <w:numId w:val="3"/>
        </w:numPr>
        <w:kinsoku/>
        <w:wordWrap/>
        <w:overflowPunct/>
        <w:topLinePunct w:val="0"/>
        <w:autoSpaceDE/>
        <w:autoSpaceDN/>
        <w:bidi w:val="0"/>
        <w:adjustRightInd/>
        <w:snapToGrid/>
        <w:spacing w:line="360" w:lineRule="auto"/>
        <w:ind w:left="0" w:leftChars="0" w:firstLine="420" w:firstLineChars="200"/>
        <w:textAlignment w:val="auto"/>
        <w:outlineLvl w:val="9"/>
        <w:rPr>
          <w:rFonts w:hint="eastAsia" w:ascii="宋体" w:hAnsi="宋体" w:eastAsia="宋体" w:cs="宋体"/>
          <w:color w:val="auto"/>
          <w:szCs w:val="21"/>
          <w:highlight w:val="none"/>
          <w:lang w:eastAsia="zh-CN"/>
        </w:rPr>
      </w:pPr>
      <w:bookmarkStart w:id="535" w:name="_Toc4898"/>
      <w:bookmarkStart w:id="536" w:name="_Toc21390"/>
      <w:bookmarkStart w:id="537" w:name="_Toc463011312"/>
      <w:bookmarkStart w:id="538" w:name="_Toc462934333"/>
      <w:bookmarkStart w:id="539" w:name="_Toc455678158"/>
      <w:r>
        <w:rPr>
          <w:rFonts w:hint="eastAsia" w:ascii="宋体" w:hAnsi="宋体" w:eastAsia="宋体" w:cs="宋体"/>
          <w:color w:val="auto"/>
          <w:szCs w:val="21"/>
          <w:highlight w:val="none"/>
          <w:lang w:eastAsia="zh-CN"/>
        </w:rPr>
        <w:t>质疑投标人对采购人、采购代理机构的答复不满意或者采购人、采购代理机构未在规定的时间内作出答复的，可以在答复期满后十五个工作日内向同级政府采购监督管理部门投诉。</w:t>
      </w:r>
      <w:bookmarkEnd w:id="535"/>
      <w:bookmarkEnd w:id="536"/>
      <w:bookmarkEnd w:id="537"/>
      <w:bookmarkEnd w:id="538"/>
      <w:bookmarkEnd w:id="539"/>
    </w:p>
    <w:p w14:paraId="5446B6A1">
      <w:pPr>
        <w:keepNext w:val="0"/>
        <w:keepLines w:val="0"/>
        <w:pageBreakBefore w:val="0"/>
        <w:widowControl w:val="0"/>
        <w:numPr>
          <w:ilvl w:val="1"/>
          <w:numId w:val="3"/>
        </w:numPr>
        <w:kinsoku/>
        <w:wordWrap/>
        <w:overflowPunct/>
        <w:topLinePunct w:val="0"/>
        <w:autoSpaceDE/>
        <w:autoSpaceDN/>
        <w:bidi w:val="0"/>
        <w:adjustRightInd/>
        <w:snapToGrid/>
        <w:spacing w:line="360" w:lineRule="auto"/>
        <w:ind w:left="0" w:leftChars="0" w:firstLine="420" w:firstLineChars="200"/>
        <w:textAlignment w:val="auto"/>
        <w:outlineLvl w:val="9"/>
        <w:rPr>
          <w:rFonts w:hint="eastAsia" w:ascii="宋体" w:hAnsi="宋体" w:eastAsia="宋体" w:cs="宋体"/>
          <w:color w:val="auto"/>
          <w:szCs w:val="21"/>
          <w:highlight w:val="none"/>
          <w:lang w:eastAsia="zh-CN"/>
        </w:rPr>
      </w:pPr>
      <w:bookmarkStart w:id="540" w:name="_Toc17682"/>
      <w:bookmarkStart w:id="541" w:name="_Toc463011313"/>
      <w:bookmarkStart w:id="542" w:name="_Toc455678159"/>
      <w:bookmarkStart w:id="543" w:name="_Toc11631"/>
      <w:bookmarkStart w:id="544" w:name="_Toc462934334"/>
      <w:r>
        <w:rPr>
          <w:rFonts w:hint="eastAsia" w:ascii="宋体" w:hAnsi="宋体" w:eastAsia="宋体" w:cs="宋体"/>
          <w:color w:val="auto"/>
          <w:szCs w:val="21"/>
          <w:highlight w:val="none"/>
          <w:lang w:eastAsia="zh-CN"/>
        </w:rPr>
        <w:t>投标人质疑、投诉应当有明确的请求和必要的证明材料。投标人投诉的事项不得超出已质疑事项的范围。</w:t>
      </w:r>
      <w:bookmarkEnd w:id="540"/>
      <w:bookmarkEnd w:id="541"/>
      <w:bookmarkEnd w:id="542"/>
      <w:bookmarkEnd w:id="543"/>
      <w:bookmarkEnd w:id="544"/>
    </w:p>
    <w:p w14:paraId="1A29E8FA">
      <w:pPr>
        <w:pStyle w:val="5"/>
        <w:keepNext/>
        <w:keepLines/>
        <w:pageBreakBefore w:val="0"/>
        <w:widowControl w:val="0"/>
        <w:numPr>
          <w:ilvl w:val="0"/>
          <w:numId w:val="3"/>
        </w:numPr>
        <w:tabs>
          <w:tab w:val="left" w:pos="721"/>
          <w:tab w:val="left" w:pos="2880"/>
          <w:tab w:val="left" w:pos="3780"/>
        </w:tabs>
        <w:kinsoku/>
        <w:wordWrap/>
        <w:overflowPunct/>
        <w:topLinePunct w:val="0"/>
        <w:autoSpaceDE/>
        <w:autoSpaceDN/>
        <w:bidi w:val="0"/>
        <w:adjustRightInd/>
        <w:snapToGrid/>
        <w:spacing w:before="0" w:after="0" w:line="360" w:lineRule="auto"/>
        <w:ind w:left="0" w:leftChars="0" w:right="0" w:rightChars="0" w:firstLine="0" w:firstLineChars="0"/>
        <w:jc w:val="both"/>
        <w:textAlignment w:val="auto"/>
        <w:outlineLvl w:val="1"/>
        <w:rPr>
          <w:rFonts w:hint="eastAsia" w:ascii="宋体" w:hAnsi="宋体" w:eastAsia="宋体" w:cs="宋体"/>
          <w:b/>
          <w:color w:val="auto"/>
          <w:sz w:val="24"/>
          <w:szCs w:val="24"/>
          <w:highlight w:val="none"/>
          <w:lang w:val="en-US" w:eastAsia="zh-CN"/>
        </w:rPr>
      </w:pPr>
      <w:bookmarkStart w:id="545" w:name="_Toc15178"/>
      <w:bookmarkStart w:id="546" w:name="_Toc18765"/>
      <w:r>
        <w:rPr>
          <w:rFonts w:hint="eastAsia" w:ascii="宋体" w:hAnsi="宋体" w:eastAsia="宋体" w:cs="宋体"/>
          <w:b/>
          <w:color w:val="auto"/>
          <w:sz w:val="24"/>
          <w:szCs w:val="24"/>
          <w:highlight w:val="none"/>
          <w:lang w:val="en-US" w:eastAsia="zh-CN"/>
        </w:rPr>
        <w:t>需要补充的其他内容</w:t>
      </w:r>
      <w:bookmarkEnd w:id="545"/>
      <w:bookmarkEnd w:id="546"/>
    </w:p>
    <w:p w14:paraId="76859E1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textAlignment w:val="auto"/>
        <w:outlineLvl w:val="9"/>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需要补充的其他内容：见投标人须知前附表。</w:t>
      </w:r>
      <w:bookmarkEnd w:id="501"/>
      <w:r>
        <w:rPr>
          <w:rFonts w:hint="eastAsia" w:ascii="宋体" w:hAnsi="宋体" w:eastAsia="宋体" w:cs="宋体"/>
          <w:color w:val="auto"/>
          <w:szCs w:val="21"/>
          <w:highlight w:val="none"/>
          <w:lang w:val="en-US" w:eastAsia="zh-CN"/>
        </w:rPr>
        <w:t xml:space="preserve"> </w:t>
      </w:r>
    </w:p>
    <w:p w14:paraId="12D334C9">
      <w:pPr>
        <w:pStyle w:val="3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overflowPunct/>
        <w:bidi w:val="0"/>
        <w:spacing w:before="0" w:beforeAutospacing="0" w:after="0" w:afterAutospacing="0" w:line="360" w:lineRule="auto"/>
        <w:ind w:left="0" w:right="0" w:firstLine="0"/>
        <w:jc w:val="left"/>
        <w:rPr>
          <w:rFonts w:hint="eastAsia" w:ascii="宋体" w:hAnsi="宋体" w:eastAsia="宋体" w:cs="宋体"/>
          <w:b/>
          <w:bCs/>
          <w:color w:val="auto"/>
          <w:kern w:val="0"/>
          <w:szCs w:val="21"/>
          <w:highlight w:val="none"/>
          <w:lang w:eastAsia="zh-CN"/>
        </w:rPr>
      </w:pPr>
      <w:r>
        <w:rPr>
          <w:rFonts w:hint="eastAsia" w:ascii="宋体" w:hAnsi="宋体" w:eastAsia="宋体" w:cs="宋体"/>
          <w:b/>
          <w:bCs/>
          <w:color w:val="auto"/>
          <w:kern w:val="0"/>
          <w:szCs w:val="21"/>
          <w:highlight w:val="none"/>
          <w:lang w:eastAsia="zh-CN"/>
        </w:rPr>
        <w:br w:type="page"/>
      </w:r>
      <w:r>
        <w:rPr>
          <w:rFonts w:hint="eastAsia" w:ascii="宋体" w:hAnsi="宋体" w:eastAsia="宋体" w:cs="宋体"/>
          <w:b/>
          <w:bCs/>
          <w:color w:val="auto"/>
          <w:kern w:val="0"/>
          <w:szCs w:val="21"/>
          <w:highlight w:val="none"/>
          <w:lang w:eastAsia="zh-CN"/>
        </w:rPr>
        <w:t>附件</w:t>
      </w:r>
      <w:r>
        <w:rPr>
          <w:rFonts w:hint="eastAsia" w:ascii="宋体" w:hAnsi="宋体" w:eastAsia="宋体" w:cs="宋体"/>
          <w:b/>
          <w:bCs/>
          <w:color w:val="auto"/>
          <w:kern w:val="0"/>
          <w:szCs w:val="21"/>
          <w:highlight w:val="none"/>
          <w:lang w:val="en-US" w:eastAsia="zh-CN"/>
        </w:rPr>
        <w:t>1</w:t>
      </w:r>
      <w:r>
        <w:rPr>
          <w:rFonts w:hint="eastAsia" w:ascii="宋体" w:hAnsi="宋体" w:eastAsia="宋体" w:cs="宋体"/>
          <w:b/>
          <w:bCs/>
          <w:color w:val="auto"/>
          <w:kern w:val="0"/>
          <w:szCs w:val="21"/>
          <w:highlight w:val="none"/>
          <w:lang w:eastAsia="zh-CN"/>
        </w:rPr>
        <w:t>：</w:t>
      </w:r>
    </w:p>
    <w:p w14:paraId="34B526CC">
      <w:pPr>
        <w:pStyle w:val="3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overflowPunct/>
        <w:bidi w:val="0"/>
        <w:spacing w:before="0" w:beforeAutospacing="0" w:after="0" w:afterAutospacing="0" w:line="360" w:lineRule="auto"/>
        <w:ind w:left="0" w:right="0" w:firstLine="0"/>
        <w:jc w:val="center"/>
        <w:rPr>
          <w:rFonts w:hint="eastAsia" w:ascii="宋体" w:hAnsi="宋体" w:eastAsia="宋体" w:cs="宋体"/>
          <w:b/>
          <w:bCs/>
          <w:i w:val="0"/>
          <w:caps w:val="0"/>
          <w:color w:val="auto"/>
          <w:spacing w:val="8"/>
          <w:sz w:val="28"/>
          <w:szCs w:val="28"/>
          <w:highlight w:val="none"/>
          <w:shd w:val="clear" w:color="auto" w:fill="FFFFFF"/>
        </w:rPr>
      </w:pPr>
      <w:r>
        <w:rPr>
          <w:rFonts w:hint="eastAsia" w:ascii="宋体" w:hAnsi="宋体" w:eastAsia="宋体" w:cs="宋体"/>
          <w:b/>
          <w:bCs/>
          <w:i w:val="0"/>
          <w:caps w:val="0"/>
          <w:color w:val="auto"/>
          <w:spacing w:val="8"/>
          <w:sz w:val="28"/>
          <w:szCs w:val="28"/>
          <w:highlight w:val="none"/>
          <w:shd w:val="clear" w:color="auto" w:fill="FFFFFF"/>
        </w:rPr>
        <w:t>统计上大中小微型企业划分标准</w:t>
      </w:r>
    </w:p>
    <w:p w14:paraId="1A602020">
      <w:pPr>
        <w:pStyle w:val="3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overflowPunct/>
        <w:bidi w:val="0"/>
        <w:spacing w:before="0" w:beforeAutospacing="0" w:after="0" w:afterAutospacing="0" w:line="360" w:lineRule="auto"/>
        <w:ind w:left="0" w:right="0" w:firstLine="0"/>
        <w:jc w:val="center"/>
        <w:rPr>
          <w:rFonts w:hint="eastAsia" w:ascii="宋体" w:hAnsi="宋体" w:eastAsia="宋体" w:cs="宋体"/>
          <w:b/>
          <w:bCs/>
          <w:i w:val="0"/>
          <w:caps w:val="0"/>
          <w:color w:val="auto"/>
          <w:spacing w:val="8"/>
          <w:sz w:val="28"/>
          <w:szCs w:val="28"/>
          <w:highlight w:val="none"/>
          <w:shd w:val="clear" w:color="auto" w:fill="FFFFFF"/>
        </w:rPr>
      </w:pPr>
    </w:p>
    <w:tbl>
      <w:tblPr>
        <w:tblStyle w:val="36"/>
        <w:tblW w:w="1015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2280"/>
        <w:gridCol w:w="1472"/>
        <w:gridCol w:w="760"/>
        <w:gridCol w:w="1213"/>
        <w:gridCol w:w="1827"/>
        <w:gridCol w:w="1536"/>
        <w:gridCol w:w="1067"/>
      </w:tblGrid>
      <w:tr w14:paraId="5D0244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615" w:hRule="atLeast"/>
          <w:jc w:val="center"/>
        </w:trPr>
        <w:tc>
          <w:tcPr>
            <w:tcW w:w="2115" w:type="dxa"/>
            <w:tcBorders>
              <w:top w:val="single" w:color="4F81BD" w:sz="6" w:space="0"/>
              <w:left w:val="single" w:color="4F81BD" w:sz="6" w:space="0"/>
              <w:bottom w:val="single" w:color="FFFFFF" w:sz="18" w:space="0"/>
              <w:right w:val="single" w:color="4F81BD" w:sz="6" w:space="0"/>
            </w:tcBorders>
            <w:shd w:val="clear" w:color="auto" w:fill="4F81BD"/>
            <w:noWrap w:val="0"/>
            <w:tcMar>
              <w:left w:w="105" w:type="dxa"/>
              <w:right w:w="105" w:type="dxa"/>
            </w:tcMar>
            <w:vAlign w:val="center"/>
          </w:tcPr>
          <w:p w14:paraId="5F36A1D6">
            <w:pPr>
              <w:pStyle w:val="3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center"/>
              <w:rPr>
                <w:rFonts w:hint="eastAsia" w:ascii="宋体" w:hAnsi="宋体" w:eastAsia="宋体" w:cs="宋体"/>
                <w:color w:val="auto"/>
                <w:sz w:val="21"/>
                <w:szCs w:val="21"/>
                <w:highlight w:val="none"/>
              </w:rPr>
            </w:pPr>
            <w:r>
              <w:rPr>
                <w:rStyle w:val="39"/>
                <w:rFonts w:hint="eastAsia" w:ascii="宋体" w:hAnsi="宋体" w:eastAsia="宋体" w:cs="宋体"/>
                <w:i w:val="0"/>
                <w:caps w:val="0"/>
                <w:color w:val="auto"/>
                <w:spacing w:val="8"/>
                <w:sz w:val="21"/>
                <w:szCs w:val="21"/>
                <w:highlight w:val="none"/>
              </w:rPr>
              <w:t>行业名称</w:t>
            </w:r>
          </w:p>
        </w:tc>
        <w:tc>
          <w:tcPr>
            <w:tcW w:w="1365" w:type="dxa"/>
            <w:tcBorders>
              <w:top w:val="single" w:color="4F81BD" w:sz="6" w:space="0"/>
              <w:left w:val="nil"/>
              <w:bottom w:val="single" w:color="FFFFFF" w:sz="18" w:space="0"/>
              <w:right w:val="single" w:color="4F81BD" w:sz="6" w:space="0"/>
            </w:tcBorders>
            <w:shd w:val="clear" w:color="auto" w:fill="4F81BD"/>
            <w:noWrap w:val="0"/>
            <w:tcMar>
              <w:left w:w="105" w:type="dxa"/>
              <w:right w:w="105" w:type="dxa"/>
            </w:tcMar>
            <w:vAlign w:val="center"/>
          </w:tcPr>
          <w:p w14:paraId="43DA3E6D">
            <w:pPr>
              <w:pStyle w:val="3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center"/>
              <w:rPr>
                <w:rFonts w:hint="eastAsia" w:ascii="宋体" w:hAnsi="宋体" w:eastAsia="宋体" w:cs="宋体"/>
                <w:color w:val="auto"/>
                <w:sz w:val="21"/>
                <w:szCs w:val="21"/>
                <w:highlight w:val="none"/>
              </w:rPr>
            </w:pPr>
            <w:r>
              <w:rPr>
                <w:rStyle w:val="39"/>
                <w:rFonts w:hint="eastAsia" w:ascii="宋体" w:hAnsi="宋体" w:eastAsia="宋体" w:cs="宋体"/>
                <w:i w:val="0"/>
                <w:caps w:val="0"/>
                <w:color w:val="auto"/>
                <w:spacing w:val="8"/>
                <w:sz w:val="21"/>
                <w:szCs w:val="21"/>
                <w:highlight w:val="none"/>
              </w:rPr>
              <w:t>指标名称</w:t>
            </w:r>
          </w:p>
        </w:tc>
        <w:tc>
          <w:tcPr>
            <w:tcW w:w="705" w:type="dxa"/>
            <w:tcBorders>
              <w:top w:val="single" w:color="4F81BD" w:sz="6" w:space="0"/>
              <w:left w:val="nil"/>
              <w:bottom w:val="single" w:color="FFFFFF" w:sz="18" w:space="0"/>
              <w:right w:val="single" w:color="4F81BD" w:sz="6" w:space="0"/>
            </w:tcBorders>
            <w:shd w:val="clear" w:color="auto" w:fill="4F81BD"/>
            <w:noWrap w:val="0"/>
            <w:tcMar>
              <w:left w:w="105" w:type="dxa"/>
              <w:right w:w="105" w:type="dxa"/>
            </w:tcMar>
            <w:vAlign w:val="center"/>
          </w:tcPr>
          <w:p w14:paraId="2FA82331">
            <w:pPr>
              <w:pStyle w:val="3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center"/>
              <w:rPr>
                <w:rFonts w:hint="eastAsia" w:ascii="宋体" w:hAnsi="宋体" w:eastAsia="宋体" w:cs="宋体"/>
                <w:color w:val="auto"/>
                <w:sz w:val="21"/>
                <w:szCs w:val="21"/>
                <w:highlight w:val="none"/>
              </w:rPr>
            </w:pPr>
            <w:r>
              <w:rPr>
                <w:rStyle w:val="39"/>
                <w:rFonts w:hint="eastAsia" w:ascii="宋体" w:hAnsi="宋体" w:eastAsia="宋体" w:cs="宋体"/>
                <w:i w:val="0"/>
                <w:caps w:val="0"/>
                <w:color w:val="auto"/>
                <w:spacing w:val="8"/>
                <w:sz w:val="21"/>
                <w:szCs w:val="21"/>
                <w:highlight w:val="none"/>
              </w:rPr>
              <w:t>计量单位</w:t>
            </w:r>
          </w:p>
        </w:tc>
        <w:tc>
          <w:tcPr>
            <w:tcW w:w="1125" w:type="dxa"/>
            <w:tcBorders>
              <w:top w:val="single" w:color="4F81BD" w:sz="6" w:space="0"/>
              <w:left w:val="nil"/>
              <w:bottom w:val="single" w:color="FFFFFF" w:sz="18" w:space="0"/>
              <w:right w:val="single" w:color="4F81BD" w:sz="6" w:space="0"/>
            </w:tcBorders>
            <w:shd w:val="clear" w:color="auto" w:fill="4F81BD"/>
            <w:noWrap w:val="0"/>
            <w:tcMar>
              <w:left w:w="105" w:type="dxa"/>
              <w:right w:w="105" w:type="dxa"/>
            </w:tcMar>
            <w:vAlign w:val="center"/>
          </w:tcPr>
          <w:p w14:paraId="584D4A01">
            <w:pPr>
              <w:pStyle w:val="3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center"/>
              <w:rPr>
                <w:rFonts w:hint="eastAsia" w:ascii="宋体" w:hAnsi="宋体" w:eastAsia="宋体" w:cs="宋体"/>
                <w:color w:val="auto"/>
                <w:sz w:val="21"/>
                <w:szCs w:val="21"/>
                <w:highlight w:val="none"/>
              </w:rPr>
            </w:pPr>
            <w:r>
              <w:rPr>
                <w:rStyle w:val="39"/>
                <w:rFonts w:hint="eastAsia" w:ascii="宋体" w:hAnsi="宋体" w:eastAsia="宋体" w:cs="宋体"/>
                <w:i w:val="0"/>
                <w:caps w:val="0"/>
                <w:color w:val="auto"/>
                <w:spacing w:val="8"/>
                <w:sz w:val="21"/>
                <w:szCs w:val="21"/>
                <w:highlight w:val="none"/>
              </w:rPr>
              <w:t>大型</w:t>
            </w:r>
          </w:p>
        </w:tc>
        <w:tc>
          <w:tcPr>
            <w:tcW w:w="1695" w:type="dxa"/>
            <w:tcBorders>
              <w:top w:val="single" w:color="4F81BD" w:sz="6" w:space="0"/>
              <w:left w:val="nil"/>
              <w:bottom w:val="single" w:color="FFFFFF" w:sz="18" w:space="0"/>
              <w:right w:val="single" w:color="4F81BD" w:sz="6" w:space="0"/>
            </w:tcBorders>
            <w:shd w:val="clear" w:color="auto" w:fill="4F81BD"/>
            <w:noWrap w:val="0"/>
            <w:tcMar>
              <w:left w:w="105" w:type="dxa"/>
              <w:right w:w="105" w:type="dxa"/>
            </w:tcMar>
            <w:vAlign w:val="center"/>
          </w:tcPr>
          <w:p w14:paraId="09F898A7">
            <w:pPr>
              <w:pStyle w:val="3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center"/>
              <w:rPr>
                <w:rFonts w:hint="eastAsia" w:ascii="宋体" w:hAnsi="宋体" w:eastAsia="宋体" w:cs="宋体"/>
                <w:color w:val="auto"/>
                <w:sz w:val="21"/>
                <w:szCs w:val="21"/>
                <w:highlight w:val="none"/>
              </w:rPr>
            </w:pPr>
            <w:r>
              <w:rPr>
                <w:rStyle w:val="39"/>
                <w:rFonts w:hint="eastAsia" w:ascii="宋体" w:hAnsi="宋体" w:eastAsia="宋体" w:cs="宋体"/>
                <w:i w:val="0"/>
                <w:caps w:val="0"/>
                <w:color w:val="auto"/>
                <w:spacing w:val="8"/>
                <w:sz w:val="21"/>
                <w:szCs w:val="21"/>
                <w:highlight w:val="none"/>
              </w:rPr>
              <w:t>中型</w:t>
            </w:r>
          </w:p>
        </w:tc>
        <w:tc>
          <w:tcPr>
            <w:tcW w:w="1425" w:type="dxa"/>
            <w:tcBorders>
              <w:top w:val="single" w:color="4F81BD" w:sz="6" w:space="0"/>
              <w:left w:val="nil"/>
              <w:bottom w:val="single" w:color="FFFFFF" w:sz="18" w:space="0"/>
              <w:right w:val="single" w:color="4F81BD" w:sz="6" w:space="0"/>
            </w:tcBorders>
            <w:shd w:val="clear" w:color="auto" w:fill="4F81BD"/>
            <w:noWrap w:val="0"/>
            <w:tcMar>
              <w:left w:w="105" w:type="dxa"/>
              <w:right w:w="105" w:type="dxa"/>
            </w:tcMar>
            <w:vAlign w:val="center"/>
          </w:tcPr>
          <w:p w14:paraId="1052FB82">
            <w:pPr>
              <w:pStyle w:val="3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center"/>
              <w:rPr>
                <w:rFonts w:hint="eastAsia" w:ascii="宋体" w:hAnsi="宋体" w:eastAsia="宋体" w:cs="宋体"/>
                <w:color w:val="auto"/>
                <w:sz w:val="21"/>
                <w:szCs w:val="21"/>
                <w:highlight w:val="none"/>
              </w:rPr>
            </w:pPr>
            <w:r>
              <w:rPr>
                <w:rStyle w:val="39"/>
                <w:rFonts w:hint="eastAsia" w:ascii="宋体" w:hAnsi="宋体" w:eastAsia="宋体" w:cs="宋体"/>
                <w:i w:val="0"/>
                <w:caps w:val="0"/>
                <w:color w:val="auto"/>
                <w:spacing w:val="8"/>
                <w:sz w:val="21"/>
                <w:szCs w:val="21"/>
                <w:highlight w:val="none"/>
              </w:rPr>
              <w:t>小型</w:t>
            </w:r>
          </w:p>
        </w:tc>
        <w:tc>
          <w:tcPr>
            <w:tcW w:w="990" w:type="dxa"/>
            <w:tcBorders>
              <w:top w:val="single" w:color="4F81BD" w:sz="6" w:space="0"/>
              <w:left w:val="nil"/>
              <w:bottom w:val="single" w:color="FFFFFF" w:sz="18" w:space="0"/>
              <w:right w:val="single" w:color="4F81BD" w:sz="6" w:space="0"/>
            </w:tcBorders>
            <w:shd w:val="clear" w:color="auto" w:fill="4F81BD"/>
            <w:noWrap w:val="0"/>
            <w:tcMar>
              <w:left w:w="105" w:type="dxa"/>
              <w:right w:w="105" w:type="dxa"/>
            </w:tcMar>
            <w:vAlign w:val="center"/>
          </w:tcPr>
          <w:p w14:paraId="26D45975">
            <w:pPr>
              <w:pStyle w:val="3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center"/>
              <w:rPr>
                <w:rFonts w:hint="eastAsia" w:ascii="宋体" w:hAnsi="宋体" w:eastAsia="宋体" w:cs="宋体"/>
                <w:color w:val="auto"/>
                <w:sz w:val="21"/>
                <w:szCs w:val="21"/>
                <w:highlight w:val="none"/>
              </w:rPr>
            </w:pPr>
            <w:r>
              <w:rPr>
                <w:rStyle w:val="39"/>
                <w:rFonts w:hint="eastAsia" w:ascii="宋体" w:hAnsi="宋体" w:eastAsia="宋体" w:cs="宋体"/>
                <w:i w:val="0"/>
                <w:caps w:val="0"/>
                <w:color w:val="auto"/>
                <w:spacing w:val="8"/>
                <w:sz w:val="21"/>
                <w:szCs w:val="21"/>
                <w:highlight w:val="none"/>
              </w:rPr>
              <w:t>微型</w:t>
            </w:r>
          </w:p>
        </w:tc>
      </w:tr>
      <w:tr w14:paraId="128E6C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90" w:hRule="atLeast"/>
          <w:jc w:val="center"/>
        </w:trPr>
        <w:tc>
          <w:tcPr>
            <w:tcW w:w="2115" w:type="dxa"/>
            <w:tcBorders>
              <w:top w:val="nil"/>
              <w:left w:val="single" w:color="4F81BD" w:sz="6" w:space="0"/>
              <w:bottom w:val="single" w:color="4F81BD" w:sz="6" w:space="0"/>
              <w:right w:val="single" w:color="4F81BD" w:sz="6" w:space="0"/>
            </w:tcBorders>
            <w:shd w:val="clear" w:color="auto" w:fill="B8CCE4"/>
            <w:noWrap w:val="0"/>
            <w:tcMar>
              <w:left w:w="105" w:type="dxa"/>
              <w:right w:w="105" w:type="dxa"/>
            </w:tcMar>
            <w:vAlign w:val="center"/>
          </w:tcPr>
          <w:p w14:paraId="0DE55189">
            <w:pPr>
              <w:pStyle w:val="3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both"/>
              <w:rPr>
                <w:rFonts w:hint="eastAsia" w:ascii="宋体" w:hAnsi="宋体" w:eastAsia="宋体" w:cs="宋体"/>
                <w:color w:val="auto"/>
                <w:sz w:val="21"/>
                <w:szCs w:val="21"/>
                <w:highlight w:val="none"/>
              </w:rPr>
            </w:pPr>
            <w:r>
              <w:rPr>
                <w:rFonts w:hint="eastAsia" w:ascii="宋体" w:hAnsi="宋体" w:eastAsia="宋体" w:cs="宋体"/>
                <w:b w:val="0"/>
                <w:i w:val="0"/>
                <w:caps w:val="0"/>
                <w:color w:val="auto"/>
                <w:spacing w:val="8"/>
                <w:sz w:val="21"/>
                <w:szCs w:val="21"/>
                <w:highlight w:val="none"/>
              </w:rPr>
              <w:t>农、林、牧、渔业</w:t>
            </w:r>
          </w:p>
        </w:tc>
        <w:tc>
          <w:tcPr>
            <w:tcW w:w="136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1748E7B0">
            <w:pPr>
              <w:pStyle w:val="3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center"/>
              <w:rPr>
                <w:rFonts w:hint="eastAsia" w:ascii="宋体" w:hAnsi="宋体" w:eastAsia="宋体" w:cs="宋体"/>
                <w:color w:val="auto"/>
                <w:sz w:val="21"/>
                <w:szCs w:val="21"/>
                <w:highlight w:val="none"/>
              </w:rPr>
            </w:pPr>
            <w:r>
              <w:rPr>
                <w:rFonts w:hint="eastAsia" w:ascii="宋体" w:hAnsi="宋体" w:eastAsia="宋体" w:cs="宋体"/>
                <w:b w:val="0"/>
                <w:i w:val="0"/>
                <w:caps w:val="0"/>
                <w:color w:val="auto"/>
                <w:spacing w:val="8"/>
                <w:sz w:val="21"/>
                <w:szCs w:val="21"/>
                <w:highlight w:val="none"/>
              </w:rPr>
              <w:t>营业收入</w:t>
            </w:r>
            <w:r>
              <w:rPr>
                <w:rFonts w:hint="eastAsia" w:ascii="宋体" w:hAnsi="宋体" w:eastAsia="宋体" w:cs="宋体"/>
                <w:b w:val="0"/>
                <w:i w:val="0"/>
                <w:caps w:val="0"/>
                <w:color w:val="auto"/>
                <w:spacing w:val="8"/>
                <w:sz w:val="21"/>
                <w:szCs w:val="21"/>
                <w:highlight w:val="none"/>
                <w:lang w:eastAsia="zh-CN"/>
              </w:rPr>
              <w:t>（</w:t>
            </w:r>
            <w:r>
              <w:rPr>
                <w:rFonts w:hint="eastAsia" w:ascii="宋体" w:hAnsi="宋体" w:eastAsia="宋体" w:cs="宋体"/>
                <w:b w:val="0"/>
                <w:i w:val="0"/>
                <w:caps w:val="0"/>
                <w:color w:val="auto"/>
                <w:spacing w:val="8"/>
                <w:sz w:val="21"/>
                <w:szCs w:val="21"/>
                <w:highlight w:val="none"/>
              </w:rPr>
              <w:t>Y</w:t>
            </w:r>
            <w:r>
              <w:rPr>
                <w:rFonts w:hint="eastAsia" w:ascii="宋体" w:hAnsi="宋体" w:eastAsia="宋体" w:cs="宋体"/>
                <w:b w:val="0"/>
                <w:i w:val="0"/>
                <w:caps w:val="0"/>
                <w:color w:val="auto"/>
                <w:spacing w:val="8"/>
                <w:sz w:val="21"/>
                <w:szCs w:val="21"/>
                <w:highlight w:val="none"/>
                <w:lang w:eastAsia="zh-CN"/>
              </w:rPr>
              <w:t>）</w:t>
            </w:r>
          </w:p>
        </w:tc>
        <w:tc>
          <w:tcPr>
            <w:tcW w:w="70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3539603D">
            <w:pPr>
              <w:pStyle w:val="3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center"/>
              <w:rPr>
                <w:rFonts w:hint="eastAsia" w:ascii="宋体" w:hAnsi="宋体" w:eastAsia="宋体" w:cs="宋体"/>
                <w:color w:val="auto"/>
                <w:sz w:val="21"/>
                <w:szCs w:val="21"/>
                <w:highlight w:val="none"/>
              </w:rPr>
            </w:pPr>
            <w:r>
              <w:rPr>
                <w:rFonts w:hint="eastAsia" w:ascii="宋体" w:hAnsi="宋体" w:eastAsia="宋体" w:cs="宋体"/>
                <w:b w:val="0"/>
                <w:i w:val="0"/>
                <w:caps w:val="0"/>
                <w:color w:val="auto"/>
                <w:spacing w:val="8"/>
                <w:sz w:val="21"/>
                <w:szCs w:val="21"/>
                <w:highlight w:val="none"/>
              </w:rPr>
              <w:t>万元</w:t>
            </w:r>
          </w:p>
        </w:tc>
        <w:tc>
          <w:tcPr>
            <w:tcW w:w="112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3AD0DFB6">
            <w:pPr>
              <w:pStyle w:val="3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center"/>
              <w:rPr>
                <w:rFonts w:hint="eastAsia" w:ascii="宋体" w:hAnsi="宋体" w:eastAsia="宋体" w:cs="宋体"/>
                <w:color w:val="auto"/>
                <w:sz w:val="21"/>
                <w:szCs w:val="21"/>
                <w:highlight w:val="none"/>
              </w:rPr>
            </w:pPr>
            <w:r>
              <w:rPr>
                <w:rFonts w:hint="eastAsia" w:ascii="宋体" w:hAnsi="宋体" w:eastAsia="宋体" w:cs="宋体"/>
                <w:b w:val="0"/>
                <w:i w:val="0"/>
                <w:caps w:val="0"/>
                <w:color w:val="auto"/>
                <w:spacing w:val="8"/>
                <w:sz w:val="21"/>
                <w:szCs w:val="21"/>
                <w:highlight w:val="none"/>
              </w:rPr>
              <w:t>Y≥20000</w:t>
            </w:r>
          </w:p>
        </w:tc>
        <w:tc>
          <w:tcPr>
            <w:tcW w:w="169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11912D4C">
            <w:pPr>
              <w:pStyle w:val="3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center"/>
              <w:rPr>
                <w:rFonts w:hint="eastAsia" w:ascii="宋体" w:hAnsi="宋体" w:eastAsia="宋体" w:cs="宋体"/>
                <w:color w:val="auto"/>
                <w:sz w:val="21"/>
                <w:szCs w:val="21"/>
                <w:highlight w:val="none"/>
              </w:rPr>
            </w:pPr>
            <w:r>
              <w:rPr>
                <w:rFonts w:hint="eastAsia" w:ascii="宋体" w:hAnsi="宋体" w:eastAsia="宋体" w:cs="宋体"/>
                <w:b w:val="0"/>
                <w:i w:val="0"/>
                <w:caps w:val="0"/>
                <w:color w:val="auto"/>
                <w:spacing w:val="8"/>
                <w:sz w:val="21"/>
                <w:szCs w:val="21"/>
                <w:highlight w:val="none"/>
              </w:rPr>
              <w:t> 500≤Y＜20000</w:t>
            </w:r>
          </w:p>
        </w:tc>
        <w:tc>
          <w:tcPr>
            <w:tcW w:w="142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3979E972">
            <w:pPr>
              <w:pStyle w:val="3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center"/>
              <w:rPr>
                <w:rFonts w:hint="eastAsia" w:ascii="宋体" w:hAnsi="宋体" w:eastAsia="宋体" w:cs="宋体"/>
                <w:color w:val="auto"/>
                <w:sz w:val="21"/>
                <w:szCs w:val="21"/>
                <w:highlight w:val="none"/>
              </w:rPr>
            </w:pPr>
            <w:r>
              <w:rPr>
                <w:rFonts w:hint="eastAsia" w:ascii="宋体" w:hAnsi="宋体" w:eastAsia="宋体" w:cs="宋体"/>
                <w:b w:val="0"/>
                <w:i w:val="0"/>
                <w:caps w:val="0"/>
                <w:color w:val="auto"/>
                <w:spacing w:val="8"/>
                <w:sz w:val="21"/>
                <w:szCs w:val="21"/>
                <w:highlight w:val="none"/>
              </w:rPr>
              <w:t> 50≤Y＜500</w:t>
            </w:r>
          </w:p>
        </w:tc>
        <w:tc>
          <w:tcPr>
            <w:tcW w:w="990"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4AA1A599">
            <w:pPr>
              <w:pStyle w:val="3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center"/>
              <w:rPr>
                <w:rFonts w:hint="eastAsia" w:ascii="宋体" w:hAnsi="宋体" w:eastAsia="宋体" w:cs="宋体"/>
                <w:color w:val="auto"/>
                <w:sz w:val="21"/>
                <w:szCs w:val="21"/>
                <w:highlight w:val="none"/>
              </w:rPr>
            </w:pPr>
            <w:r>
              <w:rPr>
                <w:rFonts w:hint="eastAsia" w:ascii="宋体" w:hAnsi="宋体" w:eastAsia="宋体" w:cs="宋体"/>
                <w:b w:val="0"/>
                <w:i w:val="0"/>
                <w:caps w:val="0"/>
                <w:color w:val="auto"/>
                <w:spacing w:val="8"/>
                <w:sz w:val="21"/>
                <w:szCs w:val="21"/>
                <w:highlight w:val="none"/>
              </w:rPr>
              <w:t>Y＜50</w:t>
            </w:r>
          </w:p>
        </w:tc>
      </w:tr>
      <w:tr w14:paraId="1DBD3A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90" w:hRule="atLeast"/>
          <w:jc w:val="center"/>
        </w:trPr>
        <w:tc>
          <w:tcPr>
            <w:tcW w:w="2115" w:type="dxa"/>
            <w:vMerge w:val="restart"/>
            <w:tcBorders>
              <w:top w:val="nil"/>
              <w:left w:val="single" w:color="4F81BD" w:sz="6" w:space="0"/>
              <w:bottom w:val="single" w:color="4F81BD" w:sz="6" w:space="0"/>
              <w:right w:val="single" w:color="4F81BD" w:sz="6" w:space="0"/>
            </w:tcBorders>
            <w:shd w:val="clear" w:color="auto" w:fill="FFFFFF"/>
            <w:noWrap w:val="0"/>
            <w:tcMar>
              <w:left w:w="105" w:type="dxa"/>
              <w:right w:w="105" w:type="dxa"/>
            </w:tcMar>
            <w:vAlign w:val="center"/>
          </w:tcPr>
          <w:p w14:paraId="28F158A6">
            <w:pPr>
              <w:pStyle w:val="3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both"/>
              <w:rPr>
                <w:rFonts w:hint="eastAsia" w:ascii="宋体" w:hAnsi="宋体" w:eastAsia="宋体" w:cs="宋体"/>
                <w:color w:val="auto"/>
                <w:sz w:val="21"/>
                <w:szCs w:val="21"/>
                <w:highlight w:val="none"/>
              </w:rPr>
            </w:pPr>
            <w:r>
              <w:rPr>
                <w:rFonts w:hint="eastAsia" w:ascii="宋体" w:hAnsi="宋体" w:eastAsia="宋体" w:cs="宋体"/>
                <w:b w:val="0"/>
                <w:i w:val="0"/>
                <w:caps w:val="0"/>
                <w:color w:val="auto"/>
                <w:spacing w:val="8"/>
                <w:sz w:val="21"/>
                <w:szCs w:val="21"/>
                <w:highlight w:val="none"/>
              </w:rPr>
              <w:t>工业 *</w:t>
            </w:r>
          </w:p>
        </w:tc>
        <w:tc>
          <w:tcPr>
            <w:tcW w:w="136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134EC5EE">
            <w:pPr>
              <w:pStyle w:val="3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center"/>
              <w:rPr>
                <w:rFonts w:hint="eastAsia" w:ascii="宋体" w:hAnsi="宋体" w:eastAsia="宋体" w:cs="宋体"/>
                <w:color w:val="auto"/>
                <w:sz w:val="21"/>
                <w:szCs w:val="21"/>
                <w:highlight w:val="none"/>
              </w:rPr>
            </w:pPr>
            <w:r>
              <w:rPr>
                <w:rFonts w:hint="eastAsia" w:ascii="宋体" w:hAnsi="宋体" w:eastAsia="宋体" w:cs="宋体"/>
                <w:b w:val="0"/>
                <w:i w:val="0"/>
                <w:caps w:val="0"/>
                <w:color w:val="auto"/>
                <w:spacing w:val="8"/>
                <w:sz w:val="21"/>
                <w:szCs w:val="21"/>
                <w:highlight w:val="none"/>
              </w:rPr>
              <w:t>从业人员</w:t>
            </w:r>
            <w:r>
              <w:rPr>
                <w:rFonts w:hint="eastAsia" w:ascii="宋体" w:hAnsi="宋体" w:eastAsia="宋体" w:cs="宋体"/>
                <w:b w:val="0"/>
                <w:i w:val="0"/>
                <w:caps w:val="0"/>
                <w:color w:val="auto"/>
                <w:spacing w:val="8"/>
                <w:sz w:val="21"/>
                <w:szCs w:val="21"/>
                <w:highlight w:val="none"/>
                <w:lang w:eastAsia="zh-CN"/>
              </w:rPr>
              <w:t>（</w:t>
            </w:r>
            <w:r>
              <w:rPr>
                <w:rFonts w:hint="eastAsia" w:ascii="宋体" w:hAnsi="宋体" w:eastAsia="宋体" w:cs="宋体"/>
                <w:b w:val="0"/>
                <w:i w:val="0"/>
                <w:caps w:val="0"/>
                <w:color w:val="auto"/>
                <w:spacing w:val="8"/>
                <w:sz w:val="21"/>
                <w:szCs w:val="21"/>
                <w:highlight w:val="none"/>
              </w:rPr>
              <w:t>X</w:t>
            </w:r>
            <w:r>
              <w:rPr>
                <w:rFonts w:hint="eastAsia" w:ascii="宋体" w:hAnsi="宋体" w:eastAsia="宋体" w:cs="宋体"/>
                <w:b w:val="0"/>
                <w:i w:val="0"/>
                <w:caps w:val="0"/>
                <w:color w:val="auto"/>
                <w:spacing w:val="8"/>
                <w:sz w:val="21"/>
                <w:szCs w:val="21"/>
                <w:highlight w:val="none"/>
                <w:lang w:eastAsia="zh-CN"/>
              </w:rPr>
              <w:t>）</w:t>
            </w:r>
          </w:p>
        </w:tc>
        <w:tc>
          <w:tcPr>
            <w:tcW w:w="70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67615458">
            <w:pPr>
              <w:pStyle w:val="3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center"/>
              <w:rPr>
                <w:rFonts w:hint="eastAsia" w:ascii="宋体" w:hAnsi="宋体" w:eastAsia="宋体" w:cs="宋体"/>
                <w:color w:val="auto"/>
                <w:sz w:val="21"/>
                <w:szCs w:val="21"/>
                <w:highlight w:val="none"/>
              </w:rPr>
            </w:pPr>
            <w:r>
              <w:rPr>
                <w:rFonts w:hint="eastAsia" w:ascii="宋体" w:hAnsi="宋体" w:eastAsia="宋体" w:cs="宋体"/>
                <w:b w:val="0"/>
                <w:i w:val="0"/>
                <w:caps w:val="0"/>
                <w:color w:val="auto"/>
                <w:spacing w:val="8"/>
                <w:sz w:val="21"/>
                <w:szCs w:val="21"/>
                <w:highlight w:val="none"/>
              </w:rPr>
              <w:t>人</w:t>
            </w:r>
          </w:p>
        </w:tc>
        <w:tc>
          <w:tcPr>
            <w:tcW w:w="112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07A90F2F">
            <w:pPr>
              <w:pStyle w:val="3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center"/>
              <w:rPr>
                <w:rFonts w:hint="eastAsia" w:ascii="宋体" w:hAnsi="宋体" w:eastAsia="宋体" w:cs="宋体"/>
                <w:color w:val="auto"/>
                <w:sz w:val="21"/>
                <w:szCs w:val="21"/>
                <w:highlight w:val="none"/>
              </w:rPr>
            </w:pPr>
            <w:r>
              <w:rPr>
                <w:rFonts w:hint="eastAsia" w:ascii="宋体" w:hAnsi="宋体" w:eastAsia="宋体" w:cs="宋体"/>
                <w:b w:val="0"/>
                <w:i w:val="0"/>
                <w:caps w:val="0"/>
                <w:color w:val="auto"/>
                <w:spacing w:val="8"/>
                <w:sz w:val="21"/>
                <w:szCs w:val="21"/>
                <w:highlight w:val="none"/>
              </w:rPr>
              <w:t>X≥1000</w:t>
            </w:r>
          </w:p>
        </w:tc>
        <w:tc>
          <w:tcPr>
            <w:tcW w:w="169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156DD9CC">
            <w:pPr>
              <w:pStyle w:val="3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center"/>
              <w:rPr>
                <w:rFonts w:hint="eastAsia" w:ascii="宋体" w:hAnsi="宋体" w:eastAsia="宋体" w:cs="宋体"/>
                <w:color w:val="auto"/>
                <w:sz w:val="21"/>
                <w:szCs w:val="21"/>
                <w:highlight w:val="none"/>
              </w:rPr>
            </w:pPr>
            <w:r>
              <w:rPr>
                <w:rFonts w:hint="eastAsia" w:ascii="宋体" w:hAnsi="宋体" w:eastAsia="宋体" w:cs="宋体"/>
                <w:b w:val="0"/>
                <w:i w:val="0"/>
                <w:caps w:val="0"/>
                <w:color w:val="auto"/>
                <w:spacing w:val="8"/>
                <w:sz w:val="21"/>
                <w:szCs w:val="21"/>
                <w:highlight w:val="none"/>
              </w:rPr>
              <w:t>300≤X＜1000</w:t>
            </w:r>
          </w:p>
        </w:tc>
        <w:tc>
          <w:tcPr>
            <w:tcW w:w="142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260171B8">
            <w:pPr>
              <w:pStyle w:val="3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center"/>
              <w:rPr>
                <w:rFonts w:hint="eastAsia" w:ascii="宋体" w:hAnsi="宋体" w:eastAsia="宋体" w:cs="宋体"/>
                <w:color w:val="auto"/>
                <w:sz w:val="21"/>
                <w:szCs w:val="21"/>
                <w:highlight w:val="none"/>
              </w:rPr>
            </w:pPr>
            <w:r>
              <w:rPr>
                <w:rFonts w:hint="eastAsia" w:ascii="宋体" w:hAnsi="宋体" w:eastAsia="宋体" w:cs="宋体"/>
                <w:b w:val="0"/>
                <w:i w:val="0"/>
                <w:caps w:val="0"/>
                <w:color w:val="auto"/>
                <w:spacing w:val="8"/>
                <w:sz w:val="21"/>
                <w:szCs w:val="21"/>
                <w:highlight w:val="none"/>
              </w:rPr>
              <w:t> 20≤X＜300</w:t>
            </w:r>
          </w:p>
        </w:tc>
        <w:tc>
          <w:tcPr>
            <w:tcW w:w="990"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0EEC5E9C">
            <w:pPr>
              <w:pStyle w:val="3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center"/>
              <w:rPr>
                <w:rFonts w:hint="eastAsia" w:ascii="宋体" w:hAnsi="宋体" w:eastAsia="宋体" w:cs="宋体"/>
                <w:color w:val="auto"/>
                <w:sz w:val="21"/>
                <w:szCs w:val="21"/>
                <w:highlight w:val="none"/>
              </w:rPr>
            </w:pPr>
            <w:r>
              <w:rPr>
                <w:rFonts w:hint="eastAsia" w:ascii="宋体" w:hAnsi="宋体" w:eastAsia="宋体" w:cs="宋体"/>
                <w:b w:val="0"/>
                <w:i w:val="0"/>
                <w:caps w:val="0"/>
                <w:color w:val="auto"/>
                <w:spacing w:val="8"/>
                <w:sz w:val="21"/>
                <w:szCs w:val="21"/>
                <w:highlight w:val="none"/>
              </w:rPr>
              <w:t>X＜20</w:t>
            </w:r>
          </w:p>
        </w:tc>
      </w:tr>
      <w:tr w14:paraId="74EC53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90" w:hRule="atLeast"/>
          <w:jc w:val="center"/>
        </w:trPr>
        <w:tc>
          <w:tcPr>
            <w:tcW w:w="2115" w:type="dxa"/>
            <w:vMerge w:val="continue"/>
            <w:tcBorders>
              <w:top w:val="nil"/>
              <w:left w:val="single" w:color="4F81BD" w:sz="6" w:space="0"/>
              <w:bottom w:val="single" w:color="4F81BD" w:sz="6" w:space="0"/>
              <w:right w:val="single" w:color="4F81BD" w:sz="6" w:space="0"/>
            </w:tcBorders>
            <w:shd w:val="clear" w:color="auto" w:fill="FFFFFF"/>
            <w:noWrap w:val="0"/>
            <w:tcMar>
              <w:left w:w="105" w:type="dxa"/>
              <w:right w:w="105" w:type="dxa"/>
            </w:tcMar>
            <w:vAlign w:val="center"/>
          </w:tcPr>
          <w:p w14:paraId="77215F2D">
            <w:pPr>
              <w:pageBreakBefore w:val="0"/>
              <w:kinsoku/>
              <w:overflowPunct/>
              <w:bidi w:val="0"/>
              <w:spacing w:line="360" w:lineRule="auto"/>
              <w:jc w:val="both"/>
              <w:rPr>
                <w:rFonts w:hint="eastAsia" w:ascii="宋体" w:hAnsi="宋体" w:eastAsia="宋体" w:cs="宋体"/>
                <w:b w:val="0"/>
                <w:i w:val="0"/>
                <w:caps w:val="0"/>
                <w:color w:val="auto"/>
                <w:spacing w:val="8"/>
                <w:sz w:val="21"/>
                <w:szCs w:val="21"/>
                <w:highlight w:val="none"/>
              </w:rPr>
            </w:pPr>
          </w:p>
        </w:tc>
        <w:tc>
          <w:tcPr>
            <w:tcW w:w="136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393BDAD4">
            <w:pPr>
              <w:pStyle w:val="3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center"/>
              <w:rPr>
                <w:rFonts w:hint="eastAsia" w:ascii="宋体" w:hAnsi="宋体" w:eastAsia="宋体" w:cs="宋体"/>
                <w:color w:val="auto"/>
                <w:sz w:val="21"/>
                <w:szCs w:val="21"/>
                <w:highlight w:val="none"/>
              </w:rPr>
            </w:pPr>
            <w:r>
              <w:rPr>
                <w:rFonts w:hint="eastAsia" w:ascii="宋体" w:hAnsi="宋体" w:eastAsia="宋体" w:cs="宋体"/>
                <w:b w:val="0"/>
                <w:i w:val="0"/>
                <w:caps w:val="0"/>
                <w:color w:val="auto"/>
                <w:spacing w:val="8"/>
                <w:sz w:val="21"/>
                <w:szCs w:val="21"/>
                <w:highlight w:val="none"/>
              </w:rPr>
              <w:t>营业收入</w:t>
            </w:r>
            <w:r>
              <w:rPr>
                <w:rFonts w:hint="eastAsia" w:ascii="宋体" w:hAnsi="宋体" w:eastAsia="宋体" w:cs="宋体"/>
                <w:b w:val="0"/>
                <w:i w:val="0"/>
                <w:caps w:val="0"/>
                <w:color w:val="auto"/>
                <w:spacing w:val="8"/>
                <w:sz w:val="21"/>
                <w:szCs w:val="21"/>
                <w:highlight w:val="none"/>
                <w:lang w:eastAsia="zh-CN"/>
              </w:rPr>
              <w:t>（</w:t>
            </w:r>
            <w:r>
              <w:rPr>
                <w:rFonts w:hint="eastAsia" w:ascii="宋体" w:hAnsi="宋体" w:eastAsia="宋体" w:cs="宋体"/>
                <w:b w:val="0"/>
                <w:i w:val="0"/>
                <w:caps w:val="0"/>
                <w:color w:val="auto"/>
                <w:spacing w:val="8"/>
                <w:sz w:val="21"/>
                <w:szCs w:val="21"/>
                <w:highlight w:val="none"/>
              </w:rPr>
              <w:t>Y</w:t>
            </w:r>
            <w:r>
              <w:rPr>
                <w:rFonts w:hint="eastAsia" w:ascii="宋体" w:hAnsi="宋体" w:eastAsia="宋体" w:cs="宋体"/>
                <w:b w:val="0"/>
                <w:i w:val="0"/>
                <w:caps w:val="0"/>
                <w:color w:val="auto"/>
                <w:spacing w:val="8"/>
                <w:sz w:val="21"/>
                <w:szCs w:val="21"/>
                <w:highlight w:val="none"/>
                <w:lang w:eastAsia="zh-CN"/>
              </w:rPr>
              <w:t>）</w:t>
            </w:r>
          </w:p>
        </w:tc>
        <w:tc>
          <w:tcPr>
            <w:tcW w:w="70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5D0A3E34">
            <w:pPr>
              <w:pStyle w:val="3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center"/>
              <w:rPr>
                <w:rFonts w:hint="eastAsia" w:ascii="宋体" w:hAnsi="宋体" w:eastAsia="宋体" w:cs="宋体"/>
                <w:color w:val="auto"/>
                <w:sz w:val="21"/>
                <w:szCs w:val="21"/>
                <w:highlight w:val="none"/>
              </w:rPr>
            </w:pPr>
            <w:r>
              <w:rPr>
                <w:rFonts w:hint="eastAsia" w:ascii="宋体" w:hAnsi="宋体" w:eastAsia="宋体" w:cs="宋体"/>
                <w:b w:val="0"/>
                <w:i w:val="0"/>
                <w:caps w:val="0"/>
                <w:color w:val="auto"/>
                <w:spacing w:val="8"/>
                <w:sz w:val="21"/>
                <w:szCs w:val="21"/>
                <w:highlight w:val="none"/>
              </w:rPr>
              <w:t>万元</w:t>
            </w:r>
          </w:p>
        </w:tc>
        <w:tc>
          <w:tcPr>
            <w:tcW w:w="112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7FEBEB0A">
            <w:pPr>
              <w:pStyle w:val="3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center"/>
              <w:rPr>
                <w:rFonts w:hint="eastAsia" w:ascii="宋体" w:hAnsi="宋体" w:eastAsia="宋体" w:cs="宋体"/>
                <w:color w:val="auto"/>
                <w:sz w:val="21"/>
                <w:szCs w:val="21"/>
                <w:highlight w:val="none"/>
              </w:rPr>
            </w:pPr>
            <w:r>
              <w:rPr>
                <w:rFonts w:hint="eastAsia" w:ascii="宋体" w:hAnsi="宋体" w:eastAsia="宋体" w:cs="宋体"/>
                <w:b w:val="0"/>
                <w:i w:val="0"/>
                <w:caps w:val="0"/>
                <w:color w:val="auto"/>
                <w:spacing w:val="8"/>
                <w:sz w:val="21"/>
                <w:szCs w:val="21"/>
                <w:highlight w:val="none"/>
              </w:rPr>
              <w:t>Y≥40000</w:t>
            </w:r>
          </w:p>
        </w:tc>
        <w:tc>
          <w:tcPr>
            <w:tcW w:w="169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5F585CA6">
            <w:pPr>
              <w:pStyle w:val="3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center"/>
              <w:rPr>
                <w:rFonts w:hint="eastAsia" w:ascii="宋体" w:hAnsi="宋体" w:eastAsia="宋体" w:cs="宋体"/>
                <w:color w:val="auto"/>
                <w:sz w:val="21"/>
                <w:szCs w:val="21"/>
                <w:highlight w:val="none"/>
              </w:rPr>
            </w:pPr>
            <w:r>
              <w:rPr>
                <w:rFonts w:hint="eastAsia" w:ascii="宋体" w:hAnsi="宋体" w:eastAsia="宋体" w:cs="宋体"/>
                <w:b w:val="0"/>
                <w:i w:val="0"/>
                <w:caps w:val="0"/>
                <w:color w:val="auto"/>
                <w:spacing w:val="8"/>
                <w:sz w:val="21"/>
                <w:szCs w:val="21"/>
                <w:highlight w:val="none"/>
              </w:rPr>
              <w:t>2000≤Y＜40000</w:t>
            </w:r>
          </w:p>
        </w:tc>
        <w:tc>
          <w:tcPr>
            <w:tcW w:w="142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2ACEDBDE">
            <w:pPr>
              <w:pStyle w:val="3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center"/>
              <w:rPr>
                <w:rFonts w:hint="eastAsia" w:ascii="宋体" w:hAnsi="宋体" w:eastAsia="宋体" w:cs="宋体"/>
                <w:color w:val="auto"/>
                <w:sz w:val="21"/>
                <w:szCs w:val="21"/>
                <w:highlight w:val="none"/>
              </w:rPr>
            </w:pPr>
            <w:r>
              <w:rPr>
                <w:rFonts w:hint="eastAsia" w:ascii="宋体" w:hAnsi="宋体" w:eastAsia="宋体" w:cs="宋体"/>
                <w:b w:val="0"/>
                <w:i w:val="0"/>
                <w:caps w:val="0"/>
                <w:color w:val="auto"/>
                <w:spacing w:val="8"/>
                <w:sz w:val="21"/>
                <w:szCs w:val="21"/>
                <w:highlight w:val="none"/>
              </w:rPr>
              <w:t> 300≤Y＜2000</w:t>
            </w:r>
          </w:p>
        </w:tc>
        <w:tc>
          <w:tcPr>
            <w:tcW w:w="990"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391247EC">
            <w:pPr>
              <w:pStyle w:val="3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center"/>
              <w:rPr>
                <w:rFonts w:hint="eastAsia" w:ascii="宋体" w:hAnsi="宋体" w:eastAsia="宋体" w:cs="宋体"/>
                <w:color w:val="auto"/>
                <w:sz w:val="21"/>
                <w:szCs w:val="21"/>
                <w:highlight w:val="none"/>
              </w:rPr>
            </w:pPr>
            <w:r>
              <w:rPr>
                <w:rFonts w:hint="eastAsia" w:ascii="宋体" w:hAnsi="宋体" w:eastAsia="宋体" w:cs="宋体"/>
                <w:b w:val="0"/>
                <w:i w:val="0"/>
                <w:caps w:val="0"/>
                <w:color w:val="auto"/>
                <w:spacing w:val="8"/>
                <w:sz w:val="21"/>
                <w:szCs w:val="21"/>
                <w:highlight w:val="none"/>
              </w:rPr>
              <w:t>Y＜300</w:t>
            </w:r>
          </w:p>
        </w:tc>
      </w:tr>
      <w:tr w14:paraId="11E34F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90" w:hRule="atLeast"/>
          <w:jc w:val="center"/>
        </w:trPr>
        <w:tc>
          <w:tcPr>
            <w:tcW w:w="2115" w:type="dxa"/>
            <w:vMerge w:val="restart"/>
            <w:tcBorders>
              <w:top w:val="nil"/>
              <w:left w:val="single" w:color="4F81BD" w:sz="6" w:space="0"/>
              <w:bottom w:val="single" w:color="4F81BD" w:sz="6" w:space="0"/>
              <w:right w:val="single" w:color="4F81BD" w:sz="6" w:space="0"/>
            </w:tcBorders>
            <w:shd w:val="clear" w:color="auto" w:fill="FFFFFF"/>
            <w:noWrap w:val="0"/>
            <w:tcMar>
              <w:left w:w="105" w:type="dxa"/>
              <w:right w:w="105" w:type="dxa"/>
            </w:tcMar>
            <w:vAlign w:val="center"/>
          </w:tcPr>
          <w:p w14:paraId="5DD64123">
            <w:pPr>
              <w:pStyle w:val="3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both"/>
              <w:rPr>
                <w:rFonts w:hint="eastAsia" w:ascii="宋体" w:hAnsi="宋体" w:eastAsia="宋体" w:cs="宋体"/>
                <w:color w:val="auto"/>
                <w:sz w:val="21"/>
                <w:szCs w:val="21"/>
                <w:highlight w:val="none"/>
              </w:rPr>
            </w:pPr>
            <w:r>
              <w:rPr>
                <w:rFonts w:hint="eastAsia" w:ascii="宋体" w:hAnsi="宋体" w:eastAsia="宋体" w:cs="宋体"/>
                <w:b w:val="0"/>
                <w:i w:val="0"/>
                <w:caps w:val="0"/>
                <w:color w:val="auto"/>
                <w:spacing w:val="8"/>
                <w:sz w:val="21"/>
                <w:szCs w:val="21"/>
                <w:highlight w:val="none"/>
              </w:rPr>
              <w:t>建筑业</w:t>
            </w:r>
          </w:p>
        </w:tc>
        <w:tc>
          <w:tcPr>
            <w:tcW w:w="136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18798E44">
            <w:pPr>
              <w:pStyle w:val="3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center"/>
              <w:rPr>
                <w:rFonts w:hint="eastAsia" w:ascii="宋体" w:hAnsi="宋体" w:eastAsia="宋体" w:cs="宋体"/>
                <w:color w:val="auto"/>
                <w:sz w:val="21"/>
                <w:szCs w:val="21"/>
                <w:highlight w:val="none"/>
              </w:rPr>
            </w:pPr>
            <w:r>
              <w:rPr>
                <w:rFonts w:hint="eastAsia" w:ascii="宋体" w:hAnsi="宋体" w:eastAsia="宋体" w:cs="宋体"/>
                <w:b w:val="0"/>
                <w:i w:val="0"/>
                <w:caps w:val="0"/>
                <w:color w:val="auto"/>
                <w:spacing w:val="8"/>
                <w:sz w:val="21"/>
                <w:szCs w:val="21"/>
                <w:highlight w:val="none"/>
              </w:rPr>
              <w:t>营业收入</w:t>
            </w:r>
            <w:r>
              <w:rPr>
                <w:rFonts w:hint="eastAsia" w:ascii="宋体" w:hAnsi="宋体" w:eastAsia="宋体" w:cs="宋体"/>
                <w:b w:val="0"/>
                <w:i w:val="0"/>
                <w:caps w:val="0"/>
                <w:color w:val="auto"/>
                <w:spacing w:val="8"/>
                <w:sz w:val="21"/>
                <w:szCs w:val="21"/>
                <w:highlight w:val="none"/>
                <w:lang w:eastAsia="zh-CN"/>
              </w:rPr>
              <w:t>（</w:t>
            </w:r>
            <w:r>
              <w:rPr>
                <w:rFonts w:hint="eastAsia" w:ascii="宋体" w:hAnsi="宋体" w:eastAsia="宋体" w:cs="宋体"/>
                <w:b w:val="0"/>
                <w:i w:val="0"/>
                <w:caps w:val="0"/>
                <w:color w:val="auto"/>
                <w:spacing w:val="8"/>
                <w:sz w:val="21"/>
                <w:szCs w:val="21"/>
                <w:highlight w:val="none"/>
              </w:rPr>
              <w:t>Y</w:t>
            </w:r>
            <w:r>
              <w:rPr>
                <w:rFonts w:hint="eastAsia" w:ascii="宋体" w:hAnsi="宋体" w:eastAsia="宋体" w:cs="宋体"/>
                <w:b w:val="0"/>
                <w:i w:val="0"/>
                <w:caps w:val="0"/>
                <w:color w:val="auto"/>
                <w:spacing w:val="8"/>
                <w:sz w:val="21"/>
                <w:szCs w:val="21"/>
                <w:highlight w:val="none"/>
                <w:lang w:eastAsia="zh-CN"/>
              </w:rPr>
              <w:t>）</w:t>
            </w:r>
          </w:p>
        </w:tc>
        <w:tc>
          <w:tcPr>
            <w:tcW w:w="70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3763F409">
            <w:pPr>
              <w:pStyle w:val="3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center"/>
              <w:rPr>
                <w:rFonts w:hint="eastAsia" w:ascii="宋体" w:hAnsi="宋体" w:eastAsia="宋体" w:cs="宋体"/>
                <w:color w:val="auto"/>
                <w:sz w:val="21"/>
                <w:szCs w:val="21"/>
                <w:highlight w:val="none"/>
              </w:rPr>
            </w:pPr>
            <w:r>
              <w:rPr>
                <w:rFonts w:hint="eastAsia" w:ascii="宋体" w:hAnsi="宋体" w:eastAsia="宋体" w:cs="宋体"/>
                <w:b w:val="0"/>
                <w:i w:val="0"/>
                <w:caps w:val="0"/>
                <w:color w:val="auto"/>
                <w:spacing w:val="8"/>
                <w:sz w:val="21"/>
                <w:szCs w:val="21"/>
                <w:highlight w:val="none"/>
              </w:rPr>
              <w:t>万元</w:t>
            </w:r>
          </w:p>
        </w:tc>
        <w:tc>
          <w:tcPr>
            <w:tcW w:w="112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7BB10A20">
            <w:pPr>
              <w:pStyle w:val="3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center"/>
              <w:rPr>
                <w:rFonts w:hint="eastAsia" w:ascii="宋体" w:hAnsi="宋体" w:eastAsia="宋体" w:cs="宋体"/>
                <w:color w:val="auto"/>
                <w:sz w:val="21"/>
                <w:szCs w:val="21"/>
                <w:highlight w:val="none"/>
              </w:rPr>
            </w:pPr>
            <w:r>
              <w:rPr>
                <w:rFonts w:hint="eastAsia" w:ascii="宋体" w:hAnsi="宋体" w:eastAsia="宋体" w:cs="宋体"/>
                <w:b w:val="0"/>
                <w:i w:val="0"/>
                <w:caps w:val="0"/>
                <w:color w:val="auto"/>
                <w:spacing w:val="8"/>
                <w:sz w:val="21"/>
                <w:szCs w:val="21"/>
                <w:highlight w:val="none"/>
              </w:rPr>
              <w:t>Y≥80000</w:t>
            </w:r>
          </w:p>
        </w:tc>
        <w:tc>
          <w:tcPr>
            <w:tcW w:w="169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53C4B932">
            <w:pPr>
              <w:pStyle w:val="3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center"/>
              <w:rPr>
                <w:rFonts w:hint="eastAsia" w:ascii="宋体" w:hAnsi="宋体" w:eastAsia="宋体" w:cs="宋体"/>
                <w:color w:val="auto"/>
                <w:sz w:val="21"/>
                <w:szCs w:val="21"/>
                <w:highlight w:val="none"/>
              </w:rPr>
            </w:pPr>
            <w:r>
              <w:rPr>
                <w:rFonts w:hint="eastAsia" w:ascii="宋体" w:hAnsi="宋体" w:eastAsia="宋体" w:cs="宋体"/>
                <w:b w:val="0"/>
                <w:i w:val="0"/>
                <w:caps w:val="0"/>
                <w:color w:val="auto"/>
                <w:spacing w:val="8"/>
                <w:sz w:val="21"/>
                <w:szCs w:val="21"/>
                <w:highlight w:val="none"/>
              </w:rPr>
              <w:t>6000≤Y＜80000</w:t>
            </w:r>
          </w:p>
        </w:tc>
        <w:tc>
          <w:tcPr>
            <w:tcW w:w="142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1C33DF4B">
            <w:pPr>
              <w:pStyle w:val="3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center"/>
              <w:rPr>
                <w:rFonts w:hint="eastAsia" w:ascii="宋体" w:hAnsi="宋体" w:eastAsia="宋体" w:cs="宋体"/>
                <w:color w:val="auto"/>
                <w:sz w:val="21"/>
                <w:szCs w:val="21"/>
                <w:highlight w:val="none"/>
              </w:rPr>
            </w:pPr>
            <w:r>
              <w:rPr>
                <w:rFonts w:hint="eastAsia" w:ascii="宋体" w:hAnsi="宋体" w:eastAsia="宋体" w:cs="宋体"/>
                <w:b w:val="0"/>
                <w:i w:val="0"/>
                <w:caps w:val="0"/>
                <w:color w:val="auto"/>
                <w:spacing w:val="8"/>
                <w:sz w:val="21"/>
                <w:szCs w:val="21"/>
                <w:highlight w:val="none"/>
              </w:rPr>
              <w:t> 300≤Y＜6000</w:t>
            </w:r>
          </w:p>
        </w:tc>
        <w:tc>
          <w:tcPr>
            <w:tcW w:w="990"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73A368E3">
            <w:pPr>
              <w:pStyle w:val="3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center"/>
              <w:rPr>
                <w:rFonts w:hint="eastAsia" w:ascii="宋体" w:hAnsi="宋体" w:eastAsia="宋体" w:cs="宋体"/>
                <w:color w:val="auto"/>
                <w:sz w:val="21"/>
                <w:szCs w:val="21"/>
                <w:highlight w:val="none"/>
              </w:rPr>
            </w:pPr>
            <w:r>
              <w:rPr>
                <w:rFonts w:hint="eastAsia" w:ascii="宋体" w:hAnsi="宋体" w:eastAsia="宋体" w:cs="宋体"/>
                <w:b w:val="0"/>
                <w:i w:val="0"/>
                <w:caps w:val="0"/>
                <w:color w:val="auto"/>
                <w:spacing w:val="8"/>
                <w:sz w:val="21"/>
                <w:szCs w:val="21"/>
                <w:highlight w:val="none"/>
              </w:rPr>
              <w:t>Y＜300</w:t>
            </w:r>
          </w:p>
        </w:tc>
      </w:tr>
      <w:tr w14:paraId="734CAF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90" w:hRule="atLeast"/>
          <w:jc w:val="center"/>
        </w:trPr>
        <w:tc>
          <w:tcPr>
            <w:tcW w:w="2115" w:type="dxa"/>
            <w:vMerge w:val="continue"/>
            <w:tcBorders>
              <w:top w:val="nil"/>
              <w:left w:val="single" w:color="4F81BD" w:sz="6" w:space="0"/>
              <w:bottom w:val="single" w:color="4F81BD" w:sz="6" w:space="0"/>
              <w:right w:val="single" w:color="4F81BD" w:sz="6" w:space="0"/>
            </w:tcBorders>
            <w:shd w:val="clear" w:color="auto" w:fill="FFFFFF"/>
            <w:noWrap w:val="0"/>
            <w:tcMar>
              <w:left w:w="105" w:type="dxa"/>
              <w:right w:w="105" w:type="dxa"/>
            </w:tcMar>
            <w:vAlign w:val="center"/>
          </w:tcPr>
          <w:p w14:paraId="4AF4CA93">
            <w:pPr>
              <w:pageBreakBefore w:val="0"/>
              <w:kinsoku/>
              <w:overflowPunct/>
              <w:bidi w:val="0"/>
              <w:spacing w:line="360" w:lineRule="auto"/>
              <w:jc w:val="both"/>
              <w:rPr>
                <w:rFonts w:hint="eastAsia" w:ascii="宋体" w:hAnsi="宋体" w:eastAsia="宋体" w:cs="宋体"/>
                <w:b w:val="0"/>
                <w:i w:val="0"/>
                <w:caps w:val="0"/>
                <w:color w:val="auto"/>
                <w:spacing w:val="8"/>
                <w:sz w:val="21"/>
                <w:szCs w:val="21"/>
                <w:highlight w:val="none"/>
              </w:rPr>
            </w:pPr>
          </w:p>
        </w:tc>
        <w:tc>
          <w:tcPr>
            <w:tcW w:w="136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413EEB97">
            <w:pPr>
              <w:pStyle w:val="3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center"/>
              <w:rPr>
                <w:rFonts w:hint="eastAsia" w:ascii="宋体" w:hAnsi="宋体" w:eastAsia="宋体" w:cs="宋体"/>
                <w:color w:val="auto"/>
                <w:sz w:val="21"/>
                <w:szCs w:val="21"/>
                <w:highlight w:val="none"/>
              </w:rPr>
            </w:pPr>
            <w:r>
              <w:rPr>
                <w:rFonts w:hint="eastAsia" w:ascii="宋体" w:hAnsi="宋体" w:eastAsia="宋体" w:cs="宋体"/>
                <w:b w:val="0"/>
                <w:i w:val="0"/>
                <w:caps w:val="0"/>
                <w:color w:val="auto"/>
                <w:spacing w:val="8"/>
                <w:sz w:val="21"/>
                <w:szCs w:val="21"/>
                <w:highlight w:val="none"/>
              </w:rPr>
              <w:t>资产总额</w:t>
            </w:r>
            <w:r>
              <w:rPr>
                <w:rFonts w:hint="eastAsia" w:ascii="宋体" w:hAnsi="宋体" w:eastAsia="宋体" w:cs="宋体"/>
                <w:b w:val="0"/>
                <w:i w:val="0"/>
                <w:caps w:val="0"/>
                <w:color w:val="auto"/>
                <w:spacing w:val="8"/>
                <w:sz w:val="21"/>
                <w:szCs w:val="21"/>
                <w:highlight w:val="none"/>
                <w:lang w:eastAsia="zh-CN"/>
              </w:rPr>
              <w:t>（</w:t>
            </w:r>
            <w:r>
              <w:rPr>
                <w:rFonts w:hint="eastAsia" w:ascii="宋体" w:hAnsi="宋体" w:eastAsia="宋体" w:cs="宋体"/>
                <w:b w:val="0"/>
                <w:i w:val="0"/>
                <w:caps w:val="0"/>
                <w:color w:val="auto"/>
                <w:spacing w:val="8"/>
                <w:sz w:val="21"/>
                <w:szCs w:val="21"/>
                <w:highlight w:val="none"/>
              </w:rPr>
              <w:t>Z</w:t>
            </w:r>
            <w:r>
              <w:rPr>
                <w:rFonts w:hint="eastAsia" w:ascii="宋体" w:hAnsi="宋体" w:eastAsia="宋体" w:cs="宋体"/>
                <w:b w:val="0"/>
                <w:i w:val="0"/>
                <w:caps w:val="0"/>
                <w:color w:val="auto"/>
                <w:spacing w:val="8"/>
                <w:sz w:val="21"/>
                <w:szCs w:val="21"/>
                <w:highlight w:val="none"/>
                <w:lang w:eastAsia="zh-CN"/>
              </w:rPr>
              <w:t>）</w:t>
            </w:r>
          </w:p>
        </w:tc>
        <w:tc>
          <w:tcPr>
            <w:tcW w:w="70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007175FC">
            <w:pPr>
              <w:pStyle w:val="3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center"/>
              <w:rPr>
                <w:rFonts w:hint="eastAsia" w:ascii="宋体" w:hAnsi="宋体" w:eastAsia="宋体" w:cs="宋体"/>
                <w:color w:val="auto"/>
                <w:sz w:val="21"/>
                <w:szCs w:val="21"/>
                <w:highlight w:val="none"/>
              </w:rPr>
            </w:pPr>
            <w:r>
              <w:rPr>
                <w:rFonts w:hint="eastAsia" w:ascii="宋体" w:hAnsi="宋体" w:eastAsia="宋体" w:cs="宋体"/>
                <w:b w:val="0"/>
                <w:i w:val="0"/>
                <w:caps w:val="0"/>
                <w:color w:val="auto"/>
                <w:spacing w:val="8"/>
                <w:sz w:val="21"/>
                <w:szCs w:val="21"/>
                <w:highlight w:val="none"/>
              </w:rPr>
              <w:t>万元</w:t>
            </w:r>
          </w:p>
        </w:tc>
        <w:tc>
          <w:tcPr>
            <w:tcW w:w="112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66472066">
            <w:pPr>
              <w:pStyle w:val="3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center"/>
              <w:rPr>
                <w:rFonts w:hint="eastAsia" w:ascii="宋体" w:hAnsi="宋体" w:eastAsia="宋体" w:cs="宋体"/>
                <w:color w:val="auto"/>
                <w:sz w:val="21"/>
                <w:szCs w:val="21"/>
                <w:highlight w:val="none"/>
              </w:rPr>
            </w:pPr>
            <w:r>
              <w:rPr>
                <w:rFonts w:hint="eastAsia" w:ascii="宋体" w:hAnsi="宋体" w:eastAsia="宋体" w:cs="宋体"/>
                <w:b w:val="0"/>
                <w:i w:val="0"/>
                <w:caps w:val="0"/>
                <w:color w:val="auto"/>
                <w:spacing w:val="8"/>
                <w:sz w:val="21"/>
                <w:szCs w:val="21"/>
                <w:highlight w:val="none"/>
              </w:rPr>
              <w:t>Z≥80000</w:t>
            </w:r>
          </w:p>
        </w:tc>
        <w:tc>
          <w:tcPr>
            <w:tcW w:w="169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16BD75E8">
            <w:pPr>
              <w:pStyle w:val="3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center"/>
              <w:rPr>
                <w:rFonts w:hint="eastAsia" w:ascii="宋体" w:hAnsi="宋体" w:eastAsia="宋体" w:cs="宋体"/>
                <w:color w:val="auto"/>
                <w:sz w:val="21"/>
                <w:szCs w:val="21"/>
                <w:highlight w:val="none"/>
              </w:rPr>
            </w:pPr>
            <w:r>
              <w:rPr>
                <w:rFonts w:hint="eastAsia" w:ascii="宋体" w:hAnsi="宋体" w:eastAsia="宋体" w:cs="宋体"/>
                <w:b w:val="0"/>
                <w:i w:val="0"/>
                <w:caps w:val="0"/>
                <w:color w:val="auto"/>
                <w:spacing w:val="8"/>
                <w:sz w:val="21"/>
                <w:szCs w:val="21"/>
                <w:highlight w:val="none"/>
              </w:rPr>
              <w:t>5000≤Z＜80000</w:t>
            </w:r>
          </w:p>
        </w:tc>
        <w:tc>
          <w:tcPr>
            <w:tcW w:w="142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31AFE22B">
            <w:pPr>
              <w:pStyle w:val="3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center"/>
              <w:rPr>
                <w:rFonts w:hint="eastAsia" w:ascii="宋体" w:hAnsi="宋体" w:eastAsia="宋体" w:cs="宋体"/>
                <w:color w:val="auto"/>
                <w:sz w:val="21"/>
                <w:szCs w:val="21"/>
                <w:highlight w:val="none"/>
              </w:rPr>
            </w:pPr>
            <w:r>
              <w:rPr>
                <w:rFonts w:hint="eastAsia" w:ascii="宋体" w:hAnsi="宋体" w:eastAsia="宋体" w:cs="宋体"/>
                <w:b w:val="0"/>
                <w:i w:val="0"/>
                <w:caps w:val="0"/>
                <w:color w:val="auto"/>
                <w:spacing w:val="8"/>
                <w:sz w:val="21"/>
                <w:szCs w:val="21"/>
                <w:highlight w:val="none"/>
              </w:rPr>
              <w:t> 300≤Z＜5000</w:t>
            </w:r>
          </w:p>
        </w:tc>
        <w:tc>
          <w:tcPr>
            <w:tcW w:w="990"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5111659F">
            <w:pPr>
              <w:pStyle w:val="3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center"/>
              <w:rPr>
                <w:rFonts w:hint="eastAsia" w:ascii="宋体" w:hAnsi="宋体" w:eastAsia="宋体" w:cs="宋体"/>
                <w:color w:val="auto"/>
                <w:sz w:val="21"/>
                <w:szCs w:val="21"/>
                <w:highlight w:val="none"/>
              </w:rPr>
            </w:pPr>
            <w:r>
              <w:rPr>
                <w:rFonts w:hint="eastAsia" w:ascii="宋体" w:hAnsi="宋体" w:eastAsia="宋体" w:cs="宋体"/>
                <w:b w:val="0"/>
                <w:i w:val="0"/>
                <w:caps w:val="0"/>
                <w:color w:val="auto"/>
                <w:spacing w:val="8"/>
                <w:sz w:val="21"/>
                <w:szCs w:val="21"/>
                <w:highlight w:val="none"/>
              </w:rPr>
              <w:t>Z＜300</w:t>
            </w:r>
          </w:p>
        </w:tc>
      </w:tr>
      <w:tr w14:paraId="4163D4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90" w:hRule="atLeast"/>
          <w:jc w:val="center"/>
        </w:trPr>
        <w:tc>
          <w:tcPr>
            <w:tcW w:w="2115" w:type="dxa"/>
            <w:vMerge w:val="restart"/>
            <w:tcBorders>
              <w:top w:val="nil"/>
              <w:left w:val="single" w:color="4F81BD" w:sz="6" w:space="0"/>
              <w:bottom w:val="single" w:color="4F81BD" w:sz="6" w:space="0"/>
              <w:right w:val="single" w:color="4F81BD" w:sz="6" w:space="0"/>
            </w:tcBorders>
            <w:shd w:val="clear" w:color="auto" w:fill="FFFFFF"/>
            <w:noWrap w:val="0"/>
            <w:tcMar>
              <w:left w:w="105" w:type="dxa"/>
              <w:right w:w="105" w:type="dxa"/>
            </w:tcMar>
            <w:vAlign w:val="center"/>
          </w:tcPr>
          <w:p w14:paraId="2F06B6FF">
            <w:pPr>
              <w:pStyle w:val="3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both"/>
              <w:rPr>
                <w:rFonts w:hint="eastAsia" w:ascii="宋体" w:hAnsi="宋体" w:eastAsia="宋体" w:cs="宋体"/>
                <w:color w:val="auto"/>
                <w:sz w:val="21"/>
                <w:szCs w:val="21"/>
                <w:highlight w:val="none"/>
              </w:rPr>
            </w:pPr>
            <w:r>
              <w:rPr>
                <w:rFonts w:hint="eastAsia" w:ascii="宋体" w:hAnsi="宋体" w:eastAsia="宋体" w:cs="宋体"/>
                <w:b w:val="0"/>
                <w:i w:val="0"/>
                <w:caps w:val="0"/>
                <w:color w:val="auto"/>
                <w:spacing w:val="8"/>
                <w:sz w:val="21"/>
                <w:szCs w:val="21"/>
                <w:highlight w:val="none"/>
              </w:rPr>
              <w:t>批发业</w:t>
            </w:r>
          </w:p>
        </w:tc>
        <w:tc>
          <w:tcPr>
            <w:tcW w:w="136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6F53466F">
            <w:pPr>
              <w:pStyle w:val="3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center"/>
              <w:rPr>
                <w:rFonts w:hint="eastAsia" w:ascii="宋体" w:hAnsi="宋体" w:eastAsia="宋体" w:cs="宋体"/>
                <w:color w:val="auto"/>
                <w:sz w:val="21"/>
                <w:szCs w:val="21"/>
                <w:highlight w:val="none"/>
              </w:rPr>
            </w:pPr>
            <w:r>
              <w:rPr>
                <w:rFonts w:hint="eastAsia" w:ascii="宋体" w:hAnsi="宋体" w:eastAsia="宋体" w:cs="宋体"/>
                <w:b w:val="0"/>
                <w:i w:val="0"/>
                <w:caps w:val="0"/>
                <w:color w:val="auto"/>
                <w:spacing w:val="8"/>
                <w:sz w:val="21"/>
                <w:szCs w:val="21"/>
                <w:highlight w:val="none"/>
              </w:rPr>
              <w:t>从业人员</w:t>
            </w:r>
            <w:r>
              <w:rPr>
                <w:rFonts w:hint="eastAsia" w:ascii="宋体" w:hAnsi="宋体" w:eastAsia="宋体" w:cs="宋体"/>
                <w:b w:val="0"/>
                <w:i w:val="0"/>
                <w:caps w:val="0"/>
                <w:color w:val="auto"/>
                <w:spacing w:val="8"/>
                <w:sz w:val="21"/>
                <w:szCs w:val="21"/>
                <w:highlight w:val="none"/>
                <w:lang w:eastAsia="zh-CN"/>
              </w:rPr>
              <w:t>（</w:t>
            </w:r>
            <w:r>
              <w:rPr>
                <w:rFonts w:hint="eastAsia" w:ascii="宋体" w:hAnsi="宋体" w:eastAsia="宋体" w:cs="宋体"/>
                <w:b w:val="0"/>
                <w:i w:val="0"/>
                <w:caps w:val="0"/>
                <w:color w:val="auto"/>
                <w:spacing w:val="8"/>
                <w:sz w:val="21"/>
                <w:szCs w:val="21"/>
                <w:highlight w:val="none"/>
              </w:rPr>
              <w:t>X</w:t>
            </w:r>
            <w:r>
              <w:rPr>
                <w:rFonts w:hint="eastAsia" w:ascii="宋体" w:hAnsi="宋体" w:eastAsia="宋体" w:cs="宋体"/>
                <w:b w:val="0"/>
                <w:i w:val="0"/>
                <w:caps w:val="0"/>
                <w:color w:val="auto"/>
                <w:spacing w:val="8"/>
                <w:sz w:val="21"/>
                <w:szCs w:val="21"/>
                <w:highlight w:val="none"/>
                <w:lang w:eastAsia="zh-CN"/>
              </w:rPr>
              <w:t>）</w:t>
            </w:r>
          </w:p>
        </w:tc>
        <w:tc>
          <w:tcPr>
            <w:tcW w:w="70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3DBAE335">
            <w:pPr>
              <w:pStyle w:val="3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center"/>
              <w:rPr>
                <w:rFonts w:hint="eastAsia" w:ascii="宋体" w:hAnsi="宋体" w:eastAsia="宋体" w:cs="宋体"/>
                <w:color w:val="auto"/>
                <w:sz w:val="21"/>
                <w:szCs w:val="21"/>
                <w:highlight w:val="none"/>
              </w:rPr>
            </w:pPr>
            <w:r>
              <w:rPr>
                <w:rFonts w:hint="eastAsia" w:ascii="宋体" w:hAnsi="宋体" w:eastAsia="宋体" w:cs="宋体"/>
                <w:b w:val="0"/>
                <w:i w:val="0"/>
                <w:caps w:val="0"/>
                <w:color w:val="auto"/>
                <w:spacing w:val="8"/>
                <w:sz w:val="21"/>
                <w:szCs w:val="21"/>
                <w:highlight w:val="none"/>
              </w:rPr>
              <w:t>人</w:t>
            </w:r>
          </w:p>
        </w:tc>
        <w:tc>
          <w:tcPr>
            <w:tcW w:w="112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4BAE6CC4">
            <w:pPr>
              <w:pStyle w:val="3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center"/>
              <w:rPr>
                <w:rFonts w:hint="eastAsia" w:ascii="宋体" w:hAnsi="宋体" w:eastAsia="宋体" w:cs="宋体"/>
                <w:color w:val="auto"/>
                <w:sz w:val="21"/>
                <w:szCs w:val="21"/>
                <w:highlight w:val="none"/>
              </w:rPr>
            </w:pPr>
            <w:r>
              <w:rPr>
                <w:rFonts w:hint="eastAsia" w:ascii="宋体" w:hAnsi="宋体" w:eastAsia="宋体" w:cs="宋体"/>
                <w:b w:val="0"/>
                <w:i w:val="0"/>
                <w:caps w:val="0"/>
                <w:color w:val="auto"/>
                <w:spacing w:val="8"/>
                <w:sz w:val="21"/>
                <w:szCs w:val="21"/>
                <w:highlight w:val="none"/>
              </w:rPr>
              <w:t>X≥200</w:t>
            </w:r>
          </w:p>
        </w:tc>
        <w:tc>
          <w:tcPr>
            <w:tcW w:w="169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0E2C8847">
            <w:pPr>
              <w:pStyle w:val="3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center"/>
              <w:rPr>
                <w:rFonts w:hint="eastAsia" w:ascii="宋体" w:hAnsi="宋体" w:eastAsia="宋体" w:cs="宋体"/>
                <w:color w:val="auto"/>
                <w:sz w:val="21"/>
                <w:szCs w:val="21"/>
                <w:highlight w:val="none"/>
              </w:rPr>
            </w:pPr>
            <w:r>
              <w:rPr>
                <w:rFonts w:hint="eastAsia" w:ascii="宋体" w:hAnsi="宋体" w:eastAsia="宋体" w:cs="宋体"/>
                <w:b w:val="0"/>
                <w:i w:val="0"/>
                <w:caps w:val="0"/>
                <w:color w:val="auto"/>
                <w:spacing w:val="8"/>
                <w:sz w:val="21"/>
                <w:szCs w:val="21"/>
                <w:highlight w:val="none"/>
              </w:rPr>
              <w:t>20≤X＜200</w:t>
            </w:r>
          </w:p>
        </w:tc>
        <w:tc>
          <w:tcPr>
            <w:tcW w:w="142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12465C16">
            <w:pPr>
              <w:pStyle w:val="3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center"/>
              <w:rPr>
                <w:rFonts w:hint="eastAsia" w:ascii="宋体" w:hAnsi="宋体" w:eastAsia="宋体" w:cs="宋体"/>
                <w:color w:val="auto"/>
                <w:sz w:val="21"/>
                <w:szCs w:val="21"/>
                <w:highlight w:val="none"/>
              </w:rPr>
            </w:pPr>
            <w:r>
              <w:rPr>
                <w:rFonts w:hint="eastAsia" w:ascii="宋体" w:hAnsi="宋体" w:eastAsia="宋体" w:cs="宋体"/>
                <w:b w:val="0"/>
                <w:i w:val="0"/>
                <w:caps w:val="0"/>
                <w:color w:val="auto"/>
                <w:spacing w:val="8"/>
                <w:sz w:val="21"/>
                <w:szCs w:val="21"/>
                <w:highlight w:val="none"/>
              </w:rPr>
              <w:t> 5≤X＜20</w:t>
            </w:r>
          </w:p>
        </w:tc>
        <w:tc>
          <w:tcPr>
            <w:tcW w:w="990"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289C9CE1">
            <w:pPr>
              <w:pStyle w:val="3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center"/>
              <w:rPr>
                <w:rFonts w:hint="eastAsia" w:ascii="宋体" w:hAnsi="宋体" w:eastAsia="宋体" w:cs="宋体"/>
                <w:color w:val="auto"/>
                <w:sz w:val="21"/>
                <w:szCs w:val="21"/>
                <w:highlight w:val="none"/>
              </w:rPr>
            </w:pPr>
            <w:r>
              <w:rPr>
                <w:rFonts w:hint="eastAsia" w:ascii="宋体" w:hAnsi="宋体" w:eastAsia="宋体" w:cs="宋体"/>
                <w:b w:val="0"/>
                <w:i w:val="0"/>
                <w:caps w:val="0"/>
                <w:color w:val="auto"/>
                <w:spacing w:val="8"/>
                <w:sz w:val="21"/>
                <w:szCs w:val="21"/>
                <w:highlight w:val="none"/>
              </w:rPr>
              <w:t>X＜5</w:t>
            </w:r>
          </w:p>
        </w:tc>
      </w:tr>
      <w:tr w14:paraId="2D48EC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90" w:hRule="atLeast"/>
          <w:jc w:val="center"/>
        </w:trPr>
        <w:tc>
          <w:tcPr>
            <w:tcW w:w="2115" w:type="dxa"/>
            <w:vMerge w:val="continue"/>
            <w:tcBorders>
              <w:top w:val="nil"/>
              <w:left w:val="single" w:color="4F81BD" w:sz="6" w:space="0"/>
              <w:bottom w:val="single" w:color="4F81BD" w:sz="6" w:space="0"/>
              <w:right w:val="single" w:color="4F81BD" w:sz="6" w:space="0"/>
            </w:tcBorders>
            <w:shd w:val="clear" w:color="auto" w:fill="FFFFFF"/>
            <w:noWrap w:val="0"/>
            <w:tcMar>
              <w:left w:w="105" w:type="dxa"/>
              <w:right w:w="105" w:type="dxa"/>
            </w:tcMar>
            <w:vAlign w:val="center"/>
          </w:tcPr>
          <w:p w14:paraId="0EC06A69">
            <w:pPr>
              <w:pageBreakBefore w:val="0"/>
              <w:kinsoku/>
              <w:overflowPunct/>
              <w:bidi w:val="0"/>
              <w:spacing w:line="360" w:lineRule="auto"/>
              <w:jc w:val="both"/>
              <w:rPr>
                <w:rFonts w:hint="eastAsia" w:ascii="宋体" w:hAnsi="宋体" w:eastAsia="宋体" w:cs="宋体"/>
                <w:b w:val="0"/>
                <w:i w:val="0"/>
                <w:caps w:val="0"/>
                <w:color w:val="auto"/>
                <w:spacing w:val="8"/>
                <w:sz w:val="21"/>
                <w:szCs w:val="21"/>
                <w:highlight w:val="none"/>
              </w:rPr>
            </w:pPr>
          </w:p>
        </w:tc>
        <w:tc>
          <w:tcPr>
            <w:tcW w:w="136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2AD9FE2D">
            <w:pPr>
              <w:pStyle w:val="3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center"/>
              <w:rPr>
                <w:rFonts w:hint="eastAsia" w:ascii="宋体" w:hAnsi="宋体" w:eastAsia="宋体" w:cs="宋体"/>
                <w:color w:val="auto"/>
                <w:sz w:val="21"/>
                <w:szCs w:val="21"/>
                <w:highlight w:val="none"/>
              </w:rPr>
            </w:pPr>
            <w:r>
              <w:rPr>
                <w:rFonts w:hint="eastAsia" w:ascii="宋体" w:hAnsi="宋体" w:eastAsia="宋体" w:cs="宋体"/>
                <w:b w:val="0"/>
                <w:i w:val="0"/>
                <w:caps w:val="0"/>
                <w:color w:val="auto"/>
                <w:spacing w:val="8"/>
                <w:sz w:val="21"/>
                <w:szCs w:val="21"/>
                <w:highlight w:val="none"/>
              </w:rPr>
              <w:t>营业收入</w:t>
            </w:r>
            <w:r>
              <w:rPr>
                <w:rFonts w:hint="eastAsia" w:ascii="宋体" w:hAnsi="宋体" w:eastAsia="宋体" w:cs="宋体"/>
                <w:b w:val="0"/>
                <w:i w:val="0"/>
                <w:caps w:val="0"/>
                <w:color w:val="auto"/>
                <w:spacing w:val="8"/>
                <w:sz w:val="21"/>
                <w:szCs w:val="21"/>
                <w:highlight w:val="none"/>
                <w:lang w:eastAsia="zh-CN"/>
              </w:rPr>
              <w:t>（</w:t>
            </w:r>
            <w:r>
              <w:rPr>
                <w:rFonts w:hint="eastAsia" w:ascii="宋体" w:hAnsi="宋体" w:eastAsia="宋体" w:cs="宋体"/>
                <w:b w:val="0"/>
                <w:i w:val="0"/>
                <w:caps w:val="0"/>
                <w:color w:val="auto"/>
                <w:spacing w:val="8"/>
                <w:sz w:val="21"/>
                <w:szCs w:val="21"/>
                <w:highlight w:val="none"/>
              </w:rPr>
              <w:t>Y</w:t>
            </w:r>
            <w:r>
              <w:rPr>
                <w:rFonts w:hint="eastAsia" w:ascii="宋体" w:hAnsi="宋体" w:eastAsia="宋体" w:cs="宋体"/>
                <w:b w:val="0"/>
                <w:i w:val="0"/>
                <w:caps w:val="0"/>
                <w:color w:val="auto"/>
                <w:spacing w:val="8"/>
                <w:sz w:val="21"/>
                <w:szCs w:val="21"/>
                <w:highlight w:val="none"/>
                <w:lang w:eastAsia="zh-CN"/>
              </w:rPr>
              <w:t>）</w:t>
            </w:r>
          </w:p>
        </w:tc>
        <w:tc>
          <w:tcPr>
            <w:tcW w:w="70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47EEABE3">
            <w:pPr>
              <w:pStyle w:val="3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center"/>
              <w:rPr>
                <w:rFonts w:hint="eastAsia" w:ascii="宋体" w:hAnsi="宋体" w:eastAsia="宋体" w:cs="宋体"/>
                <w:color w:val="auto"/>
                <w:sz w:val="21"/>
                <w:szCs w:val="21"/>
                <w:highlight w:val="none"/>
              </w:rPr>
            </w:pPr>
            <w:r>
              <w:rPr>
                <w:rFonts w:hint="eastAsia" w:ascii="宋体" w:hAnsi="宋体" w:eastAsia="宋体" w:cs="宋体"/>
                <w:b w:val="0"/>
                <w:i w:val="0"/>
                <w:caps w:val="0"/>
                <w:color w:val="auto"/>
                <w:spacing w:val="8"/>
                <w:sz w:val="21"/>
                <w:szCs w:val="21"/>
                <w:highlight w:val="none"/>
              </w:rPr>
              <w:t>万元</w:t>
            </w:r>
          </w:p>
        </w:tc>
        <w:tc>
          <w:tcPr>
            <w:tcW w:w="112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08F0524D">
            <w:pPr>
              <w:pStyle w:val="3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center"/>
              <w:rPr>
                <w:rFonts w:hint="eastAsia" w:ascii="宋体" w:hAnsi="宋体" w:eastAsia="宋体" w:cs="宋体"/>
                <w:color w:val="auto"/>
                <w:sz w:val="21"/>
                <w:szCs w:val="21"/>
                <w:highlight w:val="none"/>
              </w:rPr>
            </w:pPr>
            <w:r>
              <w:rPr>
                <w:rFonts w:hint="eastAsia" w:ascii="宋体" w:hAnsi="宋体" w:eastAsia="宋体" w:cs="宋体"/>
                <w:b w:val="0"/>
                <w:i w:val="0"/>
                <w:caps w:val="0"/>
                <w:color w:val="auto"/>
                <w:spacing w:val="8"/>
                <w:sz w:val="21"/>
                <w:szCs w:val="21"/>
                <w:highlight w:val="none"/>
              </w:rPr>
              <w:t>Y≥40000</w:t>
            </w:r>
          </w:p>
        </w:tc>
        <w:tc>
          <w:tcPr>
            <w:tcW w:w="169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3DCEA1D5">
            <w:pPr>
              <w:pStyle w:val="3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center"/>
              <w:rPr>
                <w:rFonts w:hint="eastAsia" w:ascii="宋体" w:hAnsi="宋体" w:eastAsia="宋体" w:cs="宋体"/>
                <w:color w:val="auto"/>
                <w:sz w:val="21"/>
                <w:szCs w:val="21"/>
                <w:highlight w:val="none"/>
              </w:rPr>
            </w:pPr>
            <w:r>
              <w:rPr>
                <w:rFonts w:hint="eastAsia" w:ascii="宋体" w:hAnsi="宋体" w:eastAsia="宋体" w:cs="宋体"/>
                <w:b w:val="0"/>
                <w:i w:val="0"/>
                <w:caps w:val="0"/>
                <w:color w:val="auto"/>
                <w:spacing w:val="8"/>
                <w:sz w:val="21"/>
                <w:szCs w:val="21"/>
                <w:highlight w:val="none"/>
              </w:rPr>
              <w:t>5000≤Y＜40000</w:t>
            </w:r>
          </w:p>
        </w:tc>
        <w:tc>
          <w:tcPr>
            <w:tcW w:w="142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203FCD9F">
            <w:pPr>
              <w:pStyle w:val="3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center"/>
              <w:rPr>
                <w:rFonts w:hint="eastAsia" w:ascii="宋体" w:hAnsi="宋体" w:eastAsia="宋体" w:cs="宋体"/>
                <w:color w:val="auto"/>
                <w:sz w:val="21"/>
                <w:szCs w:val="21"/>
                <w:highlight w:val="none"/>
              </w:rPr>
            </w:pPr>
            <w:r>
              <w:rPr>
                <w:rFonts w:hint="eastAsia" w:ascii="宋体" w:hAnsi="宋体" w:eastAsia="宋体" w:cs="宋体"/>
                <w:b w:val="0"/>
                <w:i w:val="0"/>
                <w:caps w:val="0"/>
                <w:color w:val="auto"/>
                <w:spacing w:val="8"/>
                <w:sz w:val="21"/>
                <w:szCs w:val="21"/>
                <w:highlight w:val="none"/>
              </w:rPr>
              <w:t>1000≤Y＜5000</w:t>
            </w:r>
          </w:p>
        </w:tc>
        <w:tc>
          <w:tcPr>
            <w:tcW w:w="990"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709C64FD">
            <w:pPr>
              <w:pStyle w:val="3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center"/>
              <w:rPr>
                <w:rFonts w:hint="eastAsia" w:ascii="宋体" w:hAnsi="宋体" w:eastAsia="宋体" w:cs="宋体"/>
                <w:color w:val="auto"/>
                <w:sz w:val="21"/>
                <w:szCs w:val="21"/>
                <w:highlight w:val="none"/>
              </w:rPr>
            </w:pPr>
            <w:r>
              <w:rPr>
                <w:rFonts w:hint="eastAsia" w:ascii="宋体" w:hAnsi="宋体" w:eastAsia="宋体" w:cs="宋体"/>
                <w:b w:val="0"/>
                <w:i w:val="0"/>
                <w:caps w:val="0"/>
                <w:color w:val="auto"/>
                <w:spacing w:val="8"/>
                <w:sz w:val="21"/>
                <w:szCs w:val="21"/>
                <w:highlight w:val="none"/>
              </w:rPr>
              <w:t>Y＜1000</w:t>
            </w:r>
          </w:p>
        </w:tc>
      </w:tr>
      <w:tr w14:paraId="72D10F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90" w:hRule="atLeast"/>
          <w:jc w:val="center"/>
        </w:trPr>
        <w:tc>
          <w:tcPr>
            <w:tcW w:w="2115" w:type="dxa"/>
            <w:vMerge w:val="restart"/>
            <w:tcBorders>
              <w:top w:val="nil"/>
              <w:left w:val="single" w:color="4F81BD" w:sz="6" w:space="0"/>
              <w:bottom w:val="single" w:color="4F81BD" w:sz="6" w:space="0"/>
              <w:right w:val="single" w:color="4F81BD" w:sz="6" w:space="0"/>
            </w:tcBorders>
            <w:shd w:val="clear" w:color="auto" w:fill="FFFFFF"/>
            <w:noWrap w:val="0"/>
            <w:tcMar>
              <w:left w:w="105" w:type="dxa"/>
              <w:right w:w="105" w:type="dxa"/>
            </w:tcMar>
            <w:vAlign w:val="center"/>
          </w:tcPr>
          <w:p w14:paraId="0443EF50">
            <w:pPr>
              <w:pStyle w:val="3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both"/>
              <w:rPr>
                <w:rFonts w:hint="eastAsia" w:ascii="宋体" w:hAnsi="宋体" w:eastAsia="宋体" w:cs="宋体"/>
                <w:color w:val="auto"/>
                <w:sz w:val="21"/>
                <w:szCs w:val="21"/>
                <w:highlight w:val="none"/>
              </w:rPr>
            </w:pPr>
            <w:r>
              <w:rPr>
                <w:rFonts w:hint="eastAsia" w:ascii="宋体" w:hAnsi="宋体" w:eastAsia="宋体" w:cs="宋体"/>
                <w:b w:val="0"/>
                <w:i w:val="0"/>
                <w:caps w:val="0"/>
                <w:color w:val="auto"/>
                <w:spacing w:val="8"/>
                <w:sz w:val="21"/>
                <w:szCs w:val="21"/>
                <w:highlight w:val="none"/>
              </w:rPr>
              <w:t>零售业</w:t>
            </w:r>
          </w:p>
        </w:tc>
        <w:tc>
          <w:tcPr>
            <w:tcW w:w="136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17FBCC36">
            <w:pPr>
              <w:pStyle w:val="3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center"/>
              <w:rPr>
                <w:rFonts w:hint="eastAsia" w:ascii="宋体" w:hAnsi="宋体" w:eastAsia="宋体" w:cs="宋体"/>
                <w:color w:val="auto"/>
                <w:sz w:val="21"/>
                <w:szCs w:val="21"/>
                <w:highlight w:val="none"/>
              </w:rPr>
            </w:pPr>
            <w:r>
              <w:rPr>
                <w:rFonts w:hint="eastAsia" w:ascii="宋体" w:hAnsi="宋体" w:eastAsia="宋体" w:cs="宋体"/>
                <w:b w:val="0"/>
                <w:i w:val="0"/>
                <w:caps w:val="0"/>
                <w:color w:val="auto"/>
                <w:spacing w:val="8"/>
                <w:sz w:val="21"/>
                <w:szCs w:val="21"/>
                <w:highlight w:val="none"/>
              </w:rPr>
              <w:t>从业人员</w:t>
            </w:r>
            <w:r>
              <w:rPr>
                <w:rFonts w:hint="eastAsia" w:ascii="宋体" w:hAnsi="宋体" w:eastAsia="宋体" w:cs="宋体"/>
                <w:b w:val="0"/>
                <w:i w:val="0"/>
                <w:caps w:val="0"/>
                <w:color w:val="auto"/>
                <w:spacing w:val="8"/>
                <w:sz w:val="21"/>
                <w:szCs w:val="21"/>
                <w:highlight w:val="none"/>
                <w:lang w:eastAsia="zh-CN"/>
              </w:rPr>
              <w:t>（</w:t>
            </w:r>
            <w:r>
              <w:rPr>
                <w:rFonts w:hint="eastAsia" w:ascii="宋体" w:hAnsi="宋体" w:eastAsia="宋体" w:cs="宋体"/>
                <w:b w:val="0"/>
                <w:i w:val="0"/>
                <w:caps w:val="0"/>
                <w:color w:val="auto"/>
                <w:spacing w:val="8"/>
                <w:sz w:val="21"/>
                <w:szCs w:val="21"/>
                <w:highlight w:val="none"/>
              </w:rPr>
              <w:t>X</w:t>
            </w:r>
            <w:r>
              <w:rPr>
                <w:rFonts w:hint="eastAsia" w:ascii="宋体" w:hAnsi="宋体" w:eastAsia="宋体" w:cs="宋体"/>
                <w:b w:val="0"/>
                <w:i w:val="0"/>
                <w:caps w:val="0"/>
                <w:color w:val="auto"/>
                <w:spacing w:val="8"/>
                <w:sz w:val="21"/>
                <w:szCs w:val="21"/>
                <w:highlight w:val="none"/>
                <w:lang w:eastAsia="zh-CN"/>
              </w:rPr>
              <w:t>）</w:t>
            </w:r>
          </w:p>
        </w:tc>
        <w:tc>
          <w:tcPr>
            <w:tcW w:w="70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7A5E4FAA">
            <w:pPr>
              <w:pStyle w:val="3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center"/>
              <w:rPr>
                <w:rFonts w:hint="eastAsia" w:ascii="宋体" w:hAnsi="宋体" w:eastAsia="宋体" w:cs="宋体"/>
                <w:color w:val="auto"/>
                <w:sz w:val="21"/>
                <w:szCs w:val="21"/>
                <w:highlight w:val="none"/>
              </w:rPr>
            </w:pPr>
            <w:r>
              <w:rPr>
                <w:rFonts w:hint="eastAsia" w:ascii="宋体" w:hAnsi="宋体" w:eastAsia="宋体" w:cs="宋体"/>
                <w:b w:val="0"/>
                <w:i w:val="0"/>
                <w:caps w:val="0"/>
                <w:color w:val="auto"/>
                <w:spacing w:val="8"/>
                <w:sz w:val="21"/>
                <w:szCs w:val="21"/>
                <w:highlight w:val="none"/>
              </w:rPr>
              <w:t>人</w:t>
            </w:r>
          </w:p>
        </w:tc>
        <w:tc>
          <w:tcPr>
            <w:tcW w:w="112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572BA69F">
            <w:pPr>
              <w:pStyle w:val="3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center"/>
              <w:rPr>
                <w:rFonts w:hint="eastAsia" w:ascii="宋体" w:hAnsi="宋体" w:eastAsia="宋体" w:cs="宋体"/>
                <w:color w:val="auto"/>
                <w:sz w:val="21"/>
                <w:szCs w:val="21"/>
                <w:highlight w:val="none"/>
              </w:rPr>
            </w:pPr>
            <w:r>
              <w:rPr>
                <w:rFonts w:hint="eastAsia" w:ascii="宋体" w:hAnsi="宋体" w:eastAsia="宋体" w:cs="宋体"/>
                <w:b w:val="0"/>
                <w:i w:val="0"/>
                <w:caps w:val="0"/>
                <w:color w:val="auto"/>
                <w:spacing w:val="8"/>
                <w:sz w:val="21"/>
                <w:szCs w:val="21"/>
                <w:highlight w:val="none"/>
              </w:rPr>
              <w:t>X≥300</w:t>
            </w:r>
          </w:p>
        </w:tc>
        <w:tc>
          <w:tcPr>
            <w:tcW w:w="169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5DCC1204">
            <w:pPr>
              <w:pStyle w:val="3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center"/>
              <w:rPr>
                <w:rFonts w:hint="eastAsia" w:ascii="宋体" w:hAnsi="宋体" w:eastAsia="宋体" w:cs="宋体"/>
                <w:color w:val="auto"/>
                <w:sz w:val="21"/>
                <w:szCs w:val="21"/>
                <w:highlight w:val="none"/>
              </w:rPr>
            </w:pPr>
            <w:r>
              <w:rPr>
                <w:rFonts w:hint="eastAsia" w:ascii="宋体" w:hAnsi="宋体" w:eastAsia="宋体" w:cs="宋体"/>
                <w:b w:val="0"/>
                <w:i w:val="0"/>
                <w:caps w:val="0"/>
                <w:color w:val="auto"/>
                <w:spacing w:val="8"/>
                <w:sz w:val="21"/>
                <w:szCs w:val="21"/>
                <w:highlight w:val="none"/>
              </w:rPr>
              <w:t>50≤X＜300</w:t>
            </w:r>
          </w:p>
        </w:tc>
        <w:tc>
          <w:tcPr>
            <w:tcW w:w="142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3DA8E0DA">
            <w:pPr>
              <w:pStyle w:val="3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center"/>
              <w:rPr>
                <w:rFonts w:hint="eastAsia" w:ascii="宋体" w:hAnsi="宋体" w:eastAsia="宋体" w:cs="宋体"/>
                <w:color w:val="auto"/>
                <w:sz w:val="21"/>
                <w:szCs w:val="21"/>
                <w:highlight w:val="none"/>
              </w:rPr>
            </w:pPr>
            <w:r>
              <w:rPr>
                <w:rFonts w:hint="eastAsia" w:ascii="宋体" w:hAnsi="宋体" w:eastAsia="宋体" w:cs="宋体"/>
                <w:b w:val="0"/>
                <w:i w:val="0"/>
                <w:caps w:val="0"/>
                <w:color w:val="auto"/>
                <w:spacing w:val="8"/>
                <w:sz w:val="21"/>
                <w:szCs w:val="21"/>
                <w:highlight w:val="none"/>
              </w:rPr>
              <w:t>10≤X＜50</w:t>
            </w:r>
          </w:p>
        </w:tc>
        <w:tc>
          <w:tcPr>
            <w:tcW w:w="990"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6B85AC5A">
            <w:pPr>
              <w:pStyle w:val="3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center"/>
              <w:rPr>
                <w:rFonts w:hint="eastAsia" w:ascii="宋体" w:hAnsi="宋体" w:eastAsia="宋体" w:cs="宋体"/>
                <w:color w:val="auto"/>
                <w:sz w:val="21"/>
                <w:szCs w:val="21"/>
                <w:highlight w:val="none"/>
              </w:rPr>
            </w:pPr>
            <w:r>
              <w:rPr>
                <w:rFonts w:hint="eastAsia" w:ascii="宋体" w:hAnsi="宋体" w:eastAsia="宋体" w:cs="宋体"/>
                <w:b w:val="0"/>
                <w:i w:val="0"/>
                <w:caps w:val="0"/>
                <w:color w:val="auto"/>
                <w:spacing w:val="8"/>
                <w:sz w:val="21"/>
                <w:szCs w:val="21"/>
                <w:highlight w:val="none"/>
              </w:rPr>
              <w:t>X＜10</w:t>
            </w:r>
          </w:p>
        </w:tc>
      </w:tr>
      <w:tr w14:paraId="7F27C1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90" w:hRule="atLeast"/>
          <w:jc w:val="center"/>
        </w:trPr>
        <w:tc>
          <w:tcPr>
            <w:tcW w:w="2115" w:type="dxa"/>
            <w:vMerge w:val="continue"/>
            <w:tcBorders>
              <w:top w:val="nil"/>
              <w:left w:val="single" w:color="4F81BD" w:sz="6" w:space="0"/>
              <w:bottom w:val="single" w:color="4F81BD" w:sz="6" w:space="0"/>
              <w:right w:val="single" w:color="4F81BD" w:sz="6" w:space="0"/>
            </w:tcBorders>
            <w:shd w:val="clear" w:color="auto" w:fill="FFFFFF"/>
            <w:noWrap w:val="0"/>
            <w:tcMar>
              <w:left w:w="105" w:type="dxa"/>
              <w:right w:w="105" w:type="dxa"/>
            </w:tcMar>
            <w:vAlign w:val="center"/>
          </w:tcPr>
          <w:p w14:paraId="7C1A498C">
            <w:pPr>
              <w:pageBreakBefore w:val="0"/>
              <w:kinsoku/>
              <w:overflowPunct/>
              <w:bidi w:val="0"/>
              <w:spacing w:line="360" w:lineRule="auto"/>
              <w:jc w:val="both"/>
              <w:rPr>
                <w:rFonts w:hint="eastAsia" w:ascii="宋体" w:hAnsi="宋体" w:eastAsia="宋体" w:cs="宋体"/>
                <w:b w:val="0"/>
                <w:i w:val="0"/>
                <w:caps w:val="0"/>
                <w:color w:val="auto"/>
                <w:spacing w:val="8"/>
                <w:sz w:val="21"/>
                <w:szCs w:val="21"/>
                <w:highlight w:val="none"/>
              </w:rPr>
            </w:pPr>
          </w:p>
        </w:tc>
        <w:tc>
          <w:tcPr>
            <w:tcW w:w="136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6EB259E1">
            <w:pPr>
              <w:pStyle w:val="3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center"/>
              <w:rPr>
                <w:rFonts w:hint="eastAsia" w:ascii="宋体" w:hAnsi="宋体" w:eastAsia="宋体" w:cs="宋体"/>
                <w:color w:val="auto"/>
                <w:sz w:val="21"/>
                <w:szCs w:val="21"/>
                <w:highlight w:val="none"/>
              </w:rPr>
            </w:pPr>
            <w:r>
              <w:rPr>
                <w:rFonts w:hint="eastAsia" w:ascii="宋体" w:hAnsi="宋体" w:eastAsia="宋体" w:cs="宋体"/>
                <w:b w:val="0"/>
                <w:i w:val="0"/>
                <w:caps w:val="0"/>
                <w:color w:val="auto"/>
                <w:spacing w:val="8"/>
                <w:sz w:val="21"/>
                <w:szCs w:val="21"/>
                <w:highlight w:val="none"/>
              </w:rPr>
              <w:t>营业收入</w:t>
            </w:r>
            <w:r>
              <w:rPr>
                <w:rFonts w:hint="eastAsia" w:ascii="宋体" w:hAnsi="宋体" w:eastAsia="宋体" w:cs="宋体"/>
                <w:b w:val="0"/>
                <w:i w:val="0"/>
                <w:caps w:val="0"/>
                <w:color w:val="auto"/>
                <w:spacing w:val="8"/>
                <w:sz w:val="21"/>
                <w:szCs w:val="21"/>
                <w:highlight w:val="none"/>
                <w:lang w:eastAsia="zh-CN"/>
              </w:rPr>
              <w:t>（</w:t>
            </w:r>
            <w:r>
              <w:rPr>
                <w:rFonts w:hint="eastAsia" w:ascii="宋体" w:hAnsi="宋体" w:eastAsia="宋体" w:cs="宋体"/>
                <w:b w:val="0"/>
                <w:i w:val="0"/>
                <w:caps w:val="0"/>
                <w:color w:val="auto"/>
                <w:spacing w:val="8"/>
                <w:sz w:val="21"/>
                <w:szCs w:val="21"/>
                <w:highlight w:val="none"/>
              </w:rPr>
              <w:t>Y</w:t>
            </w:r>
            <w:r>
              <w:rPr>
                <w:rFonts w:hint="eastAsia" w:ascii="宋体" w:hAnsi="宋体" w:eastAsia="宋体" w:cs="宋体"/>
                <w:b w:val="0"/>
                <w:i w:val="0"/>
                <w:caps w:val="0"/>
                <w:color w:val="auto"/>
                <w:spacing w:val="8"/>
                <w:sz w:val="21"/>
                <w:szCs w:val="21"/>
                <w:highlight w:val="none"/>
                <w:lang w:eastAsia="zh-CN"/>
              </w:rPr>
              <w:t>）</w:t>
            </w:r>
          </w:p>
        </w:tc>
        <w:tc>
          <w:tcPr>
            <w:tcW w:w="70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7D1B64CC">
            <w:pPr>
              <w:pStyle w:val="3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center"/>
              <w:rPr>
                <w:rFonts w:hint="eastAsia" w:ascii="宋体" w:hAnsi="宋体" w:eastAsia="宋体" w:cs="宋体"/>
                <w:color w:val="auto"/>
                <w:sz w:val="21"/>
                <w:szCs w:val="21"/>
                <w:highlight w:val="none"/>
              </w:rPr>
            </w:pPr>
            <w:r>
              <w:rPr>
                <w:rFonts w:hint="eastAsia" w:ascii="宋体" w:hAnsi="宋体" w:eastAsia="宋体" w:cs="宋体"/>
                <w:b w:val="0"/>
                <w:i w:val="0"/>
                <w:caps w:val="0"/>
                <w:color w:val="auto"/>
                <w:spacing w:val="8"/>
                <w:sz w:val="21"/>
                <w:szCs w:val="21"/>
                <w:highlight w:val="none"/>
              </w:rPr>
              <w:t>万元</w:t>
            </w:r>
          </w:p>
        </w:tc>
        <w:tc>
          <w:tcPr>
            <w:tcW w:w="112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578F6607">
            <w:pPr>
              <w:pStyle w:val="3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center"/>
              <w:rPr>
                <w:rFonts w:hint="eastAsia" w:ascii="宋体" w:hAnsi="宋体" w:eastAsia="宋体" w:cs="宋体"/>
                <w:color w:val="auto"/>
                <w:sz w:val="21"/>
                <w:szCs w:val="21"/>
                <w:highlight w:val="none"/>
              </w:rPr>
            </w:pPr>
            <w:r>
              <w:rPr>
                <w:rFonts w:hint="eastAsia" w:ascii="宋体" w:hAnsi="宋体" w:eastAsia="宋体" w:cs="宋体"/>
                <w:b w:val="0"/>
                <w:i w:val="0"/>
                <w:caps w:val="0"/>
                <w:color w:val="auto"/>
                <w:spacing w:val="8"/>
                <w:sz w:val="21"/>
                <w:szCs w:val="21"/>
                <w:highlight w:val="none"/>
              </w:rPr>
              <w:t>Y≥20000</w:t>
            </w:r>
          </w:p>
        </w:tc>
        <w:tc>
          <w:tcPr>
            <w:tcW w:w="169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20A7CECB">
            <w:pPr>
              <w:pStyle w:val="3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center"/>
              <w:rPr>
                <w:rFonts w:hint="eastAsia" w:ascii="宋体" w:hAnsi="宋体" w:eastAsia="宋体" w:cs="宋体"/>
                <w:color w:val="auto"/>
                <w:sz w:val="21"/>
                <w:szCs w:val="21"/>
                <w:highlight w:val="none"/>
              </w:rPr>
            </w:pPr>
            <w:r>
              <w:rPr>
                <w:rFonts w:hint="eastAsia" w:ascii="宋体" w:hAnsi="宋体" w:eastAsia="宋体" w:cs="宋体"/>
                <w:b w:val="0"/>
                <w:i w:val="0"/>
                <w:caps w:val="0"/>
                <w:color w:val="auto"/>
                <w:spacing w:val="8"/>
                <w:sz w:val="21"/>
                <w:szCs w:val="21"/>
                <w:highlight w:val="none"/>
              </w:rPr>
              <w:t> 500≤Y＜20000</w:t>
            </w:r>
          </w:p>
        </w:tc>
        <w:tc>
          <w:tcPr>
            <w:tcW w:w="142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36C1F5A7">
            <w:pPr>
              <w:pStyle w:val="3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center"/>
              <w:rPr>
                <w:rFonts w:hint="eastAsia" w:ascii="宋体" w:hAnsi="宋体" w:eastAsia="宋体" w:cs="宋体"/>
                <w:color w:val="auto"/>
                <w:sz w:val="21"/>
                <w:szCs w:val="21"/>
                <w:highlight w:val="none"/>
              </w:rPr>
            </w:pPr>
            <w:r>
              <w:rPr>
                <w:rFonts w:hint="eastAsia" w:ascii="宋体" w:hAnsi="宋体" w:eastAsia="宋体" w:cs="宋体"/>
                <w:b w:val="0"/>
                <w:i w:val="0"/>
                <w:caps w:val="0"/>
                <w:color w:val="auto"/>
                <w:spacing w:val="8"/>
                <w:sz w:val="21"/>
                <w:szCs w:val="21"/>
                <w:highlight w:val="none"/>
              </w:rPr>
              <w:t>100≤Y＜500</w:t>
            </w:r>
          </w:p>
        </w:tc>
        <w:tc>
          <w:tcPr>
            <w:tcW w:w="990"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4BC83E8F">
            <w:pPr>
              <w:pStyle w:val="3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center"/>
              <w:rPr>
                <w:rFonts w:hint="eastAsia" w:ascii="宋体" w:hAnsi="宋体" w:eastAsia="宋体" w:cs="宋体"/>
                <w:color w:val="auto"/>
                <w:sz w:val="21"/>
                <w:szCs w:val="21"/>
                <w:highlight w:val="none"/>
              </w:rPr>
            </w:pPr>
            <w:r>
              <w:rPr>
                <w:rFonts w:hint="eastAsia" w:ascii="宋体" w:hAnsi="宋体" w:eastAsia="宋体" w:cs="宋体"/>
                <w:b w:val="0"/>
                <w:i w:val="0"/>
                <w:caps w:val="0"/>
                <w:color w:val="auto"/>
                <w:spacing w:val="8"/>
                <w:sz w:val="21"/>
                <w:szCs w:val="21"/>
                <w:highlight w:val="none"/>
              </w:rPr>
              <w:t>Y＜100</w:t>
            </w:r>
          </w:p>
        </w:tc>
      </w:tr>
      <w:tr w14:paraId="68297D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90" w:hRule="atLeast"/>
          <w:jc w:val="center"/>
        </w:trPr>
        <w:tc>
          <w:tcPr>
            <w:tcW w:w="2115" w:type="dxa"/>
            <w:vMerge w:val="restart"/>
            <w:tcBorders>
              <w:top w:val="nil"/>
              <w:left w:val="single" w:color="4F81BD" w:sz="6" w:space="0"/>
              <w:bottom w:val="single" w:color="4F81BD" w:sz="6" w:space="0"/>
              <w:right w:val="single" w:color="4F81BD" w:sz="6" w:space="0"/>
            </w:tcBorders>
            <w:shd w:val="clear" w:color="auto" w:fill="FFFFFF"/>
            <w:noWrap w:val="0"/>
            <w:tcMar>
              <w:left w:w="105" w:type="dxa"/>
              <w:right w:w="105" w:type="dxa"/>
            </w:tcMar>
            <w:vAlign w:val="center"/>
          </w:tcPr>
          <w:p w14:paraId="4CE4320F">
            <w:pPr>
              <w:pStyle w:val="3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both"/>
              <w:rPr>
                <w:rFonts w:hint="eastAsia" w:ascii="宋体" w:hAnsi="宋体" w:eastAsia="宋体" w:cs="宋体"/>
                <w:color w:val="auto"/>
                <w:sz w:val="21"/>
                <w:szCs w:val="21"/>
                <w:highlight w:val="none"/>
              </w:rPr>
            </w:pPr>
            <w:r>
              <w:rPr>
                <w:rFonts w:hint="eastAsia" w:ascii="宋体" w:hAnsi="宋体" w:eastAsia="宋体" w:cs="宋体"/>
                <w:b w:val="0"/>
                <w:i w:val="0"/>
                <w:caps w:val="0"/>
                <w:color w:val="auto"/>
                <w:spacing w:val="8"/>
                <w:sz w:val="21"/>
                <w:szCs w:val="21"/>
                <w:highlight w:val="none"/>
              </w:rPr>
              <w:t>交通运输业 *</w:t>
            </w:r>
          </w:p>
        </w:tc>
        <w:tc>
          <w:tcPr>
            <w:tcW w:w="136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41436955">
            <w:pPr>
              <w:pStyle w:val="3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center"/>
              <w:rPr>
                <w:rFonts w:hint="eastAsia" w:ascii="宋体" w:hAnsi="宋体" w:eastAsia="宋体" w:cs="宋体"/>
                <w:color w:val="auto"/>
                <w:sz w:val="21"/>
                <w:szCs w:val="21"/>
                <w:highlight w:val="none"/>
              </w:rPr>
            </w:pPr>
            <w:r>
              <w:rPr>
                <w:rFonts w:hint="eastAsia" w:ascii="宋体" w:hAnsi="宋体" w:eastAsia="宋体" w:cs="宋体"/>
                <w:b w:val="0"/>
                <w:i w:val="0"/>
                <w:caps w:val="0"/>
                <w:color w:val="auto"/>
                <w:spacing w:val="8"/>
                <w:sz w:val="21"/>
                <w:szCs w:val="21"/>
                <w:highlight w:val="none"/>
              </w:rPr>
              <w:t>从业人员</w:t>
            </w:r>
            <w:r>
              <w:rPr>
                <w:rFonts w:hint="eastAsia" w:ascii="宋体" w:hAnsi="宋体" w:eastAsia="宋体" w:cs="宋体"/>
                <w:b w:val="0"/>
                <w:i w:val="0"/>
                <w:caps w:val="0"/>
                <w:color w:val="auto"/>
                <w:spacing w:val="8"/>
                <w:sz w:val="21"/>
                <w:szCs w:val="21"/>
                <w:highlight w:val="none"/>
                <w:lang w:eastAsia="zh-CN"/>
              </w:rPr>
              <w:t>（</w:t>
            </w:r>
            <w:r>
              <w:rPr>
                <w:rFonts w:hint="eastAsia" w:ascii="宋体" w:hAnsi="宋体" w:eastAsia="宋体" w:cs="宋体"/>
                <w:b w:val="0"/>
                <w:i w:val="0"/>
                <w:caps w:val="0"/>
                <w:color w:val="auto"/>
                <w:spacing w:val="8"/>
                <w:sz w:val="21"/>
                <w:szCs w:val="21"/>
                <w:highlight w:val="none"/>
              </w:rPr>
              <w:t>X</w:t>
            </w:r>
            <w:r>
              <w:rPr>
                <w:rFonts w:hint="eastAsia" w:ascii="宋体" w:hAnsi="宋体" w:eastAsia="宋体" w:cs="宋体"/>
                <w:b w:val="0"/>
                <w:i w:val="0"/>
                <w:caps w:val="0"/>
                <w:color w:val="auto"/>
                <w:spacing w:val="8"/>
                <w:sz w:val="21"/>
                <w:szCs w:val="21"/>
                <w:highlight w:val="none"/>
                <w:lang w:eastAsia="zh-CN"/>
              </w:rPr>
              <w:t>）</w:t>
            </w:r>
          </w:p>
        </w:tc>
        <w:tc>
          <w:tcPr>
            <w:tcW w:w="70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55291388">
            <w:pPr>
              <w:pStyle w:val="3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center"/>
              <w:rPr>
                <w:rFonts w:hint="eastAsia" w:ascii="宋体" w:hAnsi="宋体" w:eastAsia="宋体" w:cs="宋体"/>
                <w:color w:val="auto"/>
                <w:sz w:val="21"/>
                <w:szCs w:val="21"/>
                <w:highlight w:val="none"/>
              </w:rPr>
            </w:pPr>
            <w:r>
              <w:rPr>
                <w:rFonts w:hint="eastAsia" w:ascii="宋体" w:hAnsi="宋体" w:eastAsia="宋体" w:cs="宋体"/>
                <w:b w:val="0"/>
                <w:i w:val="0"/>
                <w:caps w:val="0"/>
                <w:color w:val="auto"/>
                <w:spacing w:val="8"/>
                <w:sz w:val="21"/>
                <w:szCs w:val="21"/>
                <w:highlight w:val="none"/>
              </w:rPr>
              <w:t>人</w:t>
            </w:r>
          </w:p>
        </w:tc>
        <w:tc>
          <w:tcPr>
            <w:tcW w:w="112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0B12C3F8">
            <w:pPr>
              <w:pStyle w:val="3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center"/>
              <w:rPr>
                <w:rFonts w:hint="eastAsia" w:ascii="宋体" w:hAnsi="宋体" w:eastAsia="宋体" w:cs="宋体"/>
                <w:color w:val="auto"/>
                <w:sz w:val="21"/>
                <w:szCs w:val="21"/>
                <w:highlight w:val="none"/>
              </w:rPr>
            </w:pPr>
            <w:r>
              <w:rPr>
                <w:rFonts w:hint="eastAsia" w:ascii="宋体" w:hAnsi="宋体" w:eastAsia="宋体" w:cs="宋体"/>
                <w:b w:val="0"/>
                <w:i w:val="0"/>
                <w:caps w:val="0"/>
                <w:color w:val="auto"/>
                <w:spacing w:val="8"/>
                <w:sz w:val="21"/>
                <w:szCs w:val="21"/>
                <w:highlight w:val="none"/>
              </w:rPr>
              <w:t>X≥1000</w:t>
            </w:r>
          </w:p>
        </w:tc>
        <w:tc>
          <w:tcPr>
            <w:tcW w:w="169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65D03BB8">
            <w:pPr>
              <w:pStyle w:val="3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center"/>
              <w:rPr>
                <w:rFonts w:hint="eastAsia" w:ascii="宋体" w:hAnsi="宋体" w:eastAsia="宋体" w:cs="宋体"/>
                <w:color w:val="auto"/>
                <w:sz w:val="21"/>
                <w:szCs w:val="21"/>
                <w:highlight w:val="none"/>
              </w:rPr>
            </w:pPr>
            <w:r>
              <w:rPr>
                <w:rFonts w:hint="eastAsia" w:ascii="宋体" w:hAnsi="宋体" w:eastAsia="宋体" w:cs="宋体"/>
                <w:b w:val="0"/>
                <w:i w:val="0"/>
                <w:caps w:val="0"/>
                <w:color w:val="auto"/>
                <w:spacing w:val="8"/>
                <w:sz w:val="21"/>
                <w:szCs w:val="21"/>
                <w:highlight w:val="none"/>
              </w:rPr>
              <w:t>300≤X＜1000</w:t>
            </w:r>
          </w:p>
        </w:tc>
        <w:tc>
          <w:tcPr>
            <w:tcW w:w="142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14A6135E">
            <w:pPr>
              <w:pStyle w:val="3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center"/>
              <w:rPr>
                <w:rFonts w:hint="eastAsia" w:ascii="宋体" w:hAnsi="宋体" w:eastAsia="宋体" w:cs="宋体"/>
                <w:color w:val="auto"/>
                <w:sz w:val="21"/>
                <w:szCs w:val="21"/>
                <w:highlight w:val="none"/>
              </w:rPr>
            </w:pPr>
            <w:r>
              <w:rPr>
                <w:rFonts w:hint="eastAsia" w:ascii="宋体" w:hAnsi="宋体" w:eastAsia="宋体" w:cs="宋体"/>
                <w:b w:val="0"/>
                <w:i w:val="0"/>
                <w:caps w:val="0"/>
                <w:color w:val="auto"/>
                <w:spacing w:val="8"/>
                <w:sz w:val="21"/>
                <w:szCs w:val="21"/>
                <w:highlight w:val="none"/>
              </w:rPr>
              <w:t> 20≤X＜300</w:t>
            </w:r>
          </w:p>
        </w:tc>
        <w:tc>
          <w:tcPr>
            <w:tcW w:w="990"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0D41E5ED">
            <w:pPr>
              <w:pStyle w:val="3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center"/>
              <w:rPr>
                <w:rFonts w:hint="eastAsia" w:ascii="宋体" w:hAnsi="宋体" w:eastAsia="宋体" w:cs="宋体"/>
                <w:color w:val="auto"/>
                <w:sz w:val="21"/>
                <w:szCs w:val="21"/>
                <w:highlight w:val="none"/>
              </w:rPr>
            </w:pPr>
            <w:r>
              <w:rPr>
                <w:rFonts w:hint="eastAsia" w:ascii="宋体" w:hAnsi="宋体" w:eastAsia="宋体" w:cs="宋体"/>
                <w:b w:val="0"/>
                <w:i w:val="0"/>
                <w:caps w:val="0"/>
                <w:color w:val="auto"/>
                <w:spacing w:val="8"/>
                <w:sz w:val="21"/>
                <w:szCs w:val="21"/>
                <w:highlight w:val="none"/>
              </w:rPr>
              <w:t>X＜20</w:t>
            </w:r>
          </w:p>
        </w:tc>
      </w:tr>
      <w:tr w14:paraId="6A3C66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90" w:hRule="atLeast"/>
          <w:jc w:val="center"/>
        </w:trPr>
        <w:tc>
          <w:tcPr>
            <w:tcW w:w="2115" w:type="dxa"/>
            <w:vMerge w:val="continue"/>
            <w:tcBorders>
              <w:top w:val="nil"/>
              <w:left w:val="single" w:color="4F81BD" w:sz="6" w:space="0"/>
              <w:bottom w:val="single" w:color="4F81BD" w:sz="6" w:space="0"/>
              <w:right w:val="single" w:color="4F81BD" w:sz="6" w:space="0"/>
            </w:tcBorders>
            <w:shd w:val="clear" w:color="auto" w:fill="FFFFFF"/>
            <w:noWrap w:val="0"/>
            <w:tcMar>
              <w:left w:w="105" w:type="dxa"/>
              <w:right w:w="105" w:type="dxa"/>
            </w:tcMar>
            <w:vAlign w:val="center"/>
          </w:tcPr>
          <w:p w14:paraId="1B3C0B20">
            <w:pPr>
              <w:pageBreakBefore w:val="0"/>
              <w:kinsoku/>
              <w:overflowPunct/>
              <w:bidi w:val="0"/>
              <w:spacing w:line="360" w:lineRule="auto"/>
              <w:jc w:val="both"/>
              <w:rPr>
                <w:rFonts w:hint="eastAsia" w:ascii="宋体" w:hAnsi="宋体" w:eastAsia="宋体" w:cs="宋体"/>
                <w:b w:val="0"/>
                <w:i w:val="0"/>
                <w:caps w:val="0"/>
                <w:color w:val="auto"/>
                <w:spacing w:val="8"/>
                <w:sz w:val="21"/>
                <w:szCs w:val="21"/>
                <w:highlight w:val="none"/>
              </w:rPr>
            </w:pPr>
          </w:p>
        </w:tc>
        <w:tc>
          <w:tcPr>
            <w:tcW w:w="136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2B67FBA4">
            <w:pPr>
              <w:pStyle w:val="3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center"/>
              <w:rPr>
                <w:rFonts w:hint="eastAsia" w:ascii="宋体" w:hAnsi="宋体" w:eastAsia="宋体" w:cs="宋体"/>
                <w:color w:val="auto"/>
                <w:sz w:val="21"/>
                <w:szCs w:val="21"/>
                <w:highlight w:val="none"/>
              </w:rPr>
            </w:pPr>
            <w:r>
              <w:rPr>
                <w:rFonts w:hint="eastAsia" w:ascii="宋体" w:hAnsi="宋体" w:eastAsia="宋体" w:cs="宋体"/>
                <w:b w:val="0"/>
                <w:i w:val="0"/>
                <w:caps w:val="0"/>
                <w:color w:val="auto"/>
                <w:spacing w:val="8"/>
                <w:sz w:val="21"/>
                <w:szCs w:val="21"/>
                <w:highlight w:val="none"/>
              </w:rPr>
              <w:t>营业收入</w:t>
            </w:r>
            <w:r>
              <w:rPr>
                <w:rFonts w:hint="eastAsia" w:ascii="宋体" w:hAnsi="宋体" w:eastAsia="宋体" w:cs="宋体"/>
                <w:b w:val="0"/>
                <w:i w:val="0"/>
                <w:caps w:val="0"/>
                <w:color w:val="auto"/>
                <w:spacing w:val="8"/>
                <w:sz w:val="21"/>
                <w:szCs w:val="21"/>
                <w:highlight w:val="none"/>
                <w:lang w:eastAsia="zh-CN"/>
              </w:rPr>
              <w:t>（</w:t>
            </w:r>
            <w:r>
              <w:rPr>
                <w:rFonts w:hint="eastAsia" w:ascii="宋体" w:hAnsi="宋体" w:eastAsia="宋体" w:cs="宋体"/>
                <w:b w:val="0"/>
                <w:i w:val="0"/>
                <w:caps w:val="0"/>
                <w:color w:val="auto"/>
                <w:spacing w:val="8"/>
                <w:sz w:val="21"/>
                <w:szCs w:val="21"/>
                <w:highlight w:val="none"/>
              </w:rPr>
              <w:t>Y</w:t>
            </w:r>
            <w:r>
              <w:rPr>
                <w:rFonts w:hint="eastAsia" w:ascii="宋体" w:hAnsi="宋体" w:eastAsia="宋体" w:cs="宋体"/>
                <w:b w:val="0"/>
                <w:i w:val="0"/>
                <w:caps w:val="0"/>
                <w:color w:val="auto"/>
                <w:spacing w:val="8"/>
                <w:sz w:val="21"/>
                <w:szCs w:val="21"/>
                <w:highlight w:val="none"/>
                <w:lang w:eastAsia="zh-CN"/>
              </w:rPr>
              <w:t>）</w:t>
            </w:r>
          </w:p>
        </w:tc>
        <w:tc>
          <w:tcPr>
            <w:tcW w:w="70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2C7CB4B5">
            <w:pPr>
              <w:pStyle w:val="3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center"/>
              <w:rPr>
                <w:rFonts w:hint="eastAsia" w:ascii="宋体" w:hAnsi="宋体" w:eastAsia="宋体" w:cs="宋体"/>
                <w:color w:val="auto"/>
                <w:sz w:val="21"/>
                <w:szCs w:val="21"/>
                <w:highlight w:val="none"/>
              </w:rPr>
            </w:pPr>
            <w:r>
              <w:rPr>
                <w:rFonts w:hint="eastAsia" w:ascii="宋体" w:hAnsi="宋体" w:eastAsia="宋体" w:cs="宋体"/>
                <w:b w:val="0"/>
                <w:i w:val="0"/>
                <w:caps w:val="0"/>
                <w:color w:val="auto"/>
                <w:spacing w:val="8"/>
                <w:sz w:val="21"/>
                <w:szCs w:val="21"/>
                <w:highlight w:val="none"/>
              </w:rPr>
              <w:t>万元</w:t>
            </w:r>
          </w:p>
        </w:tc>
        <w:tc>
          <w:tcPr>
            <w:tcW w:w="112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50194F33">
            <w:pPr>
              <w:pStyle w:val="3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center"/>
              <w:rPr>
                <w:rFonts w:hint="eastAsia" w:ascii="宋体" w:hAnsi="宋体" w:eastAsia="宋体" w:cs="宋体"/>
                <w:color w:val="auto"/>
                <w:sz w:val="21"/>
                <w:szCs w:val="21"/>
                <w:highlight w:val="none"/>
              </w:rPr>
            </w:pPr>
            <w:r>
              <w:rPr>
                <w:rFonts w:hint="eastAsia" w:ascii="宋体" w:hAnsi="宋体" w:eastAsia="宋体" w:cs="宋体"/>
                <w:b w:val="0"/>
                <w:i w:val="0"/>
                <w:caps w:val="0"/>
                <w:color w:val="auto"/>
                <w:spacing w:val="8"/>
                <w:sz w:val="21"/>
                <w:szCs w:val="21"/>
                <w:highlight w:val="none"/>
              </w:rPr>
              <w:t>Y≥30000</w:t>
            </w:r>
          </w:p>
        </w:tc>
        <w:tc>
          <w:tcPr>
            <w:tcW w:w="169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59DB3CC3">
            <w:pPr>
              <w:pStyle w:val="3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center"/>
              <w:rPr>
                <w:rFonts w:hint="eastAsia" w:ascii="宋体" w:hAnsi="宋体" w:eastAsia="宋体" w:cs="宋体"/>
                <w:color w:val="auto"/>
                <w:sz w:val="21"/>
                <w:szCs w:val="21"/>
                <w:highlight w:val="none"/>
              </w:rPr>
            </w:pPr>
            <w:r>
              <w:rPr>
                <w:rFonts w:hint="eastAsia" w:ascii="宋体" w:hAnsi="宋体" w:eastAsia="宋体" w:cs="宋体"/>
                <w:b w:val="0"/>
                <w:i w:val="0"/>
                <w:caps w:val="0"/>
                <w:color w:val="auto"/>
                <w:spacing w:val="8"/>
                <w:sz w:val="21"/>
                <w:szCs w:val="21"/>
                <w:highlight w:val="none"/>
              </w:rPr>
              <w:t>3000≤Y＜30000</w:t>
            </w:r>
          </w:p>
        </w:tc>
        <w:tc>
          <w:tcPr>
            <w:tcW w:w="142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5312A6FC">
            <w:pPr>
              <w:pStyle w:val="3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center"/>
              <w:rPr>
                <w:rFonts w:hint="eastAsia" w:ascii="宋体" w:hAnsi="宋体" w:eastAsia="宋体" w:cs="宋体"/>
                <w:color w:val="auto"/>
                <w:sz w:val="21"/>
                <w:szCs w:val="21"/>
                <w:highlight w:val="none"/>
              </w:rPr>
            </w:pPr>
            <w:r>
              <w:rPr>
                <w:rFonts w:hint="eastAsia" w:ascii="宋体" w:hAnsi="宋体" w:eastAsia="宋体" w:cs="宋体"/>
                <w:b w:val="0"/>
                <w:i w:val="0"/>
                <w:caps w:val="0"/>
                <w:color w:val="auto"/>
                <w:spacing w:val="8"/>
                <w:sz w:val="21"/>
                <w:szCs w:val="21"/>
                <w:highlight w:val="none"/>
              </w:rPr>
              <w:t> 200≤Y＜3000</w:t>
            </w:r>
          </w:p>
        </w:tc>
        <w:tc>
          <w:tcPr>
            <w:tcW w:w="990"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3E646065">
            <w:pPr>
              <w:pStyle w:val="3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center"/>
              <w:rPr>
                <w:rFonts w:hint="eastAsia" w:ascii="宋体" w:hAnsi="宋体" w:eastAsia="宋体" w:cs="宋体"/>
                <w:color w:val="auto"/>
                <w:sz w:val="21"/>
                <w:szCs w:val="21"/>
                <w:highlight w:val="none"/>
              </w:rPr>
            </w:pPr>
            <w:r>
              <w:rPr>
                <w:rFonts w:hint="eastAsia" w:ascii="宋体" w:hAnsi="宋体" w:eastAsia="宋体" w:cs="宋体"/>
                <w:b w:val="0"/>
                <w:i w:val="0"/>
                <w:caps w:val="0"/>
                <w:color w:val="auto"/>
                <w:spacing w:val="8"/>
                <w:sz w:val="21"/>
                <w:szCs w:val="21"/>
                <w:highlight w:val="none"/>
              </w:rPr>
              <w:t>Y＜200</w:t>
            </w:r>
          </w:p>
        </w:tc>
      </w:tr>
      <w:tr w14:paraId="7644D2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90" w:hRule="atLeast"/>
          <w:jc w:val="center"/>
        </w:trPr>
        <w:tc>
          <w:tcPr>
            <w:tcW w:w="2115" w:type="dxa"/>
            <w:vMerge w:val="restart"/>
            <w:tcBorders>
              <w:top w:val="nil"/>
              <w:left w:val="single" w:color="4F81BD" w:sz="6" w:space="0"/>
              <w:bottom w:val="single" w:color="4F81BD" w:sz="6" w:space="0"/>
              <w:right w:val="single" w:color="4F81BD" w:sz="6" w:space="0"/>
            </w:tcBorders>
            <w:shd w:val="clear" w:color="auto" w:fill="FFFFFF"/>
            <w:noWrap w:val="0"/>
            <w:tcMar>
              <w:left w:w="105" w:type="dxa"/>
              <w:right w:w="105" w:type="dxa"/>
            </w:tcMar>
            <w:vAlign w:val="center"/>
          </w:tcPr>
          <w:p w14:paraId="4838D182">
            <w:pPr>
              <w:pStyle w:val="3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both"/>
              <w:rPr>
                <w:rFonts w:hint="eastAsia" w:ascii="宋体" w:hAnsi="宋体" w:eastAsia="宋体" w:cs="宋体"/>
                <w:color w:val="auto"/>
                <w:sz w:val="21"/>
                <w:szCs w:val="21"/>
                <w:highlight w:val="none"/>
              </w:rPr>
            </w:pPr>
            <w:r>
              <w:rPr>
                <w:rFonts w:hint="eastAsia" w:ascii="宋体" w:hAnsi="宋体" w:eastAsia="宋体" w:cs="宋体"/>
                <w:b w:val="0"/>
                <w:i w:val="0"/>
                <w:caps w:val="0"/>
                <w:color w:val="auto"/>
                <w:spacing w:val="8"/>
                <w:sz w:val="21"/>
                <w:szCs w:val="21"/>
                <w:highlight w:val="none"/>
              </w:rPr>
              <w:t>仓储业*</w:t>
            </w:r>
          </w:p>
        </w:tc>
        <w:tc>
          <w:tcPr>
            <w:tcW w:w="136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73CC9168">
            <w:pPr>
              <w:pStyle w:val="3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center"/>
              <w:rPr>
                <w:rFonts w:hint="eastAsia" w:ascii="宋体" w:hAnsi="宋体" w:eastAsia="宋体" w:cs="宋体"/>
                <w:color w:val="auto"/>
                <w:sz w:val="21"/>
                <w:szCs w:val="21"/>
                <w:highlight w:val="none"/>
              </w:rPr>
            </w:pPr>
            <w:r>
              <w:rPr>
                <w:rFonts w:hint="eastAsia" w:ascii="宋体" w:hAnsi="宋体" w:eastAsia="宋体" w:cs="宋体"/>
                <w:b w:val="0"/>
                <w:i w:val="0"/>
                <w:caps w:val="0"/>
                <w:color w:val="auto"/>
                <w:spacing w:val="8"/>
                <w:sz w:val="21"/>
                <w:szCs w:val="21"/>
                <w:highlight w:val="none"/>
              </w:rPr>
              <w:t>从业人员</w:t>
            </w:r>
            <w:r>
              <w:rPr>
                <w:rFonts w:hint="eastAsia" w:ascii="宋体" w:hAnsi="宋体" w:eastAsia="宋体" w:cs="宋体"/>
                <w:b w:val="0"/>
                <w:i w:val="0"/>
                <w:caps w:val="0"/>
                <w:color w:val="auto"/>
                <w:spacing w:val="8"/>
                <w:sz w:val="21"/>
                <w:szCs w:val="21"/>
                <w:highlight w:val="none"/>
                <w:lang w:eastAsia="zh-CN"/>
              </w:rPr>
              <w:t>（</w:t>
            </w:r>
            <w:r>
              <w:rPr>
                <w:rFonts w:hint="eastAsia" w:ascii="宋体" w:hAnsi="宋体" w:eastAsia="宋体" w:cs="宋体"/>
                <w:b w:val="0"/>
                <w:i w:val="0"/>
                <w:caps w:val="0"/>
                <w:color w:val="auto"/>
                <w:spacing w:val="8"/>
                <w:sz w:val="21"/>
                <w:szCs w:val="21"/>
                <w:highlight w:val="none"/>
              </w:rPr>
              <w:t>X</w:t>
            </w:r>
            <w:r>
              <w:rPr>
                <w:rFonts w:hint="eastAsia" w:ascii="宋体" w:hAnsi="宋体" w:eastAsia="宋体" w:cs="宋体"/>
                <w:b w:val="0"/>
                <w:i w:val="0"/>
                <w:caps w:val="0"/>
                <w:color w:val="auto"/>
                <w:spacing w:val="8"/>
                <w:sz w:val="21"/>
                <w:szCs w:val="21"/>
                <w:highlight w:val="none"/>
                <w:lang w:eastAsia="zh-CN"/>
              </w:rPr>
              <w:t>）</w:t>
            </w:r>
          </w:p>
        </w:tc>
        <w:tc>
          <w:tcPr>
            <w:tcW w:w="70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7DF3DBE9">
            <w:pPr>
              <w:pStyle w:val="3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center"/>
              <w:rPr>
                <w:rFonts w:hint="eastAsia" w:ascii="宋体" w:hAnsi="宋体" w:eastAsia="宋体" w:cs="宋体"/>
                <w:color w:val="auto"/>
                <w:sz w:val="21"/>
                <w:szCs w:val="21"/>
                <w:highlight w:val="none"/>
              </w:rPr>
            </w:pPr>
            <w:r>
              <w:rPr>
                <w:rFonts w:hint="eastAsia" w:ascii="宋体" w:hAnsi="宋体" w:eastAsia="宋体" w:cs="宋体"/>
                <w:b w:val="0"/>
                <w:i w:val="0"/>
                <w:caps w:val="0"/>
                <w:color w:val="auto"/>
                <w:spacing w:val="8"/>
                <w:sz w:val="21"/>
                <w:szCs w:val="21"/>
                <w:highlight w:val="none"/>
              </w:rPr>
              <w:t>人</w:t>
            </w:r>
          </w:p>
        </w:tc>
        <w:tc>
          <w:tcPr>
            <w:tcW w:w="112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13D15061">
            <w:pPr>
              <w:pStyle w:val="3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center"/>
              <w:rPr>
                <w:rFonts w:hint="eastAsia" w:ascii="宋体" w:hAnsi="宋体" w:eastAsia="宋体" w:cs="宋体"/>
                <w:color w:val="auto"/>
                <w:sz w:val="21"/>
                <w:szCs w:val="21"/>
                <w:highlight w:val="none"/>
              </w:rPr>
            </w:pPr>
            <w:r>
              <w:rPr>
                <w:rFonts w:hint="eastAsia" w:ascii="宋体" w:hAnsi="宋体" w:eastAsia="宋体" w:cs="宋体"/>
                <w:b w:val="0"/>
                <w:i w:val="0"/>
                <w:caps w:val="0"/>
                <w:color w:val="auto"/>
                <w:spacing w:val="8"/>
                <w:sz w:val="21"/>
                <w:szCs w:val="21"/>
                <w:highlight w:val="none"/>
              </w:rPr>
              <w:t>X≥200</w:t>
            </w:r>
          </w:p>
        </w:tc>
        <w:tc>
          <w:tcPr>
            <w:tcW w:w="169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0019DDC7">
            <w:pPr>
              <w:pStyle w:val="3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center"/>
              <w:rPr>
                <w:rFonts w:hint="eastAsia" w:ascii="宋体" w:hAnsi="宋体" w:eastAsia="宋体" w:cs="宋体"/>
                <w:color w:val="auto"/>
                <w:sz w:val="21"/>
                <w:szCs w:val="21"/>
                <w:highlight w:val="none"/>
              </w:rPr>
            </w:pPr>
            <w:r>
              <w:rPr>
                <w:rFonts w:hint="eastAsia" w:ascii="宋体" w:hAnsi="宋体" w:eastAsia="宋体" w:cs="宋体"/>
                <w:b w:val="0"/>
                <w:i w:val="0"/>
                <w:caps w:val="0"/>
                <w:color w:val="auto"/>
                <w:spacing w:val="8"/>
                <w:sz w:val="21"/>
                <w:szCs w:val="21"/>
                <w:highlight w:val="none"/>
              </w:rPr>
              <w:t>100≤X＜200</w:t>
            </w:r>
          </w:p>
        </w:tc>
        <w:tc>
          <w:tcPr>
            <w:tcW w:w="142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2DF2414A">
            <w:pPr>
              <w:pStyle w:val="3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center"/>
              <w:rPr>
                <w:rFonts w:hint="eastAsia" w:ascii="宋体" w:hAnsi="宋体" w:eastAsia="宋体" w:cs="宋体"/>
                <w:color w:val="auto"/>
                <w:sz w:val="21"/>
                <w:szCs w:val="21"/>
                <w:highlight w:val="none"/>
              </w:rPr>
            </w:pPr>
            <w:r>
              <w:rPr>
                <w:rFonts w:hint="eastAsia" w:ascii="宋体" w:hAnsi="宋体" w:eastAsia="宋体" w:cs="宋体"/>
                <w:b w:val="0"/>
                <w:i w:val="0"/>
                <w:caps w:val="0"/>
                <w:color w:val="auto"/>
                <w:spacing w:val="8"/>
                <w:sz w:val="21"/>
                <w:szCs w:val="21"/>
                <w:highlight w:val="none"/>
              </w:rPr>
              <w:t> 20≤X＜100</w:t>
            </w:r>
          </w:p>
        </w:tc>
        <w:tc>
          <w:tcPr>
            <w:tcW w:w="990"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53618CA0">
            <w:pPr>
              <w:pStyle w:val="3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center"/>
              <w:rPr>
                <w:rFonts w:hint="eastAsia" w:ascii="宋体" w:hAnsi="宋体" w:eastAsia="宋体" w:cs="宋体"/>
                <w:color w:val="auto"/>
                <w:sz w:val="21"/>
                <w:szCs w:val="21"/>
                <w:highlight w:val="none"/>
              </w:rPr>
            </w:pPr>
            <w:r>
              <w:rPr>
                <w:rFonts w:hint="eastAsia" w:ascii="宋体" w:hAnsi="宋体" w:eastAsia="宋体" w:cs="宋体"/>
                <w:b w:val="0"/>
                <w:i w:val="0"/>
                <w:caps w:val="0"/>
                <w:color w:val="auto"/>
                <w:spacing w:val="8"/>
                <w:sz w:val="21"/>
                <w:szCs w:val="21"/>
                <w:highlight w:val="none"/>
              </w:rPr>
              <w:t>X＜20</w:t>
            </w:r>
          </w:p>
        </w:tc>
      </w:tr>
      <w:tr w14:paraId="134041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90" w:hRule="atLeast"/>
          <w:jc w:val="center"/>
        </w:trPr>
        <w:tc>
          <w:tcPr>
            <w:tcW w:w="2115" w:type="dxa"/>
            <w:vMerge w:val="continue"/>
            <w:tcBorders>
              <w:top w:val="nil"/>
              <w:left w:val="single" w:color="4F81BD" w:sz="6" w:space="0"/>
              <w:bottom w:val="single" w:color="4F81BD" w:sz="6" w:space="0"/>
              <w:right w:val="single" w:color="4F81BD" w:sz="6" w:space="0"/>
            </w:tcBorders>
            <w:shd w:val="clear" w:color="auto" w:fill="FFFFFF"/>
            <w:noWrap w:val="0"/>
            <w:tcMar>
              <w:left w:w="105" w:type="dxa"/>
              <w:right w:w="105" w:type="dxa"/>
            </w:tcMar>
            <w:vAlign w:val="center"/>
          </w:tcPr>
          <w:p w14:paraId="1E456B32">
            <w:pPr>
              <w:pageBreakBefore w:val="0"/>
              <w:kinsoku/>
              <w:overflowPunct/>
              <w:bidi w:val="0"/>
              <w:spacing w:line="360" w:lineRule="auto"/>
              <w:jc w:val="both"/>
              <w:rPr>
                <w:rFonts w:hint="eastAsia" w:ascii="宋体" w:hAnsi="宋体" w:eastAsia="宋体" w:cs="宋体"/>
                <w:b w:val="0"/>
                <w:i w:val="0"/>
                <w:caps w:val="0"/>
                <w:color w:val="auto"/>
                <w:spacing w:val="8"/>
                <w:sz w:val="21"/>
                <w:szCs w:val="21"/>
                <w:highlight w:val="none"/>
              </w:rPr>
            </w:pPr>
          </w:p>
        </w:tc>
        <w:tc>
          <w:tcPr>
            <w:tcW w:w="136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098F4160">
            <w:pPr>
              <w:pStyle w:val="3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center"/>
              <w:rPr>
                <w:rFonts w:hint="eastAsia" w:ascii="宋体" w:hAnsi="宋体" w:eastAsia="宋体" w:cs="宋体"/>
                <w:color w:val="auto"/>
                <w:sz w:val="21"/>
                <w:szCs w:val="21"/>
                <w:highlight w:val="none"/>
              </w:rPr>
            </w:pPr>
            <w:r>
              <w:rPr>
                <w:rFonts w:hint="eastAsia" w:ascii="宋体" w:hAnsi="宋体" w:eastAsia="宋体" w:cs="宋体"/>
                <w:b w:val="0"/>
                <w:i w:val="0"/>
                <w:caps w:val="0"/>
                <w:color w:val="auto"/>
                <w:spacing w:val="8"/>
                <w:sz w:val="21"/>
                <w:szCs w:val="21"/>
                <w:highlight w:val="none"/>
              </w:rPr>
              <w:t>营业收入</w:t>
            </w:r>
            <w:r>
              <w:rPr>
                <w:rFonts w:hint="eastAsia" w:ascii="宋体" w:hAnsi="宋体" w:eastAsia="宋体" w:cs="宋体"/>
                <w:b w:val="0"/>
                <w:i w:val="0"/>
                <w:caps w:val="0"/>
                <w:color w:val="auto"/>
                <w:spacing w:val="8"/>
                <w:sz w:val="21"/>
                <w:szCs w:val="21"/>
                <w:highlight w:val="none"/>
                <w:lang w:eastAsia="zh-CN"/>
              </w:rPr>
              <w:t>（</w:t>
            </w:r>
            <w:r>
              <w:rPr>
                <w:rFonts w:hint="eastAsia" w:ascii="宋体" w:hAnsi="宋体" w:eastAsia="宋体" w:cs="宋体"/>
                <w:b w:val="0"/>
                <w:i w:val="0"/>
                <w:caps w:val="0"/>
                <w:color w:val="auto"/>
                <w:spacing w:val="8"/>
                <w:sz w:val="21"/>
                <w:szCs w:val="21"/>
                <w:highlight w:val="none"/>
              </w:rPr>
              <w:t>Y</w:t>
            </w:r>
            <w:r>
              <w:rPr>
                <w:rFonts w:hint="eastAsia" w:ascii="宋体" w:hAnsi="宋体" w:eastAsia="宋体" w:cs="宋体"/>
                <w:b w:val="0"/>
                <w:i w:val="0"/>
                <w:caps w:val="0"/>
                <w:color w:val="auto"/>
                <w:spacing w:val="8"/>
                <w:sz w:val="21"/>
                <w:szCs w:val="21"/>
                <w:highlight w:val="none"/>
                <w:lang w:eastAsia="zh-CN"/>
              </w:rPr>
              <w:t>）</w:t>
            </w:r>
          </w:p>
        </w:tc>
        <w:tc>
          <w:tcPr>
            <w:tcW w:w="70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4094FC0F">
            <w:pPr>
              <w:pStyle w:val="3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center"/>
              <w:rPr>
                <w:rFonts w:hint="eastAsia" w:ascii="宋体" w:hAnsi="宋体" w:eastAsia="宋体" w:cs="宋体"/>
                <w:color w:val="auto"/>
                <w:sz w:val="21"/>
                <w:szCs w:val="21"/>
                <w:highlight w:val="none"/>
              </w:rPr>
            </w:pPr>
            <w:r>
              <w:rPr>
                <w:rFonts w:hint="eastAsia" w:ascii="宋体" w:hAnsi="宋体" w:eastAsia="宋体" w:cs="宋体"/>
                <w:b w:val="0"/>
                <w:i w:val="0"/>
                <w:caps w:val="0"/>
                <w:color w:val="auto"/>
                <w:spacing w:val="8"/>
                <w:sz w:val="21"/>
                <w:szCs w:val="21"/>
                <w:highlight w:val="none"/>
              </w:rPr>
              <w:t>万元</w:t>
            </w:r>
          </w:p>
        </w:tc>
        <w:tc>
          <w:tcPr>
            <w:tcW w:w="112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76AB07D4">
            <w:pPr>
              <w:pStyle w:val="3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center"/>
              <w:rPr>
                <w:rFonts w:hint="eastAsia" w:ascii="宋体" w:hAnsi="宋体" w:eastAsia="宋体" w:cs="宋体"/>
                <w:color w:val="auto"/>
                <w:sz w:val="21"/>
                <w:szCs w:val="21"/>
                <w:highlight w:val="none"/>
              </w:rPr>
            </w:pPr>
            <w:r>
              <w:rPr>
                <w:rFonts w:hint="eastAsia" w:ascii="宋体" w:hAnsi="宋体" w:eastAsia="宋体" w:cs="宋体"/>
                <w:b w:val="0"/>
                <w:i w:val="0"/>
                <w:caps w:val="0"/>
                <w:color w:val="auto"/>
                <w:spacing w:val="8"/>
                <w:sz w:val="21"/>
                <w:szCs w:val="21"/>
                <w:highlight w:val="none"/>
              </w:rPr>
              <w:t>Y≥30000</w:t>
            </w:r>
          </w:p>
        </w:tc>
        <w:tc>
          <w:tcPr>
            <w:tcW w:w="169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40739CD0">
            <w:pPr>
              <w:pStyle w:val="3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center"/>
              <w:rPr>
                <w:rFonts w:hint="eastAsia" w:ascii="宋体" w:hAnsi="宋体" w:eastAsia="宋体" w:cs="宋体"/>
                <w:color w:val="auto"/>
                <w:sz w:val="21"/>
                <w:szCs w:val="21"/>
                <w:highlight w:val="none"/>
              </w:rPr>
            </w:pPr>
            <w:r>
              <w:rPr>
                <w:rFonts w:hint="eastAsia" w:ascii="宋体" w:hAnsi="宋体" w:eastAsia="宋体" w:cs="宋体"/>
                <w:b w:val="0"/>
                <w:i w:val="0"/>
                <w:caps w:val="0"/>
                <w:color w:val="auto"/>
                <w:spacing w:val="8"/>
                <w:sz w:val="21"/>
                <w:szCs w:val="21"/>
                <w:highlight w:val="none"/>
              </w:rPr>
              <w:t>1000≤Y＜30000</w:t>
            </w:r>
          </w:p>
        </w:tc>
        <w:tc>
          <w:tcPr>
            <w:tcW w:w="142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555824ED">
            <w:pPr>
              <w:pStyle w:val="3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center"/>
              <w:rPr>
                <w:rFonts w:hint="eastAsia" w:ascii="宋体" w:hAnsi="宋体" w:eastAsia="宋体" w:cs="宋体"/>
                <w:color w:val="auto"/>
                <w:sz w:val="21"/>
                <w:szCs w:val="21"/>
                <w:highlight w:val="none"/>
              </w:rPr>
            </w:pPr>
            <w:r>
              <w:rPr>
                <w:rFonts w:hint="eastAsia" w:ascii="宋体" w:hAnsi="宋体" w:eastAsia="宋体" w:cs="宋体"/>
                <w:b w:val="0"/>
                <w:i w:val="0"/>
                <w:caps w:val="0"/>
                <w:color w:val="auto"/>
                <w:spacing w:val="8"/>
                <w:sz w:val="21"/>
                <w:szCs w:val="21"/>
                <w:highlight w:val="none"/>
              </w:rPr>
              <w:t> 100≤Y＜1000</w:t>
            </w:r>
          </w:p>
        </w:tc>
        <w:tc>
          <w:tcPr>
            <w:tcW w:w="990"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184097BF">
            <w:pPr>
              <w:pStyle w:val="3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center"/>
              <w:rPr>
                <w:rFonts w:hint="eastAsia" w:ascii="宋体" w:hAnsi="宋体" w:eastAsia="宋体" w:cs="宋体"/>
                <w:color w:val="auto"/>
                <w:sz w:val="21"/>
                <w:szCs w:val="21"/>
                <w:highlight w:val="none"/>
              </w:rPr>
            </w:pPr>
            <w:r>
              <w:rPr>
                <w:rFonts w:hint="eastAsia" w:ascii="宋体" w:hAnsi="宋体" w:eastAsia="宋体" w:cs="宋体"/>
                <w:b w:val="0"/>
                <w:i w:val="0"/>
                <w:caps w:val="0"/>
                <w:color w:val="auto"/>
                <w:spacing w:val="8"/>
                <w:sz w:val="21"/>
                <w:szCs w:val="21"/>
                <w:highlight w:val="none"/>
              </w:rPr>
              <w:t>Y＜100</w:t>
            </w:r>
          </w:p>
        </w:tc>
      </w:tr>
      <w:tr w14:paraId="0B10C7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90" w:hRule="atLeast"/>
          <w:jc w:val="center"/>
        </w:trPr>
        <w:tc>
          <w:tcPr>
            <w:tcW w:w="2115" w:type="dxa"/>
            <w:vMerge w:val="restart"/>
            <w:tcBorders>
              <w:top w:val="nil"/>
              <w:left w:val="single" w:color="4F81BD" w:sz="6" w:space="0"/>
              <w:bottom w:val="single" w:color="4F81BD" w:sz="6" w:space="0"/>
              <w:right w:val="single" w:color="4F81BD" w:sz="6" w:space="0"/>
            </w:tcBorders>
            <w:shd w:val="clear" w:color="auto" w:fill="FFFFFF"/>
            <w:noWrap w:val="0"/>
            <w:tcMar>
              <w:left w:w="105" w:type="dxa"/>
              <w:right w:w="105" w:type="dxa"/>
            </w:tcMar>
            <w:vAlign w:val="center"/>
          </w:tcPr>
          <w:p w14:paraId="01F4D8F3">
            <w:pPr>
              <w:pStyle w:val="3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both"/>
              <w:rPr>
                <w:rFonts w:hint="eastAsia" w:ascii="宋体" w:hAnsi="宋体" w:eastAsia="宋体" w:cs="宋体"/>
                <w:color w:val="auto"/>
                <w:sz w:val="21"/>
                <w:szCs w:val="21"/>
                <w:highlight w:val="none"/>
              </w:rPr>
            </w:pPr>
            <w:r>
              <w:rPr>
                <w:rFonts w:hint="eastAsia" w:ascii="宋体" w:hAnsi="宋体" w:eastAsia="宋体" w:cs="宋体"/>
                <w:b w:val="0"/>
                <w:i w:val="0"/>
                <w:caps w:val="0"/>
                <w:color w:val="auto"/>
                <w:spacing w:val="8"/>
                <w:sz w:val="21"/>
                <w:szCs w:val="21"/>
                <w:highlight w:val="none"/>
              </w:rPr>
              <w:t>邮政业</w:t>
            </w:r>
          </w:p>
        </w:tc>
        <w:tc>
          <w:tcPr>
            <w:tcW w:w="136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492FCC3F">
            <w:pPr>
              <w:pStyle w:val="3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center"/>
              <w:rPr>
                <w:rFonts w:hint="eastAsia" w:ascii="宋体" w:hAnsi="宋体" w:eastAsia="宋体" w:cs="宋体"/>
                <w:color w:val="auto"/>
                <w:sz w:val="21"/>
                <w:szCs w:val="21"/>
                <w:highlight w:val="none"/>
              </w:rPr>
            </w:pPr>
            <w:r>
              <w:rPr>
                <w:rFonts w:hint="eastAsia" w:ascii="宋体" w:hAnsi="宋体" w:eastAsia="宋体" w:cs="宋体"/>
                <w:b w:val="0"/>
                <w:i w:val="0"/>
                <w:caps w:val="0"/>
                <w:color w:val="auto"/>
                <w:spacing w:val="8"/>
                <w:sz w:val="21"/>
                <w:szCs w:val="21"/>
                <w:highlight w:val="none"/>
              </w:rPr>
              <w:t>从业人员</w:t>
            </w:r>
            <w:r>
              <w:rPr>
                <w:rFonts w:hint="eastAsia" w:ascii="宋体" w:hAnsi="宋体" w:eastAsia="宋体" w:cs="宋体"/>
                <w:b w:val="0"/>
                <w:i w:val="0"/>
                <w:caps w:val="0"/>
                <w:color w:val="auto"/>
                <w:spacing w:val="8"/>
                <w:sz w:val="21"/>
                <w:szCs w:val="21"/>
                <w:highlight w:val="none"/>
                <w:lang w:eastAsia="zh-CN"/>
              </w:rPr>
              <w:t>（</w:t>
            </w:r>
            <w:r>
              <w:rPr>
                <w:rFonts w:hint="eastAsia" w:ascii="宋体" w:hAnsi="宋体" w:eastAsia="宋体" w:cs="宋体"/>
                <w:b w:val="0"/>
                <w:i w:val="0"/>
                <w:caps w:val="0"/>
                <w:color w:val="auto"/>
                <w:spacing w:val="8"/>
                <w:sz w:val="21"/>
                <w:szCs w:val="21"/>
                <w:highlight w:val="none"/>
              </w:rPr>
              <w:t>X</w:t>
            </w:r>
            <w:r>
              <w:rPr>
                <w:rFonts w:hint="eastAsia" w:ascii="宋体" w:hAnsi="宋体" w:eastAsia="宋体" w:cs="宋体"/>
                <w:b w:val="0"/>
                <w:i w:val="0"/>
                <w:caps w:val="0"/>
                <w:color w:val="auto"/>
                <w:spacing w:val="8"/>
                <w:sz w:val="21"/>
                <w:szCs w:val="21"/>
                <w:highlight w:val="none"/>
                <w:lang w:eastAsia="zh-CN"/>
              </w:rPr>
              <w:t>）</w:t>
            </w:r>
          </w:p>
        </w:tc>
        <w:tc>
          <w:tcPr>
            <w:tcW w:w="70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7086960B">
            <w:pPr>
              <w:pStyle w:val="3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center"/>
              <w:rPr>
                <w:rFonts w:hint="eastAsia" w:ascii="宋体" w:hAnsi="宋体" w:eastAsia="宋体" w:cs="宋体"/>
                <w:color w:val="auto"/>
                <w:sz w:val="21"/>
                <w:szCs w:val="21"/>
                <w:highlight w:val="none"/>
              </w:rPr>
            </w:pPr>
            <w:r>
              <w:rPr>
                <w:rFonts w:hint="eastAsia" w:ascii="宋体" w:hAnsi="宋体" w:eastAsia="宋体" w:cs="宋体"/>
                <w:b w:val="0"/>
                <w:i w:val="0"/>
                <w:caps w:val="0"/>
                <w:color w:val="auto"/>
                <w:spacing w:val="8"/>
                <w:sz w:val="21"/>
                <w:szCs w:val="21"/>
                <w:highlight w:val="none"/>
              </w:rPr>
              <w:t>人</w:t>
            </w:r>
          </w:p>
        </w:tc>
        <w:tc>
          <w:tcPr>
            <w:tcW w:w="112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051FC4F4">
            <w:pPr>
              <w:pStyle w:val="3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center"/>
              <w:rPr>
                <w:rFonts w:hint="eastAsia" w:ascii="宋体" w:hAnsi="宋体" w:eastAsia="宋体" w:cs="宋体"/>
                <w:color w:val="auto"/>
                <w:sz w:val="21"/>
                <w:szCs w:val="21"/>
                <w:highlight w:val="none"/>
              </w:rPr>
            </w:pPr>
            <w:r>
              <w:rPr>
                <w:rFonts w:hint="eastAsia" w:ascii="宋体" w:hAnsi="宋体" w:eastAsia="宋体" w:cs="宋体"/>
                <w:b w:val="0"/>
                <w:i w:val="0"/>
                <w:caps w:val="0"/>
                <w:color w:val="auto"/>
                <w:spacing w:val="8"/>
                <w:sz w:val="21"/>
                <w:szCs w:val="21"/>
                <w:highlight w:val="none"/>
              </w:rPr>
              <w:t>X≥1000</w:t>
            </w:r>
          </w:p>
        </w:tc>
        <w:tc>
          <w:tcPr>
            <w:tcW w:w="169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6778B5A5">
            <w:pPr>
              <w:pStyle w:val="3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center"/>
              <w:rPr>
                <w:rFonts w:hint="eastAsia" w:ascii="宋体" w:hAnsi="宋体" w:eastAsia="宋体" w:cs="宋体"/>
                <w:color w:val="auto"/>
                <w:sz w:val="21"/>
                <w:szCs w:val="21"/>
                <w:highlight w:val="none"/>
              </w:rPr>
            </w:pPr>
            <w:r>
              <w:rPr>
                <w:rFonts w:hint="eastAsia" w:ascii="宋体" w:hAnsi="宋体" w:eastAsia="宋体" w:cs="宋体"/>
                <w:b w:val="0"/>
                <w:i w:val="0"/>
                <w:caps w:val="0"/>
                <w:color w:val="auto"/>
                <w:spacing w:val="8"/>
                <w:sz w:val="21"/>
                <w:szCs w:val="21"/>
                <w:highlight w:val="none"/>
              </w:rPr>
              <w:t>300≤X＜1000</w:t>
            </w:r>
          </w:p>
        </w:tc>
        <w:tc>
          <w:tcPr>
            <w:tcW w:w="142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2E6A3BFE">
            <w:pPr>
              <w:pStyle w:val="3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center"/>
              <w:rPr>
                <w:rFonts w:hint="eastAsia" w:ascii="宋体" w:hAnsi="宋体" w:eastAsia="宋体" w:cs="宋体"/>
                <w:color w:val="auto"/>
                <w:sz w:val="21"/>
                <w:szCs w:val="21"/>
                <w:highlight w:val="none"/>
              </w:rPr>
            </w:pPr>
            <w:r>
              <w:rPr>
                <w:rFonts w:hint="eastAsia" w:ascii="宋体" w:hAnsi="宋体" w:eastAsia="宋体" w:cs="宋体"/>
                <w:b w:val="0"/>
                <w:i w:val="0"/>
                <w:caps w:val="0"/>
                <w:color w:val="auto"/>
                <w:spacing w:val="8"/>
                <w:sz w:val="21"/>
                <w:szCs w:val="21"/>
                <w:highlight w:val="none"/>
              </w:rPr>
              <w:t> 20≤X＜300</w:t>
            </w:r>
          </w:p>
        </w:tc>
        <w:tc>
          <w:tcPr>
            <w:tcW w:w="990"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4BCF65D4">
            <w:pPr>
              <w:pStyle w:val="3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center"/>
              <w:rPr>
                <w:rFonts w:hint="eastAsia" w:ascii="宋体" w:hAnsi="宋体" w:eastAsia="宋体" w:cs="宋体"/>
                <w:color w:val="auto"/>
                <w:sz w:val="21"/>
                <w:szCs w:val="21"/>
                <w:highlight w:val="none"/>
              </w:rPr>
            </w:pPr>
            <w:r>
              <w:rPr>
                <w:rFonts w:hint="eastAsia" w:ascii="宋体" w:hAnsi="宋体" w:eastAsia="宋体" w:cs="宋体"/>
                <w:b w:val="0"/>
                <w:i w:val="0"/>
                <w:caps w:val="0"/>
                <w:color w:val="auto"/>
                <w:spacing w:val="8"/>
                <w:sz w:val="21"/>
                <w:szCs w:val="21"/>
                <w:highlight w:val="none"/>
              </w:rPr>
              <w:t>X＜20</w:t>
            </w:r>
          </w:p>
        </w:tc>
      </w:tr>
      <w:tr w14:paraId="26943D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90" w:hRule="atLeast"/>
          <w:jc w:val="center"/>
        </w:trPr>
        <w:tc>
          <w:tcPr>
            <w:tcW w:w="2115" w:type="dxa"/>
            <w:vMerge w:val="continue"/>
            <w:tcBorders>
              <w:top w:val="nil"/>
              <w:left w:val="single" w:color="4F81BD" w:sz="6" w:space="0"/>
              <w:bottom w:val="single" w:color="4F81BD" w:sz="6" w:space="0"/>
              <w:right w:val="single" w:color="4F81BD" w:sz="6" w:space="0"/>
            </w:tcBorders>
            <w:shd w:val="clear" w:color="auto" w:fill="FFFFFF"/>
            <w:noWrap w:val="0"/>
            <w:tcMar>
              <w:left w:w="105" w:type="dxa"/>
              <w:right w:w="105" w:type="dxa"/>
            </w:tcMar>
            <w:vAlign w:val="center"/>
          </w:tcPr>
          <w:p w14:paraId="702EA66C">
            <w:pPr>
              <w:pageBreakBefore w:val="0"/>
              <w:kinsoku/>
              <w:overflowPunct/>
              <w:bidi w:val="0"/>
              <w:spacing w:line="360" w:lineRule="auto"/>
              <w:jc w:val="both"/>
              <w:rPr>
                <w:rFonts w:hint="eastAsia" w:ascii="宋体" w:hAnsi="宋体" w:eastAsia="宋体" w:cs="宋体"/>
                <w:b w:val="0"/>
                <w:i w:val="0"/>
                <w:caps w:val="0"/>
                <w:color w:val="auto"/>
                <w:spacing w:val="8"/>
                <w:sz w:val="21"/>
                <w:szCs w:val="21"/>
                <w:highlight w:val="none"/>
              </w:rPr>
            </w:pPr>
          </w:p>
        </w:tc>
        <w:tc>
          <w:tcPr>
            <w:tcW w:w="136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027CB7D2">
            <w:pPr>
              <w:pStyle w:val="3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center"/>
              <w:rPr>
                <w:rFonts w:hint="eastAsia" w:ascii="宋体" w:hAnsi="宋体" w:eastAsia="宋体" w:cs="宋体"/>
                <w:color w:val="auto"/>
                <w:sz w:val="21"/>
                <w:szCs w:val="21"/>
                <w:highlight w:val="none"/>
              </w:rPr>
            </w:pPr>
            <w:r>
              <w:rPr>
                <w:rFonts w:hint="eastAsia" w:ascii="宋体" w:hAnsi="宋体" w:eastAsia="宋体" w:cs="宋体"/>
                <w:b w:val="0"/>
                <w:i w:val="0"/>
                <w:caps w:val="0"/>
                <w:color w:val="auto"/>
                <w:spacing w:val="8"/>
                <w:sz w:val="21"/>
                <w:szCs w:val="21"/>
                <w:highlight w:val="none"/>
              </w:rPr>
              <w:t>营业收入</w:t>
            </w:r>
            <w:r>
              <w:rPr>
                <w:rFonts w:hint="eastAsia" w:ascii="宋体" w:hAnsi="宋体" w:eastAsia="宋体" w:cs="宋体"/>
                <w:b w:val="0"/>
                <w:i w:val="0"/>
                <w:caps w:val="0"/>
                <w:color w:val="auto"/>
                <w:spacing w:val="8"/>
                <w:sz w:val="21"/>
                <w:szCs w:val="21"/>
                <w:highlight w:val="none"/>
                <w:lang w:eastAsia="zh-CN"/>
              </w:rPr>
              <w:t>（</w:t>
            </w:r>
            <w:r>
              <w:rPr>
                <w:rFonts w:hint="eastAsia" w:ascii="宋体" w:hAnsi="宋体" w:eastAsia="宋体" w:cs="宋体"/>
                <w:b w:val="0"/>
                <w:i w:val="0"/>
                <w:caps w:val="0"/>
                <w:color w:val="auto"/>
                <w:spacing w:val="8"/>
                <w:sz w:val="21"/>
                <w:szCs w:val="21"/>
                <w:highlight w:val="none"/>
              </w:rPr>
              <w:t>Y</w:t>
            </w:r>
            <w:r>
              <w:rPr>
                <w:rFonts w:hint="eastAsia" w:ascii="宋体" w:hAnsi="宋体" w:eastAsia="宋体" w:cs="宋体"/>
                <w:b w:val="0"/>
                <w:i w:val="0"/>
                <w:caps w:val="0"/>
                <w:color w:val="auto"/>
                <w:spacing w:val="8"/>
                <w:sz w:val="21"/>
                <w:szCs w:val="21"/>
                <w:highlight w:val="none"/>
                <w:lang w:eastAsia="zh-CN"/>
              </w:rPr>
              <w:t>）</w:t>
            </w:r>
          </w:p>
        </w:tc>
        <w:tc>
          <w:tcPr>
            <w:tcW w:w="70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44D8D45B">
            <w:pPr>
              <w:pStyle w:val="3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center"/>
              <w:rPr>
                <w:rFonts w:hint="eastAsia" w:ascii="宋体" w:hAnsi="宋体" w:eastAsia="宋体" w:cs="宋体"/>
                <w:color w:val="auto"/>
                <w:sz w:val="21"/>
                <w:szCs w:val="21"/>
                <w:highlight w:val="none"/>
              </w:rPr>
            </w:pPr>
            <w:r>
              <w:rPr>
                <w:rFonts w:hint="eastAsia" w:ascii="宋体" w:hAnsi="宋体" w:eastAsia="宋体" w:cs="宋体"/>
                <w:b w:val="0"/>
                <w:i w:val="0"/>
                <w:caps w:val="0"/>
                <w:color w:val="auto"/>
                <w:spacing w:val="8"/>
                <w:sz w:val="21"/>
                <w:szCs w:val="21"/>
                <w:highlight w:val="none"/>
              </w:rPr>
              <w:t>万元</w:t>
            </w:r>
          </w:p>
        </w:tc>
        <w:tc>
          <w:tcPr>
            <w:tcW w:w="112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680FFFF1">
            <w:pPr>
              <w:pStyle w:val="3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center"/>
              <w:rPr>
                <w:rFonts w:hint="eastAsia" w:ascii="宋体" w:hAnsi="宋体" w:eastAsia="宋体" w:cs="宋体"/>
                <w:color w:val="auto"/>
                <w:sz w:val="21"/>
                <w:szCs w:val="21"/>
                <w:highlight w:val="none"/>
              </w:rPr>
            </w:pPr>
            <w:r>
              <w:rPr>
                <w:rFonts w:hint="eastAsia" w:ascii="宋体" w:hAnsi="宋体" w:eastAsia="宋体" w:cs="宋体"/>
                <w:b w:val="0"/>
                <w:i w:val="0"/>
                <w:caps w:val="0"/>
                <w:color w:val="auto"/>
                <w:spacing w:val="8"/>
                <w:sz w:val="21"/>
                <w:szCs w:val="21"/>
                <w:highlight w:val="none"/>
              </w:rPr>
              <w:t>Y≥30000</w:t>
            </w:r>
          </w:p>
        </w:tc>
        <w:tc>
          <w:tcPr>
            <w:tcW w:w="169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618345A4">
            <w:pPr>
              <w:pStyle w:val="3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center"/>
              <w:rPr>
                <w:rFonts w:hint="eastAsia" w:ascii="宋体" w:hAnsi="宋体" w:eastAsia="宋体" w:cs="宋体"/>
                <w:color w:val="auto"/>
                <w:sz w:val="21"/>
                <w:szCs w:val="21"/>
                <w:highlight w:val="none"/>
              </w:rPr>
            </w:pPr>
            <w:r>
              <w:rPr>
                <w:rFonts w:hint="eastAsia" w:ascii="宋体" w:hAnsi="宋体" w:eastAsia="宋体" w:cs="宋体"/>
                <w:b w:val="0"/>
                <w:i w:val="0"/>
                <w:caps w:val="0"/>
                <w:color w:val="auto"/>
                <w:spacing w:val="8"/>
                <w:sz w:val="21"/>
                <w:szCs w:val="21"/>
                <w:highlight w:val="none"/>
              </w:rPr>
              <w:t>2000≤Y＜30000</w:t>
            </w:r>
          </w:p>
        </w:tc>
        <w:tc>
          <w:tcPr>
            <w:tcW w:w="142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166194B3">
            <w:pPr>
              <w:pStyle w:val="3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center"/>
              <w:rPr>
                <w:rFonts w:hint="eastAsia" w:ascii="宋体" w:hAnsi="宋体" w:eastAsia="宋体" w:cs="宋体"/>
                <w:color w:val="auto"/>
                <w:sz w:val="21"/>
                <w:szCs w:val="21"/>
                <w:highlight w:val="none"/>
              </w:rPr>
            </w:pPr>
            <w:r>
              <w:rPr>
                <w:rFonts w:hint="eastAsia" w:ascii="宋体" w:hAnsi="宋体" w:eastAsia="宋体" w:cs="宋体"/>
                <w:b w:val="0"/>
                <w:i w:val="0"/>
                <w:caps w:val="0"/>
                <w:color w:val="auto"/>
                <w:spacing w:val="8"/>
                <w:sz w:val="21"/>
                <w:szCs w:val="21"/>
                <w:highlight w:val="none"/>
              </w:rPr>
              <w:t> 100≤Y＜2000</w:t>
            </w:r>
          </w:p>
        </w:tc>
        <w:tc>
          <w:tcPr>
            <w:tcW w:w="990"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34B35F83">
            <w:pPr>
              <w:pStyle w:val="3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center"/>
              <w:rPr>
                <w:rFonts w:hint="eastAsia" w:ascii="宋体" w:hAnsi="宋体" w:eastAsia="宋体" w:cs="宋体"/>
                <w:color w:val="auto"/>
                <w:sz w:val="21"/>
                <w:szCs w:val="21"/>
                <w:highlight w:val="none"/>
              </w:rPr>
            </w:pPr>
            <w:r>
              <w:rPr>
                <w:rFonts w:hint="eastAsia" w:ascii="宋体" w:hAnsi="宋体" w:eastAsia="宋体" w:cs="宋体"/>
                <w:b w:val="0"/>
                <w:i w:val="0"/>
                <w:caps w:val="0"/>
                <w:color w:val="auto"/>
                <w:spacing w:val="8"/>
                <w:sz w:val="21"/>
                <w:szCs w:val="21"/>
                <w:highlight w:val="none"/>
              </w:rPr>
              <w:t>Y＜100</w:t>
            </w:r>
          </w:p>
        </w:tc>
      </w:tr>
      <w:tr w14:paraId="6A945C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390" w:hRule="atLeast"/>
          <w:jc w:val="center"/>
        </w:trPr>
        <w:tc>
          <w:tcPr>
            <w:tcW w:w="2115" w:type="dxa"/>
            <w:vMerge w:val="restart"/>
            <w:tcBorders>
              <w:top w:val="nil"/>
              <w:left w:val="single" w:color="4F81BD" w:sz="6" w:space="0"/>
              <w:bottom w:val="single" w:color="4F81BD" w:sz="6" w:space="0"/>
              <w:right w:val="single" w:color="4F81BD" w:sz="6" w:space="0"/>
            </w:tcBorders>
            <w:shd w:val="clear" w:color="auto" w:fill="FFFFFF"/>
            <w:noWrap w:val="0"/>
            <w:tcMar>
              <w:left w:w="105" w:type="dxa"/>
              <w:right w:w="105" w:type="dxa"/>
            </w:tcMar>
            <w:vAlign w:val="center"/>
          </w:tcPr>
          <w:p w14:paraId="79807389">
            <w:pPr>
              <w:pStyle w:val="3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both"/>
              <w:rPr>
                <w:rFonts w:hint="eastAsia" w:ascii="宋体" w:hAnsi="宋体" w:eastAsia="宋体" w:cs="宋体"/>
                <w:color w:val="auto"/>
                <w:sz w:val="21"/>
                <w:szCs w:val="21"/>
                <w:highlight w:val="none"/>
              </w:rPr>
            </w:pPr>
            <w:r>
              <w:rPr>
                <w:rFonts w:hint="eastAsia" w:ascii="宋体" w:hAnsi="宋体" w:eastAsia="宋体" w:cs="宋体"/>
                <w:b w:val="0"/>
                <w:i w:val="0"/>
                <w:caps w:val="0"/>
                <w:color w:val="auto"/>
                <w:spacing w:val="8"/>
                <w:sz w:val="21"/>
                <w:szCs w:val="21"/>
                <w:highlight w:val="none"/>
              </w:rPr>
              <w:t>住宿业</w:t>
            </w:r>
          </w:p>
        </w:tc>
        <w:tc>
          <w:tcPr>
            <w:tcW w:w="136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2053E1B5">
            <w:pPr>
              <w:pStyle w:val="3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center"/>
              <w:rPr>
                <w:rFonts w:hint="eastAsia" w:ascii="宋体" w:hAnsi="宋体" w:eastAsia="宋体" w:cs="宋体"/>
                <w:color w:val="auto"/>
                <w:sz w:val="21"/>
                <w:szCs w:val="21"/>
                <w:highlight w:val="none"/>
              </w:rPr>
            </w:pPr>
            <w:r>
              <w:rPr>
                <w:rFonts w:hint="eastAsia" w:ascii="宋体" w:hAnsi="宋体" w:eastAsia="宋体" w:cs="宋体"/>
                <w:b w:val="0"/>
                <w:i w:val="0"/>
                <w:caps w:val="0"/>
                <w:color w:val="auto"/>
                <w:spacing w:val="8"/>
                <w:sz w:val="21"/>
                <w:szCs w:val="21"/>
                <w:highlight w:val="none"/>
              </w:rPr>
              <w:t>从业人员</w:t>
            </w:r>
            <w:r>
              <w:rPr>
                <w:rFonts w:hint="eastAsia" w:ascii="宋体" w:hAnsi="宋体" w:eastAsia="宋体" w:cs="宋体"/>
                <w:b w:val="0"/>
                <w:i w:val="0"/>
                <w:caps w:val="0"/>
                <w:color w:val="auto"/>
                <w:spacing w:val="8"/>
                <w:sz w:val="21"/>
                <w:szCs w:val="21"/>
                <w:highlight w:val="none"/>
                <w:lang w:eastAsia="zh-CN"/>
              </w:rPr>
              <w:t>（</w:t>
            </w:r>
            <w:r>
              <w:rPr>
                <w:rFonts w:hint="eastAsia" w:ascii="宋体" w:hAnsi="宋体" w:eastAsia="宋体" w:cs="宋体"/>
                <w:b w:val="0"/>
                <w:i w:val="0"/>
                <w:caps w:val="0"/>
                <w:color w:val="auto"/>
                <w:spacing w:val="8"/>
                <w:sz w:val="21"/>
                <w:szCs w:val="21"/>
                <w:highlight w:val="none"/>
              </w:rPr>
              <w:t>X</w:t>
            </w:r>
            <w:r>
              <w:rPr>
                <w:rFonts w:hint="eastAsia" w:ascii="宋体" w:hAnsi="宋体" w:eastAsia="宋体" w:cs="宋体"/>
                <w:b w:val="0"/>
                <w:i w:val="0"/>
                <w:caps w:val="0"/>
                <w:color w:val="auto"/>
                <w:spacing w:val="8"/>
                <w:sz w:val="21"/>
                <w:szCs w:val="21"/>
                <w:highlight w:val="none"/>
                <w:lang w:eastAsia="zh-CN"/>
              </w:rPr>
              <w:t>）</w:t>
            </w:r>
          </w:p>
        </w:tc>
        <w:tc>
          <w:tcPr>
            <w:tcW w:w="70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019FCD4B">
            <w:pPr>
              <w:pStyle w:val="3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center"/>
              <w:rPr>
                <w:rFonts w:hint="eastAsia" w:ascii="宋体" w:hAnsi="宋体" w:eastAsia="宋体" w:cs="宋体"/>
                <w:color w:val="auto"/>
                <w:sz w:val="21"/>
                <w:szCs w:val="21"/>
                <w:highlight w:val="none"/>
              </w:rPr>
            </w:pPr>
            <w:r>
              <w:rPr>
                <w:rFonts w:hint="eastAsia" w:ascii="宋体" w:hAnsi="宋体" w:eastAsia="宋体" w:cs="宋体"/>
                <w:b w:val="0"/>
                <w:i w:val="0"/>
                <w:caps w:val="0"/>
                <w:color w:val="auto"/>
                <w:spacing w:val="8"/>
                <w:sz w:val="21"/>
                <w:szCs w:val="21"/>
                <w:highlight w:val="none"/>
              </w:rPr>
              <w:t>人</w:t>
            </w:r>
          </w:p>
        </w:tc>
        <w:tc>
          <w:tcPr>
            <w:tcW w:w="112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58533CD8">
            <w:pPr>
              <w:pStyle w:val="3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center"/>
              <w:rPr>
                <w:rFonts w:hint="eastAsia" w:ascii="宋体" w:hAnsi="宋体" w:eastAsia="宋体" w:cs="宋体"/>
                <w:color w:val="auto"/>
                <w:sz w:val="21"/>
                <w:szCs w:val="21"/>
                <w:highlight w:val="none"/>
              </w:rPr>
            </w:pPr>
            <w:r>
              <w:rPr>
                <w:rFonts w:hint="eastAsia" w:ascii="宋体" w:hAnsi="宋体" w:eastAsia="宋体" w:cs="宋体"/>
                <w:b w:val="0"/>
                <w:i w:val="0"/>
                <w:caps w:val="0"/>
                <w:color w:val="auto"/>
                <w:spacing w:val="8"/>
                <w:sz w:val="21"/>
                <w:szCs w:val="21"/>
                <w:highlight w:val="none"/>
              </w:rPr>
              <w:t>X≥300</w:t>
            </w:r>
          </w:p>
        </w:tc>
        <w:tc>
          <w:tcPr>
            <w:tcW w:w="169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78C567D1">
            <w:pPr>
              <w:pStyle w:val="3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center"/>
              <w:rPr>
                <w:rFonts w:hint="eastAsia" w:ascii="宋体" w:hAnsi="宋体" w:eastAsia="宋体" w:cs="宋体"/>
                <w:color w:val="auto"/>
                <w:sz w:val="21"/>
                <w:szCs w:val="21"/>
                <w:highlight w:val="none"/>
              </w:rPr>
            </w:pPr>
            <w:r>
              <w:rPr>
                <w:rFonts w:hint="eastAsia" w:ascii="宋体" w:hAnsi="宋体" w:eastAsia="宋体" w:cs="宋体"/>
                <w:b w:val="0"/>
                <w:i w:val="0"/>
                <w:caps w:val="0"/>
                <w:color w:val="auto"/>
                <w:spacing w:val="8"/>
                <w:sz w:val="21"/>
                <w:szCs w:val="21"/>
                <w:highlight w:val="none"/>
              </w:rPr>
              <w:t>100≤X＜300</w:t>
            </w:r>
          </w:p>
        </w:tc>
        <w:tc>
          <w:tcPr>
            <w:tcW w:w="142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7F5C8225">
            <w:pPr>
              <w:pStyle w:val="3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center"/>
              <w:rPr>
                <w:rFonts w:hint="eastAsia" w:ascii="宋体" w:hAnsi="宋体" w:eastAsia="宋体" w:cs="宋体"/>
                <w:color w:val="auto"/>
                <w:sz w:val="21"/>
                <w:szCs w:val="21"/>
                <w:highlight w:val="none"/>
              </w:rPr>
            </w:pPr>
            <w:r>
              <w:rPr>
                <w:rFonts w:hint="eastAsia" w:ascii="宋体" w:hAnsi="宋体" w:eastAsia="宋体" w:cs="宋体"/>
                <w:b w:val="0"/>
                <w:i w:val="0"/>
                <w:caps w:val="0"/>
                <w:color w:val="auto"/>
                <w:spacing w:val="8"/>
                <w:sz w:val="21"/>
                <w:szCs w:val="21"/>
                <w:highlight w:val="none"/>
              </w:rPr>
              <w:t> 10≤X＜100</w:t>
            </w:r>
          </w:p>
        </w:tc>
        <w:tc>
          <w:tcPr>
            <w:tcW w:w="990"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71683A2A">
            <w:pPr>
              <w:pStyle w:val="3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center"/>
              <w:rPr>
                <w:rFonts w:hint="eastAsia" w:ascii="宋体" w:hAnsi="宋体" w:eastAsia="宋体" w:cs="宋体"/>
                <w:color w:val="auto"/>
                <w:sz w:val="21"/>
                <w:szCs w:val="21"/>
                <w:highlight w:val="none"/>
              </w:rPr>
            </w:pPr>
            <w:r>
              <w:rPr>
                <w:rFonts w:hint="eastAsia" w:ascii="宋体" w:hAnsi="宋体" w:eastAsia="宋体" w:cs="宋体"/>
                <w:b w:val="0"/>
                <w:i w:val="0"/>
                <w:caps w:val="0"/>
                <w:color w:val="auto"/>
                <w:spacing w:val="8"/>
                <w:sz w:val="21"/>
                <w:szCs w:val="21"/>
                <w:highlight w:val="none"/>
              </w:rPr>
              <w:t>X＜10</w:t>
            </w:r>
          </w:p>
        </w:tc>
      </w:tr>
      <w:tr w14:paraId="25DEDA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90" w:hRule="atLeast"/>
          <w:jc w:val="center"/>
        </w:trPr>
        <w:tc>
          <w:tcPr>
            <w:tcW w:w="2115" w:type="dxa"/>
            <w:vMerge w:val="continue"/>
            <w:tcBorders>
              <w:top w:val="nil"/>
              <w:left w:val="single" w:color="4F81BD" w:sz="6" w:space="0"/>
              <w:bottom w:val="single" w:color="4F81BD" w:sz="6" w:space="0"/>
              <w:right w:val="single" w:color="4F81BD" w:sz="6" w:space="0"/>
            </w:tcBorders>
            <w:shd w:val="clear" w:color="auto" w:fill="FFFFFF"/>
            <w:noWrap w:val="0"/>
            <w:tcMar>
              <w:left w:w="105" w:type="dxa"/>
              <w:right w:w="105" w:type="dxa"/>
            </w:tcMar>
            <w:vAlign w:val="center"/>
          </w:tcPr>
          <w:p w14:paraId="2F0DD21C">
            <w:pPr>
              <w:pageBreakBefore w:val="0"/>
              <w:kinsoku/>
              <w:overflowPunct/>
              <w:bidi w:val="0"/>
              <w:spacing w:line="360" w:lineRule="auto"/>
              <w:jc w:val="both"/>
              <w:rPr>
                <w:rFonts w:hint="eastAsia" w:ascii="宋体" w:hAnsi="宋体" w:eastAsia="宋体" w:cs="宋体"/>
                <w:b w:val="0"/>
                <w:i w:val="0"/>
                <w:caps w:val="0"/>
                <w:color w:val="auto"/>
                <w:spacing w:val="8"/>
                <w:sz w:val="21"/>
                <w:szCs w:val="21"/>
                <w:highlight w:val="none"/>
              </w:rPr>
            </w:pPr>
          </w:p>
        </w:tc>
        <w:tc>
          <w:tcPr>
            <w:tcW w:w="136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035FA120">
            <w:pPr>
              <w:pStyle w:val="3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center"/>
              <w:rPr>
                <w:rFonts w:hint="eastAsia" w:ascii="宋体" w:hAnsi="宋体" w:eastAsia="宋体" w:cs="宋体"/>
                <w:color w:val="auto"/>
                <w:sz w:val="21"/>
                <w:szCs w:val="21"/>
                <w:highlight w:val="none"/>
              </w:rPr>
            </w:pPr>
            <w:r>
              <w:rPr>
                <w:rFonts w:hint="eastAsia" w:ascii="宋体" w:hAnsi="宋体" w:eastAsia="宋体" w:cs="宋体"/>
                <w:b w:val="0"/>
                <w:i w:val="0"/>
                <w:caps w:val="0"/>
                <w:color w:val="auto"/>
                <w:spacing w:val="8"/>
                <w:sz w:val="21"/>
                <w:szCs w:val="21"/>
                <w:highlight w:val="none"/>
              </w:rPr>
              <w:t>营业收入</w:t>
            </w:r>
            <w:r>
              <w:rPr>
                <w:rFonts w:hint="eastAsia" w:ascii="宋体" w:hAnsi="宋体" w:eastAsia="宋体" w:cs="宋体"/>
                <w:b w:val="0"/>
                <w:i w:val="0"/>
                <w:caps w:val="0"/>
                <w:color w:val="auto"/>
                <w:spacing w:val="8"/>
                <w:sz w:val="21"/>
                <w:szCs w:val="21"/>
                <w:highlight w:val="none"/>
                <w:lang w:eastAsia="zh-CN"/>
              </w:rPr>
              <w:t>（</w:t>
            </w:r>
            <w:r>
              <w:rPr>
                <w:rFonts w:hint="eastAsia" w:ascii="宋体" w:hAnsi="宋体" w:eastAsia="宋体" w:cs="宋体"/>
                <w:b w:val="0"/>
                <w:i w:val="0"/>
                <w:caps w:val="0"/>
                <w:color w:val="auto"/>
                <w:spacing w:val="8"/>
                <w:sz w:val="21"/>
                <w:szCs w:val="21"/>
                <w:highlight w:val="none"/>
              </w:rPr>
              <w:t>Y</w:t>
            </w:r>
            <w:r>
              <w:rPr>
                <w:rFonts w:hint="eastAsia" w:ascii="宋体" w:hAnsi="宋体" w:eastAsia="宋体" w:cs="宋体"/>
                <w:b w:val="0"/>
                <w:i w:val="0"/>
                <w:caps w:val="0"/>
                <w:color w:val="auto"/>
                <w:spacing w:val="8"/>
                <w:sz w:val="21"/>
                <w:szCs w:val="21"/>
                <w:highlight w:val="none"/>
                <w:lang w:eastAsia="zh-CN"/>
              </w:rPr>
              <w:t>）</w:t>
            </w:r>
          </w:p>
        </w:tc>
        <w:tc>
          <w:tcPr>
            <w:tcW w:w="70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780A4D65">
            <w:pPr>
              <w:pStyle w:val="3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center"/>
              <w:rPr>
                <w:rFonts w:hint="eastAsia" w:ascii="宋体" w:hAnsi="宋体" w:eastAsia="宋体" w:cs="宋体"/>
                <w:color w:val="auto"/>
                <w:sz w:val="21"/>
                <w:szCs w:val="21"/>
                <w:highlight w:val="none"/>
              </w:rPr>
            </w:pPr>
            <w:r>
              <w:rPr>
                <w:rFonts w:hint="eastAsia" w:ascii="宋体" w:hAnsi="宋体" w:eastAsia="宋体" w:cs="宋体"/>
                <w:b w:val="0"/>
                <w:i w:val="0"/>
                <w:caps w:val="0"/>
                <w:color w:val="auto"/>
                <w:spacing w:val="8"/>
                <w:sz w:val="21"/>
                <w:szCs w:val="21"/>
                <w:highlight w:val="none"/>
              </w:rPr>
              <w:t>万元</w:t>
            </w:r>
          </w:p>
        </w:tc>
        <w:tc>
          <w:tcPr>
            <w:tcW w:w="112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795E50EE">
            <w:pPr>
              <w:pStyle w:val="3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center"/>
              <w:rPr>
                <w:rFonts w:hint="eastAsia" w:ascii="宋体" w:hAnsi="宋体" w:eastAsia="宋体" w:cs="宋体"/>
                <w:color w:val="auto"/>
                <w:sz w:val="21"/>
                <w:szCs w:val="21"/>
                <w:highlight w:val="none"/>
              </w:rPr>
            </w:pPr>
            <w:r>
              <w:rPr>
                <w:rFonts w:hint="eastAsia" w:ascii="宋体" w:hAnsi="宋体" w:eastAsia="宋体" w:cs="宋体"/>
                <w:b w:val="0"/>
                <w:i w:val="0"/>
                <w:caps w:val="0"/>
                <w:color w:val="auto"/>
                <w:spacing w:val="8"/>
                <w:sz w:val="21"/>
                <w:szCs w:val="21"/>
                <w:highlight w:val="none"/>
              </w:rPr>
              <w:t>Y≥10000</w:t>
            </w:r>
          </w:p>
        </w:tc>
        <w:tc>
          <w:tcPr>
            <w:tcW w:w="169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32BBA055">
            <w:pPr>
              <w:pStyle w:val="3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center"/>
              <w:rPr>
                <w:rFonts w:hint="eastAsia" w:ascii="宋体" w:hAnsi="宋体" w:eastAsia="宋体" w:cs="宋体"/>
                <w:color w:val="auto"/>
                <w:sz w:val="21"/>
                <w:szCs w:val="21"/>
                <w:highlight w:val="none"/>
              </w:rPr>
            </w:pPr>
            <w:r>
              <w:rPr>
                <w:rFonts w:hint="eastAsia" w:ascii="宋体" w:hAnsi="宋体" w:eastAsia="宋体" w:cs="宋体"/>
                <w:b w:val="0"/>
                <w:i w:val="0"/>
                <w:caps w:val="0"/>
                <w:color w:val="auto"/>
                <w:spacing w:val="8"/>
                <w:sz w:val="21"/>
                <w:szCs w:val="21"/>
                <w:highlight w:val="none"/>
              </w:rPr>
              <w:t>2000≤Y＜10000</w:t>
            </w:r>
          </w:p>
        </w:tc>
        <w:tc>
          <w:tcPr>
            <w:tcW w:w="142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1B4BC7E9">
            <w:pPr>
              <w:pStyle w:val="3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center"/>
              <w:rPr>
                <w:rFonts w:hint="eastAsia" w:ascii="宋体" w:hAnsi="宋体" w:eastAsia="宋体" w:cs="宋体"/>
                <w:color w:val="auto"/>
                <w:sz w:val="21"/>
                <w:szCs w:val="21"/>
                <w:highlight w:val="none"/>
              </w:rPr>
            </w:pPr>
            <w:r>
              <w:rPr>
                <w:rFonts w:hint="eastAsia" w:ascii="宋体" w:hAnsi="宋体" w:eastAsia="宋体" w:cs="宋体"/>
                <w:b w:val="0"/>
                <w:i w:val="0"/>
                <w:caps w:val="0"/>
                <w:color w:val="auto"/>
                <w:spacing w:val="8"/>
                <w:sz w:val="21"/>
                <w:szCs w:val="21"/>
                <w:highlight w:val="none"/>
              </w:rPr>
              <w:t> 100≤Y＜2000</w:t>
            </w:r>
          </w:p>
        </w:tc>
        <w:tc>
          <w:tcPr>
            <w:tcW w:w="990"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1397BF6D">
            <w:pPr>
              <w:pStyle w:val="3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center"/>
              <w:rPr>
                <w:rFonts w:hint="eastAsia" w:ascii="宋体" w:hAnsi="宋体" w:eastAsia="宋体" w:cs="宋体"/>
                <w:color w:val="auto"/>
                <w:sz w:val="21"/>
                <w:szCs w:val="21"/>
                <w:highlight w:val="none"/>
              </w:rPr>
            </w:pPr>
            <w:r>
              <w:rPr>
                <w:rFonts w:hint="eastAsia" w:ascii="宋体" w:hAnsi="宋体" w:eastAsia="宋体" w:cs="宋体"/>
                <w:b w:val="0"/>
                <w:i w:val="0"/>
                <w:caps w:val="0"/>
                <w:color w:val="auto"/>
                <w:spacing w:val="8"/>
                <w:sz w:val="21"/>
                <w:szCs w:val="21"/>
                <w:highlight w:val="none"/>
              </w:rPr>
              <w:t>Y＜100</w:t>
            </w:r>
          </w:p>
        </w:tc>
      </w:tr>
      <w:tr w14:paraId="040713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90" w:hRule="atLeast"/>
          <w:jc w:val="center"/>
        </w:trPr>
        <w:tc>
          <w:tcPr>
            <w:tcW w:w="2115" w:type="dxa"/>
            <w:vMerge w:val="restart"/>
            <w:tcBorders>
              <w:top w:val="nil"/>
              <w:left w:val="single" w:color="4F81BD" w:sz="6" w:space="0"/>
              <w:bottom w:val="single" w:color="4F81BD" w:sz="6" w:space="0"/>
              <w:right w:val="single" w:color="4F81BD" w:sz="6" w:space="0"/>
            </w:tcBorders>
            <w:shd w:val="clear" w:color="auto" w:fill="FFFFFF"/>
            <w:noWrap w:val="0"/>
            <w:tcMar>
              <w:left w:w="105" w:type="dxa"/>
              <w:right w:w="105" w:type="dxa"/>
            </w:tcMar>
            <w:vAlign w:val="center"/>
          </w:tcPr>
          <w:p w14:paraId="13EBED43">
            <w:pPr>
              <w:pStyle w:val="3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both"/>
              <w:rPr>
                <w:rFonts w:hint="eastAsia" w:ascii="宋体" w:hAnsi="宋体" w:eastAsia="宋体" w:cs="宋体"/>
                <w:color w:val="auto"/>
                <w:sz w:val="21"/>
                <w:szCs w:val="21"/>
                <w:highlight w:val="none"/>
              </w:rPr>
            </w:pPr>
            <w:r>
              <w:rPr>
                <w:rFonts w:hint="eastAsia" w:ascii="宋体" w:hAnsi="宋体" w:eastAsia="宋体" w:cs="宋体"/>
                <w:b w:val="0"/>
                <w:i w:val="0"/>
                <w:caps w:val="0"/>
                <w:color w:val="auto"/>
                <w:spacing w:val="8"/>
                <w:sz w:val="21"/>
                <w:szCs w:val="21"/>
                <w:highlight w:val="none"/>
              </w:rPr>
              <w:t>餐饮业</w:t>
            </w:r>
          </w:p>
        </w:tc>
        <w:tc>
          <w:tcPr>
            <w:tcW w:w="136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55751C97">
            <w:pPr>
              <w:pStyle w:val="3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center"/>
              <w:rPr>
                <w:rFonts w:hint="eastAsia" w:ascii="宋体" w:hAnsi="宋体" w:eastAsia="宋体" w:cs="宋体"/>
                <w:color w:val="auto"/>
                <w:sz w:val="21"/>
                <w:szCs w:val="21"/>
                <w:highlight w:val="none"/>
              </w:rPr>
            </w:pPr>
            <w:r>
              <w:rPr>
                <w:rFonts w:hint="eastAsia" w:ascii="宋体" w:hAnsi="宋体" w:eastAsia="宋体" w:cs="宋体"/>
                <w:b w:val="0"/>
                <w:i w:val="0"/>
                <w:caps w:val="0"/>
                <w:color w:val="auto"/>
                <w:spacing w:val="8"/>
                <w:sz w:val="21"/>
                <w:szCs w:val="21"/>
                <w:highlight w:val="none"/>
              </w:rPr>
              <w:t>从业人员</w:t>
            </w:r>
            <w:r>
              <w:rPr>
                <w:rFonts w:hint="eastAsia" w:ascii="宋体" w:hAnsi="宋体" w:eastAsia="宋体" w:cs="宋体"/>
                <w:b w:val="0"/>
                <w:i w:val="0"/>
                <w:caps w:val="0"/>
                <w:color w:val="auto"/>
                <w:spacing w:val="8"/>
                <w:sz w:val="21"/>
                <w:szCs w:val="21"/>
                <w:highlight w:val="none"/>
                <w:lang w:eastAsia="zh-CN"/>
              </w:rPr>
              <w:t>（</w:t>
            </w:r>
            <w:r>
              <w:rPr>
                <w:rFonts w:hint="eastAsia" w:ascii="宋体" w:hAnsi="宋体" w:eastAsia="宋体" w:cs="宋体"/>
                <w:b w:val="0"/>
                <w:i w:val="0"/>
                <w:caps w:val="0"/>
                <w:color w:val="auto"/>
                <w:spacing w:val="8"/>
                <w:sz w:val="21"/>
                <w:szCs w:val="21"/>
                <w:highlight w:val="none"/>
              </w:rPr>
              <w:t>X</w:t>
            </w:r>
            <w:r>
              <w:rPr>
                <w:rFonts w:hint="eastAsia" w:ascii="宋体" w:hAnsi="宋体" w:eastAsia="宋体" w:cs="宋体"/>
                <w:b w:val="0"/>
                <w:i w:val="0"/>
                <w:caps w:val="0"/>
                <w:color w:val="auto"/>
                <w:spacing w:val="8"/>
                <w:sz w:val="21"/>
                <w:szCs w:val="21"/>
                <w:highlight w:val="none"/>
                <w:lang w:eastAsia="zh-CN"/>
              </w:rPr>
              <w:t>）</w:t>
            </w:r>
          </w:p>
        </w:tc>
        <w:tc>
          <w:tcPr>
            <w:tcW w:w="70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0EE2795E">
            <w:pPr>
              <w:pStyle w:val="3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center"/>
              <w:rPr>
                <w:rFonts w:hint="eastAsia" w:ascii="宋体" w:hAnsi="宋体" w:eastAsia="宋体" w:cs="宋体"/>
                <w:color w:val="auto"/>
                <w:sz w:val="21"/>
                <w:szCs w:val="21"/>
                <w:highlight w:val="none"/>
              </w:rPr>
            </w:pPr>
            <w:r>
              <w:rPr>
                <w:rFonts w:hint="eastAsia" w:ascii="宋体" w:hAnsi="宋体" w:eastAsia="宋体" w:cs="宋体"/>
                <w:b w:val="0"/>
                <w:i w:val="0"/>
                <w:caps w:val="0"/>
                <w:color w:val="auto"/>
                <w:spacing w:val="8"/>
                <w:sz w:val="21"/>
                <w:szCs w:val="21"/>
                <w:highlight w:val="none"/>
              </w:rPr>
              <w:t>人</w:t>
            </w:r>
          </w:p>
        </w:tc>
        <w:tc>
          <w:tcPr>
            <w:tcW w:w="112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765FB74D">
            <w:pPr>
              <w:pStyle w:val="3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center"/>
              <w:rPr>
                <w:rFonts w:hint="eastAsia" w:ascii="宋体" w:hAnsi="宋体" w:eastAsia="宋体" w:cs="宋体"/>
                <w:color w:val="auto"/>
                <w:sz w:val="21"/>
                <w:szCs w:val="21"/>
                <w:highlight w:val="none"/>
              </w:rPr>
            </w:pPr>
            <w:r>
              <w:rPr>
                <w:rFonts w:hint="eastAsia" w:ascii="宋体" w:hAnsi="宋体" w:eastAsia="宋体" w:cs="宋体"/>
                <w:b w:val="0"/>
                <w:i w:val="0"/>
                <w:caps w:val="0"/>
                <w:color w:val="auto"/>
                <w:spacing w:val="8"/>
                <w:sz w:val="21"/>
                <w:szCs w:val="21"/>
                <w:highlight w:val="none"/>
              </w:rPr>
              <w:t>X≥300</w:t>
            </w:r>
          </w:p>
        </w:tc>
        <w:tc>
          <w:tcPr>
            <w:tcW w:w="169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32EE8841">
            <w:pPr>
              <w:pStyle w:val="3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center"/>
              <w:rPr>
                <w:rFonts w:hint="eastAsia" w:ascii="宋体" w:hAnsi="宋体" w:eastAsia="宋体" w:cs="宋体"/>
                <w:color w:val="auto"/>
                <w:sz w:val="21"/>
                <w:szCs w:val="21"/>
                <w:highlight w:val="none"/>
              </w:rPr>
            </w:pPr>
            <w:r>
              <w:rPr>
                <w:rFonts w:hint="eastAsia" w:ascii="宋体" w:hAnsi="宋体" w:eastAsia="宋体" w:cs="宋体"/>
                <w:b w:val="0"/>
                <w:i w:val="0"/>
                <w:caps w:val="0"/>
                <w:color w:val="auto"/>
                <w:spacing w:val="8"/>
                <w:sz w:val="21"/>
                <w:szCs w:val="21"/>
                <w:highlight w:val="none"/>
              </w:rPr>
              <w:t>100≤X＜300</w:t>
            </w:r>
          </w:p>
        </w:tc>
        <w:tc>
          <w:tcPr>
            <w:tcW w:w="142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7FB69A9A">
            <w:pPr>
              <w:pStyle w:val="3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center"/>
              <w:rPr>
                <w:rFonts w:hint="eastAsia" w:ascii="宋体" w:hAnsi="宋体" w:eastAsia="宋体" w:cs="宋体"/>
                <w:color w:val="auto"/>
                <w:sz w:val="21"/>
                <w:szCs w:val="21"/>
                <w:highlight w:val="none"/>
              </w:rPr>
            </w:pPr>
            <w:r>
              <w:rPr>
                <w:rFonts w:hint="eastAsia" w:ascii="宋体" w:hAnsi="宋体" w:eastAsia="宋体" w:cs="宋体"/>
                <w:b w:val="0"/>
                <w:i w:val="0"/>
                <w:caps w:val="0"/>
                <w:color w:val="auto"/>
                <w:spacing w:val="8"/>
                <w:sz w:val="21"/>
                <w:szCs w:val="21"/>
                <w:highlight w:val="none"/>
              </w:rPr>
              <w:t> 10≤X＜100</w:t>
            </w:r>
          </w:p>
        </w:tc>
        <w:tc>
          <w:tcPr>
            <w:tcW w:w="990"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0FC1E161">
            <w:pPr>
              <w:pStyle w:val="3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center"/>
              <w:rPr>
                <w:rFonts w:hint="eastAsia" w:ascii="宋体" w:hAnsi="宋体" w:eastAsia="宋体" w:cs="宋体"/>
                <w:color w:val="auto"/>
                <w:sz w:val="21"/>
                <w:szCs w:val="21"/>
                <w:highlight w:val="none"/>
              </w:rPr>
            </w:pPr>
            <w:r>
              <w:rPr>
                <w:rFonts w:hint="eastAsia" w:ascii="宋体" w:hAnsi="宋体" w:eastAsia="宋体" w:cs="宋体"/>
                <w:b w:val="0"/>
                <w:i w:val="0"/>
                <w:caps w:val="0"/>
                <w:color w:val="auto"/>
                <w:spacing w:val="8"/>
                <w:sz w:val="21"/>
                <w:szCs w:val="21"/>
                <w:highlight w:val="none"/>
              </w:rPr>
              <w:t>X＜10</w:t>
            </w:r>
          </w:p>
        </w:tc>
      </w:tr>
      <w:tr w14:paraId="1700A6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90" w:hRule="atLeast"/>
          <w:jc w:val="center"/>
        </w:trPr>
        <w:tc>
          <w:tcPr>
            <w:tcW w:w="2115" w:type="dxa"/>
            <w:vMerge w:val="continue"/>
            <w:tcBorders>
              <w:top w:val="nil"/>
              <w:left w:val="single" w:color="4F81BD" w:sz="6" w:space="0"/>
              <w:bottom w:val="single" w:color="4F81BD" w:sz="6" w:space="0"/>
              <w:right w:val="single" w:color="4F81BD" w:sz="6" w:space="0"/>
            </w:tcBorders>
            <w:shd w:val="clear" w:color="auto" w:fill="FFFFFF"/>
            <w:noWrap w:val="0"/>
            <w:tcMar>
              <w:left w:w="105" w:type="dxa"/>
              <w:right w:w="105" w:type="dxa"/>
            </w:tcMar>
            <w:vAlign w:val="center"/>
          </w:tcPr>
          <w:p w14:paraId="19726463">
            <w:pPr>
              <w:pageBreakBefore w:val="0"/>
              <w:kinsoku/>
              <w:overflowPunct/>
              <w:bidi w:val="0"/>
              <w:spacing w:line="360" w:lineRule="auto"/>
              <w:jc w:val="both"/>
              <w:rPr>
                <w:rFonts w:hint="eastAsia" w:ascii="宋体" w:hAnsi="宋体" w:eastAsia="宋体" w:cs="宋体"/>
                <w:b w:val="0"/>
                <w:i w:val="0"/>
                <w:caps w:val="0"/>
                <w:color w:val="auto"/>
                <w:spacing w:val="8"/>
                <w:sz w:val="21"/>
                <w:szCs w:val="21"/>
                <w:highlight w:val="none"/>
              </w:rPr>
            </w:pPr>
          </w:p>
        </w:tc>
        <w:tc>
          <w:tcPr>
            <w:tcW w:w="136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5FB6ECD4">
            <w:pPr>
              <w:pStyle w:val="3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center"/>
              <w:rPr>
                <w:rFonts w:hint="eastAsia" w:ascii="宋体" w:hAnsi="宋体" w:eastAsia="宋体" w:cs="宋体"/>
                <w:color w:val="auto"/>
                <w:sz w:val="21"/>
                <w:szCs w:val="21"/>
                <w:highlight w:val="none"/>
              </w:rPr>
            </w:pPr>
            <w:r>
              <w:rPr>
                <w:rFonts w:hint="eastAsia" w:ascii="宋体" w:hAnsi="宋体" w:eastAsia="宋体" w:cs="宋体"/>
                <w:b w:val="0"/>
                <w:i w:val="0"/>
                <w:caps w:val="0"/>
                <w:color w:val="auto"/>
                <w:spacing w:val="8"/>
                <w:sz w:val="21"/>
                <w:szCs w:val="21"/>
                <w:highlight w:val="none"/>
              </w:rPr>
              <w:t>营业收入</w:t>
            </w:r>
            <w:r>
              <w:rPr>
                <w:rFonts w:hint="eastAsia" w:ascii="宋体" w:hAnsi="宋体" w:eastAsia="宋体" w:cs="宋体"/>
                <w:b w:val="0"/>
                <w:i w:val="0"/>
                <w:caps w:val="0"/>
                <w:color w:val="auto"/>
                <w:spacing w:val="8"/>
                <w:sz w:val="21"/>
                <w:szCs w:val="21"/>
                <w:highlight w:val="none"/>
                <w:lang w:eastAsia="zh-CN"/>
              </w:rPr>
              <w:t>（</w:t>
            </w:r>
            <w:r>
              <w:rPr>
                <w:rFonts w:hint="eastAsia" w:ascii="宋体" w:hAnsi="宋体" w:eastAsia="宋体" w:cs="宋体"/>
                <w:b w:val="0"/>
                <w:i w:val="0"/>
                <w:caps w:val="0"/>
                <w:color w:val="auto"/>
                <w:spacing w:val="8"/>
                <w:sz w:val="21"/>
                <w:szCs w:val="21"/>
                <w:highlight w:val="none"/>
              </w:rPr>
              <w:t>Y</w:t>
            </w:r>
            <w:r>
              <w:rPr>
                <w:rFonts w:hint="eastAsia" w:ascii="宋体" w:hAnsi="宋体" w:eastAsia="宋体" w:cs="宋体"/>
                <w:b w:val="0"/>
                <w:i w:val="0"/>
                <w:caps w:val="0"/>
                <w:color w:val="auto"/>
                <w:spacing w:val="8"/>
                <w:sz w:val="21"/>
                <w:szCs w:val="21"/>
                <w:highlight w:val="none"/>
                <w:lang w:eastAsia="zh-CN"/>
              </w:rPr>
              <w:t>）</w:t>
            </w:r>
          </w:p>
        </w:tc>
        <w:tc>
          <w:tcPr>
            <w:tcW w:w="70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44FFCAC8">
            <w:pPr>
              <w:pStyle w:val="3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center"/>
              <w:rPr>
                <w:rFonts w:hint="eastAsia" w:ascii="宋体" w:hAnsi="宋体" w:eastAsia="宋体" w:cs="宋体"/>
                <w:color w:val="auto"/>
                <w:sz w:val="21"/>
                <w:szCs w:val="21"/>
                <w:highlight w:val="none"/>
              </w:rPr>
            </w:pPr>
            <w:r>
              <w:rPr>
                <w:rFonts w:hint="eastAsia" w:ascii="宋体" w:hAnsi="宋体" w:eastAsia="宋体" w:cs="宋体"/>
                <w:b w:val="0"/>
                <w:i w:val="0"/>
                <w:caps w:val="0"/>
                <w:color w:val="auto"/>
                <w:spacing w:val="8"/>
                <w:sz w:val="21"/>
                <w:szCs w:val="21"/>
                <w:highlight w:val="none"/>
              </w:rPr>
              <w:t>万元</w:t>
            </w:r>
          </w:p>
        </w:tc>
        <w:tc>
          <w:tcPr>
            <w:tcW w:w="112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454444CB">
            <w:pPr>
              <w:pStyle w:val="3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center"/>
              <w:rPr>
                <w:rFonts w:hint="eastAsia" w:ascii="宋体" w:hAnsi="宋体" w:eastAsia="宋体" w:cs="宋体"/>
                <w:color w:val="auto"/>
                <w:sz w:val="21"/>
                <w:szCs w:val="21"/>
                <w:highlight w:val="none"/>
              </w:rPr>
            </w:pPr>
            <w:r>
              <w:rPr>
                <w:rFonts w:hint="eastAsia" w:ascii="宋体" w:hAnsi="宋体" w:eastAsia="宋体" w:cs="宋体"/>
                <w:b w:val="0"/>
                <w:i w:val="0"/>
                <w:caps w:val="0"/>
                <w:color w:val="auto"/>
                <w:spacing w:val="8"/>
                <w:sz w:val="21"/>
                <w:szCs w:val="21"/>
                <w:highlight w:val="none"/>
              </w:rPr>
              <w:t>Y≥10000</w:t>
            </w:r>
          </w:p>
        </w:tc>
        <w:tc>
          <w:tcPr>
            <w:tcW w:w="169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2F997B98">
            <w:pPr>
              <w:pStyle w:val="3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center"/>
              <w:rPr>
                <w:rFonts w:hint="eastAsia" w:ascii="宋体" w:hAnsi="宋体" w:eastAsia="宋体" w:cs="宋体"/>
                <w:color w:val="auto"/>
                <w:sz w:val="21"/>
                <w:szCs w:val="21"/>
                <w:highlight w:val="none"/>
              </w:rPr>
            </w:pPr>
            <w:r>
              <w:rPr>
                <w:rFonts w:hint="eastAsia" w:ascii="宋体" w:hAnsi="宋体" w:eastAsia="宋体" w:cs="宋体"/>
                <w:b w:val="0"/>
                <w:i w:val="0"/>
                <w:caps w:val="0"/>
                <w:color w:val="auto"/>
                <w:spacing w:val="8"/>
                <w:sz w:val="21"/>
                <w:szCs w:val="21"/>
                <w:highlight w:val="none"/>
              </w:rPr>
              <w:t>2000≤Y＜10000</w:t>
            </w:r>
          </w:p>
        </w:tc>
        <w:tc>
          <w:tcPr>
            <w:tcW w:w="142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41579F7D">
            <w:pPr>
              <w:pStyle w:val="3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center"/>
              <w:rPr>
                <w:rFonts w:hint="eastAsia" w:ascii="宋体" w:hAnsi="宋体" w:eastAsia="宋体" w:cs="宋体"/>
                <w:color w:val="auto"/>
                <w:sz w:val="21"/>
                <w:szCs w:val="21"/>
                <w:highlight w:val="none"/>
              </w:rPr>
            </w:pPr>
            <w:r>
              <w:rPr>
                <w:rFonts w:hint="eastAsia" w:ascii="宋体" w:hAnsi="宋体" w:eastAsia="宋体" w:cs="宋体"/>
                <w:b w:val="0"/>
                <w:i w:val="0"/>
                <w:caps w:val="0"/>
                <w:color w:val="auto"/>
                <w:spacing w:val="8"/>
                <w:sz w:val="21"/>
                <w:szCs w:val="21"/>
                <w:highlight w:val="none"/>
              </w:rPr>
              <w:t> 100≤Y＜2000</w:t>
            </w:r>
          </w:p>
        </w:tc>
        <w:tc>
          <w:tcPr>
            <w:tcW w:w="990"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722439A0">
            <w:pPr>
              <w:pStyle w:val="3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center"/>
              <w:rPr>
                <w:rFonts w:hint="eastAsia" w:ascii="宋体" w:hAnsi="宋体" w:eastAsia="宋体" w:cs="宋体"/>
                <w:color w:val="auto"/>
                <w:sz w:val="21"/>
                <w:szCs w:val="21"/>
                <w:highlight w:val="none"/>
              </w:rPr>
            </w:pPr>
            <w:r>
              <w:rPr>
                <w:rFonts w:hint="eastAsia" w:ascii="宋体" w:hAnsi="宋体" w:eastAsia="宋体" w:cs="宋体"/>
                <w:b w:val="0"/>
                <w:i w:val="0"/>
                <w:caps w:val="0"/>
                <w:color w:val="auto"/>
                <w:spacing w:val="8"/>
                <w:sz w:val="21"/>
                <w:szCs w:val="21"/>
                <w:highlight w:val="none"/>
              </w:rPr>
              <w:t>Y＜100</w:t>
            </w:r>
          </w:p>
        </w:tc>
      </w:tr>
      <w:tr w14:paraId="5DDEA2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90" w:hRule="atLeast"/>
          <w:jc w:val="center"/>
        </w:trPr>
        <w:tc>
          <w:tcPr>
            <w:tcW w:w="2115" w:type="dxa"/>
            <w:vMerge w:val="restart"/>
            <w:tcBorders>
              <w:top w:val="nil"/>
              <w:left w:val="single" w:color="4F81BD" w:sz="6" w:space="0"/>
              <w:bottom w:val="single" w:color="4F81BD" w:sz="6" w:space="0"/>
              <w:right w:val="single" w:color="4F81BD" w:sz="6" w:space="0"/>
            </w:tcBorders>
            <w:shd w:val="clear" w:color="auto" w:fill="FFFFFF"/>
            <w:noWrap w:val="0"/>
            <w:tcMar>
              <w:left w:w="105" w:type="dxa"/>
              <w:right w:w="105" w:type="dxa"/>
            </w:tcMar>
            <w:vAlign w:val="center"/>
          </w:tcPr>
          <w:p w14:paraId="42E0D5FD">
            <w:pPr>
              <w:pStyle w:val="3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both"/>
              <w:rPr>
                <w:rFonts w:hint="eastAsia" w:ascii="宋体" w:hAnsi="宋体" w:eastAsia="宋体" w:cs="宋体"/>
                <w:color w:val="auto"/>
                <w:sz w:val="21"/>
                <w:szCs w:val="21"/>
                <w:highlight w:val="none"/>
              </w:rPr>
            </w:pPr>
            <w:r>
              <w:rPr>
                <w:rFonts w:hint="eastAsia" w:ascii="宋体" w:hAnsi="宋体" w:eastAsia="宋体" w:cs="宋体"/>
                <w:b w:val="0"/>
                <w:i w:val="0"/>
                <w:caps w:val="0"/>
                <w:color w:val="auto"/>
                <w:spacing w:val="8"/>
                <w:sz w:val="21"/>
                <w:szCs w:val="21"/>
                <w:highlight w:val="none"/>
              </w:rPr>
              <w:t>信息传输业 *</w:t>
            </w:r>
          </w:p>
        </w:tc>
        <w:tc>
          <w:tcPr>
            <w:tcW w:w="136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062ACBB5">
            <w:pPr>
              <w:pStyle w:val="3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center"/>
              <w:rPr>
                <w:rFonts w:hint="eastAsia" w:ascii="宋体" w:hAnsi="宋体" w:eastAsia="宋体" w:cs="宋体"/>
                <w:color w:val="auto"/>
                <w:sz w:val="21"/>
                <w:szCs w:val="21"/>
                <w:highlight w:val="none"/>
              </w:rPr>
            </w:pPr>
            <w:r>
              <w:rPr>
                <w:rFonts w:hint="eastAsia" w:ascii="宋体" w:hAnsi="宋体" w:eastAsia="宋体" w:cs="宋体"/>
                <w:b w:val="0"/>
                <w:i w:val="0"/>
                <w:caps w:val="0"/>
                <w:color w:val="auto"/>
                <w:spacing w:val="8"/>
                <w:sz w:val="21"/>
                <w:szCs w:val="21"/>
                <w:highlight w:val="none"/>
              </w:rPr>
              <w:t>从业人员</w:t>
            </w:r>
            <w:r>
              <w:rPr>
                <w:rFonts w:hint="eastAsia" w:ascii="宋体" w:hAnsi="宋体" w:eastAsia="宋体" w:cs="宋体"/>
                <w:b w:val="0"/>
                <w:i w:val="0"/>
                <w:caps w:val="0"/>
                <w:color w:val="auto"/>
                <w:spacing w:val="8"/>
                <w:sz w:val="21"/>
                <w:szCs w:val="21"/>
                <w:highlight w:val="none"/>
                <w:lang w:eastAsia="zh-CN"/>
              </w:rPr>
              <w:t>（</w:t>
            </w:r>
            <w:r>
              <w:rPr>
                <w:rFonts w:hint="eastAsia" w:ascii="宋体" w:hAnsi="宋体" w:eastAsia="宋体" w:cs="宋体"/>
                <w:b w:val="0"/>
                <w:i w:val="0"/>
                <w:caps w:val="0"/>
                <w:color w:val="auto"/>
                <w:spacing w:val="8"/>
                <w:sz w:val="21"/>
                <w:szCs w:val="21"/>
                <w:highlight w:val="none"/>
              </w:rPr>
              <w:t>X</w:t>
            </w:r>
            <w:r>
              <w:rPr>
                <w:rFonts w:hint="eastAsia" w:ascii="宋体" w:hAnsi="宋体" w:eastAsia="宋体" w:cs="宋体"/>
                <w:b w:val="0"/>
                <w:i w:val="0"/>
                <w:caps w:val="0"/>
                <w:color w:val="auto"/>
                <w:spacing w:val="8"/>
                <w:sz w:val="21"/>
                <w:szCs w:val="21"/>
                <w:highlight w:val="none"/>
                <w:lang w:eastAsia="zh-CN"/>
              </w:rPr>
              <w:t>）</w:t>
            </w:r>
          </w:p>
        </w:tc>
        <w:tc>
          <w:tcPr>
            <w:tcW w:w="70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703F4A01">
            <w:pPr>
              <w:pStyle w:val="3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center"/>
              <w:rPr>
                <w:rFonts w:hint="eastAsia" w:ascii="宋体" w:hAnsi="宋体" w:eastAsia="宋体" w:cs="宋体"/>
                <w:color w:val="auto"/>
                <w:sz w:val="21"/>
                <w:szCs w:val="21"/>
                <w:highlight w:val="none"/>
              </w:rPr>
            </w:pPr>
            <w:r>
              <w:rPr>
                <w:rFonts w:hint="eastAsia" w:ascii="宋体" w:hAnsi="宋体" w:eastAsia="宋体" w:cs="宋体"/>
                <w:b w:val="0"/>
                <w:i w:val="0"/>
                <w:caps w:val="0"/>
                <w:color w:val="auto"/>
                <w:spacing w:val="8"/>
                <w:sz w:val="21"/>
                <w:szCs w:val="21"/>
                <w:highlight w:val="none"/>
              </w:rPr>
              <w:t>人</w:t>
            </w:r>
          </w:p>
        </w:tc>
        <w:tc>
          <w:tcPr>
            <w:tcW w:w="112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75E90C54">
            <w:pPr>
              <w:pStyle w:val="3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center"/>
              <w:rPr>
                <w:rFonts w:hint="eastAsia" w:ascii="宋体" w:hAnsi="宋体" w:eastAsia="宋体" w:cs="宋体"/>
                <w:color w:val="auto"/>
                <w:sz w:val="21"/>
                <w:szCs w:val="21"/>
                <w:highlight w:val="none"/>
              </w:rPr>
            </w:pPr>
            <w:r>
              <w:rPr>
                <w:rFonts w:hint="eastAsia" w:ascii="宋体" w:hAnsi="宋体" w:eastAsia="宋体" w:cs="宋体"/>
                <w:b w:val="0"/>
                <w:i w:val="0"/>
                <w:caps w:val="0"/>
                <w:color w:val="auto"/>
                <w:spacing w:val="8"/>
                <w:sz w:val="21"/>
                <w:szCs w:val="21"/>
                <w:highlight w:val="none"/>
              </w:rPr>
              <w:t>X≥2000</w:t>
            </w:r>
          </w:p>
        </w:tc>
        <w:tc>
          <w:tcPr>
            <w:tcW w:w="169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02ADFCAC">
            <w:pPr>
              <w:pStyle w:val="3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center"/>
              <w:rPr>
                <w:rFonts w:hint="eastAsia" w:ascii="宋体" w:hAnsi="宋体" w:eastAsia="宋体" w:cs="宋体"/>
                <w:color w:val="auto"/>
                <w:sz w:val="21"/>
                <w:szCs w:val="21"/>
                <w:highlight w:val="none"/>
              </w:rPr>
            </w:pPr>
            <w:r>
              <w:rPr>
                <w:rFonts w:hint="eastAsia" w:ascii="宋体" w:hAnsi="宋体" w:eastAsia="宋体" w:cs="宋体"/>
                <w:b w:val="0"/>
                <w:i w:val="0"/>
                <w:caps w:val="0"/>
                <w:color w:val="auto"/>
                <w:spacing w:val="8"/>
                <w:sz w:val="21"/>
                <w:szCs w:val="21"/>
                <w:highlight w:val="none"/>
              </w:rPr>
              <w:t>100≤X＜2000</w:t>
            </w:r>
          </w:p>
        </w:tc>
        <w:tc>
          <w:tcPr>
            <w:tcW w:w="142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63507462">
            <w:pPr>
              <w:pStyle w:val="3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center"/>
              <w:rPr>
                <w:rFonts w:hint="eastAsia" w:ascii="宋体" w:hAnsi="宋体" w:eastAsia="宋体" w:cs="宋体"/>
                <w:color w:val="auto"/>
                <w:sz w:val="21"/>
                <w:szCs w:val="21"/>
                <w:highlight w:val="none"/>
              </w:rPr>
            </w:pPr>
            <w:r>
              <w:rPr>
                <w:rFonts w:hint="eastAsia" w:ascii="宋体" w:hAnsi="宋体" w:eastAsia="宋体" w:cs="宋体"/>
                <w:b w:val="0"/>
                <w:i w:val="0"/>
                <w:caps w:val="0"/>
                <w:color w:val="auto"/>
                <w:spacing w:val="8"/>
                <w:sz w:val="21"/>
                <w:szCs w:val="21"/>
                <w:highlight w:val="none"/>
              </w:rPr>
              <w:t> 10≤X＜100</w:t>
            </w:r>
          </w:p>
        </w:tc>
        <w:tc>
          <w:tcPr>
            <w:tcW w:w="990"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24CA5C79">
            <w:pPr>
              <w:pStyle w:val="3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center"/>
              <w:rPr>
                <w:rFonts w:hint="eastAsia" w:ascii="宋体" w:hAnsi="宋体" w:eastAsia="宋体" w:cs="宋体"/>
                <w:color w:val="auto"/>
                <w:sz w:val="21"/>
                <w:szCs w:val="21"/>
                <w:highlight w:val="none"/>
              </w:rPr>
            </w:pPr>
            <w:r>
              <w:rPr>
                <w:rFonts w:hint="eastAsia" w:ascii="宋体" w:hAnsi="宋体" w:eastAsia="宋体" w:cs="宋体"/>
                <w:b w:val="0"/>
                <w:i w:val="0"/>
                <w:caps w:val="0"/>
                <w:color w:val="auto"/>
                <w:spacing w:val="8"/>
                <w:sz w:val="21"/>
                <w:szCs w:val="21"/>
                <w:highlight w:val="none"/>
              </w:rPr>
              <w:t>X＜10</w:t>
            </w:r>
          </w:p>
        </w:tc>
      </w:tr>
      <w:tr w14:paraId="5FBB38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90" w:hRule="atLeast"/>
          <w:jc w:val="center"/>
        </w:trPr>
        <w:tc>
          <w:tcPr>
            <w:tcW w:w="2115" w:type="dxa"/>
            <w:vMerge w:val="continue"/>
            <w:tcBorders>
              <w:top w:val="nil"/>
              <w:left w:val="single" w:color="4F81BD" w:sz="6" w:space="0"/>
              <w:bottom w:val="single" w:color="4F81BD" w:sz="6" w:space="0"/>
              <w:right w:val="single" w:color="4F81BD" w:sz="6" w:space="0"/>
            </w:tcBorders>
            <w:shd w:val="clear" w:color="auto" w:fill="FFFFFF"/>
            <w:noWrap w:val="0"/>
            <w:tcMar>
              <w:left w:w="105" w:type="dxa"/>
              <w:right w:w="105" w:type="dxa"/>
            </w:tcMar>
            <w:vAlign w:val="center"/>
          </w:tcPr>
          <w:p w14:paraId="0CA73BEF">
            <w:pPr>
              <w:pageBreakBefore w:val="0"/>
              <w:kinsoku/>
              <w:overflowPunct/>
              <w:bidi w:val="0"/>
              <w:spacing w:line="360" w:lineRule="auto"/>
              <w:jc w:val="both"/>
              <w:rPr>
                <w:rFonts w:hint="eastAsia" w:ascii="宋体" w:hAnsi="宋体" w:eastAsia="宋体" w:cs="宋体"/>
                <w:b w:val="0"/>
                <w:i w:val="0"/>
                <w:caps w:val="0"/>
                <w:color w:val="auto"/>
                <w:spacing w:val="8"/>
                <w:sz w:val="21"/>
                <w:szCs w:val="21"/>
                <w:highlight w:val="none"/>
              </w:rPr>
            </w:pPr>
          </w:p>
        </w:tc>
        <w:tc>
          <w:tcPr>
            <w:tcW w:w="136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3E8502E2">
            <w:pPr>
              <w:pStyle w:val="3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center"/>
              <w:rPr>
                <w:rFonts w:hint="eastAsia" w:ascii="宋体" w:hAnsi="宋体" w:eastAsia="宋体" w:cs="宋体"/>
                <w:color w:val="auto"/>
                <w:sz w:val="21"/>
                <w:szCs w:val="21"/>
                <w:highlight w:val="none"/>
              </w:rPr>
            </w:pPr>
            <w:r>
              <w:rPr>
                <w:rFonts w:hint="eastAsia" w:ascii="宋体" w:hAnsi="宋体" w:eastAsia="宋体" w:cs="宋体"/>
                <w:b w:val="0"/>
                <w:i w:val="0"/>
                <w:caps w:val="0"/>
                <w:color w:val="auto"/>
                <w:spacing w:val="8"/>
                <w:sz w:val="21"/>
                <w:szCs w:val="21"/>
                <w:highlight w:val="none"/>
              </w:rPr>
              <w:t>营业收入</w:t>
            </w:r>
            <w:r>
              <w:rPr>
                <w:rFonts w:hint="eastAsia" w:ascii="宋体" w:hAnsi="宋体" w:eastAsia="宋体" w:cs="宋体"/>
                <w:b w:val="0"/>
                <w:i w:val="0"/>
                <w:caps w:val="0"/>
                <w:color w:val="auto"/>
                <w:spacing w:val="8"/>
                <w:sz w:val="21"/>
                <w:szCs w:val="21"/>
                <w:highlight w:val="none"/>
                <w:lang w:eastAsia="zh-CN"/>
              </w:rPr>
              <w:t>（</w:t>
            </w:r>
            <w:r>
              <w:rPr>
                <w:rFonts w:hint="eastAsia" w:ascii="宋体" w:hAnsi="宋体" w:eastAsia="宋体" w:cs="宋体"/>
                <w:b w:val="0"/>
                <w:i w:val="0"/>
                <w:caps w:val="0"/>
                <w:color w:val="auto"/>
                <w:spacing w:val="8"/>
                <w:sz w:val="21"/>
                <w:szCs w:val="21"/>
                <w:highlight w:val="none"/>
              </w:rPr>
              <w:t>Y</w:t>
            </w:r>
            <w:r>
              <w:rPr>
                <w:rFonts w:hint="eastAsia" w:ascii="宋体" w:hAnsi="宋体" w:eastAsia="宋体" w:cs="宋体"/>
                <w:b w:val="0"/>
                <w:i w:val="0"/>
                <w:caps w:val="0"/>
                <w:color w:val="auto"/>
                <w:spacing w:val="8"/>
                <w:sz w:val="21"/>
                <w:szCs w:val="21"/>
                <w:highlight w:val="none"/>
                <w:lang w:eastAsia="zh-CN"/>
              </w:rPr>
              <w:t>）</w:t>
            </w:r>
          </w:p>
        </w:tc>
        <w:tc>
          <w:tcPr>
            <w:tcW w:w="70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6FA4112E">
            <w:pPr>
              <w:pStyle w:val="3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center"/>
              <w:rPr>
                <w:rFonts w:hint="eastAsia" w:ascii="宋体" w:hAnsi="宋体" w:eastAsia="宋体" w:cs="宋体"/>
                <w:color w:val="auto"/>
                <w:sz w:val="21"/>
                <w:szCs w:val="21"/>
                <w:highlight w:val="none"/>
              </w:rPr>
            </w:pPr>
            <w:r>
              <w:rPr>
                <w:rFonts w:hint="eastAsia" w:ascii="宋体" w:hAnsi="宋体" w:eastAsia="宋体" w:cs="宋体"/>
                <w:b w:val="0"/>
                <w:i w:val="0"/>
                <w:caps w:val="0"/>
                <w:color w:val="auto"/>
                <w:spacing w:val="8"/>
                <w:sz w:val="21"/>
                <w:szCs w:val="21"/>
                <w:highlight w:val="none"/>
              </w:rPr>
              <w:t>万元</w:t>
            </w:r>
          </w:p>
        </w:tc>
        <w:tc>
          <w:tcPr>
            <w:tcW w:w="112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78E5BE43">
            <w:pPr>
              <w:pStyle w:val="3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center"/>
              <w:rPr>
                <w:rFonts w:hint="eastAsia" w:ascii="宋体" w:hAnsi="宋体" w:eastAsia="宋体" w:cs="宋体"/>
                <w:color w:val="auto"/>
                <w:sz w:val="21"/>
                <w:szCs w:val="21"/>
                <w:highlight w:val="none"/>
              </w:rPr>
            </w:pPr>
            <w:r>
              <w:rPr>
                <w:rFonts w:hint="eastAsia" w:ascii="宋体" w:hAnsi="宋体" w:eastAsia="宋体" w:cs="宋体"/>
                <w:b w:val="0"/>
                <w:i w:val="0"/>
                <w:caps w:val="0"/>
                <w:color w:val="auto"/>
                <w:spacing w:val="8"/>
                <w:sz w:val="21"/>
                <w:szCs w:val="21"/>
                <w:highlight w:val="none"/>
              </w:rPr>
              <w:t>Y≥100000</w:t>
            </w:r>
          </w:p>
        </w:tc>
        <w:tc>
          <w:tcPr>
            <w:tcW w:w="169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1CD41181">
            <w:pPr>
              <w:pStyle w:val="3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center"/>
              <w:rPr>
                <w:rFonts w:hint="eastAsia" w:ascii="宋体" w:hAnsi="宋体" w:eastAsia="宋体" w:cs="宋体"/>
                <w:color w:val="auto"/>
                <w:sz w:val="21"/>
                <w:szCs w:val="21"/>
                <w:highlight w:val="none"/>
              </w:rPr>
            </w:pPr>
            <w:r>
              <w:rPr>
                <w:rFonts w:hint="eastAsia" w:ascii="宋体" w:hAnsi="宋体" w:eastAsia="宋体" w:cs="宋体"/>
                <w:b w:val="0"/>
                <w:i w:val="0"/>
                <w:caps w:val="0"/>
                <w:color w:val="auto"/>
                <w:spacing w:val="8"/>
                <w:sz w:val="21"/>
                <w:szCs w:val="21"/>
                <w:highlight w:val="none"/>
              </w:rPr>
              <w:t> 1000≤Y＜100000</w:t>
            </w:r>
          </w:p>
        </w:tc>
        <w:tc>
          <w:tcPr>
            <w:tcW w:w="142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6262DAB7">
            <w:pPr>
              <w:pStyle w:val="3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center"/>
              <w:rPr>
                <w:rFonts w:hint="eastAsia" w:ascii="宋体" w:hAnsi="宋体" w:eastAsia="宋体" w:cs="宋体"/>
                <w:color w:val="auto"/>
                <w:sz w:val="21"/>
                <w:szCs w:val="21"/>
                <w:highlight w:val="none"/>
              </w:rPr>
            </w:pPr>
            <w:r>
              <w:rPr>
                <w:rFonts w:hint="eastAsia" w:ascii="宋体" w:hAnsi="宋体" w:eastAsia="宋体" w:cs="宋体"/>
                <w:b w:val="0"/>
                <w:i w:val="0"/>
                <w:caps w:val="0"/>
                <w:color w:val="auto"/>
                <w:spacing w:val="8"/>
                <w:sz w:val="21"/>
                <w:szCs w:val="21"/>
                <w:highlight w:val="none"/>
              </w:rPr>
              <w:t> 100≤Y＜1000</w:t>
            </w:r>
          </w:p>
        </w:tc>
        <w:tc>
          <w:tcPr>
            <w:tcW w:w="990"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11AEADBF">
            <w:pPr>
              <w:pStyle w:val="3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center"/>
              <w:rPr>
                <w:rFonts w:hint="eastAsia" w:ascii="宋体" w:hAnsi="宋体" w:eastAsia="宋体" w:cs="宋体"/>
                <w:color w:val="auto"/>
                <w:sz w:val="21"/>
                <w:szCs w:val="21"/>
                <w:highlight w:val="none"/>
              </w:rPr>
            </w:pPr>
            <w:r>
              <w:rPr>
                <w:rFonts w:hint="eastAsia" w:ascii="宋体" w:hAnsi="宋体" w:eastAsia="宋体" w:cs="宋体"/>
                <w:b w:val="0"/>
                <w:i w:val="0"/>
                <w:caps w:val="0"/>
                <w:color w:val="auto"/>
                <w:spacing w:val="8"/>
                <w:sz w:val="21"/>
                <w:szCs w:val="21"/>
                <w:highlight w:val="none"/>
              </w:rPr>
              <w:t>Y＜100</w:t>
            </w:r>
          </w:p>
        </w:tc>
      </w:tr>
      <w:tr w14:paraId="2F5C77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5" w:hRule="atLeast"/>
          <w:jc w:val="center"/>
        </w:trPr>
        <w:tc>
          <w:tcPr>
            <w:tcW w:w="2115" w:type="dxa"/>
            <w:vMerge w:val="restart"/>
            <w:tcBorders>
              <w:top w:val="nil"/>
              <w:left w:val="single" w:color="4F81BD" w:sz="6" w:space="0"/>
              <w:bottom w:val="single" w:color="4F81BD" w:sz="6" w:space="0"/>
              <w:right w:val="single" w:color="4F81BD" w:sz="6" w:space="0"/>
            </w:tcBorders>
            <w:shd w:val="clear" w:color="auto" w:fill="FFFFFF"/>
            <w:noWrap w:val="0"/>
            <w:tcMar>
              <w:left w:w="105" w:type="dxa"/>
              <w:right w:w="105" w:type="dxa"/>
            </w:tcMar>
            <w:vAlign w:val="center"/>
          </w:tcPr>
          <w:p w14:paraId="2930C75E">
            <w:pPr>
              <w:pStyle w:val="3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both"/>
              <w:rPr>
                <w:rFonts w:hint="eastAsia" w:ascii="宋体" w:hAnsi="宋体" w:eastAsia="宋体" w:cs="宋体"/>
                <w:color w:val="auto"/>
                <w:sz w:val="21"/>
                <w:szCs w:val="21"/>
                <w:highlight w:val="none"/>
              </w:rPr>
            </w:pPr>
            <w:r>
              <w:rPr>
                <w:rFonts w:hint="eastAsia" w:ascii="宋体" w:hAnsi="宋体" w:eastAsia="宋体" w:cs="宋体"/>
                <w:b w:val="0"/>
                <w:i w:val="0"/>
                <w:caps w:val="0"/>
                <w:color w:val="auto"/>
                <w:spacing w:val="-15"/>
                <w:sz w:val="21"/>
                <w:szCs w:val="21"/>
                <w:highlight w:val="none"/>
              </w:rPr>
              <w:t>软件和信息技术服</w:t>
            </w:r>
            <w:r>
              <w:rPr>
                <w:rFonts w:hint="eastAsia" w:ascii="宋体" w:hAnsi="宋体" w:eastAsia="宋体" w:cs="宋体"/>
                <w:b w:val="0"/>
                <w:i w:val="0"/>
                <w:caps w:val="0"/>
                <w:color w:val="auto"/>
                <w:spacing w:val="8"/>
                <w:sz w:val="21"/>
                <w:szCs w:val="21"/>
                <w:highlight w:val="none"/>
              </w:rPr>
              <w:t>务业</w:t>
            </w:r>
          </w:p>
        </w:tc>
        <w:tc>
          <w:tcPr>
            <w:tcW w:w="136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0ADB5C72">
            <w:pPr>
              <w:pStyle w:val="3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center"/>
              <w:rPr>
                <w:rFonts w:hint="eastAsia" w:ascii="宋体" w:hAnsi="宋体" w:eastAsia="宋体" w:cs="宋体"/>
                <w:color w:val="auto"/>
                <w:sz w:val="21"/>
                <w:szCs w:val="21"/>
                <w:highlight w:val="none"/>
              </w:rPr>
            </w:pPr>
            <w:r>
              <w:rPr>
                <w:rFonts w:hint="eastAsia" w:ascii="宋体" w:hAnsi="宋体" w:eastAsia="宋体" w:cs="宋体"/>
                <w:b w:val="0"/>
                <w:i w:val="0"/>
                <w:caps w:val="0"/>
                <w:color w:val="auto"/>
                <w:spacing w:val="8"/>
                <w:sz w:val="21"/>
                <w:szCs w:val="21"/>
                <w:highlight w:val="none"/>
              </w:rPr>
              <w:t>从业人员</w:t>
            </w:r>
            <w:r>
              <w:rPr>
                <w:rFonts w:hint="eastAsia" w:ascii="宋体" w:hAnsi="宋体" w:eastAsia="宋体" w:cs="宋体"/>
                <w:b w:val="0"/>
                <w:i w:val="0"/>
                <w:caps w:val="0"/>
                <w:color w:val="auto"/>
                <w:spacing w:val="8"/>
                <w:sz w:val="21"/>
                <w:szCs w:val="21"/>
                <w:highlight w:val="none"/>
                <w:lang w:eastAsia="zh-CN"/>
              </w:rPr>
              <w:t>（</w:t>
            </w:r>
            <w:r>
              <w:rPr>
                <w:rFonts w:hint="eastAsia" w:ascii="宋体" w:hAnsi="宋体" w:eastAsia="宋体" w:cs="宋体"/>
                <w:b w:val="0"/>
                <w:i w:val="0"/>
                <w:caps w:val="0"/>
                <w:color w:val="auto"/>
                <w:spacing w:val="8"/>
                <w:sz w:val="21"/>
                <w:szCs w:val="21"/>
                <w:highlight w:val="none"/>
              </w:rPr>
              <w:t>X</w:t>
            </w:r>
            <w:r>
              <w:rPr>
                <w:rFonts w:hint="eastAsia" w:ascii="宋体" w:hAnsi="宋体" w:eastAsia="宋体" w:cs="宋体"/>
                <w:b w:val="0"/>
                <w:i w:val="0"/>
                <w:caps w:val="0"/>
                <w:color w:val="auto"/>
                <w:spacing w:val="8"/>
                <w:sz w:val="21"/>
                <w:szCs w:val="21"/>
                <w:highlight w:val="none"/>
                <w:lang w:eastAsia="zh-CN"/>
              </w:rPr>
              <w:t>）</w:t>
            </w:r>
          </w:p>
        </w:tc>
        <w:tc>
          <w:tcPr>
            <w:tcW w:w="70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5F2A0042">
            <w:pPr>
              <w:pStyle w:val="3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center"/>
              <w:rPr>
                <w:rFonts w:hint="eastAsia" w:ascii="宋体" w:hAnsi="宋体" w:eastAsia="宋体" w:cs="宋体"/>
                <w:color w:val="auto"/>
                <w:sz w:val="21"/>
                <w:szCs w:val="21"/>
                <w:highlight w:val="none"/>
              </w:rPr>
            </w:pPr>
            <w:r>
              <w:rPr>
                <w:rFonts w:hint="eastAsia" w:ascii="宋体" w:hAnsi="宋体" w:eastAsia="宋体" w:cs="宋体"/>
                <w:b w:val="0"/>
                <w:i w:val="0"/>
                <w:caps w:val="0"/>
                <w:color w:val="auto"/>
                <w:spacing w:val="8"/>
                <w:sz w:val="21"/>
                <w:szCs w:val="21"/>
                <w:highlight w:val="none"/>
              </w:rPr>
              <w:t>人</w:t>
            </w:r>
          </w:p>
        </w:tc>
        <w:tc>
          <w:tcPr>
            <w:tcW w:w="112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55FE8823">
            <w:pPr>
              <w:pStyle w:val="3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center"/>
              <w:rPr>
                <w:rFonts w:hint="eastAsia" w:ascii="宋体" w:hAnsi="宋体" w:eastAsia="宋体" w:cs="宋体"/>
                <w:color w:val="auto"/>
                <w:sz w:val="21"/>
                <w:szCs w:val="21"/>
                <w:highlight w:val="none"/>
              </w:rPr>
            </w:pPr>
            <w:r>
              <w:rPr>
                <w:rFonts w:hint="eastAsia" w:ascii="宋体" w:hAnsi="宋体" w:eastAsia="宋体" w:cs="宋体"/>
                <w:b w:val="0"/>
                <w:i w:val="0"/>
                <w:caps w:val="0"/>
                <w:color w:val="auto"/>
                <w:spacing w:val="8"/>
                <w:sz w:val="21"/>
                <w:szCs w:val="21"/>
                <w:highlight w:val="none"/>
              </w:rPr>
              <w:t>X≥300</w:t>
            </w:r>
          </w:p>
        </w:tc>
        <w:tc>
          <w:tcPr>
            <w:tcW w:w="169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59E03389">
            <w:pPr>
              <w:pStyle w:val="3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center"/>
              <w:rPr>
                <w:rFonts w:hint="eastAsia" w:ascii="宋体" w:hAnsi="宋体" w:eastAsia="宋体" w:cs="宋体"/>
                <w:color w:val="auto"/>
                <w:sz w:val="21"/>
                <w:szCs w:val="21"/>
                <w:highlight w:val="none"/>
              </w:rPr>
            </w:pPr>
            <w:r>
              <w:rPr>
                <w:rFonts w:hint="eastAsia" w:ascii="宋体" w:hAnsi="宋体" w:eastAsia="宋体" w:cs="宋体"/>
                <w:b w:val="0"/>
                <w:i w:val="0"/>
                <w:caps w:val="0"/>
                <w:color w:val="auto"/>
                <w:spacing w:val="8"/>
                <w:sz w:val="21"/>
                <w:szCs w:val="21"/>
                <w:highlight w:val="none"/>
              </w:rPr>
              <w:t>100≤X＜300</w:t>
            </w:r>
          </w:p>
        </w:tc>
        <w:tc>
          <w:tcPr>
            <w:tcW w:w="142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60211EAA">
            <w:pPr>
              <w:pStyle w:val="3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center"/>
              <w:rPr>
                <w:rFonts w:hint="eastAsia" w:ascii="宋体" w:hAnsi="宋体" w:eastAsia="宋体" w:cs="宋体"/>
                <w:color w:val="auto"/>
                <w:sz w:val="21"/>
                <w:szCs w:val="21"/>
                <w:highlight w:val="none"/>
              </w:rPr>
            </w:pPr>
            <w:r>
              <w:rPr>
                <w:rFonts w:hint="eastAsia" w:ascii="宋体" w:hAnsi="宋体" w:eastAsia="宋体" w:cs="宋体"/>
                <w:b w:val="0"/>
                <w:i w:val="0"/>
                <w:caps w:val="0"/>
                <w:color w:val="auto"/>
                <w:spacing w:val="8"/>
                <w:sz w:val="21"/>
                <w:szCs w:val="21"/>
                <w:highlight w:val="none"/>
              </w:rPr>
              <w:t> 10≤X＜100</w:t>
            </w:r>
          </w:p>
        </w:tc>
        <w:tc>
          <w:tcPr>
            <w:tcW w:w="990"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2424C36C">
            <w:pPr>
              <w:pStyle w:val="3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center"/>
              <w:rPr>
                <w:rFonts w:hint="eastAsia" w:ascii="宋体" w:hAnsi="宋体" w:eastAsia="宋体" w:cs="宋体"/>
                <w:color w:val="auto"/>
                <w:sz w:val="21"/>
                <w:szCs w:val="21"/>
                <w:highlight w:val="none"/>
              </w:rPr>
            </w:pPr>
            <w:r>
              <w:rPr>
                <w:rFonts w:hint="eastAsia" w:ascii="宋体" w:hAnsi="宋体" w:eastAsia="宋体" w:cs="宋体"/>
                <w:b w:val="0"/>
                <w:i w:val="0"/>
                <w:caps w:val="0"/>
                <w:color w:val="auto"/>
                <w:spacing w:val="8"/>
                <w:sz w:val="21"/>
                <w:szCs w:val="21"/>
                <w:highlight w:val="none"/>
              </w:rPr>
              <w:t>X＜10</w:t>
            </w:r>
          </w:p>
        </w:tc>
      </w:tr>
      <w:tr w14:paraId="0F8FA4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345" w:hRule="atLeast"/>
          <w:jc w:val="center"/>
        </w:trPr>
        <w:tc>
          <w:tcPr>
            <w:tcW w:w="2115" w:type="dxa"/>
            <w:vMerge w:val="continue"/>
            <w:tcBorders>
              <w:top w:val="nil"/>
              <w:left w:val="single" w:color="4F81BD" w:sz="6" w:space="0"/>
              <w:bottom w:val="single" w:color="4F81BD" w:sz="6" w:space="0"/>
              <w:right w:val="single" w:color="4F81BD" w:sz="6" w:space="0"/>
            </w:tcBorders>
            <w:shd w:val="clear" w:color="auto" w:fill="FFFFFF"/>
            <w:noWrap w:val="0"/>
            <w:tcMar>
              <w:left w:w="105" w:type="dxa"/>
              <w:right w:w="105" w:type="dxa"/>
            </w:tcMar>
            <w:vAlign w:val="center"/>
          </w:tcPr>
          <w:p w14:paraId="371CED0C">
            <w:pPr>
              <w:pageBreakBefore w:val="0"/>
              <w:kinsoku/>
              <w:overflowPunct/>
              <w:bidi w:val="0"/>
              <w:spacing w:line="360" w:lineRule="auto"/>
              <w:jc w:val="both"/>
              <w:rPr>
                <w:rFonts w:hint="eastAsia" w:ascii="宋体" w:hAnsi="宋体" w:eastAsia="宋体" w:cs="宋体"/>
                <w:b w:val="0"/>
                <w:i w:val="0"/>
                <w:caps w:val="0"/>
                <w:color w:val="auto"/>
                <w:spacing w:val="8"/>
                <w:sz w:val="21"/>
                <w:szCs w:val="21"/>
                <w:highlight w:val="none"/>
              </w:rPr>
            </w:pPr>
          </w:p>
        </w:tc>
        <w:tc>
          <w:tcPr>
            <w:tcW w:w="136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4220C2FE">
            <w:pPr>
              <w:pStyle w:val="3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center"/>
              <w:rPr>
                <w:rFonts w:hint="eastAsia" w:ascii="宋体" w:hAnsi="宋体" w:eastAsia="宋体" w:cs="宋体"/>
                <w:color w:val="auto"/>
                <w:sz w:val="21"/>
                <w:szCs w:val="21"/>
                <w:highlight w:val="none"/>
              </w:rPr>
            </w:pPr>
            <w:r>
              <w:rPr>
                <w:rFonts w:hint="eastAsia" w:ascii="宋体" w:hAnsi="宋体" w:eastAsia="宋体" w:cs="宋体"/>
                <w:b w:val="0"/>
                <w:i w:val="0"/>
                <w:caps w:val="0"/>
                <w:color w:val="auto"/>
                <w:spacing w:val="8"/>
                <w:sz w:val="21"/>
                <w:szCs w:val="21"/>
                <w:highlight w:val="none"/>
              </w:rPr>
              <w:t>营业收入</w:t>
            </w:r>
            <w:r>
              <w:rPr>
                <w:rFonts w:hint="eastAsia" w:ascii="宋体" w:hAnsi="宋体" w:eastAsia="宋体" w:cs="宋体"/>
                <w:b w:val="0"/>
                <w:i w:val="0"/>
                <w:caps w:val="0"/>
                <w:color w:val="auto"/>
                <w:spacing w:val="8"/>
                <w:sz w:val="21"/>
                <w:szCs w:val="21"/>
                <w:highlight w:val="none"/>
                <w:lang w:eastAsia="zh-CN"/>
              </w:rPr>
              <w:t>（</w:t>
            </w:r>
            <w:r>
              <w:rPr>
                <w:rFonts w:hint="eastAsia" w:ascii="宋体" w:hAnsi="宋体" w:eastAsia="宋体" w:cs="宋体"/>
                <w:b w:val="0"/>
                <w:i w:val="0"/>
                <w:caps w:val="0"/>
                <w:color w:val="auto"/>
                <w:spacing w:val="8"/>
                <w:sz w:val="21"/>
                <w:szCs w:val="21"/>
                <w:highlight w:val="none"/>
              </w:rPr>
              <w:t>Y</w:t>
            </w:r>
            <w:r>
              <w:rPr>
                <w:rFonts w:hint="eastAsia" w:ascii="宋体" w:hAnsi="宋体" w:eastAsia="宋体" w:cs="宋体"/>
                <w:b w:val="0"/>
                <w:i w:val="0"/>
                <w:caps w:val="0"/>
                <w:color w:val="auto"/>
                <w:spacing w:val="8"/>
                <w:sz w:val="21"/>
                <w:szCs w:val="21"/>
                <w:highlight w:val="none"/>
                <w:lang w:eastAsia="zh-CN"/>
              </w:rPr>
              <w:t>）</w:t>
            </w:r>
          </w:p>
        </w:tc>
        <w:tc>
          <w:tcPr>
            <w:tcW w:w="70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410BEC2A">
            <w:pPr>
              <w:pStyle w:val="3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center"/>
              <w:rPr>
                <w:rFonts w:hint="eastAsia" w:ascii="宋体" w:hAnsi="宋体" w:eastAsia="宋体" w:cs="宋体"/>
                <w:color w:val="auto"/>
                <w:sz w:val="21"/>
                <w:szCs w:val="21"/>
                <w:highlight w:val="none"/>
              </w:rPr>
            </w:pPr>
            <w:r>
              <w:rPr>
                <w:rFonts w:hint="eastAsia" w:ascii="宋体" w:hAnsi="宋体" w:eastAsia="宋体" w:cs="宋体"/>
                <w:b w:val="0"/>
                <w:i w:val="0"/>
                <w:caps w:val="0"/>
                <w:color w:val="auto"/>
                <w:spacing w:val="8"/>
                <w:sz w:val="21"/>
                <w:szCs w:val="21"/>
                <w:highlight w:val="none"/>
              </w:rPr>
              <w:t>万元</w:t>
            </w:r>
          </w:p>
        </w:tc>
        <w:tc>
          <w:tcPr>
            <w:tcW w:w="112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05F67B7C">
            <w:pPr>
              <w:pStyle w:val="3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center"/>
              <w:rPr>
                <w:rFonts w:hint="eastAsia" w:ascii="宋体" w:hAnsi="宋体" w:eastAsia="宋体" w:cs="宋体"/>
                <w:color w:val="auto"/>
                <w:sz w:val="21"/>
                <w:szCs w:val="21"/>
                <w:highlight w:val="none"/>
              </w:rPr>
            </w:pPr>
            <w:r>
              <w:rPr>
                <w:rFonts w:hint="eastAsia" w:ascii="宋体" w:hAnsi="宋体" w:eastAsia="宋体" w:cs="宋体"/>
                <w:b w:val="0"/>
                <w:i w:val="0"/>
                <w:caps w:val="0"/>
                <w:color w:val="auto"/>
                <w:spacing w:val="8"/>
                <w:sz w:val="21"/>
                <w:szCs w:val="21"/>
                <w:highlight w:val="none"/>
              </w:rPr>
              <w:t>Y≥10000</w:t>
            </w:r>
          </w:p>
        </w:tc>
        <w:tc>
          <w:tcPr>
            <w:tcW w:w="169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28119240">
            <w:pPr>
              <w:pStyle w:val="3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center"/>
              <w:rPr>
                <w:rFonts w:hint="eastAsia" w:ascii="宋体" w:hAnsi="宋体" w:eastAsia="宋体" w:cs="宋体"/>
                <w:color w:val="auto"/>
                <w:sz w:val="21"/>
                <w:szCs w:val="21"/>
                <w:highlight w:val="none"/>
              </w:rPr>
            </w:pPr>
            <w:r>
              <w:rPr>
                <w:rFonts w:hint="eastAsia" w:ascii="宋体" w:hAnsi="宋体" w:eastAsia="宋体" w:cs="宋体"/>
                <w:b w:val="0"/>
                <w:i w:val="0"/>
                <w:caps w:val="0"/>
                <w:color w:val="auto"/>
                <w:spacing w:val="8"/>
                <w:sz w:val="21"/>
                <w:szCs w:val="21"/>
                <w:highlight w:val="none"/>
              </w:rPr>
              <w:t>1000≤Y＜10000</w:t>
            </w:r>
          </w:p>
        </w:tc>
        <w:tc>
          <w:tcPr>
            <w:tcW w:w="142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330972A5">
            <w:pPr>
              <w:pStyle w:val="3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center"/>
              <w:rPr>
                <w:rFonts w:hint="eastAsia" w:ascii="宋体" w:hAnsi="宋体" w:eastAsia="宋体" w:cs="宋体"/>
                <w:color w:val="auto"/>
                <w:sz w:val="21"/>
                <w:szCs w:val="21"/>
                <w:highlight w:val="none"/>
              </w:rPr>
            </w:pPr>
            <w:r>
              <w:rPr>
                <w:rFonts w:hint="eastAsia" w:ascii="宋体" w:hAnsi="宋体" w:eastAsia="宋体" w:cs="宋体"/>
                <w:b w:val="0"/>
                <w:i w:val="0"/>
                <w:caps w:val="0"/>
                <w:color w:val="auto"/>
                <w:spacing w:val="8"/>
                <w:sz w:val="21"/>
                <w:szCs w:val="21"/>
                <w:highlight w:val="none"/>
              </w:rPr>
              <w:t>  50≤Y＜1000</w:t>
            </w:r>
          </w:p>
        </w:tc>
        <w:tc>
          <w:tcPr>
            <w:tcW w:w="990"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22B72BB0">
            <w:pPr>
              <w:pStyle w:val="3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center"/>
              <w:rPr>
                <w:rFonts w:hint="eastAsia" w:ascii="宋体" w:hAnsi="宋体" w:eastAsia="宋体" w:cs="宋体"/>
                <w:color w:val="auto"/>
                <w:sz w:val="21"/>
                <w:szCs w:val="21"/>
                <w:highlight w:val="none"/>
              </w:rPr>
            </w:pPr>
            <w:r>
              <w:rPr>
                <w:rFonts w:hint="eastAsia" w:ascii="宋体" w:hAnsi="宋体" w:eastAsia="宋体" w:cs="宋体"/>
                <w:b w:val="0"/>
                <w:i w:val="0"/>
                <w:caps w:val="0"/>
                <w:color w:val="auto"/>
                <w:spacing w:val="8"/>
                <w:sz w:val="21"/>
                <w:szCs w:val="21"/>
                <w:highlight w:val="none"/>
              </w:rPr>
              <w:t>Y＜50</w:t>
            </w:r>
          </w:p>
        </w:tc>
      </w:tr>
      <w:tr w14:paraId="5B130E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5" w:hRule="atLeast"/>
          <w:jc w:val="center"/>
        </w:trPr>
        <w:tc>
          <w:tcPr>
            <w:tcW w:w="2115" w:type="dxa"/>
            <w:vMerge w:val="restart"/>
            <w:tcBorders>
              <w:top w:val="nil"/>
              <w:left w:val="single" w:color="4F81BD" w:sz="6" w:space="0"/>
              <w:bottom w:val="single" w:color="4F81BD" w:sz="6" w:space="0"/>
              <w:right w:val="single" w:color="4F81BD" w:sz="6" w:space="0"/>
            </w:tcBorders>
            <w:shd w:val="clear" w:color="auto" w:fill="FFFFFF"/>
            <w:noWrap w:val="0"/>
            <w:tcMar>
              <w:left w:w="105" w:type="dxa"/>
              <w:right w:w="105" w:type="dxa"/>
            </w:tcMar>
            <w:vAlign w:val="center"/>
          </w:tcPr>
          <w:p w14:paraId="664EBADB">
            <w:pPr>
              <w:pStyle w:val="3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both"/>
              <w:rPr>
                <w:rFonts w:hint="eastAsia" w:ascii="宋体" w:hAnsi="宋体" w:eastAsia="宋体" w:cs="宋体"/>
                <w:color w:val="auto"/>
                <w:sz w:val="21"/>
                <w:szCs w:val="21"/>
                <w:highlight w:val="none"/>
              </w:rPr>
            </w:pPr>
            <w:r>
              <w:rPr>
                <w:rFonts w:hint="eastAsia" w:ascii="宋体" w:hAnsi="宋体" w:eastAsia="宋体" w:cs="宋体"/>
                <w:b w:val="0"/>
                <w:i w:val="0"/>
                <w:caps w:val="0"/>
                <w:color w:val="auto"/>
                <w:spacing w:val="8"/>
                <w:sz w:val="21"/>
                <w:szCs w:val="21"/>
                <w:highlight w:val="none"/>
              </w:rPr>
              <w:t>房地产开发经营</w:t>
            </w:r>
          </w:p>
        </w:tc>
        <w:tc>
          <w:tcPr>
            <w:tcW w:w="136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2EF800EE">
            <w:pPr>
              <w:pStyle w:val="3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center"/>
              <w:rPr>
                <w:rFonts w:hint="eastAsia" w:ascii="宋体" w:hAnsi="宋体" w:eastAsia="宋体" w:cs="宋体"/>
                <w:color w:val="auto"/>
                <w:sz w:val="21"/>
                <w:szCs w:val="21"/>
                <w:highlight w:val="none"/>
              </w:rPr>
            </w:pPr>
            <w:r>
              <w:rPr>
                <w:rFonts w:hint="eastAsia" w:ascii="宋体" w:hAnsi="宋体" w:eastAsia="宋体" w:cs="宋体"/>
                <w:b w:val="0"/>
                <w:i w:val="0"/>
                <w:caps w:val="0"/>
                <w:color w:val="auto"/>
                <w:spacing w:val="8"/>
                <w:sz w:val="21"/>
                <w:szCs w:val="21"/>
                <w:highlight w:val="none"/>
              </w:rPr>
              <w:t>营业收入</w:t>
            </w:r>
            <w:r>
              <w:rPr>
                <w:rFonts w:hint="eastAsia" w:ascii="宋体" w:hAnsi="宋体" w:eastAsia="宋体" w:cs="宋体"/>
                <w:b w:val="0"/>
                <w:i w:val="0"/>
                <w:caps w:val="0"/>
                <w:color w:val="auto"/>
                <w:spacing w:val="8"/>
                <w:sz w:val="21"/>
                <w:szCs w:val="21"/>
                <w:highlight w:val="none"/>
                <w:lang w:eastAsia="zh-CN"/>
              </w:rPr>
              <w:t>（</w:t>
            </w:r>
            <w:r>
              <w:rPr>
                <w:rFonts w:hint="eastAsia" w:ascii="宋体" w:hAnsi="宋体" w:eastAsia="宋体" w:cs="宋体"/>
                <w:b w:val="0"/>
                <w:i w:val="0"/>
                <w:caps w:val="0"/>
                <w:color w:val="auto"/>
                <w:spacing w:val="8"/>
                <w:sz w:val="21"/>
                <w:szCs w:val="21"/>
                <w:highlight w:val="none"/>
              </w:rPr>
              <w:t>Y</w:t>
            </w:r>
            <w:r>
              <w:rPr>
                <w:rFonts w:hint="eastAsia" w:ascii="宋体" w:hAnsi="宋体" w:eastAsia="宋体" w:cs="宋体"/>
                <w:b w:val="0"/>
                <w:i w:val="0"/>
                <w:caps w:val="0"/>
                <w:color w:val="auto"/>
                <w:spacing w:val="8"/>
                <w:sz w:val="21"/>
                <w:szCs w:val="21"/>
                <w:highlight w:val="none"/>
                <w:lang w:eastAsia="zh-CN"/>
              </w:rPr>
              <w:t>）</w:t>
            </w:r>
          </w:p>
        </w:tc>
        <w:tc>
          <w:tcPr>
            <w:tcW w:w="70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30186F8E">
            <w:pPr>
              <w:pStyle w:val="3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center"/>
              <w:rPr>
                <w:rFonts w:hint="eastAsia" w:ascii="宋体" w:hAnsi="宋体" w:eastAsia="宋体" w:cs="宋体"/>
                <w:color w:val="auto"/>
                <w:sz w:val="21"/>
                <w:szCs w:val="21"/>
                <w:highlight w:val="none"/>
              </w:rPr>
            </w:pPr>
            <w:r>
              <w:rPr>
                <w:rFonts w:hint="eastAsia" w:ascii="宋体" w:hAnsi="宋体" w:eastAsia="宋体" w:cs="宋体"/>
                <w:b w:val="0"/>
                <w:i w:val="0"/>
                <w:caps w:val="0"/>
                <w:color w:val="auto"/>
                <w:spacing w:val="8"/>
                <w:sz w:val="21"/>
                <w:szCs w:val="21"/>
                <w:highlight w:val="none"/>
              </w:rPr>
              <w:t>万元</w:t>
            </w:r>
          </w:p>
        </w:tc>
        <w:tc>
          <w:tcPr>
            <w:tcW w:w="112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70AB1852">
            <w:pPr>
              <w:pStyle w:val="3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center"/>
              <w:rPr>
                <w:rFonts w:hint="eastAsia" w:ascii="宋体" w:hAnsi="宋体" w:eastAsia="宋体" w:cs="宋体"/>
                <w:color w:val="auto"/>
                <w:sz w:val="21"/>
                <w:szCs w:val="21"/>
                <w:highlight w:val="none"/>
              </w:rPr>
            </w:pPr>
            <w:r>
              <w:rPr>
                <w:rFonts w:hint="eastAsia" w:ascii="宋体" w:hAnsi="宋体" w:eastAsia="宋体" w:cs="宋体"/>
                <w:b w:val="0"/>
                <w:i w:val="0"/>
                <w:caps w:val="0"/>
                <w:color w:val="auto"/>
                <w:spacing w:val="8"/>
                <w:sz w:val="21"/>
                <w:szCs w:val="21"/>
                <w:highlight w:val="none"/>
              </w:rPr>
              <w:t>Y≥200000</w:t>
            </w:r>
          </w:p>
        </w:tc>
        <w:tc>
          <w:tcPr>
            <w:tcW w:w="169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5BE7372F">
            <w:pPr>
              <w:pStyle w:val="3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center"/>
              <w:rPr>
                <w:rFonts w:hint="eastAsia" w:ascii="宋体" w:hAnsi="宋体" w:eastAsia="宋体" w:cs="宋体"/>
                <w:color w:val="auto"/>
                <w:sz w:val="21"/>
                <w:szCs w:val="21"/>
                <w:highlight w:val="none"/>
              </w:rPr>
            </w:pPr>
            <w:r>
              <w:rPr>
                <w:rFonts w:hint="eastAsia" w:ascii="宋体" w:hAnsi="宋体" w:eastAsia="宋体" w:cs="宋体"/>
                <w:b w:val="0"/>
                <w:i w:val="0"/>
                <w:caps w:val="0"/>
                <w:color w:val="auto"/>
                <w:spacing w:val="8"/>
                <w:sz w:val="21"/>
                <w:szCs w:val="21"/>
                <w:highlight w:val="none"/>
              </w:rPr>
              <w:t> 1000≤Y＜200000</w:t>
            </w:r>
          </w:p>
        </w:tc>
        <w:tc>
          <w:tcPr>
            <w:tcW w:w="142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563F1ED0">
            <w:pPr>
              <w:pStyle w:val="3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center"/>
              <w:rPr>
                <w:rFonts w:hint="eastAsia" w:ascii="宋体" w:hAnsi="宋体" w:eastAsia="宋体" w:cs="宋体"/>
                <w:color w:val="auto"/>
                <w:sz w:val="21"/>
                <w:szCs w:val="21"/>
                <w:highlight w:val="none"/>
              </w:rPr>
            </w:pPr>
            <w:r>
              <w:rPr>
                <w:rFonts w:hint="eastAsia" w:ascii="宋体" w:hAnsi="宋体" w:eastAsia="宋体" w:cs="宋体"/>
                <w:b w:val="0"/>
                <w:i w:val="0"/>
                <w:caps w:val="0"/>
                <w:color w:val="auto"/>
                <w:spacing w:val="8"/>
                <w:sz w:val="21"/>
                <w:szCs w:val="21"/>
                <w:highlight w:val="none"/>
              </w:rPr>
              <w:t> 100≤Y＜1000</w:t>
            </w:r>
          </w:p>
        </w:tc>
        <w:tc>
          <w:tcPr>
            <w:tcW w:w="990"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6A05FEEB">
            <w:pPr>
              <w:pStyle w:val="3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center"/>
              <w:rPr>
                <w:rFonts w:hint="eastAsia" w:ascii="宋体" w:hAnsi="宋体" w:eastAsia="宋体" w:cs="宋体"/>
                <w:color w:val="auto"/>
                <w:sz w:val="21"/>
                <w:szCs w:val="21"/>
                <w:highlight w:val="none"/>
              </w:rPr>
            </w:pPr>
            <w:r>
              <w:rPr>
                <w:rFonts w:hint="eastAsia" w:ascii="宋体" w:hAnsi="宋体" w:eastAsia="宋体" w:cs="宋体"/>
                <w:b w:val="0"/>
                <w:i w:val="0"/>
                <w:caps w:val="0"/>
                <w:color w:val="auto"/>
                <w:spacing w:val="8"/>
                <w:sz w:val="21"/>
                <w:szCs w:val="21"/>
                <w:highlight w:val="none"/>
              </w:rPr>
              <w:t>Y＜100</w:t>
            </w:r>
          </w:p>
        </w:tc>
      </w:tr>
      <w:tr w14:paraId="036C5B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5" w:hRule="atLeast"/>
          <w:jc w:val="center"/>
        </w:trPr>
        <w:tc>
          <w:tcPr>
            <w:tcW w:w="2115" w:type="dxa"/>
            <w:vMerge w:val="continue"/>
            <w:tcBorders>
              <w:top w:val="nil"/>
              <w:left w:val="single" w:color="4F81BD" w:sz="6" w:space="0"/>
              <w:bottom w:val="single" w:color="4F81BD" w:sz="6" w:space="0"/>
              <w:right w:val="single" w:color="4F81BD" w:sz="6" w:space="0"/>
            </w:tcBorders>
            <w:shd w:val="clear" w:color="auto" w:fill="FFFFFF"/>
            <w:noWrap w:val="0"/>
            <w:tcMar>
              <w:left w:w="105" w:type="dxa"/>
              <w:right w:w="105" w:type="dxa"/>
            </w:tcMar>
            <w:vAlign w:val="center"/>
          </w:tcPr>
          <w:p w14:paraId="4434A6ED">
            <w:pPr>
              <w:pageBreakBefore w:val="0"/>
              <w:kinsoku/>
              <w:overflowPunct/>
              <w:bidi w:val="0"/>
              <w:spacing w:line="360" w:lineRule="auto"/>
              <w:jc w:val="both"/>
              <w:rPr>
                <w:rFonts w:hint="eastAsia" w:ascii="宋体" w:hAnsi="宋体" w:eastAsia="宋体" w:cs="宋体"/>
                <w:b w:val="0"/>
                <w:i w:val="0"/>
                <w:caps w:val="0"/>
                <w:color w:val="auto"/>
                <w:spacing w:val="8"/>
                <w:sz w:val="21"/>
                <w:szCs w:val="21"/>
                <w:highlight w:val="none"/>
              </w:rPr>
            </w:pPr>
          </w:p>
        </w:tc>
        <w:tc>
          <w:tcPr>
            <w:tcW w:w="136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2C59E3E6">
            <w:pPr>
              <w:pStyle w:val="3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center"/>
              <w:rPr>
                <w:rFonts w:hint="eastAsia" w:ascii="宋体" w:hAnsi="宋体" w:eastAsia="宋体" w:cs="宋体"/>
                <w:color w:val="auto"/>
                <w:sz w:val="21"/>
                <w:szCs w:val="21"/>
                <w:highlight w:val="none"/>
              </w:rPr>
            </w:pPr>
            <w:r>
              <w:rPr>
                <w:rFonts w:hint="eastAsia" w:ascii="宋体" w:hAnsi="宋体" w:eastAsia="宋体" w:cs="宋体"/>
                <w:b w:val="0"/>
                <w:i w:val="0"/>
                <w:caps w:val="0"/>
                <w:color w:val="auto"/>
                <w:spacing w:val="8"/>
                <w:sz w:val="21"/>
                <w:szCs w:val="21"/>
                <w:highlight w:val="none"/>
              </w:rPr>
              <w:t>资产总额</w:t>
            </w:r>
            <w:r>
              <w:rPr>
                <w:rFonts w:hint="eastAsia" w:ascii="宋体" w:hAnsi="宋体" w:eastAsia="宋体" w:cs="宋体"/>
                <w:b w:val="0"/>
                <w:i w:val="0"/>
                <w:caps w:val="0"/>
                <w:color w:val="auto"/>
                <w:spacing w:val="8"/>
                <w:sz w:val="21"/>
                <w:szCs w:val="21"/>
                <w:highlight w:val="none"/>
                <w:lang w:eastAsia="zh-CN"/>
              </w:rPr>
              <w:t>（</w:t>
            </w:r>
            <w:r>
              <w:rPr>
                <w:rFonts w:hint="eastAsia" w:ascii="宋体" w:hAnsi="宋体" w:eastAsia="宋体" w:cs="宋体"/>
                <w:b w:val="0"/>
                <w:i w:val="0"/>
                <w:caps w:val="0"/>
                <w:color w:val="auto"/>
                <w:spacing w:val="8"/>
                <w:sz w:val="21"/>
                <w:szCs w:val="21"/>
                <w:highlight w:val="none"/>
              </w:rPr>
              <w:t>Z</w:t>
            </w:r>
            <w:r>
              <w:rPr>
                <w:rFonts w:hint="eastAsia" w:ascii="宋体" w:hAnsi="宋体" w:eastAsia="宋体" w:cs="宋体"/>
                <w:b w:val="0"/>
                <w:i w:val="0"/>
                <w:caps w:val="0"/>
                <w:color w:val="auto"/>
                <w:spacing w:val="8"/>
                <w:sz w:val="21"/>
                <w:szCs w:val="21"/>
                <w:highlight w:val="none"/>
                <w:lang w:eastAsia="zh-CN"/>
              </w:rPr>
              <w:t>）</w:t>
            </w:r>
          </w:p>
        </w:tc>
        <w:tc>
          <w:tcPr>
            <w:tcW w:w="70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1627216A">
            <w:pPr>
              <w:pStyle w:val="3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center"/>
              <w:rPr>
                <w:rFonts w:hint="eastAsia" w:ascii="宋体" w:hAnsi="宋体" w:eastAsia="宋体" w:cs="宋体"/>
                <w:color w:val="auto"/>
                <w:sz w:val="21"/>
                <w:szCs w:val="21"/>
                <w:highlight w:val="none"/>
              </w:rPr>
            </w:pPr>
            <w:r>
              <w:rPr>
                <w:rFonts w:hint="eastAsia" w:ascii="宋体" w:hAnsi="宋体" w:eastAsia="宋体" w:cs="宋体"/>
                <w:b w:val="0"/>
                <w:i w:val="0"/>
                <w:caps w:val="0"/>
                <w:color w:val="auto"/>
                <w:spacing w:val="8"/>
                <w:sz w:val="21"/>
                <w:szCs w:val="21"/>
                <w:highlight w:val="none"/>
              </w:rPr>
              <w:t>万元</w:t>
            </w:r>
          </w:p>
        </w:tc>
        <w:tc>
          <w:tcPr>
            <w:tcW w:w="112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2A788BFE">
            <w:pPr>
              <w:pStyle w:val="3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center"/>
              <w:rPr>
                <w:rFonts w:hint="eastAsia" w:ascii="宋体" w:hAnsi="宋体" w:eastAsia="宋体" w:cs="宋体"/>
                <w:color w:val="auto"/>
                <w:sz w:val="21"/>
                <w:szCs w:val="21"/>
                <w:highlight w:val="none"/>
              </w:rPr>
            </w:pPr>
            <w:r>
              <w:rPr>
                <w:rFonts w:hint="eastAsia" w:ascii="宋体" w:hAnsi="宋体" w:eastAsia="宋体" w:cs="宋体"/>
                <w:b w:val="0"/>
                <w:i w:val="0"/>
                <w:caps w:val="0"/>
                <w:color w:val="auto"/>
                <w:spacing w:val="8"/>
                <w:sz w:val="21"/>
                <w:szCs w:val="21"/>
                <w:highlight w:val="none"/>
              </w:rPr>
              <w:t>Z≥10000</w:t>
            </w:r>
          </w:p>
        </w:tc>
        <w:tc>
          <w:tcPr>
            <w:tcW w:w="169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4B3A385B">
            <w:pPr>
              <w:pStyle w:val="3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center"/>
              <w:rPr>
                <w:rFonts w:hint="eastAsia" w:ascii="宋体" w:hAnsi="宋体" w:eastAsia="宋体" w:cs="宋体"/>
                <w:color w:val="auto"/>
                <w:sz w:val="21"/>
                <w:szCs w:val="21"/>
                <w:highlight w:val="none"/>
              </w:rPr>
            </w:pPr>
            <w:r>
              <w:rPr>
                <w:rFonts w:hint="eastAsia" w:ascii="宋体" w:hAnsi="宋体" w:eastAsia="宋体" w:cs="宋体"/>
                <w:b w:val="0"/>
                <w:i w:val="0"/>
                <w:caps w:val="0"/>
                <w:color w:val="auto"/>
                <w:spacing w:val="8"/>
                <w:sz w:val="21"/>
                <w:szCs w:val="21"/>
                <w:highlight w:val="none"/>
              </w:rPr>
              <w:t>5000≤Z＜10000</w:t>
            </w:r>
          </w:p>
        </w:tc>
        <w:tc>
          <w:tcPr>
            <w:tcW w:w="142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65AC53D2">
            <w:pPr>
              <w:pStyle w:val="3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center"/>
              <w:rPr>
                <w:rFonts w:hint="eastAsia" w:ascii="宋体" w:hAnsi="宋体" w:eastAsia="宋体" w:cs="宋体"/>
                <w:color w:val="auto"/>
                <w:sz w:val="21"/>
                <w:szCs w:val="21"/>
                <w:highlight w:val="none"/>
              </w:rPr>
            </w:pPr>
            <w:r>
              <w:rPr>
                <w:rFonts w:hint="eastAsia" w:ascii="宋体" w:hAnsi="宋体" w:eastAsia="宋体" w:cs="宋体"/>
                <w:b w:val="0"/>
                <w:i w:val="0"/>
                <w:caps w:val="0"/>
                <w:color w:val="auto"/>
                <w:spacing w:val="8"/>
                <w:sz w:val="21"/>
                <w:szCs w:val="21"/>
                <w:highlight w:val="none"/>
              </w:rPr>
              <w:t>2000≤Z＜5000   </w:t>
            </w:r>
          </w:p>
        </w:tc>
        <w:tc>
          <w:tcPr>
            <w:tcW w:w="990"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1C7AF358">
            <w:pPr>
              <w:pStyle w:val="3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center"/>
              <w:rPr>
                <w:rFonts w:hint="eastAsia" w:ascii="宋体" w:hAnsi="宋体" w:eastAsia="宋体" w:cs="宋体"/>
                <w:color w:val="auto"/>
                <w:sz w:val="21"/>
                <w:szCs w:val="21"/>
                <w:highlight w:val="none"/>
              </w:rPr>
            </w:pPr>
            <w:r>
              <w:rPr>
                <w:rFonts w:hint="eastAsia" w:ascii="宋体" w:hAnsi="宋体" w:eastAsia="宋体" w:cs="宋体"/>
                <w:b w:val="0"/>
                <w:i w:val="0"/>
                <w:caps w:val="0"/>
                <w:color w:val="auto"/>
                <w:spacing w:val="8"/>
                <w:sz w:val="21"/>
                <w:szCs w:val="21"/>
                <w:highlight w:val="none"/>
              </w:rPr>
              <w:t>Z＜2000</w:t>
            </w:r>
          </w:p>
        </w:tc>
      </w:tr>
      <w:tr w14:paraId="69B124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5" w:hRule="atLeast"/>
          <w:jc w:val="center"/>
        </w:trPr>
        <w:tc>
          <w:tcPr>
            <w:tcW w:w="2115" w:type="dxa"/>
            <w:vMerge w:val="restart"/>
            <w:tcBorders>
              <w:top w:val="nil"/>
              <w:left w:val="single" w:color="4F81BD" w:sz="6" w:space="0"/>
              <w:bottom w:val="single" w:color="4F81BD" w:sz="6" w:space="0"/>
              <w:right w:val="single" w:color="4F81BD" w:sz="6" w:space="0"/>
            </w:tcBorders>
            <w:shd w:val="clear" w:color="auto" w:fill="FFFFFF"/>
            <w:noWrap w:val="0"/>
            <w:tcMar>
              <w:left w:w="105" w:type="dxa"/>
              <w:right w:w="105" w:type="dxa"/>
            </w:tcMar>
            <w:vAlign w:val="center"/>
          </w:tcPr>
          <w:p w14:paraId="22EC102B">
            <w:pPr>
              <w:pStyle w:val="3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both"/>
              <w:rPr>
                <w:rFonts w:hint="eastAsia" w:ascii="宋体" w:hAnsi="宋体" w:eastAsia="宋体" w:cs="宋体"/>
                <w:color w:val="auto"/>
                <w:sz w:val="21"/>
                <w:szCs w:val="21"/>
                <w:highlight w:val="none"/>
              </w:rPr>
            </w:pPr>
            <w:r>
              <w:rPr>
                <w:rFonts w:hint="eastAsia" w:ascii="宋体" w:hAnsi="宋体" w:eastAsia="宋体" w:cs="宋体"/>
                <w:b w:val="0"/>
                <w:i w:val="0"/>
                <w:caps w:val="0"/>
                <w:color w:val="auto"/>
                <w:spacing w:val="8"/>
                <w:sz w:val="21"/>
                <w:szCs w:val="21"/>
                <w:highlight w:val="none"/>
              </w:rPr>
              <w:t>物业管理</w:t>
            </w:r>
          </w:p>
        </w:tc>
        <w:tc>
          <w:tcPr>
            <w:tcW w:w="136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4B9F67CC">
            <w:pPr>
              <w:pStyle w:val="3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center"/>
              <w:rPr>
                <w:rFonts w:hint="eastAsia" w:ascii="宋体" w:hAnsi="宋体" w:eastAsia="宋体" w:cs="宋体"/>
                <w:color w:val="auto"/>
                <w:sz w:val="21"/>
                <w:szCs w:val="21"/>
                <w:highlight w:val="none"/>
              </w:rPr>
            </w:pPr>
            <w:r>
              <w:rPr>
                <w:rFonts w:hint="eastAsia" w:ascii="宋体" w:hAnsi="宋体" w:eastAsia="宋体" w:cs="宋体"/>
                <w:b w:val="0"/>
                <w:i w:val="0"/>
                <w:caps w:val="0"/>
                <w:color w:val="auto"/>
                <w:spacing w:val="8"/>
                <w:sz w:val="21"/>
                <w:szCs w:val="21"/>
                <w:highlight w:val="none"/>
              </w:rPr>
              <w:t>从业人员</w:t>
            </w:r>
            <w:r>
              <w:rPr>
                <w:rFonts w:hint="eastAsia" w:ascii="宋体" w:hAnsi="宋体" w:eastAsia="宋体" w:cs="宋体"/>
                <w:b w:val="0"/>
                <w:i w:val="0"/>
                <w:caps w:val="0"/>
                <w:color w:val="auto"/>
                <w:spacing w:val="8"/>
                <w:sz w:val="21"/>
                <w:szCs w:val="21"/>
                <w:highlight w:val="none"/>
                <w:lang w:eastAsia="zh-CN"/>
              </w:rPr>
              <w:t>（</w:t>
            </w:r>
            <w:r>
              <w:rPr>
                <w:rFonts w:hint="eastAsia" w:ascii="宋体" w:hAnsi="宋体" w:eastAsia="宋体" w:cs="宋体"/>
                <w:b w:val="0"/>
                <w:i w:val="0"/>
                <w:caps w:val="0"/>
                <w:color w:val="auto"/>
                <w:spacing w:val="8"/>
                <w:sz w:val="21"/>
                <w:szCs w:val="21"/>
                <w:highlight w:val="none"/>
              </w:rPr>
              <w:t>X</w:t>
            </w:r>
            <w:r>
              <w:rPr>
                <w:rFonts w:hint="eastAsia" w:ascii="宋体" w:hAnsi="宋体" w:eastAsia="宋体" w:cs="宋体"/>
                <w:b w:val="0"/>
                <w:i w:val="0"/>
                <w:caps w:val="0"/>
                <w:color w:val="auto"/>
                <w:spacing w:val="8"/>
                <w:sz w:val="21"/>
                <w:szCs w:val="21"/>
                <w:highlight w:val="none"/>
                <w:lang w:eastAsia="zh-CN"/>
              </w:rPr>
              <w:t>）</w:t>
            </w:r>
          </w:p>
        </w:tc>
        <w:tc>
          <w:tcPr>
            <w:tcW w:w="70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6FD46450">
            <w:pPr>
              <w:pStyle w:val="3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center"/>
              <w:rPr>
                <w:rFonts w:hint="eastAsia" w:ascii="宋体" w:hAnsi="宋体" w:eastAsia="宋体" w:cs="宋体"/>
                <w:color w:val="auto"/>
                <w:sz w:val="21"/>
                <w:szCs w:val="21"/>
                <w:highlight w:val="none"/>
              </w:rPr>
            </w:pPr>
            <w:r>
              <w:rPr>
                <w:rFonts w:hint="eastAsia" w:ascii="宋体" w:hAnsi="宋体" w:eastAsia="宋体" w:cs="宋体"/>
                <w:b w:val="0"/>
                <w:i w:val="0"/>
                <w:caps w:val="0"/>
                <w:color w:val="auto"/>
                <w:spacing w:val="8"/>
                <w:sz w:val="21"/>
                <w:szCs w:val="21"/>
                <w:highlight w:val="none"/>
              </w:rPr>
              <w:t>人</w:t>
            </w:r>
          </w:p>
        </w:tc>
        <w:tc>
          <w:tcPr>
            <w:tcW w:w="112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6E494E5B">
            <w:pPr>
              <w:pStyle w:val="3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center"/>
              <w:rPr>
                <w:rFonts w:hint="eastAsia" w:ascii="宋体" w:hAnsi="宋体" w:eastAsia="宋体" w:cs="宋体"/>
                <w:color w:val="auto"/>
                <w:sz w:val="21"/>
                <w:szCs w:val="21"/>
                <w:highlight w:val="none"/>
              </w:rPr>
            </w:pPr>
            <w:r>
              <w:rPr>
                <w:rFonts w:hint="eastAsia" w:ascii="宋体" w:hAnsi="宋体" w:eastAsia="宋体" w:cs="宋体"/>
                <w:b w:val="0"/>
                <w:i w:val="0"/>
                <w:caps w:val="0"/>
                <w:color w:val="auto"/>
                <w:spacing w:val="8"/>
                <w:sz w:val="21"/>
                <w:szCs w:val="21"/>
                <w:highlight w:val="none"/>
              </w:rPr>
              <w:t>X≥1000</w:t>
            </w:r>
          </w:p>
        </w:tc>
        <w:tc>
          <w:tcPr>
            <w:tcW w:w="169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7A16BCD5">
            <w:pPr>
              <w:pStyle w:val="3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center"/>
              <w:rPr>
                <w:rFonts w:hint="eastAsia" w:ascii="宋体" w:hAnsi="宋体" w:eastAsia="宋体" w:cs="宋体"/>
                <w:color w:val="auto"/>
                <w:sz w:val="21"/>
                <w:szCs w:val="21"/>
                <w:highlight w:val="none"/>
              </w:rPr>
            </w:pPr>
            <w:r>
              <w:rPr>
                <w:rFonts w:hint="eastAsia" w:ascii="宋体" w:hAnsi="宋体" w:eastAsia="宋体" w:cs="宋体"/>
                <w:b w:val="0"/>
                <w:i w:val="0"/>
                <w:caps w:val="0"/>
                <w:color w:val="auto"/>
                <w:spacing w:val="8"/>
                <w:sz w:val="21"/>
                <w:szCs w:val="21"/>
                <w:highlight w:val="none"/>
              </w:rPr>
              <w:t>300≤X＜1000</w:t>
            </w:r>
          </w:p>
        </w:tc>
        <w:tc>
          <w:tcPr>
            <w:tcW w:w="142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2F2F914A">
            <w:pPr>
              <w:pStyle w:val="3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center"/>
              <w:rPr>
                <w:rFonts w:hint="eastAsia" w:ascii="宋体" w:hAnsi="宋体" w:eastAsia="宋体" w:cs="宋体"/>
                <w:color w:val="auto"/>
                <w:sz w:val="21"/>
                <w:szCs w:val="21"/>
                <w:highlight w:val="none"/>
              </w:rPr>
            </w:pPr>
            <w:r>
              <w:rPr>
                <w:rFonts w:hint="eastAsia" w:ascii="宋体" w:hAnsi="宋体" w:eastAsia="宋体" w:cs="宋体"/>
                <w:b w:val="0"/>
                <w:i w:val="0"/>
                <w:caps w:val="0"/>
                <w:color w:val="auto"/>
                <w:spacing w:val="8"/>
                <w:sz w:val="21"/>
                <w:szCs w:val="21"/>
                <w:highlight w:val="none"/>
              </w:rPr>
              <w:t>100≤X＜300</w:t>
            </w:r>
          </w:p>
        </w:tc>
        <w:tc>
          <w:tcPr>
            <w:tcW w:w="990"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7C199C48">
            <w:pPr>
              <w:pStyle w:val="3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center"/>
              <w:rPr>
                <w:rFonts w:hint="eastAsia" w:ascii="宋体" w:hAnsi="宋体" w:eastAsia="宋体" w:cs="宋体"/>
                <w:color w:val="auto"/>
                <w:sz w:val="21"/>
                <w:szCs w:val="21"/>
                <w:highlight w:val="none"/>
              </w:rPr>
            </w:pPr>
            <w:r>
              <w:rPr>
                <w:rFonts w:hint="eastAsia" w:ascii="宋体" w:hAnsi="宋体" w:eastAsia="宋体" w:cs="宋体"/>
                <w:b w:val="0"/>
                <w:i w:val="0"/>
                <w:caps w:val="0"/>
                <w:color w:val="auto"/>
                <w:spacing w:val="8"/>
                <w:sz w:val="21"/>
                <w:szCs w:val="21"/>
                <w:highlight w:val="none"/>
              </w:rPr>
              <w:t>X＜100</w:t>
            </w:r>
          </w:p>
        </w:tc>
      </w:tr>
      <w:tr w14:paraId="205FC0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345" w:hRule="atLeast"/>
          <w:jc w:val="center"/>
        </w:trPr>
        <w:tc>
          <w:tcPr>
            <w:tcW w:w="2115" w:type="dxa"/>
            <w:vMerge w:val="continue"/>
            <w:tcBorders>
              <w:top w:val="nil"/>
              <w:left w:val="single" w:color="4F81BD" w:sz="6" w:space="0"/>
              <w:bottom w:val="single" w:color="4F81BD" w:sz="6" w:space="0"/>
              <w:right w:val="single" w:color="4F81BD" w:sz="6" w:space="0"/>
            </w:tcBorders>
            <w:shd w:val="clear" w:color="auto" w:fill="FFFFFF"/>
            <w:noWrap w:val="0"/>
            <w:tcMar>
              <w:left w:w="105" w:type="dxa"/>
              <w:right w:w="105" w:type="dxa"/>
            </w:tcMar>
            <w:vAlign w:val="center"/>
          </w:tcPr>
          <w:p w14:paraId="1213C51A">
            <w:pPr>
              <w:pageBreakBefore w:val="0"/>
              <w:kinsoku/>
              <w:overflowPunct/>
              <w:bidi w:val="0"/>
              <w:spacing w:line="360" w:lineRule="auto"/>
              <w:jc w:val="both"/>
              <w:rPr>
                <w:rFonts w:hint="eastAsia" w:ascii="宋体" w:hAnsi="宋体" w:eastAsia="宋体" w:cs="宋体"/>
                <w:b w:val="0"/>
                <w:i w:val="0"/>
                <w:caps w:val="0"/>
                <w:color w:val="auto"/>
                <w:spacing w:val="8"/>
                <w:sz w:val="21"/>
                <w:szCs w:val="21"/>
                <w:highlight w:val="none"/>
              </w:rPr>
            </w:pPr>
          </w:p>
        </w:tc>
        <w:tc>
          <w:tcPr>
            <w:tcW w:w="136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75350F53">
            <w:pPr>
              <w:pStyle w:val="3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center"/>
              <w:rPr>
                <w:rFonts w:hint="eastAsia" w:ascii="宋体" w:hAnsi="宋体" w:eastAsia="宋体" w:cs="宋体"/>
                <w:color w:val="auto"/>
                <w:sz w:val="21"/>
                <w:szCs w:val="21"/>
                <w:highlight w:val="none"/>
              </w:rPr>
            </w:pPr>
            <w:r>
              <w:rPr>
                <w:rFonts w:hint="eastAsia" w:ascii="宋体" w:hAnsi="宋体" w:eastAsia="宋体" w:cs="宋体"/>
                <w:b w:val="0"/>
                <w:i w:val="0"/>
                <w:caps w:val="0"/>
                <w:color w:val="auto"/>
                <w:spacing w:val="8"/>
                <w:sz w:val="21"/>
                <w:szCs w:val="21"/>
                <w:highlight w:val="none"/>
              </w:rPr>
              <w:t>营业收入</w:t>
            </w:r>
            <w:r>
              <w:rPr>
                <w:rFonts w:hint="eastAsia" w:ascii="宋体" w:hAnsi="宋体" w:eastAsia="宋体" w:cs="宋体"/>
                <w:b w:val="0"/>
                <w:i w:val="0"/>
                <w:caps w:val="0"/>
                <w:color w:val="auto"/>
                <w:spacing w:val="8"/>
                <w:sz w:val="21"/>
                <w:szCs w:val="21"/>
                <w:highlight w:val="none"/>
                <w:lang w:eastAsia="zh-CN"/>
              </w:rPr>
              <w:t>（</w:t>
            </w:r>
            <w:r>
              <w:rPr>
                <w:rFonts w:hint="eastAsia" w:ascii="宋体" w:hAnsi="宋体" w:eastAsia="宋体" w:cs="宋体"/>
                <w:b w:val="0"/>
                <w:i w:val="0"/>
                <w:caps w:val="0"/>
                <w:color w:val="auto"/>
                <w:spacing w:val="8"/>
                <w:sz w:val="21"/>
                <w:szCs w:val="21"/>
                <w:highlight w:val="none"/>
              </w:rPr>
              <w:t>Y</w:t>
            </w:r>
            <w:r>
              <w:rPr>
                <w:rFonts w:hint="eastAsia" w:ascii="宋体" w:hAnsi="宋体" w:eastAsia="宋体" w:cs="宋体"/>
                <w:b w:val="0"/>
                <w:i w:val="0"/>
                <w:caps w:val="0"/>
                <w:color w:val="auto"/>
                <w:spacing w:val="8"/>
                <w:sz w:val="21"/>
                <w:szCs w:val="21"/>
                <w:highlight w:val="none"/>
                <w:lang w:eastAsia="zh-CN"/>
              </w:rPr>
              <w:t>）</w:t>
            </w:r>
          </w:p>
        </w:tc>
        <w:tc>
          <w:tcPr>
            <w:tcW w:w="70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45FFFB25">
            <w:pPr>
              <w:pStyle w:val="3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center"/>
              <w:rPr>
                <w:rFonts w:hint="eastAsia" w:ascii="宋体" w:hAnsi="宋体" w:eastAsia="宋体" w:cs="宋体"/>
                <w:color w:val="auto"/>
                <w:sz w:val="21"/>
                <w:szCs w:val="21"/>
                <w:highlight w:val="none"/>
              </w:rPr>
            </w:pPr>
            <w:r>
              <w:rPr>
                <w:rFonts w:hint="eastAsia" w:ascii="宋体" w:hAnsi="宋体" w:eastAsia="宋体" w:cs="宋体"/>
                <w:b w:val="0"/>
                <w:i w:val="0"/>
                <w:caps w:val="0"/>
                <w:color w:val="auto"/>
                <w:spacing w:val="8"/>
                <w:sz w:val="21"/>
                <w:szCs w:val="21"/>
                <w:highlight w:val="none"/>
              </w:rPr>
              <w:t>万元</w:t>
            </w:r>
          </w:p>
        </w:tc>
        <w:tc>
          <w:tcPr>
            <w:tcW w:w="112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2B21023D">
            <w:pPr>
              <w:pStyle w:val="3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center"/>
              <w:rPr>
                <w:rFonts w:hint="eastAsia" w:ascii="宋体" w:hAnsi="宋体" w:eastAsia="宋体" w:cs="宋体"/>
                <w:color w:val="auto"/>
                <w:sz w:val="21"/>
                <w:szCs w:val="21"/>
                <w:highlight w:val="none"/>
              </w:rPr>
            </w:pPr>
            <w:r>
              <w:rPr>
                <w:rFonts w:hint="eastAsia" w:ascii="宋体" w:hAnsi="宋体" w:eastAsia="宋体" w:cs="宋体"/>
                <w:b w:val="0"/>
                <w:i w:val="0"/>
                <w:caps w:val="0"/>
                <w:color w:val="auto"/>
                <w:spacing w:val="8"/>
                <w:sz w:val="21"/>
                <w:szCs w:val="21"/>
                <w:highlight w:val="none"/>
              </w:rPr>
              <w:t>Y≥5000</w:t>
            </w:r>
          </w:p>
        </w:tc>
        <w:tc>
          <w:tcPr>
            <w:tcW w:w="169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0D8E6883">
            <w:pPr>
              <w:pStyle w:val="3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center"/>
              <w:rPr>
                <w:rFonts w:hint="eastAsia" w:ascii="宋体" w:hAnsi="宋体" w:eastAsia="宋体" w:cs="宋体"/>
                <w:color w:val="auto"/>
                <w:sz w:val="21"/>
                <w:szCs w:val="21"/>
                <w:highlight w:val="none"/>
              </w:rPr>
            </w:pPr>
            <w:r>
              <w:rPr>
                <w:rFonts w:hint="eastAsia" w:ascii="宋体" w:hAnsi="宋体" w:eastAsia="宋体" w:cs="宋体"/>
                <w:b w:val="0"/>
                <w:i w:val="0"/>
                <w:caps w:val="0"/>
                <w:color w:val="auto"/>
                <w:spacing w:val="8"/>
                <w:sz w:val="21"/>
                <w:szCs w:val="21"/>
                <w:highlight w:val="none"/>
              </w:rPr>
              <w:t>1000≤Y＜5000</w:t>
            </w:r>
          </w:p>
        </w:tc>
        <w:tc>
          <w:tcPr>
            <w:tcW w:w="142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339D7EE6">
            <w:pPr>
              <w:pStyle w:val="3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center"/>
              <w:rPr>
                <w:rFonts w:hint="eastAsia" w:ascii="宋体" w:hAnsi="宋体" w:eastAsia="宋体" w:cs="宋体"/>
                <w:color w:val="auto"/>
                <w:sz w:val="21"/>
                <w:szCs w:val="21"/>
                <w:highlight w:val="none"/>
              </w:rPr>
            </w:pPr>
            <w:r>
              <w:rPr>
                <w:rFonts w:hint="eastAsia" w:ascii="宋体" w:hAnsi="宋体" w:eastAsia="宋体" w:cs="宋体"/>
                <w:b w:val="0"/>
                <w:i w:val="0"/>
                <w:caps w:val="0"/>
                <w:color w:val="auto"/>
                <w:spacing w:val="8"/>
                <w:sz w:val="21"/>
                <w:szCs w:val="21"/>
                <w:highlight w:val="none"/>
              </w:rPr>
              <w:t> 500≤Y＜1000</w:t>
            </w:r>
          </w:p>
        </w:tc>
        <w:tc>
          <w:tcPr>
            <w:tcW w:w="990"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0FEAA47B">
            <w:pPr>
              <w:pStyle w:val="3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center"/>
              <w:rPr>
                <w:rFonts w:hint="eastAsia" w:ascii="宋体" w:hAnsi="宋体" w:eastAsia="宋体" w:cs="宋体"/>
                <w:color w:val="auto"/>
                <w:sz w:val="21"/>
                <w:szCs w:val="21"/>
                <w:highlight w:val="none"/>
              </w:rPr>
            </w:pPr>
            <w:r>
              <w:rPr>
                <w:rFonts w:hint="eastAsia" w:ascii="宋体" w:hAnsi="宋体" w:eastAsia="宋体" w:cs="宋体"/>
                <w:b w:val="0"/>
                <w:i w:val="0"/>
                <w:caps w:val="0"/>
                <w:color w:val="auto"/>
                <w:spacing w:val="8"/>
                <w:sz w:val="21"/>
                <w:szCs w:val="21"/>
                <w:highlight w:val="none"/>
              </w:rPr>
              <w:t>Y＜500</w:t>
            </w:r>
          </w:p>
        </w:tc>
      </w:tr>
      <w:tr w14:paraId="7BB099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5" w:hRule="atLeast"/>
          <w:jc w:val="center"/>
        </w:trPr>
        <w:tc>
          <w:tcPr>
            <w:tcW w:w="2115" w:type="dxa"/>
            <w:vMerge w:val="restart"/>
            <w:tcBorders>
              <w:top w:val="nil"/>
              <w:left w:val="single" w:color="4F81BD" w:sz="6" w:space="0"/>
              <w:bottom w:val="single" w:color="4F81BD" w:sz="6" w:space="0"/>
              <w:right w:val="single" w:color="4F81BD" w:sz="6" w:space="0"/>
            </w:tcBorders>
            <w:shd w:val="clear" w:color="auto" w:fill="FFFFFF"/>
            <w:noWrap w:val="0"/>
            <w:tcMar>
              <w:left w:w="105" w:type="dxa"/>
              <w:right w:w="105" w:type="dxa"/>
            </w:tcMar>
            <w:vAlign w:val="center"/>
          </w:tcPr>
          <w:p w14:paraId="46FBFD26">
            <w:pPr>
              <w:pStyle w:val="3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both"/>
              <w:rPr>
                <w:rFonts w:hint="eastAsia" w:ascii="宋体" w:hAnsi="宋体" w:eastAsia="宋体" w:cs="宋体"/>
                <w:color w:val="auto"/>
                <w:sz w:val="21"/>
                <w:szCs w:val="21"/>
                <w:highlight w:val="none"/>
              </w:rPr>
            </w:pPr>
            <w:r>
              <w:rPr>
                <w:rFonts w:hint="eastAsia" w:ascii="宋体" w:hAnsi="宋体" w:eastAsia="宋体" w:cs="宋体"/>
                <w:b w:val="0"/>
                <w:i w:val="0"/>
                <w:caps w:val="0"/>
                <w:color w:val="auto"/>
                <w:spacing w:val="8"/>
                <w:sz w:val="21"/>
                <w:szCs w:val="21"/>
                <w:highlight w:val="none"/>
              </w:rPr>
              <w:t>租赁和商务服务业</w:t>
            </w:r>
          </w:p>
        </w:tc>
        <w:tc>
          <w:tcPr>
            <w:tcW w:w="136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5812C017">
            <w:pPr>
              <w:pStyle w:val="3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center"/>
              <w:rPr>
                <w:rFonts w:hint="eastAsia" w:ascii="宋体" w:hAnsi="宋体" w:eastAsia="宋体" w:cs="宋体"/>
                <w:color w:val="auto"/>
                <w:sz w:val="21"/>
                <w:szCs w:val="21"/>
                <w:highlight w:val="none"/>
              </w:rPr>
            </w:pPr>
            <w:r>
              <w:rPr>
                <w:rFonts w:hint="eastAsia" w:ascii="宋体" w:hAnsi="宋体" w:eastAsia="宋体" w:cs="宋体"/>
                <w:b w:val="0"/>
                <w:i w:val="0"/>
                <w:caps w:val="0"/>
                <w:color w:val="auto"/>
                <w:spacing w:val="8"/>
                <w:sz w:val="21"/>
                <w:szCs w:val="21"/>
                <w:highlight w:val="none"/>
              </w:rPr>
              <w:t>从业人员</w:t>
            </w:r>
            <w:r>
              <w:rPr>
                <w:rFonts w:hint="eastAsia" w:ascii="宋体" w:hAnsi="宋体" w:eastAsia="宋体" w:cs="宋体"/>
                <w:b w:val="0"/>
                <w:i w:val="0"/>
                <w:caps w:val="0"/>
                <w:color w:val="auto"/>
                <w:spacing w:val="8"/>
                <w:sz w:val="21"/>
                <w:szCs w:val="21"/>
                <w:highlight w:val="none"/>
                <w:lang w:eastAsia="zh-CN"/>
              </w:rPr>
              <w:t>（</w:t>
            </w:r>
            <w:r>
              <w:rPr>
                <w:rFonts w:hint="eastAsia" w:ascii="宋体" w:hAnsi="宋体" w:eastAsia="宋体" w:cs="宋体"/>
                <w:b w:val="0"/>
                <w:i w:val="0"/>
                <w:caps w:val="0"/>
                <w:color w:val="auto"/>
                <w:spacing w:val="8"/>
                <w:sz w:val="21"/>
                <w:szCs w:val="21"/>
                <w:highlight w:val="none"/>
              </w:rPr>
              <w:t>X</w:t>
            </w:r>
            <w:r>
              <w:rPr>
                <w:rFonts w:hint="eastAsia" w:ascii="宋体" w:hAnsi="宋体" w:eastAsia="宋体" w:cs="宋体"/>
                <w:b w:val="0"/>
                <w:i w:val="0"/>
                <w:caps w:val="0"/>
                <w:color w:val="auto"/>
                <w:spacing w:val="8"/>
                <w:sz w:val="21"/>
                <w:szCs w:val="21"/>
                <w:highlight w:val="none"/>
                <w:lang w:eastAsia="zh-CN"/>
              </w:rPr>
              <w:t>）</w:t>
            </w:r>
          </w:p>
        </w:tc>
        <w:tc>
          <w:tcPr>
            <w:tcW w:w="70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0645D954">
            <w:pPr>
              <w:pStyle w:val="3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center"/>
              <w:rPr>
                <w:rFonts w:hint="eastAsia" w:ascii="宋体" w:hAnsi="宋体" w:eastAsia="宋体" w:cs="宋体"/>
                <w:color w:val="auto"/>
                <w:sz w:val="21"/>
                <w:szCs w:val="21"/>
                <w:highlight w:val="none"/>
              </w:rPr>
            </w:pPr>
            <w:r>
              <w:rPr>
                <w:rFonts w:hint="eastAsia" w:ascii="宋体" w:hAnsi="宋体" w:eastAsia="宋体" w:cs="宋体"/>
                <w:b w:val="0"/>
                <w:i w:val="0"/>
                <w:caps w:val="0"/>
                <w:color w:val="auto"/>
                <w:spacing w:val="8"/>
                <w:sz w:val="21"/>
                <w:szCs w:val="21"/>
                <w:highlight w:val="none"/>
              </w:rPr>
              <w:t>人</w:t>
            </w:r>
          </w:p>
        </w:tc>
        <w:tc>
          <w:tcPr>
            <w:tcW w:w="112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5BBC7A32">
            <w:pPr>
              <w:pStyle w:val="3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center"/>
              <w:rPr>
                <w:rFonts w:hint="eastAsia" w:ascii="宋体" w:hAnsi="宋体" w:eastAsia="宋体" w:cs="宋体"/>
                <w:color w:val="auto"/>
                <w:sz w:val="21"/>
                <w:szCs w:val="21"/>
                <w:highlight w:val="none"/>
              </w:rPr>
            </w:pPr>
            <w:r>
              <w:rPr>
                <w:rFonts w:hint="eastAsia" w:ascii="宋体" w:hAnsi="宋体" w:eastAsia="宋体" w:cs="宋体"/>
                <w:b w:val="0"/>
                <w:i w:val="0"/>
                <w:caps w:val="0"/>
                <w:color w:val="auto"/>
                <w:spacing w:val="8"/>
                <w:sz w:val="21"/>
                <w:szCs w:val="21"/>
                <w:highlight w:val="none"/>
              </w:rPr>
              <w:t>X≥300</w:t>
            </w:r>
          </w:p>
        </w:tc>
        <w:tc>
          <w:tcPr>
            <w:tcW w:w="169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6F316810">
            <w:pPr>
              <w:pStyle w:val="3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center"/>
              <w:rPr>
                <w:rFonts w:hint="eastAsia" w:ascii="宋体" w:hAnsi="宋体" w:eastAsia="宋体" w:cs="宋体"/>
                <w:color w:val="auto"/>
                <w:sz w:val="21"/>
                <w:szCs w:val="21"/>
                <w:highlight w:val="none"/>
              </w:rPr>
            </w:pPr>
            <w:r>
              <w:rPr>
                <w:rFonts w:hint="eastAsia" w:ascii="宋体" w:hAnsi="宋体" w:eastAsia="宋体" w:cs="宋体"/>
                <w:b w:val="0"/>
                <w:i w:val="0"/>
                <w:caps w:val="0"/>
                <w:color w:val="auto"/>
                <w:spacing w:val="8"/>
                <w:sz w:val="21"/>
                <w:szCs w:val="21"/>
                <w:highlight w:val="none"/>
              </w:rPr>
              <w:t>100≤X＜300</w:t>
            </w:r>
          </w:p>
        </w:tc>
        <w:tc>
          <w:tcPr>
            <w:tcW w:w="142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5B2B2EED">
            <w:pPr>
              <w:pStyle w:val="3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center"/>
              <w:rPr>
                <w:rFonts w:hint="eastAsia" w:ascii="宋体" w:hAnsi="宋体" w:eastAsia="宋体" w:cs="宋体"/>
                <w:color w:val="auto"/>
                <w:sz w:val="21"/>
                <w:szCs w:val="21"/>
                <w:highlight w:val="none"/>
              </w:rPr>
            </w:pPr>
            <w:r>
              <w:rPr>
                <w:rFonts w:hint="eastAsia" w:ascii="宋体" w:hAnsi="宋体" w:eastAsia="宋体" w:cs="宋体"/>
                <w:b w:val="0"/>
                <w:i w:val="0"/>
                <w:caps w:val="0"/>
                <w:color w:val="auto"/>
                <w:spacing w:val="8"/>
                <w:sz w:val="21"/>
                <w:szCs w:val="21"/>
                <w:highlight w:val="none"/>
              </w:rPr>
              <w:t> 10≤X＜100</w:t>
            </w:r>
          </w:p>
        </w:tc>
        <w:tc>
          <w:tcPr>
            <w:tcW w:w="990"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39E90921">
            <w:pPr>
              <w:pStyle w:val="3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center"/>
              <w:rPr>
                <w:rFonts w:hint="eastAsia" w:ascii="宋体" w:hAnsi="宋体" w:eastAsia="宋体" w:cs="宋体"/>
                <w:color w:val="auto"/>
                <w:sz w:val="21"/>
                <w:szCs w:val="21"/>
                <w:highlight w:val="none"/>
              </w:rPr>
            </w:pPr>
            <w:r>
              <w:rPr>
                <w:rFonts w:hint="eastAsia" w:ascii="宋体" w:hAnsi="宋体" w:eastAsia="宋体" w:cs="宋体"/>
                <w:b w:val="0"/>
                <w:i w:val="0"/>
                <w:caps w:val="0"/>
                <w:color w:val="auto"/>
                <w:spacing w:val="8"/>
                <w:sz w:val="21"/>
                <w:szCs w:val="21"/>
                <w:highlight w:val="none"/>
              </w:rPr>
              <w:t>X＜10</w:t>
            </w:r>
          </w:p>
        </w:tc>
      </w:tr>
      <w:tr w14:paraId="3DAC20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5" w:hRule="atLeast"/>
          <w:jc w:val="center"/>
        </w:trPr>
        <w:tc>
          <w:tcPr>
            <w:tcW w:w="2115" w:type="dxa"/>
            <w:vMerge w:val="continue"/>
            <w:tcBorders>
              <w:top w:val="nil"/>
              <w:left w:val="single" w:color="4F81BD" w:sz="6" w:space="0"/>
              <w:bottom w:val="single" w:color="4F81BD" w:sz="6" w:space="0"/>
              <w:right w:val="single" w:color="4F81BD" w:sz="6" w:space="0"/>
            </w:tcBorders>
            <w:shd w:val="clear" w:color="auto" w:fill="FFFFFF"/>
            <w:noWrap w:val="0"/>
            <w:tcMar>
              <w:left w:w="105" w:type="dxa"/>
              <w:right w:w="105" w:type="dxa"/>
            </w:tcMar>
            <w:vAlign w:val="center"/>
          </w:tcPr>
          <w:p w14:paraId="66372C7E">
            <w:pPr>
              <w:pageBreakBefore w:val="0"/>
              <w:kinsoku/>
              <w:overflowPunct/>
              <w:bidi w:val="0"/>
              <w:spacing w:line="360" w:lineRule="auto"/>
              <w:jc w:val="both"/>
              <w:rPr>
                <w:rFonts w:hint="eastAsia" w:ascii="宋体" w:hAnsi="宋体" w:eastAsia="宋体" w:cs="宋体"/>
                <w:b w:val="0"/>
                <w:i w:val="0"/>
                <w:caps w:val="0"/>
                <w:color w:val="auto"/>
                <w:spacing w:val="8"/>
                <w:sz w:val="21"/>
                <w:szCs w:val="21"/>
                <w:highlight w:val="none"/>
              </w:rPr>
            </w:pPr>
          </w:p>
        </w:tc>
        <w:tc>
          <w:tcPr>
            <w:tcW w:w="136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3E19227F">
            <w:pPr>
              <w:pStyle w:val="3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center"/>
              <w:rPr>
                <w:rFonts w:hint="eastAsia" w:ascii="宋体" w:hAnsi="宋体" w:eastAsia="宋体" w:cs="宋体"/>
                <w:color w:val="auto"/>
                <w:sz w:val="21"/>
                <w:szCs w:val="21"/>
                <w:highlight w:val="none"/>
              </w:rPr>
            </w:pPr>
            <w:r>
              <w:rPr>
                <w:rFonts w:hint="eastAsia" w:ascii="宋体" w:hAnsi="宋体" w:eastAsia="宋体" w:cs="宋体"/>
                <w:b w:val="0"/>
                <w:i w:val="0"/>
                <w:caps w:val="0"/>
                <w:color w:val="auto"/>
                <w:spacing w:val="8"/>
                <w:sz w:val="21"/>
                <w:szCs w:val="21"/>
                <w:highlight w:val="none"/>
              </w:rPr>
              <w:t>资产总额</w:t>
            </w:r>
            <w:r>
              <w:rPr>
                <w:rFonts w:hint="eastAsia" w:ascii="宋体" w:hAnsi="宋体" w:eastAsia="宋体" w:cs="宋体"/>
                <w:b w:val="0"/>
                <w:i w:val="0"/>
                <w:caps w:val="0"/>
                <w:color w:val="auto"/>
                <w:spacing w:val="8"/>
                <w:sz w:val="21"/>
                <w:szCs w:val="21"/>
                <w:highlight w:val="none"/>
                <w:lang w:eastAsia="zh-CN"/>
              </w:rPr>
              <w:t>（</w:t>
            </w:r>
            <w:r>
              <w:rPr>
                <w:rFonts w:hint="eastAsia" w:ascii="宋体" w:hAnsi="宋体" w:eastAsia="宋体" w:cs="宋体"/>
                <w:b w:val="0"/>
                <w:i w:val="0"/>
                <w:caps w:val="0"/>
                <w:color w:val="auto"/>
                <w:spacing w:val="8"/>
                <w:sz w:val="21"/>
                <w:szCs w:val="21"/>
                <w:highlight w:val="none"/>
              </w:rPr>
              <w:t>Z</w:t>
            </w:r>
            <w:r>
              <w:rPr>
                <w:rFonts w:hint="eastAsia" w:ascii="宋体" w:hAnsi="宋体" w:eastAsia="宋体" w:cs="宋体"/>
                <w:b w:val="0"/>
                <w:i w:val="0"/>
                <w:caps w:val="0"/>
                <w:color w:val="auto"/>
                <w:spacing w:val="8"/>
                <w:sz w:val="21"/>
                <w:szCs w:val="21"/>
                <w:highlight w:val="none"/>
                <w:lang w:eastAsia="zh-CN"/>
              </w:rPr>
              <w:t>）</w:t>
            </w:r>
          </w:p>
        </w:tc>
        <w:tc>
          <w:tcPr>
            <w:tcW w:w="70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11C056BF">
            <w:pPr>
              <w:pStyle w:val="3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center"/>
              <w:rPr>
                <w:rFonts w:hint="eastAsia" w:ascii="宋体" w:hAnsi="宋体" w:eastAsia="宋体" w:cs="宋体"/>
                <w:color w:val="auto"/>
                <w:sz w:val="21"/>
                <w:szCs w:val="21"/>
                <w:highlight w:val="none"/>
              </w:rPr>
            </w:pPr>
            <w:r>
              <w:rPr>
                <w:rFonts w:hint="eastAsia" w:ascii="宋体" w:hAnsi="宋体" w:eastAsia="宋体" w:cs="宋体"/>
                <w:b w:val="0"/>
                <w:i w:val="0"/>
                <w:caps w:val="0"/>
                <w:color w:val="auto"/>
                <w:spacing w:val="8"/>
                <w:sz w:val="21"/>
                <w:szCs w:val="21"/>
                <w:highlight w:val="none"/>
              </w:rPr>
              <w:t>万元</w:t>
            </w:r>
          </w:p>
        </w:tc>
        <w:tc>
          <w:tcPr>
            <w:tcW w:w="112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37A3E792">
            <w:pPr>
              <w:pStyle w:val="3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center"/>
              <w:rPr>
                <w:rFonts w:hint="eastAsia" w:ascii="宋体" w:hAnsi="宋体" w:eastAsia="宋体" w:cs="宋体"/>
                <w:color w:val="auto"/>
                <w:sz w:val="21"/>
                <w:szCs w:val="21"/>
                <w:highlight w:val="none"/>
              </w:rPr>
            </w:pPr>
            <w:r>
              <w:rPr>
                <w:rFonts w:hint="eastAsia" w:ascii="宋体" w:hAnsi="宋体" w:eastAsia="宋体" w:cs="宋体"/>
                <w:b w:val="0"/>
                <w:i w:val="0"/>
                <w:caps w:val="0"/>
                <w:color w:val="auto"/>
                <w:spacing w:val="8"/>
                <w:sz w:val="21"/>
                <w:szCs w:val="21"/>
                <w:highlight w:val="none"/>
              </w:rPr>
              <w:t>Z≥120000</w:t>
            </w:r>
          </w:p>
        </w:tc>
        <w:tc>
          <w:tcPr>
            <w:tcW w:w="169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4B379D6C">
            <w:pPr>
              <w:pStyle w:val="3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center"/>
              <w:rPr>
                <w:rFonts w:hint="eastAsia" w:ascii="宋体" w:hAnsi="宋体" w:eastAsia="宋体" w:cs="宋体"/>
                <w:color w:val="auto"/>
                <w:sz w:val="21"/>
                <w:szCs w:val="21"/>
                <w:highlight w:val="none"/>
              </w:rPr>
            </w:pPr>
            <w:r>
              <w:rPr>
                <w:rFonts w:hint="eastAsia" w:ascii="宋体" w:hAnsi="宋体" w:eastAsia="宋体" w:cs="宋体"/>
                <w:b w:val="0"/>
                <w:i w:val="0"/>
                <w:caps w:val="0"/>
                <w:color w:val="auto"/>
                <w:spacing w:val="8"/>
                <w:sz w:val="21"/>
                <w:szCs w:val="21"/>
                <w:highlight w:val="none"/>
              </w:rPr>
              <w:t> 8000≤Z＜120000</w:t>
            </w:r>
          </w:p>
        </w:tc>
        <w:tc>
          <w:tcPr>
            <w:tcW w:w="142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6915E7EC">
            <w:pPr>
              <w:pStyle w:val="3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center"/>
              <w:rPr>
                <w:rFonts w:hint="eastAsia" w:ascii="宋体" w:hAnsi="宋体" w:eastAsia="宋体" w:cs="宋体"/>
                <w:color w:val="auto"/>
                <w:sz w:val="21"/>
                <w:szCs w:val="21"/>
                <w:highlight w:val="none"/>
              </w:rPr>
            </w:pPr>
            <w:r>
              <w:rPr>
                <w:rFonts w:hint="eastAsia" w:ascii="宋体" w:hAnsi="宋体" w:eastAsia="宋体" w:cs="宋体"/>
                <w:b w:val="0"/>
                <w:i w:val="0"/>
                <w:caps w:val="0"/>
                <w:color w:val="auto"/>
                <w:spacing w:val="8"/>
                <w:sz w:val="21"/>
                <w:szCs w:val="21"/>
                <w:highlight w:val="none"/>
              </w:rPr>
              <w:t> 100≤Z＜8000</w:t>
            </w:r>
          </w:p>
        </w:tc>
        <w:tc>
          <w:tcPr>
            <w:tcW w:w="990"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676596FA">
            <w:pPr>
              <w:pStyle w:val="3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center"/>
              <w:rPr>
                <w:rFonts w:hint="eastAsia" w:ascii="宋体" w:hAnsi="宋体" w:eastAsia="宋体" w:cs="宋体"/>
                <w:color w:val="auto"/>
                <w:sz w:val="21"/>
                <w:szCs w:val="21"/>
                <w:highlight w:val="none"/>
              </w:rPr>
            </w:pPr>
            <w:r>
              <w:rPr>
                <w:rFonts w:hint="eastAsia" w:ascii="宋体" w:hAnsi="宋体" w:eastAsia="宋体" w:cs="宋体"/>
                <w:b w:val="0"/>
                <w:i w:val="0"/>
                <w:caps w:val="0"/>
                <w:color w:val="auto"/>
                <w:spacing w:val="8"/>
                <w:sz w:val="21"/>
                <w:szCs w:val="21"/>
                <w:highlight w:val="none"/>
              </w:rPr>
              <w:t>Z＜100</w:t>
            </w:r>
          </w:p>
        </w:tc>
      </w:tr>
      <w:tr w14:paraId="722F08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90" w:hRule="atLeast"/>
          <w:jc w:val="center"/>
        </w:trPr>
        <w:tc>
          <w:tcPr>
            <w:tcW w:w="2115" w:type="dxa"/>
            <w:tcBorders>
              <w:top w:val="nil"/>
              <w:left w:val="single" w:color="4F81BD" w:sz="6" w:space="0"/>
              <w:bottom w:val="single" w:color="4F81BD" w:sz="6" w:space="0"/>
              <w:right w:val="single" w:color="4F81BD" w:sz="6" w:space="0"/>
            </w:tcBorders>
            <w:shd w:val="clear" w:color="auto" w:fill="FFFFFF"/>
            <w:noWrap w:val="0"/>
            <w:tcMar>
              <w:left w:w="105" w:type="dxa"/>
              <w:right w:w="105" w:type="dxa"/>
            </w:tcMar>
            <w:vAlign w:val="center"/>
          </w:tcPr>
          <w:p w14:paraId="4DB795B2">
            <w:pPr>
              <w:pStyle w:val="3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both"/>
              <w:rPr>
                <w:rFonts w:hint="eastAsia" w:ascii="宋体" w:hAnsi="宋体" w:eastAsia="宋体" w:cs="宋体"/>
                <w:color w:val="auto"/>
                <w:sz w:val="21"/>
                <w:szCs w:val="21"/>
                <w:highlight w:val="none"/>
              </w:rPr>
            </w:pPr>
            <w:r>
              <w:rPr>
                <w:rFonts w:hint="eastAsia" w:ascii="宋体" w:hAnsi="宋体" w:eastAsia="宋体" w:cs="宋体"/>
                <w:b w:val="0"/>
                <w:i w:val="0"/>
                <w:caps w:val="0"/>
                <w:color w:val="auto"/>
                <w:spacing w:val="8"/>
                <w:sz w:val="21"/>
                <w:szCs w:val="21"/>
                <w:highlight w:val="none"/>
              </w:rPr>
              <w:t>其他未列明行业 *</w:t>
            </w:r>
          </w:p>
        </w:tc>
        <w:tc>
          <w:tcPr>
            <w:tcW w:w="136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0F27DF7E">
            <w:pPr>
              <w:pStyle w:val="3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center"/>
              <w:rPr>
                <w:rFonts w:hint="eastAsia" w:ascii="宋体" w:hAnsi="宋体" w:eastAsia="宋体" w:cs="宋体"/>
                <w:color w:val="auto"/>
                <w:sz w:val="21"/>
                <w:szCs w:val="21"/>
                <w:highlight w:val="none"/>
              </w:rPr>
            </w:pPr>
            <w:r>
              <w:rPr>
                <w:rFonts w:hint="eastAsia" w:ascii="宋体" w:hAnsi="宋体" w:eastAsia="宋体" w:cs="宋体"/>
                <w:b w:val="0"/>
                <w:i w:val="0"/>
                <w:caps w:val="0"/>
                <w:color w:val="auto"/>
                <w:spacing w:val="8"/>
                <w:sz w:val="21"/>
                <w:szCs w:val="21"/>
                <w:highlight w:val="none"/>
              </w:rPr>
              <w:t>从业人员</w:t>
            </w:r>
            <w:r>
              <w:rPr>
                <w:rFonts w:hint="eastAsia" w:ascii="宋体" w:hAnsi="宋体" w:eastAsia="宋体" w:cs="宋体"/>
                <w:b w:val="0"/>
                <w:i w:val="0"/>
                <w:caps w:val="0"/>
                <w:color w:val="auto"/>
                <w:spacing w:val="8"/>
                <w:sz w:val="21"/>
                <w:szCs w:val="21"/>
                <w:highlight w:val="none"/>
                <w:lang w:eastAsia="zh-CN"/>
              </w:rPr>
              <w:t>（</w:t>
            </w:r>
            <w:r>
              <w:rPr>
                <w:rFonts w:hint="eastAsia" w:ascii="宋体" w:hAnsi="宋体" w:eastAsia="宋体" w:cs="宋体"/>
                <w:b w:val="0"/>
                <w:i w:val="0"/>
                <w:caps w:val="0"/>
                <w:color w:val="auto"/>
                <w:spacing w:val="8"/>
                <w:sz w:val="21"/>
                <w:szCs w:val="21"/>
                <w:highlight w:val="none"/>
              </w:rPr>
              <w:t>X</w:t>
            </w:r>
            <w:r>
              <w:rPr>
                <w:rFonts w:hint="eastAsia" w:ascii="宋体" w:hAnsi="宋体" w:eastAsia="宋体" w:cs="宋体"/>
                <w:b w:val="0"/>
                <w:i w:val="0"/>
                <w:caps w:val="0"/>
                <w:color w:val="auto"/>
                <w:spacing w:val="8"/>
                <w:sz w:val="21"/>
                <w:szCs w:val="21"/>
                <w:highlight w:val="none"/>
                <w:lang w:eastAsia="zh-CN"/>
              </w:rPr>
              <w:t>）</w:t>
            </w:r>
          </w:p>
        </w:tc>
        <w:tc>
          <w:tcPr>
            <w:tcW w:w="70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52F94D51">
            <w:pPr>
              <w:pStyle w:val="3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center"/>
              <w:rPr>
                <w:rFonts w:hint="eastAsia" w:ascii="宋体" w:hAnsi="宋体" w:eastAsia="宋体" w:cs="宋体"/>
                <w:color w:val="auto"/>
                <w:sz w:val="21"/>
                <w:szCs w:val="21"/>
                <w:highlight w:val="none"/>
              </w:rPr>
            </w:pPr>
            <w:r>
              <w:rPr>
                <w:rFonts w:hint="eastAsia" w:ascii="宋体" w:hAnsi="宋体" w:eastAsia="宋体" w:cs="宋体"/>
                <w:b w:val="0"/>
                <w:i w:val="0"/>
                <w:caps w:val="0"/>
                <w:color w:val="auto"/>
                <w:spacing w:val="8"/>
                <w:sz w:val="21"/>
                <w:szCs w:val="21"/>
                <w:highlight w:val="none"/>
              </w:rPr>
              <w:t>人</w:t>
            </w:r>
          </w:p>
        </w:tc>
        <w:tc>
          <w:tcPr>
            <w:tcW w:w="112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40284359">
            <w:pPr>
              <w:pStyle w:val="3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center"/>
              <w:rPr>
                <w:rFonts w:hint="eastAsia" w:ascii="宋体" w:hAnsi="宋体" w:eastAsia="宋体" w:cs="宋体"/>
                <w:color w:val="auto"/>
                <w:sz w:val="21"/>
                <w:szCs w:val="21"/>
                <w:highlight w:val="none"/>
              </w:rPr>
            </w:pPr>
            <w:r>
              <w:rPr>
                <w:rFonts w:hint="eastAsia" w:ascii="宋体" w:hAnsi="宋体" w:eastAsia="宋体" w:cs="宋体"/>
                <w:b w:val="0"/>
                <w:i w:val="0"/>
                <w:caps w:val="0"/>
                <w:color w:val="auto"/>
                <w:spacing w:val="8"/>
                <w:sz w:val="21"/>
                <w:szCs w:val="21"/>
                <w:highlight w:val="none"/>
              </w:rPr>
              <w:t>X≥300</w:t>
            </w:r>
          </w:p>
        </w:tc>
        <w:tc>
          <w:tcPr>
            <w:tcW w:w="169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56ED32CB">
            <w:pPr>
              <w:pStyle w:val="3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center"/>
              <w:rPr>
                <w:rFonts w:hint="eastAsia" w:ascii="宋体" w:hAnsi="宋体" w:eastAsia="宋体" w:cs="宋体"/>
                <w:color w:val="auto"/>
                <w:sz w:val="21"/>
                <w:szCs w:val="21"/>
                <w:highlight w:val="none"/>
              </w:rPr>
            </w:pPr>
            <w:r>
              <w:rPr>
                <w:rFonts w:hint="eastAsia" w:ascii="宋体" w:hAnsi="宋体" w:eastAsia="宋体" w:cs="宋体"/>
                <w:b w:val="0"/>
                <w:i w:val="0"/>
                <w:caps w:val="0"/>
                <w:color w:val="auto"/>
                <w:spacing w:val="8"/>
                <w:sz w:val="21"/>
                <w:szCs w:val="21"/>
                <w:highlight w:val="none"/>
              </w:rPr>
              <w:t>100≤X＜300</w:t>
            </w:r>
          </w:p>
        </w:tc>
        <w:tc>
          <w:tcPr>
            <w:tcW w:w="142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185F5071">
            <w:pPr>
              <w:pStyle w:val="3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center"/>
              <w:rPr>
                <w:rFonts w:hint="eastAsia" w:ascii="宋体" w:hAnsi="宋体" w:eastAsia="宋体" w:cs="宋体"/>
                <w:color w:val="auto"/>
                <w:sz w:val="21"/>
                <w:szCs w:val="21"/>
                <w:highlight w:val="none"/>
              </w:rPr>
            </w:pPr>
            <w:r>
              <w:rPr>
                <w:rFonts w:hint="eastAsia" w:ascii="宋体" w:hAnsi="宋体" w:eastAsia="宋体" w:cs="宋体"/>
                <w:b w:val="0"/>
                <w:i w:val="0"/>
                <w:caps w:val="0"/>
                <w:color w:val="auto"/>
                <w:spacing w:val="8"/>
                <w:sz w:val="21"/>
                <w:szCs w:val="21"/>
                <w:highlight w:val="none"/>
              </w:rPr>
              <w:t> 10≤X＜100</w:t>
            </w:r>
          </w:p>
        </w:tc>
        <w:tc>
          <w:tcPr>
            <w:tcW w:w="990"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5F54939A">
            <w:pPr>
              <w:pStyle w:val="3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center"/>
              <w:rPr>
                <w:rFonts w:hint="eastAsia" w:ascii="宋体" w:hAnsi="宋体" w:eastAsia="宋体" w:cs="宋体"/>
                <w:color w:val="auto"/>
                <w:sz w:val="21"/>
                <w:szCs w:val="21"/>
                <w:highlight w:val="none"/>
              </w:rPr>
            </w:pPr>
            <w:r>
              <w:rPr>
                <w:rFonts w:hint="eastAsia" w:ascii="宋体" w:hAnsi="宋体" w:eastAsia="宋体" w:cs="宋体"/>
                <w:b w:val="0"/>
                <w:i w:val="0"/>
                <w:caps w:val="0"/>
                <w:color w:val="auto"/>
                <w:spacing w:val="8"/>
                <w:sz w:val="21"/>
                <w:szCs w:val="21"/>
                <w:highlight w:val="none"/>
              </w:rPr>
              <w:t>X＜10</w:t>
            </w:r>
          </w:p>
        </w:tc>
      </w:tr>
    </w:tbl>
    <w:p w14:paraId="1025693C">
      <w:pPr>
        <w:pageBreakBefore w:val="0"/>
        <w:kinsoku/>
        <w:overflowPunct/>
        <w:bidi w:val="0"/>
        <w:spacing w:line="360" w:lineRule="auto"/>
        <w:rPr>
          <w:rFonts w:hint="eastAsia" w:ascii="宋体" w:hAnsi="宋体" w:eastAsia="宋体" w:cs="宋体"/>
          <w:color w:val="auto"/>
          <w:spacing w:val="15"/>
          <w:sz w:val="21"/>
          <w:szCs w:val="21"/>
          <w:highlight w:val="none"/>
        </w:rPr>
      </w:pPr>
    </w:p>
    <w:p w14:paraId="3C27B00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pacing w:val="15"/>
          <w:sz w:val="21"/>
          <w:szCs w:val="21"/>
          <w:highlight w:val="none"/>
        </w:rPr>
      </w:pPr>
      <w:r>
        <w:rPr>
          <w:rFonts w:hint="eastAsia" w:ascii="宋体" w:hAnsi="宋体" w:eastAsia="宋体" w:cs="宋体"/>
          <w:color w:val="auto"/>
          <w:spacing w:val="15"/>
          <w:sz w:val="21"/>
          <w:szCs w:val="21"/>
          <w:highlight w:val="none"/>
        </w:rPr>
        <w:t>说明：1</w:t>
      </w:r>
      <w:r>
        <w:rPr>
          <w:rFonts w:hint="eastAsia" w:ascii="宋体" w:hAnsi="宋体" w:eastAsia="宋体" w:cs="宋体"/>
          <w:b/>
          <w:bCs/>
          <w:color w:val="auto"/>
          <w:spacing w:val="15"/>
          <w:sz w:val="21"/>
          <w:szCs w:val="21"/>
          <w:highlight w:val="none"/>
        </w:rPr>
        <w:t>.大型、中型和小型企业须同时满足所列指标的下限，否则下划一档；微型企业只须满足所列指标中的一项即可。</w:t>
      </w:r>
    </w:p>
    <w:p w14:paraId="23E3476F">
      <w:pPr>
        <w:keepNext w:val="0"/>
        <w:keepLines w:val="0"/>
        <w:pageBreakBefore w:val="0"/>
        <w:widowControl w:val="0"/>
        <w:numPr>
          <w:ilvl w:val="0"/>
          <w:numId w:val="17"/>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spacing w:val="15"/>
          <w:sz w:val="21"/>
          <w:szCs w:val="21"/>
          <w:highlight w:val="none"/>
        </w:rPr>
      </w:pPr>
      <w:r>
        <w:rPr>
          <w:rFonts w:hint="eastAsia" w:ascii="宋体" w:hAnsi="宋体" w:eastAsia="宋体" w:cs="宋体"/>
          <w:color w:val="auto"/>
          <w:spacing w:val="15"/>
          <w:sz w:val="21"/>
          <w:szCs w:val="21"/>
          <w:highlight w:val="none"/>
        </w:rPr>
        <w:t>附表中各行业的范围以《国民经济行业分类》（GB/T4754-2017）为准。</w:t>
      </w:r>
      <w:r>
        <w:rPr>
          <w:rFonts w:hint="eastAsia" w:ascii="宋体" w:hAnsi="宋体" w:eastAsia="宋体" w:cs="宋体"/>
          <w:b/>
          <w:bCs/>
          <w:color w:val="auto"/>
          <w:spacing w:val="15"/>
          <w:sz w:val="21"/>
          <w:szCs w:val="21"/>
          <w:highlight w:val="none"/>
        </w:rPr>
        <w:t>带*的项为行业组合类别</w:t>
      </w:r>
      <w:r>
        <w:rPr>
          <w:rFonts w:hint="eastAsia" w:ascii="宋体" w:hAnsi="宋体" w:eastAsia="宋体" w:cs="宋体"/>
          <w:color w:val="auto"/>
          <w:spacing w:val="15"/>
          <w:sz w:val="21"/>
          <w:szCs w:val="21"/>
          <w:highlight w:val="none"/>
        </w:rPr>
        <w:t>，其中，</w:t>
      </w:r>
      <w:r>
        <w:rPr>
          <w:rFonts w:hint="eastAsia" w:ascii="宋体" w:hAnsi="宋体" w:eastAsia="宋体" w:cs="宋体"/>
          <w:b w:val="0"/>
          <w:bCs w:val="0"/>
          <w:color w:val="auto"/>
          <w:spacing w:val="15"/>
          <w:sz w:val="21"/>
          <w:szCs w:val="21"/>
          <w:highlight w:val="none"/>
        </w:rPr>
        <w:t>工业包括采矿业，制造业，电力、热力、燃气及水生产和供应业；交通运输业包括道路运输业，水上运输业，航空运输业，管道运输业，多式联运和运输代理业、装卸搬运，不包括铁路运输业；仓储业包括通用仓储，低温仓储，危险品仓储，谷物、棉花等农产品仓储，中药材仓储和其他仓储业</w:t>
      </w:r>
      <w:r>
        <w:rPr>
          <w:rFonts w:hint="eastAsia" w:ascii="宋体" w:hAnsi="宋体" w:eastAsia="宋体" w:cs="宋体"/>
          <w:b w:val="0"/>
          <w:bCs w:val="0"/>
          <w:color w:val="auto"/>
          <w:spacing w:val="15"/>
          <w:sz w:val="21"/>
          <w:szCs w:val="21"/>
          <w:highlight w:val="none"/>
          <w:lang w:eastAsia="zh-CN"/>
        </w:rPr>
        <w:t>；</w:t>
      </w:r>
      <w:r>
        <w:rPr>
          <w:rFonts w:hint="eastAsia" w:ascii="宋体" w:hAnsi="宋体" w:eastAsia="宋体" w:cs="宋体"/>
          <w:b w:val="0"/>
          <w:bCs w:val="0"/>
          <w:color w:val="auto"/>
          <w:spacing w:val="15"/>
          <w:sz w:val="21"/>
          <w:szCs w:val="21"/>
          <w:highlight w:val="none"/>
        </w:rPr>
        <w:t>信息传输业包括电信、广播电视和卫星传输服务，互联网和相关服务；其他未列明行业包括科学研究和技术服务业，水利、环境和公共设施管理业，居民服务、修理和其他服务业，社会工作，文化、体育和娱乐业，以及房地产中介服务，其他房地产业等，不包括自有房地产经营活动。</w:t>
      </w:r>
    </w:p>
    <w:p w14:paraId="4FBFD26C">
      <w:pPr>
        <w:keepNext w:val="0"/>
        <w:keepLines w:val="0"/>
        <w:pageBreakBefore w:val="0"/>
        <w:widowControl w:val="0"/>
        <w:numPr>
          <w:ilvl w:val="0"/>
          <w:numId w:val="17"/>
        </w:numPr>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color w:val="auto"/>
          <w:spacing w:val="15"/>
          <w:sz w:val="21"/>
          <w:szCs w:val="21"/>
          <w:highlight w:val="none"/>
        </w:rPr>
      </w:pPr>
      <w:r>
        <w:rPr>
          <w:rFonts w:hint="eastAsia" w:ascii="宋体" w:hAnsi="宋体" w:eastAsia="宋体" w:cs="宋体"/>
          <w:color w:val="auto"/>
          <w:spacing w:val="15"/>
          <w:sz w:val="21"/>
          <w:szCs w:val="21"/>
          <w:highlight w:val="none"/>
        </w:rPr>
        <w:t>企业划分指标以现行统计制度为准。</w:t>
      </w:r>
    </w:p>
    <w:p w14:paraId="44E61A7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pacing w:val="15"/>
          <w:sz w:val="21"/>
          <w:szCs w:val="21"/>
          <w:highlight w:val="none"/>
        </w:rPr>
      </w:pPr>
      <w:r>
        <w:rPr>
          <w:rFonts w:hint="eastAsia" w:ascii="宋体" w:hAnsi="宋体" w:eastAsia="宋体" w:cs="宋体"/>
          <w:color w:val="auto"/>
          <w:spacing w:val="15"/>
          <w:sz w:val="21"/>
          <w:szCs w:val="21"/>
          <w:highlight w:val="none"/>
          <w:lang w:eastAsia="zh-CN"/>
        </w:rPr>
        <w:t>（</w:t>
      </w:r>
      <w:r>
        <w:rPr>
          <w:rFonts w:hint="eastAsia" w:ascii="宋体" w:hAnsi="宋体" w:eastAsia="宋体" w:cs="宋体"/>
          <w:color w:val="auto"/>
          <w:spacing w:val="15"/>
          <w:sz w:val="21"/>
          <w:szCs w:val="21"/>
          <w:highlight w:val="none"/>
          <w:lang w:val="en-US" w:eastAsia="zh-CN"/>
        </w:rPr>
        <w:t>1</w:t>
      </w:r>
      <w:r>
        <w:rPr>
          <w:rFonts w:hint="eastAsia" w:ascii="宋体" w:hAnsi="宋体" w:eastAsia="宋体" w:cs="宋体"/>
          <w:color w:val="auto"/>
          <w:spacing w:val="15"/>
          <w:sz w:val="21"/>
          <w:szCs w:val="21"/>
          <w:highlight w:val="none"/>
          <w:lang w:eastAsia="zh-CN"/>
        </w:rPr>
        <w:t>）</w:t>
      </w:r>
      <w:r>
        <w:rPr>
          <w:rFonts w:hint="eastAsia" w:ascii="宋体" w:hAnsi="宋体" w:eastAsia="宋体" w:cs="宋体"/>
          <w:color w:val="auto"/>
          <w:spacing w:val="15"/>
          <w:sz w:val="21"/>
          <w:szCs w:val="21"/>
          <w:highlight w:val="none"/>
        </w:rPr>
        <w:t>从业人员，是指期末从业人员数，没有期末从业人员数的，采用全年平均人员数代替。</w:t>
      </w:r>
    </w:p>
    <w:p w14:paraId="2DFF942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pacing w:val="15"/>
          <w:sz w:val="21"/>
          <w:szCs w:val="21"/>
          <w:highlight w:val="none"/>
        </w:rPr>
      </w:pPr>
      <w:r>
        <w:rPr>
          <w:rFonts w:hint="eastAsia" w:ascii="宋体" w:hAnsi="宋体" w:eastAsia="宋体" w:cs="宋体"/>
          <w:color w:val="auto"/>
          <w:spacing w:val="15"/>
          <w:sz w:val="21"/>
          <w:szCs w:val="21"/>
          <w:highlight w:val="none"/>
          <w:lang w:eastAsia="zh-CN"/>
        </w:rPr>
        <w:t>（</w:t>
      </w:r>
      <w:r>
        <w:rPr>
          <w:rFonts w:hint="eastAsia" w:ascii="宋体" w:hAnsi="宋体" w:eastAsia="宋体" w:cs="宋体"/>
          <w:color w:val="auto"/>
          <w:spacing w:val="15"/>
          <w:sz w:val="21"/>
          <w:szCs w:val="21"/>
          <w:highlight w:val="none"/>
          <w:lang w:val="en-US" w:eastAsia="zh-CN"/>
        </w:rPr>
        <w:t>2</w:t>
      </w:r>
      <w:r>
        <w:rPr>
          <w:rFonts w:hint="eastAsia" w:ascii="宋体" w:hAnsi="宋体" w:eastAsia="宋体" w:cs="宋体"/>
          <w:color w:val="auto"/>
          <w:spacing w:val="15"/>
          <w:sz w:val="21"/>
          <w:szCs w:val="21"/>
          <w:highlight w:val="none"/>
          <w:lang w:eastAsia="zh-CN"/>
        </w:rPr>
        <w:t>）</w:t>
      </w:r>
      <w:r>
        <w:rPr>
          <w:rFonts w:hint="eastAsia" w:ascii="宋体" w:hAnsi="宋体" w:eastAsia="宋体" w:cs="宋体"/>
          <w:color w:val="auto"/>
          <w:spacing w:val="15"/>
          <w:sz w:val="21"/>
          <w:szCs w:val="21"/>
          <w:highlight w:val="none"/>
        </w:rPr>
        <w:t>营业收入，工业、建筑业、限额以上批发和零售业、限额以上住宿和餐饮业以及其他设置主营业务收入指标的行业，采用主营业务收入；限额以下批发与零售业企业采用商品销售额代替；限额以下住宿与餐饮业企业采用营业额代替；农、林、牧、渔业企业采用营业总收入代替；其他未设置主营业务收入的行业，采用营业收入指标。</w:t>
      </w:r>
    </w:p>
    <w:p w14:paraId="24AB845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5"/>
          <w:sz w:val="21"/>
          <w:szCs w:val="21"/>
          <w:highlight w:val="none"/>
        </w:rPr>
        <w:t>（3）资产总额，采用资产总计代替。</w:t>
      </w:r>
    </w:p>
    <w:p w14:paraId="2C54DDFC">
      <w:pPr>
        <w:pageBreakBefore w:val="0"/>
        <w:kinsoku/>
        <w:overflowPunct/>
        <w:autoSpaceDE w:val="0"/>
        <w:autoSpaceDN w:val="0"/>
        <w:bidi w:val="0"/>
        <w:adjustRightInd w:val="0"/>
        <w:spacing w:line="360" w:lineRule="auto"/>
        <w:ind w:firstLine="640" w:firstLineChars="200"/>
        <w:jc w:val="left"/>
        <w:rPr>
          <w:rFonts w:hint="eastAsia" w:ascii="宋体" w:hAnsi="宋体" w:eastAsia="宋体" w:cs="宋体"/>
          <w:color w:val="auto"/>
          <w:kern w:val="0"/>
          <w:szCs w:val="21"/>
          <w:highlight w:val="none"/>
          <w:lang w:eastAsia="zh-CN"/>
        </w:rPr>
      </w:pPr>
      <w:r>
        <w:rPr>
          <w:rFonts w:hint="eastAsia" w:ascii="宋体" w:hAnsi="宋体" w:eastAsia="宋体" w:cs="宋体"/>
          <w:color w:val="auto"/>
          <w:sz w:val="32"/>
          <w:szCs w:val="32"/>
          <w:highlight w:val="none"/>
          <w:lang w:eastAsia="zh-CN"/>
        </w:rPr>
        <w:br w:type="page"/>
      </w:r>
      <w:r>
        <w:rPr>
          <w:rFonts w:hint="eastAsia" w:ascii="宋体" w:hAnsi="宋体" w:eastAsia="宋体" w:cs="宋体"/>
          <w:b/>
          <w:bCs/>
          <w:color w:val="auto"/>
          <w:kern w:val="0"/>
          <w:szCs w:val="21"/>
          <w:highlight w:val="none"/>
          <w:lang w:eastAsia="zh-CN"/>
        </w:rPr>
        <w:t>附件</w:t>
      </w:r>
      <w:r>
        <w:rPr>
          <w:rFonts w:hint="eastAsia" w:ascii="宋体" w:hAnsi="宋体" w:eastAsia="宋体" w:cs="宋体"/>
          <w:b/>
          <w:bCs/>
          <w:color w:val="auto"/>
          <w:kern w:val="0"/>
          <w:szCs w:val="21"/>
          <w:highlight w:val="none"/>
          <w:lang w:val="en-US" w:eastAsia="zh-CN"/>
        </w:rPr>
        <w:t>2</w:t>
      </w:r>
      <w:r>
        <w:rPr>
          <w:rFonts w:hint="eastAsia" w:ascii="宋体" w:hAnsi="宋体" w:eastAsia="宋体" w:cs="宋体"/>
          <w:b/>
          <w:bCs/>
          <w:color w:val="auto"/>
          <w:kern w:val="0"/>
          <w:szCs w:val="21"/>
          <w:highlight w:val="none"/>
          <w:lang w:eastAsia="zh-CN"/>
        </w:rPr>
        <w:t>：</w:t>
      </w:r>
    </w:p>
    <w:p w14:paraId="0A8C6E02">
      <w:pPr>
        <w:pageBreakBefore w:val="0"/>
        <w:kinsoku/>
        <w:overflowPunct/>
        <w:autoSpaceDE w:val="0"/>
        <w:autoSpaceDN w:val="0"/>
        <w:bidi w:val="0"/>
        <w:adjustRightInd w:val="0"/>
        <w:spacing w:line="360" w:lineRule="auto"/>
        <w:ind w:firstLine="420" w:firstLineChars="200"/>
        <w:jc w:val="left"/>
        <w:rPr>
          <w:rFonts w:hint="eastAsia" w:ascii="宋体" w:hAnsi="宋体" w:eastAsia="宋体" w:cs="宋体"/>
          <w:color w:val="auto"/>
          <w:kern w:val="0"/>
          <w:szCs w:val="21"/>
          <w:highlight w:val="none"/>
          <w:lang w:eastAsia="zh-CN"/>
        </w:rPr>
      </w:pPr>
    </w:p>
    <w:p w14:paraId="71B43042">
      <w:pPr>
        <w:pageBreakBefore w:val="0"/>
        <w:kinsoku/>
        <w:overflowPunct/>
        <w:autoSpaceDE w:val="0"/>
        <w:autoSpaceDN w:val="0"/>
        <w:bidi w:val="0"/>
        <w:adjustRightInd w:val="0"/>
        <w:spacing w:line="360" w:lineRule="auto"/>
        <w:ind w:firstLine="562" w:firstLineChars="200"/>
        <w:jc w:val="center"/>
        <w:rPr>
          <w:rFonts w:hint="eastAsia" w:ascii="宋体" w:hAnsi="宋体" w:eastAsia="宋体" w:cs="宋体"/>
          <w:b/>
          <w:bCs/>
          <w:color w:val="auto"/>
          <w:kern w:val="0"/>
          <w:sz w:val="28"/>
          <w:szCs w:val="28"/>
          <w:highlight w:val="none"/>
          <w:lang w:eastAsia="zh-CN"/>
        </w:rPr>
      </w:pPr>
      <w:r>
        <w:rPr>
          <w:rFonts w:hint="eastAsia" w:ascii="宋体" w:hAnsi="宋体" w:eastAsia="宋体" w:cs="宋体"/>
          <w:b/>
          <w:bCs/>
          <w:color w:val="auto"/>
          <w:kern w:val="0"/>
          <w:sz w:val="28"/>
          <w:szCs w:val="28"/>
          <w:highlight w:val="none"/>
          <w:lang w:val="en-US" w:eastAsia="zh-CN"/>
        </w:rPr>
        <w:t>河南省政府采购合同融资政策告知函</w:t>
      </w:r>
    </w:p>
    <w:p w14:paraId="4B8F9219">
      <w:pPr>
        <w:pageBreakBefore w:val="0"/>
        <w:kinsoku/>
        <w:overflowPunct/>
        <w:autoSpaceDE w:val="0"/>
        <w:autoSpaceDN w:val="0"/>
        <w:bidi w:val="0"/>
        <w:adjustRightInd w:val="0"/>
        <w:spacing w:line="360" w:lineRule="auto"/>
        <w:ind w:firstLine="420" w:firstLineChars="200"/>
        <w:jc w:val="left"/>
        <w:rPr>
          <w:rFonts w:hint="eastAsia" w:ascii="宋体" w:hAnsi="宋体" w:eastAsia="宋体" w:cs="宋体"/>
          <w:color w:val="auto"/>
          <w:kern w:val="0"/>
          <w:szCs w:val="21"/>
          <w:highlight w:val="none"/>
          <w:lang w:eastAsia="zh-CN"/>
        </w:rPr>
      </w:pPr>
      <w:r>
        <w:rPr>
          <w:rFonts w:hint="eastAsia" w:ascii="宋体" w:hAnsi="宋体" w:eastAsia="宋体" w:cs="宋体"/>
          <w:color w:val="auto"/>
          <w:kern w:val="0"/>
          <w:szCs w:val="21"/>
          <w:highlight w:val="none"/>
          <w:lang w:val="en-US" w:eastAsia="zh-CN"/>
        </w:rPr>
        <w:t>各投标人：</w:t>
      </w:r>
    </w:p>
    <w:p w14:paraId="70E638E5">
      <w:pPr>
        <w:pageBreakBefore w:val="0"/>
        <w:kinsoku/>
        <w:overflowPunct/>
        <w:autoSpaceDE w:val="0"/>
        <w:autoSpaceDN w:val="0"/>
        <w:bidi w:val="0"/>
        <w:adjustRightInd w:val="0"/>
        <w:spacing w:line="360" w:lineRule="auto"/>
        <w:ind w:firstLine="420" w:firstLineChars="200"/>
        <w:jc w:val="left"/>
        <w:rPr>
          <w:rFonts w:hint="eastAsia" w:ascii="宋体" w:hAnsi="宋体" w:eastAsia="宋体" w:cs="宋体"/>
          <w:color w:val="auto"/>
          <w:kern w:val="0"/>
          <w:szCs w:val="21"/>
          <w:highlight w:val="none"/>
          <w:lang w:eastAsia="zh-CN"/>
        </w:rPr>
      </w:pPr>
      <w:r>
        <w:rPr>
          <w:rFonts w:hint="eastAsia" w:ascii="宋体" w:hAnsi="宋体" w:eastAsia="宋体" w:cs="宋体"/>
          <w:color w:val="auto"/>
          <w:kern w:val="0"/>
          <w:szCs w:val="21"/>
          <w:highlight w:val="none"/>
          <w:lang w:val="en-US" w:eastAsia="zh-CN"/>
        </w:rPr>
        <w:t>欢迎贵公司参与河南省政府采购活动！</w:t>
      </w:r>
    </w:p>
    <w:p w14:paraId="3BC43D16">
      <w:pPr>
        <w:pageBreakBefore w:val="0"/>
        <w:kinsoku/>
        <w:overflowPunct/>
        <w:autoSpaceDE w:val="0"/>
        <w:autoSpaceDN w:val="0"/>
        <w:bidi w:val="0"/>
        <w:adjustRightInd w:val="0"/>
        <w:spacing w:line="360" w:lineRule="auto"/>
        <w:ind w:firstLine="420" w:firstLineChars="200"/>
        <w:jc w:val="left"/>
        <w:rPr>
          <w:rFonts w:hint="eastAsia" w:ascii="宋体" w:hAnsi="宋体" w:eastAsia="宋体" w:cs="宋体"/>
          <w:color w:val="auto"/>
          <w:kern w:val="0"/>
          <w:szCs w:val="21"/>
          <w:highlight w:val="none"/>
          <w:lang w:eastAsia="zh-CN"/>
        </w:rPr>
      </w:pPr>
      <w:r>
        <w:rPr>
          <w:rFonts w:hint="eastAsia" w:ascii="宋体" w:hAnsi="宋体" w:eastAsia="宋体" w:cs="宋体"/>
          <w:color w:val="auto"/>
          <w:kern w:val="0"/>
          <w:szCs w:val="21"/>
          <w:highlight w:val="none"/>
          <w:lang w:val="en-US" w:eastAsia="zh-CN"/>
        </w:rPr>
        <w:t>政府采购合同融资是河南省财政厅支持中小微企业发展，针对参与政府采购活动的投标人融资难、融资贵问题推出的一项融资政策。贵公司若成为本次政府采购项目的中标成交投标人，可持政府采购合同向金融机构申请贷款，无需抵押、担保，融资机构将根据《河南省政府采购合同融资工作实施方案》（豫财购〔2017〕10号），按照双方自愿的原则提供便捷、优惠的贷款服务。</w:t>
      </w:r>
    </w:p>
    <w:p w14:paraId="619BEA68">
      <w:pPr>
        <w:pageBreakBefore w:val="0"/>
        <w:kinsoku/>
        <w:overflowPunct/>
        <w:autoSpaceDE w:val="0"/>
        <w:autoSpaceDN w:val="0"/>
        <w:bidi w:val="0"/>
        <w:adjustRightInd w:val="0"/>
        <w:spacing w:line="360" w:lineRule="auto"/>
        <w:ind w:firstLine="420" w:firstLineChars="200"/>
        <w:jc w:val="left"/>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贷款渠道和提供贷款的金融机构，可在河南省政府采购网“河南省政府采购合同融资平台”查询联系。</w:t>
      </w:r>
    </w:p>
    <w:p w14:paraId="314C7C0B">
      <w:pPr>
        <w:pageBreakBefore w:val="0"/>
        <w:kinsoku/>
        <w:overflowPunct/>
        <w:autoSpaceDE w:val="0"/>
        <w:autoSpaceDN w:val="0"/>
        <w:bidi w:val="0"/>
        <w:adjustRightInd w:val="0"/>
        <w:spacing w:line="360" w:lineRule="auto"/>
        <w:ind w:firstLine="420" w:firstLineChars="200"/>
        <w:jc w:val="left"/>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br w:type="page"/>
      </w:r>
    </w:p>
    <w:p w14:paraId="231D8C6F">
      <w:pPr>
        <w:pageBreakBefore w:val="0"/>
        <w:kinsoku/>
        <w:overflowPunct/>
        <w:autoSpaceDE w:val="0"/>
        <w:autoSpaceDN w:val="0"/>
        <w:bidi w:val="0"/>
        <w:adjustRightInd w:val="0"/>
        <w:spacing w:line="360" w:lineRule="auto"/>
        <w:ind w:firstLine="422" w:firstLineChars="200"/>
        <w:jc w:val="left"/>
        <w:rPr>
          <w:rFonts w:hint="eastAsia" w:ascii="宋体" w:hAnsi="宋体" w:eastAsia="宋体" w:cs="宋体"/>
          <w:b/>
          <w:bCs/>
          <w:color w:val="auto"/>
          <w:kern w:val="0"/>
          <w:szCs w:val="21"/>
          <w:highlight w:val="none"/>
          <w:lang w:val="en-US" w:eastAsia="zh-CN"/>
        </w:rPr>
      </w:pPr>
      <w:r>
        <w:rPr>
          <w:rFonts w:hint="eastAsia" w:ascii="宋体" w:hAnsi="宋体" w:eastAsia="宋体" w:cs="宋体"/>
          <w:b/>
          <w:bCs/>
          <w:color w:val="auto"/>
          <w:kern w:val="0"/>
          <w:szCs w:val="21"/>
          <w:highlight w:val="none"/>
          <w:lang w:val="en-US" w:eastAsia="zh-CN"/>
        </w:rPr>
        <w:t>附件3</w:t>
      </w:r>
    </w:p>
    <w:p w14:paraId="739694A6">
      <w:pPr>
        <w:pageBreakBefore w:val="0"/>
        <w:kinsoku/>
        <w:overflowPunct/>
        <w:autoSpaceDE w:val="0"/>
        <w:autoSpaceDN w:val="0"/>
        <w:bidi w:val="0"/>
        <w:adjustRightInd w:val="0"/>
        <w:spacing w:line="360" w:lineRule="auto"/>
        <w:ind w:firstLine="562" w:firstLineChars="200"/>
        <w:jc w:val="center"/>
        <w:rPr>
          <w:rFonts w:hint="eastAsia" w:ascii="宋体" w:hAnsi="宋体" w:eastAsia="宋体" w:cs="宋体"/>
          <w:b/>
          <w:bCs/>
          <w:color w:val="auto"/>
          <w:kern w:val="0"/>
          <w:sz w:val="28"/>
          <w:szCs w:val="28"/>
          <w:highlight w:val="none"/>
          <w:lang w:val="en-US" w:eastAsia="zh-CN"/>
        </w:rPr>
      </w:pPr>
      <w:r>
        <w:rPr>
          <w:rFonts w:hint="eastAsia" w:ascii="宋体" w:hAnsi="宋体" w:eastAsia="宋体" w:cs="宋体"/>
          <w:b/>
          <w:bCs/>
          <w:color w:val="auto"/>
          <w:kern w:val="0"/>
          <w:sz w:val="28"/>
          <w:szCs w:val="28"/>
          <w:highlight w:val="none"/>
          <w:lang w:val="en-US" w:eastAsia="zh-CN"/>
        </w:rPr>
        <w:t>中国境内生产的组件成本核算基本规则</w:t>
      </w:r>
    </w:p>
    <w:p w14:paraId="4F3E7040">
      <w:pPr>
        <w:pageBreakBefore w:val="0"/>
        <w:kinsoku/>
        <w:overflowPunct/>
        <w:autoSpaceDE w:val="0"/>
        <w:autoSpaceDN w:val="0"/>
        <w:bidi w:val="0"/>
        <w:adjustRightInd w:val="0"/>
        <w:spacing w:line="360" w:lineRule="auto"/>
        <w:ind w:firstLine="420" w:firstLineChars="200"/>
        <w:jc w:val="left"/>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产品在中国境内生产的组件成本，一般按照其二级组件的相关成本进行核算。按照产品的一级组件进行成本核算能够满足中国境内生产的组件成本判定需求的，可以按照一级组件的相关成本进行核算。</w:t>
      </w:r>
    </w:p>
    <w:p w14:paraId="7486184B">
      <w:pPr>
        <w:pageBreakBefore w:val="0"/>
        <w:kinsoku/>
        <w:overflowPunct/>
        <w:autoSpaceDE w:val="0"/>
        <w:autoSpaceDN w:val="0"/>
        <w:bidi w:val="0"/>
        <w:adjustRightInd w:val="0"/>
        <w:spacing w:line="360" w:lineRule="auto"/>
        <w:ind w:firstLine="420" w:firstLineChars="200"/>
        <w:jc w:val="left"/>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一、产品的一级组件是指直接组成产品的组件。产品的二级组件是指直接组成产品一级组件的组件。一级组件不可分解的，视同二级组件。</w:t>
      </w:r>
    </w:p>
    <w:p w14:paraId="12E76AAA">
      <w:pPr>
        <w:pageBreakBefore w:val="0"/>
        <w:kinsoku/>
        <w:overflowPunct/>
        <w:autoSpaceDE w:val="0"/>
        <w:autoSpaceDN w:val="0"/>
        <w:bidi w:val="0"/>
        <w:adjustRightInd w:val="0"/>
        <w:spacing w:line="360" w:lineRule="auto"/>
        <w:ind w:firstLine="420" w:firstLineChars="200"/>
        <w:jc w:val="left"/>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二、二级组件在中国境内生产的，其全部成本计入中国境内生产的组件成本；二级组件不在中国境内生产的，其成本不计入中国境内生产的组件成本。</w:t>
      </w:r>
    </w:p>
    <w:p w14:paraId="258E7152">
      <w:pPr>
        <w:pageBreakBefore w:val="0"/>
        <w:kinsoku/>
        <w:overflowPunct/>
        <w:autoSpaceDE w:val="0"/>
        <w:autoSpaceDN w:val="0"/>
        <w:bidi w:val="0"/>
        <w:adjustRightInd w:val="0"/>
        <w:spacing w:line="360" w:lineRule="auto"/>
        <w:ind w:firstLine="420" w:firstLineChars="200"/>
        <w:jc w:val="left"/>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三、产品总成本和组件成本以相关会计核算数据、采购合同、进货记录等为基础进行计算。</w:t>
      </w:r>
    </w:p>
    <w:p w14:paraId="6AC61324">
      <w:pPr>
        <w:pageBreakBefore w:val="0"/>
        <w:kinsoku/>
        <w:overflowPunct/>
        <w:autoSpaceDE w:val="0"/>
        <w:autoSpaceDN w:val="0"/>
        <w:bidi w:val="0"/>
        <w:adjustRightInd w:val="0"/>
        <w:spacing w:line="360" w:lineRule="auto"/>
        <w:ind w:firstLine="420" w:firstLineChars="200"/>
        <w:jc w:val="left"/>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四、需要对成本核算规则予以进一步明确的其他有关事项，由财政部会同有关部门另行规定。</w:t>
      </w:r>
    </w:p>
    <w:p w14:paraId="0FDE80B2">
      <w:pPr>
        <w:pageBreakBefore w:val="0"/>
        <w:kinsoku/>
        <w:overflowPunct/>
        <w:autoSpaceDE w:val="0"/>
        <w:autoSpaceDN w:val="0"/>
        <w:bidi w:val="0"/>
        <w:adjustRightInd w:val="0"/>
        <w:spacing w:line="360" w:lineRule="auto"/>
        <w:ind w:firstLine="420" w:firstLineChars="200"/>
        <w:jc w:val="left"/>
        <w:rPr>
          <w:rFonts w:hint="eastAsia" w:ascii="宋体" w:hAnsi="宋体" w:eastAsia="宋体" w:cs="宋体"/>
          <w:color w:val="auto"/>
          <w:kern w:val="0"/>
          <w:szCs w:val="21"/>
          <w:highlight w:val="none"/>
          <w:lang w:val="en-US" w:eastAsia="zh-CN"/>
        </w:rPr>
      </w:pPr>
    </w:p>
    <w:p w14:paraId="4BC8238A">
      <w:pPr>
        <w:pageBreakBefore w:val="0"/>
        <w:kinsoku/>
        <w:overflowPunct/>
        <w:autoSpaceDE w:val="0"/>
        <w:autoSpaceDN w:val="0"/>
        <w:bidi w:val="0"/>
        <w:adjustRightInd w:val="0"/>
        <w:spacing w:line="360" w:lineRule="auto"/>
        <w:ind w:firstLine="420" w:firstLineChars="200"/>
        <w:jc w:val="left"/>
        <w:rPr>
          <w:rFonts w:hint="eastAsia" w:ascii="宋体" w:hAnsi="宋体" w:eastAsia="宋体" w:cs="宋体"/>
          <w:color w:val="auto"/>
          <w:kern w:val="0"/>
          <w:szCs w:val="21"/>
          <w:highlight w:val="none"/>
          <w:lang w:eastAsia="zh-CN"/>
        </w:rPr>
      </w:pPr>
    </w:p>
    <w:p w14:paraId="1198EC14">
      <w:pPr>
        <w:pStyle w:val="2"/>
        <w:pageBreakBefore w:val="0"/>
        <w:kinsoku/>
        <w:overflowPunct/>
        <w:bidi w:val="0"/>
        <w:spacing w:line="360" w:lineRule="auto"/>
        <w:rPr>
          <w:rFonts w:hint="eastAsia" w:ascii="宋体" w:hAnsi="宋体" w:eastAsia="宋体" w:cs="宋体"/>
          <w:color w:val="auto"/>
          <w:kern w:val="0"/>
          <w:szCs w:val="21"/>
          <w:highlight w:val="none"/>
          <w:lang w:eastAsia="zh-CN"/>
        </w:rPr>
      </w:pPr>
    </w:p>
    <w:p w14:paraId="0EC5E461">
      <w:pPr>
        <w:pStyle w:val="4"/>
        <w:pageBreakBefore w:val="0"/>
        <w:numPr>
          <w:ilvl w:val="0"/>
          <w:numId w:val="0"/>
        </w:numPr>
        <w:kinsoku/>
        <w:overflowPunct/>
        <w:bidi w:val="0"/>
        <w:spacing w:line="360" w:lineRule="auto"/>
        <w:ind w:leftChars="0"/>
        <w:jc w:val="center"/>
        <w:rPr>
          <w:rFonts w:hint="eastAsia" w:ascii="宋体" w:hAnsi="宋体" w:eastAsia="宋体" w:cs="宋体"/>
          <w:color w:val="auto"/>
          <w:highlight w:val="none"/>
          <w:lang w:val="en-US" w:eastAsia="zh-CN"/>
        </w:rPr>
      </w:pPr>
      <w:r>
        <w:rPr>
          <w:rFonts w:hint="eastAsia" w:ascii="宋体" w:hAnsi="宋体" w:eastAsia="宋体" w:cs="宋体"/>
          <w:color w:val="auto"/>
          <w:sz w:val="32"/>
          <w:szCs w:val="32"/>
          <w:highlight w:val="none"/>
          <w:lang w:eastAsia="zh-CN"/>
        </w:rPr>
        <w:br w:type="page"/>
      </w:r>
      <w:bookmarkStart w:id="547" w:name="_Toc19667"/>
      <w:bookmarkStart w:id="548" w:name="_Toc20081"/>
      <w:bookmarkStart w:id="549" w:name="_Toc21151"/>
      <w:r>
        <w:rPr>
          <w:rStyle w:val="52"/>
          <w:rFonts w:hint="eastAsia" w:ascii="宋体" w:hAnsi="宋体" w:eastAsia="宋体" w:cs="宋体"/>
          <w:b/>
          <w:color w:val="auto"/>
          <w:szCs w:val="22"/>
          <w:highlight w:val="none"/>
          <w:lang w:val="en-US" w:eastAsia="zh-CN" w:bidi="ar-SA"/>
        </w:rPr>
        <w:t>第三章 资格审查</w:t>
      </w:r>
      <w:bookmarkEnd w:id="547"/>
      <w:bookmarkEnd w:id="548"/>
      <w:bookmarkEnd w:id="549"/>
    </w:p>
    <w:p w14:paraId="2D0EDD27">
      <w:pPr>
        <w:pStyle w:val="6"/>
        <w:pageBreakBefore w:val="0"/>
        <w:numPr>
          <w:ilvl w:val="0"/>
          <w:numId w:val="0"/>
        </w:numPr>
        <w:kinsoku/>
        <w:overflowPunct/>
        <w:bidi w:val="0"/>
        <w:spacing w:line="360" w:lineRule="auto"/>
        <w:ind w:left="482" w:leftChars="0"/>
        <w:jc w:val="center"/>
        <w:rPr>
          <w:rFonts w:hint="eastAsia" w:ascii="宋体" w:hAnsi="宋体" w:eastAsia="宋体" w:cs="宋体"/>
          <w:b/>
          <w:color w:val="auto"/>
          <w:sz w:val="24"/>
          <w:highlight w:val="none"/>
        </w:rPr>
      </w:pPr>
      <w:bookmarkStart w:id="550" w:name="_Toc11714"/>
      <w:bookmarkStart w:id="551" w:name="_Toc12421"/>
      <w:bookmarkStart w:id="552" w:name="_Toc16729"/>
      <w:bookmarkStart w:id="553" w:name="_Toc6735"/>
      <w:bookmarkStart w:id="554" w:name="_Toc13197"/>
      <w:bookmarkStart w:id="555" w:name="_Toc27033"/>
      <w:bookmarkStart w:id="556" w:name="_Toc21173"/>
      <w:bookmarkStart w:id="557" w:name="_Toc28519"/>
      <w:bookmarkStart w:id="558" w:name="_Toc32604"/>
      <w:bookmarkStart w:id="559" w:name="_Toc27205"/>
      <w:bookmarkStart w:id="560" w:name="_Toc30398"/>
      <w:r>
        <w:rPr>
          <w:rFonts w:hint="eastAsia" w:ascii="宋体" w:hAnsi="宋体" w:eastAsia="宋体" w:cs="宋体"/>
          <w:color w:val="auto"/>
          <w:sz w:val="24"/>
          <w:szCs w:val="24"/>
          <w:highlight w:val="none"/>
        </w:rPr>
        <w:t>资格审查</w:t>
      </w:r>
      <w:r>
        <w:rPr>
          <w:rFonts w:hint="eastAsia" w:ascii="宋体" w:hAnsi="宋体" w:eastAsia="宋体" w:cs="宋体"/>
          <w:color w:val="auto"/>
          <w:sz w:val="24"/>
          <w:szCs w:val="24"/>
          <w:highlight w:val="none"/>
          <w:lang w:eastAsia="zh-CN"/>
        </w:rPr>
        <w:t>前附</w:t>
      </w:r>
      <w:r>
        <w:rPr>
          <w:rFonts w:hint="eastAsia" w:ascii="宋体" w:hAnsi="宋体" w:eastAsia="宋体" w:cs="宋体"/>
          <w:color w:val="auto"/>
          <w:sz w:val="24"/>
          <w:szCs w:val="24"/>
          <w:highlight w:val="none"/>
        </w:rPr>
        <w:t>表</w:t>
      </w:r>
      <w:bookmarkEnd w:id="550"/>
      <w:bookmarkEnd w:id="551"/>
      <w:bookmarkEnd w:id="552"/>
      <w:bookmarkEnd w:id="553"/>
      <w:bookmarkEnd w:id="554"/>
      <w:bookmarkEnd w:id="555"/>
      <w:bookmarkEnd w:id="556"/>
      <w:bookmarkEnd w:id="557"/>
      <w:bookmarkEnd w:id="558"/>
      <w:bookmarkEnd w:id="559"/>
      <w:bookmarkEnd w:id="560"/>
    </w:p>
    <w:tbl>
      <w:tblPr>
        <w:tblStyle w:val="36"/>
        <w:tblW w:w="94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2"/>
        <w:gridCol w:w="2431"/>
        <w:gridCol w:w="5997"/>
      </w:tblGrid>
      <w:tr w14:paraId="189CB9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972" w:type="dxa"/>
            <w:noWrap w:val="0"/>
            <w:vAlign w:val="center"/>
          </w:tcPr>
          <w:p w14:paraId="11D63D83">
            <w:pPr>
              <w:pageBreakBefore w:val="0"/>
              <w:widowControl/>
              <w:kinsoku/>
              <w:overflowPunct/>
              <w:bidi w:val="0"/>
              <w:spacing w:line="360" w:lineRule="auto"/>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条款</w:t>
            </w:r>
          </w:p>
        </w:tc>
        <w:tc>
          <w:tcPr>
            <w:tcW w:w="2431" w:type="dxa"/>
            <w:noWrap w:val="0"/>
            <w:vAlign w:val="center"/>
          </w:tcPr>
          <w:p w14:paraId="2ED965F4">
            <w:pPr>
              <w:pageBreakBefore w:val="0"/>
              <w:widowControl/>
              <w:kinsoku/>
              <w:overflowPunct/>
              <w:bidi w:val="0"/>
              <w:spacing w:line="360" w:lineRule="auto"/>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评审因素</w:t>
            </w:r>
          </w:p>
        </w:tc>
        <w:tc>
          <w:tcPr>
            <w:tcW w:w="5997" w:type="dxa"/>
            <w:noWrap w:val="0"/>
            <w:vAlign w:val="center"/>
          </w:tcPr>
          <w:p w14:paraId="6403EB92">
            <w:pPr>
              <w:pageBreakBefore w:val="0"/>
              <w:widowControl/>
              <w:kinsoku/>
              <w:overflowPunct/>
              <w:bidi w:val="0"/>
              <w:spacing w:line="360" w:lineRule="auto"/>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评审标准</w:t>
            </w:r>
          </w:p>
        </w:tc>
      </w:tr>
      <w:tr w14:paraId="0E5235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972" w:type="dxa"/>
            <w:vMerge w:val="restart"/>
            <w:noWrap w:val="0"/>
            <w:vAlign w:val="center"/>
          </w:tcPr>
          <w:p w14:paraId="2669ED01">
            <w:pPr>
              <w:pageBreakBefore w:val="0"/>
              <w:widowControl/>
              <w:kinsoku/>
              <w:overflowPunct/>
              <w:bidi w:val="0"/>
              <w:spacing w:line="360" w:lineRule="auto"/>
              <w:jc w:val="center"/>
              <w:rPr>
                <w:rFonts w:hint="eastAsia" w:ascii="宋体" w:hAnsi="宋体" w:eastAsia="宋体" w:cs="宋体"/>
                <w:color w:val="auto"/>
                <w:kern w:val="0"/>
                <w:szCs w:val="21"/>
                <w:highlight w:val="none"/>
              </w:rPr>
            </w:pPr>
            <w:r>
              <w:rPr>
                <w:rFonts w:hint="eastAsia" w:ascii="宋体" w:hAnsi="宋体" w:eastAsia="宋体" w:cs="宋体"/>
                <w:color w:val="auto"/>
                <w:szCs w:val="21"/>
                <w:highlight w:val="none"/>
              </w:rPr>
              <w:t>资格审查</w:t>
            </w:r>
            <w:r>
              <w:rPr>
                <w:rFonts w:hint="eastAsia" w:ascii="宋体" w:hAnsi="宋体" w:eastAsia="宋体" w:cs="宋体"/>
                <w:color w:val="auto"/>
                <w:kern w:val="0"/>
                <w:szCs w:val="21"/>
                <w:highlight w:val="none"/>
              </w:rPr>
              <w:t>标准</w:t>
            </w:r>
          </w:p>
        </w:tc>
        <w:tc>
          <w:tcPr>
            <w:tcW w:w="2431" w:type="dxa"/>
            <w:noWrap w:val="0"/>
            <w:vAlign w:val="center"/>
          </w:tcPr>
          <w:p w14:paraId="5568F33C">
            <w:pPr>
              <w:pageBreakBefore w:val="0"/>
              <w:widowControl/>
              <w:kinsoku/>
              <w:overflowPunct/>
              <w:bidi w:val="0"/>
              <w:spacing w:line="360" w:lineRule="auto"/>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投标人名称</w:t>
            </w:r>
          </w:p>
        </w:tc>
        <w:tc>
          <w:tcPr>
            <w:tcW w:w="5997" w:type="dxa"/>
            <w:noWrap w:val="0"/>
            <w:vAlign w:val="center"/>
          </w:tcPr>
          <w:p w14:paraId="0E256A31">
            <w:pPr>
              <w:pageBreakBefore w:val="0"/>
              <w:widowControl/>
              <w:kinsoku/>
              <w:overflowPunct/>
              <w:bidi w:val="0"/>
              <w:spacing w:line="360" w:lineRule="auto"/>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与营业执照</w:t>
            </w:r>
            <w:r>
              <w:rPr>
                <w:rFonts w:hint="eastAsia" w:ascii="宋体" w:hAnsi="宋体" w:eastAsia="宋体" w:cs="宋体"/>
                <w:color w:val="auto"/>
                <w:kern w:val="0"/>
                <w:szCs w:val="21"/>
                <w:highlight w:val="none"/>
                <w:lang w:eastAsia="zh-CN"/>
              </w:rPr>
              <w:t>（如有）</w:t>
            </w:r>
            <w:r>
              <w:rPr>
                <w:rFonts w:hint="eastAsia" w:ascii="宋体" w:hAnsi="宋体" w:eastAsia="宋体" w:cs="宋体"/>
                <w:color w:val="auto"/>
                <w:kern w:val="0"/>
                <w:szCs w:val="21"/>
                <w:highlight w:val="none"/>
              </w:rPr>
              <w:t>一致</w:t>
            </w:r>
          </w:p>
        </w:tc>
      </w:tr>
      <w:tr w14:paraId="4B971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972" w:type="dxa"/>
            <w:vMerge w:val="continue"/>
            <w:noWrap w:val="0"/>
            <w:vAlign w:val="center"/>
          </w:tcPr>
          <w:p w14:paraId="619B6A2B">
            <w:pPr>
              <w:pageBreakBefore w:val="0"/>
              <w:widowControl/>
              <w:kinsoku/>
              <w:overflowPunct/>
              <w:bidi w:val="0"/>
              <w:spacing w:line="360" w:lineRule="auto"/>
              <w:jc w:val="center"/>
              <w:rPr>
                <w:rFonts w:hint="eastAsia" w:ascii="宋体" w:hAnsi="宋体" w:eastAsia="宋体" w:cs="宋体"/>
                <w:color w:val="auto"/>
                <w:kern w:val="0"/>
                <w:szCs w:val="21"/>
                <w:highlight w:val="none"/>
              </w:rPr>
            </w:pPr>
          </w:p>
        </w:tc>
        <w:tc>
          <w:tcPr>
            <w:tcW w:w="2431" w:type="dxa"/>
            <w:noWrap w:val="0"/>
            <w:vAlign w:val="center"/>
          </w:tcPr>
          <w:p w14:paraId="6302DD87">
            <w:pPr>
              <w:pageBreakBefore w:val="0"/>
              <w:widowControl/>
              <w:kinsoku/>
              <w:overflowPunct/>
              <w:bidi w:val="0"/>
              <w:spacing w:line="360" w:lineRule="auto"/>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营业执照</w:t>
            </w:r>
            <w:r>
              <w:rPr>
                <w:rFonts w:hint="eastAsia" w:ascii="宋体" w:hAnsi="宋体" w:eastAsia="宋体" w:cs="宋体"/>
                <w:color w:val="auto"/>
                <w:kern w:val="0"/>
                <w:szCs w:val="21"/>
                <w:highlight w:val="none"/>
                <w:lang w:eastAsia="zh-CN"/>
              </w:rPr>
              <w:t>或其他证明材料</w:t>
            </w:r>
          </w:p>
        </w:tc>
        <w:tc>
          <w:tcPr>
            <w:tcW w:w="5997" w:type="dxa"/>
            <w:noWrap w:val="0"/>
            <w:vAlign w:val="center"/>
          </w:tcPr>
          <w:p w14:paraId="117C3A6A">
            <w:pPr>
              <w:pStyle w:val="35"/>
              <w:keepNext w:val="0"/>
              <w:keepLines w:val="0"/>
              <w:pageBreakBefore w:val="0"/>
              <w:widowControl w:val="0"/>
              <w:kinsoku/>
              <w:wordWrap/>
              <w:overflowPunct/>
              <w:topLinePunct w:val="0"/>
              <w:autoSpaceDE/>
              <w:autoSpaceDN/>
              <w:bidi w:val="0"/>
              <w:adjustRightInd/>
              <w:snapToGrid/>
              <w:spacing w:after="0" w:line="360" w:lineRule="auto"/>
              <w:ind w:left="0" w:leftChars="0"/>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投标人为企业（包括合伙企业）的，应提供有效的“营业执照”；</w:t>
            </w:r>
          </w:p>
          <w:p w14:paraId="3284676F">
            <w:pPr>
              <w:pStyle w:val="35"/>
              <w:keepNext w:val="0"/>
              <w:keepLines w:val="0"/>
              <w:pageBreakBefore w:val="0"/>
              <w:widowControl w:val="0"/>
              <w:kinsoku/>
              <w:wordWrap/>
              <w:overflowPunct/>
              <w:topLinePunct w:val="0"/>
              <w:autoSpaceDE/>
              <w:autoSpaceDN/>
              <w:bidi w:val="0"/>
              <w:adjustRightInd/>
              <w:snapToGrid/>
              <w:spacing w:after="0" w:line="360" w:lineRule="auto"/>
              <w:ind w:left="0" w:leftChars="0"/>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投标人为事业单位的，应提供有效的“事业单位法人证书”；</w:t>
            </w:r>
          </w:p>
          <w:p w14:paraId="18B7AD59">
            <w:pPr>
              <w:pStyle w:val="35"/>
              <w:keepNext w:val="0"/>
              <w:keepLines w:val="0"/>
              <w:pageBreakBefore w:val="0"/>
              <w:widowControl w:val="0"/>
              <w:kinsoku/>
              <w:wordWrap/>
              <w:overflowPunct/>
              <w:topLinePunct w:val="0"/>
              <w:autoSpaceDE/>
              <w:autoSpaceDN/>
              <w:bidi w:val="0"/>
              <w:adjustRightInd/>
              <w:snapToGrid/>
              <w:spacing w:after="0" w:line="360" w:lineRule="auto"/>
              <w:ind w:left="0" w:leftChars="0"/>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投标人是非企业机构的，应提供有效的“执业许可证”“登记证书”等证明文件；</w:t>
            </w:r>
          </w:p>
          <w:p w14:paraId="647C5919">
            <w:pPr>
              <w:pStyle w:val="35"/>
              <w:keepNext w:val="0"/>
              <w:keepLines w:val="0"/>
              <w:pageBreakBefore w:val="0"/>
              <w:widowControl w:val="0"/>
              <w:kinsoku/>
              <w:wordWrap/>
              <w:overflowPunct/>
              <w:topLinePunct w:val="0"/>
              <w:autoSpaceDE/>
              <w:autoSpaceDN/>
              <w:bidi w:val="0"/>
              <w:adjustRightInd/>
              <w:snapToGrid/>
              <w:spacing w:after="0" w:line="360" w:lineRule="auto"/>
              <w:ind w:left="0" w:leftChars="0"/>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投标人是个体工商户的，应提供有效的“个体工商户营业执照”；</w:t>
            </w:r>
          </w:p>
          <w:p w14:paraId="4E905FE1">
            <w:pPr>
              <w:pStyle w:val="35"/>
              <w:keepNext w:val="0"/>
              <w:keepLines w:val="0"/>
              <w:pageBreakBefore w:val="0"/>
              <w:widowControl w:val="0"/>
              <w:kinsoku/>
              <w:wordWrap/>
              <w:overflowPunct/>
              <w:topLinePunct w:val="0"/>
              <w:autoSpaceDE/>
              <w:autoSpaceDN/>
              <w:bidi w:val="0"/>
              <w:adjustRightInd/>
              <w:snapToGrid/>
              <w:spacing w:after="0" w:line="360" w:lineRule="auto"/>
              <w:ind w:left="0" w:leftChars="0"/>
              <w:textAlignment w:val="auto"/>
              <w:rPr>
                <w:rFonts w:hint="eastAsia" w:ascii="宋体" w:hAnsi="宋体" w:eastAsia="宋体" w:cs="宋体"/>
                <w:color w:val="auto"/>
                <w:kern w:val="0"/>
                <w:szCs w:val="21"/>
                <w:highlight w:val="none"/>
              </w:rPr>
            </w:pPr>
            <w:r>
              <w:rPr>
                <w:rFonts w:hint="eastAsia" w:ascii="宋体" w:hAnsi="宋体" w:eastAsia="宋体" w:cs="宋体"/>
                <w:color w:val="auto"/>
                <w:highlight w:val="none"/>
                <w:lang w:val="en-US" w:eastAsia="zh-CN"/>
              </w:rPr>
              <w:t>投标人是自然人的，应提供有效的自然人身份证明。</w:t>
            </w:r>
          </w:p>
        </w:tc>
      </w:tr>
      <w:tr w14:paraId="26115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972" w:type="dxa"/>
            <w:vMerge w:val="continue"/>
            <w:noWrap w:val="0"/>
            <w:vAlign w:val="center"/>
          </w:tcPr>
          <w:p w14:paraId="2FAB7AC5">
            <w:pPr>
              <w:pageBreakBefore w:val="0"/>
              <w:widowControl/>
              <w:kinsoku/>
              <w:overflowPunct/>
              <w:bidi w:val="0"/>
              <w:spacing w:line="360" w:lineRule="auto"/>
              <w:jc w:val="center"/>
              <w:rPr>
                <w:rFonts w:hint="eastAsia" w:ascii="宋体" w:hAnsi="宋体" w:eastAsia="宋体" w:cs="宋体"/>
                <w:color w:val="auto"/>
                <w:kern w:val="0"/>
                <w:szCs w:val="21"/>
                <w:highlight w:val="none"/>
              </w:rPr>
            </w:pPr>
          </w:p>
        </w:tc>
        <w:tc>
          <w:tcPr>
            <w:tcW w:w="2431" w:type="dxa"/>
            <w:noWrap w:val="0"/>
            <w:vAlign w:val="center"/>
          </w:tcPr>
          <w:p w14:paraId="046FEA1E">
            <w:pPr>
              <w:pageBreakBefore w:val="0"/>
              <w:widowControl/>
              <w:kinsoku/>
              <w:overflowPunct/>
              <w:bidi w:val="0"/>
              <w:spacing w:line="360" w:lineRule="auto"/>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信用记录</w:t>
            </w:r>
          </w:p>
        </w:tc>
        <w:tc>
          <w:tcPr>
            <w:tcW w:w="5997" w:type="dxa"/>
            <w:noWrap w:val="0"/>
            <w:vAlign w:val="center"/>
          </w:tcPr>
          <w:p w14:paraId="3A669EED">
            <w:pPr>
              <w:pageBreakBefore w:val="0"/>
              <w:widowControl/>
              <w:kinsoku/>
              <w:overflowPunct/>
              <w:bidi w:val="0"/>
              <w:spacing w:line="360" w:lineRule="auto"/>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符合第</w:t>
            </w:r>
            <w:r>
              <w:rPr>
                <w:rFonts w:hint="eastAsia" w:ascii="宋体" w:hAnsi="宋体" w:eastAsia="宋体" w:cs="宋体"/>
                <w:color w:val="auto"/>
                <w:kern w:val="0"/>
                <w:szCs w:val="21"/>
                <w:highlight w:val="none"/>
                <w:lang w:eastAsia="zh-CN"/>
              </w:rPr>
              <w:t>二</w:t>
            </w:r>
            <w:r>
              <w:rPr>
                <w:rFonts w:hint="eastAsia" w:ascii="宋体" w:hAnsi="宋体" w:eastAsia="宋体" w:cs="宋体"/>
                <w:color w:val="auto"/>
                <w:kern w:val="0"/>
                <w:szCs w:val="21"/>
                <w:highlight w:val="none"/>
              </w:rPr>
              <w:t>章“投标人须知</w:t>
            </w:r>
            <w:r>
              <w:rPr>
                <w:rFonts w:hint="eastAsia" w:ascii="宋体" w:hAnsi="宋体" w:eastAsia="宋体" w:cs="宋体"/>
                <w:color w:val="auto"/>
                <w:kern w:val="0"/>
                <w:szCs w:val="21"/>
                <w:highlight w:val="none"/>
                <w:lang w:eastAsia="zh-CN"/>
              </w:rPr>
              <w:t>前附表</w:t>
            </w:r>
            <w:r>
              <w:rPr>
                <w:rFonts w:hint="eastAsia" w:ascii="宋体" w:hAnsi="宋体" w:eastAsia="宋体" w:cs="宋体"/>
                <w:color w:val="auto"/>
                <w:kern w:val="0"/>
                <w:szCs w:val="21"/>
                <w:highlight w:val="none"/>
              </w:rPr>
              <w:t>”第</w:t>
            </w:r>
            <w:r>
              <w:rPr>
                <w:rFonts w:hint="eastAsia" w:ascii="宋体" w:hAnsi="宋体" w:eastAsia="宋体" w:cs="宋体"/>
                <w:color w:val="auto"/>
                <w:kern w:val="0"/>
                <w:szCs w:val="21"/>
                <w:highlight w:val="none"/>
                <w:lang w:val="en-US" w:eastAsia="zh-CN"/>
              </w:rPr>
              <w:t>1.2.10</w:t>
            </w:r>
            <w:r>
              <w:rPr>
                <w:rFonts w:hint="eastAsia" w:ascii="宋体" w:hAnsi="宋体" w:eastAsia="宋体" w:cs="宋体"/>
                <w:color w:val="auto"/>
                <w:kern w:val="0"/>
                <w:szCs w:val="21"/>
                <w:highlight w:val="none"/>
              </w:rPr>
              <w:t>项规定</w:t>
            </w:r>
          </w:p>
          <w:p w14:paraId="70A7623E">
            <w:pPr>
              <w:pStyle w:val="68"/>
              <w:pageBreakBefore w:val="0"/>
              <w:kinsoku/>
              <w:overflowPunct/>
              <w:bidi w:val="0"/>
              <w:spacing w:line="360" w:lineRule="auto"/>
              <w:jc w:val="center"/>
              <w:rPr>
                <w:rFonts w:hint="eastAsia" w:ascii="宋体" w:hAnsi="宋体" w:eastAsia="宋体" w:cs="宋体"/>
                <w:color w:val="auto"/>
                <w:highlight w:val="none"/>
                <w:lang w:val="en-US" w:eastAsia="zh-CN"/>
              </w:rPr>
            </w:pPr>
            <w:r>
              <w:rPr>
                <w:rFonts w:hint="eastAsia" w:ascii="宋体" w:hAnsi="宋体" w:eastAsia="宋体" w:cs="宋体"/>
                <w:b/>
                <w:bCs/>
                <w:color w:val="auto"/>
                <w:sz w:val="21"/>
                <w:szCs w:val="21"/>
                <w:highlight w:val="none"/>
                <w:lang w:val="en-US" w:eastAsia="zh-CN"/>
              </w:rPr>
              <w:t>以采购人或采购代理机构查询为准</w:t>
            </w:r>
          </w:p>
        </w:tc>
      </w:tr>
      <w:tr w14:paraId="650B43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972" w:type="dxa"/>
            <w:vMerge w:val="continue"/>
            <w:noWrap w:val="0"/>
            <w:vAlign w:val="center"/>
          </w:tcPr>
          <w:p w14:paraId="07E7223D">
            <w:pPr>
              <w:pageBreakBefore w:val="0"/>
              <w:widowControl/>
              <w:kinsoku/>
              <w:overflowPunct/>
              <w:bidi w:val="0"/>
              <w:spacing w:line="360" w:lineRule="auto"/>
              <w:jc w:val="center"/>
              <w:rPr>
                <w:rFonts w:hint="eastAsia" w:ascii="宋体" w:hAnsi="宋体" w:eastAsia="宋体" w:cs="宋体"/>
                <w:color w:val="auto"/>
                <w:kern w:val="0"/>
                <w:szCs w:val="21"/>
                <w:highlight w:val="none"/>
              </w:rPr>
            </w:pPr>
          </w:p>
        </w:tc>
        <w:tc>
          <w:tcPr>
            <w:tcW w:w="2431" w:type="dxa"/>
            <w:noWrap w:val="0"/>
            <w:vAlign w:val="center"/>
          </w:tcPr>
          <w:p w14:paraId="0DD46FE4">
            <w:pPr>
              <w:pageBreakBefore w:val="0"/>
              <w:widowControl/>
              <w:kinsoku/>
              <w:overflowPunct/>
              <w:bidi w:val="0"/>
              <w:spacing w:line="360" w:lineRule="auto"/>
              <w:jc w:val="center"/>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rPr>
              <w:t>财务</w:t>
            </w:r>
            <w:r>
              <w:rPr>
                <w:rFonts w:hint="eastAsia" w:ascii="宋体" w:hAnsi="宋体" w:eastAsia="宋体" w:cs="宋体"/>
                <w:color w:val="auto"/>
                <w:kern w:val="0"/>
                <w:szCs w:val="21"/>
                <w:highlight w:val="none"/>
                <w:lang w:val="en-US" w:eastAsia="zh-CN"/>
              </w:rPr>
              <w:t>状况</w:t>
            </w:r>
          </w:p>
        </w:tc>
        <w:tc>
          <w:tcPr>
            <w:tcW w:w="5997" w:type="dxa"/>
            <w:noWrap w:val="0"/>
            <w:vAlign w:val="center"/>
          </w:tcPr>
          <w:p w14:paraId="48F677E5">
            <w:pPr>
              <w:pageBreakBefore w:val="0"/>
              <w:widowControl/>
              <w:kinsoku/>
              <w:overflowPunct/>
              <w:bidi w:val="0"/>
              <w:spacing w:line="360" w:lineRule="auto"/>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符合第二章“</w:t>
            </w:r>
            <w:r>
              <w:rPr>
                <w:rFonts w:hint="eastAsia" w:ascii="宋体" w:hAnsi="宋体" w:eastAsia="宋体" w:cs="宋体"/>
                <w:color w:val="auto"/>
                <w:kern w:val="0"/>
                <w:szCs w:val="21"/>
                <w:highlight w:val="none"/>
                <w:lang w:eastAsia="zh-CN"/>
              </w:rPr>
              <w:t>投标人须知前附表</w:t>
            </w:r>
            <w:r>
              <w:rPr>
                <w:rFonts w:hint="eastAsia" w:ascii="宋体" w:hAnsi="宋体" w:eastAsia="宋体" w:cs="宋体"/>
                <w:color w:val="auto"/>
                <w:kern w:val="0"/>
                <w:szCs w:val="21"/>
                <w:highlight w:val="none"/>
              </w:rPr>
              <w:t>”第</w:t>
            </w:r>
            <w:r>
              <w:rPr>
                <w:rFonts w:hint="eastAsia" w:ascii="宋体" w:hAnsi="宋体" w:eastAsia="宋体" w:cs="宋体"/>
                <w:color w:val="auto"/>
                <w:kern w:val="0"/>
                <w:szCs w:val="21"/>
                <w:highlight w:val="none"/>
                <w:lang w:val="en-US" w:eastAsia="zh-CN"/>
              </w:rPr>
              <w:t>1.2.10</w:t>
            </w:r>
            <w:r>
              <w:rPr>
                <w:rFonts w:hint="eastAsia" w:ascii="宋体" w:hAnsi="宋体" w:eastAsia="宋体" w:cs="宋体"/>
                <w:color w:val="auto"/>
                <w:kern w:val="0"/>
                <w:szCs w:val="21"/>
                <w:highlight w:val="none"/>
              </w:rPr>
              <w:t>项规定</w:t>
            </w:r>
          </w:p>
        </w:tc>
      </w:tr>
      <w:tr w14:paraId="17233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972" w:type="dxa"/>
            <w:vMerge w:val="continue"/>
            <w:noWrap w:val="0"/>
            <w:vAlign w:val="center"/>
          </w:tcPr>
          <w:p w14:paraId="3381051D">
            <w:pPr>
              <w:pageBreakBefore w:val="0"/>
              <w:widowControl/>
              <w:kinsoku/>
              <w:overflowPunct/>
              <w:bidi w:val="0"/>
              <w:spacing w:line="360" w:lineRule="auto"/>
              <w:jc w:val="center"/>
              <w:rPr>
                <w:rFonts w:hint="eastAsia" w:ascii="宋体" w:hAnsi="宋体" w:eastAsia="宋体" w:cs="宋体"/>
                <w:color w:val="auto"/>
                <w:kern w:val="0"/>
                <w:szCs w:val="21"/>
                <w:highlight w:val="none"/>
              </w:rPr>
            </w:pPr>
          </w:p>
        </w:tc>
        <w:tc>
          <w:tcPr>
            <w:tcW w:w="2431" w:type="dxa"/>
            <w:noWrap w:val="0"/>
            <w:vAlign w:val="center"/>
          </w:tcPr>
          <w:p w14:paraId="2D91A79B">
            <w:pPr>
              <w:pageBreakBefore w:val="0"/>
              <w:widowControl/>
              <w:kinsoku/>
              <w:overflowPunct/>
              <w:bidi w:val="0"/>
              <w:spacing w:line="360" w:lineRule="auto"/>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纳税要求</w:t>
            </w:r>
          </w:p>
        </w:tc>
        <w:tc>
          <w:tcPr>
            <w:tcW w:w="5997" w:type="dxa"/>
            <w:noWrap w:val="0"/>
            <w:vAlign w:val="center"/>
          </w:tcPr>
          <w:p w14:paraId="05D29C2B">
            <w:pPr>
              <w:pageBreakBefore w:val="0"/>
              <w:widowControl/>
              <w:kinsoku/>
              <w:overflowPunct/>
              <w:bidi w:val="0"/>
              <w:spacing w:line="360" w:lineRule="auto"/>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符合第二章“</w:t>
            </w:r>
            <w:r>
              <w:rPr>
                <w:rFonts w:hint="eastAsia" w:ascii="宋体" w:hAnsi="宋体" w:eastAsia="宋体" w:cs="宋体"/>
                <w:color w:val="auto"/>
                <w:kern w:val="0"/>
                <w:szCs w:val="21"/>
                <w:highlight w:val="none"/>
                <w:lang w:eastAsia="zh-CN"/>
              </w:rPr>
              <w:t>投标人须知前附表</w:t>
            </w:r>
            <w:r>
              <w:rPr>
                <w:rFonts w:hint="eastAsia" w:ascii="宋体" w:hAnsi="宋体" w:eastAsia="宋体" w:cs="宋体"/>
                <w:color w:val="auto"/>
                <w:kern w:val="0"/>
                <w:szCs w:val="21"/>
                <w:highlight w:val="none"/>
              </w:rPr>
              <w:t>”第</w:t>
            </w:r>
            <w:r>
              <w:rPr>
                <w:rFonts w:hint="eastAsia" w:ascii="宋体" w:hAnsi="宋体" w:eastAsia="宋体" w:cs="宋体"/>
                <w:color w:val="auto"/>
                <w:kern w:val="0"/>
                <w:szCs w:val="21"/>
                <w:highlight w:val="none"/>
                <w:lang w:val="en-US" w:eastAsia="zh-CN"/>
              </w:rPr>
              <w:t>1.2.10</w:t>
            </w:r>
            <w:r>
              <w:rPr>
                <w:rFonts w:hint="eastAsia" w:ascii="宋体" w:hAnsi="宋体" w:eastAsia="宋体" w:cs="宋体"/>
                <w:color w:val="auto"/>
                <w:kern w:val="0"/>
                <w:szCs w:val="21"/>
                <w:highlight w:val="none"/>
              </w:rPr>
              <w:t>项规定</w:t>
            </w:r>
          </w:p>
        </w:tc>
      </w:tr>
      <w:tr w14:paraId="53A800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972" w:type="dxa"/>
            <w:vMerge w:val="continue"/>
            <w:noWrap w:val="0"/>
            <w:vAlign w:val="center"/>
          </w:tcPr>
          <w:p w14:paraId="6388D4A7">
            <w:pPr>
              <w:pageBreakBefore w:val="0"/>
              <w:widowControl/>
              <w:kinsoku/>
              <w:overflowPunct/>
              <w:bidi w:val="0"/>
              <w:spacing w:line="360" w:lineRule="auto"/>
              <w:jc w:val="center"/>
              <w:rPr>
                <w:rFonts w:hint="eastAsia" w:ascii="宋体" w:hAnsi="宋体" w:eastAsia="宋体" w:cs="宋体"/>
                <w:color w:val="auto"/>
                <w:kern w:val="0"/>
                <w:szCs w:val="21"/>
                <w:highlight w:val="none"/>
              </w:rPr>
            </w:pPr>
          </w:p>
        </w:tc>
        <w:tc>
          <w:tcPr>
            <w:tcW w:w="2431" w:type="dxa"/>
            <w:noWrap w:val="0"/>
            <w:vAlign w:val="center"/>
          </w:tcPr>
          <w:p w14:paraId="353BD5B5">
            <w:pPr>
              <w:pageBreakBefore w:val="0"/>
              <w:widowControl/>
              <w:kinsoku/>
              <w:overflowPunct/>
              <w:bidi w:val="0"/>
              <w:spacing w:line="360" w:lineRule="auto"/>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lang w:val="en-US" w:eastAsia="zh-CN"/>
              </w:rPr>
              <w:t>社会保障资金</w:t>
            </w:r>
            <w:r>
              <w:rPr>
                <w:rFonts w:hint="eastAsia" w:ascii="宋体" w:hAnsi="宋体" w:eastAsia="宋体" w:cs="宋体"/>
                <w:color w:val="auto"/>
                <w:kern w:val="0"/>
                <w:szCs w:val="21"/>
                <w:highlight w:val="none"/>
              </w:rPr>
              <w:t>要求</w:t>
            </w:r>
          </w:p>
        </w:tc>
        <w:tc>
          <w:tcPr>
            <w:tcW w:w="5997" w:type="dxa"/>
            <w:noWrap w:val="0"/>
            <w:vAlign w:val="center"/>
          </w:tcPr>
          <w:p w14:paraId="2A97BC54">
            <w:pPr>
              <w:pageBreakBefore w:val="0"/>
              <w:widowControl/>
              <w:kinsoku/>
              <w:overflowPunct/>
              <w:bidi w:val="0"/>
              <w:spacing w:line="360" w:lineRule="auto"/>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符合第二章“</w:t>
            </w:r>
            <w:r>
              <w:rPr>
                <w:rFonts w:hint="eastAsia" w:ascii="宋体" w:hAnsi="宋体" w:eastAsia="宋体" w:cs="宋体"/>
                <w:color w:val="auto"/>
                <w:kern w:val="0"/>
                <w:szCs w:val="21"/>
                <w:highlight w:val="none"/>
                <w:lang w:eastAsia="zh-CN"/>
              </w:rPr>
              <w:t>投标人须知前附表</w:t>
            </w:r>
            <w:r>
              <w:rPr>
                <w:rFonts w:hint="eastAsia" w:ascii="宋体" w:hAnsi="宋体" w:eastAsia="宋体" w:cs="宋体"/>
                <w:color w:val="auto"/>
                <w:kern w:val="0"/>
                <w:szCs w:val="21"/>
                <w:highlight w:val="none"/>
              </w:rPr>
              <w:t>”第</w:t>
            </w:r>
            <w:r>
              <w:rPr>
                <w:rFonts w:hint="eastAsia" w:ascii="宋体" w:hAnsi="宋体" w:eastAsia="宋体" w:cs="宋体"/>
                <w:color w:val="auto"/>
                <w:kern w:val="0"/>
                <w:szCs w:val="21"/>
                <w:highlight w:val="none"/>
                <w:lang w:val="en-US" w:eastAsia="zh-CN"/>
              </w:rPr>
              <w:t>1.2.10</w:t>
            </w:r>
            <w:r>
              <w:rPr>
                <w:rFonts w:hint="eastAsia" w:ascii="宋体" w:hAnsi="宋体" w:eastAsia="宋体" w:cs="宋体"/>
                <w:color w:val="auto"/>
                <w:kern w:val="0"/>
                <w:szCs w:val="21"/>
                <w:highlight w:val="none"/>
              </w:rPr>
              <w:t>项规定</w:t>
            </w:r>
          </w:p>
        </w:tc>
      </w:tr>
      <w:tr w14:paraId="2D2543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972" w:type="dxa"/>
            <w:vMerge w:val="continue"/>
            <w:noWrap w:val="0"/>
            <w:vAlign w:val="center"/>
          </w:tcPr>
          <w:p w14:paraId="6BF4A941">
            <w:pPr>
              <w:pageBreakBefore w:val="0"/>
              <w:widowControl/>
              <w:kinsoku/>
              <w:overflowPunct/>
              <w:bidi w:val="0"/>
              <w:spacing w:line="360" w:lineRule="auto"/>
              <w:jc w:val="center"/>
              <w:rPr>
                <w:rFonts w:hint="eastAsia" w:ascii="宋体" w:hAnsi="宋体" w:eastAsia="宋体" w:cs="宋体"/>
                <w:color w:val="auto"/>
                <w:kern w:val="0"/>
                <w:szCs w:val="21"/>
                <w:highlight w:val="none"/>
              </w:rPr>
            </w:pPr>
          </w:p>
        </w:tc>
        <w:tc>
          <w:tcPr>
            <w:tcW w:w="2431" w:type="dxa"/>
            <w:noWrap w:val="0"/>
            <w:vAlign w:val="center"/>
          </w:tcPr>
          <w:p w14:paraId="3684E674">
            <w:pPr>
              <w:pageBreakBefore w:val="0"/>
              <w:widowControl/>
              <w:kinsoku/>
              <w:overflowPunct/>
              <w:bidi w:val="0"/>
              <w:spacing w:line="360" w:lineRule="auto"/>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具有履行合同所必需的设备和专业技术能力</w:t>
            </w:r>
          </w:p>
        </w:tc>
        <w:tc>
          <w:tcPr>
            <w:tcW w:w="5997" w:type="dxa"/>
            <w:noWrap w:val="0"/>
            <w:vAlign w:val="center"/>
          </w:tcPr>
          <w:p w14:paraId="4A35E499">
            <w:pPr>
              <w:pageBreakBefore w:val="0"/>
              <w:widowControl/>
              <w:kinsoku/>
              <w:overflowPunct/>
              <w:bidi w:val="0"/>
              <w:spacing w:line="360" w:lineRule="auto"/>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符合第二章“</w:t>
            </w:r>
            <w:r>
              <w:rPr>
                <w:rFonts w:hint="eastAsia" w:ascii="宋体" w:hAnsi="宋体" w:eastAsia="宋体" w:cs="宋体"/>
                <w:color w:val="auto"/>
                <w:kern w:val="0"/>
                <w:szCs w:val="21"/>
                <w:highlight w:val="none"/>
                <w:lang w:eastAsia="zh-CN"/>
              </w:rPr>
              <w:t>投标人须知前附表</w:t>
            </w:r>
            <w:r>
              <w:rPr>
                <w:rFonts w:hint="eastAsia" w:ascii="宋体" w:hAnsi="宋体" w:eastAsia="宋体" w:cs="宋体"/>
                <w:color w:val="auto"/>
                <w:kern w:val="0"/>
                <w:szCs w:val="21"/>
                <w:highlight w:val="none"/>
              </w:rPr>
              <w:t>”第</w:t>
            </w:r>
            <w:r>
              <w:rPr>
                <w:rFonts w:hint="eastAsia" w:ascii="宋体" w:hAnsi="宋体" w:eastAsia="宋体" w:cs="宋体"/>
                <w:color w:val="auto"/>
                <w:kern w:val="0"/>
                <w:szCs w:val="21"/>
                <w:highlight w:val="none"/>
                <w:lang w:val="en-US" w:eastAsia="zh-CN"/>
              </w:rPr>
              <w:t>1.2.10</w:t>
            </w:r>
            <w:r>
              <w:rPr>
                <w:rFonts w:hint="eastAsia" w:ascii="宋体" w:hAnsi="宋体" w:eastAsia="宋体" w:cs="宋体"/>
                <w:color w:val="auto"/>
                <w:kern w:val="0"/>
                <w:szCs w:val="21"/>
                <w:highlight w:val="none"/>
              </w:rPr>
              <w:t>项规定</w:t>
            </w:r>
          </w:p>
        </w:tc>
      </w:tr>
      <w:tr w14:paraId="5D9026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972" w:type="dxa"/>
            <w:vMerge w:val="continue"/>
            <w:noWrap w:val="0"/>
            <w:vAlign w:val="center"/>
          </w:tcPr>
          <w:p w14:paraId="53CFCDF5">
            <w:pPr>
              <w:pageBreakBefore w:val="0"/>
              <w:widowControl/>
              <w:kinsoku/>
              <w:overflowPunct/>
              <w:bidi w:val="0"/>
              <w:spacing w:line="360" w:lineRule="auto"/>
              <w:jc w:val="center"/>
              <w:rPr>
                <w:rFonts w:hint="eastAsia" w:ascii="宋体" w:hAnsi="宋体" w:eastAsia="宋体" w:cs="宋体"/>
                <w:color w:val="auto"/>
                <w:kern w:val="0"/>
                <w:szCs w:val="21"/>
                <w:highlight w:val="none"/>
              </w:rPr>
            </w:pPr>
          </w:p>
        </w:tc>
        <w:tc>
          <w:tcPr>
            <w:tcW w:w="2431" w:type="dxa"/>
            <w:noWrap w:val="0"/>
            <w:vAlign w:val="center"/>
          </w:tcPr>
          <w:p w14:paraId="1103523E">
            <w:pPr>
              <w:pageBreakBefore w:val="0"/>
              <w:widowControl/>
              <w:kinsoku/>
              <w:overflowPunct/>
              <w:bidi w:val="0"/>
              <w:spacing w:line="360" w:lineRule="auto"/>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参加政府采购活动前三年内，在经营活动中没有重大违法记录</w:t>
            </w:r>
          </w:p>
        </w:tc>
        <w:tc>
          <w:tcPr>
            <w:tcW w:w="5997" w:type="dxa"/>
            <w:noWrap w:val="0"/>
            <w:vAlign w:val="center"/>
          </w:tcPr>
          <w:p w14:paraId="16652BE2">
            <w:pPr>
              <w:pageBreakBefore w:val="0"/>
              <w:widowControl/>
              <w:kinsoku/>
              <w:overflowPunct/>
              <w:bidi w:val="0"/>
              <w:spacing w:line="360" w:lineRule="auto"/>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符合第二章“</w:t>
            </w:r>
            <w:r>
              <w:rPr>
                <w:rFonts w:hint="eastAsia" w:ascii="宋体" w:hAnsi="宋体" w:eastAsia="宋体" w:cs="宋体"/>
                <w:color w:val="auto"/>
                <w:kern w:val="0"/>
                <w:szCs w:val="21"/>
                <w:highlight w:val="none"/>
                <w:lang w:eastAsia="zh-CN"/>
              </w:rPr>
              <w:t>投标人须知前附表</w:t>
            </w:r>
            <w:r>
              <w:rPr>
                <w:rFonts w:hint="eastAsia" w:ascii="宋体" w:hAnsi="宋体" w:eastAsia="宋体" w:cs="宋体"/>
                <w:color w:val="auto"/>
                <w:kern w:val="0"/>
                <w:szCs w:val="21"/>
                <w:highlight w:val="none"/>
              </w:rPr>
              <w:t>”第</w:t>
            </w:r>
            <w:r>
              <w:rPr>
                <w:rFonts w:hint="eastAsia" w:ascii="宋体" w:hAnsi="宋体" w:eastAsia="宋体" w:cs="宋体"/>
                <w:color w:val="auto"/>
                <w:kern w:val="0"/>
                <w:szCs w:val="21"/>
                <w:highlight w:val="none"/>
                <w:lang w:val="en-US" w:eastAsia="zh-CN"/>
              </w:rPr>
              <w:t>1.2.10</w:t>
            </w:r>
            <w:r>
              <w:rPr>
                <w:rFonts w:hint="eastAsia" w:ascii="宋体" w:hAnsi="宋体" w:eastAsia="宋体" w:cs="宋体"/>
                <w:color w:val="auto"/>
                <w:kern w:val="0"/>
                <w:szCs w:val="21"/>
                <w:highlight w:val="none"/>
              </w:rPr>
              <w:t>项规定</w:t>
            </w:r>
          </w:p>
        </w:tc>
      </w:tr>
      <w:tr w14:paraId="466FA1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972" w:type="dxa"/>
            <w:vMerge w:val="continue"/>
            <w:noWrap w:val="0"/>
            <w:vAlign w:val="center"/>
          </w:tcPr>
          <w:p w14:paraId="41DF5614">
            <w:pPr>
              <w:pageBreakBefore w:val="0"/>
              <w:widowControl/>
              <w:kinsoku/>
              <w:overflowPunct/>
              <w:bidi w:val="0"/>
              <w:spacing w:line="360" w:lineRule="auto"/>
              <w:jc w:val="center"/>
              <w:rPr>
                <w:rFonts w:hint="eastAsia" w:ascii="宋体" w:hAnsi="宋体" w:eastAsia="宋体" w:cs="宋体"/>
                <w:color w:val="auto"/>
                <w:kern w:val="0"/>
                <w:szCs w:val="21"/>
                <w:highlight w:val="none"/>
              </w:rPr>
            </w:pPr>
          </w:p>
        </w:tc>
        <w:tc>
          <w:tcPr>
            <w:tcW w:w="2431" w:type="dxa"/>
            <w:noWrap w:val="0"/>
            <w:vAlign w:val="center"/>
          </w:tcPr>
          <w:p w14:paraId="1F739D0E">
            <w:pPr>
              <w:pageBreakBefore w:val="0"/>
              <w:widowControl/>
              <w:kinsoku/>
              <w:overflowPunct/>
              <w:bidi w:val="0"/>
              <w:spacing w:line="360" w:lineRule="auto"/>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特定资格条件</w:t>
            </w:r>
          </w:p>
        </w:tc>
        <w:tc>
          <w:tcPr>
            <w:tcW w:w="5997" w:type="dxa"/>
            <w:noWrap w:val="0"/>
            <w:vAlign w:val="center"/>
          </w:tcPr>
          <w:p w14:paraId="6EC90EEA">
            <w:pPr>
              <w:pageBreakBefore w:val="0"/>
              <w:widowControl/>
              <w:kinsoku/>
              <w:overflowPunct/>
              <w:bidi w:val="0"/>
              <w:spacing w:line="360" w:lineRule="auto"/>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符合第二章“</w:t>
            </w:r>
            <w:r>
              <w:rPr>
                <w:rFonts w:hint="eastAsia" w:ascii="宋体" w:hAnsi="宋体" w:eastAsia="宋体" w:cs="宋体"/>
                <w:color w:val="auto"/>
                <w:kern w:val="0"/>
                <w:szCs w:val="21"/>
                <w:highlight w:val="none"/>
                <w:lang w:eastAsia="zh-CN"/>
              </w:rPr>
              <w:t>投标人须知前附表</w:t>
            </w:r>
            <w:r>
              <w:rPr>
                <w:rFonts w:hint="eastAsia" w:ascii="宋体" w:hAnsi="宋体" w:eastAsia="宋体" w:cs="宋体"/>
                <w:color w:val="auto"/>
                <w:kern w:val="0"/>
                <w:szCs w:val="21"/>
                <w:highlight w:val="none"/>
              </w:rPr>
              <w:t>”第</w:t>
            </w:r>
            <w:r>
              <w:rPr>
                <w:rFonts w:hint="eastAsia" w:ascii="宋体" w:hAnsi="宋体" w:eastAsia="宋体" w:cs="宋体"/>
                <w:color w:val="auto"/>
                <w:kern w:val="0"/>
                <w:szCs w:val="21"/>
                <w:highlight w:val="none"/>
                <w:lang w:val="en-US" w:eastAsia="zh-CN"/>
              </w:rPr>
              <w:t>1.2.10</w:t>
            </w:r>
            <w:r>
              <w:rPr>
                <w:rFonts w:hint="eastAsia" w:ascii="宋体" w:hAnsi="宋体" w:eastAsia="宋体" w:cs="宋体"/>
                <w:color w:val="auto"/>
                <w:kern w:val="0"/>
                <w:szCs w:val="21"/>
                <w:highlight w:val="none"/>
              </w:rPr>
              <w:t>项规定</w:t>
            </w:r>
          </w:p>
        </w:tc>
      </w:tr>
      <w:tr w14:paraId="16DC98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972" w:type="dxa"/>
            <w:vMerge w:val="continue"/>
            <w:noWrap w:val="0"/>
            <w:vAlign w:val="center"/>
          </w:tcPr>
          <w:p w14:paraId="6C44745F">
            <w:pPr>
              <w:pageBreakBefore w:val="0"/>
              <w:widowControl/>
              <w:kinsoku/>
              <w:overflowPunct/>
              <w:bidi w:val="0"/>
              <w:spacing w:line="360" w:lineRule="auto"/>
              <w:jc w:val="center"/>
              <w:rPr>
                <w:rFonts w:hint="eastAsia" w:ascii="宋体" w:hAnsi="宋体" w:eastAsia="宋体" w:cs="宋体"/>
                <w:color w:val="auto"/>
                <w:kern w:val="0"/>
                <w:szCs w:val="21"/>
                <w:highlight w:val="none"/>
              </w:rPr>
            </w:pPr>
            <w:bookmarkStart w:id="561" w:name="_Toc16266"/>
            <w:bookmarkStart w:id="562" w:name="_Toc2378"/>
            <w:bookmarkStart w:id="563" w:name="_Toc25514"/>
            <w:bookmarkStart w:id="564" w:name="_Toc16293"/>
            <w:bookmarkStart w:id="565" w:name="_Toc16607"/>
            <w:bookmarkStart w:id="566" w:name="_Toc465"/>
            <w:bookmarkStart w:id="567" w:name="_Toc19241"/>
            <w:bookmarkStart w:id="568" w:name="_Toc21337"/>
            <w:bookmarkStart w:id="569" w:name="_Toc23399"/>
            <w:bookmarkStart w:id="570" w:name="_Toc1301"/>
          </w:p>
        </w:tc>
        <w:tc>
          <w:tcPr>
            <w:tcW w:w="2431" w:type="dxa"/>
            <w:noWrap w:val="0"/>
            <w:vAlign w:val="center"/>
          </w:tcPr>
          <w:p w14:paraId="1EB5E02C">
            <w:pPr>
              <w:pageBreakBefore w:val="0"/>
              <w:widowControl/>
              <w:kinsoku/>
              <w:overflowPunct/>
              <w:bidi w:val="0"/>
              <w:spacing w:line="360" w:lineRule="auto"/>
              <w:jc w:val="center"/>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其他要求</w:t>
            </w:r>
          </w:p>
        </w:tc>
        <w:tc>
          <w:tcPr>
            <w:tcW w:w="5997" w:type="dxa"/>
            <w:noWrap w:val="0"/>
            <w:vAlign w:val="center"/>
          </w:tcPr>
          <w:p w14:paraId="7E89D8A2">
            <w:pPr>
              <w:pageBreakBefore w:val="0"/>
              <w:widowControl/>
              <w:kinsoku/>
              <w:overflowPunct/>
              <w:bidi w:val="0"/>
              <w:spacing w:line="360" w:lineRule="auto"/>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符合第二章“</w:t>
            </w:r>
            <w:r>
              <w:rPr>
                <w:rFonts w:hint="eastAsia" w:ascii="宋体" w:hAnsi="宋体" w:eastAsia="宋体" w:cs="宋体"/>
                <w:color w:val="auto"/>
                <w:kern w:val="0"/>
                <w:szCs w:val="21"/>
                <w:highlight w:val="none"/>
                <w:lang w:eastAsia="zh-CN"/>
              </w:rPr>
              <w:t>投标人须知前附表</w:t>
            </w:r>
            <w:r>
              <w:rPr>
                <w:rFonts w:hint="eastAsia" w:ascii="宋体" w:hAnsi="宋体" w:eastAsia="宋体" w:cs="宋体"/>
                <w:color w:val="auto"/>
                <w:kern w:val="0"/>
                <w:szCs w:val="21"/>
                <w:highlight w:val="none"/>
              </w:rPr>
              <w:t>”第</w:t>
            </w:r>
            <w:r>
              <w:rPr>
                <w:rFonts w:hint="eastAsia" w:ascii="宋体" w:hAnsi="宋体" w:eastAsia="宋体" w:cs="宋体"/>
                <w:color w:val="auto"/>
                <w:kern w:val="0"/>
                <w:szCs w:val="21"/>
                <w:highlight w:val="none"/>
                <w:lang w:val="en-US" w:eastAsia="zh-CN"/>
              </w:rPr>
              <w:t>1.2.10</w:t>
            </w:r>
            <w:r>
              <w:rPr>
                <w:rFonts w:hint="eastAsia" w:ascii="宋体" w:hAnsi="宋体" w:eastAsia="宋体" w:cs="宋体"/>
                <w:color w:val="auto"/>
                <w:kern w:val="0"/>
                <w:szCs w:val="21"/>
                <w:highlight w:val="none"/>
              </w:rPr>
              <w:t>项规定</w:t>
            </w:r>
          </w:p>
        </w:tc>
      </w:tr>
    </w:tbl>
    <w:p w14:paraId="0F9A1CA0">
      <w:pPr>
        <w:pStyle w:val="6"/>
        <w:pageBreakBefore w:val="0"/>
        <w:numPr>
          <w:ilvl w:val="0"/>
          <w:numId w:val="18"/>
        </w:numPr>
        <w:kinsoku/>
        <w:overflowPunct/>
        <w:bidi w:val="0"/>
        <w:spacing w:line="360" w:lineRule="auto"/>
        <w:rPr>
          <w:rFonts w:hint="eastAsia" w:ascii="宋体" w:hAnsi="宋体" w:eastAsia="宋体" w:cs="宋体"/>
          <w:color w:val="auto"/>
          <w:highlight w:val="none"/>
          <w:lang w:val="en-US" w:eastAsia="zh-CN"/>
        </w:rPr>
      </w:pPr>
      <w:bookmarkStart w:id="571" w:name="_Toc11008"/>
      <w:bookmarkStart w:id="572" w:name="_Toc15430"/>
      <w:r>
        <w:rPr>
          <w:rFonts w:hint="eastAsia" w:ascii="宋体" w:hAnsi="宋体" w:eastAsia="宋体" w:cs="宋体"/>
          <w:b/>
          <w:bCs w:val="0"/>
          <w:color w:val="auto"/>
          <w:kern w:val="2"/>
          <w:sz w:val="24"/>
          <w:szCs w:val="24"/>
          <w:highlight w:val="none"/>
          <w:lang w:val="en-US" w:eastAsia="zh-CN" w:bidi="ar-SA"/>
        </w:rPr>
        <w:t>资格审查</w:t>
      </w:r>
      <w:bookmarkEnd w:id="561"/>
      <w:bookmarkEnd w:id="562"/>
      <w:bookmarkEnd w:id="563"/>
      <w:bookmarkEnd w:id="564"/>
      <w:bookmarkEnd w:id="565"/>
      <w:bookmarkEnd w:id="566"/>
      <w:bookmarkEnd w:id="567"/>
      <w:bookmarkEnd w:id="568"/>
      <w:bookmarkEnd w:id="569"/>
      <w:bookmarkEnd w:id="570"/>
      <w:bookmarkEnd w:id="571"/>
      <w:bookmarkEnd w:id="572"/>
    </w:p>
    <w:p w14:paraId="203FA44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outlineLvl w:val="9"/>
        <w:rPr>
          <w:rFonts w:hint="eastAsia" w:ascii="宋体" w:hAnsi="宋体" w:eastAsia="宋体" w:cs="宋体"/>
          <w:color w:val="auto"/>
          <w:highlight w:val="none"/>
          <w:lang w:eastAsia="zh-CN"/>
        </w:rPr>
      </w:pPr>
      <w:r>
        <w:rPr>
          <w:rFonts w:hint="eastAsia" w:ascii="宋体" w:hAnsi="宋体" w:eastAsia="宋体" w:cs="宋体"/>
          <w:color w:val="auto"/>
          <w:highlight w:val="none"/>
        </w:rPr>
        <w:t>开标结束后</w:t>
      </w:r>
      <w:r>
        <w:rPr>
          <w:rFonts w:hint="eastAsia" w:ascii="宋体" w:hAnsi="宋体" w:eastAsia="宋体" w:cs="宋体"/>
          <w:color w:val="auto"/>
          <w:highlight w:val="none"/>
          <w:lang w:eastAsia="zh-CN"/>
        </w:rPr>
        <w:t>，采购人或者采购代理机构应当依法对投标人的资格进行审查。</w:t>
      </w:r>
    </w:p>
    <w:p w14:paraId="33572F85">
      <w:pPr>
        <w:pStyle w:val="6"/>
        <w:pageBreakBefore w:val="0"/>
        <w:numPr>
          <w:ilvl w:val="0"/>
          <w:numId w:val="18"/>
        </w:numPr>
        <w:kinsoku/>
        <w:overflowPunct/>
        <w:bidi w:val="0"/>
        <w:spacing w:line="360" w:lineRule="auto"/>
        <w:rPr>
          <w:rFonts w:hint="eastAsia" w:ascii="宋体" w:hAnsi="宋体" w:eastAsia="宋体" w:cs="宋体"/>
          <w:color w:val="auto"/>
          <w:highlight w:val="none"/>
          <w:lang w:val="en-US" w:eastAsia="zh-CN"/>
        </w:rPr>
      </w:pPr>
      <w:bookmarkStart w:id="573" w:name="_Toc11928"/>
      <w:r>
        <w:rPr>
          <w:rFonts w:hint="eastAsia" w:ascii="宋体" w:hAnsi="宋体" w:eastAsia="宋体" w:cs="宋体"/>
          <w:color w:val="auto"/>
          <w:highlight w:val="none"/>
          <w:lang w:val="en-US" w:eastAsia="zh-CN"/>
        </w:rPr>
        <w:t>资格审查标准</w:t>
      </w:r>
      <w:bookmarkEnd w:id="573"/>
    </w:p>
    <w:p w14:paraId="4DE19442">
      <w:pPr>
        <w:pageBreakBefore w:val="0"/>
        <w:kinsoku/>
        <w:overflowPunct/>
        <w:autoSpaceDE w:val="0"/>
        <w:autoSpaceDN w:val="0"/>
        <w:bidi w:val="0"/>
        <w:adjustRightInd w:val="0"/>
        <w:spacing w:line="360" w:lineRule="auto"/>
        <w:ind w:right="-20"/>
        <w:jc w:val="left"/>
        <w:rPr>
          <w:rFonts w:hint="eastAsia" w:ascii="宋体" w:hAnsi="宋体" w:eastAsia="宋体" w:cs="宋体"/>
          <w:color w:val="auto"/>
          <w:highlight w:val="none"/>
        </w:rPr>
      </w:pPr>
      <w:r>
        <w:rPr>
          <w:rFonts w:hint="eastAsia" w:ascii="宋体" w:hAnsi="宋体" w:eastAsia="宋体" w:cs="宋体"/>
          <w:color w:val="auto"/>
          <w:kern w:val="0"/>
          <w:szCs w:val="21"/>
          <w:highlight w:val="none"/>
          <w:lang w:val="en-US" w:eastAsia="zh-CN"/>
        </w:rPr>
        <w:t xml:space="preserve">    </w:t>
      </w:r>
      <w:r>
        <w:rPr>
          <w:rFonts w:hint="eastAsia" w:ascii="宋体" w:hAnsi="宋体" w:eastAsia="宋体" w:cs="宋体"/>
          <w:color w:val="auto"/>
          <w:kern w:val="0"/>
          <w:szCs w:val="21"/>
          <w:highlight w:val="none"/>
        </w:rPr>
        <w:t>资格审查标准：见资格审查</w:t>
      </w:r>
      <w:r>
        <w:rPr>
          <w:rFonts w:hint="eastAsia" w:ascii="宋体" w:hAnsi="宋体" w:eastAsia="宋体" w:cs="宋体"/>
          <w:color w:val="auto"/>
          <w:kern w:val="0"/>
          <w:szCs w:val="21"/>
          <w:highlight w:val="none"/>
          <w:lang w:eastAsia="zh-CN"/>
        </w:rPr>
        <w:t>前附</w:t>
      </w:r>
      <w:r>
        <w:rPr>
          <w:rFonts w:hint="eastAsia" w:ascii="宋体" w:hAnsi="宋体" w:eastAsia="宋体" w:cs="宋体"/>
          <w:color w:val="auto"/>
          <w:kern w:val="0"/>
          <w:szCs w:val="21"/>
          <w:highlight w:val="none"/>
        </w:rPr>
        <w:t>表。</w:t>
      </w:r>
    </w:p>
    <w:p w14:paraId="1720D54C">
      <w:pPr>
        <w:pStyle w:val="6"/>
        <w:pageBreakBefore w:val="0"/>
        <w:numPr>
          <w:ilvl w:val="0"/>
          <w:numId w:val="18"/>
        </w:numPr>
        <w:kinsoku/>
        <w:overflowPunct/>
        <w:bidi w:val="0"/>
        <w:spacing w:line="360" w:lineRule="auto"/>
        <w:rPr>
          <w:rFonts w:hint="eastAsia" w:ascii="宋体" w:hAnsi="宋体" w:eastAsia="宋体" w:cs="宋体"/>
          <w:color w:val="auto"/>
          <w:highlight w:val="none"/>
          <w:lang w:val="en-US" w:eastAsia="zh-CN"/>
        </w:rPr>
      </w:pPr>
      <w:bookmarkStart w:id="574" w:name="_Toc5940"/>
      <w:bookmarkStart w:id="575" w:name="_Toc920"/>
      <w:bookmarkStart w:id="576" w:name="_Toc32375"/>
      <w:bookmarkStart w:id="577" w:name="_Toc19383"/>
      <w:bookmarkStart w:id="578" w:name="_Toc14072"/>
      <w:bookmarkStart w:id="579" w:name="_Toc2874"/>
      <w:bookmarkStart w:id="580" w:name="_Toc18436"/>
      <w:bookmarkStart w:id="581" w:name="_Toc10180"/>
      <w:bookmarkStart w:id="582" w:name="_Toc16031"/>
      <w:bookmarkStart w:id="583" w:name="_Toc2259"/>
      <w:bookmarkStart w:id="584" w:name="_Toc2029"/>
      <w:bookmarkStart w:id="585" w:name="_Toc13549"/>
      <w:r>
        <w:rPr>
          <w:rFonts w:hint="eastAsia" w:ascii="宋体" w:hAnsi="宋体" w:eastAsia="宋体" w:cs="宋体"/>
          <w:color w:val="auto"/>
          <w:highlight w:val="none"/>
          <w:lang w:val="en-US" w:eastAsia="zh-CN"/>
        </w:rPr>
        <w:t>资格审查程序</w:t>
      </w:r>
      <w:bookmarkEnd w:id="574"/>
      <w:bookmarkEnd w:id="575"/>
      <w:bookmarkEnd w:id="576"/>
      <w:bookmarkEnd w:id="577"/>
      <w:bookmarkEnd w:id="578"/>
      <w:bookmarkEnd w:id="579"/>
      <w:bookmarkEnd w:id="580"/>
      <w:bookmarkEnd w:id="581"/>
      <w:bookmarkEnd w:id="582"/>
      <w:bookmarkEnd w:id="583"/>
      <w:bookmarkEnd w:id="584"/>
      <w:bookmarkEnd w:id="585"/>
    </w:p>
    <w:p w14:paraId="00ABF885">
      <w:pPr>
        <w:pageBreakBefore w:val="0"/>
        <w:kinsoku/>
        <w:overflowPunct/>
        <w:autoSpaceDE w:val="0"/>
        <w:autoSpaceDN w:val="0"/>
        <w:bidi w:val="0"/>
        <w:adjustRightInd w:val="0"/>
        <w:spacing w:line="360" w:lineRule="auto"/>
        <w:ind w:right="40" w:firstLine="412"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spacing w:val="-2"/>
          <w:kern w:val="0"/>
          <w:szCs w:val="21"/>
          <w:highlight w:val="none"/>
        </w:rPr>
        <w:t>资格审查</w:t>
      </w:r>
      <w:r>
        <w:rPr>
          <w:rFonts w:hint="eastAsia" w:ascii="宋体" w:hAnsi="宋体" w:eastAsia="宋体" w:cs="宋体"/>
          <w:color w:val="auto"/>
          <w:spacing w:val="-2"/>
          <w:kern w:val="0"/>
          <w:szCs w:val="21"/>
          <w:highlight w:val="none"/>
          <w:lang w:eastAsia="zh-CN"/>
        </w:rPr>
        <w:t>人员</w:t>
      </w:r>
      <w:r>
        <w:rPr>
          <w:rFonts w:hint="eastAsia" w:ascii="宋体" w:hAnsi="宋体" w:eastAsia="宋体" w:cs="宋体"/>
          <w:color w:val="auto"/>
          <w:spacing w:val="-2"/>
          <w:kern w:val="0"/>
          <w:szCs w:val="21"/>
          <w:highlight w:val="none"/>
        </w:rPr>
        <w:t>依</w:t>
      </w:r>
      <w:r>
        <w:rPr>
          <w:rFonts w:hint="eastAsia" w:ascii="宋体" w:hAnsi="宋体" w:eastAsia="宋体" w:cs="宋体"/>
          <w:color w:val="auto"/>
          <w:kern w:val="0"/>
          <w:szCs w:val="21"/>
          <w:highlight w:val="none"/>
        </w:rPr>
        <w:t>据本</w:t>
      </w:r>
      <w:r>
        <w:rPr>
          <w:rFonts w:hint="eastAsia" w:ascii="宋体" w:hAnsi="宋体" w:eastAsia="宋体" w:cs="宋体"/>
          <w:color w:val="auto"/>
          <w:spacing w:val="-2"/>
          <w:kern w:val="0"/>
          <w:szCs w:val="21"/>
          <w:highlight w:val="none"/>
        </w:rPr>
        <w:t>章</w:t>
      </w:r>
      <w:r>
        <w:rPr>
          <w:rFonts w:hint="eastAsia" w:ascii="宋体" w:hAnsi="宋体" w:eastAsia="宋体" w:cs="宋体"/>
          <w:color w:val="auto"/>
          <w:kern w:val="0"/>
          <w:szCs w:val="21"/>
          <w:highlight w:val="none"/>
        </w:rPr>
        <w:t>资格审查</w:t>
      </w:r>
      <w:r>
        <w:rPr>
          <w:rFonts w:hint="eastAsia" w:ascii="宋体" w:hAnsi="宋体" w:eastAsia="宋体" w:cs="宋体"/>
          <w:color w:val="auto"/>
          <w:kern w:val="0"/>
          <w:szCs w:val="21"/>
          <w:highlight w:val="none"/>
          <w:lang w:eastAsia="zh-CN"/>
        </w:rPr>
        <w:t>前附</w:t>
      </w:r>
      <w:r>
        <w:rPr>
          <w:rFonts w:hint="eastAsia" w:ascii="宋体" w:hAnsi="宋体" w:eastAsia="宋体" w:cs="宋体"/>
          <w:color w:val="auto"/>
          <w:kern w:val="0"/>
          <w:szCs w:val="21"/>
          <w:highlight w:val="none"/>
        </w:rPr>
        <w:t>表</w:t>
      </w:r>
      <w:r>
        <w:rPr>
          <w:rFonts w:hint="eastAsia" w:ascii="宋体" w:hAnsi="宋体" w:eastAsia="宋体" w:cs="宋体"/>
          <w:color w:val="auto"/>
          <w:spacing w:val="-2"/>
          <w:kern w:val="0"/>
          <w:szCs w:val="21"/>
          <w:highlight w:val="none"/>
        </w:rPr>
        <w:t>规</w:t>
      </w:r>
      <w:r>
        <w:rPr>
          <w:rFonts w:hint="eastAsia" w:ascii="宋体" w:hAnsi="宋体" w:eastAsia="宋体" w:cs="宋体"/>
          <w:color w:val="auto"/>
          <w:kern w:val="0"/>
          <w:szCs w:val="21"/>
          <w:highlight w:val="none"/>
        </w:rPr>
        <w:t>定</w:t>
      </w:r>
      <w:r>
        <w:rPr>
          <w:rFonts w:hint="eastAsia" w:ascii="宋体" w:hAnsi="宋体" w:eastAsia="宋体" w:cs="宋体"/>
          <w:color w:val="auto"/>
          <w:spacing w:val="-2"/>
          <w:kern w:val="0"/>
          <w:szCs w:val="21"/>
          <w:highlight w:val="none"/>
        </w:rPr>
        <w:t>的标</w:t>
      </w:r>
      <w:r>
        <w:rPr>
          <w:rFonts w:hint="eastAsia" w:ascii="宋体" w:hAnsi="宋体" w:eastAsia="宋体" w:cs="宋体"/>
          <w:color w:val="auto"/>
          <w:kern w:val="0"/>
          <w:szCs w:val="21"/>
          <w:highlight w:val="none"/>
        </w:rPr>
        <w:t>准对</w:t>
      </w:r>
      <w:r>
        <w:rPr>
          <w:rFonts w:hint="eastAsia" w:ascii="宋体" w:hAnsi="宋体" w:eastAsia="宋体" w:cs="宋体"/>
          <w:color w:val="auto"/>
          <w:spacing w:val="-2"/>
          <w:kern w:val="0"/>
          <w:szCs w:val="21"/>
          <w:highlight w:val="none"/>
        </w:rPr>
        <w:t>投</w:t>
      </w:r>
      <w:r>
        <w:rPr>
          <w:rFonts w:hint="eastAsia" w:ascii="宋体" w:hAnsi="宋体" w:eastAsia="宋体" w:cs="宋体"/>
          <w:color w:val="auto"/>
          <w:kern w:val="0"/>
          <w:szCs w:val="21"/>
          <w:highlight w:val="none"/>
        </w:rPr>
        <w:t>标</w:t>
      </w:r>
      <w:r>
        <w:rPr>
          <w:rFonts w:hint="eastAsia" w:ascii="宋体" w:hAnsi="宋体" w:eastAsia="宋体" w:cs="宋体"/>
          <w:color w:val="auto"/>
          <w:spacing w:val="-2"/>
          <w:kern w:val="0"/>
          <w:szCs w:val="21"/>
          <w:highlight w:val="none"/>
        </w:rPr>
        <w:t>文</w:t>
      </w:r>
      <w:r>
        <w:rPr>
          <w:rFonts w:hint="eastAsia" w:ascii="宋体" w:hAnsi="宋体" w:eastAsia="宋体" w:cs="宋体"/>
          <w:color w:val="auto"/>
          <w:kern w:val="0"/>
          <w:szCs w:val="21"/>
          <w:highlight w:val="none"/>
        </w:rPr>
        <w:t>件</w:t>
      </w:r>
      <w:r>
        <w:rPr>
          <w:rFonts w:hint="eastAsia" w:ascii="宋体" w:hAnsi="宋体" w:eastAsia="宋体" w:cs="宋体"/>
          <w:color w:val="auto"/>
          <w:spacing w:val="-2"/>
          <w:kern w:val="0"/>
          <w:szCs w:val="21"/>
          <w:highlight w:val="none"/>
        </w:rPr>
        <w:t>进</w:t>
      </w:r>
      <w:r>
        <w:rPr>
          <w:rFonts w:hint="eastAsia" w:ascii="宋体" w:hAnsi="宋体" w:eastAsia="宋体" w:cs="宋体"/>
          <w:color w:val="auto"/>
          <w:kern w:val="0"/>
          <w:szCs w:val="21"/>
          <w:highlight w:val="none"/>
        </w:rPr>
        <w:t>行</w:t>
      </w:r>
      <w:r>
        <w:rPr>
          <w:rFonts w:hint="eastAsia" w:ascii="宋体" w:hAnsi="宋体" w:eastAsia="宋体" w:cs="宋体"/>
          <w:color w:val="auto"/>
          <w:spacing w:val="-2"/>
          <w:kern w:val="0"/>
          <w:szCs w:val="21"/>
          <w:highlight w:val="none"/>
        </w:rPr>
        <w:t>资</w:t>
      </w:r>
      <w:r>
        <w:rPr>
          <w:rFonts w:hint="eastAsia" w:ascii="宋体" w:hAnsi="宋体" w:eastAsia="宋体" w:cs="宋体"/>
          <w:color w:val="auto"/>
          <w:kern w:val="0"/>
          <w:szCs w:val="21"/>
          <w:highlight w:val="none"/>
        </w:rPr>
        <w:t>格审查，以确定投标人是否具备投标资格，有一项不符合评审标准的，资格审查</w:t>
      </w:r>
      <w:r>
        <w:rPr>
          <w:rFonts w:hint="eastAsia" w:ascii="宋体" w:hAnsi="宋体" w:eastAsia="宋体" w:cs="宋体"/>
          <w:color w:val="auto"/>
          <w:kern w:val="0"/>
          <w:szCs w:val="21"/>
          <w:highlight w:val="none"/>
          <w:lang w:eastAsia="zh-CN"/>
        </w:rPr>
        <w:t>人员</w:t>
      </w:r>
      <w:r>
        <w:rPr>
          <w:rFonts w:hint="eastAsia" w:ascii="宋体" w:hAnsi="宋体" w:eastAsia="宋体" w:cs="宋体"/>
          <w:color w:val="auto"/>
          <w:kern w:val="0"/>
          <w:szCs w:val="21"/>
          <w:highlight w:val="none"/>
        </w:rPr>
        <w:t>应当认定其</w:t>
      </w:r>
      <w:r>
        <w:rPr>
          <w:rFonts w:hint="eastAsia" w:ascii="宋体" w:hAnsi="宋体" w:eastAsia="宋体" w:cs="宋体"/>
          <w:b/>
          <w:bCs/>
          <w:color w:val="auto"/>
          <w:kern w:val="0"/>
          <w:szCs w:val="21"/>
          <w:highlight w:val="none"/>
        </w:rPr>
        <w:t>投标无效</w:t>
      </w:r>
      <w:r>
        <w:rPr>
          <w:rFonts w:hint="eastAsia" w:ascii="宋体" w:hAnsi="宋体" w:eastAsia="宋体" w:cs="宋体"/>
          <w:color w:val="auto"/>
          <w:kern w:val="0"/>
          <w:szCs w:val="21"/>
          <w:highlight w:val="none"/>
        </w:rPr>
        <w:t>，合格投标人不足3家的，不得评标。</w:t>
      </w:r>
    </w:p>
    <w:p w14:paraId="48D3C2B4">
      <w:pPr>
        <w:pStyle w:val="4"/>
        <w:pageBreakBefore w:val="0"/>
        <w:kinsoku/>
        <w:overflowPunct/>
        <w:bidi w:val="0"/>
        <w:spacing w:line="360" w:lineRule="auto"/>
        <w:rPr>
          <w:rStyle w:val="52"/>
          <w:rFonts w:hint="eastAsia" w:ascii="宋体" w:hAnsi="宋体" w:eastAsia="宋体" w:cs="宋体"/>
          <w:b/>
          <w:color w:val="auto"/>
          <w:szCs w:val="22"/>
          <w:highlight w:val="none"/>
          <w:lang w:val="en-US" w:eastAsia="zh-CN" w:bidi="ar-SA"/>
        </w:rPr>
      </w:pPr>
      <w:bookmarkStart w:id="586" w:name="_Toc23230"/>
      <w:bookmarkStart w:id="587" w:name="_Toc3310"/>
      <w:bookmarkStart w:id="588" w:name="_Toc21593"/>
      <w:bookmarkStart w:id="589" w:name="_Toc29893"/>
      <w:bookmarkStart w:id="590" w:name="_Toc12137"/>
      <w:bookmarkStart w:id="591" w:name="_Toc8280"/>
      <w:bookmarkStart w:id="592" w:name="_Toc11542"/>
      <w:bookmarkStart w:id="593" w:name="_Toc2610"/>
      <w:bookmarkStart w:id="594" w:name="_Toc19252"/>
      <w:bookmarkStart w:id="595" w:name="_Toc8631"/>
      <w:bookmarkStart w:id="596" w:name="_Toc18033"/>
      <w:r>
        <w:rPr>
          <w:rFonts w:hint="eastAsia" w:ascii="宋体" w:hAnsi="宋体" w:eastAsia="宋体" w:cs="宋体"/>
          <w:color w:val="auto"/>
          <w:sz w:val="32"/>
          <w:szCs w:val="32"/>
          <w:highlight w:val="none"/>
          <w:lang w:eastAsia="zh-CN"/>
        </w:rPr>
        <w:br w:type="page"/>
      </w:r>
      <w:bookmarkStart w:id="597" w:name="_Toc3653"/>
      <w:bookmarkStart w:id="598" w:name="_Toc9104"/>
      <w:r>
        <w:rPr>
          <w:rFonts w:hint="eastAsia" w:ascii="宋体" w:hAnsi="宋体" w:eastAsia="宋体" w:cs="宋体"/>
          <w:color w:val="auto"/>
          <w:sz w:val="32"/>
          <w:szCs w:val="32"/>
          <w:highlight w:val="none"/>
          <w:lang w:eastAsia="zh-CN"/>
        </w:rPr>
        <w:t>第四章</w:t>
      </w:r>
      <w:r>
        <w:rPr>
          <w:rFonts w:hint="eastAsia" w:ascii="宋体" w:hAnsi="宋体" w:eastAsia="宋体" w:cs="宋体"/>
          <w:color w:val="auto"/>
          <w:sz w:val="32"/>
          <w:szCs w:val="32"/>
          <w:highlight w:val="none"/>
          <w:lang w:val="en-US" w:eastAsia="zh-CN"/>
        </w:rPr>
        <w:t xml:space="preserve"> 评标办法（综合评分法）</w:t>
      </w:r>
      <w:bookmarkEnd w:id="597"/>
      <w:bookmarkEnd w:id="598"/>
    </w:p>
    <w:p w14:paraId="3F235018">
      <w:pPr>
        <w:pStyle w:val="6"/>
        <w:pageBreakBefore w:val="0"/>
        <w:numPr>
          <w:ilvl w:val="0"/>
          <w:numId w:val="0"/>
        </w:numPr>
        <w:kinsoku/>
        <w:overflowPunct/>
        <w:bidi w:val="0"/>
        <w:spacing w:line="360" w:lineRule="auto"/>
        <w:ind w:left="482" w:leftChars="0"/>
        <w:jc w:val="center"/>
        <w:rPr>
          <w:rFonts w:hint="eastAsia" w:ascii="宋体" w:hAnsi="宋体" w:eastAsia="宋体" w:cs="宋体"/>
          <w:color w:val="auto"/>
          <w:highlight w:val="none"/>
        </w:rPr>
      </w:pPr>
      <w:bookmarkStart w:id="599" w:name="_Toc1534"/>
      <w:bookmarkStart w:id="600" w:name="_Toc6633"/>
      <w:bookmarkStart w:id="601" w:name="_Toc12415"/>
      <w:bookmarkStart w:id="602" w:name="_Toc23659"/>
      <w:bookmarkStart w:id="603" w:name="_Toc22753"/>
      <w:bookmarkStart w:id="604" w:name="_Toc26967"/>
      <w:bookmarkStart w:id="605" w:name="_Toc22649"/>
      <w:bookmarkStart w:id="606" w:name="_Toc16950"/>
      <w:bookmarkStart w:id="607" w:name="_Toc3264"/>
      <w:bookmarkStart w:id="608" w:name="_Toc14114"/>
      <w:bookmarkStart w:id="609" w:name="_Toc4734"/>
      <w:bookmarkStart w:id="610" w:name="_Toc16535"/>
      <w:r>
        <w:rPr>
          <w:rFonts w:hint="eastAsia" w:ascii="宋体" w:hAnsi="宋体" w:eastAsia="宋体" w:cs="宋体"/>
          <w:color w:val="auto"/>
          <w:sz w:val="24"/>
          <w:szCs w:val="24"/>
          <w:highlight w:val="none"/>
          <w:lang w:val="en-US" w:eastAsia="zh-CN"/>
        </w:rPr>
        <w:t>评标办法前附表</w:t>
      </w:r>
      <w:bookmarkEnd w:id="599"/>
      <w:bookmarkEnd w:id="600"/>
      <w:bookmarkEnd w:id="601"/>
      <w:bookmarkEnd w:id="602"/>
      <w:bookmarkEnd w:id="603"/>
      <w:bookmarkEnd w:id="604"/>
      <w:bookmarkEnd w:id="605"/>
      <w:bookmarkEnd w:id="606"/>
      <w:bookmarkEnd w:id="607"/>
      <w:bookmarkEnd w:id="608"/>
      <w:bookmarkEnd w:id="609"/>
      <w:bookmarkEnd w:id="610"/>
    </w:p>
    <w:tbl>
      <w:tblPr>
        <w:tblStyle w:val="36"/>
        <w:tblW w:w="93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0"/>
        <w:gridCol w:w="140"/>
        <w:gridCol w:w="850"/>
        <w:gridCol w:w="2126"/>
        <w:gridCol w:w="5245"/>
      </w:tblGrid>
      <w:tr w14:paraId="76EAE7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980" w:type="dxa"/>
            <w:gridSpan w:val="3"/>
            <w:noWrap w:val="0"/>
            <w:vAlign w:val="center"/>
          </w:tcPr>
          <w:p w14:paraId="50D17EBB">
            <w:pPr>
              <w:pageBreakBefore w:val="0"/>
              <w:widowControl/>
              <w:kinsoku/>
              <w:overflowPunct/>
              <w:bidi w:val="0"/>
              <w:spacing w:line="360" w:lineRule="auto"/>
              <w:jc w:val="center"/>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条款号</w:t>
            </w:r>
          </w:p>
        </w:tc>
        <w:tc>
          <w:tcPr>
            <w:tcW w:w="2126" w:type="dxa"/>
            <w:noWrap w:val="0"/>
            <w:vAlign w:val="center"/>
          </w:tcPr>
          <w:p w14:paraId="52A60464">
            <w:pPr>
              <w:pageBreakBefore w:val="0"/>
              <w:kinsoku/>
              <w:overflowPunct/>
              <w:autoSpaceDE w:val="0"/>
              <w:autoSpaceDN w:val="0"/>
              <w:bidi w:val="0"/>
              <w:adjustRightInd w:val="0"/>
              <w:spacing w:line="360" w:lineRule="auto"/>
              <w:ind w:left="38" w:leftChars="18"/>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评审因素</w:t>
            </w:r>
          </w:p>
        </w:tc>
        <w:tc>
          <w:tcPr>
            <w:tcW w:w="5245" w:type="dxa"/>
            <w:noWrap w:val="0"/>
            <w:vAlign w:val="center"/>
          </w:tcPr>
          <w:p w14:paraId="5E736FBA">
            <w:pPr>
              <w:pageBreakBefore w:val="0"/>
              <w:kinsoku/>
              <w:overflowPunct/>
              <w:autoSpaceDE w:val="0"/>
              <w:autoSpaceDN w:val="0"/>
              <w:bidi w:val="0"/>
              <w:adjustRightInd w:val="0"/>
              <w:spacing w:line="360" w:lineRule="auto"/>
              <w:ind w:left="38" w:leftChars="18"/>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评审标准</w:t>
            </w:r>
          </w:p>
        </w:tc>
      </w:tr>
      <w:tr w14:paraId="7999B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130" w:type="dxa"/>
            <w:gridSpan w:val="2"/>
            <w:vMerge w:val="restart"/>
            <w:noWrap w:val="0"/>
            <w:vAlign w:val="center"/>
          </w:tcPr>
          <w:p w14:paraId="797C5807">
            <w:pPr>
              <w:pageBreakBefore w:val="0"/>
              <w:widowControl/>
              <w:kinsoku/>
              <w:overflowPunct/>
              <w:bidi w:val="0"/>
              <w:spacing w:line="360" w:lineRule="auto"/>
              <w:jc w:val="center"/>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2.1</w:t>
            </w:r>
          </w:p>
        </w:tc>
        <w:tc>
          <w:tcPr>
            <w:tcW w:w="850" w:type="dxa"/>
            <w:vMerge w:val="restart"/>
            <w:noWrap w:val="0"/>
            <w:vAlign w:val="center"/>
          </w:tcPr>
          <w:p w14:paraId="2EE1EFE9">
            <w:pPr>
              <w:pageBreakBefore w:val="0"/>
              <w:widowControl/>
              <w:kinsoku/>
              <w:overflowPunct/>
              <w:bidi w:val="0"/>
              <w:spacing w:line="360" w:lineRule="auto"/>
              <w:jc w:val="center"/>
              <w:rPr>
                <w:rFonts w:hint="eastAsia" w:ascii="宋体" w:hAnsi="宋体" w:eastAsia="宋体" w:cs="宋体"/>
                <w:color w:val="auto"/>
                <w:kern w:val="0"/>
                <w:szCs w:val="21"/>
                <w:highlight w:val="none"/>
              </w:rPr>
            </w:pPr>
            <w:r>
              <w:rPr>
                <w:rFonts w:hint="eastAsia" w:ascii="宋体" w:hAnsi="宋体" w:eastAsia="宋体" w:cs="宋体"/>
                <w:color w:val="auto"/>
                <w:szCs w:val="21"/>
                <w:highlight w:val="none"/>
              </w:rPr>
              <w:t>符合性审查</w:t>
            </w:r>
            <w:r>
              <w:rPr>
                <w:rFonts w:hint="eastAsia" w:ascii="宋体" w:hAnsi="宋体" w:eastAsia="宋体" w:cs="宋体"/>
                <w:color w:val="auto"/>
                <w:kern w:val="0"/>
                <w:szCs w:val="21"/>
                <w:highlight w:val="none"/>
              </w:rPr>
              <w:t>标准</w:t>
            </w:r>
          </w:p>
        </w:tc>
        <w:tc>
          <w:tcPr>
            <w:tcW w:w="2126" w:type="dxa"/>
            <w:noWrap w:val="0"/>
            <w:vAlign w:val="center"/>
          </w:tcPr>
          <w:p w14:paraId="10FE59C5">
            <w:pPr>
              <w:pageBreakBefore w:val="0"/>
              <w:widowControl/>
              <w:kinsoku/>
              <w:overflowPunct/>
              <w:bidi w:val="0"/>
              <w:spacing w:line="360" w:lineRule="auto"/>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投标文件</w:t>
            </w:r>
            <w:r>
              <w:rPr>
                <w:rFonts w:hint="eastAsia" w:ascii="宋体" w:hAnsi="宋体" w:eastAsia="宋体" w:cs="宋体"/>
                <w:color w:val="auto"/>
                <w:kern w:val="0"/>
                <w:szCs w:val="21"/>
                <w:highlight w:val="none"/>
                <w:lang w:eastAsia="zh-CN"/>
              </w:rPr>
              <w:t>签署、</w:t>
            </w:r>
            <w:r>
              <w:rPr>
                <w:rFonts w:hint="eastAsia" w:ascii="宋体" w:hAnsi="宋体" w:eastAsia="宋体" w:cs="宋体"/>
                <w:color w:val="auto"/>
                <w:kern w:val="0"/>
                <w:szCs w:val="21"/>
                <w:highlight w:val="none"/>
              </w:rPr>
              <w:t>盖章</w:t>
            </w:r>
          </w:p>
        </w:tc>
        <w:tc>
          <w:tcPr>
            <w:tcW w:w="5245" w:type="dxa"/>
            <w:noWrap w:val="0"/>
            <w:vAlign w:val="center"/>
          </w:tcPr>
          <w:p w14:paraId="21A3CA3B">
            <w:pPr>
              <w:pageBreakBefore w:val="0"/>
              <w:widowControl/>
              <w:kinsoku/>
              <w:overflowPunct/>
              <w:bidi w:val="0"/>
              <w:spacing w:line="360" w:lineRule="auto"/>
              <w:jc w:val="center"/>
              <w:rPr>
                <w:rFonts w:hint="eastAsia" w:ascii="宋体" w:hAnsi="宋体" w:eastAsia="宋体" w:cs="宋体"/>
                <w:color w:val="auto"/>
                <w:kern w:val="0"/>
                <w:szCs w:val="21"/>
                <w:highlight w:val="none"/>
              </w:rPr>
            </w:pPr>
            <w:r>
              <w:rPr>
                <w:rFonts w:hint="eastAsia" w:ascii="宋体" w:hAnsi="宋体" w:eastAsia="宋体" w:cs="宋体"/>
                <w:color w:val="auto"/>
                <w:szCs w:val="21"/>
                <w:highlight w:val="none"/>
              </w:rPr>
              <w:t>投标文件按招标文件要求签署、盖章</w:t>
            </w:r>
          </w:p>
        </w:tc>
      </w:tr>
      <w:tr w14:paraId="6FD775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130" w:type="dxa"/>
            <w:gridSpan w:val="2"/>
            <w:vMerge w:val="continue"/>
            <w:noWrap w:val="0"/>
            <w:vAlign w:val="center"/>
          </w:tcPr>
          <w:p w14:paraId="52BD1E6F">
            <w:pPr>
              <w:pageBreakBefore w:val="0"/>
              <w:widowControl/>
              <w:kinsoku/>
              <w:overflowPunct/>
              <w:bidi w:val="0"/>
              <w:spacing w:line="360" w:lineRule="auto"/>
              <w:jc w:val="center"/>
              <w:rPr>
                <w:rFonts w:hint="eastAsia" w:ascii="宋体" w:hAnsi="宋体" w:eastAsia="宋体" w:cs="宋体"/>
                <w:color w:val="auto"/>
                <w:kern w:val="0"/>
                <w:szCs w:val="21"/>
                <w:highlight w:val="none"/>
              </w:rPr>
            </w:pPr>
          </w:p>
        </w:tc>
        <w:tc>
          <w:tcPr>
            <w:tcW w:w="850" w:type="dxa"/>
            <w:vMerge w:val="continue"/>
            <w:noWrap w:val="0"/>
            <w:vAlign w:val="center"/>
          </w:tcPr>
          <w:p w14:paraId="2C3BEFBE">
            <w:pPr>
              <w:pageBreakBefore w:val="0"/>
              <w:widowControl/>
              <w:kinsoku/>
              <w:overflowPunct/>
              <w:bidi w:val="0"/>
              <w:spacing w:line="360" w:lineRule="auto"/>
              <w:jc w:val="center"/>
              <w:rPr>
                <w:rFonts w:hint="eastAsia" w:ascii="宋体" w:hAnsi="宋体" w:eastAsia="宋体" w:cs="宋体"/>
                <w:color w:val="auto"/>
                <w:kern w:val="0"/>
                <w:szCs w:val="21"/>
                <w:highlight w:val="none"/>
              </w:rPr>
            </w:pPr>
          </w:p>
        </w:tc>
        <w:tc>
          <w:tcPr>
            <w:tcW w:w="2126" w:type="dxa"/>
            <w:noWrap w:val="0"/>
            <w:vAlign w:val="center"/>
          </w:tcPr>
          <w:p w14:paraId="3E1F8E44">
            <w:pPr>
              <w:pageBreakBefore w:val="0"/>
              <w:widowControl/>
              <w:kinsoku/>
              <w:overflowPunct/>
              <w:bidi w:val="0"/>
              <w:spacing w:line="360" w:lineRule="auto"/>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投标文件格式</w:t>
            </w:r>
          </w:p>
        </w:tc>
        <w:tc>
          <w:tcPr>
            <w:tcW w:w="5245" w:type="dxa"/>
            <w:noWrap w:val="0"/>
            <w:vAlign w:val="center"/>
          </w:tcPr>
          <w:p w14:paraId="50EEB413">
            <w:pPr>
              <w:pageBreakBefore w:val="0"/>
              <w:widowControl/>
              <w:kinsoku/>
              <w:overflowPunct/>
              <w:bidi w:val="0"/>
              <w:spacing w:line="360" w:lineRule="auto"/>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符合招标文件中提供的投标文件格式</w:t>
            </w:r>
          </w:p>
        </w:tc>
      </w:tr>
      <w:tr w14:paraId="20C59D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130" w:type="dxa"/>
            <w:gridSpan w:val="2"/>
            <w:vMerge w:val="continue"/>
            <w:noWrap w:val="0"/>
            <w:vAlign w:val="center"/>
          </w:tcPr>
          <w:p w14:paraId="2455B0A2">
            <w:pPr>
              <w:pageBreakBefore w:val="0"/>
              <w:widowControl/>
              <w:kinsoku/>
              <w:overflowPunct/>
              <w:bidi w:val="0"/>
              <w:spacing w:line="360" w:lineRule="auto"/>
              <w:jc w:val="center"/>
              <w:rPr>
                <w:rFonts w:hint="eastAsia" w:ascii="宋体" w:hAnsi="宋体" w:eastAsia="宋体" w:cs="宋体"/>
                <w:color w:val="auto"/>
                <w:kern w:val="0"/>
                <w:szCs w:val="21"/>
                <w:highlight w:val="none"/>
              </w:rPr>
            </w:pPr>
          </w:p>
        </w:tc>
        <w:tc>
          <w:tcPr>
            <w:tcW w:w="850" w:type="dxa"/>
            <w:vMerge w:val="continue"/>
            <w:noWrap w:val="0"/>
            <w:vAlign w:val="center"/>
          </w:tcPr>
          <w:p w14:paraId="61C4D238">
            <w:pPr>
              <w:pageBreakBefore w:val="0"/>
              <w:widowControl/>
              <w:kinsoku/>
              <w:overflowPunct/>
              <w:bidi w:val="0"/>
              <w:spacing w:line="360" w:lineRule="auto"/>
              <w:jc w:val="center"/>
              <w:rPr>
                <w:rFonts w:hint="eastAsia" w:ascii="宋体" w:hAnsi="宋体" w:eastAsia="宋体" w:cs="宋体"/>
                <w:color w:val="auto"/>
                <w:kern w:val="0"/>
                <w:szCs w:val="21"/>
                <w:highlight w:val="none"/>
              </w:rPr>
            </w:pPr>
          </w:p>
        </w:tc>
        <w:tc>
          <w:tcPr>
            <w:tcW w:w="2126" w:type="dxa"/>
            <w:noWrap w:val="0"/>
            <w:vAlign w:val="center"/>
          </w:tcPr>
          <w:p w14:paraId="1454CB34">
            <w:pPr>
              <w:pageBreakBefore w:val="0"/>
              <w:widowControl/>
              <w:kinsoku/>
              <w:overflowPunct/>
              <w:bidi w:val="0"/>
              <w:spacing w:line="360" w:lineRule="auto"/>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lang w:val="en-US" w:eastAsia="zh-CN"/>
              </w:rPr>
              <w:t>投标承诺函</w:t>
            </w:r>
          </w:p>
        </w:tc>
        <w:tc>
          <w:tcPr>
            <w:tcW w:w="5245" w:type="dxa"/>
            <w:noWrap w:val="0"/>
            <w:vAlign w:val="center"/>
          </w:tcPr>
          <w:p w14:paraId="21F9B585">
            <w:pPr>
              <w:pageBreakBefore w:val="0"/>
              <w:widowControl/>
              <w:kinsoku/>
              <w:overflowPunct/>
              <w:bidi w:val="0"/>
              <w:spacing w:line="360" w:lineRule="auto"/>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按照招标文件的规定提交</w:t>
            </w:r>
            <w:r>
              <w:rPr>
                <w:rFonts w:hint="eastAsia" w:ascii="宋体" w:hAnsi="宋体" w:eastAsia="宋体" w:cs="宋体"/>
                <w:color w:val="auto"/>
                <w:kern w:val="0"/>
                <w:szCs w:val="21"/>
                <w:highlight w:val="none"/>
                <w:lang w:val="en-US" w:eastAsia="zh-CN"/>
              </w:rPr>
              <w:t>投标承诺函</w:t>
            </w:r>
          </w:p>
        </w:tc>
      </w:tr>
      <w:tr w14:paraId="16A210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130" w:type="dxa"/>
            <w:gridSpan w:val="2"/>
            <w:vMerge w:val="continue"/>
            <w:noWrap w:val="0"/>
            <w:vAlign w:val="center"/>
          </w:tcPr>
          <w:p w14:paraId="44710AA2">
            <w:pPr>
              <w:pageBreakBefore w:val="0"/>
              <w:widowControl/>
              <w:kinsoku/>
              <w:overflowPunct/>
              <w:bidi w:val="0"/>
              <w:spacing w:line="360" w:lineRule="auto"/>
              <w:jc w:val="center"/>
              <w:rPr>
                <w:rFonts w:hint="eastAsia" w:ascii="宋体" w:hAnsi="宋体" w:eastAsia="宋体" w:cs="宋体"/>
                <w:color w:val="auto"/>
                <w:kern w:val="0"/>
                <w:szCs w:val="21"/>
                <w:highlight w:val="none"/>
              </w:rPr>
            </w:pPr>
          </w:p>
        </w:tc>
        <w:tc>
          <w:tcPr>
            <w:tcW w:w="850" w:type="dxa"/>
            <w:vMerge w:val="continue"/>
            <w:noWrap w:val="0"/>
            <w:vAlign w:val="center"/>
          </w:tcPr>
          <w:p w14:paraId="5BF4D8D1">
            <w:pPr>
              <w:pageBreakBefore w:val="0"/>
              <w:widowControl/>
              <w:kinsoku/>
              <w:overflowPunct/>
              <w:bidi w:val="0"/>
              <w:spacing w:line="360" w:lineRule="auto"/>
              <w:jc w:val="center"/>
              <w:rPr>
                <w:rFonts w:hint="eastAsia" w:ascii="宋体" w:hAnsi="宋体" w:eastAsia="宋体" w:cs="宋体"/>
                <w:color w:val="auto"/>
                <w:kern w:val="0"/>
                <w:szCs w:val="21"/>
                <w:highlight w:val="none"/>
              </w:rPr>
            </w:pPr>
          </w:p>
        </w:tc>
        <w:tc>
          <w:tcPr>
            <w:tcW w:w="2126" w:type="dxa"/>
            <w:noWrap w:val="0"/>
            <w:vAlign w:val="center"/>
          </w:tcPr>
          <w:p w14:paraId="3FDE2378">
            <w:pPr>
              <w:pageBreakBefore w:val="0"/>
              <w:widowControl/>
              <w:kinsoku/>
              <w:overflowPunct/>
              <w:bidi w:val="0"/>
              <w:spacing w:line="360" w:lineRule="auto"/>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报价唯一</w:t>
            </w:r>
          </w:p>
        </w:tc>
        <w:tc>
          <w:tcPr>
            <w:tcW w:w="5245" w:type="dxa"/>
            <w:noWrap w:val="0"/>
            <w:vAlign w:val="center"/>
          </w:tcPr>
          <w:p w14:paraId="13120FBB">
            <w:pPr>
              <w:pageBreakBefore w:val="0"/>
              <w:widowControl/>
              <w:kinsoku/>
              <w:overflowPunct/>
              <w:bidi w:val="0"/>
              <w:spacing w:line="360" w:lineRule="auto"/>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只能有一个有效报价</w:t>
            </w:r>
          </w:p>
        </w:tc>
      </w:tr>
      <w:tr w14:paraId="3AA977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130" w:type="dxa"/>
            <w:gridSpan w:val="2"/>
            <w:vMerge w:val="continue"/>
            <w:noWrap w:val="0"/>
            <w:vAlign w:val="center"/>
          </w:tcPr>
          <w:p w14:paraId="236C0EB0">
            <w:pPr>
              <w:pageBreakBefore w:val="0"/>
              <w:widowControl/>
              <w:kinsoku/>
              <w:overflowPunct/>
              <w:bidi w:val="0"/>
              <w:spacing w:line="360" w:lineRule="auto"/>
              <w:jc w:val="center"/>
              <w:rPr>
                <w:rFonts w:hint="eastAsia" w:ascii="宋体" w:hAnsi="宋体" w:eastAsia="宋体" w:cs="宋体"/>
                <w:color w:val="auto"/>
                <w:kern w:val="0"/>
                <w:szCs w:val="21"/>
                <w:highlight w:val="none"/>
              </w:rPr>
            </w:pPr>
          </w:p>
        </w:tc>
        <w:tc>
          <w:tcPr>
            <w:tcW w:w="850" w:type="dxa"/>
            <w:vMerge w:val="continue"/>
            <w:noWrap w:val="0"/>
            <w:vAlign w:val="center"/>
          </w:tcPr>
          <w:p w14:paraId="6D2D548A">
            <w:pPr>
              <w:pageBreakBefore w:val="0"/>
              <w:widowControl/>
              <w:kinsoku/>
              <w:overflowPunct/>
              <w:bidi w:val="0"/>
              <w:spacing w:line="360" w:lineRule="auto"/>
              <w:jc w:val="center"/>
              <w:rPr>
                <w:rFonts w:hint="eastAsia" w:ascii="宋体" w:hAnsi="宋体" w:eastAsia="宋体" w:cs="宋体"/>
                <w:color w:val="auto"/>
                <w:kern w:val="0"/>
                <w:szCs w:val="21"/>
                <w:highlight w:val="none"/>
              </w:rPr>
            </w:pPr>
          </w:p>
        </w:tc>
        <w:tc>
          <w:tcPr>
            <w:tcW w:w="2126" w:type="dxa"/>
            <w:noWrap w:val="0"/>
            <w:vAlign w:val="center"/>
          </w:tcPr>
          <w:p w14:paraId="0ABF001D">
            <w:pPr>
              <w:pageBreakBefore w:val="0"/>
              <w:widowControl/>
              <w:kinsoku/>
              <w:overflowPunct/>
              <w:bidi w:val="0"/>
              <w:spacing w:line="360" w:lineRule="auto"/>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投标报价</w:t>
            </w:r>
          </w:p>
        </w:tc>
        <w:tc>
          <w:tcPr>
            <w:tcW w:w="5245" w:type="dxa"/>
            <w:noWrap w:val="0"/>
            <w:vAlign w:val="center"/>
          </w:tcPr>
          <w:p w14:paraId="3947B725">
            <w:pPr>
              <w:pageBreakBefore w:val="0"/>
              <w:widowControl/>
              <w:kinsoku/>
              <w:overflowPunct/>
              <w:bidi w:val="0"/>
              <w:spacing w:line="360" w:lineRule="auto"/>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报价未超过招标文件中规定的</w:t>
            </w:r>
            <w:r>
              <w:rPr>
                <w:rFonts w:hint="eastAsia" w:ascii="宋体" w:hAnsi="宋体" w:eastAsia="宋体" w:cs="宋体"/>
                <w:color w:val="auto"/>
                <w:kern w:val="0"/>
                <w:szCs w:val="21"/>
                <w:highlight w:val="none"/>
                <w:lang w:val="en-US" w:eastAsia="zh-CN"/>
              </w:rPr>
              <w:t>采购预算或</w:t>
            </w:r>
            <w:r>
              <w:rPr>
                <w:rFonts w:hint="eastAsia" w:ascii="宋体" w:hAnsi="宋体" w:eastAsia="宋体" w:cs="宋体"/>
                <w:color w:val="auto"/>
                <w:kern w:val="0"/>
                <w:szCs w:val="21"/>
                <w:highlight w:val="none"/>
              </w:rPr>
              <w:t>最高限价</w:t>
            </w:r>
          </w:p>
        </w:tc>
      </w:tr>
      <w:tr w14:paraId="2C7963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130" w:type="dxa"/>
            <w:gridSpan w:val="2"/>
            <w:vMerge w:val="continue"/>
            <w:noWrap w:val="0"/>
            <w:vAlign w:val="center"/>
          </w:tcPr>
          <w:p w14:paraId="35A73791">
            <w:pPr>
              <w:pageBreakBefore w:val="0"/>
              <w:widowControl/>
              <w:kinsoku/>
              <w:overflowPunct/>
              <w:bidi w:val="0"/>
              <w:spacing w:line="360" w:lineRule="auto"/>
              <w:jc w:val="center"/>
              <w:rPr>
                <w:rFonts w:hint="eastAsia" w:ascii="宋体" w:hAnsi="宋体" w:eastAsia="宋体" w:cs="宋体"/>
                <w:color w:val="auto"/>
                <w:kern w:val="0"/>
                <w:szCs w:val="21"/>
                <w:highlight w:val="none"/>
              </w:rPr>
            </w:pPr>
          </w:p>
        </w:tc>
        <w:tc>
          <w:tcPr>
            <w:tcW w:w="850" w:type="dxa"/>
            <w:vMerge w:val="continue"/>
            <w:noWrap w:val="0"/>
            <w:vAlign w:val="center"/>
          </w:tcPr>
          <w:p w14:paraId="2215FCB4">
            <w:pPr>
              <w:pageBreakBefore w:val="0"/>
              <w:widowControl/>
              <w:kinsoku/>
              <w:overflowPunct/>
              <w:bidi w:val="0"/>
              <w:spacing w:line="360" w:lineRule="auto"/>
              <w:jc w:val="center"/>
              <w:rPr>
                <w:rFonts w:hint="eastAsia" w:ascii="宋体" w:hAnsi="宋体" w:eastAsia="宋体" w:cs="宋体"/>
                <w:color w:val="auto"/>
                <w:kern w:val="0"/>
                <w:szCs w:val="21"/>
                <w:highlight w:val="none"/>
              </w:rPr>
            </w:pPr>
          </w:p>
        </w:tc>
        <w:tc>
          <w:tcPr>
            <w:tcW w:w="2126" w:type="dxa"/>
            <w:noWrap w:val="0"/>
            <w:vAlign w:val="center"/>
          </w:tcPr>
          <w:p w14:paraId="119DAAF8">
            <w:pPr>
              <w:pageBreakBefore w:val="0"/>
              <w:widowControl/>
              <w:kinsoku/>
              <w:overflowPunct/>
              <w:bidi w:val="0"/>
              <w:spacing w:line="360" w:lineRule="auto"/>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投标内容</w:t>
            </w:r>
          </w:p>
        </w:tc>
        <w:tc>
          <w:tcPr>
            <w:tcW w:w="5245" w:type="dxa"/>
            <w:noWrap w:val="0"/>
            <w:vAlign w:val="center"/>
          </w:tcPr>
          <w:p w14:paraId="2B22483D">
            <w:pPr>
              <w:pageBreakBefore w:val="0"/>
              <w:widowControl/>
              <w:kinsoku/>
              <w:overflowPunct/>
              <w:bidi w:val="0"/>
              <w:spacing w:line="360" w:lineRule="auto"/>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符合第二章“</w:t>
            </w:r>
            <w:r>
              <w:rPr>
                <w:rFonts w:hint="eastAsia" w:ascii="宋体" w:hAnsi="宋体" w:eastAsia="宋体" w:cs="宋体"/>
                <w:color w:val="auto"/>
                <w:kern w:val="0"/>
                <w:szCs w:val="21"/>
                <w:highlight w:val="none"/>
                <w:lang w:eastAsia="zh-CN"/>
              </w:rPr>
              <w:t>投标人须知前附表</w:t>
            </w:r>
            <w:r>
              <w:rPr>
                <w:rFonts w:hint="eastAsia" w:ascii="宋体" w:hAnsi="宋体" w:eastAsia="宋体" w:cs="宋体"/>
                <w:color w:val="auto"/>
                <w:kern w:val="0"/>
                <w:szCs w:val="21"/>
                <w:highlight w:val="none"/>
              </w:rPr>
              <w:t>”第</w:t>
            </w:r>
            <w:r>
              <w:rPr>
                <w:rFonts w:hint="eastAsia" w:ascii="宋体" w:hAnsi="宋体" w:eastAsia="宋体" w:cs="宋体"/>
                <w:color w:val="auto"/>
                <w:kern w:val="0"/>
                <w:szCs w:val="21"/>
                <w:highlight w:val="none"/>
                <w:lang w:val="en-US" w:eastAsia="zh-CN"/>
              </w:rPr>
              <w:t>1.2.4</w:t>
            </w:r>
            <w:r>
              <w:rPr>
                <w:rFonts w:hint="eastAsia" w:ascii="宋体" w:hAnsi="宋体" w:eastAsia="宋体" w:cs="宋体"/>
                <w:color w:val="auto"/>
                <w:kern w:val="0"/>
                <w:szCs w:val="21"/>
                <w:highlight w:val="none"/>
              </w:rPr>
              <w:t>项规定</w:t>
            </w:r>
          </w:p>
        </w:tc>
      </w:tr>
      <w:tr w14:paraId="0E545A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130" w:type="dxa"/>
            <w:gridSpan w:val="2"/>
            <w:vMerge w:val="continue"/>
            <w:noWrap w:val="0"/>
            <w:vAlign w:val="center"/>
          </w:tcPr>
          <w:p w14:paraId="7C4CEE2A">
            <w:pPr>
              <w:pageBreakBefore w:val="0"/>
              <w:widowControl/>
              <w:kinsoku/>
              <w:overflowPunct/>
              <w:bidi w:val="0"/>
              <w:spacing w:line="360" w:lineRule="auto"/>
              <w:jc w:val="center"/>
              <w:rPr>
                <w:rFonts w:hint="eastAsia" w:ascii="宋体" w:hAnsi="宋体" w:eastAsia="宋体" w:cs="宋体"/>
                <w:color w:val="auto"/>
                <w:kern w:val="0"/>
                <w:szCs w:val="21"/>
                <w:highlight w:val="none"/>
              </w:rPr>
            </w:pPr>
          </w:p>
        </w:tc>
        <w:tc>
          <w:tcPr>
            <w:tcW w:w="850" w:type="dxa"/>
            <w:vMerge w:val="continue"/>
            <w:noWrap w:val="0"/>
            <w:vAlign w:val="center"/>
          </w:tcPr>
          <w:p w14:paraId="32E8CA54">
            <w:pPr>
              <w:pageBreakBefore w:val="0"/>
              <w:widowControl/>
              <w:kinsoku/>
              <w:overflowPunct/>
              <w:bidi w:val="0"/>
              <w:spacing w:line="360" w:lineRule="auto"/>
              <w:jc w:val="center"/>
              <w:rPr>
                <w:rFonts w:hint="eastAsia" w:ascii="宋体" w:hAnsi="宋体" w:eastAsia="宋体" w:cs="宋体"/>
                <w:color w:val="auto"/>
                <w:kern w:val="0"/>
                <w:szCs w:val="21"/>
                <w:highlight w:val="none"/>
              </w:rPr>
            </w:pPr>
          </w:p>
        </w:tc>
        <w:tc>
          <w:tcPr>
            <w:tcW w:w="2126" w:type="dxa"/>
            <w:noWrap w:val="0"/>
            <w:vAlign w:val="center"/>
          </w:tcPr>
          <w:p w14:paraId="540DC7E7">
            <w:pPr>
              <w:pageBreakBefore w:val="0"/>
              <w:widowControl/>
              <w:kinsoku/>
              <w:overflowPunct/>
              <w:bidi w:val="0"/>
              <w:spacing w:line="360" w:lineRule="auto"/>
              <w:jc w:val="center"/>
              <w:rPr>
                <w:rFonts w:hint="eastAsia" w:ascii="宋体" w:hAnsi="宋体" w:eastAsia="宋体" w:cs="宋体"/>
                <w:color w:val="auto"/>
                <w:kern w:val="0"/>
                <w:szCs w:val="21"/>
                <w:highlight w:val="none"/>
                <w:shd w:val="clear" w:color="auto" w:fill="auto"/>
                <w:lang w:val="en-US" w:eastAsia="zh-CN"/>
              </w:rPr>
            </w:pPr>
            <w:r>
              <w:rPr>
                <w:rFonts w:hint="eastAsia" w:ascii="宋体" w:hAnsi="宋体" w:eastAsia="宋体" w:cs="宋体"/>
                <w:color w:val="auto"/>
                <w:kern w:val="0"/>
                <w:szCs w:val="21"/>
                <w:highlight w:val="none"/>
                <w:shd w:val="clear" w:color="auto" w:fill="auto"/>
                <w:lang w:val="en-US" w:eastAsia="zh-CN"/>
              </w:rPr>
              <w:t>交货及安装调试期</w:t>
            </w:r>
          </w:p>
        </w:tc>
        <w:tc>
          <w:tcPr>
            <w:tcW w:w="5245" w:type="dxa"/>
            <w:noWrap w:val="0"/>
            <w:vAlign w:val="center"/>
          </w:tcPr>
          <w:p w14:paraId="442921AC">
            <w:pPr>
              <w:pageBreakBefore w:val="0"/>
              <w:widowControl/>
              <w:kinsoku/>
              <w:overflowPunct/>
              <w:bidi w:val="0"/>
              <w:spacing w:line="360" w:lineRule="auto"/>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符合第二章“</w:t>
            </w:r>
            <w:r>
              <w:rPr>
                <w:rFonts w:hint="eastAsia" w:ascii="宋体" w:hAnsi="宋体" w:eastAsia="宋体" w:cs="宋体"/>
                <w:color w:val="auto"/>
                <w:kern w:val="0"/>
                <w:szCs w:val="21"/>
                <w:highlight w:val="none"/>
                <w:lang w:eastAsia="zh-CN"/>
              </w:rPr>
              <w:t>投标人须知前附表</w:t>
            </w:r>
            <w:r>
              <w:rPr>
                <w:rFonts w:hint="eastAsia" w:ascii="宋体" w:hAnsi="宋体" w:eastAsia="宋体" w:cs="宋体"/>
                <w:color w:val="auto"/>
                <w:kern w:val="0"/>
                <w:szCs w:val="21"/>
                <w:highlight w:val="none"/>
              </w:rPr>
              <w:t>”第</w:t>
            </w:r>
            <w:r>
              <w:rPr>
                <w:rFonts w:hint="eastAsia" w:ascii="宋体" w:hAnsi="宋体" w:eastAsia="宋体" w:cs="宋体"/>
                <w:color w:val="auto"/>
                <w:kern w:val="0"/>
                <w:szCs w:val="21"/>
                <w:highlight w:val="none"/>
                <w:lang w:val="en-US" w:eastAsia="zh-CN"/>
              </w:rPr>
              <w:t>1.2.6</w:t>
            </w:r>
            <w:r>
              <w:rPr>
                <w:rFonts w:hint="eastAsia" w:ascii="宋体" w:hAnsi="宋体" w:eastAsia="宋体" w:cs="宋体"/>
                <w:color w:val="auto"/>
                <w:kern w:val="0"/>
                <w:szCs w:val="21"/>
                <w:highlight w:val="none"/>
              </w:rPr>
              <w:t>项规定</w:t>
            </w:r>
          </w:p>
        </w:tc>
      </w:tr>
      <w:tr w14:paraId="747FC5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130" w:type="dxa"/>
            <w:gridSpan w:val="2"/>
            <w:vMerge w:val="continue"/>
            <w:noWrap w:val="0"/>
            <w:vAlign w:val="center"/>
          </w:tcPr>
          <w:p w14:paraId="22C94D5E">
            <w:pPr>
              <w:pageBreakBefore w:val="0"/>
              <w:widowControl/>
              <w:kinsoku/>
              <w:overflowPunct/>
              <w:bidi w:val="0"/>
              <w:spacing w:line="360" w:lineRule="auto"/>
              <w:jc w:val="center"/>
              <w:rPr>
                <w:rFonts w:hint="eastAsia" w:ascii="宋体" w:hAnsi="宋体" w:eastAsia="宋体" w:cs="宋体"/>
                <w:color w:val="auto"/>
                <w:kern w:val="0"/>
                <w:szCs w:val="21"/>
                <w:highlight w:val="none"/>
              </w:rPr>
            </w:pPr>
          </w:p>
        </w:tc>
        <w:tc>
          <w:tcPr>
            <w:tcW w:w="850" w:type="dxa"/>
            <w:vMerge w:val="continue"/>
            <w:noWrap w:val="0"/>
            <w:vAlign w:val="center"/>
          </w:tcPr>
          <w:p w14:paraId="7F8C60DF">
            <w:pPr>
              <w:pageBreakBefore w:val="0"/>
              <w:widowControl/>
              <w:kinsoku/>
              <w:overflowPunct/>
              <w:bidi w:val="0"/>
              <w:spacing w:line="360" w:lineRule="auto"/>
              <w:jc w:val="center"/>
              <w:rPr>
                <w:rFonts w:hint="eastAsia" w:ascii="宋体" w:hAnsi="宋体" w:eastAsia="宋体" w:cs="宋体"/>
                <w:color w:val="auto"/>
                <w:kern w:val="0"/>
                <w:szCs w:val="21"/>
                <w:highlight w:val="none"/>
              </w:rPr>
            </w:pPr>
          </w:p>
        </w:tc>
        <w:tc>
          <w:tcPr>
            <w:tcW w:w="2126" w:type="dxa"/>
            <w:noWrap w:val="0"/>
            <w:vAlign w:val="center"/>
          </w:tcPr>
          <w:p w14:paraId="229A9C3A">
            <w:pPr>
              <w:pageBreakBefore w:val="0"/>
              <w:widowControl/>
              <w:kinsoku/>
              <w:overflowPunct/>
              <w:bidi w:val="0"/>
              <w:spacing w:line="360" w:lineRule="auto"/>
              <w:jc w:val="center"/>
              <w:rPr>
                <w:rFonts w:hint="eastAsia" w:ascii="宋体" w:hAnsi="宋体" w:eastAsia="宋体" w:cs="宋体"/>
                <w:color w:val="auto"/>
                <w:kern w:val="0"/>
                <w:szCs w:val="21"/>
                <w:highlight w:val="none"/>
                <w:shd w:val="clear" w:color="auto" w:fill="auto"/>
                <w:lang w:eastAsia="zh-CN"/>
              </w:rPr>
            </w:pPr>
            <w:r>
              <w:rPr>
                <w:rFonts w:hint="eastAsia" w:ascii="宋体" w:hAnsi="宋体" w:eastAsia="宋体" w:cs="宋体"/>
                <w:color w:val="auto"/>
                <w:kern w:val="0"/>
                <w:szCs w:val="21"/>
                <w:highlight w:val="none"/>
                <w:shd w:val="clear" w:color="auto" w:fill="auto"/>
                <w:lang w:eastAsia="zh-CN"/>
              </w:rPr>
              <w:t>交货地点</w:t>
            </w:r>
          </w:p>
        </w:tc>
        <w:tc>
          <w:tcPr>
            <w:tcW w:w="5245" w:type="dxa"/>
            <w:noWrap w:val="0"/>
            <w:vAlign w:val="center"/>
          </w:tcPr>
          <w:p w14:paraId="5F58D063">
            <w:pPr>
              <w:pageBreakBefore w:val="0"/>
              <w:widowControl/>
              <w:kinsoku/>
              <w:overflowPunct/>
              <w:bidi w:val="0"/>
              <w:spacing w:line="360" w:lineRule="auto"/>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符合第二章“</w:t>
            </w:r>
            <w:r>
              <w:rPr>
                <w:rFonts w:hint="eastAsia" w:ascii="宋体" w:hAnsi="宋体" w:eastAsia="宋体" w:cs="宋体"/>
                <w:color w:val="auto"/>
                <w:kern w:val="0"/>
                <w:szCs w:val="21"/>
                <w:highlight w:val="none"/>
                <w:lang w:eastAsia="zh-CN"/>
              </w:rPr>
              <w:t>投标人须知前附表</w:t>
            </w:r>
            <w:r>
              <w:rPr>
                <w:rFonts w:hint="eastAsia" w:ascii="宋体" w:hAnsi="宋体" w:eastAsia="宋体" w:cs="宋体"/>
                <w:color w:val="auto"/>
                <w:kern w:val="0"/>
                <w:szCs w:val="21"/>
                <w:highlight w:val="none"/>
              </w:rPr>
              <w:t>”第</w:t>
            </w:r>
            <w:r>
              <w:rPr>
                <w:rFonts w:hint="eastAsia" w:ascii="宋体" w:hAnsi="宋体" w:eastAsia="宋体" w:cs="宋体"/>
                <w:color w:val="auto"/>
                <w:kern w:val="0"/>
                <w:szCs w:val="21"/>
                <w:highlight w:val="none"/>
                <w:lang w:val="en-US" w:eastAsia="zh-CN"/>
              </w:rPr>
              <w:t>1.2.7</w:t>
            </w:r>
            <w:r>
              <w:rPr>
                <w:rFonts w:hint="eastAsia" w:ascii="宋体" w:hAnsi="宋体" w:eastAsia="宋体" w:cs="宋体"/>
                <w:color w:val="auto"/>
                <w:kern w:val="0"/>
                <w:szCs w:val="21"/>
                <w:highlight w:val="none"/>
              </w:rPr>
              <w:t>项规定</w:t>
            </w:r>
          </w:p>
        </w:tc>
      </w:tr>
      <w:tr w14:paraId="62E46E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30" w:type="dxa"/>
            <w:gridSpan w:val="2"/>
            <w:vMerge w:val="continue"/>
            <w:noWrap w:val="0"/>
            <w:vAlign w:val="center"/>
          </w:tcPr>
          <w:p w14:paraId="2749508E">
            <w:pPr>
              <w:pageBreakBefore w:val="0"/>
              <w:widowControl/>
              <w:kinsoku/>
              <w:overflowPunct/>
              <w:bidi w:val="0"/>
              <w:spacing w:line="360" w:lineRule="auto"/>
              <w:jc w:val="center"/>
              <w:rPr>
                <w:rFonts w:hint="eastAsia" w:ascii="宋体" w:hAnsi="宋体" w:eastAsia="宋体" w:cs="宋体"/>
                <w:color w:val="auto"/>
                <w:kern w:val="0"/>
                <w:szCs w:val="21"/>
                <w:highlight w:val="none"/>
              </w:rPr>
            </w:pPr>
          </w:p>
        </w:tc>
        <w:tc>
          <w:tcPr>
            <w:tcW w:w="850" w:type="dxa"/>
            <w:vMerge w:val="continue"/>
            <w:noWrap w:val="0"/>
            <w:vAlign w:val="center"/>
          </w:tcPr>
          <w:p w14:paraId="6B39559A">
            <w:pPr>
              <w:pageBreakBefore w:val="0"/>
              <w:widowControl/>
              <w:kinsoku/>
              <w:overflowPunct/>
              <w:bidi w:val="0"/>
              <w:spacing w:line="360" w:lineRule="auto"/>
              <w:jc w:val="center"/>
              <w:rPr>
                <w:rFonts w:hint="eastAsia" w:ascii="宋体" w:hAnsi="宋体" w:eastAsia="宋体" w:cs="宋体"/>
                <w:color w:val="auto"/>
                <w:kern w:val="0"/>
                <w:szCs w:val="21"/>
                <w:highlight w:val="none"/>
              </w:rPr>
            </w:pPr>
          </w:p>
        </w:tc>
        <w:tc>
          <w:tcPr>
            <w:tcW w:w="2126" w:type="dxa"/>
            <w:noWrap w:val="0"/>
            <w:vAlign w:val="center"/>
          </w:tcPr>
          <w:p w14:paraId="3ABE2ECB">
            <w:pPr>
              <w:pageBreakBefore w:val="0"/>
              <w:widowControl/>
              <w:kinsoku/>
              <w:overflowPunct/>
              <w:bidi w:val="0"/>
              <w:spacing w:line="360" w:lineRule="auto"/>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质量</w:t>
            </w:r>
            <w:r>
              <w:rPr>
                <w:rFonts w:hint="eastAsia" w:ascii="宋体" w:hAnsi="宋体" w:eastAsia="宋体" w:cs="宋体"/>
                <w:color w:val="auto"/>
                <w:kern w:val="0"/>
                <w:szCs w:val="21"/>
                <w:highlight w:val="none"/>
                <w:lang w:eastAsia="zh-CN"/>
              </w:rPr>
              <w:t>标准</w:t>
            </w:r>
          </w:p>
        </w:tc>
        <w:tc>
          <w:tcPr>
            <w:tcW w:w="5245" w:type="dxa"/>
            <w:noWrap w:val="0"/>
            <w:vAlign w:val="center"/>
          </w:tcPr>
          <w:p w14:paraId="0278E73C">
            <w:pPr>
              <w:pageBreakBefore w:val="0"/>
              <w:widowControl/>
              <w:kinsoku/>
              <w:overflowPunct/>
              <w:bidi w:val="0"/>
              <w:spacing w:line="360" w:lineRule="auto"/>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符合第二章“</w:t>
            </w:r>
            <w:r>
              <w:rPr>
                <w:rFonts w:hint="eastAsia" w:ascii="宋体" w:hAnsi="宋体" w:eastAsia="宋体" w:cs="宋体"/>
                <w:color w:val="auto"/>
                <w:kern w:val="0"/>
                <w:szCs w:val="21"/>
                <w:highlight w:val="none"/>
                <w:lang w:eastAsia="zh-CN"/>
              </w:rPr>
              <w:t>投标人须知前附表</w:t>
            </w:r>
            <w:r>
              <w:rPr>
                <w:rFonts w:hint="eastAsia" w:ascii="宋体" w:hAnsi="宋体" w:eastAsia="宋体" w:cs="宋体"/>
                <w:color w:val="auto"/>
                <w:kern w:val="0"/>
                <w:szCs w:val="21"/>
                <w:highlight w:val="none"/>
              </w:rPr>
              <w:t>”第</w:t>
            </w:r>
            <w:r>
              <w:rPr>
                <w:rFonts w:hint="eastAsia" w:ascii="宋体" w:hAnsi="宋体" w:eastAsia="宋体" w:cs="宋体"/>
                <w:color w:val="auto"/>
                <w:kern w:val="0"/>
                <w:szCs w:val="21"/>
                <w:highlight w:val="none"/>
                <w:lang w:val="en-US" w:eastAsia="zh-CN"/>
              </w:rPr>
              <w:t>1.2.8</w:t>
            </w:r>
            <w:r>
              <w:rPr>
                <w:rFonts w:hint="eastAsia" w:ascii="宋体" w:hAnsi="宋体" w:eastAsia="宋体" w:cs="宋体"/>
                <w:color w:val="auto"/>
                <w:kern w:val="0"/>
                <w:szCs w:val="21"/>
                <w:highlight w:val="none"/>
              </w:rPr>
              <w:t>项规定</w:t>
            </w:r>
          </w:p>
        </w:tc>
      </w:tr>
      <w:tr w14:paraId="0ED79C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130" w:type="dxa"/>
            <w:gridSpan w:val="2"/>
            <w:vMerge w:val="continue"/>
            <w:noWrap w:val="0"/>
            <w:vAlign w:val="center"/>
          </w:tcPr>
          <w:p w14:paraId="2134E79D">
            <w:pPr>
              <w:pageBreakBefore w:val="0"/>
              <w:widowControl/>
              <w:kinsoku/>
              <w:overflowPunct/>
              <w:bidi w:val="0"/>
              <w:spacing w:line="360" w:lineRule="auto"/>
              <w:jc w:val="center"/>
              <w:rPr>
                <w:rFonts w:hint="eastAsia" w:ascii="宋体" w:hAnsi="宋体" w:eastAsia="宋体" w:cs="宋体"/>
                <w:color w:val="auto"/>
                <w:kern w:val="0"/>
                <w:szCs w:val="21"/>
                <w:highlight w:val="none"/>
              </w:rPr>
            </w:pPr>
          </w:p>
        </w:tc>
        <w:tc>
          <w:tcPr>
            <w:tcW w:w="850" w:type="dxa"/>
            <w:vMerge w:val="continue"/>
            <w:noWrap w:val="0"/>
            <w:vAlign w:val="center"/>
          </w:tcPr>
          <w:p w14:paraId="09222FDE">
            <w:pPr>
              <w:pageBreakBefore w:val="0"/>
              <w:widowControl/>
              <w:kinsoku/>
              <w:overflowPunct/>
              <w:bidi w:val="0"/>
              <w:spacing w:line="360" w:lineRule="auto"/>
              <w:jc w:val="center"/>
              <w:rPr>
                <w:rFonts w:hint="eastAsia" w:ascii="宋体" w:hAnsi="宋体" w:eastAsia="宋体" w:cs="宋体"/>
                <w:color w:val="auto"/>
                <w:kern w:val="0"/>
                <w:szCs w:val="21"/>
                <w:highlight w:val="none"/>
              </w:rPr>
            </w:pPr>
          </w:p>
        </w:tc>
        <w:tc>
          <w:tcPr>
            <w:tcW w:w="2126" w:type="dxa"/>
            <w:noWrap w:val="0"/>
            <w:vAlign w:val="center"/>
          </w:tcPr>
          <w:p w14:paraId="66BB5E65">
            <w:pPr>
              <w:pageBreakBefore w:val="0"/>
              <w:widowControl/>
              <w:kinsoku/>
              <w:overflowPunct/>
              <w:bidi w:val="0"/>
              <w:spacing w:line="360" w:lineRule="auto"/>
              <w:jc w:val="center"/>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质量保证期</w:t>
            </w:r>
          </w:p>
        </w:tc>
        <w:tc>
          <w:tcPr>
            <w:tcW w:w="5245" w:type="dxa"/>
            <w:noWrap w:val="0"/>
            <w:vAlign w:val="center"/>
          </w:tcPr>
          <w:p w14:paraId="1AC65F63">
            <w:pPr>
              <w:pageBreakBefore w:val="0"/>
              <w:widowControl/>
              <w:kinsoku/>
              <w:overflowPunct/>
              <w:bidi w:val="0"/>
              <w:spacing w:line="360" w:lineRule="auto"/>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符合第二章“</w:t>
            </w:r>
            <w:r>
              <w:rPr>
                <w:rFonts w:hint="eastAsia" w:ascii="宋体" w:hAnsi="宋体" w:eastAsia="宋体" w:cs="宋体"/>
                <w:color w:val="auto"/>
                <w:kern w:val="0"/>
                <w:szCs w:val="21"/>
                <w:highlight w:val="none"/>
                <w:lang w:eastAsia="zh-CN"/>
              </w:rPr>
              <w:t>投标人须知前附表</w:t>
            </w:r>
            <w:r>
              <w:rPr>
                <w:rFonts w:hint="eastAsia" w:ascii="宋体" w:hAnsi="宋体" w:eastAsia="宋体" w:cs="宋体"/>
                <w:color w:val="auto"/>
                <w:kern w:val="0"/>
                <w:szCs w:val="21"/>
                <w:highlight w:val="none"/>
              </w:rPr>
              <w:t>”第</w:t>
            </w:r>
            <w:r>
              <w:rPr>
                <w:rFonts w:hint="eastAsia" w:ascii="宋体" w:hAnsi="宋体" w:eastAsia="宋体" w:cs="宋体"/>
                <w:color w:val="auto"/>
                <w:kern w:val="0"/>
                <w:szCs w:val="21"/>
                <w:highlight w:val="none"/>
                <w:lang w:val="en-US" w:eastAsia="zh-CN"/>
              </w:rPr>
              <w:t>1.2.9</w:t>
            </w:r>
            <w:r>
              <w:rPr>
                <w:rFonts w:hint="eastAsia" w:ascii="宋体" w:hAnsi="宋体" w:eastAsia="宋体" w:cs="宋体"/>
                <w:color w:val="auto"/>
                <w:kern w:val="0"/>
                <w:szCs w:val="21"/>
                <w:highlight w:val="none"/>
              </w:rPr>
              <w:t>项规定</w:t>
            </w:r>
          </w:p>
        </w:tc>
      </w:tr>
      <w:tr w14:paraId="0CBC33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1130" w:type="dxa"/>
            <w:gridSpan w:val="2"/>
            <w:vMerge w:val="continue"/>
            <w:noWrap w:val="0"/>
            <w:vAlign w:val="center"/>
          </w:tcPr>
          <w:p w14:paraId="78DB6DBA">
            <w:pPr>
              <w:pageBreakBefore w:val="0"/>
              <w:widowControl/>
              <w:kinsoku/>
              <w:overflowPunct/>
              <w:bidi w:val="0"/>
              <w:spacing w:line="360" w:lineRule="auto"/>
              <w:jc w:val="center"/>
              <w:rPr>
                <w:rFonts w:hint="eastAsia" w:ascii="宋体" w:hAnsi="宋体" w:eastAsia="宋体" w:cs="宋体"/>
                <w:color w:val="auto"/>
                <w:kern w:val="0"/>
                <w:szCs w:val="21"/>
                <w:highlight w:val="none"/>
              </w:rPr>
            </w:pPr>
          </w:p>
        </w:tc>
        <w:tc>
          <w:tcPr>
            <w:tcW w:w="850" w:type="dxa"/>
            <w:vMerge w:val="continue"/>
            <w:noWrap w:val="0"/>
            <w:vAlign w:val="center"/>
          </w:tcPr>
          <w:p w14:paraId="7B5F64E1">
            <w:pPr>
              <w:pageBreakBefore w:val="0"/>
              <w:widowControl/>
              <w:kinsoku/>
              <w:overflowPunct/>
              <w:bidi w:val="0"/>
              <w:spacing w:line="360" w:lineRule="auto"/>
              <w:jc w:val="center"/>
              <w:rPr>
                <w:rFonts w:hint="eastAsia" w:ascii="宋体" w:hAnsi="宋体" w:eastAsia="宋体" w:cs="宋体"/>
                <w:color w:val="auto"/>
                <w:kern w:val="0"/>
                <w:szCs w:val="21"/>
                <w:highlight w:val="none"/>
              </w:rPr>
            </w:pPr>
          </w:p>
        </w:tc>
        <w:tc>
          <w:tcPr>
            <w:tcW w:w="2126" w:type="dxa"/>
            <w:noWrap w:val="0"/>
            <w:vAlign w:val="center"/>
          </w:tcPr>
          <w:p w14:paraId="3D6F14DD">
            <w:pPr>
              <w:pageBreakBefore w:val="0"/>
              <w:widowControl/>
              <w:kinsoku/>
              <w:overflowPunct/>
              <w:bidi w:val="0"/>
              <w:spacing w:line="360" w:lineRule="auto"/>
              <w:jc w:val="center"/>
              <w:rPr>
                <w:rFonts w:hint="eastAsia" w:ascii="宋体" w:hAnsi="宋体" w:eastAsia="宋体" w:cs="宋体"/>
                <w:color w:val="auto"/>
                <w:kern w:val="0"/>
                <w:szCs w:val="21"/>
                <w:highlight w:val="none"/>
              </w:rPr>
            </w:pPr>
            <w:r>
              <w:rPr>
                <w:rFonts w:hint="eastAsia" w:ascii="宋体" w:hAnsi="宋体" w:eastAsia="宋体" w:cs="宋体"/>
                <w:color w:val="auto"/>
                <w:szCs w:val="21"/>
                <w:highlight w:val="none"/>
              </w:rPr>
              <w:t>投标有效期</w:t>
            </w:r>
          </w:p>
        </w:tc>
        <w:tc>
          <w:tcPr>
            <w:tcW w:w="5245" w:type="dxa"/>
            <w:noWrap w:val="0"/>
            <w:vAlign w:val="center"/>
          </w:tcPr>
          <w:p w14:paraId="4AF9EB7F">
            <w:pPr>
              <w:pageBreakBefore w:val="0"/>
              <w:widowControl/>
              <w:kinsoku/>
              <w:overflowPunct/>
              <w:bidi w:val="0"/>
              <w:spacing w:line="360" w:lineRule="auto"/>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符合第二章“</w:t>
            </w:r>
            <w:r>
              <w:rPr>
                <w:rFonts w:hint="eastAsia" w:ascii="宋体" w:hAnsi="宋体" w:eastAsia="宋体" w:cs="宋体"/>
                <w:color w:val="auto"/>
                <w:kern w:val="0"/>
                <w:szCs w:val="21"/>
                <w:highlight w:val="none"/>
                <w:lang w:eastAsia="zh-CN"/>
              </w:rPr>
              <w:t>投标人须知前附表</w:t>
            </w:r>
            <w:r>
              <w:rPr>
                <w:rFonts w:hint="eastAsia" w:ascii="宋体" w:hAnsi="宋体" w:eastAsia="宋体" w:cs="宋体"/>
                <w:color w:val="auto"/>
                <w:kern w:val="0"/>
                <w:szCs w:val="21"/>
                <w:highlight w:val="none"/>
              </w:rPr>
              <w:t>”第</w:t>
            </w:r>
            <w:r>
              <w:rPr>
                <w:rFonts w:hint="eastAsia" w:ascii="宋体" w:hAnsi="宋体" w:eastAsia="宋体" w:cs="宋体"/>
                <w:color w:val="auto"/>
                <w:kern w:val="0"/>
                <w:szCs w:val="21"/>
                <w:highlight w:val="none"/>
                <w:lang w:val="en-US" w:eastAsia="zh-CN"/>
              </w:rPr>
              <w:t>3.5.1</w:t>
            </w:r>
            <w:r>
              <w:rPr>
                <w:rFonts w:hint="eastAsia" w:ascii="宋体" w:hAnsi="宋体" w:eastAsia="宋体" w:cs="宋体"/>
                <w:color w:val="auto"/>
                <w:kern w:val="0"/>
                <w:szCs w:val="21"/>
                <w:highlight w:val="none"/>
              </w:rPr>
              <w:t>项规定</w:t>
            </w:r>
          </w:p>
        </w:tc>
      </w:tr>
      <w:tr w14:paraId="572A60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130" w:type="dxa"/>
            <w:gridSpan w:val="2"/>
            <w:vMerge w:val="continue"/>
            <w:noWrap w:val="0"/>
            <w:vAlign w:val="center"/>
          </w:tcPr>
          <w:p w14:paraId="481CB8BD">
            <w:pPr>
              <w:pageBreakBefore w:val="0"/>
              <w:widowControl/>
              <w:kinsoku/>
              <w:overflowPunct/>
              <w:bidi w:val="0"/>
              <w:spacing w:line="360" w:lineRule="auto"/>
              <w:jc w:val="center"/>
              <w:rPr>
                <w:rFonts w:hint="eastAsia" w:ascii="宋体" w:hAnsi="宋体" w:eastAsia="宋体" w:cs="宋体"/>
                <w:color w:val="auto"/>
                <w:kern w:val="0"/>
                <w:szCs w:val="21"/>
                <w:highlight w:val="none"/>
              </w:rPr>
            </w:pPr>
          </w:p>
        </w:tc>
        <w:tc>
          <w:tcPr>
            <w:tcW w:w="850" w:type="dxa"/>
            <w:vMerge w:val="continue"/>
            <w:noWrap w:val="0"/>
            <w:vAlign w:val="center"/>
          </w:tcPr>
          <w:p w14:paraId="7928ADA7">
            <w:pPr>
              <w:pageBreakBefore w:val="0"/>
              <w:widowControl/>
              <w:kinsoku/>
              <w:overflowPunct/>
              <w:bidi w:val="0"/>
              <w:spacing w:line="360" w:lineRule="auto"/>
              <w:jc w:val="center"/>
              <w:rPr>
                <w:rFonts w:hint="eastAsia" w:ascii="宋体" w:hAnsi="宋体" w:eastAsia="宋体" w:cs="宋体"/>
                <w:color w:val="auto"/>
                <w:kern w:val="0"/>
                <w:szCs w:val="21"/>
                <w:highlight w:val="none"/>
              </w:rPr>
            </w:pPr>
          </w:p>
        </w:tc>
        <w:tc>
          <w:tcPr>
            <w:tcW w:w="2126" w:type="dxa"/>
            <w:noWrap w:val="0"/>
            <w:vAlign w:val="center"/>
          </w:tcPr>
          <w:p w14:paraId="3F5B8F10">
            <w:pPr>
              <w:widowControl/>
              <w:spacing w:line="360" w:lineRule="auto"/>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rPr>
              <w:t>标书雷同性分析</w:t>
            </w:r>
          </w:p>
        </w:tc>
        <w:tc>
          <w:tcPr>
            <w:tcW w:w="5245" w:type="dxa"/>
            <w:noWrap w:val="0"/>
            <w:vAlign w:val="center"/>
          </w:tcPr>
          <w:p w14:paraId="472A9252">
            <w:pPr>
              <w:widowControl/>
              <w:spacing w:line="360" w:lineRule="auto"/>
              <w:ind w:firstLine="210" w:firstLineChars="100"/>
              <w:jc w:val="left"/>
              <w:rPr>
                <w:rFonts w:hint="eastAsia" w:ascii="宋体" w:hAnsi="宋体" w:eastAsia="宋体" w:cs="宋体"/>
                <w:color w:val="auto"/>
                <w:kern w:val="0"/>
                <w:szCs w:val="21"/>
                <w:highlight w:val="none"/>
              </w:rPr>
            </w:pPr>
            <w:r>
              <w:rPr>
                <w:rFonts w:hint="eastAsia" w:ascii="宋体" w:hAnsi="宋体" w:eastAsia="宋体" w:cs="宋体"/>
                <w:color w:val="auto"/>
                <w:szCs w:val="21"/>
                <w:highlight w:val="none"/>
              </w:rPr>
              <w:t>投标（响应）文件制作机器码不能一致</w:t>
            </w:r>
          </w:p>
        </w:tc>
      </w:tr>
      <w:tr w14:paraId="7890A7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980" w:type="dxa"/>
            <w:gridSpan w:val="3"/>
            <w:noWrap w:val="0"/>
            <w:vAlign w:val="center"/>
          </w:tcPr>
          <w:p w14:paraId="0AEAD5D1">
            <w:pPr>
              <w:pageBreakBefore w:val="0"/>
              <w:kinsoku/>
              <w:overflowPunct/>
              <w:autoSpaceDE w:val="0"/>
              <w:autoSpaceDN w:val="0"/>
              <w:bidi w:val="0"/>
              <w:adjustRightInd w:val="0"/>
              <w:spacing w:line="360" w:lineRule="auto"/>
              <w:ind w:left="38" w:leftChars="18"/>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条款号</w:t>
            </w:r>
          </w:p>
        </w:tc>
        <w:tc>
          <w:tcPr>
            <w:tcW w:w="2126" w:type="dxa"/>
            <w:noWrap w:val="0"/>
            <w:vAlign w:val="center"/>
          </w:tcPr>
          <w:p w14:paraId="3C0B0DBA">
            <w:pPr>
              <w:pageBreakBefore w:val="0"/>
              <w:kinsoku/>
              <w:overflowPunct/>
              <w:autoSpaceDE w:val="0"/>
              <w:autoSpaceDN w:val="0"/>
              <w:bidi w:val="0"/>
              <w:adjustRightInd w:val="0"/>
              <w:spacing w:line="360" w:lineRule="auto"/>
              <w:ind w:left="38" w:leftChars="18"/>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条款内容</w:t>
            </w:r>
          </w:p>
        </w:tc>
        <w:tc>
          <w:tcPr>
            <w:tcW w:w="5245" w:type="dxa"/>
            <w:noWrap w:val="0"/>
            <w:vAlign w:val="center"/>
          </w:tcPr>
          <w:p w14:paraId="1B349BD8">
            <w:pPr>
              <w:pageBreakBefore w:val="0"/>
              <w:kinsoku/>
              <w:overflowPunct/>
              <w:autoSpaceDE w:val="0"/>
              <w:autoSpaceDN w:val="0"/>
              <w:bidi w:val="0"/>
              <w:adjustRightInd w:val="0"/>
              <w:spacing w:line="360" w:lineRule="auto"/>
              <w:ind w:left="38" w:leftChars="18"/>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编列内容</w:t>
            </w:r>
          </w:p>
        </w:tc>
      </w:tr>
      <w:tr w14:paraId="7178C7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980" w:type="dxa"/>
            <w:gridSpan w:val="3"/>
            <w:noWrap w:val="0"/>
            <w:vAlign w:val="center"/>
          </w:tcPr>
          <w:p w14:paraId="34FA089C">
            <w:pPr>
              <w:pageBreakBefore w:val="0"/>
              <w:kinsoku/>
              <w:overflowPunct/>
              <w:autoSpaceDE w:val="0"/>
              <w:autoSpaceDN w:val="0"/>
              <w:bidi w:val="0"/>
              <w:adjustRightInd w:val="0"/>
              <w:spacing w:line="360" w:lineRule="auto"/>
              <w:ind w:left="38" w:leftChars="18"/>
              <w:jc w:val="center"/>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2.2.1</w:t>
            </w:r>
          </w:p>
        </w:tc>
        <w:tc>
          <w:tcPr>
            <w:tcW w:w="2126" w:type="dxa"/>
            <w:noWrap w:val="0"/>
            <w:vAlign w:val="center"/>
          </w:tcPr>
          <w:p w14:paraId="033E2FF1">
            <w:pPr>
              <w:pageBreakBefore w:val="0"/>
              <w:kinsoku/>
              <w:overflowPunct/>
              <w:autoSpaceDE w:val="0"/>
              <w:autoSpaceDN w:val="0"/>
              <w:bidi w:val="0"/>
              <w:adjustRightInd w:val="0"/>
              <w:spacing w:line="360" w:lineRule="auto"/>
              <w:ind w:left="38" w:leftChars="18"/>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分值构成</w:t>
            </w:r>
            <w:r>
              <w:rPr>
                <w:rFonts w:hint="eastAsia" w:ascii="宋体" w:hAnsi="宋体" w:eastAsia="宋体" w:cs="宋体"/>
                <w:color w:val="auto"/>
                <w:kern w:val="0"/>
                <w:szCs w:val="21"/>
                <w:highlight w:val="none"/>
                <w:lang w:eastAsia="zh-CN"/>
              </w:rPr>
              <w:t>（</w:t>
            </w:r>
            <w:r>
              <w:rPr>
                <w:rFonts w:hint="eastAsia" w:ascii="宋体" w:hAnsi="宋体" w:eastAsia="宋体" w:cs="宋体"/>
                <w:color w:val="auto"/>
                <w:kern w:val="0"/>
                <w:szCs w:val="21"/>
                <w:highlight w:val="none"/>
              </w:rPr>
              <w:t>总分100分</w:t>
            </w:r>
            <w:r>
              <w:rPr>
                <w:rFonts w:hint="eastAsia" w:ascii="宋体" w:hAnsi="宋体" w:eastAsia="宋体" w:cs="宋体"/>
                <w:color w:val="auto"/>
                <w:kern w:val="0"/>
                <w:szCs w:val="21"/>
                <w:highlight w:val="none"/>
                <w:lang w:eastAsia="zh-CN"/>
              </w:rPr>
              <w:t>）</w:t>
            </w:r>
          </w:p>
        </w:tc>
        <w:tc>
          <w:tcPr>
            <w:tcW w:w="5245" w:type="dxa"/>
            <w:noWrap w:val="0"/>
            <w:vAlign w:val="center"/>
          </w:tcPr>
          <w:p w14:paraId="1FD1F830">
            <w:pPr>
              <w:pageBreakBefore w:val="0"/>
              <w:kinsoku/>
              <w:overflowPunct/>
              <w:autoSpaceDE w:val="0"/>
              <w:autoSpaceDN w:val="0"/>
              <w:bidi w:val="0"/>
              <w:adjustRightInd w:val="0"/>
              <w:spacing w:line="360" w:lineRule="auto"/>
              <w:ind w:left="38" w:leftChars="18"/>
              <w:jc w:val="left"/>
              <w:rPr>
                <w:rFonts w:hint="eastAsia" w:ascii="宋体" w:hAnsi="宋体" w:eastAsia="宋体" w:cs="宋体"/>
                <w:b/>
                <w:bCs/>
                <w:color w:val="auto"/>
                <w:kern w:val="0"/>
                <w:szCs w:val="21"/>
                <w:highlight w:val="none"/>
                <w:lang w:eastAsia="zh-CN"/>
              </w:rPr>
            </w:pPr>
            <w:r>
              <w:rPr>
                <w:rFonts w:hint="eastAsia" w:ascii="宋体" w:hAnsi="宋体" w:eastAsia="宋体" w:cs="宋体"/>
                <w:b/>
                <w:bCs/>
                <w:color w:val="auto"/>
                <w:kern w:val="0"/>
                <w:szCs w:val="21"/>
                <w:highlight w:val="none"/>
                <w:lang w:eastAsia="zh-CN"/>
              </w:rPr>
              <w:t>报价得分：</w:t>
            </w:r>
            <w:r>
              <w:rPr>
                <w:rFonts w:hint="eastAsia" w:ascii="宋体" w:hAnsi="宋体" w:eastAsia="宋体" w:cs="宋体"/>
                <w:b/>
                <w:bCs/>
                <w:color w:val="auto"/>
                <w:kern w:val="0"/>
                <w:szCs w:val="21"/>
                <w:highlight w:val="none"/>
                <w:lang w:val="en-US" w:eastAsia="zh-CN"/>
              </w:rPr>
              <w:t>30</w:t>
            </w:r>
            <w:r>
              <w:rPr>
                <w:rFonts w:hint="eastAsia" w:ascii="宋体" w:hAnsi="宋体" w:eastAsia="宋体" w:cs="宋体"/>
                <w:b/>
                <w:bCs/>
                <w:color w:val="auto"/>
                <w:kern w:val="0"/>
                <w:szCs w:val="21"/>
                <w:highlight w:val="none"/>
                <w:lang w:eastAsia="zh-CN"/>
              </w:rPr>
              <w:t>分</w:t>
            </w:r>
          </w:p>
          <w:p w14:paraId="2D592CB8">
            <w:pPr>
              <w:pageBreakBefore w:val="0"/>
              <w:kinsoku/>
              <w:overflowPunct/>
              <w:autoSpaceDE w:val="0"/>
              <w:autoSpaceDN w:val="0"/>
              <w:bidi w:val="0"/>
              <w:adjustRightInd w:val="0"/>
              <w:spacing w:line="360" w:lineRule="auto"/>
              <w:ind w:left="38" w:leftChars="18"/>
              <w:jc w:val="left"/>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技术部分</w:t>
            </w:r>
            <w:r>
              <w:rPr>
                <w:rFonts w:hint="eastAsia" w:ascii="宋体" w:hAnsi="宋体" w:eastAsia="宋体" w:cs="宋体"/>
                <w:b/>
                <w:color w:val="auto"/>
                <w:szCs w:val="21"/>
                <w:highlight w:val="none"/>
                <w:lang w:eastAsia="zh-CN"/>
              </w:rPr>
              <w:t>：</w:t>
            </w:r>
            <w:r>
              <w:rPr>
                <w:rFonts w:hint="eastAsia" w:ascii="宋体" w:hAnsi="宋体" w:eastAsia="宋体" w:cs="宋体"/>
                <w:b/>
                <w:color w:val="auto"/>
                <w:szCs w:val="21"/>
                <w:highlight w:val="none"/>
                <w:lang w:val="en-US" w:eastAsia="zh-CN"/>
              </w:rPr>
              <w:t>45</w:t>
            </w:r>
            <w:r>
              <w:rPr>
                <w:rFonts w:hint="eastAsia" w:ascii="宋体" w:hAnsi="宋体" w:eastAsia="宋体" w:cs="宋体"/>
                <w:b/>
                <w:color w:val="auto"/>
                <w:szCs w:val="21"/>
                <w:highlight w:val="none"/>
              </w:rPr>
              <w:t>分</w:t>
            </w:r>
          </w:p>
          <w:p w14:paraId="0542384C">
            <w:pPr>
              <w:pageBreakBefore w:val="0"/>
              <w:kinsoku/>
              <w:overflowPunct/>
              <w:autoSpaceDE w:val="0"/>
              <w:autoSpaceDN w:val="0"/>
              <w:bidi w:val="0"/>
              <w:adjustRightInd w:val="0"/>
              <w:spacing w:line="360" w:lineRule="auto"/>
              <w:ind w:left="38" w:leftChars="18"/>
              <w:jc w:val="left"/>
              <w:rPr>
                <w:rFonts w:hint="eastAsia" w:ascii="宋体" w:hAnsi="宋体" w:eastAsia="宋体" w:cs="宋体"/>
                <w:b/>
                <w:color w:val="auto"/>
                <w:szCs w:val="21"/>
                <w:highlight w:val="none"/>
                <w:lang w:eastAsia="zh-CN"/>
              </w:rPr>
            </w:pPr>
            <w:r>
              <w:rPr>
                <w:rFonts w:hint="eastAsia" w:ascii="宋体" w:hAnsi="宋体" w:eastAsia="宋体" w:cs="宋体"/>
                <w:b/>
                <w:color w:val="auto"/>
                <w:szCs w:val="21"/>
                <w:highlight w:val="none"/>
              </w:rPr>
              <w:t>商务部分</w:t>
            </w:r>
            <w:r>
              <w:rPr>
                <w:rFonts w:hint="eastAsia" w:ascii="宋体" w:hAnsi="宋体" w:eastAsia="宋体" w:cs="宋体"/>
                <w:b/>
                <w:color w:val="auto"/>
                <w:szCs w:val="21"/>
                <w:highlight w:val="none"/>
                <w:lang w:eastAsia="zh-CN"/>
              </w:rPr>
              <w:t>：</w:t>
            </w:r>
            <w:r>
              <w:rPr>
                <w:rFonts w:hint="eastAsia" w:ascii="宋体" w:hAnsi="宋体" w:eastAsia="宋体" w:cs="宋体"/>
                <w:b/>
                <w:color w:val="auto"/>
                <w:szCs w:val="21"/>
                <w:highlight w:val="none"/>
                <w:lang w:val="en-US" w:eastAsia="zh-CN"/>
              </w:rPr>
              <w:t>25</w:t>
            </w:r>
            <w:r>
              <w:rPr>
                <w:rFonts w:hint="eastAsia" w:ascii="宋体" w:hAnsi="宋体" w:eastAsia="宋体" w:cs="宋体"/>
                <w:b/>
                <w:color w:val="auto"/>
                <w:szCs w:val="21"/>
                <w:highlight w:val="none"/>
              </w:rPr>
              <w:t>分</w:t>
            </w:r>
          </w:p>
        </w:tc>
      </w:tr>
      <w:tr w14:paraId="3292BC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980" w:type="dxa"/>
            <w:gridSpan w:val="3"/>
            <w:noWrap w:val="0"/>
            <w:vAlign w:val="center"/>
          </w:tcPr>
          <w:p w14:paraId="04CACB07">
            <w:pPr>
              <w:pageBreakBefore w:val="0"/>
              <w:kinsoku/>
              <w:overflowPunct/>
              <w:autoSpaceDE w:val="0"/>
              <w:autoSpaceDN w:val="0"/>
              <w:bidi w:val="0"/>
              <w:adjustRightInd w:val="0"/>
              <w:spacing w:line="360" w:lineRule="auto"/>
              <w:ind w:left="38" w:leftChars="18"/>
              <w:jc w:val="center"/>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rPr>
              <w:t>条款号</w:t>
            </w:r>
          </w:p>
        </w:tc>
        <w:tc>
          <w:tcPr>
            <w:tcW w:w="2126" w:type="dxa"/>
            <w:noWrap w:val="0"/>
            <w:vAlign w:val="center"/>
          </w:tcPr>
          <w:p w14:paraId="02A3BEBE">
            <w:pPr>
              <w:pageBreakBefore w:val="0"/>
              <w:kinsoku/>
              <w:overflowPunct/>
              <w:autoSpaceDE w:val="0"/>
              <w:autoSpaceDN w:val="0"/>
              <w:bidi w:val="0"/>
              <w:adjustRightInd w:val="0"/>
              <w:spacing w:line="360" w:lineRule="auto"/>
              <w:ind w:left="38" w:leftChars="18"/>
              <w:jc w:val="center"/>
              <w:rPr>
                <w:rFonts w:hint="eastAsia" w:ascii="宋体" w:hAnsi="宋体" w:eastAsia="宋体" w:cs="宋体"/>
                <w:color w:val="auto"/>
                <w:kern w:val="0"/>
                <w:szCs w:val="21"/>
                <w:highlight w:val="none"/>
                <w:lang w:eastAsia="zh-CN"/>
              </w:rPr>
            </w:pPr>
            <w:r>
              <w:rPr>
                <w:rFonts w:hint="eastAsia" w:ascii="宋体" w:hAnsi="宋体" w:eastAsia="宋体" w:cs="宋体"/>
                <w:color w:val="auto"/>
                <w:kern w:val="0"/>
                <w:szCs w:val="21"/>
                <w:highlight w:val="none"/>
              </w:rPr>
              <w:t>评分因素</w:t>
            </w:r>
          </w:p>
        </w:tc>
        <w:tc>
          <w:tcPr>
            <w:tcW w:w="5245" w:type="dxa"/>
            <w:noWrap w:val="0"/>
            <w:vAlign w:val="center"/>
          </w:tcPr>
          <w:p w14:paraId="4662808D">
            <w:pPr>
              <w:pageBreakBefore w:val="0"/>
              <w:kinsoku/>
              <w:overflowPunct/>
              <w:autoSpaceDE w:val="0"/>
              <w:autoSpaceDN w:val="0"/>
              <w:bidi w:val="0"/>
              <w:adjustRightInd w:val="0"/>
              <w:spacing w:line="360" w:lineRule="auto"/>
              <w:ind w:left="38" w:leftChars="18"/>
              <w:jc w:val="center"/>
              <w:rPr>
                <w:rFonts w:hint="eastAsia" w:ascii="宋体" w:hAnsi="宋体" w:eastAsia="宋体" w:cs="宋体"/>
                <w:b/>
                <w:color w:val="auto"/>
                <w:highlight w:val="none"/>
              </w:rPr>
            </w:pPr>
            <w:r>
              <w:rPr>
                <w:rFonts w:hint="eastAsia" w:ascii="宋体" w:hAnsi="宋体" w:eastAsia="宋体" w:cs="宋体"/>
                <w:color w:val="auto"/>
                <w:kern w:val="0"/>
                <w:szCs w:val="21"/>
                <w:highlight w:val="none"/>
              </w:rPr>
              <w:t>评分标准</w:t>
            </w:r>
          </w:p>
        </w:tc>
      </w:tr>
      <w:tr w14:paraId="35F6CA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990" w:type="dxa"/>
            <w:noWrap w:val="0"/>
            <w:vAlign w:val="center"/>
          </w:tcPr>
          <w:p w14:paraId="4DB45186">
            <w:pPr>
              <w:pageBreakBefore w:val="0"/>
              <w:widowControl/>
              <w:kinsoku/>
              <w:overflowPunct/>
              <w:bidi w:val="0"/>
              <w:spacing w:line="360" w:lineRule="auto"/>
              <w:jc w:val="center"/>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2.2.2（1）</w:t>
            </w:r>
          </w:p>
        </w:tc>
        <w:tc>
          <w:tcPr>
            <w:tcW w:w="990" w:type="dxa"/>
            <w:gridSpan w:val="2"/>
            <w:noWrap w:val="0"/>
            <w:vAlign w:val="center"/>
          </w:tcPr>
          <w:p w14:paraId="27CF42D8">
            <w:pPr>
              <w:pageBreakBefore w:val="0"/>
              <w:widowControl/>
              <w:kinsoku/>
              <w:overflowPunct/>
              <w:bidi w:val="0"/>
              <w:spacing w:line="360" w:lineRule="auto"/>
              <w:jc w:val="center"/>
              <w:rPr>
                <w:rFonts w:hint="eastAsia" w:ascii="宋体" w:hAnsi="宋体" w:eastAsia="宋体" w:cs="宋体"/>
                <w:b/>
                <w:color w:val="auto"/>
                <w:szCs w:val="21"/>
                <w:highlight w:val="none"/>
                <w:lang w:val="en-US" w:eastAsia="zh-CN"/>
              </w:rPr>
            </w:pPr>
            <w:r>
              <w:rPr>
                <w:rFonts w:hint="eastAsia" w:ascii="宋体" w:hAnsi="宋体" w:eastAsia="宋体" w:cs="宋体"/>
                <w:b/>
                <w:color w:val="auto"/>
                <w:szCs w:val="21"/>
                <w:highlight w:val="none"/>
                <w:lang w:val="en-US" w:eastAsia="zh-CN"/>
              </w:rPr>
              <w:t>报价部分30分</w:t>
            </w:r>
          </w:p>
        </w:tc>
        <w:tc>
          <w:tcPr>
            <w:tcW w:w="2126" w:type="dxa"/>
            <w:noWrap w:val="0"/>
            <w:vAlign w:val="center"/>
          </w:tcPr>
          <w:p w14:paraId="63A29BB6">
            <w:pPr>
              <w:pageBreakBefore w:val="0"/>
              <w:widowControl/>
              <w:kinsoku/>
              <w:overflowPunct/>
              <w:bidi w:val="0"/>
              <w:spacing w:line="360" w:lineRule="auto"/>
              <w:jc w:val="center"/>
              <w:rPr>
                <w:rFonts w:hint="eastAsia" w:ascii="宋体" w:hAnsi="宋体" w:eastAsia="宋体" w:cs="宋体"/>
                <w:color w:val="auto"/>
                <w:kern w:val="0"/>
                <w:sz w:val="21"/>
                <w:szCs w:val="21"/>
                <w:highlight w:val="none"/>
                <w:lang w:eastAsia="zh-CN"/>
              </w:rPr>
            </w:pPr>
            <w:r>
              <w:rPr>
                <w:rFonts w:hint="eastAsia" w:ascii="宋体" w:hAnsi="宋体" w:eastAsia="宋体" w:cs="宋体"/>
                <w:b/>
                <w:color w:val="auto"/>
                <w:szCs w:val="21"/>
                <w:highlight w:val="none"/>
              </w:rPr>
              <w:t>投标报价</w:t>
            </w:r>
            <w:r>
              <w:rPr>
                <w:rFonts w:hint="eastAsia" w:ascii="宋体" w:hAnsi="宋体" w:eastAsia="宋体" w:cs="宋体"/>
                <w:b/>
                <w:color w:val="auto"/>
                <w:szCs w:val="21"/>
                <w:highlight w:val="none"/>
                <w:lang w:eastAsia="zh-CN"/>
              </w:rPr>
              <w:t>评分标准</w:t>
            </w:r>
          </w:p>
        </w:tc>
        <w:tc>
          <w:tcPr>
            <w:tcW w:w="5245" w:type="dxa"/>
            <w:noWrap w:val="0"/>
            <w:vAlign w:val="center"/>
          </w:tcPr>
          <w:p w14:paraId="42F5F5FA">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价格扣除：</w:t>
            </w:r>
          </w:p>
          <w:p w14:paraId="49E4AE2D">
            <w:pPr>
              <w:pStyle w:val="2"/>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投标人所投标的</w:t>
            </w:r>
            <w:r>
              <w:rPr>
                <w:rFonts w:hint="eastAsia" w:ascii="宋体" w:hAnsi="宋体" w:eastAsia="宋体" w:cs="宋体"/>
                <w:color w:val="auto"/>
                <w:sz w:val="21"/>
                <w:szCs w:val="21"/>
                <w:highlight w:val="none"/>
                <w:lang w:val="en-US" w:eastAsia="zh-CN"/>
              </w:rPr>
              <w:t>货物由小微企业制造（即货物由小微企业生产且使用该小微企业商号或者注册商标）的投标报价给予10%的扣除</w:t>
            </w:r>
            <w:r>
              <w:rPr>
                <w:rFonts w:hint="eastAsia" w:ascii="宋体" w:hAnsi="宋体" w:eastAsia="宋体" w:cs="宋体"/>
                <w:color w:val="auto"/>
                <w:sz w:val="21"/>
                <w:szCs w:val="21"/>
                <w:highlight w:val="none"/>
              </w:rPr>
              <w:t>，用扣除后的价格参与评审。参加投标的小微企业，应当按照《</w:t>
            </w:r>
            <w:r>
              <w:rPr>
                <w:rFonts w:hint="eastAsia" w:ascii="宋体" w:hAnsi="宋体" w:eastAsia="宋体" w:cs="宋体"/>
                <w:color w:val="auto"/>
                <w:sz w:val="21"/>
                <w:szCs w:val="21"/>
                <w:highlight w:val="none"/>
                <w:lang w:eastAsia="zh-CN"/>
              </w:rPr>
              <w:t>政府采购促进中小企业发展管理办法</w:t>
            </w:r>
            <w:r>
              <w:rPr>
                <w:rFonts w:hint="eastAsia" w:ascii="宋体" w:hAnsi="宋体" w:eastAsia="宋体" w:cs="宋体"/>
                <w:color w:val="auto"/>
                <w:sz w:val="21"/>
                <w:szCs w:val="21"/>
                <w:highlight w:val="none"/>
              </w:rPr>
              <w:t>》（财库〔20</w:t>
            </w:r>
            <w:r>
              <w:rPr>
                <w:rFonts w:hint="eastAsia" w:ascii="宋体" w:hAnsi="宋体" w:eastAsia="宋体" w:cs="宋体"/>
                <w:color w:val="auto"/>
                <w:sz w:val="21"/>
                <w:szCs w:val="21"/>
                <w:highlight w:val="none"/>
                <w:lang w:val="en-US" w:eastAsia="zh-CN"/>
              </w:rPr>
              <w:t>20</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46</w:t>
            </w:r>
            <w:r>
              <w:rPr>
                <w:rFonts w:hint="eastAsia" w:ascii="宋体" w:hAnsi="宋体" w:eastAsia="宋体" w:cs="宋体"/>
                <w:color w:val="auto"/>
                <w:sz w:val="21"/>
                <w:szCs w:val="21"/>
                <w:highlight w:val="none"/>
              </w:rPr>
              <w:t>号）的规定提供《</w:t>
            </w:r>
            <w:r>
              <w:rPr>
                <w:rFonts w:hint="eastAsia" w:ascii="宋体" w:hAnsi="宋体" w:eastAsia="宋体" w:cs="宋体"/>
                <w:color w:val="auto"/>
                <w:sz w:val="21"/>
                <w:szCs w:val="21"/>
                <w:highlight w:val="none"/>
                <w:lang w:eastAsia="zh-CN"/>
              </w:rPr>
              <w:t>中小企业声明函</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中小企业划型标准详见《关于印发中小企业划型标准规定的通知》工信部联企业〔2011〕300号。</w:t>
            </w:r>
          </w:p>
          <w:p w14:paraId="47D14FBE">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9"/>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根据财政部司法部《关于政府采购支持监狱企业发展有关问题的通知》（财库〔2014〕68号）和财政部民政部中国残疾人联合会《关于促进残疾人就业政府采购政策的通知》（财库〔2017〕141号）规定</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监狱企业</w:t>
            </w:r>
            <w:r>
              <w:rPr>
                <w:rFonts w:hint="eastAsia" w:ascii="宋体" w:hAnsi="宋体" w:eastAsia="宋体" w:cs="宋体"/>
                <w:color w:val="auto"/>
                <w:szCs w:val="21"/>
                <w:highlight w:val="none"/>
                <w:lang w:val="en-US" w:eastAsia="zh-CN"/>
              </w:rPr>
              <w:t>/</w:t>
            </w:r>
            <w:r>
              <w:rPr>
                <w:rFonts w:hint="eastAsia" w:ascii="宋体" w:hAnsi="宋体" w:eastAsia="宋体" w:cs="宋体"/>
                <w:color w:val="auto"/>
                <w:szCs w:val="21"/>
                <w:highlight w:val="none"/>
              </w:rPr>
              <w:t>残疾人福利</w:t>
            </w:r>
            <w:r>
              <w:rPr>
                <w:rFonts w:hint="eastAsia" w:ascii="宋体" w:hAnsi="宋体" w:eastAsia="宋体" w:cs="宋体"/>
                <w:color w:val="auto"/>
                <w:szCs w:val="21"/>
                <w:highlight w:val="none"/>
                <w:lang w:eastAsia="zh-CN"/>
              </w:rPr>
              <w:t>性</w:t>
            </w:r>
            <w:r>
              <w:rPr>
                <w:rFonts w:hint="eastAsia" w:ascii="宋体" w:hAnsi="宋体" w:eastAsia="宋体" w:cs="宋体"/>
                <w:color w:val="auto"/>
                <w:szCs w:val="21"/>
                <w:highlight w:val="none"/>
              </w:rPr>
              <w:t>企业视同小型、微型企业</w:t>
            </w:r>
            <w:r>
              <w:rPr>
                <w:rFonts w:hint="eastAsia" w:ascii="宋体" w:hAnsi="宋体" w:eastAsia="宋体" w:cs="宋体"/>
                <w:color w:val="auto"/>
                <w:szCs w:val="21"/>
                <w:highlight w:val="none"/>
                <w:lang w:eastAsia="zh-CN"/>
              </w:rPr>
              <w:t>。</w:t>
            </w:r>
          </w:p>
          <w:p w14:paraId="238162FB">
            <w:pPr>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jc w:val="both"/>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（2）既有本国产品又有非本国产品参与竞争的，依法对本国产品给予价格评审优惠，对本国产品的报价给予20%的价格扣除，用扣除后的价格参与评审。</w:t>
            </w:r>
          </w:p>
          <w:p w14:paraId="3EB29C50">
            <w:pPr>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jc w:val="both"/>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11ECF610">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评标报价计算公式：</w:t>
            </w:r>
          </w:p>
          <w:p w14:paraId="18B1F4FD">
            <w:pPr>
              <w:keepNext w:val="0"/>
              <w:keepLines w:val="0"/>
              <w:pageBreakBefore w:val="0"/>
              <w:kinsoku/>
              <w:wordWrap/>
              <w:overflowPunct/>
              <w:topLinePunct w:val="0"/>
              <w:autoSpaceDE/>
              <w:autoSpaceDN/>
              <w:bidi w:val="0"/>
              <w:adjustRightInd/>
              <w:snapToGrid/>
              <w:spacing w:line="360" w:lineRule="auto"/>
              <w:ind w:firstLine="422" w:firstLineChars="200"/>
              <w:textAlignment w:val="auto"/>
              <w:outlineLvl w:val="9"/>
              <w:rPr>
                <w:rFonts w:hint="eastAsia" w:ascii="宋体" w:hAnsi="宋体" w:eastAsia="宋体" w:cs="宋体"/>
                <w:b w:val="0"/>
                <w:bCs/>
                <w:color w:val="auto"/>
                <w:szCs w:val="21"/>
                <w:highlight w:val="none"/>
              </w:rPr>
            </w:pPr>
            <w:r>
              <w:rPr>
                <w:rFonts w:hint="eastAsia" w:ascii="宋体" w:hAnsi="宋体" w:eastAsia="宋体" w:cs="宋体"/>
                <w:b/>
                <w:color w:val="auto"/>
                <w:szCs w:val="21"/>
                <w:highlight w:val="none"/>
                <w:lang w:val="en-US" w:eastAsia="zh-CN"/>
              </w:rPr>
              <w:t>既有本国产品又有非本国产品参与竞争的：</w:t>
            </w:r>
            <w:r>
              <w:rPr>
                <w:rFonts w:hint="eastAsia" w:ascii="宋体" w:hAnsi="宋体" w:eastAsia="宋体" w:cs="宋体"/>
                <w:b w:val="0"/>
                <w:bCs/>
                <w:color w:val="auto"/>
                <w:szCs w:val="21"/>
                <w:highlight w:val="none"/>
              </w:rPr>
              <w:t>评标报价=投标报价-投标报价×10%-本国产品的报价×20%</w:t>
            </w:r>
          </w:p>
          <w:p w14:paraId="29626872">
            <w:pPr>
              <w:keepNext w:val="0"/>
              <w:keepLines w:val="0"/>
              <w:pageBreakBefore w:val="0"/>
              <w:kinsoku/>
              <w:wordWrap/>
              <w:overflowPunct/>
              <w:topLinePunct w:val="0"/>
              <w:autoSpaceDE/>
              <w:autoSpaceDN/>
              <w:bidi w:val="0"/>
              <w:adjustRightInd/>
              <w:snapToGrid/>
              <w:spacing w:line="360" w:lineRule="auto"/>
              <w:ind w:firstLine="422" w:firstLineChars="200"/>
              <w:textAlignment w:val="auto"/>
              <w:outlineLvl w:val="9"/>
              <w:rPr>
                <w:rFonts w:hint="eastAsia" w:ascii="宋体" w:hAnsi="宋体" w:eastAsia="宋体" w:cs="宋体"/>
                <w:b w:val="0"/>
                <w:bCs/>
                <w:color w:val="auto"/>
                <w:szCs w:val="21"/>
                <w:highlight w:val="none"/>
              </w:rPr>
            </w:pPr>
            <w:r>
              <w:rPr>
                <w:rFonts w:hint="eastAsia" w:ascii="宋体" w:hAnsi="宋体" w:eastAsia="宋体" w:cs="宋体"/>
                <w:b/>
                <w:color w:val="auto"/>
                <w:szCs w:val="21"/>
                <w:highlight w:val="none"/>
              </w:rPr>
              <w:t>符合本国产品标准的产品成本之和占该供应商提供的全部产品成本之和的比例达到80%以上时：</w:t>
            </w:r>
            <w:r>
              <w:rPr>
                <w:rFonts w:hint="eastAsia" w:ascii="宋体" w:hAnsi="宋体" w:eastAsia="宋体" w:cs="宋体"/>
                <w:b w:val="0"/>
                <w:bCs/>
                <w:color w:val="auto"/>
                <w:szCs w:val="21"/>
                <w:highlight w:val="none"/>
              </w:rPr>
              <w:t>评标报价=投标报价-投标报价×10%-</w:t>
            </w:r>
            <w:r>
              <w:rPr>
                <w:rFonts w:hint="eastAsia" w:ascii="宋体" w:hAnsi="宋体" w:eastAsia="宋体" w:cs="宋体"/>
                <w:b/>
                <w:bCs w:val="0"/>
                <w:color w:val="auto"/>
                <w:szCs w:val="21"/>
                <w:highlight w:val="none"/>
              </w:rPr>
              <w:t>全部产品的报价</w:t>
            </w:r>
            <w:r>
              <w:rPr>
                <w:rFonts w:hint="eastAsia" w:ascii="宋体" w:hAnsi="宋体" w:eastAsia="宋体" w:cs="宋体"/>
                <w:b w:val="0"/>
                <w:bCs/>
                <w:color w:val="auto"/>
                <w:szCs w:val="21"/>
                <w:highlight w:val="none"/>
              </w:rPr>
              <w:t>×20%</w:t>
            </w:r>
          </w:p>
          <w:p w14:paraId="09C34BE2">
            <w:pPr>
              <w:keepNext w:val="0"/>
              <w:keepLines w:val="0"/>
              <w:pageBreakBefore w:val="0"/>
              <w:kinsoku/>
              <w:wordWrap/>
              <w:overflowPunct/>
              <w:topLinePunct w:val="0"/>
              <w:autoSpaceDE/>
              <w:autoSpaceDN/>
              <w:bidi w:val="0"/>
              <w:adjustRightInd/>
              <w:snapToGrid/>
              <w:spacing w:line="360" w:lineRule="auto"/>
              <w:ind w:firstLine="420" w:firstLineChars="200"/>
              <w:textAlignment w:val="auto"/>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备注</w:t>
            </w:r>
            <w:r>
              <w:rPr>
                <w:rFonts w:hint="eastAsia" w:ascii="宋体" w:hAnsi="宋体" w:eastAsia="宋体" w:cs="宋体"/>
                <w:color w:val="auto"/>
                <w:szCs w:val="21"/>
                <w:highlight w:val="none"/>
              </w:rPr>
              <w:t>：以上两个公式中“投标报价×10%”为落实中小企业政策的扣除</w:t>
            </w:r>
            <w:r>
              <w:rPr>
                <w:rFonts w:hint="eastAsia" w:ascii="宋体" w:hAnsi="宋体" w:eastAsia="宋体" w:cs="宋体"/>
                <w:color w:val="auto"/>
                <w:sz w:val="21"/>
                <w:szCs w:val="21"/>
                <w:highlight w:val="none"/>
              </w:rPr>
              <w:t>。</w:t>
            </w:r>
          </w:p>
          <w:p w14:paraId="485F1B81">
            <w:pPr>
              <w:keepNext w:val="0"/>
              <w:keepLines w:val="0"/>
              <w:pageBreakBefore w:val="0"/>
              <w:kinsoku/>
              <w:wordWrap/>
              <w:overflowPunct/>
              <w:topLinePunct w:val="0"/>
              <w:autoSpaceDE/>
              <w:autoSpaceDN/>
              <w:bidi w:val="0"/>
              <w:adjustRightInd/>
              <w:snapToGrid/>
              <w:spacing w:line="360" w:lineRule="auto"/>
              <w:ind w:firstLine="420" w:firstLineChars="200"/>
              <w:textAlignment w:val="auto"/>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同一投标人（包括联合体），小微企业、监狱、残疾人福利</w:t>
            </w:r>
            <w:r>
              <w:rPr>
                <w:rFonts w:hint="eastAsia" w:ascii="宋体" w:hAnsi="宋体" w:eastAsia="宋体" w:cs="宋体"/>
                <w:color w:val="auto"/>
                <w:szCs w:val="21"/>
                <w:highlight w:val="none"/>
                <w:lang w:eastAsia="zh-CN"/>
              </w:rPr>
              <w:t>性</w:t>
            </w:r>
            <w:r>
              <w:rPr>
                <w:rFonts w:hint="eastAsia" w:ascii="宋体" w:hAnsi="宋体" w:eastAsia="宋体" w:cs="宋体"/>
                <w:color w:val="auto"/>
                <w:szCs w:val="21"/>
                <w:highlight w:val="none"/>
              </w:rPr>
              <w:t>企业</w:t>
            </w:r>
            <w:r>
              <w:rPr>
                <w:rFonts w:hint="eastAsia" w:ascii="宋体" w:hAnsi="宋体" w:eastAsia="宋体" w:cs="宋体"/>
                <w:color w:val="auto"/>
                <w:szCs w:val="21"/>
                <w:highlight w:val="none"/>
                <w:lang w:val="en-US" w:eastAsia="zh-CN"/>
              </w:rPr>
              <w:t>投标</w:t>
            </w:r>
            <w:r>
              <w:rPr>
                <w:rFonts w:hint="eastAsia" w:ascii="宋体" w:hAnsi="宋体" w:eastAsia="宋体" w:cs="宋体"/>
                <w:color w:val="auto"/>
                <w:szCs w:val="21"/>
                <w:highlight w:val="none"/>
              </w:rPr>
              <w:t>价格扣除优惠只享受一次，不得重复享受。</w:t>
            </w:r>
          </w:p>
          <w:p w14:paraId="25C7525C">
            <w:pPr>
              <w:keepNext w:val="0"/>
              <w:keepLines w:val="0"/>
              <w:pageBreakBefore w:val="0"/>
              <w:kinsoku/>
              <w:wordWrap/>
              <w:overflowPunct/>
              <w:topLinePunct w:val="0"/>
              <w:autoSpaceDE/>
              <w:autoSpaceDN/>
              <w:bidi w:val="0"/>
              <w:adjustRightInd/>
              <w:snapToGrid/>
              <w:spacing w:line="360" w:lineRule="auto"/>
              <w:ind w:firstLine="422" w:firstLineChars="200"/>
              <w:textAlignment w:val="auto"/>
              <w:outlineLvl w:val="9"/>
              <w:rPr>
                <w:rFonts w:hint="eastAsia" w:ascii="宋体" w:hAnsi="宋体" w:eastAsia="宋体" w:cs="宋体"/>
                <w:color w:val="auto"/>
                <w:szCs w:val="21"/>
                <w:highlight w:val="none"/>
              </w:rPr>
            </w:pPr>
            <w:r>
              <w:rPr>
                <w:rFonts w:hint="eastAsia" w:ascii="宋体" w:hAnsi="宋体" w:eastAsia="宋体" w:cs="宋体"/>
                <w:b/>
                <w:color w:val="auto"/>
                <w:szCs w:val="21"/>
                <w:highlight w:val="none"/>
              </w:rPr>
              <w:t>价格分采用低价优先法计算，</w:t>
            </w:r>
            <w:r>
              <w:rPr>
                <w:rFonts w:hint="eastAsia" w:ascii="宋体" w:hAnsi="宋体" w:eastAsia="宋体" w:cs="宋体"/>
                <w:color w:val="auto"/>
                <w:szCs w:val="21"/>
                <w:highlight w:val="none"/>
              </w:rPr>
              <w:t>即满足招标文件要求且评标报价最低的评标报价为评标基准价，其价格分为满分。其他投标人的价格分统一按照下列公式计算：</w:t>
            </w:r>
          </w:p>
          <w:p w14:paraId="0BCFFA2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2" w:firstLineChars="200"/>
              <w:textAlignment w:val="auto"/>
              <w:outlineLvl w:val="9"/>
              <w:rPr>
                <w:rFonts w:hint="eastAsia" w:ascii="宋体" w:hAnsi="宋体" w:eastAsia="宋体" w:cs="宋体"/>
                <w:color w:val="auto"/>
                <w:kern w:val="0"/>
                <w:sz w:val="21"/>
                <w:szCs w:val="21"/>
                <w:highlight w:val="none"/>
                <w:lang w:val="en-US"/>
              </w:rPr>
            </w:pPr>
            <w:r>
              <w:rPr>
                <w:rFonts w:hint="eastAsia" w:ascii="宋体" w:hAnsi="宋体" w:eastAsia="宋体" w:cs="宋体"/>
                <w:b/>
                <w:color w:val="auto"/>
                <w:szCs w:val="21"/>
                <w:highlight w:val="none"/>
              </w:rPr>
              <w:t>投标报价得分=(评标基准价／评标报价)×</w:t>
            </w:r>
            <w:r>
              <w:rPr>
                <w:rFonts w:hint="eastAsia" w:ascii="宋体" w:hAnsi="宋体" w:eastAsia="宋体" w:cs="宋体"/>
                <w:b/>
                <w:color w:val="auto"/>
                <w:szCs w:val="21"/>
                <w:highlight w:val="none"/>
                <w:lang w:val="en-US" w:eastAsia="zh-CN"/>
              </w:rPr>
              <w:t>30</w:t>
            </w:r>
          </w:p>
        </w:tc>
      </w:tr>
      <w:tr w14:paraId="2172B0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50" w:hRule="atLeast"/>
          <w:jc w:val="center"/>
        </w:trPr>
        <w:tc>
          <w:tcPr>
            <w:tcW w:w="990" w:type="dxa"/>
            <w:vMerge w:val="restart"/>
            <w:noWrap w:val="0"/>
            <w:vAlign w:val="center"/>
          </w:tcPr>
          <w:p w14:paraId="2CAA66BC">
            <w:pPr>
              <w:pageBreakBefore w:val="0"/>
              <w:widowControl/>
              <w:kinsoku/>
              <w:overflowPunct/>
              <w:bidi w:val="0"/>
              <w:spacing w:line="360" w:lineRule="auto"/>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lang w:val="en-US" w:eastAsia="zh-CN"/>
              </w:rPr>
              <w:t>2.2.2（2）</w:t>
            </w:r>
          </w:p>
        </w:tc>
        <w:tc>
          <w:tcPr>
            <w:tcW w:w="990" w:type="dxa"/>
            <w:gridSpan w:val="2"/>
            <w:vMerge w:val="restart"/>
            <w:noWrap w:val="0"/>
            <w:vAlign w:val="center"/>
          </w:tcPr>
          <w:p w14:paraId="395CC4E2">
            <w:pPr>
              <w:pageBreakBefore w:val="0"/>
              <w:widowControl/>
              <w:kinsoku/>
              <w:overflowPunct/>
              <w:bidi w:val="0"/>
              <w:spacing w:line="360" w:lineRule="auto"/>
              <w:jc w:val="center"/>
              <w:rPr>
                <w:rFonts w:hint="eastAsia" w:ascii="宋体" w:hAnsi="宋体" w:eastAsia="宋体" w:cs="宋体"/>
                <w:b/>
                <w:color w:val="auto"/>
                <w:szCs w:val="21"/>
                <w:highlight w:val="none"/>
              </w:rPr>
            </w:pPr>
            <w:r>
              <w:rPr>
                <w:rFonts w:hint="eastAsia" w:ascii="宋体" w:hAnsi="宋体" w:eastAsia="宋体" w:cs="宋体"/>
                <w:b/>
                <w:bCs/>
                <w:color w:val="auto"/>
                <w:highlight w:val="none"/>
              </w:rPr>
              <w:t>技术部分</w:t>
            </w:r>
            <w:r>
              <w:rPr>
                <w:rFonts w:hint="eastAsia" w:ascii="宋体" w:hAnsi="宋体" w:eastAsia="宋体" w:cs="宋体"/>
                <w:b/>
                <w:bCs/>
                <w:color w:val="auto"/>
                <w:highlight w:val="none"/>
                <w:lang w:val="en-US" w:eastAsia="zh-CN"/>
              </w:rPr>
              <w:t>45</w:t>
            </w:r>
            <w:r>
              <w:rPr>
                <w:rFonts w:hint="eastAsia" w:ascii="宋体" w:hAnsi="宋体" w:eastAsia="宋体" w:cs="宋体"/>
                <w:b/>
                <w:bCs/>
                <w:color w:val="auto"/>
                <w:highlight w:val="none"/>
              </w:rPr>
              <w:t>分</w:t>
            </w:r>
          </w:p>
        </w:tc>
        <w:tc>
          <w:tcPr>
            <w:tcW w:w="2126" w:type="dxa"/>
            <w:noWrap w:val="0"/>
            <w:vAlign w:val="center"/>
          </w:tcPr>
          <w:p w14:paraId="6EBF94C5">
            <w:pPr>
              <w:pageBreakBefore w:val="0"/>
              <w:widowControl/>
              <w:kinsoku/>
              <w:overflowPunct/>
              <w:bidi w:val="0"/>
              <w:spacing w:line="36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b/>
                <w:color w:val="auto"/>
                <w:szCs w:val="21"/>
                <w:highlight w:val="none"/>
              </w:rPr>
              <w:t>技术参数（</w:t>
            </w:r>
            <w:r>
              <w:rPr>
                <w:rFonts w:hint="eastAsia" w:ascii="宋体" w:hAnsi="宋体" w:eastAsia="宋体" w:cs="宋体"/>
                <w:b/>
                <w:color w:val="auto"/>
                <w:szCs w:val="21"/>
                <w:highlight w:val="none"/>
                <w:lang w:val="en-US" w:eastAsia="zh-CN"/>
              </w:rPr>
              <w:t>33</w:t>
            </w:r>
            <w:r>
              <w:rPr>
                <w:rFonts w:hint="eastAsia" w:ascii="宋体" w:hAnsi="宋体" w:eastAsia="宋体" w:cs="宋体"/>
                <w:b/>
                <w:color w:val="auto"/>
                <w:szCs w:val="21"/>
                <w:highlight w:val="none"/>
              </w:rPr>
              <w:t>分）</w:t>
            </w:r>
          </w:p>
        </w:tc>
        <w:tc>
          <w:tcPr>
            <w:tcW w:w="5245" w:type="dxa"/>
            <w:noWrap w:val="0"/>
            <w:vAlign w:val="top"/>
          </w:tcPr>
          <w:p w14:paraId="23C933E1">
            <w:pPr>
              <w:widowControl/>
              <w:spacing w:line="360" w:lineRule="auto"/>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Cs w:val="21"/>
                <w:highlight w:val="none"/>
              </w:rPr>
              <w:t>所投产品技术参数和配置完全满足或优于招标文件要求的，得满分</w:t>
            </w:r>
            <w:r>
              <w:rPr>
                <w:rFonts w:hint="eastAsia" w:ascii="宋体" w:hAnsi="宋体" w:eastAsia="宋体" w:cs="宋体"/>
                <w:color w:val="auto"/>
                <w:szCs w:val="21"/>
                <w:highlight w:val="none"/>
                <w:lang w:val="en-US" w:eastAsia="zh-CN"/>
              </w:rPr>
              <w:t>33</w:t>
            </w:r>
            <w:r>
              <w:rPr>
                <w:rFonts w:hint="eastAsia" w:ascii="宋体" w:hAnsi="宋体" w:eastAsia="宋体" w:cs="宋体"/>
                <w:color w:val="auto"/>
                <w:szCs w:val="21"/>
                <w:highlight w:val="none"/>
              </w:rPr>
              <w:t>分；带“★”号的技术参数及功能要求为重要技术指标，每有一项不满足的扣</w:t>
            </w:r>
            <w:r>
              <w:rPr>
                <w:rFonts w:hint="eastAsia" w:cs="宋体"/>
                <w:color w:val="auto"/>
                <w:szCs w:val="21"/>
                <w:highlight w:val="none"/>
                <w:lang w:val="en-US" w:eastAsia="zh-CN"/>
              </w:rPr>
              <w:t>2</w:t>
            </w:r>
            <w:r>
              <w:rPr>
                <w:rFonts w:hint="eastAsia" w:ascii="宋体" w:hAnsi="宋体" w:eastAsia="宋体" w:cs="宋体"/>
                <w:color w:val="auto"/>
                <w:szCs w:val="21"/>
                <w:highlight w:val="none"/>
              </w:rPr>
              <w:t>分；非带“★”号的技术参数及功能要求为一般性技术指标，每有一项不满足的扣</w:t>
            </w:r>
            <w:r>
              <w:rPr>
                <w:rFonts w:hint="eastAsia" w:cs="宋体"/>
                <w:color w:val="auto"/>
                <w:szCs w:val="21"/>
                <w:highlight w:val="none"/>
                <w:lang w:val="en-US" w:eastAsia="zh-CN"/>
              </w:rPr>
              <w:t>0.5</w:t>
            </w:r>
            <w:r>
              <w:rPr>
                <w:rFonts w:hint="eastAsia" w:ascii="宋体" w:hAnsi="宋体" w:eastAsia="宋体" w:cs="宋体"/>
                <w:color w:val="auto"/>
                <w:szCs w:val="21"/>
                <w:highlight w:val="none"/>
              </w:rPr>
              <w:t>分</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扣完为止。</w:t>
            </w:r>
          </w:p>
        </w:tc>
      </w:tr>
      <w:tr w14:paraId="619980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50" w:hRule="atLeast"/>
          <w:jc w:val="center"/>
        </w:trPr>
        <w:tc>
          <w:tcPr>
            <w:tcW w:w="990" w:type="dxa"/>
            <w:vMerge w:val="continue"/>
            <w:noWrap w:val="0"/>
            <w:vAlign w:val="center"/>
          </w:tcPr>
          <w:p w14:paraId="161E580F">
            <w:pPr>
              <w:pageBreakBefore w:val="0"/>
              <w:widowControl/>
              <w:kinsoku/>
              <w:overflowPunct/>
              <w:bidi w:val="0"/>
              <w:spacing w:line="360" w:lineRule="auto"/>
              <w:jc w:val="center"/>
              <w:rPr>
                <w:rFonts w:hint="eastAsia" w:ascii="宋体" w:hAnsi="宋体" w:eastAsia="宋体" w:cs="宋体"/>
                <w:color w:val="auto"/>
                <w:kern w:val="0"/>
                <w:szCs w:val="21"/>
                <w:highlight w:val="none"/>
                <w:lang w:val="en-US" w:eastAsia="zh-CN"/>
              </w:rPr>
            </w:pPr>
          </w:p>
        </w:tc>
        <w:tc>
          <w:tcPr>
            <w:tcW w:w="990" w:type="dxa"/>
            <w:gridSpan w:val="2"/>
            <w:vMerge w:val="continue"/>
            <w:noWrap w:val="0"/>
            <w:vAlign w:val="center"/>
          </w:tcPr>
          <w:p w14:paraId="382608EE">
            <w:pPr>
              <w:pageBreakBefore w:val="0"/>
              <w:widowControl/>
              <w:kinsoku/>
              <w:overflowPunct/>
              <w:bidi w:val="0"/>
              <w:spacing w:line="360" w:lineRule="auto"/>
              <w:jc w:val="center"/>
              <w:rPr>
                <w:rFonts w:hint="eastAsia" w:ascii="宋体" w:hAnsi="宋体" w:eastAsia="宋体" w:cs="宋体"/>
                <w:b/>
                <w:bCs/>
                <w:color w:val="auto"/>
                <w:highlight w:val="none"/>
              </w:rPr>
            </w:pPr>
          </w:p>
        </w:tc>
        <w:tc>
          <w:tcPr>
            <w:tcW w:w="2126" w:type="dxa"/>
            <w:noWrap w:val="0"/>
            <w:vAlign w:val="center"/>
          </w:tcPr>
          <w:p w14:paraId="22809A42">
            <w:pPr>
              <w:widowControl/>
              <w:spacing w:line="360" w:lineRule="auto"/>
              <w:jc w:val="center"/>
              <w:rPr>
                <w:rFonts w:hint="eastAsia" w:ascii="宋体" w:hAnsi="宋体" w:eastAsia="宋体" w:cs="宋体"/>
                <w:b/>
                <w:color w:val="auto"/>
                <w:szCs w:val="21"/>
                <w:highlight w:val="none"/>
              </w:rPr>
            </w:pPr>
            <w:r>
              <w:rPr>
                <w:rFonts w:hint="eastAsia" w:ascii="宋体" w:hAnsi="宋体" w:eastAsia="宋体" w:cs="宋体"/>
                <w:b/>
                <w:bCs/>
                <w:color w:val="auto"/>
                <w:kern w:val="0"/>
                <w:szCs w:val="21"/>
                <w:highlight w:val="none"/>
              </w:rPr>
              <w:t>供货方案（6分）</w:t>
            </w:r>
          </w:p>
        </w:tc>
        <w:tc>
          <w:tcPr>
            <w:tcW w:w="5245" w:type="dxa"/>
            <w:noWrap w:val="0"/>
            <w:vAlign w:val="center"/>
          </w:tcPr>
          <w:p w14:paraId="2EDD568B">
            <w:pPr>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pacing w:val="-2"/>
                <w:szCs w:val="21"/>
                <w:highlight w:val="none"/>
              </w:rPr>
              <w:t>供货方案从以下3点进行评审（包括但不限于）：</w:t>
            </w:r>
          </w:p>
          <w:p w14:paraId="4D48F694">
            <w:pPr>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w:t>
            </w:r>
            <w:r>
              <w:rPr>
                <w:rFonts w:hint="eastAsia" w:ascii="宋体" w:hAnsi="宋体" w:eastAsia="宋体" w:cs="宋体"/>
                <w:color w:val="auto"/>
                <w:kern w:val="0"/>
                <w:szCs w:val="21"/>
                <w:highlight w:val="none"/>
              </w:rPr>
              <w:t>实施计划</w:t>
            </w:r>
            <w:r>
              <w:rPr>
                <w:rFonts w:hint="eastAsia" w:ascii="宋体" w:hAnsi="宋体" w:eastAsia="宋体" w:cs="宋体"/>
                <w:color w:val="auto"/>
                <w:szCs w:val="21"/>
                <w:highlight w:val="none"/>
              </w:rPr>
              <w:t>；</w:t>
            </w:r>
          </w:p>
          <w:p w14:paraId="54261619">
            <w:pPr>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供货</w:t>
            </w:r>
            <w:r>
              <w:rPr>
                <w:rFonts w:hint="eastAsia" w:ascii="宋体" w:hAnsi="宋体" w:eastAsia="宋体" w:cs="宋体"/>
                <w:color w:val="auto"/>
                <w:kern w:val="0"/>
                <w:szCs w:val="21"/>
                <w:highlight w:val="none"/>
              </w:rPr>
              <w:t>流程</w:t>
            </w:r>
            <w:r>
              <w:rPr>
                <w:rFonts w:hint="eastAsia" w:ascii="宋体" w:hAnsi="宋体" w:eastAsia="宋体" w:cs="宋体"/>
                <w:color w:val="auto"/>
                <w:szCs w:val="21"/>
                <w:highlight w:val="none"/>
              </w:rPr>
              <w:t>；</w:t>
            </w:r>
          </w:p>
          <w:p w14:paraId="7A912484">
            <w:pPr>
              <w:spacing w:line="360" w:lineRule="auto"/>
              <w:ind w:firstLine="420" w:firstLineChars="200"/>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3.供货</w:t>
            </w:r>
            <w:r>
              <w:rPr>
                <w:rFonts w:hint="eastAsia" w:ascii="宋体" w:hAnsi="宋体" w:eastAsia="宋体" w:cs="宋体"/>
                <w:color w:val="auto"/>
                <w:kern w:val="0"/>
                <w:szCs w:val="21"/>
                <w:highlight w:val="none"/>
              </w:rPr>
              <w:t>措施</w:t>
            </w:r>
            <w:r>
              <w:rPr>
                <w:rFonts w:hint="eastAsia" w:ascii="宋体" w:hAnsi="宋体" w:eastAsia="宋体" w:cs="宋体"/>
                <w:color w:val="auto"/>
                <w:szCs w:val="21"/>
                <w:highlight w:val="none"/>
                <w:lang w:eastAsia="zh-CN"/>
              </w:rPr>
              <w:t>。</w:t>
            </w:r>
          </w:p>
          <w:p w14:paraId="2FEA4C49">
            <w:pPr>
              <w:spacing w:line="360" w:lineRule="auto"/>
              <w:rPr>
                <w:rFonts w:hint="eastAsia" w:ascii="宋体" w:hAnsi="宋体" w:eastAsia="宋体" w:cs="宋体"/>
                <w:color w:val="auto"/>
                <w:szCs w:val="21"/>
                <w:highlight w:val="none"/>
              </w:rPr>
            </w:pPr>
            <w:r>
              <w:rPr>
                <w:rFonts w:hint="eastAsia" w:ascii="宋体" w:hAnsi="宋体" w:eastAsia="宋体" w:cs="宋体"/>
                <w:color w:val="auto"/>
                <w:spacing w:val="-2"/>
                <w:szCs w:val="21"/>
                <w:highlight w:val="none"/>
              </w:rPr>
              <w:t>以上供货方案项目每项</w:t>
            </w:r>
            <w:r>
              <w:rPr>
                <w:rFonts w:hint="eastAsia" w:ascii="宋体" w:hAnsi="宋体" w:eastAsia="宋体" w:cs="宋体"/>
                <w:color w:val="auto"/>
                <w:spacing w:val="-2"/>
                <w:szCs w:val="21"/>
                <w:highlight w:val="none"/>
                <w:lang w:val="en-US" w:eastAsia="zh-CN"/>
              </w:rPr>
              <w:t>2</w:t>
            </w:r>
            <w:r>
              <w:rPr>
                <w:rFonts w:hint="eastAsia" w:ascii="宋体" w:hAnsi="宋体" w:eastAsia="宋体" w:cs="宋体"/>
                <w:color w:val="auto"/>
                <w:spacing w:val="-2"/>
                <w:szCs w:val="21"/>
                <w:highlight w:val="none"/>
              </w:rPr>
              <w:t>分。每项方案内容完整、描述详细、完全符合供货需求、可操作性强得</w:t>
            </w:r>
            <w:r>
              <w:rPr>
                <w:rFonts w:hint="eastAsia" w:ascii="宋体" w:hAnsi="宋体" w:eastAsia="宋体" w:cs="宋体"/>
                <w:color w:val="auto"/>
                <w:spacing w:val="-2"/>
                <w:szCs w:val="21"/>
                <w:highlight w:val="none"/>
                <w:lang w:val="en-US" w:eastAsia="zh-CN"/>
              </w:rPr>
              <w:t>2</w:t>
            </w:r>
            <w:r>
              <w:rPr>
                <w:rFonts w:hint="eastAsia" w:ascii="宋体" w:hAnsi="宋体" w:eastAsia="宋体" w:cs="宋体"/>
                <w:color w:val="auto"/>
                <w:spacing w:val="-2"/>
                <w:szCs w:val="21"/>
                <w:highlight w:val="none"/>
              </w:rPr>
              <w:t>分；方案内容较完整、描述较详细、基本符合供货需求、可操作性较强得</w:t>
            </w:r>
            <w:r>
              <w:rPr>
                <w:rFonts w:hint="eastAsia" w:ascii="宋体" w:hAnsi="宋体" w:eastAsia="宋体" w:cs="宋体"/>
                <w:color w:val="auto"/>
                <w:spacing w:val="-2"/>
                <w:szCs w:val="21"/>
                <w:highlight w:val="none"/>
                <w:lang w:val="en-US" w:eastAsia="zh-CN"/>
              </w:rPr>
              <w:t>1</w:t>
            </w:r>
            <w:r>
              <w:rPr>
                <w:rFonts w:hint="eastAsia" w:ascii="宋体" w:hAnsi="宋体" w:eastAsia="宋体" w:cs="宋体"/>
                <w:color w:val="auto"/>
                <w:spacing w:val="-2"/>
                <w:szCs w:val="21"/>
                <w:highlight w:val="none"/>
              </w:rPr>
              <w:t>分；方案内容不完整、描述不详细、符合供货需求低、可操作性一般得</w:t>
            </w:r>
            <w:r>
              <w:rPr>
                <w:rFonts w:hint="eastAsia" w:ascii="宋体" w:hAnsi="宋体" w:eastAsia="宋体" w:cs="宋体"/>
                <w:color w:val="auto"/>
                <w:spacing w:val="-2"/>
                <w:szCs w:val="21"/>
                <w:highlight w:val="none"/>
                <w:lang w:val="en-US" w:eastAsia="zh-CN"/>
              </w:rPr>
              <w:t>0.5</w:t>
            </w:r>
            <w:r>
              <w:rPr>
                <w:rFonts w:hint="eastAsia" w:ascii="宋体" w:hAnsi="宋体" w:eastAsia="宋体" w:cs="宋体"/>
                <w:color w:val="auto"/>
                <w:spacing w:val="-2"/>
                <w:szCs w:val="21"/>
                <w:highlight w:val="none"/>
              </w:rPr>
              <w:t>分；存在严重缺项或无此内容得0分</w:t>
            </w:r>
            <w:r>
              <w:rPr>
                <w:rFonts w:hint="eastAsia" w:ascii="宋体" w:hAnsi="宋体" w:eastAsia="宋体" w:cs="宋体"/>
                <w:color w:val="auto"/>
                <w:spacing w:val="-2"/>
                <w:szCs w:val="21"/>
                <w:highlight w:val="none"/>
                <w:lang w:eastAsia="zh-CN"/>
              </w:rPr>
              <w:t>，</w:t>
            </w:r>
            <w:r>
              <w:rPr>
                <w:rFonts w:hint="eastAsia" w:ascii="宋体" w:hAnsi="宋体" w:eastAsia="宋体" w:cs="宋体"/>
                <w:color w:val="auto"/>
                <w:spacing w:val="-2"/>
                <w:szCs w:val="21"/>
                <w:highlight w:val="none"/>
                <w:lang w:val="en-US" w:eastAsia="zh-CN"/>
              </w:rPr>
              <w:t>本项最多得6分</w:t>
            </w:r>
            <w:r>
              <w:rPr>
                <w:rFonts w:hint="eastAsia" w:ascii="宋体" w:hAnsi="宋体" w:eastAsia="宋体" w:cs="宋体"/>
                <w:color w:val="auto"/>
                <w:spacing w:val="-2"/>
                <w:szCs w:val="21"/>
                <w:highlight w:val="none"/>
              </w:rPr>
              <w:t>。</w:t>
            </w:r>
          </w:p>
        </w:tc>
      </w:tr>
      <w:tr w14:paraId="40E70C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1" w:hRule="atLeast"/>
          <w:jc w:val="center"/>
        </w:trPr>
        <w:tc>
          <w:tcPr>
            <w:tcW w:w="990" w:type="dxa"/>
            <w:vMerge w:val="continue"/>
            <w:noWrap w:val="0"/>
            <w:vAlign w:val="center"/>
          </w:tcPr>
          <w:p w14:paraId="58CBD6FB">
            <w:pPr>
              <w:pageBreakBefore w:val="0"/>
              <w:widowControl/>
              <w:kinsoku/>
              <w:overflowPunct/>
              <w:bidi w:val="0"/>
              <w:spacing w:line="360" w:lineRule="auto"/>
              <w:jc w:val="center"/>
              <w:rPr>
                <w:rFonts w:hint="eastAsia" w:ascii="宋体" w:hAnsi="宋体" w:eastAsia="宋体" w:cs="宋体"/>
                <w:color w:val="auto"/>
                <w:kern w:val="0"/>
                <w:szCs w:val="21"/>
                <w:highlight w:val="none"/>
              </w:rPr>
            </w:pPr>
          </w:p>
        </w:tc>
        <w:tc>
          <w:tcPr>
            <w:tcW w:w="990" w:type="dxa"/>
            <w:gridSpan w:val="2"/>
            <w:vMerge w:val="continue"/>
            <w:noWrap w:val="0"/>
            <w:vAlign w:val="center"/>
          </w:tcPr>
          <w:p w14:paraId="6890DCB0">
            <w:pPr>
              <w:pageBreakBefore w:val="0"/>
              <w:widowControl/>
              <w:kinsoku/>
              <w:overflowPunct/>
              <w:bidi w:val="0"/>
              <w:spacing w:line="360" w:lineRule="auto"/>
              <w:jc w:val="center"/>
              <w:rPr>
                <w:rFonts w:hint="eastAsia" w:ascii="宋体" w:hAnsi="宋体" w:eastAsia="宋体" w:cs="宋体"/>
                <w:b/>
                <w:color w:val="auto"/>
                <w:szCs w:val="21"/>
                <w:highlight w:val="none"/>
              </w:rPr>
            </w:pPr>
          </w:p>
        </w:tc>
        <w:tc>
          <w:tcPr>
            <w:tcW w:w="2126" w:type="dxa"/>
            <w:noWrap w:val="0"/>
            <w:vAlign w:val="center"/>
          </w:tcPr>
          <w:p w14:paraId="3BCC3706">
            <w:pPr>
              <w:widowControl/>
              <w:spacing w:before="24" w:beforeLines="10" w:line="360" w:lineRule="auto"/>
              <w:jc w:val="center"/>
              <w:rPr>
                <w:rFonts w:hint="eastAsia" w:ascii="宋体" w:hAnsi="宋体" w:eastAsia="宋体" w:cs="宋体"/>
                <w:b/>
                <w:color w:val="auto"/>
                <w:szCs w:val="21"/>
                <w:highlight w:val="none"/>
              </w:rPr>
            </w:pPr>
            <w:r>
              <w:rPr>
                <w:rFonts w:hint="eastAsia" w:ascii="宋体" w:hAnsi="宋体" w:eastAsia="宋体" w:cs="宋体"/>
                <w:b/>
                <w:bCs/>
                <w:color w:val="auto"/>
                <w:kern w:val="0"/>
                <w:szCs w:val="21"/>
                <w:highlight w:val="none"/>
              </w:rPr>
              <w:t>项目实施方案</w:t>
            </w:r>
            <w:r>
              <w:rPr>
                <w:rFonts w:hint="eastAsia" w:ascii="宋体" w:hAnsi="宋体" w:eastAsia="宋体" w:cs="宋体"/>
                <w:b/>
                <w:bCs/>
                <w:color w:val="auto"/>
                <w:kern w:val="0"/>
                <w:szCs w:val="21"/>
                <w:highlight w:val="none"/>
                <w:lang w:eastAsia="zh-CN"/>
              </w:rPr>
              <w:t>（6分）</w:t>
            </w:r>
          </w:p>
        </w:tc>
        <w:tc>
          <w:tcPr>
            <w:tcW w:w="5245" w:type="dxa"/>
            <w:noWrap w:val="0"/>
            <w:vAlign w:val="center"/>
          </w:tcPr>
          <w:p w14:paraId="00611094">
            <w:pPr>
              <w:spacing w:line="360" w:lineRule="auto"/>
              <w:jc w:val="left"/>
              <w:rPr>
                <w:rFonts w:hint="eastAsia" w:ascii="宋体" w:hAnsi="宋体" w:eastAsia="宋体" w:cs="宋体"/>
                <w:color w:val="auto"/>
                <w:spacing w:val="-2"/>
                <w:szCs w:val="21"/>
                <w:highlight w:val="none"/>
              </w:rPr>
            </w:pPr>
            <w:r>
              <w:rPr>
                <w:rFonts w:hint="eastAsia" w:ascii="宋体" w:hAnsi="宋体" w:eastAsia="宋体" w:cs="宋体"/>
                <w:color w:val="auto"/>
                <w:spacing w:val="-2"/>
                <w:szCs w:val="21"/>
                <w:highlight w:val="none"/>
              </w:rPr>
              <w:t>项目实施方案从以下3点进行评审（包括但不限于）：</w:t>
            </w:r>
          </w:p>
          <w:p w14:paraId="5E5108ED">
            <w:pPr>
              <w:spacing w:line="360" w:lineRule="auto"/>
              <w:ind w:firstLine="412" w:firstLineChars="200"/>
              <w:jc w:val="left"/>
              <w:rPr>
                <w:rFonts w:hint="eastAsia" w:ascii="宋体" w:hAnsi="宋体" w:eastAsia="宋体" w:cs="宋体"/>
                <w:color w:val="auto"/>
                <w:highlight w:val="none"/>
              </w:rPr>
            </w:pPr>
            <w:r>
              <w:rPr>
                <w:rFonts w:hint="eastAsia" w:ascii="宋体" w:hAnsi="宋体" w:eastAsia="宋体" w:cs="宋体"/>
                <w:color w:val="auto"/>
                <w:spacing w:val="-2"/>
                <w:szCs w:val="21"/>
                <w:highlight w:val="none"/>
              </w:rPr>
              <w:t>1.项目实施计划；</w:t>
            </w:r>
          </w:p>
          <w:p w14:paraId="3FB83F61">
            <w:pPr>
              <w:spacing w:line="360" w:lineRule="auto"/>
              <w:ind w:firstLine="412" w:firstLineChars="200"/>
              <w:jc w:val="left"/>
              <w:rPr>
                <w:rFonts w:hint="eastAsia" w:ascii="宋体" w:hAnsi="宋体" w:eastAsia="宋体" w:cs="宋体"/>
                <w:color w:val="auto"/>
                <w:spacing w:val="-2"/>
                <w:szCs w:val="21"/>
                <w:highlight w:val="none"/>
              </w:rPr>
            </w:pPr>
            <w:r>
              <w:rPr>
                <w:rFonts w:hint="eastAsia" w:ascii="宋体" w:hAnsi="宋体" w:eastAsia="宋体" w:cs="宋体"/>
                <w:color w:val="auto"/>
                <w:spacing w:val="-2"/>
                <w:szCs w:val="21"/>
                <w:highlight w:val="none"/>
              </w:rPr>
              <w:t>2.项目</w:t>
            </w:r>
            <w:r>
              <w:rPr>
                <w:rFonts w:hint="eastAsia" w:ascii="宋体" w:hAnsi="宋体" w:eastAsia="宋体" w:cs="宋体"/>
                <w:color w:val="auto"/>
                <w:spacing w:val="-2"/>
                <w:szCs w:val="21"/>
                <w:highlight w:val="none"/>
                <w:lang w:val="en-US" w:eastAsia="zh-CN"/>
              </w:rPr>
              <w:t>实施</w:t>
            </w:r>
            <w:r>
              <w:rPr>
                <w:rFonts w:hint="eastAsia" w:ascii="宋体" w:hAnsi="宋体" w:eastAsia="宋体" w:cs="宋体"/>
                <w:color w:val="auto"/>
                <w:spacing w:val="-2"/>
                <w:szCs w:val="21"/>
                <w:highlight w:val="none"/>
              </w:rPr>
              <w:t>管理措施；</w:t>
            </w:r>
          </w:p>
          <w:p w14:paraId="37D2F175">
            <w:pPr>
              <w:spacing w:line="360" w:lineRule="auto"/>
              <w:ind w:firstLine="412" w:firstLineChars="200"/>
              <w:jc w:val="left"/>
              <w:rPr>
                <w:rFonts w:hint="eastAsia" w:ascii="宋体" w:hAnsi="宋体" w:eastAsia="宋体" w:cs="宋体"/>
                <w:color w:val="auto"/>
                <w:spacing w:val="-2"/>
                <w:szCs w:val="21"/>
                <w:highlight w:val="none"/>
                <w:lang w:eastAsia="zh-CN"/>
              </w:rPr>
            </w:pPr>
            <w:r>
              <w:rPr>
                <w:rFonts w:hint="eastAsia" w:ascii="宋体" w:hAnsi="宋体" w:eastAsia="宋体" w:cs="宋体"/>
                <w:color w:val="auto"/>
                <w:spacing w:val="-2"/>
                <w:szCs w:val="21"/>
                <w:highlight w:val="none"/>
              </w:rPr>
              <w:t>3.</w:t>
            </w:r>
            <w:r>
              <w:rPr>
                <w:rFonts w:hint="eastAsia" w:ascii="宋体" w:hAnsi="宋体" w:eastAsia="宋体" w:cs="宋体"/>
                <w:color w:val="auto"/>
                <w:spacing w:val="-2"/>
                <w:szCs w:val="21"/>
                <w:highlight w:val="none"/>
                <w:lang w:val="en-US" w:eastAsia="zh-CN"/>
              </w:rPr>
              <w:t>安装调试方案</w:t>
            </w:r>
            <w:r>
              <w:rPr>
                <w:rFonts w:hint="eastAsia" w:ascii="宋体" w:hAnsi="宋体" w:eastAsia="宋体" w:cs="宋体"/>
                <w:color w:val="auto"/>
                <w:spacing w:val="-2"/>
                <w:szCs w:val="21"/>
                <w:highlight w:val="none"/>
                <w:lang w:eastAsia="zh-CN"/>
              </w:rPr>
              <w:t>。</w:t>
            </w:r>
          </w:p>
          <w:p w14:paraId="48AB90F6">
            <w:pPr>
              <w:spacing w:line="360" w:lineRule="auto"/>
              <w:rPr>
                <w:rFonts w:hint="eastAsia" w:ascii="宋体" w:hAnsi="宋体" w:eastAsia="宋体" w:cs="宋体"/>
                <w:color w:val="auto"/>
                <w:szCs w:val="21"/>
                <w:highlight w:val="none"/>
                <w:lang w:val="en-US" w:eastAsia="zh-CN"/>
              </w:rPr>
            </w:pPr>
            <w:r>
              <w:rPr>
                <w:rFonts w:hint="eastAsia" w:ascii="宋体" w:hAnsi="宋体" w:eastAsia="宋体" w:cs="宋体"/>
                <w:color w:val="auto"/>
                <w:spacing w:val="-2"/>
                <w:szCs w:val="21"/>
                <w:highlight w:val="none"/>
              </w:rPr>
              <w:t>以上实施项目每项</w:t>
            </w:r>
            <w:r>
              <w:rPr>
                <w:rFonts w:hint="eastAsia" w:ascii="宋体" w:hAnsi="宋体" w:eastAsia="宋体" w:cs="宋体"/>
                <w:color w:val="auto"/>
                <w:spacing w:val="-2"/>
                <w:szCs w:val="21"/>
                <w:highlight w:val="none"/>
                <w:lang w:val="en-US" w:eastAsia="zh-CN"/>
              </w:rPr>
              <w:t>2</w:t>
            </w:r>
            <w:r>
              <w:rPr>
                <w:rFonts w:hint="eastAsia" w:ascii="宋体" w:hAnsi="宋体" w:eastAsia="宋体" w:cs="宋体"/>
                <w:color w:val="auto"/>
                <w:spacing w:val="-2"/>
                <w:szCs w:val="21"/>
                <w:highlight w:val="none"/>
              </w:rPr>
              <w:t>分。每项方案内容完整、描述详细、完全符合采购需求、可操作性强得</w:t>
            </w:r>
            <w:r>
              <w:rPr>
                <w:rFonts w:hint="eastAsia" w:ascii="宋体" w:hAnsi="宋体" w:eastAsia="宋体" w:cs="宋体"/>
                <w:color w:val="auto"/>
                <w:spacing w:val="-2"/>
                <w:szCs w:val="21"/>
                <w:highlight w:val="none"/>
                <w:lang w:val="en-US" w:eastAsia="zh-CN"/>
              </w:rPr>
              <w:t>2</w:t>
            </w:r>
            <w:r>
              <w:rPr>
                <w:rFonts w:hint="eastAsia" w:ascii="宋体" w:hAnsi="宋体" w:eastAsia="宋体" w:cs="宋体"/>
                <w:color w:val="auto"/>
                <w:spacing w:val="-2"/>
                <w:szCs w:val="21"/>
                <w:highlight w:val="none"/>
              </w:rPr>
              <w:t>分；方案内容较完整、描述较详细、基本符合采购需求、可操作性较强得</w:t>
            </w:r>
            <w:r>
              <w:rPr>
                <w:rFonts w:hint="eastAsia" w:ascii="宋体" w:hAnsi="宋体" w:eastAsia="宋体" w:cs="宋体"/>
                <w:color w:val="auto"/>
                <w:spacing w:val="-2"/>
                <w:szCs w:val="21"/>
                <w:highlight w:val="none"/>
                <w:lang w:val="en-US" w:eastAsia="zh-CN"/>
              </w:rPr>
              <w:t>1</w:t>
            </w:r>
            <w:r>
              <w:rPr>
                <w:rFonts w:hint="eastAsia" w:ascii="宋体" w:hAnsi="宋体" w:eastAsia="宋体" w:cs="宋体"/>
                <w:color w:val="auto"/>
                <w:spacing w:val="-2"/>
                <w:szCs w:val="21"/>
                <w:highlight w:val="none"/>
              </w:rPr>
              <w:t>分；方案内容不完整、描述不详细、符合采购需求低、可操作性一般得</w:t>
            </w:r>
            <w:r>
              <w:rPr>
                <w:rFonts w:hint="eastAsia" w:ascii="宋体" w:hAnsi="宋体" w:eastAsia="宋体" w:cs="宋体"/>
                <w:color w:val="auto"/>
                <w:spacing w:val="-2"/>
                <w:szCs w:val="21"/>
                <w:highlight w:val="none"/>
                <w:lang w:val="en-US" w:eastAsia="zh-CN"/>
              </w:rPr>
              <w:t>0.5</w:t>
            </w:r>
            <w:r>
              <w:rPr>
                <w:rFonts w:hint="eastAsia" w:ascii="宋体" w:hAnsi="宋体" w:eastAsia="宋体" w:cs="宋体"/>
                <w:color w:val="auto"/>
                <w:spacing w:val="-2"/>
                <w:szCs w:val="21"/>
                <w:highlight w:val="none"/>
              </w:rPr>
              <w:t>分；存在严重缺项或无此内容得0分</w:t>
            </w:r>
            <w:r>
              <w:rPr>
                <w:rFonts w:hint="eastAsia" w:ascii="宋体" w:hAnsi="宋体" w:eastAsia="宋体" w:cs="宋体"/>
                <w:color w:val="auto"/>
                <w:spacing w:val="-2"/>
                <w:szCs w:val="21"/>
                <w:highlight w:val="none"/>
                <w:lang w:eastAsia="zh-CN"/>
              </w:rPr>
              <w:t>，</w:t>
            </w:r>
            <w:r>
              <w:rPr>
                <w:rFonts w:hint="eastAsia" w:ascii="宋体" w:hAnsi="宋体" w:eastAsia="宋体" w:cs="宋体"/>
                <w:color w:val="auto"/>
                <w:spacing w:val="-2"/>
                <w:szCs w:val="21"/>
                <w:highlight w:val="none"/>
                <w:lang w:val="en-US" w:eastAsia="zh-CN"/>
              </w:rPr>
              <w:t>本项最多得6分。</w:t>
            </w:r>
          </w:p>
        </w:tc>
      </w:tr>
      <w:tr w14:paraId="65D3B6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90" w:type="dxa"/>
            <w:vMerge w:val="restart"/>
            <w:noWrap w:val="0"/>
            <w:vAlign w:val="center"/>
          </w:tcPr>
          <w:p w14:paraId="3600828B">
            <w:pPr>
              <w:pageBreakBefore w:val="0"/>
              <w:widowControl/>
              <w:kinsoku/>
              <w:overflowPunct/>
              <w:bidi w:val="0"/>
              <w:spacing w:line="360" w:lineRule="auto"/>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lang w:val="en-US" w:eastAsia="zh-CN"/>
              </w:rPr>
              <w:t>2.2.2（3）</w:t>
            </w:r>
          </w:p>
        </w:tc>
        <w:tc>
          <w:tcPr>
            <w:tcW w:w="990" w:type="dxa"/>
            <w:gridSpan w:val="2"/>
            <w:vMerge w:val="restart"/>
            <w:noWrap w:val="0"/>
            <w:vAlign w:val="center"/>
          </w:tcPr>
          <w:p w14:paraId="565F0BA3">
            <w:pPr>
              <w:pageBreakBefore w:val="0"/>
              <w:widowControl/>
              <w:kinsoku/>
              <w:overflowPunct/>
              <w:bidi w:val="0"/>
              <w:spacing w:line="360" w:lineRule="auto"/>
              <w:jc w:val="center"/>
              <w:rPr>
                <w:rFonts w:hint="eastAsia" w:ascii="宋体" w:hAnsi="宋体" w:eastAsia="宋体" w:cs="宋体"/>
                <w:b/>
                <w:color w:val="auto"/>
                <w:highlight w:val="none"/>
              </w:rPr>
            </w:pPr>
            <w:r>
              <w:rPr>
                <w:rFonts w:hint="eastAsia" w:ascii="宋体" w:hAnsi="宋体" w:eastAsia="宋体" w:cs="宋体"/>
                <w:b/>
                <w:bCs/>
                <w:color w:val="auto"/>
                <w:highlight w:val="none"/>
              </w:rPr>
              <w:t>商务部分</w:t>
            </w:r>
            <w:r>
              <w:rPr>
                <w:rFonts w:hint="eastAsia" w:ascii="宋体" w:hAnsi="宋体" w:eastAsia="宋体" w:cs="宋体"/>
                <w:b/>
                <w:bCs/>
                <w:color w:val="auto"/>
                <w:highlight w:val="none"/>
                <w:lang w:val="en-US" w:eastAsia="zh-CN"/>
              </w:rPr>
              <w:t>25</w:t>
            </w:r>
            <w:r>
              <w:rPr>
                <w:rFonts w:hint="eastAsia" w:ascii="宋体" w:hAnsi="宋体" w:eastAsia="宋体" w:cs="宋体"/>
                <w:b/>
                <w:bCs/>
                <w:color w:val="auto"/>
                <w:highlight w:val="none"/>
              </w:rPr>
              <w:t>分</w:t>
            </w:r>
          </w:p>
          <w:p w14:paraId="24F015CF">
            <w:pPr>
              <w:pageBreakBefore w:val="0"/>
              <w:widowControl/>
              <w:kinsoku/>
              <w:overflowPunct/>
              <w:bidi w:val="0"/>
              <w:spacing w:line="360" w:lineRule="auto"/>
              <w:jc w:val="center"/>
              <w:rPr>
                <w:rFonts w:hint="eastAsia" w:ascii="宋体" w:hAnsi="宋体" w:eastAsia="宋体" w:cs="宋体"/>
                <w:b/>
                <w:color w:val="auto"/>
                <w:highlight w:val="none"/>
              </w:rPr>
            </w:pPr>
          </w:p>
        </w:tc>
        <w:tc>
          <w:tcPr>
            <w:tcW w:w="2126" w:type="dxa"/>
            <w:noWrap w:val="0"/>
            <w:vAlign w:val="center"/>
          </w:tcPr>
          <w:p w14:paraId="3D8A4E88">
            <w:pPr>
              <w:pageBreakBefore w:val="0"/>
              <w:widowControl/>
              <w:kinsoku/>
              <w:overflowPunct/>
              <w:bidi w:val="0"/>
              <w:spacing w:line="360" w:lineRule="auto"/>
              <w:jc w:val="center"/>
              <w:rPr>
                <w:rFonts w:hint="eastAsia" w:ascii="宋体" w:hAnsi="宋体" w:eastAsia="宋体" w:cs="宋体"/>
                <w:b/>
                <w:color w:val="auto"/>
                <w:szCs w:val="21"/>
                <w:highlight w:val="none"/>
                <w:lang w:val="en-US" w:eastAsia="zh-CN"/>
              </w:rPr>
            </w:pPr>
            <w:r>
              <w:rPr>
                <w:rFonts w:hint="eastAsia" w:ascii="宋体" w:hAnsi="宋体" w:eastAsia="宋体" w:cs="宋体"/>
                <w:b/>
                <w:color w:val="auto"/>
                <w:szCs w:val="21"/>
                <w:highlight w:val="none"/>
              </w:rPr>
              <w:t>业绩（</w:t>
            </w:r>
            <w:r>
              <w:rPr>
                <w:rFonts w:hint="eastAsia" w:ascii="宋体" w:hAnsi="宋体" w:eastAsia="宋体" w:cs="宋体"/>
                <w:b/>
                <w:color w:val="auto"/>
                <w:szCs w:val="21"/>
                <w:highlight w:val="none"/>
                <w:lang w:val="en-US" w:eastAsia="zh-CN"/>
              </w:rPr>
              <w:t>6</w:t>
            </w:r>
            <w:r>
              <w:rPr>
                <w:rFonts w:hint="eastAsia" w:ascii="宋体" w:hAnsi="宋体" w:eastAsia="宋体" w:cs="宋体"/>
                <w:b/>
                <w:color w:val="auto"/>
                <w:szCs w:val="21"/>
                <w:highlight w:val="none"/>
              </w:rPr>
              <w:t>分）</w:t>
            </w:r>
          </w:p>
        </w:tc>
        <w:tc>
          <w:tcPr>
            <w:tcW w:w="5245" w:type="dxa"/>
            <w:noWrap w:val="0"/>
            <w:vAlign w:val="top"/>
          </w:tcPr>
          <w:p w14:paraId="1A3C105B">
            <w:pPr>
              <w:widowControl/>
              <w:spacing w:line="360" w:lineRule="auto"/>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投标人</w:t>
            </w:r>
            <w:r>
              <w:rPr>
                <w:rFonts w:hint="eastAsia" w:ascii="宋体" w:hAnsi="宋体" w:eastAsia="宋体" w:cs="宋体"/>
                <w:color w:val="auto"/>
                <w:szCs w:val="21"/>
                <w:highlight w:val="none"/>
              </w:rPr>
              <w:t>提供2023年1月1日以来类似业绩，每提供一份得</w:t>
            </w:r>
            <w:r>
              <w:rPr>
                <w:rFonts w:hint="eastAsia" w:ascii="宋体" w:hAnsi="宋体" w:eastAsia="宋体" w:cs="宋体"/>
                <w:color w:val="auto"/>
                <w:szCs w:val="21"/>
                <w:highlight w:val="none"/>
                <w:lang w:val="en-US" w:eastAsia="zh-CN"/>
              </w:rPr>
              <w:t>2</w:t>
            </w:r>
            <w:r>
              <w:rPr>
                <w:rFonts w:hint="eastAsia" w:ascii="宋体" w:hAnsi="宋体" w:eastAsia="宋体" w:cs="宋体"/>
                <w:color w:val="auto"/>
                <w:szCs w:val="21"/>
                <w:highlight w:val="none"/>
              </w:rPr>
              <w:t>分，最</w:t>
            </w:r>
            <w:r>
              <w:rPr>
                <w:rFonts w:hint="eastAsia" w:ascii="宋体" w:hAnsi="宋体" w:eastAsia="宋体" w:cs="宋体"/>
                <w:color w:val="auto"/>
                <w:szCs w:val="21"/>
                <w:highlight w:val="none"/>
                <w:lang w:val="en-US" w:eastAsia="zh-CN"/>
              </w:rPr>
              <w:t>高</w:t>
            </w:r>
            <w:r>
              <w:rPr>
                <w:rFonts w:hint="eastAsia" w:ascii="宋体" w:hAnsi="宋体" w:eastAsia="宋体" w:cs="宋体"/>
                <w:color w:val="auto"/>
                <w:szCs w:val="21"/>
                <w:highlight w:val="none"/>
              </w:rPr>
              <w:t>得</w:t>
            </w:r>
            <w:r>
              <w:rPr>
                <w:rFonts w:hint="eastAsia" w:ascii="宋体" w:hAnsi="宋体" w:eastAsia="宋体" w:cs="宋体"/>
                <w:color w:val="auto"/>
                <w:szCs w:val="21"/>
                <w:highlight w:val="none"/>
                <w:lang w:val="en-US" w:eastAsia="zh-CN"/>
              </w:rPr>
              <w:t>6</w:t>
            </w:r>
            <w:r>
              <w:rPr>
                <w:rFonts w:hint="eastAsia" w:ascii="宋体" w:hAnsi="宋体" w:eastAsia="宋体" w:cs="宋体"/>
                <w:color w:val="auto"/>
                <w:szCs w:val="21"/>
                <w:highlight w:val="none"/>
              </w:rPr>
              <w:t>分。（注:一份完整业绩包含中标（成交）通知书及合同，缺项不得分，时间以合同签订时间为准）</w:t>
            </w:r>
          </w:p>
        </w:tc>
      </w:tr>
      <w:tr w14:paraId="076A6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90" w:type="dxa"/>
            <w:vMerge w:val="continue"/>
            <w:noWrap w:val="0"/>
            <w:vAlign w:val="center"/>
          </w:tcPr>
          <w:p w14:paraId="30AE36D2">
            <w:pPr>
              <w:pageBreakBefore w:val="0"/>
              <w:widowControl/>
              <w:kinsoku/>
              <w:overflowPunct/>
              <w:bidi w:val="0"/>
              <w:spacing w:line="360" w:lineRule="auto"/>
              <w:jc w:val="center"/>
              <w:rPr>
                <w:rFonts w:hint="eastAsia" w:ascii="宋体" w:hAnsi="宋体" w:eastAsia="宋体" w:cs="宋体"/>
                <w:color w:val="auto"/>
                <w:kern w:val="0"/>
                <w:szCs w:val="21"/>
                <w:highlight w:val="none"/>
                <w:lang w:val="en-US" w:eastAsia="zh-CN"/>
              </w:rPr>
            </w:pPr>
          </w:p>
        </w:tc>
        <w:tc>
          <w:tcPr>
            <w:tcW w:w="990" w:type="dxa"/>
            <w:gridSpan w:val="2"/>
            <w:vMerge w:val="continue"/>
            <w:noWrap w:val="0"/>
            <w:vAlign w:val="center"/>
          </w:tcPr>
          <w:p w14:paraId="01F9A9A2">
            <w:pPr>
              <w:pageBreakBefore w:val="0"/>
              <w:widowControl/>
              <w:kinsoku/>
              <w:overflowPunct/>
              <w:bidi w:val="0"/>
              <w:spacing w:line="360" w:lineRule="auto"/>
              <w:jc w:val="center"/>
              <w:rPr>
                <w:rFonts w:hint="eastAsia" w:ascii="宋体" w:hAnsi="宋体" w:eastAsia="宋体" w:cs="宋体"/>
                <w:b/>
                <w:color w:val="auto"/>
                <w:highlight w:val="none"/>
              </w:rPr>
            </w:pPr>
          </w:p>
        </w:tc>
        <w:tc>
          <w:tcPr>
            <w:tcW w:w="2126" w:type="dxa"/>
            <w:noWrap w:val="0"/>
            <w:vAlign w:val="center"/>
          </w:tcPr>
          <w:p w14:paraId="42D10EBF">
            <w:pPr>
              <w:pStyle w:val="17"/>
              <w:spacing w:line="360" w:lineRule="auto"/>
              <w:jc w:val="center"/>
              <w:rPr>
                <w:rFonts w:hint="eastAsia" w:ascii="宋体" w:hAnsi="宋体" w:eastAsia="宋体" w:cs="宋体"/>
                <w:b/>
                <w:color w:val="auto"/>
                <w:szCs w:val="21"/>
                <w:highlight w:val="none"/>
              </w:rPr>
            </w:pPr>
            <w:r>
              <w:rPr>
                <w:rFonts w:hint="eastAsia" w:ascii="宋体" w:hAnsi="宋体" w:eastAsia="宋体" w:cs="宋体"/>
                <w:b/>
                <w:color w:val="auto"/>
                <w:kern w:val="0"/>
                <w:highlight w:val="none"/>
              </w:rPr>
              <w:t>售后服务方案（</w:t>
            </w:r>
            <w:r>
              <w:rPr>
                <w:rFonts w:hint="eastAsia" w:ascii="宋体" w:hAnsi="宋体" w:eastAsia="宋体" w:cs="宋体"/>
                <w:b/>
                <w:color w:val="auto"/>
                <w:kern w:val="0"/>
                <w:highlight w:val="none"/>
                <w:lang w:val="en-US" w:eastAsia="zh-CN"/>
              </w:rPr>
              <w:t>10</w:t>
            </w:r>
            <w:r>
              <w:rPr>
                <w:rFonts w:hint="eastAsia" w:ascii="宋体" w:hAnsi="宋体" w:eastAsia="宋体" w:cs="宋体"/>
                <w:b/>
                <w:color w:val="auto"/>
                <w:kern w:val="0"/>
                <w:highlight w:val="none"/>
              </w:rPr>
              <w:t>分）</w:t>
            </w:r>
          </w:p>
        </w:tc>
        <w:tc>
          <w:tcPr>
            <w:tcW w:w="5245" w:type="dxa"/>
            <w:noWrap w:val="0"/>
            <w:vAlign w:val="center"/>
          </w:tcPr>
          <w:p w14:paraId="288BFCC6">
            <w:pPr>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pacing w:val="-2"/>
                <w:szCs w:val="21"/>
                <w:highlight w:val="none"/>
              </w:rPr>
              <w:t>售后服务方案从以下5点进行评审（包括但不限于）：</w:t>
            </w:r>
          </w:p>
          <w:p w14:paraId="6F080E29">
            <w:pPr>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1.售后服务方案内容；</w:t>
            </w:r>
          </w:p>
          <w:p w14:paraId="76C9F78F">
            <w:pPr>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2.售后服务人员配备</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设备配备</w:t>
            </w:r>
            <w:r>
              <w:rPr>
                <w:rFonts w:hint="eastAsia" w:ascii="宋体" w:hAnsi="宋体" w:eastAsia="宋体" w:cs="宋体"/>
                <w:color w:val="auto"/>
                <w:szCs w:val="21"/>
                <w:highlight w:val="none"/>
              </w:rPr>
              <w:t>；</w:t>
            </w:r>
          </w:p>
          <w:p w14:paraId="5D022075">
            <w:pPr>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3.售后服务计划；</w:t>
            </w:r>
          </w:p>
          <w:p w14:paraId="4CE0383D">
            <w:pPr>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4.故障响应时间；</w:t>
            </w:r>
          </w:p>
          <w:p w14:paraId="43B1A8B5">
            <w:pPr>
              <w:spacing w:line="360" w:lineRule="auto"/>
              <w:ind w:firstLine="420" w:firstLineChars="200"/>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5.</w:t>
            </w:r>
            <w:r>
              <w:rPr>
                <w:rFonts w:hint="eastAsia" w:ascii="宋体" w:hAnsi="宋体" w:eastAsia="宋体" w:cs="宋体"/>
                <w:color w:val="auto"/>
                <w:szCs w:val="21"/>
                <w:highlight w:val="none"/>
                <w:lang w:val="en-US" w:eastAsia="zh-CN"/>
              </w:rPr>
              <w:t>按采购需求要求提供操作软件终身升级及版本更新服务</w:t>
            </w:r>
            <w:r>
              <w:rPr>
                <w:rFonts w:hint="eastAsia" w:ascii="宋体" w:hAnsi="宋体" w:eastAsia="宋体" w:cs="宋体"/>
                <w:color w:val="auto"/>
                <w:szCs w:val="21"/>
                <w:highlight w:val="none"/>
                <w:lang w:eastAsia="zh-CN"/>
              </w:rPr>
              <w:t>。</w:t>
            </w:r>
          </w:p>
          <w:p w14:paraId="7460E77F">
            <w:pPr>
              <w:spacing w:line="360" w:lineRule="auto"/>
              <w:rPr>
                <w:rFonts w:hint="eastAsia" w:ascii="宋体" w:hAnsi="宋体" w:eastAsia="宋体" w:cs="宋体"/>
                <w:color w:val="auto"/>
                <w:szCs w:val="21"/>
                <w:highlight w:val="none"/>
                <w:lang w:val="en-US" w:eastAsia="zh-CN"/>
              </w:rPr>
            </w:pPr>
            <w:r>
              <w:rPr>
                <w:rFonts w:hint="eastAsia" w:ascii="宋体" w:hAnsi="宋体" w:eastAsia="宋体" w:cs="宋体"/>
                <w:color w:val="auto"/>
                <w:highlight w:val="none"/>
              </w:rPr>
              <w:t>以上售后服务方案每项</w:t>
            </w:r>
            <w:r>
              <w:rPr>
                <w:rFonts w:hint="eastAsia" w:ascii="宋体" w:hAnsi="宋体" w:eastAsia="宋体" w:cs="宋体"/>
                <w:color w:val="auto"/>
                <w:highlight w:val="none"/>
                <w:lang w:val="en-US" w:eastAsia="zh-CN"/>
              </w:rPr>
              <w:t>2</w:t>
            </w:r>
            <w:r>
              <w:rPr>
                <w:rFonts w:hint="eastAsia" w:ascii="宋体" w:hAnsi="宋体" w:eastAsia="宋体" w:cs="宋体"/>
                <w:color w:val="auto"/>
                <w:highlight w:val="none"/>
              </w:rPr>
              <w:t>分。</w:t>
            </w:r>
            <w:r>
              <w:rPr>
                <w:rFonts w:hint="eastAsia" w:ascii="宋体" w:hAnsi="宋体" w:eastAsia="宋体" w:cs="宋体"/>
                <w:color w:val="auto"/>
                <w:spacing w:val="-2"/>
                <w:szCs w:val="21"/>
                <w:highlight w:val="none"/>
              </w:rPr>
              <w:t>每项方案内容完整、描述详细、完全符合采购需求、可操作性强得</w:t>
            </w:r>
            <w:r>
              <w:rPr>
                <w:rFonts w:hint="eastAsia" w:ascii="宋体" w:hAnsi="宋体" w:eastAsia="宋体" w:cs="宋体"/>
                <w:color w:val="auto"/>
                <w:spacing w:val="-2"/>
                <w:szCs w:val="21"/>
                <w:highlight w:val="none"/>
                <w:lang w:val="en-US" w:eastAsia="zh-CN"/>
              </w:rPr>
              <w:t>2</w:t>
            </w:r>
            <w:r>
              <w:rPr>
                <w:rFonts w:hint="eastAsia" w:ascii="宋体" w:hAnsi="宋体" w:eastAsia="宋体" w:cs="宋体"/>
                <w:color w:val="auto"/>
                <w:spacing w:val="-2"/>
                <w:szCs w:val="21"/>
                <w:highlight w:val="none"/>
              </w:rPr>
              <w:t>分；方案内容较完整、描述较详细、基本符合采购需求、可操作性较强得</w:t>
            </w:r>
            <w:r>
              <w:rPr>
                <w:rFonts w:hint="eastAsia" w:ascii="宋体" w:hAnsi="宋体" w:eastAsia="宋体" w:cs="宋体"/>
                <w:color w:val="auto"/>
                <w:spacing w:val="-2"/>
                <w:szCs w:val="21"/>
                <w:highlight w:val="none"/>
                <w:lang w:val="en-US" w:eastAsia="zh-CN"/>
              </w:rPr>
              <w:t>1</w:t>
            </w:r>
            <w:r>
              <w:rPr>
                <w:rFonts w:hint="eastAsia" w:ascii="宋体" w:hAnsi="宋体" w:eastAsia="宋体" w:cs="宋体"/>
                <w:color w:val="auto"/>
                <w:spacing w:val="-2"/>
                <w:szCs w:val="21"/>
                <w:highlight w:val="none"/>
              </w:rPr>
              <w:t>分；方案内容不完整、描述不详细、符合采购需求低、可操作性一般得</w:t>
            </w:r>
            <w:r>
              <w:rPr>
                <w:rFonts w:hint="eastAsia" w:ascii="宋体" w:hAnsi="宋体" w:eastAsia="宋体" w:cs="宋体"/>
                <w:color w:val="auto"/>
                <w:spacing w:val="-2"/>
                <w:szCs w:val="21"/>
                <w:highlight w:val="none"/>
                <w:lang w:val="en-US" w:eastAsia="zh-CN"/>
              </w:rPr>
              <w:t>0.5</w:t>
            </w:r>
            <w:r>
              <w:rPr>
                <w:rFonts w:hint="eastAsia" w:ascii="宋体" w:hAnsi="宋体" w:eastAsia="宋体" w:cs="宋体"/>
                <w:color w:val="auto"/>
                <w:spacing w:val="-2"/>
                <w:szCs w:val="21"/>
                <w:highlight w:val="none"/>
              </w:rPr>
              <w:t>分；存在严重缺项或无此内容得0分</w:t>
            </w:r>
            <w:r>
              <w:rPr>
                <w:rFonts w:hint="eastAsia" w:ascii="宋体" w:hAnsi="宋体" w:eastAsia="宋体" w:cs="宋体"/>
                <w:color w:val="auto"/>
                <w:spacing w:val="-2"/>
                <w:szCs w:val="21"/>
                <w:highlight w:val="none"/>
                <w:lang w:eastAsia="zh-CN"/>
              </w:rPr>
              <w:t>，</w:t>
            </w:r>
            <w:r>
              <w:rPr>
                <w:rFonts w:hint="eastAsia" w:ascii="宋体" w:hAnsi="宋体" w:eastAsia="宋体" w:cs="宋体"/>
                <w:color w:val="auto"/>
                <w:spacing w:val="-2"/>
                <w:szCs w:val="21"/>
                <w:highlight w:val="none"/>
                <w:lang w:val="en-US" w:eastAsia="zh-CN"/>
              </w:rPr>
              <w:t>本项最多得10分</w:t>
            </w:r>
            <w:r>
              <w:rPr>
                <w:rFonts w:hint="eastAsia" w:ascii="宋体" w:hAnsi="宋体" w:eastAsia="宋体" w:cs="宋体"/>
                <w:color w:val="auto"/>
                <w:spacing w:val="-2"/>
                <w:szCs w:val="21"/>
                <w:highlight w:val="none"/>
              </w:rPr>
              <w:t>。</w:t>
            </w:r>
          </w:p>
        </w:tc>
      </w:tr>
      <w:tr w14:paraId="0F4747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990" w:type="dxa"/>
            <w:vMerge w:val="continue"/>
            <w:noWrap w:val="0"/>
            <w:vAlign w:val="center"/>
          </w:tcPr>
          <w:p w14:paraId="47DB67C3">
            <w:pPr>
              <w:pageBreakBefore w:val="0"/>
              <w:widowControl/>
              <w:kinsoku/>
              <w:overflowPunct/>
              <w:bidi w:val="0"/>
              <w:spacing w:line="360" w:lineRule="auto"/>
              <w:jc w:val="center"/>
              <w:rPr>
                <w:rFonts w:hint="eastAsia" w:ascii="宋体" w:hAnsi="宋体" w:eastAsia="宋体" w:cs="宋体"/>
                <w:color w:val="auto"/>
                <w:kern w:val="0"/>
                <w:szCs w:val="21"/>
                <w:highlight w:val="none"/>
              </w:rPr>
            </w:pPr>
          </w:p>
        </w:tc>
        <w:tc>
          <w:tcPr>
            <w:tcW w:w="990" w:type="dxa"/>
            <w:gridSpan w:val="2"/>
            <w:vMerge w:val="continue"/>
            <w:noWrap w:val="0"/>
            <w:vAlign w:val="center"/>
          </w:tcPr>
          <w:p w14:paraId="1757C17B">
            <w:pPr>
              <w:pageBreakBefore w:val="0"/>
              <w:widowControl/>
              <w:kinsoku/>
              <w:overflowPunct/>
              <w:bidi w:val="0"/>
              <w:spacing w:line="360" w:lineRule="auto"/>
              <w:jc w:val="center"/>
              <w:rPr>
                <w:rFonts w:hint="eastAsia" w:ascii="宋体" w:hAnsi="宋体" w:eastAsia="宋体" w:cs="宋体"/>
                <w:color w:val="auto"/>
                <w:kern w:val="0"/>
                <w:szCs w:val="21"/>
                <w:highlight w:val="none"/>
              </w:rPr>
            </w:pPr>
          </w:p>
        </w:tc>
        <w:tc>
          <w:tcPr>
            <w:tcW w:w="2126" w:type="dxa"/>
            <w:noWrap w:val="0"/>
            <w:vAlign w:val="center"/>
          </w:tcPr>
          <w:p w14:paraId="0F67B8FE">
            <w:pPr>
              <w:spacing w:line="360" w:lineRule="auto"/>
              <w:jc w:val="center"/>
              <w:rPr>
                <w:rFonts w:hint="eastAsia" w:ascii="宋体" w:hAnsi="宋体" w:eastAsia="宋体" w:cs="宋体"/>
                <w:b/>
                <w:color w:val="auto"/>
                <w:szCs w:val="21"/>
                <w:highlight w:val="none"/>
                <w:lang w:val="en-US" w:eastAsia="zh-CN"/>
              </w:rPr>
            </w:pPr>
            <w:r>
              <w:rPr>
                <w:rFonts w:hint="eastAsia" w:ascii="宋体" w:hAnsi="宋体" w:eastAsia="宋体" w:cs="宋体"/>
                <w:b/>
                <w:bCs/>
                <w:color w:val="auto"/>
                <w:kern w:val="0"/>
                <w:szCs w:val="21"/>
                <w:highlight w:val="none"/>
              </w:rPr>
              <w:t>质量保证期内保证措施</w:t>
            </w:r>
            <w:r>
              <w:rPr>
                <w:rFonts w:hint="eastAsia" w:ascii="宋体" w:hAnsi="宋体" w:eastAsia="宋体" w:cs="宋体"/>
                <w:b/>
                <w:color w:val="auto"/>
                <w:kern w:val="0"/>
                <w:highlight w:val="none"/>
              </w:rPr>
              <w:t>（</w:t>
            </w:r>
            <w:r>
              <w:rPr>
                <w:rFonts w:hint="eastAsia" w:ascii="宋体" w:hAnsi="宋体" w:eastAsia="宋体" w:cs="宋体"/>
                <w:b/>
                <w:color w:val="auto"/>
                <w:kern w:val="0"/>
                <w:highlight w:val="none"/>
                <w:lang w:val="en-US" w:eastAsia="zh-CN"/>
              </w:rPr>
              <w:t>4</w:t>
            </w:r>
            <w:r>
              <w:rPr>
                <w:rFonts w:hint="eastAsia" w:ascii="宋体" w:hAnsi="宋体" w:eastAsia="宋体" w:cs="宋体"/>
                <w:b/>
                <w:color w:val="auto"/>
                <w:kern w:val="0"/>
                <w:highlight w:val="none"/>
              </w:rPr>
              <w:t>分）</w:t>
            </w:r>
          </w:p>
        </w:tc>
        <w:tc>
          <w:tcPr>
            <w:tcW w:w="5245" w:type="dxa"/>
            <w:noWrap w:val="0"/>
            <w:vAlign w:val="center"/>
          </w:tcPr>
          <w:p w14:paraId="0FFA9069">
            <w:pPr>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pacing w:val="-2"/>
                <w:szCs w:val="21"/>
                <w:highlight w:val="none"/>
              </w:rPr>
              <w:t>质量保证期内保证措施从以下2点进行评审（包括但不限于）：</w:t>
            </w:r>
          </w:p>
          <w:p w14:paraId="04B8A82D">
            <w:pPr>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1.发生质量问题的应对措施</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包括</w:t>
            </w:r>
            <w:r>
              <w:rPr>
                <w:rFonts w:hint="eastAsia" w:ascii="宋体" w:hAnsi="宋体" w:eastAsia="宋体" w:cs="宋体"/>
                <w:color w:val="auto"/>
                <w:szCs w:val="21"/>
                <w:highlight w:val="none"/>
                <w:lang w:eastAsia="zh-CN"/>
              </w:rPr>
              <w:t>所有故障提供技术服务和维修）</w:t>
            </w:r>
            <w:r>
              <w:rPr>
                <w:rFonts w:hint="eastAsia" w:ascii="宋体" w:hAnsi="宋体" w:eastAsia="宋体" w:cs="宋体"/>
                <w:color w:val="auto"/>
                <w:szCs w:val="21"/>
                <w:highlight w:val="none"/>
              </w:rPr>
              <w:t>；</w:t>
            </w:r>
          </w:p>
          <w:p w14:paraId="0F439BC5">
            <w:pPr>
              <w:spacing w:line="360" w:lineRule="auto"/>
              <w:ind w:firstLine="420" w:firstLineChars="200"/>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2.</w:t>
            </w:r>
            <w:r>
              <w:rPr>
                <w:rFonts w:hint="eastAsia" w:ascii="宋体" w:hAnsi="宋体" w:eastAsia="宋体" w:cs="宋体"/>
                <w:color w:val="auto"/>
                <w:spacing w:val="-4"/>
                <w:szCs w:val="21"/>
                <w:highlight w:val="none"/>
              </w:rPr>
              <w:t>突发</w:t>
            </w:r>
            <w:r>
              <w:rPr>
                <w:rFonts w:hint="eastAsia" w:ascii="宋体" w:hAnsi="宋体" w:eastAsia="宋体" w:cs="宋体"/>
                <w:color w:val="auto"/>
                <w:spacing w:val="-4"/>
                <w:szCs w:val="21"/>
                <w:highlight w:val="none"/>
                <w:lang w:val="en-US" w:eastAsia="zh-CN"/>
              </w:rPr>
              <w:t>故障</w:t>
            </w:r>
            <w:r>
              <w:rPr>
                <w:rFonts w:hint="eastAsia" w:ascii="宋体" w:hAnsi="宋体" w:eastAsia="宋体" w:cs="宋体"/>
                <w:color w:val="auto"/>
                <w:spacing w:val="-4"/>
                <w:szCs w:val="21"/>
                <w:highlight w:val="none"/>
              </w:rPr>
              <w:t>发生后的改进措施</w:t>
            </w:r>
            <w:r>
              <w:rPr>
                <w:rFonts w:hint="eastAsia" w:ascii="宋体" w:hAnsi="宋体" w:eastAsia="宋体" w:cs="宋体"/>
                <w:color w:val="auto"/>
                <w:spacing w:val="-4"/>
                <w:szCs w:val="21"/>
                <w:highlight w:val="none"/>
                <w:lang w:eastAsia="zh-CN"/>
              </w:rPr>
              <w:t>。</w:t>
            </w:r>
          </w:p>
          <w:p w14:paraId="3D360CAD">
            <w:pPr>
              <w:spacing w:line="360" w:lineRule="auto"/>
              <w:rPr>
                <w:rFonts w:hint="eastAsia" w:ascii="宋体" w:hAnsi="宋体" w:eastAsia="宋体" w:cs="宋体"/>
                <w:color w:val="auto"/>
                <w:szCs w:val="21"/>
                <w:highlight w:val="none"/>
              </w:rPr>
            </w:pPr>
            <w:r>
              <w:rPr>
                <w:rFonts w:hint="eastAsia" w:ascii="宋体" w:hAnsi="宋体" w:eastAsia="宋体" w:cs="宋体"/>
                <w:color w:val="auto"/>
                <w:highlight w:val="none"/>
              </w:rPr>
              <w:t>以上保证措施每项2分。</w:t>
            </w:r>
            <w:r>
              <w:rPr>
                <w:rFonts w:hint="eastAsia" w:ascii="宋体" w:hAnsi="宋体" w:eastAsia="宋体" w:cs="宋体"/>
                <w:color w:val="auto"/>
                <w:spacing w:val="-2"/>
                <w:szCs w:val="21"/>
                <w:highlight w:val="none"/>
              </w:rPr>
              <w:t>每项措施内容完整、描述详细、完全符合采购需求、可操作性强得2分；方案内容较完整、描述较详细、基本符合采购需求、可操作性较强得1分；方案内容不完整、描述不详细、符合采购需求低、可操作性一般得0.5分；存在严重缺项或无此内容得0分</w:t>
            </w:r>
            <w:r>
              <w:rPr>
                <w:rFonts w:hint="eastAsia" w:ascii="宋体" w:hAnsi="宋体" w:eastAsia="宋体" w:cs="宋体"/>
                <w:color w:val="auto"/>
                <w:spacing w:val="-2"/>
                <w:szCs w:val="21"/>
                <w:highlight w:val="none"/>
                <w:lang w:eastAsia="zh-CN"/>
              </w:rPr>
              <w:t>，</w:t>
            </w:r>
            <w:r>
              <w:rPr>
                <w:rFonts w:hint="eastAsia" w:ascii="宋体" w:hAnsi="宋体" w:eastAsia="宋体" w:cs="宋体"/>
                <w:color w:val="auto"/>
                <w:spacing w:val="-2"/>
                <w:szCs w:val="21"/>
                <w:highlight w:val="none"/>
                <w:lang w:val="en-US" w:eastAsia="zh-CN"/>
              </w:rPr>
              <w:t>本项最多得4分。</w:t>
            </w:r>
          </w:p>
        </w:tc>
      </w:tr>
      <w:tr w14:paraId="722DB4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990" w:type="dxa"/>
            <w:vMerge w:val="continue"/>
            <w:noWrap w:val="0"/>
            <w:vAlign w:val="center"/>
          </w:tcPr>
          <w:p w14:paraId="63CCFC24">
            <w:pPr>
              <w:pageBreakBefore w:val="0"/>
              <w:widowControl/>
              <w:kinsoku/>
              <w:overflowPunct/>
              <w:bidi w:val="0"/>
              <w:spacing w:line="360" w:lineRule="auto"/>
              <w:jc w:val="center"/>
              <w:rPr>
                <w:rFonts w:hint="eastAsia" w:ascii="宋体" w:hAnsi="宋体" w:eastAsia="宋体" w:cs="宋体"/>
                <w:color w:val="auto"/>
                <w:kern w:val="0"/>
                <w:szCs w:val="21"/>
                <w:highlight w:val="none"/>
              </w:rPr>
            </w:pPr>
          </w:p>
        </w:tc>
        <w:tc>
          <w:tcPr>
            <w:tcW w:w="990" w:type="dxa"/>
            <w:gridSpan w:val="2"/>
            <w:vMerge w:val="continue"/>
            <w:noWrap w:val="0"/>
            <w:vAlign w:val="center"/>
          </w:tcPr>
          <w:p w14:paraId="52C9262E">
            <w:pPr>
              <w:pageBreakBefore w:val="0"/>
              <w:widowControl/>
              <w:kinsoku/>
              <w:overflowPunct/>
              <w:bidi w:val="0"/>
              <w:spacing w:line="360" w:lineRule="auto"/>
              <w:jc w:val="center"/>
              <w:rPr>
                <w:rFonts w:hint="eastAsia" w:ascii="宋体" w:hAnsi="宋体" w:eastAsia="宋体" w:cs="宋体"/>
                <w:color w:val="auto"/>
                <w:kern w:val="0"/>
                <w:szCs w:val="21"/>
                <w:highlight w:val="none"/>
              </w:rPr>
            </w:pPr>
          </w:p>
        </w:tc>
        <w:tc>
          <w:tcPr>
            <w:tcW w:w="2126" w:type="dxa"/>
            <w:noWrap w:val="0"/>
            <w:vAlign w:val="center"/>
          </w:tcPr>
          <w:p w14:paraId="751B1903">
            <w:pPr>
              <w:widowControl/>
              <w:spacing w:line="360" w:lineRule="auto"/>
              <w:jc w:val="center"/>
              <w:rPr>
                <w:rFonts w:hint="eastAsia" w:ascii="宋体" w:hAnsi="宋体" w:eastAsia="宋体" w:cs="宋体"/>
                <w:b/>
                <w:color w:val="auto"/>
                <w:szCs w:val="21"/>
                <w:highlight w:val="none"/>
              </w:rPr>
            </w:pPr>
            <w:r>
              <w:rPr>
                <w:rFonts w:hint="eastAsia" w:ascii="宋体" w:hAnsi="宋体" w:eastAsia="宋体" w:cs="宋体"/>
                <w:b/>
                <w:color w:val="auto"/>
                <w:kern w:val="0"/>
                <w:szCs w:val="21"/>
                <w:highlight w:val="none"/>
              </w:rPr>
              <w:t>人员培训方案</w:t>
            </w:r>
            <w:r>
              <w:rPr>
                <w:rFonts w:hint="eastAsia" w:ascii="宋体" w:hAnsi="宋体" w:eastAsia="宋体" w:cs="宋体"/>
                <w:b/>
                <w:color w:val="auto"/>
                <w:kern w:val="0"/>
                <w:highlight w:val="none"/>
              </w:rPr>
              <w:t>（</w:t>
            </w:r>
            <w:r>
              <w:rPr>
                <w:rFonts w:hint="eastAsia" w:ascii="宋体" w:hAnsi="宋体" w:eastAsia="宋体" w:cs="宋体"/>
                <w:b/>
                <w:color w:val="auto"/>
                <w:kern w:val="0"/>
                <w:highlight w:val="none"/>
                <w:lang w:val="en-US" w:eastAsia="zh-CN"/>
              </w:rPr>
              <w:t>4</w:t>
            </w:r>
            <w:r>
              <w:rPr>
                <w:rFonts w:hint="eastAsia" w:ascii="宋体" w:hAnsi="宋体" w:eastAsia="宋体" w:cs="宋体"/>
                <w:b/>
                <w:color w:val="auto"/>
                <w:kern w:val="0"/>
                <w:highlight w:val="none"/>
              </w:rPr>
              <w:t>分）</w:t>
            </w:r>
          </w:p>
        </w:tc>
        <w:tc>
          <w:tcPr>
            <w:tcW w:w="5245" w:type="dxa"/>
            <w:noWrap w:val="0"/>
            <w:vAlign w:val="center"/>
          </w:tcPr>
          <w:p w14:paraId="38D63D7E">
            <w:pPr>
              <w:widowControl/>
              <w:spacing w:line="360" w:lineRule="auto"/>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人员培训方案从以下</w:t>
            </w:r>
            <w:r>
              <w:rPr>
                <w:rFonts w:hint="eastAsia" w:ascii="宋体" w:hAnsi="宋体" w:eastAsia="宋体" w:cs="宋体"/>
                <w:color w:val="auto"/>
                <w:kern w:val="0"/>
                <w:szCs w:val="21"/>
                <w:highlight w:val="none"/>
                <w:lang w:val="en-US" w:eastAsia="zh-CN"/>
              </w:rPr>
              <w:t>4</w:t>
            </w:r>
            <w:r>
              <w:rPr>
                <w:rFonts w:hint="eastAsia" w:ascii="宋体" w:hAnsi="宋体" w:eastAsia="宋体" w:cs="宋体"/>
                <w:color w:val="auto"/>
                <w:kern w:val="0"/>
                <w:szCs w:val="21"/>
                <w:highlight w:val="none"/>
              </w:rPr>
              <w:t>点进行评审（包括但不限于）：</w:t>
            </w:r>
          </w:p>
          <w:p w14:paraId="165DBB8C">
            <w:pPr>
              <w:widowControl/>
              <w:spacing w:line="360" w:lineRule="auto"/>
              <w:ind w:firstLine="420" w:firstLineChars="200"/>
              <w:jc w:val="left"/>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rPr>
              <w:t>1.</w:t>
            </w:r>
            <w:r>
              <w:rPr>
                <w:rFonts w:hint="eastAsia" w:ascii="宋体" w:hAnsi="宋体" w:eastAsia="宋体" w:cs="宋体"/>
                <w:color w:val="auto"/>
                <w:kern w:val="0"/>
                <w:szCs w:val="21"/>
                <w:highlight w:val="none"/>
                <w:lang w:val="en-US" w:eastAsia="zh-CN"/>
              </w:rPr>
              <w:t>培训计划</w:t>
            </w:r>
            <w:r>
              <w:rPr>
                <w:rFonts w:hint="eastAsia" w:ascii="宋体" w:hAnsi="宋体" w:eastAsia="宋体" w:cs="宋体"/>
                <w:color w:val="auto"/>
                <w:kern w:val="0"/>
                <w:szCs w:val="21"/>
                <w:highlight w:val="none"/>
              </w:rPr>
              <w:t>；</w:t>
            </w:r>
          </w:p>
          <w:p w14:paraId="4E21BF3F">
            <w:pPr>
              <w:widowControl/>
              <w:spacing w:line="360" w:lineRule="auto"/>
              <w:ind w:firstLine="420"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lang w:val="en-US" w:eastAsia="zh-CN"/>
              </w:rPr>
              <w:t>2.</w:t>
            </w:r>
            <w:r>
              <w:rPr>
                <w:rFonts w:hint="eastAsia" w:ascii="宋体" w:hAnsi="宋体" w:eastAsia="宋体" w:cs="宋体"/>
                <w:color w:val="auto"/>
                <w:kern w:val="0"/>
                <w:szCs w:val="21"/>
                <w:highlight w:val="none"/>
              </w:rPr>
              <w:t>培训内容</w:t>
            </w:r>
            <w:r>
              <w:rPr>
                <w:rFonts w:hint="eastAsia" w:ascii="宋体" w:hAnsi="宋体" w:eastAsia="宋体" w:cs="宋体"/>
                <w:color w:val="auto"/>
                <w:kern w:val="0"/>
                <w:szCs w:val="21"/>
                <w:highlight w:val="none"/>
                <w:lang w:eastAsia="zh-CN"/>
              </w:rPr>
              <w:t>【</w:t>
            </w:r>
            <w:r>
              <w:rPr>
                <w:rFonts w:hint="eastAsia" w:ascii="宋体" w:hAnsi="宋体" w:eastAsia="宋体" w:cs="宋体"/>
                <w:color w:val="auto"/>
                <w:kern w:val="0"/>
                <w:szCs w:val="21"/>
                <w:highlight w:val="none"/>
                <w:lang w:val="en-US" w:eastAsia="zh-CN"/>
              </w:rPr>
              <w:t>含</w:t>
            </w:r>
            <w:r>
              <w:rPr>
                <w:rFonts w:hint="eastAsia" w:ascii="宋体" w:hAnsi="宋体" w:eastAsia="宋体" w:cs="宋体"/>
                <w:color w:val="auto"/>
                <w:kern w:val="0"/>
                <w:szCs w:val="21"/>
                <w:highlight w:val="none"/>
                <w:lang w:eastAsia="zh-CN"/>
              </w:rPr>
              <w:t>技术培训和支持（含现场培训）】</w:t>
            </w:r>
            <w:r>
              <w:rPr>
                <w:rFonts w:hint="eastAsia" w:ascii="宋体" w:hAnsi="宋体" w:eastAsia="宋体" w:cs="宋体"/>
                <w:color w:val="auto"/>
                <w:kern w:val="0"/>
                <w:szCs w:val="21"/>
                <w:highlight w:val="none"/>
              </w:rPr>
              <w:t>；</w:t>
            </w:r>
          </w:p>
          <w:p w14:paraId="1676F086">
            <w:pPr>
              <w:widowControl/>
              <w:spacing w:line="360" w:lineRule="auto"/>
              <w:ind w:firstLine="420"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lang w:val="en-US" w:eastAsia="zh-CN"/>
              </w:rPr>
              <w:t>3</w:t>
            </w:r>
            <w:r>
              <w:rPr>
                <w:rFonts w:hint="eastAsia" w:ascii="宋体" w:hAnsi="宋体" w:eastAsia="宋体" w:cs="宋体"/>
                <w:color w:val="auto"/>
                <w:kern w:val="0"/>
                <w:szCs w:val="21"/>
                <w:highlight w:val="none"/>
              </w:rPr>
              <w:t>.培训形式；</w:t>
            </w:r>
          </w:p>
          <w:p w14:paraId="28EE07A9">
            <w:pPr>
              <w:widowControl/>
              <w:spacing w:line="360" w:lineRule="auto"/>
              <w:ind w:firstLine="420" w:firstLineChars="200"/>
              <w:jc w:val="left"/>
              <w:rPr>
                <w:rFonts w:hint="eastAsia" w:ascii="宋体" w:hAnsi="宋体" w:eastAsia="宋体" w:cs="宋体"/>
                <w:color w:val="auto"/>
                <w:kern w:val="0"/>
                <w:szCs w:val="21"/>
                <w:highlight w:val="none"/>
                <w:lang w:eastAsia="zh-CN"/>
              </w:rPr>
            </w:pPr>
            <w:r>
              <w:rPr>
                <w:rFonts w:hint="eastAsia" w:ascii="宋体" w:hAnsi="宋体" w:eastAsia="宋体" w:cs="宋体"/>
                <w:color w:val="auto"/>
                <w:kern w:val="0"/>
                <w:szCs w:val="21"/>
                <w:highlight w:val="none"/>
                <w:lang w:val="en-US" w:eastAsia="zh-CN"/>
              </w:rPr>
              <w:t>4</w:t>
            </w:r>
            <w:r>
              <w:rPr>
                <w:rFonts w:hint="eastAsia" w:ascii="宋体" w:hAnsi="宋体" w:eastAsia="宋体" w:cs="宋体"/>
                <w:color w:val="auto"/>
                <w:kern w:val="0"/>
                <w:szCs w:val="21"/>
                <w:highlight w:val="none"/>
              </w:rPr>
              <w:t>.培训人员配置情况</w:t>
            </w:r>
            <w:r>
              <w:rPr>
                <w:rFonts w:hint="eastAsia" w:ascii="宋体" w:hAnsi="宋体" w:eastAsia="宋体" w:cs="宋体"/>
                <w:color w:val="auto"/>
                <w:kern w:val="0"/>
                <w:szCs w:val="21"/>
                <w:highlight w:val="none"/>
                <w:lang w:eastAsia="zh-CN"/>
              </w:rPr>
              <w:t>。</w:t>
            </w:r>
          </w:p>
          <w:p w14:paraId="0DF2D211">
            <w:pPr>
              <w:spacing w:line="360" w:lineRule="auto"/>
              <w:rPr>
                <w:rFonts w:hint="eastAsia" w:ascii="宋体" w:hAnsi="宋体" w:eastAsia="宋体" w:cs="宋体"/>
                <w:color w:val="auto"/>
                <w:szCs w:val="21"/>
                <w:highlight w:val="none"/>
              </w:rPr>
            </w:pPr>
            <w:r>
              <w:rPr>
                <w:rFonts w:hint="eastAsia" w:ascii="宋体" w:hAnsi="宋体" w:eastAsia="宋体" w:cs="宋体"/>
                <w:color w:val="auto"/>
                <w:highlight w:val="none"/>
              </w:rPr>
              <w:t>以上培训方案每项1分。</w:t>
            </w:r>
            <w:r>
              <w:rPr>
                <w:rFonts w:hint="eastAsia" w:ascii="宋体" w:hAnsi="宋体" w:eastAsia="宋体" w:cs="宋体"/>
                <w:color w:val="auto"/>
                <w:spacing w:val="-2"/>
                <w:szCs w:val="21"/>
                <w:highlight w:val="none"/>
              </w:rPr>
              <w:t>每项方案内容周到完整、描述详细、完全符合</w:t>
            </w:r>
            <w:r>
              <w:rPr>
                <w:rFonts w:hint="eastAsia" w:ascii="宋体" w:hAnsi="宋体" w:eastAsia="宋体" w:cs="宋体"/>
                <w:color w:val="auto"/>
                <w:spacing w:val="-2"/>
                <w:szCs w:val="21"/>
                <w:highlight w:val="none"/>
                <w:lang w:val="en-US" w:eastAsia="zh-CN"/>
              </w:rPr>
              <w:t>采购</w:t>
            </w:r>
            <w:r>
              <w:rPr>
                <w:rFonts w:hint="eastAsia" w:ascii="宋体" w:hAnsi="宋体" w:eastAsia="宋体" w:cs="宋体"/>
                <w:color w:val="auto"/>
                <w:spacing w:val="-2"/>
                <w:szCs w:val="21"/>
                <w:highlight w:val="none"/>
              </w:rPr>
              <w:t>需求、可操作性强得1分；方案内容较周到完整、描述较详细、基本符合</w:t>
            </w:r>
            <w:r>
              <w:rPr>
                <w:rFonts w:hint="eastAsia" w:ascii="宋体" w:hAnsi="宋体" w:eastAsia="宋体" w:cs="宋体"/>
                <w:color w:val="auto"/>
                <w:spacing w:val="-2"/>
                <w:szCs w:val="21"/>
                <w:highlight w:val="none"/>
                <w:lang w:val="en-US" w:eastAsia="zh-CN"/>
              </w:rPr>
              <w:t>采购</w:t>
            </w:r>
            <w:r>
              <w:rPr>
                <w:rFonts w:hint="eastAsia" w:ascii="宋体" w:hAnsi="宋体" w:eastAsia="宋体" w:cs="宋体"/>
                <w:color w:val="auto"/>
                <w:spacing w:val="-2"/>
                <w:szCs w:val="21"/>
                <w:highlight w:val="none"/>
              </w:rPr>
              <w:t>需求、可操作性较强得0.5分；方案内容不完整、描述不详细、符合</w:t>
            </w:r>
            <w:r>
              <w:rPr>
                <w:rFonts w:hint="eastAsia" w:ascii="宋体" w:hAnsi="宋体" w:eastAsia="宋体" w:cs="宋体"/>
                <w:color w:val="auto"/>
                <w:spacing w:val="-2"/>
                <w:szCs w:val="21"/>
                <w:highlight w:val="none"/>
                <w:lang w:val="en-US" w:eastAsia="zh-CN"/>
              </w:rPr>
              <w:t>采购</w:t>
            </w:r>
            <w:r>
              <w:rPr>
                <w:rFonts w:hint="eastAsia" w:ascii="宋体" w:hAnsi="宋体" w:eastAsia="宋体" w:cs="宋体"/>
                <w:color w:val="auto"/>
                <w:spacing w:val="-2"/>
                <w:szCs w:val="21"/>
                <w:highlight w:val="none"/>
              </w:rPr>
              <w:t>需求低、可操作性一般得0.25分；存在严重缺项或无此内容得0分</w:t>
            </w:r>
            <w:r>
              <w:rPr>
                <w:rFonts w:hint="eastAsia" w:ascii="宋体" w:hAnsi="宋体" w:eastAsia="宋体" w:cs="宋体"/>
                <w:color w:val="auto"/>
                <w:spacing w:val="-2"/>
                <w:szCs w:val="21"/>
                <w:highlight w:val="none"/>
                <w:lang w:eastAsia="zh-CN"/>
              </w:rPr>
              <w:t>，</w:t>
            </w:r>
            <w:r>
              <w:rPr>
                <w:rFonts w:hint="eastAsia" w:ascii="宋体" w:hAnsi="宋体" w:eastAsia="宋体" w:cs="宋体"/>
                <w:color w:val="auto"/>
                <w:spacing w:val="-2"/>
                <w:szCs w:val="21"/>
                <w:highlight w:val="none"/>
                <w:lang w:val="en-US" w:eastAsia="zh-CN"/>
              </w:rPr>
              <w:t>本项最多得4分。</w:t>
            </w:r>
          </w:p>
        </w:tc>
      </w:tr>
      <w:tr w14:paraId="209324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990" w:type="dxa"/>
            <w:vMerge w:val="continue"/>
            <w:noWrap w:val="0"/>
            <w:vAlign w:val="center"/>
          </w:tcPr>
          <w:p w14:paraId="017797A2">
            <w:pPr>
              <w:pageBreakBefore w:val="0"/>
              <w:widowControl/>
              <w:kinsoku/>
              <w:overflowPunct/>
              <w:bidi w:val="0"/>
              <w:spacing w:line="360" w:lineRule="auto"/>
              <w:jc w:val="center"/>
              <w:rPr>
                <w:rFonts w:hint="eastAsia" w:ascii="宋体" w:hAnsi="宋体" w:eastAsia="宋体" w:cs="宋体"/>
                <w:color w:val="auto"/>
                <w:kern w:val="0"/>
                <w:szCs w:val="21"/>
                <w:highlight w:val="none"/>
              </w:rPr>
            </w:pPr>
          </w:p>
        </w:tc>
        <w:tc>
          <w:tcPr>
            <w:tcW w:w="990" w:type="dxa"/>
            <w:gridSpan w:val="2"/>
            <w:vMerge w:val="continue"/>
            <w:noWrap w:val="0"/>
            <w:vAlign w:val="center"/>
          </w:tcPr>
          <w:p w14:paraId="37D03E08">
            <w:pPr>
              <w:pageBreakBefore w:val="0"/>
              <w:widowControl/>
              <w:kinsoku/>
              <w:overflowPunct/>
              <w:bidi w:val="0"/>
              <w:spacing w:line="360" w:lineRule="auto"/>
              <w:jc w:val="center"/>
              <w:rPr>
                <w:rFonts w:hint="eastAsia" w:ascii="宋体" w:hAnsi="宋体" w:eastAsia="宋体" w:cs="宋体"/>
                <w:color w:val="auto"/>
                <w:kern w:val="0"/>
                <w:szCs w:val="21"/>
                <w:highlight w:val="none"/>
              </w:rPr>
            </w:pPr>
          </w:p>
        </w:tc>
        <w:tc>
          <w:tcPr>
            <w:tcW w:w="2126" w:type="dxa"/>
            <w:noWrap w:val="0"/>
            <w:vAlign w:val="center"/>
          </w:tcPr>
          <w:p w14:paraId="74F20F41">
            <w:pPr>
              <w:pageBreakBefore w:val="0"/>
              <w:widowControl/>
              <w:kinsoku/>
              <w:overflowPunct/>
              <w:bidi w:val="0"/>
              <w:spacing w:line="360" w:lineRule="auto"/>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节能</w:t>
            </w:r>
            <w:r>
              <w:rPr>
                <w:rFonts w:hint="eastAsia" w:ascii="宋体" w:hAnsi="宋体" w:eastAsia="宋体" w:cs="宋体"/>
                <w:b/>
                <w:color w:val="auto"/>
                <w:szCs w:val="21"/>
                <w:highlight w:val="none"/>
                <w:lang w:eastAsia="zh-CN"/>
              </w:rPr>
              <w:t>、</w:t>
            </w:r>
            <w:r>
              <w:rPr>
                <w:rFonts w:hint="eastAsia" w:ascii="宋体" w:hAnsi="宋体" w:eastAsia="宋体" w:cs="宋体"/>
                <w:b/>
                <w:color w:val="auto"/>
                <w:szCs w:val="21"/>
                <w:highlight w:val="none"/>
                <w:lang w:val="en-US" w:eastAsia="zh-CN"/>
              </w:rPr>
              <w:t>环保</w:t>
            </w:r>
            <w:r>
              <w:rPr>
                <w:rFonts w:hint="eastAsia" w:ascii="宋体" w:hAnsi="宋体" w:eastAsia="宋体" w:cs="宋体"/>
                <w:b/>
                <w:color w:val="auto"/>
                <w:szCs w:val="21"/>
                <w:highlight w:val="none"/>
              </w:rPr>
              <w:t>清单产品</w:t>
            </w:r>
            <w:r>
              <w:rPr>
                <w:rFonts w:hint="eastAsia" w:ascii="宋体" w:hAnsi="宋体" w:eastAsia="宋体" w:cs="宋体"/>
                <w:b/>
                <w:color w:val="auto"/>
                <w:szCs w:val="21"/>
                <w:highlight w:val="none"/>
                <w:lang w:eastAsia="zh-CN"/>
              </w:rPr>
              <w:t>（</w:t>
            </w:r>
            <w:r>
              <w:rPr>
                <w:rFonts w:hint="eastAsia" w:ascii="宋体" w:hAnsi="宋体" w:eastAsia="宋体" w:cs="宋体"/>
                <w:b/>
                <w:color w:val="auto"/>
                <w:szCs w:val="21"/>
                <w:highlight w:val="none"/>
                <w:lang w:val="en-US" w:eastAsia="zh-CN"/>
              </w:rPr>
              <w:t>1</w:t>
            </w:r>
            <w:r>
              <w:rPr>
                <w:rFonts w:hint="eastAsia" w:ascii="宋体" w:hAnsi="宋体" w:eastAsia="宋体" w:cs="宋体"/>
                <w:b/>
                <w:color w:val="auto"/>
                <w:szCs w:val="21"/>
                <w:highlight w:val="none"/>
              </w:rPr>
              <w:t>分</w:t>
            </w:r>
            <w:r>
              <w:rPr>
                <w:rFonts w:hint="eastAsia" w:ascii="宋体" w:hAnsi="宋体" w:eastAsia="宋体" w:cs="宋体"/>
                <w:b/>
                <w:color w:val="auto"/>
                <w:szCs w:val="21"/>
                <w:highlight w:val="none"/>
                <w:lang w:eastAsia="zh-CN"/>
              </w:rPr>
              <w:t>）</w:t>
            </w:r>
          </w:p>
          <w:p w14:paraId="2D5A10E6">
            <w:pPr>
              <w:pageBreakBefore w:val="0"/>
              <w:widowControl/>
              <w:kinsoku/>
              <w:overflowPunct/>
              <w:bidi w:val="0"/>
              <w:spacing w:line="360" w:lineRule="auto"/>
              <w:jc w:val="center"/>
              <w:rPr>
                <w:rFonts w:hint="eastAsia" w:ascii="宋体" w:hAnsi="宋体" w:eastAsia="宋体" w:cs="宋体"/>
                <w:b/>
                <w:color w:val="auto"/>
                <w:szCs w:val="21"/>
                <w:highlight w:val="none"/>
              </w:rPr>
            </w:pPr>
          </w:p>
        </w:tc>
        <w:tc>
          <w:tcPr>
            <w:tcW w:w="5245" w:type="dxa"/>
            <w:noWrap w:val="0"/>
            <w:vAlign w:val="center"/>
          </w:tcPr>
          <w:p w14:paraId="594D644A">
            <w:pPr>
              <w:widowControl/>
              <w:spacing w:line="360" w:lineRule="auto"/>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所投产品如为节能产品政府采购品目清单内非政府强制采购节能产品的，每有一项加0.5分，最多加0.5分。</w:t>
            </w:r>
          </w:p>
          <w:p w14:paraId="3F0632A8">
            <w:pPr>
              <w:widowControl/>
              <w:spacing w:line="360" w:lineRule="auto"/>
              <w:jc w:val="left"/>
              <w:rPr>
                <w:rFonts w:hint="eastAsia" w:ascii="宋体" w:hAnsi="宋体" w:eastAsia="宋体" w:cs="宋体"/>
                <w:color w:val="auto"/>
                <w:kern w:val="0"/>
                <w:szCs w:val="21"/>
                <w:highlight w:val="none"/>
                <w:lang w:eastAsia="zh-CN"/>
              </w:rPr>
            </w:pPr>
            <w:r>
              <w:rPr>
                <w:rFonts w:hint="eastAsia" w:ascii="宋体" w:hAnsi="宋体" w:eastAsia="宋体" w:cs="宋体"/>
                <w:color w:val="auto"/>
                <w:kern w:val="0"/>
                <w:szCs w:val="21"/>
                <w:highlight w:val="none"/>
              </w:rPr>
              <w:t>所投产品如为环境标志产品政府采购品目清单内的产品，每有一项加0.5分，最多加0.5分</w:t>
            </w:r>
            <w:r>
              <w:rPr>
                <w:rFonts w:hint="eastAsia" w:ascii="宋体" w:hAnsi="宋体" w:eastAsia="宋体" w:cs="宋体"/>
                <w:color w:val="auto"/>
                <w:kern w:val="0"/>
                <w:szCs w:val="21"/>
                <w:highlight w:val="none"/>
                <w:lang w:eastAsia="zh-CN"/>
              </w:rPr>
              <w:t>。</w:t>
            </w:r>
          </w:p>
          <w:p w14:paraId="0A4E51DD">
            <w:pPr>
              <w:widowControl/>
              <w:spacing w:line="360" w:lineRule="auto"/>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kern w:val="0"/>
                <w:szCs w:val="21"/>
                <w:highlight w:val="none"/>
              </w:rPr>
              <w:t>投标人须在投标文件中附该产品经国家确定的认证机构出具的、处于有效期之内的《国家节能产品认证证书》</w:t>
            </w:r>
            <w:r>
              <w:rPr>
                <w:rFonts w:hint="eastAsia" w:ascii="宋体" w:hAnsi="宋体" w:eastAsia="宋体" w:cs="宋体"/>
                <w:color w:val="auto"/>
                <w:kern w:val="0"/>
                <w:szCs w:val="21"/>
                <w:highlight w:val="none"/>
                <w:lang w:val="en-US" w:eastAsia="zh-CN"/>
              </w:rPr>
              <w:t>或</w:t>
            </w:r>
            <w:r>
              <w:rPr>
                <w:rFonts w:hint="eastAsia" w:ascii="宋体" w:hAnsi="宋体" w:eastAsia="宋体" w:cs="宋体"/>
                <w:color w:val="auto"/>
                <w:kern w:val="0"/>
                <w:szCs w:val="21"/>
                <w:highlight w:val="none"/>
              </w:rPr>
              <w:t>《中国环境标志产品认证证书》复印件或扫描件，否则评标委员会有权不予认可。清单可在中华人民共和国财政部网站（http://www.mof.gov.cn）、中国政府采购网（http://www.ccgp.gov.cn/）查阅。</w:t>
            </w:r>
          </w:p>
        </w:tc>
      </w:tr>
      <w:tr w14:paraId="35E0BA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9351" w:type="dxa"/>
            <w:gridSpan w:val="5"/>
            <w:noWrap w:val="0"/>
            <w:vAlign w:val="center"/>
          </w:tcPr>
          <w:p w14:paraId="4A761594">
            <w:pPr>
              <w:pStyle w:val="33"/>
              <w:pageBreakBefore w:val="0"/>
              <w:widowControl/>
              <w:numPr>
                <w:ilvl w:val="0"/>
                <w:numId w:val="0"/>
              </w:numPr>
              <w:kinsoku/>
              <w:overflowPunct/>
              <w:bidi w:val="0"/>
              <w:spacing w:before="0" w:beforeAutospacing="0" w:after="0" w:afterAutospacing="0" w:line="360" w:lineRule="auto"/>
              <w:ind w:right="0" w:rightChars="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备注：</w:t>
            </w:r>
          </w:p>
          <w:p w14:paraId="5C502CAB">
            <w:pPr>
              <w:pStyle w:val="33"/>
              <w:pageBreakBefore w:val="0"/>
              <w:widowControl/>
              <w:numPr>
                <w:ilvl w:val="0"/>
                <w:numId w:val="0"/>
              </w:numPr>
              <w:kinsoku/>
              <w:overflowPunct/>
              <w:bidi w:val="0"/>
              <w:spacing w:before="0" w:beforeAutospacing="0" w:after="0" w:afterAutospacing="0" w:line="360" w:lineRule="auto"/>
              <w:ind w:right="0" w:rightChars="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1.评标委员会对各投标人的得分进行汇总，评分分值计算保留小数点后两位，小数点后第三位“四舍五入”。以各评标委员会打分的算术平均值作为该投标人的最终得分。</w:t>
            </w:r>
          </w:p>
          <w:p w14:paraId="69272CCF">
            <w:pPr>
              <w:pStyle w:val="33"/>
              <w:pageBreakBefore w:val="0"/>
              <w:widowControl/>
              <w:numPr>
                <w:ilvl w:val="0"/>
                <w:numId w:val="0"/>
              </w:numPr>
              <w:kinsoku/>
              <w:overflowPunct/>
              <w:bidi w:val="0"/>
              <w:spacing w:before="0" w:beforeAutospacing="0" w:after="0" w:afterAutospacing="0" w:line="360" w:lineRule="auto"/>
              <w:ind w:right="0" w:rightChars="0"/>
              <w:jc w:val="both"/>
              <w:rPr>
                <w:rFonts w:hint="eastAsia" w:ascii="宋体" w:hAnsi="宋体" w:eastAsia="宋体" w:cs="宋体"/>
                <w:color w:val="auto"/>
                <w:highlight w:val="none"/>
              </w:rPr>
            </w:pPr>
            <w:r>
              <w:rPr>
                <w:rFonts w:hint="eastAsia" w:ascii="宋体" w:hAnsi="宋体" w:eastAsia="宋体" w:cs="宋体"/>
                <w:color w:val="auto"/>
                <w:kern w:val="2"/>
                <w:sz w:val="21"/>
                <w:szCs w:val="21"/>
                <w:highlight w:val="none"/>
                <w:lang w:val="en-US" w:eastAsia="zh-CN" w:bidi="ar-SA"/>
              </w:rPr>
              <w:t>2.非单一产品采购项目，招标文件中在第</w:t>
            </w:r>
            <w:r>
              <w:rPr>
                <w:rFonts w:hint="eastAsia" w:ascii="宋体" w:hAnsi="宋体" w:eastAsia="宋体" w:cs="宋体"/>
                <w:color w:val="auto"/>
                <w:kern w:val="2"/>
                <w:sz w:val="21"/>
                <w:szCs w:val="21"/>
                <w:highlight w:val="none"/>
                <w:u w:val="single"/>
                <w:lang w:val="en-US" w:eastAsia="zh-CN" w:bidi="ar-SA"/>
              </w:rPr>
              <w:t xml:space="preserve"> 六  </w:t>
            </w:r>
            <w:r>
              <w:rPr>
                <w:rFonts w:hint="eastAsia" w:ascii="宋体" w:hAnsi="宋体" w:eastAsia="宋体" w:cs="宋体"/>
                <w:color w:val="auto"/>
                <w:kern w:val="2"/>
                <w:sz w:val="21"/>
                <w:szCs w:val="21"/>
                <w:highlight w:val="none"/>
                <w:lang w:val="en-US" w:eastAsia="zh-CN" w:bidi="ar-SA"/>
              </w:rPr>
              <w:t>章中载明了核心产品，核心产品提供相同品牌产品且通过资格审查、符合性审查的不同投标人参加同一包投标的，按一家投标人计算，评审后得分最高的同品牌投标人获得中标人推荐资格；评审得分相同的，以投标报价低者获得中标人推荐资格，其他同品牌投标人不作为中标候选人。</w:t>
            </w:r>
          </w:p>
        </w:tc>
      </w:tr>
    </w:tbl>
    <w:p w14:paraId="11EA75A5">
      <w:pPr>
        <w:pStyle w:val="6"/>
        <w:pageBreakBefore w:val="0"/>
        <w:numPr>
          <w:ilvl w:val="0"/>
          <w:numId w:val="19"/>
        </w:numPr>
        <w:kinsoku/>
        <w:overflowPunct/>
        <w:bidi w:val="0"/>
        <w:spacing w:line="360" w:lineRule="auto"/>
        <w:rPr>
          <w:rFonts w:hint="eastAsia" w:ascii="宋体" w:hAnsi="宋体" w:eastAsia="宋体" w:cs="宋体"/>
          <w:b/>
          <w:bCs w:val="0"/>
          <w:color w:val="auto"/>
          <w:sz w:val="24"/>
          <w:szCs w:val="24"/>
          <w:highlight w:val="none"/>
          <w:lang w:val="en-US" w:eastAsia="zh-CN"/>
        </w:rPr>
      </w:pPr>
      <w:bookmarkStart w:id="611" w:name="_Toc20167"/>
      <w:bookmarkStart w:id="612" w:name="_Toc13371"/>
      <w:bookmarkStart w:id="613" w:name="_Toc26522"/>
      <w:bookmarkStart w:id="614" w:name="_Toc31999"/>
      <w:bookmarkStart w:id="615" w:name="_Toc9836"/>
      <w:bookmarkStart w:id="616" w:name="_Toc30636"/>
      <w:bookmarkStart w:id="617" w:name="_Toc31078"/>
      <w:bookmarkStart w:id="618" w:name="_Toc17199"/>
      <w:bookmarkStart w:id="619" w:name="_Toc25637"/>
      <w:bookmarkStart w:id="620" w:name="_Toc12476"/>
      <w:bookmarkStart w:id="621" w:name="_Toc3242"/>
      <w:r>
        <w:rPr>
          <w:rFonts w:hint="eastAsia" w:ascii="宋体" w:hAnsi="宋体" w:eastAsia="宋体" w:cs="宋体"/>
          <w:b/>
          <w:bCs w:val="0"/>
          <w:color w:val="auto"/>
          <w:kern w:val="2"/>
          <w:sz w:val="24"/>
          <w:szCs w:val="24"/>
          <w:highlight w:val="none"/>
          <w:lang w:val="en-US" w:eastAsia="zh-CN" w:bidi="ar-SA"/>
        </w:rPr>
        <w:br w:type="page"/>
      </w:r>
      <w:r>
        <w:rPr>
          <w:rFonts w:hint="eastAsia" w:ascii="宋体" w:hAnsi="宋体" w:eastAsia="宋体" w:cs="宋体"/>
          <w:b/>
          <w:bCs w:val="0"/>
          <w:color w:val="auto"/>
          <w:kern w:val="2"/>
          <w:sz w:val="24"/>
          <w:szCs w:val="24"/>
          <w:highlight w:val="none"/>
          <w:lang w:val="en-US" w:eastAsia="zh-CN" w:bidi="ar-SA"/>
        </w:rPr>
        <w:t>评标办法</w:t>
      </w:r>
      <w:bookmarkEnd w:id="611"/>
      <w:bookmarkEnd w:id="612"/>
      <w:bookmarkEnd w:id="613"/>
      <w:bookmarkEnd w:id="614"/>
      <w:bookmarkEnd w:id="615"/>
      <w:bookmarkEnd w:id="616"/>
      <w:bookmarkEnd w:id="617"/>
      <w:bookmarkEnd w:id="618"/>
      <w:bookmarkEnd w:id="619"/>
      <w:bookmarkEnd w:id="620"/>
      <w:bookmarkEnd w:id="621"/>
    </w:p>
    <w:p w14:paraId="79A0BA90">
      <w:pPr>
        <w:keepNext w:val="0"/>
        <w:keepLines w:val="0"/>
        <w:pageBreakBefore w:val="0"/>
        <w:widowControl w:val="0"/>
        <w:kinsoku/>
        <w:wordWrap/>
        <w:overflowPunct/>
        <w:topLinePunct w:val="0"/>
        <w:autoSpaceDE w:val="0"/>
        <w:autoSpaceDN w:val="0"/>
        <w:bidi w:val="0"/>
        <w:adjustRightInd w:val="0"/>
        <w:snapToGrid/>
        <w:spacing w:line="360" w:lineRule="auto"/>
        <w:ind w:right="-23" w:firstLine="420" w:firstLineChars="200"/>
        <w:jc w:val="left"/>
        <w:textAlignment w:val="auto"/>
        <w:outlineLvl w:val="9"/>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rPr>
        <w:t>本次招标采用综合评分法评标，投标文件满足招标文件全部实质性要求，且按照评审因素的量化指标评审</w:t>
      </w:r>
      <w:r>
        <w:rPr>
          <w:rFonts w:hint="eastAsia" w:ascii="宋体" w:hAnsi="宋体" w:eastAsia="宋体" w:cs="宋体"/>
          <w:color w:val="auto"/>
          <w:kern w:val="0"/>
          <w:szCs w:val="21"/>
          <w:highlight w:val="none"/>
          <w:lang w:eastAsia="zh-CN"/>
        </w:rPr>
        <w:t>综合</w:t>
      </w:r>
      <w:r>
        <w:rPr>
          <w:rFonts w:hint="eastAsia" w:ascii="宋体" w:hAnsi="宋体" w:eastAsia="宋体" w:cs="宋体"/>
          <w:color w:val="auto"/>
          <w:kern w:val="0"/>
          <w:szCs w:val="21"/>
          <w:highlight w:val="none"/>
        </w:rPr>
        <w:t>得分由高到低顺序</w:t>
      </w:r>
      <w:r>
        <w:rPr>
          <w:rFonts w:hint="eastAsia" w:ascii="宋体" w:hAnsi="宋体" w:eastAsia="宋体" w:cs="宋体"/>
          <w:color w:val="auto"/>
          <w:kern w:val="0"/>
          <w:szCs w:val="21"/>
          <w:highlight w:val="none"/>
          <w:lang w:eastAsia="zh-CN"/>
        </w:rPr>
        <w:t>推荐</w:t>
      </w:r>
      <w:r>
        <w:rPr>
          <w:rFonts w:hint="eastAsia" w:ascii="宋体" w:hAnsi="宋体" w:eastAsia="宋体" w:cs="宋体"/>
          <w:color w:val="auto"/>
          <w:kern w:val="0"/>
          <w:szCs w:val="21"/>
          <w:highlight w:val="none"/>
        </w:rPr>
        <w:t>为</w:t>
      </w:r>
      <w:r>
        <w:rPr>
          <w:rFonts w:hint="eastAsia" w:ascii="宋体" w:hAnsi="宋体" w:eastAsia="宋体" w:cs="宋体"/>
          <w:color w:val="auto"/>
          <w:kern w:val="0"/>
          <w:szCs w:val="21"/>
          <w:highlight w:val="none"/>
          <w:lang w:eastAsia="zh-CN"/>
        </w:rPr>
        <w:t>中标</w:t>
      </w:r>
      <w:r>
        <w:rPr>
          <w:rFonts w:hint="eastAsia" w:ascii="宋体" w:hAnsi="宋体" w:eastAsia="宋体" w:cs="宋体"/>
          <w:color w:val="auto"/>
          <w:kern w:val="0"/>
          <w:szCs w:val="21"/>
          <w:highlight w:val="none"/>
        </w:rPr>
        <w:t>候选人的</w:t>
      </w:r>
      <w:r>
        <w:rPr>
          <w:rFonts w:hint="eastAsia" w:ascii="宋体" w:hAnsi="宋体" w:eastAsia="宋体" w:cs="宋体"/>
          <w:color w:val="auto"/>
          <w:kern w:val="0"/>
          <w:szCs w:val="21"/>
          <w:highlight w:val="none"/>
          <w:lang w:eastAsia="zh-CN"/>
        </w:rPr>
        <w:t>评审</w:t>
      </w:r>
      <w:r>
        <w:rPr>
          <w:rFonts w:hint="eastAsia" w:ascii="宋体" w:hAnsi="宋体" w:eastAsia="宋体" w:cs="宋体"/>
          <w:color w:val="auto"/>
          <w:kern w:val="0"/>
          <w:szCs w:val="21"/>
          <w:highlight w:val="none"/>
        </w:rPr>
        <w:t>方法</w:t>
      </w:r>
      <w:r>
        <w:rPr>
          <w:rFonts w:hint="eastAsia" w:ascii="宋体" w:hAnsi="宋体" w:eastAsia="宋体" w:cs="宋体"/>
          <w:color w:val="auto"/>
          <w:kern w:val="0"/>
          <w:szCs w:val="21"/>
          <w:highlight w:val="none"/>
          <w:lang w:eastAsia="zh-CN"/>
        </w:rPr>
        <w:t>。</w:t>
      </w:r>
    </w:p>
    <w:p w14:paraId="3FA31E79">
      <w:pPr>
        <w:pStyle w:val="6"/>
        <w:pageBreakBefore w:val="0"/>
        <w:numPr>
          <w:ilvl w:val="0"/>
          <w:numId w:val="19"/>
        </w:numPr>
        <w:kinsoku/>
        <w:overflowPunct/>
        <w:bidi w:val="0"/>
        <w:spacing w:line="360" w:lineRule="auto"/>
        <w:rPr>
          <w:rFonts w:hint="eastAsia" w:ascii="宋体" w:hAnsi="宋体" w:eastAsia="宋体" w:cs="宋体"/>
          <w:b/>
          <w:bCs w:val="0"/>
          <w:color w:val="auto"/>
          <w:kern w:val="2"/>
          <w:sz w:val="24"/>
          <w:szCs w:val="24"/>
          <w:highlight w:val="none"/>
          <w:lang w:val="en-US" w:eastAsia="zh-CN" w:bidi="ar-SA"/>
        </w:rPr>
      </w:pPr>
      <w:bookmarkStart w:id="622" w:name="_Toc28719"/>
      <w:bookmarkStart w:id="623" w:name="_Toc4003"/>
      <w:bookmarkStart w:id="624" w:name="_Toc26533"/>
      <w:bookmarkStart w:id="625" w:name="_Toc13454"/>
      <w:bookmarkStart w:id="626" w:name="_Toc13023"/>
      <w:bookmarkStart w:id="627" w:name="_Toc30895"/>
      <w:bookmarkStart w:id="628" w:name="_Toc30234"/>
      <w:bookmarkStart w:id="629" w:name="_Toc6135"/>
      <w:bookmarkStart w:id="630" w:name="_Toc17219"/>
      <w:bookmarkStart w:id="631" w:name="_Toc5920"/>
      <w:bookmarkStart w:id="632" w:name="_Toc3406"/>
      <w:r>
        <w:rPr>
          <w:rFonts w:hint="eastAsia" w:ascii="宋体" w:hAnsi="宋体" w:eastAsia="宋体" w:cs="宋体"/>
          <w:b/>
          <w:bCs w:val="0"/>
          <w:color w:val="auto"/>
          <w:kern w:val="2"/>
          <w:sz w:val="24"/>
          <w:szCs w:val="24"/>
          <w:highlight w:val="none"/>
          <w:lang w:val="en-US" w:eastAsia="zh-CN" w:bidi="ar-SA"/>
        </w:rPr>
        <w:t>评审标准</w:t>
      </w:r>
      <w:bookmarkEnd w:id="622"/>
      <w:bookmarkEnd w:id="623"/>
      <w:bookmarkEnd w:id="624"/>
      <w:bookmarkEnd w:id="625"/>
      <w:bookmarkEnd w:id="626"/>
      <w:bookmarkEnd w:id="627"/>
      <w:bookmarkEnd w:id="628"/>
      <w:bookmarkEnd w:id="629"/>
      <w:bookmarkEnd w:id="630"/>
      <w:bookmarkEnd w:id="631"/>
      <w:bookmarkEnd w:id="632"/>
    </w:p>
    <w:p w14:paraId="550503D8">
      <w:pPr>
        <w:pStyle w:val="6"/>
        <w:pageBreakBefore w:val="0"/>
        <w:numPr>
          <w:ilvl w:val="0"/>
          <w:numId w:val="0"/>
        </w:numPr>
        <w:kinsoku/>
        <w:overflowPunct/>
        <w:bidi w:val="0"/>
        <w:spacing w:line="360" w:lineRule="auto"/>
        <w:ind w:leftChars="0"/>
        <w:rPr>
          <w:rFonts w:hint="eastAsia" w:ascii="宋体" w:hAnsi="宋体" w:eastAsia="宋体" w:cs="宋体"/>
          <w:color w:val="auto"/>
          <w:highlight w:val="none"/>
          <w:lang w:val="en-US" w:eastAsia="zh-CN"/>
        </w:rPr>
      </w:pPr>
      <w:bookmarkStart w:id="633" w:name="_Toc4247"/>
      <w:bookmarkStart w:id="634" w:name="_Toc20701"/>
      <w:bookmarkStart w:id="635" w:name="_Toc12847"/>
      <w:bookmarkStart w:id="636" w:name="_Toc12758"/>
      <w:bookmarkStart w:id="637" w:name="_Toc21223"/>
      <w:bookmarkStart w:id="638" w:name="_Toc318"/>
      <w:bookmarkStart w:id="639" w:name="_Toc24699"/>
      <w:bookmarkStart w:id="640" w:name="_Toc14180"/>
      <w:bookmarkStart w:id="641" w:name="_Toc8479"/>
      <w:bookmarkStart w:id="642" w:name="_Toc2477"/>
      <w:bookmarkStart w:id="643" w:name="_Toc21567"/>
      <w:r>
        <w:rPr>
          <w:rFonts w:hint="eastAsia" w:ascii="宋体" w:hAnsi="宋体" w:eastAsia="宋体" w:cs="宋体"/>
          <w:color w:val="auto"/>
          <w:highlight w:val="none"/>
          <w:lang w:val="en-US" w:eastAsia="zh-CN"/>
        </w:rPr>
        <w:t>2.1 符合性评审</w:t>
      </w:r>
      <w:bookmarkEnd w:id="633"/>
      <w:bookmarkEnd w:id="634"/>
      <w:bookmarkEnd w:id="635"/>
      <w:bookmarkEnd w:id="636"/>
      <w:bookmarkEnd w:id="637"/>
      <w:bookmarkEnd w:id="638"/>
      <w:bookmarkEnd w:id="639"/>
      <w:bookmarkEnd w:id="640"/>
      <w:bookmarkEnd w:id="641"/>
      <w:bookmarkEnd w:id="642"/>
      <w:bookmarkEnd w:id="643"/>
    </w:p>
    <w:p w14:paraId="262DEA1D">
      <w:pPr>
        <w:keepNext w:val="0"/>
        <w:keepLines w:val="0"/>
        <w:pageBreakBefore w:val="0"/>
        <w:widowControl w:val="0"/>
        <w:kinsoku/>
        <w:wordWrap/>
        <w:overflowPunct/>
        <w:topLinePunct w:val="0"/>
        <w:autoSpaceDE w:val="0"/>
        <w:autoSpaceDN w:val="0"/>
        <w:bidi w:val="0"/>
        <w:adjustRightInd w:val="0"/>
        <w:snapToGrid/>
        <w:spacing w:line="360" w:lineRule="auto"/>
        <w:ind w:left="522" w:right="-23"/>
        <w:jc w:val="left"/>
        <w:textAlignment w:val="auto"/>
        <w:outlineLvl w:val="9"/>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符合性审查标准：见</w:t>
      </w:r>
      <w:r>
        <w:rPr>
          <w:rFonts w:hint="eastAsia" w:ascii="宋体" w:hAnsi="宋体" w:eastAsia="宋体" w:cs="宋体"/>
          <w:color w:val="auto"/>
          <w:kern w:val="0"/>
          <w:szCs w:val="21"/>
          <w:highlight w:val="none"/>
          <w:lang w:eastAsia="zh-CN"/>
        </w:rPr>
        <w:t>评标办法前附</w:t>
      </w:r>
      <w:r>
        <w:rPr>
          <w:rFonts w:hint="eastAsia" w:ascii="宋体" w:hAnsi="宋体" w:eastAsia="宋体" w:cs="宋体"/>
          <w:color w:val="auto"/>
          <w:kern w:val="0"/>
          <w:szCs w:val="21"/>
          <w:highlight w:val="none"/>
        </w:rPr>
        <w:t>表。</w:t>
      </w:r>
    </w:p>
    <w:p w14:paraId="4908B3F6">
      <w:pPr>
        <w:pStyle w:val="6"/>
        <w:pageBreakBefore w:val="0"/>
        <w:numPr>
          <w:ilvl w:val="0"/>
          <w:numId w:val="0"/>
        </w:numPr>
        <w:kinsoku/>
        <w:overflowPunct/>
        <w:bidi w:val="0"/>
        <w:spacing w:line="360" w:lineRule="auto"/>
        <w:ind w:leftChars="0"/>
        <w:rPr>
          <w:rFonts w:hint="eastAsia" w:ascii="宋体" w:hAnsi="宋体" w:eastAsia="宋体" w:cs="宋体"/>
          <w:color w:val="auto"/>
          <w:highlight w:val="none"/>
        </w:rPr>
      </w:pPr>
      <w:bookmarkStart w:id="644" w:name="_Toc27094"/>
      <w:bookmarkStart w:id="645" w:name="_Toc6724"/>
      <w:bookmarkStart w:id="646" w:name="_Toc29139"/>
      <w:bookmarkStart w:id="647" w:name="_Toc28336"/>
      <w:bookmarkStart w:id="648" w:name="_Toc17735"/>
      <w:bookmarkStart w:id="649" w:name="_Toc31651"/>
      <w:bookmarkStart w:id="650" w:name="_Toc16256"/>
      <w:bookmarkStart w:id="651" w:name="_Toc7259"/>
      <w:bookmarkStart w:id="652" w:name="_Toc10856"/>
      <w:bookmarkStart w:id="653" w:name="_Toc5467"/>
      <w:bookmarkStart w:id="654" w:name="_Toc22464"/>
      <w:r>
        <w:rPr>
          <w:rFonts w:hint="eastAsia" w:ascii="宋体" w:hAnsi="宋体" w:eastAsia="宋体" w:cs="宋体"/>
          <w:color w:val="auto"/>
          <w:highlight w:val="none"/>
          <w:lang w:val="en-US" w:eastAsia="zh-CN"/>
        </w:rPr>
        <w:t xml:space="preserve">2.2 </w:t>
      </w:r>
      <w:r>
        <w:rPr>
          <w:rFonts w:hint="eastAsia" w:ascii="宋体" w:hAnsi="宋体" w:eastAsia="宋体" w:cs="宋体"/>
          <w:color w:val="auto"/>
          <w:highlight w:val="none"/>
        </w:rPr>
        <w:t>分值构成与评分标准</w:t>
      </w:r>
      <w:bookmarkEnd w:id="644"/>
      <w:bookmarkEnd w:id="645"/>
      <w:bookmarkEnd w:id="646"/>
      <w:bookmarkEnd w:id="647"/>
      <w:bookmarkEnd w:id="648"/>
      <w:bookmarkEnd w:id="649"/>
      <w:bookmarkEnd w:id="650"/>
      <w:bookmarkEnd w:id="651"/>
      <w:bookmarkEnd w:id="652"/>
      <w:bookmarkEnd w:id="653"/>
      <w:bookmarkEnd w:id="654"/>
    </w:p>
    <w:p w14:paraId="6804A949">
      <w:pPr>
        <w:pageBreakBefore w:val="0"/>
        <w:kinsoku/>
        <w:overflowPunct/>
        <w:autoSpaceDE w:val="0"/>
        <w:autoSpaceDN w:val="0"/>
        <w:bidi w:val="0"/>
        <w:adjustRightInd w:val="0"/>
        <w:spacing w:line="360" w:lineRule="auto"/>
        <w:ind w:left="520" w:right="-2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lang w:val="en-US" w:eastAsia="zh-CN"/>
        </w:rPr>
        <w:t>2</w:t>
      </w:r>
      <w:r>
        <w:rPr>
          <w:rFonts w:hint="eastAsia" w:ascii="宋体" w:hAnsi="宋体" w:eastAsia="宋体" w:cs="宋体"/>
          <w:color w:val="auto"/>
          <w:kern w:val="0"/>
          <w:szCs w:val="21"/>
          <w:highlight w:val="none"/>
        </w:rPr>
        <w:t>.2.1</w:t>
      </w:r>
      <w:r>
        <w:rPr>
          <w:rFonts w:hint="eastAsia" w:ascii="宋体" w:hAnsi="宋体" w:eastAsia="宋体" w:cs="宋体"/>
          <w:color w:val="auto"/>
          <w:kern w:val="0"/>
          <w:szCs w:val="21"/>
          <w:highlight w:val="none"/>
          <w:lang w:val="en-US" w:eastAsia="zh-CN"/>
        </w:rPr>
        <w:t xml:space="preserve"> </w:t>
      </w:r>
      <w:r>
        <w:rPr>
          <w:rFonts w:hint="eastAsia" w:ascii="宋体" w:hAnsi="宋体" w:eastAsia="宋体" w:cs="宋体"/>
          <w:color w:val="auto"/>
          <w:kern w:val="0"/>
          <w:szCs w:val="21"/>
          <w:highlight w:val="none"/>
        </w:rPr>
        <w:t>分</w:t>
      </w:r>
      <w:r>
        <w:rPr>
          <w:rFonts w:hint="eastAsia" w:ascii="宋体" w:hAnsi="宋体" w:eastAsia="宋体" w:cs="宋体"/>
          <w:color w:val="auto"/>
          <w:spacing w:val="-2"/>
          <w:kern w:val="0"/>
          <w:szCs w:val="21"/>
          <w:highlight w:val="none"/>
        </w:rPr>
        <w:t>值</w:t>
      </w:r>
      <w:r>
        <w:rPr>
          <w:rFonts w:hint="eastAsia" w:ascii="宋体" w:hAnsi="宋体" w:eastAsia="宋体" w:cs="宋体"/>
          <w:color w:val="auto"/>
          <w:kern w:val="0"/>
          <w:szCs w:val="21"/>
          <w:highlight w:val="none"/>
        </w:rPr>
        <w:t>构成</w:t>
      </w:r>
    </w:p>
    <w:p w14:paraId="24E3A084">
      <w:pPr>
        <w:keepNext w:val="0"/>
        <w:keepLines w:val="0"/>
        <w:pageBreakBefore w:val="0"/>
        <w:widowControl w:val="0"/>
        <w:numPr>
          <w:ilvl w:val="0"/>
          <w:numId w:val="20"/>
        </w:numPr>
        <w:kinsoku/>
        <w:wordWrap/>
        <w:overflowPunct/>
        <w:topLinePunct w:val="0"/>
        <w:autoSpaceDE w:val="0"/>
        <w:autoSpaceDN w:val="0"/>
        <w:bidi w:val="0"/>
        <w:adjustRightInd w:val="0"/>
        <w:snapToGrid/>
        <w:spacing w:line="360" w:lineRule="auto"/>
        <w:ind w:left="0" w:leftChars="0" w:right="40" w:firstLine="420" w:firstLineChars="200"/>
        <w:jc w:val="left"/>
        <w:textAlignment w:val="auto"/>
        <w:outlineLvl w:val="9"/>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lang w:eastAsia="zh-CN"/>
        </w:rPr>
        <w:t>投标报价</w:t>
      </w:r>
      <w:r>
        <w:rPr>
          <w:rFonts w:hint="eastAsia" w:ascii="宋体" w:hAnsi="宋体" w:eastAsia="宋体" w:cs="宋体"/>
          <w:color w:val="auto"/>
          <w:kern w:val="0"/>
          <w:szCs w:val="21"/>
          <w:highlight w:val="none"/>
        </w:rPr>
        <w:t>：见评标办法</w:t>
      </w:r>
      <w:r>
        <w:rPr>
          <w:rFonts w:hint="eastAsia" w:ascii="宋体" w:hAnsi="宋体" w:eastAsia="宋体" w:cs="宋体"/>
          <w:color w:val="auto"/>
          <w:kern w:val="0"/>
          <w:szCs w:val="21"/>
          <w:highlight w:val="none"/>
          <w:lang w:eastAsia="zh-CN"/>
        </w:rPr>
        <w:t>前附</w:t>
      </w:r>
      <w:r>
        <w:rPr>
          <w:rFonts w:hint="eastAsia" w:ascii="宋体" w:hAnsi="宋体" w:eastAsia="宋体" w:cs="宋体"/>
          <w:color w:val="auto"/>
          <w:kern w:val="0"/>
          <w:szCs w:val="21"/>
          <w:highlight w:val="none"/>
        </w:rPr>
        <w:t>表；</w:t>
      </w:r>
    </w:p>
    <w:p w14:paraId="2C913270">
      <w:pPr>
        <w:keepNext w:val="0"/>
        <w:keepLines w:val="0"/>
        <w:pageBreakBefore w:val="0"/>
        <w:widowControl w:val="0"/>
        <w:numPr>
          <w:ilvl w:val="0"/>
          <w:numId w:val="20"/>
        </w:numPr>
        <w:kinsoku/>
        <w:wordWrap/>
        <w:overflowPunct/>
        <w:topLinePunct w:val="0"/>
        <w:autoSpaceDE w:val="0"/>
        <w:autoSpaceDN w:val="0"/>
        <w:bidi w:val="0"/>
        <w:adjustRightInd w:val="0"/>
        <w:snapToGrid/>
        <w:spacing w:line="360" w:lineRule="auto"/>
        <w:ind w:left="0" w:leftChars="0" w:right="40" w:firstLine="420" w:firstLineChars="200"/>
        <w:jc w:val="left"/>
        <w:textAlignment w:val="auto"/>
        <w:outlineLvl w:val="9"/>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技术部分：见评标办法</w:t>
      </w:r>
      <w:r>
        <w:rPr>
          <w:rFonts w:hint="eastAsia" w:ascii="宋体" w:hAnsi="宋体" w:eastAsia="宋体" w:cs="宋体"/>
          <w:color w:val="auto"/>
          <w:kern w:val="0"/>
          <w:szCs w:val="21"/>
          <w:highlight w:val="none"/>
          <w:lang w:eastAsia="zh-CN"/>
        </w:rPr>
        <w:t>前附</w:t>
      </w:r>
      <w:r>
        <w:rPr>
          <w:rFonts w:hint="eastAsia" w:ascii="宋体" w:hAnsi="宋体" w:eastAsia="宋体" w:cs="宋体"/>
          <w:color w:val="auto"/>
          <w:kern w:val="0"/>
          <w:szCs w:val="21"/>
          <w:highlight w:val="none"/>
        </w:rPr>
        <w:t>表；</w:t>
      </w:r>
    </w:p>
    <w:p w14:paraId="4997A248">
      <w:pPr>
        <w:keepNext w:val="0"/>
        <w:keepLines w:val="0"/>
        <w:pageBreakBefore w:val="0"/>
        <w:widowControl w:val="0"/>
        <w:numPr>
          <w:ilvl w:val="0"/>
          <w:numId w:val="20"/>
        </w:numPr>
        <w:kinsoku/>
        <w:wordWrap/>
        <w:overflowPunct/>
        <w:topLinePunct w:val="0"/>
        <w:autoSpaceDE w:val="0"/>
        <w:autoSpaceDN w:val="0"/>
        <w:bidi w:val="0"/>
        <w:adjustRightInd w:val="0"/>
        <w:snapToGrid/>
        <w:spacing w:line="360" w:lineRule="auto"/>
        <w:ind w:left="0" w:leftChars="0" w:right="40" w:firstLine="420" w:firstLineChars="200"/>
        <w:jc w:val="left"/>
        <w:textAlignment w:val="auto"/>
        <w:outlineLvl w:val="9"/>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商务部分：见评标办法</w:t>
      </w:r>
      <w:r>
        <w:rPr>
          <w:rFonts w:hint="eastAsia" w:ascii="宋体" w:hAnsi="宋体" w:eastAsia="宋体" w:cs="宋体"/>
          <w:color w:val="auto"/>
          <w:kern w:val="0"/>
          <w:szCs w:val="21"/>
          <w:highlight w:val="none"/>
          <w:lang w:eastAsia="zh-CN"/>
        </w:rPr>
        <w:t>前附</w:t>
      </w:r>
      <w:r>
        <w:rPr>
          <w:rFonts w:hint="eastAsia" w:ascii="宋体" w:hAnsi="宋体" w:eastAsia="宋体" w:cs="宋体"/>
          <w:color w:val="auto"/>
          <w:kern w:val="0"/>
          <w:szCs w:val="21"/>
          <w:highlight w:val="none"/>
        </w:rPr>
        <w:t>表；</w:t>
      </w:r>
    </w:p>
    <w:p w14:paraId="4AF07DB5">
      <w:pPr>
        <w:pageBreakBefore w:val="0"/>
        <w:kinsoku/>
        <w:overflowPunct/>
        <w:autoSpaceDE w:val="0"/>
        <w:autoSpaceDN w:val="0"/>
        <w:bidi w:val="0"/>
        <w:adjustRightInd w:val="0"/>
        <w:spacing w:before="7" w:line="360" w:lineRule="auto"/>
        <w:ind w:left="520" w:right="-2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lang w:val="en-US" w:eastAsia="zh-CN"/>
        </w:rPr>
        <w:t>2</w:t>
      </w:r>
      <w:r>
        <w:rPr>
          <w:rFonts w:hint="eastAsia" w:ascii="宋体" w:hAnsi="宋体" w:eastAsia="宋体" w:cs="宋体"/>
          <w:color w:val="auto"/>
          <w:kern w:val="0"/>
          <w:szCs w:val="21"/>
          <w:highlight w:val="none"/>
        </w:rPr>
        <w:t>.2.</w:t>
      </w:r>
      <w:r>
        <w:rPr>
          <w:rFonts w:hint="eastAsia" w:ascii="宋体" w:hAnsi="宋体" w:eastAsia="宋体" w:cs="宋体"/>
          <w:color w:val="auto"/>
          <w:kern w:val="0"/>
          <w:szCs w:val="21"/>
          <w:highlight w:val="none"/>
          <w:lang w:val="en-US" w:eastAsia="zh-CN"/>
        </w:rPr>
        <w:t xml:space="preserve">2 </w:t>
      </w:r>
      <w:r>
        <w:rPr>
          <w:rFonts w:hint="eastAsia" w:ascii="宋体" w:hAnsi="宋体" w:eastAsia="宋体" w:cs="宋体"/>
          <w:color w:val="auto"/>
          <w:kern w:val="0"/>
          <w:szCs w:val="21"/>
          <w:highlight w:val="none"/>
        </w:rPr>
        <w:t>评</w:t>
      </w:r>
      <w:r>
        <w:rPr>
          <w:rFonts w:hint="eastAsia" w:ascii="宋体" w:hAnsi="宋体" w:eastAsia="宋体" w:cs="宋体"/>
          <w:color w:val="auto"/>
          <w:spacing w:val="-2"/>
          <w:kern w:val="0"/>
          <w:szCs w:val="21"/>
          <w:highlight w:val="none"/>
        </w:rPr>
        <w:t>分</w:t>
      </w:r>
      <w:r>
        <w:rPr>
          <w:rFonts w:hint="eastAsia" w:ascii="宋体" w:hAnsi="宋体" w:eastAsia="宋体" w:cs="宋体"/>
          <w:color w:val="auto"/>
          <w:kern w:val="0"/>
          <w:szCs w:val="21"/>
          <w:highlight w:val="none"/>
        </w:rPr>
        <w:t>标准</w:t>
      </w:r>
    </w:p>
    <w:p w14:paraId="00B3244C">
      <w:pPr>
        <w:keepNext w:val="0"/>
        <w:keepLines w:val="0"/>
        <w:pageBreakBefore w:val="0"/>
        <w:widowControl w:val="0"/>
        <w:numPr>
          <w:ilvl w:val="0"/>
          <w:numId w:val="21"/>
        </w:numPr>
        <w:kinsoku/>
        <w:wordWrap/>
        <w:overflowPunct/>
        <w:topLinePunct w:val="0"/>
        <w:autoSpaceDE w:val="0"/>
        <w:autoSpaceDN w:val="0"/>
        <w:bidi w:val="0"/>
        <w:adjustRightInd w:val="0"/>
        <w:snapToGrid/>
        <w:spacing w:line="360" w:lineRule="auto"/>
        <w:ind w:left="0" w:leftChars="0" w:right="40" w:firstLine="420" w:firstLineChars="200"/>
        <w:jc w:val="left"/>
        <w:textAlignment w:val="auto"/>
        <w:outlineLvl w:val="9"/>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lang w:eastAsia="zh-CN"/>
        </w:rPr>
        <w:t>投标报价</w:t>
      </w:r>
      <w:r>
        <w:rPr>
          <w:rFonts w:hint="eastAsia" w:ascii="宋体" w:hAnsi="宋体" w:eastAsia="宋体" w:cs="宋体"/>
          <w:color w:val="auto"/>
          <w:kern w:val="0"/>
          <w:szCs w:val="21"/>
          <w:highlight w:val="none"/>
        </w:rPr>
        <w:t>评分标准：见评标办法</w:t>
      </w:r>
      <w:r>
        <w:rPr>
          <w:rFonts w:hint="eastAsia" w:ascii="宋体" w:hAnsi="宋体" w:eastAsia="宋体" w:cs="宋体"/>
          <w:color w:val="auto"/>
          <w:kern w:val="0"/>
          <w:szCs w:val="21"/>
          <w:highlight w:val="none"/>
          <w:lang w:eastAsia="zh-CN"/>
        </w:rPr>
        <w:t>前附</w:t>
      </w:r>
      <w:r>
        <w:rPr>
          <w:rFonts w:hint="eastAsia" w:ascii="宋体" w:hAnsi="宋体" w:eastAsia="宋体" w:cs="宋体"/>
          <w:color w:val="auto"/>
          <w:kern w:val="0"/>
          <w:szCs w:val="21"/>
          <w:highlight w:val="none"/>
        </w:rPr>
        <w:t>表；</w:t>
      </w:r>
    </w:p>
    <w:p w14:paraId="76D09ED9">
      <w:pPr>
        <w:keepNext w:val="0"/>
        <w:keepLines w:val="0"/>
        <w:pageBreakBefore w:val="0"/>
        <w:widowControl w:val="0"/>
        <w:numPr>
          <w:ilvl w:val="0"/>
          <w:numId w:val="21"/>
        </w:numPr>
        <w:kinsoku/>
        <w:wordWrap/>
        <w:overflowPunct/>
        <w:topLinePunct w:val="0"/>
        <w:autoSpaceDE w:val="0"/>
        <w:autoSpaceDN w:val="0"/>
        <w:bidi w:val="0"/>
        <w:adjustRightInd w:val="0"/>
        <w:snapToGrid/>
        <w:spacing w:line="360" w:lineRule="auto"/>
        <w:ind w:left="0" w:leftChars="0" w:right="40" w:firstLine="420" w:firstLineChars="200"/>
        <w:jc w:val="left"/>
        <w:textAlignment w:val="auto"/>
        <w:outlineLvl w:val="9"/>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技术评分标准：见评标办法</w:t>
      </w:r>
      <w:r>
        <w:rPr>
          <w:rFonts w:hint="eastAsia" w:ascii="宋体" w:hAnsi="宋体" w:eastAsia="宋体" w:cs="宋体"/>
          <w:color w:val="auto"/>
          <w:kern w:val="0"/>
          <w:szCs w:val="21"/>
          <w:highlight w:val="none"/>
          <w:lang w:eastAsia="zh-CN"/>
        </w:rPr>
        <w:t>前附</w:t>
      </w:r>
      <w:r>
        <w:rPr>
          <w:rFonts w:hint="eastAsia" w:ascii="宋体" w:hAnsi="宋体" w:eastAsia="宋体" w:cs="宋体"/>
          <w:color w:val="auto"/>
          <w:kern w:val="0"/>
          <w:szCs w:val="21"/>
          <w:highlight w:val="none"/>
        </w:rPr>
        <w:t>表；</w:t>
      </w:r>
    </w:p>
    <w:p w14:paraId="5115A82E">
      <w:pPr>
        <w:keepNext w:val="0"/>
        <w:keepLines w:val="0"/>
        <w:pageBreakBefore w:val="0"/>
        <w:widowControl w:val="0"/>
        <w:numPr>
          <w:ilvl w:val="0"/>
          <w:numId w:val="21"/>
        </w:numPr>
        <w:kinsoku/>
        <w:wordWrap/>
        <w:overflowPunct/>
        <w:topLinePunct w:val="0"/>
        <w:autoSpaceDE w:val="0"/>
        <w:autoSpaceDN w:val="0"/>
        <w:bidi w:val="0"/>
        <w:adjustRightInd w:val="0"/>
        <w:snapToGrid/>
        <w:spacing w:line="360" w:lineRule="auto"/>
        <w:ind w:left="0" w:leftChars="0" w:right="40" w:firstLine="420" w:firstLineChars="200"/>
        <w:jc w:val="left"/>
        <w:textAlignment w:val="auto"/>
        <w:outlineLvl w:val="9"/>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lang w:eastAsia="zh-CN"/>
        </w:rPr>
        <w:t>商务</w:t>
      </w:r>
      <w:r>
        <w:rPr>
          <w:rFonts w:hint="eastAsia" w:ascii="宋体" w:hAnsi="宋体" w:eastAsia="宋体" w:cs="宋体"/>
          <w:color w:val="auto"/>
          <w:kern w:val="0"/>
          <w:szCs w:val="21"/>
          <w:highlight w:val="none"/>
        </w:rPr>
        <w:t>评分标准：见评标办法</w:t>
      </w:r>
      <w:r>
        <w:rPr>
          <w:rFonts w:hint="eastAsia" w:ascii="宋体" w:hAnsi="宋体" w:eastAsia="宋体" w:cs="宋体"/>
          <w:color w:val="auto"/>
          <w:kern w:val="0"/>
          <w:szCs w:val="21"/>
          <w:highlight w:val="none"/>
          <w:lang w:eastAsia="zh-CN"/>
        </w:rPr>
        <w:t>前附</w:t>
      </w:r>
      <w:r>
        <w:rPr>
          <w:rFonts w:hint="eastAsia" w:ascii="宋体" w:hAnsi="宋体" w:eastAsia="宋体" w:cs="宋体"/>
          <w:color w:val="auto"/>
          <w:kern w:val="0"/>
          <w:szCs w:val="21"/>
          <w:highlight w:val="none"/>
        </w:rPr>
        <w:t>表；</w:t>
      </w:r>
    </w:p>
    <w:p w14:paraId="21C04F9E">
      <w:pPr>
        <w:pStyle w:val="6"/>
        <w:pageBreakBefore w:val="0"/>
        <w:numPr>
          <w:ilvl w:val="0"/>
          <w:numId w:val="19"/>
        </w:numPr>
        <w:kinsoku/>
        <w:overflowPunct/>
        <w:bidi w:val="0"/>
        <w:spacing w:line="360" w:lineRule="auto"/>
        <w:rPr>
          <w:rFonts w:hint="eastAsia" w:ascii="宋体" w:hAnsi="宋体" w:eastAsia="宋体" w:cs="宋体"/>
          <w:color w:val="auto"/>
          <w:sz w:val="24"/>
          <w:szCs w:val="24"/>
          <w:highlight w:val="none"/>
          <w:lang w:val="en-US" w:eastAsia="zh-CN"/>
        </w:rPr>
      </w:pPr>
      <w:bookmarkStart w:id="655" w:name="_Toc26726"/>
      <w:bookmarkStart w:id="656" w:name="_Toc16356"/>
      <w:bookmarkStart w:id="657" w:name="_Toc4338"/>
      <w:bookmarkStart w:id="658" w:name="_Toc21732"/>
      <w:bookmarkStart w:id="659" w:name="_Toc3820"/>
      <w:bookmarkStart w:id="660" w:name="_Toc22175"/>
      <w:bookmarkStart w:id="661" w:name="_Toc5149"/>
      <w:bookmarkStart w:id="662" w:name="_Toc5605"/>
      <w:bookmarkStart w:id="663" w:name="_Toc1740"/>
      <w:bookmarkStart w:id="664" w:name="_Toc28724"/>
      <w:bookmarkStart w:id="665" w:name="_Toc16537"/>
      <w:r>
        <w:rPr>
          <w:rFonts w:hint="eastAsia" w:ascii="宋体" w:hAnsi="宋体" w:eastAsia="宋体" w:cs="宋体"/>
          <w:color w:val="auto"/>
          <w:sz w:val="24"/>
          <w:szCs w:val="24"/>
          <w:highlight w:val="none"/>
          <w:lang w:val="en-US" w:eastAsia="zh-CN"/>
        </w:rPr>
        <w:t>评审程序</w:t>
      </w:r>
      <w:bookmarkEnd w:id="655"/>
      <w:bookmarkEnd w:id="656"/>
      <w:bookmarkEnd w:id="657"/>
      <w:bookmarkEnd w:id="658"/>
      <w:bookmarkEnd w:id="659"/>
      <w:bookmarkEnd w:id="660"/>
      <w:bookmarkEnd w:id="661"/>
      <w:bookmarkEnd w:id="662"/>
      <w:bookmarkEnd w:id="663"/>
      <w:bookmarkEnd w:id="664"/>
      <w:bookmarkEnd w:id="665"/>
    </w:p>
    <w:p w14:paraId="1B94CFCD">
      <w:pPr>
        <w:pStyle w:val="6"/>
        <w:pageBreakBefore w:val="0"/>
        <w:numPr>
          <w:ilvl w:val="0"/>
          <w:numId w:val="0"/>
        </w:numPr>
        <w:kinsoku/>
        <w:overflowPunct/>
        <w:bidi w:val="0"/>
        <w:spacing w:line="360" w:lineRule="auto"/>
        <w:ind w:leftChars="0"/>
        <w:rPr>
          <w:rFonts w:hint="eastAsia" w:ascii="宋体" w:hAnsi="宋体" w:eastAsia="宋体" w:cs="宋体"/>
          <w:color w:val="auto"/>
          <w:highlight w:val="none"/>
          <w:lang w:val="en-US" w:eastAsia="zh-CN"/>
        </w:rPr>
      </w:pPr>
      <w:bookmarkStart w:id="666" w:name="_Toc18983"/>
      <w:bookmarkStart w:id="667" w:name="_Toc9443"/>
      <w:bookmarkStart w:id="668" w:name="_Toc1654"/>
      <w:bookmarkStart w:id="669" w:name="_Toc10682"/>
      <w:bookmarkStart w:id="670" w:name="_Toc5708"/>
      <w:bookmarkStart w:id="671" w:name="_Toc32083"/>
      <w:bookmarkStart w:id="672" w:name="_Toc15909"/>
      <w:bookmarkStart w:id="673" w:name="_Toc12080"/>
      <w:bookmarkStart w:id="674" w:name="_Toc7036"/>
      <w:bookmarkStart w:id="675" w:name="_Toc9613"/>
      <w:bookmarkStart w:id="676" w:name="_Toc17957"/>
      <w:r>
        <w:rPr>
          <w:rFonts w:hint="eastAsia" w:ascii="宋体" w:hAnsi="宋体" w:eastAsia="宋体" w:cs="宋体"/>
          <w:color w:val="auto"/>
          <w:highlight w:val="none"/>
          <w:lang w:val="en-US" w:eastAsia="zh-CN"/>
        </w:rPr>
        <w:t>3.1 符合性审查</w:t>
      </w:r>
      <w:bookmarkEnd w:id="666"/>
      <w:bookmarkEnd w:id="667"/>
      <w:bookmarkEnd w:id="668"/>
      <w:bookmarkEnd w:id="669"/>
      <w:bookmarkEnd w:id="670"/>
      <w:bookmarkEnd w:id="671"/>
      <w:bookmarkEnd w:id="672"/>
      <w:bookmarkEnd w:id="673"/>
      <w:bookmarkEnd w:id="674"/>
      <w:bookmarkEnd w:id="675"/>
      <w:bookmarkEnd w:id="676"/>
    </w:p>
    <w:p w14:paraId="51DA65E0">
      <w:pPr>
        <w:pageBreakBefore w:val="0"/>
        <w:kinsoku/>
        <w:overflowPunct/>
        <w:autoSpaceDE w:val="0"/>
        <w:autoSpaceDN w:val="0"/>
        <w:bidi w:val="0"/>
        <w:adjustRightInd w:val="0"/>
        <w:spacing w:line="360" w:lineRule="auto"/>
        <w:ind w:left="100" w:right="40" w:firstLine="420"/>
        <w:jc w:val="left"/>
        <w:rPr>
          <w:rFonts w:hint="eastAsia" w:ascii="宋体" w:hAnsi="宋体" w:eastAsia="宋体" w:cs="宋体"/>
          <w:b/>
          <w:color w:val="auto"/>
          <w:spacing w:val="-2"/>
          <w:kern w:val="0"/>
          <w:szCs w:val="21"/>
          <w:highlight w:val="none"/>
        </w:rPr>
      </w:pPr>
      <w:r>
        <w:rPr>
          <w:rFonts w:hint="eastAsia" w:ascii="宋体" w:hAnsi="宋体" w:eastAsia="宋体" w:cs="宋体"/>
          <w:color w:val="auto"/>
          <w:kern w:val="0"/>
          <w:szCs w:val="21"/>
          <w:highlight w:val="none"/>
        </w:rPr>
        <w:t>评</w:t>
      </w:r>
      <w:r>
        <w:rPr>
          <w:rFonts w:hint="eastAsia" w:ascii="宋体" w:hAnsi="宋体" w:eastAsia="宋体" w:cs="宋体"/>
          <w:color w:val="auto"/>
          <w:spacing w:val="-2"/>
          <w:kern w:val="0"/>
          <w:szCs w:val="21"/>
          <w:highlight w:val="none"/>
        </w:rPr>
        <w:t>标</w:t>
      </w:r>
      <w:r>
        <w:rPr>
          <w:rFonts w:hint="eastAsia" w:ascii="宋体" w:hAnsi="宋体" w:eastAsia="宋体" w:cs="宋体"/>
          <w:color w:val="auto"/>
          <w:kern w:val="0"/>
          <w:szCs w:val="21"/>
          <w:highlight w:val="none"/>
        </w:rPr>
        <w:t>委</w:t>
      </w:r>
      <w:r>
        <w:rPr>
          <w:rFonts w:hint="eastAsia" w:ascii="宋体" w:hAnsi="宋体" w:eastAsia="宋体" w:cs="宋体"/>
          <w:color w:val="auto"/>
          <w:spacing w:val="-2"/>
          <w:kern w:val="0"/>
          <w:szCs w:val="21"/>
          <w:highlight w:val="none"/>
        </w:rPr>
        <w:t>员</w:t>
      </w:r>
      <w:r>
        <w:rPr>
          <w:rFonts w:hint="eastAsia" w:ascii="宋体" w:hAnsi="宋体" w:eastAsia="宋体" w:cs="宋体"/>
          <w:color w:val="auto"/>
          <w:kern w:val="0"/>
          <w:szCs w:val="21"/>
          <w:highlight w:val="none"/>
        </w:rPr>
        <w:t>会</w:t>
      </w:r>
      <w:r>
        <w:rPr>
          <w:rFonts w:hint="eastAsia" w:ascii="宋体" w:hAnsi="宋体" w:eastAsia="宋体" w:cs="宋体"/>
          <w:color w:val="auto"/>
          <w:spacing w:val="-2"/>
          <w:kern w:val="0"/>
          <w:szCs w:val="21"/>
          <w:highlight w:val="none"/>
        </w:rPr>
        <w:t>依</w:t>
      </w:r>
      <w:r>
        <w:rPr>
          <w:rFonts w:hint="eastAsia" w:ascii="宋体" w:hAnsi="宋体" w:eastAsia="宋体" w:cs="宋体"/>
          <w:color w:val="auto"/>
          <w:kern w:val="0"/>
          <w:szCs w:val="21"/>
          <w:highlight w:val="none"/>
        </w:rPr>
        <w:t>据本</w:t>
      </w:r>
      <w:r>
        <w:rPr>
          <w:rFonts w:hint="eastAsia" w:ascii="宋体" w:hAnsi="宋体" w:eastAsia="宋体" w:cs="宋体"/>
          <w:color w:val="auto"/>
          <w:spacing w:val="-2"/>
          <w:kern w:val="0"/>
          <w:szCs w:val="21"/>
          <w:highlight w:val="none"/>
        </w:rPr>
        <w:t>章</w:t>
      </w:r>
      <w:r>
        <w:rPr>
          <w:rFonts w:hint="eastAsia" w:ascii="宋体" w:hAnsi="宋体" w:eastAsia="宋体" w:cs="宋体"/>
          <w:color w:val="auto"/>
          <w:spacing w:val="-2"/>
          <w:kern w:val="0"/>
          <w:szCs w:val="21"/>
          <w:highlight w:val="none"/>
          <w:lang w:eastAsia="zh-CN"/>
        </w:rPr>
        <w:t>评标办法</w:t>
      </w:r>
      <w:r>
        <w:rPr>
          <w:rFonts w:hint="eastAsia" w:ascii="宋体" w:hAnsi="宋体" w:eastAsia="宋体" w:cs="宋体"/>
          <w:color w:val="auto"/>
          <w:kern w:val="0"/>
          <w:szCs w:val="21"/>
          <w:highlight w:val="none"/>
          <w:lang w:eastAsia="zh-CN"/>
        </w:rPr>
        <w:t>前附</w:t>
      </w:r>
      <w:r>
        <w:rPr>
          <w:rFonts w:hint="eastAsia" w:ascii="宋体" w:hAnsi="宋体" w:eastAsia="宋体" w:cs="宋体"/>
          <w:color w:val="auto"/>
          <w:kern w:val="0"/>
          <w:szCs w:val="21"/>
          <w:highlight w:val="none"/>
        </w:rPr>
        <w:t>表</w:t>
      </w:r>
      <w:r>
        <w:rPr>
          <w:rFonts w:hint="eastAsia" w:ascii="宋体" w:hAnsi="宋体" w:eastAsia="宋体" w:cs="宋体"/>
          <w:color w:val="auto"/>
          <w:spacing w:val="-2"/>
          <w:kern w:val="0"/>
          <w:szCs w:val="21"/>
          <w:highlight w:val="none"/>
        </w:rPr>
        <w:t>规</w:t>
      </w:r>
      <w:r>
        <w:rPr>
          <w:rFonts w:hint="eastAsia" w:ascii="宋体" w:hAnsi="宋体" w:eastAsia="宋体" w:cs="宋体"/>
          <w:color w:val="auto"/>
          <w:kern w:val="0"/>
          <w:szCs w:val="21"/>
          <w:highlight w:val="none"/>
        </w:rPr>
        <w:t>定</w:t>
      </w:r>
      <w:r>
        <w:rPr>
          <w:rFonts w:hint="eastAsia" w:ascii="宋体" w:hAnsi="宋体" w:eastAsia="宋体" w:cs="宋体"/>
          <w:color w:val="auto"/>
          <w:spacing w:val="-2"/>
          <w:kern w:val="0"/>
          <w:szCs w:val="21"/>
          <w:highlight w:val="none"/>
        </w:rPr>
        <w:t>的标</w:t>
      </w:r>
      <w:r>
        <w:rPr>
          <w:rFonts w:hint="eastAsia" w:ascii="宋体" w:hAnsi="宋体" w:eastAsia="宋体" w:cs="宋体"/>
          <w:color w:val="auto"/>
          <w:kern w:val="0"/>
          <w:szCs w:val="21"/>
          <w:highlight w:val="none"/>
        </w:rPr>
        <w:t>准，对</w:t>
      </w:r>
      <w:r>
        <w:rPr>
          <w:rFonts w:hint="eastAsia" w:ascii="宋体" w:hAnsi="宋体" w:eastAsia="宋体" w:cs="宋体"/>
          <w:color w:val="auto"/>
          <w:spacing w:val="-2"/>
          <w:kern w:val="0"/>
          <w:szCs w:val="21"/>
          <w:highlight w:val="none"/>
        </w:rPr>
        <w:t>符合资格的投标人的投标文件进行符合性审查，以确定其是否满足招标文件的实质性要求</w:t>
      </w:r>
      <w:r>
        <w:rPr>
          <w:rFonts w:hint="eastAsia" w:ascii="宋体" w:hAnsi="宋体" w:eastAsia="宋体" w:cs="宋体"/>
          <w:color w:val="auto"/>
          <w:kern w:val="0"/>
          <w:szCs w:val="21"/>
          <w:highlight w:val="none"/>
        </w:rPr>
        <w:t>，</w:t>
      </w:r>
      <w:r>
        <w:rPr>
          <w:rFonts w:hint="eastAsia" w:ascii="宋体" w:hAnsi="宋体" w:eastAsia="宋体" w:cs="宋体"/>
          <w:color w:val="auto"/>
          <w:spacing w:val="-2"/>
          <w:kern w:val="0"/>
          <w:szCs w:val="21"/>
          <w:highlight w:val="none"/>
        </w:rPr>
        <w:t>有</w:t>
      </w:r>
      <w:r>
        <w:rPr>
          <w:rFonts w:hint="eastAsia" w:ascii="宋体" w:hAnsi="宋体" w:eastAsia="宋体" w:cs="宋体"/>
          <w:color w:val="auto"/>
          <w:kern w:val="0"/>
          <w:szCs w:val="21"/>
          <w:highlight w:val="none"/>
        </w:rPr>
        <w:t>一</w:t>
      </w:r>
      <w:r>
        <w:rPr>
          <w:rFonts w:hint="eastAsia" w:ascii="宋体" w:hAnsi="宋体" w:eastAsia="宋体" w:cs="宋体"/>
          <w:color w:val="auto"/>
          <w:spacing w:val="-2"/>
          <w:kern w:val="0"/>
          <w:szCs w:val="21"/>
          <w:highlight w:val="none"/>
        </w:rPr>
        <w:t>项</w:t>
      </w:r>
      <w:r>
        <w:rPr>
          <w:rFonts w:hint="eastAsia" w:ascii="宋体" w:hAnsi="宋体" w:eastAsia="宋体" w:cs="宋体"/>
          <w:color w:val="auto"/>
          <w:kern w:val="0"/>
          <w:szCs w:val="21"/>
          <w:highlight w:val="none"/>
        </w:rPr>
        <w:t>不</w:t>
      </w:r>
      <w:r>
        <w:rPr>
          <w:rFonts w:hint="eastAsia" w:ascii="宋体" w:hAnsi="宋体" w:eastAsia="宋体" w:cs="宋体"/>
          <w:color w:val="auto"/>
          <w:spacing w:val="-2"/>
          <w:kern w:val="0"/>
          <w:szCs w:val="21"/>
          <w:highlight w:val="none"/>
        </w:rPr>
        <w:t>符</w:t>
      </w:r>
      <w:r>
        <w:rPr>
          <w:rFonts w:hint="eastAsia" w:ascii="宋体" w:hAnsi="宋体" w:eastAsia="宋体" w:cs="宋体"/>
          <w:color w:val="auto"/>
          <w:kern w:val="0"/>
          <w:szCs w:val="21"/>
          <w:highlight w:val="none"/>
        </w:rPr>
        <w:t>合评审</w:t>
      </w:r>
      <w:r>
        <w:rPr>
          <w:rFonts w:hint="eastAsia" w:ascii="宋体" w:hAnsi="宋体" w:eastAsia="宋体" w:cs="宋体"/>
          <w:color w:val="auto"/>
          <w:spacing w:val="-2"/>
          <w:kern w:val="0"/>
          <w:szCs w:val="21"/>
          <w:highlight w:val="none"/>
        </w:rPr>
        <w:t>标</w:t>
      </w:r>
      <w:r>
        <w:rPr>
          <w:rFonts w:hint="eastAsia" w:ascii="宋体" w:hAnsi="宋体" w:eastAsia="宋体" w:cs="宋体"/>
          <w:color w:val="auto"/>
          <w:kern w:val="0"/>
          <w:szCs w:val="21"/>
          <w:highlight w:val="none"/>
        </w:rPr>
        <w:t>准</w:t>
      </w:r>
      <w:r>
        <w:rPr>
          <w:rFonts w:hint="eastAsia" w:ascii="宋体" w:hAnsi="宋体" w:eastAsia="宋体" w:cs="宋体"/>
          <w:color w:val="auto"/>
          <w:spacing w:val="-2"/>
          <w:kern w:val="0"/>
          <w:szCs w:val="21"/>
          <w:highlight w:val="none"/>
        </w:rPr>
        <w:t>的</w:t>
      </w:r>
      <w:r>
        <w:rPr>
          <w:rFonts w:hint="eastAsia" w:ascii="宋体" w:hAnsi="宋体" w:eastAsia="宋体" w:cs="宋体"/>
          <w:color w:val="auto"/>
          <w:kern w:val="0"/>
          <w:szCs w:val="21"/>
          <w:highlight w:val="none"/>
        </w:rPr>
        <w:t>，</w:t>
      </w:r>
      <w:r>
        <w:rPr>
          <w:rFonts w:hint="eastAsia" w:ascii="宋体" w:hAnsi="宋体" w:eastAsia="宋体" w:cs="宋体"/>
          <w:color w:val="auto"/>
          <w:spacing w:val="-2"/>
          <w:kern w:val="0"/>
          <w:szCs w:val="21"/>
          <w:highlight w:val="none"/>
        </w:rPr>
        <w:t>评</w:t>
      </w:r>
      <w:r>
        <w:rPr>
          <w:rFonts w:hint="eastAsia" w:ascii="宋体" w:hAnsi="宋体" w:eastAsia="宋体" w:cs="宋体"/>
          <w:color w:val="auto"/>
          <w:kern w:val="0"/>
          <w:szCs w:val="21"/>
          <w:highlight w:val="none"/>
        </w:rPr>
        <w:t>标</w:t>
      </w:r>
      <w:r>
        <w:rPr>
          <w:rFonts w:hint="eastAsia" w:ascii="宋体" w:hAnsi="宋体" w:eastAsia="宋体" w:cs="宋体"/>
          <w:color w:val="auto"/>
          <w:spacing w:val="-2"/>
          <w:kern w:val="0"/>
          <w:szCs w:val="21"/>
          <w:highlight w:val="none"/>
        </w:rPr>
        <w:t>委</w:t>
      </w:r>
      <w:r>
        <w:rPr>
          <w:rFonts w:hint="eastAsia" w:ascii="宋体" w:hAnsi="宋体" w:eastAsia="宋体" w:cs="宋体"/>
          <w:color w:val="auto"/>
          <w:kern w:val="0"/>
          <w:szCs w:val="21"/>
          <w:highlight w:val="none"/>
        </w:rPr>
        <w:t>员</w:t>
      </w:r>
      <w:r>
        <w:rPr>
          <w:rFonts w:hint="eastAsia" w:ascii="宋体" w:hAnsi="宋体" w:eastAsia="宋体" w:cs="宋体"/>
          <w:color w:val="auto"/>
          <w:spacing w:val="-2"/>
          <w:kern w:val="0"/>
          <w:szCs w:val="21"/>
          <w:highlight w:val="none"/>
        </w:rPr>
        <w:t>会</w:t>
      </w:r>
      <w:r>
        <w:rPr>
          <w:rFonts w:hint="eastAsia" w:ascii="宋体" w:hAnsi="宋体" w:eastAsia="宋体" w:cs="宋体"/>
          <w:color w:val="auto"/>
          <w:kern w:val="0"/>
          <w:szCs w:val="21"/>
          <w:highlight w:val="none"/>
        </w:rPr>
        <w:t>应当</w:t>
      </w:r>
      <w:r>
        <w:rPr>
          <w:rFonts w:hint="eastAsia" w:ascii="宋体" w:hAnsi="宋体" w:eastAsia="宋体" w:cs="宋体"/>
          <w:color w:val="auto"/>
          <w:szCs w:val="21"/>
          <w:highlight w:val="none"/>
        </w:rPr>
        <w:t>认定其</w:t>
      </w:r>
      <w:r>
        <w:rPr>
          <w:rFonts w:hint="eastAsia" w:ascii="宋体" w:hAnsi="宋体" w:eastAsia="宋体" w:cs="宋体"/>
          <w:b/>
          <w:bCs/>
          <w:color w:val="auto"/>
          <w:szCs w:val="21"/>
          <w:highlight w:val="none"/>
        </w:rPr>
        <w:t>投标无效</w:t>
      </w:r>
      <w:r>
        <w:rPr>
          <w:rFonts w:hint="eastAsia" w:ascii="宋体" w:hAnsi="宋体" w:eastAsia="宋体" w:cs="宋体"/>
          <w:color w:val="auto"/>
          <w:spacing w:val="-2"/>
          <w:kern w:val="0"/>
          <w:szCs w:val="21"/>
          <w:highlight w:val="none"/>
        </w:rPr>
        <w:t>。</w:t>
      </w:r>
    </w:p>
    <w:p w14:paraId="5A25E689">
      <w:pPr>
        <w:pageBreakBefore w:val="0"/>
        <w:kinsoku/>
        <w:overflowPunct/>
        <w:autoSpaceDE w:val="0"/>
        <w:autoSpaceDN w:val="0"/>
        <w:bidi w:val="0"/>
        <w:adjustRightInd w:val="0"/>
        <w:spacing w:before="40" w:line="360" w:lineRule="auto"/>
        <w:ind w:left="65" w:leftChars="31" w:right="140" w:firstLine="207" w:firstLineChars="98"/>
        <w:jc w:val="left"/>
        <w:rPr>
          <w:rFonts w:hint="eastAsia" w:ascii="宋体" w:hAnsi="宋体" w:eastAsia="宋体" w:cs="宋体"/>
          <w:b/>
          <w:color w:val="auto"/>
          <w:kern w:val="0"/>
          <w:szCs w:val="21"/>
          <w:highlight w:val="none"/>
        </w:rPr>
      </w:pPr>
      <w:r>
        <w:rPr>
          <w:rFonts w:hint="eastAsia" w:ascii="宋体" w:hAnsi="宋体" w:eastAsia="宋体" w:cs="宋体"/>
          <w:b/>
          <w:color w:val="auto"/>
          <w:kern w:val="0"/>
          <w:szCs w:val="21"/>
          <w:highlight w:val="none"/>
          <w:lang w:val="en-US" w:eastAsia="zh-CN"/>
        </w:rPr>
        <w:t xml:space="preserve">3.1.1 </w:t>
      </w:r>
      <w:r>
        <w:rPr>
          <w:rFonts w:hint="eastAsia" w:ascii="宋体" w:hAnsi="宋体" w:eastAsia="宋体" w:cs="宋体"/>
          <w:b/>
          <w:color w:val="auto"/>
          <w:kern w:val="0"/>
          <w:szCs w:val="21"/>
          <w:highlight w:val="none"/>
        </w:rPr>
        <w:t>投</w:t>
      </w:r>
      <w:r>
        <w:rPr>
          <w:rFonts w:hint="eastAsia" w:ascii="宋体" w:hAnsi="宋体" w:eastAsia="宋体" w:cs="宋体"/>
          <w:b/>
          <w:color w:val="auto"/>
          <w:spacing w:val="-2"/>
          <w:kern w:val="0"/>
          <w:szCs w:val="21"/>
          <w:highlight w:val="none"/>
        </w:rPr>
        <w:t>标</w:t>
      </w:r>
      <w:r>
        <w:rPr>
          <w:rFonts w:hint="eastAsia" w:ascii="宋体" w:hAnsi="宋体" w:eastAsia="宋体" w:cs="宋体"/>
          <w:b/>
          <w:color w:val="auto"/>
          <w:kern w:val="0"/>
          <w:szCs w:val="21"/>
          <w:highlight w:val="none"/>
        </w:rPr>
        <w:t>报</w:t>
      </w:r>
      <w:r>
        <w:rPr>
          <w:rFonts w:hint="eastAsia" w:ascii="宋体" w:hAnsi="宋体" w:eastAsia="宋体" w:cs="宋体"/>
          <w:b/>
          <w:color w:val="auto"/>
          <w:spacing w:val="-2"/>
          <w:kern w:val="0"/>
          <w:szCs w:val="21"/>
          <w:highlight w:val="none"/>
        </w:rPr>
        <w:t>价</w:t>
      </w:r>
      <w:r>
        <w:rPr>
          <w:rFonts w:hint="eastAsia" w:ascii="宋体" w:hAnsi="宋体" w:eastAsia="宋体" w:cs="宋体"/>
          <w:b/>
          <w:color w:val="auto"/>
          <w:kern w:val="0"/>
          <w:szCs w:val="21"/>
          <w:highlight w:val="none"/>
        </w:rPr>
        <w:t>有</w:t>
      </w:r>
      <w:r>
        <w:rPr>
          <w:rFonts w:hint="eastAsia" w:ascii="宋体" w:hAnsi="宋体" w:eastAsia="宋体" w:cs="宋体"/>
          <w:b/>
          <w:color w:val="auto"/>
          <w:spacing w:val="-2"/>
          <w:kern w:val="0"/>
          <w:szCs w:val="21"/>
          <w:highlight w:val="none"/>
        </w:rPr>
        <w:t>算</w:t>
      </w:r>
      <w:r>
        <w:rPr>
          <w:rFonts w:hint="eastAsia" w:ascii="宋体" w:hAnsi="宋体" w:eastAsia="宋体" w:cs="宋体"/>
          <w:b/>
          <w:color w:val="auto"/>
          <w:kern w:val="0"/>
          <w:szCs w:val="21"/>
          <w:highlight w:val="none"/>
        </w:rPr>
        <w:t>术</w:t>
      </w:r>
      <w:r>
        <w:rPr>
          <w:rFonts w:hint="eastAsia" w:ascii="宋体" w:hAnsi="宋体" w:eastAsia="宋体" w:cs="宋体"/>
          <w:b/>
          <w:color w:val="auto"/>
          <w:spacing w:val="-2"/>
          <w:kern w:val="0"/>
          <w:szCs w:val="21"/>
          <w:highlight w:val="none"/>
        </w:rPr>
        <w:t>错误</w:t>
      </w:r>
      <w:r>
        <w:rPr>
          <w:rFonts w:hint="eastAsia" w:ascii="宋体" w:hAnsi="宋体" w:eastAsia="宋体" w:cs="宋体"/>
          <w:b/>
          <w:color w:val="auto"/>
          <w:kern w:val="0"/>
          <w:szCs w:val="21"/>
          <w:highlight w:val="none"/>
        </w:rPr>
        <w:t>及其</w:t>
      </w:r>
      <w:r>
        <w:rPr>
          <w:rFonts w:hint="eastAsia" w:ascii="宋体" w:hAnsi="宋体" w:eastAsia="宋体" w:cs="宋体"/>
          <w:b/>
          <w:color w:val="auto"/>
          <w:spacing w:val="-2"/>
          <w:kern w:val="0"/>
          <w:szCs w:val="21"/>
          <w:highlight w:val="none"/>
        </w:rPr>
        <w:t>他</w:t>
      </w:r>
      <w:r>
        <w:rPr>
          <w:rFonts w:hint="eastAsia" w:ascii="宋体" w:hAnsi="宋体" w:eastAsia="宋体" w:cs="宋体"/>
          <w:b/>
          <w:color w:val="auto"/>
          <w:kern w:val="0"/>
          <w:szCs w:val="21"/>
          <w:highlight w:val="none"/>
        </w:rPr>
        <w:t>错</w:t>
      </w:r>
      <w:r>
        <w:rPr>
          <w:rFonts w:hint="eastAsia" w:ascii="宋体" w:hAnsi="宋体" w:eastAsia="宋体" w:cs="宋体"/>
          <w:b/>
          <w:color w:val="auto"/>
          <w:spacing w:val="-2"/>
          <w:kern w:val="0"/>
          <w:szCs w:val="21"/>
          <w:highlight w:val="none"/>
        </w:rPr>
        <w:t>误的</w:t>
      </w:r>
      <w:r>
        <w:rPr>
          <w:rFonts w:hint="eastAsia" w:ascii="宋体" w:hAnsi="宋体" w:eastAsia="宋体" w:cs="宋体"/>
          <w:b/>
          <w:color w:val="auto"/>
          <w:spacing w:val="-74"/>
          <w:kern w:val="0"/>
          <w:szCs w:val="21"/>
          <w:highlight w:val="none"/>
        </w:rPr>
        <w:t>，</w:t>
      </w:r>
      <w:r>
        <w:rPr>
          <w:rFonts w:hint="eastAsia" w:ascii="宋体" w:hAnsi="宋体" w:eastAsia="宋体" w:cs="宋体"/>
          <w:b/>
          <w:color w:val="auto"/>
          <w:spacing w:val="-2"/>
          <w:kern w:val="0"/>
          <w:szCs w:val="21"/>
          <w:highlight w:val="none"/>
        </w:rPr>
        <w:t>评</w:t>
      </w:r>
      <w:r>
        <w:rPr>
          <w:rFonts w:hint="eastAsia" w:ascii="宋体" w:hAnsi="宋体" w:eastAsia="宋体" w:cs="宋体"/>
          <w:b/>
          <w:color w:val="auto"/>
          <w:kern w:val="0"/>
          <w:szCs w:val="21"/>
          <w:highlight w:val="none"/>
        </w:rPr>
        <w:t>标</w:t>
      </w:r>
      <w:r>
        <w:rPr>
          <w:rFonts w:hint="eastAsia" w:ascii="宋体" w:hAnsi="宋体" w:eastAsia="宋体" w:cs="宋体"/>
          <w:b/>
          <w:color w:val="auto"/>
          <w:spacing w:val="-2"/>
          <w:kern w:val="0"/>
          <w:szCs w:val="21"/>
          <w:highlight w:val="none"/>
        </w:rPr>
        <w:t>委</w:t>
      </w:r>
      <w:r>
        <w:rPr>
          <w:rFonts w:hint="eastAsia" w:ascii="宋体" w:hAnsi="宋体" w:eastAsia="宋体" w:cs="宋体"/>
          <w:b/>
          <w:color w:val="auto"/>
          <w:kern w:val="0"/>
          <w:szCs w:val="21"/>
          <w:highlight w:val="none"/>
        </w:rPr>
        <w:t>员</w:t>
      </w:r>
      <w:r>
        <w:rPr>
          <w:rFonts w:hint="eastAsia" w:ascii="宋体" w:hAnsi="宋体" w:eastAsia="宋体" w:cs="宋体"/>
          <w:b/>
          <w:color w:val="auto"/>
          <w:spacing w:val="-2"/>
          <w:kern w:val="0"/>
          <w:szCs w:val="21"/>
          <w:highlight w:val="none"/>
        </w:rPr>
        <w:t>会</w:t>
      </w:r>
      <w:r>
        <w:rPr>
          <w:rFonts w:hint="eastAsia" w:ascii="宋体" w:hAnsi="宋体" w:eastAsia="宋体" w:cs="宋体"/>
          <w:b/>
          <w:color w:val="auto"/>
          <w:kern w:val="0"/>
          <w:szCs w:val="21"/>
          <w:highlight w:val="none"/>
        </w:rPr>
        <w:t>按以</w:t>
      </w:r>
      <w:r>
        <w:rPr>
          <w:rFonts w:hint="eastAsia" w:ascii="宋体" w:hAnsi="宋体" w:eastAsia="宋体" w:cs="宋体"/>
          <w:b/>
          <w:color w:val="auto"/>
          <w:spacing w:val="-2"/>
          <w:kern w:val="0"/>
          <w:szCs w:val="21"/>
          <w:highlight w:val="none"/>
        </w:rPr>
        <w:t>下</w:t>
      </w:r>
      <w:r>
        <w:rPr>
          <w:rFonts w:hint="eastAsia" w:ascii="宋体" w:hAnsi="宋体" w:eastAsia="宋体" w:cs="宋体"/>
          <w:b/>
          <w:color w:val="auto"/>
          <w:kern w:val="0"/>
          <w:szCs w:val="21"/>
          <w:highlight w:val="none"/>
        </w:rPr>
        <w:t>原</w:t>
      </w:r>
      <w:r>
        <w:rPr>
          <w:rFonts w:hint="eastAsia" w:ascii="宋体" w:hAnsi="宋体" w:eastAsia="宋体" w:cs="宋体"/>
          <w:b/>
          <w:color w:val="auto"/>
          <w:spacing w:val="-2"/>
          <w:kern w:val="0"/>
          <w:szCs w:val="21"/>
          <w:highlight w:val="none"/>
        </w:rPr>
        <w:t>则</w:t>
      </w:r>
      <w:r>
        <w:rPr>
          <w:rFonts w:hint="eastAsia" w:ascii="宋体" w:hAnsi="宋体" w:eastAsia="宋体" w:cs="宋体"/>
          <w:b/>
          <w:color w:val="auto"/>
          <w:kern w:val="0"/>
          <w:szCs w:val="21"/>
          <w:highlight w:val="none"/>
        </w:rPr>
        <w:t>要</w:t>
      </w:r>
      <w:r>
        <w:rPr>
          <w:rFonts w:hint="eastAsia" w:ascii="宋体" w:hAnsi="宋体" w:eastAsia="宋体" w:cs="宋体"/>
          <w:b/>
          <w:color w:val="auto"/>
          <w:spacing w:val="-2"/>
          <w:kern w:val="0"/>
          <w:szCs w:val="21"/>
          <w:highlight w:val="none"/>
        </w:rPr>
        <w:t>求</w:t>
      </w:r>
      <w:r>
        <w:rPr>
          <w:rFonts w:hint="eastAsia" w:ascii="宋体" w:hAnsi="宋体" w:eastAsia="宋体" w:cs="宋体"/>
          <w:b/>
          <w:color w:val="auto"/>
          <w:kern w:val="0"/>
          <w:szCs w:val="21"/>
          <w:highlight w:val="none"/>
        </w:rPr>
        <w:t>投</w:t>
      </w:r>
      <w:r>
        <w:rPr>
          <w:rFonts w:hint="eastAsia" w:ascii="宋体" w:hAnsi="宋体" w:eastAsia="宋体" w:cs="宋体"/>
          <w:b/>
          <w:color w:val="auto"/>
          <w:spacing w:val="-2"/>
          <w:kern w:val="0"/>
          <w:szCs w:val="21"/>
          <w:highlight w:val="none"/>
        </w:rPr>
        <w:t>标</w:t>
      </w:r>
      <w:r>
        <w:rPr>
          <w:rFonts w:hint="eastAsia" w:ascii="宋体" w:hAnsi="宋体" w:eastAsia="宋体" w:cs="宋体"/>
          <w:b/>
          <w:color w:val="auto"/>
          <w:kern w:val="0"/>
          <w:szCs w:val="21"/>
          <w:highlight w:val="none"/>
        </w:rPr>
        <w:t>人</w:t>
      </w:r>
      <w:r>
        <w:rPr>
          <w:rFonts w:hint="eastAsia" w:ascii="宋体" w:hAnsi="宋体" w:eastAsia="宋体" w:cs="宋体"/>
          <w:b/>
          <w:color w:val="auto"/>
          <w:spacing w:val="-2"/>
          <w:kern w:val="0"/>
          <w:szCs w:val="21"/>
          <w:highlight w:val="none"/>
        </w:rPr>
        <w:t>对</w:t>
      </w:r>
      <w:r>
        <w:rPr>
          <w:rFonts w:hint="eastAsia" w:ascii="宋体" w:hAnsi="宋体" w:eastAsia="宋体" w:cs="宋体"/>
          <w:b/>
          <w:color w:val="auto"/>
          <w:kern w:val="0"/>
          <w:szCs w:val="21"/>
          <w:highlight w:val="none"/>
        </w:rPr>
        <w:t>投标</w:t>
      </w:r>
      <w:r>
        <w:rPr>
          <w:rFonts w:hint="eastAsia" w:ascii="宋体" w:hAnsi="宋体" w:eastAsia="宋体" w:cs="宋体"/>
          <w:b/>
          <w:color w:val="auto"/>
          <w:spacing w:val="-2"/>
          <w:kern w:val="0"/>
          <w:szCs w:val="21"/>
          <w:highlight w:val="none"/>
        </w:rPr>
        <w:t>报</w:t>
      </w:r>
      <w:r>
        <w:rPr>
          <w:rFonts w:hint="eastAsia" w:ascii="宋体" w:hAnsi="宋体" w:eastAsia="宋体" w:cs="宋体"/>
          <w:b/>
          <w:color w:val="auto"/>
          <w:kern w:val="0"/>
          <w:szCs w:val="21"/>
          <w:highlight w:val="none"/>
        </w:rPr>
        <w:t>价进行修</w:t>
      </w:r>
      <w:r>
        <w:rPr>
          <w:rFonts w:hint="eastAsia" w:ascii="宋体" w:hAnsi="宋体" w:eastAsia="宋体" w:cs="宋体"/>
          <w:b/>
          <w:color w:val="auto"/>
          <w:spacing w:val="-2"/>
          <w:kern w:val="0"/>
          <w:szCs w:val="21"/>
          <w:highlight w:val="none"/>
        </w:rPr>
        <w:t>正</w:t>
      </w:r>
      <w:r>
        <w:rPr>
          <w:rFonts w:hint="eastAsia" w:ascii="宋体" w:hAnsi="宋体" w:eastAsia="宋体" w:cs="宋体"/>
          <w:b w:val="0"/>
          <w:bCs/>
          <w:color w:val="auto"/>
          <w:sz w:val="21"/>
          <w:szCs w:val="21"/>
          <w:highlight w:val="none"/>
          <w:lang w:val="en-US" w:eastAsia="zh-CN"/>
        </w:rPr>
        <w:t>：</w:t>
      </w:r>
    </w:p>
    <w:p w14:paraId="3F84E0C0">
      <w:pPr>
        <w:keepNext w:val="0"/>
        <w:keepLines w:val="0"/>
        <w:pageBreakBefore w:val="0"/>
        <w:widowControl w:val="0"/>
        <w:numPr>
          <w:ilvl w:val="0"/>
          <w:numId w:val="22"/>
        </w:numPr>
        <w:kinsoku/>
        <w:wordWrap/>
        <w:overflowPunct/>
        <w:topLinePunct w:val="0"/>
        <w:autoSpaceDE w:val="0"/>
        <w:autoSpaceDN w:val="0"/>
        <w:bidi w:val="0"/>
        <w:adjustRightInd w:val="0"/>
        <w:snapToGrid/>
        <w:spacing w:line="360" w:lineRule="auto"/>
        <w:ind w:left="0" w:leftChars="0" w:right="40" w:firstLine="420" w:firstLineChars="200"/>
        <w:jc w:val="left"/>
        <w:textAlignment w:val="auto"/>
        <w:outlineLvl w:val="9"/>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投标文件中开标一览表（</w:t>
      </w:r>
      <w:r>
        <w:rPr>
          <w:rFonts w:hint="eastAsia" w:ascii="宋体" w:hAnsi="宋体" w:eastAsia="宋体" w:cs="宋体"/>
          <w:color w:val="auto"/>
          <w:kern w:val="0"/>
          <w:szCs w:val="21"/>
          <w:highlight w:val="none"/>
          <w:lang w:val="en-US" w:eastAsia="zh-CN"/>
        </w:rPr>
        <w:t>投标</w:t>
      </w:r>
      <w:r>
        <w:rPr>
          <w:rFonts w:hint="eastAsia" w:ascii="宋体" w:hAnsi="宋体" w:eastAsia="宋体" w:cs="宋体"/>
          <w:color w:val="auto"/>
          <w:kern w:val="0"/>
          <w:szCs w:val="21"/>
          <w:highlight w:val="none"/>
        </w:rPr>
        <w:t>报价表）内容与投标文件中相应内容不一致的，以开标一览表（</w:t>
      </w:r>
      <w:r>
        <w:rPr>
          <w:rFonts w:hint="eastAsia" w:ascii="宋体" w:hAnsi="宋体" w:eastAsia="宋体" w:cs="宋体"/>
          <w:color w:val="auto"/>
          <w:kern w:val="0"/>
          <w:szCs w:val="21"/>
          <w:highlight w:val="none"/>
          <w:lang w:val="en-US" w:eastAsia="zh-CN"/>
        </w:rPr>
        <w:t>投标</w:t>
      </w:r>
      <w:r>
        <w:rPr>
          <w:rFonts w:hint="eastAsia" w:ascii="宋体" w:hAnsi="宋体" w:eastAsia="宋体" w:cs="宋体"/>
          <w:color w:val="auto"/>
          <w:kern w:val="0"/>
          <w:szCs w:val="21"/>
          <w:highlight w:val="none"/>
        </w:rPr>
        <w:t>报价表）为准；</w:t>
      </w:r>
    </w:p>
    <w:p w14:paraId="4F0D63FD">
      <w:pPr>
        <w:keepNext w:val="0"/>
        <w:keepLines w:val="0"/>
        <w:pageBreakBefore w:val="0"/>
        <w:widowControl w:val="0"/>
        <w:numPr>
          <w:ilvl w:val="0"/>
          <w:numId w:val="22"/>
        </w:numPr>
        <w:kinsoku/>
        <w:wordWrap/>
        <w:overflowPunct/>
        <w:topLinePunct w:val="0"/>
        <w:autoSpaceDE w:val="0"/>
        <w:autoSpaceDN w:val="0"/>
        <w:bidi w:val="0"/>
        <w:adjustRightInd w:val="0"/>
        <w:snapToGrid/>
        <w:spacing w:line="360" w:lineRule="auto"/>
        <w:ind w:left="0" w:leftChars="0" w:right="40" w:firstLine="420" w:firstLineChars="200"/>
        <w:jc w:val="left"/>
        <w:textAlignment w:val="auto"/>
        <w:outlineLvl w:val="9"/>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大写金额和小写金额不一致的，以大写金额为准；</w:t>
      </w:r>
    </w:p>
    <w:p w14:paraId="279DB125">
      <w:pPr>
        <w:keepNext w:val="0"/>
        <w:keepLines w:val="0"/>
        <w:pageBreakBefore w:val="0"/>
        <w:widowControl w:val="0"/>
        <w:numPr>
          <w:ilvl w:val="0"/>
          <w:numId w:val="22"/>
        </w:numPr>
        <w:kinsoku/>
        <w:wordWrap/>
        <w:overflowPunct/>
        <w:topLinePunct w:val="0"/>
        <w:autoSpaceDE w:val="0"/>
        <w:autoSpaceDN w:val="0"/>
        <w:bidi w:val="0"/>
        <w:adjustRightInd w:val="0"/>
        <w:snapToGrid/>
        <w:spacing w:line="360" w:lineRule="auto"/>
        <w:ind w:left="0" w:leftChars="0" w:right="40" w:firstLine="420" w:firstLineChars="200"/>
        <w:jc w:val="left"/>
        <w:textAlignment w:val="auto"/>
        <w:outlineLvl w:val="9"/>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单价金额小数点或者百分比有明显错位的，以开标一览表（</w:t>
      </w:r>
      <w:r>
        <w:rPr>
          <w:rFonts w:hint="eastAsia" w:ascii="宋体" w:hAnsi="宋体" w:eastAsia="宋体" w:cs="宋体"/>
          <w:color w:val="auto"/>
          <w:kern w:val="0"/>
          <w:szCs w:val="21"/>
          <w:highlight w:val="none"/>
          <w:lang w:val="en-US" w:eastAsia="zh-CN"/>
        </w:rPr>
        <w:t>投标</w:t>
      </w:r>
      <w:r>
        <w:rPr>
          <w:rFonts w:hint="eastAsia" w:ascii="宋体" w:hAnsi="宋体" w:eastAsia="宋体" w:cs="宋体"/>
          <w:color w:val="auto"/>
          <w:kern w:val="0"/>
          <w:szCs w:val="21"/>
          <w:highlight w:val="none"/>
        </w:rPr>
        <w:t>报价表）的总价为准，并修改单价；</w:t>
      </w:r>
    </w:p>
    <w:p w14:paraId="6168DEA3">
      <w:pPr>
        <w:keepNext w:val="0"/>
        <w:keepLines w:val="0"/>
        <w:pageBreakBefore w:val="0"/>
        <w:widowControl w:val="0"/>
        <w:numPr>
          <w:ilvl w:val="0"/>
          <w:numId w:val="22"/>
        </w:numPr>
        <w:kinsoku/>
        <w:wordWrap/>
        <w:overflowPunct/>
        <w:topLinePunct w:val="0"/>
        <w:autoSpaceDE w:val="0"/>
        <w:autoSpaceDN w:val="0"/>
        <w:bidi w:val="0"/>
        <w:adjustRightInd w:val="0"/>
        <w:snapToGrid/>
        <w:spacing w:line="360" w:lineRule="auto"/>
        <w:ind w:left="0" w:leftChars="0" w:right="40" w:firstLine="420" w:firstLineChars="200"/>
        <w:jc w:val="left"/>
        <w:textAlignment w:val="auto"/>
        <w:outlineLvl w:val="9"/>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总价金额与按单价汇总金额不一致的，以单价金额计算结果为准</w:t>
      </w:r>
      <w:r>
        <w:rPr>
          <w:rFonts w:hint="eastAsia" w:ascii="宋体" w:hAnsi="宋体" w:eastAsia="宋体" w:cs="宋体"/>
          <w:color w:val="auto"/>
          <w:kern w:val="0"/>
          <w:szCs w:val="21"/>
          <w:highlight w:val="none"/>
          <w:lang w:eastAsia="zh-CN"/>
        </w:rPr>
        <w:t>；</w:t>
      </w:r>
    </w:p>
    <w:p w14:paraId="248D4BFC">
      <w:pPr>
        <w:keepNext w:val="0"/>
        <w:keepLines w:val="0"/>
        <w:pageBreakBefore w:val="0"/>
        <w:widowControl w:val="0"/>
        <w:numPr>
          <w:ilvl w:val="0"/>
          <w:numId w:val="22"/>
        </w:numPr>
        <w:kinsoku/>
        <w:wordWrap/>
        <w:overflowPunct/>
        <w:topLinePunct w:val="0"/>
        <w:autoSpaceDE w:val="0"/>
        <w:autoSpaceDN w:val="0"/>
        <w:bidi w:val="0"/>
        <w:adjustRightInd w:val="0"/>
        <w:snapToGrid/>
        <w:spacing w:line="360" w:lineRule="auto"/>
        <w:ind w:left="0" w:leftChars="0" w:right="40" w:firstLine="420" w:firstLineChars="200"/>
        <w:jc w:val="left"/>
        <w:textAlignment w:val="auto"/>
        <w:outlineLvl w:val="9"/>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同时出现两种以上不一致的，按照前款规定的顺序修正。修正后的报价应当采用书面形式，并加盖公章，或者由法定代表人或其授权的代表签字，投标人不确认的，其</w:t>
      </w:r>
      <w:r>
        <w:rPr>
          <w:rFonts w:hint="eastAsia" w:ascii="宋体" w:hAnsi="宋体" w:eastAsia="宋体" w:cs="宋体"/>
          <w:b/>
          <w:bCs/>
          <w:color w:val="auto"/>
          <w:kern w:val="0"/>
          <w:szCs w:val="21"/>
          <w:highlight w:val="none"/>
        </w:rPr>
        <w:t>投标无效</w:t>
      </w:r>
      <w:r>
        <w:rPr>
          <w:rFonts w:hint="eastAsia" w:ascii="宋体" w:hAnsi="宋体" w:eastAsia="宋体" w:cs="宋体"/>
          <w:color w:val="auto"/>
          <w:kern w:val="0"/>
          <w:szCs w:val="21"/>
          <w:highlight w:val="none"/>
        </w:rPr>
        <w:t>。</w:t>
      </w:r>
    </w:p>
    <w:p w14:paraId="7D14EAD5">
      <w:pPr>
        <w:pStyle w:val="6"/>
        <w:pageBreakBefore w:val="0"/>
        <w:numPr>
          <w:ilvl w:val="0"/>
          <w:numId w:val="0"/>
        </w:numPr>
        <w:kinsoku/>
        <w:overflowPunct/>
        <w:bidi w:val="0"/>
        <w:spacing w:line="360" w:lineRule="auto"/>
        <w:ind w:leftChars="0"/>
        <w:rPr>
          <w:rFonts w:hint="eastAsia" w:ascii="宋体" w:hAnsi="宋体" w:eastAsia="宋体" w:cs="宋体"/>
          <w:color w:val="auto"/>
          <w:highlight w:val="none"/>
          <w:lang w:val="en-US" w:eastAsia="zh-CN"/>
        </w:rPr>
      </w:pPr>
      <w:bookmarkStart w:id="677" w:name="_Toc14399"/>
      <w:bookmarkStart w:id="678" w:name="_Toc26026"/>
      <w:bookmarkStart w:id="679" w:name="_Toc26213"/>
      <w:bookmarkStart w:id="680" w:name="_Toc18705"/>
      <w:bookmarkStart w:id="681" w:name="_Toc30428"/>
      <w:bookmarkStart w:id="682" w:name="_Toc10132"/>
      <w:bookmarkStart w:id="683" w:name="_Toc24391"/>
      <w:bookmarkStart w:id="684" w:name="_Toc22449"/>
      <w:bookmarkStart w:id="685" w:name="_Toc12089"/>
      <w:bookmarkStart w:id="686" w:name="_Toc13336"/>
      <w:bookmarkStart w:id="687" w:name="_Toc1221"/>
      <w:r>
        <w:rPr>
          <w:rFonts w:hint="eastAsia" w:ascii="宋体" w:hAnsi="宋体" w:eastAsia="宋体" w:cs="宋体"/>
          <w:color w:val="auto"/>
          <w:highlight w:val="none"/>
          <w:lang w:val="en-US" w:eastAsia="zh-CN"/>
        </w:rPr>
        <w:t>3.2 详细评审</w:t>
      </w:r>
      <w:bookmarkEnd w:id="677"/>
      <w:bookmarkEnd w:id="678"/>
      <w:bookmarkEnd w:id="679"/>
      <w:bookmarkEnd w:id="680"/>
      <w:bookmarkEnd w:id="681"/>
      <w:bookmarkEnd w:id="682"/>
      <w:bookmarkEnd w:id="683"/>
      <w:bookmarkEnd w:id="684"/>
      <w:bookmarkEnd w:id="685"/>
      <w:bookmarkEnd w:id="686"/>
      <w:bookmarkEnd w:id="687"/>
    </w:p>
    <w:p w14:paraId="60CDEFCF">
      <w:pPr>
        <w:pageBreakBefore w:val="0"/>
        <w:kinsoku/>
        <w:overflowPunct/>
        <w:autoSpaceDE w:val="0"/>
        <w:autoSpaceDN w:val="0"/>
        <w:bidi w:val="0"/>
        <w:adjustRightInd w:val="0"/>
        <w:spacing w:line="360" w:lineRule="auto"/>
        <w:ind w:left="520" w:right="-2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lang w:val="en-US" w:eastAsia="zh-CN"/>
        </w:rPr>
        <w:t xml:space="preserve">3.2.1 </w:t>
      </w:r>
      <w:r>
        <w:rPr>
          <w:rFonts w:hint="eastAsia" w:ascii="宋体" w:hAnsi="宋体" w:eastAsia="宋体" w:cs="宋体"/>
          <w:color w:val="auto"/>
          <w:kern w:val="0"/>
          <w:szCs w:val="21"/>
          <w:highlight w:val="none"/>
        </w:rPr>
        <w:t>评</w:t>
      </w:r>
      <w:r>
        <w:rPr>
          <w:rFonts w:hint="eastAsia" w:ascii="宋体" w:hAnsi="宋体" w:eastAsia="宋体" w:cs="宋体"/>
          <w:color w:val="auto"/>
          <w:spacing w:val="-2"/>
          <w:kern w:val="0"/>
          <w:szCs w:val="21"/>
          <w:highlight w:val="none"/>
        </w:rPr>
        <w:t>标</w:t>
      </w:r>
      <w:r>
        <w:rPr>
          <w:rFonts w:hint="eastAsia" w:ascii="宋体" w:hAnsi="宋体" w:eastAsia="宋体" w:cs="宋体"/>
          <w:color w:val="auto"/>
          <w:kern w:val="0"/>
          <w:szCs w:val="21"/>
          <w:highlight w:val="none"/>
        </w:rPr>
        <w:t>委</w:t>
      </w:r>
      <w:r>
        <w:rPr>
          <w:rFonts w:hint="eastAsia" w:ascii="宋体" w:hAnsi="宋体" w:eastAsia="宋体" w:cs="宋体"/>
          <w:color w:val="auto"/>
          <w:spacing w:val="-2"/>
          <w:kern w:val="0"/>
          <w:szCs w:val="21"/>
          <w:highlight w:val="none"/>
        </w:rPr>
        <w:t>员</w:t>
      </w:r>
      <w:r>
        <w:rPr>
          <w:rFonts w:hint="eastAsia" w:ascii="宋体" w:hAnsi="宋体" w:eastAsia="宋体" w:cs="宋体"/>
          <w:color w:val="auto"/>
          <w:kern w:val="0"/>
          <w:szCs w:val="21"/>
          <w:highlight w:val="none"/>
        </w:rPr>
        <w:t>会</w:t>
      </w:r>
      <w:r>
        <w:rPr>
          <w:rFonts w:hint="eastAsia" w:ascii="宋体" w:hAnsi="宋体" w:eastAsia="宋体" w:cs="宋体"/>
          <w:color w:val="auto"/>
          <w:spacing w:val="-2"/>
          <w:kern w:val="0"/>
          <w:szCs w:val="21"/>
          <w:highlight w:val="none"/>
        </w:rPr>
        <w:t>按</w:t>
      </w:r>
      <w:r>
        <w:rPr>
          <w:rFonts w:hint="eastAsia" w:ascii="宋体" w:hAnsi="宋体" w:eastAsia="宋体" w:cs="宋体"/>
          <w:color w:val="auto"/>
          <w:kern w:val="0"/>
          <w:szCs w:val="21"/>
          <w:highlight w:val="none"/>
        </w:rPr>
        <w:t>本</w:t>
      </w:r>
      <w:r>
        <w:rPr>
          <w:rFonts w:hint="eastAsia" w:ascii="宋体" w:hAnsi="宋体" w:eastAsia="宋体" w:cs="宋体"/>
          <w:color w:val="auto"/>
          <w:spacing w:val="-2"/>
          <w:kern w:val="0"/>
          <w:szCs w:val="21"/>
          <w:highlight w:val="none"/>
        </w:rPr>
        <w:t>章</w:t>
      </w:r>
      <w:r>
        <w:rPr>
          <w:rFonts w:hint="eastAsia" w:ascii="宋体" w:hAnsi="宋体" w:eastAsia="宋体" w:cs="宋体"/>
          <w:color w:val="auto"/>
          <w:kern w:val="0"/>
          <w:szCs w:val="21"/>
          <w:highlight w:val="none"/>
        </w:rPr>
        <w:t>评标方法规</w:t>
      </w:r>
      <w:r>
        <w:rPr>
          <w:rFonts w:hint="eastAsia" w:ascii="宋体" w:hAnsi="宋体" w:eastAsia="宋体" w:cs="宋体"/>
          <w:color w:val="auto"/>
          <w:spacing w:val="-2"/>
          <w:kern w:val="0"/>
          <w:szCs w:val="21"/>
          <w:highlight w:val="none"/>
        </w:rPr>
        <w:t>定</w:t>
      </w:r>
      <w:r>
        <w:rPr>
          <w:rFonts w:hint="eastAsia" w:ascii="宋体" w:hAnsi="宋体" w:eastAsia="宋体" w:cs="宋体"/>
          <w:color w:val="auto"/>
          <w:kern w:val="0"/>
          <w:szCs w:val="21"/>
          <w:highlight w:val="none"/>
        </w:rPr>
        <w:t>的</w:t>
      </w:r>
      <w:r>
        <w:rPr>
          <w:rFonts w:hint="eastAsia" w:ascii="宋体" w:hAnsi="宋体" w:eastAsia="宋体" w:cs="宋体"/>
          <w:color w:val="auto"/>
          <w:spacing w:val="-2"/>
          <w:kern w:val="0"/>
          <w:szCs w:val="21"/>
          <w:highlight w:val="none"/>
        </w:rPr>
        <w:t>量</w:t>
      </w:r>
      <w:r>
        <w:rPr>
          <w:rFonts w:hint="eastAsia" w:ascii="宋体" w:hAnsi="宋体" w:eastAsia="宋体" w:cs="宋体"/>
          <w:color w:val="auto"/>
          <w:kern w:val="0"/>
          <w:szCs w:val="21"/>
          <w:highlight w:val="none"/>
        </w:rPr>
        <w:t>化</w:t>
      </w:r>
      <w:r>
        <w:rPr>
          <w:rFonts w:hint="eastAsia" w:ascii="宋体" w:hAnsi="宋体" w:eastAsia="宋体" w:cs="宋体"/>
          <w:color w:val="auto"/>
          <w:spacing w:val="-2"/>
          <w:kern w:val="0"/>
          <w:szCs w:val="21"/>
          <w:highlight w:val="none"/>
        </w:rPr>
        <w:t>因</w:t>
      </w:r>
      <w:r>
        <w:rPr>
          <w:rFonts w:hint="eastAsia" w:ascii="宋体" w:hAnsi="宋体" w:eastAsia="宋体" w:cs="宋体"/>
          <w:color w:val="auto"/>
          <w:kern w:val="0"/>
          <w:szCs w:val="21"/>
          <w:highlight w:val="none"/>
        </w:rPr>
        <w:t>素</w:t>
      </w:r>
      <w:r>
        <w:rPr>
          <w:rFonts w:hint="eastAsia" w:ascii="宋体" w:hAnsi="宋体" w:eastAsia="宋体" w:cs="宋体"/>
          <w:color w:val="auto"/>
          <w:spacing w:val="-2"/>
          <w:kern w:val="0"/>
          <w:szCs w:val="21"/>
          <w:highlight w:val="none"/>
        </w:rPr>
        <w:t>和</w:t>
      </w:r>
      <w:r>
        <w:rPr>
          <w:rFonts w:hint="eastAsia" w:ascii="宋体" w:hAnsi="宋体" w:eastAsia="宋体" w:cs="宋体"/>
          <w:color w:val="auto"/>
          <w:kern w:val="0"/>
          <w:szCs w:val="21"/>
          <w:highlight w:val="none"/>
        </w:rPr>
        <w:t>分值</w:t>
      </w:r>
      <w:r>
        <w:rPr>
          <w:rFonts w:hint="eastAsia" w:ascii="宋体" w:hAnsi="宋体" w:eastAsia="宋体" w:cs="宋体"/>
          <w:color w:val="auto"/>
          <w:spacing w:val="-2"/>
          <w:kern w:val="0"/>
          <w:szCs w:val="21"/>
          <w:highlight w:val="none"/>
        </w:rPr>
        <w:t>进</w:t>
      </w:r>
      <w:r>
        <w:rPr>
          <w:rFonts w:hint="eastAsia" w:ascii="宋体" w:hAnsi="宋体" w:eastAsia="宋体" w:cs="宋体"/>
          <w:color w:val="auto"/>
          <w:kern w:val="0"/>
          <w:szCs w:val="21"/>
          <w:highlight w:val="none"/>
        </w:rPr>
        <w:t>行</w:t>
      </w:r>
      <w:r>
        <w:rPr>
          <w:rFonts w:hint="eastAsia" w:ascii="宋体" w:hAnsi="宋体" w:eastAsia="宋体" w:cs="宋体"/>
          <w:color w:val="auto"/>
          <w:spacing w:val="-2"/>
          <w:kern w:val="0"/>
          <w:szCs w:val="21"/>
          <w:highlight w:val="none"/>
        </w:rPr>
        <w:t>打</w:t>
      </w:r>
      <w:r>
        <w:rPr>
          <w:rFonts w:hint="eastAsia" w:ascii="宋体" w:hAnsi="宋体" w:eastAsia="宋体" w:cs="宋体"/>
          <w:color w:val="auto"/>
          <w:kern w:val="0"/>
          <w:szCs w:val="21"/>
          <w:highlight w:val="none"/>
        </w:rPr>
        <w:t>分</w:t>
      </w:r>
      <w:r>
        <w:rPr>
          <w:rFonts w:hint="eastAsia" w:ascii="宋体" w:hAnsi="宋体" w:eastAsia="宋体" w:cs="宋体"/>
          <w:color w:val="auto"/>
          <w:kern w:val="0"/>
          <w:szCs w:val="21"/>
          <w:highlight w:val="none"/>
          <w:lang w:eastAsia="zh-CN"/>
        </w:rPr>
        <w:t>并</w:t>
      </w:r>
      <w:r>
        <w:rPr>
          <w:rFonts w:hint="eastAsia" w:ascii="宋体" w:hAnsi="宋体" w:eastAsia="宋体" w:cs="宋体"/>
          <w:color w:val="auto"/>
          <w:spacing w:val="-2"/>
          <w:kern w:val="0"/>
          <w:szCs w:val="21"/>
          <w:highlight w:val="none"/>
        </w:rPr>
        <w:t>计</w:t>
      </w:r>
      <w:r>
        <w:rPr>
          <w:rFonts w:hint="eastAsia" w:ascii="宋体" w:hAnsi="宋体" w:eastAsia="宋体" w:cs="宋体"/>
          <w:color w:val="auto"/>
          <w:kern w:val="0"/>
          <w:szCs w:val="21"/>
          <w:highlight w:val="none"/>
        </w:rPr>
        <w:t>算</w:t>
      </w:r>
      <w:r>
        <w:rPr>
          <w:rFonts w:hint="eastAsia" w:ascii="宋体" w:hAnsi="宋体" w:eastAsia="宋体" w:cs="宋体"/>
          <w:color w:val="auto"/>
          <w:spacing w:val="-2"/>
          <w:kern w:val="0"/>
          <w:szCs w:val="21"/>
          <w:highlight w:val="none"/>
        </w:rPr>
        <w:t>出综</w:t>
      </w:r>
      <w:r>
        <w:rPr>
          <w:rFonts w:hint="eastAsia" w:ascii="宋体" w:hAnsi="宋体" w:eastAsia="宋体" w:cs="宋体"/>
          <w:color w:val="auto"/>
          <w:kern w:val="0"/>
          <w:szCs w:val="21"/>
          <w:highlight w:val="none"/>
        </w:rPr>
        <w:t>合得</w:t>
      </w:r>
      <w:r>
        <w:rPr>
          <w:rFonts w:hint="eastAsia" w:ascii="宋体" w:hAnsi="宋体" w:eastAsia="宋体" w:cs="宋体"/>
          <w:color w:val="auto"/>
          <w:spacing w:val="-2"/>
          <w:kern w:val="0"/>
          <w:szCs w:val="21"/>
          <w:highlight w:val="none"/>
        </w:rPr>
        <w:t>分</w:t>
      </w:r>
      <w:r>
        <w:rPr>
          <w:rFonts w:hint="eastAsia" w:ascii="宋体" w:hAnsi="宋体" w:eastAsia="宋体" w:cs="宋体"/>
          <w:color w:val="auto"/>
          <w:kern w:val="0"/>
          <w:szCs w:val="21"/>
          <w:highlight w:val="none"/>
        </w:rPr>
        <w:t>。</w:t>
      </w:r>
    </w:p>
    <w:p w14:paraId="564D17DC">
      <w:pPr>
        <w:keepNext w:val="0"/>
        <w:keepLines w:val="0"/>
        <w:pageBreakBefore w:val="0"/>
        <w:widowControl w:val="0"/>
        <w:numPr>
          <w:ilvl w:val="0"/>
          <w:numId w:val="23"/>
        </w:numPr>
        <w:kinsoku/>
        <w:wordWrap/>
        <w:overflowPunct/>
        <w:topLinePunct w:val="0"/>
        <w:autoSpaceDE w:val="0"/>
        <w:autoSpaceDN w:val="0"/>
        <w:bidi w:val="0"/>
        <w:adjustRightInd w:val="0"/>
        <w:snapToGrid/>
        <w:spacing w:line="360" w:lineRule="auto"/>
        <w:ind w:left="0" w:leftChars="0" w:right="40" w:firstLine="420" w:firstLineChars="200"/>
        <w:jc w:val="left"/>
        <w:textAlignment w:val="auto"/>
        <w:outlineLvl w:val="9"/>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按</w:t>
      </w:r>
      <w:r>
        <w:rPr>
          <w:rFonts w:hint="eastAsia" w:ascii="宋体" w:hAnsi="宋体" w:eastAsia="宋体" w:cs="宋体"/>
          <w:color w:val="auto"/>
          <w:kern w:val="0"/>
          <w:szCs w:val="21"/>
          <w:highlight w:val="none"/>
          <w:lang w:eastAsia="zh-CN"/>
        </w:rPr>
        <w:t>本章</w:t>
      </w:r>
      <w:r>
        <w:rPr>
          <w:rFonts w:hint="eastAsia" w:ascii="宋体" w:hAnsi="宋体" w:eastAsia="宋体" w:cs="宋体"/>
          <w:color w:val="auto"/>
          <w:kern w:val="0"/>
          <w:szCs w:val="21"/>
          <w:highlight w:val="none"/>
        </w:rPr>
        <w:t>第</w:t>
      </w:r>
      <w:r>
        <w:rPr>
          <w:rFonts w:hint="eastAsia" w:ascii="宋体" w:hAnsi="宋体" w:eastAsia="宋体" w:cs="宋体"/>
          <w:color w:val="auto"/>
          <w:kern w:val="0"/>
          <w:szCs w:val="21"/>
          <w:highlight w:val="none"/>
          <w:lang w:val="en-US" w:eastAsia="zh-CN"/>
        </w:rPr>
        <w:t>2.2.2（1）</w:t>
      </w:r>
      <w:r>
        <w:rPr>
          <w:rFonts w:hint="eastAsia" w:ascii="宋体" w:hAnsi="宋体" w:eastAsia="宋体" w:cs="宋体"/>
          <w:color w:val="auto"/>
          <w:kern w:val="0"/>
          <w:szCs w:val="21"/>
          <w:highlight w:val="none"/>
        </w:rPr>
        <w:t>目规定的评审因素和分值对投标报价计算出得分A；</w:t>
      </w:r>
    </w:p>
    <w:p w14:paraId="0663B5CF">
      <w:pPr>
        <w:keepNext w:val="0"/>
        <w:keepLines w:val="0"/>
        <w:pageBreakBefore w:val="0"/>
        <w:widowControl w:val="0"/>
        <w:numPr>
          <w:ilvl w:val="0"/>
          <w:numId w:val="23"/>
        </w:numPr>
        <w:kinsoku/>
        <w:wordWrap/>
        <w:overflowPunct/>
        <w:topLinePunct w:val="0"/>
        <w:autoSpaceDE w:val="0"/>
        <w:autoSpaceDN w:val="0"/>
        <w:bidi w:val="0"/>
        <w:adjustRightInd w:val="0"/>
        <w:snapToGrid/>
        <w:spacing w:line="360" w:lineRule="auto"/>
        <w:ind w:left="0" w:leftChars="0" w:right="40" w:firstLine="420" w:firstLineChars="200"/>
        <w:jc w:val="left"/>
        <w:textAlignment w:val="auto"/>
        <w:outlineLvl w:val="9"/>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按</w:t>
      </w:r>
      <w:r>
        <w:rPr>
          <w:rFonts w:hint="eastAsia" w:ascii="宋体" w:hAnsi="宋体" w:eastAsia="宋体" w:cs="宋体"/>
          <w:color w:val="auto"/>
          <w:kern w:val="0"/>
          <w:szCs w:val="21"/>
          <w:highlight w:val="none"/>
          <w:lang w:eastAsia="zh-CN"/>
        </w:rPr>
        <w:t>本章</w:t>
      </w:r>
      <w:r>
        <w:rPr>
          <w:rFonts w:hint="eastAsia" w:ascii="宋体" w:hAnsi="宋体" w:eastAsia="宋体" w:cs="宋体"/>
          <w:color w:val="auto"/>
          <w:kern w:val="0"/>
          <w:szCs w:val="21"/>
          <w:highlight w:val="none"/>
        </w:rPr>
        <w:t>第</w:t>
      </w:r>
      <w:r>
        <w:rPr>
          <w:rFonts w:hint="eastAsia" w:ascii="宋体" w:hAnsi="宋体" w:eastAsia="宋体" w:cs="宋体"/>
          <w:color w:val="auto"/>
          <w:kern w:val="0"/>
          <w:szCs w:val="21"/>
          <w:highlight w:val="none"/>
          <w:lang w:val="en-US" w:eastAsia="zh-CN"/>
        </w:rPr>
        <w:t>2.2.2（2）</w:t>
      </w:r>
      <w:r>
        <w:rPr>
          <w:rFonts w:hint="eastAsia" w:ascii="宋体" w:hAnsi="宋体" w:eastAsia="宋体" w:cs="宋体"/>
          <w:color w:val="auto"/>
          <w:kern w:val="0"/>
          <w:szCs w:val="21"/>
          <w:highlight w:val="none"/>
        </w:rPr>
        <w:t>目规定的评审因素和分值对技术部分计算出得分B；</w:t>
      </w:r>
    </w:p>
    <w:p w14:paraId="58945B5E">
      <w:pPr>
        <w:keepNext w:val="0"/>
        <w:keepLines w:val="0"/>
        <w:pageBreakBefore w:val="0"/>
        <w:widowControl w:val="0"/>
        <w:numPr>
          <w:ilvl w:val="0"/>
          <w:numId w:val="23"/>
        </w:numPr>
        <w:kinsoku/>
        <w:wordWrap/>
        <w:overflowPunct/>
        <w:topLinePunct w:val="0"/>
        <w:autoSpaceDE w:val="0"/>
        <w:autoSpaceDN w:val="0"/>
        <w:bidi w:val="0"/>
        <w:adjustRightInd w:val="0"/>
        <w:snapToGrid/>
        <w:spacing w:line="360" w:lineRule="auto"/>
        <w:ind w:left="0" w:leftChars="0" w:right="40" w:firstLine="420" w:firstLineChars="200"/>
        <w:jc w:val="left"/>
        <w:textAlignment w:val="auto"/>
        <w:outlineLvl w:val="9"/>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按</w:t>
      </w:r>
      <w:r>
        <w:rPr>
          <w:rFonts w:hint="eastAsia" w:ascii="宋体" w:hAnsi="宋体" w:eastAsia="宋体" w:cs="宋体"/>
          <w:color w:val="auto"/>
          <w:kern w:val="0"/>
          <w:szCs w:val="21"/>
          <w:highlight w:val="none"/>
          <w:lang w:eastAsia="zh-CN"/>
        </w:rPr>
        <w:t>本章</w:t>
      </w:r>
      <w:r>
        <w:rPr>
          <w:rFonts w:hint="eastAsia" w:ascii="宋体" w:hAnsi="宋体" w:eastAsia="宋体" w:cs="宋体"/>
          <w:color w:val="auto"/>
          <w:kern w:val="0"/>
          <w:szCs w:val="21"/>
          <w:highlight w:val="none"/>
        </w:rPr>
        <w:t>第</w:t>
      </w:r>
      <w:r>
        <w:rPr>
          <w:rFonts w:hint="eastAsia" w:ascii="宋体" w:hAnsi="宋体" w:eastAsia="宋体" w:cs="宋体"/>
          <w:color w:val="auto"/>
          <w:kern w:val="0"/>
          <w:szCs w:val="21"/>
          <w:highlight w:val="none"/>
          <w:lang w:val="en-US" w:eastAsia="zh-CN"/>
        </w:rPr>
        <w:t>2.2.2（3）</w:t>
      </w:r>
      <w:r>
        <w:rPr>
          <w:rFonts w:hint="eastAsia" w:ascii="宋体" w:hAnsi="宋体" w:eastAsia="宋体" w:cs="宋体"/>
          <w:color w:val="auto"/>
          <w:kern w:val="0"/>
          <w:szCs w:val="21"/>
          <w:highlight w:val="none"/>
        </w:rPr>
        <w:t>目规定的评审因素和分值对商务部分计算出得分C。</w:t>
      </w:r>
    </w:p>
    <w:p w14:paraId="4F391541">
      <w:pPr>
        <w:pageBreakBefore w:val="0"/>
        <w:kinsoku/>
        <w:overflowPunct/>
        <w:autoSpaceDE w:val="0"/>
        <w:autoSpaceDN w:val="0"/>
        <w:bidi w:val="0"/>
        <w:adjustRightInd w:val="0"/>
        <w:spacing w:before="42" w:line="360" w:lineRule="auto"/>
        <w:ind w:left="520" w:right="-2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lang w:val="en-US" w:eastAsia="zh-CN"/>
        </w:rPr>
        <w:t>3</w:t>
      </w:r>
      <w:r>
        <w:rPr>
          <w:rFonts w:hint="eastAsia" w:ascii="宋体" w:hAnsi="宋体" w:eastAsia="宋体" w:cs="宋体"/>
          <w:color w:val="auto"/>
          <w:kern w:val="0"/>
          <w:szCs w:val="21"/>
          <w:highlight w:val="none"/>
        </w:rPr>
        <w:t>.</w:t>
      </w:r>
      <w:r>
        <w:rPr>
          <w:rFonts w:hint="eastAsia" w:ascii="宋体" w:hAnsi="宋体" w:eastAsia="宋体" w:cs="宋体"/>
          <w:color w:val="auto"/>
          <w:kern w:val="0"/>
          <w:szCs w:val="21"/>
          <w:highlight w:val="none"/>
          <w:lang w:val="en-US" w:eastAsia="zh-CN"/>
        </w:rPr>
        <w:t>2</w:t>
      </w:r>
      <w:r>
        <w:rPr>
          <w:rFonts w:hint="eastAsia" w:ascii="宋体" w:hAnsi="宋体" w:eastAsia="宋体" w:cs="宋体"/>
          <w:color w:val="auto"/>
          <w:kern w:val="0"/>
          <w:szCs w:val="21"/>
          <w:highlight w:val="none"/>
        </w:rPr>
        <w:t>.2 评</w:t>
      </w:r>
      <w:r>
        <w:rPr>
          <w:rFonts w:hint="eastAsia" w:ascii="宋体" w:hAnsi="宋体" w:eastAsia="宋体" w:cs="宋体"/>
          <w:color w:val="auto"/>
          <w:spacing w:val="-2"/>
          <w:kern w:val="0"/>
          <w:szCs w:val="21"/>
          <w:highlight w:val="none"/>
        </w:rPr>
        <w:t>分</w:t>
      </w:r>
      <w:r>
        <w:rPr>
          <w:rFonts w:hint="eastAsia" w:ascii="宋体" w:hAnsi="宋体" w:eastAsia="宋体" w:cs="宋体"/>
          <w:color w:val="auto"/>
          <w:kern w:val="0"/>
          <w:szCs w:val="21"/>
          <w:highlight w:val="none"/>
        </w:rPr>
        <w:t>分</w:t>
      </w:r>
      <w:r>
        <w:rPr>
          <w:rFonts w:hint="eastAsia" w:ascii="宋体" w:hAnsi="宋体" w:eastAsia="宋体" w:cs="宋体"/>
          <w:color w:val="auto"/>
          <w:spacing w:val="-2"/>
          <w:kern w:val="0"/>
          <w:szCs w:val="21"/>
          <w:highlight w:val="none"/>
        </w:rPr>
        <w:t>值</w:t>
      </w:r>
      <w:r>
        <w:rPr>
          <w:rFonts w:hint="eastAsia" w:ascii="宋体" w:hAnsi="宋体" w:eastAsia="宋体" w:cs="宋体"/>
          <w:color w:val="auto"/>
          <w:kern w:val="0"/>
          <w:szCs w:val="21"/>
          <w:highlight w:val="none"/>
        </w:rPr>
        <w:t>计</w:t>
      </w:r>
      <w:r>
        <w:rPr>
          <w:rFonts w:hint="eastAsia" w:ascii="宋体" w:hAnsi="宋体" w:eastAsia="宋体" w:cs="宋体"/>
          <w:color w:val="auto"/>
          <w:spacing w:val="-2"/>
          <w:kern w:val="0"/>
          <w:szCs w:val="21"/>
          <w:highlight w:val="none"/>
        </w:rPr>
        <w:t>算</w:t>
      </w:r>
      <w:r>
        <w:rPr>
          <w:rFonts w:hint="eastAsia" w:ascii="宋体" w:hAnsi="宋体" w:eastAsia="宋体" w:cs="宋体"/>
          <w:color w:val="auto"/>
          <w:kern w:val="0"/>
          <w:szCs w:val="21"/>
          <w:highlight w:val="none"/>
        </w:rPr>
        <w:t>保</w:t>
      </w:r>
      <w:r>
        <w:rPr>
          <w:rFonts w:hint="eastAsia" w:ascii="宋体" w:hAnsi="宋体" w:eastAsia="宋体" w:cs="宋体"/>
          <w:color w:val="auto"/>
          <w:spacing w:val="-2"/>
          <w:kern w:val="0"/>
          <w:szCs w:val="21"/>
          <w:highlight w:val="none"/>
        </w:rPr>
        <w:t>留小</w:t>
      </w:r>
      <w:r>
        <w:rPr>
          <w:rFonts w:hint="eastAsia" w:ascii="宋体" w:hAnsi="宋体" w:eastAsia="宋体" w:cs="宋体"/>
          <w:color w:val="auto"/>
          <w:kern w:val="0"/>
          <w:szCs w:val="21"/>
          <w:highlight w:val="none"/>
        </w:rPr>
        <w:t>数点</w:t>
      </w:r>
      <w:r>
        <w:rPr>
          <w:rFonts w:hint="eastAsia" w:ascii="宋体" w:hAnsi="宋体" w:eastAsia="宋体" w:cs="宋体"/>
          <w:color w:val="auto"/>
          <w:spacing w:val="-2"/>
          <w:kern w:val="0"/>
          <w:szCs w:val="21"/>
          <w:highlight w:val="none"/>
        </w:rPr>
        <w:t>后</w:t>
      </w:r>
      <w:r>
        <w:rPr>
          <w:rFonts w:hint="eastAsia" w:ascii="宋体" w:hAnsi="宋体" w:eastAsia="宋体" w:cs="宋体"/>
          <w:color w:val="auto"/>
          <w:kern w:val="0"/>
          <w:szCs w:val="21"/>
          <w:highlight w:val="none"/>
        </w:rPr>
        <w:t>两</w:t>
      </w:r>
      <w:r>
        <w:rPr>
          <w:rFonts w:hint="eastAsia" w:ascii="宋体" w:hAnsi="宋体" w:eastAsia="宋体" w:cs="宋体"/>
          <w:color w:val="auto"/>
          <w:spacing w:val="-2"/>
          <w:kern w:val="0"/>
          <w:szCs w:val="21"/>
          <w:highlight w:val="none"/>
        </w:rPr>
        <w:t>位</w:t>
      </w:r>
      <w:r>
        <w:rPr>
          <w:rFonts w:hint="eastAsia" w:ascii="宋体" w:hAnsi="宋体" w:eastAsia="宋体" w:cs="宋体"/>
          <w:color w:val="auto"/>
          <w:kern w:val="0"/>
          <w:szCs w:val="21"/>
          <w:highlight w:val="none"/>
        </w:rPr>
        <w:t>，</w:t>
      </w:r>
      <w:r>
        <w:rPr>
          <w:rFonts w:hint="eastAsia" w:ascii="宋体" w:hAnsi="宋体" w:eastAsia="宋体" w:cs="宋体"/>
          <w:color w:val="auto"/>
          <w:spacing w:val="-2"/>
          <w:kern w:val="0"/>
          <w:szCs w:val="21"/>
          <w:highlight w:val="none"/>
        </w:rPr>
        <w:t>小</w:t>
      </w:r>
      <w:r>
        <w:rPr>
          <w:rFonts w:hint="eastAsia" w:ascii="宋体" w:hAnsi="宋体" w:eastAsia="宋体" w:cs="宋体"/>
          <w:color w:val="auto"/>
          <w:kern w:val="0"/>
          <w:szCs w:val="21"/>
          <w:highlight w:val="none"/>
        </w:rPr>
        <w:t>数</w:t>
      </w:r>
      <w:r>
        <w:rPr>
          <w:rFonts w:hint="eastAsia" w:ascii="宋体" w:hAnsi="宋体" w:eastAsia="宋体" w:cs="宋体"/>
          <w:color w:val="auto"/>
          <w:spacing w:val="-2"/>
          <w:kern w:val="0"/>
          <w:szCs w:val="21"/>
          <w:highlight w:val="none"/>
        </w:rPr>
        <w:t>点</w:t>
      </w:r>
      <w:r>
        <w:rPr>
          <w:rFonts w:hint="eastAsia" w:ascii="宋体" w:hAnsi="宋体" w:eastAsia="宋体" w:cs="宋体"/>
          <w:color w:val="auto"/>
          <w:kern w:val="0"/>
          <w:szCs w:val="21"/>
          <w:highlight w:val="none"/>
        </w:rPr>
        <w:t>后</w:t>
      </w:r>
      <w:r>
        <w:rPr>
          <w:rFonts w:hint="eastAsia" w:ascii="宋体" w:hAnsi="宋体" w:eastAsia="宋体" w:cs="宋体"/>
          <w:color w:val="auto"/>
          <w:spacing w:val="-2"/>
          <w:kern w:val="0"/>
          <w:szCs w:val="21"/>
          <w:highlight w:val="none"/>
        </w:rPr>
        <w:t>第</w:t>
      </w:r>
      <w:r>
        <w:rPr>
          <w:rFonts w:hint="eastAsia" w:ascii="宋体" w:hAnsi="宋体" w:eastAsia="宋体" w:cs="宋体"/>
          <w:color w:val="auto"/>
          <w:kern w:val="0"/>
          <w:szCs w:val="21"/>
          <w:highlight w:val="none"/>
        </w:rPr>
        <w:t>三位</w:t>
      </w:r>
      <w:r>
        <w:rPr>
          <w:rFonts w:hint="eastAsia" w:ascii="宋体" w:hAnsi="宋体" w:eastAsia="宋体" w:cs="宋体"/>
          <w:color w:val="auto"/>
          <w:spacing w:val="-3"/>
          <w:kern w:val="0"/>
          <w:szCs w:val="21"/>
          <w:highlight w:val="none"/>
        </w:rPr>
        <w:t>“</w:t>
      </w:r>
      <w:r>
        <w:rPr>
          <w:rFonts w:hint="eastAsia" w:ascii="宋体" w:hAnsi="宋体" w:eastAsia="宋体" w:cs="宋体"/>
          <w:color w:val="auto"/>
          <w:kern w:val="0"/>
          <w:szCs w:val="21"/>
          <w:highlight w:val="none"/>
        </w:rPr>
        <w:t>四</w:t>
      </w:r>
      <w:r>
        <w:rPr>
          <w:rFonts w:hint="eastAsia" w:ascii="宋体" w:hAnsi="宋体" w:eastAsia="宋体" w:cs="宋体"/>
          <w:color w:val="auto"/>
          <w:spacing w:val="-2"/>
          <w:kern w:val="0"/>
          <w:szCs w:val="21"/>
          <w:highlight w:val="none"/>
        </w:rPr>
        <w:t>舍</w:t>
      </w:r>
      <w:r>
        <w:rPr>
          <w:rFonts w:hint="eastAsia" w:ascii="宋体" w:hAnsi="宋体" w:eastAsia="宋体" w:cs="宋体"/>
          <w:color w:val="auto"/>
          <w:kern w:val="0"/>
          <w:szCs w:val="21"/>
          <w:highlight w:val="none"/>
        </w:rPr>
        <w:t>五入</w:t>
      </w:r>
      <w:r>
        <w:rPr>
          <w:rFonts w:hint="eastAsia" w:ascii="宋体" w:hAnsi="宋体" w:eastAsia="宋体" w:cs="宋体"/>
          <w:color w:val="auto"/>
          <w:spacing w:val="-3"/>
          <w:kern w:val="0"/>
          <w:szCs w:val="21"/>
          <w:highlight w:val="none"/>
        </w:rPr>
        <w:t>”</w:t>
      </w:r>
      <w:r>
        <w:rPr>
          <w:rFonts w:hint="eastAsia" w:ascii="宋体" w:hAnsi="宋体" w:eastAsia="宋体" w:cs="宋体"/>
          <w:color w:val="auto"/>
          <w:kern w:val="0"/>
          <w:szCs w:val="21"/>
          <w:highlight w:val="none"/>
        </w:rPr>
        <w:t>。</w:t>
      </w:r>
    </w:p>
    <w:p w14:paraId="1DBE2581">
      <w:pPr>
        <w:pageBreakBefore w:val="0"/>
        <w:kinsoku/>
        <w:overflowPunct/>
        <w:autoSpaceDE w:val="0"/>
        <w:autoSpaceDN w:val="0"/>
        <w:bidi w:val="0"/>
        <w:adjustRightInd w:val="0"/>
        <w:spacing w:before="42" w:line="360" w:lineRule="auto"/>
        <w:ind w:left="520" w:right="-2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lang w:val="en-US" w:eastAsia="zh-CN"/>
        </w:rPr>
        <w:t>3</w:t>
      </w:r>
      <w:r>
        <w:rPr>
          <w:rFonts w:hint="eastAsia" w:ascii="宋体" w:hAnsi="宋体" w:eastAsia="宋体" w:cs="宋体"/>
          <w:color w:val="auto"/>
          <w:kern w:val="0"/>
          <w:szCs w:val="21"/>
          <w:highlight w:val="none"/>
        </w:rPr>
        <w:t>.</w:t>
      </w:r>
      <w:r>
        <w:rPr>
          <w:rFonts w:hint="eastAsia" w:ascii="宋体" w:hAnsi="宋体" w:eastAsia="宋体" w:cs="宋体"/>
          <w:color w:val="auto"/>
          <w:kern w:val="0"/>
          <w:szCs w:val="21"/>
          <w:highlight w:val="none"/>
          <w:lang w:val="en-US" w:eastAsia="zh-CN"/>
        </w:rPr>
        <w:t>2</w:t>
      </w:r>
      <w:r>
        <w:rPr>
          <w:rFonts w:hint="eastAsia" w:ascii="宋体" w:hAnsi="宋体" w:eastAsia="宋体" w:cs="宋体"/>
          <w:color w:val="auto"/>
          <w:kern w:val="0"/>
          <w:szCs w:val="21"/>
          <w:highlight w:val="none"/>
        </w:rPr>
        <w:t>.3 投</w:t>
      </w:r>
      <w:r>
        <w:rPr>
          <w:rFonts w:hint="eastAsia" w:ascii="宋体" w:hAnsi="宋体" w:eastAsia="宋体" w:cs="宋体"/>
          <w:color w:val="auto"/>
          <w:spacing w:val="-2"/>
          <w:kern w:val="0"/>
          <w:szCs w:val="21"/>
          <w:highlight w:val="none"/>
        </w:rPr>
        <w:t>标</w:t>
      </w:r>
      <w:r>
        <w:rPr>
          <w:rFonts w:hint="eastAsia" w:ascii="宋体" w:hAnsi="宋体" w:eastAsia="宋体" w:cs="宋体"/>
          <w:color w:val="auto"/>
          <w:kern w:val="0"/>
          <w:szCs w:val="21"/>
          <w:highlight w:val="none"/>
        </w:rPr>
        <w:t>人</w:t>
      </w:r>
      <w:r>
        <w:rPr>
          <w:rFonts w:hint="eastAsia" w:ascii="宋体" w:hAnsi="宋体" w:eastAsia="宋体" w:cs="宋体"/>
          <w:color w:val="auto"/>
          <w:spacing w:val="-2"/>
          <w:kern w:val="0"/>
          <w:szCs w:val="21"/>
          <w:highlight w:val="none"/>
        </w:rPr>
        <w:t>得</w:t>
      </w:r>
      <w:r>
        <w:rPr>
          <w:rFonts w:hint="eastAsia" w:ascii="宋体" w:hAnsi="宋体" w:eastAsia="宋体" w:cs="宋体"/>
          <w:color w:val="auto"/>
          <w:kern w:val="0"/>
          <w:szCs w:val="21"/>
          <w:highlight w:val="none"/>
        </w:rPr>
        <w:t>分</w:t>
      </w:r>
      <w:r>
        <w:rPr>
          <w:rFonts w:hint="eastAsia" w:ascii="宋体" w:hAnsi="宋体" w:eastAsia="宋体" w:cs="宋体"/>
          <w:color w:val="auto"/>
          <w:spacing w:val="-1"/>
          <w:kern w:val="0"/>
          <w:szCs w:val="21"/>
          <w:highlight w:val="none"/>
        </w:rPr>
        <w:t>=A</w:t>
      </w:r>
      <w:r>
        <w:rPr>
          <w:rFonts w:hint="eastAsia" w:ascii="宋体" w:hAnsi="宋体" w:eastAsia="宋体" w:cs="宋体"/>
          <w:color w:val="auto"/>
          <w:spacing w:val="1"/>
          <w:kern w:val="0"/>
          <w:szCs w:val="21"/>
          <w:highlight w:val="none"/>
        </w:rPr>
        <w:t>+</w:t>
      </w:r>
      <w:r>
        <w:rPr>
          <w:rFonts w:hint="eastAsia" w:ascii="宋体" w:hAnsi="宋体" w:eastAsia="宋体" w:cs="宋体"/>
          <w:color w:val="auto"/>
          <w:spacing w:val="-2"/>
          <w:kern w:val="0"/>
          <w:szCs w:val="21"/>
          <w:highlight w:val="none"/>
        </w:rPr>
        <w:t>B</w:t>
      </w:r>
      <w:r>
        <w:rPr>
          <w:rFonts w:hint="eastAsia" w:ascii="宋体" w:hAnsi="宋体" w:eastAsia="宋体" w:cs="宋体"/>
          <w:color w:val="auto"/>
          <w:spacing w:val="-1"/>
          <w:kern w:val="0"/>
          <w:szCs w:val="21"/>
          <w:highlight w:val="none"/>
        </w:rPr>
        <w:t>+</w:t>
      </w:r>
      <w:r>
        <w:rPr>
          <w:rFonts w:hint="eastAsia" w:ascii="宋体" w:hAnsi="宋体" w:eastAsia="宋体" w:cs="宋体"/>
          <w:color w:val="auto"/>
          <w:spacing w:val="-2"/>
          <w:kern w:val="0"/>
          <w:szCs w:val="21"/>
          <w:highlight w:val="none"/>
        </w:rPr>
        <w:t>C</w:t>
      </w:r>
      <w:r>
        <w:rPr>
          <w:rFonts w:hint="eastAsia" w:ascii="宋体" w:hAnsi="宋体" w:eastAsia="宋体" w:cs="宋体"/>
          <w:color w:val="auto"/>
          <w:kern w:val="0"/>
          <w:szCs w:val="21"/>
          <w:highlight w:val="none"/>
        </w:rPr>
        <w:t>。</w:t>
      </w:r>
    </w:p>
    <w:p w14:paraId="668B785C">
      <w:pPr>
        <w:pageBreakBefore w:val="0"/>
        <w:kinsoku/>
        <w:overflowPunct/>
        <w:autoSpaceDE w:val="0"/>
        <w:autoSpaceDN w:val="0"/>
        <w:bidi w:val="0"/>
        <w:adjustRightInd w:val="0"/>
        <w:spacing w:before="40" w:line="360" w:lineRule="auto"/>
        <w:ind w:left="100" w:right="140" w:firstLine="42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lang w:val="en-US" w:eastAsia="zh-CN"/>
        </w:rPr>
        <w:t>3</w:t>
      </w:r>
      <w:r>
        <w:rPr>
          <w:rFonts w:hint="eastAsia" w:ascii="宋体" w:hAnsi="宋体" w:eastAsia="宋体" w:cs="宋体"/>
          <w:color w:val="auto"/>
          <w:kern w:val="0"/>
          <w:szCs w:val="21"/>
          <w:highlight w:val="none"/>
        </w:rPr>
        <w:t>.</w:t>
      </w:r>
      <w:r>
        <w:rPr>
          <w:rFonts w:hint="eastAsia" w:ascii="宋体" w:hAnsi="宋体" w:eastAsia="宋体" w:cs="宋体"/>
          <w:color w:val="auto"/>
          <w:kern w:val="0"/>
          <w:szCs w:val="21"/>
          <w:highlight w:val="none"/>
          <w:lang w:val="en-US" w:eastAsia="zh-CN"/>
        </w:rPr>
        <w:t>2</w:t>
      </w:r>
      <w:r>
        <w:rPr>
          <w:rFonts w:hint="eastAsia" w:ascii="宋体" w:hAnsi="宋体" w:eastAsia="宋体" w:cs="宋体"/>
          <w:color w:val="auto"/>
          <w:kern w:val="0"/>
          <w:szCs w:val="21"/>
          <w:highlight w:val="none"/>
        </w:rPr>
        <w:t>.4 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w:t>
      </w:r>
      <w:r>
        <w:rPr>
          <w:rFonts w:hint="eastAsia" w:ascii="宋体" w:hAnsi="宋体" w:eastAsia="宋体" w:cs="宋体"/>
          <w:b/>
          <w:bCs/>
          <w:color w:val="auto"/>
          <w:kern w:val="0"/>
          <w:szCs w:val="21"/>
          <w:highlight w:val="none"/>
        </w:rPr>
        <w:t>无效投标</w:t>
      </w:r>
      <w:r>
        <w:rPr>
          <w:rFonts w:hint="eastAsia" w:ascii="宋体" w:hAnsi="宋体" w:eastAsia="宋体" w:cs="宋体"/>
          <w:color w:val="auto"/>
          <w:kern w:val="0"/>
          <w:szCs w:val="21"/>
          <w:highlight w:val="none"/>
        </w:rPr>
        <w:t>处理。</w:t>
      </w:r>
    </w:p>
    <w:p w14:paraId="799AB4FD">
      <w:pPr>
        <w:pStyle w:val="6"/>
        <w:pageBreakBefore w:val="0"/>
        <w:numPr>
          <w:ilvl w:val="0"/>
          <w:numId w:val="0"/>
        </w:numPr>
        <w:kinsoku/>
        <w:overflowPunct/>
        <w:bidi w:val="0"/>
        <w:spacing w:line="360" w:lineRule="auto"/>
        <w:ind w:leftChars="0"/>
        <w:rPr>
          <w:rFonts w:hint="eastAsia" w:ascii="宋体" w:hAnsi="宋体" w:eastAsia="宋体" w:cs="宋体"/>
          <w:color w:val="auto"/>
          <w:highlight w:val="none"/>
          <w:lang w:val="en-US" w:eastAsia="zh-CN"/>
        </w:rPr>
      </w:pPr>
      <w:bookmarkStart w:id="688" w:name="_Toc24367"/>
      <w:bookmarkStart w:id="689" w:name="_Toc7845"/>
      <w:bookmarkStart w:id="690" w:name="_Toc6048"/>
      <w:bookmarkStart w:id="691" w:name="_Toc9150"/>
      <w:bookmarkStart w:id="692" w:name="_Toc30029"/>
      <w:bookmarkStart w:id="693" w:name="_Toc5640"/>
      <w:bookmarkStart w:id="694" w:name="_Toc18083"/>
      <w:bookmarkStart w:id="695" w:name="_Toc18381"/>
      <w:bookmarkStart w:id="696" w:name="_Toc11785"/>
      <w:bookmarkStart w:id="697" w:name="_Toc11722"/>
      <w:bookmarkStart w:id="698" w:name="_Toc2162"/>
      <w:r>
        <w:rPr>
          <w:rFonts w:hint="eastAsia" w:ascii="宋体" w:hAnsi="宋体" w:eastAsia="宋体" w:cs="宋体"/>
          <w:color w:val="auto"/>
          <w:highlight w:val="none"/>
          <w:lang w:val="en-US" w:eastAsia="zh-CN"/>
        </w:rPr>
        <w:t>3.3 投标文件的澄清</w:t>
      </w:r>
      <w:bookmarkEnd w:id="688"/>
      <w:bookmarkEnd w:id="689"/>
      <w:bookmarkEnd w:id="690"/>
      <w:bookmarkEnd w:id="691"/>
      <w:bookmarkEnd w:id="692"/>
      <w:bookmarkEnd w:id="693"/>
      <w:bookmarkEnd w:id="694"/>
      <w:bookmarkEnd w:id="695"/>
      <w:bookmarkEnd w:id="696"/>
      <w:bookmarkEnd w:id="697"/>
      <w:bookmarkEnd w:id="698"/>
    </w:p>
    <w:p w14:paraId="77D87D3E">
      <w:pPr>
        <w:pageBreakBefore w:val="0"/>
        <w:kinsoku/>
        <w:overflowPunct/>
        <w:autoSpaceDE w:val="0"/>
        <w:autoSpaceDN w:val="0"/>
        <w:bidi w:val="0"/>
        <w:adjustRightInd w:val="0"/>
        <w:spacing w:line="360" w:lineRule="auto"/>
        <w:ind w:left="100" w:right="139" w:firstLine="42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lang w:val="en-US" w:eastAsia="zh-CN"/>
        </w:rPr>
        <w:t>3</w:t>
      </w:r>
      <w:r>
        <w:rPr>
          <w:rFonts w:hint="eastAsia" w:ascii="宋体" w:hAnsi="宋体" w:eastAsia="宋体" w:cs="宋体"/>
          <w:color w:val="auto"/>
          <w:kern w:val="0"/>
          <w:szCs w:val="21"/>
          <w:highlight w:val="none"/>
        </w:rPr>
        <w:t>.</w:t>
      </w:r>
      <w:r>
        <w:rPr>
          <w:rFonts w:hint="eastAsia" w:ascii="宋体" w:hAnsi="宋体" w:eastAsia="宋体" w:cs="宋体"/>
          <w:color w:val="auto"/>
          <w:kern w:val="0"/>
          <w:szCs w:val="21"/>
          <w:highlight w:val="none"/>
          <w:lang w:val="en-US" w:eastAsia="zh-CN"/>
        </w:rPr>
        <w:t>3</w:t>
      </w:r>
      <w:r>
        <w:rPr>
          <w:rFonts w:hint="eastAsia" w:ascii="宋体" w:hAnsi="宋体" w:eastAsia="宋体" w:cs="宋体"/>
          <w:color w:val="auto"/>
          <w:kern w:val="0"/>
          <w:szCs w:val="21"/>
          <w:highlight w:val="none"/>
        </w:rPr>
        <w:t>.1 在</w:t>
      </w:r>
      <w:r>
        <w:rPr>
          <w:rFonts w:hint="eastAsia" w:ascii="宋体" w:hAnsi="宋体" w:eastAsia="宋体" w:cs="宋体"/>
          <w:color w:val="auto"/>
          <w:spacing w:val="-2"/>
          <w:kern w:val="0"/>
          <w:szCs w:val="21"/>
          <w:highlight w:val="none"/>
        </w:rPr>
        <w:t>评</w:t>
      </w:r>
      <w:r>
        <w:rPr>
          <w:rFonts w:hint="eastAsia" w:ascii="宋体" w:hAnsi="宋体" w:eastAsia="宋体" w:cs="宋体"/>
          <w:color w:val="auto"/>
          <w:kern w:val="0"/>
          <w:szCs w:val="21"/>
          <w:highlight w:val="none"/>
        </w:rPr>
        <w:t>标</w:t>
      </w:r>
      <w:r>
        <w:rPr>
          <w:rFonts w:hint="eastAsia" w:ascii="宋体" w:hAnsi="宋体" w:eastAsia="宋体" w:cs="宋体"/>
          <w:color w:val="auto"/>
          <w:spacing w:val="-2"/>
          <w:kern w:val="0"/>
          <w:szCs w:val="21"/>
          <w:highlight w:val="none"/>
        </w:rPr>
        <w:t>过</w:t>
      </w:r>
      <w:r>
        <w:rPr>
          <w:rFonts w:hint="eastAsia" w:ascii="宋体" w:hAnsi="宋体" w:eastAsia="宋体" w:cs="宋体"/>
          <w:color w:val="auto"/>
          <w:kern w:val="0"/>
          <w:szCs w:val="21"/>
          <w:highlight w:val="none"/>
        </w:rPr>
        <w:t>程中</w:t>
      </w:r>
      <w:r>
        <w:rPr>
          <w:rFonts w:hint="eastAsia" w:ascii="宋体" w:hAnsi="宋体" w:eastAsia="宋体" w:cs="宋体"/>
          <w:color w:val="auto"/>
          <w:spacing w:val="-41"/>
          <w:kern w:val="0"/>
          <w:szCs w:val="21"/>
          <w:highlight w:val="none"/>
        </w:rPr>
        <w:t>，</w:t>
      </w:r>
      <w:r>
        <w:rPr>
          <w:rFonts w:hint="eastAsia" w:ascii="宋体" w:hAnsi="宋体" w:eastAsia="宋体" w:cs="宋体"/>
          <w:color w:val="auto"/>
          <w:kern w:val="0"/>
          <w:szCs w:val="21"/>
          <w:highlight w:val="none"/>
        </w:rPr>
        <w:t>评</w:t>
      </w:r>
      <w:r>
        <w:rPr>
          <w:rFonts w:hint="eastAsia" w:ascii="宋体" w:hAnsi="宋体" w:eastAsia="宋体" w:cs="宋体"/>
          <w:color w:val="auto"/>
          <w:spacing w:val="-2"/>
          <w:kern w:val="0"/>
          <w:szCs w:val="21"/>
          <w:highlight w:val="none"/>
        </w:rPr>
        <w:t>标</w:t>
      </w:r>
      <w:r>
        <w:rPr>
          <w:rFonts w:hint="eastAsia" w:ascii="宋体" w:hAnsi="宋体" w:eastAsia="宋体" w:cs="宋体"/>
          <w:color w:val="auto"/>
          <w:kern w:val="0"/>
          <w:szCs w:val="21"/>
          <w:highlight w:val="none"/>
        </w:rPr>
        <w:t>委员</w:t>
      </w:r>
      <w:r>
        <w:rPr>
          <w:rFonts w:hint="eastAsia" w:ascii="宋体" w:hAnsi="宋体" w:eastAsia="宋体" w:cs="宋体"/>
          <w:color w:val="auto"/>
          <w:spacing w:val="-2"/>
          <w:kern w:val="0"/>
          <w:szCs w:val="21"/>
          <w:highlight w:val="none"/>
        </w:rPr>
        <w:t>会</w:t>
      </w:r>
      <w:r>
        <w:rPr>
          <w:rFonts w:hint="eastAsia" w:ascii="宋体" w:hAnsi="宋体" w:eastAsia="宋体" w:cs="宋体"/>
          <w:color w:val="auto"/>
          <w:kern w:val="0"/>
          <w:szCs w:val="21"/>
          <w:highlight w:val="none"/>
        </w:rPr>
        <w:t>可</w:t>
      </w:r>
      <w:r>
        <w:rPr>
          <w:rFonts w:hint="eastAsia" w:ascii="宋体" w:hAnsi="宋体" w:eastAsia="宋体" w:cs="宋体"/>
          <w:color w:val="auto"/>
          <w:spacing w:val="-2"/>
          <w:kern w:val="0"/>
          <w:szCs w:val="21"/>
          <w:highlight w:val="none"/>
        </w:rPr>
        <w:t>以</w:t>
      </w:r>
      <w:r>
        <w:rPr>
          <w:rFonts w:hint="eastAsia" w:ascii="宋体" w:hAnsi="宋体" w:eastAsia="宋体" w:cs="宋体"/>
          <w:color w:val="auto"/>
          <w:kern w:val="0"/>
          <w:szCs w:val="21"/>
          <w:highlight w:val="none"/>
        </w:rPr>
        <w:t>书</w:t>
      </w:r>
      <w:r>
        <w:rPr>
          <w:rFonts w:hint="eastAsia" w:ascii="宋体" w:hAnsi="宋体" w:eastAsia="宋体" w:cs="宋体"/>
          <w:color w:val="auto"/>
          <w:spacing w:val="-2"/>
          <w:kern w:val="0"/>
          <w:szCs w:val="21"/>
          <w:highlight w:val="none"/>
        </w:rPr>
        <w:t>面</w:t>
      </w:r>
      <w:r>
        <w:rPr>
          <w:rFonts w:hint="eastAsia" w:ascii="宋体" w:hAnsi="宋体" w:eastAsia="宋体" w:cs="宋体"/>
          <w:color w:val="auto"/>
          <w:kern w:val="0"/>
          <w:szCs w:val="21"/>
          <w:highlight w:val="none"/>
        </w:rPr>
        <w:t>形</w:t>
      </w:r>
      <w:r>
        <w:rPr>
          <w:rFonts w:hint="eastAsia" w:ascii="宋体" w:hAnsi="宋体" w:eastAsia="宋体" w:cs="宋体"/>
          <w:color w:val="auto"/>
          <w:spacing w:val="-2"/>
          <w:kern w:val="0"/>
          <w:szCs w:val="21"/>
          <w:highlight w:val="none"/>
        </w:rPr>
        <w:t>式</w:t>
      </w:r>
      <w:r>
        <w:rPr>
          <w:rFonts w:hint="eastAsia" w:ascii="宋体" w:hAnsi="宋体" w:eastAsia="宋体" w:cs="宋体"/>
          <w:color w:val="auto"/>
          <w:kern w:val="0"/>
          <w:szCs w:val="21"/>
          <w:highlight w:val="none"/>
        </w:rPr>
        <w:t>要</w:t>
      </w:r>
      <w:r>
        <w:rPr>
          <w:rFonts w:hint="eastAsia" w:ascii="宋体" w:hAnsi="宋体" w:eastAsia="宋体" w:cs="宋体"/>
          <w:color w:val="auto"/>
          <w:spacing w:val="-2"/>
          <w:kern w:val="0"/>
          <w:szCs w:val="21"/>
          <w:highlight w:val="none"/>
        </w:rPr>
        <w:t>求</w:t>
      </w:r>
      <w:r>
        <w:rPr>
          <w:rFonts w:hint="eastAsia" w:ascii="宋体" w:hAnsi="宋体" w:eastAsia="宋体" w:cs="宋体"/>
          <w:color w:val="auto"/>
          <w:kern w:val="0"/>
          <w:szCs w:val="21"/>
          <w:highlight w:val="none"/>
        </w:rPr>
        <w:t>投标</w:t>
      </w:r>
      <w:r>
        <w:rPr>
          <w:rFonts w:hint="eastAsia" w:ascii="宋体" w:hAnsi="宋体" w:eastAsia="宋体" w:cs="宋体"/>
          <w:color w:val="auto"/>
          <w:spacing w:val="-2"/>
          <w:kern w:val="0"/>
          <w:szCs w:val="21"/>
          <w:highlight w:val="none"/>
        </w:rPr>
        <w:t>人</w:t>
      </w:r>
      <w:r>
        <w:rPr>
          <w:rFonts w:hint="eastAsia" w:ascii="宋体" w:hAnsi="宋体" w:eastAsia="宋体" w:cs="宋体"/>
          <w:color w:val="auto"/>
          <w:kern w:val="0"/>
          <w:szCs w:val="21"/>
          <w:highlight w:val="none"/>
        </w:rPr>
        <w:t>对</w:t>
      </w:r>
      <w:r>
        <w:rPr>
          <w:rFonts w:hint="eastAsia" w:ascii="宋体" w:hAnsi="宋体" w:eastAsia="宋体" w:cs="宋体"/>
          <w:color w:val="auto"/>
          <w:spacing w:val="-2"/>
          <w:kern w:val="0"/>
          <w:szCs w:val="21"/>
          <w:highlight w:val="none"/>
        </w:rPr>
        <w:t>投</w:t>
      </w:r>
      <w:r>
        <w:rPr>
          <w:rFonts w:hint="eastAsia" w:ascii="宋体" w:hAnsi="宋体" w:eastAsia="宋体" w:cs="宋体"/>
          <w:color w:val="auto"/>
          <w:kern w:val="0"/>
          <w:szCs w:val="21"/>
          <w:highlight w:val="none"/>
        </w:rPr>
        <w:t>标</w:t>
      </w:r>
      <w:r>
        <w:rPr>
          <w:rFonts w:hint="eastAsia" w:ascii="宋体" w:hAnsi="宋体" w:eastAsia="宋体" w:cs="宋体"/>
          <w:color w:val="auto"/>
          <w:spacing w:val="-2"/>
          <w:kern w:val="0"/>
          <w:szCs w:val="21"/>
          <w:highlight w:val="none"/>
        </w:rPr>
        <w:t>文</w:t>
      </w:r>
      <w:r>
        <w:rPr>
          <w:rFonts w:hint="eastAsia" w:ascii="宋体" w:hAnsi="宋体" w:eastAsia="宋体" w:cs="宋体"/>
          <w:color w:val="auto"/>
          <w:kern w:val="0"/>
          <w:szCs w:val="21"/>
          <w:highlight w:val="none"/>
        </w:rPr>
        <w:t>件</w:t>
      </w:r>
      <w:r>
        <w:rPr>
          <w:rFonts w:hint="eastAsia" w:ascii="宋体" w:hAnsi="宋体" w:eastAsia="宋体" w:cs="宋体"/>
          <w:color w:val="auto"/>
          <w:spacing w:val="-2"/>
          <w:kern w:val="0"/>
          <w:szCs w:val="21"/>
          <w:highlight w:val="none"/>
        </w:rPr>
        <w:t>中</w:t>
      </w:r>
      <w:r>
        <w:rPr>
          <w:rFonts w:hint="eastAsia" w:ascii="宋体" w:hAnsi="宋体" w:eastAsia="宋体" w:cs="宋体"/>
          <w:color w:val="auto"/>
          <w:kern w:val="0"/>
          <w:szCs w:val="21"/>
          <w:highlight w:val="none"/>
        </w:rPr>
        <w:t>含</w:t>
      </w:r>
      <w:r>
        <w:rPr>
          <w:rFonts w:hint="eastAsia" w:ascii="宋体" w:hAnsi="宋体" w:eastAsia="宋体" w:cs="宋体"/>
          <w:color w:val="auto"/>
          <w:spacing w:val="-2"/>
          <w:kern w:val="0"/>
          <w:szCs w:val="21"/>
          <w:highlight w:val="none"/>
        </w:rPr>
        <w:t>义</w:t>
      </w:r>
      <w:r>
        <w:rPr>
          <w:rFonts w:hint="eastAsia" w:ascii="宋体" w:hAnsi="宋体" w:eastAsia="宋体" w:cs="宋体"/>
          <w:color w:val="auto"/>
          <w:kern w:val="0"/>
          <w:szCs w:val="21"/>
          <w:highlight w:val="none"/>
        </w:rPr>
        <w:t>不明</w:t>
      </w:r>
      <w:r>
        <w:rPr>
          <w:rFonts w:hint="eastAsia" w:ascii="宋体" w:hAnsi="宋体" w:eastAsia="宋体" w:cs="宋体"/>
          <w:color w:val="auto"/>
          <w:spacing w:val="-2"/>
          <w:kern w:val="0"/>
          <w:szCs w:val="21"/>
          <w:highlight w:val="none"/>
        </w:rPr>
        <w:t>确</w:t>
      </w:r>
      <w:r>
        <w:rPr>
          <w:rFonts w:hint="eastAsia" w:ascii="宋体" w:hAnsi="宋体" w:eastAsia="宋体" w:cs="宋体"/>
          <w:color w:val="auto"/>
          <w:spacing w:val="-38"/>
          <w:kern w:val="0"/>
          <w:szCs w:val="21"/>
          <w:highlight w:val="none"/>
        </w:rPr>
        <w:t>、</w:t>
      </w:r>
      <w:r>
        <w:rPr>
          <w:rFonts w:hint="eastAsia" w:ascii="宋体" w:hAnsi="宋体" w:eastAsia="宋体" w:cs="宋体"/>
          <w:color w:val="auto"/>
          <w:spacing w:val="-2"/>
          <w:kern w:val="0"/>
          <w:szCs w:val="21"/>
          <w:highlight w:val="none"/>
        </w:rPr>
        <w:t>对</w:t>
      </w:r>
      <w:r>
        <w:rPr>
          <w:rFonts w:hint="eastAsia" w:ascii="宋体" w:hAnsi="宋体" w:eastAsia="宋体" w:cs="宋体"/>
          <w:color w:val="auto"/>
          <w:kern w:val="0"/>
          <w:szCs w:val="21"/>
          <w:highlight w:val="none"/>
        </w:rPr>
        <w:t>同类问题表述不一</w:t>
      </w:r>
      <w:r>
        <w:rPr>
          <w:rFonts w:hint="eastAsia" w:ascii="宋体" w:hAnsi="宋体" w:eastAsia="宋体" w:cs="宋体"/>
          <w:color w:val="auto"/>
          <w:spacing w:val="-2"/>
          <w:kern w:val="0"/>
          <w:szCs w:val="21"/>
          <w:highlight w:val="none"/>
        </w:rPr>
        <w:t>致</w:t>
      </w:r>
      <w:r>
        <w:rPr>
          <w:rFonts w:hint="eastAsia" w:ascii="宋体" w:hAnsi="宋体" w:eastAsia="宋体" w:cs="宋体"/>
          <w:color w:val="auto"/>
          <w:kern w:val="0"/>
          <w:szCs w:val="21"/>
          <w:highlight w:val="none"/>
        </w:rPr>
        <w:t>或者</w:t>
      </w:r>
      <w:r>
        <w:rPr>
          <w:rFonts w:hint="eastAsia" w:ascii="宋体" w:hAnsi="宋体" w:eastAsia="宋体" w:cs="宋体"/>
          <w:color w:val="auto"/>
          <w:spacing w:val="-2"/>
          <w:kern w:val="0"/>
          <w:szCs w:val="21"/>
          <w:highlight w:val="none"/>
        </w:rPr>
        <w:t>有</w:t>
      </w:r>
      <w:r>
        <w:rPr>
          <w:rFonts w:hint="eastAsia" w:ascii="宋体" w:hAnsi="宋体" w:eastAsia="宋体" w:cs="宋体"/>
          <w:color w:val="auto"/>
          <w:kern w:val="0"/>
          <w:szCs w:val="21"/>
          <w:highlight w:val="none"/>
        </w:rPr>
        <w:t>明显文字和计算</w:t>
      </w:r>
      <w:r>
        <w:rPr>
          <w:rFonts w:hint="eastAsia" w:ascii="宋体" w:hAnsi="宋体" w:eastAsia="宋体" w:cs="宋体"/>
          <w:color w:val="auto"/>
          <w:spacing w:val="-2"/>
          <w:kern w:val="0"/>
          <w:szCs w:val="21"/>
          <w:highlight w:val="none"/>
        </w:rPr>
        <w:t>错</w:t>
      </w:r>
      <w:r>
        <w:rPr>
          <w:rFonts w:hint="eastAsia" w:ascii="宋体" w:hAnsi="宋体" w:eastAsia="宋体" w:cs="宋体"/>
          <w:color w:val="auto"/>
          <w:kern w:val="0"/>
          <w:szCs w:val="21"/>
          <w:highlight w:val="none"/>
        </w:rPr>
        <w:t>误的</w:t>
      </w:r>
      <w:r>
        <w:rPr>
          <w:rFonts w:hint="eastAsia" w:ascii="宋体" w:hAnsi="宋体" w:eastAsia="宋体" w:cs="宋体"/>
          <w:color w:val="auto"/>
          <w:spacing w:val="-2"/>
          <w:kern w:val="0"/>
          <w:szCs w:val="21"/>
          <w:highlight w:val="none"/>
        </w:rPr>
        <w:t>内</w:t>
      </w:r>
      <w:r>
        <w:rPr>
          <w:rFonts w:hint="eastAsia" w:ascii="宋体" w:hAnsi="宋体" w:eastAsia="宋体" w:cs="宋体"/>
          <w:color w:val="auto"/>
          <w:kern w:val="0"/>
          <w:szCs w:val="21"/>
          <w:highlight w:val="none"/>
        </w:rPr>
        <w:t>容作必要的澄</w:t>
      </w:r>
      <w:r>
        <w:rPr>
          <w:rFonts w:hint="eastAsia" w:ascii="宋体" w:hAnsi="宋体" w:eastAsia="宋体" w:cs="宋体"/>
          <w:color w:val="auto"/>
          <w:spacing w:val="1"/>
          <w:kern w:val="0"/>
          <w:szCs w:val="21"/>
          <w:highlight w:val="none"/>
        </w:rPr>
        <w:t>清</w:t>
      </w:r>
      <w:r>
        <w:rPr>
          <w:rFonts w:hint="eastAsia" w:ascii="宋体" w:hAnsi="宋体" w:eastAsia="宋体" w:cs="宋体"/>
          <w:color w:val="auto"/>
          <w:spacing w:val="-2"/>
          <w:kern w:val="0"/>
          <w:szCs w:val="21"/>
          <w:highlight w:val="none"/>
        </w:rPr>
        <w:t>、</w:t>
      </w:r>
      <w:r>
        <w:rPr>
          <w:rFonts w:hint="eastAsia" w:ascii="宋体" w:hAnsi="宋体" w:eastAsia="宋体" w:cs="宋体"/>
          <w:color w:val="auto"/>
          <w:kern w:val="0"/>
          <w:szCs w:val="21"/>
          <w:highlight w:val="none"/>
        </w:rPr>
        <w:t>说明</w:t>
      </w:r>
      <w:r>
        <w:rPr>
          <w:rFonts w:hint="eastAsia" w:ascii="宋体" w:hAnsi="宋体" w:eastAsia="宋体" w:cs="宋体"/>
          <w:color w:val="auto"/>
          <w:spacing w:val="-2"/>
          <w:kern w:val="0"/>
          <w:szCs w:val="21"/>
          <w:highlight w:val="none"/>
        </w:rPr>
        <w:t>或</w:t>
      </w:r>
      <w:r>
        <w:rPr>
          <w:rFonts w:hint="eastAsia" w:ascii="宋体" w:hAnsi="宋体" w:eastAsia="宋体" w:cs="宋体"/>
          <w:color w:val="auto"/>
          <w:kern w:val="0"/>
          <w:szCs w:val="21"/>
          <w:highlight w:val="none"/>
        </w:rPr>
        <w:t>补正。澄</w:t>
      </w:r>
      <w:r>
        <w:rPr>
          <w:rFonts w:hint="eastAsia" w:ascii="宋体" w:hAnsi="宋体" w:eastAsia="宋体" w:cs="宋体"/>
          <w:color w:val="auto"/>
          <w:spacing w:val="1"/>
          <w:kern w:val="0"/>
          <w:szCs w:val="21"/>
          <w:highlight w:val="none"/>
        </w:rPr>
        <w:t>清</w:t>
      </w:r>
      <w:r>
        <w:rPr>
          <w:rFonts w:hint="eastAsia" w:ascii="宋体" w:hAnsi="宋体" w:eastAsia="宋体" w:cs="宋体"/>
          <w:color w:val="auto"/>
          <w:kern w:val="0"/>
          <w:szCs w:val="21"/>
          <w:highlight w:val="none"/>
        </w:rPr>
        <w:t>、</w:t>
      </w:r>
      <w:r>
        <w:rPr>
          <w:rFonts w:hint="eastAsia" w:ascii="宋体" w:hAnsi="宋体" w:eastAsia="宋体" w:cs="宋体"/>
          <w:color w:val="auto"/>
          <w:spacing w:val="-2"/>
          <w:kern w:val="0"/>
          <w:szCs w:val="21"/>
          <w:highlight w:val="none"/>
        </w:rPr>
        <w:t>说</w:t>
      </w:r>
      <w:r>
        <w:rPr>
          <w:rFonts w:hint="eastAsia" w:ascii="宋体" w:hAnsi="宋体" w:eastAsia="宋体" w:cs="宋体"/>
          <w:color w:val="auto"/>
          <w:kern w:val="0"/>
          <w:szCs w:val="21"/>
          <w:highlight w:val="none"/>
        </w:rPr>
        <w:t>明或补</w:t>
      </w:r>
      <w:r>
        <w:rPr>
          <w:rFonts w:hint="eastAsia" w:ascii="宋体" w:hAnsi="宋体" w:eastAsia="宋体" w:cs="宋体"/>
          <w:color w:val="auto"/>
          <w:spacing w:val="-2"/>
          <w:kern w:val="0"/>
          <w:szCs w:val="21"/>
          <w:highlight w:val="none"/>
        </w:rPr>
        <w:t>正</w:t>
      </w:r>
      <w:r>
        <w:rPr>
          <w:rFonts w:hint="eastAsia" w:ascii="宋体" w:hAnsi="宋体" w:eastAsia="宋体" w:cs="宋体"/>
          <w:color w:val="auto"/>
          <w:kern w:val="0"/>
          <w:szCs w:val="21"/>
          <w:highlight w:val="none"/>
        </w:rPr>
        <w:t>应</w:t>
      </w:r>
      <w:r>
        <w:rPr>
          <w:rFonts w:hint="eastAsia" w:ascii="宋体" w:hAnsi="宋体" w:eastAsia="宋体" w:cs="宋体"/>
          <w:color w:val="auto"/>
          <w:spacing w:val="-2"/>
          <w:kern w:val="0"/>
          <w:szCs w:val="21"/>
          <w:highlight w:val="none"/>
        </w:rPr>
        <w:t>以</w:t>
      </w:r>
      <w:r>
        <w:rPr>
          <w:rFonts w:hint="eastAsia" w:ascii="宋体" w:hAnsi="宋体" w:eastAsia="宋体" w:cs="宋体"/>
          <w:color w:val="auto"/>
          <w:kern w:val="0"/>
          <w:szCs w:val="21"/>
          <w:highlight w:val="none"/>
        </w:rPr>
        <w:t>书</w:t>
      </w:r>
      <w:r>
        <w:rPr>
          <w:rFonts w:hint="eastAsia" w:ascii="宋体" w:hAnsi="宋体" w:eastAsia="宋体" w:cs="宋体"/>
          <w:color w:val="auto"/>
          <w:spacing w:val="-2"/>
          <w:kern w:val="0"/>
          <w:szCs w:val="21"/>
          <w:highlight w:val="none"/>
        </w:rPr>
        <w:t>面</w:t>
      </w:r>
      <w:r>
        <w:rPr>
          <w:rFonts w:hint="eastAsia" w:ascii="宋体" w:hAnsi="宋体" w:eastAsia="宋体" w:cs="宋体"/>
          <w:color w:val="auto"/>
          <w:kern w:val="0"/>
          <w:szCs w:val="21"/>
          <w:highlight w:val="none"/>
        </w:rPr>
        <w:t>方</w:t>
      </w:r>
      <w:r>
        <w:rPr>
          <w:rFonts w:hint="eastAsia" w:ascii="宋体" w:hAnsi="宋体" w:eastAsia="宋体" w:cs="宋体"/>
          <w:color w:val="auto"/>
          <w:spacing w:val="-2"/>
          <w:kern w:val="0"/>
          <w:szCs w:val="21"/>
          <w:highlight w:val="none"/>
        </w:rPr>
        <w:t>式</w:t>
      </w:r>
      <w:r>
        <w:rPr>
          <w:rFonts w:hint="eastAsia" w:ascii="宋体" w:hAnsi="宋体" w:eastAsia="宋体" w:cs="宋体"/>
          <w:color w:val="auto"/>
          <w:kern w:val="0"/>
          <w:szCs w:val="21"/>
          <w:highlight w:val="none"/>
        </w:rPr>
        <w:t>进</w:t>
      </w:r>
      <w:r>
        <w:rPr>
          <w:rFonts w:hint="eastAsia" w:ascii="宋体" w:hAnsi="宋体" w:eastAsia="宋体" w:cs="宋体"/>
          <w:color w:val="auto"/>
          <w:spacing w:val="-2"/>
          <w:kern w:val="0"/>
          <w:szCs w:val="21"/>
          <w:highlight w:val="none"/>
        </w:rPr>
        <w:t>行</w:t>
      </w:r>
      <w:r>
        <w:rPr>
          <w:rFonts w:hint="eastAsia" w:ascii="宋体" w:hAnsi="宋体" w:eastAsia="宋体" w:cs="宋体"/>
          <w:color w:val="auto"/>
          <w:szCs w:val="21"/>
          <w:highlight w:val="none"/>
        </w:rPr>
        <w:t>，并加盖公章，或者由法定代表人或其授权的代表签字</w:t>
      </w:r>
      <w:r>
        <w:rPr>
          <w:rFonts w:hint="eastAsia" w:ascii="宋体" w:hAnsi="宋体" w:eastAsia="宋体" w:cs="宋体"/>
          <w:color w:val="auto"/>
          <w:kern w:val="0"/>
          <w:szCs w:val="21"/>
          <w:highlight w:val="none"/>
        </w:rPr>
        <w:t>。评</w:t>
      </w:r>
      <w:r>
        <w:rPr>
          <w:rFonts w:hint="eastAsia" w:ascii="宋体" w:hAnsi="宋体" w:eastAsia="宋体" w:cs="宋体"/>
          <w:color w:val="auto"/>
          <w:spacing w:val="-2"/>
          <w:kern w:val="0"/>
          <w:szCs w:val="21"/>
          <w:highlight w:val="none"/>
        </w:rPr>
        <w:t>标</w:t>
      </w:r>
      <w:r>
        <w:rPr>
          <w:rFonts w:hint="eastAsia" w:ascii="宋体" w:hAnsi="宋体" w:eastAsia="宋体" w:cs="宋体"/>
          <w:color w:val="auto"/>
          <w:kern w:val="0"/>
          <w:szCs w:val="21"/>
          <w:highlight w:val="none"/>
        </w:rPr>
        <w:t>委</w:t>
      </w:r>
      <w:r>
        <w:rPr>
          <w:rFonts w:hint="eastAsia" w:ascii="宋体" w:hAnsi="宋体" w:eastAsia="宋体" w:cs="宋体"/>
          <w:color w:val="auto"/>
          <w:spacing w:val="-2"/>
          <w:kern w:val="0"/>
          <w:szCs w:val="21"/>
          <w:highlight w:val="none"/>
        </w:rPr>
        <w:t>员</w:t>
      </w:r>
      <w:r>
        <w:rPr>
          <w:rFonts w:hint="eastAsia" w:ascii="宋体" w:hAnsi="宋体" w:eastAsia="宋体" w:cs="宋体"/>
          <w:color w:val="auto"/>
          <w:kern w:val="0"/>
          <w:szCs w:val="21"/>
          <w:highlight w:val="none"/>
        </w:rPr>
        <w:t>会</w:t>
      </w:r>
      <w:r>
        <w:rPr>
          <w:rFonts w:hint="eastAsia" w:ascii="宋体" w:hAnsi="宋体" w:eastAsia="宋体" w:cs="宋体"/>
          <w:color w:val="auto"/>
          <w:spacing w:val="-2"/>
          <w:kern w:val="0"/>
          <w:szCs w:val="21"/>
          <w:highlight w:val="none"/>
        </w:rPr>
        <w:t>不</w:t>
      </w:r>
      <w:r>
        <w:rPr>
          <w:rFonts w:hint="eastAsia" w:ascii="宋体" w:hAnsi="宋体" w:eastAsia="宋体" w:cs="宋体"/>
          <w:color w:val="auto"/>
          <w:kern w:val="0"/>
          <w:szCs w:val="21"/>
          <w:highlight w:val="none"/>
        </w:rPr>
        <w:t>接</w:t>
      </w:r>
      <w:r>
        <w:rPr>
          <w:rFonts w:hint="eastAsia" w:ascii="宋体" w:hAnsi="宋体" w:eastAsia="宋体" w:cs="宋体"/>
          <w:color w:val="auto"/>
          <w:spacing w:val="-2"/>
          <w:kern w:val="0"/>
          <w:szCs w:val="21"/>
          <w:highlight w:val="none"/>
        </w:rPr>
        <w:t>受</w:t>
      </w:r>
      <w:r>
        <w:rPr>
          <w:rFonts w:hint="eastAsia" w:ascii="宋体" w:hAnsi="宋体" w:eastAsia="宋体" w:cs="宋体"/>
          <w:color w:val="auto"/>
          <w:kern w:val="0"/>
          <w:szCs w:val="21"/>
          <w:highlight w:val="none"/>
        </w:rPr>
        <w:t>投</w:t>
      </w:r>
      <w:r>
        <w:rPr>
          <w:rFonts w:hint="eastAsia" w:ascii="宋体" w:hAnsi="宋体" w:eastAsia="宋体" w:cs="宋体"/>
          <w:color w:val="auto"/>
          <w:spacing w:val="-2"/>
          <w:kern w:val="0"/>
          <w:szCs w:val="21"/>
          <w:highlight w:val="none"/>
        </w:rPr>
        <w:t>标</w:t>
      </w:r>
      <w:r>
        <w:rPr>
          <w:rFonts w:hint="eastAsia" w:ascii="宋体" w:hAnsi="宋体" w:eastAsia="宋体" w:cs="宋体"/>
          <w:color w:val="auto"/>
          <w:kern w:val="0"/>
          <w:szCs w:val="21"/>
          <w:highlight w:val="none"/>
        </w:rPr>
        <w:t>人主</w:t>
      </w:r>
      <w:r>
        <w:rPr>
          <w:rFonts w:hint="eastAsia" w:ascii="宋体" w:hAnsi="宋体" w:eastAsia="宋体" w:cs="宋体"/>
          <w:color w:val="auto"/>
          <w:spacing w:val="-2"/>
          <w:kern w:val="0"/>
          <w:szCs w:val="21"/>
          <w:highlight w:val="none"/>
        </w:rPr>
        <w:t>动</w:t>
      </w:r>
      <w:r>
        <w:rPr>
          <w:rFonts w:hint="eastAsia" w:ascii="宋体" w:hAnsi="宋体" w:eastAsia="宋体" w:cs="宋体"/>
          <w:color w:val="auto"/>
          <w:kern w:val="0"/>
          <w:szCs w:val="21"/>
          <w:highlight w:val="none"/>
        </w:rPr>
        <w:t>提</w:t>
      </w:r>
      <w:r>
        <w:rPr>
          <w:rFonts w:hint="eastAsia" w:ascii="宋体" w:hAnsi="宋体" w:eastAsia="宋体" w:cs="宋体"/>
          <w:color w:val="auto"/>
          <w:spacing w:val="-2"/>
          <w:kern w:val="0"/>
          <w:szCs w:val="21"/>
          <w:highlight w:val="none"/>
        </w:rPr>
        <w:t>出</w:t>
      </w:r>
      <w:r>
        <w:rPr>
          <w:rFonts w:hint="eastAsia" w:ascii="宋体" w:hAnsi="宋体" w:eastAsia="宋体" w:cs="宋体"/>
          <w:color w:val="auto"/>
          <w:kern w:val="0"/>
          <w:szCs w:val="21"/>
          <w:highlight w:val="none"/>
        </w:rPr>
        <w:t>的</w:t>
      </w:r>
      <w:r>
        <w:rPr>
          <w:rFonts w:hint="eastAsia" w:ascii="宋体" w:hAnsi="宋体" w:eastAsia="宋体" w:cs="宋体"/>
          <w:color w:val="auto"/>
          <w:spacing w:val="-2"/>
          <w:kern w:val="0"/>
          <w:szCs w:val="21"/>
          <w:highlight w:val="none"/>
        </w:rPr>
        <w:t>澄</w:t>
      </w:r>
      <w:r>
        <w:rPr>
          <w:rFonts w:hint="eastAsia" w:ascii="宋体" w:hAnsi="宋体" w:eastAsia="宋体" w:cs="宋体"/>
          <w:color w:val="auto"/>
          <w:kern w:val="0"/>
          <w:szCs w:val="21"/>
          <w:highlight w:val="none"/>
        </w:rPr>
        <w:t>清</w:t>
      </w:r>
      <w:r>
        <w:rPr>
          <w:rFonts w:hint="eastAsia" w:ascii="宋体" w:hAnsi="宋体" w:eastAsia="宋体" w:cs="宋体"/>
          <w:color w:val="auto"/>
          <w:spacing w:val="-2"/>
          <w:kern w:val="0"/>
          <w:szCs w:val="21"/>
          <w:highlight w:val="none"/>
        </w:rPr>
        <w:t>、</w:t>
      </w:r>
      <w:r>
        <w:rPr>
          <w:rFonts w:hint="eastAsia" w:ascii="宋体" w:hAnsi="宋体" w:eastAsia="宋体" w:cs="宋体"/>
          <w:color w:val="auto"/>
          <w:kern w:val="0"/>
          <w:szCs w:val="21"/>
          <w:highlight w:val="none"/>
        </w:rPr>
        <w:t>说</w:t>
      </w:r>
      <w:r>
        <w:rPr>
          <w:rFonts w:hint="eastAsia" w:ascii="宋体" w:hAnsi="宋体" w:eastAsia="宋体" w:cs="宋体"/>
          <w:color w:val="auto"/>
          <w:spacing w:val="-2"/>
          <w:kern w:val="0"/>
          <w:szCs w:val="21"/>
          <w:highlight w:val="none"/>
        </w:rPr>
        <w:t>明</w:t>
      </w:r>
      <w:r>
        <w:rPr>
          <w:rFonts w:hint="eastAsia" w:ascii="宋体" w:hAnsi="宋体" w:eastAsia="宋体" w:cs="宋体"/>
          <w:color w:val="auto"/>
          <w:kern w:val="0"/>
          <w:szCs w:val="21"/>
          <w:highlight w:val="none"/>
        </w:rPr>
        <w:t>或补</w:t>
      </w:r>
      <w:r>
        <w:rPr>
          <w:rFonts w:hint="eastAsia" w:ascii="宋体" w:hAnsi="宋体" w:eastAsia="宋体" w:cs="宋体"/>
          <w:color w:val="auto"/>
          <w:spacing w:val="-2"/>
          <w:kern w:val="0"/>
          <w:szCs w:val="21"/>
          <w:highlight w:val="none"/>
        </w:rPr>
        <w:t>正</w:t>
      </w:r>
      <w:r>
        <w:rPr>
          <w:rFonts w:hint="eastAsia" w:ascii="宋体" w:hAnsi="宋体" w:eastAsia="宋体" w:cs="宋体"/>
          <w:color w:val="auto"/>
          <w:kern w:val="0"/>
          <w:szCs w:val="21"/>
          <w:highlight w:val="none"/>
        </w:rPr>
        <w:t>。</w:t>
      </w:r>
    </w:p>
    <w:p w14:paraId="2E060167">
      <w:pPr>
        <w:pageBreakBefore w:val="0"/>
        <w:kinsoku/>
        <w:overflowPunct/>
        <w:autoSpaceDE w:val="0"/>
        <w:autoSpaceDN w:val="0"/>
        <w:bidi w:val="0"/>
        <w:adjustRightInd w:val="0"/>
        <w:spacing w:before="10" w:line="360" w:lineRule="auto"/>
        <w:ind w:left="100" w:right="139" w:firstLine="42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lang w:val="en-US" w:eastAsia="zh-CN"/>
        </w:rPr>
        <w:t>3</w:t>
      </w:r>
      <w:r>
        <w:rPr>
          <w:rFonts w:hint="eastAsia" w:ascii="宋体" w:hAnsi="宋体" w:eastAsia="宋体" w:cs="宋体"/>
          <w:color w:val="auto"/>
          <w:kern w:val="0"/>
          <w:szCs w:val="21"/>
          <w:highlight w:val="none"/>
        </w:rPr>
        <w:t>.</w:t>
      </w:r>
      <w:r>
        <w:rPr>
          <w:rFonts w:hint="eastAsia" w:ascii="宋体" w:hAnsi="宋体" w:eastAsia="宋体" w:cs="宋体"/>
          <w:color w:val="auto"/>
          <w:kern w:val="0"/>
          <w:szCs w:val="21"/>
          <w:highlight w:val="none"/>
          <w:lang w:val="en-US" w:eastAsia="zh-CN"/>
        </w:rPr>
        <w:t>3</w:t>
      </w:r>
      <w:r>
        <w:rPr>
          <w:rFonts w:hint="eastAsia" w:ascii="宋体" w:hAnsi="宋体" w:eastAsia="宋体" w:cs="宋体"/>
          <w:color w:val="auto"/>
          <w:kern w:val="0"/>
          <w:szCs w:val="21"/>
          <w:highlight w:val="none"/>
        </w:rPr>
        <w:t>.2 澄清</w:t>
      </w:r>
      <w:r>
        <w:rPr>
          <w:rFonts w:hint="eastAsia" w:ascii="宋体" w:hAnsi="宋体" w:eastAsia="宋体" w:cs="宋体"/>
          <w:color w:val="auto"/>
          <w:spacing w:val="-41"/>
          <w:kern w:val="0"/>
          <w:szCs w:val="21"/>
          <w:highlight w:val="none"/>
        </w:rPr>
        <w:t>、</w:t>
      </w:r>
      <w:r>
        <w:rPr>
          <w:rFonts w:hint="eastAsia" w:ascii="宋体" w:hAnsi="宋体" w:eastAsia="宋体" w:cs="宋体"/>
          <w:color w:val="auto"/>
          <w:kern w:val="0"/>
          <w:szCs w:val="21"/>
          <w:highlight w:val="none"/>
        </w:rPr>
        <w:t>说</w:t>
      </w:r>
      <w:r>
        <w:rPr>
          <w:rFonts w:hint="eastAsia" w:ascii="宋体" w:hAnsi="宋体" w:eastAsia="宋体" w:cs="宋体"/>
          <w:color w:val="auto"/>
          <w:spacing w:val="-2"/>
          <w:kern w:val="0"/>
          <w:szCs w:val="21"/>
          <w:highlight w:val="none"/>
        </w:rPr>
        <w:t>明</w:t>
      </w:r>
      <w:r>
        <w:rPr>
          <w:rFonts w:hint="eastAsia" w:ascii="宋体" w:hAnsi="宋体" w:eastAsia="宋体" w:cs="宋体"/>
          <w:color w:val="auto"/>
          <w:kern w:val="0"/>
          <w:szCs w:val="21"/>
          <w:highlight w:val="none"/>
        </w:rPr>
        <w:t>或</w:t>
      </w:r>
      <w:r>
        <w:rPr>
          <w:rFonts w:hint="eastAsia" w:ascii="宋体" w:hAnsi="宋体" w:eastAsia="宋体" w:cs="宋体"/>
          <w:color w:val="auto"/>
          <w:spacing w:val="-2"/>
          <w:kern w:val="0"/>
          <w:szCs w:val="21"/>
          <w:highlight w:val="none"/>
        </w:rPr>
        <w:t>补</w:t>
      </w:r>
      <w:r>
        <w:rPr>
          <w:rFonts w:hint="eastAsia" w:ascii="宋体" w:hAnsi="宋体" w:eastAsia="宋体" w:cs="宋体"/>
          <w:color w:val="auto"/>
          <w:kern w:val="0"/>
          <w:szCs w:val="21"/>
          <w:highlight w:val="none"/>
        </w:rPr>
        <w:t>正</w:t>
      </w:r>
      <w:r>
        <w:rPr>
          <w:rFonts w:hint="eastAsia" w:ascii="宋体" w:hAnsi="宋体" w:eastAsia="宋体" w:cs="宋体"/>
          <w:color w:val="auto"/>
          <w:spacing w:val="-2"/>
          <w:kern w:val="0"/>
          <w:szCs w:val="21"/>
          <w:highlight w:val="none"/>
        </w:rPr>
        <w:t>不</w:t>
      </w:r>
      <w:r>
        <w:rPr>
          <w:rFonts w:hint="eastAsia" w:ascii="宋体" w:hAnsi="宋体" w:eastAsia="宋体" w:cs="宋体"/>
          <w:color w:val="auto"/>
          <w:kern w:val="0"/>
          <w:szCs w:val="21"/>
          <w:highlight w:val="none"/>
        </w:rPr>
        <w:t>得超</w:t>
      </w:r>
      <w:r>
        <w:rPr>
          <w:rFonts w:hint="eastAsia" w:ascii="宋体" w:hAnsi="宋体" w:eastAsia="宋体" w:cs="宋体"/>
          <w:color w:val="auto"/>
          <w:spacing w:val="-2"/>
          <w:kern w:val="0"/>
          <w:szCs w:val="21"/>
          <w:highlight w:val="none"/>
        </w:rPr>
        <w:t>出</w:t>
      </w:r>
      <w:r>
        <w:rPr>
          <w:rFonts w:hint="eastAsia" w:ascii="宋体" w:hAnsi="宋体" w:eastAsia="宋体" w:cs="宋体"/>
          <w:color w:val="auto"/>
          <w:kern w:val="0"/>
          <w:szCs w:val="21"/>
          <w:highlight w:val="none"/>
        </w:rPr>
        <w:t>投</w:t>
      </w:r>
      <w:r>
        <w:rPr>
          <w:rFonts w:hint="eastAsia" w:ascii="宋体" w:hAnsi="宋体" w:eastAsia="宋体" w:cs="宋体"/>
          <w:color w:val="auto"/>
          <w:spacing w:val="-2"/>
          <w:kern w:val="0"/>
          <w:szCs w:val="21"/>
          <w:highlight w:val="none"/>
        </w:rPr>
        <w:t>标</w:t>
      </w:r>
      <w:r>
        <w:rPr>
          <w:rFonts w:hint="eastAsia" w:ascii="宋体" w:hAnsi="宋体" w:eastAsia="宋体" w:cs="宋体"/>
          <w:color w:val="auto"/>
          <w:kern w:val="0"/>
          <w:szCs w:val="21"/>
          <w:highlight w:val="none"/>
        </w:rPr>
        <w:t>文</w:t>
      </w:r>
      <w:r>
        <w:rPr>
          <w:rFonts w:hint="eastAsia" w:ascii="宋体" w:hAnsi="宋体" w:eastAsia="宋体" w:cs="宋体"/>
          <w:color w:val="auto"/>
          <w:spacing w:val="-2"/>
          <w:kern w:val="0"/>
          <w:szCs w:val="21"/>
          <w:highlight w:val="none"/>
        </w:rPr>
        <w:t>件</w:t>
      </w:r>
      <w:r>
        <w:rPr>
          <w:rFonts w:hint="eastAsia" w:ascii="宋体" w:hAnsi="宋体" w:eastAsia="宋体" w:cs="宋体"/>
          <w:color w:val="auto"/>
          <w:kern w:val="0"/>
          <w:szCs w:val="21"/>
          <w:highlight w:val="none"/>
        </w:rPr>
        <w:t>的</w:t>
      </w:r>
      <w:r>
        <w:rPr>
          <w:rFonts w:hint="eastAsia" w:ascii="宋体" w:hAnsi="宋体" w:eastAsia="宋体" w:cs="宋体"/>
          <w:color w:val="auto"/>
          <w:spacing w:val="-2"/>
          <w:kern w:val="0"/>
          <w:szCs w:val="21"/>
          <w:highlight w:val="none"/>
        </w:rPr>
        <w:t>范</w:t>
      </w:r>
      <w:r>
        <w:rPr>
          <w:rFonts w:hint="eastAsia" w:ascii="宋体" w:hAnsi="宋体" w:eastAsia="宋体" w:cs="宋体"/>
          <w:color w:val="auto"/>
          <w:kern w:val="0"/>
          <w:szCs w:val="21"/>
          <w:highlight w:val="none"/>
        </w:rPr>
        <w:t>围</w:t>
      </w:r>
      <w:r>
        <w:rPr>
          <w:rFonts w:hint="eastAsia" w:ascii="宋体" w:hAnsi="宋体" w:eastAsia="宋体" w:cs="宋体"/>
          <w:color w:val="auto"/>
          <w:spacing w:val="-2"/>
          <w:kern w:val="0"/>
          <w:szCs w:val="21"/>
          <w:highlight w:val="none"/>
        </w:rPr>
        <w:t>且</w:t>
      </w:r>
      <w:r>
        <w:rPr>
          <w:rFonts w:hint="eastAsia" w:ascii="宋体" w:hAnsi="宋体" w:eastAsia="宋体" w:cs="宋体"/>
          <w:color w:val="auto"/>
          <w:kern w:val="0"/>
          <w:szCs w:val="21"/>
          <w:highlight w:val="none"/>
        </w:rPr>
        <w:t>不得</w:t>
      </w:r>
      <w:r>
        <w:rPr>
          <w:rFonts w:hint="eastAsia" w:ascii="宋体" w:hAnsi="宋体" w:eastAsia="宋体" w:cs="宋体"/>
          <w:color w:val="auto"/>
          <w:spacing w:val="-2"/>
          <w:kern w:val="0"/>
          <w:szCs w:val="21"/>
          <w:highlight w:val="none"/>
        </w:rPr>
        <w:t>改</w:t>
      </w:r>
      <w:r>
        <w:rPr>
          <w:rFonts w:hint="eastAsia" w:ascii="宋体" w:hAnsi="宋体" w:eastAsia="宋体" w:cs="宋体"/>
          <w:color w:val="auto"/>
          <w:kern w:val="0"/>
          <w:szCs w:val="21"/>
          <w:highlight w:val="none"/>
        </w:rPr>
        <w:t>变</w:t>
      </w:r>
      <w:r>
        <w:rPr>
          <w:rFonts w:hint="eastAsia" w:ascii="宋体" w:hAnsi="宋体" w:eastAsia="宋体" w:cs="宋体"/>
          <w:color w:val="auto"/>
          <w:spacing w:val="-2"/>
          <w:kern w:val="0"/>
          <w:szCs w:val="21"/>
          <w:highlight w:val="none"/>
        </w:rPr>
        <w:t>投</w:t>
      </w:r>
      <w:r>
        <w:rPr>
          <w:rFonts w:hint="eastAsia" w:ascii="宋体" w:hAnsi="宋体" w:eastAsia="宋体" w:cs="宋体"/>
          <w:color w:val="auto"/>
          <w:kern w:val="0"/>
          <w:szCs w:val="21"/>
          <w:highlight w:val="none"/>
        </w:rPr>
        <w:t>标</w:t>
      </w:r>
      <w:r>
        <w:rPr>
          <w:rFonts w:hint="eastAsia" w:ascii="宋体" w:hAnsi="宋体" w:eastAsia="宋体" w:cs="宋体"/>
          <w:color w:val="auto"/>
          <w:spacing w:val="-2"/>
          <w:kern w:val="0"/>
          <w:szCs w:val="21"/>
          <w:highlight w:val="none"/>
        </w:rPr>
        <w:t>文</w:t>
      </w:r>
      <w:r>
        <w:rPr>
          <w:rFonts w:hint="eastAsia" w:ascii="宋体" w:hAnsi="宋体" w:eastAsia="宋体" w:cs="宋体"/>
          <w:color w:val="auto"/>
          <w:kern w:val="0"/>
          <w:szCs w:val="21"/>
          <w:highlight w:val="none"/>
        </w:rPr>
        <w:t>件</w:t>
      </w:r>
      <w:r>
        <w:rPr>
          <w:rFonts w:hint="eastAsia" w:ascii="宋体" w:hAnsi="宋体" w:eastAsia="宋体" w:cs="宋体"/>
          <w:color w:val="auto"/>
          <w:spacing w:val="-2"/>
          <w:kern w:val="0"/>
          <w:szCs w:val="21"/>
          <w:highlight w:val="none"/>
        </w:rPr>
        <w:t>的</w:t>
      </w:r>
      <w:r>
        <w:rPr>
          <w:rFonts w:hint="eastAsia" w:ascii="宋体" w:hAnsi="宋体" w:eastAsia="宋体" w:cs="宋体"/>
          <w:color w:val="auto"/>
          <w:kern w:val="0"/>
          <w:szCs w:val="21"/>
          <w:highlight w:val="none"/>
        </w:rPr>
        <w:t>实</w:t>
      </w:r>
      <w:r>
        <w:rPr>
          <w:rFonts w:hint="eastAsia" w:ascii="宋体" w:hAnsi="宋体" w:eastAsia="宋体" w:cs="宋体"/>
          <w:color w:val="auto"/>
          <w:spacing w:val="-2"/>
          <w:kern w:val="0"/>
          <w:szCs w:val="21"/>
          <w:highlight w:val="none"/>
        </w:rPr>
        <w:t>质</w:t>
      </w:r>
      <w:r>
        <w:rPr>
          <w:rFonts w:hint="eastAsia" w:ascii="宋体" w:hAnsi="宋体" w:eastAsia="宋体" w:cs="宋体"/>
          <w:color w:val="auto"/>
          <w:kern w:val="0"/>
          <w:szCs w:val="21"/>
          <w:highlight w:val="none"/>
        </w:rPr>
        <w:t>性内</w:t>
      </w:r>
      <w:r>
        <w:rPr>
          <w:rFonts w:hint="eastAsia" w:ascii="宋体" w:hAnsi="宋体" w:eastAsia="宋体" w:cs="宋体"/>
          <w:color w:val="auto"/>
          <w:spacing w:val="-2"/>
          <w:kern w:val="0"/>
          <w:szCs w:val="21"/>
          <w:highlight w:val="none"/>
        </w:rPr>
        <w:t>容</w:t>
      </w:r>
      <w:r>
        <w:rPr>
          <w:rFonts w:hint="eastAsia" w:ascii="宋体" w:hAnsi="宋体" w:eastAsia="宋体" w:cs="宋体"/>
          <w:color w:val="auto"/>
          <w:spacing w:val="-38"/>
          <w:kern w:val="0"/>
          <w:szCs w:val="21"/>
          <w:highlight w:val="none"/>
        </w:rPr>
        <w:t>，</w:t>
      </w:r>
      <w:r>
        <w:rPr>
          <w:rFonts w:hint="eastAsia" w:ascii="宋体" w:hAnsi="宋体" w:eastAsia="宋体" w:cs="宋体"/>
          <w:color w:val="auto"/>
          <w:spacing w:val="-2"/>
          <w:kern w:val="0"/>
          <w:szCs w:val="21"/>
          <w:highlight w:val="none"/>
        </w:rPr>
        <w:t>并</w:t>
      </w:r>
      <w:r>
        <w:rPr>
          <w:rFonts w:hint="eastAsia" w:ascii="宋体" w:hAnsi="宋体" w:eastAsia="宋体" w:cs="宋体"/>
          <w:color w:val="auto"/>
          <w:kern w:val="0"/>
          <w:szCs w:val="21"/>
          <w:highlight w:val="none"/>
        </w:rPr>
        <w:t>构成投</w:t>
      </w:r>
      <w:r>
        <w:rPr>
          <w:rFonts w:hint="eastAsia" w:ascii="宋体" w:hAnsi="宋体" w:eastAsia="宋体" w:cs="宋体"/>
          <w:color w:val="auto"/>
          <w:spacing w:val="-2"/>
          <w:kern w:val="0"/>
          <w:szCs w:val="21"/>
          <w:highlight w:val="none"/>
        </w:rPr>
        <w:t>标</w:t>
      </w:r>
      <w:r>
        <w:rPr>
          <w:rFonts w:hint="eastAsia" w:ascii="宋体" w:hAnsi="宋体" w:eastAsia="宋体" w:cs="宋体"/>
          <w:color w:val="auto"/>
          <w:kern w:val="0"/>
          <w:szCs w:val="21"/>
          <w:highlight w:val="none"/>
        </w:rPr>
        <w:t>文</w:t>
      </w:r>
      <w:r>
        <w:rPr>
          <w:rFonts w:hint="eastAsia" w:ascii="宋体" w:hAnsi="宋体" w:eastAsia="宋体" w:cs="宋体"/>
          <w:color w:val="auto"/>
          <w:spacing w:val="-2"/>
          <w:kern w:val="0"/>
          <w:szCs w:val="21"/>
          <w:highlight w:val="none"/>
        </w:rPr>
        <w:t>件</w:t>
      </w:r>
      <w:r>
        <w:rPr>
          <w:rFonts w:hint="eastAsia" w:ascii="宋体" w:hAnsi="宋体" w:eastAsia="宋体" w:cs="宋体"/>
          <w:color w:val="auto"/>
          <w:kern w:val="0"/>
          <w:szCs w:val="21"/>
          <w:highlight w:val="none"/>
        </w:rPr>
        <w:t>的</w:t>
      </w:r>
      <w:r>
        <w:rPr>
          <w:rFonts w:hint="eastAsia" w:ascii="宋体" w:hAnsi="宋体" w:eastAsia="宋体" w:cs="宋体"/>
          <w:color w:val="auto"/>
          <w:spacing w:val="-2"/>
          <w:kern w:val="0"/>
          <w:szCs w:val="21"/>
          <w:highlight w:val="none"/>
        </w:rPr>
        <w:t>组</w:t>
      </w:r>
      <w:r>
        <w:rPr>
          <w:rFonts w:hint="eastAsia" w:ascii="宋体" w:hAnsi="宋体" w:eastAsia="宋体" w:cs="宋体"/>
          <w:color w:val="auto"/>
          <w:kern w:val="0"/>
          <w:szCs w:val="21"/>
          <w:highlight w:val="none"/>
        </w:rPr>
        <w:t>成</w:t>
      </w:r>
      <w:r>
        <w:rPr>
          <w:rFonts w:hint="eastAsia" w:ascii="宋体" w:hAnsi="宋体" w:eastAsia="宋体" w:cs="宋体"/>
          <w:color w:val="auto"/>
          <w:spacing w:val="-2"/>
          <w:kern w:val="0"/>
          <w:szCs w:val="21"/>
          <w:highlight w:val="none"/>
        </w:rPr>
        <w:t>部</w:t>
      </w:r>
      <w:r>
        <w:rPr>
          <w:rFonts w:hint="eastAsia" w:ascii="宋体" w:hAnsi="宋体" w:eastAsia="宋体" w:cs="宋体"/>
          <w:color w:val="auto"/>
          <w:kern w:val="0"/>
          <w:szCs w:val="21"/>
          <w:highlight w:val="none"/>
        </w:rPr>
        <w:t>分。</w:t>
      </w:r>
    </w:p>
    <w:p w14:paraId="23AF6315">
      <w:pPr>
        <w:pageBreakBefore w:val="0"/>
        <w:kinsoku/>
        <w:overflowPunct/>
        <w:autoSpaceDE w:val="0"/>
        <w:autoSpaceDN w:val="0"/>
        <w:bidi w:val="0"/>
        <w:adjustRightInd w:val="0"/>
        <w:spacing w:before="11" w:line="360" w:lineRule="auto"/>
        <w:ind w:left="100" w:right="34" w:firstLine="420"/>
        <w:jc w:val="left"/>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3.3.3 评标委员会对投标人提交的澄清、说明或补正有疑问的，可以要求投标人进一步澄清、说明或补正，直至满足评标委员会的要求。</w:t>
      </w:r>
    </w:p>
    <w:p w14:paraId="710E1C89">
      <w:pPr>
        <w:pageBreakBefore w:val="0"/>
        <w:kinsoku/>
        <w:overflowPunct/>
        <w:autoSpaceDE w:val="0"/>
        <w:autoSpaceDN w:val="0"/>
        <w:bidi w:val="0"/>
        <w:adjustRightInd w:val="0"/>
        <w:spacing w:before="11" w:line="360" w:lineRule="auto"/>
        <w:ind w:left="100" w:right="34" w:firstLine="420"/>
        <w:jc w:val="left"/>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3.3.4 评标委员会应当认真审查有关证明文件。评标（审）委员会对供应商所出具的《关于符合本国产品标准的声明函》的完整性、准确性进行审查，评审中发现《关于符合本国产品标准的声明函》内容含义不明确、同类事项与投标（响应）文件表述不一致或者有明显文字错误等情况的，应当以书面形式要求供应商作出必要的澄清、说明或者补正。经澄清、说明或者补正的《关于符合本国产品标准的声明函》或证明材料仍然不符合要求的，供应商提供的相关产品视为不符合本国产品标准。</w:t>
      </w:r>
    </w:p>
    <w:p w14:paraId="7CB09674">
      <w:pPr>
        <w:pStyle w:val="150"/>
        <w:kinsoku/>
        <w:wordWrap/>
        <w:overflowPunct/>
        <w:topLinePunct w:val="0"/>
        <w:bidi w:val="0"/>
        <w:adjustRightInd w:val="0"/>
        <w:snapToGrid w:val="0"/>
        <w:spacing w:line="360" w:lineRule="auto"/>
        <w:ind w:left="0" w:leftChars="0" w:firstLine="420" w:firstLineChars="200"/>
        <w:textAlignment w:val="auto"/>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3.3.5 评审中出现下列情形之一的，评标委员会应当启动异常低价投标审查程序：</w:t>
      </w:r>
    </w:p>
    <w:p w14:paraId="5A78DA46">
      <w:pPr>
        <w:pStyle w:val="150"/>
        <w:kinsoku/>
        <w:wordWrap/>
        <w:overflowPunct/>
        <w:topLinePunct w:val="0"/>
        <w:bidi w:val="0"/>
        <w:adjustRightInd w:val="0"/>
        <w:snapToGrid w:val="0"/>
        <w:spacing w:line="360" w:lineRule="auto"/>
        <w:ind w:left="0" w:leftChars="0" w:firstLine="420" w:firstLineChars="200"/>
        <w:textAlignment w:val="auto"/>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 xml:space="preserve">（1）投标（响应）报价低于全部通过符合性审查供应商投标（响应）报价平均值50%的，即投标（响应）报价&lt;全部通过符合性审查供应商投标（响应）报价平均值×50%； </w:t>
      </w:r>
    </w:p>
    <w:p w14:paraId="649077B4">
      <w:pPr>
        <w:pStyle w:val="150"/>
        <w:kinsoku/>
        <w:wordWrap/>
        <w:overflowPunct/>
        <w:topLinePunct w:val="0"/>
        <w:bidi w:val="0"/>
        <w:adjustRightInd w:val="0"/>
        <w:snapToGrid w:val="0"/>
        <w:spacing w:line="360" w:lineRule="auto"/>
        <w:ind w:left="0" w:leftChars="0" w:firstLine="420" w:firstLineChars="200"/>
        <w:textAlignment w:val="auto"/>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 xml:space="preserve">（2）投标（响应）报价低于通过符合性审查的次低报价供应商投标（响应）报价50%的，即投标（响应）报价&lt;通过符合性审查的次低报价供应商投标（响应）报价×50%； </w:t>
      </w:r>
    </w:p>
    <w:p w14:paraId="57799C1D">
      <w:pPr>
        <w:pStyle w:val="150"/>
        <w:kinsoku/>
        <w:wordWrap/>
        <w:overflowPunct/>
        <w:topLinePunct w:val="0"/>
        <w:bidi w:val="0"/>
        <w:adjustRightInd w:val="0"/>
        <w:snapToGrid w:val="0"/>
        <w:spacing w:line="360" w:lineRule="auto"/>
        <w:ind w:left="0" w:leftChars="0" w:firstLine="420" w:firstLineChars="200"/>
        <w:textAlignment w:val="auto"/>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 xml:space="preserve">（3）投标（响应）报价低于采购项目最高限价45%的，即投标（响应）报价&lt;采购项目最高限价×45%； </w:t>
      </w:r>
    </w:p>
    <w:p w14:paraId="235565C4">
      <w:pPr>
        <w:pStyle w:val="150"/>
        <w:kinsoku/>
        <w:wordWrap/>
        <w:overflowPunct/>
        <w:topLinePunct w:val="0"/>
        <w:bidi w:val="0"/>
        <w:adjustRightInd w:val="0"/>
        <w:snapToGrid w:val="0"/>
        <w:spacing w:line="360" w:lineRule="auto"/>
        <w:ind w:left="0" w:leftChars="0" w:firstLine="420" w:firstLineChars="200"/>
        <w:textAlignment w:val="auto"/>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（4）评审委员会基于专业判断，认为供应商报价过低，有可能影响产品质量或者不能诚信履约的其他情形。</w:t>
      </w:r>
    </w:p>
    <w:p w14:paraId="07E93A02">
      <w:pPr>
        <w:pStyle w:val="150"/>
        <w:kinsoku/>
        <w:wordWrap/>
        <w:overflowPunct/>
        <w:topLinePunct w:val="0"/>
        <w:bidi w:val="0"/>
        <w:adjustRightInd w:val="0"/>
        <w:snapToGrid w:val="0"/>
        <w:spacing w:line="360" w:lineRule="auto"/>
        <w:ind w:left="0" w:leftChars="0" w:firstLine="420" w:firstLineChars="200"/>
        <w:textAlignment w:val="auto"/>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3.3.6 评标委员会启动异常低价投标审查后，属于3.3.5 第（1）项至第（4）项情形的，相关供应商应当在评审现场合理的时间内对投标价格作出解释，提供项目具体成本测算等与报价合理性相关的书面说明及必要的证明材料，包括但不限于原材料成本、人工成本、制造费用等，给予相关供应商的合理时间（30分钟内）。其中，属于3.3.5 第（3）项情形，供应商已随投标文件一并提交相关书面说明及必要的证明材料的，在评审现场可不再重复提交。</w:t>
      </w:r>
    </w:p>
    <w:p w14:paraId="40D7BFFA">
      <w:pPr>
        <w:pStyle w:val="150"/>
        <w:kinsoku/>
        <w:wordWrap/>
        <w:overflowPunct/>
        <w:topLinePunct w:val="0"/>
        <w:bidi w:val="0"/>
        <w:adjustRightInd w:val="0"/>
        <w:snapToGrid w:val="0"/>
        <w:spacing w:line="360" w:lineRule="auto"/>
        <w:ind w:left="0" w:leftChars="0" w:firstLine="420" w:firstLineChars="200"/>
        <w:textAlignment w:val="auto"/>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评标委员会依据专业经验，参考同类项目中标价格、类似产品市场价格水平、行业人工费用标准、国家有关部门指导行业协会发布的行业平均成本等情况，对报价合理性进行判断。投标供应商不能提供书面说明、证明材料，或者提供的书面说明、证明材料不能证明其报价合理性的，评标委员会应当将其作为无效投标处理。</w:t>
      </w:r>
    </w:p>
    <w:p w14:paraId="38C7C2EB">
      <w:pPr>
        <w:pStyle w:val="150"/>
        <w:kinsoku/>
        <w:wordWrap/>
        <w:overflowPunct/>
        <w:topLinePunct w:val="0"/>
        <w:bidi w:val="0"/>
        <w:adjustRightInd w:val="0"/>
        <w:snapToGrid w:val="0"/>
        <w:spacing w:line="360" w:lineRule="auto"/>
        <w:ind w:left="0" w:leftChars="0" w:firstLine="420" w:firstLineChars="200"/>
        <w:textAlignment w:val="auto"/>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采购人、采购代理机构应当为评标委员会在评审现场及时获取同类项目中标价格、类似产品市场价格水平、行业人工费用标准、国家有关部门指导行业协会发布的行业平均成本等相关信息资料提供便利。评标委员会借助互联网等渠道查询相关信息的，应当严格遵守评审工作纪律，不得实施影响评审公正的行为。</w:t>
      </w:r>
    </w:p>
    <w:p w14:paraId="26316332">
      <w:pPr>
        <w:pStyle w:val="150"/>
        <w:kinsoku/>
        <w:wordWrap/>
        <w:overflowPunct/>
        <w:topLinePunct w:val="0"/>
        <w:bidi w:val="0"/>
        <w:adjustRightInd w:val="0"/>
        <w:snapToGrid w:val="0"/>
        <w:spacing w:line="360" w:lineRule="auto"/>
        <w:ind w:left="0" w:leftChars="0" w:firstLine="420" w:firstLineChars="200"/>
        <w:textAlignment w:val="auto"/>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异常低价投标审查的启动原因、审查意见和审查结果应当在评审报告中记录，并随供应商提供的相关书面说明及证明材料，以及评标委员会有关互联网浏览、查询历史一并归档。</w:t>
      </w:r>
    </w:p>
    <w:p w14:paraId="7348E608">
      <w:pPr>
        <w:pStyle w:val="6"/>
        <w:pageBreakBefore w:val="0"/>
        <w:numPr>
          <w:ilvl w:val="0"/>
          <w:numId w:val="0"/>
        </w:numPr>
        <w:kinsoku/>
        <w:overflowPunct/>
        <w:bidi w:val="0"/>
        <w:spacing w:line="360" w:lineRule="auto"/>
        <w:ind w:leftChars="0"/>
        <w:rPr>
          <w:rFonts w:hint="eastAsia" w:ascii="宋体" w:hAnsi="宋体" w:eastAsia="宋体" w:cs="宋体"/>
          <w:b w:val="0"/>
          <w:color w:val="auto"/>
          <w:spacing w:val="-2"/>
          <w:kern w:val="0"/>
          <w:sz w:val="21"/>
          <w:szCs w:val="21"/>
          <w:highlight w:val="none"/>
          <w:lang w:val="en-US" w:eastAsia="zh-CN" w:bidi="ar-SA"/>
        </w:rPr>
      </w:pPr>
      <w:bookmarkStart w:id="699" w:name="_Toc12060"/>
      <w:bookmarkStart w:id="700" w:name="_Toc10336"/>
      <w:bookmarkStart w:id="701" w:name="_Toc25852"/>
      <w:bookmarkStart w:id="702" w:name="_Toc19756"/>
      <w:bookmarkStart w:id="703" w:name="_Toc28041"/>
      <w:bookmarkStart w:id="704" w:name="_Toc25857"/>
      <w:bookmarkStart w:id="705" w:name="_Toc19426"/>
      <w:bookmarkStart w:id="706" w:name="_Toc27845"/>
      <w:bookmarkStart w:id="707" w:name="_Toc16317"/>
      <w:bookmarkStart w:id="708" w:name="_Toc12108"/>
      <w:bookmarkStart w:id="709" w:name="_Toc7956"/>
      <w:r>
        <w:rPr>
          <w:rFonts w:hint="eastAsia" w:ascii="宋体" w:hAnsi="宋体" w:eastAsia="宋体" w:cs="宋体"/>
          <w:color w:val="auto"/>
          <w:highlight w:val="none"/>
          <w:lang w:val="en-US" w:eastAsia="zh-CN"/>
        </w:rPr>
        <w:t>3.4 评标结果</w:t>
      </w:r>
      <w:bookmarkEnd w:id="699"/>
      <w:bookmarkEnd w:id="700"/>
      <w:bookmarkEnd w:id="701"/>
      <w:bookmarkEnd w:id="702"/>
      <w:bookmarkEnd w:id="703"/>
      <w:bookmarkEnd w:id="704"/>
      <w:bookmarkEnd w:id="705"/>
      <w:bookmarkEnd w:id="706"/>
      <w:bookmarkEnd w:id="707"/>
      <w:bookmarkEnd w:id="708"/>
      <w:bookmarkEnd w:id="709"/>
    </w:p>
    <w:p w14:paraId="2AFEF1D8">
      <w:pPr>
        <w:pageBreakBefore w:val="0"/>
        <w:kinsoku/>
        <w:overflowPunct/>
        <w:autoSpaceDE w:val="0"/>
        <w:autoSpaceDN w:val="0"/>
        <w:bidi w:val="0"/>
        <w:adjustRightInd w:val="0"/>
        <w:spacing w:line="360" w:lineRule="auto"/>
        <w:ind w:left="100" w:right="142" w:firstLine="420"/>
        <w:rPr>
          <w:rFonts w:hint="eastAsia" w:ascii="宋体" w:hAnsi="宋体" w:eastAsia="宋体" w:cs="宋体"/>
          <w:color w:val="auto"/>
          <w:kern w:val="0"/>
          <w:szCs w:val="21"/>
          <w:highlight w:val="none"/>
        </w:rPr>
      </w:pPr>
      <w:r>
        <w:rPr>
          <w:rFonts w:hint="eastAsia" w:ascii="宋体" w:hAnsi="宋体" w:eastAsia="宋体" w:cs="宋体"/>
          <w:b w:val="0"/>
          <w:color w:val="auto"/>
          <w:spacing w:val="-2"/>
          <w:kern w:val="0"/>
          <w:sz w:val="21"/>
          <w:szCs w:val="21"/>
          <w:highlight w:val="none"/>
          <w:lang w:val="en-US" w:eastAsia="zh-CN" w:bidi="ar-SA"/>
        </w:rPr>
        <w:t>3.4.1 除采购人授权直接确定中标人外，评标委员会按照各评委综合评分的算术平均值得分由高到低的顺序推荐3名中标候选人，得分相同的，按投标报价由低到高顺序排列。得分与投标报价均相同的，按技术指标优劣排列。投标文件满足招标文件全部实质性要求，且按照评审因素的量化指标评审得分最高的投标人为排名第一的中标候选人。</w:t>
      </w:r>
    </w:p>
    <w:p w14:paraId="6FDF7EF6">
      <w:pPr>
        <w:pageBreakBefore w:val="0"/>
        <w:kinsoku/>
        <w:overflowPunct/>
        <w:autoSpaceDE w:val="0"/>
        <w:autoSpaceDN w:val="0"/>
        <w:bidi w:val="0"/>
        <w:adjustRightInd w:val="0"/>
        <w:spacing w:before="40" w:line="360" w:lineRule="auto"/>
        <w:ind w:left="100" w:right="140" w:firstLine="420"/>
        <w:rPr>
          <w:rFonts w:hint="eastAsia" w:ascii="宋体" w:hAnsi="宋体" w:eastAsia="宋体" w:cs="宋体"/>
          <w:color w:val="auto"/>
          <w:kern w:val="0"/>
          <w:szCs w:val="21"/>
          <w:highlight w:val="none"/>
          <w:lang w:eastAsia="zh-CN"/>
        </w:rPr>
        <w:sectPr>
          <w:headerReference r:id="rId7" w:type="default"/>
          <w:footerReference r:id="rId8" w:type="default"/>
          <w:pgSz w:w="11906" w:h="16838"/>
          <w:pgMar w:top="1417" w:right="1417" w:bottom="1417" w:left="1417" w:header="777" w:footer="641" w:gutter="0"/>
          <w:pgNumType w:fmt="decimal" w:start="1"/>
          <w:cols w:space="720" w:num="1"/>
          <w:rtlGutter w:val="0"/>
          <w:docGrid w:linePitch="1" w:charSpace="0"/>
        </w:sectPr>
      </w:pPr>
      <w:r>
        <w:rPr>
          <w:rFonts w:hint="eastAsia" w:ascii="宋体" w:hAnsi="宋体" w:eastAsia="宋体" w:cs="宋体"/>
          <w:color w:val="auto"/>
          <w:kern w:val="0"/>
          <w:szCs w:val="21"/>
          <w:highlight w:val="none"/>
          <w:lang w:val="en-US" w:eastAsia="zh-CN"/>
        </w:rPr>
        <w:t>3</w:t>
      </w:r>
      <w:r>
        <w:rPr>
          <w:rFonts w:hint="eastAsia" w:ascii="宋体" w:hAnsi="宋体" w:eastAsia="宋体" w:cs="宋体"/>
          <w:color w:val="auto"/>
          <w:kern w:val="0"/>
          <w:szCs w:val="21"/>
          <w:highlight w:val="none"/>
        </w:rPr>
        <w:t>.</w:t>
      </w:r>
      <w:r>
        <w:rPr>
          <w:rFonts w:hint="eastAsia" w:ascii="宋体" w:hAnsi="宋体" w:eastAsia="宋体" w:cs="宋体"/>
          <w:color w:val="auto"/>
          <w:kern w:val="0"/>
          <w:szCs w:val="21"/>
          <w:highlight w:val="none"/>
          <w:lang w:val="en-US" w:eastAsia="zh-CN"/>
        </w:rPr>
        <w:t>4</w:t>
      </w:r>
      <w:r>
        <w:rPr>
          <w:rFonts w:hint="eastAsia" w:ascii="宋体" w:hAnsi="宋体" w:eastAsia="宋体" w:cs="宋体"/>
          <w:color w:val="auto"/>
          <w:kern w:val="0"/>
          <w:szCs w:val="21"/>
          <w:highlight w:val="none"/>
        </w:rPr>
        <w:t>.2</w:t>
      </w:r>
      <w:r>
        <w:rPr>
          <w:rFonts w:hint="eastAsia" w:ascii="宋体" w:hAnsi="宋体" w:eastAsia="宋体" w:cs="宋体"/>
          <w:color w:val="auto"/>
          <w:spacing w:val="51"/>
          <w:kern w:val="0"/>
          <w:szCs w:val="21"/>
          <w:highlight w:val="none"/>
        </w:rPr>
        <w:t xml:space="preserve"> </w:t>
      </w:r>
      <w:r>
        <w:rPr>
          <w:rFonts w:hint="eastAsia" w:ascii="宋体" w:hAnsi="宋体" w:eastAsia="宋体" w:cs="宋体"/>
          <w:color w:val="auto"/>
          <w:kern w:val="0"/>
          <w:szCs w:val="21"/>
          <w:highlight w:val="none"/>
        </w:rPr>
        <w:t>评</w:t>
      </w:r>
      <w:r>
        <w:rPr>
          <w:rFonts w:hint="eastAsia" w:ascii="宋体" w:hAnsi="宋体" w:eastAsia="宋体" w:cs="宋体"/>
          <w:color w:val="auto"/>
          <w:spacing w:val="-2"/>
          <w:kern w:val="0"/>
          <w:szCs w:val="21"/>
          <w:highlight w:val="none"/>
        </w:rPr>
        <w:t>标</w:t>
      </w:r>
      <w:r>
        <w:rPr>
          <w:rFonts w:hint="eastAsia" w:ascii="宋体" w:hAnsi="宋体" w:eastAsia="宋体" w:cs="宋体"/>
          <w:color w:val="auto"/>
          <w:kern w:val="0"/>
          <w:szCs w:val="21"/>
          <w:highlight w:val="none"/>
        </w:rPr>
        <w:t>委</w:t>
      </w:r>
      <w:r>
        <w:rPr>
          <w:rFonts w:hint="eastAsia" w:ascii="宋体" w:hAnsi="宋体" w:eastAsia="宋体" w:cs="宋体"/>
          <w:color w:val="auto"/>
          <w:spacing w:val="-2"/>
          <w:kern w:val="0"/>
          <w:szCs w:val="21"/>
          <w:highlight w:val="none"/>
        </w:rPr>
        <w:t>员</w:t>
      </w:r>
      <w:r>
        <w:rPr>
          <w:rFonts w:hint="eastAsia" w:ascii="宋体" w:hAnsi="宋体" w:eastAsia="宋体" w:cs="宋体"/>
          <w:color w:val="auto"/>
          <w:kern w:val="0"/>
          <w:szCs w:val="21"/>
          <w:highlight w:val="none"/>
        </w:rPr>
        <w:t>会</w:t>
      </w:r>
      <w:r>
        <w:rPr>
          <w:rFonts w:hint="eastAsia" w:ascii="宋体" w:hAnsi="宋体" w:eastAsia="宋体" w:cs="宋体"/>
          <w:color w:val="auto"/>
          <w:spacing w:val="-2"/>
          <w:kern w:val="0"/>
          <w:szCs w:val="21"/>
          <w:highlight w:val="none"/>
        </w:rPr>
        <w:t>完</w:t>
      </w:r>
      <w:r>
        <w:rPr>
          <w:rFonts w:hint="eastAsia" w:ascii="宋体" w:hAnsi="宋体" w:eastAsia="宋体" w:cs="宋体"/>
          <w:color w:val="auto"/>
          <w:kern w:val="0"/>
          <w:szCs w:val="21"/>
          <w:highlight w:val="none"/>
        </w:rPr>
        <w:t>成</w:t>
      </w:r>
      <w:r>
        <w:rPr>
          <w:rFonts w:hint="eastAsia" w:ascii="宋体" w:hAnsi="宋体" w:eastAsia="宋体" w:cs="宋体"/>
          <w:color w:val="auto"/>
          <w:spacing w:val="-2"/>
          <w:kern w:val="0"/>
          <w:szCs w:val="21"/>
          <w:highlight w:val="none"/>
        </w:rPr>
        <w:t>评标</w:t>
      </w:r>
      <w:r>
        <w:rPr>
          <w:rFonts w:hint="eastAsia" w:ascii="宋体" w:hAnsi="宋体" w:eastAsia="宋体" w:cs="宋体"/>
          <w:color w:val="auto"/>
          <w:kern w:val="0"/>
          <w:szCs w:val="21"/>
          <w:highlight w:val="none"/>
        </w:rPr>
        <w:t>后，</w:t>
      </w:r>
      <w:r>
        <w:rPr>
          <w:rFonts w:hint="eastAsia" w:ascii="宋体" w:hAnsi="宋体" w:eastAsia="宋体" w:cs="宋体"/>
          <w:color w:val="auto"/>
          <w:spacing w:val="-2"/>
          <w:kern w:val="0"/>
          <w:szCs w:val="21"/>
          <w:highlight w:val="none"/>
        </w:rPr>
        <w:t>应</w:t>
      </w:r>
      <w:r>
        <w:rPr>
          <w:rFonts w:hint="eastAsia" w:ascii="宋体" w:hAnsi="宋体" w:eastAsia="宋体" w:cs="宋体"/>
          <w:color w:val="auto"/>
          <w:kern w:val="0"/>
          <w:szCs w:val="21"/>
          <w:highlight w:val="none"/>
        </w:rPr>
        <w:t>当</w:t>
      </w:r>
      <w:r>
        <w:rPr>
          <w:rFonts w:hint="eastAsia" w:ascii="宋体" w:hAnsi="宋体" w:eastAsia="宋体" w:cs="宋体"/>
          <w:color w:val="auto"/>
          <w:spacing w:val="-2"/>
          <w:kern w:val="0"/>
          <w:szCs w:val="21"/>
          <w:highlight w:val="none"/>
        </w:rPr>
        <w:t>向</w:t>
      </w:r>
      <w:r>
        <w:rPr>
          <w:rFonts w:hint="eastAsia" w:ascii="宋体" w:hAnsi="宋体" w:eastAsia="宋体" w:cs="宋体"/>
          <w:color w:val="auto"/>
          <w:kern w:val="0"/>
          <w:szCs w:val="21"/>
          <w:highlight w:val="none"/>
        </w:rPr>
        <w:t>采购人</w:t>
      </w:r>
      <w:r>
        <w:rPr>
          <w:rFonts w:hint="eastAsia" w:ascii="宋体" w:hAnsi="宋体" w:eastAsia="宋体" w:cs="宋体"/>
          <w:color w:val="auto"/>
          <w:spacing w:val="-2"/>
          <w:kern w:val="0"/>
          <w:szCs w:val="21"/>
          <w:highlight w:val="none"/>
        </w:rPr>
        <w:t>提</w:t>
      </w:r>
      <w:r>
        <w:rPr>
          <w:rFonts w:hint="eastAsia" w:ascii="宋体" w:hAnsi="宋体" w:eastAsia="宋体" w:cs="宋体"/>
          <w:color w:val="auto"/>
          <w:kern w:val="0"/>
          <w:szCs w:val="21"/>
          <w:highlight w:val="none"/>
        </w:rPr>
        <w:t>交</w:t>
      </w:r>
      <w:r>
        <w:rPr>
          <w:rFonts w:hint="eastAsia" w:ascii="宋体" w:hAnsi="宋体" w:eastAsia="宋体" w:cs="宋体"/>
          <w:color w:val="auto"/>
          <w:spacing w:val="-2"/>
          <w:kern w:val="0"/>
          <w:szCs w:val="21"/>
          <w:highlight w:val="none"/>
        </w:rPr>
        <w:t>书</w:t>
      </w:r>
      <w:r>
        <w:rPr>
          <w:rFonts w:hint="eastAsia" w:ascii="宋体" w:hAnsi="宋体" w:eastAsia="宋体" w:cs="宋体"/>
          <w:color w:val="auto"/>
          <w:kern w:val="0"/>
          <w:szCs w:val="21"/>
          <w:highlight w:val="none"/>
        </w:rPr>
        <w:t>面评</w:t>
      </w:r>
      <w:r>
        <w:rPr>
          <w:rFonts w:hint="eastAsia" w:ascii="宋体" w:hAnsi="宋体" w:eastAsia="宋体" w:cs="宋体"/>
          <w:color w:val="auto"/>
          <w:spacing w:val="-2"/>
          <w:kern w:val="0"/>
          <w:szCs w:val="21"/>
          <w:highlight w:val="none"/>
        </w:rPr>
        <w:t>标</w:t>
      </w:r>
      <w:r>
        <w:rPr>
          <w:rFonts w:hint="eastAsia" w:ascii="宋体" w:hAnsi="宋体" w:eastAsia="宋体" w:cs="宋体"/>
          <w:color w:val="auto"/>
          <w:kern w:val="0"/>
          <w:szCs w:val="21"/>
          <w:highlight w:val="none"/>
        </w:rPr>
        <w:t>报</w:t>
      </w:r>
      <w:r>
        <w:rPr>
          <w:rFonts w:hint="eastAsia" w:ascii="宋体" w:hAnsi="宋体" w:eastAsia="宋体" w:cs="宋体"/>
          <w:color w:val="auto"/>
          <w:spacing w:val="-2"/>
          <w:kern w:val="0"/>
          <w:szCs w:val="21"/>
          <w:highlight w:val="none"/>
        </w:rPr>
        <w:t>告</w:t>
      </w:r>
      <w:r>
        <w:rPr>
          <w:rFonts w:hint="eastAsia" w:ascii="宋体" w:hAnsi="宋体" w:eastAsia="宋体" w:cs="宋体"/>
          <w:color w:val="auto"/>
          <w:kern w:val="0"/>
          <w:szCs w:val="21"/>
          <w:highlight w:val="none"/>
        </w:rPr>
        <w:t>和</w:t>
      </w:r>
      <w:r>
        <w:rPr>
          <w:rFonts w:hint="eastAsia" w:ascii="宋体" w:hAnsi="宋体" w:eastAsia="宋体" w:cs="宋体"/>
          <w:color w:val="auto"/>
          <w:spacing w:val="-2"/>
          <w:kern w:val="0"/>
          <w:szCs w:val="21"/>
          <w:highlight w:val="none"/>
        </w:rPr>
        <w:t>中</w:t>
      </w:r>
      <w:r>
        <w:rPr>
          <w:rFonts w:hint="eastAsia" w:ascii="宋体" w:hAnsi="宋体" w:eastAsia="宋体" w:cs="宋体"/>
          <w:color w:val="auto"/>
          <w:kern w:val="0"/>
          <w:szCs w:val="21"/>
          <w:highlight w:val="none"/>
        </w:rPr>
        <w:t>标</w:t>
      </w:r>
      <w:r>
        <w:rPr>
          <w:rFonts w:hint="eastAsia" w:ascii="宋体" w:hAnsi="宋体" w:eastAsia="宋体" w:cs="宋体"/>
          <w:color w:val="auto"/>
          <w:spacing w:val="-2"/>
          <w:kern w:val="0"/>
          <w:szCs w:val="21"/>
          <w:highlight w:val="none"/>
        </w:rPr>
        <w:t>候</w:t>
      </w:r>
      <w:r>
        <w:rPr>
          <w:rFonts w:hint="eastAsia" w:ascii="宋体" w:hAnsi="宋体" w:eastAsia="宋体" w:cs="宋体"/>
          <w:color w:val="auto"/>
          <w:kern w:val="0"/>
          <w:szCs w:val="21"/>
          <w:highlight w:val="none"/>
        </w:rPr>
        <w:t>选</w:t>
      </w:r>
      <w:r>
        <w:rPr>
          <w:rFonts w:hint="eastAsia" w:ascii="宋体" w:hAnsi="宋体" w:eastAsia="宋体" w:cs="宋体"/>
          <w:color w:val="auto"/>
          <w:spacing w:val="-2"/>
          <w:kern w:val="0"/>
          <w:szCs w:val="21"/>
          <w:highlight w:val="none"/>
        </w:rPr>
        <w:t>人</w:t>
      </w:r>
      <w:r>
        <w:rPr>
          <w:rFonts w:hint="eastAsia" w:ascii="宋体" w:hAnsi="宋体" w:eastAsia="宋体" w:cs="宋体"/>
          <w:color w:val="auto"/>
          <w:kern w:val="0"/>
          <w:szCs w:val="21"/>
          <w:highlight w:val="none"/>
        </w:rPr>
        <w:t>名单</w:t>
      </w:r>
      <w:r>
        <w:rPr>
          <w:rFonts w:hint="eastAsia" w:ascii="宋体" w:hAnsi="宋体" w:eastAsia="宋体" w:cs="宋体"/>
          <w:color w:val="auto"/>
          <w:kern w:val="0"/>
          <w:szCs w:val="21"/>
          <w:highlight w:val="none"/>
          <w:lang w:eastAsia="zh-CN"/>
        </w:rPr>
        <w:t>。</w:t>
      </w:r>
    </w:p>
    <w:p w14:paraId="6421B3D9">
      <w:pPr>
        <w:pageBreakBefore w:val="0"/>
        <w:kinsoku/>
        <w:overflowPunct/>
        <w:bidi w:val="0"/>
        <w:spacing w:line="360" w:lineRule="auto"/>
        <w:rPr>
          <w:rFonts w:hint="eastAsia" w:ascii="宋体" w:hAnsi="宋体" w:eastAsia="宋体" w:cs="宋体"/>
          <w:color w:val="auto"/>
          <w:highlight w:val="none"/>
          <w:lang w:eastAsia="zh-CN"/>
        </w:rPr>
      </w:pPr>
    </w:p>
    <w:bookmarkEnd w:id="586"/>
    <w:bookmarkEnd w:id="587"/>
    <w:bookmarkEnd w:id="588"/>
    <w:bookmarkEnd w:id="589"/>
    <w:bookmarkEnd w:id="590"/>
    <w:bookmarkEnd w:id="591"/>
    <w:bookmarkEnd w:id="592"/>
    <w:bookmarkEnd w:id="593"/>
    <w:bookmarkEnd w:id="594"/>
    <w:bookmarkEnd w:id="595"/>
    <w:bookmarkEnd w:id="596"/>
    <w:p w14:paraId="71DE7412">
      <w:pPr>
        <w:pStyle w:val="4"/>
        <w:pageBreakBefore w:val="0"/>
        <w:numPr>
          <w:ilvl w:val="0"/>
          <w:numId w:val="0"/>
        </w:numPr>
        <w:kinsoku/>
        <w:overflowPunct/>
        <w:bidi w:val="0"/>
        <w:spacing w:line="360" w:lineRule="auto"/>
        <w:rPr>
          <w:rFonts w:hint="eastAsia" w:ascii="宋体" w:hAnsi="宋体" w:eastAsia="宋体" w:cs="宋体"/>
          <w:color w:val="auto"/>
          <w:sz w:val="32"/>
          <w:szCs w:val="32"/>
          <w:highlight w:val="none"/>
          <w:lang w:eastAsia="zh-CN"/>
        </w:rPr>
      </w:pPr>
      <w:bookmarkStart w:id="710" w:name="_Toc4241"/>
      <w:bookmarkStart w:id="711" w:name="_Toc11931"/>
      <w:bookmarkStart w:id="712" w:name="_Toc312133549"/>
      <w:r>
        <w:rPr>
          <w:rFonts w:hint="eastAsia" w:ascii="宋体" w:hAnsi="宋体" w:eastAsia="宋体" w:cs="宋体"/>
          <w:color w:val="auto"/>
          <w:sz w:val="32"/>
          <w:szCs w:val="32"/>
          <w:highlight w:val="none"/>
          <w:lang w:val="en-US" w:eastAsia="zh-CN"/>
        </w:rPr>
        <w:t xml:space="preserve">第五章 </w:t>
      </w:r>
      <w:r>
        <w:rPr>
          <w:rFonts w:hint="eastAsia" w:ascii="宋体" w:hAnsi="宋体" w:eastAsia="宋体" w:cs="宋体"/>
          <w:color w:val="auto"/>
          <w:sz w:val="32"/>
          <w:szCs w:val="32"/>
          <w:highlight w:val="none"/>
          <w:lang w:eastAsia="zh-CN"/>
        </w:rPr>
        <w:t>合同</w:t>
      </w:r>
      <w:bookmarkEnd w:id="710"/>
      <w:bookmarkEnd w:id="711"/>
    </w:p>
    <w:bookmarkEnd w:id="712"/>
    <w:p w14:paraId="39EB1714">
      <w:pPr>
        <w:keepNext w:val="0"/>
        <w:keepLines w:val="0"/>
        <w:widowControl/>
        <w:suppressLineNumbers w:val="0"/>
        <w:spacing w:line="360" w:lineRule="auto"/>
        <w:jc w:val="left"/>
        <w:rPr>
          <w:rFonts w:hint="eastAsia" w:ascii="宋体" w:hAnsi="宋体" w:eastAsia="宋体" w:cs="宋体"/>
          <w:color w:val="auto"/>
          <w:sz w:val="21"/>
          <w:szCs w:val="21"/>
          <w:highlight w:val="none"/>
        </w:rPr>
      </w:pPr>
      <w:bookmarkStart w:id="713" w:name="_Toc31002"/>
    </w:p>
    <w:p w14:paraId="1CEDE4C5">
      <w:pPr>
        <w:widowControl w:val="0"/>
        <w:spacing w:after="0"/>
        <w:jc w:val="center"/>
        <w:rPr>
          <w:rFonts w:hint="eastAsia" w:ascii="宋体" w:hAnsi="宋体" w:eastAsia="宋体" w:cs="宋体"/>
          <w:b/>
          <w:bCs/>
          <w:color w:val="auto"/>
          <w:spacing w:val="-20"/>
          <w:kern w:val="44"/>
          <w:sz w:val="48"/>
          <w:szCs w:val="48"/>
          <w:highlight w:val="none"/>
          <w:lang w:val="en-US" w:eastAsia="zh-CN" w:bidi="ar-SA"/>
        </w:rPr>
      </w:pPr>
      <w:r>
        <w:rPr>
          <w:rFonts w:hint="eastAsia" w:ascii="宋体" w:hAnsi="宋体" w:eastAsia="宋体" w:cs="宋体"/>
          <w:b/>
          <w:bCs/>
          <w:color w:val="auto"/>
          <w:spacing w:val="-20"/>
          <w:kern w:val="44"/>
          <w:sz w:val="48"/>
          <w:szCs w:val="48"/>
          <w:highlight w:val="none"/>
          <w:lang w:val="en-US" w:eastAsia="zh-CN" w:bidi="ar-SA"/>
        </w:rPr>
        <w:t>政府采购货物买卖合同</w:t>
      </w:r>
    </w:p>
    <w:p w14:paraId="2F745F84">
      <w:pPr>
        <w:widowControl w:val="0"/>
        <w:spacing w:after="0"/>
        <w:jc w:val="center"/>
        <w:rPr>
          <w:rFonts w:hint="eastAsia" w:ascii="宋体" w:hAnsi="宋体" w:eastAsia="宋体" w:cs="宋体"/>
          <w:b/>
          <w:bCs/>
          <w:color w:val="auto"/>
          <w:spacing w:val="-20"/>
          <w:kern w:val="44"/>
          <w:sz w:val="48"/>
          <w:szCs w:val="48"/>
          <w:highlight w:val="none"/>
          <w:lang w:val="en-US" w:eastAsia="zh-CN" w:bidi="ar-SA"/>
        </w:rPr>
      </w:pPr>
      <w:r>
        <w:rPr>
          <w:rFonts w:hint="eastAsia" w:ascii="宋体" w:hAnsi="宋体" w:eastAsia="宋体" w:cs="宋体"/>
          <w:b/>
          <w:bCs/>
          <w:color w:val="auto"/>
          <w:spacing w:val="-20"/>
          <w:kern w:val="44"/>
          <w:sz w:val="48"/>
          <w:szCs w:val="48"/>
          <w:highlight w:val="none"/>
          <w:lang w:val="en-US" w:eastAsia="zh-CN" w:bidi="ar-SA"/>
        </w:rPr>
        <w:t>（试行）</w:t>
      </w:r>
    </w:p>
    <w:p w14:paraId="05911774">
      <w:pPr>
        <w:rPr>
          <w:rFonts w:ascii="宋体" w:hAnsi="宋体" w:eastAsia="宋体" w:cs="宋体"/>
          <w:b/>
          <w:bCs/>
          <w:color w:val="auto"/>
          <w:spacing w:val="-20"/>
          <w:kern w:val="44"/>
          <w:sz w:val="40"/>
          <w:szCs w:val="40"/>
          <w:highlight w:val="none"/>
        </w:rPr>
      </w:pPr>
    </w:p>
    <w:p w14:paraId="07BEFC23">
      <w:pPr>
        <w:rPr>
          <w:rFonts w:ascii="宋体" w:hAnsi="宋体" w:eastAsia="宋体" w:cs="宋体"/>
          <w:b/>
          <w:bCs/>
          <w:color w:val="auto"/>
          <w:spacing w:val="-20"/>
          <w:kern w:val="44"/>
          <w:sz w:val="40"/>
          <w:szCs w:val="40"/>
          <w:highlight w:val="none"/>
        </w:rPr>
      </w:pPr>
    </w:p>
    <w:p w14:paraId="440A84D5">
      <w:pPr>
        <w:pStyle w:val="2"/>
        <w:rPr>
          <w:rFonts w:ascii="宋体" w:hAnsi="宋体" w:eastAsia="宋体" w:cs="宋体"/>
          <w:b/>
          <w:bCs/>
          <w:color w:val="auto"/>
          <w:spacing w:val="-20"/>
          <w:kern w:val="44"/>
          <w:sz w:val="40"/>
          <w:szCs w:val="40"/>
          <w:highlight w:val="none"/>
        </w:rPr>
      </w:pPr>
    </w:p>
    <w:p w14:paraId="05981A49">
      <w:pPr>
        <w:rPr>
          <w:rFonts w:ascii="宋体" w:hAnsi="宋体" w:eastAsia="宋体" w:cs="宋体"/>
          <w:b/>
          <w:bCs/>
          <w:color w:val="auto"/>
          <w:spacing w:val="-20"/>
          <w:kern w:val="44"/>
          <w:sz w:val="40"/>
          <w:szCs w:val="40"/>
          <w:highlight w:val="none"/>
        </w:rPr>
      </w:pPr>
    </w:p>
    <w:p w14:paraId="332439D2">
      <w:pPr>
        <w:pStyle w:val="2"/>
        <w:rPr>
          <w:rFonts w:ascii="宋体" w:hAnsi="宋体" w:eastAsia="宋体" w:cs="宋体"/>
          <w:b/>
          <w:bCs/>
          <w:color w:val="auto"/>
          <w:spacing w:val="-20"/>
          <w:kern w:val="44"/>
          <w:sz w:val="40"/>
          <w:szCs w:val="40"/>
          <w:highlight w:val="none"/>
        </w:rPr>
      </w:pPr>
    </w:p>
    <w:p w14:paraId="795EACFC">
      <w:pPr>
        <w:rPr>
          <w:rFonts w:ascii="宋体" w:hAnsi="宋体" w:eastAsia="宋体" w:cs="宋体"/>
          <w:b/>
          <w:bCs/>
          <w:color w:val="auto"/>
          <w:spacing w:val="-20"/>
          <w:kern w:val="44"/>
          <w:sz w:val="40"/>
          <w:szCs w:val="40"/>
          <w:highlight w:val="none"/>
        </w:rPr>
      </w:pPr>
    </w:p>
    <w:p w14:paraId="4D789089">
      <w:pPr>
        <w:pStyle w:val="2"/>
        <w:rPr>
          <w:color w:val="auto"/>
          <w:highlight w:val="none"/>
        </w:rPr>
      </w:pPr>
    </w:p>
    <w:p w14:paraId="559A6589">
      <w:pPr>
        <w:rPr>
          <w:rFonts w:ascii="宋体" w:hAnsi="宋体" w:eastAsia="宋体" w:cs="宋体"/>
          <w:b/>
          <w:bCs/>
          <w:color w:val="auto"/>
          <w:spacing w:val="-20"/>
          <w:kern w:val="44"/>
          <w:sz w:val="40"/>
          <w:szCs w:val="40"/>
          <w:highlight w:val="none"/>
        </w:rPr>
      </w:pPr>
    </w:p>
    <w:p w14:paraId="4B4505AC">
      <w:pPr>
        <w:spacing w:line="360" w:lineRule="auto"/>
        <w:ind w:left="0" w:leftChars="0" w:firstLine="419" w:firstLineChars="131"/>
        <w:rPr>
          <w:rFonts w:hint="default" w:ascii="Times New Roman" w:hAnsi="Times New Roman" w:eastAsia="宋体" w:cs="Times New Roman"/>
          <w:color w:val="auto"/>
          <w:sz w:val="32"/>
          <w:szCs w:val="32"/>
          <w:highlight w:val="none"/>
          <w:lang w:val="en-US" w:eastAsia="zh-CN"/>
        </w:rPr>
      </w:pPr>
      <w:r>
        <w:rPr>
          <w:rFonts w:hint="eastAsia" w:ascii="宋体" w:hAnsi="宋体" w:eastAsia="宋体" w:cs="宋体"/>
          <w:color w:val="auto"/>
          <w:kern w:val="0"/>
          <w:sz w:val="32"/>
          <w:szCs w:val="32"/>
          <w:highlight w:val="none"/>
        </w:rPr>
        <w:t>项目名称：</w:t>
      </w:r>
      <w:r>
        <w:rPr>
          <w:rFonts w:hint="eastAsia" w:ascii="Times New Roman" w:hAnsi="Times New Roman" w:eastAsia="宋体" w:cs="Times New Roman"/>
          <w:color w:val="auto"/>
          <w:sz w:val="32"/>
          <w:szCs w:val="32"/>
          <w:highlight w:val="none"/>
          <w:u w:val="single"/>
        </w:rPr>
        <w:t xml:space="preserve">                             </w:t>
      </w:r>
    </w:p>
    <w:p w14:paraId="3B3D89C7">
      <w:pPr>
        <w:spacing w:line="360" w:lineRule="auto"/>
        <w:ind w:left="420" w:leftChars="200"/>
        <w:rPr>
          <w:rFonts w:ascii="Times New Roman" w:hAnsi="Times New Roman" w:eastAsia="宋体" w:cs="Times New Roman"/>
          <w:color w:val="auto"/>
          <w:sz w:val="32"/>
          <w:szCs w:val="32"/>
          <w:highlight w:val="none"/>
          <w:u w:val="single"/>
        </w:rPr>
      </w:pPr>
      <w:r>
        <w:rPr>
          <w:rFonts w:hint="eastAsia" w:ascii="Times New Roman" w:hAnsi="Times New Roman" w:eastAsia="宋体" w:cs="Times New Roman"/>
          <w:color w:val="auto"/>
          <w:sz w:val="32"/>
          <w:szCs w:val="32"/>
          <w:highlight w:val="none"/>
        </w:rPr>
        <w:t>合同编号：</w:t>
      </w:r>
      <w:r>
        <w:rPr>
          <w:rFonts w:hint="eastAsia" w:ascii="Times New Roman" w:hAnsi="Times New Roman" w:eastAsia="宋体" w:cs="Times New Roman"/>
          <w:color w:val="auto"/>
          <w:sz w:val="32"/>
          <w:szCs w:val="32"/>
          <w:highlight w:val="none"/>
          <w:u w:val="single"/>
        </w:rPr>
        <w:t xml:space="preserve">                             </w:t>
      </w:r>
    </w:p>
    <w:p w14:paraId="32037A1B">
      <w:pPr>
        <w:spacing w:line="360" w:lineRule="auto"/>
        <w:ind w:left="420" w:leftChars="200"/>
        <w:rPr>
          <w:rFonts w:hint="eastAsia" w:ascii="Times New Roman" w:hAnsi="Times New Roman" w:eastAsia="宋体" w:cs="Times New Roman"/>
          <w:color w:val="auto"/>
          <w:sz w:val="32"/>
          <w:szCs w:val="32"/>
          <w:highlight w:val="none"/>
          <w:u w:val="single"/>
        </w:rPr>
      </w:pPr>
      <w:r>
        <w:rPr>
          <w:rFonts w:hint="eastAsia" w:ascii="Times New Roman" w:hAnsi="Times New Roman" w:eastAsia="宋体" w:cs="Times New Roman"/>
          <w:color w:val="auto"/>
          <w:sz w:val="32"/>
          <w:szCs w:val="32"/>
          <w:highlight w:val="none"/>
        </w:rPr>
        <w:t>甲    方：</w:t>
      </w:r>
      <w:r>
        <w:rPr>
          <w:rFonts w:hint="eastAsia" w:ascii="Times New Roman" w:hAnsi="Times New Roman" w:eastAsia="宋体" w:cs="Times New Roman"/>
          <w:color w:val="auto"/>
          <w:sz w:val="32"/>
          <w:szCs w:val="32"/>
          <w:highlight w:val="none"/>
          <w:u w:val="single"/>
        </w:rPr>
        <w:t xml:space="preserve">                             </w:t>
      </w:r>
    </w:p>
    <w:p w14:paraId="08582A08">
      <w:pPr>
        <w:spacing w:line="360" w:lineRule="auto"/>
        <w:ind w:left="420" w:leftChars="200"/>
        <w:rPr>
          <w:rFonts w:hint="default" w:ascii="Times New Roman" w:hAnsi="Times New Roman" w:eastAsia="宋体" w:cs="Times New Roman"/>
          <w:color w:val="auto"/>
          <w:sz w:val="32"/>
          <w:szCs w:val="32"/>
          <w:highlight w:val="none"/>
          <w:u w:val="single"/>
          <w:lang w:val="en-US"/>
        </w:rPr>
      </w:pPr>
      <w:r>
        <w:rPr>
          <w:rFonts w:hint="eastAsia" w:ascii="Times New Roman" w:hAnsi="Times New Roman" w:eastAsia="宋体" w:cs="Times New Roman"/>
          <w:color w:val="auto"/>
          <w:sz w:val="32"/>
          <w:szCs w:val="32"/>
          <w:highlight w:val="none"/>
        </w:rPr>
        <w:t>乙    方：</w:t>
      </w:r>
      <w:r>
        <w:rPr>
          <w:rFonts w:hint="eastAsia" w:ascii="Times New Roman" w:hAnsi="Times New Roman" w:eastAsia="宋体" w:cs="Times New Roman"/>
          <w:color w:val="auto"/>
          <w:sz w:val="32"/>
          <w:szCs w:val="32"/>
          <w:highlight w:val="none"/>
          <w:u w:val="single"/>
        </w:rPr>
        <w:t xml:space="preserve"> </w:t>
      </w:r>
      <w:r>
        <w:rPr>
          <w:rFonts w:hint="eastAsia" w:ascii="Times New Roman" w:hAnsi="Times New Roman" w:eastAsia="宋体" w:cs="Times New Roman"/>
          <w:color w:val="auto"/>
          <w:sz w:val="32"/>
          <w:szCs w:val="32"/>
          <w:highlight w:val="none"/>
          <w:u w:val="single"/>
          <w:lang w:val="en-US" w:eastAsia="zh-CN"/>
        </w:rPr>
        <w:t xml:space="preserve"> </w:t>
      </w:r>
      <w:r>
        <w:rPr>
          <w:rFonts w:hint="eastAsia" w:ascii="Times New Roman" w:hAnsi="Times New Roman" w:cs="Times New Roman"/>
          <w:color w:val="auto"/>
          <w:sz w:val="32"/>
          <w:szCs w:val="32"/>
          <w:highlight w:val="none"/>
          <w:u w:val="single"/>
          <w:lang w:val="en-US" w:eastAsia="zh-CN"/>
        </w:rPr>
        <w:t xml:space="preserve">                           </w:t>
      </w:r>
    </w:p>
    <w:p w14:paraId="058AFC78">
      <w:pPr>
        <w:spacing w:line="360" w:lineRule="auto"/>
        <w:ind w:left="420" w:leftChars="200"/>
        <w:rPr>
          <w:rFonts w:ascii="Times New Roman" w:hAnsi="Times New Roman" w:eastAsia="宋体" w:cs="Times New Roman"/>
          <w:color w:val="auto"/>
          <w:sz w:val="32"/>
          <w:szCs w:val="32"/>
          <w:highlight w:val="none"/>
        </w:rPr>
      </w:pPr>
      <w:r>
        <w:rPr>
          <w:rFonts w:hint="eastAsia" w:ascii="Times New Roman" w:hAnsi="Times New Roman" w:eastAsia="宋体" w:cs="Times New Roman"/>
          <w:color w:val="auto"/>
          <w:sz w:val="32"/>
          <w:szCs w:val="32"/>
          <w:highlight w:val="none"/>
        </w:rPr>
        <w:t>签订时间：</w:t>
      </w:r>
      <w:r>
        <w:rPr>
          <w:rFonts w:hint="eastAsia" w:ascii="Times New Roman" w:hAnsi="Times New Roman" w:eastAsia="宋体" w:cs="Times New Roman"/>
          <w:color w:val="auto"/>
          <w:sz w:val="32"/>
          <w:szCs w:val="32"/>
          <w:highlight w:val="none"/>
          <w:u w:val="single"/>
        </w:rPr>
        <w:t xml:space="preserve">      </w:t>
      </w:r>
      <w:r>
        <w:rPr>
          <w:rFonts w:ascii="Times New Roman" w:hAnsi="Times New Roman" w:eastAsia="宋体" w:cs="Times New Roman"/>
          <w:color w:val="auto"/>
          <w:sz w:val="32"/>
          <w:szCs w:val="32"/>
          <w:highlight w:val="none"/>
          <w:u w:val="single"/>
        </w:rPr>
        <w:t xml:space="preserve">           </w:t>
      </w:r>
      <w:r>
        <w:rPr>
          <w:rFonts w:hint="eastAsia" w:ascii="Times New Roman" w:hAnsi="Times New Roman" w:eastAsia="宋体" w:cs="Times New Roman"/>
          <w:color w:val="auto"/>
          <w:sz w:val="32"/>
          <w:szCs w:val="32"/>
          <w:highlight w:val="none"/>
          <w:u w:val="single"/>
        </w:rPr>
        <w:t xml:space="preserve">            </w:t>
      </w:r>
    </w:p>
    <w:p w14:paraId="32B06DB9">
      <w:pPr>
        <w:rPr>
          <w:rFonts w:ascii="Times New Roman" w:hAnsi="Times New Roman" w:eastAsia="宋体" w:cs="Times New Roman"/>
          <w:color w:val="auto"/>
          <w:highlight w:val="none"/>
        </w:rPr>
      </w:pPr>
    </w:p>
    <w:p w14:paraId="49EFA7EB">
      <w:pPr>
        <w:rPr>
          <w:rFonts w:ascii="Times New Roman" w:hAnsi="Times New Roman" w:eastAsia="黑体" w:cs="Times New Roman"/>
          <w:color w:val="auto"/>
          <w:sz w:val="44"/>
          <w:szCs w:val="44"/>
          <w:highlight w:val="none"/>
        </w:rPr>
      </w:pPr>
      <w:r>
        <w:rPr>
          <w:rFonts w:ascii="Times New Roman" w:hAnsi="Times New Roman" w:eastAsia="黑体" w:cs="Times New Roman"/>
          <w:color w:val="auto"/>
          <w:sz w:val="44"/>
          <w:szCs w:val="44"/>
          <w:highlight w:val="none"/>
        </w:rPr>
        <w:br w:type="page"/>
      </w:r>
    </w:p>
    <w:p w14:paraId="3137E8BA">
      <w:pPr>
        <w:rPr>
          <w:rFonts w:ascii="Times New Roman" w:hAnsi="Times New Roman" w:eastAsia="黑体" w:cs="Times New Roman"/>
          <w:color w:val="auto"/>
          <w:sz w:val="44"/>
          <w:szCs w:val="44"/>
          <w:highlight w:val="none"/>
        </w:rPr>
      </w:pPr>
    </w:p>
    <w:p w14:paraId="7F246CE3">
      <w:pPr>
        <w:rPr>
          <w:rFonts w:ascii="Times New Roman" w:hAnsi="Times New Roman" w:eastAsia="黑体" w:cs="Times New Roman"/>
          <w:color w:val="auto"/>
          <w:sz w:val="44"/>
          <w:szCs w:val="44"/>
          <w:highlight w:val="none"/>
        </w:rPr>
      </w:pPr>
    </w:p>
    <w:p w14:paraId="3F100BB4">
      <w:pPr>
        <w:jc w:val="center"/>
        <w:rPr>
          <w:rFonts w:hint="eastAsia" w:ascii="Times New Roman" w:hAnsi="Times New Roman" w:eastAsia="黑体" w:cs="Times New Roman"/>
          <w:color w:val="auto"/>
          <w:sz w:val="44"/>
          <w:szCs w:val="44"/>
          <w:highlight w:val="none"/>
          <w:lang w:eastAsia="zh-CN"/>
        </w:rPr>
      </w:pPr>
      <w:r>
        <w:rPr>
          <w:rFonts w:hint="eastAsia" w:ascii="Times New Roman" w:hAnsi="Times New Roman" w:eastAsia="黑体" w:cs="Times New Roman"/>
          <w:color w:val="auto"/>
          <w:sz w:val="44"/>
          <w:szCs w:val="44"/>
          <w:highlight w:val="none"/>
          <w:lang w:eastAsia="zh-CN"/>
        </w:rPr>
        <w:t>使</w:t>
      </w:r>
      <w:r>
        <w:rPr>
          <w:rFonts w:hint="eastAsia" w:ascii="Times New Roman" w:hAnsi="Times New Roman" w:eastAsia="黑体" w:cs="Times New Roman"/>
          <w:color w:val="auto"/>
          <w:sz w:val="44"/>
          <w:szCs w:val="44"/>
          <w:highlight w:val="none"/>
          <w:lang w:val="en-US" w:eastAsia="zh-CN"/>
        </w:rPr>
        <w:t xml:space="preserve"> </w:t>
      </w:r>
      <w:r>
        <w:rPr>
          <w:rFonts w:hint="eastAsia" w:ascii="Times New Roman" w:hAnsi="Times New Roman" w:eastAsia="黑体" w:cs="Times New Roman"/>
          <w:color w:val="auto"/>
          <w:sz w:val="44"/>
          <w:szCs w:val="44"/>
          <w:highlight w:val="none"/>
          <w:lang w:eastAsia="zh-CN"/>
        </w:rPr>
        <w:t>用</w:t>
      </w:r>
      <w:r>
        <w:rPr>
          <w:rFonts w:hint="eastAsia" w:ascii="Times New Roman" w:hAnsi="Times New Roman" w:eastAsia="黑体" w:cs="Times New Roman"/>
          <w:color w:val="auto"/>
          <w:sz w:val="44"/>
          <w:szCs w:val="44"/>
          <w:highlight w:val="none"/>
          <w:lang w:val="en-US" w:eastAsia="zh-CN"/>
        </w:rPr>
        <w:t xml:space="preserve"> </w:t>
      </w:r>
      <w:r>
        <w:rPr>
          <w:rFonts w:hint="eastAsia" w:ascii="Times New Roman" w:hAnsi="Times New Roman" w:eastAsia="黑体" w:cs="Times New Roman"/>
          <w:color w:val="auto"/>
          <w:sz w:val="44"/>
          <w:szCs w:val="44"/>
          <w:highlight w:val="none"/>
          <w:lang w:eastAsia="zh-CN"/>
        </w:rPr>
        <w:t>说</w:t>
      </w:r>
      <w:r>
        <w:rPr>
          <w:rFonts w:hint="eastAsia" w:ascii="Times New Roman" w:hAnsi="Times New Roman" w:eastAsia="黑体" w:cs="Times New Roman"/>
          <w:color w:val="auto"/>
          <w:sz w:val="44"/>
          <w:szCs w:val="44"/>
          <w:highlight w:val="none"/>
          <w:lang w:val="en-US" w:eastAsia="zh-CN"/>
        </w:rPr>
        <w:t xml:space="preserve"> </w:t>
      </w:r>
      <w:r>
        <w:rPr>
          <w:rFonts w:hint="eastAsia" w:ascii="Times New Roman" w:hAnsi="Times New Roman" w:eastAsia="黑体" w:cs="Times New Roman"/>
          <w:color w:val="auto"/>
          <w:sz w:val="44"/>
          <w:szCs w:val="44"/>
          <w:highlight w:val="none"/>
          <w:lang w:eastAsia="zh-CN"/>
        </w:rPr>
        <w:t>明</w:t>
      </w:r>
    </w:p>
    <w:p w14:paraId="00C23858">
      <w:pPr>
        <w:ind w:firstLine="640" w:firstLineChars="200"/>
        <w:rPr>
          <w:rFonts w:hint="eastAsia" w:ascii="仿宋_GB2312" w:hAnsi="仿宋_GB2312" w:eastAsia="仿宋_GB2312" w:cs="仿宋_GB2312"/>
          <w:color w:val="auto"/>
          <w:sz w:val="32"/>
          <w:szCs w:val="32"/>
          <w:highlight w:val="none"/>
          <w:lang w:val="en-US" w:eastAsia="zh-CN"/>
        </w:rPr>
      </w:pPr>
    </w:p>
    <w:p w14:paraId="4CE049F0">
      <w:pPr>
        <w:ind w:firstLine="640" w:firstLineChars="200"/>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1.本合同标准文本适用于购买现成货物的采购项目，不包括需要供应商定制开发、创新研发的货物采购项目。</w:t>
      </w:r>
    </w:p>
    <w:p w14:paraId="13382B8E">
      <w:pPr>
        <w:ind w:firstLine="0" w:firstLineChars="0"/>
        <w:rPr>
          <w:rFonts w:hint="default" w:ascii="Times New Roman" w:hAnsi="Times New Roman" w:eastAsia="黑体" w:cs="Times New Roman"/>
          <w:color w:val="auto"/>
          <w:sz w:val="44"/>
          <w:szCs w:val="44"/>
          <w:highlight w:val="none"/>
          <w:lang w:val="en-US" w:eastAsia="zh-CN"/>
        </w:rPr>
      </w:pPr>
      <w:r>
        <w:rPr>
          <w:rFonts w:hint="eastAsia" w:ascii="Times New Roman" w:hAnsi="Times New Roman" w:eastAsia="黑体" w:cs="Times New Roman"/>
          <w:color w:val="auto"/>
          <w:sz w:val="44"/>
          <w:szCs w:val="44"/>
          <w:highlight w:val="none"/>
          <w:lang w:val="en-US" w:eastAsia="zh-CN"/>
        </w:rPr>
        <w:t xml:space="preserve">   </w:t>
      </w:r>
      <w:r>
        <w:rPr>
          <w:rFonts w:hint="eastAsia" w:ascii="仿宋_GB2312" w:hAnsi="仿宋_GB2312" w:eastAsia="仿宋_GB2312" w:cs="仿宋_GB2312"/>
          <w:color w:val="auto"/>
          <w:sz w:val="32"/>
          <w:szCs w:val="32"/>
          <w:highlight w:val="none"/>
          <w:lang w:val="en-US" w:eastAsia="zh-CN"/>
        </w:rPr>
        <w:t>2.本合同标准文本为政府采购货物买卖合同编制提供参考，可以结合采购项目具体情况，对文本作必要的调整修订后使用。</w:t>
      </w:r>
    </w:p>
    <w:p w14:paraId="5C636830">
      <w:pPr>
        <w:ind w:firstLine="640" w:firstLineChars="200"/>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3.本合同标准文本各条款中，如涉及填写多家供应商、制造商，多种采购标的、分包主要内容等信息的，可根据采购项目具体情况添加信息项。</w:t>
      </w:r>
    </w:p>
    <w:p w14:paraId="07162CCB">
      <w:pPr>
        <w:ind w:firstLine="880" w:firstLineChars="200"/>
        <w:jc w:val="both"/>
        <w:rPr>
          <w:rFonts w:eastAsia="黑体"/>
          <w:color w:val="auto"/>
          <w:sz w:val="44"/>
          <w:szCs w:val="44"/>
          <w:highlight w:val="none"/>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36FB0BD2">
      <w:pPr>
        <w:bidi w:val="0"/>
        <w:rPr>
          <w:rFonts w:hint="eastAsia"/>
          <w:color w:val="auto"/>
          <w:highlight w:val="none"/>
          <w:lang w:val="en-US" w:eastAsia="zh-CN"/>
        </w:rPr>
      </w:pPr>
    </w:p>
    <w:p w14:paraId="0849A06D">
      <w:pPr>
        <w:keepNext/>
        <w:keepLines/>
        <w:widowControl w:val="0"/>
        <w:adjustRightInd w:val="0"/>
        <w:snapToGrid w:val="0"/>
        <w:spacing w:beforeLines="0" w:line="400" w:lineRule="exact"/>
        <w:jc w:val="center"/>
        <w:outlineLvl w:val="1"/>
        <w:rPr>
          <w:rFonts w:hint="eastAsia" w:ascii="黑体" w:hAnsi="华文中宋" w:eastAsia="黑体" w:cs="Times New Roman"/>
          <w:b w:val="0"/>
          <w:bCs w:val="0"/>
          <w:color w:val="auto"/>
          <w:kern w:val="2"/>
          <w:sz w:val="28"/>
          <w:szCs w:val="28"/>
          <w:highlight w:val="none"/>
          <w:lang w:val="en-US" w:eastAsia="zh-CN" w:bidi="ar-SA"/>
        </w:rPr>
      </w:pPr>
      <w:r>
        <w:rPr>
          <w:rFonts w:hint="eastAsia" w:ascii="黑体" w:hAnsi="黑体" w:eastAsia="黑体" w:cs="Times New Roman"/>
          <w:b w:val="0"/>
          <w:bCs w:val="0"/>
          <w:color w:val="auto"/>
          <w:kern w:val="2"/>
          <w:sz w:val="28"/>
          <w:szCs w:val="28"/>
          <w:highlight w:val="none"/>
          <w:lang w:val="en-US" w:eastAsia="zh-CN" w:bidi="ar-SA"/>
        </w:rPr>
        <w:t xml:space="preserve">第一节 </w:t>
      </w:r>
      <w:r>
        <w:rPr>
          <w:rFonts w:hint="eastAsia" w:ascii="黑体" w:hAnsi="华文中宋" w:eastAsia="黑体" w:cs="Times New Roman"/>
          <w:b w:val="0"/>
          <w:bCs w:val="0"/>
          <w:color w:val="auto"/>
          <w:kern w:val="2"/>
          <w:sz w:val="28"/>
          <w:szCs w:val="28"/>
          <w:highlight w:val="none"/>
          <w:lang w:val="en-US" w:eastAsia="zh-CN" w:bidi="ar-SA"/>
        </w:rPr>
        <w:t>政府采购合同协议书</w:t>
      </w:r>
    </w:p>
    <w:p w14:paraId="0D5A49AC">
      <w:pPr>
        <w:bidi w:val="0"/>
        <w:rPr>
          <w:rFonts w:hint="eastAsia"/>
          <w:color w:val="auto"/>
          <w:highlight w:val="none"/>
          <w:lang w:val="en-US" w:eastAsia="zh-CN"/>
        </w:rPr>
      </w:pPr>
    </w:p>
    <w:p w14:paraId="1B45E302">
      <w:pPr>
        <w:adjustRightInd w:val="0"/>
        <w:snapToGrid w:val="0"/>
        <w:spacing w:before="0" w:beforeLines="0" w:line="400" w:lineRule="exact"/>
        <w:ind w:left="5040" w:hanging="5040" w:hangingChars="24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甲方（全称）：</w:t>
      </w:r>
      <w:r>
        <w:rPr>
          <w:rFonts w:hint="eastAsia" w:ascii="Times New Roman" w:hAnsi="Times New Roman" w:eastAsia="宋体" w:cs="Times New Roman"/>
          <w:color w:val="auto"/>
          <w:sz w:val="32"/>
          <w:szCs w:val="32"/>
          <w:highlight w:val="none"/>
          <w:u w:val="single"/>
        </w:rPr>
        <w:t xml:space="preserve">                       </w:t>
      </w:r>
      <w:r>
        <w:rPr>
          <w:rFonts w:hint="eastAsia" w:ascii="宋体" w:hAnsi="宋体" w:eastAsia="宋体" w:cs="Times New Roman"/>
          <w:color w:val="auto"/>
          <w:szCs w:val="21"/>
          <w:highlight w:val="none"/>
        </w:rPr>
        <w:t>（采购人</w:t>
      </w:r>
      <w:r>
        <w:rPr>
          <w:rFonts w:hint="eastAsia" w:ascii="宋体" w:hAnsi="宋体" w:eastAsia="宋体" w:cs="Times New Roman"/>
          <w:color w:val="auto"/>
          <w:szCs w:val="21"/>
          <w:highlight w:val="none"/>
          <w:lang w:eastAsia="zh-CN"/>
        </w:rPr>
        <w:t>、受采购人委托签订合同的单位</w:t>
      </w:r>
      <w:r>
        <w:rPr>
          <w:rFonts w:hint="eastAsia" w:ascii="宋体" w:hAnsi="宋体" w:eastAsia="宋体" w:cs="Times New Roman"/>
          <w:color w:val="auto"/>
          <w:szCs w:val="21"/>
          <w:highlight w:val="none"/>
        </w:rPr>
        <w:t>或采购文件约定的合同甲方）</w:t>
      </w:r>
    </w:p>
    <w:p w14:paraId="23DAA52A">
      <w:pPr>
        <w:adjustRightInd w:val="0"/>
        <w:snapToGrid w:val="0"/>
        <w:spacing w:before="0" w:beforeLines="0" w:line="400" w:lineRule="exac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乙方</w:t>
      </w:r>
      <w:r>
        <w:rPr>
          <w:rFonts w:hint="eastAsia" w:ascii="宋体" w:hAnsi="宋体" w:eastAsia="宋体" w:cs="Times New Roman"/>
          <w:color w:val="auto"/>
          <w:szCs w:val="21"/>
          <w:highlight w:val="none"/>
          <w:lang w:val="en-US" w:eastAsia="zh-CN"/>
        </w:rPr>
        <w:t>1</w:t>
      </w:r>
      <w:r>
        <w:rPr>
          <w:rFonts w:hint="eastAsia" w:ascii="宋体" w:hAnsi="宋体" w:eastAsia="宋体" w:cs="Times New Roman"/>
          <w:color w:val="auto"/>
          <w:szCs w:val="21"/>
          <w:highlight w:val="none"/>
        </w:rPr>
        <w:t>（全称）：</w:t>
      </w:r>
      <w:r>
        <w:rPr>
          <w:rFonts w:hint="eastAsia" w:ascii="宋体" w:hAnsi="宋体" w:eastAsia="宋体" w:cs="Times New Roman"/>
          <w:color w:val="auto"/>
          <w:szCs w:val="21"/>
          <w:highlight w:val="none"/>
          <w:u w:val="single"/>
        </w:rPr>
        <w:t xml:space="preserve">                       </w:t>
      </w:r>
      <w:r>
        <w:rPr>
          <w:rFonts w:hint="eastAsia" w:ascii="宋体" w:hAnsi="宋体" w:eastAsia="宋体" w:cs="Times New Roman"/>
          <w:color w:val="auto"/>
          <w:szCs w:val="21"/>
          <w:highlight w:val="none"/>
        </w:rPr>
        <w:t>（供应商）</w:t>
      </w:r>
    </w:p>
    <w:p w14:paraId="49632657">
      <w:pPr>
        <w:spacing w:beforeLines="0" w:line="400" w:lineRule="exact"/>
        <w:rPr>
          <w:rFonts w:hint="default" w:ascii="Times New Roman" w:hAnsi="Times New Roman" w:eastAsia="宋体" w:cs="Times New Roman"/>
          <w:color w:val="auto"/>
          <w:highlight w:val="none"/>
          <w:lang w:val="en-US" w:eastAsia="zh-CN"/>
        </w:rPr>
      </w:pPr>
    </w:p>
    <w:p w14:paraId="497E8B71">
      <w:pPr>
        <w:widowControl w:val="0"/>
        <w:adjustRightInd w:val="0"/>
        <w:snapToGrid w:val="0"/>
        <w:spacing w:before="0" w:beforeLines="0" w:after="0" w:line="400" w:lineRule="exact"/>
        <w:ind w:left="0" w:leftChars="0" w:firstLine="420" w:firstLineChars="200"/>
        <w:jc w:val="both"/>
        <w:rPr>
          <w:rFonts w:ascii="宋体" w:hAnsi="宋体" w:eastAsia="宋体" w:cs="Times New Roman"/>
          <w:color w:val="auto"/>
          <w:kern w:val="2"/>
          <w:sz w:val="21"/>
          <w:szCs w:val="21"/>
          <w:highlight w:val="none"/>
          <w:lang w:val="en-US" w:eastAsia="zh-CN" w:bidi="ar-SA"/>
        </w:rPr>
      </w:pPr>
      <w:r>
        <w:rPr>
          <w:rFonts w:hint="eastAsia" w:ascii="宋体" w:hAnsi="宋体" w:eastAsia="宋体" w:cs="Times New Roman"/>
          <w:color w:val="auto"/>
          <w:kern w:val="2"/>
          <w:sz w:val="21"/>
          <w:szCs w:val="21"/>
          <w:highlight w:val="none"/>
          <w:lang w:val="en-US" w:eastAsia="zh-CN" w:bidi="ar-SA"/>
        </w:rPr>
        <w:t>依据《中华人民共和国民法典》、《中华人民共和国政府采购法》等有关的法律法规，以及</w:t>
      </w:r>
      <w:r>
        <w:rPr>
          <w:rFonts w:hint="eastAsia" w:ascii="宋体" w:hAnsi="宋体" w:eastAsia="宋体" w:cs="Times New Roman"/>
          <w:i w:val="0"/>
          <w:iCs w:val="0"/>
          <w:color w:val="auto"/>
          <w:kern w:val="2"/>
          <w:sz w:val="21"/>
          <w:szCs w:val="21"/>
          <w:highlight w:val="none"/>
          <w:u w:val="none"/>
          <w:lang w:val="en-US" w:eastAsia="zh-CN" w:bidi="ar-SA"/>
        </w:rPr>
        <w:t>本采购项目</w:t>
      </w:r>
      <w:r>
        <w:rPr>
          <w:rFonts w:hint="eastAsia" w:ascii="宋体" w:hAnsi="宋体" w:eastAsia="宋体" w:cs="Times New Roman"/>
          <w:color w:val="auto"/>
          <w:kern w:val="2"/>
          <w:sz w:val="21"/>
          <w:szCs w:val="21"/>
          <w:highlight w:val="none"/>
          <w:lang w:val="en-US" w:eastAsia="zh-CN" w:bidi="ar-SA"/>
        </w:rPr>
        <w:t xml:space="preserve">的招标/谈判文件等采购文件、乙方的《投标（响应）文件》及《中标（成交）通知书》，甲乙双方同意签订本合同。具体情况及要求如下：     </w:t>
      </w:r>
    </w:p>
    <w:p w14:paraId="5D87E4BA">
      <w:pPr>
        <w:numPr>
          <w:ilvl w:val="0"/>
          <w:numId w:val="24"/>
        </w:numPr>
        <w:adjustRightInd w:val="0"/>
        <w:snapToGrid w:val="0"/>
        <w:spacing w:before="0" w:beforeLines="0" w:line="400" w:lineRule="exact"/>
        <w:ind w:firstLine="422" w:firstLineChars="200"/>
        <w:rPr>
          <w:rFonts w:ascii="宋体" w:hAnsi="宋体" w:eastAsia="宋体" w:cs="Times New Roman"/>
          <w:b/>
          <w:color w:val="auto"/>
          <w:szCs w:val="21"/>
          <w:highlight w:val="none"/>
        </w:rPr>
      </w:pPr>
      <w:r>
        <w:rPr>
          <w:rFonts w:hint="eastAsia" w:ascii="宋体" w:hAnsi="宋体" w:eastAsia="宋体" w:cs="Times New Roman"/>
          <w:b/>
          <w:color w:val="auto"/>
          <w:szCs w:val="21"/>
          <w:highlight w:val="none"/>
        </w:rPr>
        <w:t>项目信息</w:t>
      </w:r>
    </w:p>
    <w:p w14:paraId="1326F1C1">
      <w:pPr>
        <w:widowControl w:val="0"/>
        <w:numPr>
          <w:ilvl w:val="0"/>
          <w:numId w:val="25"/>
        </w:numPr>
        <w:adjustRightInd w:val="0"/>
        <w:snapToGrid w:val="0"/>
        <w:spacing w:before="0" w:beforeLines="0" w:after="0" w:line="400" w:lineRule="exact"/>
        <w:ind w:left="0" w:leftChars="0" w:firstLine="420" w:firstLineChars="200"/>
        <w:jc w:val="both"/>
        <w:rPr>
          <w:rFonts w:ascii="宋体" w:hAnsi="宋体" w:eastAsia="宋体" w:cs="Times New Roman"/>
          <w:color w:val="auto"/>
          <w:kern w:val="2"/>
          <w:sz w:val="21"/>
          <w:szCs w:val="21"/>
          <w:highlight w:val="none"/>
          <w:u w:val="single"/>
          <w:lang w:val="en-US" w:eastAsia="zh-CN" w:bidi="ar-SA"/>
        </w:rPr>
      </w:pPr>
      <w:r>
        <w:rPr>
          <w:rFonts w:hint="eastAsia" w:ascii="宋体" w:hAnsi="宋体" w:eastAsia="宋体" w:cs="Times New Roman"/>
          <w:color w:val="auto"/>
          <w:kern w:val="2"/>
          <w:sz w:val="21"/>
          <w:szCs w:val="21"/>
          <w:highlight w:val="none"/>
          <w:lang w:val="en-US" w:eastAsia="zh-CN" w:bidi="ar-SA"/>
        </w:rPr>
        <w:t>采购项目名称：</w:t>
      </w:r>
      <w:r>
        <w:rPr>
          <w:rFonts w:hint="eastAsia" w:ascii="Times New Roman" w:hAnsi="Times New Roman" w:eastAsia="宋体" w:cs="Times New Roman"/>
          <w:color w:val="auto"/>
          <w:sz w:val="32"/>
          <w:szCs w:val="32"/>
          <w:highlight w:val="none"/>
          <w:u w:val="single"/>
        </w:rPr>
        <w:t xml:space="preserve">                    </w:t>
      </w:r>
      <w:r>
        <w:rPr>
          <w:rFonts w:hint="eastAsia" w:ascii="Times New Roman" w:hAnsi="Times New Roman" w:cs="Times New Roman"/>
          <w:color w:val="auto"/>
          <w:sz w:val="32"/>
          <w:szCs w:val="32"/>
          <w:highlight w:val="none"/>
          <w:u w:val="single"/>
          <w:lang w:val="en-US" w:eastAsia="zh-CN"/>
        </w:rPr>
        <w:t xml:space="preserve"> </w:t>
      </w:r>
      <w:r>
        <w:rPr>
          <w:rFonts w:hint="eastAsia" w:ascii="Times New Roman" w:hAnsi="Times New Roman" w:eastAsia="宋体" w:cs="Times New Roman"/>
          <w:color w:val="auto"/>
          <w:sz w:val="32"/>
          <w:szCs w:val="32"/>
          <w:highlight w:val="none"/>
          <w:u w:val="single"/>
        </w:rPr>
        <w:t xml:space="preserve">       </w:t>
      </w:r>
    </w:p>
    <w:p w14:paraId="50B7269C">
      <w:pPr>
        <w:widowControl w:val="0"/>
        <w:numPr>
          <w:ilvl w:val="-1"/>
          <w:numId w:val="0"/>
        </w:numPr>
        <w:tabs>
          <w:tab w:val="left" w:pos="999"/>
        </w:tabs>
        <w:adjustRightInd w:val="0"/>
        <w:snapToGrid w:val="0"/>
        <w:spacing w:before="0" w:beforeLines="0" w:after="0" w:line="400" w:lineRule="exact"/>
        <w:ind w:left="0" w:leftChars="0" w:firstLine="0" w:firstLineChars="0"/>
        <w:jc w:val="both"/>
        <w:rPr>
          <w:rFonts w:hint="default" w:ascii="宋体" w:hAnsi="宋体" w:eastAsia="宋体" w:cs="Times New Roman"/>
          <w:color w:val="auto"/>
          <w:kern w:val="2"/>
          <w:sz w:val="21"/>
          <w:szCs w:val="21"/>
          <w:highlight w:val="none"/>
          <w:u w:val="none"/>
          <w:lang w:val="en-US" w:eastAsia="zh-CN" w:bidi="ar-SA"/>
        </w:rPr>
      </w:pPr>
      <w:r>
        <w:rPr>
          <w:rFonts w:hint="eastAsia" w:ascii="宋体" w:hAnsi="宋体" w:eastAsia="宋体" w:cs="Times New Roman"/>
          <w:color w:val="auto"/>
          <w:kern w:val="2"/>
          <w:sz w:val="21"/>
          <w:szCs w:val="21"/>
          <w:highlight w:val="none"/>
          <w:u w:val="none"/>
          <w:lang w:val="en-US" w:eastAsia="zh-CN" w:bidi="ar-SA"/>
        </w:rPr>
        <w:t xml:space="preserve">         采购项目编号：</w:t>
      </w:r>
      <w:r>
        <w:rPr>
          <w:rFonts w:ascii="宋体" w:hAnsi="宋体" w:eastAsia="宋体" w:cs="Times New Roman"/>
          <w:color w:val="auto"/>
          <w:kern w:val="2"/>
          <w:sz w:val="21"/>
          <w:szCs w:val="21"/>
          <w:highlight w:val="none"/>
          <w:u w:val="single"/>
          <w:lang w:val="en-US" w:eastAsia="zh-CN" w:bidi="ar-SA"/>
        </w:rPr>
        <w:t xml:space="preserve">                                   </w:t>
      </w:r>
      <w:r>
        <w:rPr>
          <w:rFonts w:hint="eastAsia" w:cs="Times New Roman"/>
          <w:color w:val="auto"/>
          <w:kern w:val="2"/>
          <w:sz w:val="21"/>
          <w:szCs w:val="21"/>
          <w:highlight w:val="none"/>
          <w:u w:val="single"/>
          <w:lang w:val="en-US" w:eastAsia="zh-CN" w:bidi="ar-SA"/>
        </w:rPr>
        <w:t xml:space="preserve"> </w:t>
      </w:r>
      <w:r>
        <w:rPr>
          <w:rFonts w:ascii="宋体" w:hAnsi="宋体" w:eastAsia="宋体" w:cs="Times New Roman"/>
          <w:color w:val="auto"/>
          <w:kern w:val="2"/>
          <w:sz w:val="21"/>
          <w:szCs w:val="21"/>
          <w:highlight w:val="none"/>
          <w:u w:val="single"/>
          <w:lang w:val="en-US" w:eastAsia="zh-CN" w:bidi="ar-SA"/>
        </w:rPr>
        <w:t xml:space="preserve">       </w:t>
      </w:r>
    </w:p>
    <w:p w14:paraId="1D4DD83E">
      <w:pPr>
        <w:widowControl w:val="0"/>
        <w:adjustRightInd w:val="0"/>
        <w:snapToGrid w:val="0"/>
        <w:spacing w:before="0" w:beforeLines="0" w:after="0" w:line="400" w:lineRule="exact"/>
        <w:ind w:left="0" w:leftChars="0" w:firstLine="420" w:firstLineChars="200"/>
        <w:jc w:val="both"/>
        <w:rPr>
          <w:rFonts w:ascii="宋体" w:hAnsi="宋体" w:eastAsia="宋体" w:cs="Times New Roman"/>
          <w:color w:val="auto"/>
          <w:kern w:val="2"/>
          <w:sz w:val="21"/>
          <w:szCs w:val="21"/>
          <w:highlight w:val="none"/>
          <w:lang w:val="en-US" w:eastAsia="zh-CN" w:bidi="ar-SA"/>
        </w:rPr>
      </w:pPr>
      <w:r>
        <w:rPr>
          <w:rFonts w:hint="eastAsia" w:ascii="宋体" w:hAnsi="宋体" w:eastAsia="宋体" w:cs="Times New Roman"/>
          <w:color w:val="auto"/>
          <w:kern w:val="2"/>
          <w:sz w:val="21"/>
          <w:szCs w:val="21"/>
          <w:highlight w:val="none"/>
          <w:lang w:val="en-US" w:eastAsia="zh-CN" w:bidi="ar-SA"/>
        </w:rPr>
        <w:t>（2）采购计划编号：</w:t>
      </w:r>
      <w:r>
        <w:rPr>
          <w:rFonts w:ascii="宋体" w:hAnsi="宋体" w:eastAsia="宋体" w:cs="Times New Roman"/>
          <w:color w:val="auto"/>
          <w:kern w:val="2"/>
          <w:sz w:val="21"/>
          <w:szCs w:val="21"/>
          <w:highlight w:val="none"/>
          <w:u w:val="single"/>
          <w:lang w:val="en-US" w:eastAsia="zh-CN" w:bidi="ar-SA"/>
        </w:rPr>
        <w:t xml:space="preserve">                     </w:t>
      </w:r>
      <w:r>
        <w:rPr>
          <w:rFonts w:hint="eastAsia" w:ascii="宋体" w:hAnsi="宋体" w:eastAsia="宋体" w:cs="Times New Roman"/>
          <w:color w:val="auto"/>
          <w:kern w:val="2"/>
          <w:sz w:val="21"/>
          <w:szCs w:val="21"/>
          <w:highlight w:val="none"/>
          <w:u w:val="single"/>
          <w:lang w:val="en-US" w:eastAsia="zh-CN" w:bidi="ar-SA"/>
        </w:rPr>
        <w:t xml:space="preserve">             </w:t>
      </w:r>
      <w:r>
        <w:rPr>
          <w:rFonts w:hint="eastAsia" w:cs="Times New Roman"/>
          <w:color w:val="auto"/>
          <w:kern w:val="2"/>
          <w:sz w:val="21"/>
          <w:szCs w:val="21"/>
          <w:highlight w:val="none"/>
          <w:u w:val="single"/>
          <w:lang w:val="en-US" w:eastAsia="zh-CN" w:bidi="ar-SA"/>
        </w:rPr>
        <w:t xml:space="preserve"> </w:t>
      </w:r>
      <w:r>
        <w:rPr>
          <w:rFonts w:hint="eastAsia" w:ascii="宋体" w:hAnsi="宋体" w:eastAsia="宋体" w:cs="Times New Roman"/>
          <w:color w:val="auto"/>
          <w:kern w:val="2"/>
          <w:sz w:val="21"/>
          <w:szCs w:val="21"/>
          <w:highlight w:val="none"/>
          <w:u w:val="single"/>
          <w:lang w:val="en-US" w:eastAsia="zh-CN" w:bidi="ar-SA"/>
        </w:rPr>
        <w:t xml:space="preserve">   </w:t>
      </w:r>
      <w:r>
        <w:rPr>
          <w:rFonts w:ascii="宋体" w:hAnsi="宋体" w:eastAsia="宋体" w:cs="Times New Roman"/>
          <w:color w:val="auto"/>
          <w:kern w:val="2"/>
          <w:sz w:val="21"/>
          <w:szCs w:val="21"/>
          <w:highlight w:val="none"/>
          <w:u w:val="single"/>
          <w:lang w:val="en-US" w:eastAsia="zh-CN" w:bidi="ar-SA"/>
        </w:rPr>
        <w:t xml:space="preserve">     </w:t>
      </w:r>
      <w:r>
        <w:rPr>
          <w:rFonts w:ascii="宋体" w:hAnsi="宋体" w:eastAsia="宋体" w:cs="Times New Roman"/>
          <w:color w:val="auto"/>
          <w:kern w:val="2"/>
          <w:sz w:val="21"/>
          <w:szCs w:val="21"/>
          <w:highlight w:val="none"/>
          <w:lang w:val="en-US" w:eastAsia="zh-CN" w:bidi="ar-SA"/>
        </w:rPr>
        <w:t xml:space="preserve"> </w:t>
      </w:r>
    </w:p>
    <w:p w14:paraId="6E4EEEFC">
      <w:pPr>
        <w:adjustRightInd w:val="0"/>
        <w:snapToGrid w:val="0"/>
        <w:spacing w:before="0" w:beforeLines="0" w:line="400" w:lineRule="exact"/>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（3）项目内容：</w:t>
      </w:r>
    </w:p>
    <w:p w14:paraId="6C35C230">
      <w:pPr>
        <w:adjustRightInd w:val="0"/>
        <w:snapToGrid w:val="0"/>
        <w:spacing w:before="0" w:beforeLines="0" w:line="400" w:lineRule="exact"/>
        <w:ind w:firstLine="420" w:firstLineChars="200"/>
        <w:rPr>
          <w:rFonts w:hint="eastAsia" w:ascii="宋体" w:hAnsi="宋体" w:eastAsia="宋体" w:cs="Times New Roman"/>
          <w:color w:val="auto"/>
          <w:szCs w:val="21"/>
          <w:highlight w:val="none"/>
          <w:lang w:val="en-US" w:eastAsia="zh-CN"/>
        </w:rPr>
      </w:pPr>
      <w:r>
        <w:rPr>
          <w:rFonts w:hint="eastAsia" w:ascii="宋体" w:hAnsi="宋体" w:eastAsia="宋体" w:cs="Times New Roman"/>
          <w:color w:val="auto"/>
          <w:szCs w:val="21"/>
          <w:highlight w:val="none"/>
          <w:lang w:val="en-US" w:eastAsia="zh-CN"/>
        </w:rPr>
        <w:t xml:space="preserve">     </w:t>
      </w:r>
      <w:r>
        <w:rPr>
          <w:rFonts w:hint="eastAsia" w:ascii="宋体" w:hAnsi="宋体" w:eastAsia="宋体" w:cs="Times New Roman"/>
          <w:color w:val="auto"/>
          <w:szCs w:val="21"/>
          <w:highlight w:val="none"/>
          <w:lang w:eastAsia="zh-CN"/>
        </w:rPr>
        <w:t>采购标的及数量</w:t>
      </w:r>
      <w:r>
        <w:rPr>
          <w:rFonts w:hint="eastAsia" w:ascii="宋体" w:hAnsi="宋体" w:eastAsia="宋体" w:cs="Times New Roman"/>
          <w:color w:val="auto"/>
          <w:szCs w:val="21"/>
          <w:highlight w:val="none"/>
          <w:lang w:val="en-US" w:eastAsia="zh-CN"/>
        </w:rPr>
        <w:t>（台/套</w:t>
      </w:r>
      <w:r>
        <w:rPr>
          <w:rFonts w:hint="default" w:ascii="宋体" w:hAnsi="宋体" w:eastAsia="宋体" w:cs="Times New Roman"/>
          <w:color w:val="auto"/>
          <w:szCs w:val="21"/>
          <w:highlight w:val="none"/>
          <w:lang w:val="en" w:eastAsia="zh-CN"/>
        </w:rPr>
        <w:t>/</w:t>
      </w:r>
      <w:r>
        <w:rPr>
          <w:rFonts w:hint="eastAsia" w:ascii="宋体" w:hAnsi="宋体" w:eastAsia="宋体" w:cs="Times New Roman"/>
          <w:color w:val="auto"/>
          <w:szCs w:val="21"/>
          <w:highlight w:val="none"/>
          <w:lang w:val="en" w:eastAsia="zh-CN"/>
        </w:rPr>
        <w:t>个</w:t>
      </w:r>
      <w:r>
        <w:rPr>
          <w:rFonts w:hint="default" w:ascii="宋体" w:hAnsi="宋体" w:eastAsia="宋体" w:cs="Times New Roman"/>
          <w:color w:val="auto"/>
          <w:szCs w:val="21"/>
          <w:highlight w:val="none"/>
          <w:lang w:val="en" w:eastAsia="zh-CN"/>
        </w:rPr>
        <w:t>/</w:t>
      </w:r>
      <w:r>
        <w:rPr>
          <w:rFonts w:hint="eastAsia" w:ascii="宋体" w:hAnsi="宋体" w:eastAsia="宋体" w:cs="Times New Roman"/>
          <w:color w:val="auto"/>
          <w:szCs w:val="21"/>
          <w:highlight w:val="none"/>
          <w:lang w:val="en" w:eastAsia="zh-CN"/>
        </w:rPr>
        <w:t>架</w:t>
      </w:r>
      <w:r>
        <w:rPr>
          <w:rFonts w:hint="default" w:ascii="宋体" w:hAnsi="宋体" w:eastAsia="宋体" w:cs="Times New Roman"/>
          <w:color w:val="auto"/>
          <w:szCs w:val="21"/>
          <w:highlight w:val="none"/>
          <w:lang w:val="en" w:eastAsia="zh-CN"/>
        </w:rPr>
        <w:t>/</w:t>
      </w:r>
      <w:r>
        <w:rPr>
          <w:rFonts w:hint="eastAsia" w:ascii="宋体" w:hAnsi="宋体" w:eastAsia="宋体" w:cs="Times New Roman"/>
          <w:color w:val="auto"/>
          <w:szCs w:val="21"/>
          <w:highlight w:val="none"/>
          <w:lang w:val="en" w:eastAsia="zh-CN"/>
        </w:rPr>
        <w:t>组等</w:t>
      </w:r>
      <w:r>
        <w:rPr>
          <w:rFonts w:hint="eastAsia" w:ascii="宋体" w:hAnsi="宋体" w:eastAsia="宋体" w:cs="Times New Roman"/>
          <w:color w:val="auto"/>
          <w:szCs w:val="21"/>
          <w:highlight w:val="none"/>
          <w:lang w:val="en-US" w:eastAsia="zh-CN"/>
        </w:rPr>
        <w:t>）</w:t>
      </w:r>
      <w:r>
        <w:rPr>
          <w:rFonts w:hint="eastAsia" w:ascii="宋体" w:hAnsi="宋体" w:eastAsia="宋体" w:cs="Times New Roman"/>
          <w:color w:val="auto"/>
          <w:szCs w:val="21"/>
          <w:highlight w:val="none"/>
          <w:lang w:eastAsia="zh-CN"/>
        </w:rPr>
        <w:t>：</w:t>
      </w:r>
      <w:r>
        <w:rPr>
          <w:rFonts w:hint="eastAsia" w:ascii="宋体" w:hAnsi="宋体" w:eastAsia="宋体" w:cs="Times New Roman"/>
          <w:color w:val="auto"/>
          <w:szCs w:val="21"/>
          <w:highlight w:val="none"/>
          <w:u w:val="single"/>
          <w:lang w:val="en-US" w:eastAsia="zh-CN"/>
        </w:rPr>
        <w:t xml:space="preserve">              </w:t>
      </w:r>
      <w:r>
        <w:rPr>
          <w:rFonts w:hint="eastAsia" w:cs="Times New Roman"/>
          <w:color w:val="auto"/>
          <w:szCs w:val="21"/>
          <w:highlight w:val="none"/>
          <w:u w:val="single"/>
          <w:lang w:val="en-US" w:eastAsia="zh-CN"/>
        </w:rPr>
        <w:t xml:space="preserve">  </w:t>
      </w:r>
      <w:r>
        <w:rPr>
          <w:rFonts w:hint="eastAsia" w:ascii="宋体" w:hAnsi="宋体" w:eastAsia="宋体" w:cs="Times New Roman"/>
          <w:color w:val="auto"/>
          <w:szCs w:val="21"/>
          <w:highlight w:val="none"/>
          <w:u w:val="single"/>
          <w:lang w:val="en-US" w:eastAsia="zh-CN"/>
        </w:rPr>
        <w:t xml:space="preserve">     </w:t>
      </w:r>
      <w:r>
        <w:rPr>
          <w:rFonts w:hint="eastAsia" w:ascii="宋体" w:hAnsi="宋体" w:eastAsia="宋体" w:cs="Times New Roman"/>
          <w:color w:val="auto"/>
          <w:szCs w:val="21"/>
          <w:highlight w:val="none"/>
          <w:lang w:val="en-US" w:eastAsia="zh-CN"/>
        </w:rPr>
        <w:t xml:space="preserve"> </w:t>
      </w:r>
    </w:p>
    <w:p w14:paraId="268F6D02">
      <w:pPr>
        <w:numPr>
          <w:ilvl w:val="-1"/>
          <w:numId w:val="0"/>
        </w:numPr>
        <w:adjustRightInd w:val="0"/>
        <w:snapToGrid w:val="0"/>
        <w:spacing w:before="0" w:beforeLines="0" w:line="400" w:lineRule="exact"/>
        <w:ind w:firstLine="420" w:firstLineChars="200"/>
        <w:rPr>
          <w:rFonts w:hint="default" w:ascii="宋体" w:hAnsi="宋体" w:eastAsia="宋体" w:cs="宋体"/>
          <w:color w:val="auto"/>
          <w:szCs w:val="21"/>
          <w:highlight w:val="none"/>
          <w:lang w:val="en" w:eastAsia="zh-CN"/>
        </w:rPr>
      </w:pPr>
      <w:r>
        <w:rPr>
          <w:rFonts w:hint="eastAsia" w:ascii="宋体" w:hAnsi="宋体" w:eastAsia="宋体" w:cs="Times New Roman"/>
          <w:color w:val="auto"/>
          <w:szCs w:val="21"/>
          <w:highlight w:val="none"/>
          <w:u w:val="none"/>
          <w:lang w:val="en-US" w:eastAsia="zh-CN"/>
        </w:rPr>
        <w:t xml:space="preserve">     </w:t>
      </w:r>
      <w:r>
        <w:rPr>
          <w:rFonts w:hint="eastAsia" w:ascii="宋体" w:hAnsi="宋体" w:eastAsia="宋体" w:cs="宋体"/>
          <w:color w:val="auto"/>
          <w:szCs w:val="21"/>
          <w:highlight w:val="none"/>
          <w:lang w:val="en-US" w:eastAsia="zh-CN"/>
        </w:rPr>
        <w:t>品牌：</w:t>
      </w:r>
      <w:r>
        <w:rPr>
          <w:rFonts w:hint="eastAsia" w:ascii="宋体" w:hAnsi="宋体" w:eastAsia="宋体" w:cs="宋体"/>
          <w:color w:val="auto"/>
          <w:szCs w:val="21"/>
          <w:highlight w:val="none"/>
          <w:u w:val="single"/>
          <w:lang w:val="en-US" w:eastAsia="zh-CN"/>
        </w:rPr>
        <w:t xml:space="preserve">      </w:t>
      </w:r>
      <w:r>
        <w:rPr>
          <w:rFonts w:hint="default" w:ascii="宋体" w:hAnsi="宋体" w:eastAsia="宋体" w:cs="宋体"/>
          <w:color w:val="auto"/>
          <w:szCs w:val="21"/>
          <w:highlight w:val="none"/>
          <w:u w:val="single"/>
          <w:lang w:val="en" w:eastAsia="zh-CN"/>
        </w:rPr>
        <w:t xml:space="preserve">   </w:t>
      </w:r>
      <w:r>
        <w:rPr>
          <w:rFonts w:hint="eastAsia" w:ascii="宋体" w:hAnsi="宋体" w:eastAsia="宋体" w:cs="宋体"/>
          <w:color w:val="auto"/>
          <w:szCs w:val="21"/>
          <w:highlight w:val="none"/>
          <w:u w:val="single"/>
          <w:lang w:val="en-US" w:eastAsia="zh-CN"/>
        </w:rPr>
        <w:t xml:space="preserve">    </w:t>
      </w:r>
      <w:r>
        <w:rPr>
          <w:rFonts w:hint="default" w:ascii="宋体" w:hAnsi="宋体" w:eastAsia="宋体" w:cs="宋体"/>
          <w:color w:val="auto"/>
          <w:szCs w:val="21"/>
          <w:highlight w:val="none"/>
          <w:u w:val="single"/>
          <w:lang w:val="en" w:eastAsia="zh-CN"/>
        </w:rPr>
        <w:t xml:space="preserve"> </w:t>
      </w:r>
      <w:r>
        <w:rPr>
          <w:rFonts w:hint="eastAsia" w:ascii="宋体" w:hAnsi="宋体" w:eastAsia="宋体" w:cs="宋体"/>
          <w:color w:val="auto"/>
          <w:szCs w:val="21"/>
          <w:highlight w:val="none"/>
          <w:u w:val="single"/>
          <w:lang w:val="en-US" w:eastAsia="zh-CN"/>
        </w:rPr>
        <w:t xml:space="preserve"> </w:t>
      </w:r>
      <w:r>
        <w:rPr>
          <w:rFonts w:hint="default" w:ascii="宋体" w:hAnsi="宋体" w:eastAsia="宋体" w:cs="宋体"/>
          <w:color w:val="auto"/>
          <w:szCs w:val="21"/>
          <w:highlight w:val="none"/>
          <w:u w:val="none"/>
          <w:lang w:val="en" w:eastAsia="zh-CN"/>
        </w:rPr>
        <w:t xml:space="preserve">     </w:t>
      </w:r>
      <w:r>
        <w:rPr>
          <w:rFonts w:hint="eastAsia" w:ascii="宋体" w:hAnsi="宋体" w:eastAsia="宋体" w:cs="宋体"/>
          <w:color w:val="auto"/>
          <w:szCs w:val="21"/>
          <w:highlight w:val="none"/>
          <w:lang w:val="en-US" w:eastAsia="zh-CN"/>
        </w:rPr>
        <w:t>规格型号：</w:t>
      </w:r>
      <w:r>
        <w:rPr>
          <w:rFonts w:hint="eastAsia" w:ascii="宋体" w:hAnsi="宋体" w:eastAsia="宋体" w:cs="宋体"/>
          <w:color w:val="auto"/>
          <w:szCs w:val="21"/>
          <w:highlight w:val="none"/>
          <w:u w:val="single"/>
          <w:lang w:val="en-US" w:eastAsia="zh-CN"/>
        </w:rPr>
        <w:t xml:space="preserve">   </w:t>
      </w:r>
      <w:r>
        <w:rPr>
          <w:rFonts w:hint="default" w:ascii="宋体" w:hAnsi="宋体" w:eastAsia="宋体" w:cs="宋体"/>
          <w:color w:val="auto"/>
          <w:szCs w:val="21"/>
          <w:highlight w:val="none"/>
          <w:u w:val="single"/>
          <w:lang w:val="en" w:eastAsia="zh-CN"/>
        </w:rPr>
        <w:t xml:space="preserve">  </w:t>
      </w:r>
      <w:r>
        <w:rPr>
          <w:rFonts w:hint="eastAsia" w:ascii="宋体" w:hAnsi="宋体" w:eastAsia="宋体" w:cs="宋体"/>
          <w:color w:val="auto"/>
          <w:szCs w:val="21"/>
          <w:highlight w:val="none"/>
          <w:u w:val="single"/>
          <w:lang w:val="en-US" w:eastAsia="zh-CN"/>
        </w:rPr>
        <w:t xml:space="preserve">       </w:t>
      </w:r>
      <w:r>
        <w:rPr>
          <w:rFonts w:hint="default" w:ascii="宋体" w:hAnsi="宋体" w:eastAsia="宋体" w:cs="宋体"/>
          <w:color w:val="auto"/>
          <w:szCs w:val="21"/>
          <w:highlight w:val="none"/>
          <w:u w:val="single"/>
          <w:lang w:val="en" w:eastAsia="zh-CN"/>
        </w:rPr>
        <w:t xml:space="preserve">  </w:t>
      </w:r>
    </w:p>
    <w:p w14:paraId="364F2AF6">
      <w:pPr>
        <w:adjustRightInd w:val="0"/>
        <w:snapToGrid w:val="0"/>
        <w:spacing w:before="0" w:beforeLines="0" w:line="400" w:lineRule="exact"/>
        <w:ind w:firstLine="945" w:firstLineChars="450"/>
        <w:rPr>
          <w:rFonts w:ascii="宋体" w:hAnsi="宋体" w:eastAsia="宋体" w:cs="Times New Roman"/>
          <w:color w:val="auto"/>
          <w:szCs w:val="21"/>
          <w:highlight w:val="none"/>
          <w:u w:val="single"/>
        </w:rPr>
      </w:pPr>
      <w:r>
        <w:rPr>
          <w:rFonts w:hint="eastAsia" w:ascii="宋体" w:hAnsi="宋体" w:eastAsia="宋体" w:cs="Times New Roman"/>
          <w:color w:val="auto"/>
          <w:szCs w:val="21"/>
          <w:highlight w:val="none"/>
          <w:u w:val="none"/>
          <w:lang w:val="en-US" w:eastAsia="zh-CN"/>
        </w:rPr>
        <w:t>采购标的的技术要求、商务要求具体见附件。</w:t>
      </w:r>
    </w:p>
    <w:p w14:paraId="4B171F70">
      <w:pPr>
        <w:numPr>
          <w:ilvl w:val="-1"/>
          <w:numId w:val="0"/>
        </w:numPr>
        <w:adjustRightInd w:val="0"/>
        <w:snapToGrid w:val="0"/>
        <w:spacing w:before="0" w:beforeLines="0" w:line="400" w:lineRule="exact"/>
        <w:ind w:firstLine="945" w:firstLineChars="450"/>
        <w:rPr>
          <w:rFonts w:hint="eastAsia" w:ascii="宋体" w:hAnsi="宋体" w:eastAsia="宋体" w:cs="宋体"/>
          <w:color w:val="auto"/>
          <w:szCs w:val="21"/>
          <w:highlight w:val="none"/>
          <w:lang w:val="en-US" w:eastAsia="zh-CN"/>
        </w:rPr>
      </w:pPr>
      <w:r>
        <w:rPr>
          <w:rFonts w:hint="eastAsia" w:ascii="汉仪书宋二S" w:hAnsi="汉仪书宋二S" w:eastAsia="汉仪书宋二S" w:cs="汉仪书宋二S"/>
          <w:color w:val="auto"/>
          <w:szCs w:val="21"/>
          <w:highlight w:val="none"/>
          <w:lang w:val="en-US" w:eastAsia="zh-CN"/>
        </w:rPr>
        <w:t>①</w:t>
      </w:r>
      <w:r>
        <w:rPr>
          <w:rFonts w:hint="eastAsia" w:ascii="宋体" w:hAnsi="宋体" w:eastAsia="宋体" w:cs="宋体"/>
          <w:color w:val="auto"/>
          <w:szCs w:val="21"/>
          <w:highlight w:val="none"/>
          <w:lang w:val="en-US" w:eastAsia="zh-CN"/>
        </w:rPr>
        <w:t>涉及信息类产品，请填写该产品关键部件的品牌、型号：</w:t>
      </w:r>
    </w:p>
    <w:p w14:paraId="14BF88A1">
      <w:pPr>
        <w:numPr>
          <w:ilvl w:val="-1"/>
          <w:numId w:val="0"/>
        </w:numPr>
        <w:adjustRightInd w:val="0"/>
        <w:snapToGrid w:val="0"/>
        <w:spacing w:before="0" w:beforeLines="0" w:line="400" w:lineRule="exact"/>
        <w:ind w:firstLine="420" w:firstLineChars="200"/>
        <w:rPr>
          <w:rFonts w:hint="eastAsia" w:ascii="宋体" w:hAnsi="宋体" w:eastAsia="宋体" w:cs="宋体"/>
          <w:color w:val="auto"/>
          <w:kern w:val="0"/>
          <w:szCs w:val="21"/>
          <w:highlight w:val="none"/>
          <w:u w:val="single"/>
          <w:lang w:val="en-US" w:eastAsia="zh-CN"/>
        </w:rPr>
      </w:pPr>
      <w:r>
        <w:rPr>
          <w:rFonts w:hint="eastAsia" w:ascii="宋体" w:hAnsi="宋体" w:eastAsia="宋体" w:cs="宋体"/>
          <w:color w:val="auto"/>
          <w:szCs w:val="21"/>
          <w:highlight w:val="none"/>
          <w:lang w:val="en-US" w:eastAsia="zh-CN"/>
        </w:rPr>
        <w:t xml:space="preserve">     标的名称：</w:t>
      </w:r>
      <w:r>
        <w:rPr>
          <w:rFonts w:hint="eastAsia" w:ascii="宋体" w:hAnsi="宋体" w:eastAsia="宋体" w:cs="宋体"/>
          <w:color w:val="auto"/>
          <w:kern w:val="0"/>
          <w:szCs w:val="21"/>
          <w:highlight w:val="none"/>
          <w:u w:val="single"/>
          <w:lang w:val="en-US" w:eastAsia="zh-CN"/>
        </w:rPr>
        <w:t xml:space="preserve">      </w:t>
      </w:r>
      <w:r>
        <w:rPr>
          <w:rFonts w:hint="default" w:ascii="宋体" w:hAnsi="宋体" w:eastAsia="宋体" w:cs="宋体"/>
          <w:color w:val="auto"/>
          <w:kern w:val="0"/>
          <w:szCs w:val="21"/>
          <w:highlight w:val="none"/>
          <w:u w:val="single"/>
          <w:lang w:val="en" w:eastAsia="zh-CN"/>
        </w:rPr>
        <w:t xml:space="preserve">               </w:t>
      </w:r>
      <w:r>
        <w:rPr>
          <w:rFonts w:hint="eastAsia" w:ascii="宋体" w:hAnsi="宋体" w:eastAsia="宋体" w:cs="宋体"/>
          <w:color w:val="auto"/>
          <w:kern w:val="0"/>
          <w:szCs w:val="21"/>
          <w:highlight w:val="none"/>
          <w:u w:val="single"/>
          <w:lang w:val="en-US" w:eastAsia="zh-CN"/>
        </w:rPr>
        <w:t xml:space="preserve">    </w:t>
      </w:r>
    </w:p>
    <w:p w14:paraId="7BC5EBE1">
      <w:pPr>
        <w:numPr>
          <w:ilvl w:val="-1"/>
          <w:numId w:val="0"/>
        </w:numPr>
        <w:adjustRightInd w:val="0"/>
        <w:snapToGrid w:val="0"/>
        <w:spacing w:before="0" w:beforeLines="0" w:line="400" w:lineRule="exact"/>
        <w:ind w:firstLine="420" w:firstLineChars="20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 xml:space="preserve">     关键部件：</w:t>
      </w:r>
      <w:r>
        <w:rPr>
          <w:rFonts w:hint="eastAsia" w:ascii="宋体" w:hAnsi="宋体" w:eastAsia="宋体" w:cs="宋体"/>
          <w:color w:val="auto"/>
          <w:kern w:val="0"/>
          <w:szCs w:val="21"/>
          <w:highlight w:val="none"/>
          <w:u w:val="single"/>
          <w:lang w:val="en-US" w:eastAsia="zh-CN"/>
        </w:rPr>
        <w:t xml:space="preserve">          </w:t>
      </w:r>
      <w:r>
        <w:rPr>
          <w:rFonts w:hint="eastAsia" w:ascii="宋体" w:hAnsi="宋体" w:eastAsia="宋体" w:cs="宋体"/>
          <w:color w:val="auto"/>
          <w:kern w:val="0"/>
          <w:szCs w:val="21"/>
          <w:highlight w:val="none"/>
          <w:u w:val="none"/>
          <w:lang w:val="en-US" w:eastAsia="zh-CN"/>
        </w:rPr>
        <w:t xml:space="preserve"> </w:t>
      </w:r>
      <w:r>
        <w:rPr>
          <w:rFonts w:hint="eastAsia" w:ascii="宋体" w:hAnsi="宋体" w:eastAsia="宋体" w:cs="宋体"/>
          <w:color w:val="auto"/>
          <w:szCs w:val="21"/>
          <w:highlight w:val="none"/>
          <w:lang w:val="en-US" w:eastAsia="zh-CN"/>
        </w:rPr>
        <w:t>品牌：</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u w:val="none"/>
          <w:lang w:val="en-US" w:eastAsia="zh-CN"/>
        </w:rPr>
        <w:t xml:space="preserve"> </w:t>
      </w:r>
      <w:r>
        <w:rPr>
          <w:rFonts w:hint="eastAsia" w:ascii="宋体" w:hAnsi="宋体" w:eastAsia="宋体" w:cs="宋体"/>
          <w:color w:val="auto"/>
          <w:szCs w:val="21"/>
          <w:highlight w:val="none"/>
          <w:lang w:val="en-US" w:eastAsia="zh-CN"/>
        </w:rPr>
        <w:t>型号：</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lang w:val="en-US" w:eastAsia="zh-CN"/>
        </w:rPr>
        <w:t xml:space="preserve"> </w:t>
      </w:r>
    </w:p>
    <w:p w14:paraId="45EBEF69">
      <w:pPr>
        <w:autoSpaceDE w:val="0"/>
        <w:autoSpaceDN w:val="0"/>
        <w:adjustRightInd w:val="0"/>
        <w:spacing w:beforeLines="0" w:line="400" w:lineRule="exact"/>
        <w:ind w:firstLine="420" w:firstLineChars="200"/>
        <w:rPr>
          <w:rFonts w:hint="eastAsia" w:ascii="宋体" w:hAnsi="宋体" w:eastAsia="宋体" w:cs="宋体"/>
          <w:color w:val="auto"/>
          <w:sz w:val="21"/>
          <w:szCs w:val="21"/>
          <w:highlight w:val="none"/>
          <w:lang w:val="en-US" w:eastAsia="zh-CN" w:bidi="ar-SA"/>
        </w:rPr>
      </w:pPr>
      <w:r>
        <w:rPr>
          <w:rFonts w:hint="eastAsia" w:ascii="宋体" w:hAnsi="宋体" w:eastAsia="宋体" w:cs="宋体"/>
          <w:color w:val="auto"/>
          <w:sz w:val="21"/>
          <w:szCs w:val="21"/>
          <w:highlight w:val="none"/>
          <w:lang w:val="en-US" w:eastAsia="zh-CN" w:bidi="ar-SA"/>
        </w:rPr>
        <w:t xml:space="preserve">     </w:t>
      </w:r>
      <w:r>
        <w:rPr>
          <w:rFonts w:hint="eastAsia" w:ascii="宋体" w:hAnsi="宋体" w:eastAsia="宋体" w:cs="宋体"/>
          <w:color w:val="auto"/>
          <w:kern w:val="2"/>
          <w:sz w:val="21"/>
          <w:szCs w:val="21"/>
          <w:highlight w:val="none"/>
          <w:lang w:val="en-US" w:eastAsia="zh-CN" w:bidi="ar-SA"/>
        </w:rPr>
        <w:t>关键部件</w:t>
      </w:r>
      <w:r>
        <w:rPr>
          <w:rFonts w:hint="eastAsia" w:ascii="宋体" w:hAnsi="宋体" w:eastAsia="宋体" w:cs="宋体"/>
          <w:color w:val="auto"/>
          <w:sz w:val="21"/>
          <w:szCs w:val="21"/>
          <w:highlight w:val="none"/>
          <w:lang w:val="en-US" w:eastAsia="zh-CN" w:bidi="ar-SA"/>
        </w:rPr>
        <w:t>：</w:t>
      </w:r>
      <w:r>
        <w:rPr>
          <w:rFonts w:hint="eastAsia" w:ascii="宋体" w:hAnsi="宋体" w:eastAsia="宋体" w:cs="宋体"/>
          <w:color w:val="auto"/>
          <w:sz w:val="21"/>
          <w:szCs w:val="21"/>
          <w:highlight w:val="none"/>
          <w:u w:val="single"/>
          <w:lang w:val="en-US" w:eastAsia="zh-CN" w:bidi="ar-SA"/>
        </w:rPr>
        <w:t xml:space="preserve">          </w:t>
      </w:r>
      <w:r>
        <w:rPr>
          <w:rFonts w:hint="eastAsia" w:ascii="宋体" w:hAnsi="宋体" w:eastAsia="宋体" w:cs="宋体"/>
          <w:color w:val="auto"/>
          <w:sz w:val="21"/>
          <w:szCs w:val="21"/>
          <w:highlight w:val="none"/>
          <w:u w:val="none"/>
          <w:lang w:val="en-US" w:eastAsia="zh-CN" w:bidi="ar-SA"/>
        </w:rPr>
        <w:t xml:space="preserve"> </w:t>
      </w:r>
      <w:r>
        <w:rPr>
          <w:rFonts w:hint="eastAsia" w:ascii="宋体" w:hAnsi="宋体" w:eastAsia="宋体" w:cs="宋体"/>
          <w:color w:val="auto"/>
          <w:sz w:val="21"/>
          <w:szCs w:val="21"/>
          <w:highlight w:val="none"/>
          <w:lang w:val="en-US" w:eastAsia="zh-CN" w:bidi="ar-SA"/>
        </w:rPr>
        <w:t>品牌：</w:t>
      </w:r>
      <w:r>
        <w:rPr>
          <w:rFonts w:hint="eastAsia" w:ascii="宋体" w:hAnsi="宋体" w:eastAsia="宋体" w:cs="宋体"/>
          <w:color w:val="auto"/>
          <w:sz w:val="21"/>
          <w:szCs w:val="21"/>
          <w:highlight w:val="none"/>
          <w:u w:val="single"/>
          <w:lang w:val="en-US" w:eastAsia="zh-CN" w:bidi="ar-SA"/>
        </w:rPr>
        <w:t xml:space="preserve">        </w:t>
      </w:r>
      <w:r>
        <w:rPr>
          <w:rFonts w:hint="eastAsia" w:ascii="宋体" w:hAnsi="宋体" w:eastAsia="宋体" w:cs="宋体"/>
          <w:color w:val="auto"/>
          <w:sz w:val="21"/>
          <w:szCs w:val="21"/>
          <w:highlight w:val="none"/>
          <w:u w:val="none"/>
          <w:lang w:val="en-US" w:eastAsia="zh-CN" w:bidi="ar-SA"/>
        </w:rPr>
        <w:t xml:space="preserve"> </w:t>
      </w:r>
      <w:r>
        <w:rPr>
          <w:rFonts w:hint="eastAsia" w:ascii="宋体" w:hAnsi="宋体" w:eastAsia="宋体" w:cs="宋体"/>
          <w:color w:val="auto"/>
          <w:sz w:val="21"/>
          <w:szCs w:val="21"/>
          <w:highlight w:val="none"/>
          <w:lang w:val="en-US" w:eastAsia="zh-CN" w:bidi="ar-SA"/>
        </w:rPr>
        <w:t>型号：</w:t>
      </w:r>
      <w:r>
        <w:rPr>
          <w:rFonts w:hint="eastAsia" w:ascii="宋体" w:hAnsi="宋体" w:eastAsia="宋体" w:cs="宋体"/>
          <w:color w:val="auto"/>
          <w:sz w:val="21"/>
          <w:szCs w:val="21"/>
          <w:highlight w:val="none"/>
          <w:u w:val="single"/>
          <w:lang w:val="en-US" w:eastAsia="zh-CN" w:bidi="ar-SA"/>
        </w:rPr>
        <w:t xml:space="preserve">       </w:t>
      </w:r>
      <w:r>
        <w:rPr>
          <w:rFonts w:hint="eastAsia" w:ascii="宋体" w:hAnsi="宋体" w:eastAsia="宋体" w:cs="宋体"/>
          <w:color w:val="auto"/>
          <w:sz w:val="21"/>
          <w:szCs w:val="21"/>
          <w:highlight w:val="none"/>
          <w:lang w:val="en-US" w:eastAsia="zh-CN" w:bidi="ar-SA"/>
        </w:rPr>
        <w:t xml:space="preserve"> </w:t>
      </w:r>
    </w:p>
    <w:p w14:paraId="25AD065E">
      <w:pPr>
        <w:autoSpaceDE w:val="0"/>
        <w:autoSpaceDN w:val="0"/>
        <w:adjustRightInd w:val="0"/>
        <w:spacing w:beforeLines="0" w:line="400" w:lineRule="exact"/>
        <w:ind w:firstLine="420" w:firstLineChars="200"/>
        <w:rPr>
          <w:rFonts w:hint="eastAsia" w:ascii="宋体" w:hAnsi="宋体" w:eastAsia="宋体" w:cs="宋体"/>
          <w:color w:val="auto"/>
          <w:sz w:val="21"/>
          <w:szCs w:val="21"/>
          <w:highlight w:val="none"/>
          <w:lang w:val="en-US" w:eastAsia="zh-CN" w:bidi="ar-SA"/>
        </w:rPr>
      </w:pPr>
      <w:r>
        <w:rPr>
          <w:rFonts w:hint="eastAsia" w:ascii="宋体" w:hAnsi="宋体" w:eastAsia="宋体" w:cs="宋体"/>
          <w:color w:val="auto"/>
          <w:sz w:val="21"/>
          <w:szCs w:val="21"/>
          <w:highlight w:val="none"/>
          <w:lang w:val="en-US" w:eastAsia="zh-CN" w:bidi="ar-SA"/>
        </w:rPr>
        <w:t xml:space="preserve">     关键部件：</w:t>
      </w:r>
      <w:r>
        <w:rPr>
          <w:rFonts w:hint="eastAsia" w:ascii="宋体" w:hAnsi="宋体" w:eastAsia="宋体" w:cs="宋体"/>
          <w:color w:val="auto"/>
          <w:sz w:val="21"/>
          <w:szCs w:val="21"/>
          <w:highlight w:val="none"/>
          <w:u w:val="single"/>
          <w:lang w:val="en-US" w:eastAsia="zh-CN" w:bidi="ar-SA"/>
        </w:rPr>
        <w:t xml:space="preserve">          </w:t>
      </w:r>
      <w:r>
        <w:rPr>
          <w:rFonts w:hint="eastAsia" w:ascii="宋体" w:hAnsi="宋体" w:eastAsia="宋体" w:cs="宋体"/>
          <w:color w:val="auto"/>
          <w:sz w:val="21"/>
          <w:szCs w:val="21"/>
          <w:highlight w:val="none"/>
          <w:u w:val="none"/>
          <w:lang w:val="en-US" w:eastAsia="zh-CN" w:bidi="ar-SA"/>
        </w:rPr>
        <w:t xml:space="preserve"> </w:t>
      </w:r>
      <w:r>
        <w:rPr>
          <w:rFonts w:hint="eastAsia" w:ascii="宋体" w:hAnsi="宋体" w:eastAsia="宋体" w:cs="宋体"/>
          <w:color w:val="auto"/>
          <w:sz w:val="21"/>
          <w:szCs w:val="21"/>
          <w:highlight w:val="none"/>
          <w:lang w:val="en-US" w:eastAsia="zh-CN" w:bidi="ar-SA"/>
        </w:rPr>
        <w:t>品牌：</w:t>
      </w:r>
      <w:r>
        <w:rPr>
          <w:rFonts w:hint="eastAsia" w:ascii="宋体" w:hAnsi="宋体" w:eastAsia="宋体" w:cs="宋体"/>
          <w:color w:val="auto"/>
          <w:sz w:val="21"/>
          <w:szCs w:val="21"/>
          <w:highlight w:val="none"/>
          <w:u w:val="single"/>
          <w:lang w:val="en-US" w:eastAsia="zh-CN" w:bidi="ar-SA"/>
        </w:rPr>
        <w:t xml:space="preserve">        </w:t>
      </w:r>
      <w:r>
        <w:rPr>
          <w:rFonts w:hint="eastAsia" w:ascii="宋体" w:hAnsi="宋体" w:eastAsia="宋体" w:cs="宋体"/>
          <w:color w:val="auto"/>
          <w:sz w:val="21"/>
          <w:szCs w:val="21"/>
          <w:highlight w:val="none"/>
          <w:u w:val="none"/>
          <w:lang w:val="en-US" w:eastAsia="zh-CN" w:bidi="ar-SA"/>
        </w:rPr>
        <w:t xml:space="preserve"> </w:t>
      </w:r>
      <w:r>
        <w:rPr>
          <w:rFonts w:hint="eastAsia" w:ascii="宋体" w:hAnsi="宋体" w:eastAsia="宋体" w:cs="宋体"/>
          <w:color w:val="auto"/>
          <w:sz w:val="21"/>
          <w:szCs w:val="21"/>
          <w:highlight w:val="none"/>
          <w:lang w:val="en-US" w:eastAsia="zh-CN" w:bidi="ar-SA"/>
        </w:rPr>
        <w:t>型号：</w:t>
      </w:r>
      <w:r>
        <w:rPr>
          <w:rFonts w:hint="eastAsia" w:ascii="宋体" w:hAnsi="宋体" w:eastAsia="宋体" w:cs="宋体"/>
          <w:color w:val="auto"/>
          <w:sz w:val="21"/>
          <w:szCs w:val="21"/>
          <w:highlight w:val="none"/>
          <w:u w:val="single"/>
          <w:lang w:val="en-US" w:eastAsia="zh-CN" w:bidi="ar-SA"/>
        </w:rPr>
        <w:t xml:space="preserve">       </w:t>
      </w:r>
    </w:p>
    <w:p w14:paraId="5B648BBB">
      <w:pPr>
        <w:numPr>
          <w:ilvl w:val="-1"/>
          <w:numId w:val="0"/>
        </w:numPr>
        <w:autoSpaceDE w:val="0"/>
        <w:autoSpaceDN w:val="0"/>
        <w:adjustRightInd w:val="0"/>
        <w:snapToGrid w:val="0"/>
        <w:spacing w:before="0" w:beforeLines="0" w:line="400" w:lineRule="exact"/>
        <w:ind w:firstLine="0" w:firstLineChars="0"/>
        <w:rPr>
          <w:rFonts w:hint="eastAsia" w:ascii="宋体" w:hAnsi="宋体" w:eastAsia="宋体" w:cs="宋体"/>
          <w:color w:val="auto"/>
          <w:sz w:val="21"/>
          <w:szCs w:val="21"/>
          <w:highlight w:val="none"/>
          <w:lang w:val="en-US" w:eastAsia="zh-CN" w:bidi="ar-SA"/>
        </w:rPr>
      </w:pPr>
      <w:r>
        <w:rPr>
          <w:rFonts w:hint="eastAsia" w:ascii="宋体" w:hAnsi="宋体" w:eastAsia="宋体" w:cs="宋体"/>
          <w:color w:val="auto"/>
          <w:sz w:val="21"/>
          <w:szCs w:val="21"/>
          <w:highlight w:val="none"/>
          <w:lang w:val="en-US" w:eastAsia="zh-CN" w:bidi="ar-SA"/>
        </w:rPr>
        <w:t xml:space="preserve">   （注：关键部件是指财政部会同有关部门发布的政府采购需求标准规定的需要通过国家有关部门指定的测评机构开展的安全可靠测评的软硬件，如CPU芯片、操作系统、数据库等。）</w:t>
      </w:r>
    </w:p>
    <w:p w14:paraId="461ADC55">
      <w:pPr>
        <w:numPr>
          <w:ilvl w:val="-1"/>
          <w:numId w:val="0"/>
        </w:numPr>
        <w:autoSpaceDE w:val="0"/>
        <w:autoSpaceDN w:val="0"/>
        <w:adjustRightInd w:val="0"/>
        <w:snapToGrid w:val="0"/>
        <w:spacing w:before="0" w:beforeLines="0" w:line="400" w:lineRule="exact"/>
        <w:ind w:firstLine="0" w:firstLineChars="0"/>
        <w:rPr>
          <w:rFonts w:hint="eastAsia" w:ascii="宋体" w:hAnsi="宋体" w:eastAsia="宋体" w:cs="宋体"/>
          <w:color w:val="auto"/>
          <w:sz w:val="21"/>
          <w:szCs w:val="21"/>
          <w:highlight w:val="none"/>
          <w:lang w:val="en-US" w:eastAsia="zh-CN" w:bidi="ar-SA"/>
        </w:rPr>
      </w:pPr>
      <w:r>
        <w:rPr>
          <w:rFonts w:hint="eastAsia" w:ascii="宋体" w:hAnsi="宋体" w:eastAsia="宋体" w:cs="宋体"/>
          <w:color w:val="auto"/>
          <w:sz w:val="21"/>
          <w:szCs w:val="21"/>
          <w:highlight w:val="none"/>
          <w:lang w:val="en-US" w:eastAsia="zh-CN" w:bidi="ar-SA"/>
        </w:rPr>
        <w:t xml:space="preserve">         </w:t>
      </w:r>
      <w:r>
        <w:rPr>
          <w:rFonts w:hint="eastAsia" w:ascii="汉仪书宋二S" w:hAnsi="汉仪书宋二S" w:eastAsia="汉仪书宋二S" w:cs="汉仪书宋二S"/>
          <w:color w:val="auto"/>
          <w:sz w:val="21"/>
          <w:szCs w:val="21"/>
          <w:highlight w:val="none"/>
          <w:lang w:val="en-US" w:eastAsia="zh-CN" w:bidi="ar-SA"/>
        </w:rPr>
        <w:t>②</w:t>
      </w:r>
      <w:r>
        <w:rPr>
          <w:rFonts w:hint="eastAsia" w:ascii="宋体" w:hAnsi="宋体" w:eastAsia="宋体" w:cs="宋体"/>
          <w:color w:val="auto"/>
          <w:sz w:val="21"/>
          <w:szCs w:val="21"/>
          <w:highlight w:val="none"/>
          <w:lang w:val="en-US" w:eastAsia="zh-CN" w:bidi="ar-SA"/>
        </w:rPr>
        <w:t>涉及车辆采购，请填写是否属于新能源汽车：</w:t>
      </w:r>
    </w:p>
    <w:p w14:paraId="385F81CD">
      <w:pPr>
        <w:numPr>
          <w:ilvl w:val="-1"/>
          <w:numId w:val="0"/>
        </w:numPr>
        <w:autoSpaceDE w:val="0"/>
        <w:autoSpaceDN w:val="0"/>
        <w:adjustRightInd w:val="0"/>
        <w:snapToGrid w:val="0"/>
        <w:spacing w:before="0" w:beforeLines="0" w:line="400" w:lineRule="exact"/>
        <w:ind w:firstLine="0" w:firstLineChars="0"/>
        <w:rPr>
          <w:rFonts w:hint="eastAsia" w:ascii="宋体" w:hAnsi="宋体" w:eastAsia="宋体" w:cs="宋体"/>
          <w:iCs w:val="0"/>
          <w:color w:val="auto"/>
          <w:sz w:val="21"/>
          <w:szCs w:val="21"/>
          <w:highlight w:val="none"/>
          <w:lang w:val="en-US" w:eastAsia="zh-CN" w:bidi="ar-SA"/>
        </w:rPr>
      </w:pPr>
      <w:r>
        <w:rPr>
          <w:rFonts w:hint="eastAsia" w:ascii="宋体" w:hAnsi="宋体" w:eastAsia="宋体" w:cs="宋体"/>
          <w:color w:val="auto"/>
          <w:sz w:val="21"/>
          <w:szCs w:val="21"/>
          <w:highlight w:val="none"/>
          <w:lang w:val="en-US" w:eastAsia="zh-CN" w:bidi="ar-SA"/>
        </w:rPr>
        <w:t xml:space="preserve">         </w:t>
      </w:r>
      <w:r>
        <w:rPr>
          <w:rFonts w:hint="eastAsia" w:ascii="宋体" w:hAnsi="宋体" w:eastAsia="宋体" w:cs="宋体"/>
          <w:iCs w:val="0"/>
          <w:color w:val="auto"/>
          <w:sz w:val="21"/>
          <w:szCs w:val="21"/>
          <w:highlight w:val="none"/>
          <w:lang w:val="en-US" w:eastAsia="zh-CN" w:bidi="ar-SA"/>
        </w:rPr>
        <w:sym w:font="Wingdings" w:char="00A8"/>
      </w:r>
      <w:r>
        <w:rPr>
          <w:rFonts w:hint="eastAsia" w:ascii="宋体" w:hAnsi="宋体" w:eastAsia="宋体" w:cs="宋体"/>
          <w:iCs w:val="0"/>
          <w:color w:val="auto"/>
          <w:sz w:val="21"/>
          <w:szCs w:val="21"/>
          <w:highlight w:val="none"/>
          <w:lang w:val="en-US" w:eastAsia="zh-CN" w:bidi="ar-SA"/>
        </w:rPr>
        <w:t>是，《政府采购品目分类目录》底级品目名称</w:t>
      </w:r>
      <w:r>
        <w:rPr>
          <w:rFonts w:hint="eastAsia" w:ascii="宋体" w:hAnsi="宋体" w:eastAsia="宋体" w:cs="宋体"/>
          <w:color w:val="auto"/>
          <w:sz w:val="21"/>
          <w:szCs w:val="21"/>
          <w:highlight w:val="none"/>
          <w:lang w:val="en-US" w:eastAsia="zh-CN" w:bidi="ar-SA"/>
        </w:rPr>
        <w:t>：</w:t>
      </w:r>
      <w:r>
        <w:rPr>
          <w:rFonts w:hint="eastAsia" w:ascii="宋体" w:hAnsi="宋体" w:eastAsia="宋体" w:cs="宋体"/>
          <w:color w:val="auto"/>
          <w:sz w:val="21"/>
          <w:szCs w:val="21"/>
          <w:highlight w:val="none"/>
          <w:u w:val="single"/>
          <w:lang w:val="en-US" w:eastAsia="zh-CN" w:bidi="ar-SA"/>
        </w:rPr>
        <w:t xml:space="preserve">     </w:t>
      </w:r>
      <w:r>
        <w:rPr>
          <w:rFonts w:hint="eastAsia" w:ascii="宋体" w:hAnsi="宋体" w:eastAsia="宋体" w:cs="宋体"/>
          <w:color w:val="auto"/>
          <w:sz w:val="21"/>
          <w:szCs w:val="21"/>
          <w:highlight w:val="none"/>
          <w:lang w:val="en-US" w:eastAsia="zh-CN" w:bidi="ar-SA"/>
        </w:rPr>
        <w:t xml:space="preserve"> 数量：</w:t>
      </w:r>
      <w:r>
        <w:rPr>
          <w:rFonts w:hint="eastAsia" w:ascii="宋体" w:hAnsi="宋体" w:eastAsia="宋体" w:cs="宋体"/>
          <w:color w:val="auto"/>
          <w:sz w:val="21"/>
          <w:szCs w:val="21"/>
          <w:highlight w:val="none"/>
          <w:u w:val="single"/>
          <w:lang w:val="en-US" w:eastAsia="zh-CN" w:bidi="ar-SA"/>
        </w:rPr>
        <w:t xml:space="preserve">    </w:t>
      </w:r>
      <w:r>
        <w:rPr>
          <w:rFonts w:hint="eastAsia" w:ascii="宋体" w:hAnsi="宋体" w:eastAsia="宋体" w:cs="宋体"/>
          <w:color w:val="auto"/>
          <w:sz w:val="21"/>
          <w:szCs w:val="21"/>
          <w:highlight w:val="none"/>
          <w:lang w:val="en-US" w:eastAsia="zh-CN" w:bidi="ar-SA"/>
        </w:rPr>
        <w:t xml:space="preserve"> 金额：</w:t>
      </w:r>
      <w:r>
        <w:rPr>
          <w:rFonts w:hint="eastAsia" w:ascii="宋体" w:hAnsi="宋体" w:eastAsia="宋体" w:cs="宋体"/>
          <w:color w:val="auto"/>
          <w:sz w:val="21"/>
          <w:szCs w:val="21"/>
          <w:highlight w:val="none"/>
          <w:u w:val="single"/>
          <w:lang w:val="en-US" w:eastAsia="zh-CN" w:bidi="ar-SA"/>
        </w:rPr>
        <w:t xml:space="preserve">     </w:t>
      </w:r>
      <w:r>
        <w:rPr>
          <w:rFonts w:hint="eastAsia" w:ascii="宋体" w:hAnsi="宋体" w:eastAsia="宋体" w:cs="宋体"/>
          <w:iCs w:val="0"/>
          <w:color w:val="auto"/>
          <w:sz w:val="21"/>
          <w:szCs w:val="21"/>
          <w:highlight w:val="none"/>
          <w:lang w:val="en-US" w:eastAsia="zh-CN" w:bidi="ar-SA"/>
        </w:rPr>
        <w:t xml:space="preserve"> </w:t>
      </w:r>
    </w:p>
    <w:p w14:paraId="6E4DDD86">
      <w:pPr>
        <w:numPr>
          <w:ilvl w:val="-1"/>
          <w:numId w:val="0"/>
        </w:numPr>
        <w:autoSpaceDE w:val="0"/>
        <w:autoSpaceDN w:val="0"/>
        <w:adjustRightInd w:val="0"/>
        <w:snapToGrid w:val="0"/>
        <w:spacing w:before="0" w:beforeLines="0" w:line="400" w:lineRule="exact"/>
        <w:ind w:firstLine="0" w:firstLineChars="0"/>
        <w:rPr>
          <w:rFonts w:hint="eastAsia" w:ascii="宋体" w:hAnsi="宋体" w:eastAsia="宋体" w:cs="宋体"/>
          <w:iCs w:val="0"/>
          <w:color w:val="auto"/>
          <w:sz w:val="21"/>
          <w:szCs w:val="21"/>
          <w:highlight w:val="none"/>
          <w:lang w:val="en-US" w:eastAsia="zh-CN" w:bidi="ar-SA"/>
        </w:rPr>
      </w:pPr>
      <w:r>
        <w:rPr>
          <w:rFonts w:hint="eastAsia" w:ascii="宋体" w:hAnsi="宋体" w:eastAsia="宋体" w:cs="宋体"/>
          <w:iCs w:val="0"/>
          <w:color w:val="auto"/>
          <w:sz w:val="21"/>
          <w:szCs w:val="21"/>
          <w:highlight w:val="none"/>
          <w:lang w:val="en-US" w:eastAsia="zh-CN" w:bidi="ar-SA"/>
        </w:rPr>
        <w:t xml:space="preserve">         </w:t>
      </w:r>
      <w:r>
        <w:rPr>
          <w:rFonts w:hint="eastAsia" w:ascii="宋体" w:hAnsi="宋体" w:eastAsia="宋体" w:cs="宋体"/>
          <w:iCs w:val="0"/>
          <w:color w:val="auto"/>
          <w:sz w:val="21"/>
          <w:szCs w:val="21"/>
          <w:highlight w:val="none"/>
          <w:lang w:val="en-US" w:eastAsia="zh-CN" w:bidi="ar-SA"/>
        </w:rPr>
        <w:sym w:font="Wingdings" w:char="00A8"/>
      </w:r>
      <w:r>
        <w:rPr>
          <w:rFonts w:hint="eastAsia" w:ascii="宋体" w:hAnsi="宋体" w:eastAsia="宋体" w:cs="宋体"/>
          <w:iCs w:val="0"/>
          <w:color w:val="auto"/>
          <w:sz w:val="21"/>
          <w:szCs w:val="21"/>
          <w:highlight w:val="none"/>
          <w:lang w:val="en-US" w:eastAsia="zh-CN" w:bidi="ar-SA"/>
        </w:rPr>
        <w:t>否</w:t>
      </w:r>
    </w:p>
    <w:p w14:paraId="1199DDEA">
      <w:pPr>
        <w:numPr>
          <w:ilvl w:val="-1"/>
          <w:numId w:val="0"/>
        </w:numPr>
        <w:autoSpaceDE w:val="0"/>
        <w:autoSpaceDN w:val="0"/>
        <w:adjustRightInd w:val="0"/>
        <w:snapToGrid w:val="0"/>
        <w:spacing w:before="0" w:beforeLines="0" w:line="400" w:lineRule="exact"/>
        <w:ind w:left="0" w:firstLine="0" w:firstLineChars="0"/>
        <w:rPr>
          <w:rFonts w:hint="eastAsia" w:ascii="宋体" w:hAnsi="宋体" w:eastAsia="宋体" w:cs="宋体"/>
          <w:iCs w:val="0"/>
          <w:color w:val="auto"/>
          <w:sz w:val="21"/>
          <w:szCs w:val="21"/>
          <w:highlight w:val="none"/>
          <w:lang w:val="en-US" w:eastAsia="zh-CN" w:bidi="ar-SA"/>
        </w:rPr>
      </w:pPr>
      <w:r>
        <w:rPr>
          <w:rFonts w:hint="eastAsia" w:ascii="宋体" w:hAnsi="宋体" w:eastAsia="宋体" w:cs="宋体"/>
          <w:iCs w:val="0"/>
          <w:color w:val="auto"/>
          <w:sz w:val="21"/>
          <w:szCs w:val="21"/>
          <w:highlight w:val="none"/>
          <w:lang w:val="en-US" w:eastAsia="zh-CN" w:bidi="ar-SA"/>
        </w:rPr>
        <w:t xml:space="preserve">    （</w:t>
      </w:r>
      <w:r>
        <w:rPr>
          <w:rFonts w:hint="default" w:ascii="宋体" w:hAnsi="宋体" w:eastAsia="宋体" w:cs="宋体"/>
          <w:iCs w:val="0"/>
          <w:color w:val="auto"/>
          <w:sz w:val="21"/>
          <w:szCs w:val="21"/>
          <w:highlight w:val="none"/>
          <w:lang w:val="en" w:eastAsia="zh-CN" w:bidi="ar-SA"/>
        </w:rPr>
        <w:t>4</w:t>
      </w:r>
      <w:r>
        <w:rPr>
          <w:rFonts w:hint="eastAsia" w:ascii="宋体" w:hAnsi="宋体" w:eastAsia="宋体" w:cs="宋体"/>
          <w:iCs w:val="0"/>
          <w:color w:val="auto"/>
          <w:sz w:val="21"/>
          <w:szCs w:val="21"/>
          <w:highlight w:val="none"/>
          <w:lang w:val="en-US" w:eastAsia="zh-CN" w:bidi="ar-SA"/>
        </w:rPr>
        <w:t>）政府采购组织形式：</w:t>
      </w:r>
      <w:r>
        <w:rPr>
          <w:rFonts w:hint="eastAsia" w:ascii="宋体" w:hAnsi="宋体" w:eastAsia="宋体" w:cs="宋体"/>
          <w:iCs w:val="0"/>
          <w:color w:val="auto"/>
          <w:sz w:val="21"/>
          <w:szCs w:val="21"/>
          <w:highlight w:val="none"/>
          <w:lang w:val="en-US" w:eastAsia="zh-CN" w:bidi="ar-SA"/>
        </w:rPr>
        <w:sym w:font="Wingdings" w:char="00A8"/>
      </w:r>
      <w:r>
        <w:rPr>
          <w:rFonts w:hint="eastAsia" w:ascii="宋体" w:hAnsi="宋体" w:eastAsia="宋体" w:cs="宋体"/>
          <w:iCs w:val="0"/>
          <w:color w:val="auto"/>
          <w:sz w:val="21"/>
          <w:szCs w:val="21"/>
          <w:highlight w:val="none"/>
          <w:lang w:val="en-US" w:eastAsia="zh-CN" w:bidi="ar-SA"/>
        </w:rPr>
        <w:t xml:space="preserve">政府集中采购  </w:t>
      </w:r>
      <w:r>
        <w:rPr>
          <w:rFonts w:hint="eastAsia" w:ascii="宋体" w:hAnsi="宋体" w:eastAsia="宋体" w:cs="宋体"/>
          <w:iCs w:val="0"/>
          <w:color w:val="auto"/>
          <w:sz w:val="21"/>
          <w:szCs w:val="21"/>
          <w:highlight w:val="none"/>
          <w:lang w:val="en-US" w:eastAsia="zh-CN" w:bidi="ar-SA"/>
        </w:rPr>
        <w:sym w:font="Wingdings" w:char="00A8"/>
      </w:r>
      <w:r>
        <w:rPr>
          <w:rFonts w:hint="eastAsia" w:ascii="宋体" w:hAnsi="宋体" w:eastAsia="宋体" w:cs="宋体"/>
          <w:iCs w:val="0"/>
          <w:color w:val="auto"/>
          <w:sz w:val="21"/>
          <w:szCs w:val="21"/>
          <w:highlight w:val="none"/>
          <w:lang w:val="en-US" w:eastAsia="zh-CN" w:bidi="ar-SA"/>
        </w:rPr>
        <w:t xml:space="preserve">部门集中采购  </w:t>
      </w:r>
      <w:r>
        <w:rPr>
          <w:rFonts w:hint="eastAsia" w:ascii="宋体" w:hAnsi="宋体" w:eastAsia="宋体" w:cs="宋体"/>
          <w:iCs w:val="0"/>
          <w:color w:val="auto"/>
          <w:sz w:val="21"/>
          <w:szCs w:val="21"/>
          <w:highlight w:val="none"/>
          <w:lang w:val="en-US" w:eastAsia="zh-CN" w:bidi="ar-SA"/>
        </w:rPr>
        <w:sym w:font="Wingdings" w:char="00FE"/>
      </w:r>
      <w:r>
        <w:rPr>
          <w:rFonts w:hint="eastAsia" w:ascii="宋体" w:hAnsi="宋体" w:eastAsia="宋体" w:cs="宋体"/>
          <w:iCs w:val="0"/>
          <w:color w:val="auto"/>
          <w:sz w:val="21"/>
          <w:szCs w:val="21"/>
          <w:highlight w:val="none"/>
          <w:lang w:val="en-US" w:eastAsia="zh-CN" w:bidi="ar-SA"/>
        </w:rPr>
        <w:t>分散采购</w:t>
      </w:r>
    </w:p>
    <w:p w14:paraId="5A9C261F">
      <w:pPr>
        <w:numPr>
          <w:ilvl w:val="-1"/>
          <w:numId w:val="0"/>
        </w:numPr>
        <w:autoSpaceDE w:val="0"/>
        <w:autoSpaceDN w:val="0"/>
        <w:adjustRightInd w:val="0"/>
        <w:snapToGrid w:val="0"/>
        <w:spacing w:before="0" w:beforeLines="0" w:line="400" w:lineRule="exact"/>
        <w:ind w:left="0" w:firstLine="420" w:firstLineChars="0"/>
        <w:rPr>
          <w:rFonts w:hint="eastAsia" w:ascii="宋体" w:hAnsi="宋体" w:eastAsia="宋体" w:cs="宋体"/>
          <w:iCs w:val="0"/>
          <w:color w:val="auto"/>
          <w:sz w:val="21"/>
          <w:szCs w:val="21"/>
          <w:highlight w:val="none"/>
          <w:lang w:val="en-US" w:eastAsia="zh-CN" w:bidi="ar-SA"/>
        </w:rPr>
      </w:pPr>
      <w:r>
        <w:rPr>
          <w:rFonts w:hint="eastAsia" w:ascii="宋体" w:hAnsi="宋体" w:eastAsia="宋体" w:cs="宋体"/>
          <w:iCs w:val="0"/>
          <w:color w:val="auto"/>
          <w:sz w:val="21"/>
          <w:szCs w:val="21"/>
          <w:highlight w:val="none"/>
          <w:lang w:val="en-US" w:eastAsia="zh-CN" w:bidi="ar-SA"/>
        </w:rPr>
        <w:t>（</w:t>
      </w:r>
      <w:r>
        <w:rPr>
          <w:rFonts w:hint="default" w:ascii="宋体" w:hAnsi="宋体" w:eastAsia="宋体" w:cs="宋体"/>
          <w:iCs w:val="0"/>
          <w:color w:val="auto"/>
          <w:sz w:val="21"/>
          <w:szCs w:val="21"/>
          <w:highlight w:val="none"/>
          <w:lang w:val="en" w:eastAsia="zh-CN" w:bidi="ar-SA"/>
        </w:rPr>
        <w:t>5</w:t>
      </w:r>
      <w:r>
        <w:rPr>
          <w:rFonts w:hint="eastAsia" w:ascii="宋体" w:hAnsi="宋体" w:eastAsia="宋体" w:cs="宋体"/>
          <w:iCs w:val="0"/>
          <w:color w:val="auto"/>
          <w:sz w:val="21"/>
          <w:szCs w:val="21"/>
          <w:highlight w:val="none"/>
          <w:lang w:val="en-US" w:eastAsia="zh-CN" w:bidi="ar-SA"/>
        </w:rPr>
        <w:t>）政府采购方式：</w:t>
      </w:r>
      <w:r>
        <w:rPr>
          <w:rFonts w:hint="eastAsia" w:ascii="宋体" w:hAnsi="宋体" w:eastAsia="宋体" w:cs="宋体"/>
          <w:iCs w:val="0"/>
          <w:color w:val="auto"/>
          <w:sz w:val="21"/>
          <w:szCs w:val="21"/>
          <w:highlight w:val="none"/>
          <w:lang w:val="en-US" w:eastAsia="zh-CN" w:bidi="ar-SA"/>
        </w:rPr>
        <w:sym w:font="Wingdings" w:char="00FE"/>
      </w:r>
      <w:r>
        <w:rPr>
          <w:rFonts w:hint="eastAsia" w:ascii="宋体" w:hAnsi="宋体" w:eastAsia="宋体" w:cs="宋体"/>
          <w:iCs w:val="0"/>
          <w:color w:val="auto"/>
          <w:sz w:val="21"/>
          <w:szCs w:val="21"/>
          <w:highlight w:val="none"/>
          <w:lang w:val="en-US" w:eastAsia="zh-CN" w:bidi="ar-SA"/>
        </w:rPr>
        <w:t xml:space="preserve">公开招标 </w:t>
      </w:r>
      <w:r>
        <w:rPr>
          <w:rFonts w:hint="eastAsia" w:ascii="宋体" w:hAnsi="宋体" w:eastAsia="宋体" w:cs="宋体"/>
          <w:iCs w:val="0"/>
          <w:color w:val="auto"/>
          <w:sz w:val="21"/>
          <w:szCs w:val="21"/>
          <w:highlight w:val="none"/>
          <w:lang w:val="en-US" w:eastAsia="zh-CN" w:bidi="ar-SA"/>
        </w:rPr>
        <w:sym w:font="Wingdings" w:char="00A8"/>
      </w:r>
      <w:r>
        <w:rPr>
          <w:rFonts w:hint="eastAsia" w:ascii="宋体" w:hAnsi="宋体" w:eastAsia="宋体" w:cs="宋体"/>
          <w:iCs w:val="0"/>
          <w:color w:val="auto"/>
          <w:sz w:val="21"/>
          <w:szCs w:val="21"/>
          <w:highlight w:val="none"/>
          <w:lang w:val="en-US" w:eastAsia="zh-CN" w:bidi="ar-SA"/>
        </w:rPr>
        <w:t xml:space="preserve">邀请招标 </w:t>
      </w:r>
      <w:r>
        <w:rPr>
          <w:rFonts w:hint="eastAsia" w:ascii="宋体" w:hAnsi="宋体" w:eastAsia="宋体" w:cs="宋体"/>
          <w:iCs w:val="0"/>
          <w:color w:val="auto"/>
          <w:sz w:val="21"/>
          <w:szCs w:val="21"/>
          <w:highlight w:val="none"/>
          <w:lang w:val="en-US" w:eastAsia="zh-CN" w:bidi="ar-SA"/>
        </w:rPr>
        <w:sym w:font="Wingdings" w:char="00A8"/>
      </w:r>
      <w:r>
        <w:rPr>
          <w:rFonts w:hint="eastAsia" w:ascii="宋体" w:hAnsi="宋体" w:eastAsia="宋体" w:cs="宋体"/>
          <w:iCs w:val="0"/>
          <w:color w:val="auto"/>
          <w:sz w:val="21"/>
          <w:szCs w:val="21"/>
          <w:highlight w:val="none"/>
          <w:lang w:val="en-US" w:eastAsia="zh-CN" w:bidi="ar-SA"/>
        </w:rPr>
        <w:t xml:space="preserve">竞争性谈判 </w:t>
      </w:r>
      <w:r>
        <w:rPr>
          <w:rFonts w:hint="eastAsia" w:ascii="宋体" w:hAnsi="宋体" w:eastAsia="宋体" w:cs="宋体"/>
          <w:iCs w:val="0"/>
          <w:color w:val="auto"/>
          <w:sz w:val="21"/>
          <w:szCs w:val="21"/>
          <w:highlight w:val="none"/>
          <w:lang w:val="en-US" w:eastAsia="zh-CN" w:bidi="ar-SA"/>
        </w:rPr>
        <w:sym w:font="Wingdings" w:char="00A8"/>
      </w:r>
      <w:r>
        <w:rPr>
          <w:rFonts w:hint="eastAsia" w:ascii="宋体" w:hAnsi="宋体" w:eastAsia="宋体" w:cs="宋体"/>
          <w:iCs w:val="0"/>
          <w:color w:val="auto"/>
          <w:sz w:val="21"/>
          <w:szCs w:val="21"/>
          <w:highlight w:val="none"/>
          <w:lang w:val="en-US" w:eastAsia="zh-CN" w:bidi="ar-SA"/>
        </w:rPr>
        <w:t>竞争性磋商</w:t>
      </w:r>
    </w:p>
    <w:p w14:paraId="2424AD5C">
      <w:pPr>
        <w:numPr>
          <w:ilvl w:val="-1"/>
          <w:numId w:val="0"/>
        </w:numPr>
        <w:autoSpaceDE w:val="0"/>
        <w:autoSpaceDN w:val="0"/>
        <w:adjustRightInd w:val="0"/>
        <w:snapToGrid w:val="0"/>
        <w:spacing w:before="0" w:beforeLines="0" w:line="400" w:lineRule="exact"/>
        <w:ind w:left="0" w:firstLine="420" w:firstLineChars="0"/>
        <w:rPr>
          <w:rFonts w:hint="eastAsia" w:ascii="宋体" w:hAnsi="宋体" w:eastAsia="宋体" w:cs="宋体"/>
          <w:iCs w:val="0"/>
          <w:color w:val="auto"/>
          <w:sz w:val="21"/>
          <w:szCs w:val="21"/>
          <w:highlight w:val="none"/>
          <w:u w:val="single"/>
          <w:lang w:val="en-US" w:eastAsia="zh-CN" w:bidi="ar-SA"/>
        </w:rPr>
      </w:pPr>
      <w:r>
        <w:rPr>
          <w:rFonts w:hint="eastAsia" w:ascii="宋体" w:hAnsi="宋体" w:eastAsia="华文楷体" w:cs="宋体"/>
          <w:color w:val="auto"/>
          <w:sz w:val="22"/>
          <w:szCs w:val="21"/>
          <w:highlight w:val="none"/>
          <w:u w:val="none"/>
          <w:lang w:val="en-US" w:eastAsia="zh-CN" w:bidi="ar-SA"/>
        </w:rPr>
        <w:t xml:space="preserve">                  </w:t>
      </w:r>
      <w:r>
        <w:rPr>
          <w:rFonts w:hint="eastAsia" w:ascii="宋体" w:hAnsi="宋体" w:eastAsia="宋体" w:cs="宋体"/>
          <w:iCs w:val="0"/>
          <w:color w:val="auto"/>
          <w:sz w:val="21"/>
          <w:szCs w:val="21"/>
          <w:highlight w:val="none"/>
          <w:lang w:val="en-US" w:eastAsia="zh-CN" w:bidi="ar-SA"/>
        </w:rPr>
        <w:sym w:font="Wingdings" w:char="00A8"/>
      </w:r>
      <w:r>
        <w:rPr>
          <w:rFonts w:hint="eastAsia" w:ascii="宋体" w:hAnsi="宋体" w:eastAsia="宋体" w:cs="宋体"/>
          <w:iCs w:val="0"/>
          <w:color w:val="auto"/>
          <w:sz w:val="21"/>
          <w:szCs w:val="21"/>
          <w:highlight w:val="none"/>
          <w:lang w:val="en-US" w:eastAsia="zh-CN" w:bidi="ar-SA"/>
        </w:rPr>
        <w:t xml:space="preserve">询价 </w:t>
      </w:r>
      <w:r>
        <w:rPr>
          <w:rFonts w:hint="eastAsia" w:ascii="宋体" w:hAnsi="宋体" w:eastAsia="宋体" w:cs="宋体"/>
          <w:iCs w:val="0"/>
          <w:color w:val="auto"/>
          <w:sz w:val="21"/>
          <w:szCs w:val="21"/>
          <w:highlight w:val="none"/>
          <w:lang w:val="en-US" w:eastAsia="zh-CN" w:bidi="ar-SA"/>
        </w:rPr>
        <w:sym w:font="Wingdings" w:char="00A8"/>
      </w:r>
      <w:r>
        <w:rPr>
          <w:rFonts w:hint="eastAsia" w:ascii="宋体" w:hAnsi="宋体" w:eastAsia="宋体" w:cs="宋体"/>
          <w:iCs w:val="0"/>
          <w:color w:val="auto"/>
          <w:sz w:val="21"/>
          <w:szCs w:val="21"/>
          <w:highlight w:val="none"/>
          <w:lang w:val="en-US" w:eastAsia="zh-CN" w:bidi="ar-SA"/>
        </w:rPr>
        <w:t xml:space="preserve">单一来源 </w:t>
      </w:r>
      <w:r>
        <w:rPr>
          <w:rFonts w:hint="eastAsia" w:ascii="宋体" w:hAnsi="宋体" w:eastAsia="宋体" w:cs="宋体"/>
          <w:iCs w:val="0"/>
          <w:color w:val="auto"/>
          <w:sz w:val="21"/>
          <w:szCs w:val="21"/>
          <w:highlight w:val="none"/>
          <w:lang w:val="en-US" w:eastAsia="zh-CN" w:bidi="ar-SA"/>
        </w:rPr>
        <w:sym w:font="Wingdings" w:char="00A8"/>
      </w:r>
      <w:r>
        <w:rPr>
          <w:rFonts w:hint="eastAsia" w:ascii="宋体" w:hAnsi="宋体" w:eastAsia="宋体" w:cs="宋体"/>
          <w:iCs w:val="0"/>
          <w:color w:val="auto"/>
          <w:sz w:val="21"/>
          <w:szCs w:val="21"/>
          <w:highlight w:val="none"/>
          <w:lang w:val="en-US" w:eastAsia="zh-CN" w:bidi="ar-SA"/>
        </w:rPr>
        <w:t xml:space="preserve">框架协议 </w:t>
      </w:r>
      <w:r>
        <w:rPr>
          <w:rFonts w:hint="eastAsia" w:ascii="宋体" w:hAnsi="宋体" w:eastAsia="宋体" w:cs="宋体"/>
          <w:iCs w:val="0"/>
          <w:color w:val="auto"/>
          <w:sz w:val="21"/>
          <w:szCs w:val="21"/>
          <w:highlight w:val="none"/>
          <w:lang w:val="en-US" w:eastAsia="zh-CN" w:bidi="ar-SA"/>
        </w:rPr>
        <w:sym w:font="Wingdings" w:char="00A8"/>
      </w:r>
      <w:r>
        <w:rPr>
          <w:rFonts w:hint="eastAsia" w:ascii="宋体" w:hAnsi="宋体" w:eastAsia="宋体" w:cs="宋体"/>
          <w:iCs w:val="0"/>
          <w:color w:val="auto"/>
          <w:sz w:val="21"/>
          <w:szCs w:val="21"/>
          <w:highlight w:val="none"/>
          <w:lang w:val="en-US" w:eastAsia="zh-CN" w:bidi="ar-SA"/>
        </w:rPr>
        <w:t>其他：</w:t>
      </w:r>
      <w:r>
        <w:rPr>
          <w:rFonts w:hint="eastAsia" w:ascii="宋体" w:hAnsi="宋体" w:eastAsia="宋体" w:cs="宋体"/>
          <w:iCs w:val="0"/>
          <w:color w:val="auto"/>
          <w:sz w:val="21"/>
          <w:szCs w:val="21"/>
          <w:highlight w:val="none"/>
          <w:u w:val="single"/>
          <w:lang w:val="en-US" w:eastAsia="zh-CN" w:bidi="ar-SA"/>
        </w:rPr>
        <w:t xml:space="preserve">          </w:t>
      </w:r>
    </w:p>
    <w:p w14:paraId="6D4529A1">
      <w:pPr>
        <w:numPr>
          <w:ilvl w:val="-1"/>
          <w:numId w:val="0"/>
        </w:numPr>
        <w:autoSpaceDE w:val="0"/>
        <w:autoSpaceDN w:val="0"/>
        <w:adjustRightInd w:val="0"/>
        <w:snapToGrid w:val="0"/>
        <w:spacing w:before="0" w:beforeLines="0" w:line="400" w:lineRule="exact"/>
        <w:ind w:left="0" w:firstLine="420" w:firstLineChars="0"/>
        <w:rPr>
          <w:rFonts w:hint="default" w:ascii="宋体" w:hAnsi="宋体" w:eastAsia="宋体" w:cs="宋体"/>
          <w:iCs w:val="0"/>
          <w:color w:val="auto"/>
          <w:sz w:val="21"/>
          <w:szCs w:val="21"/>
          <w:highlight w:val="none"/>
          <w:u w:val="none"/>
          <w:lang w:val="en-US" w:eastAsia="zh-CN" w:bidi="ar-SA"/>
        </w:rPr>
      </w:pPr>
      <w:r>
        <w:rPr>
          <w:rFonts w:hint="eastAsia" w:ascii="宋体" w:hAnsi="宋体" w:eastAsia="宋体" w:cs="宋体"/>
          <w:iCs w:val="0"/>
          <w:color w:val="auto"/>
          <w:sz w:val="21"/>
          <w:szCs w:val="21"/>
          <w:highlight w:val="none"/>
          <w:u w:val="none"/>
          <w:lang w:val="en-US" w:eastAsia="zh-CN" w:bidi="ar-SA"/>
        </w:rPr>
        <w:t>（注：在框架协议采购的第二阶段，可选择使用该合同文本）</w:t>
      </w:r>
    </w:p>
    <w:p w14:paraId="5814962C">
      <w:pPr>
        <w:numPr>
          <w:ilvl w:val="-1"/>
          <w:numId w:val="0"/>
        </w:numPr>
        <w:autoSpaceDE w:val="0"/>
        <w:autoSpaceDN w:val="0"/>
        <w:adjustRightInd w:val="0"/>
        <w:snapToGrid w:val="0"/>
        <w:spacing w:before="0" w:beforeLines="0" w:line="400" w:lineRule="exact"/>
        <w:ind w:firstLine="220" w:firstLineChars="100"/>
        <w:rPr>
          <w:rFonts w:hint="eastAsia" w:ascii="宋体" w:hAnsi="宋体" w:eastAsia="宋体" w:cs="Times New Roman"/>
          <w:color w:val="auto"/>
          <w:w w:val="100"/>
          <w:kern w:val="2"/>
          <w:sz w:val="21"/>
          <w:szCs w:val="21"/>
          <w:highlight w:val="none"/>
          <w:lang w:val="en-US" w:eastAsia="zh-CN" w:bidi="ar-SA"/>
        </w:rPr>
      </w:pPr>
      <w:r>
        <w:rPr>
          <w:rFonts w:hint="eastAsia" w:ascii="宋体" w:hAnsi="宋体" w:eastAsia="华文楷体" w:cs="华文楷体"/>
          <w:color w:val="auto"/>
          <w:sz w:val="22"/>
          <w:szCs w:val="21"/>
          <w:highlight w:val="none"/>
          <w:lang w:val="en-US" w:eastAsia="zh-CN" w:bidi="ar-SA"/>
        </w:rPr>
        <w:t xml:space="preserve"> （</w:t>
      </w:r>
      <w:r>
        <w:rPr>
          <w:rFonts w:hint="default" w:ascii="宋体" w:hAnsi="宋体" w:eastAsia="华文楷体" w:cs="华文楷体"/>
          <w:color w:val="auto"/>
          <w:sz w:val="22"/>
          <w:szCs w:val="21"/>
          <w:highlight w:val="none"/>
          <w:lang w:val="en" w:eastAsia="zh-CN" w:bidi="ar-SA"/>
        </w:rPr>
        <w:t>6</w:t>
      </w:r>
      <w:r>
        <w:rPr>
          <w:rFonts w:hint="eastAsia" w:ascii="宋体" w:hAnsi="宋体" w:eastAsia="华文楷体" w:cs="华文楷体"/>
          <w:color w:val="auto"/>
          <w:sz w:val="22"/>
          <w:szCs w:val="21"/>
          <w:highlight w:val="none"/>
          <w:lang w:val="en-US" w:eastAsia="zh-CN" w:bidi="ar-SA"/>
        </w:rPr>
        <w:t>）</w:t>
      </w:r>
      <w:r>
        <w:rPr>
          <w:rFonts w:hint="eastAsia" w:ascii="宋体" w:hAnsi="宋体" w:eastAsia="宋体" w:cs="Times New Roman"/>
          <w:color w:val="auto"/>
          <w:w w:val="100"/>
          <w:kern w:val="2"/>
          <w:sz w:val="21"/>
          <w:szCs w:val="21"/>
          <w:highlight w:val="none"/>
          <w:lang w:val="en-US" w:eastAsia="zh-CN" w:bidi="ar-SA"/>
        </w:rPr>
        <w:t>中标（成交）采购标的制造商是否为中小企业：</w:t>
      </w:r>
      <w:r>
        <w:rPr>
          <w:rFonts w:hint="eastAsia" w:ascii="宋体" w:hAnsi="宋体" w:eastAsia="宋体" w:cs="Times New Roman"/>
          <w:color w:val="auto"/>
          <w:w w:val="100"/>
          <w:kern w:val="2"/>
          <w:sz w:val="21"/>
          <w:szCs w:val="21"/>
          <w:highlight w:val="none"/>
          <w:lang w:val="en-US" w:eastAsia="zh-CN" w:bidi="ar-SA"/>
        </w:rPr>
        <w:sym w:font="Wingdings" w:char="00A8"/>
      </w:r>
      <w:r>
        <w:rPr>
          <w:rFonts w:hint="eastAsia" w:ascii="宋体" w:hAnsi="宋体" w:eastAsia="宋体" w:cs="Times New Roman"/>
          <w:color w:val="auto"/>
          <w:w w:val="100"/>
          <w:kern w:val="2"/>
          <w:sz w:val="21"/>
          <w:szCs w:val="21"/>
          <w:highlight w:val="none"/>
          <w:lang w:val="en-US" w:eastAsia="zh-CN" w:bidi="ar-SA"/>
        </w:rPr>
        <w:t xml:space="preserve">是      </w:t>
      </w:r>
      <w:r>
        <w:rPr>
          <w:rFonts w:hint="eastAsia" w:ascii="宋体" w:hAnsi="宋体" w:eastAsia="宋体" w:cs="Times New Roman"/>
          <w:color w:val="auto"/>
          <w:w w:val="100"/>
          <w:kern w:val="2"/>
          <w:sz w:val="21"/>
          <w:szCs w:val="21"/>
          <w:highlight w:val="none"/>
          <w:lang w:val="en-US" w:eastAsia="zh-CN" w:bidi="ar-SA"/>
        </w:rPr>
        <w:sym w:font="Wingdings" w:char="00A8"/>
      </w:r>
      <w:r>
        <w:rPr>
          <w:rFonts w:hint="eastAsia" w:ascii="宋体" w:hAnsi="宋体" w:eastAsia="宋体" w:cs="Times New Roman"/>
          <w:color w:val="auto"/>
          <w:w w:val="100"/>
          <w:kern w:val="2"/>
          <w:sz w:val="21"/>
          <w:szCs w:val="21"/>
          <w:highlight w:val="none"/>
          <w:lang w:val="en-US" w:eastAsia="zh-CN" w:bidi="ar-SA"/>
        </w:rPr>
        <w:t>否</w:t>
      </w:r>
    </w:p>
    <w:p w14:paraId="42854ECA">
      <w:pPr>
        <w:numPr>
          <w:ilvl w:val="-1"/>
          <w:numId w:val="0"/>
        </w:numPr>
        <w:adjustRightInd w:val="0"/>
        <w:snapToGrid w:val="0"/>
        <w:spacing w:before="0" w:beforeLines="0" w:line="400" w:lineRule="exact"/>
        <w:ind w:left="0" w:leftChars="0" w:firstLine="0" w:firstLineChars="0"/>
        <w:rPr>
          <w:rFonts w:hint="eastAsia" w:ascii="宋体" w:hAnsi="宋体" w:eastAsia="宋体" w:cs="Times New Roman"/>
          <w:iCs/>
          <w:color w:val="auto"/>
          <w:szCs w:val="21"/>
          <w:highlight w:val="none"/>
        </w:rPr>
      </w:pPr>
      <w:r>
        <w:rPr>
          <w:rFonts w:hint="eastAsia" w:ascii="宋体" w:hAnsi="宋体" w:eastAsia="宋体" w:cs="Times New Roman"/>
          <w:color w:val="auto"/>
          <w:w w:val="100"/>
          <w:szCs w:val="21"/>
          <w:highlight w:val="none"/>
          <w:lang w:val="en-US" w:eastAsia="zh-CN"/>
        </w:rPr>
        <w:t xml:space="preserve">         本合同</w:t>
      </w:r>
      <w:r>
        <w:rPr>
          <w:rFonts w:hint="eastAsia" w:ascii="宋体" w:hAnsi="宋体" w:eastAsia="宋体" w:cs="Times New Roman"/>
          <w:color w:val="auto"/>
          <w:w w:val="100"/>
          <w:szCs w:val="21"/>
          <w:highlight w:val="none"/>
        </w:rPr>
        <w:t>是否</w:t>
      </w:r>
      <w:r>
        <w:rPr>
          <w:rFonts w:hint="eastAsia" w:ascii="宋体" w:hAnsi="宋体" w:eastAsia="宋体" w:cs="Times New Roman"/>
          <w:color w:val="auto"/>
          <w:w w:val="100"/>
          <w:szCs w:val="21"/>
          <w:highlight w:val="none"/>
          <w:lang w:eastAsia="zh-CN"/>
        </w:rPr>
        <w:t>为专门面向</w:t>
      </w:r>
      <w:r>
        <w:rPr>
          <w:rFonts w:hint="eastAsia" w:ascii="宋体" w:hAnsi="宋体" w:eastAsia="宋体" w:cs="Times New Roman"/>
          <w:color w:val="auto"/>
          <w:w w:val="100"/>
          <w:szCs w:val="21"/>
          <w:highlight w:val="none"/>
        </w:rPr>
        <w:t>中小企业</w:t>
      </w:r>
      <w:r>
        <w:rPr>
          <w:rFonts w:hint="eastAsia" w:ascii="宋体" w:hAnsi="宋体" w:eastAsia="宋体" w:cs="Times New Roman"/>
          <w:color w:val="auto"/>
          <w:w w:val="100"/>
          <w:szCs w:val="21"/>
          <w:highlight w:val="none"/>
          <w:lang w:eastAsia="zh-CN"/>
        </w:rPr>
        <w:t>的采</w:t>
      </w:r>
      <w:r>
        <w:rPr>
          <w:rFonts w:hint="eastAsia" w:ascii="宋体" w:hAnsi="宋体" w:eastAsia="宋体" w:cs="Times New Roman"/>
          <w:color w:val="auto"/>
          <w:w w:val="100"/>
          <w:szCs w:val="21"/>
          <w:highlight w:val="none"/>
          <w:shd w:val="clear"/>
          <w:lang w:eastAsia="zh-CN"/>
        </w:rPr>
        <w:t>购</w:t>
      </w:r>
      <w:r>
        <w:rPr>
          <w:rFonts w:hint="eastAsia" w:ascii="宋体" w:hAnsi="宋体" w:eastAsia="宋体" w:cs="Times New Roman"/>
          <w:color w:val="auto"/>
          <w:w w:val="100"/>
          <w:szCs w:val="21"/>
          <w:highlight w:val="none"/>
          <w:shd w:val="clear"/>
        </w:rPr>
        <w:t>合同</w:t>
      </w:r>
      <w:r>
        <w:rPr>
          <w:rFonts w:hint="eastAsia" w:ascii="宋体" w:hAnsi="宋体" w:eastAsia="宋体" w:cs="Times New Roman"/>
          <w:color w:val="auto"/>
          <w:w w:val="100"/>
          <w:szCs w:val="21"/>
          <w:highlight w:val="none"/>
          <w:shd w:val="clear"/>
          <w:lang w:eastAsia="zh-CN"/>
        </w:rPr>
        <w:t>（中小企业预留合同）</w:t>
      </w:r>
      <w:r>
        <w:rPr>
          <w:rFonts w:hint="eastAsia" w:ascii="宋体" w:hAnsi="宋体" w:eastAsia="宋体" w:cs="Times New Roman"/>
          <w:color w:val="auto"/>
          <w:szCs w:val="21"/>
          <w:highlight w:val="none"/>
          <w:shd w:val="clear"/>
        </w:rPr>
        <w:t>：</w:t>
      </w:r>
      <w:r>
        <w:rPr>
          <w:rFonts w:hint="eastAsia" w:ascii="宋体" w:hAnsi="宋体" w:eastAsia="宋体" w:cs="Times New Roman"/>
          <w:iCs/>
          <w:color w:val="auto"/>
          <w:szCs w:val="21"/>
          <w:highlight w:val="none"/>
        </w:rPr>
        <w:sym w:font="Wingdings" w:char="00A8"/>
      </w:r>
      <w:r>
        <w:rPr>
          <w:rFonts w:hint="eastAsia" w:ascii="宋体" w:hAnsi="宋体" w:eastAsia="宋体" w:cs="Times New Roman"/>
          <w:iCs/>
          <w:color w:val="auto"/>
          <w:szCs w:val="21"/>
          <w:highlight w:val="none"/>
        </w:rPr>
        <w:t xml:space="preserve">是 </w:t>
      </w:r>
      <w:r>
        <w:rPr>
          <w:rFonts w:hint="eastAsia" w:ascii="宋体" w:hAnsi="宋体" w:eastAsia="宋体" w:cs="Times New Roman"/>
          <w:iCs/>
          <w:color w:val="auto"/>
          <w:szCs w:val="21"/>
          <w:highlight w:val="none"/>
          <w:lang w:val="en-US" w:eastAsia="zh-CN"/>
        </w:rPr>
        <w:t xml:space="preserve">  </w:t>
      </w:r>
      <w:r>
        <w:rPr>
          <w:rFonts w:hint="eastAsia" w:ascii="宋体" w:hAnsi="宋体" w:eastAsia="宋体" w:cs="Times New Roman"/>
          <w:iCs/>
          <w:color w:val="auto"/>
          <w:szCs w:val="21"/>
          <w:highlight w:val="none"/>
        </w:rPr>
        <w:t xml:space="preserve"> </w:t>
      </w:r>
      <w:r>
        <w:rPr>
          <w:rFonts w:hint="eastAsia" w:ascii="宋体" w:hAnsi="宋体" w:eastAsia="宋体" w:cs="Times New Roman"/>
          <w:iCs/>
          <w:color w:val="auto"/>
          <w:szCs w:val="21"/>
          <w:highlight w:val="none"/>
        </w:rPr>
        <w:sym w:font="Wingdings" w:char="00A8"/>
      </w:r>
      <w:r>
        <w:rPr>
          <w:rFonts w:hint="eastAsia" w:ascii="宋体" w:hAnsi="宋体" w:eastAsia="宋体" w:cs="Times New Roman"/>
          <w:iCs/>
          <w:color w:val="auto"/>
          <w:szCs w:val="21"/>
          <w:highlight w:val="none"/>
        </w:rPr>
        <w:t>否</w:t>
      </w:r>
    </w:p>
    <w:p w14:paraId="268F8592">
      <w:pPr>
        <w:numPr>
          <w:ilvl w:val="-1"/>
          <w:numId w:val="0"/>
        </w:numPr>
        <w:adjustRightInd w:val="0"/>
        <w:snapToGrid w:val="0"/>
        <w:spacing w:before="0" w:beforeLines="0" w:line="400" w:lineRule="exact"/>
        <w:ind w:firstLine="0" w:firstLineChars="0"/>
        <w:rPr>
          <w:rFonts w:hint="eastAsia" w:ascii="宋体" w:hAnsi="宋体" w:eastAsia="宋体" w:cs="Times New Roman"/>
          <w:iCs/>
          <w:color w:val="auto"/>
          <w:szCs w:val="21"/>
          <w:highlight w:val="none"/>
        </w:rPr>
      </w:pPr>
      <w:r>
        <w:rPr>
          <w:rFonts w:hint="eastAsia" w:ascii="Times New Roman" w:hAnsi="Times New Roman" w:eastAsia="宋体" w:cs="Times New Roman"/>
          <w:color w:val="auto"/>
          <w:highlight w:val="none"/>
          <w:lang w:val="en-US" w:eastAsia="zh-CN"/>
        </w:rPr>
        <w:t xml:space="preserve">         若本项目不专门面向中小企业采购，是否给予小微企业评审优惠：</w:t>
      </w:r>
      <w:r>
        <w:rPr>
          <w:rFonts w:hint="eastAsia" w:ascii="宋体" w:hAnsi="宋体" w:eastAsia="宋体" w:cs="Times New Roman"/>
          <w:iCs/>
          <w:color w:val="auto"/>
          <w:szCs w:val="21"/>
          <w:highlight w:val="none"/>
        </w:rPr>
        <w:sym w:font="Wingdings" w:char="00FE"/>
      </w:r>
      <w:r>
        <w:rPr>
          <w:rFonts w:hint="eastAsia" w:ascii="宋体" w:hAnsi="宋体" w:eastAsia="宋体" w:cs="Times New Roman"/>
          <w:iCs/>
          <w:color w:val="auto"/>
          <w:szCs w:val="21"/>
          <w:highlight w:val="none"/>
        </w:rPr>
        <w:t xml:space="preserve">是   </w:t>
      </w:r>
      <w:r>
        <w:rPr>
          <w:rFonts w:hint="eastAsia" w:ascii="宋体" w:hAnsi="宋体" w:eastAsia="宋体" w:cs="Times New Roman"/>
          <w:iCs/>
          <w:color w:val="auto"/>
          <w:szCs w:val="21"/>
          <w:highlight w:val="none"/>
        </w:rPr>
        <w:sym w:font="Wingdings" w:char="00A8"/>
      </w:r>
      <w:r>
        <w:rPr>
          <w:rFonts w:hint="eastAsia" w:ascii="宋体" w:hAnsi="宋体" w:eastAsia="宋体" w:cs="Times New Roman"/>
          <w:iCs/>
          <w:color w:val="auto"/>
          <w:szCs w:val="21"/>
          <w:highlight w:val="none"/>
        </w:rPr>
        <w:t>否</w:t>
      </w:r>
    </w:p>
    <w:p w14:paraId="13F75237">
      <w:pPr>
        <w:numPr>
          <w:ilvl w:val="-1"/>
          <w:numId w:val="0"/>
        </w:numPr>
        <w:adjustRightInd w:val="0"/>
        <w:snapToGrid w:val="0"/>
        <w:spacing w:before="0" w:beforeLines="0" w:line="400" w:lineRule="exact"/>
        <w:ind w:firstLine="0" w:firstLineChars="0"/>
        <w:rPr>
          <w:rFonts w:hint="eastAsia" w:ascii="宋体" w:hAnsi="宋体" w:eastAsia="宋体" w:cs="Times New Roman"/>
          <w:iCs/>
          <w:color w:val="auto"/>
          <w:szCs w:val="21"/>
          <w:highlight w:val="none"/>
        </w:rPr>
      </w:pPr>
      <w:r>
        <w:rPr>
          <w:rFonts w:hint="eastAsia" w:ascii="Times New Roman" w:hAnsi="Times New Roman" w:eastAsia="宋体" w:cs="Times New Roman"/>
          <w:color w:val="auto"/>
          <w:highlight w:val="none"/>
          <w:lang w:val="en-US" w:eastAsia="zh-CN"/>
        </w:rPr>
        <w:t xml:space="preserve">         中标（成交）采购标的制造商是否为残疾人福利性单位：</w:t>
      </w:r>
      <w:r>
        <w:rPr>
          <w:rFonts w:hint="eastAsia" w:ascii="宋体" w:hAnsi="宋体" w:eastAsia="宋体" w:cs="Times New Roman"/>
          <w:iCs/>
          <w:color w:val="auto"/>
          <w:szCs w:val="21"/>
          <w:highlight w:val="none"/>
        </w:rPr>
        <w:sym w:font="Wingdings" w:char="00A8"/>
      </w:r>
      <w:r>
        <w:rPr>
          <w:rFonts w:hint="eastAsia" w:ascii="宋体" w:hAnsi="宋体" w:eastAsia="宋体" w:cs="Times New Roman"/>
          <w:iCs/>
          <w:color w:val="auto"/>
          <w:szCs w:val="21"/>
          <w:highlight w:val="none"/>
        </w:rPr>
        <w:t xml:space="preserve">是   </w:t>
      </w:r>
      <w:r>
        <w:rPr>
          <w:rFonts w:hint="eastAsia" w:ascii="宋体" w:hAnsi="宋体" w:eastAsia="宋体" w:cs="Times New Roman"/>
          <w:iCs/>
          <w:color w:val="auto"/>
          <w:szCs w:val="21"/>
          <w:highlight w:val="none"/>
        </w:rPr>
        <w:sym w:font="Wingdings" w:char="00A8"/>
      </w:r>
      <w:r>
        <w:rPr>
          <w:rFonts w:hint="eastAsia" w:ascii="宋体" w:hAnsi="宋体" w:eastAsia="宋体" w:cs="Times New Roman"/>
          <w:iCs/>
          <w:color w:val="auto"/>
          <w:szCs w:val="21"/>
          <w:highlight w:val="none"/>
        </w:rPr>
        <w:t>否</w:t>
      </w:r>
    </w:p>
    <w:p w14:paraId="61F90611">
      <w:pPr>
        <w:numPr>
          <w:ilvl w:val="0"/>
          <w:numId w:val="0"/>
        </w:numPr>
        <w:snapToGrid w:val="0"/>
        <w:spacing w:beforeLines="0" w:line="400" w:lineRule="exact"/>
        <w:ind w:firstLine="0" w:firstLineChars="0"/>
        <w:rPr>
          <w:rFonts w:hint="default"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 xml:space="preserve">         中标（成交）采购标的制造商是否为监狱企业：</w:t>
      </w:r>
      <w:r>
        <w:rPr>
          <w:rFonts w:hint="eastAsia" w:ascii="宋体" w:hAnsi="宋体" w:eastAsia="宋体" w:cs="Times New Roman"/>
          <w:iCs/>
          <w:color w:val="auto"/>
          <w:szCs w:val="21"/>
          <w:highlight w:val="none"/>
        </w:rPr>
        <w:sym w:font="Wingdings" w:char="00A8"/>
      </w:r>
      <w:r>
        <w:rPr>
          <w:rFonts w:hint="eastAsia" w:ascii="宋体" w:hAnsi="宋体" w:eastAsia="宋体" w:cs="Times New Roman"/>
          <w:iCs/>
          <w:color w:val="auto"/>
          <w:szCs w:val="21"/>
          <w:highlight w:val="none"/>
        </w:rPr>
        <w:t xml:space="preserve">是       </w:t>
      </w:r>
      <w:r>
        <w:rPr>
          <w:rFonts w:hint="eastAsia" w:ascii="宋体" w:hAnsi="宋体" w:eastAsia="宋体" w:cs="Times New Roman"/>
          <w:iCs/>
          <w:color w:val="auto"/>
          <w:szCs w:val="21"/>
          <w:highlight w:val="none"/>
        </w:rPr>
        <w:sym w:font="Wingdings" w:char="00A8"/>
      </w:r>
      <w:r>
        <w:rPr>
          <w:rFonts w:hint="eastAsia" w:ascii="宋体" w:hAnsi="宋体" w:eastAsia="宋体" w:cs="Times New Roman"/>
          <w:iCs/>
          <w:color w:val="auto"/>
          <w:szCs w:val="21"/>
          <w:highlight w:val="none"/>
        </w:rPr>
        <w:t>否</w:t>
      </w:r>
    </w:p>
    <w:p w14:paraId="27D79897">
      <w:pPr>
        <w:adjustRightInd w:val="0"/>
        <w:snapToGrid w:val="0"/>
        <w:spacing w:before="0" w:beforeLines="0" w:line="400" w:lineRule="exact"/>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w:t>
      </w:r>
      <w:r>
        <w:rPr>
          <w:rFonts w:hint="default" w:ascii="宋体" w:hAnsi="宋体" w:eastAsia="宋体" w:cs="Times New Roman"/>
          <w:color w:val="auto"/>
          <w:szCs w:val="21"/>
          <w:highlight w:val="none"/>
          <w:lang w:val="en" w:eastAsia="zh-CN"/>
        </w:rPr>
        <w:t>7</w:t>
      </w:r>
      <w:r>
        <w:rPr>
          <w:rFonts w:hint="eastAsia" w:ascii="宋体" w:hAnsi="宋体" w:eastAsia="宋体" w:cs="Times New Roman"/>
          <w:color w:val="auto"/>
          <w:szCs w:val="21"/>
          <w:highlight w:val="none"/>
        </w:rPr>
        <w:t>）合同是否分包：</w:t>
      </w:r>
      <w:r>
        <w:rPr>
          <w:rFonts w:hint="eastAsia" w:ascii="宋体" w:hAnsi="宋体" w:eastAsia="宋体" w:cs="Times New Roman"/>
          <w:iCs/>
          <w:color w:val="auto"/>
          <w:szCs w:val="21"/>
          <w:highlight w:val="none"/>
        </w:rPr>
        <w:sym w:font="Wingdings" w:char="00A8"/>
      </w:r>
      <w:r>
        <w:rPr>
          <w:rFonts w:hint="eastAsia" w:ascii="宋体" w:hAnsi="宋体" w:eastAsia="宋体" w:cs="Times New Roman"/>
          <w:iCs/>
          <w:color w:val="auto"/>
          <w:szCs w:val="21"/>
          <w:highlight w:val="none"/>
        </w:rPr>
        <w:t xml:space="preserve">是       </w:t>
      </w:r>
      <w:r>
        <w:rPr>
          <w:rFonts w:hint="eastAsia" w:ascii="宋体" w:hAnsi="宋体" w:eastAsia="宋体" w:cs="Times New Roman"/>
          <w:iCs/>
          <w:color w:val="auto"/>
          <w:szCs w:val="21"/>
          <w:highlight w:val="none"/>
        </w:rPr>
        <w:sym w:font="Wingdings" w:char="00A8"/>
      </w:r>
      <w:r>
        <w:rPr>
          <w:rFonts w:hint="eastAsia" w:ascii="宋体" w:hAnsi="宋体" w:eastAsia="宋体" w:cs="Times New Roman"/>
          <w:iCs/>
          <w:color w:val="auto"/>
          <w:szCs w:val="21"/>
          <w:highlight w:val="none"/>
        </w:rPr>
        <w:t>否</w:t>
      </w:r>
    </w:p>
    <w:p w14:paraId="6DD30A68">
      <w:pPr>
        <w:adjustRightInd w:val="0"/>
        <w:snapToGrid w:val="0"/>
        <w:spacing w:before="0" w:beforeLines="0" w:line="400" w:lineRule="exact"/>
        <w:ind w:firstLine="840" w:firstLineChars="400"/>
        <w:rPr>
          <w:rFonts w:hint="eastAsia" w:ascii="宋体" w:hAnsi="宋体" w:eastAsia="宋体" w:cs="Times New Roman"/>
          <w:color w:val="auto"/>
          <w:szCs w:val="21"/>
          <w:highlight w:val="none"/>
          <w:u w:val="single"/>
        </w:rPr>
      </w:pPr>
      <w:r>
        <w:rPr>
          <w:rFonts w:hint="eastAsia" w:ascii="宋体" w:hAnsi="宋体" w:eastAsia="宋体" w:cs="Times New Roman"/>
          <w:color w:val="auto"/>
          <w:szCs w:val="21"/>
          <w:highlight w:val="none"/>
          <w:lang w:val="en-US" w:eastAsia="zh-CN"/>
        </w:rPr>
        <w:t xml:space="preserve"> </w:t>
      </w:r>
      <w:r>
        <w:rPr>
          <w:rFonts w:hint="eastAsia" w:ascii="宋体" w:hAnsi="宋体" w:eastAsia="宋体" w:cs="Times New Roman"/>
          <w:color w:val="auto"/>
          <w:szCs w:val="21"/>
          <w:highlight w:val="none"/>
        </w:rPr>
        <w:t>分包主要内容：</w:t>
      </w:r>
      <w:r>
        <w:rPr>
          <w:rFonts w:hint="eastAsia" w:ascii="宋体" w:hAnsi="宋体" w:eastAsia="宋体" w:cs="Times New Roman"/>
          <w:color w:val="auto"/>
          <w:szCs w:val="21"/>
          <w:highlight w:val="none"/>
          <w:u w:val="single"/>
        </w:rPr>
        <w:t xml:space="preserve">                                        </w:t>
      </w:r>
      <w:r>
        <w:rPr>
          <w:rFonts w:hint="eastAsia" w:ascii="宋体" w:hAnsi="宋体" w:eastAsia="宋体" w:cs="Times New Roman"/>
          <w:color w:val="auto"/>
          <w:szCs w:val="21"/>
          <w:highlight w:val="none"/>
          <w:u w:val="single"/>
          <w:lang w:val="en-US" w:eastAsia="zh-CN"/>
        </w:rPr>
        <w:t xml:space="preserve"> </w:t>
      </w:r>
      <w:r>
        <w:rPr>
          <w:rFonts w:hint="eastAsia" w:ascii="宋体" w:hAnsi="宋体" w:eastAsia="宋体" w:cs="Times New Roman"/>
          <w:color w:val="auto"/>
          <w:szCs w:val="21"/>
          <w:highlight w:val="none"/>
          <w:u w:val="single"/>
        </w:rPr>
        <w:t xml:space="preserve">   </w:t>
      </w:r>
    </w:p>
    <w:p w14:paraId="7B046E29">
      <w:pPr>
        <w:adjustRightInd w:val="0"/>
        <w:snapToGrid w:val="0"/>
        <w:spacing w:before="0" w:beforeLines="0" w:line="400" w:lineRule="exact"/>
        <w:ind w:firstLine="840" w:firstLineChars="4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u w:val="none"/>
          <w:lang w:val="en-US" w:eastAsia="zh-CN"/>
        </w:rPr>
        <w:t xml:space="preserve"> </w:t>
      </w:r>
      <w:r>
        <w:rPr>
          <w:rFonts w:hint="eastAsia" w:ascii="宋体" w:hAnsi="宋体" w:eastAsia="宋体" w:cs="Times New Roman"/>
          <w:color w:val="auto"/>
          <w:szCs w:val="21"/>
          <w:highlight w:val="none"/>
        </w:rPr>
        <w:t>分包供应商</w:t>
      </w:r>
      <w:r>
        <w:rPr>
          <w:rFonts w:hint="eastAsia" w:ascii="宋体" w:hAnsi="宋体" w:eastAsia="宋体" w:cs="Times New Roman"/>
          <w:color w:val="auto"/>
          <w:szCs w:val="21"/>
          <w:highlight w:val="none"/>
          <w:lang w:eastAsia="zh-CN"/>
        </w:rPr>
        <w:t>/制造商</w:t>
      </w:r>
      <w:r>
        <w:rPr>
          <w:rFonts w:hint="eastAsia" w:ascii="宋体" w:hAnsi="宋体" w:eastAsia="宋体" w:cs="Times New Roman"/>
          <w:color w:val="auto"/>
          <w:szCs w:val="21"/>
          <w:highlight w:val="none"/>
        </w:rPr>
        <w:t>名称</w:t>
      </w:r>
      <w:r>
        <w:rPr>
          <w:rFonts w:hint="eastAsia" w:ascii="宋体" w:hAnsi="宋体" w:eastAsia="宋体" w:cs="Times New Roman"/>
          <w:color w:val="auto"/>
          <w:szCs w:val="21"/>
          <w:highlight w:val="none"/>
          <w:lang w:eastAsia="zh-CN"/>
        </w:rPr>
        <w:t>（如供应商和制造商不同，请分别填写）</w:t>
      </w:r>
      <w:r>
        <w:rPr>
          <w:rFonts w:hint="eastAsia" w:ascii="宋体" w:hAnsi="宋体" w:eastAsia="宋体" w:cs="Times New Roman"/>
          <w:color w:val="auto"/>
          <w:szCs w:val="21"/>
          <w:highlight w:val="none"/>
        </w:rPr>
        <w:t>：</w:t>
      </w:r>
    </w:p>
    <w:p w14:paraId="3F4F2AB3">
      <w:pPr>
        <w:adjustRightInd w:val="0"/>
        <w:snapToGrid w:val="0"/>
        <w:spacing w:before="0" w:beforeLines="0" w:line="400" w:lineRule="exact"/>
        <w:ind w:firstLine="840" w:firstLineChars="400"/>
        <w:rPr>
          <w:rFonts w:ascii="宋体" w:hAnsi="宋体" w:eastAsia="宋体" w:cs="Times New Roman"/>
          <w:color w:val="auto"/>
          <w:szCs w:val="21"/>
          <w:highlight w:val="none"/>
          <w:u w:val="single"/>
        </w:rPr>
      </w:pPr>
      <w:r>
        <w:rPr>
          <w:rFonts w:hint="eastAsia" w:ascii="宋体" w:hAnsi="宋体" w:eastAsia="宋体" w:cs="Times New Roman"/>
          <w:color w:val="auto"/>
          <w:szCs w:val="21"/>
          <w:highlight w:val="none"/>
          <w:u w:val="none"/>
        </w:rPr>
        <w:t xml:space="preserve"> </w:t>
      </w:r>
      <w:r>
        <w:rPr>
          <w:rFonts w:hint="eastAsia" w:ascii="宋体" w:hAnsi="宋体" w:eastAsia="宋体" w:cs="Times New Roman"/>
          <w:color w:val="auto"/>
          <w:szCs w:val="21"/>
          <w:highlight w:val="none"/>
          <w:u w:val="single"/>
          <w:lang w:val="en-US" w:eastAsia="zh-CN"/>
        </w:rPr>
        <w:t xml:space="preserve">  </w:t>
      </w:r>
      <w:r>
        <w:rPr>
          <w:rFonts w:hint="eastAsia" w:ascii="宋体" w:hAnsi="宋体" w:eastAsia="宋体" w:cs="Times New Roman"/>
          <w:color w:val="auto"/>
          <w:szCs w:val="21"/>
          <w:highlight w:val="none"/>
          <w:u w:val="single"/>
        </w:rPr>
        <w:t xml:space="preserve">                                 </w:t>
      </w:r>
      <w:r>
        <w:rPr>
          <w:rFonts w:hint="eastAsia" w:ascii="宋体" w:hAnsi="宋体" w:eastAsia="宋体" w:cs="Times New Roman"/>
          <w:color w:val="auto"/>
          <w:szCs w:val="21"/>
          <w:highlight w:val="none"/>
          <w:u w:val="single"/>
          <w:lang w:val="en-US" w:eastAsia="zh-CN"/>
        </w:rPr>
        <w:t xml:space="preserve">                       </w:t>
      </w:r>
    </w:p>
    <w:p w14:paraId="18EC1D44">
      <w:pPr>
        <w:adjustRightInd w:val="0"/>
        <w:snapToGrid w:val="0"/>
        <w:spacing w:before="0" w:beforeLines="0" w:line="400" w:lineRule="exact"/>
        <w:ind w:firstLine="840" w:firstLineChars="4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lang w:val="en-US" w:eastAsia="zh-CN"/>
        </w:rPr>
        <w:t xml:space="preserve"> </w:t>
      </w:r>
      <w:r>
        <w:rPr>
          <w:rFonts w:hint="eastAsia" w:ascii="宋体" w:hAnsi="宋体" w:eastAsia="宋体" w:cs="Times New Roman"/>
          <w:color w:val="auto"/>
          <w:szCs w:val="21"/>
          <w:highlight w:val="none"/>
        </w:rPr>
        <w:t>分包供应商</w:t>
      </w:r>
      <w:r>
        <w:rPr>
          <w:rFonts w:hint="eastAsia" w:ascii="宋体" w:hAnsi="宋体" w:eastAsia="宋体" w:cs="Times New Roman"/>
          <w:color w:val="auto"/>
          <w:szCs w:val="21"/>
          <w:highlight w:val="none"/>
          <w:lang w:val="en-US" w:eastAsia="zh-CN"/>
        </w:rPr>
        <w:t>/</w:t>
      </w:r>
      <w:r>
        <w:rPr>
          <w:rFonts w:hint="eastAsia" w:ascii="宋体" w:hAnsi="宋体" w:eastAsia="宋体" w:cs="Times New Roman"/>
          <w:color w:val="auto"/>
          <w:szCs w:val="21"/>
          <w:highlight w:val="none"/>
          <w:lang w:eastAsia="zh-CN"/>
        </w:rPr>
        <w:t>制造商</w:t>
      </w:r>
      <w:r>
        <w:rPr>
          <w:rFonts w:hint="eastAsia" w:ascii="宋体" w:hAnsi="宋体" w:eastAsia="宋体" w:cs="Times New Roman"/>
          <w:color w:val="auto"/>
          <w:szCs w:val="21"/>
          <w:highlight w:val="none"/>
        </w:rPr>
        <w:t>类型</w:t>
      </w:r>
      <w:r>
        <w:rPr>
          <w:rFonts w:hint="eastAsia" w:ascii="宋体" w:hAnsi="宋体" w:eastAsia="宋体" w:cs="Times New Roman"/>
          <w:color w:val="auto"/>
          <w:szCs w:val="21"/>
          <w:highlight w:val="none"/>
          <w:lang w:eastAsia="zh-CN"/>
        </w:rPr>
        <w:t>（如果供应商和制造商不同，只填写制造商类型）</w:t>
      </w:r>
      <w:r>
        <w:rPr>
          <w:rFonts w:hint="eastAsia" w:ascii="宋体" w:hAnsi="宋体" w:eastAsia="宋体" w:cs="Times New Roman"/>
          <w:color w:val="auto"/>
          <w:szCs w:val="21"/>
          <w:highlight w:val="none"/>
        </w:rPr>
        <w:t>：</w:t>
      </w:r>
    </w:p>
    <w:p w14:paraId="31835315">
      <w:pPr>
        <w:adjustRightInd w:val="0"/>
        <w:snapToGrid w:val="0"/>
        <w:spacing w:beforeLines="0" w:line="400" w:lineRule="exact"/>
        <w:ind w:firstLine="840" w:firstLineChars="400"/>
        <w:rPr>
          <w:rFonts w:hint="eastAsia" w:ascii="宋体" w:hAnsi="宋体" w:eastAsia="宋体" w:cs="Times New Roman"/>
          <w:iCs/>
          <w:color w:val="auto"/>
          <w:szCs w:val="21"/>
          <w:highlight w:val="none"/>
          <w:lang w:val="en-US" w:eastAsia="zh-CN"/>
        </w:rPr>
      </w:pPr>
      <w:r>
        <w:rPr>
          <w:rFonts w:hint="eastAsia" w:ascii="宋体" w:hAnsi="宋体" w:eastAsia="宋体" w:cs="Times New Roman"/>
          <w:iCs/>
          <w:color w:val="auto"/>
          <w:szCs w:val="21"/>
          <w:highlight w:val="none"/>
          <w:lang w:val="en-US" w:eastAsia="zh-CN"/>
        </w:rPr>
        <w:t xml:space="preserve"> </w:t>
      </w:r>
      <w:r>
        <w:rPr>
          <w:rFonts w:hint="eastAsia" w:ascii="宋体" w:hAnsi="宋体" w:eastAsia="宋体" w:cs="Times New Roman"/>
          <w:iCs/>
          <w:color w:val="auto"/>
          <w:szCs w:val="21"/>
          <w:highlight w:val="none"/>
        </w:rPr>
        <w:sym w:font="Wingdings" w:char="00A8"/>
      </w:r>
      <w:r>
        <w:rPr>
          <w:rFonts w:hint="eastAsia" w:ascii="宋体" w:hAnsi="宋体" w:eastAsia="宋体" w:cs="Times New Roman"/>
          <w:iCs/>
          <w:color w:val="auto"/>
          <w:szCs w:val="21"/>
          <w:highlight w:val="none"/>
        </w:rPr>
        <w:t xml:space="preserve">大型企业  </w:t>
      </w:r>
      <w:r>
        <w:rPr>
          <w:rFonts w:hint="eastAsia" w:ascii="宋体" w:hAnsi="宋体" w:eastAsia="宋体" w:cs="Times New Roman"/>
          <w:iCs/>
          <w:color w:val="auto"/>
          <w:szCs w:val="21"/>
          <w:highlight w:val="none"/>
        </w:rPr>
        <w:sym w:font="Wingdings" w:char="00A8"/>
      </w:r>
      <w:r>
        <w:rPr>
          <w:rFonts w:hint="eastAsia" w:ascii="宋体" w:hAnsi="宋体" w:eastAsia="宋体" w:cs="Times New Roman"/>
          <w:iCs/>
          <w:color w:val="auto"/>
          <w:szCs w:val="21"/>
          <w:highlight w:val="none"/>
        </w:rPr>
        <w:t xml:space="preserve">中型企业  </w:t>
      </w:r>
      <w:r>
        <w:rPr>
          <w:rFonts w:hint="eastAsia" w:ascii="宋体" w:hAnsi="宋体" w:eastAsia="宋体" w:cs="Times New Roman"/>
          <w:iCs/>
          <w:color w:val="auto"/>
          <w:szCs w:val="21"/>
          <w:highlight w:val="none"/>
        </w:rPr>
        <w:sym w:font="Wingdings" w:char="00A8"/>
      </w:r>
      <w:r>
        <w:rPr>
          <w:rFonts w:hint="eastAsia" w:ascii="宋体" w:hAnsi="宋体" w:eastAsia="宋体" w:cs="Times New Roman"/>
          <w:iCs/>
          <w:color w:val="auto"/>
          <w:szCs w:val="21"/>
          <w:highlight w:val="none"/>
        </w:rPr>
        <w:t>小微型企业</w:t>
      </w:r>
      <w:r>
        <w:rPr>
          <w:rFonts w:hint="eastAsia" w:ascii="宋体" w:hAnsi="宋体" w:eastAsia="宋体" w:cs="Times New Roman"/>
          <w:iCs/>
          <w:color w:val="auto"/>
          <w:szCs w:val="21"/>
          <w:highlight w:val="none"/>
          <w:lang w:val="en-US" w:eastAsia="zh-CN"/>
        </w:rPr>
        <w:t xml:space="preserve">  </w:t>
      </w:r>
    </w:p>
    <w:p w14:paraId="32B14DAA">
      <w:pPr>
        <w:adjustRightInd w:val="0"/>
        <w:snapToGrid w:val="0"/>
        <w:spacing w:beforeLines="0" w:line="400" w:lineRule="exact"/>
        <w:ind w:firstLine="840" w:firstLineChars="400"/>
        <w:rPr>
          <w:rFonts w:hint="default" w:ascii="Times New Roman" w:hAnsi="Times New Roman" w:eastAsia="华文楷体" w:cs="Times New Roman"/>
          <w:color w:val="auto"/>
          <w:highlight w:val="none"/>
          <w:u w:val="none"/>
          <w:lang w:val="en-US" w:eastAsia="zh-CN"/>
        </w:rPr>
      </w:pPr>
      <w:r>
        <w:rPr>
          <w:rFonts w:hint="eastAsia" w:ascii="宋体" w:hAnsi="宋体" w:eastAsia="宋体" w:cs="Times New Roman"/>
          <w:iCs/>
          <w:color w:val="auto"/>
          <w:szCs w:val="21"/>
          <w:highlight w:val="none"/>
          <w:lang w:val="en-US" w:eastAsia="zh-CN"/>
        </w:rPr>
        <w:t xml:space="preserve"> </w:t>
      </w:r>
      <w:r>
        <w:rPr>
          <w:rFonts w:hint="eastAsia" w:ascii="宋体" w:hAnsi="宋体" w:eastAsia="宋体" w:cs="Times New Roman"/>
          <w:iCs/>
          <w:color w:val="auto"/>
          <w:szCs w:val="21"/>
          <w:highlight w:val="none"/>
        </w:rPr>
        <w:sym w:font="Wingdings" w:char="00A8"/>
      </w:r>
      <w:r>
        <w:rPr>
          <w:rFonts w:hint="eastAsia" w:ascii="宋体" w:hAnsi="宋体" w:eastAsia="宋体" w:cs="Times New Roman"/>
          <w:iCs/>
          <w:color w:val="auto"/>
          <w:szCs w:val="21"/>
          <w:highlight w:val="none"/>
          <w:lang w:eastAsia="zh-CN"/>
        </w:rPr>
        <w:t>残疾人福利性单位</w:t>
      </w:r>
      <w:r>
        <w:rPr>
          <w:rFonts w:hint="eastAsia" w:ascii="宋体" w:hAnsi="宋体" w:eastAsia="宋体" w:cs="Times New Roman"/>
          <w:iCs/>
          <w:color w:val="auto"/>
          <w:szCs w:val="21"/>
          <w:highlight w:val="none"/>
          <w:lang w:val="en-US" w:eastAsia="zh-CN"/>
        </w:rPr>
        <w:t xml:space="preserve"> </w:t>
      </w:r>
      <w:r>
        <w:rPr>
          <w:rFonts w:hint="eastAsia" w:ascii="宋体" w:hAnsi="宋体" w:eastAsia="宋体" w:cs="Times New Roman"/>
          <w:iCs/>
          <w:color w:val="auto"/>
          <w:szCs w:val="21"/>
          <w:highlight w:val="none"/>
        </w:rPr>
        <w:sym w:font="Wingdings" w:char="00A8"/>
      </w:r>
      <w:r>
        <w:rPr>
          <w:rFonts w:hint="eastAsia" w:ascii="宋体" w:hAnsi="宋体" w:eastAsia="宋体" w:cs="Times New Roman"/>
          <w:iCs/>
          <w:color w:val="auto"/>
          <w:szCs w:val="21"/>
          <w:highlight w:val="none"/>
          <w:lang w:eastAsia="zh-CN"/>
        </w:rPr>
        <w:t>监狱</w:t>
      </w:r>
      <w:r>
        <w:rPr>
          <w:rFonts w:hint="eastAsia" w:ascii="宋体" w:hAnsi="宋体" w:eastAsia="宋体" w:cs="Times New Roman"/>
          <w:iCs/>
          <w:color w:val="auto"/>
          <w:szCs w:val="21"/>
          <w:highlight w:val="none"/>
        </w:rPr>
        <w:t>企业</w:t>
      </w:r>
      <w:r>
        <w:rPr>
          <w:rFonts w:hint="eastAsia" w:ascii="宋体" w:hAnsi="宋体" w:eastAsia="宋体" w:cs="Times New Roman"/>
          <w:iCs/>
          <w:color w:val="auto"/>
          <w:szCs w:val="21"/>
          <w:highlight w:val="none"/>
          <w:lang w:val="en-US" w:eastAsia="zh-CN"/>
        </w:rPr>
        <w:t xml:space="preserve"> </w:t>
      </w:r>
      <w:r>
        <w:rPr>
          <w:rFonts w:hint="eastAsia" w:ascii="宋体" w:hAnsi="宋体" w:eastAsia="宋体" w:cs="Times New Roman"/>
          <w:iCs/>
          <w:color w:val="auto"/>
          <w:szCs w:val="21"/>
          <w:highlight w:val="none"/>
        </w:rPr>
        <w:sym w:font="Wingdings" w:char="00A8"/>
      </w:r>
      <w:r>
        <w:rPr>
          <w:rFonts w:hint="eastAsia" w:ascii="宋体" w:hAnsi="宋体" w:eastAsia="宋体" w:cs="Times New Roman"/>
          <w:iCs/>
          <w:color w:val="auto"/>
          <w:szCs w:val="21"/>
          <w:highlight w:val="none"/>
          <w:lang w:eastAsia="zh-CN"/>
        </w:rPr>
        <w:t>其他</w:t>
      </w:r>
    </w:p>
    <w:p w14:paraId="5E061627">
      <w:pPr>
        <w:numPr>
          <w:ilvl w:val="-1"/>
          <w:numId w:val="0"/>
        </w:numPr>
        <w:adjustRightInd w:val="0"/>
        <w:snapToGrid w:val="0"/>
        <w:spacing w:before="0" w:beforeLines="0" w:line="400" w:lineRule="exact"/>
        <w:ind w:left="0" w:leftChars="0" w:firstLine="0" w:firstLineChars="0"/>
        <w:rPr>
          <w:rFonts w:hint="eastAsia" w:ascii="宋体" w:hAnsi="宋体" w:eastAsia="宋体" w:cs="宋体"/>
          <w:iCs/>
          <w:color w:val="auto"/>
          <w:szCs w:val="21"/>
          <w:highlight w:val="none"/>
        </w:rPr>
      </w:pPr>
      <w:r>
        <w:rPr>
          <w:rFonts w:hint="eastAsia" w:ascii="宋体" w:hAnsi="宋体" w:eastAsia="宋体" w:cs="Times New Roman"/>
          <w:color w:val="auto"/>
          <w:szCs w:val="21"/>
          <w:highlight w:val="none"/>
          <w:u w:val="none"/>
          <w:lang w:val="en-US" w:eastAsia="zh-CN"/>
        </w:rPr>
        <w:t xml:space="preserve">    </w:t>
      </w:r>
      <w:r>
        <w:rPr>
          <w:rFonts w:hint="eastAsia" w:ascii="宋体" w:hAnsi="宋体" w:eastAsia="宋体" w:cs="宋体"/>
          <w:color w:val="auto"/>
          <w:szCs w:val="21"/>
          <w:highlight w:val="none"/>
          <w:u w:val="none"/>
          <w:lang w:val="en-US" w:eastAsia="zh-CN"/>
        </w:rPr>
        <w:t>（</w:t>
      </w:r>
      <w:r>
        <w:rPr>
          <w:rFonts w:hint="default" w:ascii="宋体" w:hAnsi="宋体" w:eastAsia="宋体" w:cs="宋体"/>
          <w:color w:val="auto"/>
          <w:szCs w:val="21"/>
          <w:highlight w:val="none"/>
          <w:u w:val="none"/>
          <w:lang w:val="en" w:eastAsia="zh-CN"/>
        </w:rPr>
        <w:t>8</w:t>
      </w:r>
      <w:r>
        <w:rPr>
          <w:rFonts w:hint="eastAsia" w:ascii="宋体" w:hAnsi="宋体" w:eastAsia="宋体" w:cs="宋体"/>
          <w:color w:val="auto"/>
          <w:szCs w:val="21"/>
          <w:highlight w:val="none"/>
          <w:u w:val="none"/>
          <w:lang w:val="en-US" w:eastAsia="zh-CN"/>
        </w:rPr>
        <w:t>）中标（成交）供应商是否为外商投资企业：</w:t>
      </w:r>
      <w:r>
        <w:rPr>
          <w:rFonts w:hint="eastAsia" w:ascii="宋体" w:hAnsi="宋体" w:eastAsia="宋体" w:cs="宋体"/>
          <w:iCs/>
          <w:color w:val="auto"/>
          <w:szCs w:val="21"/>
          <w:highlight w:val="none"/>
        </w:rPr>
        <w:sym w:font="Wingdings" w:char="00A8"/>
      </w:r>
      <w:r>
        <w:rPr>
          <w:rFonts w:hint="eastAsia" w:ascii="宋体" w:hAnsi="宋体" w:eastAsia="宋体" w:cs="宋体"/>
          <w:iCs/>
          <w:color w:val="auto"/>
          <w:szCs w:val="21"/>
          <w:highlight w:val="none"/>
        </w:rPr>
        <w:t xml:space="preserve">是       </w:t>
      </w:r>
      <w:r>
        <w:rPr>
          <w:rFonts w:hint="eastAsia" w:ascii="宋体" w:hAnsi="宋体" w:eastAsia="宋体" w:cs="宋体"/>
          <w:iCs/>
          <w:color w:val="auto"/>
          <w:szCs w:val="21"/>
          <w:highlight w:val="none"/>
        </w:rPr>
        <w:sym w:font="Wingdings" w:char="00A8"/>
      </w:r>
      <w:r>
        <w:rPr>
          <w:rFonts w:hint="eastAsia" w:ascii="宋体" w:hAnsi="宋体" w:eastAsia="宋体" w:cs="宋体"/>
          <w:iCs/>
          <w:color w:val="auto"/>
          <w:szCs w:val="21"/>
          <w:highlight w:val="none"/>
        </w:rPr>
        <w:t>否</w:t>
      </w:r>
    </w:p>
    <w:p w14:paraId="3E82DCBD">
      <w:pPr>
        <w:tabs>
          <w:tab w:val="left" w:pos="1340"/>
        </w:tabs>
        <w:autoSpaceDE w:val="0"/>
        <w:autoSpaceDN w:val="0"/>
        <w:adjustRightInd w:val="0"/>
        <w:spacing w:beforeLines="0" w:line="400" w:lineRule="exact"/>
        <w:ind w:firstLine="420" w:firstLineChars="200"/>
        <w:rPr>
          <w:rFonts w:hint="eastAsia" w:ascii="宋体" w:hAnsi="宋体" w:eastAsia="宋体" w:cs="宋体"/>
          <w:color w:val="auto"/>
          <w:sz w:val="21"/>
          <w:szCs w:val="21"/>
          <w:highlight w:val="none"/>
          <w:u w:val="single"/>
          <w:lang w:val="en-US" w:eastAsia="zh-CN" w:bidi="ar-SA"/>
        </w:rPr>
      </w:pPr>
      <w:r>
        <w:rPr>
          <w:rFonts w:hint="eastAsia" w:ascii="宋体" w:hAnsi="宋体" w:eastAsia="宋体" w:cs="宋体"/>
          <w:color w:val="auto"/>
          <w:sz w:val="21"/>
          <w:szCs w:val="21"/>
          <w:highlight w:val="none"/>
          <w:u w:val="none"/>
          <w:lang w:val="en-US" w:eastAsia="zh-CN" w:bidi="ar-SA"/>
        </w:rPr>
        <w:t xml:space="preserve">     外商投资企业类型：</w:t>
      </w:r>
      <w:r>
        <w:rPr>
          <w:rFonts w:hint="eastAsia" w:ascii="宋体" w:hAnsi="宋体" w:eastAsia="宋体" w:cs="宋体"/>
          <w:iCs/>
          <w:color w:val="auto"/>
          <w:sz w:val="21"/>
          <w:szCs w:val="21"/>
          <w:highlight w:val="none"/>
          <w:lang w:val="en-US" w:eastAsia="zh-CN" w:bidi="ar-SA"/>
        </w:rPr>
        <w:sym w:font="Wingdings" w:char="00A8"/>
      </w:r>
      <w:r>
        <w:rPr>
          <w:rFonts w:hint="eastAsia" w:ascii="宋体" w:hAnsi="宋体" w:eastAsia="宋体" w:cs="宋体"/>
          <w:color w:val="auto"/>
          <w:sz w:val="21"/>
          <w:szCs w:val="21"/>
          <w:highlight w:val="none"/>
          <w:u w:val="none"/>
          <w:lang w:val="en-US" w:eastAsia="zh-CN" w:bidi="ar-SA"/>
        </w:rPr>
        <w:t xml:space="preserve">全部由外国投资者投资  </w:t>
      </w:r>
      <w:r>
        <w:rPr>
          <w:rFonts w:hint="eastAsia" w:ascii="宋体" w:hAnsi="宋体" w:eastAsia="宋体" w:cs="宋体"/>
          <w:iCs/>
          <w:color w:val="auto"/>
          <w:sz w:val="21"/>
          <w:szCs w:val="21"/>
          <w:highlight w:val="none"/>
          <w:lang w:val="en-US" w:eastAsia="zh-CN" w:bidi="ar-SA"/>
        </w:rPr>
        <w:sym w:font="Wingdings" w:char="00A8"/>
      </w:r>
      <w:r>
        <w:rPr>
          <w:rFonts w:hint="eastAsia" w:ascii="宋体" w:hAnsi="宋体" w:eastAsia="宋体" w:cs="宋体"/>
          <w:iCs/>
          <w:color w:val="auto"/>
          <w:sz w:val="21"/>
          <w:szCs w:val="21"/>
          <w:highlight w:val="none"/>
          <w:lang w:val="en-US" w:eastAsia="zh-CN" w:bidi="ar-SA"/>
        </w:rPr>
        <w:t>部分由外国投资者投资</w:t>
      </w:r>
    </w:p>
    <w:p w14:paraId="3DBC401F">
      <w:pPr>
        <w:numPr>
          <w:ilvl w:val="-1"/>
          <w:numId w:val="0"/>
        </w:numPr>
        <w:adjustRightInd w:val="0"/>
        <w:snapToGrid w:val="0"/>
        <w:spacing w:before="0" w:beforeLines="0" w:line="400" w:lineRule="exact"/>
        <w:ind w:firstLine="420" w:firstLineChars="200"/>
        <w:rPr>
          <w:rFonts w:hint="eastAsia" w:ascii="宋体" w:hAnsi="宋体" w:eastAsia="宋体" w:cs="宋体"/>
          <w:b w:val="0"/>
          <w:bCs w:val="0"/>
          <w:color w:val="auto"/>
          <w:sz w:val="21"/>
          <w:szCs w:val="21"/>
          <w:highlight w:val="none"/>
          <w:u w:val="none"/>
          <w:lang w:val="en-US" w:eastAsia="zh-CN"/>
        </w:rPr>
      </w:pPr>
      <w:r>
        <w:rPr>
          <w:rFonts w:hint="eastAsia" w:ascii="宋体" w:hAnsi="宋体" w:eastAsia="宋体" w:cs="宋体"/>
          <w:b w:val="0"/>
          <w:bCs w:val="0"/>
          <w:color w:val="auto"/>
          <w:sz w:val="21"/>
          <w:szCs w:val="21"/>
          <w:highlight w:val="none"/>
          <w:u w:val="none"/>
          <w:lang w:val="en-US" w:eastAsia="zh-CN"/>
        </w:rPr>
        <w:t>（</w:t>
      </w:r>
      <w:r>
        <w:rPr>
          <w:rFonts w:hint="default" w:ascii="宋体" w:hAnsi="宋体" w:eastAsia="宋体" w:cs="宋体"/>
          <w:b w:val="0"/>
          <w:bCs w:val="0"/>
          <w:color w:val="auto"/>
          <w:sz w:val="21"/>
          <w:szCs w:val="21"/>
          <w:highlight w:val="none"/>
          <w:u w:val="none"/>
          <w:lang w:val="en" w:eastAsia="zh-CN"/>
        </w:rPr>
        <w:t>9</w:t>
      </w:r>
      <w:r>
        <w:rPr>
          <w:rFonts w:hint="eastAsia" w:ascii="宋体" w:hAnsi="宋体" w:eastAsia="宋体" w:cs="宋体"/>
          <w:b w:val="0"/>
          <w:bCs w:val="0"/>
          <w:color w:val="auto"/>
          <w:sz w:val="21"/>
          <w:szCs w:val="21"/>
          <w:highlight w:val="none"/>
          <w:u w:val="none"/>
          <w:lang w:val="en-US" w:eastAsia="zh-CN"/>
        </w:rPr>
        <w:t>）是否涉及进口产品：</w:t>
      </w:r>
    </w:p>
    <w:p w14:paraId="685CE40F">
      <w:pPr>
        <w:numPr>
          <w:ilvl w:val="-1"/>
          <w:numId w:val="0"/>
        </w:numPr>
        <w:adjustRightInd w:val="0"/>
        <w:snapToGrid w:val="0"/>
        <w:spacing w:before="0" w:beforeLines="0" w:line="400" w:lineRule="exact"/>
        <w:ind w:firstLine="840" w:firstLineChars="400"/>
        <w:rPr>
          <w:rFonts w:hint="eastAsia" w:ascii="宋体" w:hAnsi="宋体" w:eastAsia="宋体" w:cs="宋体"/>
          <w:color w:val="auto"/>
          <w:szCs w:val="21"/>
          <w:highlight w:val="none"/>
          <w:u w:val="single"/>
          <w:lang w:val="en-US" w:eastAsia="zh-CN"/>
        </w:rPr>
      </w:pPr>
      <w:r>
        <w:rPr>
          <w:rFonts w:hint="eastAsia" w:ascii="宋体" w:hAnsi="宋体" w:eastAsia="宋体" w:cs="宋体"/>
          <w:iCs w:val="0"/>
          <w:color w:val="auto"/>
          <w:szCs w:val="21"/>
          <w:highlight w:val="none"/>
          <w:lang w:val="en-US" w:eastAsia="zh-CN"/>
        </w:rPr>
        <w:t xml:space="preserve"> </w:t>
      </w:r>
      <w:r>
        <w:rPr>
          <w:rFonts w:hint="eastAsia" w:ascii="宋体" w:hAnsi="宋体" w:eastAsia="宋体" w:cs="宋体"/>
          <w:iCs w:val="0"/>
          <w:color w:val="auto"/>
          <w:szCs w:val="21"/>
          <w:highlight w:val="none"/>
        </w:rPr>
        <w:sym w:font="Wingdings" w:char="00A8"/>
      </w:r>
      <w:r>
        <w:rPr>
          <w:rFonts w:hint="eastAsia" w:ascii="宋体" w:hAnsi="宋体" w:eastAsia="宋体" w:cs="宋体"/>
          <w:iCs w:val="0"/>
          <w:color w:val="auto"/>
          <w:szCs w:val="21"/>
          <w:highlight w:val="none"/>
        </w:rPr>
        <w:t>是</w:t>
      </w:r>
      <w:r>
        <w:rPr>
          <w:rFonts w:hint="eastAsia" w:ascii="宋体" w:hAnsi="宋体" w:eastAsia="宋体" w:cs="宋体"/>
          <w:iCs w:val="0"/>
          <w:color w:val="auto"/>
          <w:szCs w:val="21"/>
          <w:highlight w:val="none"/>
          <w:lang w:eastAsia="zh-CN"/>
        </w:rPr>
        <w:t>，《政府采购品目分类目录》底级品目名称</w:t>
      </w:r>
      <w:r>
        <w:rPr>
          <w:rFonts w:hint="eastAsia" w:ascii="宋体" w:hAnsi="宋体" w:eastAsia="宋体" w:cs="宋体"/>
          <w:color w:val="auto"/>
          <w:szCs w:val="21"/>
          <w:highlight w:val="none"/>
          <w:lang w:val="en-US" w:eastAsia="zh-CN"/>
        </w:rPr>
        <w:t>：</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lang w:val="en-US" w:eastAsia="zh-CN"/>
        </w:rPr>
        <w:t xml:space="preserve"> 金额：</w:t>
      </w:r>
      <w:r>
        <w:rPr>
          <w:rFonts w:hint="eastAsia" w:ascii="宋体" w:hAnsi="宋体" w:eastAsia="宋体" w:cs="宋体"/>
          <w:color w:val="auto"/>
          <w:szCs w:val="21"/>
          <w:highlight w:val="none"/>
          <w:u w:val="single"/>
          <w:lang w:val="en-US" w:eastAsia="zh-CN"/>
        </w:rPr>
        <w:t xml:space="preserve">        </w:t>
      </w:r>
    </w:p>
    <w:p w14:paraId="1C963F20">
      <w:pPr>
        <w:numPr>
          <w:ilvl w:val="-1"/>
          <w:numId w:val="0"/>
        </w:numPr>
        <w:adjustRightInd w:val="0"/>
        <w:snapToGrid w:val="0"/>
        <w:spacing w:before="0" w:beforeLines="0" w:line="400" w:lineRule="exact"/>
        <w:ind w:firstLine="840" w:firstLineChars="400"/>
        <w:rPr>
          <w:rFonts w:hint="eastAsia" w:ascii="宋体" w:hAnsi="宋体" w:eastAsia="宋体" w:cs="Times New Roman"/>
          <w:iCs w:val="0"/>
          <w:color w:val="auto"/>
          <w:szCs w:val="21"/>
          <w:highlight w:val="none"/>
        </w:rPr>
      </w:pPr>
      <w:r>
        <w:rPr>
          <w:rFonts w:hint="eastAsia" w:ascii="宋体" w:hAnsi="宋体" w:eastAsia="宋体" w:cs="宋体"/>
          <w:color w:val="auto"/>
          <w:szCs w:val="21"/>
          <w:highlight w:val="none"/>
          <w:lang w:val="en-US" w:eastAsia="zh-CN"/>
        </w:rPr>
        <w:t xml:space="preserve">        国别：</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lang w:val="en-US" w:eastAsia="zh-CN"/>
        </w:rPr>
        <w:t xml:space="preserve"> 品牌：</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u w:val="none"/>
          <w:lang w:val="en-US" w:eastAsia="zh-CN"/>
        </w:rPr>
        <w:t xml:space="preserve"> 规格型号：</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Times New Roman"/>
          <w:iCs w:val="0"/>
          <w:color w:val="auto"/>
          <w:szCs w:val="21"/>
          <w:highlight w:val="none"/>
        </w:rPr>
        <w:t xml:space="preserve">      </w:t>
      </w:r>
    </w:p>
    <w:p w14:paraId="43EAAB59">
      <w:pPr>
        <w:adjustRightInd w:val="0"/>
        <w:snapToGrid w:val="0"/>
        <w:spacing w:before="0" w:beforeLines="0" w:line="400" w:lineRule="exact"/>
        <w:ind w:firstLine="840" w:firstLineChars="400"/>
        <w:rPr>
          <w:rFonts w:hint="eastAsia" w:ascii="宋体" w:hAnsi="宋体" w:eastAsia="宋体" w:cs="Times New Roman"/>
          <w:color w:val="auto"/>
          <w:szCs w:val="21"/>
          <w:highlight w:val="none"/>
          <w:u w:val="none"/>
          <w:lang w:val="en-US" w:eastAsia="zh-CN"/>
        </w:rPr>
      </w:pPr>
      <w:r>
        <w:rPr>
          <w:rFonts w:hint="eastAsia" w:ascii="宋体" w:hAnsi="宋体" w:eastAsia="宋体" w:cs="Times New Roman"/>
          <w:iCs w:val="0"/>
          <w:color w:val="auto"/>
          <w:szCs w:val="21"/>
          <w:highlight w:val="none"/>
          <w:lang w:val="en-US" w:eastAsia="zh-CN"/>
        </w:rPr>
        <w:t xml:space="preserve"> </w:t>
      </w:r>
      <w:r>
        <w:rPr>
          <w:rFonts w:hint="eastAsia" w:ascii="宋体" w:hAnsi="宋体" w:eastAsia="宋体" w:cs="Times New Roman"/>
          <w:iCs w:val="0"/>
          <w:color w:val="auto"/>
          <w:szCs w:val="21"/>
          <w:highlight w:val="none"/>
        </w:rPr>
        <w:sym w:font="Wingdings" w:char="00FE"/>
      </w:r>
      <w:r>
        <w:rPr>
          <w:rFonts w:hint="eastAsia" w:ascii="宋体" w:hAnsi="宋体" w:eastAsia="宋体" w:cs="Times New Roman"/>
          <w:iCs w:val="0"/>
          <w:color w:val="auto"/>
          <w:szCs w:val="21"/>
          <w:highlight w:val="none"/>
          <w:lang w:eastAsia="zh-CN"/>
        </w:rPr>
        <w:t>否</w:t>
      </w:r>
    </w:p>
    <w:p w14:paraId="135110E5">
      <w:pPr>
        <w:numPr>
          <w:ilvl w:val="-1"/>
          <w:numId w:val="0"/>
        </w:numPr>
        <w:tabs>
          <w:tab w:val="left" w:pos="740"/>
        </w:tabs>
        <w:adjustRightInd w:val="0"/>
        <w:snapToGrid w:val="0"/>
        <w:spacing w:before="0" w:beforeLines="0" w:line="400" w:lineRule="exact"/>
        <w:ind w:left="0" w:firstLine="0" w:firstLineChars="0"/>
        <w:rPr>
          <w:rFonts w:hint="eastAsia" w:ascii="宋体" w:hAnsi="宋体" w:eastAsia="宋体" w:cs="Times New Roman"/>
          <w:b w:val="0"/>
          <w:bCs w:val="0"/>
          <w:color w:val="auto"/>
          <w:sz w:val="21"/>
          <w:szCs w:val="21"/>
          <w:highlight w:val="none"/>
          <w:u w:val="none"/>
          <w:lang w:val="en-US" w:eastAsia="zh-CN"/>
        </w:rPr>
      </w:pPr>
      <w:r>
        <w:rPr>
          <w:rFonts w:hint="eastAsia" w:ascii="宋体" w:hAnsi="宋体" w:eastAsia="宋体" w:cs="Times New Roman"/>
          <w:b w:val="0"/>
          <w:bCs w:val="0"/>
          <w:color w:val="auto"/>
          <w:sz w:val="21"/>
          <w:szCs w:val="21"/>
          <w:highlight w:val="none"/>
          <w:u w:val="none"/>
          <w:lang w:val="en-US" w:eastAsia="zh-CN"/>
        </w:rPr>
        <w:t xml:space="preserve">    （1</w:t>
      </w:r>
      <w:r>
        <w:rPr>
          <w:rFonts w:hint="default" w:ascii="宋体" w:hAnsi="宋体" w:eastAsia="宋体" w:cs="Times New Roman"/>
          <w:b w:val="0"/>
          <w:bCs w:val="0"/>
          <w:color w:val="auto"/>
          <w:sz w:val="21"/>
          <w:szCs w:val="21"/>
          <w:highlight w:val="none"/>
          <w:u w:val="none"/>
          <w:lang w:val="en" w:eastAsia="zh-CN"/>
        </w:rPr>
        <w:t>0</w:t>
      </w:r>
      <w:r>
        <w:rPr>
          <w:rFonts w:hint="eastAsia" w:ascii="宋体" w:hAnsi="宋体" w:eastAsia="宋体" w:cs="Times New Roman"/>
          <w:b w:val="0"/>
          <w:bCs w:val="0"/>
          <w:color w:val="auto"/>
          <w:sz w:val="21"/>
          <w:szCs w:val="21"/>
          <w:highlight w:val="none"/>
          <w:u w:val="none"/>
          <w:lang w:val="en-US" w:eastAsia="zh-CN"/>
        </w:rPr>
        <w:t>）是否涉及节能产品：</w:t>
      </w:r>
    </w:p>
    <w:p w14:paraId="6CA17D0C">
      <w:pPr>
        <w:numPr>
          <w:ilvl w:val="-1"/>
          <w:numId w:val="0"/>
        </w:numPr>
        <w:tabs>
          <w:tab w:val="left" w:pos="740"/>
        </w:tabs>
        <w:adjustRightInd w:val="0"/>
        <w:snapToGrid w:val="0"/>
        <w:spacing w:before="0" w:beforeLines="0" w:line="400" w:lineRule="exact"/>
        <w:ind w:firstLine="0" w:firstLineChars="0"/>
        <w:rPr>
          <w:rFonts w:hint="eastAsia" w:ascii="宋体" w:hAnsi="宋体" w:eastAsia="宋体" w:cs="Times New Roman"/>
          <w:iCs/>
          <w:color w:val="auto"/>
          <w:szCs w:val="21"/>
          <w:highlight w:val="none"/>
          <w:lang w:val="en-US" w:eastAsia="zh-CN"/>
        </w:rPr>
      </w:pPr>
      <w:r>
        <w:rPr>
          <w:rFonts w:hint="eastAsia" w:ascii="宋体" w:hAnsi="宋体" w:eastAsia="宋体" w:cs="Times New Roman"/>
          <w:b w:val="0"/>
          <w:bCs w:val="0"/>
          <w:color w:val="auto"/>
          <w:sz w:val="21"/>
          <w:szCs w:val="21"/>
          <w:highlight w:val="none"/>
          <w:u w:val="none"/>
          <w:lang w:val="en-US" w:eastAsia="zh-CN"/>
        </w:rPr>
        <w:t xml:space="preserve">         </w:t>
      </w:r>
      <w:r>
        <w:rPr>
          <w:rFonts w:hint="eastAsia" w:ascii="宋体" w:hAnsi="宋体" w:eastAsia="宋体" w:cs="Times New Roman"/>
          <w:iCs w:val="0"/>
          <w:color w:val="auto"/>
          <w:szCs w:val="21"/>
          <w:highlight w:val="none"/>
        </w:rPr>
        <w:sym w:font="Wingdings" w:char="00A8"/>
      </w:r>
      <w:r>
        <w:rPr>
          <w:rFonts w:hint="eastAsia" w:ascii="宋体" w:hAnsi="宋体" w:eastAsia="宋体" w:cs="Times New Roman"/>
          <w:iCs w:val="0"/>
          <w:color w:val="auto"/>
          <w:szCs w:val="21"/>
          <w:highlight w:val="none"/>
        </w:rPr>
        <w:t>是</w:t>
      </w:r>
      <w:r>
        <w:rPr>
          <w:rFonts w:hint="eastAsia" w:ascii="宋体" w:hAnsi="宋体" w:eastAsia="宋体" w:cs="Times New Roman"/>
          <w:iCs w:val="0"/>
          <w:color w:val="auto"/>
          <w:szCs w:val="21"/>
          <w:highlight w:val="none"/>
          <w:lang w:eastAsia="zh-CN"/>
        </w:rPr>
        <w:t>，《节能产品政府采购品目清单》的底级品目名称：</w:t>
      </w:r>
      <w:r>
        <w:rPr>
          <w:rFonts w:hint="eastAsia" w:ascii="宋体" w:hAnsi="宋体" w:eastAsia="宋体" w:cs="Times New Roman"/>
          <w:color w:val="auto"/>
          <w:szCs w:val="21"/>
          <w:highlight w:val="none"/>
          <w:u w:val="single"/>
          <w:lang w:val="en-US" w:eastAsia="zh-CN"/>
        </w:rPr>
        <w:t xml:space="preserve">         </w:t>
      </w:r>
      <w:r>
        <w:rPr>
          <w:rFonts w:hint="eastAsia" w:ascii="宋体" w:hAnsi="宋体" w:eastAsia="宋体" w:cs="Times New Roman"/>
          <w:iCs/>
          <w:color w:val="auto"/>
          <w:szCs w:val="21"/>
          <w:highlight w:val="none"/>
          <w:lang w:val="en-US" w:eastAsia="zh-CN"/>
        </w:rPr>
        <w:t xml:space="preserve">     </w:t>
      </w:r>
    </w:p>
    <w:p w14:paraId="44B5F305">
      <w:pPr>
        <w:numPr>
          <w:ilvl w:val="-1"/>
          <w:numId w:val="0"/>
        </w:numPr>
        <w:tabs>
          <w:tab w:val="left" w:pos="740"/>
        </w:tabs>
        <w:adjustRightInd w:val="0"/>
        <w:snapToGrid w:val="0"/>
        <w:spacing w:before="0" w:beforeLines="0" w:line="400" w:lineRule="exact"/>
        <w:ind w:firstLine="0" w:firstLineChars="0"/>
        <w:rPr>
          <w:rFonts w:hint="eastAsia" w:ascii="宋体" w:hAnsi="宋体" w:eastAsia="宋体" w:cs="Times New Roman"/>
          <w:iCs/>
          <w:color w:val="auto"/>
          <w:szCs w:val="21"/>
          <w:highlight w:val="none"/>
          <w:lang w:val="en-US" w:eastAsia="zh-CN"/>
        </w:rPr>
      </w:pPr>
      <w:r>
        <w:rPr>
          <w:rFonts w:hint="eastAsia" w:ascii="宋体" w:hAnsi="宋体" w:eastAsia="宋体" w:cs="Times New Roman"/>
          <w:iCs/>
          <w:color w:val="auto"/>
          <w:szCs w:val="21"/>
          <w:highlight w:val="none"/>
          <w:lang w:val="en-US" w:eastAsia="zh-CN"/>
        </w:rPr>
        <w:t xml:space="preserve">                </w:t>
      </w:r>
      <w:r>
        <w:rPr>
          <w:rFonts w:hint="eastAsia" w:ascii="宋体" w:hAnsi="宋体" w:eastAsia="宋体" w:cs="Times New Roman"/>
          <w:iCs/>
          <w:color w:val="auto"/>
          <w:szCs w:val="21"/>
          <w:highlight w:val="none"/>
        </w:rPr>
        <w:sym w:font="Wingdings" w:char="00A8"/>
      </w:r>
      <w:r>
        <w:rPr>
          <w:rFonts w:hint="eastAsia" w:ascii="宋体" w:hAnsi="宋体" w:eastAsia="宋体" w:cs="Times New Roman"/>
          <w:iCs/>
          <w:color w:val="auto"/>
          <w:szCs w:val="21"/>
          <w:highlight w:val="none"/>
          <w:lang w:eastAsia="zh-CN"/>
        </w:rPr>
        <w:t>强制采购</w:t>
      </w:r>
      <w:r>
        <w:rPr>
          <w:rFonts w:hint="eastAsia" w:ascii="宋体" w:hAnsi="宋体" w:eastAsia="宋体" w:cs="Times New Roman"/>
          <w:iCs/>
          <w:color w:val="auto"/>
          <w:szCs w:val="21"/>
          <w:highlight w:val="none"/>
          <w:lang w:val="en-US" w:eastAsia="zh-CN"/>
        </w:rPr>
        <w:t xml:space="preserve">       </w:t>
      </w:r>
      <w:r>
        <w:rPr>
          <w:rFonts w:hint="eastAsia" w:ascii="宋体" w:hAnsi="宋体" w:eastAsia="宋体" w:cs="Times New Roman"/>
          <w:iCs/>
          <w:color w:val="auto"/>
          <w:szCs w:val="21"/>
          <w:highlight w:val="none"/>
        </w:rPr>
        <w:sym w:font="Wingdings" w:char="00A8"/>
      </w:r>
      <w:r>
        <w:rPr>
          <w:rFonts w:hint="eastAsia" w:ascii="宋体" w:hAnsi="宋体" w:eastAsia="宋体" w:cs="Times New Roman"/>
          <w:iCs/>
          <w:color w:val="auto"/>
          <w:szCs w:val="21"/>
          <w:highlight w:val="none"/>
          <w:lang w:eastAsia="zh-CN"/>
        </w:rPr>
        <w:t>优先采购</w:t>
      </w:r>
      <w:r>
        <w:rPr>
          <w:rFonts w:hint="eastAsia" w:ascii="宋体" w:hAnsi="宋体" w:eastAsia="宋体" w:cs="Times New Roman"/>
          <w:iCs/>
          <w:color w:val="auto"/>
          <w:szCs w:val="21"/>
          <w:highlight w:val="none"/>
          <w:lang w:val="en-US" w:eastAsia="zh-CN"/>
        </w:rPr>
        <w:t xml:space="preserve">    </w:t>
      </w:r>
    </w:p>
    <w:p w14:paraId="5816FF26">
      <w:pPr>
        <w:numPr>
          <w:ilvl w:val="-1"/>
          <w:numId w:val="0"/>
        </w:numPr>
        <w:tabs>
          <w:tab w:val="left" w:pos="740"/>
        </w:tabs>
        <w:adjustRightInd w:val="0"/>
        <w:snapToGrid w:val="0"/>
        <w:spacing w:before="0" w:beforeLines="0" w:line="400" w:lineRule="exact"/>
        <w:ind w:firstLine="0" w:firstLineChars="0"/>
        <w:rPr>
          <w:rFonts w:hint="eastAsia" w:ascii="宋体" w:hAnsi="宋体" w:eastAsia="宋体" w:cs="Times New Roman"/>
          <w:iCs w:val="0"/>
          <w:color w:val="auto"/>
          <w:szCs w:val="21"/>
          <w:highlight w:val="none"/>
        </w:rPr>
      </w:pPr>
      <w:r>
        <w:rPr>
          <w:rFonts w:hint="eastAsia" w:ascii="宋体" w:hAnsi="宋体" w:eastAsia="宋体" w:cs="Times New Roman"/>
          <w:iCs/>
          <w:color w:val="auto"/>
          <w:szCs w:val="21"/>
          <w:highlight w:val="none"/>
          <w:lang w:val="en-US" w:eastAsia="zh-CN"/>
        </w:rPr>
        <w:t xml:space="preserve">         </w:t>
      </w:r>
      <w:r>
        <w:rPr>
          <w:rFonts w:hint="eastAsia" w:ascii="宋体" w:hAnsi="宋体" w:eastAsia="宋体" w:cs="Times New Roman"/>
          <w:iCs w:val="0"/>
          <w:color w:val="auto"/>
          <w:szCs w:val="21"/>
          <w:highlight w:val="none"/>
        </w:rPr>
        <w:sym w:font="Wingdings" w:char="00A8"/>
      </w:r>
      <w:r>
        <w:rPr>
          <w:rFonts w:hint="eastAsia" w:ascii="宋体" w:hAnsi="宋体" w:eastAsia="宋体" w:cs="Times New Roman"/>
          <w:iCs w:val="0"/>
          <w:color w:val="auto"/>
          <w:szCs w:val="21"/>
          <w:highlight w:val="none"/>
        </w:rPr>
        <w:t>否</w:t>
      </w:r>
    </w:p>
    <w:p w14:paraId="20453436">
      <w:pPr>
        <w:numPr>
          <w:ilvl w:val="-1"/>
          <w:numId w:val="0"/>
        </w:numPr>
        <w:tabs>
          <w:tab w:val="left" w:pos="740"/>
        </w:tabs>
        <w:adjustRightInd w:val="0"/>
        <w:snapToGrid w:val="0"/>
        <w:spacing w:before="0" w:beforeLines="0" w:line="400" w:lineRule="exact"/>
        <w:ind w:left="0" w:firstLine="0" w:firstLineChars="0"/>
        <w:rPr>
          <w:rFonts w:hint="eastAsia" w:ascii="宋体" w:hAnsi="宋体" w:eastAsia="宋体" w:cs="Times New Roman"/>
          <w:b w:val="0"/>
          <w:bCs w:val="0"/>
          <w:color w:val="auto"/>
          <w:sz w:val="21"/>
          <w:szCs w:val="21"/>
          <w:highlight w:val="none"/>
          <w:u w:val="none"/>
          <w:lang w:val="en-US" w:eastAsia="zh-CN"/>
        </w:rPr>
      </w:pPr>
      <w:r>
        <w:rPr>
          <w:rFonts w:hint="eastAsia" w:ascii="宋体" w:hAnsi="宋体" w:eastAsia="宋体" w:cs="Times New Roman"/>
          <w:b w:val="0"/>
          <w:bCs w:val="0"/>
          <w:color w:val="auto"/>
          <w:sz w:val="21"/>
          <w:szCs w:val="21"/>
          <w:highlight w:val="none"/>
          <w:u w:val="none"/>
          <w:lang w:val="en-US" w:eastAsia="zh-CN"/>
        </w:rPr>
        <w:t xml:space="preserve">          是否涉及环境标志产品：</w:t>
      </w:r>
    </w:p>
    <w:p w14:paraId="66EBEA41">
      <w:pPr>
        <w:numPr>
          <w:ilvl w:val="-1"/>
          <w:numId w:val="0"/>
        </w:numPr>
        <w:tabs>
          <w:tab w:val="left" w:pos="740"/>
        </w:tabs>
        <w:adjustRightInd w:val="0"/>
        <w:snapToGrid w:val="0"/>
        <w:spacing w:before="0" w:beforeLines="0" w:line="400" w:lineRule="exact"/>
        <w:ind w:firstLine="0" w:firstLineChars="0"/>
        <w:rPr>
          <w:rFonts w:hint="eastAsia" w:ascii="宋体" w:hAnsi="宋体" w:eastAsia="宋体" w:cs="Times New Roman"/>
          <w:iCs w:val="0"/>
          <w:color w:val="auto"/>
          <w:szCs w:val="21"/>
          <w:highlight w:val="none"/>
          <w:lang w:eastAsia="zh-CN"/>
        </w:rPr>
      </w:pPr>
      <w:r>
        <w:rPr>
          <w:rFonts w:hint="eastAsia" w:ascii="宋体" w:hAnsi="宋体" w:eastAsia="宋体" w:cs="Times New Roman"/>
          <w:b w:val="0"/>
          <w:bCs w:val="0"/>
          <w:color w:val="auto"/>
          <w:sz w:val="21"/>
          <w:szCs w:val="21"/>
          <w:highlight w:val="none"/>
          <w:u w:val="none"/>
          <w:lang w:val="en-US" w:eastAsia="zh-CN"/>
        </w:rPr>
        <w:t xml:space="preserve">         </w:t>
      </w:r>
      <w:r>
        <w:rPr>
          <w:rFonts w:hint="eastAsia" w:ascii="宋体" w:hAnsi="宋体" w:eastAsia="宋体" w:cs="Times New Roman"/>
          <w:iCs w:val="0"/>
          <w:color w:val="auto"/>
          <w:szCs w:val="21"/>
          <w:highlight w:val="none"/>
        </w:rPr>
        <w:sym w:font="Wingdings" w:char="00A8"/>
      </w:r>
      <w:r>
        <w:rPr>
          <w:rFonts w:hint="eastAsia" w:ascii="宋体" w:hAnsi="宋体" w:eastAsia="宋体" w:cs="Times New Roman"/>
          <w:iCs w:val="0"/>
          <w:color w:val="auto"/>
          <w:szCs w:val="21"/>
          <w:highlight w:val="none"/>
        </w:rPr>
        <w:t>是</w:t>
      </w:r>
      <w:r>
        <w:rPr>
          <w:rFonts w:hint="eastAsia" w:ascii="宋体" w:hAnsi="宋体" w:eastAsia="宋体" w:cs="Times New Roman"/>
          <w:iCs w:val="0"/>
          <w:color w:val="auto"/>
          <w:szCs w:val="21"/>
          <w:highlight w:val="none"/>
          <w:lang w:eastAsia="zh-CN"/>
        </w:rPr>
        <w:t>，《环境标志产品政府采购品目清单》的底级品目名称：</w:t>
      </w:r>
      <w:r>
        <w:rPr>
          <w:rFonts w:hint="eastAsia" w:ascii="宋体" w:hAnsi="宋体" w:eastAsia="宋体" w:cs="Times New Roman"/>
          <w:color w:val="auto"/>
          <w:szCs w:val="21"/>
          <w:highlight w:val="none"/>
          <w:u w:val="single"/>
          <w:lang w:val="en-US" w:eastAsia="zh-CN"/>
        </w:rPr>
        <w:t xml:space="preserve">         </w:t>
      </w:r>
      <w:r>
        <w:rPr>
          <w:rFonts w:hint="eastAsia" w:ascii="宋体" w:hAnsi="宋体" w:eastAsia="宋体" w:cs="Times New Roman"/>
          <w:iCs/>
          <w:color w:val="auto"/>
          <w:szCs w:val="21"/>
          <w:highlight w:val="none"/>
          <w:lang w:val="en-US" w:eastAsia="zh-CN"/>
        </w:rPr>
        <w:t xml:space="preserve"> </w:t>
      </w:r>
    </w:p>
    <w:p w14:paraId="2CFD5442">
      <w:pPr>
        <w:numPr>
          <w:ilvl w:val="-1"/>
          <w:numId w:val="0"/>
        </w:numPr>
        <w:tabs>
          <w:tab w:val="left" w:pos="740"/>
        </w:tabs>
        <w:adjustRightInd w:val="0"/>
        <w:snapToGrid w:val="0"/>
        <w:spacing w:before="0" w:beforeLines="0" w:line="400" w:lineRule="exact"/>
        <w:ind w:firstLine="0" w:firstLineChars="0"/>
        <w:rPr>
          <w:rFonts w:hint="eastAsia" w:ascii="宋体" w:hAnsi="宋体" w:eastAsia="宋体" w:cs="Times New Roman"/>
          <w:iCs/>
          <w:color w:val="auto"/>
          <w:szCs w:val="21"/>
          <w:highlight w:val="none"/>
          <w:lang w:val="en-US" w:eastAsia="zh-CN"/>
        </w:rPr>
      </w:pPr>
      <w:r>
        <w:rPr>
          <w:rFonts w:hint="eastAsia" w:ascii="宋体" w:hAnsi="宋体" w:eastAsia="宋体" w:cs="Times New Roman"/>
          <w:iCs/>
          <w:color w:val="auto"/>
          <w:szCs w:val="21"/>
          <w:highlight w:val="none"/>
          <w:lang w:val="en-US" w:eastAsia="zh-CN"/>
        </w:rPr>
        <w:t xml:space="preserve">                </w:t>
      </w:r>
      <w:r>
        <w:rPr>
          <w:rFonts w:hint="eastAsia" w:ascii="宋体" w:hAnsi="宋体" w:eastAsia="宋体" w:cs="Times New Roman"/>
          <w:iCs/>
          <w:color w:val="auto"/>
          <w:szCs w:val="21"/>
          <w:highlight w:val="none"/>
        </w:rPr>
        <w:sym w:font="Wingdings" w:char="00A8"/>
      </w:r>
      <w:r>
        <w:rPr>
          <w:rFonts w:hint="eastAsia" w:ascii="宋体" w:hAnsi="宋体" w:eastAsia="宋体" w:cs="Times New Roman"/>
          <w:iCs/>
          <w:color w:val="auto"/>
          <w:szCs w:val="21"/>
          <w:highlight w:val="none"/>
          <w:lang w:eastAsia="zh-CN"/>
        </w:rPr>
        <w:t>强制采购</w:t>
      </w:r>
      <w:r>
        <w:rPr>
          <w:rFonts w:hint="eastAsia" w:ascii="宋体" w:hAnsi="宋体" w:eastAsia="宋体" w:cs="Times New Roman"/>
          <w:iCs/>
          <w:color w:val="auto"/>
          <w:szCs w:val="21"/>
          <w:highlight w:val="none"/>
          <w:lang w:val="en-US" w:eastAsia="zh-CN"/>
        </w:rPr>
        <w:t xml:space="preserve">       </w:t>
      </w:r>
      <w:r>
        <w:rPr>
          <w:rFonts w:hint="eastAsia" w:ascii="宋体" w:hAnsi="宋体" w:eastAsia="宋体" w:cs="Times New Roman"/>
          <w:iCs/>
          <w:color w:val="auto"/>
          <w:szCs w:val="21"/>
          <w:highlight w:val="none"/>
        </w:rPr>
        <w:sym w:font="Wingdings" w:char="00A8"/>
      </w:r>
      <w:r>
        <w:rPr>
          <w:rFonts w:hint="eastAsia" w:ascii="宋体" w:hAnsi="宋体" w:eastAsia="宋体" w:cs="Times New Roman"/>
          <w:iCs/>
          <w:color w:val="auto"/>
          <w:szCs w:val="21"/>
          <w:highlight w:val="none"/>
          <w:lang w:eastAsia="zh-CN"/>
        </w:rPr>
        <w:t>优先采购</w:t>
      </w:r>
      <w:r>
        <w:rPr>
          <w:rFonts w:hint="eastAsia" w:ascii="宋体" w:hAnsi="宋体" w:eastAsia="宋体" w:cs="Times New Roman"/>
          <w:iCs/>
          <w:color w:val="auto"/>
          <w:szCs w:val="21"/>
          <w:highlight w:val="none"/>
          <w:lang w:val="en-US" w:eastAsia="zh-CN"/>
        </w:rPr>
        <w:t xml:space="preserve">    </w:t>
      </w:r>
    </w:p>
    <w:p w14:paraId="44B285D2">
      <w:pPr>
        <w:numPr>
          <w:ilvl w:val="-1"/>
          <w:numId w:val="0"/>
        </w:numPr>
        <w:tabs>
          <w:tab w:val="left" w:pos="740"/>
        </w:tabs>
        <w:adjustRightInd w:val="0"/>
        <w:snapToGrid w:val="0"/>
        <w:spacing w:before="0" w:beforeLines="0" w:line="400" w:lineRule="exact"/>
        <w:ind w:firstLine="0" w:firstLineChars="0"/>
        <w:rPr>
          <w:rFonts w:hint="eastAsia" w:ascii="宋体" w:hAnsi="宋体" w:eastAsia="宋体" w:cs="Times New Roman"/>
          <w:b w:val="0"/>
          <w:bCs w:val="0"/>
          <w:color w:val="auto"/>
          <w:sz w:val="21"/>
          <w:szCs w:val="21"/>
          <w:highlight w:val="none"/>
          <w:u w:val="none"/>
          <w:lang w:val="en-US" w:eastAsia="zh-CN"/>
        </w:rPr>
      </w:pPr>
      <w:r>
        <w:rPr>
          <w:rFonts w:hint="eastAsia" w:ascii="宋体" w:hAnsi="宋体" w:eastAsia="宋体" w:cs="Times New Roman"/>
          <w:iCs/>
          <w:color w:val="auto"/>
          <w:szCs w:val="21"/>
          <w:highlight w:val="none"/>
          <w:lang w:val="en-US" w:eastAsia="zh-CN"/>
        </w:rPr>
        <w:t xml:space="preserve">         </w:t>
      </w:r>
      <w:r>
        <w:rPr>
          <w:rFonts w:hint="eastAsia" w:ascii="宋体" w:hAnsi="宋体" w:eastAsia="宋体" w:cs="Times New Roman"/>
          <w:iCs w:val="0"/>
          <w:color w:val="auto"/>
          <w:szCs w:val="21"/>
          <w:highlight w:val="none"/>
        </w:rPr>
        <w:sym w:font="Wingdings" w:char="00A8"/>
      </w:r>
      <w:r>
        <w:rPr>
          <w:rFonts w:hint="eastAsia" w:ascii="宋体" w:hAnsi="宋体" w:eastAsia="宋体" w:cs="Times New Roman"/>
          <w:iCs w:val="0"/>
          <w:color w:val="auto"/>
          <w:szCs w:val="21"/>
          <w:highlight w:val="none"/>
        </w:rPr>
        <w:t>否</w:t>
      </w:r>
    </w:p>
    <w:p w14:paraId="496DB8EB">
      <w:pPr>
        <w:numPr>
          <w:ilvl w:val="-1"/>
          <w:numId w:val="0"/>
        </w:numPr>
        <w:autoSpaceDE w:val="0"/>
        <w:autoSpaceDN w:val="0"/>
        <w:adjustRightInd w:val="0"/>
        <w:snapToGrid w:val="0"/>
        <w:spacing w:before="0" w:beforeLines="0" w:line="400" w:lineRule="exact"/>
        <w:ind w:firstLine="0" w:firstLineChars="0"/>
        <w:rPr>
          <w:rFonts w:hint="eastAsia" w:ascii="宋体" w:hAnsi="宋体" w:eastAsia="宋体" w:cs="Times New Roman"/>
          <w:iCs w:val="0"/>
          <w:color w:val="auto"/>
          <w:kern w:val="2"/>
          <w:sz w:val="21"/>
          <w:szCs w:val="21"/>
          <w:highlight w:val="none"/>
          <w:u w:val="none"/>
          <w:lang w:val="en-US" w:eastAsia="zh-CN" w:bidi="ar-SA"/>
        </w:rPr>
      </w:pPr>
      <w:r>
        <w:rPr>
          <w:rFonts w:hint="eastAsia" w:ascii="宋体" w:hAnsi="宋体" w:eastAsia="华文楷体" w:cs="华文楷体"/>
          <w:b w:val="0"/>
          <w:bCs w:val="0"/>
          <w:color w:val="auto"/>
          <w:sz w:val="21"/>
          <w:szCs w:val="21"/>
          <w:highlight w:val="none"/>
          <w:u w:val="none"/>
          <w:lang w:val="en-US" w:eastAsia="zh-CN" w:bidi="ar-SA"/>
        </w:rPr>
        <w:t xml:space="preserve">          </w:t>
      </w:r>
      <w:r>
        <w:rPr>
          <w:rFonts w:hint="eastAsia" w:ascii="宋体" w:hAnsi="宋体" w:eastAsia="宋体" w:cs="Times New Roman"/>
          <w:b w:val="0"/>
          <w:bCs w:val="0"/>
          <w:color w:val="auto"/>
          <w:kern w:val="2"/>
          <w:sz w:val="21"/>
          <w:szCs w:val="21"/>
          <w:highlight w:val="none"/>
          <w:u w:val="none"/>
          <w:lang w:val="en-US" w:eastAsia="zh-CN" w:bidi="ar-SA"/>
        </w:rPr>
        <w:t>是否涉及绿色产品：</w:t>
      </w:r>
      <w:r>
        <w:rPr>
          <w:rFonts w:hint="eastAsia" w:ascii="宋体" w:hAnsi="宋体" w:eastAsia="宋体" w:cs="Times New Roman"/>
          <w:iCs w:val="0"/>
          <w:color w:val="auto"/>
          <w:kern w:val="2"/>
          <w:sz w:val="21"/>
          <w:szCs w:val="21"/>
          <w:highlight w:val="none"/>
          <w:u w:val="none"/>
          <w:lang w:val="en-US" w:eastAsia="zh-CN" w:bidi="ar-SA"/>
        </w:rPr>
        <w:t xml:space="preserve"> </w:t>
      </w:r>
    </w:p>
    <w:p w14:paraId="0BE0249E">
      <w:pPr>
        <w:autoSpaceDE w:val="0"/>
        <w:autoSpaceDN w:val="0"/>
        <w:adjustRightInd w:val="0"/>
        <w:spacing w:beforeLines="0" w:line="400" w:lineRule="exact"/>
        <w:ind w:firstLine="420" w:firstLineChars="0"/>
        <w:rPr>
          <w:rFonts w:hint="eastAsia" w:ascii="宋体" w:hAnsi="宋体" w:eastAsia="宋体" w:cs="华文楷体"/>
          <w:color w:val="auto"/>
          <w:sz w:val="22"/>
          <w:szCs w:val="21"/>
          <w:highlight w:val="none"/>
          <w:u w:val="single"/>
          <w:lang w:val="en-US" w:eastAsia="zh-CN" w:bidi="ar-SA"/>
        </w:rPr>
      </w:pPr>
      <w:r>
        <w:rPr>
          <w:rFonts w:hint="eastAsia" w:ascii="宋体" w:hAnsi="宋体" w:eastAsia="宋体" w:cs="Times New Roman"/>
          <w:iCs w:val="0"/>
          <w:color w:val="auto"/>
          <w:kern w:val="2"/>
          <w:sz w:val="21"/>
          <w:szCs w:val="21"/>
          <w:highlight w:val="none"/>
          <w:u w:val="none"/>
          <w:lang w:val="en-US" w:eastAsia="zh-CN" w:bidi="ar-SA"/>
        </w:rPr>
        <w:t xml:space="preserve">     </w:t>
      </w:r>
      <w:r>
        <w:rPr>
          <w:rFonts w:hint="eastAsia" w:ascii="宋体" w:hAnsi="宋体" w:eastAsia="宋体" w:cs="Times New Roman"/>
          <w:iCs w:val="0"/>
          <w:color w:val="auto"/>
          <w:kern w:val="2"/>
          <w:sz w:val="21"/>
          <w:szCs w:val="21"/>
          <w:highlight w:val="none"/>
          <w:u w:val="none"/>
          <w:lang w:val="en-US" w:eastAsia="zh-CN" w:bidi="ar-SA"/>
        </w:rPr>
        <w:sym w:font="Wingdings" w:char="00A8"/>
      </w:r>
      <w:r>
        <w:rPr>
          <w:rFonts w:hint="eastAsia" w:ascii="宋体" w:hAnsi="宋体" w:eastAsia="宋体" w:cs="Times New Roman"/>
          <w:iCs w:val="0"/>
          <w:color w:val="auto"/>
          <w:kern w:val="2"/>
          <w:sz w:val="21"/>
          <w:szCs w:val="21"/>
          <w:highlight w:val="none"/>
          <w:u w:val="none"/>
          <w:lang w:val="en-US" w:eastAsia="zh-CN" w:bidi="ar-SA"/>
        </w:rPr>
        <w:t>是，绿色产品政府采购相关政策确定的底级品目名称：</w:t>
      </w:r>
      <w:r>
        <w:rPr>
          <w:rFonts w:hint="eastAsia" w:ascii="宋体" w:hAnsi="宋体" w:eastAsia="宋体" w:cs="华文楷体"/>
          <w:color w:val="auto"/>
          <w:sz w:val="22"/>
          <w:szCs w:val="21"/>
          <w:highlight w:val="none"/>
          <w:u w:val="single"/>
          <w:lang w:val="en-US" w:eastAsia="zh-CN" w:bidi="ar-SA"/>
        </w:rPr>
        <w:t xml:space="preserve">         </w:t>
      </w:r>
    </w:p>
    <w:p w14:paraId="08504209">
      <w:pPr>
        <w:numPr>
          <w:ilvl w:val="-1"/>
          <w:numId w:val="0"/>
        </w:numPr>
        <w:tabs>
          <w:tab w:val="left" w:pos="740"/>
        </w:tabs>
        <w:adjustRightInd w:val="0"/>
        <w:snapToGrid w:val="0"/>
        <w:spacing w:before="0" w:beforeLines="0" w:line="400" w:lineRule="exact"/>
        <w:ind w:firstLine="0" w:firstLineChars="0"/>
        <w:rPr>
          <w:rFonts w:hint="eastAsia" w:ascii="宋体" w:hAnsi="宋体" w:eastAsia="宋体" w:cs="Times New Roman"/>
          <w:iCs/>
          <w:color w:val="auto"/>
          <w:szCs w:val="21"/>
          <w:highlight w:val="none"/>
          <w:lang w:val="en-US" w:eastAsia="zh-CN"/>
        </w:rPr>
      </w:pPr>
      <w:r>
        <w:rPr>
          <w:rFonts w:hint="eastAsia" w:ascii="宋体" w:hAnsi="宋体" w:eastAsia="宋体" w:cs="Times New Roman"/>
          <w:iCs/>
          <w:color w:val="auto"/>
          <w:szCs w:val="21"/>
          <w:highlight w:val="none"/>
          <w:lang w:val="en-US" w:eastAsia="zh-CN"/>
        </w:rPr>
        <w:t xml:space="preserve">                </w:t>
      </w:r>
      <w:r>
        <w:rPr>
          <w:rFonts w:hint="eastAsia" w:ascii="宋体" w:hAnsi="宋体" w:eastAsia="宋体" w:cs="Times New Roman"/>
          <w:iCs/>
          <w:color w:val="auto"/>
          <w:szCs w:val="21"/>
          <w:highlight w:val="none"/>
        </w:rPr>
        <w:sym w:font="Wingdings" w:char="00A8"/>
      </w:r>
      <w:r>
        <w:rPr>
          <w:rFonts w:hint="eastAsia" w:ascii="宋体" w:hAnsi="宋体" w:eastAsia="宋体" w:cs="Times New Roman"/>
          <w:iCs/>
          <w:color w:val="auto"/>
          <w:szCs w:val="21"/>
          <w:highlight w:val="none"/>
          <w:lang w:eastAsia="zh-CN"/>
        </w:rPr>
        <w:t>强制采购</w:t>
      </w:r>
      <w:r>
        <w:rPr>
          <w:rFonts w:hint="eastAsia" w:ascii="宋体" w:hAnsi="宋体" w:eastAsia="宋体" w:cs="Times New Roman"/>
          <w:iCs/>
          <w:color w:val="auto"/>
          <w:szCs w:val="21"/>
          <w:highlight w:val="none"/>
          <w:lang w:val="en-US" w:eastAsia="zh-CN"/>
        </w:rPr>
        <w:t xml:space="preserve">       </w:t>
      </w:r>
      <w:r>
        <w:rPr>
          <w:rFonts w:hint="eastAsia" w:ascii="宋体" w:hAnsi="宋体" w:eastAsia="宋体" w:cs="Times New Roman"/>
          <w:iCs/>
          <w:color w:val="auto"/>
          <w:szCs w:val="21"/>
          <w:highlight w:val="none"/>
        </w:rPr>
        <w:sym w:font="Wingdings" w:char="00A8"/>
      </w:r>
      <w:r>
        <w:rPr>
          <w:rFonts w:hint="eastAsia" w:ascii="宋体" w:hAnsi="宋体" w:eastAsia="宋体" w:cs="Times New Roman"/>
          <w:iCs/>
          <w:color w:val="auto"/>
          <w:szCs w:val="21"/>
          <w:highlight w:val="none"/>
          <w:lang w:eastAsia="zh-CN"/>
        </w:rPr>
        <w:t>优先采购</w:t>
      </w:r>
      <w:r>
        <w:rPr>
          <w:rFonts w:hint="eastAsia" w:ascii="宋体" w:hAnsi="宋体" w:eastAsia="宋体" w:cs="Times New Roman"/>
          <w:iCs/>
          <w:color w:val="auto"/>
          <w:szCs w:val="21"/>
          <w:highlight w:val="none"/>
          <w:lang w:val="en-US" w:eastAsia="zh-CN"/>
        </w:rPr>
        <w:t xml:space="preserve">    </w:t>
      </w:r>
    </w:p>
    <w:p w14:paraId="04B9F8BD">
      <w:pPr>
        <w:autoSpaceDE w:val="0"/>
        <w:autoSpaceDN w:val="0"/>
        <w:adjustRightInd w:val="0"/>
        <w:spacing w:beforeLines="0" w:line="400" w:lineRule="exact"/>
        <w:ind w:firstLine="420" w:firstLineChars="0"/>
        <w:rPr>
          <w:rFonts w:hint="eastAsia" w:ascii="宋体" w:hAnsi="宋体" w:eastAsia="华文楷体" w:cs="华文楷体"/>
          <w:b w:val="0"/>
          <w:bCs w:val="0"/>
          <w:color w:val="auto"/>
          <w:sz w:val="21"/>
          <w:szCs w:val="21"/>
          <w:highlight w:val="none"/>
          <w:u w:val="none"/>
          <w:lang w:val="en-US" w:eastAsia="zh-CN" w:bidi="ar-SA"/>
        </w:rPr>
      </w:pPr>
      <w:r>
        <w:rPr>
          <w:rFonts w:hint="eastAsia" w:ascii="宋体" w:hAnsi="宋体" w:eastAsia="宋体" w:cs="Times New Roman"/>
          <w:iCs w:val="0"/>
          <w:color w:val="auto"/>
          <w:kern w:val="2"/>
          <w:sz w:val="21"/>
          <w:szCs w:val="21"/>
          <w:highlight w:val="none"/>
          <w:u w:val="none"/>
          <w:lang w:val="en-US" w:eastAsia="zh-CN" w:bidi="ar-SA"/>
        </w:rPr>
        <w:t xml:space="preserve">     </w:t>
      </w:r>
      <w:r>
        <w:rPr>
          <w:rFonts w:hint="eastAsia" w:ascii="宋体" w:hAnsi="宋体" w:eastAsia="宋体" w:cs="Times New Roman"/>
          <w:iCs w:val="0"/>
          <w:color w:val="auto"/>
          <w:kern w:val="2"/>
          <w:sz w:val="21"/>
          <w:szCs w:val="21"/>
          <w:highlight w:val="none"/>
          <w:u w:val="none"/>
          <w:lang w:val="en-US" w:eastAsia="zh-CN" w:bidi="ar-SA"/>
        </w:rPr>
        <w:sym w:font="Wingdings" w:char="00A8"/>
      </w:r>
      <w:r>
        <w:rPr>
          <w:rFonts w:hint="eastAsia" w:ascii="宋体" w:hAnsi="宋体" w:eastAsia="宋体" w:cs="Times New Roman"/>
          <w:iCs w:val="0"/>
          <w:color w:val="auto"/>
          <w:kern w:val="2"/>
          <w:sz w:val="21"/>
          <w:szCs w:val="21"/>
          <w:highlight w:val="none"/>
          <w:u w:val="none"/>
          <w:lang w:val="en-US" w:eastAsia="zh-CN" w:bidi="ar-SA"/>
        </w:rPr>
        <w:t>否</w:t>
      </w:r>
    </w:p>
    <w:p w14:paraId="2592AE94">
      <w:pPr>
        <w:numPr>
          <w:ilvl w:val="-1"/>
          <w:numId w:val="0"/>
        </w:numPr>
        <w:adjustRightInd w:val="0"/>
        <w:snapToGrid w:val="0"/>
        <w:spacing w:before="0" w:beforeLines="0" w:line="400" w:lineRule="exact"/>
        <w:ind w:firstLine="0" w:firstLineChars="0"/>
        <w:rPr>
          <w:rFonts w:hint="eastAsia" w:ascii="宋体" w:hAnsi="宋体" w:eastAsia="宋体" w:cs="Times New Roman"/>
          <w:color w:val="auto"/>
          <w:szCs w:val="21"/>
          <w:highlight w:val="none"/>
          <w:lang w:val="en-US" w:eastAsia="zh-CN"/>
        </w:rPr>
      </w:pPr>
      <w:r>
        <w:rPr>
          <w:rFonts w:hint="eastAsia" w:ascii="宋体" w:hAnsi="宋体" w:eastAsia="宋体" w:cs="Times New Roman"/>
          <w:color w:val="auto"/>
          <w:szCs w:val="21"/>
          <w:highlight w:val="none"/>
          <w:lang w:val="en-US" w:eastAsia="zh-CN"/>
        </w:rPr>
        <w:t xml:space="preserve">    （1</w:t>
      </w:r>
      <w:r>
        <w:rPr>
          <w:rFonts w:hint="default" w:ascii="宋体" w:hAnsi="宋体" w:eastAsia="宋体" w:cs="Times New Roman"/>
          <w:color w:val="auto"/>
          <w:szCs w:val="21"/>
          <w:highlight w:val="none"/>
          <w:lang w:val="en" w:eastAsia="zh-CN"/>
        </w:rPr>
        <w:t>1</w:t>
      </w:r>
      <w:r>
        <w:rPr>
          <w:rFonts w:hint="eastAsia" w:ascii="宋体" w:hAnsi="宋体" w:eastAsia="宋体" w:cs="Times New Roman"/>
          <w:color w:val="auto"/>
          <w:szCs w:val="21"/>
          <w:highlight w:val="none"/>
          <w:lang w:val="en-US" w:eastAsia="zh-CN"/>
        </w:rPr>
        <w:t>）涉及商品包装和快递包装的，是否参考</w:t>
      </w:r>
      <w:r>
        <w:rPr>
          <w:rFonts w:hint="eastAsia" w:ascii="宋体" w:hAnsi="宋体" w:eastAsia="宋体" w:cs="Times New Roman"/>
          <w:color w:val="auto"/>
          <w:szCs w:val="21"/>
          <w:highlight w:val="none"/>
        </w:rPr>
        <w:t>《商品包装政府采购需求标准（试行）》、《快递包装政府采购需求标准（试行）》</w:t>
      </w:r>
      <w:r>
        <w:rPr>
          <w:rFonts w:hint="eastAsia" w:ascii="宋体" w:hAnsi="宋体" w:eastAsia="宋体" w:cs="Times New Roman"/>
          <w:color w:val="auto"/>
          <w:szCs w:val="21"/>
          <w:highlight w:val="none"/>
          <w:lang w:eastAsia="zh-CN"/>
        </w:rPr>
        <w:t>明确产品及相关快递服务的具体包装要求：</w:t>
      </w:r>
    </w:p>
    <w:p w14:paraId="70E22853">
      <w:pPr>
        <w:numPr>
          <w:ilvl w:val="-1"/>
          <w:numId w:val="0"/>
        </w:numPr>
        <w:adjustRightInd w:val="0"/>
        <w:snapToGrid w:val="0"/>
        <w:spacing w:before="0" w:beforeLines="0" w:line="400" w:lineRule="exact"/>
        <w:ind w:firstLine="840" w:firstLineChars="400"/>
        <w:rPr>
          <w:rFonts w:hint="eastAsia" w:ascii="宋体" w:hAnsi="宋体" w:eastAsia="宋体" w:cs="Times New Roman"/>
          <w:iCs w:val="0"/>
          <w:color w:val="auto"/>
          <w:szCs w:val="21"/>
          <w:highlight w:val="none"/>
          <w:lang w:val="en-US" w:eastAsia="zh-CN"/>
        </w:rPr>
      </w:pPr>
      <w:r>
        <w:rPr>
          <w:rFonts w:hint="eastAsia" w:ascii="宋体" w:hAnsi="宋体" w:eastAsia="宋体" w:cs="Times New Roman"/>
          <w:iCs w:val="0"/>
          <w:color w:val="auto"/>
          <w:szCs w:val="21"/>
          <w:highlight w:val="none"/>
        </w:rPr>
        <w:sym w:font="Wingdings" w:char="00A8"/>
      </w:r>
      <w:r>
        <w:rPr>
          <w:rFonts w:hint="eastAsia" w:ascii="宋体" w:hAnsi="宋体" w:eastAsia="宋体" w:cs="Times New Roman"/>
          <w:iCs w:val="0"/>
          <w:color w:val="auto"/>
          <w:szCs w:val="21"/>
          <w:highlight w:val="none"/>
        </w:rPr>
        <w:t xml:space="preserve">是       </w:t>
      </w:r>
      <w:r>
        <w:rPr>
          <w:rFonts w:hint="eastAsia" w:ascii="宋体" w:hAnsi="宋体" w:eastAsia="宋体" w:cs="Times New Roman"/>
          <w:iCs w:val="0"/>
          <w:color w:val="auto"/>
          <w:szCs w:val="21"/>
          <w:highlight w:val="none"/>
        </w:rPr>
        <w:sym w:font="Wingdings" w:char="00A8"/>
      </w:r>
      <w:r>
        <w:rPr>
          <w:rFonts w:hint="eastAsia" w:ascii="宋体" w:hAnsi="宋体" w:eastAsia="宋体" w:cs="Times New Roman"/>
          <w:iCs w:val="0"/>
          <w:color w:val="auto"/>
          <w:szCs w:val="21"/>
          <w:highlight w:val="none"/>
        </w:rPr>
        <w:t>否</w:t>
      </w:r>
      <w:r>
        <w:rPr>
          <w:rFonts w:hint="eastAsia" w:ascii="宋体" w:hAnsi="宋体" w:eastAsia="宋体" w:cs="Times New Roman"/>
          <w:iCs w:val="0"/>
          <w:color w:val="auto"/>
          <w:szCs w:val="21"/>
          <w:highlight w:val="none"/>
          <w:lang w:val="en-US" w:eastAsia="zh-CN"/>
        </w:rPr>
        <w:t xml:space="preserve">      </w:t>
      </w:r>
      <w:r>
        <w:rPr>
          <w:rFonts w:hint="eastAsia" w:ascii="宋体" w:hAnsi="宋体" w:eastAsia="宋体" w:cs="Times New Roman"/>
          <w:iCs w:val="0"/>
          <w:color w:val="auto"/>
          <w:szCs w:val="21"/>
          <w:highlight w:val="none"/>
        </w:rPr>
        <w:sym w:font="Wingdings" w:char="00A8"/>
      </w:r>
      <w:r>
        <w:rPr>
          <w:rFonts w:hint="eastAsia" w:ascii="宋体" w:hAnsi="宋体" w:eastAsia="宋体" w:cs="Times New Roman"/>
          <w:iCs w:val="0"/>
          <w:color w:val="auto"/>
          <w:szCs w:val="21"/>
          <w:highlight w:val="none"/>
          <w:lang w:eastAsia="zh-CN"/>
        </w:rPr>
        <w:t>不涉及</w:t>
      </w:r>
    </w:p>
    <w:p w14:paraId="2F9CE51D">
      <w:pPr>
        <w:numPr>
          <w:ilvl w:val="0"/>
          <w:numId w:val="24"/>
        </w:numPr>
        <w:adjustRightInd w:val="0"/>
        <w:snapToGrid w:val="0"/>
        <w:spacing w:before="0" w:beforeLines="0" w:line="400" w:lineRule="exact"/>
        <w:ind w:firstLine="422" w:firstLineChars="200"/>
        <w:rPr>
          <w:rFonts w:ascii="宋体" w:hAnsi="宋体" w:eastAsia="宋体" w:cs="Times New Roman"/>
          <w:b/>
          <w:color w:val="auto"/>
          <w:szCs w:val="21"/>
          <w:highlight w:val="none"/>
        </w:rPr>
      </w:pPr>
      <w:r>
        <w:rPr>
          <w:rFonts w:hint="eastAsia" w:ascii="宋体" w:hAnsi="宋体" w:eastAsia="宋体" w:cs="Times New Roman"/>
          <w:b/>
          <w:color w:val="auto"/>
          <w:szCs w:val="21"/>
          <w:highlight w:val="none"/>
        </w:rPr>
        <w:t>合同金额</w:t>
      </w:r>
    </w:p>
    <w:p w14:paraId="11971F64">
      <w:pPr>
        <w:adjustRightInd w:val="0"/>
        <w:snapToGrid w:val="0"/>
        <w:spacing w:before="0" w:beforeLines="0" w:line="400" w:lineRule="exact"/>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（1）合同金额小写：</w:t>
      </w:r>
      <w:r>
        <w:rPr>
          <w:rFonts w:hint="eastAsia" w:ascii="宋体" w:hAnsi="宋体" w:eastAsia="宋体" w:cs="Times New Roman"/>
          <w:color w:val="auto"/>
          <w:szCs w:val="21"/>
          <w:highlight w:val="none"/>
          <w:u w:val="single"/>
        </w:rPr>
        <w:t xml:space="preserve">                 </w:t>
      </w:r>
      <w:r>
        <w:rPr>
          <w:rFonts w:hint="eastAsia" w:ascii="宋体" w:hAnsi="宋体" w:eastAsia="宋体" w:cs="Times New Roman"/>
          <w:color w:val="auto"/>
          <w:szCs w:val="21"/>
          <w:highlight w:val="none"/>
          <w:u w:val="single"/>
          <w:lang w:val="en-US" w:eastAsia="zh-CN"/>
        </w:rPr>
        <w:t xml:space="preserve">    </w:t>
      </w:r>
      <w:r>
        <w:rPr>
          <w:rFonts w:hint="eastAsia" w:ascii="宋体" w:hAnsi="宋体" w:eastAsia="宋体" w:cs="Times New Roman"/>
          <w:color w:val="auto"/>
          <w:szCs w:val="21"/>
          <w:highlight w:val="none"/>
          <w:u w:val="single"/>
        </w:rPr>
        <w:t xml:space="preserve">      </w:t>
      </w:r>
    </w:p>
    <w:p w14:paraId="342A013F">
      <w:pPr>
        <w:adjustRightInd w:val="0"/>
        <w:snapToGrid w:val="0"/>
        <w:spacing w:before="0" w:beforeLines="0" w:line="400" w:lineRule="exact"/>
        <w:ind w:left="0" w:firstLine="0" w:firstLineChars="0"/>
        <w:rPr>
          <w:rFonts w:ascii="宋体" w:hAnsi="宋体" w:eastAsia="宋体" w:cs="Times New Roman"/>
          <w:color w:val="auto"/>
          <w:szCs w:val="21"/>
          <w:highlight w:val="none"/>
          <w:u w:val="single"/>
        </w:rPr>
      </w:pPr>
      <w:r>
        <w:rPr>
          <w:rFonts w:hint="eastAsia" w:ascii="宋体" w:hAnsi="宋体" w:eastAsia="宋体" w:cs="Times New Roman"/>
          <w:color w:val="auto"/>
          <w:szCs w:val="21"/>
          <w:highlight w:val="none"/>
          <w:lang w:val="en-US" w:eastAsia="zh-CN"/>
        </w:rPr>
        <w:t xml:space="preserve">                 </w:t>
      </w:r>
      <w:r>
        <w:rPr>
          <w:rFonts w:hint="eastAsia" w:ascii="宋体" w:hAnsi="宋体" w:eastAsia="宋体" w:cs="Times New Roman"/>
          <w:color w:val="auto"/>
          <w:szCs w:val="21"/>
          <w:highlight w:val="none"/>
        </w:rPr>
        <w:t>大写：</w:t>
      </w:r>
      <w:r>
        <w:rPr>
          <w:rFonts w:hint="eastAsia" w:ascii="宋体" w:hAnsi="宋体" w:eastAsia="宋体" w:cs="Times New Roman"/>
          <w:color w:val="auto"/>
          <w:szCs w:val="21"/>
          <w:highlight w:val="none"/>
          <w:u w:val="single"/>
        </w:rPr>
        <w:t xml:space="preserve">           </w:t>
      </w:r>
      <w:r>
        <w:rPr>
          <w:rFonts w:hint="eastAsia" w:ascii="宋体" w:hAnsi="宋体" w:eastAsia="宋体" w:cs="Times New Roman"/>
          <w:color w:val="auto"/>
          <w:szCs w:val="21"/>
          <w:highlight w:val="none"/>
          <w:u w:val="single"/>
          <w:lang w:val="en-US" w:eastAsia="zh-CN"/>
        </w:rPr>
        <w:t xml:space="preserve"> </w:t>
      </w:r>
      <w:r>
        <w:rPr>
          <w:rFonts w:hint="eastAsia" w:ascii="宋体" w:hAnsi="宋体" w:eastAsia="宋体" w:cs="Times New Roman"/>
          <w:color w:val="auto"/>
          <w:szCs w:val="21"/>
          <w:highlight w:val="none"/>
          <w:u w:val="single"/>
        </w:rPr>
        <w:t xml:space="preserve">     </w:t>
      </w:r>
      <w:r>
        <w:rPr>
          <w:rFonts w:hint="eastAsia" w:ascii="宋体" w:hAnsi="宋体" w:eastAsia="宋体" w:cs="Times New Roman"/>
          <w:color w:val="auto"/>
          <w:szCs w:val="21"/>
          <w:highlight w:val="none"/>
          <w:u w:val="single"/>
          <w:lang w:val="en-US" w:eastAsia="zh-CN"/>
        </w:rPr>
        <w:t xml:space="preserve">    </w:t>
      </w:r>
      <w:r>
        <w:rPr>
          <w:rFonts w:hint="eastAsia" w:ascii="宋体" w:hAnsi="宋体" w:eastAsia="宋体" w:cs="Times New Roman"/>
          <w:color w:val="auto"/>
          <w:szCs w:val="21"/>
          <w:highlight w:val="none"/>
          <w:u w:val="single"/>
        </w:rPr>
        <w:t xml:space="preserve">      </w:t>
      </w:r>
    </w:p>
    <w:p w14:paraId="6709FBE2">
      <w:pPr>
        <w:adjustRightInd w:val="0"/>
        <w:snapToGrid w:val="0"/>
        <w:spacing w:before="0" w:beforeLines="0" w:line="400" w:lineRule="exact"/>
        <w:ind w:firstLine="0" w:firstLineChars="0"/>
        <w:rPr>
          <w:rFonts w:ascii="宋体" w:hAnsi="宋体" w:eastAsia="宋体" w:cs="Times New Roman"/>
          <w:color w:val="auto"/>
          <w:szCs w:val="21"/>
          <w:highlight w:val="none"/>
        </w:rPr>
      </w:pPr>
      <w:r>
        <w:rPr>
          <w:rFonts w:hint="eastAsia" w:ascii="宋体" w:hAnsi="宋体" w:eastAsia="宋体" w:cs="Times New Roman"/>
          <w:color w:val="auto"/>
          <w:szCs w:val="21"/>
          <w:highlight w:val="none"/>
          <w:lang w:val="en-US" w:eastAsia="zh-CN"/>
        </w:rPr>
        <w:t xml:space="preserve">         </w:t>
      </w:r>
      <w:r>
        <w:rPr>
          <w:rFonts w:hint="eastAsia" w:ascii="宋体" w:hAnsi="宋体" w:eastAsia="宋体" w:cs="Times New Roman"/>
          <w:color w:val="auto"/>
          <w:szCs w:val="21"/>
          <w:highlight w:val="none"/>
        </w:rPr>
        <w:t>分包金额</w:t>
      </w:r>
      <w:r>
        <w:rPr>
          <w:rFonts w:hint="eastAsia" w:ascii="宋体" w:hAnsi="宋体" w:eastAsia="宋体" w:cs="Times New Roman"/>
          <w:color w:val="auto"/>
          <w:szCs w:val="21"/>
          <w:highlight w:val="none"/>
          <w:lang w:eastAsia="zh-CN"/>
        </w:rPr>
        <w:t>（如有）</w:t>
      </w:r>
      <w:r>
        <w:rPr>
          <w:rFonts w:hint="eastAsia" w:ascii="宋体" w:hAnsi="宋体" w:eastAsia="宋体" w:cs="Times New Roman"/>
          <w:color w:val="auto"/>
          <w:szCs w:val="21"/>
          <w:highlight w:val="none"/>
        </w:rPr>
        <w:t>小写：</w:t>
      </w:r>
      <w:r>
        <w:rPr>
          <w:rFonts w:hint="eastAsia" w:ascii="宋体" w:hAnsi="宋体" w:eastAsia="宋体" w:cs="Times New Roman"/>
          <w:color w:val="auto"/>
          <w:szCs w:val="21"/>
          <w:highlight w:val="none"/>
          <w:u w:val="single"/>
        </w:rPr>
        <w:t xml:space="preserve">                   </w:t>
      </w:r>
    </w:p>
    <w:p w14:paraId="0BEED52E">
      <w:pPr>
        <w:adjustRightInd w:val="0"/>
        <w:snapToGrid w:val="0"/>
        <w:spacing w:before="0" w:beforeLines="0" w:line="400" w:lineRule="exact"/>
        <w:ind w:firstLine="0" w:firstLineChars="0"/>
        <w:rPr>
          <w:rFonts w:hint="eastAsia" w:ascii="宋体" w:hAnsi="宋体" w:eastAsia="宋体" w:cs="Times New Roman"/>
          <w:color w:val="auto"/>
          <w:szCs w:val="21"/>
          <w:highlight w:val="none"/>
          <w:u w:val="single"/>
        </w:rPr>
      </w:pPr>
      <w:r>
        <w:rPr>
          <w:rFonts w:hint="eastAsia" w:ascii="宋体" w:hAnsi="宋体" w:eastAsia="宋体" w:cs="Times New Roman"/>
          <w:color w:val="auto"/>
          <w:szCs w:val="21"/>
          <w:highlight w:val="none"/>
          <w:lang w:val="en-US" w:eastAsia="zh-CN"/>
        </w:rPr>
        <w:t xml:space="preserve">                     </w:t>
      </w:r>
      <w:r>
        <w:rPr>
          <w:rFonts w:hint="eastAsia" w:ascii="宋体" w:hAnsi="宋体" w:eastAsia="宋体" w:cs="Times New Roman"/>
          <w:color w:val="auto"/>
          <w:szCs w:val="21"/>
          <w:highlight w:val="none"/>
        </w:rPr>
        <w:t>大写：</w:t>
      </w:r>
      <w:r>
        <w:rPr>
          <w:rFonts w:hint="eastAsia" w:ascii="宋体" w:hAnsi="宋体" w:eastAsia="宋体" w:cs="Times New Roman"/>
          <w:color w:val="auto"/>
          <w:szCs w:val="21"/>
          <w:highlight w:val="none"/>
          <w:u w:val="single"/>
        </w:rPr>
        <w:t xml:space="preserve">                   </w:t>
      </w:r>
      <w:r>
        <w:rPr>
          <w:rFonts w:hint="eastAsia" w:ascii="宋体" w:hAnsi="宋体" w:eastAsia="宋体" w:cs="Times New Roman"/>
          <w:color w:val="auto"/>
          <w:szCs w:val="21"/>
          <w:highlight w:val="none"/>
          <w:u w:val="single"/>
          <w:lang w:val="en-US" w:eastAsia="zh-CN"/>
        </w:rPr>
        <w:t xml:space="preserve"> </w:t>
      </w:r>
      <w:r>
        <w:rPr>
          <w:rFonts w:hint="eastAsia" w:ascii="宋体" w:hAnsi="宋体" w:eastAsia="宋体" w:cs="Times New Roman"/>
          <w:color w:val="auto"/>
          <w:szCs w:val="21"/>
          <w:highlight w:val="none"/>
          <w:u w:val="single"/>
        </w:rPr>
        <w:t xml:space="preserve">   </w:t>
      </w:r>
    </w:p>
    <w:p w14:paraId="0A1C8A9C">
      <w:pPr>
        <w:adjustRightInd w:val="0"/>
        <w:snapToGrid w:val="0"/>
        <w:spacing w:before="0" w:beforeLines="0" w:line="400" w:lineRule="exact"/>
        <w:ind w:firstLine="0" w:firstLineChars="0"/>
        <w:rPr>
          <w:rFonts w:hint="eastAsia" w:ascii="宋体" w:hAnsi="宋体" w:eastAsia="宋体" w:cs="Times New Roman"/>
          <w:color w:val="auto"/>
          <w:szCs w:val="21"/>
          <w:highlight w:val="none"/>
          <w:lang w:val="en-US" w:eastAsia="zh-CN"/>
        </w:rPr>
      </w:pPr>
      <w:r>
        <w:rPr>
          <w:rFonts w:hint="eastAsia" w:ascii="宋体" w:hAnsi="宋体" w:eastAsia="宋体" w:cs="Times New Roman"/>
          <w:color w:val="auto"/>
          <w:szCs w:val="21"/>
          <w:highlight w:val="none"/>
          <w:lang w:val="en-US" w:eastAsia="zh-CN"/>
        </w:rPr>
        <w:t xml:space="preserve">    （注：固定单价合同应填写单价和最高限价）</w:t>
      </w:r>
    </w:p>
    <w:p w14:paraId="6A953BD7">
      <w:pPr>
        <w:numPr>
          <w:ilvl w:val="-1"/>
          <w:numId w:val="0"/>
        </w:numPr>
        <w:adjustRightInd w:val="0"/>
        <w:snapToGrid w:val="0"/>
        <w:spacing w:before="0" w:beforeLines="0" w:line="400" w:lineRule="exact"/>
        <w:ind w:firstLine="0" w:firstLineChars="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lang w:val="en-US" w:eastAsia="zh-CN"/>
        </w:rPr>
        <w:t xml:space="preserve">    </w:t>
      </w:r>
      <w:r>
        <w:rPr>
          <w:rFonts w:hint="eastAsia" w:ascii="宋体" w:hAnsi="宋体" w:eastAsia="宋体" w:cs="Times New Roman"/>
          <w:color w:val="auto"/>
          <w:szCs w:val="21"/>
          <w:highlight w:val="none"/>
          <w:lang w:eastAsia="zh-CN"/>
        </w:rPr>
        <w:t>（</w:t>
      </w:r>
      <w:r>
        <w:rPr>
          <w:rFonts w:hint="eastAsia" w:ascii="宋体" w:hAnsi="宋体" w:eastAsia="宋体" w:cs="Times New Roman"/>
          <w:color w:val="auto"/>
          <w:szCs w:val="21"/>
          <w:highlight w:val="none"/>
          <w:lang w:val="en-US" w:eastAsia="zh-CN"/>
        </w:rPr>
        <w:t>2</w:t>
      </w:r>
      <w:r>
        <w:rPr>
          <w:rFonts w:hint="eastAsia" w:ascii="宋体" w:hAnsi="宋体" w:eastAsia="宋体" w:cs="Times New Roman"/>
          <w:color w:val="auto"/>
          <w:szCs w:val="21"/>
          <w:highlight w:val="none"/>
          <w:lang w:eastAsia="zh-CN"/>
        </w:rPr>
        <w:t>）</w:t>
      </w:r>
      <w:r>
        <w:rPr>
          <w:rFonts w:hint="eastAsia" w:ascii="宋体" w:hAnsi="宋体" w:eastAsia="宋体" w:cs="Times New Roman"/>
          <w:color w:val="auto"/>
          <w:szCs w:val="21"/>
          <w:highlight w:val="none"/>
        </w:rPr>
        <w:t>合同定价方式</w:t>
      </w:r>
      <w:r>
        <w:rPr>
          <w:rFonts w:hint="eastAsia" w:ascii="宋体" w:hAnsi="宋体" w:eastAsia="宋体" w:cs="Times New Roman"/>
          <w:color w:val="auto"/>
          <w:szCs w:val="21"/>
          <w:highlight w:val="none"/>
          <w:lang w:eastAsia="zh-CN"/>
        </w:rPr>
        <w:t>（采用组合定价方式的，可以勾选多项）</w:t>
      </w:r>
      <w:r>
        <w:rPr>
          <w:rFonts w:hint="eastAsia" w:ascii="宋体" w:hAnsi="宋体" w:eastAsia="宋体" w:cs="Times New Roman"/>
          <w:color w:val="auto"/>
          <w:szCs w:val="21"/>
          <w:highlight w:val="none"/>
        </w:rPr>
        <w:t>：</w:t>
      </w:r>
    </w:p>
    <w:p w14:paraId="44F15E83">
      <w:pPr>
        <w:adjustRightInd w:val="0"/>
        <w:snapToGrid w:val="0"/>
        <w:spacing w:before="0" w:beforeLines="0" w:line="400" w:lineRule="exact"/>
        <w:ind w:firstLine="420" w:firstLineChars="200"/>
        <w:rPr>
          <w:rFonts w:hint="eastAsia" w:ascii="宋体" w:hAnsi="宋体" w:eastAsia="宋体" w:cs="Times New Roman"/>
          <w:color w:val="auto"/>
          <w:szCs w:val="21"/>
          <w:highlight w:val="none"/>
          <w:lang w:eastAsia="zh-CN"/>
        </w:rPr>
      </w:pPr>
      <w:r>
        <w:rPr>
          <w:rFonts w:hint="eastAsia" w:ascii="宋体" w:hAnsi="宋体" w:eastAsia="宋体" w:cs="Times New Roman"/>
          <w:iCs/>
          <w:color w:val="auto"/>
          <w:szCs w:val="21"/>
          <w:highlight w:val="none"/>
          <w:lang w:val="en-US" w:eastAsia="zh-CN"/>
        </w:rPr>
        <w:t xml:space="preserve">  </w:t>
      </w:r>
      <w:r>
        <w:rPr>
          <w:rFonts w:hint="eastAsia" w:ascii="宋体" w:hAnsi="宋体" w:eastAsia="宋体" w:cs="Times New Roman"/>
          <w:iCs/>
          <w:color w:val="auto"/>
          <w:szCs w:val="21"/>
          <w:highlight w:val="none"/>
        </w:rPr>
        <w:sym w:font="Wingdings" w:char="00FE"/>
      </w:r>
      <w:r>
        <w:rPr>
          <w:rFonts w:hint="eastAsia" w:ascii="宋体" w:hAnsi="宋体" w:eastAsia="宋体" w:cs="Times New Roman"/>
          <w:iCs/>
          <w:color w:val="auto"/>
          <w:szCs w:val="21"/>
          <w:highlight w:val="none"/>
        </w:rPr>
        <w:t xml:space="preserve">固定总价 </w:t>
      </w:r>
      <w:r>
        <w:rPr>
          <w:rFonts w:hint="eastAsia" w:ascii="宋体" w:hAnsi="宋体" w:eastAsia="宋体" w:cs="Times New Roman"/>
          <w:iCs/>
          <w:color w:val="auto"/>
          <w:szCs w:val="21"/>
          <w:highlight w:val="none"/>
        </w:rPr>
        <w:sym w:font="Wingdings" w:char="00A8"/>
      </w:r>
      <w:r>
        <w:rPr>
          <w:rFonts w:hint="eastAsia" w:ascii="宋体" w:hAnsi="宋体" w:eastAsia="宋体" w:cs="Times New Roman"/>
          <w:iCs/>
          <w:color w:val="auto"/>
          <w:szCs w:val="21"/>
          <w:highlight w:val="none"/>
        </w:rPr>
        <w:t>固定单价</w:t>
      </w:r>
      <w:r>
        <w:rPr>
          <w:rFonts w:hint="eastAsia" w:ascii="宋体" w:hAnsi="宋体" w:eastAsia="宋体" w:cs="Times New Roman"/>
          <w:iCs/>
          <w:color w:val="auto"/>
          <w:szCs w:val="21"/>
          <w:highlight w:val="none"/>
          <w:lang w:val="en-US" w:eastAsia="zh-CN"/>
        </w:rPr>
        <w:t xml:space="preserve"> </w:t>
      </w:r>
      <w:r>
        <w:rPr>
          <w:rFonts w:hint="eastAsia" w:ascii="宋体" w:hAnsi="宋体" w:eastAsia="宋体" w:cs="Times New Roman"/>
          <w:iCs/>
          <w:color w:val="auto"/>
          <w:szCs w:val="21"/>
          <w:highlight w:val="none"/>
        </w:rPr>
        <w:sym w:font="Wingdings" w:char="00A8"/>
      </w:r>
      <w:r>
        <w:rPr>
          <w:rFonts w:hint="eastAsia" w:ascii="宋体" w:hAnsi="宋体" w:eastAsia="宋体" w:cs="Times New Roman"/>
          <w:iCs/>
          <w:color w:val="auto"/>
          <w:szCs w:val="21"/>
          <w:highlight w:val="none"/>
          <w:lang w:eastAsia="zh-CN"/>
        </w:rPr>
        <w:t>固定费率</w:t>
      </w:r>
      <w:r>
        <w:rPr>
          <w:rFonts w:hint="eastAsia" w:ascii="宋体" w:hAnsi="宋体" w:eastAsia="宋体" w:cs="Times New Roman"/>
          <w:iCs/>
          <w:color w:val="auto"/>
          <w:szCs w:val="21"/>
          <w:highlight w:val="none"/>
        </w:rPr>
        <w:t xml:space="preserve"> </w:t>
      </w:r>
      <w:r>
        <w:rPr>
          <w:rFonts w:hint="eastAsia" w:ascii="宋体" w:hAnsi="宋体" w:eastAsia="宋体" w:cs="Times New Roman"/>
          <w:iCs/>
          <w:color w:val="auto"/>
          <w:szCs w:val="21"/>
          <w:highlight w:val="none"/>
        </w:rPr>
        <w:sym w:font="Wingdings" w:char="00A8"/>
      </w:r>
      <w:r>
        <w:rPr>
          <w:rFonts w:hint="eastAsia" w:ascii="宋体" w:hAnsi="宋体" w:eastAsia="宋体" w:cs="Times New Roman"/>
          <w:iCs/>
          <w:color w:val="auto"/>
          <w:szCs w:val="21"/>
          <w:highlight w:val="none"/>
        </w:rPr>
        <w:t xml:space="preserve">成本补偿 </w:t>
      </w:r>
      <w:r>
        <w:rPr>
          <w:rFonts w:hint="eastAsia" w:ascii="宋体" w:hAnsi="宋体" w:eastAsia="宋体" w:cs="Times New Roman"/>
          <w:iCs/>
          <w:color w:val="auto"/>
          <w:szCs w:val="21"/>
          <w:highlight w:val="none"/>
        </w:rPr>
        <w:sym w:font="Wingdings" w:char="00A8"/>
      </w:r>
      <w:r>
        <w:rPr>
          <w:rFonts w:hint="eastAsia" w:ascii="宋体" w:hAnsi="宋体" w:eastAsia="宋体" w:cs="Times New Roman"/>
          <w:iCs/>
          <w:color w:val="auto"/>
          <w:szCs w:val="21"/>
          <w:highlight w:val="none"/>
        </w:rPr>
        <w:t>绩效激励</w:t>
      </w:r>
      <w:r>
        <w:rPr>
          <w:rFonts w:hint="eastAsia" w:ascii="宋体" w:hAnsi="宋体" w:eastAsia="宋体" w:cs="Times New Roman"/>
          <w:iCs/>
          <w:color w:val="auto"/>
          <w:szCs w:val="21"/>
          <w:highlight w:val="none"/>
          <w:lang w:val="en-US" w:eastAsia="zh-CN"/>
        </w:rPr>
        <w:t xml:space="preserve"> </w:t>
      </w:r>
      <w:r>
        <w:rPr>
          <w:rFonts w:hint="eastAsia" w:ascii="宋体" w:hAnsi="宋体" w:eastAsia="宋体" w:cs="Times New Roman"/>
          <w:iCs/>
          <w:color w:val="auto"/>
          <w:szCs w:val="21"/>
          <w:highlight w:val="none"/>
        </w:rPr>
        <w:sym w:font="Wingdings" w:char="00A8"/>
      </w:r>
      <w:r>
        <w:rPr>
          <w:rFonts w:hint="eastAsia" w:ascii="宋体" w:hAnsi="宋体" w:eastAsia="宋体" w:cs="Times New Roman"/>
          <w:iCs/>
          <w:color w:val="auto"/>
          <w:szCs w:val="21"/>
          <w:highlight w:val="none"/>
          <w:lang w:eastAsia="zh-CN"/>
        </w:rPr>
        <w:t>其他</w:t>
      </w:r>
      <w:r>
        <w:rPr>
          <w:rFonts w:hint="eastAsia" w:ascii="宋体" w:hAnsi="宋体" w:eastAsia="宋体" w:cs="Times New Roman"/>
          <w:color w:val="auto"/>
          <w:szCs w:val="21"/>
          <w:highlight w:val="none"/>
          <w:u w:val="single"/>
        </w:rPr>
        <w:t xml:space="preserve">       </w:t>
      </w:r>
    </w:p>
    <w:p w14:paraId="0C3DF4D7">
      <w:pPr>
        <w:widowControl w:val="0"/>
        <w:spacing w:beforeLines="0" w:line="400" w:lineRule="exact"/>
        <w:ind w:firstLine="420" w:firstLineChars="200"/>
        <w:jc w:val="both"/>
        <w:rPr>
          <w:rFonts w:ascii="Times New Roman" w:hAnsi="Times New Roman" w:eastAsia="宋体" w:cs="Times New Roman"/>
          <w:color w:val="auto"/>
          <w:kern w:val="2"/>
          <w:sz w:val="21"/>
          <w:szCs w:val="21"/>
          <w:highlight w:val="none"/>
          <w:lang w:val="en-US" w:eastAsia="zh-CN" w:bidi="ar-SA"/>
        </w:rPr>
      </w:pPr>
      <w:r>
        <w:rPr>
          <w:rFonts w:hint="eastAsia" w:ascii="宋体" w:hAnsi="宋体" w:eastAsia="宋体" w:cs="Times New Roman"/>
          <w:color w:val="auto"/>
          <w:kern w:val="2"/>
          <w:sz w:val="21"/>
          <w:szCs w:val="21"/>
          <w:highlight w:val="none"/>
          <w:lang w:val="en-US" w:eastAsia="zh-CN" w:bidi="ar-SA"/>
        </w:rPr>
        <w:t>（3）付款方式（按项目实际勾选填写）：</w:t>
      </w:r>
    </w:p>
    <w:p w14:paraId="656815AE">
      <w:pPr>
        <w:adjustRightInd w:val="0"/>
        <w:snapToGrid w:val="0"/>
        <w:spacing w:before="0" w:beforeLines="0" w:line="400" w:lineRule="exact"/>
        <w:ind w:firstLine="630" w:firstLineChars="300"/>
        <w:rPr>
          <w:rFonts w:ascii="宋体" w:hAnsi="宋体" w:eastAsia="宋体" w:cs="Times New Roman"/>
          <w:color w:val="auto"/>
          <w:szCs w:val="21"/>
          <w:highlight w:val="none"/>
          <w:u w:val="single"/>
        </w:rPr>
      </w:pPr>
      <w:r>
        <w:rPr>
          <w:rFonts w:hint="eastAsia" w:ascii="宋体" w:hAnsi="宋体" w:eastAsia="宋体" w:cs="Times New Roman"/>
          <w:color w:val="auto"/>
          <w:szCs w:val="21"/>
          <w:highlight w:val="none"/>
        </w:rPr>
        <w:sym w:font="Wingdings" w:char="00A8"/>
      </w:r>
      <w:r>
        <w:rPr>
          <w:rFonts w:hint="eastAsia" w:ascii="宋体" w:hAnsi="宋体" w:eastAsia="宋体" w:cs="Times New Roman"/>
          <w:color w:val="auto"/>
          <w:szCs w:val="21"/>
          <w:highlight w:val="none"/>
        </w:rPr>
        <w:t>全额付款：</w:t>
      </w:r>
      <w:r>
        <w:rPr>
          <w:rFonts w:hint="eastAsia" w:ascii="宋体" w:hAnsi="宋体" w:eastAsia="宋体" w:cs="Times New Roman"/>
          <w:color w:val="auto"/>
          <w:szCs w:val="21"/>
          <w:highlight w:val="none"/>
          <w:u w:val="single"/>
        </w:rPr>
        <w:t xml:space="preserve">  </w:t>
      </w:r>
      <w:r>
        <w:rPr>
          <w:rFonts w:hint="eastAsia" w:ascii="宋体" w:hAnsi="宋体" w:eastAsia="宋体" w:cs="Times New Roman"/>
          <w:color w:val="auto"/>
          <w:szCs w:val="21"/>
          <w:highlight w:val="none"/>
          <w:u w:val="single"/>
          <w:lang w:val="en-US" w:eastAsia="zh-CN"/>
        </w:rPr>
        <w:t xml:space="preserve">                   </w:t>
      </w:r>
      <w:r>
        <w:rPr>
          <w:rFonts w:hint="eastAsia" w:ascii="宋体" w:hAnsi="宋体" w:eastAsia="宋体" w:cs="Times New Roman"/>
          <w:color w:val="auto"/>
          <w:szCs w:val="21"/>
          <w:highlight w:val="none"/>
          <w:u w:val="single"/>
        </w:rPr>
        <w:t xml:space="preserve"> </w:t>
      </w:r>
    </w:p>
    <w:p w14:paraId="1A7B5301">
      <w:pPr>
        <w:snapToGrid w:val="0"/>
        <w:spacing w:beforeLines="0" w:line="400" w:lineRule="exact"/>
        <w:ind w:firstLine="630" w:firstLineChars="300"/>
        <w:rPr>
          <w:rFonts w:hint="default" w:ascii="Times New Roman" w:hAnsi="Times New Roman" w:eastAsia="宋体" w:cs="Times New Roman"/>
          <w:color w:val="auto"/>
          <w:highlight w:val="none"/>
          <w:lang w:val="en-US" w:eastAsia="zh-CN"/>
        </w:rPr>
      </w:pPr>
      <w:r>
        <w:rPr>
          <w:rFonts w:hint="eastAsia" w:ascii="宋体" w:hAnsi="宋体" w:eastAsia="宋体" w:cs="Times New Roman"/>
          <w:color w:val="auto"/>
          <w:szCs w:val="21"/>
          <w:highlight w:val="none"/>
        </w:rPr>
        <w:sym w:font="Wingdings" w:char="00FE"/>
      </w:r>
      <w:r>
        <w:rPr>
          <w:rFonts w:hint="eastAsia" w:ascii="宋体" w:hAnsi="宋体" w:eastAsia="宋体" w:cs="Times New Roman"/>
          <w:color w:val="auto"/>
          <w:szCs w:val="21"/>
          <w:highlight w:val="none"/>
        </w:rPr>
        <w:t>分期付款：</w:t>
      </w:r>
      <w:r>
        <w:rPr>
          <w:rFonts w:hint="eastAsia" w:ascii="宋体" w:hAnsi="宋体" w:eastAsia="宋体" w:cs="Times New Roman"/>
          <w:color w:val="auto"/>
          <w:szCs w:val="21"/>
          <w:highlight w:val="none"/>
          <w:u w:val="single"/>
        </w:rPr>
        <w:t xml:space="preserve"> （应明确分期支付合同款项的各期比例和支付条件</w:t>
      </w:r>
      <w:r>
        <w:rPr>
          <w:rFonts w:hint="eastAsia" w:ascii="宋体" w:hAnsi="宋体" w:eastAsia="宋体" w:cs="Times New Roman"/>
          <w:color w:val="auto"/>
          <w:szCs w:val="21"/>
          <w:highlight w:val="none"/>
          <w:u w:val="single"/>
          <w:lang w:eastAsia="zh-CN"/>
        </w:rPr>
        <w:t>，各期支付条件应与分期履约验收情况挂钩</w:t>
      </w:r>
      <w:r>
        <w:rPr>
          <w:rFonts w:hint="eastAsia" w:ascii="宋体" w:hAnsi="宋体" w:eastAsia="宋体" w:cs="Times New Roman"/>
          <w:color w:val="auto"/>
          <w:szCs w:val="21"/>
          <w:highlight w:val="none"/>
          <w:u w:val="single"/>
        </w:rPr>
        <w:t xml:space="preserve">）合同签订后，采购人向中标人支付合同金额的30%；全部设备到达采购人指定的交货地点且验收合格后，采购人向中标人支付合同金额的40%；全部设备安装调试完毕且验收合格后，采购人向中标人支付合同金额的30% </w:t>
      </w:r>
      <w:r>
        <w:rPr>
          <w:rFonts w:hint="eastAsia" w:ascii="宋体" w:hAnsi="宋体" w:eastAsia="宋体" w:cs="Times New Roman"/>
          <w:color w:val="auto"/>
          <w:szCs w:val="21"/>
          <w:highlight w:val="none"/>
          <w:u w:val="none"/>
          <w:lang w:eastAsia="zh-CN"/>
        </w:rPr>
        <w:t>，</w:t>
      </w:r>
      <w:r>
        <w:rPr>
          <w:rFonts w:hint="eastAsia" w:ascii="宋体" w:hAnsi="宋体" w:eastAsia="宋体" w:cs="Times New Roman"/>
          <w:color w:val="auto"/>
          <w:szCs w:val="21"/>
          <w:highlight w:val="none"/>
          <w:lang w:eastAsia="zh-CN"/>
        </w:rPr>
        <w:t>其中涉及预付款的</w:t>
      </w:r>
      <w:r>
        <w:rPr>
          <w:rFonts w:hint="eastAsia" w:ascii="宋体" w:hAnsi="宋体" w:eastAsia="宋体" w:cs="Times New Roman"/>
          <w:color w:val="auto"/>
          <w:szCs w:val="21"/>
          <w:highlight w:val="none"/>
        </w:rPr>
        <w:t>：</w:t>
      </w:r>
      <w:r>
        <w:rPr>
          <w:rFonts w:hint="eastAsia" w:ascii="宋体" w:hAnsi="宋体" w:eastAsia="宋体" w:cs="Times New Roman"/>
          <w:color w:val="auto"/>
          <w:szCs w:val="21"/>
          <w:highlight w:val="none"/>
          <w:u w:val="single"/>
        </w:rPr>
        <w:t xml:space="preserve"> （应明确预付款的支付比例和支付条件） </w:t>
      </w:r>
      <w:r>
        <w:rPr>
          <w:rFonts w:hint="eastAsia" w:ascii="宋体" w:hAnsi="宋体" w:eastAsia="宋体" w:cs="Times New Roman"/>
          <w:color w:val="auto"/>
          <w:szCs w:val="21"/>
          <w:highlight w:val="none"/>
          <w:u w:val="single"/>
          <w:lang w:val="en-US" w:eastAsia="zh-CN"/>
        </w:rPr>
        <w:t>。</w:t>
      </w:r>
    </w:p>
    <w:p w14:paraId="003A1558">
      <w:pPr>
        <w:adjustRightInd w:val="0"/>
        <w:snapToGrid w:val="0"/>
        <w:spacing w:before="0" w:beforeLines="0" w:line="400" w:lineRule="exact"/>
        <w:ind w:firstLine="630" w:firstLineChars="300"/>
        <w:rPr>
          <w:rFonts w:ascii="宋体" w:hAnsi="宋体" w:eastAsia="宋体" w:cs="Times New Roman"/>
          <w:color w:val="auto"/>
          <w:szCs w:val="21"/>
          <w:highlight w:val="none"/>
          <w:u w:val="single"/>
        </w:rPr>
      </w:pPr>
      <w:r>
        <w:rPr>
          <w:rFonts w:hint="eastAsia" w:ascii="宋体" w:hAnsi="宋体" w:eastAsia="宋体" w:cs="Times New Roman"/>
          <w:color w:val="auto"/>
          <w:szCs w:val="21"/>
          <w:highlight w:val="none"/>
        </w:rPr>
        <w:sym w:font="Wingdings" w:char="00A8"/>
      </w:r>
      <w:r>
        <w:rPr>
          <w:rFonts w:hint="eastAsia" w:ascii="宋体" w:hAnsi="宋体" w:eastAsia="宋体" w:cs="Times New Roman"/>
          <w:color w:val="auto"/>
          <w:szCs w:val="21"/>
          <w:highlight w:val="none"/>
        </w:rPr>
        <w:t>成本补偿：</w:t>
      </w:r>
      <w:r>
        <w:rPr>
          <w:rFonts w:hint="eastAsia" w:ascii="宋体" w:hAnsi="宋体" w:eastAsia="宋体" w:cs="Times New Roman"/>
          <w:color w:val="auto"/>
          <w:szCs w:val="21"/>
          <w:highlight w:val="none"/>
          <w:u w:val="single"/>
        </w:rPr>
        <w:t xml:space="preserve">      （应明确按照成本补偿方式的支付方式和支付条件）   </w:t>
      </w:r>
    </w:p>
    <w:p w14:paraId="738215CA">
      <w:pPr>
        <w:adjustRightInd w:val="0"/>
        <w:snapToGrid w:val="0"/>
        <w:spacing w:before="0" w:beforeLines="0" w:line="400" w:lineRule="exact"/>
        <w:ind w:firstLine="630" w:firstLineChars="3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sym w:font="Wingdings" w:char="00A8"/>
      </w:r>
      <w:r>
        <w:rPr>
          <w:rFonts w:hint="eastAsia" w:ascii="宋体" w:hAnsi="宋体" w:eastAsia="宋体" w:cs="Times New Roman"/>
          <w:color w:val="auto"/>
          <w:szCs w:val="21"/>
          <w:highlight w:val="none"/>
        </w:rPr>
        <w:t>绩效激励：</w:t>
      </w:r>
      <w:r>
        <w:rPr>
          <w:rFonts w:hint="eastAsia" w:ascii="宋体" w:hAnsi="宋体" w:eastAsia="宋体" w:cs="Times New Roman"/>
          <w:color w:val="auto"/>
          <w:szCs w:val="21"/>
          <w:highlight w:val="none"/>
          <w:u w:val="single"/>
        </w:rPr>
        <w:t xml:space="preserve">      （应明确按照绩效激励方式的支付方式和支付条件）   </w:t>
      </w:r>
    </w:p>
    <w:p w14:paraId="76B57418">
      <w:pPr>
        <w:numPr>
          <w:ilvl w:val="0"/>
          <w:numId w:val="24"/>
        </w:numPr>
        <w:adjustRightInd w:val="0"/>
        <w:snapToGrid w:val="0"/>
        <w:spacing w:before="0" w:beforeLines="0" w:line="400" w:lineRule="exact"/>
        <w:ind w:firstLine="422" w:firstLineChars="200"/>
        <w:rPr>
          <w:rFonts w:ascii="宋体" w:hAnsi="宋体" w:eastAsia="宋体" w:cs="Times New Roman"/>
          <w:b/>
          <w:bCs w:val="0"/>
          <w:color w:val="auto"/>
          <w:szCs w:val="21"/>
          <w:highlight w:val="none"/>
          <w:u w:val="single"/>
        </w:rPr>
      </w:pPr>
      <w:r>
        <w:rPr>
          <w:rFonts w:hint="eastAsia" w:ascii="宋体" w:hAnsi="宋体" w:eastAsia="宋体" w:cs="Times New Roman"/>
          <w:b/>
          <w:bCs w:val="0"/>
          <w:color w:val="auto"/>
          <w:szCs w:val="21"/>
          <w:highlight w:val="none"/>
        </w:rPr>
        <w:t>合同履行</w:t>
      </w:r>
    </w:p>
    <w:p w14:paraId="1339F25E">
      <w:pPr>
        <w:adjustRightInd w:val="0"/>
        <w:snapToGrid w:val="0"/>
        <w:spacing w:before="0" w:beforeLines="0" w:line="4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（1）起始日期：</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年</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月</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日，完成日期：</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年</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月</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日。</w:t>
      </w:r>
    </w:p>
    <w:p w14:paraId="5D88B65C">
      <w:pPr>
        <w:adjustRightInd w:val="0"/>
        <w:snapToGrid w:val="0"/>
        <w:spacing w:before="0" w:beforeLines="0" w:line="400" w:lineRule="exact"/>
        <w:ind w:firstLine="420" w:firstLineChars="200"/>
        <w:rPr>
          <w:rFonts w:hint="default" w:ascii="宋体" w:hAnsi="宋体" w:eastAsia="宋体" w:cs="宋体"/>
          <w:color w:val="auto"/>
          <w:szCs w:val="21"/>
          <w:highlight w:val="none"/>
          <w:u w:val="single"/>
          <w:lang w:val="en-US"/>
        </w:rPr>
      </w:pP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eastAsia="zh-CN"/>
        </w:rPr>
        <w:t>履约</w:t>
      </w:r>
      <w:r>
        <w:rPr>
          <w:rFonts w:hint="eastAsia" w:ascii="宋体" w:hAnsi="宋体" w:eastAsia="宋体" w:cs="宋体"/>
          <w:color w:val="auto"/>
          <w:szCs w:val="21"/>
          <w:highlight w:val="none"/>
        </w:rPr>
        <w:t>地点</w:t>
      </w:r>
      <w:r>
        <w:rPr>
          <w:rFonts w:hint="eastAsia" w:ascii="宋体" w:hAnsi="宋体" w:eastAsia="宋体" w:cs="宋体"/>
          <w:b w:val="0"/>
          <w:bCs/>
          <w:color w:val="auto"/>
          <w:szCs w:val="21"/>
          <w:highlight w:val="none"/>
        </w:rPr>
        <w:t>：</w:t>
      </w:r>
      <w:r>
        <w:rPr>
          <w:rFonts w:hint="eastAsia" w:ascii="宋体" w:hAnsi="宋体" w:eastAsia="宋体" w:cs="宋体"/>
          <w:b w:val="0"/>
          <w:bCs/>
          <w:color w:val="auto"/>
          <w:szCs w:val="21"/>
          <w:highlight w:val="none"/>
          <w:u w:val="single"/>
          <w:lang w:val="en-US" w:eastAsia="zh-CN"/>
        </w:rPr>
        <w:t xml:space="preserve"> </w:t>
      </w:r>
      <w:r>
        <w:rPr>
          <w:rFonts w:hint="eastAsia" w:ascii="宋体" w:hAnsi="宋体" w:eastAsia="宋体" w:cs="宋体"/>
          <w:color w:val="auto"/>
          <w:sz w:val="21"/>
          <w:szCs w:val="21"/>
          <w:highlight w:val="none"/>
          <w:u w:val="single"/>
          <w:lang w:eastAsia="zh-CN"/>
        </w:rPr>
        <w:t>河南省周口生态环境监测中心指定地点</w:t>
      </w:r>
      <w:r>
        <w:rPr>
          <w:rFonts w:hint="eastAsia" w:ascii="宋体" w:hAnsi="宋体" w:eastAsia="宋体" w:cs="宋体"/>
          <w:color w:val="auto"/>
          <w:sz w:val="21"/>
          <w:szCs w:val="21"/>
          <w:highlight w:val="none"/>
          <w:u w:val="single"/>
          <w:lang w:val="en-US" w:eastAsia="zh-CN"/>
        </w:rPr>
        <w:t xml:space="preserve"> </w:t>
      </w:r>
    </w:p>
    <w:p w14:paraId="1FDAE015">
      <w:pPr>
        <w:adjustRightInd w:val="0"/>
        <w:snapToGrid w:val="0"/>
        <w:spacing w:before="0" w:beforeLines="0" w:line="400" w:lineRule="exact"/>
        <w:ind w:firstLine="420" w:firstLineChars="200"/>
        <w:rPr>
          <w:rFonts w:hint="eastAsia" w:ascii="宋体" w:hAnsi="宋体" w:eastAsia="宋体" w:cs="宋体"/>
          <w:color w:val="auto"/>
          <w:sz w:val="21"/>
          <w:szCs w:val="21"/>
          <w:highlight w:val="none"/>
          <w:lang w:eastAsia="zh-CN"/>
        </w:rPr>
      </w:pPr>
      <w:r>
        <w:rPr>
          <w:rFonts w:hint="eastAsia" w:ascii="宋体" w:hAnsi="宋体" w:eastAsia="宋体" w:cs="宋体"/>
          <w:bCs/>
          <w:color w:val="auto"/>
          <w:szCs w:val="21"/>
          <w:highlight w:val="none"/>
        </w:rPr>
        <w:t>（3）履约担保：</w:t>
      </w:r>
      <w:r>
        <w:rPr>
          <w:rFonts w:hint="eastAsia" w:ascii="宋体" w:hAnsi="宋体" w:eastAsia="宋体" w:cs="宋体"/>
          <w:color w:val="auto"/>
          <w:sz w:val="21"/>
          <w:highlight w:val="none"/>
          <w:lang w:val="en-US" w:eastAsia="zh-CN"/>
        </w:rPr>
        <w:t>是否收取履约保证金：</w:t>
      </w:r>
      <w:r>
        <w:rPr>
          <w:rFonts w:hint="eastAsia" w:ascii="宋体" w:hAnsi="宋体" w:eastAsia="宋体" w:cs="宋体"/>
          <w:color w:val="auto"/>
          <w:sz w:val="21"/>
          <w:szCs w:val="21"/>
          <w:highlight w:val="none"/>
        </w:rPr>
        <w:sym w:font="Wingdings" w:char="00A8"/>
      </w:r>
      <w:r>
        <w:rPr>
          <w:rFonts w:hint="eastAsia" w:ascii="宋体" w:hAnsi="宋体" w:eastAsia="宋体" w:cs="宋体"/>
          <w:color w:val="auto"/>
          <w:sz w:val="21"/>
          <w:szCs w:val="21"/>
          <w:highlight w:val="none"/>
          <w:lang w:eastAsia="zh-CN"/>
        </w:rPr>
        <w:t>是</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sym w:font="Wingdings" w:char="00FE"/>
      </w:r>
      <w:r>
        <w:rPr>
          <w:rFonts w:hint="eastAsia" w:ascii="宋体" w:hAnsi="宋体" w:eastAsia="宋体" w:cs="宋体"/>
          <w:color w:val="auto"/>
          <w:sz w:val="21"/>
          <w:szCs w:val="21"/>
          <w:highlight w:val="none"/>
          <w:lang w:eastAsia="zh-CN"/>
        </w:rPr>
        <w:t>否</w:t>
      </w:r>
    </w:p>
    <w:p w14:paraId="72D9E1B1">
      <w:pPr>
        <w:autoSpaceDE w:val="0"/>
        <w:autoSpaceDN w:val="0"/>
        <w:adjustRightInd w:val="0"/>
        <w:spacing w:beforeLines="0" w:line="400" w:lineRule="exact"/>
        <w:ind w:firstLine="440" w:firstLineChars="200"/>
        <w:rPr>
          <w:rFonts w:hint="eastAsia" w:ascii="宋体" w:hAnsi="宋体" w:eastAsia="宋体" w:cs="宋体"/>
          <w:color w:val="auto"/>
          <w:sz w:val="21"/>
          <w:szCs w:val="21"/>
          <w:highlight w:val="none"/>
          <w:lang w:val="en-US" w:eastAsia="zh-CN" w:bidi="ar-SA"/>
        </w:rPr>
      </w:pPr>
      <w:r>
        <w:rPr>
          <w:rFonts w:hint="eastAsia" w:ascii="宋体" w:hAnsi="宋体" w:eastAsia="华文楷体" w:cs="宋体"/>
          <w:bCs/>
          <w:color w:val="auto"/>
          <w:sz w:val="22"/>
          <w:szCs w:val="21"/>
          <w:highlight w:val="none"/>
          <w:u w:val="none"/>
          <w:lang w:val="en-US" w:eastAsia="zh-CN" w:bidi="ar-SA"/>
        </w:rPr>
        <w:t xml:space="preserve">  </w:t>
      </w:r>
      <w:r>
        <w:rPr>
          <w:rFonts w:hint="eastAsia" w:ascii="宋体" w:hAnsi="宋体" w:eastAsia="宋体" w:cs="宋体"/>
          <w:color w:val="auto"/>
          <w:sz w:val="21"/>
          <w:szCs w:val="21"/>
          <w:highlight w:val="none"/>
          <w:lang w:val="en-US" w:eastAsia="zh-CN" w:bidi="ar-SA"/>
        </w:rPr>
        <w:t xml:space="preserve">  收取履约保证金形式：</w:t>
      </w:r>
      <w:r>
        <w:rPr>
          <w:rFonts w:hint="eastAsia" w:ascii="宋体" w:hAnsi="宋体" w:eastAsia="宋体" w:cs="宋体"/>
          <w:bCs/>
          <w:color w:val="auto"/>
          <w:sz w:val="21"/>
          <w:szCs w:val="21"/>
          <w:highlight w:val="none"/>
          <w:u w:val="single"/>
          <w:lang w:val="en-US" w:eastAsia="zh-CN" w:bidi="ar-SA"/>
        </w:rPr>
        <w:t xml:space="preserve">           /                  </w:t>
      </w:r>
    </w:p>
    <w:p w14:paraId="1568B243">
      <w:pPr>
        <w:autoSpaceDE w:val="0"/>
        <w:autoSpaceDN w:val="0"/>
        <w:adjustRightInd w:val="0"/>
        <w:spacing w:beforeLines="0" w:line="400" w:lineRule="exact"/>
        <w:ind w:firstLine="420" w:firstLineChars="200"/>
        <w:rPr>
          <w:rFonts w:hint="eastAsia" w:ascii="宋体" w:hAnsi="宋体" w:eastAsia="宋体" w:cs="宋体"/>
          <w:color w:val="auto"/>
          <w:sz w:val="21"/>
          <w:szCs w:val="21"/>
          <w:highlight w:val="none"/>
          <w:lang w:val="en-US" w:eastAsia="zh-CN" w:bidi="ar-SA"/>
        </w:rPr>
      </w:pPr>
      <w:r>
        <w:rPr>
          <w:rFonts w:hint="eastAsia" w:ascii="宋体" w:hAnsi="宋体" w:eastAsia="宋体" w:cs="宋体"/>
          <w:color w:val="auto"/>
          <w:sz w:val="21"/>
          <w:szCs w:val="21"/>
          <w:highlight w:val="none"/>
          <w:lang w:val="en-US" w:eastAsia="zh-CN" w:bidi="ar-SA"/>
        </w:rPr>
        <w:t xml:space="preserve">    收取履约保证金金额：</w:t>
      </w:r>
      <w:r>
        <w:rPr>
          <w:rFonts w:hint="eastAsia" w:ascii="宋体" w:hAnsi="宋体" w:eastAsia="宋体" w:cs="宋体"/>
          <w:bCs/>
          <w:color w:val="auto"/>
          <w:sz w:val="21"/>
          <w:szCs w:val="21"/>
          <w:highlight w:val="none"/>
          <w:u w:val="single"/>
          <w:lang w:val="en-US" w:eastAsia="zh-CN" w:bidi="ar-SA"/>
        </w:rPr>
        <w:t xml:space="preserve">           /                   </w:t>
      </w:r>
    </w:p>
    <w:p w14:paraId="2B79054F">
      <w:pPr>
        <w:snapToGrid w:val="0"/>
        <w:spacing w:beforeLines="0" w:line="400" w:lineRule="exact"/>
        <w:ind w:firstLine="420" w:firstLineChars="200"/>
        <w:rPr>
          <w:rFonts w:hint="eastAsia" w:ascii="宋体" w:hAnsi="宋体" w:eastAsia="宋体" w:cs="宋体"/>
          <w:color w:val="auto"/>
          <w:sz w:val="21"/>
          <w:highlight w:val="none"/>
          <w:lang w:val="en-US" w:eastAsia="zh-CN"/>
        </w:rPr>
      </w:pPr>
      <w:r>
        <w:rPr>
          <w:rFonts w:hint="eastAsia" w:ascii="宋体" w:hAnsi="宋体" w:eastAsia="宋体" w:cs="宋体"/>
          <w:bCs/>
          <w:color w:val="auto"/>
          <w:szCs w:val="21"/>
          <w:highlight w:val="none"/>
          <w:u w:val="none"/>
          <w:lang w:val="en-US" w:eastAsia="zh-CN"/>
        </w:rPr>
        <w:t xml:space="preserve">    履约担保期限</w:t>
      </w:r>
      <w:r>
        <w:rPr>
          <w:rFonts w:hint="eastAsia" w:ascii="宋体" w:hAnsi="宋体" w:eastAsia="宋体" w:cs="宋体"/>
          <w:bCs/>
          <w:color w:val="auto"/>
          <w:szCs w:val="21"/>
          <w:highlight w:val="none"/>
          <w:u w:val="none"/>
          <w:lang w:eastAsia="zh-CN"/>
        </w:rPr>
        <w:t>：</w:t>
      </w:r>
      <w:r>
        <w:rPr>
          <w:rFonts w:hint="eastAsia" w:ascii="宋体" w:hAnsi="宋体" w:eastAsia="宋体" w:cs="宋体"/>
          <w:bCs/>
          <w:color w:val="auto"/>
          <w:sz w:val="21"/>
          <w:szCs w:val="21"/>
          <w:highlight w:val="none"/>
          <w:u w:val="single"/>
        </w:rPr>
        <w:t xml:space="preserve">      </w:t>
      </w:r>
      <w:r>
        <w:rPr>
          <w:rFonts w:hint="eastAsia" w:ascii="宋体" w:hAnsi="宋体" w:eastAsia="宋体" w:cs="宋体"/>
          <w:bCs/>
          <w:color w:val="auto"/>
          <w:sz w:val="21"/>
          <w:szCs w:val="21"/>
          <w:highlight w:val="none"/>
          <w:u w:val="single"/>
          <w:lang w:val="en-US" w:eastAsia="zh-CN"/>
        </w:rPr>
        <w:t xml:space="preserve">          </w:t>
      </w:r>
      <w:r>
        <w:rPr>
          <w:rFonts w:hint="eastAsia" w:ascii="宋体" w:hAnsi="宋体" w:eastAsia="宋体" w:cs="宋体"/>
          <w:bCs/>
          <w:color w:val="auto"/>
          <w:sz w:val="21"/>
          <w:szCs w:val="21"/>
          <w:highlight w:val="none"/>
          <w:u w:val="single"/>
          <w:lang w:val="en-US" w:eastAsia="zh-CN" w:bidi="ar-SA"/>
        </w:rPr>
        <w:t xml:space="preserve"> / </w:t>
      </w:r>
      <w:r>
        <w:rPr>
          <w:rFonts w:hint="eastAsia" w:ascii="宋体" w:hAnsi="宋体" w:eastAsia="宋体" w:cs="宋体"/>
          <w:bCs/>
          <w:color w:val="auto"/>
          <w:sz w:val="21"/>
          <w:szCs w:val="21"/>
          <w:highlight w:val="none"/>
          <w:u w:val="single"/>
          <w:lang w:val="en-US" w:eastAsia="zh-CN"/>
        </w:rPr>
        <w:t xml:space="preserve">           </w:t>
      </w:r>
      <w:r>
        <w:rPr>
          <w:rFonts w:hint="eastAsia" w:ascii="宋体" w:hAnsi="宋体" w:eastAsia="宋体" w:cs="宋体"/>
          <w:bCs/>
          <w:color w:val="auto"/>
          <w:sz w:val="21"/>
          <w:szCs w:val="21"/>
          <w:highlight w:val="none"/>
          <w:u w:val="single"/>
        </w:rPr>
        <w:t xml:space="preserve">       </w:t>
      </w:r>
    </w:p>
    <w:p w14:paraId="17B45885">
      <w:pPr>
        <w:adjustRightInd w:val="0"/>
        <w:snapToGrid w:val="0"/>
        <w:spacing w:before="0" w:beforeLines="0" w:line="400" w:lineRule="exact"/>
        <w:ind w:firstLine="420" w:firstLineChars="2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（4）分期履行要求：</w:t>
      </w:r>
      <w:r>
        <w:rPr>
          <w:rFonts w:hint="eastAsia" w:ascii="宋体" w:hAnsi="宋体" w:eastAsia="宋体" w:cs="宋体"/>
          <w:bCs/>
          <w:color w:val="auto"/>
          <w:szCs w:val="21"/>
          <w:highlight w:val="none"/>
          <w:u w:val="single"/>
        </w:rPr>
        <w:t xml:space="preserve">             </w:t>
      </w:r>
      <w:r>
        <w:rPr>
          <w:rFonts w:hint="eastAsia" w:ascii="宋体" w:hAnsi="宋体" w:eastAsia="宋体" w:cs="宋体"/>
          <w:bCs/>
          <w:color w:val="auto"/>
          <w:szCs w:val="21"/>
          <w:highlight w:val="none"/>
          <w:u w:val="single"/>
          <w:lang w:val="en-US" w:eastAsia="zh-CN"/>
        </w:rPr>
        <w:t xml:space="preserve"> </w:t>
      </w:r>
      <w:r>
        <w:rPr>
          <w:rFonts w:hint="eastAsia" w:ascii="宋体" w:hAnsi="宋体" w:eastAsia="宋体" w:cs="宋体"/>
          <w:bCs/>
          <w:color w:val="auto"/>
          <w:szCs w:val="21"/>
          <w:highlight w:val="none"/>
          <w:u w:val="single"/>
        </w:rPr>
        <w:t xml:space="preserve"> </w:t>
      </w:r>
      <w:r>
        <w:rPr>
          <w:rFonts w:hint="eastAsia" w:ascii="宋体" w:hAnsi="宋体" w:eastAsia="宋体" w:cs="宋体"/>
          <w:bCs/>
          <w:color w:val="auto"/>
          <w:sz w:val="21"/>
          <w:szCs w:val="21"/>
          <w:highlight w:val="none"/>
          <w:u w:val="single"/>
          <w:lang w:val="en-US" w:eastAsia="zh-CN" w:bidi="ar-SA"/>
        </w:rPr>
        <w:t xml:space="preserve"> / </w:t>
      </w:r>
      <w:r>
        <w:rPr>
          <w:rFonts w:hint="eastAsia" w:ascii="宋体" w:hAnsi="宋体" w:eastAsia="宋体" w:cs="宋体"/>
          <w:bCs/>
          <w:color w:val="auto"/>
          <w:szCs w:val="21"/>
          <w:highlight w:val="none"/>
          <w:u w:val="single"/>
        </w:rPr>
        <w:t xml:space="preserve">             </w:t>
      </w:r>
      <w:r>
        <w:rPr>
          <w:rFonts w:hint="eastAsia" w:ascii="宋体" w:hAnsi="宋体" w:eastAsia="宋体" w:cs="宋体"/>
          <w:bCs/>
          <w:color w:val="auto"/>
          <w:szCs w:val="21"/>
          <w:highlight w:val="none"/>
          <w:u w:val="single"/>
          <w:lang w:val="en-US" w:eastAsia="zh-CN"/>
        </w:rPr>
        <w:t xml:space="preserve">    </w:t>
      </w:r>
      <w:r>
        <w:rPr>
          <w:rFonts w:hint="eastAsia" w:ascii="宋体" w:hAnsi="宋体" w:eastAsia="宋体" w:cs="宋体"/>
          <w:bCs/>
          <w:color w:val="auto"/>
          <w:szCs w:val="21"/>
          <w:highlight w:val="none"/>
          <w:u w:val="single"/>
        </w:rPr>
        <w:t xml:space="preserve"> </w:t>
      </w:r>
    </w:p>
    <w:p w14:paraId="33731105">
      <w:pPr>
        <w:adjustRightInd w:val="0"/>
        <w:snapToGrid w:val="0"/>
        <w:spacing w:before="0" w:beforeLines="0" w:line="400" w:lineRule="exact"/>
        <w:ind w:firstLine="420" w:firstLineChars="200"/>
        <w:rPr>
          <w:rFonts w:hint="eastAsia" w:ascii="宋体" w:hAnsi="宋体" w:eastAsia="宋体" w:cs="宋体"/>
          <w:color w:val="auto"/>
          <w:szCs w:val="21"/>
          <w:highlight w:val="none"/>
          <w:u w:val="single"/>
        </w:rPr>
      </w:pPr>
      <w:r>
        <w:rPr>
          <w:rFonts w:hint="eastAsia" w:ascii="宋体" w:hAnsi="宋体" w:eastAsia="宋体" w:cs="宋体"/>
          <w:bCs/>
          <w:color w:val="auto"/>
          <w:szCs w:val="21"/>
          <w:highlight w:val="none"/>
        </w:rPr>
        <w:t>（5）</w:t>
      </w:r>
      <w:r>
        <w:rPr>
          <w:rFonts w:hint="eastAsia" w:ascii="宋体" w:hAnsi="宋体" w:eastAsia="宋体" w:cs="宋体"/>
          <w:bCs/>
          <w:color w:val="auto"/>
          <w:szCs w:val="21"/>
          <w:highlight w:val="none"/>
          <w:lang w:eastAsia="zh-CN"/>
        </w:rPr>
        <w:t>风险处置措施和替代方案</w:t>
      </w:r>
      <w:r>
        <w:rPr>
          <w:rFonts w:hint="eastAsia" w:ascii="宋体" w:hAnsi="宋体" w:eastAsia="宋体" w:cs="宋体"/>
          <w:bCs/>
          <w:color w:val="auto"/>
          <w:szCs w:val="21"/>
          <w:highlight w:val="none"/>
        </w:rPr>
        <w:t>：</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u w:val="single"/>
        </w:rPr>
        <w:t xml:space="preserve">      </w:t>
      </w:r>
    </w:p>
    <w:p w14:paraId="3A15DFFD">
      <w:pPr>
        <w:numPr>
          <w:ilvl w:val="0"/>
          <w:numId w:val="24"/>
        </w:numPr>
        <w:adjustRightInd w:val="0"/>
        <w:snapToGrid w:val="0"/>
        <w:spacing w:before="0" w:beforeLines="0" w:line="400" w:lineRule="exact"/>
        <w:ind w:firstLine="422" w:firstLineChars="200"/>
        <w:rPr>
          <w:rFonts w:ascii="宋体" w:hAnsi="宋体" w:eastAsia="宋体" w:cs="Times New Roman"/>
          <w:b/>
          <w:color w:val="auto"/>
          <w:szCs w:val="21"/>
          <w:highlight w:val="none"/>
        </w:rPr>
      </w:pPr>
      <w:r>
        <w:rPr>
          <w:rFonts w:hint="eastAsia" w:ascii="宋体" w:hAnsi="宋体" w:eastAsia="宋体" w:cs="Times New Roman"/>
          <w:b/>
          <w:color w:val="auto"/>
          <w:szCs w:val="21"/>
          <w:highlight w:val="none"/>
        </w:rPr>
        <w:t>合同验收</w:t>
      </w:r>
    </w:p>
    <w:p w14:paraId="38C3453B">
      <w:pPr>
        <w:numPr>
          <w:ilvl w:val="0"/>
          <w:numId w:val="0"/>
        </w:numPr>
        <w:adjustRightInd w:val="0"/>
        <w:snapToGrid w:val="0"/>
        <w:spacing w:before="0" w:beforeLines="0" w:line="400" w:lineRule="exact"/>
        <w:ind w:firstLine="420" w:firstLineChars="200"/>
        <w:rPr>
          <w:rFonts w:hint="eastAsia" w:ascii="宋体" w:hAnsi="宋体" w:eastAsia="宋体" w:cs="Times New Roman"/>
          <w:bCs/>
          <w:color w:val="auto"/>
          <w:szCs w:val="21"/>
          <w:highlight w:val="none"/>
        </w:rPr>
      </w:pPr>
      <w:r>
        <w:rPr>
          <w:rFonts w:hint="eastAsia" w:ascii="宋体" w:hAnsi="宋体" w:eastAsia="宋体" w:cs="Times New Roman"/>
          <w:bCs/>
          <w:color w:val="auto"/>
          <w:kern w:val="2"/>
          <w:sz w:val="21"/>
          <w:szCs w:val="21"/>
          <w:highlight w:val="none"/>
          <w:lang w:val="en-US" w:eastAsia="zh-CN" w:bidi="ar-SA"/>
        </w:rPr>
        <w:t>（1）</w:t>
      </w:r>
      <w:r>
        <w:rPr>
          <w:rFonts w:hint="eastAsia" w:ascii="宋体" w:hAnsi="宋体" w:eastAsia="宋体" w:cs="Times New Roman"/>
          <w:bCs/>
          <w:color w:val="auto"/>
          <w:szCs w:val="21"/>
          <w:highlight w:val="none"/>
        </w:rPr>
        <w:t>验收组织方式：</w:t>
      </w:r>
      <w:r>
        <w:rPr>
          <w:rFonts w:hint="eastAsia" w:ascii="宋体" w:hAnsi="宋体" w:eastAsia="宋体" w:cs="宋体"/>
          <w:color w:val="auto"/>
          <w:sz w:val="21"/>
          <w:szCs w:val="21"/>
          <w:highlight w:val="none"/>
        </w:rPr>
        <w:sym w:font="Wingdings" w:char="00FE"/>
      </w:r>
      <w:r>
        <w:rPr>
          <w:rFonts w:hint="eastAsia" w:ascii="宋体" w:hAnsi="宋体" w:eastAsia="宋体" w:cs="Times New Roman"/>
          <w:bCs/>
          <w:color w:val="auto"/>
          <w:szCs w:val="21"/>
          <w:highlight w:val="none"/>
        </w:rPr>
        <w:t xml:space="preserve">自行组织 </w:t>
      </w:r>
      <w:r>
        <w:rPr>
          <w:rFonts w:hint="eastAsia" w:ascii="宋体" w:hAnsi="宋体" w:eastAsia="宋体" w:cs="宋体"/>
          <w:color w:val="auto"/>
          <w:sz w:val="21"/>
          <w:szCs w:val="21"/>
          <w:highlight w:val="none"/>
        </w:rPr>
        <w:sym w:font="Wingdings" w:char="00A8"/>
      </w:r>
      <w:r>
        <w:rPr>
          <w:rFonts w:hint="eastAsia" w:ascii="宋体" w:hAnsi="宋体" w:eastAsia="宋体" w:cs="Times New Roman"/>
          <w:bCs/>
          <w:color w:val="auto"/>
          <w:szCs w:val="21"/>
          <w:highlight w:val="none"/>
        </w:rPr>
        <w:t>委托第三方组织</w:t>
      </w:r>
    </w:p>
    <w:p w14:paraId="27BD9FE0">
      <w:pPr>
        <w:numPr>
          <w:ilvl w:val="0"/>
          <w:numId w:val="0"/>
        </w:numPr>
        <w:adjustRightInd w:val="0"/>
        <w:snapToGrid w:val="0"/>
        <w:spacing w:before="0" w:beforeLines="0" w:line="400" w:lineRule="exact"/>
        <w:rPr>
          <w:rFonts w:ascii="宋体" w:hAnsi="宋体" w:eastAsia="宋体" w:cs="Times New Roman"/>
          <w:bCs/>
          <w:color w:val="auto"/>
          <w:szCs w:val="21"/>
          <w:highlight w:val="none"/>
        </w:rPr>
      </w:pPr>
      <w:r>
        <w:rPr>
          <w:rFonts w:hint="eastAsia" w:ascii="宋体" w:hAnsi="宋体" w:eastAsia="宋体" w:cs="Times New Roman"/>
          <w:bCs/>
          <w:color w:val="auto"/>
          <w:szCs w:val="21"/>
          <w:highlight w:val="none"/>
          <w:lang w:val="en-US" w:eastAsia="zh-CN"/>
        </w:rPr>
        <w:t xml:space="preserve">        </w:t>
      </w:r>
      <w:r>
        <w:rPr>
          <w:rFonts w:hint="eastAsia" w:ascii="宋体" w:hAnsi="宋体" w:eastAsia="宋体" w:cs="Times New Roman"/>
          <w:bCs/>
          <w:color w:val="auto"/>
          <w:szCs w:val="21"/>
          <w:highlight w:val="none"/>
        </w:rPr>
        <w:t>验收主体：</w:t>
      </w:r>
      <w:r>
        <w:rPr>
          <w:rFonts w:hint="eastAsia" w:ascii="宋体" w:hAnsi="宋体" w:eastAsia="宋体" w:cs="Times New Roman"/>
          <w:bCs/>
          <w:color w:val="auto"/>
          <w:szCs w:val="21"/>
          <w:highlight w:val="none"/>
          <w:u w:val="single"/>
        </w:rPr>
        <w:t xml:space="preserve">  河南省周口生态环境监测中心  </w:t>
      </w:r>
    </w:p>
    <w:p w14:paraId="358DD4A1">
      <w:pPr>
        <w:adjustRightInd w:val="0"/>
        <w:snapToGrid w:val="0"/>
        <w:spacing w:before="0" w:beforeLines="0" w:line="400" w:lineRule="exact"/>
        <w:ind w:firstLine="0" w:firstLineChars="0"/>
        <w:rPr>
          <w:rFonts w:ascii="宋体" w:hAnsi="宋体" w:eastAsia="宋体" w:cs="Times New Roman"/>
          <w:bCs/>
          <w:color w:val="auto"/>
          <w:szCs w:val="21"/>
          <w:highlight w:val="none"/>
        </w:rPr>
      </w:pPr>
      <w:r>
        <w:rPr>
          <w:rFonts w:hint="eastAsia" w:ascii="宋体" w:hAnsi="宋体" w:eastAsia="宋体" w:cs="Times New Roman"/>
          <w:bCs/>
          <w:color w:val="auto"/>
          <w:szCs w:val="21"/>
          <w:highlight w:val="none"/>
          <w:lang w:val="en-US" w:eastAsia="zh-CN"/>
        </w:rPr>
        <w:t xml:space="preserve">        </w:t>
      </w:r>
      <w:r>
        <w:rPr>
          <w:rFonts w:hint="eastAsia" w:ascii="宋体" w:hAnsi="宋体" w:eastAsia="宋体" w:cs="Times New Roman"/>
          <w:bCs/>
          <w:color w:val="auto"/>
          <w:szCs w:val="21"/>
          <w:highlight w:val="none"/>
        </w:rPr>
        <w:t>是否邀请本项目的其他供应商</w:t>
      </w:r>
      <w:r>
        <w:rPr>
          <w:rFonts w:hint="eastAsia" w:ascii="宋体" w:hAnsi="宋体" w:eastAsia="宋体" w:cs="Times New Roman"/>
          <w:bCs/>
          <w:color w:val="auto"/>
          <w:szCs w:val="21"/>
          <w:highlight w:val="none"/>
          <w:lang w:eastAsia="zh-CN"/>
        </w:rPr>
        <w:t>参加验收</w:t>
      </w:r>
      <w:r>
        <w:rPr>
          <w:rFonts w:hint="eastAsia" w:ascii="宋体" w:hAnsi="宋体" w:eastAsia="宋体" w:cs="Times New Roman"/>
          <w:bCs/>
          <w:color w:val="auto"/>
          <w:szCs w:val="21"/>
          <w:highlight w:val="none"/>
        </w:rPr>
        <w:t>：</w:t>
      </w:r>
      <w:r>
        <w:rPr>
          <w:rFonts w:hint="eastAsia" w:ascii="宋体" w:hAnsi="宋体" w:eastAsia="宋体" w:cs="宋体"/>
          <w:color w:val="auto"/>
          <w:sz w:val="21"/>
          <w:szCs w:val="21"/>
          <w:highlight w:val="none"/>
        </w:rPr>
        <w:sym w:font="Wingdings" w:char="00A8"/>
      </w:r>
      <w:r>
        <w:rPr>
          <w:rFonts w:hint="eastAsia" w:ascii="宋体" w:hAnsi="宋体" w:eastAsia="宋体" w:cs="Times New Roman"/>
          <w:bCs/>
          <w:color w:val="auto"/>
          <w:szCs w:val="21"/>
          <w:highlight w:val="none"/>
        </w:rPr>
        <w:t xml:space="preserve">是  </w:t>
      </w:r>
      <w:r>
        <w:rPr>
          <w:rFonts w:hint="eastAsia" w:ascii="宋体" w:hAnsi="宋体" w:eastAsia="宋体" w:cs="宋体"/>
          <w:color w:val="auto"/>
          <w:sz w:val="21"/>
          <w:szCs w:val="21"/>
          <w:highlight w:val="none"/>
        </w:rPr>
        <w:sym w:font="Wingdings" w:char="00FE"/>
      </w:r>
      <w:r>
        <w:rPr>
          <w:rFonts w:hint="eastAsia" w:ascii="宋体" w:hAnsi="宋体" w:eastAsia="宋体" w:cs="Times New Roman"/>
          <w:bCs/>
          <w:color w:val="auto"/>
          <w:szCs w:val="21"/>
          <w:highlight w:val="none"/>
        </w:rPr>
        <w:t>否</w:t>
      </w:r>
    </w:p>
    <w:p w14:paraId="5430C1D7">
      <w:pPr>
        <w:adjustRightInd w:val="0"/>
        <w:snapToGrid w:val="0"/>
        <w:spacing w:before="0" w:beforeLines="0" w:line="400" w:lineRule="exact"/>
        <w:ind w:firstLine="840" w:firstLineChars="400"/>
        <w:rPr>
          <w:rFonts w:ascii="宋体" w:hAnsi="宋体" w:eastAsia="宋体" w:cs="Times New Roman"/>
          <w:bCs/>
          <w:color w:val="auto"/>
          <w:szCs w:val="21"/>
          <w:highlight w:val="none"/>
        </w:rPr>
      </w:pPr>
      <w:r>
        <w:rPr>
          <w:rFonts w:hint="eastAsia" w:ascii="宋体" w:hAnsi="宋体" w:eastAsia="宋体" w:cs="Times New Roman"/>
          <w:bCs/>
          <w:color w:val="auto"/>
          <w:szCs w:val="21"/>
          <w:highlight w:val="none"/>
        </w:rPr>
        <w:t>是否邀请专家</w:t>
      </w:r>
      <w:r>
        <w:rPr>
          <w:rFonts w:hint="eastAsia" w:ascii="宋体" w:hAnsi="宋体" w:eastAsia="宋体" w:cs="Times New Roman"/>
          <w:bCs/>
          <w:color w:val="auto"/>
          <w:szCs w:val="21"/>
          <w:highlight w:val="none"/>
          <w:lang w:eastAsia="zh-CN"/>
        </w:rPr>
        <w:t>参加验收</w:t>
      </w:r>
      <w:r>
        <w:rPr>
          <w:rFonts w:hint="eastAsia" w:ascii="宋体" w:hAnsi="宋体" w:eastAsia="宋体" w:cs="Times New Roman"/>
          <w:bCs/>
          <w:color w:val="auto"/>
          <w:szCs w:val="21"/>
          <w:highlight w:val="none"/>
        </w:rPr>
        <w:t>：</w:t>
      </w:r>
      <w:r>
        <w:rPr>
          <w:rFonts w:hint="eastAsia" w:ascii="宋体" w:hAnsi="宋体" w:eastAsia="宋体" w:cs="宋体"/>
          <w:color w:val="auto"/>
          <w:sz w:val="21"/>
          <w:szCs w:val="21"/>
          <w:highlight w:val="none"/>
        </w:rPr>
        <w:sym w:font="Wingdings" w:char="00FE"/>
      </w:r>
      <w:r>
        <w:rPr>
          <w:rFonts w:hint="eastAsia" w:ascii="宋体" w:hAnsi="宋体" w:eastAsia="宋体" w:cs="Times New Roman"/>
          <w:bCs/>
          <w:color w:val="auto"/>
          <w:szCs w:val="21"/>
          <w:highlight w:val="none"/>
        </w:rPr>
        <w:t xml:space="preserve">是  </w:t>
      </w:r>
      <w:r>
        <w:rPr>
          <w:rFonts w:hint="eastAsia" w:ascii="宋体" w:hAnsi="宋体" w:eastAsia="宋体" w:cs="宋体"/>
          <w:color w:val="auto"/>
          <w:sz w:val="21"/>
          <w:szCs w:val="21"/>
          <w:highlight w:val="none"/>
        </w:rPr>
        <w:sym w:font="Wingdings" w:char="00A8"/>
      </w:r>
      <w:r>
        <w:rPr>
          <w:rFonts w:hint="eastAsia" w:ascii="宋体" w:hAnsi="宋体" w:eastAsia="宋体" w:cs="Times New Roman"/>
          <w:bCs/>
          <w:color w:val="auto"/>
          <w:szCs w:val="21"/>
          <w:highlight w:val="none"/>
        </w:rPr>
        <w:t>否</w:t>
      </w:r>
    </w:p>
    <w:p w14:paraId="092B38D4">
      <w:pPr>
        <w:adjustRightInd w:val="0"/>
        <w:snapToGrid w:val="0"/>
        <w:spacing w:before="0" w:beforeLines="0" w:line="400" w:lineRule="exact"/>
        <w:ind w:firstLine="840" w:firstLineChars="400"/>
        <w:rPr>
          <w:rFonts w:ascii="宋体" w:hAnsi="宋体" w:eastAsia="宋体" w:cs="Times New Roman"/>
          <w:bCs/>
          <w:color w:val="auto"/>
          <w:szCs w:val="21"/>
          <w:highlight w:val="none"/>
        </w:rPr>
      </w:pPr>
      <w:r>
        <w:rPr>
          <w:rFonts w:hint="eastAsia" w:ascii="宋体" w:hAnsi="宋体" w:eastAsia="宋体" w:cs="Times New Roman"/>
          <w:bCs/>
          <w:color w:val="auto"/>
          <w:szCs w:val="21"/>
          <w:highlight w:val="none"/>
        </w:rPr>
        <w:t>是否邀请服务对象</w:t>
      </w:r>
      <w:r>
        <w:rPr>
          <w:rFonts w:hint="eastAsia" w:ascii="宋体" w:hAnsi="宋体" w:eastAsia="宋体" w:cs="Times New Roman"/>
          <w:bCs/>
          <w:color w:val="auto"/>
          <w:szCs w:val="21"/>
          <w:highlight w:val="none"/>
          <w:lang w:eastAsia="zh-CN"/>
        </w:rPr>
        <w:t>参加验收</w:t>
      </w:r>
      <w:r>
        <w:rPr>
          <w:rFonts w:hint="eastAsia" w:ascii="宋体" w:hAnsi="宋体" w:eastAsia="宋体" w:cs="Times New Roman"/>
          <w:bCs/>
          <w:color w:val="auto"/>
          <w:szCs w:val="21"/>
          <w:highlight w:val="none"/>
        </w:rPr>
        <w:t>：</w:t>
      </w:r>
      <w:r>
        <w:rPr>
          <w:rFonts w:hint="eastAsia" w:ascii="宋体" w:hAnsi="宋体" w:eastAsia="宋体" w:cs="宋体"/>
          <w:color w:val="auto"/>
          <w:sz w:val="21"/>
          <w:szCs w:val="21"/>
          <w:highlight w:val="none"/>
        </w:rPr>
        <w:sym w:font="Wingdings" w:char="00FE"/>
      </w:r>
      <w:r>
        <w:rPr>
          <w:rFonts w:hint="eastAsia" w:ascii="宋体" w:hAnsi="宋体" w:eastAsia="宋体" w:cs="Times New Roman"/>
          <w:bCs/>
          <w:color w:val="auto"/>
          <w:szCs w:val="21"/>
          <w:highlight w:val="none"/>
        </w:rPr>
        <w:t xml:space="preserve">是  </w:t>
      </w:r>
      <w:r>
        <w:rPr>
          <w:rFonts w:hint="eastAsia" w:ascii="宋体" w:hAnsi="宋体" w:eastAsia="宋体" w:cs="宋体"/>
          <w:color w:val="auto"/>
          <w:sz w:val="21"/>
          <w:szCs w:val="21"/>
          <w:highlight w:val="none"/>
        </w:rPr>
        <w:sym w:font="Wingdings" w:char="00FE"/>
      </w:r>
      <w:r>
        <w:rPr>
          <w:rFonts w:hint="eastAsia" w:ascii="宋体" w:hAnsi="宋体" w:eastAsia="宋体" w:cs="Times New Roman"/>
          <w:bCs/>
          <w:color w:val="auto"/>
          <w:szCs w:val="21"/>
          <w:highlight w:val="none"/>
        </w:rPr>
        <w:t>否</w:t>
      </w:r>
    </w:p>
    <w:p w14:paraId="5877C64D">
      <w:pPr>
        <w:adjustRightInd w:val="0"/>
        <w:snapToGrid w:val="0"/>
        <w:spacing w:before="0" w:beforeLines="0" w:line="400" w:lineRule="exact"/>
        <w:ind w:firstLine="840" w:firstLineChars="400"/>
        <w:rPr>
          <w:rFonts w:ascii="宋体" w:hAnsi="宋体" w:eastAsia="宋体" w:cs="Times New Roman"/>
          <w:bCs/>
          <w:color w:val="auto"/>
          <w:szCs w:val="21"/>
          <w:highlight w:val="none"/>
        </w:rPr>
      </w:pPr>
      <w:r>
        <w:rPr>
          <w:rFonts w:hint="eastAsia" w:ascii="宋体" w:hAnsi="宋体" w:eastAsia="宋体" w:cs="Times New Roman"/>
          <w:bCs/>
          <w:color w:val="auto"/>
          <w:szCs w:val="21"/>
          <w:highlight w:val="none"/>
        </w:rPr>
        <w:t>是否邀请第三方检测机构</w:t>
      </w:r>
      <w:r>
        <w:rPr>
          <w:rFonts w:hint="eastAsia" w:ascii="宋体" w:hAnsi="宋体" w:eastAsia="宋体" w:cs="Times New Roman"/>
          <w:bCs/>
          <w:color w:val="auto"/>
          <w:szCs w:val="21"/>
          <w:highlight w:val="none"/>
          <w:lang w:eastAsia="zh-CN"/>
        </w:rPr>
        <w:t>参加验收</w:t>
      </w:r>
      <w:r>
        <w:rPr>
          <w:rFonts w:hint="eastAsia" w:ascii="宋体" w:hAnsi="宋体" w:eastAsia="宋体" w:cs="Times New Roman"/>
          <w:bCs/>
          <w:color w:val="auto"/>
          <w:szCs w:val="21"/>
          <w:highlight w:val="none"/>
        </w:rPr>
        <w:t>：</w:t>
      </w:r>
      <w:r>
        <w:rPr>
          <w:rFonts w:hint="eastAsia" w:ascii="宋体" w:hAnsi="宋体" w:eastAsia="宋体" w:cs="宋体"/>
          <w:color w:val="auto"/>
          <w:sz w:val="21"/>
          <w:szCs w:val="21"/>
          <w:highlight w:val="none"/>
        </w:rPr>
        <w:sym w:font="Wingdings" w:char="00A8"/>
      </w:r>
      <w:r>
        <w:rPr>
          <w:rFonts w:hint="eastAsia" w:ascii="宋体" w:hAnsi="宋体" w:eastAsia="宋体" w:cs="Times New Roman"/>
          <w:bCs/>
          <w:color w:val="auto"/>
          <w:szCs w:val="21"/>
          <w:highlight w:val="none"/>
        </w:rPr>
        <w:t xml:space="preserve">是  </w:t>
      </w:r>
      <w:r>
        <w:rPr>
          <w:rFonts w:hint="eastAsia" w:ascii="宋体" w:hAnsi="宋体" w:eastAsia="宋体" w:cs="宋体"/>
          <w:color w:val="auto"/>
          <w:sz w:val="21"/>
          <w:szCs w:val="21"/>
          <w:highlight w:val="none"/>
        </w:rPr>
        <w:sym w:font="Wingdings" w:char="00FE"/>
      </w:r>
      <w:r>
        <w:rPr>
          <w:rFonts w:hint="eastAsia" w:ascii="宋体" w:hAnsi="宋体" w:eastAsia="宋体" w:cs="Times New Roman"/>
          <w:bCs/>
          <w:color w:val="auto"/>
          <w:szCs w:val="21"/>
          <w:highlight w:val="none"/>
        </w:rPr>
        <w:t>否</w:t>
      </w:r>
    </w:p>
    <w:p w14:paraId="0E865BF8">
      <w:pPr>
        <w:adjustRightInd w:val="0"/>
        <w:snapToGrid w:val="0"/>
        <w:spacing w:before="0" w:beforeLines="0" w:line="400" w:lineRule="exact"/>
        <w:ind w:firstLine="840" w:firstLineChars="400"/>
        <w:rPr>
          <w:rFonts w:hint="eastAsia" w:ascii="宋体" w:hAnsi="宋体" w:eastAsia="宋体" w:cs="Times New Roman"/>
          <w:bCs/>
          <w:color w:val="auto"/>
          <w:szCs w:val="21"/>
          <w:highlight w:val="none"/>
        </w:rPr>
      </w:pPr>
      <w:r>
        <w:rPr>
          <w:rFonts w:hint="eastAsia" w:ascii="宋体" w:hAnsi="宋体" w:eastAsia="宋体" w:cs="Times New Roman"/>
          <w:bCs/>
          <w:color w:val="auto"/>
          <w:szCs w:val="21"/>
          <w:highlight w:val="none"/>
          <w:lang w:eastAsia="zh-CN"/>
        </w:rPr>
        <w:t>是否进行抽查检测：</w:t>
      </w:r>
      <w:r>
        <w:rPr>
          <w:rFonts w:hint="eastAsia" w:ascii="宋体" w:hAnsi="宋体" w:eastAsia="宋体" w:cs="宋体"/>
          <w:color w:val="auto"/>
          <w:sz w:val="21"/>
          <w:szCs w:val="21"/>
          <w:highlight w:val="none"/>
        </w:rPr>
        <w:sym w:font="Wingdings" w:char="00A8"/>
      </w:r>
      <w:r>
        <w:rPr>
          <w:rFonts w:hint="eastAsia" w:ascii="宋体" w:hAnsi="宋体" w:eastAsia="宋体" w:cs="Times New Roman"/>
          <w:bCs/>
          <w:color w:val="auto"/>
          <w:szCs w:val="21"/>
          <w:highlight w:val="none"/>
        </w:rPr>
        <w:t>是</w:t>
      </w:r>
      <w:r>
        <w:rPr>
          <w:rFonts w:hint="eastAsia" w:ascii="宋体" w:hAnsi="宋体" w:eastAsia="宋体" w:cs="Times New Roman"/>
          <w:bCs/>
          <w:color w:val="auto"/>
          <w:szCs w:val="21"/>
          <w:highlight w:val="none"/>
          <w:lang w:eastAsia="zh-CN"/>
        </w:rPr>
        <w:t>，抽查比例：</w:t>
      </w:r>
      <w:r>
        <w:rPr>
          <w:rFonts w:hint="eastAsia" w:ascii="宋体" w:hAnsi="宋体" w:eastAsia="宋体" w:cs="Times New Roman"/>
          <w:bCs/>
          <w:color w:val="auto"/>
          <w:szCs w:val="21"/>
          <w:highlight w:val="none"/>
          <w:u w:val="single"/>
        </w:rPr>
        <w:t xml:space="preserve">   </w:t>
      </w:r>
      <w:r>
        <w:rPr>
          <w:rFonts w:hint="eastAsia" w:ascii="宋体" w:hAnsi="宋体" w:eastAsia="宋体" w:cs="Times New Roman"/>
          <w:bCs/>
          <w:color w:val="auto"/>
          <w:szCs w:val="21"/>
          <w:highlight w:val="none"/>
          <w:u w:val="single"/>
          <w:lang w:val="en-US" w:eastAsia="zh-CN"/>
        </w:rPr>
        <w:t xml:space="preserve">     </w:t>
      </w:r>
      <w:r>
        <w:rPr>
          <w:rFonts w:hint="eastAsia" w:ascii="宋体" w:hAnsi="宋体" w:eastAsia="宋体" w:cs="Times New Roman"/>
          <w:bCs/>
          <w:color w:val="auto"/>
          <w:szCs w:val="21"/>
          <w:highlight w:val="none"/>
        </w:rPr>
        <w:t xml:space="preserve"> </w:t>
      </w:r>
      <w:r>
        <w:rPr>
          <w:rFonts w:hint="eastAsia" w:ascii="宋体" w:hAnsi="宋体" w:eastAsia="宋体" w:cs="宋体"/>
          <w:color w:val="auto"/>
          <w:sz w:val="21"/>
          <w:szCs w:val="21"/>
          <w:highlight w:val="none"/>
        </w:rPr>
        <w:sym w:font="Wingdings" w:char="00FE"/>
      </w:r>
      <w:r>
        <w:rPr>
          <w:rFonts w:hint="eastAsia" w:ascii="宋体" w:hAnsi="宋体" w:eastAsia="宋体" w:cs="Times New Roman"/>
          <w:bCs/>
          <w:color w:val="auto"/>
          <w:szCs w:val="21"/>
          <w:highlight w:val="none"/>
        </w:rPr>
        <w:t>否</w:t>
      </w:r>
    </w:p>
    <w:p w14:paraId="7E005F16">
      <w:pPr>
        <w:adjustRightInd w:val="0"/>
        <w:snapToGrid w:val="0"/>
        <w:spacing w:before="0" w:beforeLines="0" w:line="400" w:lineRule="exact"/>
        <w:ind w:firstLine="840" w:firstLineChars="400"/>
        <w:rPr>
          <w:rFonts w:hint="eastAsia" w:ascii="宋体" w:hAnsi="宋体" w:eastAsia="宋体" w:cs="Times New Roman"/>
          <w:bCs/>
          <w:color w:val="auto"/>
          <w:szCs w:val="21"/>
          <w:highlight w:val="none"/>
          <w:u w:val="single"/>
          <w:lang w:eastAsia="zh-CN"/>
        </w:rPr>
      </w:pPr>
      <w:r>
        <w:rPr>
          <w:rFonts w:hint="eastAsia" w:ascii="宋体" w:hAnsi="宋体" w:eastAsia="宋体" w:cs="Times New Roman"/>
          <w:bCs/>
          <w:color w:val="auto"/>
          <w:szCs w:val="21"/>
          <w:highlight w:val="none"/>
          <w:lang w:val="en-US" w:eastAsia="zh-CN"/>
        </w:rPr>
        <w:t>是否存在破坏性检测：</w:t>
      </w:r>
      <w:r>
        <w:rPr>
          <w:rFonts w:hint="eastAsia" w:ascii="宋体" w:hAnsi="宋体" w:eastAsia="宋体" w:cs="宋体"/>
          <w:color w:val="auto"/>
          <w:sz w:val="21"/>
          <w:szCs w:val="21"/>
          <w:highlight w:val="none"/>
        </w:rPr>
        <w:sym w:font="Wingdings" w:char="00A8"/>
      </w:r>
      <w:r>
        <w:rPr>
          <w:rFonts w:hint="eastAsia" w:ascii="宋体" w:hAnsi="宋体" w:eastAsia="宋体" w:cs="Times New Roman"/>
          <w:bCs/>
          <w:color w:val="auto"/>
          <w:szCs w:val="21"/>
          <w:highlight w:val="none"/>
        </w:rPr>
        <w:t>是</w:t>
      </w:r>
      <w:r>
        <w:rPr>
          <w:rFonts w:hint="eastAsia" w:ascii="宋体" w:hAnsi="宋体" w:eastAsia="宋体" w:cs="Times New Roman"/>
          <w:bCs/>
          <w:color w:val="auto"/>
          <w:szCs w:val="21"/>
          <w:highlight w:val="none"/>
          <w:lang w:eastAsia="zh-CN"/>
        </w:rPr>
        <w:t>，</w:t>
      </w:r>
      <w:r>
        <w:rPr>
          <w:rFonts w:hint="eastAsia" w:ascii="宋体" w:hAnsi="宋体" w:eastAsia="宋体" w:cs="Times New Roman"/>
          <w:bCs/>
          <w:color w:val="auto"/>
          <w:szCs w:val="21"/>
          <w:highlight w:val="none"/>
          <w:u w:val="single"/>
          <w:lang w:eastAsia="zh-CN"/>
        </w:rPr>
        <w:t>（应明确对被破坏的检测产品的处理方式）</w:t>
      </w:r>
    </w:p>
    <w:p w14:paraId="1CB71490">
      <w:pPr>
        <w:adjustRightInd w:val="0"/>
        <w:snapToGrid w:val="0"/>
        <w:spacing w:before="0" w:beforeLines="0" w:line="400" w:lineRule="exact"/>
        <w:ind w:firstLine="840" w:firstLineChars="400"/>
        <w:rPr>
          <w:rFonts w:hint="eastAsia" w:ascii="宋体" w:hAnsi="宋体" w:eastAsia="宋体" w:cs="Times New Roman"/>
          <w:bCs/>
          <w:color w:val="auto"/>
          <w:szCs w:val="21"/>
          <w:highlight w:val="none"/>
          <w:lang w:eastAsia="zh-CN"/>
        </w:rPr>
      </w:pPr>
      <w:r>
        <w:rPr>
          <w:rFonts w:hint="eastAsia" w:ascii="宋体" w:hAnsi="宋体" w:eastAsia="宋体" w:cs="Times New Roman"/>
          <w:bCs/>
          <w:color w:val="auto"/>
          <w:szCs w:val="21"/>
          <w:highlight w:val="none"/>
          <w:lang w:val="en-US" w:eastAsia="zh-CN"/>
        </w:rPr>
        <w:t xml:space="preserve">                    </w:t>
      </w:r>
      <w:r>
        <w:rPr>
          <w:rFonts w:hint="eastAsia" w:ascii="宋体" w:hAnsi="宋体" w:eastAsia="宋体" w:cs="宋体"/>
          <w:color w:val="auto"/>
          <w:sz w:val="21"/>
          <w:szCs w:val="21"/>
          <w:highlight w:val="none"/>
        </w:rPr>
        <w:sym w:font="Wingdings" w:char="00FE"/>
      </w:r>
      <w:r>
        <w:rPr>
          <w:rFonts w:hint="eastAsia" w:ascii="宋体" w:hAnsi="宋体" w:eastAsia="宋体" w:cs="Times New Roman"/>
          <w:bCs/>
          <w:color w:val="auto"/>
          <w:szCs w:val="21"/>
          <w:highlight w:val="none"/>
        </w:rPr>
        <w:t>否</w:t>
      </w:r>
    </w:p>
    <w:p w14:paraId="4547C280">
      <w:pPr>
        <w:adjustRightInd w:val="0"/>
        <w:snapToGrid w:val="0"/>
        <w:spacing w:before="0" w:beforeLines="0" w:line="400" w:lineRule="exact"/>
        <w:ind w:firstLine="840" w:firstLineChars="400"/>
        <w:rPr>
          <w:rFonts w:hint="eastAsia" w:ascii="宋体" w:hAnsi="宋体" w:eastAsia="宋体" w:cs="Times New Roman"/>
          <w:bCs/>
          <w:color w:val="auto"/>
          <w:szCs w:val="21"/>
          <w:highlight w:val="none"/>
          <w:u w:val="single"/>
        </w:rPr>
      </w:pPr>
      <w:r>
        <w:rPr>
          <w:rFonts w:hint="eastAsia" w:ascii="宋体" w:hAnsi="宋体" w:eastAsia="宋体" w:cs="Times New Roman"/>
          <w:bCs/>
          <w:color w:val="auto"/>
          <w:szCs w:val="21"/>
          <w:highlight w:val="none"/>
        </w:rPr>
        <w:t>验收组织的其他事项：</w:t>
      </w:r>
      <w:r>
        <w:rPr>
          <w:rFonts w:hint="eastAsia" w:ascii="宋体" w:hAnsi="宋体" w:eastAsia="宋体" w:cs="Times New Roman"/>
          <w:bCs/>
          <w:color w:val="auto"/>
          <w:szCs w:val="21"/>
          <w:highlight w:val="none"/>
          <w:u w:val="single"/>
        </w:rPr>
        <w:t xml:space="preserve">     </w:t>
      </w:r>
      <w:r>
        <w:rPr>
          <w:rFonts w:hint="eastAsia" w:ascii="宋体" w:hAnsi="宋体" w:eastAsia="宋体" w:cs="Times New Roman"/>
          <w:bCs/>
          <w:color w:val="auto"/>
          <w:szCs w:val="21"/>
          <w:highlight w:val="none"/>
          <w:u w:val="single"/>
          <w:lang w:val="en-US" w:eastAsia="zh-CN"/>
        </w:rPr>
        <w:t>/</w:t>
      </w:r>
      <w:r>
        <w:rPr>
          <w:rFonts w:hint="eastAsia" w:ascii="宋体" w:hAnsi="宋体" w:eastAsia="宋体" w:cs="Times New Roman"/>
          <w:bCs/>
          <w:color w:val="auto"/>
          <w:szCs w:val="21"/>
          <w:highlight w:val="none"/>
          <w:u w:val="single"/>
        </w:rPr>
        <w:t xml:space="preserve">         </w:t>
      </w:r>
    </w:p>
    <w:p w14:paraId="6B29658A">
      <w:pPr>
        <w:adjustRightInd w:val="0"/>
        <w:snapToGrid w:val="0"/>
        <w:spacing w:before="0" w:beforeLines="0" w:line="400" w:lineRule="exact"/>
        <w:ind w:firstLine="420" w:firstLineChars="200"/>
        <w:rPr>
          <w:rFonts w:hint="eastAsia" w:ascii="宋体" w:hAnsi="宋体" w:eastAsia="宋体" w:cs="Times New Roman"/>
          <w:bCs/>
          <w:color w:val="auto"/>
          <w:szCs w:val="21"/>
          <w:highlight w:val="none"/>
          <w:u w:val="single"/>
        </w:rPr>
      </w:pPr>
      <w:r>
        <w:rPr>
          <w:rFonts w:hint="eastAsia" w:ascii="宋体" w:hAnsi="宋体" w:eastAsia="宋体" w:cs="Times New Roman"/>
          <w:bCs/>
          <w:color w:val="auto"/>
          <w:szCs w:val="21"/>
          <w:highlight w:val="none"/>
        </w:rPr>
        <w:t>（2）履约验收时间：</w:t>
      </w:r>
      <w:r>
        <w:rPr>
          <w:rFonts w:hint="eastAsia" w:ascii="宋体" w:hAnsi="宋体" w:eastAsia="宋体" w:cs="Times New Roman"/>
          <w:bCs/>
          <w:color w:val="auto"/>
          <w:szCs w:val="21"/>
          <w:highlight w:val="none"/>
          <w:u w:val="single"/>
        </w:rPr>
        <w:t>（计划于何时验收/供应商提出验收申请之日起</w:t>
      </w:r>
      <w:r>
        <w:rPr>
          <w:rFonts w:hint="eastAsia" w:ascii="宋体" w:hAnsi="宋体" w:eastAsia="宋体" w:cs="Times New Roman"/>
          <w:bCs/>
          <w:color w:val="auto"/>
          <w:szCs w:val="21"/>
          <w:highlight w:val="none"/>
          <w:u w:val="single"/>
          <w:lang w:val="en-US" w:eastAsia="zh-CN"/>
        </w:rPr>
        <w:t>7</w:t>
      </w:r>
      <w:r>
        <w:rPr>
          <w:rFonts w:hint="eastAsia" w:ascii="宋体" w:hAnsi="宋体" w:eastAsia="宋体" w:cs="Times New Roman"/>
          <w:bCs/>
          <w:color w:val="auto"/>
          <w:szCs w:val="21"/>
          <w:highlight w:val="none"/>
          <w:u w:val="single"/>
        </w:rPr>
        <w:t>日内组织验收）</w:t>
      </w:r>
      <w:r>
        <w:rPr>
          <w:rFonts w:hint="eastAsia" w:ascii="宋体" w:hAnsi="宋体" w:eastAsia="宋体" w:cs="Times New Roman"/>
          <w:bCs/>
          <w:color w:val="auto"/>
          <w:szCs w:val="21"/>
          <w:highlight w:val="none"/>
          <w:u w:val="single"/>
          <w:lang w:val="en-US" w:eastAsia="zh-CN"/>
        </w:rPr>
        <w:t xml:space="preserve"> </w:t>
      </w:r>
    </w:p>
    <w:p w14:paraId="0CA9A18D">
      <w:pPr>
        <w:adjustRightInd w:val="0"/>
        <w:snapToGrid w:val="0"/>
        <w:spacing w:before="0" w:beforeLines="0" w:line="400" w:lineRule="exact"/>
        <w:ind w:firstLine="420" w:firstLineChars="200"/>
        <w:rPr>
          <w:rFonts w:hint="eastAsia" w:ascii="宋体" w:hAnsi="宋体" w:eastAsia="宋体" w:cs="Times New Roman"/>
          <w:bCs/>
          <w:color w:val="auto"/>
          <w:szCs w:val="21"/>
          <w:highlight w:val="none"/>
        </w:rPr>
      </w:pPr>
      <w:r>
        <w:rPr>
          <w:rFonts w:hint="eastAsia" w:ascii="宋体" w:hAnsi="宋体" w:eastAsia="宋体" w:cs="Times New Roman"/>
          <w:bCs/>
          <w:color w:val="auto"/>
          <w:szCs w:val="21"/>
          <w:highlight w:val="none"/>
        </w:rPr>
        <w:t>（3）履约验收方式：</w:t>
      </w:r>
      <w:r>
        <w:rPr>
          <w:rFonts w:hint="eastAsia" w:ascii="宋体" w:hAnsi="宋体" w:eastAsia="宋体" w:cs="宋体"/>
          <w:color w:val="auto"/>
          <w:sz w:val="21"/>
          <w:szCs w:val="21"/>
          <w:highlight w:val="none"/>
        </w:rPr>
        <w:sym w:font="Wingdings" w:char="00FE"/>
      </w:r>
      <w:r>
        <w:rPr>
          <w:rFonts w:hint="eastAsia" w:ascii="宋体" w:hAnsi="宋体" w:eastAsia="宋体" w:cs="Times New Roman"/>
          <w:bCs/>
          <w:color w:val="auto"/>
          <w:szCs w:val="21"/>
          <w:highlight w:val="none"/>
        </w:rPr>
        <w:t xml:space="preserve">一次性验收         </w:t>
      </w:r>
    </w:p>
    <w:p w14:paraId="4E3689A2">
      <w:pPr>
        <w:adjustRightInd w:val="0"/>
        <w:snapToGrid w:val="0"/>
        <w:spacing w:before="0" w:beforeLines="0" w:line="400" w:lineRule="exact"/>
        <w:ind w:firstLine="0" w:firstLineChars="0"/>
        <w:rPr>
          <w:rFonts w:hint="eastAsia" w:ascii="宋体" w:hAnsi="宋体" w:eastAsia="宋体" w:cs="Times New Roman"/>
          <w:bCs/>
          <w:color w:val="auto"/>
          <w:szCs w:val="21"/>
          <w:highlight w:val="none"/>
          <w:lang w:val="en-US" w:eastAsia="zh-CN"/>
        </w:rPr>
      </w:pPr>
      <w:r>
        <w:rPr>
          <w:rFonts w:hint="eastAsia" w:ascii="宋体" w:hAnsi="宋体" w:eastAsia="宋体" w:cs="Times New Roman"/>
          <w:bCs/>
          <w:color w:val="auto"/>
          <w:szCs w:val="21"/>
          <w:highlight w:val="none"/>
          <w:lang w:val="en-US" w:eastAsia="zh-CN"/>
        </w:rPr>
        <w:t xml:space="preserve">                       </w:t>
      </w:r>
      <w:r>
        <w:rPr>
          <w:rFonts w:hint="eastAsia" w:ascii="宋体" w:hAnsi="宋体" w:eastAsia="宋体" w:cs="宋体"/>
          <w:color w:val="auto"/>
          <w:sz w:val="21"/>
          <w:szCs w:val="21"/>
          <w:highlight w:val="none"/>
        </w:rPr>
        <w:sym w:font="Wingdings" w:char="00A8"/>
      </w:r>
      <w:r>
        <w:rPr>
          <w:rFonts w:hint="eastAsia" w:ascii="宋体" w:hAnsi="宋体" w:eastAsia="宋体" w:cs="Times New Roman"/>
          <w:bCs/>
          <w:color w:val="auto"/>
          <w:szCs w:val="21"/>
          <w:highlight w:val="none"/>
        </w:rPr>
        <w:t>分期/分项验收</w:t>
      </w:r>
      <w:r>
        <w:rPr>
          <w:rFonts w:hint="eastAsia" w:ascii="宋体" w:hAnsi="宋体" w:eastAsia="宋体" w:cs="Times New Roman"/>
          <w:bCs/>
          <w:color w:val="auto"/>
          <w:szCs w:val="21"/>
          <w:highlight w:val="none"/>
          <w:lang w:eastAsia="zh-CN"/>
        </w:rPr>
        <w:t>：</w:t>
      </w:r>
      <w:r>
        <w:rPr>
          <w:rFonts w:hint="eastAsia" w:ascii="宋体" w:hAnsi="宋体" w:eastAsia="宋体" w:cs="Times New Roman"/>
          <w:bCs/>
          <w:color w:val="auto"/>
          <w:szCs w:val="21"/>
          <w:highlight w:val="none"/>
          <w:u w:val="single"/>
        </w:rPr>
        <w:t xml:space="preserve"> </w:t>
      </w:r>
      <w:r>
        <w:rPr>
          <w:rFonts w:hint="eastAsia" w:ascii="宋体" w:hAnsi="宋体" w:eastAsia="宋体" w:cs="Times New Roman"/>
          <w:bCs/>
          <w:color w:val="auto"/>
          <w:szCs w:val="21"/>
          <w:highlight w:val="none"/>
          <w:u w:val="single"/>
          <w:lang w:eastAsia="zh-CN"/>
        </w:rPr>
        <w:t>（应明确分期</w:t>
      </w:r>
      <w:r>
        <w:rPr>
          <w:rFonts w:hint="default" w:ascii="宋体" w:hAnsi="宋体" w:eastAsia="宋体" w:cs="Times New Roman"/>
          <w:bCs/>
          <w:color w:val="auto"/>
          <w:szCs w:val="21"/>
          <w:highlight w:val="none"/>
          <w:u w:val="single"/>
          <w:lang w:val="en" w:eastAsia="zh-CN"/>
        </w:rPr>
        <w:t>/</w:t>
      </w:r>
      <w:r>
        <w:rPr>
          <w:rFonts w:hint="eastAsia" w:ascii="宋体" w:hAnsi="宋体" w:eastAsia="宋体" w:cs="Times New Roman"/>
          <w:bCs/>
          <w:color w:val="auto"/>
          <w:szCs w:val="21"/>
          <w:highlight w:val="none"/>
          <w:u w:val="single"/>
          <w:lang w:val="en" w:eastAsia="zh-CN"/>
        </w:rPr>
        <w:t>分项验收的工作安排</w:t>
      </w:r>
      <w:r>
        <w:rPr>
          <w:rFonts w:hint="eastAsia" w:ascii="宋体" w:hAnsi="宋体" w:eastAsia="宋体" w:cs="Times New Roman"/>
          <w:bCs/>
          <w:color w:val="auto"/>
          <w:szCs w:val="21"/>
          <w:highlight w:val="none"/>
          <w:u w:val="single"/>
          <w:lang w:eastAsia="zh-CN"/>
        </w:rPr>
        <w:t>）</w:t>
      </w:r>
      <w:r>
        <w:rPr>
          <w:rFonts w:hint="eastAsia" w:ascii="宋体" w:hAnsi="宋体" w:eastAsia="宋体" w:cs="Times New Roman"/>
          <w:bCs/>
          <w:color w:val="auto"/>
          <w:szCs w:val="21"/>
          <w:highlight w:val="none"/>
          <w:u w:val="single"/>
        </w:rPr>
        <w:t xml:space="preserve"> </w:t>
      </w:r>
    </w:p>
    <w:p w14:paraId="08C18156">
      <w:pPr>
        <w:adjustRightInd w:val="0"/>
        <w:snapToGrid w:val="0"/>
        <w:spacing w:before="0" w:beforeLines="0" w:line="400" w:lineRule="exact"/>
        <w:ind w:firstLine="420" w:firstLineChars="200"/>
        <w:rPr>
          <w:color w:val="auto"/>
          <w:highlight w:val="none"/>
        </w:rPr>
      </w:pPr>
      <w:r>
        <w:rPr>
          <w:rFonts w:hint="eastAsia" w:ascii="宋体" w:hAnsi="宋体" w:eastAsia="宋体" w:cs="Times New Roman"/>
          <w:bCs/>
          <w:color w:val="auto"/>
          <w:szCs w:val="21"/>
          <w:highlight w:val="none"/>
        </w:rPr>
        <w:t>（4）履约验收程序：</w:t>
      </w:r>
      <w:r>
        <w:rPr>
          <w:rFonts w:hint="eastAsia" w:ascii="宋体" w:hAnsi="宋体" w:eastAsia="宋体" w:cs="Times New Roman"/>
          <w:bCs/>
          <w:color w:val="auto"/>
          <w:kern w:val="2"/>
          <w:sz w:val="21"/>
          <w:szCs w:val="21"/>
          <w:highlight w:val="none"/>
          <w:u w:val="single"/>
          <w:lang w:val="en-US" w:eastAsia="zh-CN" w:bidi="ar-SA"/>
        </w:rPr>
        <w:t>全部设备供货齐全、安装调试培训完成后，乙方提出申请，甲方组成验收工作组,由采购人领导牵头,财务、审计、监察、资产管理、技术、专家等组成，组织验收。乙方派代表和设备技术人员共同出席。</w:t>
      </w:r>
    </w:p>
    <w:p w14:paraId="479B514B">
      <w:pPr>
        <w:adjustRightInd w:val="0"/>
        <w:snapToGrid w:val="0"/>
        <w:spacing w:before="0" w:beforeLines="0" w:line="400" w:lineRule="exact"/>
        <w:ind w:firstLine="420" w:firstLineChars="200"/>
        <w:rPr>
          <w:rFonts w:ascii="宋体" w:hAnsi="宋体" w:eastAsia="宋体" w:cs="Times New Roman"/>
          <w:bCs/>
          <w:color w:val="auto"/>
          <w:szCs w:val="21"/>
          <w:highlight w:val="none"/>
          <w:u w:val="single"/>
        </w:rPr>
      </w:pPr>
      <w:r>
        <w:rPr>
          <w:rFonts w:hint="eastAsia" w:ascii="宋体" w:hAnsi="宋体" w:eastAsia="宋体" w:cs="Times New Roman"/>
          <w:bCs/>
          <w:color w:val="auto"/>
          <w:szCs w:val="21"/>
          <w:highlight w:val="none"/>
        </w:rPr>
        <w:t>（5）履约验收的内容：</w:t>
      </w:r>
      <w:r>
        <w:rPr>
          <w:rFonts w:hint="eastAsia" w:ascii="宋体" w:hAnsi="宋体" w:eastAsia="宋体" w:cs="Times New Roman"/>
          <w:bCs/>
          <w:color w:val="auto"/>
          <w:szCs w:val="21"/>
          <w:highlight w:val="none"/>
          <w:u w:val="single"/>
        </w:rPr>
        <w:t xml:space="preserve"> 离子色谱仪（1套）、全自动红外测油仪（1套）、便携式气相分子吸收光谱仪（1套）、双光束紫外可见分光光度计（1套）、紫外可见分光光度计（1套）、干燥箱（1套）、便携式抽滤装置（1套）、氟离子计（1套）、立式高压蒸汽灭菌器（2套）、CODcr回流消解仪（2套）、便携式浊度计（2套）、便携式pH测定仪（2套）、便携式溶解氧测定仪（2套）、便携式电导率测定仪（2套），</w:t>
      </w:r>
      <w:r>
        <w:rPr>
          <w:rFonts w:hint="eastAsia" w:ascii="宋体" w:hAnsi="宋体"/>
          <w:bCs/>
          <w:color w:val="auto"/>
          <w:szCs w:val="21"/>
          <w:highlight w:val="none"/>
          <w:u w:val="single"/>
        </w:rPr>
        <w:t>包含设备品牌、型号、参数、配置、安装、调试、试运行及</w:t>
      </w:r>
      <w:r>
        <w:rPr>
          <w:rFonts w:hint="eastAsia" w:ascii="宋体" w:hAnsi="宋体"/>
          <w:bCs/>
          <w:color w:val="auto"/>
          <w:szCs w:val="21"/>
          <w:highlight w:val="none"/>
          <w:u w:val="single"/>
          <w:lang w:val="en-US" w:eastAsia="zh-CN"/>
        </w:rPr>
        <w:t>售后</w:t>
      </w:r>
      <w:r>
        <w:rPr>
          <w:rFonts w:hint="eastAsia" w:ascii="宋体" w:hAnsi="宋体"/>
          <w:bCs/>
          <w:color w:val="auto"/>
          <w:szCs w:val="21"/>
          <w:highlight w:val="none"/>
          <w:u w:val="single"/>
        </w:rPr>
        <w:t>等</w:t>
      </w:r>
    </w:p>
    <w:p w14:paraId="78CBD28C">
      <w:pPr>
        <w:adjustRightInd w:val="0"/>
        <w:snapToGrid w:val="0"/>
        <w:spacing w:before="0" w:beforeLines="0" w:line="400" w:lineRule="exact"/>
        <w:ind w:firstLine="420" w:firstLineChars="200"/>
        <w:rPr>
          <w:rFonts w:hint="eastAsia" w:ascii="宋体" w:hAnsi="宋体" w:eastAsia="宋体" w:cs="Times New Roman"/>
          <w:bCs/>
          <w:color w:val="auto"/>
          <w:szCs w:val="21"/>
          <w:highlight w:val="none"/>
          <w:u w:val="single"/>
        </w:rPr>
      </w:pPr>
      <w:r>
        <w:rPr>
          <w:rFonts w:hint="eastAsia" w:ascii="宋体" w:hAnsi="宋体" w:eastAsia="宋体" w:cs="Times New Roman"/>
          <w:bCs/>
          <w:color w:val="auto"/>
          <w:szCs w:val="21"/>
          <w:highlight w:val="none"/>
        </w:rPr>
        <w:t>（6）履约验收标准：</w:t>
      </w:r>
      <w:r>
        <w:rPr>
          <w:rFonts w:hint="eastAsia" w:ascii="宋体" w:hAnsi="宋体" w:eastAsia="宋体" w:cs="Times New Roman"/>
          <w:bCs/>
          <w:color w:val="auto"/>
          <w:szCs w:val="21"/>
          <w:highlight w:val="none"/>
          <w:u w:val="single"/>
        </w:rPr>
        <w:t xml:space="preserve"> 按招标文件、投标文件</w:t>
      </w:r>
      <w:r>
        <w:rPr>
          <w:rFonts w:hint="eastAsia" w:ascii="宋体" w:hAnsi="宋体" w:eastAsia="宋体" w:cs="Times New Roman"/>
          <w:bCs/>
          <w:color w:val="auto"/>
          <w:szCs w:val="21"/>
          <w:highlight w:val="none"/>
          <w:u w:val="single"/>
          <w:lang w:eastAsia="zh-CN"/>
        </w:rPr>
        <w:t>、</w:t>
      </w:r>
      <w:r>
        <w:rPr>
          <w:rFonts w:hint="eastAsia" w:ascii="宋体" w:hAnsi="宋体" w:eastAsia="宋体" w:cs="Times New Roman"/>
          <w:bCs/>
          <w:color w:val="auto"/>
          <w:szCs w:val="21"/>
          <w:highlight w:val="none"/>
          <w:u w:val="single"/>
        </w:rPr>
        <w:t>采购合同</w:t>
      </w:r>
      <w:r>
        <w:rPr>
          <w:rFonts w:hint="eastAsia" w:ascii="宋体" w:hAnsi="宋体" w:eastAsia="宋体" w:cs="Times New Roman"/>
          <w:bCs/>
          <w:color w:val="auto"/>
          <w:szCs w:val="21"/>
          <w:highlight w:val="none"/>
          <w:u w:val="single"/>
          <w:lang w:val="en-US" w:eastAsia="zh-CN"/>
        </w:rPr>
        <w:t>约定，以及国家、地方、行业相关标准执行</w:t>
      </w:r>
      <w:r>
        <w:rPr>
          <w:rFonts w:hint="eastAsia" w:ascii="宋体" w:hAnsi="宋体" w:eastAsia="宋体" w:cs="Times New Roman"/>
          <w:bCs/>
          <w:color w:val="auto"/>
          <w:szCs w:val="21"/>
          <w:highlight w:val="none"/>
          <w:u w:val="single"/>
        </w:rPr>
        <w:t xml:space="preserve"> </w:t>
      </w:r>
    </w:p>
    <w:p w14:paraId="2CAEFE81">
      <w:pPr>
        <w:autoSpaceDE w:val="0"/>
        <w:autoSpaceDN w:val="0"/>
        <w:adjustRightInd w:val="0"/>
        <w:spacing w:beforeLines="0" w:line="400" w:lineRule="exact"/>
        <w:ind w:firstLine="420" w:firstLineChars="200"/>
        <w:rPr>
          <w:rFonts w:hint="eastAsia" w:ascii="宋体" w:hAnsi="宋体" w:eastAsia="宋体" w:cs="宋体"/>
          <w:color w:val="auto"/>
          <w:sz w:val="21"/>
          <w:szCs w:val="21"/>
          <w:highlight w:val="none"/>
          <w:lang w:val="en-US" w:eastAsia="zh-CN" w:bidi="ar-SA"/>
        </w:rPr>
      </w:pPr>
      <w:r>
        <w:rPr>
          <w:rFonts w:hint="eastAsia" w:ascii="宋体" w:hAnsi="宋体" w:eastAsia="宋体" w:cs="宋体"/>
          <w:bCs/>
          <w:color w:val="auto"/>
          <w:sz w:val="21"/>
          <w:szCs w:val="21"/>
          <w:highlight w:val="none"/>
          <w:u w:val="none"/>
          <w:lang w:val="en-US" w:eastAsia="zh-CN" w:bidi="ar-SA"/>
        </w:rPr>
        <w:t>（7）是否以采购活动中供应商提供的样品作为参考：</w:t>
      </w:r>
      <w:r>
        <w:rPr>
          <w:rFonts w:hint="eastAsia" w:ascii="宋体" w:hAnsi="宋体" w:eastAsia="宋体" w:cs="宋体"/>
          <w:color w:val="auto"/>
          <w:sz w:val="21"/>
          <w:szCs w:val="21"/>
          <w:highlight w:val="none"/>
          <w:lang w:val="en-US" w:eastAsia="zh-CN" w:bidi="ar-SA"/>
        </w:rPr>
        <w:sym w:font="Wingdings" w:char="00A8"/>
      </w:r>
      <w:r>
        <w:rPr>
          <w:rFonts w:hint="eastAsia" w:ascii="宋体" w:hAnsi="宋体" w:eastAsia="宋体" w:cs="宋体"/>
          <w:bCs/>
          <w:color w:val="auto"/>
          <w:sz w:val="21"/>
          <w:szCs w:val="21"/>
          <w:highlight w:val="none"/>
          <w:lang w:val="en-US" w:eastAsia="zh-CN" w:bidi="ar-SA"/>
        </w:rPr>
        <w:t xml:space="preserve">是  </w:t>
      </w:r>
      <w:r>
        <w:rPr>
          <w:rFonts w:hint="eastAsia" w:ascii="宋体" w:hAnsi="宋体" w:eastAsia="宋体" w:cs="宋体"/>
          <w:color w:val="auto"/>
          <w:sz w:val="21"/>
          <w:szCs w:val="21"/>
          <w:highlight w:val="none"/>
          <w:lang w:val="en-US" w:eastAsia="zh-CN" w:bidi="ar-SA"/>
        </w:rPr>
        <w:sym w:font="Wingdings" w:char="00FE"/>
      </w:r>
      <w:r>
        <w:rPr>
          <w:rFonts w:hint="eastAsia" w:ascii="宋体" w:hAnsi="宋体" w:eastAsia="宋体" w:cs="宋体"/>
          <w:bCs/>
          <w:color w:val="auto"/>
          <w:sz w:val="21"/>
          <w:szCs w:val="21"/>
          <w:highlight w:val="none"/>
          <w:lang w:val="en-US" w:eastAsia="zh-CN" w:bidi="ar-SA"/>
        </w:rPr>
        <w:t>否</w:t>
      </w:r>
    </w:p>
    <w:p w14:paraId="67C527B6">
      <w:pPr>
        <w:adjustRightInd w:val="0"/>
        <w:snapToGrid w:val="0"/>
        <w:spacing w:before="0" w:beforeLines="0" w:line="400" w:lineRule="exact"/>
        <w:ind w:firstLine="420" w:firstLineChars="200"/>
        <w:rPr>
          <w:rFonts w:hint="eastAsia" w:ascii="宋体" w:hAnsi="宋体" w:eastAsia="宋体" w:cs="宋体"/>
          <w:bCs/>
          <w:color w:val="auto"/>
          <w:szCs w:val="21"/>
          <w:highlight w:val="none"/>
          <w:u w:val="single"/>
        </w:rPr>
      </w:pPr>
      <w:r>
        <w:rPr>
          <w:rFonts w:hint="eastAsia" w:ascii="宋体" w:hAnsi="宋体" w:eastAsia="宋体" w:cs="宋体"/>
          <w:bCs/>
          <w:color w:val="auto"/>
          <w:szCs w:val="21"/>
          <w:highlight w:val="none"/>
        </w:rPr>
        <w:t>（8）履约验收其他事项：</w:t>
      </w:r>
      <w:r>
        <w:rPr>
          <w:rFonts w:hint="eastAsia" w:ascii="宋体" w:hAnsi="宋体" w:eastAsia="宋体" w:cs="宋体"/>
          <w:bCs/>
          <w:color w:val="auto"/>
          <w:szCs w:val="21"/>
          <w:highlight w:val="none"/>
          <w:u w:val="single"/>
        </w:rPr>
        <w:t xml:space="preserve">      </w:t>
      </w:r>
      <w:r>
        <w:rPr>
          <w:rFonts w:hint="eastAsia" w:ascii="宋体" w:hAnsi="宋体" w:eastAsia="宋体" w:cs="宋体"/>
          <w:bCs/>
          <w:i w:val="0"/>
          <w:iCs w:val="0"/>
          <w:color w:val="auto"/>
          <w:szCs w:val="21"/>
          <w:highlight w:val="none"/>
          <w:u w:val="single"/>
        </w:rPr>
        <w:t>（产权过户登记等）</w:t>
      </w:r>
      <w:r>
        <w:rPr>
          <w:rFonts w:hint="eastAsia" w:ascii="宋体" w:hAnsi="宋体" w:eastAsia="宋体" w:cs="宋体"/>
          <w:bCs/>
          <w:color w:val="auto"/>
          <w:szCs w:val="21"/>
          <w:highlight w:val="none"/>
          <w:u w:val="single"/>
        </w:rPr>
        <w:t xml:space="preserve"> </w:t>
      </w:r>
      <w:r>
        <w:rPr>
          <w:rFonts w:hint="eastAsia" w:ascii="宋体" w:hAnsi="宋体" w:eastAsia="宋体" w:cs="宋体"/>
          <w:bCs/>
          <w:color w:val="auto"/>
          <w:szCs w:val="21"/>
          <w:highlight w:val="none"/>
          <w:u w:val="single"/>
          <w:lang w:val="en-US" w:eastAsia="zh-CN"/>
        </w:rPr>
        <w:t>/</w:t>
      </w:r>
      <w:r>
        <w:rPr>
          <w:rFonts w:hint="eastAsia" w:ascii="宋体" w:hAnsi="宋体" w:eastAsia="宋体" w:cs="宋体"/>
          <w:bCs/>
          <w:color w:val="auto"/>
          <w:szCs w:val="21"/>
          <w:highlight w:val="none"/>
          <w:u w:val="single"/>
        </w:rPr>
        <w:t xml:space="preserve">         </w:t>
      </w:r>
    </w:p>
    <w:p w14:paraId="40EA4A5B">
      <w:pPr>
        <w:numPr>
          <w:ilvl w:val="0"/>
          <w:numId w:val="24"/>
        </w:numPr>
        <w:adjustRightInd w:val="0"/>
        <w:snapToGrid w:val="0"/>
        <w:spacing w:before="0" w:beforeLines="0" w:line="400" w:lineRule="exact"/>
        <w:ind w:firstLine="422" w:firstLineChars="200"/>
        <w:rPr>
          <w:rFonts w:hint="eastAsia" w:ascii="宋体" w:hAnsi="宋体" w:eastAsia="宋体" w:cs="Times New Roman"/>
          <w:b/>
          <w:color w:val="auto"/>
          <w:szCs w:val="21"/>
          <w:highlight w:val="none"/>
        </w:rPr>
      </w:pPr>
      <w:r>
        <w:rPr>
          <w:rFonts w:hint="eastAsia" w:ascii="宋体" w:hAnsi="宋体" w:eastAsia="宋体" w:cs="Times New Roman"/>
          <w:b/>
          <w:color w:val="auto"/>
          <w:szCs w:val="21"/>
          <w:highlight w:val="none"/>
        </w:rPr>
        <w:t>组成合同的文件</w:t>
      </w:r>
    </w:p>
    <w:p w14:paraId="15FBF71E">
      <w:pPr>
        <w:adjustRightInd w:val="0"/>
        <w:snapToGrid w:val="0"/>
        <w:spacing w:before="0" w:beforeLines="0" w:line="400" w:lineRule="exact"/>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本协议书与下列文件一起构成合同文件，如下述文件之间有任何抵触、矛盾或歧义，应按以下顺序解释：</w:t>
      </w:r>
    </w:p>
    <w:p w14:paraId="1675238C">
      <w:pPr>
        <w:adjustRightInd w:val="0"/>
        <w:snapToGrid w:val="0"/>
        <w:spacing w:before="0" w:beforeLines="0" w:line="400" w:lineRule="exact"/>
        <w:ind w:firstLine="420" w:firstLineChars="200"/>
        <w:rPr>
          <w:rFonts w:hint="eastAsia" w:ascii="宋体" w:hAnsi="宋体" w:eastAsia="宋体" w:cs="Times New Roman"/>
          <w:color w:val="auto"/>
          <w:szCs w:val="21"/>
          <w:highlight w:val="none"/>
          <w:lang w:eastAsia="zh-CN"/>
        </w:rPr>
      </w:pPr>
      <w:r>
        <w:rPr>
          <w:rFonts w:hint="eastAsia" w:ascii="宋体" w:hAnsi="宋体" w:eastAsia="宋体" w:cs="Times New Roman"/>
          <w:color w:val="auto"/>
          <w:szCs w:val="21"/>
          <w:highlight w:val="none"/>
        </w:rPr>
        <w:t>（1）</w:t>
      </w:r>
      <w:r>
        <w:rPr>
          <w:rFonts w:hint="eastAsia" w:ascii="宋体" w:hAnsi="宋体" w:eastAsia="宋体" w:cs="Times New Roman"/>
          <w:color w:val="auto"/>
          <w:szCs w:val="21"/>
          <w:highlight w:val="none"/>
          <w:lang w:eastAsia="zh-CN"/>
        </w:rPr>
        <w:t>政府采购</w:t>
      </w:r>
      <w:r>
        <w:rPr>
          <w:rFonts w:hint="eastAsia" w:ascii="宋体" w:hAnsi="宋体" w:eastAsia="宋体" w:cs="Times New Roman"/>
          <w:color w:val="auto"/>
          <w:szCs w:val="21"/>
          <w:highlight w:val="none"/>
        </w:rPr>
        <w:t>合同协议书及其变更、补充</w:t>
      </w:r>
      <w:r>
        <w:rPr>
          <w:rFonts w:hint="eastAsia" w:ascii="宋体" w:hAnsi="宋体" w:eastAsia="宋体" w:cs="Times New Roman"/>
          <w:color w:val="auto"/>
          <w:szCs w:val="21"/>
          <w:highlight w:val="none"/>
          <w:lang w:eastAsia="zh-CN"/>
        </w:rPr>
        <w:t>协议</w:t>
      </w:r>
    </w:p>
    <w:p w14:paraId="2AC97D94">
      <w:pPr>
        <w:adjustRightInd w:val="0"/>
        <w:snapToGrid w:val="0"/>
        <w:spacing w:before="0" w:beforeLines="0" w:line="400" w:lineRule="exact"/>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w:t>
      </w:r>
      <w:r>
        <w:rPr>
          <w:rFonts w:hint="eastAsia" w:ascii="宋体" w:hAnsi="宋体" w:eastAsia="宋体" w:cs="Times New Roman"/>
          <w:color w:val="auto"/>
          <w:szCs w:val="21"/>
          <w:highlight w:val="none"/>
          <w:lang w:val="en-US" w:eastAsia="zh-CN"/>
        </w:rPr>
        <w:t>2</w:t>
      </w:r>
      <w:r>
        <w:rPr>
          <w:rFonts w:hint="eastAsia" w:ascii="宋体" w:hAnsi="宋体" w:eastAsia="宋体" w:cs="Times New Roman"/>
          <w:color w:val="auto"/>
          <w:szCs w:val="21"/>
          <w:highlight w:val="none"/>
        </w:rPr>
        <w:t>）政府采购合同专用条款</w:t>
      </w:r>
    </w:p>
    <w:p w14:paraId="23896E2C">
      <w:pPr>
        <w:adjustRightInd w:val="0"/>
        <w:snapToGrid w:val="0"/>
        <w:spacing w:before="0" w:beforeLines="0" w:line="400" w:lineRule="exact"/>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w:t>
      </w:r>
      <w:r>
        <w:rPr>
          <w:rFonts w:hint="eastAsia" w:ascii="宋体" w:hAnsi="宋体" w:eastAsia="宋体" w:cs="Times New Roman"/>
          <w:color w:val="auto"/>
          <w:szCs w:val="21"/>
          <w:highlight w:val="none"/>
          <w:lang w:val="en-US" w:eastAsia="zh-CN"/>
        </w:rPr>
        <w:t>3</w:t>
      </w:r>
      <w:r>
        <w:rPr>
          <w:rFonts w:hint="eastAsia" w:ascii="宋体" w:hAnsi="宋体" w:eastAsia="宋体" w:cs="Times New Roman"/>
          <w:color w:val="auto"/>
          <w:szCs w:val="21"/>
          <w:highlight w:val="none"/>
        </w:rPr>
        <w:t>）政府采购合同通用条款</w:t>
      </w:r>
    </w:p>
    <w:p w14:paraId="597082D5">
      <w:pPr>
        <w:adjustRightInd w:val="0"/>
        <w:snapToGrid w:val="0"/>
        <w:spacing w:before="0" w:beforeLines="0" w:line="400" w:lineRule="exact"/>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w:t>
      </w:r>
      <w:r>
        <w:rPr>
          <w:rFonts w:hint="eastAsia" w:ascii="宋体" w:hAnsi="宋体" w:eastAsia="宋体" w:cs="Times New Roman"/>
          <w:color w:val="auto"/>
          <w:szCs w:val="21"/>
          <w:highlight w:val="none"/>
          <w:lang w:val="en-US" w:eastAsia="zh-CN"/>
        </w:rPr>
        <w:t>4</w:t>
      </w:r>
      <w:r>
        <w:rPr>
          <w:rFonts w:hint="eastAsia" w:ascii="宋体" w:hAnsi="宋体" w:eastAsia="宋体" w:cs="Times New Roman"/>
          <w:color w:val="auto"/>
          <w:szCs w:val="21"/>
          <w:highlight w:val="none"/>
        </w:rPr>
        <w:t>）中标</w:t>
      </w:r>
      <w:r>
        <w:rPr>
          <w:rFonts w:hint="eastAsia" w:ascii="宋体" w:hAnsi="宋体" w:eastAsia="宋体" w:cs="Times New Roman"/>
          <w:color w:val="auto"/>
          <w:szCs w:val="21"/>
          <w:highlight w:val="none"/>
          <w:lang w:eastAsia="zh-CN"/>
        </w:rPr>
        <w:t>（成交）</w:t>
      </w:r>
      <w:r>
        <w:rPr>
          <w:rFonts w:hint="eastAsia" w:ascii="宋体" w:hAnsi="宋体" w:eastAsia="宋体" w:cs="Times New Roman"/>
          <w:color w:val="auto"/>
          <w:szCs w:val="21"/>
          <w:highlight w:val="none"/>
        </w:rPr>
        <w:t>通知书</w:t>
      </w:r>
    </w:p>
    <w:p w14:paraId="4473F08C">
      <w:pPr>
        <w:adjustRightInd w:val="0"/>
        <w:snapToGrid w:val="0"/>
        <w:spacing w:before="0" w:beforeLines="0" w:line="400" w:lineRule="exact"/>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w:t>
      </w:r>
      <w:r>
        <w:rPr>
          <w:rFonts w:hint="eastAsia" w:ascii="宋体" w:hAnsi="宋体" w:eastAsia="宋体" w:cs="Times New Roman"/>
          <w:color w:val="auto"/>
          <w:szCs w:val="21"/>
          <w:highlight w:val="none"/>
          <w:lang w:val="en-US" w:eastAsia="zh-CN"/>
        </w:rPr>
        <w:t>5</w:t>
      </w:r>
      <w:r>
        <w:rPr>
          <w:rFonts w:hint="eastAsia" w:ascii="宋体" w:hAnsi="宋体" w:eastAsia="宋体" w:cs="Times New Roman"/>
          <w:color w:val="auto"/>
          <w:szCs w:val="21"/>
          <w:highlight w:val="none"/>
        </w:rPr>
        <w:t>）投标（响应）文件</w:t>
      </w:r>
    </w:p>
    <w:p w14:paraId="4B63954A">
      <w:pPr>
        <w:adjustRightInd w:val="0"/>
        <w:snapToGrid w:val="0"/>
        <w:spacing w:before="0" w:beforeLines="0" w:line="400" w:lineRule="exact"/>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（6）采购文件</w:t>
      </w:r>
    </w:p>
    <w:p w14:paraId="41A5C09D">
      <w:pPr>
        <w:adjustRightInd w:val="0"/>
        <w:snapToGrid w:val="0"/>
        <w:spacing w:before="0" w:beforeLines="0" w:line="400" w:lineRule="exact"/>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（7）有关技术文件，图纸</w:t>
      </w:r>
    </w:p>
    <w:p w14:paraId="519423E6">
      <w:pPr>
        <w:autoSpaceDE w:val="0"/>
        <w:autoSpaceDN w:val="0"/>
        <w:adjustRightInd w:val="0"/>
        <w:spacing w:beforeLines="0" w:line="400" w:lineRule="exact"/>
        <w:ind w:firstLine="420" w:firstLineChars="200"/>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bidi="ar-SA"/>
        </w:rPr>
        <w:t>（8）</w:t>
      </w:r>
      <w:r>
        <w:rPr>
          <w:rFonts w:hint="eastAsia" w:ascii="宋体" w:hAnsi="宋体" w:eastAsia="宋体" w:cs="宋体"/>
          <w:bCs w:val="0"/>
          <w:color w:val="auto"/>
          <w:kern w:val="2"/>
          <w:sz w:val="21"/>
          <w:szCs w:val="21"/>
          <w:highlight w:val="none"/>
          <w:lang w:val="en-US" w:eastAsia="zh-CN" w:bidi="ar-SA"/>
        </w:rPr>
        <w:t>国家法律、行政法规和规章制度规定或合同约定的作为合同组成部分的其他文件</w:t>
      </w:r>
    </w:p>
    <w:p w14:paraId="06292EBD">
      <w:pPr>
        <w:numPr>
          <w:ilvl w:val="0"/>
          <w:numId w:val="24"/>
        </w:numPr>
        <w:adjustRightInd w:val="0"/>
        <w:snapToGrid w:val="0"/>
        <w:spacing w:before="0" w:beforeLines="0" w:line="400" w:lineRule="exact"/>
        <w:ind w:firstLine="422" w:firstLineChars="200"/>
        <w:rPr>
          <w:rFonts w:hint="eastAsia" w:ascii="宋体" w:hAnsi="宋体" w:eastAsia="宋体" w:cs="Times New Roman"/>
          <w:b/>
          <w:color w:val="auto"/>
          <w:szCs w:val="21"/>
          <w:highlight w:val="none"/>
        </w:rPr>
      </w:pPr>
      <w:r>
        <w:rPr>
          <w:rFonts w:hint="eastAsia" w:ascii="宋体" w:hAnsi="宋体" w:eastAsia="宋体" w:cs="Times New Roman"/>
          <w:b/>
          <w:color w:val="auto"/>
          <w:szCs w:val="21"/>
          <w:highlight w:val="none"/>
        </w:rPr>
        <w:t>合同生效</w:t>
      </w:r>
    </w:p>
    <w:p w14:paraId="0F3F9FDE">
      <w:pPr>
        <w:adjustRightInd w:val="0"/>
        <w:snapToGrid w:val="0"/>
        <w:spacing w:before="0" w:beforeLines="0" w:line="400" w:lineRule="exact"/>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本合同自</w:t>
      </w:r>
      <w:r>
        <w:rPr>
          <w:rFonts w:hint="eastAsia" w:ascii="宋体" w:hAnsi="宋体" w:eastAsia="宋体" w:cs="Times New Roman"/>
          <w:color w:val="auto"/>
          <w:szCs w:val="21"/>
          <w:highlight w:val="none"/>
          <w:u w:val="single"/>
        </w:rPr>
        <w:t xml:space="preserve">                             </w:t>
      </w:r>
      <w:r>
        <w:rPr>
          <w:rFonts w:hint="eastAsia" w:ascii="宋体" w:hAnsi="宋体" w:eastAsia="宋体" w:cs="Times New Roman"/>
          <w:color w:val="auto"/>
          <w:szCs w:val="21"/>
          <w:highlight w:val="none"/>
        </w:rPr>
        <w:t>生效。</w:t>
      </w:r>
    </w:p>
    <w:p w14:paraId="3C372028">
      <w:pPr>
        <w:numPr>
          <w:ilvl w:val="0"/>
          <w:numId w:val="24"/>
        </w:numPr>
        <w:adjustRightInd w:val="0"/>
        <w:snapToGrid w:val="0"/>
        <w:spacing w:before="0" w:beforeLines="0" w:line="400" w:lineRule="exact"/>
        <w:ind w:firstLine="422" w:firstLineChars="200"/>
        <w:rPr>
          <w:rFonts w:hint="eastAsia" w:ascii="宋体" w:hAnsi="宋体" w:eastAsia="宋体" w:cs="Times New Roman"/>
          <w:b/>
          <w:color w:val="auto"/>
          <w:szCs w:val="21"/>
          <w:highlight w:val="none"/>
        </w:rPr>
      </w:pPr>
      <w:r>
        <w:rPr>
          <w:rFonts w:hint="eastAsia" w:ascii="宋体" w:hAnsi="宋体" w:eastAsia="宋体" w:cs="Times New Roman"/>
          <w:b/>
          <w:color w:val="auto"/>
          <w:szCs w:val="21"/>
          <w:highlight w:val="none"/>
        </w:rPr>
        <w:t>合同份数</w:t>
      </w:r>
    </w:p>
    <w:p w14:paraId="57FD16FB">
      <w:pPr>
        <w:adjustRightInd w:val="0"/>
        <w:snapToGrid w:val="0"/>
        <w:spacing w:before="0" w:beforeLines="0" w:line="400" w:lineRule="exact"/>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本合同一式</w:t>
      </w:r>
      <w:r>
        <w:rPr>
          <w:rFonts w:hint="eastAsia" w:ascii="宋体" w:hAnsi="宋体" w:eastAsia="宋体" w:cs="Times New Roman"/>
          <w:color w:val="auto"/>
          <w:szCs w:val="21"/>
          <w:highlight w:val="none"/>
          <w:u w:val="single"/>
        </w:rPr>
        <w:t xml:space="preserve">  </w:t>
      </w:r>
      <w:r>
        <w:rPr>
          <w:rFonts w:hint="eastAsia" w:ascii="宋体" w:hAnsi="宋体" w:eastAsia="宋体" w:cs="Times New Roman"/>
          <w:color w:val="auto"/>
          <w:szCs w:val="21"/>
          <w:highlight w:val="none"/>
          <w:u w:val="single"/>
          <w:lang w:val="en-US" w:eastAsia="zh-CN"/>
        </w:rPr>
        <w:t>陆</w:t>
      </w:r>
      <w:r>
        <w:rPr>
          <w:rFonts w:hint="eastAsia" w:ascii="宋体" w:hAnsi="宋体" w:eastAsia="宋体" w:cs="Times New Roman"/>
          <w:color w:val="auto"/>
          <w:szCs w:val="21"/>
          <w:highlight w:val="none"/>
          <w:u w:val="single"/>
        </w:rPr>
        <w:t xml:space="preserve">  </w:t>
      </w:r>
      <w:r>
        <w:rPr>
          <w:rFonts w:hint="eastAsia" w:ascii="宋体" w:hAnsi="宋体" w:eastAsia="宋体" w:cs="Times New Roman"/>
          <w:color w:val="auto"/>
          <w:szCs w:val="21"/>
          <w:highlight w:val="none"/>
        </w:rPr>
        <w:t>份，</w:t>
      </w:r>
      <w:r>
        <w:rPr>
          <w:rFonts w:hint="eastAsia" w:ascii="宋体" w:hAnsi="宋体" w:eastAsia="宋体" w:cs="Times New Roman"/>
          <w:color w:val="auto"/>
          <w:szCs w:val="21"/>
          <w:highlight w:val="none"/>
          <w:lang w:eastAsia="zh-CN"/>
        </w:rPr>
        <w:t>甲方</w:t>
      </w:r>
      <w:r>
        <w:rPr>
          <w:rFonts w:hint="eastAsia" w:ascii="宋体" w:hAnsi="宋体" w:eastAsia="宋体" w:cs="Times New Roman"/>
          <w:color w:val="auto"/>
          <w:szCs w:val="21"/>
          <w:highlight w:val="none"/>
        </w:rPr>
        <w:t>执</w:t>
      </w:r>
      <w:r>
        <w:rPr>
          <w:rFonts w:hint="eastAsia" w:ascii="宋体" w:hAnsi="宋体" w:eastAsia="宋体" w:cs="Times New Roman"/>
          <w:color w:val="auto"/>
          <w:szCs w:val="21"/>
          <w:highlight w:val="none"/>
          <w:u w:val="single"/>
        </w:rPr>
        <w:t xml:space="preserve"> </w:t>
      </w:r>
      <w:r>
        <w:rPr>
          <w:rFonts w:hint="eastAsia" w:ascii="宋体" w:hAnsi="宋体" w:eastAsia="宋体" w:cs="Times New Roman"/>
          <w:color w:val="auto"/>
          <w:szCs w:val="21"/>
          <w:highlight w:val="none"/>
          <w:u w:val="single"/>
          <w:lang w:val="en-US" w:eastAsia="zh-CN"/>
        </w:rPr>
        <w:t xml:space="preserve"> 叁</w:t>
      </w:r>
      <w:r>
        <w:rPr>
          <w:rFonts w:hint="eastAsia" w:ascii="宋体" w:hAnsi="宋体" w:eastAsia="宋体" w:cs="Times New Roman"/>
          <w:color w:val="auto"/>
          <w:szCs w:val="21"/>
          <w:highlight w:val="none"/>
          <w:u w:val="single"/>
        </w:rPr>
        <w:t xml:space="preserve">  </w:t>
      </w:r>
      <w:r>
        <w:rPr>
          <w:rFonts w:hint="eastAsia" w:ascii="宋体" w:hAnsi="宋体" w:eastAsia="宋体" w:cs="Times New Roman"/>
          <w:color w:val="auto"/>
          <w:szCs w:val="21"/>
          <w:highlight w:val="none"/>
        </w:rPr>
        <w:t>份，</w:t>
      </w:r>
      <w:r>
        <w:rPr>
          <w:rFonts w:hint="eastAsia" w:ascii="宋体" w:hAnsi="宋体" w:eastAsia="宋体" w:cs="Times New Roman"/>
          <w:color w:val="auto"/>
          <w:szCs w:val="21"/>
          <w:highlight w:val="none"/>
          <w:lang w:eastAsia="zh-CN"/>
        </w:rPr>
        <w:t>乙方</w:t>
      </w:r>
      <w:r>
        <w:rPr>
          <w:rFonts w:hint="eastAsia" w:ascii="宋体" w:hAnsi="宋体" w:eastAsia="宋体" w:cs="Times New Roman"/>
          <w:color w:val="auto"/>
          <w:szCs w:val="21"/>
          <w:highlight w:val="none"/>
        </w:rPr>
        <w:t>执</w:t>
      </w:r>
      <w:r>
        <w:rPr>
          <w:rFonts w:hint="eastAsia" w:ascii="宋体" w:hAnsi="宋体" w:eastAsia="宋体" w:cs="Times New Roman"/>
          <w:color w:val="auto"/>
          <w:szCs w:val="21"/>
          <w:highlight w:val="none"/>
          <w:u w:val="single"/>
        </w:rPr>
        <w:t xml:space="preserve">  </w:t>
      </w:r>
      <w:r>
        <w:rPr>
          <w:rFonts w:hint="eastAsia" w:ascii="宋体" w:hAnsi="宋体" w:eastAsia="宋体" w:cs="Times New Roman"/>
          <w:color w:val="auto"/>
          <w:szCs w:val="21"/>
          <w:highlight w:val="none"/>
          <w:u w:val="single"/>
          <w:lang w:val="en-US" w:eastAsia="zh-CN"/>
        </w:rPr>
        <w:t xml:space="preserve">叁 </w:t>
      </w:r>
      <w:r>
        <w:rPr>
          <w:rFonts w:hint="eastAsia" w:ascii="宋体" w:hAnsi="宋体" w:eastAsia="宋体" w:cs="Times New Roman"/>
          <w:color w:val="auto"/>
          <w:szCs w:val="21"/>
          <w:highlight w:val="none"/>
          <w:u w:val="single"/>
        </w:rPr>
        <w:t xml:space="preserve"> </w:t>
      </w:r>
      <w:r>
        <w:rPr>
          <w:rFonts w:hint="eastAsia" w:ascii="宋体" w:hAnsi="宋体" w:eastAsia="宋体" w:cs="Times New Roman"/>
          <w:color w:val="auto"/>
          <w:szCs w:val="21"/>
          <w:highlight w:val="none"/>
        </w:rPr>
        <w:t>份，均具有同等法律效力。</w:t>
      </w:r>
    </w:p>
    <w:p w14:paraId="6BAF110A">
      <w:pPr>
        <w:adjustRightInd w:val="0"/>
        <w:snapToGrid w:val="0"/>
        <w:spacing w:before="0" w:beforeLines="0" w:line="400" w:lineRule="exact"/>
        <w:ind w:firstLine="420" w:firstLineChars="200"/>
        <w:rPr>
          <w:rFonts w:hint="eastAsia" w:ascii="宋体" w:hAnsi="宋体" w:eastAsia="宋体" w:cs="Times New Roman"/>
          <w:color w:val="auto"/>
          <w:szCs w:val="21"/>
          <w:highlight w:val="none"/>
        </w:rPr>
      </w:pPr>
    </w:p>
    <w:p w14:paraId="00A46C5E">
      <w:pPr>
        <w:adjustRightInd w:val="0"/>
        <w:snapToGrid w:val="0"/>
        <w:spacing w:before="0" w:beforeLines="0" w:line="400" w:lineRule="exact"/>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合同订立时间：</w:t>
      </w:r>
      <w:r>
        <w:rPr>
          <w:rFonts w:hint="eastAsia" w:ascii="宋体" w:hAnsi="宋体" w:eastAsia="宋体" w:cs="Times New Roman"/>
          <w:color w:val="auto"/>
          <w:szCs w:val="21"/>
          <w:highlight w:val="none"/>
          <w:u w:val="single"/>
        </w:rPr>
        <w:t xml:space="preserve">         </w:t>
      </w:r>
      <w:r>
        <w:rPr>
          <w:rFonts w:hint="eastAsia" w:ascii="宋体" w:hAnsi="宋体" w:eastAsia="宋体" w:cs="Times New Roman"/>
          <w:color w:val="auto"/>
          <w:szCs w:val="21"/>
          <w:highlight w:val="none"/>
        </w:rPr>
        <w:t>年</w:t>
      </w:r>
      <w:r>
        <w:rPr>
          <w:rFonts w:hint="eastAsia" w:ascii="宋体" w:hAnsi="宋体" w:eastAsia="宋体" w:cs="Times New Roman"/>
          <w:color w:val="auto"/>
          <w:szCs w:val="21"/>
          <w:highlight w:val="none"/>
          <w:u w:val="single"/>
        </w:rPr>
        <w:t xml:space="preserve">      </w:t>
      </w:r>
      <w:r>
        <w:rPr>
          <w:rFonts w:hint="eastAsia" w:ascii="宋体" w:hAnsi="宋体" w:eastAsia="宋体" w:cs="Times New Roman"/>
          <w:color w:val="auto"/>
          <w:szCs w:val="21"/>
          <w:highlight w:val="none"/>
        </w:rPr>
        <w:t>月</w:t>
      </w:r>
      <w:r>
        <w:rPr>
          <w:rFonts w:hint="eastAsia" w:ascii="宋体" w:hAnsi="宋体" w:eastAsia="宋体" w:cs="Times New Roman"/>
          <w:color w:val="auto"/>
          <w:szCs w:val="21"/>
          <w:highlight w:val="none"/>
          <w:u w:val="single"/>
        </w:rPr>
        <w:t xml:space="preserve">      </w:t>
      </w:r>
      <w:r>
        <w:rPr>
          <w:rFonts w:hint="eastAsia" w:ascii="宋体" w:hAnsi="宋体" w:eastAsia="宋体" w:cs="Times New Roman"/>
          <w:color w:val="auto"/>
          <w:szCs w:val="21"/>
          <w:highlight w:val="none"/>
        </w:rPr>
        <w:t>日</w:t>
      </w:r>
    </w:p>
    <w:p w14:paraId="3F813DCC">
      <w:pPr>
        <w:adjustRightInd w:val="0"/>
        <w:snapToGrid w:val="0"/>
        <w:spacing w:before="0" w:beforeLines="0" w:line="400" w:lineRule="exact"/>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合同订立地点：</w:t>
      </w:r>
      <w:r>
        <w:rPr>
          <w:rFonts w:hint="eastAsia" w:ascii="宋体" w:hAnsi="宋体" w:eastAsia="宋体" w:cs="Times New Roman"/>
          <w:color w:val="auto"/>
          <w:szCs w:val="21"/>
          <w:highlight w:val="none"/>
          <w:u w:val="single"/>
        </w:rPr>
        <w:t xml:space="preserve">                           </w:t>
      </w:r>
    </w:p>
    <w:p w14:paraId="260C2152">
      <w:pPr>
        <w:adjustRightInd w:val="0"/>
        <w:snapToGrid w:val="0"/>
        <w:spacing w:before="0" w:beforeLines="0" w:line="400" w:lineRule="exact"/>
        <w:ind w:firstLine="420" w:firstLineChars="200"/>
        <w:rPr>
          <w:rFonts w:ascii="Times New Roman" w:hAnsi="Times New Roman" w:eastAsia="宋体" w:cs="Times New Roman"/>
          <w:color w:val="auto"/>
          <w:highlight w:val="none"/>
        </w:rPr>
      </w:pPr>
      <w:r>
        <w:rPr>
          <w:rFonts w:hint="eastAsia" w:ascii="宋体" w:hAnsi="宋体" w:eastAsia="宋体" w:cs="Times New Roman"/>
          <w:color w:val="auto"/>
          <w:szCs w:val="21"/>
          <w:highlight w:val="none"/>
        </w:rPr>
        <w:t>附件：具体标</w:t>
      </w:r>
      <w:r>
        <w:rPr>
          <w:rFonts w:hint="eastAsia" w:ascii="宋体" w:hAnsi="宋体" w:eastAsia="宋体" w:cs="Times New Roman"/>
          <w:color w:val="auto"/>
          <w:szCs w:val="21"/>
          <w:highlight w:val="none"/>
          <w:lang w:eastAsia="zh-CN"/>
        </w:rPr>
        <w:t>的及其</w:t>
      </w:r>
      <w:r>
        <w:rPr>
          <w:rFonts w:hint="eastAsia" w:ascii="宋体" w:hAnsi="宋体" w:eastAsia="宋体" w:cs="Times New Roman"/>
          <w:color w:val="auto"/>
          <w:szCs w:val="21"/>
          <w:highlight w:val="none"/>
          <w:u w:val="none"/>
          <w:lang w:val="en-US" w:eastAsia="zh-CN"/>
        </w:rPr>
        <w:t>技术要求和商务要求</w:t>
      </w:r>
      <w:r>
        <w:rPr>
          <w:rFonts w:hint="eastAsia" w:ascii="宋体" w:hAnsi="宋体" w:eastAsia="宋体" w:cs="Times New Roman"/>
          <w:color w:val="auto"/>
          <w:szCs w:val="21"/>
          <w:highlight w:val="none"/>
        </w:rPr>
        <w:t>、联合协议、分包</w:t>
      </w:r>
      <w:r>
        <w:rPr>
          <w:rFonts w:hint="eastAsia" w:ascii="宋体" w:hAnsi="宋体" w:eastAsia="宋体" w:cs="Times New Roman"/>
          <w:color w:val="auto"/>
          <w:szCs w:val="21"/>
          <w:highlight w:val="none"/>
          <w:lang w:eastAsia="zh-CN"/>
        </w:rPr>
        <w:t>意向</w:t>
      </w:r>
      <w:r>
        <w:rPr>
          <w:rFonts w:hint="eastAsia" w:ascii="宋体" w:hAnsi="宋体" w:eastAsia="宋体" w:cs="Times New Roman"/>
          <w:color w:val="auto"/>
          <w:szCs w:val="21"/>
          <w:highlight w:val="none"/>
        </w:rPr>
        <w:t>协议等。</w:t>
      </w:r>
    </w:p>
    <w:p w14:paraId="3653E3E6">
      <w:pPr>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br w:type="page"/>
      </w:r>
    </w:p>
    <w:p w14:paraId="55F74FF2">
      <w:pPr>
        <w:widowControl w:val="0"/>
        <w:ind w:firstLine="420" w:firstLineChars="200"/>
        <w:jc w:val="both"/>
        <w:rPr>
          <w:rFonts w:hint="eastAsia" w:ascii="Times New Roman" w:hAnsi="Times New Roman" w:eastAsia="宋体" w:cs="Times New Roman"/>
          <w:color w:val="auto"/>
          <w:kern w:val="2"/>
          <w:sz w:val="21"/>
          <w:szCs w:val="21"/>
          <w:highlight w:val="none"/>
          <w:lang w:val="en-US" w:eastAsia="zh-CN" w:bidi="ar-SA"/>
        </w:rPr>
      </w:pPr>
    </w:p>
    <w:tbl>
      <w:tblPr>
        <w:tblStyle w:val="36"/>
        <w:tblW w:w="4927" w:type="pct"/>
        <w:tblInd w:w="0" w:type="dxa"/>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Layout w:type="autofit"/>
        <w:tblCellMar>
          <w:top w:w="0" w:type="dxa"/>
          <w:left w:w="108" w:type="dxa"/>
          <w:bottom w:w="0" w:type="dxa"/>
          <w:right w:w="108" w:type="dxa"/>
        </w:tblCellMar>
      </w:tblPr>
      <w:tblGrid>
        <w:gridCol w:w="1892"/>
        <w:gridCol w:w="2413"/>
        <w:gridCol w:w="1980"/>
        <w:gridCol w:w="2118"/>
      </w:tblGrid>
      <w:tr w14:paraId="662575D0">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90" w:hRule="atLeast"/>
        </w:trPr>
        <w:tc>
          <w:tcPr>
            <w:tcW w:w="2562" w:type="pct"/>
            <w:gridSpan w:val="2"/>
            <w:tcBorders>
              <w:bottom w:val="single" w:color="auto" w:sz="2" w:space="0"/>
              <w:right w:val="single" w:color="auto" w:sz="2" w:space="0"/>
            </w:tcBorders>
            <w:vAlign w:val="center"/>
          </w:tcPr>
          <w:p w14:paraId="4D7DCB40">
            <w:pPr>
              <w:adjustRightInd w:val="0"/>
              <w:snapToGrid w:val="0"/>
              <w:spacing w:line="300" w:lineRule="exact"/>
              <w:jc w:val="center"/>
              <w:rPr>
                <w:rFonts w:ascii="Times New Roman" w:hAnsi="Times New Roman" w:eastAsia="宋体" w:cs="Times New Roman"/>
                <w:color w:val="auto"/>
                <w:highlight w:val="none"/>
              </w:rPr>
            </w:pPr>
            <w:r>
              <w:rPr>
                <w:rFonts w:ascii="Times New Roman" w:hAnsi="Times New Roman" w:eastAsia="宋体" w:cs="Times New Roman"/>
                <w:color w:val="auto"/>
                <w:szCs w:val="21"/>
                <w:highlight w:val="none"/>
              </w:rPr>
              <w:t>甲方</w:t>
            </w:r>
            <w:r>
              <w:rPr>
                <w:rFonts w:hint="eastAsia" w:ascii="Times New Roman" w:hAnsi="Times New Roman" w:eastAsia="宋体" w:cs="Times New Roman"/>
                <w:color w:val="auto"/>
                <w:szCs w:val="21"/>
                <w:highlight w:val="none"/>
              </w:rPr>
              <w:t>（采购人</w:t>
            </w:r>
            <w:r>
              <w:rPr>
                <w:rFonts w:hint="eastAsia" w:ascii="宋体" w:hAnsi="宋体" w:eastAsia="宋体" w:cs="Times New Roman"/>
                <w:color w:val="auto"/>
                <w:szCs w:val="21"/>
                <w:highlight w:val="none"/>
                <w:lang w:eastAsia="zh-CN"/>
              </w:rPr>
              <w:t>、受采购人委托签订合同的单位</w:t>
            </w:r>
            <w:r>
              <w:rPr>
                <w:rFonts w:hint="eastAsia" w:ascii="宋体" w:hAnsi="宋体" w:eastAsia="宋体" w:cs="Times New Roman"/>
                <w:color w:val="auto"/>
                <w:szCs w:val="21"/>
                <w:highlight w:val="none"/>
              </w:rPr>
              <w:t>或</w:t>
            </w:r>
            <w:r>
              <w:rPr>
                <w:rFonts w:hint="eastAsia" w:ascii="Times New Roman" w:hAnsi="Times New Roman" w:eastAsia="宋体" w:cs="Times New Roman"/>
                <w:color w:val="auto"/>
                <w:szCs w:val="21"/>
                <w:highlight w:val="none"/>
              </w:rPr>
              <w:t>采购文件约定的合同甲方）</w:t>
            </w:r>
          </w:p>
        </w:tc>
        <w:tc>
          <w:tcPr>
            <w:tcW w:w="2437" w:type="pct"/>
            <w:gridSpan w:val="2"/>
            <w:tcBorders>
              <w:left w:val="single" w:color="auto" w:sz="2" w:space="0"/>
              <w:bottom w:val="single" w:color="auto" w:sz="2" w:space="0"/>
            </w:tcBorders>
            <w:vAlign w:val="center"/>
          </w:tcPr>
          <w:p w14:paraId="4FBD2FFE">
            <w:pPr>
              <w:adjustRightInd w:val="0"/>
              <w:snapToGrid w:val="0"/>
              <w:spacing w:line="300" w:lineRule="exact"/>
              <w:jc w:val="center"/>
              <w:rPr>
                <w:rFonts w:ascii="Times New Roman" w:hAnsi="Times New Roman" w:eastAsia="宋体" w:cs="Times New Roman"/>
                <w:color w:val="auto"/>
                <w:highlight w:val="none"/>
              </w:rPr>
            </w:pPr>
            <w:r>
              <w:rPr>
                <w:rFonts w:ascii="Times New Roman" w:hAnsi="Times New Roman" w:eastAsia="宋体" w:cs="Times New Roman"/>
                <w:color w:val="auto"/>
                <w:szCs w:val="21"/>
                <w:highlight w:val="none"/>
              </w:rPr>
              <w:t>乙方</w:t>
            </w:r>
            <w:r>
              <w:rPr>
                <w:rFonts w:hint="eastAsia" w:ascii="Times New Roman" w:hAnsi="Times New Roman" w:eastAsia="宋体" w:cs="Times New Roman"/>
                <w:color w:val="auto"/>
                <w:szCs w:val="21"/>
                <w:highlight w:val="none"/>
              </w:rPr>
              <w:t>（供应商）</w:t>
            </w:r>
          </w:p>
        </w:tc>
      </w:tr>
      <w:tr w14:paraId="283A26A5">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917" w:hRule="atLeast"/>
        </w:trPr>
        <w:tc>
          <w:tcPr>
            <w:tcW w:w="1126" w:type="pct"/>
            <w:tcBorders>
              <w:top w:val="single" w:color="auto" w:sz="2" w:space="0"/>
              <w:bottom w:val="single" w:color="auto" w:sz="2" w:space="0"/>
              <w:right w:val="single" w:color="auto" w:sz="2" w:space="0"/>
            </w:tcBorders>
            <w:vAlign w:val="center"/>
          </w:tcPr>
          <w:p w14:paraId="6F7BF849">
            <w:pPr>
              <w:adjustRightInd w:val="0"/>
              <w:snapToGrid w:val="0"/>
              <w:spacing w:line="300" w:lineRule="exact"/>
              <w:jc w:val="center"/>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单位名称</w:t>
            </w:r>
            <w:r>
              <w:rPr>
                <w:rFonts w:hint="eastAsia" w:ascii="Times New Roman" w:hAnsi="Times New Roman" w:eastAsia="宋体" w:cs="Times New Roman"/>
                <w:color w:val="auto"/>
                <w:szCs w:val="21"/>
                <w:highlight w:val="none"/>
              </w:rPr>
              <w:t>（公章</w:t>
            </w:r>
            <w:r>
              <w:rPr>
                <w:rFonts w:hint="eastAsia" w:ascii="Times New Roman" w:hAnsi="Times New Roman" w:eastAsia="宋体" w:cs="Times New Roman"/>
                <w:color w:val="auto"/>
                <w:szCs w:val="21"/>
                <w:highlight w:val="none"/>
                <w:lang w:eastAsia="zh-CN"/>
              </w:rPr>
              <w:t>或合同章</w:t>
            </w:r>
            <w:r>
              <w:rPr>
                <w:rFonts w:hint="eastAsia" w:ascii="Times New Roman" w:hAnsi="Times New Roman" w:eastAsia="宋体" w:cs="Times New Roman"/>
                <w:color w:val="auto"/>
                <w:szCs w:val="21"/>
                <w:highlight w:val="none"/>
              </w:rPr>
              <w:t>）</w:t>
            </w:r>
          </w:p>
        </w:tc>
        <w:tc>
          <w:tcPr>
            <w:tcW w:w="1436" w:type="pct"/>
            <w:tcBorders>
              <w:top w:val="single" w:color="auto" w:sz="2" w:space="0"/>
              <w:left w:val="single" w:color="auto" w:sz="2" w:space="0"/>
              <w:bottom w:val="single" w:color="auto" w:sz="2" w:space="0"/>
              <w:right w:val="single" w:color="auto" w:sz="2" w:space="0"/>
            </w:tcBorders>
            <w:vAlign w:val="center"/>
          </w:tcPr>
          <w:p w14:paraId="267EE574">
            <w:pPr>
              <w:adjustRightInd w:val="0"/>
              <w:snapToGrid w:val="0"/>
              <w:spacing w:line="300" w:lineRule="exact"/>
              <w:jc w:val="center"/>
              <w:rPr>
                <w:rFonts w:ascii="Times New Roman" w:hAnsi="Times New Roman" w:eastAsia="宋体" w:cs="Times New Roman"/>
                <w:color w:val="auto"/>
                <w:szCs w:val="21"/>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18189403">
            <w:pPr>
              <w:adjustRightInd w:val="0"/>
              <w:snapToGrid w:val="0"/>
              <w:spacing w:line="300" w:lineRule="exact"/>
              <w:jc w:val="center"/>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单位名称</w:t>
            </w:r>
            <w:r>
              <w:rPr>
                <w:rFonts w:hint="eastAsia" w:ascii="Times New Roman" w:hAnsi="Times New Roman" w:eastAsia="宋体" w:cs="Times New Roman"/>
                <w:color w:val="auto"/>
                <w:szCs w:val="21"/>
                <w:highlight w:val="none"/>
              </w:rPr>
              <w:t>（公章</w:t>
            </w:r>
            <w:r>
              <w:rPr>
                <w:rFonts w:hint="eastAsia" w:ascii="Times New Roman" w:hAnsi="Times New Roman" w:eastAsia="宋体" w:cs="Times New Roman"/>
                <w:color w:val="auto"/>
                <w:szCs w:val="21"/>
                <w:highlight w:val="none"/>
                <w:lang w:eastAsia="zh-CN"/>
              </w:rPr>
              <w:t>或合同章</w:t>
            </w:r>
            <w:r>
              <w:rPr>
                <w:rFonts w:hint="eastAsia" w:ascii="Times New Roman" w:hAnsi="Times New Roman" w:eastAsia="宋体" w:cs="Times New Roman"/>
                <w:color w:val="auto"/>
                <w:szCs w:val="21"/>
                <w:highlight w:val="none"/>
              </w:rPr>
              <w:t>）</w:t>
            </w:r>
          </w:p>
        </w:tc>
        <w:tc>
          <w:tcPr>
            <w:tcW w:w="1259" w:type="pct"/>
            <w:tcBorders>
              <w:top w:val="single" w:color="auto" w:sz="2" w:space="0"/>
              <w:left w:val="single" w:color="auto" w:sz="2" w:space="0"/>
              <w:bottom w:val="single" w:color="auto" w:sz="2" w:space="0"/>
            </w:tcBorders>
            <w:vAlign w:val="center"/>
          </w:tcPr>
          <w:p w14:paraId="5411DC05">
            <w:pPr>
              <w:adjustRightInd w:val="0"/>
              <w:snapToGrid w:val="0"/>
              <w:spacing w:line="300" w:lineRule="exact"/>
              <w:jc w:val="center"/>
              <w:rPr>
                <w:rFonts w:ascii="Times New Roman" w:hAnsi="Times New Roman" w:eastAsia="宋体" w:cs="Times New Roman"/>
                <w:color w:val="auto"/>
                <w:spacing w:val="20"/>
                <w:szCs w:val="21"/>
                <w:highlight w:val="none"/>
              </w:rPr>
            </w:pPr>
          </w:p>
        </w:tc>
      </w:tr>
      <w:tr w14:paraId="5565C32D">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1171" w:hRule="atLeast"/>
        </w:trPr>
        <w:tc>
          <w:tcPr>
            <w:tcW w:w="1126" w:type="pct"/>
            <w:vMerge w:val="restart"/>
            <w:tcBorders>
              <w:top w:val="single" w:color="auto" w:sz="2" w:space="0"/>
              <w:right w:val="single" w:color="auto" w:sz="2" w:space="0"/>
            </w:tcBorders>
            <w:vAlign w:val="center"/>
          </w:tcPr>
          <w:p w14:paraId="0E7A21C2">
            <w:pPr>
              <w:adjustRightInd w:val="0"/>
              <w:snapToGrid w:val="0"/>
              <w:spacing w:line="300" w:lineRule="exact"/>
              <w:jc w:val="center"/>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法定代表人</w:t>
            </w:r>
          </w:p>
          <w:p w14:paraId="3980AEC4">
            <w:pPr>
              <w:adjustRightInd w:val="0"/>
              <w:snapToGrid w:val="0"/>
              <w:spacing w:line="300" w:lineRule="exact"/>
              <w:ind w:firstLine="100" w:firstLineChars="48"/>
              <w:jc w:val="center"/>
              <w:rPr>
                <w:rFonts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rPr>
              <w:t>或其</w:t>
            </w:r>
            <w:r>
              <w:rPr>
                <w:rFonts w:ascii="Times New Roman" w:hAnsi="Times New Roman" w:eastAsia="宋体" w:cs="Times New Roman"/>
                <w:color w:val="auto"/>
                <w:szCs w:val="21"/>
                <w:highlight w:val="none"/>
              </w:rPr>
              <w:t>委托代理人</w:t>
            </w:r>
            <w:r>
              <w:rPr>
                <w:rFonts w:hint="eastAsia" w:ascii="Times New Roman" w:hAnsi="Times New Roman" w:eastAsia="宋体" w:cs="Times New Roman"/>
                <w:color w:val="auto"/>
                <w:szCs w:val="21"/>
                <w:highlight w:val="none"/>
              </w:rPr>
              <w:t>（签章）</w:t>
            </w:r>
          </w:p>
        </w:tc>
        <w:tc>
          <w:tcPr>
            <w:tcW w:w="1436" w:type="pct"/>
            <w:vMerge w:val="restart"/>
            <w:tcBorders>
              <w:top w:val="single" w:color="auto" w:sz="2" w:space="0"/>
              <w:left w:val="single" w:color="auto" w:sz="2" w:space="0"/>
              <w:right w:val="single" w:color="auto" w:sz="2" w:space="0"/>
            </w:tcBorders>
            <w:vAlign w:val="center"/>
          </w:tcPr>
          <w:p w14:paraId="446F5E83">
            <w:pPr>
              <w:adjustRightInd w:val="0"/>
              <w:snapToGrid w:val="0"/>
              <w:spacing w:line="300" w:lineRule="exact"/>
              <w:jc w:val="center"/>
              <w:rPr>
                <w:rFonts w:ascii="Times New Roman" w:hAnsi="Times New Roman" w:eastAsia="宋体" w:cs="Times New Roman"/>
                <w:color w:val="auto"/>
                <w:szCs w:val="21"/>
                <w:highlight w:val="none"/>
              </w:rPr>
            </w:pPr>
          </w:p>
        </w:tc>
        <w:tc>
          <w:tcPr>
            <w:tcW w:w="1178" w:type="pct"/>
            <w:tcBorders>
              <w:top w:val="single" w:color="auto" w:sz="2" w:space="0"/>
              <w:left w:val="single" w:color="auto" w:sz="2" w:space="0"/>
              <w:right w:val="single" w:color="auto" w:sz="2" w:space="0"/>
            </w:tcBorders>
            <w:vAlign w:val="center"/>
          </w:tcPr>
          <w:p w14:paraId="50A70D1A">
            <w:pPr>
              <w:adjustRightInd w:val="0"/>
              <w:snapToGrid w:val="0"/>
              <w:spacing w:line="300" w:lineRule="exact"/>
              <w:jc w:val="center"/>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法定代表人</w:t>
            </w:r>
          </w:p>
          <w:p w14:paraId="63CB0E94">
            <w:pPr>
              <w:adjustRightInd w:val="0"/>
              <w:snapToGrid w:val="0"/>
              <w:spacing w:line="300" w:lineRule="exact"/>
              <w:jc w:val="center"/>
              <w:rPr>
                <w:rFonts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rPr>
              <w:t>或其</w:t>
            </w:r>
            <w:r>
              <w:rPr>
                <w:rFonts w:ascii="Times New Roman" w:hAnsi="Times New Roman" w:eastAsia="宋体" w:cs="Times New Roman"/>
                <w:color w:val="auto"/>
                <w:szCs w:val="21"/>
                <w:highlight w:val="none"/>
              </w:rPr>
              <w:t>委托代理人</w:t>
            </w:r>
            <w:r>
              <w:rPr>
                <w:rFonts w:hint="eastAsia" w:ascii="Times New Roman" w:hAnsi="Times New Roman" w:eastAsia="宋体" w:cs="Times New Roman"/>
                <w:color w:val="auto"/>
                <w:szCs w:val="21"/>
                <w:highlight w:val="none"/>
              </w:rPr>
              <w:t>（签章）</w:t>
            </w:r>
          </w:p>
        </w:tc>
        <w:tc>
          <w:tcPr>
            <w:tcW w:w="1259" w:type="pct"/>
            <w:tcBorders>
              <w:top w:val="single" w:color="auto" w:sz="2" w:space="0"/>
              <w:left w:val="single" w:color="auto" w:sz="2" w:space="0"/>
              <w:bottom w:val="single" w:color="auto" w:sz="2" w:space="0"/>
            </w:tcBorders>
            <w:vAlign w:val="center"/>
          </w:tcPr>
          <w:p w14:paraId="3151883B">
            <w:pPr>
              <w:adjustRightInd w:val="0"/>
              <w:snapToGrid w:val="0"/>
              <w:spacing w:line="300" w:lineRule="exact"/>
              <w:jc w:val="center"/>
              <w:rPr>
                <w:rFonts w:ascii="Times New Roman" w:hAnsi="Times New Roman" w:eastAsia="宋体" w:cs="Times New Roman"/>
                <w:color w:val="auto"/>
                <w:szCs w:val="21"/>
                <w:highlight w:val="none"/>
              </w:rPr>
            </w:pPr>
          </w:p>
        </w:tc>
      </w:tr>
      <w:tr w14:paraId="17AD0E99">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vMerge w:val="continue"/>
            <w:tcBorders>
              <w:bottom w:val="single" w:color="auto" w:sz="2" w:space="0"/>
              <w:right w:val="single" w:color="auto" w:sz="2" w:space="0"/>
            </w:tcBorders>
            <w:vAlign w:val="center"/>
          </w:tcPr>
          <w:p w14:paraId="08F197A6">
            <w:pPr>
              <w:adjustRightInd w:val="0"/>
              <w:snapToGrid w:val="0"/>
              <w:spacing w:line="300" w:lineRule="exact"/>
              <w:jc w:val="center"/>
              <w:rPr>
                <w:rFonts w:ascii="Times New Roman" w:hAnsi="Times New Roman" w:eastAsia="宋体" w:cs="Times New Roman"/>
                <w:color w:val="auto"/>
                <w:szCs w:val="21"/>
                <w:highlight w:val="none"/>
              </w:rPr>
            </w:pPr>
          </w:p>
        </w:tc>
        <w:tc>
          <w:tcPr>
            <w:tcW w:w="1436" w:type="pct"/>
            <w:vMerge w:val="continue"/>
            <w:tcBorders>
              <w:left w:val="single" w:color="auto" w:sz="2" w:space="0"/>
              <w:bottom w:val="single" w:color="auto" w:sz="2" w:space="0"/>
              <w:right w:val="single" w:color="auto" w:sz="2" w:space="0"/>
            </w:tcBorders>
            <w:vAlign w:val="center"/>
          </w:tcPr>
          <w:p w14:paraId="035FF80E">
            <w:pPr>
              <w:adjustRightInd w:val="0"/>
              <w:snapToGrid w:val="0"/>
              <w:spacing w:line="300" w:lineRule="exact"/>
              <w:jc w:val="center"/>
              <w:rPr>
                <w:rFonts w:ascii="Times New Roman" w:hAnsi="Times New Roman" w:eastAsia="宋体" w:cs="Times New Roman"/>
                <w:color w:val="auto"/>
                <w:szCs w:val="21"/>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6DE0B0E7">
            <w:pPr>
              <w:adjustRightInd w:val="0"/>
              <w:snapToGrid w:val="0"/>
              <w:spacing w:line="300" w:lineRule="exact"/>
              <w:jc w:val="center"/>
              <w:rPr>
                <w:rFonts w:hint="eastAsia" w:ascii="Times New Roman" w:hAnsi="Times New Roman" w:eastAsia="宋体" w:cs="Times New Roman"/>
                <w:color w:val="auto"/>
                <w:szCs w:val="21"/>
                <w:highlight w:val="none"/>
                <w:lang w:eastAsia="zh-CN"/>
              </w:rPr>
            </w:pPr>
            <w:r>
              <w:rPr>
                <w:rFonts w:hint="eastAsia" w:ascii="Times New Roman" w:hAnsi="Times New Roman" w:eastAsia="宋体" w:cs="Times New Roman"/>
                <w:color w:val="auto"/>
                <w:szCs w:val="21"/>
                <w:highlight w:val="none"/>
                <w:lang w:eastAsia="zh-CN"/>
              </w:rPr>
              <w:t>拥有者性别</w:t>
            </w:r>
          </w:p>
        </w:tc>
        <w:tc>
          <w:tcPr>
            <w:tcW w:w="1259" w:type="pct"/>
            <w:tcBorders>
              <w:top w:val="single" w:color="auto" w:sz="2" w:space="0"/>
              <w:left w:val="single" w:color="auto" w:sz="2" w:space="0"/>
              <w:bottom w:val="single" w:color="auto" w:sz="2" w:space="0"/>
            </w:tcBorders>
            <w:vAlign w:val="center"/>
          </w:tcPr>
          <w:p w14:paraId="22772ABA">
            <w:pPr>
              <w:adjustRightInd w:val="0"/>
              <w:snapToGrid w:val="0"/>
              <w:spacing w:line="300" w:lineRule="exact"/>
              <w:jc w:val="center"/>
              <w:rPr>
                <w:rFonts w:ascii="Times New Roman" w:hAnsi="Times New Roman" w:eastAsia="宋体" w:cs="Times New Roman"/>
                <w:color w:val="auto"/>
                <w:spacing w:val="20"/>
                <w:szCs w:val="21"/>
                <w:highlight w:val="none"/>
              </w:rPr>
            </w:pPr>
          </w:p>
        </w:tc>
      </w:tr>
      <w:tr w14:paraId="11021B8B">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5D971060">
            <w:pPr>
              <w:adjustRightInd w:val="0"/>
              <w:snapToGrid w:val="0"/>
              <w:spacing w:line="300" w:lineRule="exact"/>
              <w:jc w:val="center"/>
              <w:rPr>
                <w:rFonts w:hint="eastAsia" w:ascii="Times New Roman" w:hAnsi="Times New Roman" w:eastAsia="宋体" w:cs="Times New Roman"/>
                <w:color w:val="auto"/>
                <w:szCs w:val="21"/>
                <w:highlight w:val="none"/>
                <w:lang w:eastAsia="zh-CN"/>
              </w:rPr>
            </w:pPr>
            <w:r>
              <w:rPr>
                <w:rFonts w:hint="eastAsia" w:ascii="Times New Roman" w:hAnsi="Times New Roman" w:eastAsia="宋体" w:cs="Times New Roman"/>
                <w:color w:val="auto"/>
                <w:szCs w:val="21"/>
                <w:highlight w:val="none"/>
                <w:lang w:eastAsia="zh-CN"/>
              </w:rPr>
              <w:t>住</w:t>
            </w:r>
            <w:r>
              <w:rPr>
                <w:rFonts w:hint="eastAsia" w:ascii="Times New Roman" w:hAnsi="Times New Roman" w:eastAsia="宋体" w:cs="Times New Roman"/>
                <w:color w:val="auto"/>
                <w:szCs w:val="21"/>
                <w:highlight w:val="none"/>
                <w:lang w:val="en-US" w:eastAsia="zh-CN"/>
              </w:rPr>
              <w:t xml:space="preserve">  </w:t>
            </w:r>
            <w:r>
              <w:rPr>
                <w:rFonts w:hint="eastAsia" w:ascii="Times New Roman" w:hAnsi="Times New Roman" w:eastAsia="宋体" w:cs="Times New Roman"/>
                <w:color w:val="auto"/>
                <w:szCs w:val="21"/>
                <w:highlight w:val="none"/>
                <w:lang w:eastAsia="zh-CN"/>
              </w:rPr>
              <w:t>所</w:t>
            </w:r>
          </w:p>
        </w:tc>
        <w:tc>
          <w:tcPr>
            <w:tcW w:w="1436" w:type="pct"/>
            <w:tcBorders>
              <w:top w:val="single" w:color="auto" w:sz="2" w:space="0"/>
              <w:left w:val="single" w:color="auto" w:sz="2" w:space="0"/>
              <w:bottom w:val="single" w:color="auto" w:sz="2" w:space="0"/>
              <w:right w:val="single" w:color="auto" w:sz="2" w:space="0"/>
            </w:tcBorders>
            <w:vAlign w:val="center"/>
          </w:tcPr>
          <w:p w14:paraId="59B1C4FA">
            <w:pPr>
              <w:adjustRightInd w:val="0"/>
              <w:snapToGrid w:val="0"/>
              <w:spacing w:line="300" w:lineRule="exact"/>
              <w:jc w:val="center"/>
              <w:rPr>
                <w:rFonts w:ascii="Times New Roman" w:hAnsi="Times New Roman" w:eastAsia="宋体" w:cs="Times New Roman"/>
                <w:color w:val="auto"/>
                <w:szCs w:val="21"/>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39A06407">
            <w:pPr>
              <w:adjustRightInd w:val="0"/>
              <w:snapToGrid w:val="0"/>
              <w:spacing w:line="300" w:lineRule="exact"/>
              <w:jc w:val="center"/>
              <w:rPr>
                <w:rFonts w:hint="eastAsia" w:ascii="Times New Roman" w:hAnsi="Times New Roman" w:eastAsia="宋体" w:cs="Times New Roman"/>
                <w:color w:val="auto"/>
                <w:szCs w:val="21"/>
                <w:highlight w:val="none"/>
                <w:lang w:eastAsia="zh-CN"/>
              </w:rPr>
            </w:pPr>
            <w:r>
              <w:rPr>
                <w:rFonts w:hint="eastAsia" w:ascii="Times New Roman" w:hAnsi="Times New Roman" w:eastAsia="宋体" w:cs="Times New Roman"/>
                <w:color w:val="auto"/>
                <w:szCs w:val="21"/>
                <w:highlight w:val="none"/>
                <w:lang w:eastAsia="zh-CN"/>
              </w:rPr>
              <w:t>住</w:t>
            </w:r>
            <w:r>
              <w:rPr>
                <w:rFonts w:hint="eastAsia" w:ascii="Times New Roman" w:hAnsi="Times New Roman" w:eastAsia="宋体" w:cs="Times New Roman"/>
                <w:color w:val="auto"/>
                <w:szCs w:val="21"/>
                <w:highlight w:val="none"/>
                <w:lang w:val="en-US" w:eastAsia="zh-CN"/>
              </w:rPr>
              <w:t xml:space="preserve">  </w:t>
            </w:r>
            <w:r>
              <w:rPr>
                <w:rFonts w:hint="eastAsia" w:ascii="Times New Roman" w:hAnsi="Times New Roman" w:eastAsia="宋体" w:cs="Times New Roman"/>
                <w:color w:val="auto"/>
                <w:szCs w:val="21"/>
                <w:highlight w:val="none"/>
                <w:lang w:eastAsia="zh-CN"/>
              </w:rPr>
              <w:t>所</w:t>
            </w:r>
          </w:p>
        </w:tc>
        <w:tc>
          <w:tcPr>
            <w:tcW w:w="1259" w:type="pct"/>
            <w:tcBorders>
              <w:top w:val="single" w:color="auto" w:sz="2" w:space="0"/>
              <w:left w:val="single" w:color="auto" w:sz="2" w:space="0"/>
              <w:bottom w:val="single" w:color="auto" w:sz="2" w:space="0"/>
            </w:tcBorders>
            <w:vAlign w:val="center"/>
          </w:tcPr>
          <w:p w14:paraId="7D3654A2">
            <w:pPr>
              <w:adjustRightInd w:val="0"/>
              <w:snapToGrid w:val="0"/>
              <w:spacing w:line="300" w:lineRule="exact"/>
              <w:jc w:val="center"/>
              <w:rPr>
                <w:rFonts w:ascii="Times New Roman" w:hAnsi="Times New Roman" w:eastAsia="宋体" w:cs="Times New Roman"/>
                <w:color w:val="auto"/>
                <w:spacing w:val="20"/>
                <w:szCs w:val="21"/>
                <w:highlight w:val="none"/>
              </w:rPr>
            </w:pPr>
          </w:p>
        </w:tc>
      </w:tr>
      <w:tr w14:paraId="04F9AE94">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408CBBDD">
            <w:pPr>
              <w:adjustRightInd w:val="0"/>
              <w:snapToGrid w:val="0"/>
              <w:spacing w:line="300" w:lineRule="exact"/>
              <w:jc w:val="center"/>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联 系 人</w:t>
            </w:r>
          </w:p>
        </w:tc>
        <w:tc>
          <w:tcPr>
            <w:tcW w:w="1436" w:type="pct"/>
            <w:tcBorders>
              <w:top w:val="single" w:color="auto" w:sz="2" w:space="0"/>
              <w:left w:val="single" w:color="auto" w:sz="2" w:space="0"/>
              <w:bottom w:val="single" w:color="auto" w:sz="2" w:space="0"/>
              <w:right w:val="single" w:color="auto" w:sz="2" w:space="0"/>
            </w:tcBorders>
            <w:vAlign w:val="center"/>
          </w:tcPr>
          <w:p w14:paraId="56B42C6D">
            <w:pPr>
              <w:adjustRightInd w:val="0"/>
              <w:snapToGrid w:val="0"/>
              <w:spacing w:line="300" w:lineRule="exact"/>
              <w:jc w:val="center"/>
              <w:rPr>
                <w:rFonts w:ascii="Times New Roman" w:hAnsi="Times New Roman" w:eastAsia="宋体" w:cs="Times New Roman"/>
                <w:color w:val="auto"/>
                <w:szCs w:val="21"/>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50D631F0">
            <w:pPr>
              <w:adjustRightInd w:val="0"/>
              <w:snapToGrid w:val="0"/>
              <w:spacing w:line="300" w:lineRule="exact"/>
              <w:jc w:val="center"/>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联 系 人</w:t>
            </w:r>
          </w:p>
        </w:tc>
        <w:tc>
          <w:tcPr>
            <w:tcW w:w="1259" w:type="pct"/>
            <w:tcBorders>
              <w:top w:val="single" w:color="auto" w:sz="2" w:space="0"/>
              <w:left w:val="single" w:color="auto" w:sz="2" w:space="0"/>
              <w:bottom w:val="single" w:color="auto" w:sz="2" w:space="0"/>
            </w:tcBorders>
            <w:vAlign w:val="center"/>
          </w:tcPr>
          <w:p w14:paraId="79460570">
            <w:pPr>
              <w:adjustRightInd w:val="0"/>
              <w:snapToGrid w:val="0"/>
              <w:spacing w:line="300" w:lineRule="exact"/>
              <w:jc w:val="center"/>
              <w:rPr>
                <w:rFonts w:ascii="Times New Roman" w:hAnsi="Times New Roman" w:eastAsia="宋体" w:cs="Times New Roman"/>
                <w:color w:val="auto"/>
                <w:spacing w:val="20"/>
                <w:szCs w:val="21"/>
                <w:highlight w:val="none"/>
              </w:rPr>
            </w:pPr>
          </w:p>
        </w:tc>
      </w:tr>
      <w:tr w14:paraId="27053A6E">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7AF661D8">
            <w:pPr>
              <w:adjustRightInd w:val="0"/>
              <w:snapToGrid w:val="0"/>
              <w:spacing w:line="300" w:lineRule="exact"/>
              <w:jc w:val="center"/>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联系电话</w:t>
            </w:r>
          </w:p>
        </w:tc>
        <w:tc>
          <w:tcPr>
            <w:tcW w:w="1436" w:type="pct"/>
            <w:tcBorders>
              <w:top w:val="single" w:color="auto" w:sz="2" w:space="0"/>
              <w:left w:val="single" w:color="auto" w:sz="2" w:space="0"/>
              <w:bottom w:val="single" w:color="auto" w:sz="2" w:space="0"/>
              <w:right w:val="single" w:color="auto" w:sz="2" w:space="0"/>
            </w:tcBorders>
            <w:vAlign w:val="center"/>
          </w:tcPr>
          <w:p w14:paraId="50D92346">
            <w:pPr>
              <w:adjustRightInd w:val="0"/>
              <w:snapToGrid w:val="0"/>
              <w:spacing w:line="300" w:lineRule="exact"/>
              <w:jc w:val="center"/>
              <w:rPr>
                <w:rFonts w:ascii="Times New Roman" w:hAnsi="Times New Roman" w:eastAsia="宋体" w:cs="Times New Roman"/>
                <w:color w:val="auto"/>
                <w:szCs w:val="21"/>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24FE2E8B">
            <w:pPr>
              <w:adjustRightInd w:val="0"/>
              <w:snapToGrid w:val="0"/>
              <w:spacing w:line="300" w:lineRule="exact"/>
              <w:jc w:val="center"/>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联系电话</w:t>
            </w:r>
          </w:p>
        </w:tc>
        <w:tc>
          <w:tcPr>
            <w:tcW w:w="1259" w:type="pct"/>
            <w:tcBorders>
              <w:top w:val="single" w:color="auto" w:sz="2" w:space="0"/>
              <w:left w:val="single" w:color="auto" w:sz="2" w:space="0"/>
              <w:bottom w:val="single" w:color="auto" w:sz="2" w:space="0"/>
            </w:tcBorders>
            <w:vAlign w:val="center"/>
          </w:tcPr>
          <w:p w14:paraId="4F20CC68">
            <w:pPr>
              <w:adjustRightInd w:val="0"/>
              <w:snapToGrid w:val="0"/>
              <w:spacing w:line="300" w:lineRule="exact"/>
              <w:jc w:val="center"/>
              <w:rPr>
                <w:rFonts w:ascii="Times New Roman" w:hAnsi="Times New Roman" w:eastAsia="宋体" w:cs="Times New Roman"/>
                <w:color w:val="auto"/>
                <w:spacing w:val="20"/>
                <w:szCs w:val="21"/>
                <w:highlight w:val="none"/>
              </w:rPr>
            </w:pPr>
          </w:p>
        </w:tc>
      </w:tr>
      <w:tr w14:paraId="615D3227">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2F748669">
            <w:pPr>
              <w:adjustRightInd w:val="0"/>
              <w:snapToGrid w:val="0"/>
              <w:spacing w:line="300" w:lineRule="exact"/>
              <w:jc w:val="center"/>
              <w:rPr>
                <w:rFonts w:hint="eastAsia" w:ascii="Times New Roman" w:hAnsi="Times New Roman" w:eastAsia="宋体" w:cs="Times New Roman"/>
                <w:color w:val="auto"/>
                <w:szCs w:val="21"/>
                <w:highlight w:val="none"/>
                <w:lang w:eastAsia="zh-CN"/>
              </w:rPr>
            </w:pPr>
            <w:r>
              <w:rPr>
                <w:rFonts w:hint="eastAsia" w:ascii="Times New Roman" w:hAnsi="Times New Roman" w:eastAsia="宋体" w:cs="Times New Roman"/>
                <w:color w:val="auto"/>
                <w:szCs w:val="21"/>
                <w:highlight w:val="none"/>
                <w:lang w:eastAsia="zh-CN"/>
              </w:rPr>
              <w:t>通信地址</w:t>
            </w:r>
          </w:p>
        </w:tc>
        <w:tc>
          <w:tcPr>
            <w:tcW w:w="1436" w:type="pct"/>
            <w:tcBorders>
              <w:top w:val="single" w:color="auto" w:sz="2" w:space="0"/>
              <w:left w:val="single" w:color="auto" w:sz="2" w:space="0"/>
              <w:bottom w:val="single" w:color="auto" w:sz="2" w:space="0"/>
              <w:right w:val="single" w:color="auto" w:sz="2" w:space="0"/>
            </w:tcBorders>
            <w:vAlign w:val="center"/>
          </w:tcPr>
          <w:p w14:paraId="684F7129">
            <w:pPr>
              <w:adjustRightInd w:val="0"/>
              <w:snapToGrid w:val="0"/>
              <w:spacing w:line="300" w:lineRule="exact"/>
              <w:jc w:val="center"/>
              <w:rPr>
                <w:rFonts w:ascii="Times New Roman" w:hAnsi="Times New Roman" w:eastAsia="宋体" w:cs="Times New Roman"/>
                <w:color w:val="auto"/>
                <w:szCs w:val="21"/>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3B1FBF8D">
            <w:pPr>
              <w:adjustRightInd w:val="0"/>
              <w:snapToGrid w:val="0"/>
              <w:spacing w:line="300" w:lineRule="exact"/>
              <w:jc w:val="center"/>
              <w:rPr>
                <w:rFonts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lang w:eastAsia="zh-CN"/>
              </w:rPr>
              <w:t>通信地址</w:t>
            </w:r>
          </w:p>
        </w:tc>
        <w:tc>
          <w:tcPr>
            <w:tcW w:w="1259" w:type="pct"/>
            <w:tcBorders>
              <w:top w:val="single" w:color="auto" w:sz="2" w:space="0"/>
              <w:left w:val="single" w:color="auto" w:sz="2" w:space="0"/>
              <w:bottom w:val="single" w:color="auto" w:sz="2" w:space="0"/>
            </w:tcBorders>
            <w:vAlign w:val="center"/>
          </w:tcPr>
          <w:p w14:paraId="013DF8A3">
            <w:pPr>
              <w:adjustRightInd w:val="0"/>
              <w:snapToGrid w:val="0"/>
              <w:spacing w:line="300" w:lineRule="exact"/>
              <w:jc w:val="center"/>
              <w:rPr>
                <w:rFonts w:ascii="Times New Roman" w:hAnsi="Times New Roman" w:eastAsia="宋体" w:cs="Times New Roman"/>
                <w:color w:val="auto"/>
                <w:spacing w:val="20"/>
                <w:szCs w:val="21"/>
                <w:highlight w:val="none"/>
              </w:rPr>
            </w:pPr>
          </w:p>
        </w:tc>
      </w:tr>
      <w:tr w14:paraId="5AECC27E">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225B83A4">
            <w:pPr>
              <w:adjustRightInd w:val="0"/>
              <w:snapToGrid w:val="0"/>
              <w:spacing w:line="300" w:lineRule="exact"/>
              <w:jc w:val="center"/>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邮政编码</w:t>
            </w:r>
          </w:p>
        </w:tc>
        <w:tc>
          <w:tcPr>
            <w:tcW w:w="1436" w:type="pct"/>
            <w:tcBorders>
              <w:top w:val="single" w:color="auto" w:sz="2" w:space="0"/>
              <w:left w:val="single" w:color="auto" w:sz="2" w:space="0"/>
              <w:bottom w:val="single" w:color="auto" w:sz="2" w:space="0"/>
              <w:right w:val="single" w:color="auto" w:sz="2" w:space="0"/>
            </w:tcBorders>
            <w:vAlign w:val="center"/>
          </w:tcPr>
          <w:p w14:paraId="64488EBB">
            <w:pPr>
              <w:adjustRightInd w:val="0"/>
              <w:snapToGrid w:val="0"/>
              <w:spacing w:line="300" w:lineRule="exact"/>
              <w:jc w:val="center"/>
              <w:rPr>
                <w:rFonts w:ascii="Times New Roman" w:hAnsi="Times New Roman" w:eastAsia="宋体" w:cs="Times New Roman"/>
                <w:color w:val="auto"/>
                <w:szCs w:val="21"/>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5BF96F94">
            <w:pPr>
              <w:adjustRightInd w:val="0"/>
              <w:snapToGrid w:val="0"/>
              <w:spacing w:line="300" w:lineRule="exact"/>
              <w:jc w:val="center"/>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邮政编码</w:t>
            </w:r>
          </w:p>
        </w:tc>
        <w:tc>
          <w:tcPr>
            <w:tcW w:w="1259" w:type="pct"/>
            <w:tcBorders>
              <w:top w:val="single" w:color="auto" w:sz="2" w:space="0"/>
              <w:left w:val="single" w:color="auto" w:sz="2" w:space="0"/>
              <w:bottom w:val="single" w:color="auto" w:sz="2" w:space="0"/>
            </w:tcBorders>
            <w:vAlign w:val="center"/>
          </w:tcPr>
          <w:p w14:paraId="047B6544">
            <w:pPr>
              <w:adjustRightInd w:val="0"/>
              <w:snapToGrid w:val="0"/>
              <w:spacing w:line="300" w:lineRule="exact"/>
              <w:jc w:val="center"/>
              <w:rPr>
                <w:rFonts w:ascii="Times New Roman" w:hAnsi="Times New Roman" w:eastAsia="宋体" w:cs="Times New Roman"/>
                <w:color w:val="auto"/>
                <w:spacing w:val="20"/>
                <w:szCs w:val="21"/>
                <w:highlight w:val="none"/>
              </w:rPr>
            </w:pPr>
          </w:p>
        </w:tc>
      </w:tr>
      <w:tr w14:paraId="2C8418F6">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47ACC0B8">
            <w:pPr>
              <w:adjustRightInd w:val="0"/>
              <w:snapToGrid w:val="0"/>
              <w:spacing w:line="300" w:lineRule="exact"/>
              <w:jc w:val="center"/>
              <w:rPr>
                <w:rFonts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rPr>
              <w:t>电子邮箱</w:t>
            </w:r>
          </w:p>
        </w:tc>
        <w:tc>
          <w:tcPr>
            <w:tcW w:w="1436" w:type="pct"/>
            <w:tcBorders>
              <w:top w:val="single" w:color="auto" w:sz="2" w:space="0"/>
              <w:left w:val="single" w:color="auto" w:sz="2" w:space="0"/>
              <w:bottom w:val="single" w:color="auto" w:sz="2" w:space="0"/>
              <w:right w:val="single" w:color="auto" w:sz="2" w:space="0"/>
            </w:tcBorders>
            <w:vAlign w:val="center"/>
          </w:tcPr>
          <w:p w14:paraId="63F1323D">
            <w:pPr>
              <w:adjustRightInd w:val="0"/>
              <w:snapToGrid w:val="0"/>
              <w:spacing w:line="300" w:lineRule="exact"/>
              <w:jc w:val="center"/>
              <w:rPr>
                <w:rFonts w:ascii="Times New Roman" w:hAnsi="Times New Roman" w:eastAsia="宋体" w:cs="Times New Roman"/>
                <w:color w:val="auto"/>
                <w:szCs w:val="21"/>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34F5DC89">
            <w:pPr>
              <w:adjustRightInd w:val="0"/>
              <w:snapToGrid w:val="0"/>
              <w:spacing w:line="300" w:lineRule="exact"/>
              <w:jc w:val="center"/>
              <w:rPr>
                <w:rFonts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rPr>
              <w:t>电子邮箱</w:t>
            </w:r>
          </w:p>
        </w:tc>
        <w:tc>
          <w:tcPr>
            <w:tcW w:w="1259" w:type="pct"/>
            <w:tcBorders>
              <w:top w:val="single" w:color="auto" w:sz="2" w:space="0"/>
              <w:left w:val="single" w:color="auto" w:sz="2" w:space="0"/>
              <w:bottom w:val="single" w:color="auto" w:sz="2" w:space="0"/>
            </w:tcBorders>
            <w:vAlign w:val="center"/>
          </w:tcPr>
          <w:p w14:paraId="29554FC9">
            <w:pPr>
              <w:adjustRightInd w:val="0"/>
              <w:snapToGrid w:val="0"/>
              <w:spacing w:line="300" w:lineRule="exact"/>
              <w:jc w:val="center"/>
              <w:rPr>
                <w:rFonts w:ascii="Times New Roman" w:hAnsi="Times New Roman" w:eastAsia="宋体" w:cs="Times New Roman"/>
                <w:color w:val="auto"/>
                <w:spacing w:val="20"/>
                <w:szCs w:val="21"/>
                <w:highlight w:val="none"/>
              </w:rPr>
            </w:pPr>
          </w:p>
        </w:tc>
      </w:tr>
      <w:tr w14:paraId="2097C9BE">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10760E15">
            <w:pPr>
              <w:adjustRightInd w:val="0"/>
              <w:snapToGrid w:val="0"/>
              <w:spacing w:line="300" w:lineRule="exact"/>
              <w:jc w:val="center"/>
              <w:rPr>
                <w:rFonts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rPr>
              <w:t>统一社会信用代码</w:t>
            </w:r>
          </w:p>
        </w:tc>
        <w:tc>
          <w:tcPr>
            <w:tcW w:w="1436" w:type="pct"/>
            <w:tcBorders>
              <w:top w:val="single" w:color="auto" w:sz="2" w:space="0"/>
              <w:left w:val="single" w:color="auto" w:sz="2" w:space="0"/>
              <w:bottom w:val="single" w:color="auto" w:sz="2" w:space="0"/>
              <w:right w:val="single" w:color="auto" w:sz="2" w:space="0"/>
            </w:tcBorders>
            <w:vAlign w:val="center"/>
          </w:tcPr>
          <w:p w14:paraId="3841D993">
            <w:pPr>
              <w:adjustRightInd w:val="0"/>
              <w:snapToGrid w:val="0"/>
              <w:spacing w:line="300" w:lineRule="exact"/>
              <w:jc w:val="center"/>
              <w:rPr>
                <w:rFonts w:ascii="Times New Roman" w:hAnsi="Times New Roman" w:eastAsia="宋体" w:cs="Times New Roman"/>
                <w:color w:val="auto"/>
                <w:szCs w:val="21"/>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5E7248C4">
            <w:pPr>
              <w:adjustRightInd w:val="0"/>
              <w:snapToGrid w:val="0"/>
              <w:spacing w:line="300" w:lineRule="exact"/>
              <w:jc w:val="center"/>
              <w:rPr>
                <w:rFonts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rPr>
              <w:t>统一社会信用代码</w:t>
            </w:r>
          </w:p>
        </w:tc>
        <w:tc>
          <w:tcPr>
            <w:tcW w:w="1259" w:type="pct"/>
            <w:tcBorders>
              <w:top w:val="single" w:color="auto" w:sz="2" w:space="0"/>
              <w:left w:val="single" w:color="auto" w:sz="2" w:space="0"/>
              <w:bottom w:val="single" w:color="auto" w:sz="2" w:space="0"/>
            </w:tcBorders>
            <w:vAlign w:val="center"/>
          </w:tcPr>
          <w:p w14:paraId="01DD4C37">
            <w:pPr>
              <w:adjustRightInd w:val="0"/>
              <w:snapToGrid w:val="0"/>
              <w:spacing w:line="300" w:lineRule="exact"/>
              <w:jc w:val="center"/>
              <w:rPr>
                <w:rFonts w:ascii="Times New Roman" w:hAnsi="Times New Roman" w:eastAsia="宋体" w:cs="Times New Roman"/>
                <w:color w:val="auto"/>
                <w:spacing w:val="20"/>
                <w:szCs w:val="21"/>
                <w:highlight w:val="none"/>
              </w:rPr>
            </w:pPr>
          </w:p>
        </w:tc>
      </w:tr>
      <w:tr w14:paraId="6BAEEA07">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2DB98E2D">
            <w:pPr>
              <w:adjustRightInd w:val="0"/>
              <w:snapToGrid w:val="0"/>
              <w:spacing w:line="300" w:lineRule="exact"/>
              <w:jc w:val="center"/>
              <w:rPr>
                <w:rFonts w:ascii="Times New Roman" w:hAnsi="Times New Roman" w:eastAsia="宋体" w:cs="Times New Roman"/>
                <w:color w:val="auto"/>
                <w:szCs w:val="21"/>
                <w:highlight w:val="none"/>
              </w:rPr>
            </w:pPr>
          </w:p>
        </w:tc>
        <w:tc>
          <w:tcPr>
            <w:tcW w:w="1436" w:type="pct"/>
            <w:tcBorders>
              <w:top w:val="single" w:color="auto" w:sz="2" w:space="0"/>
              <w:left w:val="single" w:color="auto" w:sz="2" w:space="0"/>
              <w:bottom w:val="single" w:color="auto" w:sz="2" w:space="0"/>
              <w:right w:val="single" w:color="auto" w:sz="2" w:space="0"/>
            </w:tcBorders>
            <w:vAlign w:val="center"/>
          </w:tcPr>
          <w:p w14:paraId="0F5C8668">
            <w:pPr>
              <w:adjustRightInd w:val="0"/>
              <w:snapToGrid w:val="0"/>
              <w:spacing w:line="300" w:lineRule="exact"/>
              <w:jc w:val="center"/>
              <w:rPr>
                <w:rFonts w:ascii="Times New Roman" w:hAnsi="Times New Roman" w:eastAsia="宋体" w:cs="Times New Roman"/>
                <w:color w:val="auto"/>
                <w:szCs w:val="21"/>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60C283CD">
            <w:pPr>
              <w:adjustRightInd w:val="0"/>
              <w:snapToGrid w:val="0"/>
              <w:spacing w:line="300" w:lineRule="exact"/>
              <w:jc w:val="center"/>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开户名称</w:t>
            </w:r>
          </w:p>
        </w:tc>
        <w:tc>
          <w:tcPr>
            <w:tcW w:w="1259" w:type="pct"/>
            <w:tcBorders>
              <w:top w:val="single" w:color="auto" w:sz="2" w:space="0"/>
              <w:left w:val="single" w:color="auto" w:sz="2" w:space="0"/>
              <w:bottom w:val="single" w:color="auto" w:sz="2" w:space="0"/>
            </w:tcBorders>
            <w:vAlign w:val="center"/>
          </w:tcPr>
          <w:p w14:paraId="06802235">
            <w:pPr>
              <w:adjustRightInd w:val="0"/>
              <w:snapToGrid w:val="0"/>
              <w:spacing w:line="300" w:lineRule="exact"/>
              <w:jc w:val="center"/>
              <w:rPr>
                <w:rFonts w:ascii="Times New Roman" w:hAnsi="Times New Roman" w:eastAsia="宋体" w:cs="Times New Roman"/>
                <w:color w:val="auto"/>
                <w:spacing w:val="20"/>
                <w:szCs w:val="21"/>
                <w:highlight w:val="none"/>
              </w:rPr>
            </w:pPr>
          </w:p>
        </w:tc>
      </w:tr>
      <w:tr w14:paraId="65D2FA04">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0117D277">
            <w:pPr>
              <w:adjustRightInd w:val="0"/>
              <w:snapToGrid w:val="0"/>
              <w:spacing w:line="300" w:lineRule="exact"/>
              <w:jc w:val="center"/>
              <w:rPr>
                <w:rFonts w:ascii="Times New Roman" w:hAnsi="Times New Roman" w:eastAsia="宋体" w:cs="Times New Roman"/>
                <w:color w:val="auto"/>
                <w:szCs w:val="21"/>
                <w:highlight w:val="none"/>
              </w:rPr>
            </w:pPr>
          </w:p>
        </w:tc>
        <w:tc>
          <w:tcPr>
            <w:tcW w:w="1436" w:type="pct"/>
            <w:tcBorders>
              <w:top w:val="single" w:color="auto" w:sz="2" w:space="0"/>
              <w:left w:val="single" w:color="auto" w:sz="2" w:space="0"/>
              <w:bottom w:val="single" w:color="auto" w:sz="2" w:space="0"/>
              <w:right w:val="single" w:color="auto" w:sz="2" w:space="0"/>
            </w:tcBorders>
            <w:vAlign w:val="center"/>
          </w:tcPr>
          <w:p w14:paraId="4DD24505">
            <w:pPr>
              <w:adjustRightInd w:val="0"/>
              <w:snapToGrid w:val="0"/>
              <w:spacing w:line="300" w:lineRule="exact"/>
              <w:jc w:val="center"/>
              <w:rPr>
                <w:rFonts w:ascii="Times New Roman" w:hAnsi="Times New Roman" w:eastAsia="宋体" w:cs="Times New Roman"/>
                <w:color w:val="auto"/>
                <w:szCs w:val="21"/>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3C54B9C9">
            <w:pPr>
              <w:adjustRightInd w:val="0"/>
              <w:snapToGrid w:val="0"/>
              <w:spacing w:line="300" w:lineRule="exact"/>
              <w:jc w:val="center"/>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开户银行</w:t>
            </w:r>
          </w:p>
        </w:tc>
        <w:tc>
          <w:tcPr>
            <w:tcW w:w="1259" w:type="pct"/>
            <w:tcBorders>
              <w:top w:val="single" w:color="auto" w:sz="2" w:space="0"/>
              <w:left w:val="single" w:color="auto" w:sz="2" w:space="0"/>
              <w:bottom w:val="single" w:color="auto" w:sz="2" w:space="0"/>
            </w:tcBorders>
            <w:vAlign w:val="center"/>
          </w:tcPr>
          <w:p w14:paraId="67DD2842">
            <w:pPr>
              <w:adjustRightInd w:val="0"/>
              <w:snapToGrid w:val="0"/>
              <w:spacing w:line="300" w:lineRule="exact"/>
              <w:jc w:val="center"/>
              <w:rPr>
                <w:rFonts w:ascii="Times New Roman" w:hAnsi="Times New Roman" w:eastAsia="宋体" w:cs="Times New Roman"/>
                <w:color w:val="auto"/>
                <w:spacing w:val="20"/>
                <w:szCs w:val="21"/>
                <w:highlight w:val="none"/>
              </w:rPr>
            </w:pPr>
          </w:p>
        </w:tc>
      </w:tr>
      <w:tr w14:paraId="71E3F8B2">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1E9FC8A8">
            <w:pPr>
              <w:adjustRightInd w:val="0"/>
              <w:snapToGrid w:val="0"/>
              <w:spacing w:line="300" w:lineRule="exact"/>
              <w:jc w:val="center"/>
              <w:rPr>
                <w:rFonts w:ascii="Times New Roman" w:hAnsi="Times New Roman" w:eastAsia="宋体" w:cs="Times New Roman"/>
                <w:color w:val="auto"/>
                <w:szCs w:val="21"/>
                <w:highlight w:val="none"/>
              </w:rPr>
            </w:pPr>
          </w:p>
        </w:tc>
        <w:tc>
          <w:tcPr>
            <w:tcW w:w="1436" w:type="pct"/>
            <w:tcBorders>
              <w:top w:val="single" w:color="auto" w:sz="2" w:space="0"/>
              <w:left w:val="single" w:color="auto" w:sz="2" w:space="0"/>
              <w:bottom w:val="single" w:color="auto" w:sz="2" w:space="0"/>
              <w:right w:val="single" w:color="auto" w:sz="2" w:space="0"/>
            </w:tcBorders>
            <w:vAlign w:val="center"/>
          </w:tcPr>
          <w:p w14:paraId="74028F22">
            <w:pPr>
              <w:adjustRightInd w:val="0"/>
              <w:snapToGrid w:val="0"/>
              <w:spacing w:line="300" w:lineRule="exact"/>
              <w:jc w:val="center"/>
              <w:rPr>
                <w:rFonts w:ascii="Times New Roman" w:hAnsi="Times New Roman" w:eastAsia="宋体" w:cs="Times New Roman"/>
                <w:color w:val="auto"/>
                <w:szCs w:val="21"/>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22CAF522">
            <w:pPr>
              <w:adjustRightInd w:val="0"/>
              <w:snapToGrid w:val="0"/>
              <w:spacing w:line="300" w:lineRule="exact"/>
              <w:jc w:val="center"/>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银行账号</w:t>
            </w:r>
          </w:p>
        </w:tc>
        <w:tc>
          <w:tcPr>
            <w:tcW w:w="1259" w:type="pct"/>
            <w:tcBorders>
              <w:top w:val="single" w:color="auto" w:sz="2" w:space="0"/>
              <w:left w:val="single" w:color="auto" w:sz="2" w:space="0"/>
              <w:bottom w:val="single" w:color="auto" w:sz="2" w:space="0"/>
            </w:tcBorders>
            <w:vAlign w:val="center"/>
          </w:tcPr>
          <w:p w14:paraId="6C4A51D1">
            <w:pPr>
              <w:adjustRightInd w:val="0"/>
              <w:snapToGrid w:val="0"/>
              <w:spacing w:line="300" w:lineRule="exact"/>
              <w:jc w:val="center"/>
              <w:rPr>
                <w:rFonts w:ascii="Times New Roman" w:hAnsi="Times New Roman" w:eastAsia="宋体" w:cs="Times New Roman"/>
                <w:color w:val="auto"/>
                <w:spacing w:val="20"/>
                <w:szCs w:val="21"/>
                <w:highlight w:val="none"/>
              </w:rPr>
            </w:pPr>
          </w:p>
        </w:tc>
      </w:tr>
      <w:tr w14:paraId="0799C321">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586" w:hRule="atLeast"/>
        </w:trPr>
        <w:tc>
          <w:tcPr>
            <w:tcW w:w="5000" w:type="pct"/>
            <w:gridSpan w:val="4"/>
            <w:tcBorders>
              <w:top w:val="single" w:color="auto" w:sz="2" w:space="0"/>
            </w:tcBorders>
            <w:vAlign w:val="center"/>
          </w:tcPr>
          <w:p w14:paraId="7EE4C87B">
            <w:pPr>
              <w:widowControl w:val="0"/>
              <w:adjustRightInd w:val="0"/>
              <w:snapToGrid w:val="0"/>
              <w:spacing w:before="156" w:beforeLines="50" w:after="0" w:line="360" w:lineRule="auto"/>
              <w:ind w:left="0" w:leftChars="0"/>
              <w:jc w:val="left"/>
              <w:rPr>
                <w:rFonts w:ascii="Times New Roman" w:hAnsi="Times New Roman" w:eastAsia="宋体" w:cs="Times New Roman"/>
                <w:color w:val="auto"/>
                <w:spacing w:val="20"/>
                <w:kern w:val="2"/>
                <w:sz w:val="21"/>
                <w:szCs w:val="21"/>
                <w:highlight w:val="none"/>
                <w:lang w:val="en-US" w:eastAsia="zh-CN" w:bidi="ar-SA"/>
              </w:rPr>
            </w:pPr>
            <w:r>
              <w:rPr>
                <w:rFonts w:hint="eastAsia" w:ascii="宋体" w:hAnsi="宋体" w:eastAsia="宋体" w:cs="Times New Roman"/>
                <w:color w:val="auto"/>
                <w:kern w:val="2"/>
                <w:sz w:val="21"/>
                <w:szCs w:val="21"/>
                <w:highlight w:val="none"/>
                <w:lang w:val="en-US" w:eastAsia="zh-CN" w:bidi="ar-SA"/>
              </w:rPr>
              <w:t>注：涉及联合体或其他合同主体的信息应按上表格式加列。</w:t>
            </w:r>
          </w:p>
        </w:tc>
      </w:tr>
    </w:tbl>
    <w:p w14:paraId="4FC31A81">
      <w:pPr>
        <w:keepNext/>
        <w:keepLines/>
        <w:widowControl w:val="0"/>
        <w:adjustRightInd w:val="0"/>
        <w:snapToGrid w:val="0"/>
        <w:spacing w:before="156" w:beforeLines="50" w:line="360" w:lineRule="auto"/>
        <w:jc w:val="center"/>
        <w:outlineLvl w:val="1"/>
        <w:rPr>
          <w:rFonts w:ascii="黑体" w:hAnsi="黑体" w:eastAsia="黑体" w:cs="Times New Roman"/>
          <w:b/>
          <w:bCs/>
          <w:color w:val="auto"/>
          <w:kern w:val="2"/>
          <w:sz w:val="28"/>
          <w:szCs w:val="28"/>
          <w:highlight w:val="none"/>
          <w:lang w:val="en-US" w:eastAsia="zh-CN" w:bidi="ar-SA"/>
        </w:rPr>
      </w:pPr>
      <w:r>
        <w:rPr>
          <w:rFonts w:ascii="宋体" w:hAnsi="宋体" w:eastAsia="宋体" w:cs="Times New Roman"/>
          <w:b/>
          <w:bCs/>
          <w:color w:val="auto"/>
          <w:kern w:val="2"/>
          <w:sz w:val="21"/>
          <w:szCs w:val="21"/>
          <w:highlight w:val="none"/>
          <w:u w:val="single"/>
          <w:lang w:val="en-US" w:eastAsia="zh-CN" w:bidi="ar-SA"/>
        </w:rPr>
        <w:br w:type="page"/>
      </w:r>
      <w:bookmarkStart w:id="714" w:name="_Toc27624"/>
      <w:r>
        <w:rPr>
          <w:rFonts w:hint="eastAsia" w:ascii="黑体" w:hAnsi="黑体" w:eastAsia="黑体" w:cs="Times New Roman"/>
          <w:b w:val="0"/>
          <w:bCs w:val="0"/>
          <w:color w:val="auto"/>
          <w:kern w:val="2"/>
          <w:sz w:val="28"/>
          <w:szCs w:val="28"/>
          <w:highlight w:val="none"/>
          <w:lang w:val="en-US" w:eastAsia="zh-CN" w:bidi="ar-SA"/>
        </w:rPr>
        <w:t>第二节 政府采购合同通用条款</w:t>
      </w:r>
      <w:bookmarkEnd w:id="714"/>
    </w:p>
    <w:p w14:paraId="1C19BFAD">
      <w:pPr>
        <w:tabs>
          <w:tab w:val="left" w:pos="8820"/>
          <w:tab w:val="left" w:pos="9345"/>
          <w:tab w:val="left" w:pos="9765"/>
        </w:tabs>
        <w:adjustRightInd w:val="0"/>
        <w:snapToGrid w:val="0"/>
        <w:spacing w:before="0" w:line="400" w:lineRule="exact"/>
        <w:jc w:val="left"/>
        <w:rPr>
          <w:rFonts w:ascii="宋体" w:hAnsi="宋体" w:eastAsia="宋体" w:cs="Times New Roman"/>
          <w:b/>
          <w:bCs/>
          <w:color w:val="auto"/>
          <w:sz w:val="24"/>
          <w:highlight w:val="none"/>
        </w:rPr>
      </w:pPr>
      <w:r>
        <w:rPr>
          <w:rFonts w:hint="eastAsia" w:ascii="宋体" w:hAnsi="宋体" w:eastAsia="宋体" w:cs="Times New Roman"/>
          <w:b/>
          <w:color w:val="auto"/>
          <w:sz w:val="24"/>
          <w:highlight w:val="none"/>
        </w:rPr>
        <w:t>1.</w:t>
      </w:r>
      <w:r>
        <w:rPr>
          <w:rFonts w:hint="eastAsia" w:ascii="宋体" w:hAnsi="宋体" w:eastAsia="宋体" w:cs="Times New Roman"/>
          <w:b/>
          <w:color w:val="auto"/>
          <w:sz w:val="24"/>
          <w:highlight w:val="none"/>
          <w:lang w:val="en-US" w:eastAsia="zh-CN"/>
        </w:rPr>
        <w:t xml:space="preserve"> </w:t>
      </w:r>
      <w:r>
        <w:rPr>
          <w:rFonts w:hint="eastAsia" w:ascii="宋体" w:hAnsi="宋体" w:eastAsia="宋体" w:cs="Times New Roman"/>
          <w:b/>
          <w:bCs/>
          <w:color w:val="auto"/>
          <w:sz w:val="24"/>
          <w:highlight w:val="none"/>
        </w:rPr>
        <w:t>定义</w:t>
      </w:r>
    </w:p>
    <w:p w14:paraId="0F0E7524">
      <w:pPr>
        <w:autoSpaceDE w:val="0"/>
        <w:autoSpaceDN w:val="0"/>
        <w:adjustRightInd w:val="0"/>
        <w:snapToGrid w:val="0"/>
        <w:spacing w:before="0" w:line="4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1.1合同当事人</w:t>
      </w:r>
    </w:p>
    <w:p w14:paraId="3CD98D7C">
      <w:pPr>
        <w:autoSpaceDE w:val="0"/>
        <w:autoSpaceDN w:val="0"/>
        <w:adjustRightInd w:val="0"/>
        <w:snapToGrid w:val="0"/>
        <w:spacing w:before="0" w:line="4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（1）采购人（以下称甲方）是指使用财政性资金，通过政府采购方式向供应商购买货物</w:t>
      </w:r>
      <w:r>
        <w:rPr>
          <w:rFonts w:hint="eastAsia" w:ascii="宋体" w:hAnsi="宋体" w:eastAsia="宋体" w:cs="Times New Roman"/>
          <w:color w:val="auto"/>
          <w:szCs w:val="21"/>
          <w:highlight w:val="none"/>
          <w:lang w:val="en-US" w:eastAsia="zh-CN"/>
        </w:rPr>
        <w:t>及其相关服务的</w:t>
      </w:r>
      <w:r>
        <w:rPr>
          <w:rFonts w:hint="eastAsia" w:ascii="宋体" w:hAnsi="宋体" w:eastAsia="宋体" w:cs="Times New Roman"/>
          <w:color w:val="auto"/>
          <w:szCs w:val="21"/>
          <w:highlight w:val="none"/>
        </w:rPr>
        <w:t>国家机关、事业单位、团体组织。</w:t>
      </w:r>
    </w:p>
    <w:p w14:paraId="5E3A6F40">
      <w:pPr>
        <w:autoSpaceDE w:val="0"/>
        <w:autoSpaceDN w:val="0"/>
        <w:adjustRightInd w:val="0"/>
        <w:snapToGrid w:val="0"/>
        <w:spacing w:before="0" w:line="4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（2）供应商（以下称</w:t>
      </w:r>
      <w:r>
        <w:rPr>
          <w:rFonts w:hint="eastAsia" w:ascii="宋体" w:hAnsi="宋体" w:eastAsia="宋体" w:cs="Times New Roman"/>
          <w:color w:val="auto"/>
          <w:szCs w:val="21"/>
          <w:highlight w:val="none"/>
          <w:lang w:eastAsia="zh-CN"/>
        </w:rPr>
        <w:t>乙</w:t>
      </w:r>
      <w:r>
        <w:rPr>
          <w:rFonts w:hint="eastAsia" w:ascii="宋体" w:hAnsi="宋体" w:eastAsia="宋体" w:cs="Times New Roman"/>
          <w:color w:val="auto"/>
          <w:szCs w:val="21"/>
          <w:highlight w:val="none"/>
        </w:rPr>
        <w:t>方）是指参加政府采购活动并且中标（成交），向采购人提供</w:t>
      </w:r>
      <w:r>
        <w:rPr>
          <w:rFonts w:hint="eastAsia" w:ascii="宋体" w:hAnsi="宋体" w:eastAsia="宋体" w:cs="Times New Roman"/>
          <w:color w:val="auto"/>
          <w:szCs w:val="21"/>
          <w:highlight w:val="none"/>
          <w:lang w:val="en-US" w:eastAsia="zh-CN"/>
        </w:rPr>
        <w:t>合同约定的货物及其相关服务的法人、非法人组织或者自然人</w:t>
      </w:r>
      <w:r>
        <w:rPr>
          <w:rFonts w:hint="eastAsia" w:ascii="宋体" w:hAnsi="宋体" w:eastAsia="宋体" w:cs="Times New Roman"/>
          <w:color w:val="auto"/>
          <w:szCs w:val="21"/>
          <w:highlight w:val="none"/>
        </w:rPr>
        <w:t>。</w:t>
      </w:r>
    </w:p>
    <w:p w14:paraId="2A0E5C64">
      <w:pPr>
        <w:autoSpaceDE w:val="0"/>
        <w:autoSpaceDN w:val="0"/>
        <w:adjustRightInd w:val="0"/>
        <w:snapToGrid w:val="0"/>
        <w:spacing w:before="0" w:line="4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（3）其他合同主体是指除采购人和供应商以外，</w:t>
      </w:r>
      <w:r>
        <w:rPr>
          <w:rFonts w:hint="eastAsia" w:ascii="宋体" w:hAnsi="宋体" w:eastAsia="宋体" w:cs="宋体"/>
          <w:bCs/>
          <w:color w:val="auto"/>
          <w:szCs w:val="21"/>
          <w:highlight w:val="none"/>
        </w:rPr>
        <w:t>依法参与合同缔结或履行，享有权利、承担义务的合同当事人</w:t>
      </w:r>
      <w:r>
        <w:rPr>
          <w:rFonts w:hint="eastAsia" w:ascii="宋体" w:hAnsi="宋体" w:eastAsia="宋体" w:cs="Times New Roman"/>
          <w:color w:val="auto"/>
          <w:szCs w:val="21"/>
          <w:highlight w:val="none"/>
        </w:rPr>
        <w:t>。</w:t>
      </w:r>
    </w:p>
    <w:p w14:paraId="7046BF80">
      <w:pPr>
        <w:tabs>
          <w:tab w:val="left" w:pos="570"/>
          <w:tab w:val="left" w:pos="9240"/>
          <w:tab w:val="left" w:pos="9555"/>
        </w:tabs>
        <w:adjustRightInd w:val="0"/>
        <w:snapToGrid w:val="0"/>
        <w:spacing w:before="0" w:line="4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1.2本合同下列术语应解释为：</w:t>
      </w:r>
    </w:p>
    <w:p w14:paraId="2D9D7810">
      <w:pPr>
        <w:adjustRightInd w:val="0"/>
        <w:snapToGrid w:val="0"/>
        <w:spacing w:before="0" w:beforeLines="0" w:line="4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（1）“合同”系指</w:t>
      </w:r>
      <w:r>
        <w:rPr>
          <w:rFonts w:hint="eastAsia" w:ascii="宋体" w:hAnsi="宋体" w:eastAsia="宋体" w:cs="宋体"/>
          <w:bCs/>
          <w:color w:val="auto"/>
          <w:szCs w:val="21"/>
          <w:highlight w:val="none"/>
        </w:rPr>
        <w:t>合同当事人意思表示达成一致的任何协议，包括签署的</w:t>
      </w:r>
      <w:r>
        <w:rPr>
          <w:rFonts w:hint="eastAsia" w:ascii="宋体" w:hAnsi="宋体" w:eastAsia="宋体" w:cs="Times New Roman"/>
          <w:color w:val="auto"/>
          <w:szCs w:val="21"/>
          <w:highlight w:val="none"/>
          <w:lang w:eastAsia="zh-CN"/>
        </w:rPr>
        <w:t>政府采购</w:t>
      </w:r>
      <w:r>
        <w:rPr>
          <w:rFonts w:hint="eastAsia" w:ascii="宋体" w:hAnsi="宋体" w:eastAsia="宋体" w:cs="Times New Roman"/>
          <w:color w:val="auto"/>
          <w:szCs w:val="21"/>
          <w:highlight w:val="none"/>
        </w:rPr>
        <w:t>合同协议书及其变更、补充</w:t>
      </w:r>
      <w:r>
        <w:rPr>
          <w:rFonts w:hint="eastAsia" w:ascii="宋体" w:hAnsi="宋体" w:eastAsia="宋体" w:cs="Times New Roman"/>
          <w:color w:val="auto"/>
          <w:szCs w:val="21"/>
          <w:highlight w:val="none"/>
          <w:lang w:eastAsia="zh-CN"/>
        </w:rPr>
        <w:t>协议，</w:t>
      </w:r>
      <w:r>
        <w:rPr>
          <w:rFonts w:hint="eastAsia" w:ascii="宋体" w:hAnsi="宋体" w:eastAsia="宋体" w:cs="Times New Roman"/>
          <w:color w:val="auto"/>
          <w:szCs w:val="21"/>
          <w:highlight w:val="none"/>
        </w:rPr>
        <w:t>政府采购合同专用条款</w:t>
      </w:r>
      <w:r>
        <w:rPr>
          <w:rFonts w:hint="eastAsia" w:ascii="宋体" w:hAnsi="宋体" w:eastAsia="宋体" w:cs="Times New Roman"/>
          <w:color w:val="auto"/>
          <w:szCs w:val="21"/>
          <w:highlight w:val="none"/>
          <w:lang w:eastAsia="zh-CN"/>
        </w:rPr>
        <w:t>，</w:t>
      </w:r>
      <w:r>
        <w:rPr>
          <w:rFonts w:hint="eastAsia" w:ascii="宋体" w:hAnsi="宋体" w:eastAsia="宋体" w:cs="Times New Roman"/>
          <w:color w:val="auto"/>
          <w:szCs w:val="21"/>
          <w:highlight w:val="none"/>
        </w:rPr>
        <w:t>政府采购合同通用条款</w:t>
      </w:r>
      <w:r>
        <w:rPr>
          <w:rFonts w:hint="eastAsia" w:ascii="宋体" w:hAnsi="宋体" w:eastAsia="宋体" w:cs="Times New Roman"/>
          <w:color w:val="auto"/>
          <w:szCs w:val="21"/>
          <w:highlight w:val="none"/>
          <w:lang w:eastAsia="zh-CN"/>
        </w:rPr>
        <w:t>，</w:t>
      </w:r>
      <w:r>
        <w:rPr>
          <w:rFonts w:hint="eastAsia" w:ascii="宋体" w:hAnsi="宋体" w:eastAsia="宋体" w:cs="Times New Roman"/>
          <w:color w:val="auto"/>
          <w:szCs w:val="21"/>
          <w:highlight w:val="none"/>
        </w:rPr>
        <w:t>中标</w:t>
      </w:r>
      <w:r>
        <w:rPr>
          <w:rFonts w:hint="eastAsia" w:ascii="宋体" w:hAnsi="宋体" w:eastAsia="宋体" w:cs="Times New Roman"/>
          <w:color w:val="auto"/>
          <w:szCs w:val="21"/>
          <w:highlight w:val="none"/>
          <w:lang w:eastAsia="zh-CN"/>
        </w:rPr>
        <w:t>（成交）</w:t>
      </w:r>
      <w:r>
        <w:rPr>
          <w:rFonts w:hint="eastAsia" w:ascii="宋体" w:hAnsi="宋体" w:eastAsia="宋体" w:cs="Times New Roman"/>
          <w:color w:val="auto"/>
          <w:szCs w:val="21"/>
          <w:highlight w:val="none"/>
        </w:rPr>
        <w:t>通知书</w:t>
      </w:r>
      <w:r>
        <w:rPr>
          <w:rFonts w:hint="eastAsia" w:ascii="宋体" w:hAnsi="宋体" w:eastAsia="宋体" w:cs="Times New Roman"/>
          <w:color w:val="auto"/>
          <w:szCs w:val="21"/>
          <w:highlight w:val="none"/>
          <w:lang w:eastAsia="zh-CN"/>
        </w:rPr>
        <w:t>，</w:t>
      </w:r>
      <w:r>
        <w:rPr>
          <w:rFonts w:hint="eastAsia" w:ascii="宋体" w:hAnsi="宋体" w:eastAsia="宋体" w:cs="Times New Roman"/>
          <w:color w:val="auto"/>
          <w:szCs w:val="21"/>
          <w:highlight w:val="none"/>
        </w:rPr>
        <w:t>投标（响应）文件</w:t>
      </w:r>
      <w:r>
        <w:rPr>
          <w:rFonts w:hint="eastAsia" w:ascii="宋体" w:hAnsi="宋体" w:eastAsia="宋体" w:cs="Times New Roman"/>
          <w:color w:val="auto"/>
          <w:szCs w:val="21"/>
          <w:highlight w:val="none"/>
          <w:lang w:eastAsia="zh-CN"/>
        </w:rPr>
        <w:t>，</w:t>
      </w:r>
      <w:r>
        <w:rPr>
          <w:rFonts w:hint="eastAsia" w:ascii="宋体" w:hAnsi="宋体" w:eastAsia="宋体" w:cs="Times New Roman"/>
          <w:color w:val="auto"/>
          <w:szCs w:val="21"/>
          <w:highlight w:val="none"/>
        </w:rPr>
        <w:t>采购文件</w:t>
      </w:r>
      <w:r>
        <w:rPr>
          <w:rFonts w:hint="eastAsia" w:ascii="宋体" w:hAnsi="宋体" w:eastAsia="宋体" w:cs="Times New Roman"/>
          <w:color w:val="auto"/>
          <w:szCs w:val="21"/>
          <w:highlight w:val="none"/>
          <w:lang w:eastAsia="zh-CN"/>
        </w:rPr>
        <w:t>，</w:t>
      </w:r>
      <w:r>
        <w:rPr>
          <w:rFonts w:hint="eastAsia" w:ascii="宋体" w:hAnsi="宋体" w:eastAsia="宋体" w:cs="Times New Roman"/>
          <w:color w:val="auto"/>
          <w:szCs w:val="21"/>
          <w:highlight w:val="none"/>
        </w:rPr>
        <w:t>有关技术文件</w:t>
      </w:r>
      <w:r>
        <w:rPr>
          <w:rFonts w:hint="eastAsia" w:ascii="宋体" w:hAnsi="宋体" w:eastAsia="宋体" w:cs="Times New Roman"/>
          <w:color w:val="auto"/>
          <w:szCs w:val="21"/>
          <w:highlight w:val="none"/>
          <w:lang w:eastAsia="zh-CN"/>
        </w:rPr>
        <w:t>和</w:t>
      </w:r>
      <w:r>
        <w:rPr>
          <w:rFonts w:hint="eastAsia" w:ascii="宋体" w:hAnsi="宋体" w:eastAsia="宋体" w:cs="Times New Roman"/>
          <w:color w:val="auto"/>
          <w:szCs w:val="21"/>
          <w:highlight w:val="none"/>
        </w:rPr>
        <w:t>图纸</w:t>
      </w:r>
      <w:r>
        <w:rPr>
          <w:rFonts w:hint="eastAsia" w:ascii="宋体" w:hAnsi="宋体" w:eastAsia="宋体" w:cs="Times New Roman"/>
          <w:color w:val="auto"/>
          <w:szCs w:val="21"/>
          <w:highlight w:val="none"/>
          <w:lang w:eastAsia="zh-CN"/>
        </w:rPr>
        <w:t>，以及</w:t>
      </w:r>
      <w:r>
        <w:rPr>
          <w:rFonts w:hint="eastAsia" w:ascii="宋体" w:hAnsi="宋体" w:eastAsia="宋体" w:cs="宋体"/>
          <w:bCs w:val="0"/>
          <w:color w:val="auto"/>
          <w:kern w:val="2"/>
          <w:sz w:val="21"/>
          <w:szCs w:val="21"/>
          <w:highlight w:val="none"/>
          <w:lang w:eastAsia="zh-CN"/>
        </w:rPr>
        <w:t>国家法律、行政法规和规章制度规定或合同约定的作为合同组成部分的其他文件</w:t>
      </w:r>
      <w:r>
        <w:rPr>
          <w:rFonts w:hint="eastAsia" w:ascii="宋体" w:hAnsi="宋体" w:eastAsia="宋体" w:cs="Times New Roman"/>
          <w:color w:val="auto"/>
          <w:szCs w:val="21"/>
          <w:highlight w:val="none"/>
        </w:rPr>
        <w:t>。</w:t>
      </w:r>
    </w:p>
    <w:p w14:paraId="35857899">
      <w:pPr>
        <w:tabs>
          <w:tab w:val="left" w:pos="570"/>
          <w:tab w:val="left" w:pos="9240"/>
          <w:tab w:val="left" w:pos="9555"/>
        </w:tabs>
        <w:adjustRightInd w:val="0"/>
        <w:snapToGrid w:val="0"/>
        <w:spacing w:before="0" w:line="4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w:t>
      </w:r>
      <w:r>
        <w:rPr>
          <w:rFonts w:hint="eastAsia" w:ascii="宋体" w:hAnsi="宋体" w:eastAsia="宋体" w:cs="Times New Roman"/>
          <w:color w:val="auto"/>
          <w:szCs w:val="21"/>
          <w:highlight w:val="none"/>
          <w:lang w:val="en-US" w:eastAsia="zh-CN"/>
        </w:rPr>
        <w:t>2</w:t>
      </w:r>
      <w:r>
        <w:rPr>
          <w:rFonts w:hint="eastAsia" w:ascii="宋体" w:hAnsi="宋体" w:eastAsia="宋体" w:cs="Times New Roman"/>
          <w:color w:val="auto"/>
          <w:szCs w:val="21"/>
          <w:highlight w:val="none"/>
        </w:rPr>
        <w:t>）“合同价</w:t>
      </w:r>
      <w:r>
        <w:rPr>
          <w:rFonts w:hint="eastAsia" w:ascii="宋体" w:hAnsi="宋体" w:eastAsia="宋体" w:cs="Times New Roman"/>
          <w:color w:val="auto"/>
          <w:szCs w:val="21"/>
          <w:highlight w:val="none"/>
          <w:lang w:val="en-US" w:eastAsia="zh-CN"/>
        </w:rPr>
        <w:t>款</w:t>
      </w:r>
      <w:r>
        <w:rPr>
          <w:rFonts w:hint="eastAsia" w:ascii="宋体" w:hAnsi="宋体" w:eastAsia="宋体" w:cs="Times New Roman"/>
          <w:color w:val="auto"/>
          <w:szCs w:val="21"/>
          <w:highlight w:val="none"/>
        </w:rPr>
        <w:t>”系指根据本合同规定乙方在全面履行合同义务后甲方应支付给乙方的价款。</w:t>
      </w:r>
    </w:p>
    <w:p w14:paraId="3BCCAA1A">
      <w:pPr>
        <w:tabs>
          <w:tab w:val="left" w:pos="570"/>
          <w:tab w:val="left" w:pos="9240"/>
          <w:tab w:val="left" w:pos="9555"/>
        </w:tabs>
        <w:adjustRightInd w:val="0"/>
        <w:snapToGrid w:val="0"/>
        <w:spacing w:before="0" w:line="400" w:lineRule="exact"/>
        <w:ind w:firstLine="420" w:firstLineChars="200"/>
        <w:jc w:val="left"/>
        <w:rPr>
          <w:rFonts w:hint="eastAsia" w:ascii="宋体" w:hAnsi="宋体" w:eastAsia="宋体" w:cs="Times New Roman"/>
          <w:color w:val="auto"/>
          <w:szCs w:val="21"/>
          <w:highlight w:val="none"/>
          <w:lang w:eastAsia="zh-CN"/>
        </w:rPr>
      </w:pPr>
      <w:r>
        <w:rPr>
          <w:rFonts w:hint="eastAsia" w:ascii="宋体" w:hAnsi="宋体" w:eastAsia="宋体" w:cs="Times New Roman"/>
          <w:color w:val="auto"/>
          <w:szCs w:val="21"/>
          <w:highlight w:val="none"/>
        </w:rPr>
        <w:t>（</w:t>
      </w:r>
      <w:r>
        <w:rPr>
          <w:rFonts w:hint="eastAsia" w:ascii="宋体" w:hAnsi="宋体" w:eastAsia="宋体" w:cs="Times New Roman"/>
          <w:color w:val="auto"/>
          <w:szCs w:val="21"/>
          <w:highlight w:val="none"/>
          <w:lang w:val="en-US" w:eastAsia="zh-CN"/>
        </w:rPr>
        <w:t>3</w:t>
      </w:r>
      <w:r>
        <w:rPr>
          <w:rFonts w:hint="eastAsia" w:ascii="宋体" w:hAnsi="宋体" w:eastAsia="宋体" w:cs="Times New Roman"/>
          <w:color w:val="auto"/>
          <w:szCs w:val="21"/>
          <w:highlight w:val="none"/>
        </w:rPr>
        <w:t>）“货物”系指乙方根据本合同规定须向甲方提供的各种形态和种类的物品，包括原材料、设备、产品（包括软件）及相关的其备品备件、工具、手册及</w:t>
      </w:r>
      <w:r>
        <w:rPr>
          <w:rFonts w:hint="default" w:ascii="宋体" w:hAnsi="宋体" w:eastAsia="宋体" w:cs="Times New Roman"/>
          <w:color w:val="auto"/>
          <w:szCs w:val="21"/>
          <w:highlight w:val="none"/>
          <w:lang w:val="en"/>
        </w:rPr>
        <w:t>其他</w:t>
      </w:r>
      <w:r>
        <w:rPr>
          <w:rFonts w:hint="eastAsia" w:ascii="宋体" w:hAnsi="宋体" w:eastAsia="宋体" w:cs="Times New Roman"/>
          <w:color w:val="auto"/>
          <w:szCs w:val="21"/>
          <w:highlight w:val="none"/>
        </w:rPr>
        <w:t>技术资料和材料</w:t>
      </w:r>
      <w:r>
        <w:rPr>
          <w:rFonts w:hint="eastAsia" w:ascii="宋体" w:hAnsi="宋体" w:eastAsia="宋体" w:cs="Times New Roman"/>
          <w:color w:val="auto"/>
          <w:szCs w:val="21"/>
          <w:highlight w:val="none"/>
          <w:lang w:eastAsia="zh-CN"/>
        </w:rPr>
        <w:t>等</w:t>
      </w:r>
      <w:r>
        <w:rPr>
          <w:rFonts w:hint="eastAsia" w:ascii="宋体" w:hAnsi="宋体" w:eastAsia="宋体" w:cs="Times New Roman"/>
          <w:color w:val="auto"/>
          <w:szCs w:val="21"/>
          <w:highlight w:val="none"/>
        </w:rPr>
        <w:t>。</w:t>
      </w:r>
    </w:p>
    <w:p w14:paraId="4F3257F1">
      <w:pPr>
        <w:adjustRightInd w:val="0"/>
        <w:snapToGrid w:val="0"/>
        <w:spacing w:before="0" w:line="400" w:lineRule="exact"/>
        <w:ind w:firstLine="420" w:firstLineChars="200"/>
        <w:jc w:val="left"/>
        <w:rPr>
          <w:rFonts w:hint="eastAsia" w:ascii="宋体" w:hAnsi="宋体" w:eastAsia="宋体" w:cs="Times New Roman"/>
          <w:color w:val="auto"/>
          <w:szCs w:val="21"/>
          <w:highlight w:val="none"/>
          <w:lang w:eastAsia="zh-CN"/>
        </w:rPr>
      </w:pPr>
      <w:r>
        <w:rPr>
          <w:rFonts w:hint="eastAsia" w:ascii="宋体" w:hAnsi="宋体" w:eastAsia="宋体" w:cs="Times New Roman"/>
          <w:color w:val="auto"/>
          <w:szCs w:val="21"/>
          <w:highlight w:val="none"/>
        </w:rPr>
        <w:t>（</w:t>
      </w:r>
      <w:r>
        <w:rPr>
          <w:rFonts w:hint="eastAsia" w:ascii="宋体" w:hAnsi="宋体" w:eastAsia="宋体" w:cs="Times New Roman"/>
          <w:color w:val="auto"/>
          <w:szCs w:val="21"/>
          <w:highlight w:val="none"/>
          <w:lang w:val="en-US" w:eastAsia="zh-CN"/>
        </w:rPr>
        <w:t>4</w:t>
      </w:r>
      <w:r>
        <w:rPr>
          <w:rFonts w:hint="eastAsia" w:ascii="宋体" w:hAnsi="宋体" w:eastAsia="宋体" w:cs="Times New Roman"/>
          <w:color w:val="auto"/>
          <w:szCs w:val="21"/>
          <w:highlight w:val="none"/>
        </w:rPr>
        <w:t>）“</w:t>
      </w:r>
      <w:r>
        <w:rPr>
          <w:rFonts w:hint="eastAsia" w:ascii="宋体" w:hAnsi="宋体" w:eastAsia="宋体" w:cs="Times New Roman"/>
          <w:color w:val="auto"/>
          <w:szCs w:val="21"/>
          <w:highlight w:val="none"/>
          <w:lang w:val="en-US" w:eastAsia="zh-CN"/>
        </w:rPr>
        <w:t>相关</w:t>
      </w:r>
      <w:r>
        <w:rPr>
          <w:rFonts w:hint="eastAsia" w:ascii="宋体" w:hAnsi="宋体" w:eastAsia="宋体" w:cs="Times New Roman"/>
          <w:color w:val="auto"/>
          <w:szCs w:val="21"/>
          <w:highlight w:val="none"/>
        </w:rPr>
        <w:t>服务”系指根据合同规定，乙方应提供的</w:t>
      </w:r>
      <w:r>
        <w:rPr>
          <w:rFonts w:hint="eastAsia" w:ascii="宋体" w:hAnsi="宋体" w:eastAsia="宋体" w:cs="Times New Roman"/>
          <w:color w:val="auto"/>
          <w:szCs w:val="21"/>
          <w:highlight w:val="none"/>
          <w:lang w:val="en-US" w:eastAsia="zh-CN"/>
        </w:rPr>
        <w:t>与货物有关的</w:t>
      </w:r>
      <w:r>
        <w:rPr>
          <w:rFonts w:hint="eastAsia" w:ascii="宋体" w:hAnsi="宋体" w:eastAsia="宋体" w:cs="Times New Roman"/>
          <w:color w:val="auto"/>
          <w:szCs w:val="21"/>
          <w:highlight w:val="none"/>
        </w:rPr>
        <w:t>技术、管理和</w:t>
      </w:r>
      <w:r>
        <w:rPr>
          <w:rFonts w:hint="default" w:ascii="宋体" w:hAnsi="宋体" w:eastAsia="宋体" w:cs="Times New Roman"/>
          <w:color w:val="auto"/>
          <w:szCs w:val="21"/>
          <w:highlight w:val="none"/>
          <w:lang w:val="en"/>
        </w:rPr>
        <w:t>其他</w:t>
      </w:r>
      <w:r>
        <w:rPr>
          <w:rFonts w:hint="eastAsia" w:ascii="宋体" w:hAnsi="宋体" w:eastAsia="宋体" w:cs="Times New Roman"/>
          <w:color w:val="auto"/>
          <w:szCs w:val="21"/>
          <w:highlight w:val="none"/>
        </w:rPr>
        <w:t>服务，包括但不限于：管理和质量保证、运输、保险、检验、现场准备、安装、集成、调试、培训、维修、</w:t>
      </w:r>
      <w:r>
        <w:rPr>
          <w:rFonts w:hint="eastAsia" w:ascii="宋体" w:hAnsi="宋体" w:eastAsia="宋体" w:cs="Times New Roman"/>
          <w:color w:val="auto"/>
          <w:szCs w:val="21"/>
          <w:highlight w:val="none"/>
          <w:lang w:eastAsia="zh-CN"/>
        </w:rPr>
        <w:t>废弃处置、</w:t>
      </w:r>
      <w:r>
        <w:rPr>
          <w:rFonts w:hint="eastAsia" w:ascii="宋体" w:hAnsi="宋体" w:eastAsia="宋体" w:cs="Times New Roman"/>
          <w:color w:val="auto"/>
          <w:szCs w:val="21"/>
          <w:highlight w:val="none"/>
        </w:rPr>
        <w:t>技术支持等以及合同中规定乙方应承担的</w:t>
      </w:r>
      <w:r>
        <w:rPr>
          <w:rFonts w:hint="default" w:ascii="宋体" w:hAnsi="宋体" w:eastAsia="宋体" w:cs="Times New Roman"/>
          <w:color w:val="auto"/>
          <w:szCs w:val="21"/>
          <w:highlight w:val="none"/>
          <w:lang w:val="en"/>
        </w:rPr>
        <w:t>其他</w:t>
      </w:r>
      <w:r>
        <w:rPr>
          <w:rFonts w:hint="eastAsia" w:ascii="宋体" w:hAnsi="宋体" w:eastAsia="宋体" w:cs="Times New Roman"/>
          <w:color w:val="auto"/>
          <w:szCs w:val="21"/>
          <w:highlight w:val="none"/>
        </w:rPr>
        <w:t>义务。</w:t>
      </w:r>
    </w:p>
    <w:p w14:paraId="7C05A1C0">
      <w:pPr>
        <w:adjustRightInd w:val="0"/>
        <w:snapToGrid w:val="0"/>
        <w:spacing w:before="0" w:line="400" w:lineRule="exact"/>
        <w:ind w:firstLine="420" w:firstLineChars="200"/>
        <w:jc w:val="left"/>
        <w:rPr>
          <w:rFonts w:hint="eastAsia" w:ascii="宋体" w:hAnsi="宋体" w:eastAsia="宋体" w:cs="Times New Roman"/>
          <w:color w:val="auto"/>
          <w:szCs w:val="21"/>
          <w:highlight w:val="none"/>
          <w:lang w:eastAsia="zh-CN"/>
        </w:rPr>
      </w:pPr>
      <w:r>
        <w:rPr>
          <w:rFonts w:hint="eastAsia" w:ascii="宋体" w:hAnsi="宋体" w:eastAsia="宋体" w:cs="Times New Roman"/>
          <w:color w:val="auto"/>
          <w:szCs w:val="21"/>
          <w:highlight w:val="none"/>
        </w:rPr>
        <w:t>（</w:t>
      </w:r>
      <w:r>
        <w:rPr>
          <w:rFonts w:hint="eastAsia" w:ascii="宋体" w:hAnsi="宋体" w:eastAsia="宋体" w:cs="Times New Roman"/>
          <w:color w:val="auto"/>
          <w:szCs w:val="21"/>
          <w:highlight w:val="none"/>
          <w:lang w:val="en-US" w:eastAsia="zh-CN"/>
        </w:rPr>
        <w:t>5</w:t>
      </w:r>
      <w:r>
        <w:rPr>
          <w:rFonts w:hint="eastAsia" w:ascii="宋体" w:hAnsi="宋体" w:eastAsia="宋体" w:cs="Times New Roman"/>
          <w:color w:val="auto"/>
          <w:szCs w:val="21"/>
          <w:highlight w:val="none"/>
        </w:rPr>
        <w:t>）“分包”系指中标</w:t>
      </w:r>
      <w:r>
        <w:rPr>
          <w:rFonts w:hint="eastAsia" w:ascii="宋体" w:hAnsi="宋体" w:eastAsia="宋体" w:cs="Times New Roman"/>
          <w:color w:val="auto"/>
          <w:szCs w:val="21"/>
          <w:highlight w:val="none"/>
          <w:lang w:eastAsia="zh-CN"/>
        </w:rPr>
        <w:t>（</w:t>
      </w:r>
      <w:r>
        <w:rPr>
          <w:rFonts w:hint="eastAsia" w:ascii="宋体" w:hAnsi="宋体" w:eastAsia="宋体" w:cs="Times New Roman"/>
          <w:color w:val="auto"/>
          <w:szCs w:val="21"/>
          <w:highlight w:val="none"/>
        </w:rPr>
        <w:t>成交</w:t>
      </w:r>
      <w:r>
        <w:rPr>
          <w:rFonts w:hint="eastAsia" w:ascii="宋体" w:hAnsi="宋体" w:eastAsia="宋体" w:cs="Times New Roman"/>
          <w:color w:val="auto"/>
          <w:szCs w:val="21"/>
          <w:highlight w:val="none"/>
          <w:lang w:eastAsia="zh-CN"/>
        </w:rPr>
        <w:t>）</w:t>
      </w:r>
      <w:r>
        <w:rPr>
          <w:rFonts w:hint="eastAsia" w:ascii="宋体" w:hAnsi="宋体" w:eastAsia="宋体" w:cs="Times New Roman"/>
          <w:color w:val="auto"/>
          <w:szCs w:val="21"/>
          <w:highlight w:val="none"/>
        </w:rPr>
        <w:t>供应商按采购文件、投标（响应）文件的规定，根据分包意向协议，将中标</w:t>
      </w:r>
      <w:r>
        <w:rPr>
          <w:rFonts w:hint="eastAsia" w:ascii="宋体" w:hAnsi="宋体" w:eastAsia="宋体" w:cs="Times New Roman"/>
          <w:color w:val="auto"/>
          <w:szCs w:val="21"/>
          <w:highlight w:val="none"/>
          <w:lang w:eastAsia="zh-CN"/>
        </w:rPr>
        <w:t>（</w:t>
      </w:r>
      <w:r>
        <w:rPr>
          <w:rFonts w:hint="eastAsia" w:ascii="宋体" w:hAnsi="宋体" w:eastAsia="宋体" w:cs="Times New Roman"/>
          <w:color w:val="auto"/>
          <w:szCs w:val="21"/>
          <w:highlight w:val="none"/>
        </w:rPr>
        <w:t>成交</w:t>
      </w:r>
      <w:r>
        <w:rPr>
          <w:rFonts w:hint="eastAsia" w:ascii="宋体" w:hAnsi="宋体" w:eastAsia="宋体" w:cs="Times New Roman"/>
          <w:color w:val="auto"/>
          <w:szCs w:val="21"/>
          <w:highlight w:val="none"/>
          <w:lang w:eastAsia="zh-CN"/>
        </w:rPr>
        <w:t>）</w:t>
      </w:r>
      <w:r>
        <w:rPr>
          <w:rFonts w:hint="eastAsia" w:ascii="宋体" w:hAnsi="宋体" w:eastAsia="宋体" w:cs="Times New Roman"/>
          <w:color w:val="auto"/>
          <w:szCs w:val="21"/>
          <w:highlight w:val="none"/>
        </w:rPr>
        <w:t>项目中的部分履约内容，分给具有相应资质条件的供应商履行合同的行为。</w:t>
      </w:r>
    </w:p>
    <w:p w14:paraId="64F28D0D">
      <w:pPr>
        <w:tabs>
          <w:tab w:val="left" w:pos="570"/>
          <w:tab w:val="left" w:pos="9240"/>
          <w:tab w:val="left" w:pos="9555"/>
        </w:tabs>
        <w:adjustRightInd w:val="0"/>
        <w:snapToGrid w:val="0"/>
        <w:spacing w:before="0" w:line="4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w:t>
      </w:r>
      <w:r>
        <w:rPr>
          <w:rFonts w:hint="eastAsia" w:ascii="宋体" w:hAnsi="宋体" w:eastAsia="宋体" w:cs="Times New Roman"/>
          <w:color w:val="auto"/>
          <w:szCs w:val="21"/>
          <w:highlight w:val="none"/>
          <w:lang w:val="en-US" w:eastAsia="zh-CN"/>
        </w:rPr>
        <w:t>6</w:t>
      </w:r>
      <w:r>
        <w:rPr>
          <w:rFonts w:hint="eastAsia" w:ascii="宋体" w:hAnsi="宋体" w:eastAsia="宋体" w:cs="Times New Roman"/>
          <w:color w:val="auto"/>
          <w:szCs w:val="21"/>
          <w:highlight w:val="none"/>
        </w:rPr>
        <w:t>）“联合体”系指</w:t>
      </w:r>
      <w:r>
        <w:rPr>
          <w:rFonts w:hint="eastAsia" w:ascii="宋体" w:hAnsi="宋体" w:eastAsia="宋体" w:cs="Times New Roman"/>
          <w:color w:val="auto"/>
          <w:szCs w:val="21"/>
          <w:highlight w:val="none"/>
          <w:lang w:eastAsia="zh-CN"/>
        </w:rPr>
        <w:t>由</w:t>
      </w:r>
      <w:r>
        <w:rPr>
          <w:rFonts w:hint="eastAsia" w:ascii="宋体" w:hAnsi="宋体" w:eastAsia="宋体" w:cs="Times New Roman"/>
          <w:color w:val="auto"/>
          <w:szCs w:val="21"/>
          <w:highlight w:val="none"/>
        </w:rPr>
        <w:t>两个以上的自然人、法人或者</w:t>
      </w:r>
      <w:r>
        <w:rPr>
          <w:rFonts w:hint="eastAsia" w:ascii="宋体" w:hAnsi="宋体" w:eastAsia="宋体" w:cs="Times New Roman"/>
          <w:color w:val="auto"/>
          <w:szCs w:val="21"/>
          <w:highlight w:val="none"/>
          <w:lang w:val="en-US" w:eastAsia="zh-CN"/>
        </w:rPr>
        <w:t>非法人</w:t>
      </w:r>
      <w:r>
        <w:rPr>
          <w:rFonts w:hint="eastAsia" w:ascii="宋体" w:hAnsi="宋体" w:eastAsia="宋体" w:cs="Times New Roman"/>
          <w:color w:val="auto"/>
          <w:szCs w:val="21"/>
          <w:highlight w:val="none"/>
        </w:rPr>
        <w:t>组织组成，</w:t>
      </w:r>
      <w:r>
        <w:rPr>
          <w:rFonts w:hint="eastAsia" w:ascii="宋体" w:hAnsi="宋体" w:eastAsia="宋体" w:cs="Times New Roman"/>
          <w:color w:val="auto"/>
          <w:szCs w:val="21"/>
          <w:highlight w:val="none"/>
          <w:lang w:eastAsia="zh-CN"/>
        </w:rPr>
        <w:t>以一个供应商的身份共同参加政府采购的主体。</w:t>
      </w:r>
      <w:r>
        <w:rPr>
          <w:rFonts w:hint="eastAsia" w:ascii="宋体" w:hAnsi="宋体" w:eastAsia="宋体" w:cs="Times New Roman"/>
          <w:color w:val="auto"/>
          <w:szCs w:val="21"/>
          <w:highlight w:val="none"/>
        </w:rPr>
        <w:t>联合体各方应在签订合同协议书前向甲方提交联合协议，且明确牵头人及各成员单位的工作分工、权利、义务、责任，联合体各方应共同与甲方签订合同，就合同约定的事项对</w:t>
      </w:r>
      <w:r>
        <w:rPr>
          <w:rFonts w:hint="eastAsia" w:ascii="宋体" w:hAnsi="宋体" w:eastAsia="宋体" w:cs="Times New Roman"/>
          <w:color w:val="auto"/>
          <w:szCs w:val="21"/>
          <w:highlight w:val="none"/>
          <w:lang w:eastAsia="zh-CN"/>
        </w:rPr>
        <w:t>甲方</w:t>
      </w:r>
      <w:r>
        <w:rPr>
          <w:rFonts w:hint="eastAsia" w:ascii="宋体" w:hAnsi="宋体" w:eastAsia="宋体" w:cs="Times New Roman"/>
          <w:color w:val="auto"/>
          <w:szCs w:val="21"/>
          <w:highlight w:val="none"/>
        </w:rPr>
        <w:t>承担连带责任。联合体具体要求见【</w:t>
      </w:r>
      <w:r>
        <w:rPr>
          <w:rFonts w:hint="eastAsia" w:ascii="宋体" w:hAnsi="宋体" w:eastAsia="宋体" w:cs="Times New Roman"/>
          <w:b/>
          <w:bCs/>
          <w:color w:val="auto"/>
          <w:szCs w:val="21"/>
          <w:highlight w:val="none"/>
        </w:rPr>
        <w:t>政府采购合同专用条款</w:t>
      </w:r>
      <w:r>
        <w:rPr>
          <w:rFonts w:hint="eastAsia" w:ascii="宋体" w:hAnsi="宋体" w:eastAsia="宋体" w:cs="Times New Roman"/>
          <w:color w:val="auto"/>
          <w:szCs w:val="21"/>
          <w:highlight w:val="none"/>
        </w:rPr>
        <w:t>】。</w:t>
      </w:r>
    </w:p>
    <w:p w14:paraId="43377DDD">
      <w:pPr>
        <w:tabs>
          <w:tab w:val="left" w:pos="570"/>
          <w:tab w:val="left" w:pos="9240"/>
          <w:tab w:val="left" w:pos="9555"/>
        </w:tabs>
        <w:adjustRightInd w:val="0"/>
        <w:snapToGrid w:val="0"/>
        <w:spacing w:before="0" w:line="4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w:t>
      </w:r>
      <w:r>
        <w:rPr>
          <w:rFonts w:hint="eastAsia" w:ascii="宋体" w:hAnsi="宋体" w:eastAsia="宋体" w:cs="Times New Roman"/>
          <w:color w:val="auto"/>
          <w:szCs w:val="21"/>
          <w:highlight w:val="none"/>
          <w:lang w:val="en-US" w:eastAsia="zh-CN"/>
        </w:rPr>
        <w:t>7</w:t>
      </w:r>
      <w:r>
        <w:rPr>
          <w:rFonts w:hint="eastAsia" w:ascii="宋体" w:hAnsi="宋体" w:eastAsia="宋体" w:cs="Times New Roman"/>
          <w:color w:val="auto"/>
          <w:szCs w:val="21"/>
          <w:highlight w:val="none"/>
        </w:rPr>
        <w:t>）其他术语解释，见【</w:t>
      </w:r>
      <w:r>
        <w:rPr>
          <w:rFonts w:hint="eastAsia" w:ascii="宋体" w:hAnsi="宋体" w:eastAsia="宋体" w:cs="Times New Roman"/>
          <w:b/>
          <w:bCs/>
          <w:color w:val="auto"/>
          <w:szCs w:val="21"/>
          <w:highlight w:val="none"/>
        </w:rPr>
        <w:t>政府采购合同专用条款</w:t>
      </w:r>
      <w:r>
        <w:rPr>
          <w:rFonts w:hint="eastAsia" w:ascii="宋体" w:hAnsi="宋体" w:eastAsia="宋体" w:cs="Times New Roman"/>
          <w:color w:val="auto"/>
          <w:szCs w:val="21"/>
          <w:highlight w:val="none"/>
        </w:rPr>
        <w:t>】。</w:t>
      </w:r>
    </w:p>
    <w:p w14:paraId="59ACC32B">
      <w:pPr>
        <w:numPr>
          <w:ilvl w:val="0"/>
          <w:numId w:val="26"/>
        </w:numPr>
        <w:autoSpaceDE w:val="0"/>
        <w:autoSpaceDN w:val="0"/>
        <w:adjustRightInd w:val="0"/>
        <w:snapToGrid w:val="0"/>
        <w:spacing w:before="0" w:line="400" w:lineRule="exact"/>
        <w:jc w:val="left"/>
        <w:rPr>
          <w:rFonts w:ascii="宋体" w:hAnsi="宋体" w:eastAsia="宋体" w:cs="Times New Roman"/>
          <w:b/>
          <w:bCs/>
          <w:color w:val="auto"/>
          <w:sz w:val="24"/>
          <w:highlight w:val="none"/>
        </w:rPr>
      </w:pPr>
      <w:r>
        <w:rPr>
          <w:rFonts w:hint="eastAsia" w:ascii="宋体" w:hAnsi="宋体" w:eastAsia="宋体" w:cs="Times New Roman"/>
          <w:b/>
          <w:color w:val="auto"/>
          <w:sz w:val="24"/>
          <w:highlight w:val="none"/>
        </w:rPr>
        <w:t>合同标的及金额</w:t>
      </w:r>
    </w:p>
    <w:p w14:paraId="0FBB2DAE">
      <w:pPr>
        <w:autoSpaceDE w:val="0"/>
        <w:autoSpaceDN w:val="0"/>
        <w:adjustRightInd w:val="0"/>
        <w:snapToGrid w:val="0"/>
        <w:spacing w:before="0" w:line="400" w:lineRule="exact"/>
        <w:ind w:firstLine="420" w:firstLineChars="200"/>
        <w:jc w:val="left"/>
        <w:rPr>
          <w:rFonts w:ascii="宋体" w:hAnsi="宋体" w:eastAsia="宋体" w:cs="Times New Roman"/>
          <w:b/>
          <w:bCs/>
          <w:i/>
          <w:iCs/>
          <w:color w:val="auto"/>
          <w:szCs w:val="21"/>
          <w:highlight w:val="none"/>
        </w:rPr>
      </w:pPr>
      <w:r>
        <w:rPr>
          <w:rFonts w:hint="eastAsia" w:ascii="宋体" w:hAnsi="宋体" w:eastAsia="宋体" w:cs="Times New Roman"/>
          <w:color w:val="auto"/>
          <w:szCs w:val="21"/>
          <w:highlight w:val="none"/>
          <w:lang w:eastAsia="zh-CN"/>
        </w:rPr>
        <w:t>2</w:t>
      </w:r>
      <w:r>
        <w:rPr>
          <w:rFonts w:hint="eastAsia" w:ascii="宋体" w:hAnsi="宋体" w:eastAsia="宋体" w:cs="Times New Roman"/>
          <w:color w:val="auto"/>
          <w:szCs w:val="21"/>
          <w:highlight w:val="none"/>
        </w:rPr>
        <w:t>.1 合同标的及金额应与中标（成交）结果一致。乙方为履行本合同而发生的所有费用均应包含在合同</w:t>
      </w:r>
      <w:r>
        <w:rPr>
          <w:rFonts w:hint="eastAsia" w:ascii="宋体" w:hAnsi="宋体" w:eastAsia="宋体" w:cs="Times New Roman"/>
          <w:color w:val="auto"/>
          <w:szCs w:val="21"/>
          <w:highlight w:val="none"/>
          <w:lang w:eastAsia="zh-CN"/>
        </w:rPr>
        <w:t>价款</w:t>
      </w:r>
      <w:r>
        <w:rPr>
          <w:rFonts w:hint="eastAsia" w:ascii="宋体" w:hAnsi="宋体" w:eastAsia="宋体" w:cs="Times New Roman"/>
          <w:color w:val="auto"/>
          <w:szCs w:val="21"/>
          <w:highlight w:val="none"/>
        </w:rPr>
        <w:t>中，甲方不再另行支付</w:t>
      </w:r>
      <w:r>
        <w:rPr>
          <w:rFonts w:hint="default" w:ascii="宋体" w:hAnsi="宋体" w:eastAsia="宋体" w:cs="Times New Roman"/>
          <w:color w:val="auto"/>
          <w:szCs w:val="21"/>
          <w:highlight w:val="none"/>
          <w:lang w:val="en"/>
        </w:rPr>
        <w:t>其他</w:t>
      </w:r>
      <w:r>
        <w:rPr>
          <w:rFonts w:hint="eastAsia" w:ascii="宋体" w:hAnsi="宋体" w:eastAsia="宋体" w:cs="Times New Roman"/>
          <w:color w:val="auto"/>
          <w:szCs w:val="21"/>
          <w:highlight w:val="none"/>
        </w:rPr>
        <w:t>任何费用。</w:t>
      </w:r>
    </w:p>
    <w:p w14:paraId="6D70B939">
      <w:pPr>
        <w:adjustRightInd w:val="0"/>
        <w:snapToGrid w:val="0"/>
        <w:spacing w:before="0" w:line="400" w:lineRule="exact"/>
        <w:jc w:val="left"/>
        <w:rPr>
          <w:rFonts w:ascii="宋体" w:hAnsi="宋体" w:eastAsia="宋体" w:cs="Times New Roman"/>
          <w:b/>
          <w:color w:val="auto"/>
          <w:sz w:val="24"/>
          <w:highlight w:val="none"/>
        </w:rPr>
      </w:pPr>
      <w:r>
        <w:rPr>
          <w:rFonts w:hint="eastAsia" w:ascii="宋体" w:hAnsi="宋体" w:eastAsia="宋体" w:cs="Times New Roman"/>
          <w:b/>
          <w:color w:val="auto"/>
          <w:sz w:val="24"/>
          <w:highlight w:val="none"/>
          <w:lang w:eastAsia="zh-CN"/>
        </w:rPr>
        <w:t>3</w:t>
      </w:r>
      <w:r>
        <w:rPr>
          <w:rFonts w:hint="eastAsia" w:ascii="宋体" w:hAnsi="宋体" w:eastAsia="宋体" w:cs="Times New Roman"/>
          <w:b/>
          <w:color w:val="auto"/>
          <w:sz w:val="24"/>
          <w:highlight w:val="none"/>
          <w:lang w:val="en-US" w:eastAsia="zh-CN"/>
        </w:rPr>
        <w:t xml:space="preserve">. </w:t>
      </w:r>
      <w:r>
        <w:rPr>
          <w:rFonts w:hint="eastAsia" w:ascii="宋体" w:hAnsi="宋体" w:eastAsia="宋体" w:cs="Times New Roman"/>
          <w:b/>
          <w:color w:val="auto"/>
          <w:sz w:val="24"/>
          <w:highlight w:val="none"/>
        </w:rPr>
        <w:t>履行合同的时间、地点和方式</w:t>
      </w:r>
    </w:p>
    <w:p w14:paraId="79868CB2">
      <w:pPr>
        <w:autoSpaceDE w:val="0"/>
        <w:autoSpaceDN w:val="0"/>
        <w:adjustRightInd w:val="0"/>
        <w:snapToGrid w:val="0"/>
        <w:spacing w:before="0" w:line="4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lang w:eastAsia="zh-CN"/>
        </w:rPr>
        <w:t>3</w:t>
      </w:r>
      <w:r>
        <w:rPr>
          <w:rFonts w:hint="eastAsia" w:ascii="宋体" w:hAnsi="宋体" w:eastAsia="宋体" w:cs="Times New Roman"/>
          <w:color w:val="auto"/>
          <w:szCs w:val="21"/>
          <w:highlight w:val="none"/>
        </w:rPr>
        <w:t xml:space="preserve">.1 </w:t>
      </w:r>
      <w:r>
        <w:rPr>
          <w:rFonts w:hint="eastAsia" w:ascii="宋体" w:hAnsi="宋体" w:eastAsia="宋体" w:cs="宋体"/>
          <w:color w:val="auto"/>
          <w:szCs w:val="21"/>
          <w:highlight w:val="none"/>
        </w:rPr>
        <w:t>乙方应当在约定的时间、地点</w:t>
      </w:r>
      <w:r>
        <w:rPr>
          <w:rFonts w:hint="eastAsia" w:ascii="宋体" w:hAnsi="宋体" w:eastAsia="宋体" w:cs="宋体"/>
          <w:color w:val="auto"/>
          <w:szCs w:val="21"/>
          <w:highlight w:val="none"/>
          <w:lang w:eastAsia="zh-CN"/>
        </w:rPr>
        <w:t>，按照约定</w:t>
      </w:r>
      <w:r>
        <w:rPr>
          <w:rFonts w:hint="eastAsia" w:ascii="宋体" w:hAnsi="宋体" w:eastAsia="宋体" w:cs="宋体"/>
          <w:color w:val="auto"/>
          <w:szCs w:val="21"/>
          <w:highlight w:val="none"/>
        </w:rPr>
        <w:t>方式履行合同。</w:t>
      </w:r>
    </w:p>
    <w:p w14:paraId="5E34EF29">
      <w:pPr>
        <w:autoSpaceDE w:val="0"/>
        <w:autoSpaceDN w:val="0"/>
        <w:adjustRightInd w:val="0"/>
        <w:snapToGrid w:val="0"/>
        <w:spacing w:before="0" w:line="400" w:lineRule="exact"/>
        <w:jc w:val="left"/>
        <w:rPr>
          <w:rFonts w:ascii="宋体" w:hAnsi="宋体" w:eastAsia="宋体" w:cs="Times New Roman"/>
          <w:b/>
          <w:bCs/>
          <w:color w:val="auto"/>
          <w:sz w:val="24"/>
          <w:highlight w:val="none"/>
        </w:rPr>
      </w:pPr>
      <w:r>
        <w:rPr>
          <w:rFonts w:hint="eastAsia" w:ascii="宋体" w:hAnsi="宋体" w:eastAsia="宋体" w:cs="Times New Roman"/>
          <w:b/>
          <w:bCs/>
          <w:color w:val="auto"/>
          <w:sz w:val="24"/>
          <w:highlight w:val="none"/>
          <w:lang w:eastAsia="zh-CN"/>
        </w:rPr>
        <w:t>4</w:t>
      </w:r>
      <w:r>
        <w:rPr>
          <w:rFonts w:hint="eastAsia" w:ascii="宋体" w:hAnsi="宋体" w:eastAsia="宋体" w:cs="Times New Roman"/>
          <w:b/>
          <w:bCs/>
          <w:color w:val="auto"/>
          <w:sz w:val="24"/>
          <w:highlight w:val="none"/>
          <w:lang w:val="en-US" w:eastAsia="zh-CN"/>
        </w:rPr>
        <w:t xml:space="preserve">. </w:t>
      </w:r>
      <w:r>
        <w:rPr>
          <w:rFonts w:hint="eastAsia" w:ascii="宋体" w:hAnsi="宋体" w:eastAsia="宋体" w:cs="Times New Roman"/>
          <w:b/>
          <w:bCs/>
          <w:color w:val="auto"/>
          <w:sz w:val="24"/>
          <w:highlight w:val="none"/>
        </w:rPr>
        <w:t>甲方的权利和义务</w:t>
      </w:r>
    </w:p>
    <w:p w14:paraId="614A6AB7">
      <w:pPr>
        <w:autoSpaceDE w:val="0"/>
        <w:autoSpaceDN w:val="0"/>
        <w:adjustRightInd w:val="0"/>
        <w:snapToGrid w:val="0"/>
        <w:spacing w:before="0" w:line="4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lang w:eastAsia="zh-CN"/>
        </w:rPr>
        <w:t>4</w:t>
      </w:r>
      <w:r>
        <w:rPr>
          <w:rFonts w:hint="eastAsia" w:ascii="宋体" w:hAnsi="宋体" w:eastAsia="宋体" w:cs="Times New Roman"/>
          <w:color w:val="auto"/>
          <w:szCs w:val="21"/>
          <w:highlight w:val="none"/>
        </w:rPr>
        <w:t>.1</w:t>
      </w:r>
      <w:r>
        <w:rPr>
          <w:rFonts w:ascii="宋体" w:hAnsi="宋体" w:eastAsia="宋体" w:cs="Times New Roman"/>
          <w:color w:val="auto"/>
          <w:szCs w:val="21"/>
          <w:highlight w:val="none"/>
        </w:rPr>
        <w:t xml:space="preserve"> 签署合同后，甲方</w:t>
      </w:r>
      <w:r>
        <w:rPr>
          <w:rFonts w:hint="eastAsia" w:ascii="宋体" w:hAnsi="宋体" w:eastAsia="宋体" w:cs="Times New Roman"/>
          <w:color w:val="auto"/>
          <w:szCs w:val="21"/>
          <w:highlight w:val="none"/>
          <w:lang w:eastAsia="zh-CN"/>
        </w:rPr>
        <w:t>应</w:t>
      </w:r>
      <w:r>
        <w:rPr>
          <w:rFonts w:ascii="宋体" w:hAnsi="宋体" w:eastAsia="宋体" w:cs="Times New Roman"/>
          <w:color w:val="auto"/>
          <w:szCs w:val="21"/>
          <w:highlight w:val="none"/>
        </w:rPr>
        <w:t>确定</w:t>
      </w:r>
      <w:r>
        <w:rPr>
          <w:rFonts w:hint="eastAsia" w:ascii="宋体" w:hAnsi="宋体" w:eastAsia="宋体" w:cs="Times New Roman"/>
          <w:color w:val="auto"/>
          <w:szCs w:val="21"/>
          <w:highlight w:val="none"/>
          <w:lang w:val="en-US" w:eastAsia="zh-CN"/>
        </w:rPr>
        <w:t>项目负责人（或项目联系人）</w:t>
      </w:r>
      <w:r>
        <w:rPr>
          <w:rFonts w:ascii="宋体" w:hAnsi="宋体" w:eastAsia="宋体" w:cs="Times New Roman"/>
          <w:color w:val="auto"/>
          <w:szCs w:val="21"/>
          <w:highlight w:val="none"/>
        </w:rPr>
        <w:t>，负责与本合同有关的事务。</w:t>
      </w:r>
      <w:r>
        <w:rPr>
          <w:rFonts w:hint="eastAsia" w:ascii="宋体" w:hAnsi="宋体" w:eastAsia="宋体" w:cs="Times New Roman"/>
          <w:color w:val="auto"/>
          <w:szCs w:val="21"/>
          <w:highlight w:val="none"/>
        </w:rPr>
        <w:t>甲方有权对乙方的履约行为进行检查，并</w:t>
      </w:r>
      <w:r>
        <w:rPr>
          <w:rFonts w:ascii="宋体" w:hAnsi="宋体" w:eastAsia="宋体" w:cs="Times New Roman"/>
          <w:color w:val="auto"/>
          <w:szCs w:val="21"/>
          <w:highlight w:val="none"/>
        </w:rPr>
        <w:t>及时确认乙方提交的事项</w:t>
      </w:r>
      <w:r>
        <w:rPr>
          <w:rFonts w:hint="eastAsia" w:ascii="宋体" w:hAnsi="宋体" w:eastAsia="宋体" w:cs="Times New Roman"/>
          <w:color w:val="auto"/>
          <w:szCs w:val="21"/>
          <w:highlight w:val="none"/>
        </w:rPr>
        <w:t>。甲方应当</w:t>
      </w:r>
      <w:r>
        <w:rPr>
          <w:rFonts w:ascii="宋体" w:hAnsi="宋体" w:eastAsia="宋体" w:cs="Times New Roman"/>
          <w:color w:val="auto"/>
          <w:szCs w:val="21"/>
          <w:highlight w:val="none"/>
        </w:rPr>
        <w:t>配合乙方完成</w:t>
      </w:r>
      <w:r>
        <w:rPr>
          <w:rFonts w:hint="eastAsia" w:ascii="宋体" w:hAnsi="宋体" w:eastAsia="宋体" w:cs="Times New Roman"/>
          <w:color w:val="auto"/>
          <w:szCs w:val="21"/>
          <w:highlight w:val="none"/>
        </w:rPr>
        <w:t>相关项目</w:t>
      </w:r>
      <w:r>
        <w:rPr>
          <w:rFonts w:ascii="宋体" w:hAnsi="宋体" w:eastAsia="宋体" w:cs="Times New Roman"/>
          <w:color w:val="auto"/>
          <w:szCs w:val="21"/>
          <w:highlight w:val="none"/>
        </w:rPr>
        <w:t>实施工作。</w:t>
      </w:r>
    </w:p>
    <w:p w14:paraId="6D71D750">
      <w:pPr>
        <w:autoSpaceDE w:val="0"/>
        <w:autoSpaceDN w:val="0"/>
        <w:adjustRightInd w:val="0"/>
        <w:snapToGrid w:val="0"/>
        <w:spacing w:before="0" w:line="4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lang w:eastAsia="zh-CN"/>
        </w:rPr>
        <w:t>4</w:t>
      </w:r>
      <w:r>
        <w:rPr>
          <w:rFonts w:hint="eastAsia" w:ascii="宋体" w:hAnsi="宋体" w:eastAsia="宋体" w:cs="Times New Roman"/>
          <w:color w:val="auto"/>
          <w:szCs w:val="21"/>
          <w:highlight w:val="none"/>
        </w:rPr>
        <w:t xml:space="preserve">.2 </w:t>
      </w:r>
      <w:r>
        <w:rPr>
          <w:rFonts w:ascii="宋体" w:hAnsi="宋体" w:eastAsia="宋体" w:cs="Times New Roman"/>
          <w:color w:val="auto"/>
          <w:szCs w:val="21"/>
          <w:highlight w:val="none"/>
        </w:rPr>
        <w:t>甲方有权要求乙方按时提交各阶段有关</w:t>
      </w:r>
      <w:r>
        <w:rPr>
          <w:rFonts w:hint="eastAsia" w:ascii="宋体" w:hAnsi="宋体" w:eastAsia="宋体" w:cs="Times New Roman"/>
          <w:color w:val="auto"/>
          <w:szCs w:val="21"/>
          <w:highlight w:val="none"/>
        </w:rPr>
        <w:t>安排计划</w:t>
      </w:r>
      <w:r>
        <w:rPr>
          <w:rFonts w:ascii="宋体" w:hAnsi="宋体" w:eastAsia="宋体" w:cs="Times New Roman"/>
          <w:color w:val="auto"/>
          <w:szCs w:val="21"/>
          <w:highlight w:val="none"/>
        </w:rPr>
        <w:t>，并有权</w:t>
      </w:r>
      <w:r>
        <w:rPr>
          <w:rFonts w:hint="eastAsia" w:ascii="宋体" w:hAnsi="宋体" w:eastAsia="宋体" w:cs="Times New Roman"/>
          <w:color w:val="auto"/>
          <w:szCs w:val="21"/>
          <w:highlight w:val="none"/>
        </w:rPr>
        <w:t>定期核对乙方提供货物数量、规格、质量等内容。甲方</w:t>
      </w:r>
      <w:r>
        <w:rPr>
          <w:rFonts w:ascii="宋体" w:hAnsi="宋体" w:eastAsia="宋体" w:cs="Times New Roman"/>
          <w:color w:val="auto"/>
          <w:szCs w:val="21"/>
          <w:highlight w:val="none"/>
        </w:rPr>
        <w:t>有权督促乙方工作并要求乙方</w:t>
      </w:r>
      <w:r>
        <w:rPr>
          <w:rFonts w:hint="eastAsia" w:ascii="宋体" w:hAnsi="宋体" w:eastAsia="宋体" w:cs="Times New Roman"/>
          <w:color w:val="auto"/>
          <w:szCs w:val="21"/>
          <w:highlight w:val="none"/>
        </w:rPr>
        <w:t>更</w:t>
      </w:r>
      <w:r>
        <w:rPr>
          <w:rFonts w:ascii="宋体" w:hAnsi="宋体" w:eastAsia="宋体" w:cs="Times New Roman"/>
          <w:color w:val="auto"/>
          <w:szCs w:val="21"/>
          <w:highlight w:val="none"/>
        </w:rPr>
        <w:t>换不符合要求的</w:t>
      </w:r>
      <w:r>
        <w:rPr>
          <w:rFonts w:hint="eastAsia" w:ascii="宋体" w:hAnsi="宋体" w:eastAsia="宋体" w:cs="Times New Roman"/>
          <w:color w:val="auto"/>
          <w:szCs w:val="21"/>
          <w:highlight w:val="none"/>
        </w:rPr>
        <w:t>货物</w:t>
      </w:r>
      <w:r>
        <w:rPr>
          <w:rFonts w:ascii="宋体" w:hAnsi="宋体" w:eastAsia="宋体" w:cs="Times New Roman"/>
          <w:color w:val="auto"/>
          <w:szCs w:val="21"/>
          <w:highlight w:val="none"/>
        </w:rPr>
        <w:t>。</w:t>
      </w:r>
    </w:p>
    <w:p w14:paraId="750863C6">
      <w:pPr>
        <w:autoSpaceDE w:val="0"/>
        <w:autoSpaceDN w:val="0"/>
        <w:adjustRightInd w:val="0"/>
        <w:snapToGrid w:val="0"/>
        <w:spacing w:before="0" w:line="400" w:lineRule="exact"/>
        <w:ind w:firstLine="420" w:firstLineChars="200"/>
        <w:jc w:val="left"/>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lang w:eastAsia="zh-CN"/>
        </w:rPr>
        <w:t>4</w:t>
      </w:r>
      <w:r>
        <w:rPr>
          <w:rFonts w:hint="eastAsia" w:ascii="宋体" w:hAnsi="宋体" w:eastAsia="宋体" w:cs="Times New Roman"/>
          <w:color w:val="auto"/>
          <w:szCs w:val="21"/>
          <w:highlight w:val="none"/>
        </w:rPr>
        <w:t>.</w:t>
      </w:r>
      <w:r>
        <w:rPr>
          <w:rFonts w:ascii="宋体" w:hAnsi="宋体" w:eastAsia="宋体" w:cs="Times New Roman"/>
          <w:color w:val="auto"/>
          <w:szCs w:val="21"/>
          <w:highlight w:val="none"/>
        </w:rPr>
        <w:t>3</w:t>
      </w:r>
      <w:r>
        <w:rPr>
          <w:rFonts w:hint="eastAsia" w:ascii="宋体" w:hAnsi="宋体" w:eastAsia="宋体" w:cs="Times New Roman"/>
          <w:color w:val="auto"/>
          <w:szCs w:val="21"/>
          <w:highlight w:val="none"/>
        </w:rPr>
        <w:t xml:space="preserve"> </w:t>
      </w:r>
      <w:r>
        <w:rPr>
          <w:rFonts w:ascii="宋体" w:hAnsi="宋体" w:eastAsia="宋体" w:cs="Times New Roman"/>
          <w:color w:val="auto"/>
          <w:szCs w:val="21"/>
          <w:highlight w:val="none"/>
        </w:rPr>
        <w:t>甲方</w:t>
      </w:r>
      <w:r>
        <w:rPr>
          <w:rFonts w:hint="eastAsia" w:ascii="宋体" w:hAnsi="宋体" w:eastAsia="宋体" w:cs="Times New Roman"/>
          <w:color w:val="auto"/>
          <w:szCs w:val="21"/>
          <w:highlight w:val="none"/>
        </w:rPr>
        <w:t>有权要求乙方对缺陷部分予以修复，并按合同约定享有货物保修及其他合同约定的权利。</w:t>
      </w:r>
    </w:p>
    <w:p w14:paraId="7191B74E">
      <w:pPr>
        <w:snapToGrid w:val="0"/>
        <w:spacing w:line="400" w:lineRule="exact"/>
        <w:ind w:firstLine="420" w:firstLineChars="200"/>
        <w:rPr>
          <w:rFonts w:hint="eastAsia" w:ascii="Times New Roman" w:hAnsi="Times New Roman" w:eastAsia="华文楷体" w:cs="Times New Roman"/>
          <w:color w:val="auto"/>
          <w:highlight w:val="none"/>
          <w:lang w:val="en-US" w:eastAsia="zh-CN"/>
        </w:rPr>
      </w:pPr>
      <w:r>
        <w:rPr>
          <w:rFonts w:hint="default" w:ascii="宋体" w:hAnsi="宋体" w:eastAsia="宋体" w:cs="Times New Roman"/>
          <w:color w:val="auto"/>
          <w:szCs w:val="21"/>
          <w:highlight w:val="none"/>
          <w:lang w:val="en-US" w:eastAsia="zh-CN"/>
        </w:rPr>
        <w:t>4.4 甲方应当按照合同约定及时对交付的货物进行验收</w:t>
      </w:r>
      <w:r>
        <w:rPr>
          <w:rFonts w:hint="eastAsia" w:ascii="宋体" w:hAnsi="宋体" w:eastAsia="宋体" w:cs="Times New Roman"/>
          <w:color w:val="auto"/>
          <w:szCs w:val="21"/>
          <w:highlight w:val="none"/>
          <w:lang w:val="en-US" w:eastAsia="zh-CN"/>
        </w:rPr>
        <w:t>，</w:t>
      </w:r>
      <w:r>
        <w:rPr>
          <w:rFonts w:hint="eastAsia" w:ascii="宋体" w:hAnsi="宋体" w:eastAsia="宋体" w:cs="宋体"/>
          <w:b w:val="0"/>
          <w:bCs w:val="0"/>
          <w:color w:val="auto"/>
          <w:szCs w:val="21"/>
          <w:highlight w:val="none"/>
          <w:lang w:eastAsia="zh-CN"/>
        </w:rPr>
        <w:t>未</w:t>
      </w:r>
      <w:r>
        <w:rPr>
          <w:rFonts w:hint="eastAsia" w:ascii="宋体" w:hAnsi="宋体" w:eastAsia="宋体" w:cs="Times New Roman"/>
          <w:color w:val="auto"/>
          <w:szCs w:val="21"/>
          <w:highlight w:val="none"/>
          <w:lang w:val="en-US" w:eastAsia="zh-CN"/>
        </w:rPr>
        <w:t>在</w:t>
      </w:r>
      <w:r>
        <w:rPr>
          <w:rFonts w:hint="eastAsia" w:ascii="宋体" w:hAnsi="宋体" w:eastAsia="宋体" w:cs="宋体"/>
          <w:b/>
          <w:bCs/>
          <w:color w:val="auto"/>
          <w:szCs w:val="21"/>
          <w:highlight w:val="none"/>
        </w:rPr>
        <w:t>【政府采购合同专用条款】</w:t>
      </w:r>
      <w:r>
        <w:rPr>
          <w:rFonts w:hint="eastAsia" w:ascii="宋体" w:hAnsi="宋体" w:eastAsia="宋体" w:cs="宋体"/>
          <w:b w:val="0"/>
          <w:bCs w:val="0"/>
          <w:color w:val="auto"/>
          <w:szCs w:val="21"/>
          <w:highlight w:val="none"/>
          <w:lang w:eastAsia="zh-CN"/>
        </w:rPr>
        <w:t>约定的期限内对乙方履约提出任何异议或者向乙方作出任何说明的，</w:t>
      </w:r>
      <w:r>
        <w:rPr>
          <w:rFonts w:hint="eastAsia" w:ascii="宋体" w:hAnsi="宋体" w:eastAsia="宋体" w:cs="Times New Roman"/>
          <w:color w:val="auto"/>
          <w:szCs w:val="21"/>
          <w:highlight w:val="none"/>
          <w:lang w:val="en-US" w:eastAsia="zh-CN"/>
        </w:rPr>
        <w:t>视为验收通过。</w:t>
      </w:r>
    </w:p>
    <w:p w14:paraId="79DF3884">
      <w:pPr>
        <w:autoSpaceDE w:val="0"/>
        <w:autoSpaceDN w:val="0"/>
        <w:adjustRightInd w:val="0"/>
        <w:snapToGrid w:val="0"/>
        <w:spacing w:line="400" w:lineRule="exact"/>
        <w:ind w:firstLine="420" w:firstLineChars="200"/>
        <w:jc w:val="left"/>
        <w:rPr>
          <w:rFonts w:hint="eastAsia" w:ascii="宋体" w:hAnsi="宋体" w:eastAsia="宋体" w:cs="Times New Roman"/>
          <w:color w:val="auto"/>
          <w:szCs w:val="21"/>
          <w:highlight w:val="none"/>
        </w:rPr>
      </w:pPr>
      <w:r>
        <w:rPr>
          <w:rFonts w:hint="default" w:ascii="宋体" w:hAnsi="宋体" w:eastAsia="宋体" w:cs="Times New Roman"/>
          <w:color w:val="auto"/>
          <w:szCs w:val="21"/>
          <w:highlight w:val="none"/>
          <w:lang w:eastAsia="zh-CN"/>
        </w:rPr>
        <w:t>4</w:t>
      </w:r>
      <w:r>
        <w:rPr>
          <w:rFonts w:hint="eastAsia" w:ascii="宋体" w:hAnsi="宋体" w:eastAsia="宋体" w:cs="Times New Roman"/>
          <w:color w:val="auto"/>
          <w:szCs w:val="21"/>
          <w:highlight w:val="none"/>
        </w:rPr>
        <w:t>.</w:t>
      </w:r>
      <w:r>
        <w:rPr>
          <w:rFonts w:hint="default" w:ascii="宋体" w:hAnsi="宋体" w:eastAsia="宋体" w:cs="Times New Roman"/>
          <w:color w:val="auto"/>
          <w:szCs w:val="21"/>
          <w:highlight w:val="none"/>
          <w:lang w:val="en-US" w:eastAsia="zh-CN"/>
        </w:rPr>
        <w:t>5</w:t>
      </w:r>
      <w:r>
        <w:rPr>
          <w:rFonts w:ascii="宋体" w:hAnsi="宋体" w:eastAsia="宋体" w:cs="Times New Roman"/>
          <w:color w:val="auto"/>
          <w:szCs w:val="21"/>
          <w:highlight w:val="none"/>
        </w:rPr>
        <w:t xml:space="preserve"> </w:t>
      </w:r>
      <w:r>
        <w:rPr>
          <w:rFonts w:hint="eastAsia" w:ascii="宋体" w:hAnsi="宋体" w:eastAsia="宋体" w:cs="Times New Roman"/>
          <w:color w:val="auto"/>
          <w:szCs w:val="21"/>
          <w:highlight w:val="none"/>
        </w:rPr>
        <w:t>甲方应当根据合同约定</w:t>
      </w:r>
      <w:r>
        <w:rPr>
          <w:rFonts w:hint="eastAsia" w:ascii="宋体" w:hAnsi="宋体" w:eastAsia="宋体" w:cs="Times New Roman"/>
          <w:color w:val="auto"/>
          <w:szCs w:val="21"/>
          <w:highlight w:val="none"/>
          <w:lang w:eastAsia="zh-CN"/>
        </w:rPr>
        <w:t>及</w:t>
      </w:r>
      <w:r>
        <w:rPr>
          <w:rFonts w:hint="eastAsia" w:ascii="宋体" w:hAnsi="宋体" w:eastAsia="宋体" w:cs="Times New Roman"/>
          <w:color w:val="auto"/>
          <w:szCs w:val="21"/>
          <w:highlight w:val="none"/>
        </w:rPr>
        <w:t>时向乙方支付</w:t>
      </w:r>
      <w:r>
        <w:rPr>
          <w:rFonts w:hint="eastAsia" w:ascii="宋体" w:hAnsi="宋体" w:eastAsia="宋体" w:cs="Times New Roman"/>
          <w:color w:val="auto"/>
          <w:szCs w:val="21"/>
          <w:highlight w:val="none"/>
          <w:lang w:eastAsia="zh-CN"/>
        </w:rPr>
        <w:t>合同价款</w:t>
      </w:r>
      <w:r>
        <w:rPr>
          <w:rFonts w:hint="default" w:ascii="宋体" w:hAnsi="宋体" w:eastAsia="宋体" w:cs="Times New Roman"/>
          <w:color w:val="auto"/>
          <w:szCs w:val="21"/>
          <w:highlight w:val="none"/>
          <w:lang w:eastAsia="zh-CN"/>
        </w:rPr>
        <w:t>，不得以内部人员变更、履行内部付款流程等为由，拒绝或迟延支付。</w:t>
      </w:r>
    </w:p>
    <w:p w14:paraId="63269CB5">
      <w:pPr>
        <w:autoSpaceDE w:val="0"/>
        <w:autoSpaceDN w:val="0"/>
        <w:adjustRightInd w:val="0"/>
        <w:snapToGrid w:val="0"/>
        <w:spacing w:before="0" w:line="4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lang w:eastAsia="zh-CN"/>
        </w:rPr>
        <w:t>4</w:t>
      </w:r>
      <w:r>
        <w:rPr>
          <w:rFonts w:hint="eastAsia" w:ascii="宋体" w:hAnsi="宋体" w:eastAsia="宋体" w:cs="Times New Roman"/>
          <w:color w:val="auto"/>
          <w:szCs w:val="21"/>
          <w:highlight w:val="none"/>
        </w:rPr>
        <w:t>.</w:t>
      </w:r>
      <w:r>
        <w:rPr>
          <w:rFonts w:hint="eastAsia" w:ascii="宋体" w:hAnsi="宋体" w:eastAsia="宋体" w:cs="Times New Roman"/>
          <w:color w:val="auto"/>
          <w:szCs w:val="21"/>
          <w:highlight w:val="none"/>
          <w:lang w:val="en-US" w:eastAsia="zh-CN"/>
        </w:rPr>
        <w:t>6</w:t>
      </w:r>
      <w:r>
        <w:rPr>
          <w:rFonts w:ascii="宋体" w:hAnsi="宋体" w:eastAsia="宋体" w:cs="Times New Roman"/>
          <w:color w:val="auto"/>
          <w:szCs w:val="21"/>
          <w:highlight w:val="none"/>
        </w:rPr>
        <w:t xml:space="preserve"> </w:t>
      </w:r>
      <w:r>
        <w:rPr>
          <w:rFonts w:hint="eastAsia" w:ascii="宋体" w:hAnsi="宋体" w:eastAsia="宋体" w:cs="Times New Roman"/>
          <w:color w:val="auto"/>
          <w:szCs w:val="21"/>
          <w:highlight w:val="none"/>
        </w:rPr>
        <w:t>国家法律法规规定</w:t>
      </w:r>
      <w:r>
        <w:rPr>
          <w:rFonts w:hint="eastAsia" w:ascii="宋体" w:hAnsi="宋体" w:eastAsia="宋体" w:cs="Times New Roman"/>
          <w:color w:val="auto"/>
          <w:szCs w:val="21"/>
          <w:highlight w:val="none"/>
          <w:lang w:eastAsia="zh-CN"/>
        </w:rPr>
        <w:t>及</w:t>
      </w:r>
      <w:r>
        <w:rPr>
          <w:rFonts w:hint="eastAsia" w:ascii="宋体" w:hAnsi="宋体" w:eastAsia="宋体" w:cs="宋体"/>
          <w:b/>
          <w:bCs/>
          <w:color w:val="auto"/>
          <w:szCs w:val="21"/>
          <w:highlight w:val="none"/>
        </w:rPr>
        <w:t>【政府采购合同专用条款】</w:t>
      </w:r>
      <w:r>
        <w:rPr>
          <w:rFonts w:hint="eastAsia" w:ascii="宋体" w:hAnsi="宋体" w:eastAsia="宋体" w:cs="Times New Roman"/>
          <w:color w:val="auto"/>
          <w:szCs w:val="21"/>
          <w:highlight w:val="none"/>
          <w:lang w:eastAsia="zh-CN"/>
        </w:rPr>
        <w:t>约定应</w:t>
      </w:r>
      <w:r>
        <w:rPr>
          <w:rFonts w:hint="eastAsia" w:ascii="宋体" w:hAnsi="宋体" w:eastAsia="宋体" w:cs="Times New Roman"/>
          <w:color w:val="auto"/>
          <w:szCs w:val="21"/>
          <w:highlight w:val="none"/>
        </w:rPr>
        <w:t>由甲方承担的其他义务和责任。</w:t>
      </w:r>
    </w:p>
    <w:p w14:paraId="6FB46E49">
      <w:pPr>
        <w:autoSpaceDE w:val="0"/>
        <w:autoSpaceDN w:val="0"/>
        <w:adjustRightInd w:val="0"/>
        <w:snapToGrid w:val="0"/>
        <w:spacing w:before="0" w:line="400" w:lineRule="exact"/>
        <w:jc w:val="left"/>
        <w:rPr>
          <w:rFonts w:ascii="宋体" w:hAnsi="宋体" w:eastAsia="宋体" w:cs="Times New Roman"/>
          <w:b/>
          <w:bCs/>
          <w:color w:val="auto"/>
          <w:sz w:val="24"/>
          <w:highlight w:val="none"/>
        </w:rPr>
      </w:pPr>
      <w:r>
        <w:rPr>
          <w:rFonts w:hint="eastAsia" w:ascii="宋体" w:hAnsi="宋体" w:eastAsia="宋体" w:cs="Times New Roman"/>
          <w:b/>
          <w:bCs/>
          <w:color w:val="auto"/>
          <w:sz w:val="24"/>
          <w:highlight w:val="none"/>
          <w:lang w:eastAsia="zh-CN"/>
        </w:rPr>
        <w:t>5</w:t>
      </w:r>
      <w:r>
        <w:rPr>
          <w:rFonts w:hint="eastAsia" w:ascii="宋体" w:hAnsi="宋体" w:eastAsia="宋体" w:cs="Times New Roman"/>
          <w:b/>
          <w:bCs/>
          <w:color w:val="auto"/>
          <w:sz w:val="24"/>
          <w:highlight w:val="none"/>
          <w:lang w:val="en-US" w:eastAsia="zh-CN"/>
        </w:rPr>
        <w:t xml:space="preserve">. </w:t>
      </w:r>
      <w:r>
        <w:rPr>
          <w:rFonts w:hint="eastAsia" w:ascii="宋体" w:hAnsi="宋体" w:eastAsia="宋体" w:cs="Times New Roman"/>
          <w:b/>
          <w:bCs/>
          <w:color w:val="auto"/>
          <w:sz w:val="24"/>
          <w:highlight w:val="none"/>
        </w:rPr>
        <w:t>乙方的权利和义务</w:t>
      </w:r>
    </w:p>
    <w:p w14:paraId="2046A956">
      <w:pPr>
        <w:autoSpaceDE w:val="0"/>
        <w:autoSpaceDN w:val="0"/>
        <w:adjustRightInd w:val="0"/>
        <w:snapToGrid w:val="0"/>
        <w:spacing w:before="0" w:line="4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lang w:eastAsia="zh-CN"/>
        </w:rPr>
        <w:t>5</w:t>
      </w:r>
      <w:r>
        <w:rPr>
          <w:rFonts w:hint="eastAsia" w:ascii="宋体" w:hAnsi="宋体" w:eastAsia="宋体" w:cs="Times New Roman"/>
          <w:color w:val="auto"/>
          <w:szCs w:val="21"/>
          <w:highlight w:val="none"/>
        </w:rPr>
        <w:t xml:space="preserve">.1 </w:t>
      </w:r>
      <w:r>
        <w:rPr>
          <w:rFonts w:ascii="宋体" w:hAnsi="宋体" w:eastAsia="宋体" w:cs="Times New Roman"/>
          <w:color w:val="auto"/>
          <w:szCs w:val="21"/>
          <w:highlight w:val="none"/>
        </w:rPr>
        <w:t>签署合同后，乙方</w:t>
      </w:r>
      <w:r>
        <w:rPr>
          <w:rFonts w:hint="eastAsia" w:ascii="宋体" w:hAnsi="宋体" w:eastAsia="宋体" w:cs="Times New Roman"/>
          <w:color w:val="auto"/>
          <w:szCs w:val="21"/>
          <w:highlight w:val="none"/>
          <w:lang w:eastAsia="zh-CN"/>
        </w:rPr>
        <w:t>应</w:t>
      </w:r>
      <w:r>
        <w:rPr>
          <w:rFonts w:ascii="宋体" w:hAnsi="宋体" w:eastAsia="宋体" w:cs="Times New Roman"/>
          <w:color w:val="auto"/>
          <w:szCs w:val="21"/>
          <w:highlight w:val="none"/>
        </w:rPr>
        <w:t>确定</w:t>
      </w:r>
      <w:r>
        <w:rPr>
          <w:rFonts w:hint="eastAsia" w:ascii="宋体" w:hAnsi="宋体" w:eastAsia="宋体" w:cs="Times New Roman"/>
          <w:color w:val="auto"/>
          <w:szCs w:val="21"/>
          <w:highlight w:val="none"/>
          <w:lang w:val="en-US" w:eastAsia="zh-CN"/>
        </w:rPr>
        <w:t>项目负责人（或项目联系人）</w:t>
      </w:r>
      <w:r>
        <w:rPr>
          <w:rFonts w:ascii="宋体" w:hAnsi="宋体" w:eastAsia="宋体" w:cs="Times New Roman"/>
          <w:color w:val="auto"/>
          <w:szCs w:val="21"/>
          <w:highlight w:val="none"/>
        </w:rPr>
        <w:t>，负责与本合同有关的事务。</w:t>
      </w:r>
    </w:p>
    <w:p w14:paraId="3C9F225D">
      <w:pPr>
        <w:autoSpaceDE w:val="0"/>
        <w:autoSpaceDN w:val="0"/>
        <w:adjustRightInd w:val="0"/>
        <w:snapToGrid w:val="0"/>
        <w:spacing w:before="0" w:line="4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lang w:eastAsia="zh-CN"/>
        </w:rPr>
        <w:t>5</w:t>
      </w:r>
      <w:r>
        <w:rPr>
          <w:rFonts w:hint="eastAsia" w:ascii="宋体" w:hAnsi="宋体" w:eastAsia="宋体" w:cs="Times New Roman"/>
          <w:color w:val="auto"/>
          <w:szCs w:val="21"/>
          <w:highlight w:val="none"/>
        </w:rPr>
        <w:t>.</w:t>
      </w:r>
      <w:r>
        <w:rPr>
          <w:rFonts w:ascii="宋体" w:hAnsi="宋体" w:eastAsia="宋体" w:cs="Times New Roman"/>
          <w:color w:val="auto"/>
          <w:szCs w:val="21"/>
          <w:highlight w:val="none"/>
        </w:rPr>
        <w:t>2 乙方应按照合同要求</w:t>
      </w:r>
      <w:r>
        <w:rPr>
          <w:rFonts w:hint="eastAsia" w:ascii="宋体" w:hAnsi="宋体" w:eastAsia="宋体" w:cs="Times New Roman"/>
          <w:color w:val="auto"/>
          <w:szCs w:val="21"/>
          <w:highlight w:val="none"/>
        </w:rPr>
        <w:t>履约</w:t>
      </w:r>
      <w:r>
        <w:rPr>
          <w:rFonts w:ascii="宋体" w:hAnsi="宋体" w:eastAsia="宋体" w:cs="Times New Roman"/>
          <w:color w:val="auto"/>
          <w:szCs w:val="21"/>
          <w:highlight w:val="none"/>
        </w:rPr>
        <w:t>，充分合理安排，确保</w:t>
      </w:r>
      <w:r>
        <w:rPr>
          <w:rFonts w:hint="eastAsia" w:ascii="宋体" w:hAnsi="宋体" w:eastAsia="宋体" w:cs="Times New Roman"/>
          <w:color w:val="auto"/>
          <w:szCs w:val="21"/>
          <w:highlight w:val="none"/>
        </w:rPr>
        <w:t>提供的货物</w:t>
      </w:r>
      <w:r>
        <w:rPr>
          <w:rFonts w:hint="eastAsia" w:ascii="宋体" w:hAnsi="宋体" w:eastAsia="宋体" w:cs="Times New Roman"/>
          <w:color w:val="auto"/>
          <w:szCs w:val="21"/>
          <w:highlight w:val="none"/>
          <w:lang w:eastAsia="zh-CN"/>
        </w:rPr>
        <w:t>及相关</w:t>
      </w:r>
      <w:r>
        <w:rPr>
          <w:rFonts w:hint="eastAsia" w:ascii="宋体" w:hAnsi="宋体" w:eastAsia="宋体" w:cs="Times New Roman"/>
          <w:color w:val="auto"/>
          <w:szCs w:val="21"/>
          <w:highlight w:val="none"/>
        </w:rPr>
        <w:t>服务符合合同</w:t>
      </w:r>
      <w:r>
        <w:rPr>
          <w:rFonts w:hint="eastAsia" w:ascii="宋体" w:hAnsi="宋体" w:eastAsia="宋体" w:cs="Times New Roman"/>
          <w:color w:val="auto"/>
          <w:szCs w:val="21"/>
          <w:highlight w:val="none"/>
          <w:lang w:eastAsia="zh-CN"/>
        </w:rPr>
        <w:t>有关</w:t>
      </w:r>
      <w:r>
        <w:rPr>
          <w:rFonts w:ascii="宋体" w:hAnsi="宋体" w:eastAsia="宋体" w:cs="Times New Roman"/>
          <w:color w:val="auto"/>
          <w:szCs w:val="21"/>
          <w:highlight w:val="none"/>
        </w:rPr>
        <w:t>要求</w:t>
      </w:r>
      <w:r>
        <w:rPr>
          <w:rFonts w:hint="eastAsia" w:ascii="宋体" w:hAnsi="宋体" w:eastAsia="宋体" w:cs="Times New Roman"/>
          <w:color w:val="auto"/>
          <w:szCs w:val="21"/>
          <w:highlight w:val="none"/>
        </w:rPr>
        <w:t>。接受项目行业管理部门及政府有关部门的指导，配合甲方的履约检查</w:t>
      </w:r>
      <w:r>
        <w:rPr>
          <w:rFonts w:hint="eastAsia" w:ascii="宋体" w:hAnsi="宋体" w:eastAsia="宋体" w:cs="Times New Roman"/>
          <w:color w:val="auto"/>
          <w:szCs w:val="21"/>
          <w:highlight w:val="none"/>
          <w:lang w:eastAsia="zh-CN"/>
        </w:rPr>
        <w:t>及验收</w:t>
      </w:r>
      <w:r>
        <w:rPr>
          <w:rFonts w:hint="eastAsia" w:ascii="宋体" w:hAnsi="宋体" w:eastAsia="宋体" w:cs="Times New Roman"/>
          <w:color w:val="auto"/>
          <w:szCs w:val="21"/>
          <w:highlight w:val="none"/>
        </w:rPr>
        <w:t>，并</w:t>
      </w:r>
      <w:r>
        <w:rPr>
          <w:rFonts w:ascii="宋体" w:hAnsi="宋体" w:eastAsia="宋体" w:cs="Times New Roman"/>
          <w:color w:val="auto"/>
          <w:szCs w:val="21"/>
          <w:highlight w:val="none"/>
        </w:rPr>
        <w:t>负责项目实施过程中的所有协调工作。</w:t>
      </w:r>
    </w:p>
    <w:p w14:paraId="30A0B1B8">
      <w:pPr>
        <w:widowControl w:val="0"/>
        <w:spacing w:after="0" w:line="400" w:lineRule="exact"/>
        <w:ind w:firstLine="369" w:firstLineChars="176"/>
        <w:jc w:val="both"/>
        <w:rPr>
          <w:rFonts w:ascii="宋体" w:hAnsi="宋体" w:eastAsia="宋体" w:cs="宋体"/>
          <w:color w:val="auto"/>
          <w:kern w:val="2"/>
          <w:sz w:val="21"/>
          <w:szCs w:val="21"/>
          <w:highlight w:val="none"/>
          <w:lang w:val="en-US" w:eastAsia="zh-CN" w:bidi="ar-SA"/>
        </w:rPr>
      </w:pPr>
      <w:r>
        <w:rPr>
          <w:rFonts w:hint="eastAsia" w:ascii="宋体" w:hAnsi="宋体" w:eastAsia="宋体" w:cs="Times New Roman"/>
          <w:color w:val="auto"/>
          <w:kern w:val="2"/>
          <w:sz w:val="21"/>
          <w:szCs w:val="21"/>
          <w:highlight w:val="none"/>
          <w:lang w:val="en-US" w:eastAsia="zh-CN" w:bidi="ar-SA"/>
        </w:rPr>
        <w:t>5.</w:t>
      </w:r>
      <w:r>
        <w:rPr>
          <w:rFonts w:ascii="宋体" w:hAnsi="宋体" w:eastAsia="宋体" w:cs="Times New Roman"/>
          <w:color w:val="auto"/>
          <w:kern w:val="2"/>
          <w:sz w:val="21"/>
          <w:szCs w:val="21"/>
          <w:highlight w:val="none"/>
          <w:lang w:val="en-US" w:eastAsia="zh-CN" w:bidi="ar-SA"/>
        </w:rPr>
        <w:t>3</w:t>
      </w:r>
      <w:r>
        <w:rPr>
          <w:rFonts w:hint="eastAsia" w:ascii="宋体" w:hAnsi="宋体" w:eastAsia="宋体" w:cs="Times New Roman"/>
          <w:color w:val="auto"/>
          <w:kern w:val="2"/>
          <w:sz w:val="21"/>
          <w:szCs w:val="21"/>
          <w:highlight w:val="none"/>
          <w:lang w:val="en-US" w:eastAsia="zh-CN" w:bidi="ar-SA"/>
        </w:rPr>
        <w:t>乙方有权</w:t>
      </w:r>
      <w:r>
        <w:rPr>
          <w:rFonts w:hint="eastAsia" w:ascii="宋体" w:hAnsi="宋体" w:eastAsia="宋体" w:cs="宋体"/>
          <w:color w:val="auto"/>
          <w:kern w:val="2"/>
          <w:sz w:val="21"/>
          <w:szCs w:val="21"/>
          <w:highlight w:val="none"/>
          <w:lang w:val="en-US" w:eastAsia="zh-CN" w:bidi="ar-SA"/>
        </w:rPr>
        <w:t>根据合同约定向甲方收取合同价款。</w:t>
      </w:r>
    </w:p>
    <w:p w14:paraId="48355E1E">
      <w:pPr>
        <w:widowControl w:val="0"/>
        <w:spacing w:after="0" w:line="400" w:lineRule="exact"/>
        <w:ind w:firstLine="369" w:firstLineChars="176"/>
        <w:jc w:val="both"/>
        <w:rPr>
          <w:rFonts w:ascii="宋体" w:hAnsi="宋体" w:eastAsia="宋体" w:cs="宋体"/>
          <w:color w:val="auto"/>
          <w:kern w:val="2"/>
          <w:sz w:val="21"/>
          <w:szCs w:val="21"/>
          <w:highlight w:val="none"/>
          <w:lang w:val="en-US" w:eastAsia="zh-CN" w:bidi="ar-SA"/>
        </w:rPr>
      </w:pPr>
      <w:r>
        <w:rPr>
          <w:rFonts w:hint="eastAsia" w:ascii="宋体" w:hAnsi="宋体" w:eastAsia="宋体" w:cs="Times New Roman"/>
          <w:color w:val="auto"/>
          <w:kern w:val="2"/>
          <w:sz w:val="21"/>
          <w:szCs w:val="21"/>
          <w:highlight w:val="none"/>
          <w:lang w:val="en-US" w:eastAsia="zh-CN" w:bidi="ar-SA"/>
        </w:rPr>
        <w:t>5.</w:t>
      </w:r>
      <w:r>
        <w:rPr>
          <w:rFonts w:ascii="宋体" w:hAnsi="宋体" w:eastAsia="宋体" w:cs="Times New Roman"/>
          <w:color w:val="auto"/>
          <w:kern w:val="2"/>
          <w:sz w:val="21"/>
          <w:szCs w:val="21"/>
          <w:highlight w:val="none"/>
          <w:lang w:val="en-US" w:eastAsia="zh-CN" w:bidi="ar-SA"/>
        </w:rPr>
        <w:t>4</w:t>
      </w:r>
      <w:r>
        <w:rPr>
          <w:rFonts w:hint="eastAsia" w:ascii="宋体" w:hAnsi="宋体" w:eastAsia="宋体" w:cs="宋体"/>
          <w:color w:val="auto"/>
          <w:kern w:val="2"/>
          <w:sz w:val="21"/>
          <w:szCs w:val="21"/>
          <w:highlight w:val="none"/>
          <w:lang w:val="en-US" w:eastAsia="zh-CN" w:bidi="ar-SA"/>
        </w:rPr>
        <w:t>国家法律法规规定</w:t>
      </w:r>
      <w:r>
        <w:rPr>
          <w:rFonts w:hint="eastAsia" w:ascii="宋体" w:hAnsi="宋体" w:eastAsia="宋体" w:cs="Times New Roman"/>
          <w:color w:val="auto"/>
          <w:kern w:val="2"/>
          <w:sz w:val="21"/>
          <w:szCs w:val="21"/>
          <w:highlight w:val="none"/>
          <w:lang w:val="en-US" w:eastAsia="zh-CN" w:bidi="ar-SA"/>
        </w:rPr>
        <w:t>及</w:t>
      </w:r>
      <w:r>
        <w:rPr>
          <w:rFonts w:hint="eastAsia" w:ascii="宋体" w:hAnsi="宋体" w:eastAsia="宋体" w:cs="宋体"/>
          <w:b/>
          <w:bCs/>
          <w:color w:val="auto"/>
          <w:kern w:val="2"/>
          <w:sz w:val="21"/>
          <w:szCs w:val="21"/>
          <w:highlight w:val="none"/>
          <w:lang w:val="en-US" w:eastAsia="zh-CN" w:bidi="ar-SA"/>
        </w:rPr>
        <w:t>【政府采购合同专用条款】</w:t>
      </w:r>
      <w:r>
        <w:rPr>
          <w:rFonts w:hint="eastAsia" w:ascii="宋体" w:hAnsi="宋体" w:eastAsia="宋体" w:cs="宋体"/>
          <w:b w:val="0"/>
          <w:bCs w:val="0"/>
          <w:color w:val="auto"/>
          <w:kern w:val="2"/>
          <w:sz w:val="21"/>
          <w:szCs w:val="21"/>
          <w:highlight w:val="none"/>
          <w:lang w:val="en-US" w:eastAsia="zh-CN" w:bidi="ar-SA"/>
        </w:rPr>
        <w:t>约定应</w:t>
      </w:r>
      <w:r>
        <w:rPr>
          <w:rFonts w:hint="eastAsia" w:ascii="宋体" w:hAnsi="宋体" w:eastAsia="宋体" w:cs="宋体"/>
          <w:color w:val="auto"/>
          <w:kern w:val="2"/>
          <w:sz w:val="21"/>
          <w:szCs w:val="21"/>
          <w:highlight w:val="none"/>
          <w:lang w:val="en-US" w:eastAsia="zh-CN" w:bidi="ar-SA"/>
        </w:rPr>
        <w:t>由乙方承担的其他义务和责任。</w:t>
      </w:r>
    </w:p>
    <w:p w14:paraId="5032B220">
      <w:pPr>
        <w:numPr>
          <w:ilvl w:val="0"/>
          <w:numId w:val="27"/>
        </w:numPr>
        <w:autoSpaceDE w:val="0"/>
        <w:autoSpaceDN w:val="0"/>
        <w:adjustRightInd w:val="0"/>
        <w:snapToGrid w:val="0"/>
        <w:spacing w:before="0" w:line="400" w:lineRule="exact"/>
        <w:jc w:val="left"/>
        <w:rPr>
          <w:rFonts w:hint="eastAsia" w:ascii="宋体" w:hAnsi="宋体" w:eastAsia="宋体" w:cs="Times New Roman"/>
          <w:b/>
          <w:bCs/>
          <w:color w:val="auto"/>
          <w:sz w:val="24"/>
          <w:highlight w:val="none"/>
        </w:rPr>
      </w:pPr>
      <w:r>
        <w:rPr>
          <w:rFonts w:hint="eastAsia" w:ascii="宋体" w:hAnsi="宋体" w:eastAsia="宋体" w:cs="Times New Roman"/>
          <w:b/>
          <w:bCs/>
          <w:color w:val="auto"/>
          <w:sz w:val="24"/>
          <w:highlight w:val="none"/>
        </w:rPr>
        <w:t>合同履</w:t>
      </w:r>
      <w:r>
        <w:rPr>
          <w:rFonts w:hint="eastAsia" w:ascii="宋体" w:hAnsi="宋体" w:eastAsia="宋体" w:cs="Times New Roman"/>
          <w:b/>
          <w:bCs/>
          <w:color w:val="auto"/>
          <w:sz w:val="24"/>
          <w:highlight w:val="none"/>
          <w:lang w:val="en-US" w:eastAsia="zh-CN"/>
        </w:rPr>
        <w:t>行</w:t>
      </w:r>
    </w:p>
    <w:p w14:paraId="5F305892">
      <w:pPr>
        <w:autoSpaceDE w:val="0"/>
        <w:autoSpaceDN w:val="0"/>
        <w:adjustRightInd w:val="0"/>
        <w:snapToGrid w:val="0"/>
        <w:spacing w:before="0" w:line="4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lang w:eastAsia="zh-CN"/>
        </w:rPr>
        <w:t>6</w:t>
      </w:r>
      <w:r>
        <w:rPr>
          <w:rFonts w:hint="eastAsia" w:ascii="宋体" w:hAnsi="宋体" w:eastAsia="宋体" w:cs="Times New Roman"/>
          <w:color w:val="auto"/>
          <w:szCs w:val="21"/>
          <w:highlight w:val="none"/>
        </w:rPr>
        <w:t>.1 甲乙双方应当按照</w:t>
      </w:r>
      <w:r>
        <w:rPr>
          <w:rFonts w:hint="eastAsia" w:ascii="宋体" w:hAnsi="宋体" w:eastAsia="宋体" w:cs="宋体"/>
          <w:b/>
          <w:bCs/>
          <w:color w:val="auto"/>
          <w:szCs w:val="21"/>
          <w:highlight w:val="none"/>
        </w:rPr>
        <w:t>【政府采购合同专用条款】</w:t>
      </w:r>
      <w:r>
        <w:rPr>
          <w:rFonts w:hint="eastAsia" w:ascii="宋体" w:hAnsi="宋体" w:eastAsia="宋体" w:cs="Times New Roman"/>
          <w:color w:val="auto"/>
          <w:szCs w:val="21"/>
          <w:highlight w:val="none"/>
        </w:rPr>
        <w:t>约定顺序履行合同义务；如果没有先后顺序的，应当同时履行。</w:t>
      </w:r>
    </w:p>
    <w:p w14:paraId="5CB380F3">
      <w:pPr>
        <w:autoSpaceDE w:val="0"/>
        <w:autoSpaceDN w:val="0"/>
        <w:adjustRightInd w:val="0"/>
        <w:snapToGrid w:val="0"/>
        <w:spacing w:before="0" w:line="400" w:lineRule="exact"/>
        <w:ind w:firstLine="420" w:firstLineChars="200"/>
        <w:jc w:val="left"/>
        <w:rPr>
          <w:rFonts w:ascii="Times New Roman" w:hAnsi="Times New Roman" w:eastAsia="宋体" w:cs="Times New Roman"/>
          <w:color w:val="auto"/>
          <w:highlight w:val="none"/>
        </w:rPr>
      </w:pPr>
      <w:r>
        <w:rPr>
          <w:rFonts w:hint="eastAsia" w:ascii="宋体" w:hAnsi="宋体" w:eastAsia="宋体" w:cs="Times New Roman"/>
          <w:color w:val="auto"/>
          <w:szCs w:val="21"/>
          <w:highlight w:val="none"/>
          <w:lang w:eastAsia="zh-CN"/>
        </w:rPr>
        <w:t>6</w:t>
      </w:r>
      <w:r>
        <w:rPr>
          <w:rFonts w:hint="eastAsia" w:ascii="宋体" w:hAnsi="宋体" w:eastAsia="宋体" w:cs="Times New Roman"/>
          <w:color w:val="auto"/>
          <w:szCs w:val="21"/>
          <w:highlight w:val="none"/>
        </w:rPr>
        <w:t>.2 甲乙双方按照合同约定顺序履行合同义务时，应当先履行一方未履行的，后履行一方有权拒绝其履行请求。先履行一方履行不符合约定的，后履行一方有权拒绝其相应的履行请求。</w:t>
      </w:r>
    </w:p>
    <w:p w14:paraId="1C6E21F1">
      <w:pPr>
        <w:adjustRightInd w:val="0"/>
        <w:snapToGrid w:val="0"/>
        <w:spacing w:before="0" w:line="400" w:lineRule="exact"/>
        <w:jc w:val="left"/>
        <w:rPr>
          <w:rFonts w:ascii="宋体" w:hAnsi="宋体" w:eastAsia="宋体" w:cs="Times New Roman"/>
          <w:b/>
          <w:bCs/>
          <w:color w:val="auto"/>
          <w:sz w:val="24"/>
          <w:highlight w:val="none"/>
        </w:rPr>
      </w:pPr>
      <w:r>
        <w:rPr>
          <w:rFonts w:hint="eastAsia" w:ascii="宋体" w:hAnsi="宋体" w:eastAsia="宋体" w:cs="Times New Roman"/>
          <w:b/>
          <w:bCs/>
          <w:color w:val="auto"/>
          <w:sz w:val="24"/>
          <w:highlight w:val="none"/>
          <w:lang w:eastAsia="zh-CN"/>
        </w:rPr>
        <w:t>7</w:t>
      </w:r>
      <w:r>
        <w:rPr>
          <w:rFonts w:hint="eastAsia" w:ascii="宋体" w:hAnsi="宋体" w:eastAsia="宋体" w:cs="Times New Roman"/>
          <w:b/>
          <w:bCs/>
          <w:color w:val="auto"/>
          <w:sz w:val="24"/>
          <w:highlight w:val="none"/>
          <w:lang w:val="en-US" w:eastAsia="zh-CN"/>
        </w:rPr>
        <w:t xml:space="preserve">. </w:t>
      </w:r>
      <w:r>
        <w:rPr>
          <w:rFonts w:hint="eastAsia" w:ascii="宋体" w:hAnsi="宋体" w:eastAsia="宋体" w:cs="Times New Roman"/>
          <w:b/>
          <w:bCs/>
          <w:color w:val="auto"/>
          <w:sz w:val="24"/>
          <w:highlight w:val="none"/>
        </w:rPr>
        <w:t>货物包装、运输</w:t>
      </w:r>
      <w:r>
        <w:rPr>
          <w:rFonts w:hint="eastAsia" w:ascii="宋体" w:hAnsi="宋体" w:eastAsia="宋体" w:cs="Times New Roman"/>
          <w:b/>
          <w:bCs/>
          <w:color w:val="auto"/>
          <w:sz w:val="24"/>
          <w:highlight w:val="none"/>
          <w:lang w:eastAsia="zh-CN"/>
        </w:rPr>
        <w:t>、</w:t>
      </w:r>
      <w:r>
        <w:rPr>
          <w:rFonts w:hint="eastAsia" w:ascii="宋体" w:hAnsi="宋体" w:eastAsia="宋体" w:cs="Times New Roman"/>
          <w:b/>
          <w:bCs/>
          <w:color w:val="auto"/>
          <w:sz w:val="24"/>
          <w:highlight w:val="none"/>
        </w:rPr>
        <w:t>保险</w:t>
      </w:r>
      <w:r>
        <w:rPr>
          <w:rFonts w:hint="eastAsia" w:ascii="宋体" w:hAnsi="宋体" w:eastAsia="宋体" w:cs="Times New Roman"/>
          <w:b/>
          <w:bCs/>
          <w:color w:val="auto"/>
          <w:sz w:val="24"/>
          <w:highlight w:val="none"/>
          <w:lang w:eastAsia="zh-CN"/>
        </w:rPr>
        <w:t>和交付</w:t>
      </w:r>
      <w:r>
        <w:rPr>
          <w:rFonts w:hint="eastAsia" w:ascii="宋体" w:hAnsi="宋体" w:eastAsia="宋体" w:cs="Times New Roman"/>
          <w:b/>
          <w:bCs/>
          <w:color w:val="auto"/>
          <w:sz w:val="24"/>
          <w:highlight w:val="none"/>
        </w:rPr>
        <w:t>要求</w:t>
      </w:r>
    </w:p>
    <w:p w14:paraId="4D2397E8">
      <w:pPr>
        <w:autoSpaceDE w:val="0"/>
        <w:autoSpaceDN w:val="0"/>
        <w:adjustRightInd w:val="0"/>
        <w:snapToGrid w:val="0"/>
        <w:spacing w:before="0" w:line="4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lang w:eastAsia="zh-CN"/>
        </w:rPr>
        <w:t>7</w:t>
      </w:r>
      <w:r>
        <w:rPr>
          <w:rFonts w:hint="eastAsia" w:ascii="宋体" w:hAnsi="宋体" w:eastAsia="宋体" w:cs="Times New Roman"/>
          <w:color w:val="auto"/>
          <w:szCs w:val="21"/>
          <w:highlight w:val="none"/>
        </w:rPr>
        <w:t>.1 本合同</w:t>
      </w:r>
      <w:r>
        <w:rPr>
          <w:rFonts w:hint="eastAsia" w:ascii="宋体" w:hAnsi="宋体" w:eastAsia="宋体" w:cs="Times New Roman"/>
          <w:bCs/>
          <w:color w:val="auto"/>
          <w:szCs w:val="21"/>
          <w:highlight w:val="none"/>
        </w:rPr>
        <w:t>涉及商品包装</w:t>
      </w:r>
      <w:r>
        <w:rPr>
          <w:rFonts w:hint="eastAsia" w:ascii="宋体" w:hAnsi="宋体" w:eastAsia="宋体" w:cs="Times New Roman"/>
          <w:bCs/>
          <w:color w:val="auto"/>
          <w:szCs w:val="21"/>
          <w:highlight w:val="none"/>
          <w:lang w:eastAsia="zh-CN"/>
        </w:rPr>
        <w:t>、</w:t>
      </w:r>
      <w:r>
        <w:rPr>
          <w:rFonts w:hint="eastAsia" w:ascii="宋体" w:hAnsi="宋体" w:eastAsia="宋体" w:cs="Times New Roman"/>
          <w:bCs/>
          <w:color w:val="auto"/>
          <w:szCs w:val="21"/>
          <w:highlight w:val="none"/>
        </w:rPr>
        <w:t>快递包装的，</w:t>
      </w:r>
      <w:r>
        <w:rPr>
          <w:rFonts w:hint="eastAsia" w:ascii="宋体" w:hAnsi="宋体" w:eastAsia="宋体" w:cs="Times New Roman"/>
          <w:color w:val="auto"/>
          <w:szCs w:val="21"/>
          <w:highlight w:val="none"/>
        </w:rPr>
        <w:t>除</w:t>
      </w:r>
      <w:r>
        <w:rPr>
          <w:rFonts w:hint="eastAsia" w:ascii="宋体" w:hAnsi="宋体" w:eastAsia="宋体" w:cs="Times New Roman"/>
          <w:b/>
          <w:color w:val="auto"/>
          <w:szCs w:val="21"/>
          <w:highlight w:val="none"/>
        </w:rPr>
        <w:t>【政府采购合同专用条款】</w:t>
      </w:r>
      <w:r>
        <w:rPr>
          <w:rFonts w:hint="eastAsia" w:ascii="宋体" w:hAnsi="宋体" w:eastAsia="宋体" w:cs="Times New Roman"/>
          <w:bCs/>
          <w:color w:val="auto"/>
          <w:szCs w:val="21"/>
          <w:highlight w:val="none"/>
        </w:rPr>
        <w:t>另有</w:t>
      </w:r>
      <w:r>
        <w:rPr>
          <w:rFonts w:hint="eastAsia" w:ascii="宋体" w:hAnsi="宋体" w:eastAsia="宋体" w:cs="Times New Roman"/>
          <w:bCs/>
          <w:color w:val="auto"/>
          <w:szCs w:val="21"/>
          <w:highlight w:val="none"/>
          <w:lang w:eastAsia="zh-CN"/>
        </w:rPr>
        <w:t>约</w:t>
      </w:r>
      <w:r>
        <w:rPr>
          <w:rFonts w:hint="eastAsia" w:ascii="宋体" w:hAnsi="宋体" w:eastAsia="宋体" w:cs="Times New Roman"/>
          <w:bCs/>
          <w:color w:val="auto"/>
          <w:szCs w:val="21"/>
          <w:highlight w:val="none"/>
        </w:rPr>
        <w:t>定</w:t>
      </w:r>
      <w:r>
        <w:rPr>
          <w:rFonts w:hint="eastAsia" w:ascii="宋体" w:hAnsi="宋体" w:eastAsia="宋体" w:cs="Times New Roman"/>
          <w:bCs/>
          <w:color w:val="auto"/>
          <w:szCs w:val="21"/>
          <w:highlight w:val="none"/>
          <w:lang w:eastAsia="zh-CN"/>
        </w:rPr>
        <w:t>外</w:t>
      </w:r>
      <w:r>
        <w:rPr>
          <w:rFonts w:hint="eastAsia" w:ascii="宋体" w:hAnsi="宋体" w:eastAsia="宋体" w:cs="Times New Roman"/>
          <w:bCs/>
          <w:color w:val="auto"/>
          <w:szCs w:val="21"/>
          <w:highlight w:val="none"/>
        </w:rPr>
        <w:t>，</w:t>
      </w:r>
      <w:r>
        <w:rPr>
          <w:rFonts w:hint="eastAsia" w:ascii="宋体" w:hAnsi="宋体" w:eastAsia="宋体" w:cs="Times New Roman"/>
          <w:color w:val="auto"/>
          <w:szCs w:val="21"/>
          <w:highlight w:val="none"/>
        </w:rPr>
        <w:t>包装应适应远距离运输、防潮、防震、防锈和防野蛮装卸等要求，确保货物安全无损地运抵</w:t>
      </w:r>
      <w:r>
        <w:rPr>
          <w:rFonts w:hint="eastAsia" w:ascii="宋体" w:hAnsi="宋体" w:eastAsia="宋体" w:cs="Times New Roman"/>
          <w:b/>
          <w:color w:val="auto"/>
          <w:szCs w:val="21"/>
          <w:highlight w:val="none"/>
        </w:rPr>
        <w:t>【政府采购合同专用条款】</w:t>
      </w:r>
      <w:r>
        <w:rPr>
          <w:rFonts w:hint="eastAsia" w:ascii="宋体" w:hAnsi="宋体" w:eastAsia="宋体" w:cs="Times New Roman"/>
          <w:b w:val="0"/>
          <w:bCs/>
          <w:color w:val="auto"/>
          <w:szCs w:val="21"/>
          <w:highlight w:val="none"/>
          <w:lang w:eastAsia="zh-CN"/>
        </w:rPr>
        <w:t>约定的</w:t>
      </w:r>
      <w:r>
        <w:rPr>
          <w:rFonts w:hint="eastAsia" w:ascii="宋体" w:hAnsi="宋体" w:eastAsia="宋体" w:cs="Times New Roman"/>
          <w:color w:val="auto"/>
          <w:szCs w:val="21"/>
          <w:highlight w:val="none"/>
        </w:rPr>
        <w:t>指定现场。</w:t>
      </w:r>
    </w:p>
    <w:p w14:paraId="0E045C2C">
      <w:pPr>
        <w:adjustRightInd w:val="0"/>
        <w:snapToGrid w:val="0"/>
        <w:spacing w:before="0" w:line="4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lang w:eastAsia="zh-CN"/>
        </w:rPr>
        <w:t>7</w:t>
      </w:r>
      <w:r>
        <w:rPr>
          <w:rFonts w:hint="eastAsia" w:ascii="宋体" w:hAnsi="宋体" w:eastAsia="宋体" w:cs="Times New Roman"/>
          <w:color w:val="auto"/>
          <w:szCs w:val="21"/>
          <w:highlight w:val="none"/>
        </w:rPr>
        <w:t>.2 除</w:t>
      </w:r>
      <w:r>
        <w:rPr>
          <w:rFonts w:hint="eastAsia" w:ascii="宋体" w:hAnsi="宋体" w:eastAsia="宋体" w:cs="Times New Roman"/>
          <w:b/>
          <w:color w:val="auto"/>
          <w:szCs w:val="21"/>
          <w:highlight w:val="none"/>
        </w:rPr>
        <w:t>【政府采购合同专用条款】</w:t>
      </w:r>
      <w:r>
        <w:rPr>
          <w:rFonts w:hint="eastAsia" w:ascii="宋体" w:hAnsi="宋体" w:eastAsia="宋体" w:cs="Times New Roman"/>
          <w:bCs/>
          <w:color w:val="auto"/>
          <w:szCs w:val="21"/>
          <w:highlight w:val="none"/>
        </w:rPr>
        <w:t>另有</w:t>
      </w:r>
      <w:r>
        <w:rPr>
          <w:rFonts w:hint="eastAsia" w:ascii="宋体" w:hAnsi="宋体" w:eastAsia="宋体" w:cs="Times New Roman"/>
          <w:bCs/>
          <w:color w:val="auto"/>
          <w:szCs w:val="21"/>
          <w:highlight w:val="none"/>
          <w:lang w:eastAsia="zh-CN"/>
        </w:rPr>
        <w:t>约</w:t>
      </w:r>
      <w:r>
        <w:rPr>
          <w:rFonts w:hint="eastAsia" w:ascii="宋体" w:hAnsi="宋体" w:eastAsia="宋体" w:cs="Times New Roman"/>
          <w:bCs/>
          <w:color w:val="auto"/>
          <w:szCs w:val="21"/>
          <w:highlight w:val="none"/>
        </w:rPr>
        <w:t>定</w:t>
      </w:r>
      <w:r>
        <w:rPr>
          <w:rFonts w:hint="eastAsia" w:ascii="宋体" w:hAnsi="宋体" w:eastAsia="宋体" w:cs="Times New Roman"/>
          <w:bCs/>
          <w:color w:val="auto"/>
          <w:szCs w:val="21"/>
          <w:highlight w:val="none"/>
          <w:lang w:eastAsia="zh-CN"/>
        </w:rPr>
        <w:t>外</w:t>
      </w:r>
      <w:r>
        <w:rPr>
          <w:rFonts w:hint="eastAsia" w:ascii="宋体" w:hAnsi="宋体" w:eastAsia="宋体" w:cs="Times New Roman"/>
          <w:bCs/>
          <w:color w:val="auto"/>
          <w:szCs w:val="21"/>
          <w:highlight w:val="none"/>
        </w:rPr>
        <w:t>，</w:t>
      </w:r>
      <w:r>
        <w:rPr>
          <w:rFonts w:hint="eastAsia" w:ascii="宋体" w:hAnsi="宋体" w:eastAsia="宋体" w:cs="Times New Roman"/>
          <w:color w:val="auto"/>
          <w:szCs w:val="21"/>
          <w:highlight w:val="none"/>
        </w:rPr>
        <w:t>乙方负责办理将货物运抵本合同规定的交货地点</w:t>
      </w:r>
      <w:r>
        <w:rPr>
          <w:rFonts w:hint="eastAsia" w:ascii="宋体" w:hAnsi="宋体" w:eastAsia="宋体" w:cs="Times New Roman"/>
          <w:color w:val="auto"/>
          <w:szCs w:val="21"/>
          <w:highlight w:val="none"/>
          <w:lang w:eastAsia="zh-CN"/>
        </w:rPr>
        <w:t>，并装卸、交付至甲方</w:t>
      </w:r>
      <w:r>
        <w:rPr>
          <w:rFonts w:hint="eastAsia" w:ascii="宋体" w:hAnsi="宋体" w:eastAsia="宋体" w:cs="Times New Roman"/>
          <w:color w:val="auto"/>
          <w:szCs w:val="21"/>
          <w:highlight w:val="none"/>
        </w:rPr>
        <w:t>的一切运输事项，相关费用应</w:t>
      </w:r>
      <w:r>
        <w:rPr>
          <w:rFonts w:hint="eastAsia" w:ascii="宋体" w:hAnsi="宋体" w:eastAsia="宋体" w:cs="Times New Roman"/>
          <w:color w:val="auto"/>
          <w:szCs w:val="21"/>
          <w:highlight w:val="none"/>
          <w:lang w:eastAsia="zh-CN"/>
        </w:rPr>
        <w:t>包含</w:t>
      </w:r>
      <w:r>
        <w:rPr>
          <w:rFonts w:hint="eastAsia" w:ascii="宋体" w:hAnsi="宋体" w:eastAsia="宋体" w:cs="Times New Roman"/>
          <w:color w:val="auto"/>
          <w:szCs w:val="21"/>
          <w:highlight w:val="none"/>
        </w:rPr>
        <w:t>在合同</w:t>
      </w:r>
      <w:r>
        <w:rPr>
          <w:rFonts w:hint="eastAsia" w:ascii="宋体" w:hAnsi="宋体" w:eastAsia="宋体" w:cs="Times New Roman"/>
          <w:color w:val="auto"/>
          <w:szCs w:val="21"/>
          <w:highlight w:val="none"/>
          <w:lang w:eastAsia="zh-CN"/>
        </w:rPr>
        <w:t>价款</w:t>
      </w:r>
      <w:r>
        <w:rPr>
          <w:rFonts w:hint="eastAsia" w:ascii="宋体" w:hAnsi="宋体" w:eastAsia="宋体" w:cs="Times New Roman"/>
          <w:color w:val="auto"/>
          <w:szCs w:val="21"/>
          <w:highlight w:val="none"/>
        </w:rPr>
        <w:t>中。</w:t>
      </w:r>
    </w:p>
    <w:p w14:paraId="4DC90D1A">
      <w:pPr>
        <w:adjustRightInd w:val="0"/>
        <w:snapToGrid w:val="0"/>
        <w:spacing w:before="0" w:line="4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lang w:eastAsia="zh-CN"/>
        </w:rPr>
        <w:t>7</w:t>
      </w:r>
      <w:r>
        <w:rPr>
          <w:rFonts w:hint="eastAsia" w:ascii="宋体" w:hAnsi="宋体" w:eastAsia="宋体" w:cs="Times New Roman"/>
          <w:color w:val="auto"/>
          <w:szCs w:val="21"/>
          <w:highlight w:val="none"/>
        </w:rPr>
        <w:t>.3 货物保险要求按</w:t>
      </w:r>
      <w:r>
        <w:rPr>
          <w:rFonts w:hint="eastAsia" w:ascii="宋体" w:hAnsi="宋体" w:eastAsia="宋体" w:cs="Times New Roman"/>
          <w:b/>
          <w:color w:val="auto"/>
          <w:szCs w:val="21"/>
          <w:highlight w:val="none"/>
        </w:rPr>
        <w:t>【政府采购合同专用条款】</w:t>
      </w:r>
      <w:r>
        <w:rPr>
          <w:rFonts w:hint="eastAsia" w:ascii="宋体" w:hAnsi="宋体" w:eastAsia="宋体" w:cs="Times New Roman"/>
          <w:bCs/>
          <w:color w:val="auto"/>
          <w:szCs w:val="21"/>
          <w:highlight w:val="none"/>
        </w:rPr>
        <w:t>规定执行</w:t>
      </w:r>
      <w:r>
        <w:rPr>
          <w:rFonts w:hint="eastAsia" w:ascii="宋体" w:hAnsi="宋体" w:eastAsia="宋体" w:cs="Times New Roman"/>
          <w:color w:val="auto"/>
          <w:szCs w:val="21"/>
          <w:highlight w:val="none"/>
        </w:rPr>
        <w:t>。</w:t>
      </w:r>
    </w:p>
    <w:p w14:paraId="02907C93">
      <w:pPr>
        <w:autoSpaceDE w:val="0"/>
        <w:autoSpaceDN w:val="0"/>
        <w:adjustRightInd w:val="0"/>
        <w:snapToGrid w:val="0"/>
        <w:spacing w:before="0" w:line="400" w:lineRule="exact"/>
        <w:ind w:firstLine="420" w:firstLineChars="200"/>
        <w:jc w:val="left"/>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lang w:eastAsia="zh-CN"/>
        </w:rPr>
        <w:t>7</w:t>
      </w:r>
      <w:r>
        <w:rPr>
          <w:rFonts w:hint="eastAsia" w:ascii="宋体" w:hAnsi="宋体" w:eastAsia="宋体" w:cs="Times New Roman"/>
          <w:color w:val="auto"/>
          <w:szCs w:val="21"/>
          <w:highlight w:val="none"/>
        </w:rPr>
        <w:t xml:space="preserve">.4 </w:t>
      </w:r>
      <w:r>
        <w:rPr>
          <w:rFonts w:hint="eastAsia" w:ascii="宋体" w:hAnsi="宋体" w:eastAsia="宋体" w:cs="Times New Roman"/>
          <w:color w:val="auto"/>
          <w:szCs w:val="21"/>
          <w:highlight w:val="none"/>
          <w:lang w:val="en-US" w:eastAsia="zh-CN"/>
        </w:rPr>
        <w:t>除采购活动</w:t>
      </w:r>
      <w:r>
        <w:rPr>
          <w:rFonts w:hint="eastAsia" w:ascii="宋体" w:hAnsi="宋体" w:eastAsia="宋体" w:cs="Times New Roman"/>
          <w:color w:val="auto"/>
          <w:szCs w:val="21"/>
          <w:highlight w:val="none"/>
        </w:rPr>
        <w:t>对商品包装</w:t>
      </w:r>
      <w:r>
        <w:rPr>
          <w:rFonts w:hint="eastAsia" w:ascii="宋体" w:hAnsi="宋体" w:eastAsia="宋体" w:cs="Times New Roman"/>
          <w:color w:val="auto"/>
          <w:szCs w:val="21"/>
          <w:highlight w:val="none"/>
          <w:lang w:eastAsia="zh-CN"/>
        </w:rPr>
        <w:t>、</w:t>
      </w:r>
      <w:r>
        <w:rPr>
          <w:rFonts w:hint="eastAsia" w:ascii="宋体" w:hAnsi="宋体" w:eastAsia="宋体" w:cs="Times New Roman"/>
          <w:color w:val="auto"/>
          <w:szCs w:val="21"/>
          <w:highlight w:val="none"/>
        </w:rPr>
        <w:t>快递包装</w:t>
      </w:r>
      <w:r>
        <w:rPr>
          <w:rFonts w:hint="eastAsia" w:ascii="宋体" w:hAnsi="宋体" w:eastAsia="宋体" w:cs="Times New Roman"/>
          <w:color w:val="auto"/>
          <w:szCs w:val="21"/>
          <w:highlight w:val="none"/>
          <w:lang w:val="en-US" w:eastAsia="zh-CN"/>
        </w:rPr>
        <w:t>达成具体约定外</w:t>
      </w:r>
      <w:r>
        <w:rPr>
          <w:rFonts w:hint="eastAsia" w:ascii="宋体" w:hAnsi="宋体" w:eastAsia="宋体" w:cs="Times New Roman"/>
          <w:color w:val="auto"/>
          <w:szCs w:val="21"/>
          <w:highlight w:val="none"/>
        </w:rPr>
        <w:t>，乙方提供产品及相关快递服务</w:t>
      </w:r>
      <w:r>
        <w:rPr>
          <w:rFonts w:hint="eastAsia" w:ascii="宋体" w:hAnsi="宋体" w:eastAsia="宋体" w:cs="Times New Roman"/>
          <w:color w:val="auto"/>
          <w:szCs w:val="21"/>
          <w:highlight w:val="none"/>
          <w:lang w:val="en-US" w:eastAsia="zh-CN"/>
        </w:rPr>
        <w:t>涉及到</w:t>
      </w:r>
      <w:r>
        <w:rPr>
          <w:rFonts w:hint="eastAsia" w:ascii="宋体" w:hAnsi="宋体" w:eastAsia="宋体" w:cs="Times New Roman"/>
          <w:color w:val="auto"/>
          <w:szCs w:val="21"/>
          <w:highlight w:val="none"/>
        </w:rPr>
        <w:t>具体包装要求</w:t>
      </w:r>
      <w:r>
        <w:rPr>
          <w:rFonts w:hint="eastAsia" w:ascii="宋体" w:hAnsi="宋体" w:eastAsia="宋体" w:cs="Times New Roman"/>
          <w:color w:val="auto"/>
          <w:szCs w:val="21"/>
          <w:highlight w:val="none"/>
          <w:lang w:val="en-US" w:eastAsia="zh-CN"/>
        </w:rPr>
        <w:t>的，</w:t>
      </w:r>
      <w:r>
        <w:rPr>
          <w:rFonts w:hint="eastAsia" w:ascii="宋体" w:hAnsi="宋体" w:eastAsia="宋体" w:cs="Times New Roman"/>
          <w:color w:val="auto"/>
          <w:szCs w:val="21"/>
          <w:highlight w:val="none"/>
        </w:rPr>
        <w:t>应</w:t>
      </w:r>
      <w:r>
        <w:rPr>
          <w:rFonts w:hint="eastAsia" w:ascii="宋体" w:hAnsi="宋体" w:eastAsia="宋体" w:cs="Times New Roman"/>
          <w:color w:val="auto"/>
          <w:szCs w:val="21"/>
          <w:highlight w:val="none"/>
          <w:lang w:val="en-US" w:eastAsia="zh-CN"/>
        </w:rPr>
        <w:t>不低于</w:t>
      </w:r>
      <w:r>
        <w:rPr>
          <w:rFonts w:hint="eastAsia" w:ascii="宋体" w:hAnsi="宋体" w:eastAsia="宋体" w:cs="Times New Roman"/>
          <w:color w:val="auto"/>
          <w:szCs w:val="21"/>
          <w:highlight w:val="none"/>
        </w:rPr>
        <w:t>《商品包装政府采购需求标准（试行）</w:t>
      </w:r>
      <w:r>
        <w:rPr>
          <w:rFonts w:hint="eastAsia" w:ascii="宋体" w:hAnsi="宋体" w:eastAsia="宋体" w:cs="Times New Roman"/>
          <w:color w:val="auto"/>
          <w:szCs w:val="21"/>
          <w:highlight w:val="none"/>
          <w:lang w:eastAsia="zh-CN"/>
        </w:rPr>
        <w:t>》《</w:t>
      </w:r>
      <w:r>
        <w:rPr>
          <w:rFonts w:hint="eastAsia" w:ascii="宋体" w:hAnsi="宋体" w:eastAsia="宋体" w:cs="Times New Roman"/>
          <w:color w:val="auto"/>
          <w:szCs w:val="21"/>
          <w:highlight w:val="none"/>
        </w:rPr>
        <w:t>快递包装政府采购需求标准（试行）》</w:t>
      </w:r>
      <w:r>
        <w:rPr>
          <w:rFonts w:hint="eastAsia" w:ascii="宋体" w:hAnsi="宋体" w:eastAsia="宋体" w:cs="Times New Roman"/>
          <w:color w:val="auto"/>
          <w:szCs w:val="21"/>
          <w:highlight w:val="none"/>
          <w:lang w:val="en-US" w:eastAsia="zh-CN"/>
        </w:rPr>
        <w:t>标准</w:t>
      </w:r>
      <w:r>
        <w:rPr>
          <w:rFonts w:hint="eastAsia" w:ascii="宋体" w:hAnsi="宋体" w:eastAsia="宋体" w:cs="Times New Roman"/>
          <w:color w:val="auto"/>
          <w:szCs w:val="21"/>
          <w:highlight w:val="none"/>
        </w:rPr>
        <w:t>，并作为履约验收的内容，必要时甲方可以要求乙方在履约验收环节出具检测报告。</w:t>
      </w:r>
    </w:p>
    <w:p w14:paraId="108059FD">
      <w:pPr>
        <w:autoSpaceDE w:val="0"/>
        <w:autoSpaceDN w:val="0"/>
        <w:adjustRightInd w:val="0"/>
        <w:snapToGrid w:val="0"/>
        <w:spacing w:before="0" w:line="400" w:lineRule="exact"/>
        <w:ind w:firstLine="420" w:firstLineChars="200"/>
        <w:jc w:val="left"/>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lang w:val="en-US" w:eastAsia="zh-CN"/>
        </w:rPr>
        <w:t xml:space="preserve">7.5 </w:t>
      </w:r>
      <w:r>
        <w:rPr>
          <w:rFonts w:hint="eastAsia" w:ascii="宋体" w:hAnsi="宋体" w:eastAsia="宋体" w:cs="宋体"/>
          <w:color w:val="auto"/>
          <w:szCs w:val="21"/>
          <w:highlight w:val="none"/>
        </w:rPr>
        <w:t>乙方在运输到达之前</w:t>
      </w:r>
      <w:r>
        <w:rPr>
          <w:rFonts w:hint="eastAsia" w:ascii="宋体" w:hAnsi="宋体" w:eastAsia="宋体" w:cs="宋体"/>
          <w:color w:val="auto"/>
          <w:szCs w:val="21"/>
          <w:highlight w:val="none"/>
          <w:lang w:eastAsia="zh-CN"/>
        </w:rPr>
        <w:t>应</w:t>
      </w:r>
      <w:r>
        <w:rPr>
          <w:rFonts w:hint="eastAsia" w:ascii="宋体" w:hAnsi="宋体" w:eastAsia="宋体" w:cs="宋体"/>
          <w:color w:val="auto"/>
          <w:szCs w:val="21"/>
          <w:highlight w:val="none"/>
        </w:rPr>
        <w:t>提前通知</w:t>
      </w:r>
      <w:r>
        <w:rPr>
          <w:rFonts w:hint="eastAsia" w:ascii="宋体" w:hAnsi="宋体" w:eastAsia="宋体" w:cs="宋体"/>
          <w:color w:val="auto"/>
          <w:szCs w:val="21"/>
          <w:highlight w:val="none"/>
          <w:lang w:eastAsia="zh-CN"/>
        </w:rPr>
        <w:t>甲方</w:t>
      </w:r>
      <w:r>
        <w:rPr>
          <w:rFonts w:hint="eastAsia" w:ascii="宋体" w:hAnsi="宋体" w:eastAsia="宋体" w:cs="宋体"/>
          <w:color w:val="auto"/>
          <w:szCs w:val="21"/>
          <w:highlight w:val="none"/>
        </w:rPr>
        <w:t>，并提示货物运输装卸的注意事项</w:t>
      </w:r>
      <w:r>
        <w:rPr>
          <w:rFonts w:hint="eastAsia" w:ascii="宋体" w:hAnsi="宋体" w:eastAsia="宋体" w:cs="宋体"/>
          <w:color w:val="auto"/>
          <w:szCs w:val="21"/>
          <w:highlight w:val="none"/>
          <w:lang w:eastAsia="zh-CN"/>
        </w:rPr>
        <w:t>，甲方配合乙方做好货物的接收工作。</w:t>
      </w:r>
    </w:p>
    <w:p w14:paraId="75B05B8E">
      <w:pPr>
        <w:autoSpaceDE w:val="0"/>
        <w:autoSpaceDN w:val="0"/>
        <w:adjustRightInd w:val="0"/>
        <w:spacing w:line="400" w:lineRule="exact"/>
        <w:ind w:firstLine="420" w:firstLineChars="200"/>
        <w:rPr>
          <w:rFonts w:hint="default" w:ascii="华文楷体" w:hAnsi="华文楷体" w:eastAsia="华文楷体" w:cs="华文楷体"/>
          <w:color w:val="auto"/>
          <w:sz w:val="21"/>
          <w:szCs w:val="21"/>
          <w:highlight w:val="none"/>
          <w:lang w:val="en-US" w:eastAsia="zh-CN" w:bidi="ar-SA"/>
        </w:rPr>
      </w:pPr>
      <w:r>
        <w:rPr>
          <w:rFonts w:hint="eastAsia" w:ascii="宋体" w:hAnsi="宋体" w:eastAsia="宋体" w:cs="Times New Roman"/>
          <w:color w:val="auto"/>
          <w:kern w:val="2"/>
          <w:sz w:val="21"/>
          <w:szCs w:val="21"/>
          <w:highlight w:val="none"/>
          <w:lang w:val="en-US" w:eastAsia="zh-CN" w:bidi="ar-SA"/>
        </w:rPr>
        <w:t>7.6 如因包装、运输问题导致货物损毁、丢失或者品质下降，甲方有权要求降价、换货、拒收部分或整批货物，由此产生的费用和损失，均由乙方承担。</w:t>
      </w:r>
    </w:p>
    <w:p w14:paraId="0AB3BC6B">
      <w:pPr>
        <w:adjustRightInd w:val="0"/>
        <w:snapToGrid w:val="0"/>
        <w:spacing w:before="0" w:line="400" w:lineRule="exact"/>
        <w:jc w:val="left"/>
        <w:rPr>
          <w:rFonts w:ascii="宋体" w:hAnsi="宋体" w:eastAsia="宋体" w:cs="Times New Roman"/>
          <w:b/>
          <w:color w:val="auto"/>
          <w:sz w:val="24"/>
          <w:highlight w:val="none"/>
        </w:rPr>
      </w:pPr>
      <w:r>
        <w:rPr>
          <w:rFonts w:hint="eastAsia" w:ascii="宋体" w:hAnsi="宋体" w:eastAsia="宋体" w:cs="Times New Roman"/>
          <w:b/>
          <w:color w:val="auto"/>
          <w:sz w:val="24"/>
          <w:highlight w:val="none"/>
          <w:lang w:eastAsia="zh-CN"/>
        </w:rPr>
        <w:t>8</w:t>
      </w:r>
      <w:r>
        <w:rPr>
          <w:rFonts w:hint="eastAsia" w:ascii="宋体" w:hAnsi="宋体" w:eastAsia="宋体" w:cs="Times New Roman"/>
          <w:b/>
          <w:color w:val="auto"/>
          <w:sz w:val="24"/>
          <w:highlight w:val="none"/>
          <w:lang w:val="en-US" w:eastAsia="zh-CN"/>
        </w:rPr>
        <w:t xml:space="preserve">. </w:t>
      </w:r>
      <w:r>
        <w:rPr>
          <w:rFonts w:hint="eastAsia" w:ascii="宋体" w:hAnsi="宋体" w:eastAsia="宋体" w:cs="Times New Roman"/>
          <w:b/>
          <w:color w:val="auto"/>
          <w:sz w:val="24"/>
          <w:highlight w:val="none"/>
        </w:rPr>
        <w:t>质量标准和保证</w:t>
      </w:r>
    </w:p>
    <w:p w14:paraId="622A8760">
      <w:pPr>
        <w:widowControl w:val="0"/>
        <w:adjustRightInd w:val="0"/>
        <w:snapToGrid w:val="0"/>
        <w:spacing w:before="0" w:line="400" w:lineRule="exact"/>
        <w:ind w:firstLine="420" w:firstLineChars="200"/>
        <w:jc w:val="left"/>
        <w:rPr>
          <w:rFonts w:ascii="宋体" w:hAnsi="宋体" w:eastAsia="宋体" w:cs="Courier New"/>
          <w:b/>
          <w:color w:val="auto"/>
          <w:kern w:val="2"/>
          <w:sz w:val="21"/>
          <w:szCs w:val="21"/>
          <w:highlight w:val="none"/>
          <w:lang w:val="en-US" w:eastAsia="zh-CN" w:bidi="ar-SA"/>
        </w:rPr>
      </w:pPr>
      <w:r>
        <w:rPr>
          <w:rFonts w:hint="eastAsia" w:ascii="宋体" w:hAnsi="宋体" w:eastAsia="宋体" w:cs="Courier New"/>
          <w:color w:val="auto"/>
          <w:kern w:val="2"/>
          <w:sz w:val="21"/>
          <w:szCs w:val="21"/>
          <w:highlight w:val="none"/>
          <w:lang w:val="en-US" w:eastAsia="zh-CN" w:bidi="ar-SA"/>
        </w:rPr>
        <w:t>8.1 质量标准</w:t>
      </w:r>
    </w:p>
    <w:p w14:paraId="52BDDA77">
      <w:pPr>
        <w:autoSpaceDE w:val="0"/>
        <w:autoSpaceDN w:val="0"/>
        <w:adjustRightInd w:val="0"/>
        <w:snapToGrid w:val="0"/>
        <w:spacing w:before="0" w:line="400" w:lineRule="exact"/>
        <w:ind w:firstLine="420" w:firstLineChars="200"/>
        <w:jc w:val="left"/>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（1）本合同下</w:t>
      </w:r>
      <w:r>
        <w:rPr>
          <w:rFonts w:hint="eastAsia" w:ascii="宋体" w:hAnsi="宋体" w:eastAsia="宋体" w:cs="Times New Roman"/>
          <w:color w:val="auto"/>
          <w:szCs w:val="21"/>
          <w:highlight w:val="none"/>
          <w:lang w:eastAsia="zh-CN"/>
        </w:rPr>
        <w:t>提供</w:t>
      </w:r>
      <w:r>
        <w:rPr>
          <w:rFonts w:hint="eastAsia" w:ascii="宋体" w:hAnsi="宋体" w:eastAsia="宋体" w:cs="Times New Roman"/>
          <w:color w:val="auto"/>
          <w:szCs w:val="21"/>
          <w:highlight w:val="none"/>
        </w:rPr>
        <w:t>的货物应符合</w:t>
      </w:r>
      <w:r>
        <w:rPr>
          <w:rFonts w:hint="eastAsia" w:ascii="宋体" w:hAnsi="宋体" w:eastAsia="宋体" w:cs="Times New Roman"/>
          <w:color w:val="auto"/>
          <w:szCs w:val="21"/>
          <w:highlight w:val="none"/>
          <w:lang w:eastAsia="zh-CN"/>
        </w:rPr>
        <w:t>合同</w:t>
      </w:r>
      <w:r>
        <w:rPr>
          <w:rFonts w:hint="eastAsia" w:ascii="宋体" w:hAnsi="宋体" w:eastAsia="宋体" w:cs="宋体"/>
          <w:color w:val="auto"/>
          <w:szCs w:val="21"/>
          <w:highlight w:val="none"/>
          <w:lang w:eastAsia="zh-CN"/>
        </w:rPr>
        <w:t>约</w:t>
      </w:r>
      <w:r>
        <w:rPr>
          <w:rFonts w:hint="eastAsia" w:ascii="宋体" w:hAnsi="宋体" w:eastAsia="宋体" w:cs="宋体"/>
          <w:color w:val="auto"/>
          <w:szCs w:val="21"/>
          <w:highlight w:val="none"/>
        </w:rPr>
        <w:t>定的品牌、规格型号、技术性能、配置、质量、数量等要求。</w:t>
      </w:r>
      <w:r>
        <w:rPr>
          <w:rFonts w:hint="eastAsia" w:ascii="宋体" w:hAnsi="宋体" w:eastAsia="宋体" w:cs="Times New Roman"/>
          <w:color w:val="auto"/>
          <w:szCs w:val="21"/>
          <w:highlight w:val="none"/>
        </w:rPr>
        <w:t>质量要求不明确的，按照强制性国家标准履行；没有强制性国家标准的，按照推荐性国家标准履行；没有推荐性国家标准的，按照行业标准履行；没有国家标准、行业标准的，按照通常标准或者符合合同目的的特定标准履行</w:t>
      </w:r>
      <w:r>
        <w:rPr>
          <w:rFonts w:hint="eastAsia" w:ascii="宋体" w:hAnsi="宋体" w:eastAsia="宋体" w:cs="Times New Roman"/>
          <w:color w:val="auto"/>
          <w:szCs w:val="21"/>
          <w:highlight w:val="none"/>
          <w:lang w:eastAsia="zh-CN"/>
        </w:rPr>
        <w:t>。</w:t>
      </w:r>
    </w:p>
    <w:p w14:paraId="4E4EA2A2">
      <w:pPr>
        <w:widowControl w:val="0"/>
        <w:adjustRightInd w:val="0"/>
        <w:snapToGrid w:val="0"/>
        <w:spacing w:before="0" w:line="400" w:lineRule="exact"/>
        <w:ind w:firstLine="420" w:firstLineChars="200"/>
        <w:jc w:val="left"/>
        <w:rPr>
          <w:rFonts w:ascii="宋体" w:hAnsi="宋体" w:eastAsia="宋体" w:cs="Courier New"/>
          <w:color w:val="auto"/>
          <w:kern w:val="2"/>
          <w:sz w:val="21"/>
          <w:szCs w:val="21"/>
          <w:highlight w:val="none"/>
          <w:lang w:val="en-US" w:eastAsia="zh-CN" w:bidi="ar-SA"/>
        </w:rPr>
      </w:pPr>
      <w:r>
        <w:rPr>
          <w:rFonts w:hint="eastAsia" w:ascii="宋体" w:hAnsi="宋体" w:eastAsia="宋体" w:cs="Courier New"/>
          <w:color w:val="auto"/>
          <w:kern w:val="2"/>
          <w:sz w:val="21"/>
          <w:szCs w:val="21"/>
          <w:highlight w:val="none"/>
          <w:lang w:val="en-US" w:eastAsia="zh-CN" w:bidi="ar-SA"/>
        </w:rPr>
        <w:t>（2）采用中华人民共和国法定计量单位。</w:t>
      </w:r>
    </w:p>
    <w:p w14:paraId="78929A1B">
      <w:pPr>
        <w:autoSpaceDE w:val="0"/>
        <w:autoSpaceDN w:val="0"/>
        <w:adjustRightInd w:val="0"/>
        <w:snapToGrid w:val="0"/>
        <w:spacing w:before="0" w:line="4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（3）乙方所</w:t>
      </w:r>
      <w:r>
        <w:rPr>
          <w:rFonts w:hint="eastAsia" w:ascii="宋体" w:hAnsi="宋体" w:eastAsia="宋体" w:cs="Times New Roman"/>
          <w:color w:val="auto"/>
          <w:szCs w:val="21"/>
          <w:highlight w:val="none"/>
          <w:lang w:eastAsia="zh-CN"/>
        </w:rPr>
        <w:t>提供</w:t>
      </w:r>
      <w:r>
        <w:rPr>
          <w:rFonts w:hint="eastAsia" w:ascii="宋体" w:hAnsi="宋体" w:eastAsia="宋体" w:cs="Times New Roman"/>
          <w:color w:val="auto"/>
          <w:szCs w:val="21"/>
          <w:highlight w:val="none"/>
        </w:rPr>
        <w:t>的货物应符合国家有关安全、环保、卫生</w:t>
      </w:r>
      <w:r>
        <w:rPr>
          <w:rFonts w:hint="eastAsia" w:ascii="宋体" w:hAnsi="宋体" w:eastAsia="宋体" w:cs="Times New Roman"/>
          <w:color w:val="auto"/>
          <w:szCs w:val="21"/>
          <w:highlight w:val="none"/>
          <w:lang w:eastAsia="zh-CN"/>
        </w:rPr>
        <w:t>的</w:t>
      </w:r>
      <w:r>
        <w:rPr>
          <w:rFonts w:hint="eastAsia" w:ascii="宋体" w:hAnsi="宋体" w:eastAsia="宋体" w:cs="Times New Roman"/>
          <w:color w:val="auto"/>
          <w:szCs w:val="21"/>
          <w:highlight w:val="none"/>
        </w:rPr>
        <w:t>规定。</w:t>
      </w:r>
    </w:p>
    <w:p w14:paraId="4AE8132D">
      <w:pPr>
        <w:autoSpaceDE w:val="0"/>
        <w:autoSpaceDN w:val="0"/>
        <w:adjustRightInd w:val="0"/>
        <w:snapToGrid w:val="0"/>
        <w:spacing w:before="0" w:line="4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（4）乙方应向甲方提交所</w:t>
      </w:r>
      <w:r>
        <w:rPr>
          <w:rFonts w:hint="eastAsia" w:ascii="宋体" w:hAnsi="宋体" w:eastAsia="宋体" w:cs="Times New Roman"/>
          <w:color w:val="auto"/>
          <w:szCs w:val="21"/>
          <w:highlight w:val="none"/>
          <w:lang w:eastAsia="zh-CN"/>
        </w:rPr>
        <w:t>提供</w:t>
      </w:r>
      <w:r>
        <w:rPr>
          <w:rFonts w:hint="eastAsia" w:ascii="宋体" w:hAnsi="宋体" w:eastAsia="宋体" w:cs="Times New Roman"/>
          <w:color w:val="auto"/>
          <w:szCs w:val="21"/>
          <w:highlight w:val="none"/>
        </w:rPr>
        <w:t>货物的技术文件，包括相应的中文技术文件，如：产品目录、图纸、操作手册、使用说明、维护手册或服务指南</w:t>
      </w:r>
      <w:r>
        <w:rPr>
          <w:rFonts w:hint="eastAsia" w:ascii="宋体" w:hAnsi="宋体" w:eastAsia="宋体" w:cs="Times New Roman"/>
          <w:color w:val="auto"/>
          <w:szCs w:val="21"/>
          <w:highlight w:val="none"/>
          <w:lang w:eastAsia="zh-CN"/>
        </w:rPr>
        <w:t>等</w:t>
      </w:r>
      <w:r>
        <w:rPr>
          <w:rFonts w:hint="eastAsia" w:ascii="宋体" w:hAnsi="宋体" w:eastAsia="宋体" w:cs="Times New Roman"/>
          <w:color w:val="auto"/>
          <w:szCs w:val="21"/>
          <w:highlight w:val="none"/>
        </w:rPr>
        <w:t>。</w:t>
      </w:r>
      <w:r>
        <w:rPr>
          <w:rFonts w:hint="eastAsia" w:ascii="宋体" w:hAnsi="宋体" w:eastAsia="宋体" w:cs="Times New Roman"/>
          <w:color w:val="auto"/>
          <w:szCs w:val="21"/>
          <w:highlight w:val="none"/>
          <w:lang w:eastAsia="zh-CN"/>
        </w:rPr>
        <w:t>上述</w:t>
      </w:r>
      <w:r>
        <w:rPr>
          <w:rFonts w:hint="eastAsia" w:ascii="宋体" w:hAnsi="宋体" w:eastAsia="宋体" w:cs="Times New Roman"/>
          <w:color w:val="auto"/>
          <w:szCs w:val="21"/>
          <w:highlight w:val="none"/>
        </w:rPr>
        <w:t>文件应包装好随货物一同发运。</w:t>
      </w:r>
    </w:p>
    <w:p w14:paraId="7ABC0C04">
      <w:pPr>
        <w:autoSpaceDE w:val="0"/>
        <w:autoSpaceDN w:val="0"/>
        <w:adjustRightInd w:val="0"/>
        <w:snapToGrid w:val="0"/>
        <w:spacing w:before="0" w:line="4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lang w:eastAsia="zh-CN"/>
        </w:rPr>
        <w:t>8</w:t>
      </w:r>
      <w:r>
        <w:rPr>
          <w:rFonts w:hint="eastAsia" w:ascii="宋体" w:hAnsi="宋体" w:eastAsia="宋体" w:cs="Times New Roman"/>
          <w:color w:val="auto"/>
          <w:szCs w:val="21"/>
          <w:highlight w:val="none"/>
        </w:rPr>
        <w:t>.2 保证</w:t>
      </w:r>
    </w:p>
    <w:p w14:paraId="32D67614">
      <w:pPr>
        <w:autoSpaceDE w:val="0"/>
        <w:autoSpaceDN w:val="0"/>
        <w:adjustRightInd w:val="0"/>
        <w:snapToGrid w:val="0"/>
        <w:spacing w:before="0" w:line="4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（1）乙方应保证</w:t>
      </w:r>
      <w:r>
        <w:rPr>
          <w:rFonts w:hint="eastAsia" w:ascii="宋体" w:hAnsi="宋体" w:eastAsia="宋体" w:cs="Times New Roman"/>
          <w:color w:val="auto"/>
          <w:szCs w:val="21"/>
          <w:highlight w:val="none"/>
          <w:lang w:eastAsia="zh-CN"/>
        </w:rPr>
        <w:t>提供的货物</w:t>
      </w:r>
      <w:r>
        <w:rPr>
          <w:rFonts w:hint="eastAsia" w:ascii="宋体" w:hAnsi="宋体" w:eastAsia="宋体" w:cs="Times New Roman"/>
          <w:color w:val="auto"/>
          <w:szCs w:val="21"/>
          <w:highlight w:val="none"/>
        </w:rPr>
        <w:t>完全符合合同规定的质量、规格和性能要求。乙方应保证货物在正确安装、正常使用和保养条件下，</w:t>
      </w:r>
      <w:r>
        <w:rPr>
          <w:rFonts w:hint="eastAsia" w:ascii="宋体" w:hAnsi="宋体" w:eastAsia="宋体" w:cs="宋体"/>
          <w:color w:val="auto"/>
          <w:szCs w:val="21"/>
          <w:highlight w:val="none"/>
        </w:rPr>
        <w:t>在其使用寿命期内具</w:t>
      </w:r>
      <w:r>
        <w:rPr>
          <w:rFonts w:hint="eastAsia" w:ascii="宋体" w:hAnsi="宋体" w:eastAsia="宋体" w:cs="宋体"/>
          <w:color w:val="auto"/>
          <w:szCs w:val="21"/>
          <w:highlight w:val="none"/>
          <w:lang w:eastAsia="zh-CN"/>
        </w:rPr>
        <w:t>备合同约定</w:t>
      </w:r>
      <w:r>
        <w:rPr>
          <w:rFonts w:hint="eastAsia" w:ascii="宋体" w:hAnsi="宋体" w:eastAsia="宋体" w:cs="宋体"/>
          <w:color w:val="auto"/>
          <w:szCs w:val="21"/>
          <w:highlight w:val="none"/>
        </w:rPr>
        <w:t>的性能</w:t>
      </w:r>
      <w:r>
        <w:rPr>
          <w:rFonts w:hint="eastAsia" w:ascii="宋体" w:hAnsi="宋体" w:eastAsia="宋体" w:cs="Times New Roman"/>
          <w:color w:val="auto"/>
          <w:szCs w:val="21"/>
          <w:highlight w:val="none"/>
        </w:rPr>
        <w:t>。</w:t>
      </w:r>
      <w:r>
        <w:rPr>
          <w:rFonts w:hint="eastAsia" w:ascii="宋体" w:hAnsi="宋体" w:eastAsia="宋体" w:cs="Times New Roman"/>
          <w:color w:val="auto"/>
          <w:szCs w:val="21"/>
          <w:highlight w:val="none"/>
          <w:lang w:eastAsia="zh-CN"/>
        </w:rPr>
        <w:t>存在</w:t>
      </w:r>
      <w:r>
        <w:rPr>
          <w:rFonts w:hint="eastAsia" w:ascii="宋体" w:hAnsi="宋体" w:eastAsia="宋体" w:cs="Times New Roman"/>
          <w:color w:val="auto"/>
          <w:szCs w:val="21"/>
          <w:highlight w:val="none"/>
        </w:rPr>
        <w:t>质量保证期的，货物最终交付验收</w:t>
      </w:r>
      <w:r>
        <w:rPr>
          <w:rFonts w:hint="eastAsia" w:ascii="宋体" w:hAnsi="宋体" w:eastAsia="宋体" w:cs="Times New Roman"/>
          <w:color w:val="auto"/>
          <w:szCs w:val="21"/>
          <w:highlight w:val="none"/>
          <w:lang w:eastAsia="zh-CN"/>
        </w:rPr>
        <w:t>合格</w:t>
      </w:r>
      <w:r>
        <w:rPr>
          <w:rFonts w:hint="eastAsia" w:ascii="宋体" w:hAnsi="宋体" w:eastAsia="宋体" w:cs="Times New Roman"/>
          <w:color w:val="auto"/>
          <w:szCs w:val="21"/>
          <w:highlight w:val="none"/>
        </w:rPr>
        <w:t>后</w:t>
      </w:r>
      <w:r>
        <w:rPr>
          <w:rFonts w:hint="eastAsia" w:ascii="宋体" w:hAnsi="宋体" w:eastAsia="宋体" w:cs="Times New Roman"/>
          <w:color w:val="auto"/>
          <w:szCs w:val="21"/>
          <w:highlight w:val="none"/>
          <w:lang w:eastAsia="zh-CN"/>
        </w:rPr>
        <w:t>在</w:t>
      </w:r>
      <w:r>
        <w:rPr>
          <w:rFonts w:hint="eastAsia" w:ascii="宋体" w:hAnsi="宋体" w:eastAsia="宋体" w:cs="Times New Roman"/>
          <w:b/>
          <w:color w:val="auto"/>
          <w:szCs w:val="21"/>
          <w:highlight w:val="none"/>
        </w:rPr>
        <w:t>【政府采购合同专用条款】</w:t>
      </w:r>
      <w:r>
        <w:rPr>
          <w:rFonts w:hint="eastAsia" w:ascii="宋体" w:hAnsi="宋体" w:eastAsia="宋体" w:cs="Times New Roman"/>
          <w:color w:val="auto"/>
          <w:szCs w:val="21"/>
          <w:highlight w:val="none"/>
        </w:rPr>
        <w:t>规定或乙方</w:t>
      </w:r>
      <w:r>
        <w:rPr>
          <w:rFonts w:hint="eastAsia" w:ascii="宋体" w:hAnsi="宋体" w:eastAsia="宋体" w:cs="Times New Roman"/>
          <w:color w:val="auto"/>
          <w:szCs w:val="21"/>
          <w:highlight w:val="none"/>
          <w:lang w:eastAsia="zh-CN"/>
        </w:rPr>
        <w:t>书面</w:t>
      </w:r>
      <w:r>
        <w:rPr>
          <w:rFonts w:hint="eastAsia" w:ascii="宋体" w:hAnsi="宋体" w:eastAsia="宋体" w:cs="Times New Roman"/>
          <w:color w:val="auto"/>
          <w:szCs w:val="21"/>
          <w:highlight w:val="none"/>
        </w:rPr>
        <w:t>承诺（两者以较长的为准）的质量保证期内，本保证保持有效。</w:t>
      </w:r>
    </w:p>
    <w:p w14:paraId="5EB49C32">
      <w:pPr>
        <w:autoSpaceDE w:val="0"/>
        <w:autoSpaceDN w:val="0"/>
        <w:adjustRightInd w:val="0"/>
        <w:snapToGrid w:val="0"/>
        <w:spacing w:before="0" w:line="4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（2）在质量保证期内所发现的缺陷，甲方应尽快以书面形式通知乙方。</w:t>
      </w:r>
    </w:p>
    <w:p w14:paraId="2D784B43">
      <w:pPr>
        <w:autoSpaceDE w:val="0"/>
        <w:autoSpaceDN w:val="0"/>
        <w:adjustRightInd w:val="0"/>
        <w:snapToGrid w:val="0"/>
        <w:spacing w:before="0" w:line="4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（3）乙方收到通知后</w:t>
      </w:r>
      <w:r>
        <w:rPr>
          <w:rFonts w:hint="eastAsia" w:ascii="宋体" w:hAnsi="宋体" w:eastAsia="宋体" w:cs="Times New Roman"/>
          <w:color w:val="auto"/>
          <w:szCs w:val="21"/>
          <w:highlight w:val="none"/>
          <w:lang w:eastAsia="zh-CN"/>
        </w:rPr>
        <w:t>，</w:t>
      </w:r>
      <w:r>
        <w:rPr>
          <w:rFonts w:hint="eastAsia" w:ascii="宋体" w:hAnsi="宋体" w:eastAsia="宋体" w:cs="Times New Roman"/>
          <w:color w:val="auto"/>
          <w:szCs w:val="21"/>
          <w:highlight w:val="none"/>
        </w:rPr>
        <w:t>应在</w:t>
      </w:r>
      <w:r>
        <w:rPr>
          <w:rFonts w:hint="eastAsia" w:ascii="宋体" w:hAnsi="宋体" w:eastAsia="宋体" w:cs="Times New Roman"/>
          <w:b/>
          <w:color w:val="auto"/>
          <w:szCs w:val="21"/>
          <w:highlight w:val="none"/>
        </w:rPr>
        <w:t>【政府采购合同专用条款】</w:t>
      </w:r>
      <w:r>
        <w:rPr>
          <w:rFonts w:hint="eastAsia" w:ascii="宋体" w:hAnsi="宋体" w:eastAsia="宋体" w:cs="Times New Roman"/>
          <w:color w:val="auto"/>
          <w:szCs w:val="21"/>
          <w:highlight w:val="none"/>
        </w:rPr>
        <w:t>规定的响应时间内以合理的速度免费维修或更换有缺陷的货物或部件。</w:t>
      </w:r>
    </w:p>
    <w:p w14:paraId="6A7790C5">
      <w:pPr>
        <w:autoSpaceDE w:val="0"/>
        <w:autoSpaceDN w:val="0"/>
        <w:adjustRightInd w:val="0"/>
        <w:snapToGrid w:val="0"/>
        <w:spacing w:before="0" w:line="4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（4）在质量保证期内，如果货物的质量或规格与合同不符，或证实货物是有缺陷的，包括潜在的缺陷或使用不符合要求的材料等，甲方可以根据本合同第1</w:t>
      </w:r>
      <w:r>
        <w:rPr>
          <w:rFonts w:hint="eastAsia" w:ascii="宋体" w:hAnsi="宋体" w:eastAsia="宋体" w:cs="Times New Roman"/>
          <w:color w:val="auto"/>
          <w:szCs w:val="21"/>
          <w:highlight w:val="none"/>
          <w:lang w:val="en-US" w:eastAsia="zh-CN"/>
        </w:rPr>
        <w:t>5</w:t>
      </w:r>
      <w:r>
        <w:rPr>
          <w:rFonts w:hint="eastAsia" w:ascii="宋体" w:hAnsi="宋体" w:eastAsia="宋体" w:cs="Times New Roman"/>
          <w:color w:val="auto"/>
          <w:szCs w:val="21"/>
          <w:highlight w:val="none"/>
        </w:rPr>
        <w:t>.1条规定以书面形式</w:t>
      </w:r>
      <w:r>
        <w:rPr>
          <w:rFonts w:hint="eastAsia" w:ascii="宋体" w:hAnsi="宋体" w:eastAsia="宋体" w:cs="Times New Roman"/>
          <w:color w:val="auto"/>
          <w:szCs w:val="21"/>
          <w:highlight w:val="none"/>
          <w:lang w:eastAsia="zh-CN"/>
        </w:rPr>
        <w:t>追究</w:t>
      </w:r>
      <w:r>
        <w:rPr>
          <w:rFonts w:hint="eastAsia" w:ascii="宋体" w:hAnsi="宋体" w:eastAsia="宋体" w:cs="Times New Roman"/>
          <w:color w:val="auto"/>
          <w:szCs w:val="21"/>
          <w:highlight w:val="none"/>
        </w:rPr>
        <w:t>乙方</w:t>
      </w:r>
      <w:r>
        <w:rPr>
          <w:rFonts w:hint="eastAsia" w:ascii="宋体" w:hAnsi="宋体" w:eastAsia="宋体" w:cs="Times New Roman"/>
          <w:color w:val="auto"/>
          <w:szCs w:val="21"/>
          <w:highlight w:val="none"/>
          <w:lang w:eastAsia="zh-CN"/>
        </w:rPr>
        <w:t>的违约责任</w:t>
      </w:r>
      <w:r>
        <w:rPr>
          <w:rFonts w:hint="eastAsia" w:ascii="宋体" w:hAnsi="宋体" w:eastAsia="宋体" w:cs="Times New Roman"/>
          <w:color w:val="auto"/>
          <w:szCs w:val="21"/>
          <w:highlight w:val="none"/>
        </w:rPr>
        <w:t>。</w:t>
      </w:r>
    </w:p>
    <w:p w14:paraId="578CE991">
      <w:pPr>
        <w:adjustRightInd w:val="0"/>
        <w:snapToGrid w:val="0"/>
        <w:spacing w:before="0" w:line="400" w:lineRule="exact"/>
        <w:ind w:firstLine="420" w:firstLineChars="200"/>
        <w:jc w:val="left"/>
        <w:rPr>
          <w:rFonts w:ascii="Times New Roman" w:hAnsi="Times New Roman" w:eastAsia="宋体" w:cs="Times New Roman"/>
          <w:color w:val="auto"/>
          <w:highlight w:val="none"/>
        </w:rPr>
      </w:pPr>
      <w:r>
        <w:rPr>
          <w:rFonts w:hint="eastAsia" w:ascii="宋体" w:hAnsi="宋体" w:eastAsia="宋体" w:cs="Times New Roman"/>
          <w:color w:val="auto"/>
          <w:szCs w:val="21"/>
          <w:highlight w:val="none"/>
        </w:rPr>
        <w:t>（5）乙方在约定的时间内未能弥补缺陷，甲方可采取必要的补救措施，但其风险和费用将由乙方承担，甲方根据合同</w:t>
      </w:r>
      <w:r>
        <w:rPr>
          <w:rFonts w:hint="eastAsia" w:ascii="宋体" w:hAnsi="宋体" w:eastAsia="宋体" w:cs="Times New Roman"/>
          <w:color w:val="auto"/>
          <w:szCs w:val="21"/>
          <w:highlight w:val="none"/>
          <w:lang w:eastAsia="zh-CN"/>
        </w:rPr>
        <w:t>约定</w:t>
      </w:r>
      <w:r>
        <w:rPr>
          <w:rFonts w:hint="eastAsia" w:ascii="宋体" w:hAnsi="宋体" w:eastAsia="宋体" w:cs="Times New Roman"/>
          <w:color w:val="auto"/>
          <w:szCs w:val="21"/>
          <w:highlight w:val="none"/>
        </w:rPr>
        <w:t>对乙方行使的其他权利不受影响。</w:t>
      </w:r>
    </w:p>
    <w:p w14:paraId="2D917279">
      <w:pPr>
        <w:adjustRightInd w:val="0"/>
        <w:snapToGrid w:val="0"/>
        <w:spacing w:before="0" w:line="400" w:lineRule="exact"/>
        <w:jc w:val="left"/>
        <w:rPr>
          <w:rFonts w:ascii="宋体" w:hAnsi="宋体" w:eastAsia="宋体" w:cs="Times New Roman"/>
          <w:b/>
          <w:bCs/>
          <w:color w:val="auto"/>
          <w:sz w:val="24"/>
          <w:highlight w:val="none"/>
        </w:rPr>
      </w:pPr>
      <w:r>
        <w:rPr>
          <w:rFonts w:hint="eastAsia" w:ascii="宋体" w:hAnsi="宋体" w:eastAsia="宋体" w:cs="Times New Roman"/>
          <w:b/>
          <w:bCs/>
          <w:color w:val="auto"/>
          <w:sz w:val="24"/>
          <w:highlight w:val="none"/>
          <w:lang w:eastAsia="zh-CN"/>
        </w:rPr>
        <w:t>9</w:t>
      </w:r>
      <w:r>
        <w:rPr>
          <w:rFonts w:hint="eastAsia" w:ascii="宋体" w:hAnsi="宋体" w:eastAsia="宋体" w:cs="Times New Roman"/>
          <w:b/>
          <w:bCs/>
          <w:color w:val="auto"/>
          <w:sz w:val="24"/>
          <w:highlight w:val="none"/>
        </w:rPr>
        <w:t>.</w:t>
      </w:r>
      <w:r>
        <w:rPr>
          <w:rFonts w:hint="eastAsia" w:ascii="宋体" w:hAnsi="宋体" w:eastAsia="宋体" w:cs="Times New Roman"/>
          <w:b/>
          <w:bCs/>
          <w:color w:val="auto"/>
          <w:sz w:val="24"/>
          <w:highlight w:val="none"/>
          <w:lang w:val="en-US" w:eastAsia="zh-CN"/>
        </w:rPr>
        <w:t xml:space="preserve"> </w:t>
      </w:r>
      <w:r>
        <w:rPr>
          <w:rFonts w:hint="eastAsia" w:ascii="宋体" w:hAnsi="宋体" w:eastAsia="宋体" w:cs="Times New Roman"/>
          <w:b/>
          <w:bCs/>
          <w:color w:val="auto"/>
          <w:sz w:val="24"/>
          <w:highlight w:val="none"/>
        </w:rPr>
        <w:t>权利瑕疵担保</w:t>
      </w:r>
    </w:p>
    <w:p w14:paraId="0B428EA4">
      <w:pPr>
        <w:autoSpaceDE w:val="0"/>
        <w:autoSpaceDN w:val="0"/>
        <w:adjustRightInd w:val="0"/>
        <w:snapToGrid w:val="0"/>
        <w:spacing w:before="0" w:line="4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lang w:eastAsia="zh-CN"/>
        </w:rPr>
        <w:t>9</w:t>
      </w:r>
      <w:r>
        <w:rPr>
          <w:rFonts w:hint="eastAsia" w:ascii="宋体" w:hAnsi="宋体" w:eastAsia="宋体" w:cs="Times New Roman"/>
          <w:color w:val="auto"/>
          <w:szCs w:val="21"/>
          <w:highlight w:val="none"/>
        </w:rPr>
        <w:t>.1 乙方保证对其出售的货物享有合法的权利。</w:t>
      </w:r>
    </w:p>
    <w:p w14:paraId="2941EF14">
      <w:pPr>
        <w:autoSpaceDE w:val="0"/>
        <w:autoSpaceDN w:val="0"/>
        <w:adjustRightInd w:val="0"/>
        <w:snapToGrid w:val="0"/>
        <w:spacing w:before="0" w:line="4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lang w:eastAsia="zh-CN"/>
        </w:rPr>
        <w:t>9</w:t>
      </w:r>
      <w:r>
        <w:rPr>
          <w:rFonts w:hint="eastAsia" w:ascii="宋体" w:hAnsi="宋体" w:eastAsia="宋体" w:cs="Times New Roman"/>
          <w:color w:val="auto"/>
          <w:szCs w:val="21"/>
          <w:highlight w:val="none"/>
        </w:rPr>
        <w:t xml:space="preserve">.2 </w:t>
      </w:r>
      <w:r>
        <w:rPr>
          <w:rFonts w:hint="eastAsia" w:ascii="宋体" w:hAnsi="宋体" w:eastAsia="宋体" w:cs="宋体"/>
          <w:color w:val="auto"/>
          <w:szCs w:val="15"/>
          <w:highlight w:val="none"/>
        </w:rPr>
        <w:t>乙方保证在交付的货物上不存在抵押权等担保物权。</w:t>
      </w:r>
    </w:p>
    <w:p w14:paraId="58916658">
      <w:pPr>
        <w:autoSpaceDE w:val="0"/>
        <w:autoSpaceDN w:val="0"/>
        <w:adjustRightInd w:val="0"/>
        <w:snapToGrid w:val="0"/>
        <w:spacing w:before="0" w:line="4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lang w:eastAsia="zh-CN"/>
        </w:rPr>
        <w:t>9</w:t>
      </w:r>
      <w:r>
        <w:rPr>
          <w:rFonts w:hint="eastAsia" w:ascii="宋体" w:hAnsi="宋体" w:eastAsia="宋体" w:cs="Times New Roman"/>
          <w:color w:val="auto"/>
          <w:szCs w:val="21"/>
          <w:highlight w:val="none"/>
        </w:rPr>
        <w:t>.3 如甲方使用</w:t>
      </w:r>
      <w:r>
        <w:rPr>
          <w:rFonts w:hint="eastAsia" w:ascii="宋体" w:hAnsi="宋体" w:eastAsia="宋体" w:cs="Times New Roman"/>
          <w:color w:val="auto"/>
          <w:szCs w:val="21"/>
          <w:highlight w:val="none"/>
          <w:lang w:val="en-US" w:eastAsia="zh-CN"/>
        </w:rPr>
        <w:t>上述</w:t>
      </w:r>
      <w:r>
        <w:rPr>
          <w:rFonts w:hint="eastAsia" w:ascii="宋体" w:hAnsi="宋体" w:eastAsia="宋体" w:cs="Times New Roman"/>
          <w:color w:val="auto"/>
          <w:szCs w:val="21"/>
          <w:highlight w:val="none"/>
        </w:rPr>
        <w:t>货物构成</w:t>
      </w:r>
      <w:r>
        <w:rPr>
          <w:rFonts w:hint="eastAsia" w:ascii="宋体" w:hAnsi="宋体" w:eastAsia="宋体" w:cs="Times New Roman"/>
          <w:color w:val="auto"/>
          <w:szCs w:val="21"/>
          <w:highlight w:val="none"/>
          <w:lang w:val="en-US" w:eastAsia="zh-CN"/>
        </w:rPr>
        <w:t>对第三人</w:t>
      </w:r>
      <w:r>
        <w:rPr>
          <w:rFonts w:hint="eastAsia" w:ascii="宋体" w:hAnsi="宋体" w:eastAsia="宋体" w:cs="Times New Roman"/>
          <w:color w:val="auto"/>
          <w:szCs w:val="21"/>
          <w:highlight w:val="none"/>
        </w:rPr>
        <w:t>侵权的，则由乙方承担全部责任。</w:t>
      </w:r>
    </w:p>
    <w:p w14:paraId="59897B11">
      <w:pPr>
        <w:autoSpaceDE w:val="0"/>
        <w:autoSpaceDN w:val="0"/>
        <w:adjustRightInd w:val="0"/>
        <w:snapToGrid w:val="0"/>
        <w:spacing w:before="0" w:line="400" w:lineRule="exact"/>
        <w:jc w:val="left"/>
        <w:rPr>
          <w:rFonts w:ascii="宋体" w:hAnsi="宋体" w:eastAsia="宋体" w:cs="Times New Roman"/>
          <w:b/>
          <w:bCs/>
          <w:color w:val="auto"/>
          <w:sz w:val="24"/>
          <w:highlight w:val="none"/>
        </w:rPr>
      </w:pPr>
      <w:r>
        <w:rPr>
          <w:rFonts w:hint="eastAsia" w:ascii="宋体" w:hAnsi="宋体" w:eastAsia="宋体" w:cs="Times New Roman"/>
          <w:b/>
          <w:bCs/>
          <w:color w:val="auto"/>
          <w:sz w:val="24"/>
          <w:highlight w:val="none"/>
        </w:rPr>
        <w:t>1</w:t>
      </w:r>
      <w:r>
        <w:rPr>
          <w:rFonts w:hint="eastAsia" w:ascii="宋体" w:hAnsi="宋体" w:eastAsia="宋体" w:cs="Times New Roman"/>
          <w:b/>
          <w:bCs/>
          <w:color w:val="auto"/>
          <w:sz w:val="24"/>
          <w:highlight w:val="none"/>
          <w:lang w:eastAsia="zh-CN"/>
        </w:rPr>
        <w:t>0</w:t>
      </w:r>
      <w:r>
        <w:rPr>
          <w:rFonts w:hint="eastAsia" w:ascii="宋体" w:hAnsi="宋体" w:eastAsia="宋体" w:cs="Times New Roman"/>
          <w:b/>
          <w:bCs/>
          <w:color w:val="auto"/>
          <w:sz w:val="24"/>
          <w:highlight w:val="none"/>
        </w:rPr>
        <w:t>.</w:t>
      </w:r>
      <w:r>
        <w:rPr>
          <w:rFonts w:hint="eastAsia" w:ascii="宋体" w:hAnsi="宋体" w:eastAsia="宋体" w:cs="Times New Roman"/>
          <w:b/>
          <w:bCs/>
          <w:color w:val="auto"/>
          <w:sz w:val="24"/>
          <w:highlight w:val="none"/>
          <w:lang w:val="en-US" w:eastAsia="zh-CN"/>
        </w:rPr>
        <w:t xml:space="preserve"> </w:t>
      </w:r>
      <w:r>
        <w:rPr>
          <w:rFonts w:hint="eastAsia" w:ascii="宋体" w:hAnsi="宋体" w:eastAsia="宋体" w:cs="Times New Roman"/>
          <w:b/>
          <w:bCs/>
          <w:color w:val="auto"/>
          <w:sz w:val="24"/>
          <w:highlight w:val="none"/>
        </w:rPr>
        <w:t>知识产权保护</w:t>
      </w:r>
    </w:p>
    <w:p w14:paraId="139250E4">
      <w:pPr>
        <w:autoSpaceDE w:val="0"/>
        <w:autoSpaceDN w:val="0"/>
        <w:adjustRightInd w:val="0"/>
        <w:snapToGrid w:val="0"/>
        <w:spacing w:before="0" w:line="4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1</w:t>
      </w:r>
      <w:r>
        <w:rPr>
          <w:rFonts w:hint="eastAsia" w:ascii="宋体" w:hAnsi="宋体" w:eastAsia="宋体" w:cs="Times New Roman"/>
          <w:color w:val="auto"/>
          <w:szCs w:val="21"/>
          <w:highlight w:val="none"/>
          <w:lang w:eastAsia="zh-CN"/>
        </w:rPr>
        <w:t>0</w:t>
      </w:r>
      <w:r>
        <w:rPr>
          <w:rFonts w:hint="eastAsia" w:ascii="宋体" w:hAnsi="宋体" w:eastAsia="宋体" w:cs="Times New Roman"/>
          <w:color w:val="auto"/>
          <w:szCs w:val="21"/>
          <w:highlight w:val="none"/>
        </w:rPr>
        <w:t>.1 乙方对其所销售的货物应当享有知识产权或经权利人合法授权，保证没有侵犯任何第三人的知识产权等权利。</w:t>
      </w:r>
      <w:bookmarkStart w:id="715" w:name="_Hlk163047038"/>
      <w:r>
        <w:rPr>
          <w:rFonts w:hint="eastAsia" w:ascii="宋体" w:hAnsi="宋体" w:eastAsia="宋体" w:cs="宋体"/>
          <w:color w:val="auto"/>
          <w:szCs w:val="15"/>
          <w:highlight w:val="none"/>
        </w:rPr>
        <w:t>因违反前述约定对第三人构成侵权的，应当由乙方向第三人承担法律责任；甲方依法向第三人赔偿后，有权向乙方追偿。甲方有其他损失的，乙方应当赔偿</w:t>
      </w:r>
      <w:bookmarkEnd w:id="715"/>
      <w:r>
        <w:rPr>
          <w:rFonts w:hint="eastAsia" w:ascii="宋体" w:hAnsi="宋体" w:eastAsia="宋体" w:cs="Times New Roman"/>
          <w:color w:val="auto"/>
          <w:szCs w:val="21"/>
          <w:highlight w:val="none"/>
        </w:rPr>
        <w:t>。</w:t>
      </w:r>
    </w:p>
    <w:p w14:paraId="0BEDC495">
      <w:pPr>
        <w:autoSpaceDE w:val="0"/>
        <w:autoSpaceDN w:val="0"/>
        <w:adjustRightInd w:val="0"/>
        <w:snapToGrid w:val="0"/>
        <w:spacing w:before="0" w:line="400" w:lineRule="exact"/>
        <w:jc w:val="left"/>
        <w:rPr>
          <w:rFonts w:ascii="宋体" w:hAnsi="宋体" w:eastAsia="宋体" w:cs="Times New Roman"/>
          <w:b/>
          <w:bCs/>
          <w:color w:val="auto"/>
          <w:sz w:val="24"/>
          <w:highlight w:val="none"/>
        </w:rPr>
      </w:pPr>
      <w:r>
        <w:rPr>
          <w:rFonts w:hint="eastAsia" w:ascii="宋体" w:hAnsi="宋体" w:eastAsia="宋体" w:cs="Times New Roman"/>
          <w:b/>
          <w:bCs/>
          <w:color w:val="auto"/>
          <w:sz w:val="24"/>
          <w:highlight w:val="none"/>
        </w:rPr>
        <w:t>1</w:t>
      </w:r>
      <w:r>
        <w:rPr>
          <w:rFonts w:hint="eastAsia" w:ascii="宋体" w:hAnsi="宋体" w:eastAsia="宋体" w:cs="Times New Roman"/>
          <w:b/>
          <w:bCs/>
          <w:color w:val="auto"/>
          <w:sz w:val="24"/>
          <w:highlight w:val="none"/>
          <w:lang w:eastAsia="zh-CN"/>
        </w:rPr>
        <w:t>1</w:t>
      </w:r>
      <w:r>
        <w:rPr>
          <w:rFonts w:hint="eastAsia" w:ascii="宋体" w:hAnsi="宋体" w:eastAsia="宋体" w:cs="Times New Roman"/>
          <w:b/>
          <w:bCs/>
          <w:color w:val="auto"/>
          <w:sz w:val="24"/>
          <w:highlight w:val="none"/>
        </w:rPr>
        <w:t>.</w:t>
      </w:r>
      <w:r>
        <w:rPr>
          <w:rFonts w:hint="eastAsia" w:ascii="宋体" w:hAnsi="宋体" w:eastAsia="宋体" w:cs="Times New Roman"/>
          <w:b/>
          <w:bCs/>
          <w:color w:val="auto"/>
          <w:sz w:val="24"/>
          <w:highlight w:val="none"/>
          <w:lang w:val="en-US" w:eastAsia="zh-CN"/>
        </w:rPr>
        <w:t xml:space="preserve"> </w:t>
      </w:r>
      <w:r>
        <w:rPr>
          <w:rFonts w:hint="eastAsia" w:ascii="宋体" w:hAnsi="宋体" w:eastAsia="宋体" w:cs="Times New Roman"/>
          <w:b/>
          <w:bCs/>
          <w:color w:val="auto"/>
          <w:sz w:val="24"/>
          <w:highlight w:val="none"/>
        </w:rPr>
        <w:t>保密义务</w:t>
      </w:r>
    </w:p>
    <w:p w14:paraId="0D1B51C2">
      <w:pPr>
        <w:autoSpaceDE w:val="0"/>
        <w:autoSpaceDN w:val="0"/>
        <w:adjustRightInd w:val="0"/>
        <w:snapToGrid w:val="0"/>
        <w:spacing w:before="0" w:line="400" w:lineRule="exact"/>
        <w:ind w:firstLine="420" w:firstLineChars="200"/>
        <w:jc w:val="left"/>
        <w:rPr>
          <w:rFonts w:hint="eastAsia" w:ascii="宋体" w:hAnsi="宋体" w:eastAsia="宋体" w:cs="宋体"/>
          <w:color w:val="auto"/>
          <w:szCs w:val="15"/>
          <w:highlight w:val="none"/>
        </w:rPr>
      </w:pPr>
      <w:r>
        <w:rPr>
          <w:rFonts w:hint="eastAsia" w:ascii="宋体" w:hAnsi="宋体" w:eastAsia="宋体" w:cs="宋体"/>
          <w:color w:val="auto"/>
          <w:szCs w:val="15"/>
          <w:highlight w:val="none"/>
          <w:lang w:val="en-US" w:eastAsia="zh-CN"/>
        </w:rPr>
        <w:t xml:space="preserve">11.1 </w:t>
      </w:r>
      <w:r>
        <w:rPr>
          <w:rFonts w:hint="eastAsia" w:ascii="宋体" w:hAnsi="宋体" w:eastAsia="宋体" w:cs="宋体"/>
          <w:color w:val="auto"/>
          <w:szCs w:val="15"/>
          <w:highlight w:val="none"/>
        </w:rPr>
        <w:t>甲、乙双方</w:t>
      </w:r>
      <w:r>
        <w:rPr>
          <w:rFonts w:hint="eastAsia" w:ascii="宋体" w:hAnsi="宋体" w:eastAsia="宋体" w:cs="宋体"/>
          <w:color w:val="auto"/>
          <w:szCs w:val="15"/>
          <w:highlight w:val="none"/>
          <w:lang w:eastAsia="zh-CN"/>
        </w:rPr>
        <w:t>对</w:t>
      </w:r>
      <w:r>
        <w:rPr>
          <w:rFonts w:hint="eastAsia" w:ascii="宋体" w:hAnsi="宋体" w:eastAsia="宋体" w:cs="宋体"/>
          <w:color w:val="auto"/>
          <w:szCs w:val="15"/>
          <w:highlight w:val="none"/>
        </w:rPr>
        <w:t>采购和合同履行过程中所获悉的</w:t>
      </w:r>
      <w:r>
        <w:rPr>
          <w:rFonts w:hint="eastAsia" w:ascii="宋体" w:hAnsi="宋体" w:eastAsia="宋体" w:cs="宋体"/>
          <w:color w:val="auto"/>
          <w:szCs w:val="15"/>
          <w:highlight w:val="none"/>
          <w:lang w:eastAsia="zh-CN"/>
        </w:rPr>
        <w:t>国家秘密、工作秘密、</w:t>
      </w:r>
      <w:r>
        <w:rPr>
          <w:rFonts w:hint="eastAsia" w:ascii="宋体" w:hAnsi="宋体" w:eastAsia="宋体" w:cs="宋体"/>
          <w:color w:val="auto"/>
          <w:szCs w:val="15"/>
          <w:highlight w:val="none"/>
        </w:rPr>
        <w:t>商业秘密或者其他应当保密的信息，均有保密义务</w:t>
      </w:r>
      <w:r>
        <w:rPr>
          <w:rFonts w:hint="eastAsia" w:ascii="宋体" w:hAnsi="宋体" w:eastAsia="宋体" w:cs="宋体"/>
          <w:color w:val="auto"/>
          <w:szCs w:val="15"/>
          <w:highlight w:val="none"/>
          <w:lang w:eastAsia="zh-CN"/>
        </w:rPr>
        <w:t>且不受合同有效期所限，直至该信息成为公开信息</w:t>
      </w:r>
      <w:r>
        <w:rPr>
          <w:rFonts w:hint="eastAsia" w:ascii="宋体" w:hAnsi="宋体" w:eastAsia="宋体" w:cs="宋体"/>
          <w:color w:val="auto"/>
          <w:szCs w:val="15"/>
          <w:highlight w:val="none"/>
        </w:rPr>
        <w:t>。泄露、不正当地使用</w:t>
      </w:r>
      <w:r>
        <w:rPr>
          <w:rFonts w:hint="eastAsia" w:ascii="宋体" w:hAnsi="宋体" w:eastAsia="宋体" w:cs="宋体"/>
          <w:color w:val="auto"/>
          <w:szCs w:val="15"/>
          <w:highlight w:val="none"/>
          <w:lang w:eastAsia="zh-CN"/>
        </w:rPr>
        <w:t>国家秘密、工作秘密、</w:t>
      </w:r>
      <w:r>
        <w:rPr>
          <w:rFonts w:hint="eastAsia" w:ascii="宋体" w:hAnsi="宋体" w:eastAsia="宋体" w:cs="宋体"/>
          <w:color w:val="auto"/>
          <w:szCs w:val="15"/>
          <w:highlight w:val="none"/>
        </w:rPr>
        <w:t>商业秘密或者</w:t>
      </w:r>
      <w:r>
        <w:rPr>
          <w:rFonts w:hint="eastAsia" w:ascii="宋体" w:hAnsi="宋体" w:eastAsia="宋体" w:cs="宋体"/>
          <w:color w:val="auto"/>
          <w:szCs w:val="15"/>
          <w:highlight w:val="none"/>
          <w:lang w:eastAsia="zh-CN"/>
        </w:rPr>
        <w:t>其他应当保密的</w:t>
      </w:r>
      <w:r>
        <w:rPr>
          <w:rFonts w:hint="eastAsia" w:ascii="宋体" w:hAnsi="宋体" w:eastAsia="宋体" w:cs="宋体"/>
          <w:color w:val="auto"/>
          <w:szCs w:val="15"/>
          <w:highlight w:val="none"/>
        </w:rPr>
        <w:t>信息，应当承担</w:t>
      </w:r>
      <w:r>
        <w:rPr>
          <w:rFonts w:hint="eastAsia" w:ascii="宋体" w:hAnsi="宋体" w:eastAsia="宋体" w:cs="宋体"/>
          <w:color w:val="auto"/>
          <w:szCs w:val="15"/>
          <w:highlight w:val="none"/>
          <w:lang w:eastAsia="zh-CN"/>
        </w:rPr>
        <w:t>相应</w:t>
      </w:r>
      <w:r>
        <w:rPr>
          <w:rFonts w:hint="eastAsia" w:ascii="宋体" w:hAnsi="宋体" w:eastAsia="宋体" w:cs="宋体"/>
          <w:color w:val="auto"/>
          <w:szCs w:val="15"/>
          <w:highlight w:val="none"/>
        </w:rPr>
        <w:t>责任。其他应当保密的信息由双方在</w:t>
      </w:r>
      <w:r>
        <w:rPr>
          <w:rFonts w:hint="eastAsia" w:ascii="宋体" w:hAnsi="宋体" w:eastAsia="宋体" w:cs="宋体"/>
          <w:b/>
          <w:bCs/>
          <w:color w:val="auto"/>
          <w:szCs w:val="15"/>
          <w:highlight w:val="none"/>
        </w:rPr>
        <w:t>【政府采购合同专用条款】</w:t>
      </w:r>
      <w:r>
        <w:rPr>
          <w:rFonts w:hint="eastAsia" w:ascii="宋体" w:hAnsi="宋体" w:eastAsia="宋体" w:cs="宋体"/>
          <w:color w:val="auto"/>
          <w:szCs w:val="15"/>
          <w:highlight w:val="none"/>
        </w:rPr>
        <w:t>中约定。</w:t>
      </w:r>
    </w:p>
    <w:p w14:paraId="6A6226A5">
      <w:pPr>
        <w:autoSpaceDE w:val="0"/>
        <w:autoSpaceDN w:val="0"/>
        <w:adjustRightInd w:val="0"/>
        <w:snapToGrid w:val="0"/>
        <w:spacing w:before="0" w:line="400" w:lineRule="exact"/>
        <w:jc w:val="left"/>
        <w:rPr>
          <w:rFonts w:ascii="宋体" w:hAnsi="宋体" w:eastAsia="宋体" w:cs="Times New Roman"/>
          <w:b/>
          <w:bCs/>
          <w:color w:val="auto"/>
          <w:sz w:val="24"/>
          <w:highlight w:val="none"/>
        </w:rPr>
      </w:pPr>
      <w:r>
        <w:rPr>
          <w:rFonts w:hint="eastAsia" w:ascii="宋体" w:hAnsi="宋体" w:eastAsia="宋体" w:cs="Times New Roman"/>
          <w:b/>
          <w:bCs/>
          <w:color w:val="auto"/>
          <w:sz w:val="24"/>
          <w:highlight w:val="none"/>
        </w:rPr>
        <w:t>1</w:t>
      </w:r>
      <w:r>
        <w:rPr>
          <w:rFonts w:hint="eastAsia" w:ascii="宋体" w:hAnsi="宋体" w:eastAsia="宋体" w:cs="Times New Roman"/>
          <w:b/>
          <w:bCs/>
          <w:color w:val="auto"/>
          <w:sz w:val="24"/>
          <w:highlight w:val="none"/>
          <w:lang w:eastAsia="zh-CN"/>
        </w:rPr>
        <w:t>2</w:t>
      </w:r>
      <w:r>
        <w:rPr>
          <w:rFonts w:hint="eastAsia" w:ascii="宋体" w:hAnsi="宋体" w:eastAsia="宋体" w:cs="Times New Roman"/>
          <w:b/>
          <w:bCs/>
          <w:color w:val="auto"/>
          <w:sz w:val="24"/>
          <w:highlight w:val="none"/>
        </w:rPr>
        <w:t>.</w:t>
      </w:r>
      <w:r>
        <w:rPr>
          <w:rFonts w:hint="eastAsia" w:ascii="宋体" w:hAnsi="宋体" w:eastAsia="宋体" w:cs="Times New Roman"/>
          <w:b/>
          <w:bCs/>
          <w:color w:val="auto"/>
          <w:sz w:val="24"/>
          <w:highlight w:val="none"/>
          <w:lang w:val="en-US" w:eastAsia="zh-CN"/>
        </w:rPr>
        <w:t xml:space="preserve"> </w:t>
      </w:r>
      <w:r>
        <w:rPr>
          <w:rFonts w:hint="eastAsia" w:ascii="宋体" w:hAnsi="宋体" w:eastAsia="宋体" w:cs="Times New Roman"/>
          <w:b/>
          <w:bCs/>
          <w:color w:val="auto"/>
          <w:sz w:val="24"/>
          <w:highlight w:val="none"/>
        </w:rPr>
        <w:t>合同价款支付</w:t>
      </w:r>
    </w:p>
    <w:p w14:paraId="06C7ACF6">
      <w:pPr>
        <w:autoSpaceDE/>
        <w:autoSpaceDN/>
        <w:adjustRightInd w:val="0"/>
        <w:snapToGrid w:val="0"/>
        <w:spacing w:before="0" w:line="400" w:lineRule="exact"/>
        <w:ind w:firstLine="420" w:firstLineChars="200"/>
        <w:jc w:val="left"/>
        <w:rPr>
          <w:rFonts w:hint="eastAsia" w:ascii="宋体" w:hAnsi="宋体" w:eastAsia="宋体" w:cs="Times New Roman"/>
          <w:color w:val="auto"/>
          <w:szCs w:val="21"/>
          <w:highlight w:val="none"/>
          <w:lang w:eastAsia="zh-CN"/>
        </w:rPr>
      </w:pPr>
      <w:r>
        <w:rPr>
          <w:rFonts w:hint="eastAsia" w:ascii="宋体" w:hAnsi="宋体" w:eastAsia="宋体" w:cs="Times New Roman"/>
          <w:color w:val="auto"/>
          <w:szCs w:val="21"/>
          <w:highlight w:val="none"/>
        </w:rPr>
        <w:t>1</w:t>
      </w:r>
      <w:r>
        <w:rPr>
          <w:rFonts w:hint="eastAsia" w:ascii="宋体" w:hAnsi="宋体" w:eastAsia="宋体" w:cs="Times New Roman"/>
          <w:color w:val="auto"/>
          <w:szCs w:val="21"/>
          <w:highlight w:val="none"/>
          <w:lang w:eastAsia="zh-CN"/>
        </w:rPr>
        <w:t>2</w:t>
      </w:r>
      <w:r>
        <w:rPr>
          <w:rFonts w:hint="eastAsia" w:ascii="宋体" w:hAnsi="宋体" w:eastAsia="宋体" w:cs="Times New Roman"/>
          <w:color w:val="auto"/>
          <w:szCs w:val="21"/>
          <w:highlight w:val="none"/>
        </w:rPr>
        <w:t xml:space="preserve">.1 </w:t>
      </w:r>
      <w:r>
        <w:rPr>
          <w:rFonts w:hint="eastAsia" w:ascii="宋体" w:hAnsi="宋体" w:eastAsia="宋体" w:cs="Times New Roman"/>
          <w:color w:val="auto"/>
          <w:szCs w:val="21"/>
          <w:highlight w:val="none"/>
          <w:lang w:eastAsia="zh-CN"/>
        </w:rPr>
        <w:t>合同价款支付</w:t>
      </w:r>
      <w:r>
        <w:rPr>
          <w:rFonts w:hint="eastAsia" w:ascii="宋体" w:hAnsi="宋体" w:eastAsia="宋体" w:cs="Times New Roman"/>
          <w:color w:val="auto"/>
          <w:szCs w:val="21"/>
          <w:highlight w:val="none"/>
        </w:rPr>
        <w:t>按照国库集中支付</w:t>
      </w:r>
      <w:r>
        <w:rPr>
          <w:rFonts w:hint="eastAsia" w:ascii="宋体" w:hAnsi="宋体" w:eastAsia="宋体" w:cs="Times New Roman"/>
          <w:color w:val="auto"/>
          <w:szCs w:val="21"/>
          <w:highlight w:val="none"/>
          <w:lang w:eastAsia="zh-CN"/>
        </w:rPr>
        <w:t>制度及财政管理相关</w:t>
      </w:r>
      <w:r>
        <w:rPr>
          <w:rFonts w:hint="eastAsia" w:ascii="宋体" w:hAnsi="宋体" w:eastAsia="宋体" w:cs="Times New Roman"/>
          <w:color w:val="auto"/>
          <w:szCs w:val="21"/>
          <w:highlight w:val="none"/>
        </w:rPr>
        <w:t>规定执行。</w:t>
      </w:r>
    </w:p>
    <w:p w14:paraId="09479041">
      <w:pPr>
        <w:autoSpaceDE/>
        <w:autoSpaceDN/>
        <w:adjustRightInd w:val="0"/>
        <w:snapToGrid w:val="0"/>
        <w:spacing w:before="0" w:line="400" w:lineRule="exact"/>
        <w:ind w:firstLine="420" w:firstLineChars="200"/>
        <w:jc w:val="left"/>
        <w:rPr>
          <w:rFonts w:hint="eastAsia" w:ascii="宋体" w:hAnsi="宋体" w:eastAsia="宋体" w:cs="Times New Roman"/>
          <w:color w:val="auto"/>
          <w:szCs w:val="21"/>
          <w:highlight w:val="none"/>
          <w:lang w:val="en-US" w:eastAsia="zh-CN"/>
        </w:rPr>
      </w:pPr>
      <w:r>
        <w:rPr>
          <w:rFonts w:hint="eastAsia" w:ascii="宋体" w:hAnsi="宋体" w:eastAsia="宋体" w:cs="Times New Roman"/>
          <w:color w:val="auto"/>
          <w:szCs w:val="21"/>
          <w:highlight w:val="none"/>
          <w:lang w:val="en-US" w:eastAsia="zh-CN"/>
        </w:rPr>
        <w:t>12.2 对于满足合同约定支付条件的，甲方原则上应当自收到发票后10个工作日内将资金支付到合同约定的乙方账户，不得以机构变动、人员更替、政策调整等为由迟延付款，不得将采购文件和合同中未规定的义务作为向乙方付款的条件。具体合同价款支付时间在</w:t>
      </w:r>
      <w:r>
        <w:rPr>
          <w:rFonts w:hint="eastAsia" w:ascii="宋体" w:hAnsi="宋体" w:eastAsia="宋体" w:cs="Times New Roman"/>
          <w:b/>
          <w:bCs/>
          <w:color w:val="auto"/>
          <w:szCs w:val="21"/>
          <w:highlight w:val="none"/>
          <w:lang w:val="en-US" w:eastAsia="zh-CN"/>
        </w:rPr>
        <w:t>【政府采购合同专用条款】</w:t>
      </w:r>
      <w:r>
        <w:rPr>
          <w:rFonts w:hint="eastAsia" w:ascii="宋体" w:hAnsi="宋体" w:eastAsia="宋体" w:cs="Times New Roman"/>
          <w:color w:val="auto"/>
          <w:szCs w:val="21"/>
          <w:highlight w:val="none"/>
          <w:lang w:val="en-US" w:eastAsia="zh-CN"/>
        </w:rPr>
        <w:t>中约定。</w:t>
      </w:r>
    </w:p>
    <w:p w14:paraId="3C0B977E">
      <w:pPr>
        <w:widowControl w:val="0"/>
        <w:spacing w:after="0" w:line="400" w:lineRule="exact"/>
        <w:jc w:val="both"/>
        <w:rPr>
          <w:rFonts w:ascii="宋体" w:hAnsi="宋体" w:eastAsia="宋体" w:cs="Times New Roman"/>
          <w:b/>
          <w:bCs/>
          <w:color w:val="auto"/>
          <w:kern w:val="2"/>
          <w:sz w:val="24"/>
          <w:szCs w:val="24"/>
          <w:highlight w:val="none"/>
          <w:lang w:val="en-US" w:eastAsia="zh-CN" w:bidi="ar-SA"/>
        </w:rPr>
      </w:pPr>
      <w:r>
        <w:rPr>
          <w:rFonts w:hint="eastAsia" w:ascii="宋体" w:hAnsi="宋体" w:eastAsia="宋体" w:cs="Times New Roman"/>
          <w:b/>
          <w:bCs/>
          <w:color w:val="auto"/>
          <w:kern w:val="2"/>
          <w:sz w:val="24"/>
          <w:szCs w:val="24"/>
          <w:highlight w:val="none"/>
          <w:lang w:val="en-US" w:eastAsia="zh-CN" w:bidi="ar-SA"/>
        </w:rPr>
        <w:t>13. 履约保证金</w:t>
      </w:r>
    </w:p>
    <w:p w14:paraId="3DE15293">
      <w:pPr>
        <w:adjustRightInd w:val="0"/>
        <w:snapToGrid w:val="0"/>
        <w:spacing w:before="0" w:line="400" w:lineRule="exact"/>
        <w:ind w:firstLine="420" w:firstLineChars="200"/>
        <w:jc w:val="left"/>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1</w:t>
      </w:r>
      <w:r>
        <w:rPr>
          <w:rFonts w:hint="eastAsia" w:ascii="宋体" w:hAnsi="宋体" w:eastAsia="宋体" w:cs="Times New Roman"/>
          <w:color w:val="auto"/>
          <w:szCs w:val="21"/>
          <w:highlight w:val="none"/>
          <w:lang w:eastAsia="zh-CN"/>
        </w:rPr>
        <w:t>3</w:t>
      </w:r>
      <w:r>
        <w:rPr>
          <w:rFonts w:hint="eastAsia" w:ascii="宋体" w:hAnsi="宋体" w:eastAsia="宋体" w:cs="Times New Roman"/>
          <w:color w:val="auto"/>
          <w:szCs w:val="21"/>
          <w:highlight w:val="none"/>
        </w:rPr>
        <w:t xml:space="preserve">.1 </w:t>
      </w:r>
      <w:r>
        <w:rPr>
          <w:rFonts w:hint="eastAsia" w:ascii="宋体" w:hAnsi="宋体" w:eastAsia="宋体" w:cs="宋体"/>
          <w:color w:val="auto"/>
          <w:szCs w:val="15"/>
          <w:highlight w:val="none"/>
        </w:rPr>
        <w:t>乙方应当以支票、汇票、本票或者金融机构、担保机构出具的保函等非现金形式提交。</w:t>
      </w:r>
    </w:p>
    <w:p w14:paraId="58D18F72">
      <w:pPr>
        <w:adjustRightInd w:val="0"/>
        <w:snapToGrid w:val="0"/>
        <w:spacing w:before="0" w:line="400" w:lineRule="exact"/>
        <w:ind w:firstLine="420" w:firstLineChars="200"/>
        <w:jc w:val="left"/>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1</w:t>
      </w:r>
      <w:r>
        <w:rPr>
          <w:rFonts w:hint="eastAsia" w:ascii="宋体" w:hAnsi="宋体" w:eastAsia="宋体" w:cs="Times New Roman"/>
          <w:color w:val="auto"/>
          <w:szCs w:val="21"/>
          <w:highlight w:val="none"/>
          <w:lang w:eastAsia="zh-CN"/>
        </w:rPr>
        <w:t>3</w:t>
      </w:r>
      <w:r>
        <w:rPr>
          <w:rFonts w:hint="eastAsia" w:ascii="宋体" w:hAnsi="宋体" w:eastAsia="宋体" w:cs="Times New Roman"/>
          <w:color w:val="auto"/>
          <w:szCs w:val="21"/>
          <w:highlight w:val="none"/>
        </w:rPr>
        <w:t>.2 如果乙方</w:t>
      </w:r>
      <w:r>
        <w:rPr>
          <w:rFonts w:hint="eastAsia" w:ascii="宋体" w:hAnsi="宋体" w:eastAsia="宋体" w:cs="Times New Roman"/>
          <w:color w:val="auto"/>
          <w:szCs w:val="21"/>
          <w:highlight w:val="none"/>
          <w:lang w:eastAsia="zh-CN"/>
        </w:rPr>
        <w:t>出现</w:t>
      </w:r>
      <w:r>
        <w:rPr>
          <w:rFonts w:hint="eastAsia" w:ascii="宋体" w:hAnsi="宋体" w:eastAsia="宋体" w:cs="宋体"/>
          <w:b/>
          <w:bCs/>
          <w:color w:val="auto"/>
          <w:szCs w:val="15"/>
          <w:highlight w:val="none"/>
        </w:rPr>
        <w:t>【政府采购合同专用条款】</w:t>
      </w:r>
      <w:r>
        <w:rPr>
          <w:rFonts w:hint="eastAsia" w:ascii="宋体" w:hAnsi="宋体" w:eastAsia="宋体" w:cs="宋体"/>
          <w:b w:val="0"/>
          <w:bCs w:val="0"/>
          <w:color w:val="auto"/>
          <w:szCs w:val="15"/>
          <w:highlight w:val="none"/>
          <w:lang w:eastAsia="zh-CN"/>
        </w:rPr>
        <w:t>约定情形的</w:t>
      </w:r>
      <w:r>
        <w:rPr>
          <w:rFonts w:hint="eastAsia" w:ascii="宋体" w:hAnsi="宋体" w:eastAsia="宋体" w:cs="Times New Roman"/>
          <w:color w:val="auto"/>
          <w:szCs w:val="21"/>
          <w:highlight w:val="none"/>
        </w:rPr>
        <w:t>，履约保证金不予退还；如果乙方未能按合同约定全面履行义务，甲方有权从履约保证金中取得补偿或赔偿，</w:t>
      </w:r>
      <w:r>
        <w:rPr>
          <w:rFonts w:hint="eastAsia" w:ascii="宋体" w:hAnsi="宋体" w:eastAsia="宋体" w:cs="Times New Roman"/>
          <w:color w:val="auto"/>
          <w:szCs w:val="21"/>
          <w:highlight w:val="none"/>
          <w:lang w:eastAsia="zh-CN"/>
        </w:rPr>
        <w:t>且</w:t>
      </w:r>
      <w:r>
        <w:rPr>
          <w:rFonts w:hint="eastAsia" w:ascii="宋体" w:hAnsi="宋体" w:eastAsia="宋体" w:cs="Times New Roman"/>
          <w:color w:val="auto"/>
          <w:szCs w:val="21"/>
          <w:highlight w:val="none"/>
        </w:rPr>
        <w:t>不影响甲方要求乙方承担合同约定的超过履约保证金的违约责任的权利。</w:t>
      </w:r>
    </w:p>
    <w:p w14:paraId="4F3E715A">
      <w:pPr>
        <w:spacing w:line="400" w:lineRule="exact"/>
        <w:ind w:firstLine="420"/>
        <w:rPr>
          <w:rFonts w:ascii="Times New Roman" w:hAnsi="Times New Roman" w:eastAsia="宋体" w:cs="Times New Roman"/>
          <w:color w:val="auto"/>
          <w:highlight w:val="none"/>
        </w:rPr>
      </w:pPr>
      <w:r>
        <w:rPr>
          <w:rFonts w:hint="eastAsia" w:ascii="宋体" w:hAnsi="宋体" w:eastAsia="宋体" w:cs="Times New Roman"/>
          <w:color w:val="auto"/>
          <w:szCs w:val="21"/>
          <w:highlight w:val="none"/>
        </w:rPr>
        <w:t>1</w:t>
      </w:r>
      <w:r>
        <w:rPr>
          <w:rFonts w:hint="eastAsia" w:ascii="宋体" w:hAnsi="宋体" w:eastAsia="宋体" w:cs="Times New Roman"/>
          <w:color w:val="auto"/>
          <w:szCs w:val="21"/>
          <w:highlight w:val="none"/>
          <w:lang w:eastAsia="zh-CN"/>
        </w:rPr>
        <w:t>3</w:t>
      </w:r>
      <w:r>
        <w:rPr>
          <w:rFonts w:hint="eastAsia" w:ascii="宋体" w:hAnsi="宋体" w:eastAsia="宋体" w:cs="Times New Roman"/>
          <w:color w:val="auto"/>
          <w:szCs w:val="21"/>
          <w:highlight w:val="none"/>
        </w:rPr>
        <w:t>.3 甲方在项目通过验收后按照</w:t>
      </w:r>
      <w:r>
        <w:rPr>
          <w:rFonts w:hint="eastAsia" w:ascii="宋体" w:hAnsi="宋体" w:eastAsia="宋体" w:cs="Times New Roman"/>
          <w:b/>
          <w:color w:val="auto"/>
          <w:szCs w:val="21"/>
          <w:highlight w:val="none"/>
        </w:rPr>
        <w:t>【政府采购合同专用条款】</w:t>
      </w:r>
      <w:r>
        <w:rPr>
          <w:rFonts w:hint="eastAsia" w:ascii="宋体" w:hAnsi="宋体" w:eastAsia="宋体" w:cs="Times New Roman"/>
          <w:color w:val="auto"/>
          <w:szCs w:val="21"/>
          <w:highlight w:val="none"/>
        </w:rPr>
        <w:t>规定的时间内将履约保证金退还乙方；逾期退还的，乙方可要求甲方支付违约金，违约金按照</w:t>
      </w:r>
      <w:r>
        <w:rPr>
          <w:rFonts w:hint="eastAsia" w:ascii="宋体" w:hAnsi="宋体" w:eastAsia="宋体" w:cs="Times New Roman"/>
          <w:b/>
          <w:color w:val="auto"/>
          <w:szCs w:val="21"/>
          <w:highlight w:val="none"/>
        </w:rPr>
        <w:t>【政府采购合同专用条款】</w:t>
      </w:r>
      <w:r>
        <w:rPr>
          <w:rFonts w:hint="eastAsia" w:ascii="宋体" w:hAnsi="宋体" w:eastAsia="宋体" w:cs="Times New Roman"/>
          <w:color w:val="auto"/>
          <w:szCs w:val="21"/>
          <w:highlight w:val="none"/>
        </w:rPr>
        <w:t>规定支付。</w:t>
      </w:r>
    </w:p>
    <w:p w14:paraId="3000F8B7">
      <w:pPr>
        <w:autoSpaceDE w:val="0"/>
        <w:autoSpaceDN w:val="0"/>
        <w:adjustRightInd w:val="0"/>
        <w:snapToGrid w:val="0"/>
        <w:spacing w:before="0" w:line="400" w:lineRule="exact"/>
        <w:jc w:val="left"/>
        <w:rPr>
          <w:rFonts w:ascii="宋体" w:hAnsi="宋体" w:eastAsia="宋体" w:cs="Times New Roman"/>
          <w:b/>
          <w:color w:val="auto"/>
          <w:sz w:val="24"/>
          <w:highlight w:val="none"/>
        </w:rPr>
      </w:pPr>
      <w:r>
        <w:rPr>
          <w:rFonts w:hint="eastAsia" w:ascii="宋体" w:hAnsi="宋体" w:eastAsia="宋体" w:cs="Times New Roman"/>
          <w:b/>
          <w:bCs/>
          <w:color w:val="auto"/>
          <w:sz w:val="24"/>
          <w:highlight w:val="none"/>
        </w:rPr>
        <w:t>1</w:t>
      </w:r>
      <w:r>
        <w:rPr>
          <w:rFonts w:hint="eastAsia" w:ascii="宋体" w:hAnsi="宋体" w:eastAsia="宋体" w:cs="Times New Roman"/>
          <w:b/>
          <w:bCs/>
          <w:color w:val="auto"/>
          <w:sz w:val="24"/>
          <w:highlight w:val="none"/>
          <w:lang w:eastAsia="zh-CN"/>
        </w:rPr>
        <w:t>4</w:t>
      </w:r>
      <w:r>
        <w:rPr>
          <w:rFonts w:hint="eastAsia" w:ascii="宋体" w:hAnsi="宋体" w:eastAsia="宋体" w:cs="Times New Roman"/>
          <w:b/>
          <w:bCs/>
          <w:color w:val="auto"/>
          <w:sz w:val="24"/>
          <w:highlight w:val="none"/>
        </w:rPr>
        <w:t>.</w:t>
      </w:r>
      <w:r>
        <w:rPr>
          <w:rFonts w:hint="eastAsia" w:ascii="宋体" w:hAnsi="宋体" w:eastAsia="宋体" w:cs="Times New Roman"/>
          <w:b/>
          <w:bCs/>
          <w:color w:val="auto"/>
          <w:sz w:val="24"/>
          <w:highlight w:val="none"/>
          <w:lang w:val="en-US" w:eastAsia="zh-CN"/>
        </w:rPr>
        <w:t xml:space="preserve"> </w:t>
      </w:r>
      <w:r>
        <w:rPr>
          <w:rFonts w:hint="eastAsia" w:ascii="Times New Roman" w:hAnsi="Times New Roman" w:eastAsia="宋体" w:cs="Times New Roman"/>
          <w:b/>
          <w:color w:val="auto"/>
          <w:sz w:val="24"/>
          <w:highlight w:val="none"/>
        </w:rPr>
        <w:t>售后</w:t>
      </w:r>
      <w:r>
        <w:rPr>
          <w:rFonts w:hint="eastAsia" w:ascii="宋体" w:hAnsi="宋体" w:eastAsia="宋体" w:cs="Times New Roman"/>
          <w:b/>
          <w:color w:val="auto"/>
          <w:sz w:val="24"/>
          <w:highlight w:val="none"/>
        </w:rPr>
        <w:t>服务</w:t>
      </w:r>
    </w:p>
    <w:p w14:paraId="4EE424BF">
      <w:pPr>
        <w:autoSpaceDE w:val="0"/>
        <w:autoSpaceDN w:val="0"/>
        <w:adjustRightInd w:val="0"/>
        <w:snapToGrid w:val="0"/>
        <w:spacing w:before="0" w:line="4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1</w:t>
      </w:r>
      <w:r>
        <w:rPr>
          <w:rFonts w:hint="eastAsia" w:ascii="宋体" w:hAnsi="宋体" w:eastAsia="宋体" w:cs="Times New Roman"/>
          <w:color w:val="auto"/>
          <w:szCs w:val="21"/>
          <w:highlight w:val="none"/>
          <w:lang w:eastAsia="zh-CN"/>
        </w:rPr>
        <w:t>4</w:t>
      </w:r>
      <w:r>
        <w:rPr>
          <w:rFonts w:hint="eastAsia" w:ascii="宋体" w:hAnsi="宋体" w:eastAsia="宋体" w:cs="Times New Roman"/>
          <w:color w:val="auto"/>
          <w:szCs w:val="21"/>
          <w:highlight w:val="none"/>
        </w:rPr>
        <w:t>.1 除项目不涉及或采购活动中明确约定无须承担外，乙方还应提供下列服务：</w:t>
      </w:r>
    </w:p>
    <w:p w14:paraId="4C6963E3">
      <w:pPr>
        <w:autoSpaceDE w:val="0"/>
        <w:autoSpaceDN w:val="0"/>
        <w:adjustRightInd w:val="0"/>
        <w:snapToGrid w:val="0"/>
        <w:spacing w:before="0" w:line="4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（1）货物的现场移动、安装、调试、启动监督及技术支持；</w:t>
      </w:r>
    </w:p>
    <w:p w14:paraId="66BC291E">
      <w:pPr>
        <w:autoSpaceDE w:val="0"/>
        <w:autoSpaceDN w:val="0"/>
        <w:adjustRightInd w:val="0"/>
        <w:snapToGrid w:val="0"/>
        <w:spacing w:before="0" w:line="4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（2）提供货物组装和维修所需的专用工具和辅助材料；</w:t>
      </w:r>
    </w:p>
    <w:p w14:paraId="7EC763BD">
      <w:pPr>
        <w:autoSpaceDE w:val="0"/>
        <w:autoSpaceDN w:val="0"/>
        <w:adjustRightInd w:val="0"/>
        <w:snapToGrid w:val="0"/>
        <w:spacing w:before="0" w:line="4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（3）在</w:t>
      </w:r>
      <w:r>
        <w:rPr>
          <w:rFonts w:hint="eastAsia" w:ascii="宋体" w:hAnsi="宋体" w:eastAsia="宋体" w:cs="宋体"/>
          <w:b/>
          <w:bCs/>
          <w:color w:val="auto"/>
          <w:szCs w:val="15"/>
          <w:highlight w:val="none"/>
        </w:rPr>
        <w:t>【政府采购合同专用条款】</w:t>
      </w:r>
      <w:r>
        <w:rPr>
          <w:rFonts w:hint="eastAsia" w:ascii="宋体" w:hAnsi="宋体" w:eastAsia="宋体" w:cs="Times New Roman"/>
          <w:color w:val="auto"/>
          <w:szCs w:val="21"/>
          <w:highlight w:val="none"/>
          <w:lang w:eastAsia="zh-CN"/>
        </w:rPr>
        <w:t>约定</w:t>
      </w:r>
      <w:r>
        <w:rPr>
          <w:rFonts w:hint="eastAsia" w:ascii="宋体" w:hAnsi="宋体" w:eastAsia="宋体" w:cs="Times New Roman"/>
          <w:color w:val="auto"/>
          <w:szCs w:val="21"/>
          <w:highlight w:val="none"/>
        </w:rPr>
        <w:t>的期限内对所有的货物实施运行监督、维修，但前提条件是该服务并不能免除乙方在质量保证期内所承担的义务；</w:t>
      </w:r>
    </w:p>
    <w:p w14:paraId="7C7FF2BB">
      <w:pPr>
        <w:autoSpaceDE w:val="0"/>
        <w:autoSpaceDN w:val="0"/>
        <w:adjustRightInd w:val="0"/>
        <w:snapToGrid w:val="0"/>
        <w:spacing w:before="0" w:line="400" w:lineRule="exact"/>
        <w:ind w:firstLine="420" w:firstLineChars="200"/>
        <w:jc w:val="left"/>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（4）在制造商</w:t>
      </w:r>
      <w:r>
        <w:rPr>
          <w:rFonts w:hint="eastAsia" w:ascii="宋体" w:hAnsi="宋体" w:eastAsia="宋体" w:cs="Times New Roman"/>
          <w:color w:val="auto"/>
          <w:szCs w:val="21"/>
          <w:highlight w:val="none"/>
          <w:lang w:eastAsia="zh-CN"/>
        </w:rPr>
        <w:t>所在地</w:t>
      </w:r>
      <w:r>
        <w:rPr>
          <w:rFonts w:hint="eastAsia" w:ascii="宋体" w:hAnsi="宋体" w:eastAsia="宋体" w:cs="Times New Roman"/>
          <w:color w:val="auto"/>
          <w:szCs w:val="21"/>
          <w:highlight w:val="none"/>
        </w:rPr>
        <w:t>或</w:t>
      </w:r>
      <w:r>
        <w:rPr>
          <w:rFonts w:hint="eastAsia" w:ascii="宋体" w:hAnsi="宋体" w:eastAsia="宋体" w:cs="Times New Roman"/>
          <w:color w:val="auto"/>
          <w:szCs w:val="21"/>
          <w:highlight w:val="none"/>
          <w:lang w:eastAsia="zh-CN"/>
        </w:rPr>
        <w:t>指定</w:t>
      </w:r>
      <w:r>
        <w:rPr>
          <w:rFonts w:hint="eastAsia" w:ascii="宋体" w:hAnsi="宋体" w:eastAsia="宋体" w:cs="Times New Roman"/>
          <w:color w:val="auto"/>
          <w:szCs w:val="21"/>
          <w:highlight w:val="none"/>
        </w:rPr>
        <w:t>现场就货物的安装、启动、运营、维护</w:t>
      </w:r>
      <w:r>
        <w:rPr>
          <w:rFonts w:hint="eastAsia" w:ascii="宋体" w:hAnsi="宋体" w:eastAsia="宋体" w:cs="Times New Roman"/>
          <w:color w:val="auto"/>
          <w:szCs w:val="21"/>
          <w:highlight w:val="none"/>
          <w:lang w:eastAsia="zh-CN"/>
        </w:rPr>
        <w:t>、废弃处置等</w:t>
      </w:r>
      <w:r>
        <w:rPr>
          <w:rFonts w:hint="eastAsia" w:ascii="宋体" w:hAnsi="宋体" w:eastAsia="宋体" w:cs="Times New Roman"/>
          <w:color w:val="auto"/>
          <w:szCs w:val="21"/>
          <w:highlight w:val="none"/>
        </w:rPr>
        <w:t>对甲方操作人员进行培训</w:t>
      </w:r>
      <w:r>
        <w:rPr>
          <w:rFonts w:hint="eastAsia" w:ascii="宋体" w:hAnsi="宋体" w:eastAsia="宋体" w:cs="宋体"/>
          <w:color w:val="auto"/>
          <w:szCs w:val="15"/>
          <w:highlight w:val="none"/>
          <w:lang w:eastAsia="zh-CN"/>
        </w:rPr>
        <w:t>；</w:t>
      </w:r>
    </w:p>
    <w:p w14:paraId="21FFD780">
      <w:pPr>
        <w:autoSpaceDE w:val="0"/>
        <w:autoSpaceDN w:val="0"/>
        <w:adjustRightInd w:val="0"/>
        <w:spacing w:line="400" w:lineRule="exact"/>
        <w:ind w:firstLine="420" w:firstLineChars="200"/>
        <w:rPr>
          <w:rFonts w:hint="eastAsia" w:ascii="宋体" w:hAnsi="宋体" w:eastAsia="宋体" w:cs="宋体"/>
          <w:color w:val="auto"/>
          <w:sz w:val="21"/>
          <w:szCs w:val="21"/>
          <w:highlight w:val="none"/>
          <w:lang w:val="en-US" w:eastAsia="zh-CN" w:bidi="ar-SA"/>
        </w:rPr>
      </w:pPr>
      <w:r>
        <w:rPr>
          <w:rFonts w:hint="eastAsia" w:ascii="宋体" w:hAnsi="宋体" w:eastAsia="宋体" w:cs="宋体"/>
          <w:color w:val="auto"/>
          <w:sz w:val="21"/>
          <w:szCs w:val="21"/>
          <w:highlight w:val="none"/>
          <w:lang w:val="en-US" w:eastAsia="zh-CN" w:bidi="ar-SA"/>
        </w:rPr>
        <w:t>（5）依照法律、行政法规的规定或者按照</w:t>
      </w:r>
      <w:r>
        <w:rPr>
          <w:rFonts w:hint="eastAsia" w:ascii="宋体" w:hAnsi="宋体" w:eastAsia="宋体" w:cs="宋体"/>
          <w:b/>
          <w:bCs/>
          <w:color w:val="auto"/>
          <w:sz w:val="21"/>
          <w:szCs w:val="21"/>
          <w:highlight w:val="none"/>
          <w:lang w:val="en-US" w:eastAsia="zh-CN" w:bidi="ar-SA"/>
        </w:rPr>
        <w:t>【政府采购合同专用条款】</w:t>
      </w:r>
      <w:r>
        <w:rPr>
          <w:rFonts w:hint="eastAsia" w:ascii="宋体" w:hAnsi="宋体" w:eastAsia="宋体" w:cs="宋体"/>
          <w:color w:val="auto"/>
          <w:sz w:val="21"/>
          <w:szCs w:val="21"/>
          <w:highlight w:val="none"/>
          <w:lang w:val="en-US" w:eastAsia="zh-CN" w:bidi="ar-SA"/>
        </w:rPr>
        <w:t>约定，货物在有效使用年限届满后应予回收的，乙方负有自行或者委托第三人对货物予以回收的义务；</w:t>
      </w:r>
    </w:p>
    <w:p w14:paraId="3A1D3CFC">
      <w:pPr>
        <w:autoSpaceDE w:val="0"/>
        <w:autoSpaceDN w:val="0"/>
        <w:adjustRightInd w:val="0"/>
        <w:snapToGrid w:val="0"/>
        <w:spacing w:before="0" w:line="4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w:t>
      </w:r>
      <w:r>
        <w:rPr>
          <w:rFonts w:hint="eastAsia" w:ascii="宋体" w:hAnsi="宋体" w:eastAsia="宋体" w:cs="Times New Roman"/>
          <w:color w:val="auto"/>
          <w:szCs w:val="21"/>
          <w:highlight w:val="none"/>
          <w:lang w:val="en-US" w:eastAsia="zh-CN"/>
        </w:rPr>
        <w:t>6</w:t>
      </w:r>
      <w:r>
        <w:rPr>
          <w:rFonts w:hint="eastAsia" w:ascii="宋体" w:hAnsi="宋体" w:eastAsia="宋体" w:cs="Times New Roman"/>
          <w:color w:val="auto"/>
          <w:szCs w:val="21"/>
          <w:highlight w:val="none"/>
        </w:rPr>
        <w:t>）</w:t>
      </w:r>
      <w:r>
        <w:rPr>
          <w:rFonts w:hint="eastAsia" w:ascii="宋体" w:hAnsi="宋体" w:eastAsia="宋体" w:cs="Times New Roman"/>
          <w:b/>
          <w:color w:val="auto"/>
          <w:szCs w:val="21"/>
          <w:highlight w:val="none"/>
        </w:rPr>
        <w:t>【政府采购合同专用条款】</w:t>
      </w:r>
      <w:r>
        <w:rPr>
          <w:rFonts w:hint="eastAsia" w:ascii="宋体" w:hAnsi="宋体" w:eastAsia="宋体" w:cs="Times New Roman"/>
          <w:color w:val="auto"/>
          <w:szCs w:val="21"/>
          <w:highlight w:val="none"/>
        </w:rPr>
        <w:t>规定由乙方提供的其他服务。</w:t>
      </w:r>
    </w:p>
    <w:p w14:paraId="38923C82">
      <w:pPr>
        <w:autoSpaceDE w:val="0"/>
        <w:autoSpaceDN w:val="0"/>
        <w:adjustRightInd w:val="0"/>
        <w:snapToGrid w:val="0"/>
        <w:spacing w:before="0" w:line="4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1</w:t>
      </w:r>
      <w:r>
        <w:rPr>
          <w:rFonts w:hint="eastAsia" w:ascii="宋体" w:hAnsi="宋体" w:eastAsia="宋体" w:cs="Times New Roman"/>
          <w:color w:val="auto"/>
          <w:szCs w:val="21"/>
          <w:highlight w:val="none"/>
          <w:lang w:val="en-US" w:eastAsia="zh-CN"/>
        </w:rPr>
        <w:t>4</w:t>
      </w:r>
      <w:r>
        <w:rPr>
          <w:rFonts w:hint="eastAsia" w:ascii="宋体" w:hAnsi="宋体" w:eastAsia="宋体" w:cs="Times New Roman"/>
          <w:color w:val="auto"/>
          <w:szCs w:val="21"/>
          <w:highlight w:val="none"/>
        </w:rPr>
        <w:t>.2 乙方提供的</w:t>
      </w:r>
      <w:r>
        <w:rPr>
          <w:rFonts w:hint="eastAsia" w:ascii="宋体" w:hAnsi="宋体" w:eastAsia="宋体" w:cs="Times New Roman"/>
          <w:color w:val="auto"/>
          <w:szCs w:val="21"/>
          <w:highlight w:val="none"/>
          <w:lang w:eastAsia="zh-CN"/>
        </w:rPr>
        <w:t>售后</w:t>
      </w:r>
      <w:r>
        <w:rPr>
          <w:rFonts w:hint="eastAsia" w:ascii="宋体" w:hAnsi="宋体" w:eastAsia="宋体" w:cs="Times New Roman"/>
          <w:color w:val="auto"/>
          <w:szCs w:val="21"/>
          <w:highlight w:val="none"/>
        </w:rPr>
        <w:t>服务的费用</w:t>
      </w:r>
      <w:r>
        <w:rPr>
          <w:rFonts w:hint="eastAsia" w:ascii="宋体" w:hAnsi="宋体" w:eastAsia="宋体" w:cs="Times New Roman"/>
          <w:color w:val="auto"/>
          <w:szCs w:val="21"/>
          <w:highlight w:val="none"/>
          <w:lang w:val="en-US" w:eastAsia="zh-CN"/>
        </w:rPr>
        <w:t>已</w:t>
      </w:r>
      <w:r>
        <w:rPr>
          <w:rFonts w:hint="eastAsia" w:ascii="宋体" w:hAnsi="宋体" w:eastAsia="宋体" w:cs="Times New Roman"/>
          <w:color w:val="auto"/>
          <w:szCs w:val="21"/>
          <w:highlight w:val="none"/>
        </w:rPr>
        <w:t>包含在合同价款中，甲方不再另行支付。</w:t>
      </w:r>
    </w:p>
    <w:p w14:paraId="1431998B">
      <w:pPr>
        <w:adjustRightInd w:val="0"/>
        <w:snapToGrid w:val="0"/>
        <w:spacing w:before="0" w:line="400" w:lineRule="exact"/>
        <w:jc w:val="left"/>
        <w:rPr>
          <w:rFonts w:ascii="宋体" w:hAnsi="宋体" w:eastAsia="宋体" w:cs="Times New Roman"/>
          <w:b/>
          <w:bCs/>
          <w:color w:val="auto"/>
          <w:sz w:val="24"/>
          <w:highlight w:val="none"/>
        </w:rPr>
      </w:pPr>
      <w:r>
        <w:rPr>
          <w:rFonts w:hint="eastAsia" w:ascii="宋体" w:hAnsi="宋体" w:eastAsia="宋体" w:cs="Times New Roman"/>
          <w:b/>
          <w:bCs/>
          <w:color w:val="auto"/>
          <w:sz w:val="24"/>
          <w:highlight w:val="none"/>
        </w:rPr>
        <w:t>1</w:t>
      </w:r>
      <w:r>
        <w:rPr>
          <w:rFonts w:hint="eastAsia" w:ascii="宋体" w:hAnsi="宋体" w:eastAsia="宋体" w:cs="Times New Roman"/>
          <w:b/>
          <w:bCs/>
          <w:color w:val="auto"/>
          <w:sz w:val="24"/>
          <w:highlight w:val="none"/>
          <w:lang w:eastAsia="zh-CN"/>
        </w:rPr>
        <w:t>5</w:t>
      </w:r>
      <w:r>
        <w:rPr>
          <w:rFonts w:hint="eastAsia" w:ascii="宋体" w:hAnsi="宋体" w:eastAsia="宋体" w:cs="Times New Roman"/>
          <w:b/>
          <w:bCs/>
          <w:color w:val="auto"/>
          <w:sz w:val="24"/>
          <w:highlight w:val="none"/>
        </w:rPr>
        <w:t>.</w:t>
      </w:r>
      <w:r>
        <w:rPr>
          <w:rFonts w:hint="eastAsia" w:ascii="宋体" w:hAnsi="宋体" w:eastAsia="宋体" w:cs="Times New Roman"/>
          <w:b/>
          <w:bCs/>
          <w:color w:val="auto"/>
          <w:sz w:val="24"/>
          <w:highlight w:val="none"/>
          <w:lang w:val="en-US" w:eastAsia="zh-CN"/>
        </w:rPr>
        <w:t xml:space="preserve"> </w:t>
      </w:r>
      <w:r>
        <w:rPr>
          <w:rFonts w:hint="eastAsia" w:ascii="宋体" w:hAnsi="宋体" w:eastAsia="宋体" w:cs="Times New Roman"/>
          <w:b/>
          <w:bCs/>
          <w:color w:val="auto"/>
          <w:sz w:val="24"/>
          <w:highlight w:val="none"/>
        </w:rPr>
        <w:t>违约责任</w:t>
      </w:r>
    </w:p>
    <w:p w14:paraId="772E39E1">
      <w:pPr>
        <w:adjustRightInd w:val="0"/>
        <w:snapToGrid w:val="0"/>
        <w:spacing w:before="0" w:line="400" w:lineRule="exact"/>
        <w:ind w:firstLine="420" w:firstLineChars="200"/>
        <w:jc w:val="left"/>
        <w:rPr>
          <w:rFonts w:hint="eastAsia" w:ascii="宋体" w:hAnsi="宋体" w:eastAsia="宋体" w:cs="Times New Roman"/>
          <w:bCs/>
          <w:color w:val="auto"/>
          <w:szCs w:val="21"/>
          <w:highlight w:val="none"/>
        </w:rPr>
      </w:pPr>
      <w:r>
        <w:rPr>
          <w:rFonts w:hint="eastAsia" w:ascii="宋体" w:hAnsi="宋体" w:eastAsia="宋体" w:cs="Times New Roman"/>
          <w:bCs/>
          <w:color w:val="auto"/>
          <w:szCs w:val="21"/>
          <w:highlight w:val="none"/>
        </w:rPr>
        <w:t>1</w:t>
      </w:r>
      <w:r>
        <w:rPr>
          <w:rFonts w:hint="eastAsia" w:ascii="宋体" w:hAnsi="宋体" w:eastAsia="宋体" w:cs="Times New Roman"/>
          <w:bCs/>
          <w:color w:val="auto"/>
          <w:szCs w:val="21"/>
          <w:highlight w:val="none"/>
          <w:lang w:eastAsia="zh-CN"/>
        </w:rPr>
        <w:t>5</w:t>
      </w:r>
      <w:r>
        <w:rPr>
          <w:rFonts w:hint="eastAsia" w:ascii="宋体" w:hAnsi="宋体" w:eastAsia="宋体" w:cs="Times New Roman"/>
          <w:bCs/>
          <w:color w:val="auto"/>
          <w:szCs w:val="21"/>
          <w:highlight w:val="none"/>
        </w:rPr>
        <w:t>.1质量瑕疵的</w:t>
      </w:r>
      <w:r>
        <w:rPr>
          <w:rFonts w:hint="eastAsia" w:ascii="宋体" w:hAnsi="宋体" w:eastAsia="宋体" w:cs="Times New Roman"/>
          <w:bCs/>
          <w:color w:val="auto"/>
          <w:szCs w:val="21"/>
          <w:highlight w:val="none"/>
          <w:lang w:eastAsia="zh-CN"/>
        </w:rPr>
        <w:t>违约责任</w:t>
      </w:r>
    </w:p>
    <w:p w14:paraId="24315DF2">
      <w:pPr>
        <w:autoSpaceDE w:val="0"/>
        <w:autoSpaceDN w:val="0"/>
        <w:adjustRightInd w:val="0"/>
        <w:snapToGrid w:val="0"/>
        <w:spacing w:before="0" w:line="400" w:lineRule="exact"/>
        <w:ind w:firstLine="420" w:firstLineChars="200"/>
        <w:jc w:val="left"/>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乙方</w:t>
      </w:r>
      <w:r>
        <w:rPr>
          <w:rFonts w:hint="eastAsia" w:ascii="宋体" w:hAnsi="宋体" w:eastAsia="宋体" w:cs="Times New Roman"/>
          <w:color w:val="auto"/>
          <w:szCs w:val="21"/>
          <w:highlight w:val="none"/>
          <w:lang w:eastAsia="zh-CN"/>
        </w:rPr>
        <w:t>提供</w:t>
      </w:r>
      <w:r>
        <w:rPr>
          <w:rFonts w:hint="eastAsia" w:ascii="宋体" w:hAnsi="宋体" w:eastAsia="宋体" w:cs="Times New Roman"/>
          <w:color w:val="auto"/>
          <w:szCs w:val="21"/>
          <w:highlight w:val="none"/>
        </w:rPr>
        <w:t>的产品不符合</w:t>
      </w:r>
      <w:r>
        <w:rPr>
          <w:rFonts w:hint="eastAsia" w:ascii="宋体" w:hAnsi="宋体" w:eastAsia="宋体" w:cs="Times New Roman"/>
          <w:color w:val="auto"/>
          <w:szCs w:val="21"/>
          <w:highlight w:val="none"/>
          <w:lang w:eastAsia="zh-CN"/>
        </w:rPr>
        <w:t>合同约定的</w:t>
      </w:r>
      <w:r>
        <w:rPr>
          <w:rFonts w:hint="eastAsia" w:ascii="宋体" w:hAnsi="宋体" w:eastAsia="宋体" w:cs="Times New Roman"/>
          <w:color w:val="auto"/>
          <w:szCs w:val="21"/>
          <w:highlight w:val="none"/>
        </w:rPr>
        <w:t>质量标准或存在产品质量缺陷，</w:t>
      </w:r>
      <w:r>
        <w:rPr>
          <w:rFonts w:hint="eastAsia" w:ascii="宋体" w:hAnsi="宋体" w:eastAsia="宋体" w:cs="Times New Roman"/>
          <w:color w:val="auto"/>
          <w:szCs w:val="21"/>
          <w:highlight w:val="none"/>
          <w:lang w:eastAsia="zh-CN"/>
        </w:rPr>
        <w:t>甲方有权要求乙方根据</w:t>
      </w:r>
      <w:r>
        <w:rPr>
          <w:rFonts w:hint="eastAsia" w:ascii="宋体" w:hAnsi="宋体" w:eastAsia="宋体" w:cs="Times New Roman"/>
          <w:b/>
          <w:color w:val="auto"/>
          <w:szCs w:val="21"/>
          <w:highlight w:val="none"/>
        </w:rPr>
        <w:t>【政府采购合同专用条款】</w:t>
      </w:r>
      <w:r>
        <w:rPr>
          <w:rFonts w:hint="eastAsia" w:ascii="宋体" w:hAnsi="宋体" w:eastAsia="宋体" w:cs="Times New Roman"/>
          <w:b w:val="0"/>
          <w:bCs/>
          <w:color w:val="auto"/>
          <w:szCs w:val="21"/>
          <w:highlight w:val="none"/>
          <w:lang w:eastAsia="zh-CN"/>
        </w:rPr>
        <w:t>要求</w:t>
      </w:r>
      <w:r>
        <w:rPr>
          <w:rFonts w:hint="eastAsia" w:ascii="宋体" w:hAnsi="宋体" w:eastAsia="宋体" w:cs="Times New Roman"/>
          <w:color w:val="auto"/>
          <w:szCs w:val="21"/>
          <w:highlight w:val="none"/>
          <w:lang w:eastAsia="zh-CN"/>
        </w:rPr>
        <w:t>及时修理、重作、更换，并承担由此给甲</w:t>
      </w:r>
      <w:r>
        <w:rPr>
          <w:rFonts w:hint="eastAsia" w:ascii="宋体" w:hAnsi="宋体" w:eastAsia="宋体" w:cs="Times New Roman"/>
          <w:color w:val="auto"/>
          <w:szCs w:val="21"/>
          <w:highlight w:val="none"/>
        </w:rPr>
        <w:t>方</w:t>
      </w:r>
      <w:r>
        <w:rPr>
          <w:rFonts w:hint="eastAsia" w:ascii="宋体" w:hAnsi="宋体" w:eastAsia="宋体" w:cs="Times New Roman"/>
          <w:color w:val="auto"/>
          <w:szCs w:val="21"/>
          <w:highlight w:val="none"/>
          <w:lang w:eastAsia="zh-CN"/>
        </w:rPr>
        <w:t>造成的损失</w:t>
      </w:r>
      <w:r>
        <w:rPr>
          <w:rFonts w:hint="eastAsia" w:ascii="宋体" w:hAnsi="宋体" w:eastAsia="宋体" w:cs="Times New Roman"/>
          <w:color w:val="auto"/>
          <w:szCs w:val="21"/>
          <w:highlight w:val="none"/>
        </w:rPr>
        <w:t>。</w:t>
      </w:r>
    </w:p>
    <w:p w14:paraId="20763ABD">
      <w:pPr>
        <w:autoSpaceDE w:val="0"/>
        <w:autoSpaceDN w:val="0"/>
        <w:adjustRightInd w:val="0"/>
        <w:snapToGrid w:val="0"/>
        <w:spacing w:before="0" w:line="400" w:lineRule="exact"/>
        <w:ind w:firstLine="420" w:firstLineChars="200"/>
        <w:jc w:val="left"/>
        <w:rPr>
          <w:rFonts w:ascii="宋体" w:hAnsi="宋体" w:eastAsia="宋体" w:cs="Times New Roman"/>
          <w:bCs/>
          <w:color w:val="auto"/>
          <w:szCs w:val="21"/>
          <w:highlight w:val="none"/>
        </w:rPr>
      </w:pPr>
      <w:r>
        <w:rPr>
          <w:rFonts w:hint="eastAsia" w:ascii="宋体" w:hAnsi="宋体" w:eastAsia="宋体" w:cs="Times New Roman"/>
          <w:bCs/>
          <w:color w:val="auto"/>
          <w:szCs w:val="21"/>
          <w:highlight w:val="none"/>
        </w:rPr>
        <w:t>1</w:t>
      </w:r>
      <w:r>
        <w:rPr>
          <w:rFonts w:hint="eastAsia" w:ascii="宋体" w:hAnsi="宋体" w:eastAsia="宋体" w:cs="Times New Roman"/>
          <w:bCs/>
          <w:color w:val="auto"/>
          <w:szCs w:val="21"/>
          <w:highlight w:val="none"/>
          <w:lang w:eastAsia="zh-CN"/>
        </w:rPr>
        <w:t>5</w:t>
      </w:r>
      <w:r>
        <w:rPr>
          <w:rFonts w:hint="eastAsia" w:ascii="宋体" w:hAnsi="宋体" w:eastAsia="宋体" w:cs="Times New Roman"/>
          <w:bCs/>
          <w:color w:val="auto"/>
          <w:szCs w:val="21"/>
          <w:highlight w:val="none"/>
        </w:rPr>
        <w:t>.2 迟延交货的违约责任</w:t>
      </w:r>
    </w:p>
    <w:p w14:paraId="5B05E26A">
      <w:pPr>
        <w:autoSpaceDE w:val="0"/>
        <w:autoSpaceDN w:val="0"/>
        <w:adjustRightInd w:val="0"/>
        <w:snapToGrid w:val="0"/>
        <w:spacing w:before="0" w:line="4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（1）乙方应按照本合同规定的时间、地点交货和提供</w:t>
      </w:r>
      <w:r>
        <w:rPr>
          <w:rFonts w:hint="eastAsia" w:ascii="宋体" w:hAnsi="宋体" w:eastAsia="宋体" w:cs="Times New Roman"/>
          <w:color w:val="auto"/>
          <w:szCs w:val="21"/>
          <w:highlight w:val="none"/>
          <w:lang w:eastAsia="zh-CN"/>
        </w:rPr>
        <w:t>相关</w:t>
      </w:r>
      <w:r>
        <w:rPr>
          <w:rFonts w:hint="eastAsia" w:ascii="宋体" w:hAnsi="宋体" w:eastAsia="宋体" w:cs="Times New Roman"/>
          <w:color w:val="auto"/>
          <w:szCs w:val="21"/>
          <w:highlight w:val="none"/>
        </w:rPr>
        <w:t>服务。在履行合同过程中，如果乙方遇到可能</w:t>
      </w:r>
      <w:r>
        <w:rPr>
          <w:rFonts w:hint="eastAsia" w:ascii="宋体" w:hAnsi="宋体" w:eastAsia="宋体" w:cs="Times New Roman"/>
          <w:color w:val="auto"/>
          <w:szCs w:val="21"/>
          <w:highlight w:val="none"/>
          <w:lang w:eastAsia="zh-CN"/>
        </w:rPr>
        <w:t>影响</w:t>
      </w:r>
      <w:r>
        <w:rPr>
          <w:rFonts w:hint="eastAsia" w:ascii="宋体" w:hAnsi="宋体" w:eastAsia="宋体" w:cs="Times New Roman"/>
          <w:color w:val="auto"/>
          <w:szCs w:val="21"/>
          <w:highlight w:val="none"/>
        </w:rPr>
        <w:t>按时交货和提供服务的情形时，应及时以书面形式将迟延的事实、可能迟延的期限和理由通知甲方。甲方在收到乙方通知后，应尽快对情况进行评价，并确定是否同意延</w:t>
      </w:r>
      <w:r>
        <w:rPr>
          <w:rFonts w:hint="eastAsia" w:ascii="宋体" w:hAnsi="宋体" w:eastAsia="宋体" w:cs="Times New Roman"/>
          <w:color w:val="auto"/>
          <w:szCs w:val="21"/>
          <w:highlight w:val="none"/>
          <w:lang w:eastAsia="zh-CN"/>
        </w:rPr>
        <w:t>长</w:t>
      </w:r>
      <w:r>
        <w:rPr>
          <w:rFonts w:hint="eastAsia" w:ascii="宋体" w:hAnsi="宋体" w:eastAsia="宋体" w:cs="Times New Roman"/>
          <w:color w:val="auto"/>
          <w:szCs w:val="21"/>
          <w:highlight w:val="none"/>
        </w:rPr>
        <w:t>交货时间或延期提供服务。</w:t>
      </w:r>
    </w:p>
    <w:p w14:paraId="355B0906">
      <w:pPr>
        <w:autoSpaceDE w:val="0"/>
        <w:autoSpaceDN w:val="0"/>
        <w:adjustRightInd w:val="0"/>
        <w:snapToGrid w:val="0"/>
        <w:spacing w:before="0" w:line="400" w:lineRule="exact"/>
        <w:ind w:firstLine="420" w:firstLineChars="200"/>
        <w:jc w:val="left"/>
        <w:rPr>
          <w:rFonts w:hint="eastAsia" w:ascii="宋体" w:hAnsi="宋体" w:eastAsia="宋体" w:cs="Times New Roman"/>
          <w:color w:val="auto"/>
          <w:szCs w:val="21"/>
          <w:highlight w:val="none"/>
          <w:lang w:eastAsia="zh-CN"/>
        </w:rPr>
      </w:pPr>
      <w:r>
        <w:rPr>
          <w:rFonts w:hint="eastAsia" w:ascii="宋体" w:hAnsi="宋体" w:eastAsia="宋体" w:cs="Times New Roman"/>
          <w:color w:val="auto"/>
          <w:szCs w:val="21"/>
          <w:highlight w:val="none"/>
        </w:rPr>
        <w:t>（2）如果乙方没有按照合同规定的时间交货和提供</w:t>
      </w:r>
      <w:r>
        <w:rPr>
          <w:rFonts w:hint="eastAsia" w:ascii="宋体" w:hAnsi="宋体" w:eastAsia="宋体" w:cs="Times New Roman"/>
          <w:color w:val="auto"/>
          <w:szCs w:val="21"/>
          <w:highlight w:val="none"/>
          <w:lang w:eastAsia="zh-CN"/>
        </w:rPr>
        <w:t>相关</w:t>
      </w:r>
      <w:r>
        <w:rPr>
          <w:rFonts w:hint="eastAsia" w:ascii="宋体" w:hAnsi="宋体" w:eastAsia="宋体" w:cs="Times New Roman"/>
          <w:color w:val="auto"/>
          <w:szCs w:val="21"/>
          <w:highlight w:val="none"/>
        </w:rPr>
        <w:t>服务，甲方有权从货款中扣除误期赔偿费而不影响合同项下的其他补救方法，赔偿费按</w:t>
      </w:r>
      <w:r>
        <w:rPr>
          <w:rFonts w:hint="eastAsia" w:ascii="宋体" w:hAnsi="宋体" w:eastAsia="宋体" w:cs="Times New Roman"/>
          <w:b/>
          <w:color w:val="auto"/>
          <w:szCs w:val="21"/>
          <w:highlight w:val="none"/>
        </w:rPr>
        <w:t>【政府采购合同专用条款】</w:t>
      </w:r>
      <w:r>
        <w:rPr>
          <w:rFonts w:hint="eastAsia" w:ascii="宋体" w:hAnsi="宋体" w:eastAsia="宋体" w:cs="Times New Roman"/>
          <w:color w:val="auto"/>
          <w:szCs w:val="21"/>
          <w:highlight w:val="none"/>
        </w:rPr>
        <w:t>规定执行。如果涉及公共利益，且赔偿金额无法弥补公共利益损失，</w:t>
      </w:r>
      <w:r>
        <w:rPr>
          <w:rFonts w:hint="eastAsia" w:ascii="宋体" w:hAnsi="宋体" w:eastAsia="宋体" w:cs="Times New Roman"/>
          <w:color w:val="auto"/>
          <w:szCs w:val="21"/>
          <w:highlight w:val="none"/>
          <w:lang w:eastAsia="zh-CN"/>
        </w:rPr>
        <w:t>甲方</w:t>
      </w:r>
      <w:r>
        <w:rPr>
          <w:rFonts w:hint="eastAsia" w:ascii="宋体" w:hAnsi="宋体" w:eastAsia="宋体" w:cs="Times New Roman"/>
          <w:color w:val="auto"/>
          <w:szCs w:val="21"/>
          <w:highlight w:val="none"/>
        </w:rPr>
        <w:t>可要求继续履行或者</w:t>
      </w:r>
      <w:r>
        <w:rPr>
          <w:rFonts w:hint="eastAsia" w:ascii="宋体" w:hAnsi="宋体" w:eastAsia="宋体" w:cs="Times New Roman"/>
          <w:color w:val="auto"/>
          <w:szCs w:val="21"/>
          <w:highlight w:val="none"/>
          <w:lang w:eastAsia="zh-CN"/>
        </w:rPr>
        <w:t>采取其他补救措施</w:t>
      </w:r>
      <w:r>
        <w:rPr>
          <w:rFonts w:hint="eastAsia" w:ascii="宋体" w:hAnsi="宋体" w:eastAsia="宋体" w:cs="Times New Roman"/>
          <w:color w:val="auto"/>
          <w:szCs w:val="21"/>
          <w:highlight w:val="none"/>
        </w:rPr>
        <w:t>。</w:t>
      </w:r>
    </w:p>
    <w:p w14:paraId="64FE2C34">
      <w:pPr>
        <w:autoSpaceDE w:val="0"/>
        <w:autoSpaceDN w:val="0"/>
        <w:adjustRightInd w:val="0"/>
        <w:snapToGrid w:val="0"/>
        <w:spacing w:before="0" w:line="4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1</w:t>
      </w:r>
      <w:r>
        <w:rPr>
          <w:rFonts w:hint="eastAsia" w:ascii="宋体" w:hAnsi="宋体" w:eastAsia="宋体" w:cs="Times New Roman"/>
          <w:color w:val="auto"/>
          <w:szCs w:val="21"/>
          <w:highlight w:val="none"/>
          <w:lang w:eastAsia="zh-CN"/>
        </w:rPr>
        <w:t>5</w:t>
      </w:r>
      <w:r>
        <w:rPr>
          <w:rFonts w:hint="eastAsia" w:ascii="宋体" w:hAnsi="宋体" w:eastAsia="宋体" w:cs="Times New Roman"/>
          <w:color w:val="auto"/>
          <w:szCs w:val="21"/>
          <w:highlight w:val="none"/>
        </w:rPr>
        <w:t>.3 迟延支付的违约责任</w:t>
      </w:r>
    </w:p>
    <w:p w14:paraId="3F3BE310">
      <w:pPr>
        <w:autoSpaceDE w:val="0"/>
        <w:autoSpaceDN w:val="0"/>
        <w:adjustRightInd w:val="0"/>
        <w:snapToGrid w:val="0"/>
        <w:spacing w:before="0" w:line="4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甲方存在迟延支付乙方合同款项的，应当承担</w:t>
      </w:r>
      <w:r>
        <w:rPr>
          <w:rFonts w:hint="eastAsia" w:ascii="宋体" w:hAnsi="宋体" w:eastAsia="宋体" w:cs="Times New Roman"/>
          <w:b/>
          <w:bCs/>
          <w:color w:val="auto"/>
          <w:szCs w:val="21"/>
          <w:highlight w:val="none"/>
        </w:rPr>
        <w:t>【政府采购合同专用条款】</w:t>
      </w:r>
      <w:r>
        <w:rPr>
          <w:rFonts w:hint="eastAsia" w:ascii="宋体" w:hAnsi="宋体" w:eastAsia="宋体" w:cs="Times New Roman"/>
          <w:color w:val="auto"/>
          <w:szCs w:val="21"/>
          <w:highlight w:val="none"/>
        </w:rPr>
        <w:t>规定的逾期付款利息。</w:t>
      </w:r>
    </w:p>
    <w:p w14:paraId="47857205">
      <w:pPr>
        <w:adjustRightInd w:val="0"/>
        <w:snapToGrid w:val="0"/>
        <w:spacing w:before="0" w:line="4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bCs/>
          <w:color w:val="auto"/>
          <w:szCs w:val="21"/>
          <w:highlight w:val="none"/>
        </w:rPr>
        <w:t>1</w:t>
      </w:r>
      <w:r>
        <w:rPr>
          <w:rFonts w:hint="eastAsia" w:ascii="宋体" w:hAnsi="宋体" w:eastAsia="宋体" w:cs="Times New Roman"/>
          <w:bCs/>
          <w:color w:val="auto"/>
          <w:szCs w:val="21"/>
          <w:highlight w:val="none"/>
          <w:lang w:eastAsia="zh-CN"/>
        </w:rPr>
        <w:t>5</w:t>
      </w:r>
      <w:r>
        <w:rPr>
          <w:rFonts w:hint="eastAsia" w:ascii="宋体" w:hAnsi="宋体" w:eastAsia="宋体" w:cs="Times New Roman"/>
          <w:bCs/>
          <w:color w:val="auto"/>
          <w:szCs w:val="21"/>
          <w:highlight w:val="none"/>
        </w:rPr>
        <w:t>.4其他违约责任根据项目实际需要按</w:t>
      </w:r>
      <w:r>
        <w:rPr>
          <w:rFonts w:hint="eastAsia" w:ascii="宋体" w:hAnsi="宋体" w:eastAsia="宋体" w:cs="Times New Roman"/>
          <w:b/>
          <w:bCs/>
          <w:color w:val="auto"/>
          <w:szCs w:val="21"/>
          <w:highlight w:val="none"/>
        </w:rPr>
        <w:t>【政府采购合同专用条款】</w:t>
      </w:r>
      <w:r>
        <w:rPr>
          <w:rFonts w:hint="eastAsia" w:ascii="宋体" w:hAnsi="宋体" w:eastAsia="宋体" w:cs="Times New Roman"/>
          <w:color w:val="auto"/>
          <w:szCs w:val="21"/>
          <w:highlight w:val="none"/>
        </w:rPr>
        <w:t>规定执行。</w:t>
      </w:r>
    </w:p>
    <w:p w14:paraId="1E8BAF2E">
      <w:pPr>
        <w:numPr>
          <w:ilvl w:val="0"/>
          <w:numId w:val="28"/>
        </w:numPr>
        <w:autoSpaceDE w:val="0"/>
        <w:autoSpaceDN w:val="0"/>
        <w:adjustRightInd w:val="0"/>
        <w:snapToGrid w:val="0"/>
        <w:spacing w:before="0" w:line="400" w:lineRule="exact"/>
        <w:jc w:val="left"/>
        <w:rPr>
          <w:rFonts w:ascii="宋体" w:hAnsi="宋体" w:eastAsia="宋体" w:cs="Times New Roman"/>
          <w:b/>
          <w:color w:val="auto"/>
          <w:sz w:val="24"/>
          <w:highlight w:val="none"/>
        </w:rPr>
      </w:pPr>
      <w:r>
        <w:rPr>
          <w:rFonts w:hint="eastAsia" w:ascii="宋体" w:hAnsi="宋体" w:eastAsia="宋体" w:cs="Times New Roman"/>
          <w:b/>
          <w:color w:val="auto"/>
          <w:sz w:val="24"/>
          <w:highlight w:val="none"/>
        </w:rPr>
        <w:t>合同变更</w:t>
      </w:r>
      <w:r>
        <w:rPr>
          <w:rFonts w:hint="eastAsia" w:ascii="宋体" w:hAnsi="宋体" w:eastAsia="宋体" w:cs="Times New Roman"/>
          <w:b/>
          <w:color w:val="auto"/>
          <w:sz w:val="24"/>
          <w:highlight w:val="none"/>
          <w:lang w:eastAsia="zh-CN"/>
        </w:rPr>
        <w:t>、中止与终止</w:t>
      </w:r>
    </w:p>
    <w:p w14:paraId="454153C7">
      <w:pPr>
        <w:autoSpaceDE/>
        <w:autoSpaceDN/>
        <w:adjustRightInd w:val="0"/>
        <w:snapToGrid w:val="0"/>
        <w:spacing w:before="0" w:line="400" w:lineRule="exact"/>
        <w:ind w:firstLine="0" w:firstLineChars="0"/>
        <w:jc w:val="left"/>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lang w:val="en-US" w:eastAsia="zh-CN"/>
        </w:rPr>
        <w:t xml:space="preserve">    </w:t>
      </w:r>
      <w:r>
        <w:rPr>
          <w:rFonts w:hint="eastAsia" w:ascii="宋体" w:hAnsi="宋体" w:eastAsia="宋体" w:cs="Times New Roman"/>
          <w:color w:val="auto"/>
          <w:szCs w:val="21"/>
          <w:highlight w:val="none"/>
        </w:rPr>
        <w:t>1</w:t>
      </w:r>
      <w:r>
        <w:rPr>
          <w:rFonts w:hint="eastAsia" w:ascii="宋体" w:hAnsi="宋体" w:eastAsia="宋体" w:cs="Times New Roman"/>
          <w:color w:val="auto"/>
          <w:szCs w:val="21"/>
          <w:highlight w:val="none"/>
          <w:lang w:val="en-US" w:eastAsia="zh-CN"/>
        </w:rPr>
        <w:t>6</w:t>
      </w:r>
      <w:r>
        <w:rPr>
          <w:rFonts w:hint="eastAsia" w:ascii="宋体" w:hAnsi="宋体" w:eastAsia="宋体" w:cs="Times New Roman"/>
          <w:color w:val="auto"/>
          <w:szCs w:val="21"/>
          <w:highlight w:val="none"/>
        </w:rPr>
        <w:t>.1合同的</w:t>
      </w:r>
      <w:r>
        <w:rPr>
          <w:rFonts w:hint="eastAsia" w:ascii="宋体" w:hAnsi="宋体" w:eastAsia="宋体" w:cs="Times New Roman"/>
          <w:color w:val="auto"/>
          <w:szCs w:val="21"/>
          <w:highlight w:val="none"/>
          <w:lang w:eastAsia="zh-CN"/>
        </w:rPr>
        <w:t>变更</w:t>
      </w:r>
    </w:p>
    <w:p w14:paraId="176E3A38">
      <w:pPr>
        <w:autoSpaceDE w:val="0"/>
        <w:autoSpaceDN w:val="0"/>
        <w:adjustRightInd w:val="0"/>
        <w:snapToGrid w:val="0"/>
        <w:spacing w:before="0" w:line="4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lang w:eastAsia="zh-CN"/>
        </w:rPr>
        <w:t>政府采购合同履行中，</w:t>
      </w:r>
      <w:r>
        <w:rPr>
          <w:rFonts w:hint="eastAsia" w:ascii="宋体" w:hAnsi="宋体" w:eastAsia="宋体" w:cs="Times New Roman"/>
          <w:color w:val="auto"/>
          <w:szCs w:val="21"/>
          <w:highlight w:val="none"/>
        </w:rPr>
        <w:t>在不改变合同其他条款的前提下，甲方可以在合同价款10%的范围内追加与合同标的相同的货物，并就此与乙方协商</w:t>
      </w:r>
      <w:r>
        <w:rPr>
          <w:rFonts w:hint="eastAsia" w:ascii="宋体" w:hAnsi="宋体" w:eastAsia="宋体" w:cs="Times New Roman"/>
          <w:color w:val="auto"/>
          <w:szCs w:val="21"/>
          <w:highlight w:val="none"/>
          <w:lang w:eastAsia="zh-CN"/>
        </w:rPr>
        <w:t>一致后</w:t>
      </w:r>
      <w:r>
        <w:rPr>
          <w:rFonts w:hint="eastAsia" w:ascii="宋体" w:hAnsi="宋体" w:eastAsia="宋体" w:cs="Times New Roman"/>
          <w:color w:val="auto"/>
          <w:szCs w:val="21"/>
          <w:highlight w:val="none"/>
        </w:rPr>
        <w:t>签订补充协议。</w:t>
      </w:r>
    </w:p>
    <w:p w14:paraId="5D223BAC">
      <w:pPr>
        <w:adjustRightInd w:val="0"/>
        <w:snapToGrid w:val="0"/>
        <w:spacing w:before="0" w:line="4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1</w:t>
      </w:r>
      <w:r>
        <w:rPr>
          <w:rFonts w:hint="eastAsia" w:ascii="宋体" w:hAnsi="宋体" w:eastAsia="宋体" w:cs="Times New Roman"/>
          <w:color w:val="auto"/>
          <w:szCs w:val="21"/>
          <w:highlight w:val="none"/>
          <w:lang w:val="en-US" w:eastAsia="zh-CN"/>
        </w:rPr>
        <w:t>6</w:t>
      </w:r>
      <w:r>
        <w:rPr>
          <w:rFonts w:hint="eastAsia" w:ascii="宋体" w:hAnsi="宋体" w:eastAsia="宋体" w:cs="Times New Roman"/>
          <w:color w:val="auto"/>
          <w:szCs w:val="21"/>
          <w:highlight w:val="none"/>
        </w:rPr>
        <w:t>.</w:t>
      </w:r>
      <w:r>
        <w:rPr>
          <w:rFonts w:hint="eastAsia" w:ascii="宋体" w:hAnsi="宋体" w:eastAsia="宋体" w:cs="Times New Roman"/>
          <w:color w:val="auto"/>
          <w:szCs w:val="21"/>
          <w:highlight w:val="none"/>
          <w:lang w:val="en-US" w:eastAsia="zh-CN"/>
        </w:rPr>
        <w:t>2</w:t>
      </w:r>
      <w:r>
        <w:rPr>
          <w:rFonts w:hint="eastAsia" w:ascii="宋体" w:hAnsi="宋体" w:eastAsia="宋体" w:cs="Times New Roman"/>
          <w:color w:val="auto"/>
          <w:szCs w:val="21"/>
          <w:highlight w:val="none"/>
        </w:rPr>
        <w:t>合同的中止</w:t>
      </w:r>
    </w:p>
    <w:p w14:paraId="3112B1DB">
      <w:pPr>
        <w:autoSpaceDE w:val="0"/>
        <w:autoSpaceDN w:val="0"/>
        <w:adjustRightInd w:val="0"/>
        <w:snapToGrid w:val="0"/>
        <w:spacing w:before="0" w:line="4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（1）合同履行过程中因供应商就采购文件、采购过程或结果提起投诉的，甲方认为有必要的，</w:t>
      </w:r>
      <w:r>
        <w:rPr>
          <w:rFonts w:hint="eastAsia" w:ascii="宋体" w:hAnsi="宋体" w:eastAsia="宋体" w:cs="Times New Roman"/>
          <w:color w:val="auto"/>
          <w:szCs w:val="21"/>
          <w:highlight w:val="none"/>
          <w:lang w:eastAsia="zh-CN"/>
        </w:rPr>
        <w:t>可以</w:t>
      </w:r>
      <w:r>
        <w:rPr>
          <w:rFonts w:hint="eastAsia" w:ascii="宋体" w:hAnsi="宋体" w:eastAsia="宋体" w:cs="Times New Roman"/>
          <w:color w:val="auto"/>
          <w:szCs w:val="21"/>
          <w:highlight w:val="none"/>
        </w:rPr>
        <w:t>中止合同的履行。</w:t>
      </w:r>
    </w:p>
    <w:p w14:paraId="639EAD03">
      <w:pPr>
        <w:autoSpaceDE w:val="0"/>
        <w:autoSpaceDN w:val="0"/>
        <w:adjustRightInd w:val="0"/>
        <w:snapToGrid w:val="0"/>
        <w:spacing w:before="0" w:line="400" w:lineRule="exact"/>
        <w:ind w:firstLine="420" w:firstLineChars="200"/>
        <w:jc w:val="left"/>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（2）</w:t>
      </w:r>
      <w:r>
        <w:rPr>
          <w:rFonts w:hint="eastAsia" w:ascii="宋体" w:hAnsi="宋体" w:eastAsia="宋体" w:cs="Times New Roman"/>
          <w:color w:val="auto"/>
          <w:szCs w:val="21"/>
          <w:highlight w:val="none"/>
          <w:lang w:val="en-US" w:eastAsia="zh-CN"/>
        </w:rPr>
        <w:t>合同履行过程中，</w:t>
      </w:r>
      <w:r>
        <w:rPr>
          <w:rFonts w:hint="eastAsia" w:ascii="宋体" w:hAnsi="宋体" w:eastAsia="宋体" w:cs="Times New Roman"/>
          <w:color w:val="auto"/>
          <w:szCs w:val="21"/>
          <w:highlight w:val="none"/>
        </w:rPr>
        <w:t>如果乙方出现以下情形之一的：1．经营状况严重恶化；2．转移财产、抽逃资金，以逃避债务；3．丧失商业信誉；4．有丧失或者可能丧失履约能力的其他情形</w:t>
      </w:r>
      <w:r>
        <w:rPr>
          <w:rFonts w:hint="eastAsia" w:ascii="宋体" w:hAnsi="宋体" w:eastAsia="宋体" w:cs="Times New Roman"/>
          <w:color w:val="auto"/>
          <w:szCs w:val="21"/>
          <w:highlight w:val="none"/>
          <w:lang w:eastAsia="zh-CN"/>
        </w:rPr>
        <w:t>，乙方有义务及时告知甲方</w:t>
      </w:r>
      <w:r>
        <w:rPr>
          <w:rFonts w:hint="eastAsia" w:ascii="宋体" w:hAnsi="宋体" w:eastAsia="宋体" w:cs="Times New Roman"/>
          <w:color w:val="auto"/>
          <w:szCs w:val="21"/>
          <w:highlight w:val="none"/>
        </w:rPr>
        <w:t>。甲方</w:t>
      </w:r>
      <w:r>
        <w:rPr>
          <w:rFonts w:hint="eastAsia" w:ascii="宋体" w:hAnsi="宋体" w:eastAsia="宋体" w:cs="Times New Roman"/>
          <w:color w:val="auto"/>
          <w:szCs w:val="21"/>
          <w:highlight w:val="none"/>
          <w:lang w:eastAsia="zh-CN"/>
        </w:rPr>
        <w:t>有权</w:t>
      </w:r>
      <w:r>
        <w:rPr>
          <w:rFonts w:hint="eastAsia" w:ascii="宋体" w:hAnsi="宋体" w:eastAsia="宋体" w:cs="Times New Roman"/>
          <w:color w:val="auto"/>
          <w:szCs w:val="21"/>
          <w:highlight w:val="none"/>
        </w:rPr>
        <w:t>以书面形式通知乙方中止合同</w:t>
      </w:r>
      <w:r>
        <w:rPr>
          <w:rFonts w:hint="eastAsia" w:ascii="宋体" w:hAnsi="宋体" w:eastAsia="宋体" w:cs="Times New Roman"/>
          <w:color w:val="auto"/>
          <w:szCs w:val="21"/>
          <w:highlight w:val="none"/>
          <w:lang w:eastAsia="zh-CN"/>
        </w:rPr>
        <w:t>并要求乙方在合理期限内消除相关情形或者提供适当担保。</w:t>
      </w:r>
      <w:r>
        <w:rPr>
          <w:rFonts w:hint="eastAsia" w:ascii="宋体" w:hAnsi="宋体" w:eastAsia="宋体" w:cs="Times New Roman"/>
          <w:color w:val="auto"/>
          <w:szCs w:val="21"/>
          <w:highlight w:val="none"/>
        </w:rPr>
        <w:t>乙方提供适当担保的，</w:t>
      </w:r>
      <w:r>
        <w:rPr>
          <w:rFonts w:hint="eastAsia" w:ascii="宋体" w:hAnsi="宋体" w:eastAsia="宋体" w:cs="Times New Roman"/>
          <w:color w:val="auto"/>
          <w:szCs w:val="21"/>
          <w:highlight w:val="none"/>
          <w:lang w:eastAsia="zh-CN"/>
        </w:rPr>
        <w:t>合同继续</w:t>
      </w:r>
      <w:r>
        <w:rPr>
          <w:rFonts w:hint="eastAsia" w:ascii="宋体" w:hAnsi="宋体" w:eastAsia="宋体" w:cs="Times New Roman"/>
          <w:color w:val="auto"/>
          <w:szCs w:val="21"/>
          <w:highlight w:val="none"/>
        </w:rPr>
        <w:t>履行</w:t>
      </w:r>
      <w:r>
        <w:rPr>
          <w:rFonts w:hint="eastAsia" w:ascii="宋体" w:hAnsi="宋体" w:eastAsia="宋体" w:cs="Times New Roman"/>
          <w:color w:val="auto"/>
          <w:szCs w:val="21"/>
          <w:highlight w:val="none"/>
          <w:lang w:eastAsia="zh-CN"/>
        </w:rPr>
        <w:t>；乙</w:t>
      </w:r>
      <w:r>
        <w:rPr>
          <w:rFonts w:hint="eastAsia" w:ascii="宋体" w:hAnsi="宋体" w:eastAsia="宋体" w:cs="Times New Roman"/>
          <w:color w:val="auto"/>
          <w:szCs w:val="21"/>
          <w:highlight w:val="none"/>
        </w:rPr>
        <w:t>方在合理期限内未恢复履约能力且未提供适当担保的，视为拒绝</w:t>
      </w:r>
      <w:r>
        <w:rPr>
          <w:rFonts w:hint="eastAsia" w:ascii="宋体" w:hAnsi="宋体" w:eastAsia="宋体" w:cs="Times New Roman"/>
          <w:color w:val="auto"/>
          <w:szCs w:val="21"/>
          <w:highlight w:val="none"/>
          <w:lang w:eastAsia="zh-CN"/>
        </w:rPr>
        <w:t>继续</w:t>
      </w:r>
      <w:r>
        <w:rPr>
          <w:rFonts w:hint="eastAsia" w:ascii="宋体" w:hAnsi="宋体" w:eastAsia="宋体" w:cs="Times New Roman"/>
          <w:color w:val="auto"/>
          <w:szCs w:val="21"/>
          <w:highlight w:val="none"/>
        </w:rPr>
        <w:t>履约，甲方</w:t>
      </w:r>
      <w:r>
        <w:rPr>
          <w:rFonts w:hint="eastAsia" w:ascii="宋体" w:hAnsi="宋体" w:eastAsia="宋体" w:cs="Times New Roman"/>
          <w:color w:val="auto"/>
          <w:szCs w:val="21"/>
          <w:highlight w:val="none"/>
          <w:lang w:eastAsia="zh-CN"/>
        </w:rPr>
        <w:t>有权</w:t>
      </w:r>
      <w:r>
        <w:rPr>
          <w:rFonts w:hint="eastAsia" w:ascii="宋体" w:hAnsi="宋体" w:eastAsia="宋体" w:cs="Times New Roman"/>
          <w:color w:val="auto"/>
          <w:szCs w:val="21"/>
          <w:highlight w:val="none"/>
        </w:rPr>
        <w:t>解除合同并要求乙方承担</w:t>
      </w:r>
      <w:r>
        <w:rPr>
          <w:rFonts w:hint="eastAsia" w:ascii="宋体" w:hAnsi="宋体" w:eastAsia="宋体" w:cs="Times New Roman"/>
          <w:color w:val="auto"/>
          <w:szCs w:val="21"/>
          <w:highlight w:val="none"/>
          <w:lang w:eastAsia="zh-CN"/>
        </w:rPr>
        <w:t>由此给甲方造成的损失</w:t>
      </w:r>
      <w:r>
        <w:rPr>
          <w:rFonts w:hint="eastAsia" w:ascii="宋体" w:hAnsi="宋体" w:eastAsia="宋体" w:cs="Times New Roman"/>
          <w:color w:val="auto"/>
          <w:szCs w:val="21"/>
          <w:highlight w:val="none"/>
        </w:rPr>
        <w:t>。</w:t>
      </w:r>
    </w:p>
    <w:p w14:paraId="716FE179">
      <w:pPr>
        <w:autoSpaceDE w:val="0"/>
        <w:autoSpaceDN w:val="0"/>
        <w:adjustRightInd w:val="0"/>
        <w:spacing w:line="400" w:lineRule="exact"/>
        <w:ind w:firstLine="420" w:firstLineChars="200"/>
        <w:jc w:val="both"/>
        <w:rPr>
          <w:rFonts w:ascii="华文楷体" w:hAnsi="华文楷体" w:eastAsia="华文楷体" w:cs="华文楷体"/>
          <w:color w:val="auto"/>
          <w:sz w:val="21"/>
          <w:szCs w:val="21"/>
          <w:highlight w:val="none"/>
          <w:lang w:val="en-US" w:eastAsia="zh-CN" w:bidi="ar-SA"/>
        </w:rPr>
      </w:pPr>
      <w:r>
        <w:rPr>
          <w:rFonts w:hint="eastAsia" w:ascii="宋体" w:hAnsi="宋体" w:eastAsia="宋体" w:cs="宋体"/>
          <w:color w:val="auto"/>
          <w:sz w:val="21"/>
          <w:szCs w:val="21"/>
          <w:highlight w:val="none"/>
          <w:lang w:val="en-US" w:eastAsia="zh-CN" w:bidi="ar-SA"/>
        </w:rPr>
        <w:t>（3）乙方分立、合并或者变更住所的，应当及时以书面形式告知甲方。乙方没有及时告知甲方，致使合同履行发生困难的，甲方可以中止合同履行并要求乙方承担由此给甲方造成的损失。</w:t>
      </w:r>
    </w:p>
    <w:p w14:paraId="620380DC">
      <w:pPr>
        <w:snapToGrid w:val="0"/>
        <w:spacing w:line="400" w:lineRule="exact"/>
        <w:ind w:firstLine="420" w:firstLineChars="200"/>
        <w:jc w:val="left"/>
        <w:rPr>
          <w:rFonts w:ascii="Times New Roman" w:hAnsi="Times New Roman" w:eastAsia="宋体" w:cs="Times New Roman"/>
          <w:color w:val="auto"/>
          <w:sz w:val="21"/>
          <w:highlight w:val="none"/>
        </w:rPr>
      </w:pPr>
      <w:r>
        <w:rPr>
          <w:rFonts w:hint="eastAsia" w:ascii="宋体" w:hAnsi="宋体" w:eastAsia="宋体" w:cs="Times New Roman"/>
          <w:color w:val="auto"/>
          <w:szCs w:val="21"/>
          <w:highlight w:val="none"/>
        </w:rPr>
        <w:t>（</w:t>
      </w:r>
      <w:r>
        <w:rPr>
          <w:rFonts w:hint="eastAsia" w:ascii="宋体" w:hAnsi="宋体" w:eastAsia="宋体" w:cs="Times New Roman"/>
          <w:color w:val="auto"/>
          <w:szCs w:val="21"/>
          <w:highlight w:val="none"/>
          <w:lang w:val="en-US" w:eastAsia="zh-CN"/>
        </w:rPr>
        <w:t>4</w:t>
      </w:r>
      <w:r>
        <w:rPr>
          <w:rFonts w:hint="eastAsia" w:ascii="宋体" w:hAnsi="宋体" w:eastAsia="宋体" w:cs="Times New Roman"/>
          <w:color w:val="auto"/>
          <w:szCs w:val="21"/>
          <w:highlight w:val="none"/>
        </w:rPr>
        <w:t>）甲方不得以行政区划调整、政府换届、机构或者职能调整以及相关责任人更替为由中止合同。</w:t>
      </w:r>
    </w:p>
    <w:p w14:paraId="2E183382">
      <w:pPr>
        <w:adjustRightInd w:val="0"/>
        <w:snapToGrid w:val="0"/>
        <w:spacing w:before="0" w:line="4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1</w:t>
      </w:r>
      <w:r>
        <w:rPr>
          <w:rFonts w:hint="eastAsia" w:ascii="宋体" w:hAnsi="宋体" w:eastAsia="宋体" w:cs="Times New Roman"/>
          <w:color w:val="auto"/>
          <w:szCs w:val="21"/>
          <w:highlight w:val="none"/>
          <w:lang w:val="en-US" w:eastAsia="zh-CN"/>
        </w:rPr>
        <w:t>6</w:t>
      </w:r>
      <w:r>
        <w:rPr>
          <w:rFonts w:hint="eastAsia" w:ascii="宋体" w:hAnsi="宋体" w:eastAsia="宋体" w:cs="Times New Roman"/>
          <w:color w:val="auto"/>
          <w:szCs w:val="21"/>
          <w:highlight w:val="none"/>
        </w:rPr>
        <w:t>.</w:t>
      </w:r>
      <w:r>
        <w:rPr>
          <w:rFonts w:hint="eastAsia" w:ascii="宋体" w:hAnsi="宋体" w:eastAsia="宋体" w:cs="Times New Roman"/>
          <w:color w:val="auto"/>
          <w:szCs w:val="21"/>
          <w:highlight w:val="none"/>
          <w:lang w:val="en-US" w:eastAsia="zh-CN"/>
        </w:rPr>
        <w:t>3</w:t>
      </w:r>
      <w:r>
        <w:rPr>
          <w:rFonts w:hint="eastAsia" w:ascii="宋体" w:hAnsi="宋体" w:eastAsia="宋体" w:cs="Times New Roman"/>
          <w:color w:val="auto"/>
          <w:szCs w:val="21"/>
          <w:highlight w:val="none"/>
        </w:rPr>
        <w:t>合同的终止</w:t>
      </w:r>
    </w:p>
    <w:p w14:paraId="10B086E1">
      <w:pPr>
        <w:autoSpaceDE w:val="0"/>
        <w:autoSpaceDN w:val="0"/>
        <w:adjustRightInd w:val="0"/>
        <w:snapToGrid w:val="0"/>
        <w:spacing w:before="0" w:line="4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（1）合同因有效期限届满而终止；</w:t>
      </w:r>
    </w:p>
    <w:p w14:paraId="7E47549E">
      <w:pPr>
        <w:snapToGrid w:val="0"/>
        <w:spacing w:line="400" w:lineRule="exact"/>
        <w:ind w:firstLine="420" w:firstLineChars="200"/>
        <w:rPr>
          <w:rFonts w:hint="eastAsia" w:ascii="宋体" w:hAnsi="宋体" w:eastAsia="宋体" w:cs="宋体"/>
          <w:color w:val="auto"/>
          <w:szCs w:val="21"/>
          <w:highlight w:val="none"/>
          <w:lang w:eastAsia="zh-CN"/>
        </w:rPr>
      </w:pPr>
      <w:r>
        <w:rPr>
          <w:rFonts w:hint="eastAsia" w:ascii="宋体" w:hAnsi="宋体" w:eastAsia="宋体" w:cs="Times New Roman"/>
          <w:color w:val="auto"/>
          <w:szCs w:val="21"/>
          <w:highlight w:val="none"/>
        </w:rPr>
        <w:t>（2）乙方未</w:t>
      </w:r>
      <w:r>
        <w:rPr>
          <w:rFonts w:hint="eastAsia" w:ascii="宋体" w:hAnsi="宋体" w:eastAsia="宋体" w:cs="Times New Roman"/>
          <w:color w:val="auto"/>
          <w:szCs w:val="21"/>
          <w:highlight w:val="none"/>
          <w:lang w:eastAsia="zh-CN"/>
        </w:rPr>
        <w:t>按</w:t>
      </w:r>
      <w:r>
        <w:rPr>
          <w:rFonts w:hint="eastAsia" w:ascii="宋体" w:hAnsi="宋体" w:eastAsia="宋体" w:cs="Times New Roman"/>
          <w:color w:val="auto"/>
          <w:szCs w:val="21"/>
          <w:highlight w:val="none"/>
        </w:rPr>
        <w:t>合同约定履行，构成根本性违约的，甲方有权终止合同</w:t>
      </w:r>
      <w:r>
        <w:rPr>
          <w:rFonts w:hint="eastAsia" w:ascii="宋体" w:hAnsi="宋体" w:eastAsia="宋体" w:cs="Times New Roman"/>
          <w:color w:val="auto"/>
          <w:szCs w:val="21"/>
          <w:highlight w:val="none"/>
          <w:lang w:eastAsia="zh-CN"/>
        </w:rPr>
        <w:t>，</w:t>
      </w:r>
      <w:r>
        <w:rPr>
          <w:rFonts w:hint="eastAsia" w:ascii="宋体" w:hAnsi="宋体" w:eastAsia="宋体" w:cs="宋体"/>
          <w:color w:val="auto"/>
          <w:szCs w:val="21"/>
          <w:highlight w:val="none"/>
        </w:rPr>
        <w:t>并追究乙方的违约责</w:t>
      </w:r>
      <w:r>
        <w:rPr>
          <w:rFonts w:hint="eastAsia" w:ascii="宋体" w:hAnsi="宋体" w:eastAsia="宋体" w:cs="宋体"/>
          <w:color w:val="auto"/>
          <w:szCs w:val="21"/>
          <w:highlight w:val="none"/>
          <w:lang w:val="en-US" w:eastAsia="zh-CN"/>
        </w:rPr>
        <w:t>任</w:t>
      </w:r>
      <w:r>
        <w:rPr>
          <w:rFonts w:hint="eastAsia" w:ascii="宋体" w:hAnsi="宋体" w:eastAsia="宋体" w:cs="Times New Roman"/>
          <w:color w:val="auto"/>
          <w:szCs w:val="21"/>
          <w:highlight w:val="none"/>
        </w:rPr>
        <w:t>。</w:t>
      </w:r>
    </w:p>
    <w:p w14:paraId="2FC13E80">
      <w:pPr>
        <w:autoSpaceDE w:val="0"/>
        <w:autoSpaceDN w:val="0"/>
        <w:adjustRightInd w:val="0"/>
        <w:spacing w:line="400" w:lineRule="exact"/>
        <w:ind w:firstLine="440" w:firstLineChars="200"/>
        <w:rPr>
          <w:rFonts w:hint="eastAsia" w:ascii="宋体" w:hAnsi="宋体" w:eastAsia="华文楷体" w:cs="华文楷体"/>
          <w:color w:val="auto"/>
          <w:sz w:val="22"/>
          <w:szCs w:val="21"/>
          <w:highlight w:val="none"/>
          <w:lang w:val="en-US" w:eastAsia="zh-CN" w:bidi="ar-SA"/>
        </w:rPr>
      </w:pPr>
      <w:r>
        <w:rPr>
          <w:rFonts w:hint="eastAsia" w:ascii="宋体" w:hAnsi="宋体" w:eastAsia="华文楷体" w:cs="华文楷体"/>
          <w:color w:val="auto"/>
          <w:sz w:val="22"/>
          <w:szCs w:val="21"/>
          <w:highlight w:val="none"/>
          <w:lang w:val="en-US" w:eastAsia="zh-CN" w:bidi="ar-SA"/>
        </w:rPr>
        <w:t xml:space="preserve">16.4 </w:t>
      </w:r>
      <w:r>
        <w:rPr>
          <w:rFonts w:hint="eastAsia" w:ascii="宋体" w:hAnsi="宋体" w:eastAsia="宋体" w:cs="Times New Roman"/>
          <w:color w:val="auto"/>
          <w:kern w:val="2"/>
          <w:sz w:val="21"/>
          <w:szCs w:val="21"/>
          <w:highlight w:val="none"/>
          <w:lang w:val="en-US" w:eastAsia="zh-CN" w:bidi="ar-SA"/>
        </w:rPr>
        <w:t>涉及国家利益、社会公共利益的情形</w:t>
      </w:r>
    </w:p>
    <w:p w14:paraId="3D257B07">
      <w:pPr>
        <w:autoSpaceDE w:val="0"/>
        <w:autoSpaceDN w:val="0"/>
        <w:adjustRightInd w:val="0"/>
        <w:spacing w:line="400" w:lineRule="exact"/>
        <w:ind w:firstLine="420" w:firstLineChars="200"/>
        <w:jc w:val="both"/>
        <w:rPr>
          <w:rFonts w:ascii="华文楷体" w:hAnsi="华文楷体" w:eastAsia="华文楷体" w:cs="华文楷体"/>
          <w:color w:val="auto"/>
          <w:sz w:val="21"/>
          <w:szCs w:val="21"/>
          <w:highlight w:val="none"/>
          <w:lang w:val="en-US" w:eastAsia="zh-CN" w:bidi="ar-SA"/>
        </w:rPr>
      </w:pPr>
      <w:r>
        <w:rPr>
          <w:rFonts w:hint="eastAsia" w:ascii="宋体" w:hAnsi="宋体" w:eastAsia="宋体" w:cs="宋体"/>
          <w:color w:val="auto"/>
          <w:sz w:val="21"/>
          <w:szCs w:val="21"/>
          <w:highlight w:val="none"/>
          <w:lang w:val="en-US" w:eastAsia="zh-CN" w:bidi="ar-SA"/>
        </w:rPr>
        <w:t>政府采购合同继续履行将损害国家利益和社会公共利益的，双方当事人应当变更、中止或者终止合同。有过错的一方应当承担赔偿责任，双方都有过错的，各自承担相应的责任。</w:t>
      </w:r>
    </w:p>
    <w:p w14:paraId="6D3772E6">
      <w:pPr>
        <w:autoSpaceDE w:val="0"/>
        <w:autoSpaceDN w:val="0"/>
        <w:adjustRightInd w:val="0"/>
        <w:snapToGrid w:val="0"/>
        <w:spacing w:before="0" w:line="400" w:lineRule="exact"/>
        <w:jc w:val="left"/>
        <w:rPr>
          <w:rFonts w:ascii="宋体" w:hAnsi="宋体" w:eastAsia="宋体" w:cs="Times New Roman"/>
          <w:b/>
          <w:bCs/>
          <w:color w:val="auto"/>
          <w:sz w:val="24"/>
          <w:highlight w:val="none"/>
        </w:rPr>
      </w:pPr>
      <w:r>
        <w:rPr>
          <w:rFonts w:hint="eastAsia" w:ascii="宋体" w:hAnsi="宋体" w:eastAsia="宋体" w:cs="Times New Roman"/>
          <w:b/>
          <w:bCs/>
          <w:color w:val="auto"/>
          <w:sz w:val="24"/>
          <w:highlight w:val="none"/>
        </w:rPr>
        <w:t>1</w:t>
      </w:r>
      <w:r>
        <w:rPr>
          <w:rFonts w:hint="eastAsia" w:ascii="宋体" w:hAnsi="宋体" w:eastAsia="宋体" w:cs="Times New Roman"/>
          <w:b/>
          <w:bCs/>
          <w:color w:val="auto"/>
          <w:sz w:val="24"/>
          <w:highlight w:val="none"/>
          <w:lang w:val="en-US" w:eastAsia="zh-CN"/>
        </w:rPr>
        <w:t>7</w:t>
      </w:r>
      <w:r>
        <w:rPr>
          <w:rFonts w:hint="eastAsia" w:ascii="宋体" w:hAnsi="宋体" w:eastAsia="宋体" w:cs="Times New Roman"/>
          <w:b/>
          <w:bCs/>
          <w:color w:val="auto"/>
          <w:sz w:val="24"/>
          <w:highlight w:val="none"/>
        </w:rPr>
        <w:t>.</w:t>
      </w:r>
      <w:r>
        <w:rPr>
          <w:rFonts w:hint="eastAsia" w:ascii="宋体" w:hAnsi="宋体" w:eastAsia="宋体" w:cs="Times New Roman"/>
          <w:b/>
          <w:bCs/>
          <w:color w:val="auto"/>
          <w:sz w:val="24"/>
          <w:highlight w:val="none"/>
          <w:lang w:val="en-US" w:eastAsia="zh-CN"/>
        </w:rPr>
        <w:t xml:space="preserve"> </w:t>
      </w:r>
      <w:r>
        <w:rPr>
          <w:rFonts w:hint="eastAsia" w:ascii="宋体" w:hAnsi="宋体" w:eastAsia="宋体" w:cs="Times New Roman"/>
          <w:b/>
          <w:bCs/>
          <w:color w:val="auto"/>
          <w:sz w:val="24"/>
          <w:highlight w:val="none"/>
        </w:rPr>
        <w:t>合同分包</w:t>
      </w:r>
    </w:p>
    <w:p w14:paraId="6CBE248D">
      <w:pPr>
        <w:autoSpaceDE w:val="0"/>
        <w:autoSpaceDN w:val="0"/>
        <w:adjustRightInd w:val="0"/>
        <w:snapToGrid w:val="0"/>
        <w:spacing w:before="0" w:line="4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1</w:t>
      </w:r>
      <w:r>
        <w:rPr>
          <w:rFonts w:hint="eastAsia" w:ascii="宋体" w:hAnsi="宋体" w:eastAsia="宋体" w:cs="Times New Roman"/>
          <w:color w:val="auto"/>
          <w:szCs w:val="21"/>
          <w:highlight w:val="none"/>
          <w:lang w:val="en-US" w:eastAsia="zh-CN"/>
        </w:rPr>
        <w:t>7</w:t>
      </w:r>
      <w:r>
        <w:rPr>
          <w:rFonts w:hint="eastAsia" w:ascii="宋体" w:hAnsi="宋体" w:eastAsia="宋体" w:cs="Times New Roman"/>
          <w:color w:val="auto"/>
          <w:szCs w:val="21"/>
          <w:highlight w:val="none"/>
        </w:rPr>
        <w:t>.1 乙方不得</w:t>
      </w:r>
      <w:r>
        <w:rPr>
          <w:rFonts w:hint="eastAsia" w:ascii="宋体" w:hAnsi="宋体" w:eastAsia="宋体" w:cs="Times New Roman"/>
          <w:color w:val="auto"/>
          <w:szCs w:val="21"/>
          <w:highlight w:val="none"/>
          <w:lang w:eastAsia="zh-CN"/>
        </w:rPr>
        <w:t>将合同转包给其他供应商。涉及合同分包的，乙方</w:t>
      </w:r>
      <w:r>
        <w:rPr>
          <w:rFonts w:hint="eastAsia" w:ascii="宋体" w:hAnsi="宋体" w:eastAsia="宋体" w:cs="Times New Roman"/>
          <w:color w:val="auto"/>
          <w:szCs w:val="21"/>
          <w:highlight w:val="none"/>
          <w:lang w:val="en-US" w:eastAsia="zh-CN"/>
        </w:rPr>
        <w:t>应</w:t>
      </w:r>
      <w:r>
        <w:rPr>
          <w:rFonts w:hint="eastAsia" w:ascii="宋体" w:hAnsi="宋体" w:eastAsia="宋体" w:cs="Times New Roman"/>
          <w:color w:val="auto"/>
          <w:szCs w:val="21"/>
          <w:highlight w:val="none"/>
          <w:lang w:eastAsia="zh-CN"/>
        </w:rPr>
        <w:t>根据采购文件和投标（响应）文件规定进行</w:t>
      </w:r>
      <w:r>
        <w:rPr>
          <w:rFonts w:hint="eastAsia" w:ascii="宋体" w:hAnsi="宋体" w:eastAsia="宋体" w:cs="Times New Roman"/>
          <w:color w:val="auto"/>
          <w:szCs w:val="21"/>
          <w:highlight w:val="none"/>
        </w:rPr>
        <w:t>合同分包。</w:t>
      </w:r>
    </w:p>
    <w:p w14:paraId="30801405">
      <w:pPr>
        <w:autoSpaceDE w:val="0"/>
        <w:autoSpaceDN w:val="0"/>
        <w:adjustRightInd w:val="0"/>
        <w:snapToGrid w:val="0"/>
        <w:spacing w:before="0" w:line="4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1</w:t>
      </w:r>
      <w:r>
        <w:rPr>
          <w:rFonts w:hint="eastAsia" w:ascii="宋体" w:hAnsi="宋体" w:eastAsia="宋体" w:cs="Times New Roman"/>
          <w:color w:val="auto"/>
          <w:szCs w:val="21"/>
          <w:highlight w:val="none"/>
          <w:lang w:val="en-US" w:eastAsia="zh-CN"/>
        </w:rPr>
        <w:t>7</w:t>
      </w:r>
      <w:r>
        <w:rPr>
          <w:rFonts w:hint="eastAsia" w:ascii="宋体" w:hAnsi="宋体" w:eastAsia="宋体" w:cs="Times New Roman"/>
          <w:color w:val="auto"/>
          <w:szCs w:val="21"/>
          <w:highlight w:val="none"/>
        </w:rPr>
        <w:t>.2 乙方执行政府采购政策向中小企业依法分包的</w:t>
      </w:r>
      <w:r>
        <w:rPr>
          <w:rFonts w:hint="eastAsia" w:ascii="宋体" w:hAnsi="宋体" w:eastAsia="宋体" w:cs="Times New Roman"/>
          <w:color w:val="auto"/>
          <w:szCs w:val="21"/>
          <w:highlight w:val="none"/>
          <w:lang w:eastAsia="zh-CN"/>
        </w:rPr>
        <w:t>，</w:t>
      </w:r>
      <w:r>
        <w:rPr>
          <w:rFonts w:hint="eastAsia" w:ascii="宋体" w:hAnsi="宋体" w:eastAsia="宋体" w:cs="Times New Roman"/>
          <w:color w:val="auto"/>
          <w:szCs w:val="21"/>
          <w:highlight w:val="none"/>
        </w:rPr>
        <w:t>乙方应当按采购文件</w:t>
      </w:r>
      <w:r>
        <w:rPr>
          <w:rFonts w:hint="eastAsia" w:ascii="宋体" w:hAnsi="宋体" w:eastAsia="宋体" w:cs="Times New Roman"/>
          <w:color w:val="auto"/>
          <w:szCs w:val="21"/>
          <w:highlight w:val="none"/>
          <w:lang w:eastAsia="zh-CN"/>
        </w:rPr>
        <w:t>和</w:t>
      </w:r>
      <w:r>
        <w:rPr>
          <w:rFonts w:hint="eastAsia" w:ascii="宋体" w:hAnsi="宋体" w:eastAsia="宋体" w:cs="Times New Roman"/>
          <w:color w:val="auto"/>
          <w:szCs w:val="21"/>
          <w:highlight w:val="none"/>
        </w:rPr>
        <w:t>投标（响应）文件签订分包</w:t>
      </w:r>
      <w:r>
        <w:rPr>
          <w:rFonts w:hint="eastAsia" w:ascii="宋体" w:hAnsi="宋体" w:eastAsia="宋体" w:cs="Times New Roman"/>
          <w:color w:val="auto"/>
          <w:szCs w:val="21"/>
          <w:highlight w:val="none"/>
          <w:lang w:eastAsia="zh-CN"/>
        </w:rPr>
        <w:t>意向</w:t>
      </w:r>
      <w:r>
        <w:rPr>
          <w:rFonts w:hint="eastAsia" w:ascii="宋体" w:hAnsi="宋体" w:eastAsia="宋体" w:cs="Times New Roman"/>
          <w:color w:val="auto"/>
          <w:szCs w:val="21"/>
          <w:highlight w:val="none"/>
        </w:rPr>
        <w:t>协议，分包</w:t>
      </w:r>
      <w:r>
        <w:rPr>
          <w:rFonts w:hint="eastAsia" w:ascii="宋体" w:hAnsi="宋体" w:eastAsia="宋体" w:cs="Times New Roman"/>
          <w:color w:val="auto"/>
          <w:szCs w:val="21"/>
          <w:highlight w:val="none"/>
          <w:lang w:eastAsia="zh-CN"/>
        </w:rPr>
        <w:t>意向</w:t>
      </w:r>
      <w:r>
        <w:rPr>
          <w:rFonts w:hint="eastAsia" w:ascii="宋体" w:hAnsi="宋体" w:eastAsia="宋体" w:cs="Times New Roman"/>
          <w:color w:val="auto"/>
          <w:szCs w:val="21"/>
          <w:highlight w:val="none"/>
        </w:rPr>
        <w:t>协议属于本合同组成部分。</w:t>
      </w:r>
    </w:p>
    <w:p w14:paraId="289D5AAE">
      <w:pPr>
        <w:autoSpaceDE w:val="0"/>
        <w:autoSpaceDN w:val="0"/>
        <w:adjustRightInd w:val="0"/>
        <w:snapToGrid w:val="0"/>
        <w:spacing w:before="0" w:line="400" w:lineRule="exact"/>
        <w:jc w:val="left"/>
        <w:rPr>
          <w:rFonts w:ascii="宋体" w:hAnsi="宋体" w:eastAsia="宋体" w:cs="Times New Roman"/>
          <w:b/>
          <w:bCs/>
          <w:color w:val="auto"/>
          <w:sz w:val="24"/>
          <w:highlight w:val="none"/>
        </w:rPr>
      </w:pPr>
      <w:r>
        <w:rPr>
          <w:rFonts w:hint="eastAsia" w:ascii="宋体" w:hAnsi="宋体" w:eastAsia="宋体" w:cs="Times New Roman"/>
          <w:b/>
          <w:bCs/>
          <w:color w:val="auto"/>
          <w:sz w:val="24"/>
          <w:highlight w:val="none"/>
          <w:lang w:eastAsia="zh-CN"/>
        </w:rPr>
        <w:t>1</w:t>
      </w:r>
      <w:r>
        <w:rPr>
          <w:rFonts w:hint="eastAsia" w:ascii="宋体" w:hAnsi="宋体" w:eastAsia="宋体" w:cs="Times New Roman"/>
          <w:b/>
          <w:bCs/>
          <w:color w:val="auto"/>
          <w:sz w:val="24"/>
          <w:highlight w:val="none"/>
          <w:lang w:val="en-US" w:eastAsia="zh-CN"/>
        </w:rPr>
        <w:t>8</w:t>
      </w:r>
      <w:r>
        <w:rPr>
          <w:rFonts w:hint="eastAsia" w:ascii="宋体" w:hAnsi="宋体" w:eastAsia="宋体" w:cs="Times New Roman"/>
          <w:b/>
          <w:bCs/>
          <w:color w:val="auto"/>
          <w:sz w:val="24"/>
          <w:highlight w:val="none"/>
        </w:rPr>
        <w:t>.</w:t>
      </w:r>
      <w:r>
        <w:rPr>
          <w:rFonts w:hint="eastAsia" w:ascii="宋体" w:hAnsi="宋体" w:eastAsia="宋体" w:cs="Times New Roman"/>
          <w:b/>
          <w:bCs/>
          <w:color w:val="auto"/>
          <w:sz w:val="24"/>
          <w:highlight w:val="none"/>
          <w:lang w:val="en-US" w:eastAsia="zh-CN"/>
        </w:rPr>
        <w:t xml:space="preserve"> </w:t>
      </w:r>
      <w:r>
        <w:rPr>
          <w:rFonts w:hint="eastAsia" w:ascii="宋体" w:hAnsi="宋体" w:eastAsia="宋体" w:cs="Times New Roman"/>
          <w:b/>
          <w:bCs/>
          <w:color w:val="auto"/>
          <w:sz w:val="24"/>
          <w:highlight w:val="none"/>
        </w:rPr>
        <w:t>不可抗力</w:t>
      </w:r>
    </w:p>
    <w:p w14:paraId="0F0B2281">
      <w:pPr>
        <w:autoSpaceDE w:val="0"/>
        <w:autoSpaceDN w:val="0"/>
        <w:adjustRightInd w:val="0"/>
        <w:snapToGrid w:val="0"/>
        <w:spacing w:before="0" w:line="4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lang w:eastAsia="zh-CN"/>
        </w:rPr>
        <w:t>1</w:t>
      </w:r>
      <w:r>
        <w:rPr>
          <w:rFonts w:hint="eastAsia" w:ascii="宋体" w:hAnsi="宋体" w:eastAsia="宋体" w:cs="Times New Roman"/>
          <w:color w:val="auto"/>
          <w:szCs w:val="21"/>
          <w:highlight w:val="none"/>
          <w:lang w:val="en-US" w:eastAsia="zh-CN"/>
        </w:rPr>
        <w:t>8</w:t>
      </w:r>
      <w:r>
        <w:rPr>
          <w:rFonts w:hint="eastAsia" w:ascii="宋体" w:hAnsi="宋体" w:eastAsia="宋体" w:cs="Times New Roman"/>
          <w:color w:val="auto"/>
          <w:szCs w:val="21"/>
          <w:highlight w:val="none"/>
        </w:rPr>
        <w:t>.1 不可抗力是指合同双方不能预见、不能避免且不能克服的客观情况。</w:t>
      </w:r>
    </w:p>
    <w:p w14:paraId="602A7DFC">
      <w:pPr>
        <w:autoSpaceDE w:val="0"/>
        <w:autoSpaceDN w:val="0"/>
        <w:adjustRightInd w:val="0"/>
        <w:snapToGrid w:val="0"/>
        <w:spacing w:before="0" w:line="4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lang w:eastAsia="zh-CN"/>
        </w:rPr>
        <w:t>1</w:t>
      </w:r>
      <w:r>
        <w:rPr>
          <w:rFonts w:hint="eastAsia" w:ascii="宋体" w:hAnsi="宋体" w:eastAsia="宋体" w:cs="Times New Roman"/>
          <w:color w:val="auto"/>
          <w:szCs w:val="21"/>
          <w:highlight w:val="none"/>
          <w:lang w:val="en-US" w:eastAsia="zh-CN"/>
        </w:rPr>
        <w:t>8</w:t>
      </w:r>
      <w:r>
        <w:rPr>
          <w:rFonts w:hint="eastAsia" w:ascii="宋体" w:hAnsi="宋体" w:eastAsia="宋体" w:cs="Times New Roman"/>
          <w:color w:val="auto"/>
          <w:szCs w:val="21"/>
          <w:highlight w:val="none"/>
        </w:rPr>
        <w:t>.2 任何一方对由于不可抗力造成的部分或全部不能履行合同不承担违约责任。但迟延履行后发生不可抗力的，不能免除责任。</w:t>
      </w:r>
    </w:p>
    <w:p w14:paraId="56C05446">
      <w:pPr>
        <w:autoSpaceDE w:val="0"/>
        <w:autoSpaceDN w:val="0"/>
        <w:adjustRightInd w:val="0"/>
        <w:snapToGrid w:val="0"/>
        <w:spacing w:before="0" w:line="4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lang w:eastAsia="zh-CN"/>
        </w:rPr>
        <w:t>1</w:t>
      </w:r>
      <w:r>
        <w:rPr>
          <w:rFonts w:hint="eastAsia" w:ascii="宋体" w:hAnsi="宋体" w:eastAsia="宋体" w:cs="Times New Roman"/>
          <w:color w:val="auto"/>
          <w:szCs w:val="21"/>
          <w:highlight w:val="none"/>
          <w:lang w:val="en-US" w:eastAsia="zh-CN"/>
        </w:rPr>
        <w:t>8</w:t>
      </w:r>
      <w:r>
        <w:rPr>
          <w:rFonts w:hint="eastAsia" w:ascii="宋体" w:hAnsi="宋体" w:eastAsia="宋体" w:cs="Times New Roman"/>
          <w:color w:val="auto"/>
          <w:szCs w:val="21"/>
          <w:highlight w:val="none"/>
        </w:rPr>
        <w:t>.3 遇有不可抗力的一方，应及时将事件情况以书面形式</w:t>
      </w:r>
      <w:r>
        <w:rPr>
          <w:rFonts w:hint="eastAsia" w:ascii="宋体" w:hAnsi="宋体" w:eastAsia="宋体" w:cs="Times New Roman"/>
          <w:color w:val="auto"/>
          <w:szCs w:val="21"/>
          <w:highlight w:val="none"/>
          <w:lang w:eastAsia="zh-CN"/>
        </w:rPr>
        <w:t>告</w:t>
      </w:r>
      <w:r>
        <w:rPr>
          <w:rFonts w:hint="eastAsia" w:ascii="宋体" w:hAnsi="宋体" w:eastAsia="宋体" w:cs="Times New Roman"/>
          <w:color w:val="auto"/>
          <w:szCs w:val="21"/>
          <w:highlight w:val="none"/>
        </w:rPr>
        <w:t>知另一方，并在事件发生后及时向另一方提交合同不能履行或部分不能履行或需要延期履行</w:t>
      </w:r>
      <w:r>
        <w:rPr>
          <w:rFonts w:hint="eastAsia" w:ascii="宋体" w:hAnsi="宋体" w:eastAsia="宋体" w:cs="Times New Roman"/>
          <w:color w:val="auto"/>
          <w:szCs w:val="21"/>
          <w:highlight w:val="none"/>
          <w:lang w:eastAsia="zh-CN"/>
        </w:rPr>
        <w:t>的详细</w:t>
      </w:r>
      <w:r>
        <w:rPr>
          <w:rFonts w:hint="eastAsia" w:ascii="宋体" w:hAnsi="宋体" w:eastAsia="宋体" w:cs="Times New Roman"/>
          <w:color w:val="auto"/>
          <w:szCs w:val="21"/>
          <w:highlight w:val="none"/>
        </w:rPr>
        <w:t>报告</w:t>
      </w:r>
      <w:r>
        <w:rPr>
          <w:rFonts w:hint="eastAsia" w:ascii="宋体" w:hAnsi="宋体" w:eastAsia="宋体" w:cs="Times New Roman"/>
          <w:color w:val="auto"/>
          <w:szCs w:val="21"/>
          <w:highlight w:val="none"/>
          <w:lang w:eastAsia="zh-CN"/>
        </w:rPr>
        <w:t>，以</w:t>
      </w:r>
      <w:r>
        <w:rPr>
          <w:rFonts w:hint="eastAsia" w:ascii="宋体" w:hAnsi="宋体" w:eastAsia="宋体" w:cs="Times New Roman"/>
          <w:color w:val="auto"/>
          <w:szCs w:val="21"/>
          <w:highlight w:val="none"/>
          <w:lang w:val="en-US" w:eastAsia="zh-CN"/>
        </w:rPr>
        <w:t>及证明不可抗力发生及其持续时间的证据</w:t>
      </w:r>
      <w:r>
        <w:rPr>
          <w:rFonts w:hint="eastAsia" w:ascii="宋体" w:hAnsi="宋体" w:eastAsia="宋体" w:cs="Times New Roman"/>
          <w:color w:val="auto"/>
          <w:szCs w:val="21"/>
          <w:highlight w:val="none"/>
        </w:rPr>
        <w:t>。</w:t>
      </w:r>
    </w:p>
    <w:p w14:paraId="4FE11DC0">
      <w:pPr>
        <w:autoSpaceDE w:val="0"/>
        <w:autoSpaceDN w:val="0"/>
        <w:adjustRightInd w:val="0"/>
        <w:snapToGrid w:val="0"/>
        <w:spacing w:before="0" w:line="400" w:lineRule="exact"/>
        <w:jc w:val="left"/>
        <w:rPr>
          <w:rFonts w:hint="eastAsia" w:ascii="宋体" w:hAnsi="宋体" w:eastAsia="宋体" w:cs="Times New Roman"/>
          <w:b/>
          <w:bCs/>
          <w:color w:val="auto"/>
          <w:sz w:val="24"/>
          <w:highlight w:val="none"/>
        </w:rPr>
      </w:pPr>
      <w:r>
        <w:rPr>
          <w:rFonts w:hint="eastAsia" w:ascii="宋体" w:hAnsi="宋体" w:eastAsia="宋体" w:cs="Times New Roman"/>
          <w:b/>
          <w:bCs/>
          <w:color w:val="auto"/>
          <w:sz w:val="24"/>
          <w:highlight w:val="none"/>
          <w:lang w:val="en-US" w:eastAsia="zh-CN"/>
        </w:rPr>
        <w:t>19</w:t>
      </w:r>
      <w:r>
        <w:rPr>
          <w:rFonts w:hint="eastAsia" w:ascii="宋体" w:hAnsi="宋体" w:eastAsia="宋体" w:cs="Times New Roman"/>
          <w:b/>
          <w:bCs/>
          <w:color w:val="auto"/>
          <w:sz w:val="24"/>
          <w:highlight w:val="none"/>
        </w:rPr>
        <w:t>.</w:t>
      </w:r>
      <w:r>
        <w:rPr>
          <w:rFonts w:hint="eastAsia" w:ascii="宋体" w:hAnsi="宋体" w:eastAsia="宋体" w:cs="Times New Roman"/>
          <w:b/>
          <w:bCs/>
          <w:color w:val="auto"/>
          <w:sz w:val="24"/>
          <w:highlight w:val="none"/>
          <w:lang w:val="en-US" w:eastAsia="zh-CN"/>
        </w:rPr>
        <w:t xml:space="preserve"> </w:t>
      </w:r>
      <w:r>
        <w:rPr>
          <w:rFonts w:hint="eastAsia" w:ascii="宋体" w:hAnsi="宋体" w:eastAsia="宋体" w:cs="Times New Roman"/>
          <w:b/>
          <w:bCs/>
          <w:color w:val="auto"/>
          <w:sz w:val="24"/>
          <w:highlight w:val="none"/>
        </w:rPr>
        <w:t>解决争议的方法</w:t>
      </w:r>
    </w:p>
    <w:p w14:paraId="08757EFB">
      <w:pPr>
        <w:autoSpaceDE w:val="0"/>
        <w:autoSpaceDN w:val="0"/>
        <w:adjustRightInd w:val="0"/>
        <w:spacing w:line="400" w:lineRule="exact"/>
        <w:ind w:firstLine="420" w:firstLineChars="200"/>
        <w:jc w:val="both"/>
        <w:rPr>
          <w:rFonts w:hint="eastAsia" w:ascii="宋体" w:hAnsi="宋体" w:eastAsia="宋体" w:cs="宋体"/>
          <w:color w:val="auto"/>
          <w:sz w:val="21"/>
          <w:szCs w:val="21"/>
          <w:highlight w:val="none"/>
          <w:lang w:val="en-US" w:eastAsia="zh-CN" w:bidi="ar-SA"/>
        </w:rPr>
      </w:pPr>
      <w:r>
        <w:rPr>
          <w:rFonts w:hint="eastAsia" w:ascii="宋体" w:hAnsi="宋体" w:eastAsia="宋体" w:cs="宋体"/>
          <w:color w:val="auto"/>
          <w:sz w:val="21"/>
          <w:szCs w:val="21"/>
          <w:highlight w:val="none"/>
          <w:lang w:val="en-US" w:eastAsia="zh-CN" w:bidi="ar-SA"/>
        </w:rPr>
        <w:t>19.1 因本合同及合同有关事项发生的争议，由甲乙双方友好协商解决。协商不成时，可以向有关组织申请调解。合同一方或双方不愿调解或调解不成的，可以通过仲裁或诉讼的方式解决争议。</w:t>
      </w:r>
    </w:p>
    <w:p w14:paraId="2B8D57F8">
      <w:pPr>
        <w:autoSpaceDE w:val="0"/>
        <w:autoSpaceDN w:val="0"/>
        <w:adjustRightInd w:val="0"/>
        <w:spacing w:line="400" w:lineRule="exact"/>
        <w:ind w:firstLine="420" w:firstLineChars="200"/>
        <w:jc w:val="both"/>
        <w:rPr>
          <w:rFonts w:hint="eastAsia" w:ascii="宋体" w:hAnsi="宋体" w:eastAsia="宋体" w:cs="宋体"/>
          <w:color w:val="auto"/>
          <w:sz w:val="21"/>
          <w:szCs w:val="21"/>
          <w:highlight w:val="none"/>
          <w:lang w:val="en-US" w:eastAsia="zh-CN" w:bidi="ar-SA"/>
        </w:rPr>
      </w:pPr>
      <w:r>
        <w:rPr>
          <w:rFonts w:hint="eastAsia" w:ascii="宋体" w:hAnsi="宋体" w:eastAsia="宋体" w:cs="宋体"/>
          <w:color w:val="auto"/>
          <w:sz w:val="21"/>
          <w:szCs w:val="21"/>
          <w:highlight w:val="none"/>
          <w:lang w:val="en-US" w:eastAsia="zh-CN" w:bidi="ar-SA"/>
        </w:rPr>
        <w:t>19.2 选择仲裁的，应在</w:t>
      </w:r>
      <w:r>
        <w:rPr>
          <w:rFonts w:hint="eastAsia" w:ascii="宋体" w:hAnsi="宋体" w:eastAsia="宋体" w:cs="宋体"/>
          <w:b/>
          <w:bCs/>
          <w:color w:val="auto"/>
          <w:sz w:val="21"/>
          <w:szCs w:val="21"/>
          <w:highlight w:val="none"/>
          <w:lang w:val="en-US" w:eastAsia="zh-CN" w:bidi="ar-SA"/>
        </w:rPr>
        <w:t>【政府采购合同专用条款】</w:t>
      </w:r>
      <w:r>
        <w:rPr>
          <w:rFonts w:hint="eastAsia" w:ascii="宋体" w:hAnsi="宋体" w:eastAsia="宋体" w:cs="宋体"/>
          <w:color w:val="auto"/>
          <w:sz w:val="21"/>
          <w:szCs w:val="21"/>
          <w:highlight w:val="none"/>
          <w:lang w:val="en-US" w:eastAsia="zh-CN" w:bidi="ar-SA"/>
        </w:rPr>
        <w:t>中明确仲裁机构及仲裁地；通过诉讼方式解决的，可以在</w:t>
      </w:r>
      <w:r>
        <w:rPr>
          <w:rFonts w:hint="eastAsia" w:ascii="宋体" w:hAnsi="宋体" w:eastAsia="宋体" w:cs="宋体"/>
          <w:b/>
          <w:bCs/>
          <w:color w:val="auto"/>
          <w:sz w:val="21"/>
          <w:szCs w:val="21"/>
          <w:highlight w:val="none"/>
          <w:lang w:val="en-US" w:eastAsia="zh-CN" w:bidi="ar-SA"/>
        </w:rPr>
        <w:t>【政府采购合同专用条款】</w:t>
      </w:r>
      <w:r>
        <w:rPr>
          <w:rFonts w:hint="eastAsia" w:ascii="宋体" w:hAnsi="宋体" w:eastAsia="宋体" w:cs="宋体"/>
          <w:color w:val="auto"/>
          <w:sz w:val="21"/>
          <w:szCs w:val="21"/>
          <w:highlight w:val="none"/>
          <w:lang w:val="en-US" w:eastAsia="zh-CN" w:bidi="ar-SA"/>
        </w:rPr>
        <w:t>中进一步约定选择与争议有实际联系的地点的人民法院管辖，但管辖法院的约定不得违反级别管辖和专属管辖的规定。</w:t>
      </w:r>
    </w:p>
    <w:p w14:paraId="5095010B">
      <w:pPr>
        <w:autoSpaceDE w:val="0"/>
        <w:autoSpaceDN w:val="0"/>
        <w:adjustRightInd w:val="0"/>
        <w:spacing w:line="400" w:lineRule="exact"/>
        <w:ind w:firstLine="420" w:firstLineChars="200"/>
        <w:jc w:val="both"/>
        <w:rPr>
          <w:rFonts w:hint="eastAsia" w:ascii="宋体" w:hAnsi="宋体" w:eastAsia="宋体" w:cs="宋体"/>
          <w:color w:val="auto"/>
          <w:sz w:val="21"/>
          <w:szCs w:val="21"/>
          <w:highlight w:val="none"/>
          <w:lang w:val="en-US" w:eastAsia="zh-CN" w:bidi="ar-SA"/>
        </w:rPr>
      </w:pPr>
      <w:r>
        <w:rPr>
          <w:rFonts w:hint="eastAsia" w:ascii="宋体" w:hAnsi="宋体" w:eastAsia="宋体" w:cs="宋体"/>
          <w:color w:val="auto"/>
          <w:sz w:val="21"/>
          <w:szCs w:val="21"/>
          <w:highlight w:val="none"/>
          <w:lang w:val="en-US" w:eastAsia="zh-CN" w:bidi="ar-SA"/>
        </w:rPr>
        <w:t>19.3 如甲乙双方有争议的事项不影响合同其他部分的履行，在争议解决期间，合同其他部分应当继续履行。</w:t>
      </w:r>
    </w:p>
    <w:p w14:paraId="0794AB3B">
      <w:pPr>
        <w:autoSpaceDE w:val="0"/>
        <w:autoSpaceDN w:val="0"/>
        <w:adjustRightInd w:val="0"/>
        <w:snapToGrid w:val="0"/>
        <w:spacing w:before="0" w:line="400" w:lineRule="exact"/>
        <w:jc w:val="left"/>
        <w:rPr>
          <w:rFonts w:ascii="宋体" w:hAnsi="宋体" w:eastAsia="宋体" w:cs="Times New Roman"/>
          <w:color w:val="auto"/>
          <w:sz w:val="24"/>
          <w:highlight w:val="none"/>
        </w:rPr>
      </w:pPr>
      <w:r>
        <w:rPr>
          <w:rFonts w:hint="eastAsia" w:ascii="宋体" w:hAnsi="宋体" w:eastAsia="宋体" w:cs="Times New Roman"/>
          <w:b/>
          <w:color w:val="auto"/>
          <w:sz w:val="24"/>
          <w:highlight w:val="none"/>
          <w:lang w:val="en-US" w:eastAsia="zh-CN"/>
        </w:rPr>
        <w:t>20</w:t>
      </w:r>
      <w:r>
        <w:rPr>
          <w:rFonts w:hint="eastAsia" w:ascii="宋体" w:hAnsi="宋体" w:eastAsia="宋体" w:cs="Times New Roman"/>
          <w:b/>
          <w:color w:val="auto"/>
          <w:sz w:val="24"/>
          <w:highlight w:val="none"/>
        </w:rPr>
        <w:t>.</w:t>
      </w:r>
      <w:r>
        <w:rPr>
          <w:rFonts w:hint="eastAsia" w:ascii="宋体" w:hAnsi="宋体" w:eastAsia="宋体" w:cs="Times New Roman"/>
          <w:b/>
          <w:color w:val="auto"/>
          <w:sz w:val="24"/>
          <w:highlight w:val="none"/>
          <w:lang w:val="en-US" w:eastAsia="zh-CN"/>
        </w:rPr>
        <w:t xml:space="preserve"> </w:t>
      </w:r>
      <w:r>
        <w:rPr>
          <w:rFonts w:hint="eastAsia" w:ascii="宋体" w:hAnsi="宋体" w:eastAsia="宋体" w:cs="Times New Roman"/>
          <w:b/>
          <w:color w:val="auto"/>
          <w:sz w:val="24"/>
          <w:highlight w:val="none"/>
        </w:rPr>
        <w:t>政府采购政策</w:t>
      </w:r>
    </w:p>
    <w:p w14:paraId="6B5DB720">
      <w:pPr>
        <w:autoSpaceDE w:val="0"/>
        <w:autoSpaceDN w:val="0"/>
        <w:adjustRightInd w:val="0"/>
        <w:snapToGrid w:val="0"/>
        <w:spacing w:before="0" w:line="400" w:lineRule="exact"/>
        <w:ind w:firstLine="420" w:firstLineChars="200"/>
        <w:jc w:val="left"/>
        <w:rPr>
          <w:rFonts w:hint="default" w:ascii="宋体" w:hAnsi="宋体" w:eastAsia="宋体" w:cs="Times New Roman"/>
          <w:color w:val="auto"/>
          <w:szCs w:val="21"/>
          <w:highlight w:val="none"/>
          <w:lang w:val="en-US" w:eastAsia="zh-CN"/>
        </w:rPr>
      </w:pPr>
      <w:r>
        <w:rPr>
          <w:rFonts w:hint="eastAsia" w:ascii="宋体" w:hAnsi="宋体" w:eastAsia="宋体" w:cs="Times New Roman"/>
          <w:color w:val="auto"/>
          <w:szCs w:val="21"/>
          <w:highlight w:val="none"/>
          <w:lang w:val="en-US" w:eastAsia="zh-CN"/>
        </w:rPr>
        <w:t xml:space="preserve">20.1 </w:t>
      </w:r>
      <w:r>
        <w:rPr>
          <w:rFonts w:hint="eastAsia" w:ascii="宋体" w:hAnsi="宋体" w:eastAsia="宋体" w:cs="宋体"/>
          <w:color w:val="auto"/>
          <w:highlight w:val="none"/>
          <w:lang w:val="en-GB"/>
        </w:rPr>
        <w:t>本合同应当按照规定执行政府采购政策。</w:t>
      </w:r>
    </w:p>
    <w:p w14:paraId="2C3DA345">
      <w:pPr>
        <w:autoSpaceDE w:val="0"/>
        <w:autoSpaceDN w:val="0"/>
        <w:adjustRightInd w:val="0"/>
        <w:snapToGrid w:val="0"/>
        <w:spacing w:before="0" w:line="400" w:lineRule="exact"/>
        <w:ind w:firstLine="420" w:firstLineChars="200"/>
        <w:jc w:val="left"/>
        <w:rPr>
          <w:rFonts w:ascii="宋体" w:hAnsi="宋体" w:eastAsia="宋体" w:cs="Times New Roman"/>
          <w:color w:val="auto"/>
          <w:szCs w:val="21"/>
          <w:highlight w:val="none"/>
        </w:rPr>
      </w:pPr>
      <w:r>
        <w:rPr>
          <w:rFonts w:ascii="宋体" w:hAnsi="宋体" w:eastAsia="宋体" w:cs="Times New Roman"/>
          <w:color w:val="auto"/>
          <w:szCs w:val="21"/>
          <w:highlight w:val="none"/>
        </w:rPr>
        <w:t>2</w:t>
      </w:r>
      <w:r>
        <w:rPr>
          <w:rFonts w:hint="eastAsia" w:ascii="宋体" w:hAnsi="宋体" w:eastAsia="宋体" w:cs="Times New Roman"/>
          <w:color w:val="auto"/>
          <w:szCs w:val="21"/>
          <w:highlight w:val="none"/>
          <w:lang w:val="en-US" w:eastAsia="zh-CN"/>
        </w:rPr>
        <w:t>0</w:t>
      </w:r>
      <w:r>
        <w:rPr>
          <w:rFonts w:hint="eastAsia" w:ascii="宋体" w:hAnsi="宋体" w:eastAsia="宋体" w:cs="Times New Roman"/>
          <w:color w:val="auto"/>
          <w:szCs w:val="21"/>
          <w:highlight w:val="none"/>
        </w:rPr>
        <w:t>.</w:t>
      </w:r>
      <w:r>
        <w:rPr>
          <w:rFonts w:hint="eastAsia" w:ascii="宋体" w:hAnsi="宋体" w:eastAsia="宋体" w:cs="Times New Roman"/>
          <w:color w:val="auto"/>
          <w:szCs w:val="21"/>
          <w:highlight w:val="none"/>
          <w:lang w:val="en-US" w:eastAsia="zh-CN"/>
        </w:rPr>
        <w:t>2</w:t>
      </w:r>
      <w:r>
        <w:rPr>
          <w:rFonts w:hint="eastAsia" w:ascii="宋体" w:hAnsi="宋体" w:eastAsia="宋体" w:cs="Times New Roman"/>
          <w:color w:val="auto"/>
          <w:szCs w:val="21"/>
          <w:highlight w:val="none"/>
        </w:rPr>
        <w:t xml:space="preserve"> 本合同依法执行政府采购政策的方式和内容，属于合同履约验收的范围。</w:t>
      </w:r>
      <w:r>
        <w:rPr>
          <w:rFonts w:hint="eastAsia" w:ascii="宋体" w:hAnsi="宋体" w:eastAsia="宋体" w:cs="宋体"/>
          <w:color w:val="auto"/>
          <w:sz w:val="21"/>
          <w:highlight w:val="none"/>
          <w:lang w:eastAsia="zh-CN"/>
        </w:rPr>
        <w:t>甲乙双方</w:t>
      </w:r>
      <w:r>
        <w:rPr>
          <w:rFonts w:hint="eastAsia" w:ascii="宋体" w:hAnsi="宋体" w:eastAsia="宋体" w:cs="宋体"/>
          <w:color w:val="auto"/>
          <w:highlight w:val="none"/>
          <w:lang w:val="en-GB"/>
        </w:rPr>
        <w:t>未按规定要求执行政府采购政策造成损失的</w:t>
      </w:r>
      <w:r>
        <w:rPr>
          <w:rFonts w:hint="eastAsia" w:ascii="宋体" w:hAnsi="宋体" w:eastAsia="宋体" w:cs="Times New Roman"/>
          <w:color w:val="auto"/>
          <w:szCs w:val="21"/>
          <w:highlight w:val="none"/>
        </w:rPr>
        <w:t>，有过错的一方应当承担赔偿责任，双方都有过错的，各自承担相应的责任。</w:t>
      </w:r>
    </w:p>
    <w:p w14:paraId="771D358A">
      <w:pPr>
        <w:widowControl w:val="0"/>
        <w:spacing w:after="0" w:line="400" w:lineRule="exact"/>
        <w:ind w:firstLine="420" w:firstLineChars="200"/>
        <w:jc w:val="both"/>
        <w:rPr>
          <w:rFonts w:ascii="Calibri" w:hAnsi="Calibri" w:eastAsia="宋体" w:cs="Times New Roman"/>
          <w:color w:val="auto"/>
          <w:kern w:val="2"/>
          <w:sz w:val="21"/>
          <w:szCs w:val="22"/>
          <w:highlight w:val="none"/>
          <w:lang w:val="en-US" w:eastAsia="zh-CN" w:bidi="ar-SA"/>
        </w:rPr>
      </w:pPr>
      <w:r>
        <w:rPr>
          <w:rFonts w:ascii="宋体" w:hAnsi="宋体" w:eastAsia="宋体" w:cs="Times New Roman"/>
          <w:color w:val="auto"/>
          <w:kern w:val="2"/>
          <w:sz w:val="21"/>
          <w:szCs w:val="21"/>
          <w:highlight w:val="none"/>
          <w:lang w:val="en-US" w:eastAsia="zh-CN" w:bidi="ar-SA"/>
        </w:rPr>
        <w:t>2</w:t>
      </w:r>
      <w:r>
        <w:rPr>
          <w:rFonts w:hint="eastAsia" w:ascii="宋体" w:hAnsi="宋体" w:eastAsia="宋体" w:cs="Times New Roman"/>
          <w:color w:val="auto"/>
          <w:kern w:val="2"/>
          <w:sz w:val="21"/>
          <w:szCs w:val="21"/>
          <w:highlight w:val="none"/>
          <w:lang w:val="en-US" w:eastAsia="zh-CN" w:bidi="ar-SA"/>
        </w:rPr>
        <w:t>0.3 对于为落实中小企业支持政策，通过采购项目整体预留、设置采购包专门预留、要求以联合体形式参加或者合同分包等措施签订的采购合同，应当明确标注本合同为中小企业预留合同。其中，要求以联合体形式参加采购活动或者合同分包的，须将联合协议或者分包意向协议作为采购合同的组成部分。</w:t>
      </w:r>
    </w:p>
    <w:p w14:paraId="03BE3E06">
      <w:pPr>
        <w:autoSpaceDE w:val="0"/>
        <w:autoSpaceDN w:val="0"/>
        <w:adjustRightInd w:val="0"/>
        <w:snapToGrid w:val="0"/>
        <w:spacing w:before="0" w:line="400" w:lineRule="exact"/>
        <w:jc w:val="left"/>
        <w:rPr>
          <w:rFonts w:hint="eastAsia" w:ascii="宋体" w:hAnsi="宋体" w:eastAsia="宋体" w:cs="Times New Roman"/>
          <w:b/>
          <w:color w:val="auto"/>
          <w:sz w:val="24"/>
          <w:highlight w:val="none"/>
        </w:rPr>
      </w:pPr>
      <w:r>
        <w:rPr>
          <w:rFonts w:hint="eastAsia" w:ascii="宋体" w:hAnsi="宋体" w:eastAsia="宋体" w:cs="Times New Roman"/>
          <w:b/>
          <w:color w:val="auto"/>
          <w:sz w:val="24"/>
          <w:highlight w:val="none"/>
        </w:rPr>
        <w:t>2</w:t>
      </w:r>
      <w:r>
        <w:rPr>
          <w:rFonts w:hint="eastAsia" w:ascii="宋体" w:hAnsi="宋体" w:eastAsia="宋体" w:cs="Times New Roman"/>
          <w:b/>
          <w:color w:val="auto"/>
          <w:sz w:val="24"/>
          <w:highlight w:val="none"/>
          <w:lang w:val="en-US" w:eastAsia="zh-CN"/>
        </w:rPr>
        <w:t>1</w:t>
      </w:r>
      <w:r>
        <w:rPr>
          <w:rFonts w:hint="eastAsia" w:ascii="宋体" w:hAnsi="宋体" w:eastAsia="宋体" w:cs="Times New Roman"/>
          <w:b/>
          <w:color w:val="auto"/>
          <w:sz w:val="24"/>
          <w:highlight w:val="none"/>
        </w:rPr>
        <w:t>.</w:t>
      </w:r>
      <w:r>
        <w:rPr>
          <w:rFonts w:hint="eastAsia" w:ascii="宋体" w:hAnsi="宋体" w:eastAsia="宋体" w:cs="Times New Roman"/>
          <w:b/>
          <w:color w:val="auto"/>
          <w:sz w:val="24"/>
          <w:highlight w:val="none"/>
          <w:lang w:val="en-US" w:eastAsia="zh-CN"/>
        </w:rPr>
        <w:t xml:space="preserve"> </w:t>
      </w:r>
      <w:r>
        <w:rPr>
          <w:rFonts w:hint="eastAsia" w:ascii="宋体" w:hAnsi="宋体" w:eastAsia="宋体" w:cs="Times New Roman"/>
          <w:b/>
          <w:color w:val="auto"/>
          <w:sz w:val="24"/>
          <w:highlight w:val="none"/>
        </w:rPr>
        <w:t>法律适用</w:t>
      </w:r>
    </w:p>
    <w:p w14:paraId="21AB74A2">
      <w:pPr>
        <w:autoSpaceDE w:val="0"/>
        <w:autoSpaceDN w:val="0"/>
        <w:adjustRightInd w:val="0"/>
        <w:spacing w:line="400" w:lineRule="exact"/>
        <w:ind w:firstLine="420" w:firstLineChars="200"/>
        <w:jc w:val="both"/>
        <w:rPr>
          <w:rFonts w:hint="eastAsia" w:ascii="宋体" w:hAnsi="宋体" w:eastAsia="宋体" w:cs="宋体"/>
          <w:color w:val="auto"/>
          <w:sz w:val="21"/>
          <w:szCs w:val="21"/>
          <w:highlight w:val="none"/>
          <w:lang w:val="en-US" w:eastAsia="zh-CN" w:bidi="ar-SA"/>
        </w:rPr>
      </w:pPr>
      <w:r>
        <w:rPr>
          <w:rFonts w:hint="eastAsia" w:ascii="宋体" w:hAnsi="宋体" w:eastAsia="宋体" w:cs="宋体"/>
          <w:color w:val="auto"/>
          <w:sz w:val="21"/>
          <w:szCs w:val="21"/>
          <w:highlight w:val="none"/>
          <w:lang w:val="en-US" w:eastAsia="zh-CN" w:bidi="ar-SA"/>
        </w:rPr>
        <w:t>21.1 本合同的订立、生效、解释、履行及与本合同有关的争议解决，均适用法律、行政法规。</w:t>
      </w:r>
    </w:p>
    <w:p w14:paraId="7CEA1992">
      <w:pPr>
        <w:autoSpaceDE w:val="0"/>
        <w:autoSpaceDN w:val="0"/>
        <w:adjustRightInd w:val="0"/>
        <w:spacing w:line="400" w:lineRule="exact"/>
        <w:ind w:firstLine="420" w:firstLineChars="200"/>
        <w:jc w:val="both"/>
        <w:rPr>
          <w:rFonts w:hint="eastAsia" w:ascii="宋体" w:hAnsi="宋体" w:eastAsia="宋体" w:cs="宋体"/>
          <w:color w:val="auto"/>
          <w:sz w:val="21"/>
          <w:szCs w:val="21"/>
          <w:highlight w:val="none"/>
          <w:lang w:val="en-US" w:eastAsia="zh-CN" w:bidi="ar-SA"/>
        </w:rPr>
      </w:pPr>
      <w:r>
        <w:rPr>
          <w:rFonts w:hint="eastAsia" w:ascii="宋体" w:hAnsi="宋体" w:eastAsia="宋体" w:cs="宋体"/>
          <w:color w:val="auto"/>
          <w:sz w:val="21"/>
          <w:szCs w:val="21"/>
          <w:highlight w:val="none"/>
          <w:lang w:val="en-US" w:eastAsia="zh-CN" w:bidi="ar-SA"/>
        </w:rPr>
        <w:t>21.2 本合同条款与法律、行政法规的强制性规定不一致的，双方当事人应按照法律、行政法规的强制性规定修改本合同的相关条款。</w:t>
      </w:r>
    </w:p>
    <w:p w14:paraId="042D932C">
      <w:pPr>
        <w:numPr>
          <w:ilvl w:val="-1"/>
          <w:numId w:val="0"/>
        </w:numPr>
        <w:autoSpaceDE w:val="0"/>
        <w:autoSpaceDN w:val="0"/>
        <w:adjustRightInd w:val="0"/>
        <w:snapToGrid w:val="0"/>
        <w:spacing w:before="0" w:line="400" w:lineRule="exact"/>
        <w:jc w:val="left"/>
        <w:rPr>
          <w:rFonts w:ascii="宋体" w:hAnsi="宋体" w:eastAsia="宋体" w:cs="Times New Roman"/>
          <w:b/>
          <w:color w:val="auto"/>
          <w:sz w:val="24"/>
          <w:highlight w:val="none"/>
        </w:rPr>
      </w:pPr>
      <w:r>
        <w:rPr>
          <w:rFonts w:hint="eastAsia" w:ascii="宋体" w:hAnsi="宋体" w:eastAsia="宋体" w:cs="Times New Roman"/>
          <w:b/>
          <w:color w:val="auto"/>
          <w:sz w:val="24"/>
          <w:highlight w:val="none"/>
          <w:lang w:val="en-US" w:eastAsia="zh-CN"/>
        </w:rPr>
        <w:t xml:space="preserve">22. </w:t>
      </w:r>
      <w:r>
        <w:rPr>
          <w:rFonts w:hint="eastAsia" w:ascii="宋体" w:hAnsi="宋体" w:eastAsia="宋体" w:cs="Times New Roman"/>
          <w:b/>
          <w:color w:val="auto"/>
          <w:sz w:val="24"/>
          <w:highlight w:val="none"/>
        </w:rPr>
        <w:t>通知</w:t>
      </w:r>
    </w:p>
    <w:p w14:paraId="42272233">
      <w:pPr>
        <w:autoSpaceDE w:val="0"/>
        <w:autoSpaceDN w:val="0"/>
        <w:adjustRightInd w:val="0"/>
        <w:spacing w:line="400" w:lineRule="exact"/>
        <w:ind w:firstLine="420" w:firstLineChars="200"/>
        <w:jc w:val="both"/>
        <w:rPr>
          <w:rFonts w:hint="eastAsia" w:ascii="宋体" w:hAnsi="宋体" w:eastAsia="宋体" w:cs="宋体"/>
          <w:color w:val="auto"/>
          <w:sz w:val="21"/>
          <w:szCs w:val="21"/>
          <w:highlight w:val="none"/>
          <w:lang w:val="en-US" w:eastAsia="zh-CN" w:bidi="ar-SA"/>
        </w:rPr>
      </w:pPr>
      <w:r>
        <w:rPr>
          <w:rFonts w:hint="eastAsia" w:ascii="宋体" w:hAnsi="宋体" w:eastAsia="宋体" w:cs="宋体"/>
          <w:color w:val="auto"/>
          <w:sz w:val="21"/>
          <w:szCs w:val="21"/>
          <w:highlight w:val="none"/>
          <w:lang w:val="en-US" w:eastAsia="zh-CN" w:bidi="ar-SA"/>
        </w:rPr>
        <w:t>22.1 本合同任何一方向对方发出的通知、信件、数据电文等，应当发送至本合同第一部分《政府采购合同协议书》所约定的通讯地址、联系人、联系电话或电子邮箱。</w:t>
      </w:r>
    </w:p>
    <w:p w14:paraId="1392711F">
      <w:pPr>
        <w:autoSpaceDE w:val="0"/>
        <w:autoSpaceDN w:val="0"/>
        <w:adjustRightInd w:val="0"/>
        <w:spacing w:line="400" w:lineRule="exact"/>
        <w:ind w:firstLine="0" w:firstLineChars="0"/>
        <w:jc w:val="both"/>
        <w:rPr>
          <w:rFonts w:ascii="华文楷体" w:hAnsi="华文楷体" w:eastAsia="华文楷体" w:cs="华文楷体"/>
          <w:color w:val="auto"/>
          <w:sz w:val="21"/>
          <w:szCs w:val="21"/>
          <w:highlight w:val="none"/>
          <w:lang w:val="en-US" w:eastAsia="zh-CN" w:bidi="ar-SA"/>
        </w:rPr>
      </w:pPr>
      <w:r>
        <w:rPr>
          <w:rFonts w:hint="eastAsia" w:ascii="宋体" w:hAnsi="宋体" w:eastAsia="宋体" w:cs="宋体"/>
          <w:color w:val="auto"/>
          <w:sz w:val="21"/>
          <w:szCs w:val="21"/>
          <w:highlight w:val="none"/>
          <w:lang w:val="en-US" w:eastAsia="zh-CN" w:bidi="ar-SA"/>
        </w:rPr>
        <w:t xml:space="preserve">    22.2 一方当事人变更名称、住所、联系人、联系电话或电子邮箱等信息的，应当在变更后3日内及时书面通知对方，对方实际收到变更通知前的送达仍为有效送达。</w:t>
      </w:r>
    </w:p>
    <w:p w14:paraId="17C25E8A">
      <w:pPr>
        <w:adjustRightInd w:val="0"/>
        <w:snapToGrid w:val="0"/>
        <w:spacing w:before="0" w:line="4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2</w:t>
      </w:r>
      <w:r>
        <w:rPr>
          <w:rFonts w:hint="eastAsia" w:ascii="宋体" w:hAnsi="宋体" w:eastAsia="宋体" w:cs="Times New Roman"/>
          <w:color w:val="auto"/>
          <w:szCs w:val="21"/>
          <w:highlight w:val="none"/>
          <w:lang w:val="en-US" w:eastAsia="zh-CN"/>
        </w:rPr>
        <w:t>2</w:t>
      </w:r>
      <w:r>
        <w:rPr>
          <w:rFonts w:hint="eastAsia" w:ascii="宋体" w:hAnsi="宋体" w:eastAsia="宋体" w:cs="Times New Roman"/>
          <w:color w:val="auto"/>
          <w:szCs w:val="21"/>
          <w:highlight w:val="none"/>
        </w:rPr>
        <w:t>.</w:t>
      </w:r>
      <w:r>
        <w:rPr>
          <w:rFonts w:hint="eastAsia" w:ascii="宋体" w:hAnsi="宋体" w:eastAsia="宋体" w:cs="Times New Roman"/>
          <w:color w:val="auto"/>
          <w:szCs w:val="21"/>
          <w:highlight w:val="none"/>
          <w:lang w:val="en-US" w:eastAsia="zh-CN"/>
        </w:rPr>
        <w:t>3</w:t>
      </w:r>
      <w:r>
        <w:rPr>
          <w:rFonts w:hint="eastAsia" w:ascii="宋体" w:hAnsi="宋体" w:eastAsia="宋体" w:cs="Times New Roman"/>
          <w:color w:val="auto"/>
          <w:szCs w:val="21"/>
          <w:highlight w:val="none"/>
        </w:rPr>
        <w:t>本合同一方给另一方的通知均应采用书面形式，传真或快递送到本合同中规定的对方的地址和办理签收手续。</w:t>
      </w:r>
    </w:p>
    <w:p w14:paraId="3D907396">
      <w:pPr>
        <w:adjustRightInd w:val="0"/>
        <w:snapToGrid w:val="0"/>
        <w:spacing w:before="0" w:line="4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2</w:t>
      </w:r>
      <w:r>
        <w:rPr>
          <w:rFonts w:hint="eastAsia" w:ascii="宋体" w:hAnsi="宋体" w:eastAsia="宋体" w:cs="Times New Roman"/>
          <w:color w:val="auto"/>
          <w:szCs w:val="21"/>
          <w:highlight w:val="none"/>
          <w:lang w:val="en-US" w:eastAsia="zh-CN"/>
        </w:rPr>
        <w:t>2</w:t>
      </w:r>
      <w:r>
        <w:rPr>
          <w:rFonts w:hint="eastAsia" w:ascii="宋体" w:hAnsi="宋体" w:eastAsia="宋体" w:cs="Times New Roman"/>
          <w:color w:val="auto"/>
          <w:szCs w:val="21"/>
          <w:highlight w:val="none"/>
        </w:rPr>
        <w:t>.</w:t>
      </w:r>
      <w:r>
        <w:rPr>
          <w:rFonts w:hint="eastAsia" w:ascii="宋体" w:hAnsi="宋体" w:eastAsia="宋体" w:cs="Times New Roman"/>
          <w:color w:val="auto"/>
          <w:szCs w:val="21"/>
          <w:highlight w:val="none"/>
          <w:lang w:val="en-US" w:eastAsia="zh-CN"/>
        </w:rPr>
        <w:t>4</w:t>
      </w:r>
      <w:r>
        <w:rPr>
          <w:rFonts w:hint="eastAsia" w:ascii="宋体" w:hAnsi="宋体" w:eastAsia="宋体" w:cs="Times New Roman"/>
          <w:color w:val="auto"/>
          <w:szCs w:val="21"/>
          <w:highlight w:val="none"/>
        </w:rPr>
        <w:t>通知以送达之日或通知书中规定的生效之日起生效，两者中以较迟之日为准。</w:t>
      </w:r>
    </w:p>
    <w:p w14:paraId="673B8059">
      <w:pPr>
        <w:numPr>
          <w:ilvl w:val="0"/>
          <w:numId w:val="29"/>
        </w:numPr>
        <w:adjustRightInd w:val="0"/>
        <w:snapToGrid w:val="0"/>
        <w:spacing w:before="0" w:line="400" w:lineRule="exact"/>
        <w:jc w:val="left"/>
        <w:rPr>
          <w:rFonts w:ascii="宋体" w:hAnsi="宋体" w:eastAsia="宋体" w:cs="Times New Roman"/>
          <w:b/>
          <w:bCs/>
          <w:color w:val="auto"/>
          <w:sz w:val="24"/>
          <w:highlight w:val="none"/>
        </w:rPr>
      </w:pPr>
      <w:r>
        <w:rPr>
          <w:rFonts w:hint="eastAsia" w:ascii="宋体" w:hAnsi="宋体" w:eastAsia="宋体" w:cs="Times New Roman"/>
          <w:b/>
          <w:bCs/>
          <w:color w:val="auto"/>
          <w:sz w:val="24"/>
          <w:highlight w:val="none"/>
        </w:rPr>
        <w:t>合同未尽事项</w:t>
      </w:r>
    </w:p>
    <w:p w14:paraId="76D0638F">
      <w:pPr>
        <w:adjustRightInd w:val="0"/>
        <w:snapToGrid w:val="0"/>
        <w:spacing w:before="0" w:line="400" w:lineRule="exact"/>
        <w:ind w:firstLine="420" w:firstLineChars="200"/>
        <w:jc w:val="left"/>
        <w:rPr>
          <w:rFonts w:hint="eastAsia" w:ascii="宋体" w:hAnsi="宋体" w:eastAsia="宋体" w:cs="Times New Roman"/>
          <w:bCs/>
          <w:color w:val="auto"/>
          <w:szCs w:val="21"/>
          <w:highlight w:val="none"/>
        </w:rPr>
      </w:pPr>
      <w:r>
        <w:rPr>
          <w:rFonts w:hint="eastAsia" w:ascii="宋体" w:hAnsi="宋体" w:eastAsia="宋体" w:cs="Times New Roman"/>
          <w:bCs/>
          <w:color w:val="auto"/>
          <w:szCs w:val="21"/>
          <w:highlight w:val="none"/>
        </w:rPr>
        <w:t>2</w:t>
      </w:r>
      <w:r>
        <w:rPr>
          <w:rFonts w:hint="eastAsia" w:ascii="宋体" w:hAnsi="宋体" w:eastAsia="宋体" w:cs="Times New Roman"/>
          <w:bCs/>
          <w:color w:val="auto"/>
          <w:szCs w:val="21"/>
          <w:highlight w:val="none"/>
          <w:lang w:val="en-US" w:eastAsia="zh-CN"/>
        </w:rPr>
        <w:t>3</w:t>
      </w:r>
      <w:r>
        <w:rPr>
          <w:rFonts w:hint="eastAsia" w:ascii="宋体" w:hAnsi="宋体" w:eastAsia="宋体" w:cs="Times New Roman"/>
          <w:bCs/>
          <w:color w:val="auto"/>
          <w:szCs w:val="21"/>
          <w:highlight w:val="none"/>
        </w:rPr>
        <w:t>.1合同未尽事项见</w:t>
      </w:r>
      <w:r>
        <w:rPr>
          <w:rFonts w:hint="eastAsia" w:ascii="宋体" w:hAnsi="宋体" w:eastAsia="宋体" w:cs="Times New Roman"/>
          <w:b/>
          <w:color w:val="auto"/>
          <w:szCs w:val="21"/>
          <w:highlight w:val="none"/>
        </w:rPr>
        <w:t>【政府采购合同专用条款】</w:t>
      </w:r>
      <w:r>
        <w:rPr>
          <w:rFonts w:hint="eastAsia" w:ascii="宋体" w:hAnsi="宋体" w:eastAsia="宋体" w:cs="Times New Roman"/>
          <w:bCs/>
          <w:color w:val="auto"/>
          <w:szCs w:val="21"/>
          <w:highlight w:val="none"/>
        </w:rPr>
        <w:t>。</w:t>
      </w:r>
    </w:p>
    <w:p w14:paraId="10537762">
      <w:pPr>
        <w:adjustRightInd w:val="0"/>
        <w:snapToGrid w:val="0"/>
        <w:spacing w:line="400" w:lineRule="exact"/>
        <w:ind w:firstLine="0" w:firstLineChars="0"/>
        <w:jc w:val="left"/>
        <w:rPr>
          <w:rFonts w:ascii="黑体" w:hAnsi="华文中宋" w:eastAsia="黑体" w:cs="Times New Roman"/>
          <w:color w:val="auto"/>
          <w:sz w:val="28"/>
          <w:szCs w:val="28"/>
          <w:highlight w:val="none"/>
        </w:rPr>
      </w:pPr>
      <w:r>
        <w:rPr>
          <w:rFonts w:hint="eastAsia" w:ascii="宋体" w:hAnsi="宋体" w:eastAsia="宋体" w:cs="Times New Roman"/>
          <w:bCs/>
          <w:color w:val="auto"/>
          <w:szCs w:val="21"/>
          <w:highlight w:val="none"/>
          <w:lang w:val="en-US" w:eastAsia="zh-CN"/>
        </w:rPr>
        <w:t xml:space="preserve">    23.2 合同附件与合同正文具有同等的法律效力。</w:t>
      </w:r>
      <w:bookmarkStart w:id="716" w:name="_Toc20313"/>
    </w:p>
    <w:p w14:paraId="573792AB">
      <w:pPr>
        <w:adjustRightInd w:val="0"/>
        <w:snapToGrid w:val="0"/>
        <w:jc w:val="center"/>
        <w:rPr>
          <w:rFonts w:hint="eastAsia" w:ascii="黑体" w:hAnsi="华文中宋" w:eastAsia="黑体" w:cs="Times New Roman"/>
          <w:b w:val="0"/>
          <w:bCs w:val="0"/>
          <w:color w:val="auto"/>
          <w:sz w:val="28"/>
          <w:szCs w:val="28"/>
          <w:highlight w:val="none"/>
        </w:rPr>
      </w:pPr>
      <w:r>
        <w:rPr>
          <w:rFonts w:hint="eastAsia" w:ascii="黑体" w:hAnsi="华文中宋" w:eastAsia="黑体" w:cs="Times New Roman"/>
          <w:b w:val="0"/>
          <w:bCs w:val="0"/>
          <w:color w:val="auto"/>
          <w:sz w:val="28"/>
          <w:szCs w:val="28"/>
          <w:highlight w:val="none"/>
        </w:rPr>
        <w:br w:type="page"/>
      </w:r>
    </w:p>
    <w:p w14:paraId="33B8A699">
      <w:pPr>
        <w:keepNext/>
        <w:keepLines/>
        <w:widowControl w:val="0"/>
        <w:adjustRightInd w:val="0"/>
        <w:snapToGrid w:val="0"/>
        <w:spacing w:line="360" w:lineRule="auto"/>
        <w:jc w:val="center"/>
        <w:outlineLvl w:val="1"/>
        <w:rPr>
          <w:rFonts w:ascii="黑体" w:hAnsi="华文中宋" w:eastAsia="黑体" w:cs="Times New Roman"/>
          <w:b w:val="0"/>
          <w:bCs w:val="0"/>
          <w:color w:val="auto"/>
          <w:kern w:val="2"/>
          <w:sz w:val="28"/>
          <w:szCs w:val="28"/>
          <w:highlight w:val="none"/>
          <w:lang w:val="en-US" w:eastAsia="zh-CN" w:bidi="ar-SA"/>
        </w:rPr>
      </w:pPr>
      <w:r>
        <w:rPr>
          <w:rFonts w:hint="eastAsia" w:ascii="黑体" w:hAnsi="华文中宋" w:eastAsia="黑体" w:cs="Times New Roman"/>
          <w:b w:val="0"/>
          <w:bCs w:val="0"/>
          <w:color w:val="auto"/>
          <w:kern w:val="2"/>
          <w:sz w:val="28"/>
          <w:szCs w:val="28"/>
          <w:highlight w:val="none"/>
          <w:lang w:val="en-US" w:eastAsia="zh-CN" w:bidi="ar-SA"/>
        </w:rPr>
        <w:t>第三节 政府采购合同专用条款</w:t>
      </w:r>
      <w:bookmarkEnd w:id="716"/>
    </w:p>
    <w:tbl>
      <w:tblPr>
        <w:tblStyle w:val="36"/>
        <w:tblW w:w="8519"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607"/>
        <w:gridCol w:w="1742"/>
        <w:gridCol w:w="5170"/>
      </w:tblGrid>
      <w:tr w14:paraId="18D319C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0ADCC57D">
            <w:pPr>
              <w:adjustRightInd w:val="0"/>
              <w:snapToGrid w:val="0"/>
              <w:jc w:val="center"/>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第二节</w:t>
            </w:r>
          </w:p>
          <w:p w14:paraId="18E59DAC">
            <w:pPr>
              <w:adjustRightInd w:val="0"/>
              <w:snapToGrid w:val="0"/>
              <w:jc w:val="center"/>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第1.2（</w:t>
            </w:r>
            <w:r>
              <w:rPr>
                <w:rFonts w:hint="eastAsia" w:ascii="宋体" w:hAnsi="宋体" w:eastAsia="宋体" w:cs="Times New Roman"/>
                <w:color w:val="auto"/>
                <w:szCs w:val="21"/>
                <w:highlight w:val="none"/>
                <w:lang w:val="en-US" w:eastAsia="zh-CN"/>
              </w:rPr>
              <w:t>6</w:t>
            </w:r>
            <w:r>
              <w:rPr>
                <w:rFonts w:hint="eastAsia" w:ascii="宋体" w:hAnsi="宋体" w:eastAsia="宋体" w:cs="Times New Roman"/>
                <w:color w:val="auto"/>
                <w:szCs w:val="21"/>
                <w:highlight w:val="none"/>
              </w:rPr>
              <w:t>）项</w:t>
            </w:r>
          </w:p>
        </w:tc>
        <w:tc>
          <w:tcPr>
            <w:tcW w:w="1742" w:type="dxa"/>
            <w:vAlign w:val="center"/>
          </w:tcPr>
          <w:p w14:paraId="0302699D">
            <w:pPr>
              <w:adjustRightInd w:val="0"/>
              <w:snapToGrid w:val="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lang w:eastAsia="zh-CN"/>
              </w:rPr>
              <w:t>联合体具体要求</w:t>
            </w:r>
          </w:p>
        </w:tc>
        <w:tc>
          <w:tcPr>
            <w:tcW w:w="5170" w:type="dxa"/>
            <w:vAlign w:val="center"/>
          </w:tcPr>
          <w:p w14:paraId="73E798AE">
            <w:pPr>
              <w:adjustRightInd w:val="0"/>
              <w:snapToGrid w:val="0"/>
              <w:jc w:val="left"/>
              <w:rPr>
                <w:rFonts w:ascii="宋体" w:hAnsi="宋体" w:eastAsia="宋体" w:cs="Times New Roman"/>
                <w:color w:val="auto"/>
                <w:szCs w:val="21"/>
                <w:highlight w:val="none"/>
              </w:rPr>
            </w:pPr>
            <w:r>
              <w:rPr>
                <w:rFonts w:hint="eastAsia" w:ascii="宋体" w:hAnsi="宋体"/>
                <w:color w:val="auto"/>
                <w:szCs w:val="21"/>
                <w:highlight w:val="none"/>
                <w:lang w:val="en-US" w:eastAsia="zh-CN"/>
              </w:rPr>
              <w:t>无。</w:t>
            </w:r>
          </w:p>
        </w:tc>
      </w:tr>
      <w:tr w14:paraId="2DE3CFB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04" w:hRule="atLeast"/>
        </w:trPr>
        <w:tc>
          <w:tcPr>
            <w:tcW w:w="1607" w:type="dxa"/>
            <w:vAlign w:val="center"/>
          </w:tcPr>
          <w:p w14:paraId="29F10C3E">
            <w:pPr>
              <w:adjustRightInd w:val="0"/>
              <w:snapToGrid w:val="0"/>
              <w:jc w:val="center"/>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第二节</w:t>
            </w:r>
          </w:p>
          <w:p w14:paraId="73561FC4">
            <w:pPr>
              <w:adjustRightInd w:val="0"/>
              <w:snapToGrid w:val="0"/>
              <w:jc w:val="center"/>
              <w:rPr>
                <w:rFonts w:hint="eastAsia" w:ascii="宋体" w:hAnsi="宋体" w:eastAsia="宋体" w:cs="Times New Roman"/>
                <w:color w:val="auto"/>
                <w:kern w:val="2"/>
                <w:sz w:val="21"/>
                <w:szCs w:val="21"/>
                <w:highlight w:val="none"/>
                <w:lang w:val="en-US" w:eastAsia="zh-CN" w:bidi="ar-SA"/>
              </w:rPr>
            </w:pPr>
            <w:r>
              <w:rPr>
                <w:rFonts w:hint="eastAsia" w:ascii="宋体" w:hAnsi="宋体" w:eastAsia="宋体" w:cs="Times New Roman"/>
                <w:color w:val="auto"/>
                <w:szCs w:val="21"/>
                <w:highlight w:val="none"/>
              </w:rPr>
              <w:t>第1.2（</w:t>
            </w:r>
            <w:r>
              <w:rPr>
                <w:rFonts w:hint="eastAsia" w:ascii="宋体" w:hAnsi="宋体" w:eastAsia="宋体" w:cs="Times New Roman"/>
                <w:color w:val="auto"/>
                <w:szCs w:val="21"/>
                <w:highlight w:val="none"/>
                <w:lang w:val="en-US" w:eastAsia="zh-CN"/>
              </w:rPr>
              <w:t>7</w:t>
            </w:r>
            <w:r>
              <w:rPr>
                <w:rFonts w:hint="eastAsia" w:ascii="宋体" w:hAnsi="宋体" w:eastAsia="宋体" w:cs="Times New Roman"/>
                <w:color w:val="auto"/>
                <w:szCs w:val="21"/>
                <w:highlight w:val="none"/>
              </w:rPr>
              <w:t>）项</w:t>
            </w:r>
          </w:p>
        </w:tc>
        <w:tc>
          <w:tcPr>
            <w:tcW w:w="1742" w:type="dxa"/>
            <w:vAlign w:val="center"/>
          </w:tcPr>
          <w:p w14:paraId="74F64D54">
            <w:pPr>
              <w:adjustRightInd w:val="0"/>
              <w:snapToGrid w:val="0"/>
              <w:jc w:val="left"/>
              <w:rPr>
                <w:rFonts w:hint="eastAsia" w:ascii="宋体" w:hAnsi="宋体" w:eastAsia="宋体" w:cs="Times New Roman"/>
                <w:color w:val="auto"/>
                <w:kern w:val="2"/>
                <w:sz w:val="21"/>
                <w:szCs w:val="21"/>
                <w:highlight w:val="none"/>
                <w:lang w:val="en-US" w:eastAsia="zh-CN" w:bidi="ar-SA"/>
              </w:rPr>
            </w:pPr>
            <w:r>
              <w:rPr>
                <w:rFonts w:hint="eastAsia" w:ascii="宋体" w:hAnsi="宋体" w:eastAsia="宋体" w:cs="Times New Roman"/>
                <w:color w:val="auto"/>
                <w:szCs w:val="21"/>
                <w:highlight w:val="none"/>
              </w:rPr>
              <w:t>其他术语解释</w:t>
            </w:r>
          </w:p>
        </w:tc>
        <w:tc>
          <w:tcPr>
            <w:tcW w:w="5170" w:type="dxa"/>
            <w:vAlign w:val="center"/>
          </w:tcPr>
          <w:p w14:paraId="1240F7E4">
            <w:pPr>
              <w:adjustRightInd w:val="0"/>
              <w:snapToGrid w:val="0"/>
              <w:jc w:val="left"/>
              <w:rPr>
                <w:rFonts w:ascii="宋体" w:hAnsi="宋体" w:eastAsia="宋体" w:cs="Times New Roman"/>
                <w:color w:val="auto"/>
                <w:kern w:val="2"/>
                <w:sz w:val="21"/>
                <w:szCs w:val="21"/>
                <w:highlight w:val="none"/>
                <w:lang w:val="en-US" w:eastAsia="zh-CN" w:bidi="ar-SA"/>
              </w:rPr>
            </w:pPr>
            <w:r>
              <w:rPr>
                <w:rFonts w:hint="eastAsia" w:ascii="宋体" w:hAnsi="宋体" w:cs="Times New Roman"/>
                <w:color w:val="auto"/>
                <w:kern w:val="2"/>
                <w:sz w:val="21"/>
                <w:szCs w:val="21"/>
                <w:highlight w:val="none"/>
                <w:lang w:val="en-US" w:eastAsia="zh-CN" w:bidi="ar-SA"/>
              </w:rPr>
              <w:t>无。</w:t>
            </w:r>
          </w:p>
        </w:tc>
      </w:tr>
      <w:tr w14:paraId="15F037E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6B08622A">
            <w:pPr>
              <w:adjustRightInd w:val="0"/>
              <w:snapToGrid w:val="0"/>
              <w:jc w:val="center"/>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第二节</w:t>
            </w:r>
          </w:p>
          <w:p w14:paraId="409C1D89">
            <w:pPr>
              <w:adjustRightInd w:val="0"/>
              <w:snapToGrid w:val="0"/>
              <w:jc w:val="center"/>
              <w:rPr>
                <w:rFonts w:hint="default" w:ascii="宋体" w:hAnsi="宋体" w:eastAsia="宋体" w:cs="Times New Roman"/>
                <w:color w:val="auto"/>
                <w:szCs w:val="21"/>
                <w:highlight w:val="none"/>
                <w:lang w:val="en-US" w:eastAsia="zh-CN"/>
              </w:rPr>
            </w:pPr>
            <w:r>
              <w:rPr>
                <w:rFonts w:hint="eastAsia" w:ascii="宋体" w:hAnsi="宋体" w:eastAsia="宋体" w:cs="Times New Roman"/>
                <w:color w:val="auto"/>
                <w:szCs w:val="21"/>
                <w:highlight w:val="none"/>
                <w:lang w:eastAsia="zh-CN"/>
              </w:rPr>
              <w:t>第</w:t>
            </w:r>
            <w:r>
              <w:rPr>
                <w:rFonts w:hint="eastAsia" w:ascii="宋体" w:hAnsi="宋体" w:eastAsia="宋体" w:cs="Times New Roman"/>
                <w:color w:val="auto"/>
                <w:szCs w:val="21"/>
                <w:highlight w:val="none"/>
                <w:lang w:val="en-US" w:eastAsia="zh-CN"/>
              </w:rPr>
              <w:t>4.4款</w:t>
            </w:r>
          </w:p>
        </w:tc>
        <w:tc>
          <w:tcPr>
            <w:tcW w:w="1742" w:type="dxa"/>
            <w:vAlign w:val="center"/>
          </w:tcPr>
          <w:p w14:paraId="3F2473D7">
            <w:pPr>
              <w:adjustRightInd w:val="0"/>
              <w:snapToGrid w:val="0"/>
              <w:jc w:val="left"/>
              <w:rPr>
                <w:rFonts w:hint="eastAsia" w:ascii="宋体" w:hAnsi="宋体" w:eastAsia="宋体" w:cs="Times New Roman"/>
                <w:color w:val="auto"/>
                <w:szCs w:val="21"/>
                <w:highlight w:val="none"/>
                <w:lang w:eastAsia="zh-CN"/>
              </w:rPr>
            </w:pPr>
            <w:r>
              <w:rPr>
                <w:rFonts w:hint="eastAsia" w:ascii="宋体" w:hAnsi="宋体" w:eastAsia="宋体" w:cs="Times New Roman"/>
                <w:color w:val="auto"/>
                <w:szCs w:val="21"/>
                <w:highlight w:val="none"/>
                <w:lang w:eastAsia="zh-CN"/>
              </w:rPr>
              <w:t>履约验收中甲方提出异议或作出说明的期限</w:t>
            </w:r>
          </w:p>
        </w:tc>
        <w:tc>
          <w:tcPr>
            <w:tcW w:w="5170" w:type="dxa"/>
            <w:vAlign w:val="center"/>
          </w:tcPr>
          <w:p w14:paraId="751EB1DF">
            <w:pPr>
              <w:adjustRightInd w:val="0"/>
              <w:snapToGrid w:val="0"/>
              <w:jc w:val="left"/>
              <w:rPr>
                <w:rFonts w:ascii="宋体" w:hAnsi="宋体" w:eastAsia="宋体" w:cs="Times New Roman"/>
                <w:color w:val="auto"/>
                <w:kern w:val="2"/>
                <w:sz w:val="21"/>
                <w:szCs w:val="21"/>
                <w:highlight w:val="none"/>
                <w:lang w:val="en-US" w:eastAsia="zh-CN" w:bidi="ar-SA"/>
              </w:rPr>
            </w:pPr>
            <w:r>
              <w:rPr>
                <w:rFonts w:hint="eastAsia" w:ascii="宋体" w:hAnsi="宋体" w:eastAsia="宋体" w:cs="Times New Roman"/>
                <w:color w:val="auto"/>
                <w:kern w:val="2"/>
                <w:sz w:val="21"/>
                <w:szCs w:val="21"/>
                <w:highlight w:val="none"/>
                <w:lang w:val="en-US" w:eastAsia="zh-CN" w:bidi="ar-SA"/>
              </w:rPr>
              <w:t>3个工作日说明情况</w:t>
            </w:r>
            <w:r>
              <w:rPr>
                <w:rFonts w:hint="eastAsia" w:ascii="宋体" w:hAnsi="宋体" w:cs="Times New Roman"/>
                <w:color w:val="auto"/>
                <w:kern w:val="2"/>
                <w:sz w:val="21"/>
                <w:szCs w:val="21"/>
                <w:highlight w:val="none"/>
                <w:lang w:val="en-US" w:eastAsia="zh-CN" w:bidi="ar-SA"/>
              </w:rPr>
              <w:t>。</w:t>
            </w:r>
          </w:p>
        </w:tc>
      </w:tr>
      <w:tr w14:paraId="6065EEC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75889B96">
            <w:pPr>
              <w:adjustRightInd w:val="0"/>
              <w:snapToGrid w:val="0"/>
              <w:jc w:val="center"/>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第二节</w:t>
            </w:r>
          </w:p>
          <w:p w14:paraId="4FBAFB3C">
            <w:pPr>
              <w:adjustRightInd w:val="0"/>
              <w:snapToGrid w:val="0"/>
              <w:jc w:val="center"/>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lang w:eastAsia="zh-CN"/>
              </w:rPr>
              <w:t>第</w:t>
            </w:r>
            <w:r>
              <w:rPr>
                <w:rFonts w:hint="eastAsia" w:ascii="宋体" w:hAnsi="宋体" w:eastAsia="宋体" w:cs="Times New Roman"/>
                <w:color w:val="auto"/>
                <w:szCs w:val="21"/>
                <w:highlight w:val="none"/>
                <w:lang w:val="en-US" w:eastAsia="zh-CN"/>
              </w:rPr>
              <w:t>4.6款</w:t>
            </w:r>
          </w:p>
        </w:tc>
        <w:tc>
          <w:tcPr>
            <w:tcW w:w="1742" w:type="dxa"/>
            <w:vAlign w:val="center"/>
          </w:tcPr>
          <w:p w14:paraId="56689B13">
            <w:pPr>
              <w:adjustRightInd w:val="0"/>
              <w:snapToGrid w:val="0"/>
              <w:jc w:val="left"/>
              <w:rPr>
                <w:rFonts w:hint="eastAsia" w:ascii="宋体" w:hAnsi="宋体" w:eastAsia="宋体" w:cs="Times New Roman"/>
                <w:color w:val="auto"/>
                <w:szCs w:val="21"/>
                <w:highlight w:val="none"/>
                <w:lang w:eastAsia="zh-CN"/>
              </w:rPr>
            </w:pPr>
            <w:r>
              <w:rPr>
                <w:rFonts w:hint="eastAsia" w:ascii="宋体" w:hAnsi="宋体" w:eastAsia="宋体" w:cs="Times New Roman"/>
                <w:color w:val="auto"/>
                <w:szCs w:val="21"/>
                <w:highlight w:val="none"/>
                <w:lang w:eastAsia="zh-CN"/>
              </w:rPr>
              <w:t>约定甲方承担的其他义务和责任</w:t>
            </w:r>
          </w:p>
        </w:tc>
        <w:tc>
          <w:tcPr>
            <w:tcW w:w="5170" w:type="dxa"/>
            <w:vAlign w:val="center"/>
          </w:tcPr>
          <w:p w14:paraId="1969B5A4">
            <w:pPr>
              <w:adjustRightInd w:val="0"/>
              <w:snapToGrid w:val="0"/>
              <w:jc w:val="left"/>
              <w:rPr>
                <w:rFonts w:hint="eastAsia" w:ascii="宋体" w:hAnsi="宋体" w:eastAsia="宋体" w:cs="Times New Roman"/>
                <w:color w:val="auto"/>
                <w:kern w:val="2"/>
                <w:sz w:val="21"/>
                <w:szCs w:val="21"/>
                <w:highlight w:val="none"/>
                <w:lang w:val="en-US" w:eastAsia="zh-CN" w:bidi="ar-SA"/>
              </w:rPr>
            </w:pPr>
            <w:r>
              <w:rPr>
                <w:rFonts w:hint="eastAsia" w:ascii="宋体" w:hAnsi="宋体" w:eastAsia="宋体" w:cs="Times New Roman"/>
                <w:color w:val="auto"/>
                <w:kern w:val="2"/>
                <w:sz w:val="21"/>
                <w:szCs w:val="21"/>
                <w:highlight w:val="none"/>
                <w:lang w:val="en-US" w:eastAsia="zh-CN" w:bidi="ar-SA"/>
              </w:rPr>
              <w:t>1、对乙方供货安装调试工作提供必要的场地、给予必要的协助。</w:t>
            </w:r>
          </w:p>
          <w:p w14:paraId="34C81C7B">
            <w:pPr>
              <w:adjustRightInd w:val="0"/>
              <w:snapToGrid w:val="0"/>
              <w:jc w:val="left"/>
              <w:rPr>
                <w:rFonts w:hint="eastAsia" w:ascii="宋体" w:hAnsi="宋体" w:eastAsia="宋体" w:cs="Times New Roman"/>
                <w:color w:val="auto"/>
                <w:kern w:val="2"/>
                <w:sz w:val="21"/>
                <w:szCs w:val="21"/>
                <w:highlight w:val="none"/>
                <w:lang w:val="en-US" w:eastAsia="zh-CN" w:bidi="ar-SA"/>
              </w:rPr>
            </w:pPr>
            <w:r>
              <w:rPr>
                <w:rFonts w:hint="eastAsia" w:ascii="宋体" w:hAnsi="宋体" w:eastAsia="宋体" w:cs="Times New Roman"/>
                <w:color w:val="auto"/>
                <w:kern w:val="2"/>
                <w:sz w:val="21"/>
                <w:szCs w:val="21"/>
                <w:highlight w:val="none"/>
                <w:lang w:val="en-US" w:eastAsia="zh-CN" w:bidi="ar-SA"/>
              </w:rPr>
              <w:t>2、按时验收、及时支付资金</w:t>
            </w:r>
            <w:r>
              <w:rPr>
                <w:rFonts w:hint="eastAsia" w:ascii="宋体" w:hAnsi="宋体" w:cs="Times New Roman"/>
                <w:color w:val="auto"/>
                <w:kern w:val="2"/>
                <w:sz w:val="21"/>
                <w:szCs w:val="21"/>
                <w:highlight w:val="none"/>
                <w:lang w:val="en-US" w:eastAsia="zh-CN" w:bidi="ar-SA"/>
              </w:rPr>
              <w:t>。</w:t>
            </w:r>
          </w:p>
          <w:p w14:paraId="4CF4BBCC">
            <w:pPr>
              <w:adjustRightInd w:val="0"/>
              <w:snapToGrid w:val="0"/>
              <w:jc w:val="left"/>
              <w:rPr>
                <w:rFonts w:hint="eastAsia" w:ascii="宋体" w:hAnsi="宋体" w:eastAsia="宋体" w:cs="Times New Roman"/>
                <w:color w:val="auto"/>
                <w:kern w:val="2"/>
                <w:sz w:val="21"/>
                <w:szCs w:val="21"/>
                <w:highlight w:val="none"/>
                <w:lang w:val="en-US" w:eastAsia="zh-CN" w:bidi="ar-SA"/>
              </w:rPr>
            </w:pPr>
            <w:r>
              <w:rPr>
                <w:rFonts w:hint="eastAsia" w:ascii="宋体" w:hAnsi="宋体" w:eastAsia="宋体" w:cs="Times New Roman"/>
                <w:color w:val="auto"/>
                <w:kern w:val="2"/>
                <w:sz w:val="21"/>
                <w:szCs w:val="21"/>
                <w:highlight w:val="none"/>
                <w:lang w:val="en-US" w:eastAsia="zh-CN" w:bidi="ar-SA"/>
              </w:rPr>
              <w:t>3、遵守国家法律法规，不得要求乙方虚开发票，不得向乙方索要“好处”、“回扣”“礼品”，或要求乙方提供合同以外的其他物品或服务</w:t>
            </w:r>
            <w:r>
              <w:rPr>
                <w:rFonts w:hint="eastAsia" w:ascii="宋体" w:hAnsi="宋体" w:cs="Times New Roman"/>
                <w:color w:val="auto"/>
                <w:kern w:val="2"/>
                <w:sz w:val="21"/>
                <w:szCs w:val="21"/>
                <w:highlight w:val="none"/>
                <w:lang w:val="en-US" w:eastAsia="zh-CN" w:bidi="ar-SA"/>
              </w:rPr>
              <w:t>。</w:t>
            </w:r>
          </w:p>
          <w:p w14:paraId="52AF8FD7">
            <w:pPr>
              <w:adjustRightInd w:val="0"/>
              <w:snapToGrid w:val="0"/>
              <w:jc w:val="left"/>
              <w:rPr>
                <w:rFonts w:hint="eastAsia"/>
                <w:color w:val="auto"/>
                <w:highlight w:val="none"/>
                <w:lang w:val="en-US" w:eastAsia="zh-CN"/>
              </w:rPr>
            </w:pPr>
            <w:r>
              <w:rPr>
                <w:rFonts w:hint="eastAsia" w:ascii="宋体" w:hAnsi="宋体" w:eastAsia="宋体" w:cs="Times New Roman"/>
                <w:color w:val="auto"/>
                <w:kern w:val="2"/>
                <w:sz w:val="21"/>
                <w:szCs w:val="21"/>
                <w:highlight w:val="none"/>
                <w:lang w:val="en-US" w:eastAsia="zh-CN" w:bidi="ar-SA"/>
              </w:rPr>
              <w:t>4、对乙方未按合同约定履约的，在验收报告中如实注明违约情形和事项，并及时通知财政部门。属假冒伪劣产品的，同时向市场监管等行政执法部门举报。</w:t>
            </w:r>
          </w:p>
          <w:p w14:paraId="5958A066">
            <w:pPr>
              <w:adjustRightInd w:val="0"/>
              <w:snapToGrid w:val="0"/>
              <w:jc w:val="left"/>
              <w:rPr>
                <w:rFonts w:ascii="宋体" w:hAnsi="宋体" w:eastAsia="宋体" w:cs="Times New Roman"/>
                <w:color w:val="auto"/>
                <w:kern w:val="2"/>
                <w:sz w:val="21"/>
                <w:szCs w:val="21"/>
                <w:highlight w:val="none"/>
                <w:lang w:val="en-US" w:eastAsia="zh-CN" w:bidi="ar-SA"/>
              </w:rPr>
            </w:pPr>
            <w:r>
              <w:rPr>
                <w:rFonts w:hint="eastAsia" w:ascii="宋体" w:hAnsi="宋体" w:eastAsia="宋体" w:cs="Times New Roman"/>
                <w:color w:val="auto"/>
                <w:kern w:val="2"/>
                <w:sz w:val="21"/>
                <w:szCs w:val="21"/>
                <w:highlight w:val="none"/>
                <w:lang w:val="en-US" w:eastAsia="zh-CN" w:bidi="ar-SA"/>
              </w:rPr>
              <w:t>5、其他法律法规规定应尽的义务。</w:t>
            </w:r>
          </w:p>
        </w:tc>
      </w:tr>
      <w:tr w14:paraId="4BD67D1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1607" w:type="dxa"/>
            <w:vAlign w:val="center"/>
          </w:tcPr>
          <w:p w14:paraId="1933634E">
            <w:pPr>
              <w:adjustRightInd w:val="0"/>
              <w:snapToGrid w:val="0"/>
              <w:jc w:val="center"/>
              <w:rPr>
                <w:rFonts w:hint="eastAsia" w:ascii="宋体" w:hAnsi="宋体" w:eastAsia="宋体" w:cs="Times New Roman"/>
                <w:color w:val="auto"/>
                <w:szCs w:val="21"/>
                <w:highlight w:val="none"/>
                <w:lang w:eastAsia="zh-CN"/>
              </w:rPr>
            </w:pPr>
            <w:r>
              <w:rPr>
                <w:rFonts w:hint="eastAsia" w:ascii="宋体" w:hAnsi="宋体" w:eastAsia="宋体" w:cs="Times New Roman"/>
                <w:color w:val="auto"/>
                <w:szCs w:val="21"/>
                <w:highlight w:val="none"/>
                <w:lang w:eastAsia="zh-CN"/>
              </w:rPr>
              <w:t>第二节</w:t>
            </w:r>
          </w:p>
          <w:p w14:paraId="1B47D521">
            <w:pPr>
              <w:snapToGrid w:val="0"/>
              <w:jc w:val="center"/>
              <w:rPr>
                <w:rFonts w:hint="default" w:ascii="Times New Roman" w:hAnsi="Times New Roman" w:eastAsia="宋体" w:cs="Times New Roman"/>
                <w:color w:val="auto"/>
                <w:highlight w:val="none"/>
                <w:lang w:val="en-US" w:eastAsia="zh-CN"/>
              </w:rPr>
            </w:pPr>
            <w:r>
              <w:rPr>
                <w:rFonts w:hint="eastAsia" w:ascii="宋体" w:hAnsi="宋体" w:eastAsia="宋体" w:cs="Times New Roman"/>
                <w:color w:val="auto"/>
                <w:szCs w:val="21"/>
                <w:highlight w:val="none"/>
                <w:lang w:eastAsia="zh-CN"/>
              </w:rPr>
              <w:t>第</w:t>
            </w:r>
            <w:r>
              <w:rPr>
                <w:rFonts w:hint="eastAsia" w:ascii="宋体" w:hAnsi="宋体" w:eastAsia="宋体" w:cs="Times New Roman"/>
                <w:color w:val="auto"/>
                <w:szCs w:val="21"/>
                <w:highlight w:val="none"/>
                <w:lang w:val="en-US" w:eastAsia="zh-CN"/>
              </w:rPr>
              <w:t>5.4款</w:t>
            </w:r>
          </w:p>
        </w:tc>
        <w:tc>
          <w:tcPr>
            <w:tcW w:w="1742" w:type="dxa"/>
            <w:vAlign w:val="center"/>
          </w:tcPr>
          <w:p w14:paraId="1381FCAD">
            <w:pPr>
              <w:adjustRightInd w:val="0"/>
              <w:snapToGrid w:val="0"/>
              <w:jc w:val="left"/>
              <w:rPr>
                <w:rFonts w:hint="eastAsia" w:ascii="宋体" w:hAnsi="宋体" w:eastAsia="宋体" w:cs="Times New Roman"/>
                <w:color w:val="auto"/>
                <w:szCs w:val="21"/>
                <w:highlight w:val="none"/>
                <w:lang w:eastAsia="zh-CN"/>
              </w:rPr>
            </w:pPr>
            <w:r>
              <w:rPr>
                <w:rFonts w:hint="eastAsia" w:ascii="宋体" w:hAnsi="宋体" w:eastAsia="宋体" w:cs="Times New Roman"/>
                <w:color w:val="auto"/>
                <w:szCs w:val="21"/>
                <w:highlight w:val="none"/>
                <w:lang w:eastAsia="zh-CN"/>
              </w:rPr>
              <w:t>约定乙方承担的其他义务和责任</w:t>
            </w:r>
          </w:p>
        </w:tc>
        <w:tc>
          <w:tcPr>
            <w:tcW w:w="5170" w:type="dxa"/>
            <w:vAlign w:val="center"/>
          </w:tcPr>
          <w:p w14:paraId="6959FA3A">
            <w:pPr>
              <w:adjustRightInd w:val="0"/>
              <w:snapToGrid w:val="0"/>
              <w:jc w:val="left"/>
              <w:rPr>
                <w:rFonts w:hint="eastAsia" w:ascii="宋体" w:hAnsi="宋体" w:eastAsia="宋体" w:cs="Times New Roman"/>
                <w:color w:val="auto"/>
                <w:kern w:val="2"/>
                <w:sz w:val="21"/>
                <w:szCs w:val="21"/>
                <w:highlight w:val="none"/>
                <w:lang w:val="en-US" w:eastAsia="zh-CN" w:bidi="ar-SA"/>
              </w:rPr>
            </w:pPr>
            <w:r>
              <w:rPr>
                <w:rFonts w:hint="eastAsia" w:ascii="宋体" w:hAnsi="宋体" w:eastAsia="宋体" w:cs="Times New Roman"/>
                <w:color w:val="auto"/>
                <w:kern w:val="2"/>
                <w:sz w:val="21"/>
                <w:szCs w:val="21"/>
                <w:highlight w:val="none"/>
                <w:lang w:val="en-US" w:eastAsia="zh-CN" w:bidi="ar-SA"/>
              </w:rPr>
              <w:t>1、严格按招标文件要求与投标文件的质量及服务承诺执行，保质、按期履行。保证提供全新正规产品，不得以次充好；提供</w:t>
            </w:r>
            <w:r>
              <w:rPr>
                <w:rFonts w:hint="eastAsia" w:cs="Times New Roman"/>
                <w:color w:val="auto"/>
                <w:kern w:val="2"/>
                <w:sz w:val="21"/>
                <w:szCs w:val="21"/>
                <w:highlight w:val="none"/>
                <w:lang w:val="en-US" w:eastAsia="zh-CN" w:bidi="ar-SA"/>
              </w:rPr>
              <w:t>售后</w:t>
            </w:r>
            <w:r>
              <w:rPr>
                <w:rFonts w:hint="eastAsia" w:ascii="宋体" w:hAnsi="宋体" w:eastAsia="宋体" w:cs="Times New Roman"/>
                <w:color w:val="auto"/>
                <w:kern w:val="2"/>
                <w:sz w:val="21"/>
                <w:szCs w:val="21"/>
                <w:highlight w:val="none"/>
                <w:lang w:val="en-US" w:eastAsia="zh-CN" w:bidi="ar-SA"/>
              </w:rPr>
              <w:t>服务，出现故障及时响应、上门维修。</w:t>
            </w:r>
          </w:p>
          <w:p w14:paraId="216320EE">
            <w:pPr>
              <w:adjustRightInd w:val="0"/>
              <w:snapToGrid w:val="0"/>
              <w:jc w:val="left"/>
              <w:rPr>
                <w:rFonts w:hint="eastAsia" w:ascii="宋体" w:hAnsi="宋体" w:eastAsia="宋体" w:cs="Times New Roman"/>
                <w:color w:val="auto"/>
                <w:kern w:val="2"/>
                <w:sz w:val="21"/>
                <w:szCs w:val="21"/>
                <w:highlight w:val="none"/>
                <w:lang w:val="en-US" w:eastAsia="zh-CN" w:bidi="ar-SA"/>
              </w:rPr>
            </w:pPr>
            <w:r>
              <w:rPr>
                <w:rFonts w:hint="eastAsia" w:ascii="宋体" w:hAnsi="宋体" w:eastAsia="宋体" w:cs="Times New Roman"/>
                <w:color w:val="auto"/>
                <w:kern w:val="2"/>
                <w:sz w:val="21"/>
                <w:szCs w:val="21"/>
                <w:highlight w:val="none"/>
                <w:lang w:val="en-US" w:eastAsia="zh-CN" w:bidi="ar-SA"/>
              </w:rPr>
              <w:t>2、不得将合同权利义务全部或部分转让给第三人。</w:t>
            </w:r>
          </w:p>
          <w:p w14:paraId="4E9CC798">
            <w:pPr>
              <w:adjustRightInd w:val="0"/>
              <w:snapToGrid w:val="0"/>
              <w:jc w:val="left"/>
              <w:rPr>
                <w:rFonts w:hint="eastAsia" w:ascii="宋体" w:hAnsi="宋体" w:eastAsia="宋体" w:cs="Times New Roman"/>
                <w:color w:val="auto"/>
                <w:kern w:val="2"/>
                <w:sz w:val="21"/>
                <w:szCs w:val="21"/>
                <w:highlight w:val="none"/>
                <w:lang w:val="en-US" w:eastAsia="zh-CN" w:bidi="ar-SA"/>
              </w:rPr>
            </w:pPr>
            <w:r>
              <w:rPr>
                <w:rFonts w:hint="eastAsia" w:ascii="宋体" w:hAnsi="宋体" w:eastAsia="宋体" w:cs="Times New Roman"/>
                <w:color w:val="auto"/>
                <w:kern w:val="2"/>
                <w:sz w:val="21"/>
                <w:szCs w:val="21"/>
                <w:highlight w:val="none"/>
                <w:lang w:val="en-US" w:eastAsia="zh-CN" w:bidi="ar-SA"/>
              </w:rPr>
              <w:t>3、货物验收合格前，对货物和人员的安全负责，应采取安全措施，确保人员、材料、设备和设施的安全，防止货物验收合格前的人身伤害和财产损失;应对其履行合同所雇佣的全部人员的工伤事故承担责任。</w:t>
            </w:r>
          </w:p>
          <w:p w14:paraId="4132D18C">
            <w:pPr>
              <w:adjustRightInd w:val="0"/>
              <w:snapToGrid w:val="0"/>
              <w:jc w:val="left"/>
              <w:rPr>
                <w:rFonts w:hint="eastAsia" w:ascii="宋体" w:hAnsi="宋体" w:eastAsia="宋体" w:cs="Times New Roman"/>
                <w:color w:val="auto"/>
                <w:kern w:val="2"/>
                <w:sz w:val="21"/>
                <w:szCs w:val="21"/>
                <w:highlight w:val="none"/>
                <w:lang w:val="en-US" w:eastAsia="zh-CN" w:bidi="ar-SA"/>
              </w:rPr>
            </w:pPr>
            <w:r>
              <w:rPr>
                <w:rFonts w:hint="eastAsia" w:ascii="宋体" w:hAnsi="宋体" w:eastAsia="宋体" w:cs="Times New Roman"/>
                <w:color w:val="auto"/>
                <w:kern w:val="2"/>
                <w:sz w:val="21"/>
                <w:szCs w:val="21"/>
                <w:highlight w:val="none"/>
                <w:lang w:val="en-US" w:eastAsia="zh-CN" w:bidi="ar-SA"/>
              </w:rPr>
              <w:t>4、遵守国家法律法规，依法纳税、合法经营，按规定开具合法有效的发票。</w:t>
            </w:r>
          </w:p>
          <w:p w14:paraId="2C643775">
            <w:pPr>
              <w:adjustRightInd w:val="0"/>
              <w:snapToGrid w:val="0"/>
              <w:jc w:val="left"/>
              <w:rPr>
                <w:rFonts w:hint="eastAsia" w:ascii="宋体" w:hAnsi="宋体" w:eastAsia="宋体" w:cs="Times New Roman"/>
                <w:color w:val="auto"/>
                <w:kern w:val="2"/>
                <w:sz w:val="21"/>
                <w:szCs w:val="21"/>
                <w:highlight w:val="none"/>
                <w:lang w:val="en-US" w:eastAsia="zh-CN" w:bidi="ar-SA"/>
              </w:rPr>
            </w:pPr>
            <w:r>
              <w:rPr>
                <w:rFonts w:hint="eastAsia" w:ascii="宋体" w:hAnsi="宋体" w:eastAsia="宋体" w:cs="Times New Roman"/>
                <w:color w:val="auto"/>
                <w:kern w:val="2"/>
                <w:sz w:val="21"/>
                <w:szCs w:val="21"/>
                <w:highlight w:val="none"/>
                <w:lang w:val="en-US" w:eastAsia="zh-CN" w:bidi="ar-SA"/>
              </w:rPr>
              <w:t>5、遵守职业道德和行业规范，严禁送礼、回扣、违规报销等不正当竞争及商业贿赂行为；如甲方工作人员索要回扣、礼品或其他不当利益，乙方有权并应及时向同级财政部门政府采购监管机构及相关执法机关举报。</w:t>
            </w:r>
          </w:p>
          <w:p w14:paraId="533BE169">
            <w:pPr>
              <w:adjustRightInd w:val="0"/>
              <w:snapToGrid w:val="0"/>
              <w:jc w:val="left"/>
              <w:rPr>
                <w:rFonts w:ascii="宋体" w:hAnsi="宋体" w:eastAsia="宋体" w:cs="Times New Roman"/>
                <w:color w:val="auto"/>
                <w:kern w:val="2"/>
                <w:sz w:val="21"/>
                <w:szCs w:val="21"/>
                <w:highlight w:val="none"/>
                <w:lang w:val="en-US" w:eastAsia="zh-CN" w:bidi="ar-SA"/>
              </w:rPr>
            </w:pPr>
            <w:r>
              <w:rPr>
                <w:rFonts w:hint="eastAsia" w:ascii="宋体" w:hAnsi="宋体" w:eastAsia="宋体" w:cs="Times New Roman"/>
                <w:color w:val="auto"/>
                <w:kern w:val="2"/>
                <w:sz w:val="21"/>
                <w:szCs w:val="21"/>
                <w:highlight w:val="none"/>
                <w:lang w:val="en-US" w:eastAsia="zh-CN" w:bidi="ar-SA"/>
              </w:rPr>
              <w:t>6、按照采购文件的规定提供质保期和售后服务。</w:t>
            </w:r>
          </w:p>
        </w:tc>
      </w:tr>
      <w:tr w14:paraId="11EACC1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73EFE9C3">
            <w:pPr>
              <w:adjustRightInd w:val="0"/>
              <w:snapToGrid w:val="0"/>
              <w:jc w:val="center"/>
              <w:rPr>
                <w:rFonts w:hint="eastAsia" w:ascii="宋体" w:hAnsi="宋体" w:eastAsia="宋体" w:cs="Times New Roman"/>
                <w:color w:val="auto"/>
                <w:szCs w:val="21"/>
                <w:highlight w:val="none"/>
                <w:lang w:eastAsia="zh-CN"/>
              </w:rPr>
            </w:pPr>
            <w:r>
              <w:rPr>
                <w:rFonts w:hint="eastAsia" w:ascii="宋体" w:hAnsi="宋体" w:eastAsia="宋体" w:cs="Times New Roman"/>
                <w:color w:val="auto"/>
                <w:szCs w:val="21"/>
                <w:highlight w:val="none"/>
                <w:lang w:eastAsia="zh-CN"/>
              </w:rPr>
              <w:t>第二节</w:t>
            </w:r>
          </w:p>
          <w:p w14:paraId="41DC06FF">
            <w:pPr>
              <w:snapToGrid w:val="0"/>
              <w:jc w:val="center"/>
              <w:rPr>
                <w:rFonts w:hint="eastAsia" w:ascii="宋体" w:hAnsi="宋体" w:eastAsia="宋体" w:cs="Times New Roman"/>
                <w:color w:val="auto"/>
                <w:szCs w:val="21"/>
                <w:highlight w:val="none"/>
                <w:lang w:eastAsia="zh-CN"/>
              </w:rPr>
            </w:pPr>
            <w:r>
              <w:rPr>
                <w:rFonts w:hint="eastAsia" w:ascii="宋体" w:hAnsi="宋体" w:eastAsia="宋体" w:cs="Times New Roman"/>
                <w:color w:val="auto"/>
                <w:szCs w:val="21"/>
                <w:highlight w:val="none"/>
                <w:lang w:eastAsia="zh-CN"/>
              </w:rPr>
              <w:t>第</w:t>
            </w:r>
            <w:r>
              <w:rPr>
                <w:rFonts w:hint="eastAsia" w:ascii="宋体" w:hAnsi="宋体" w:eastAsia="宋体" w:cs="Times New Roman"/>
                <w:color w:val="auto"/>
                <w:szCs w:val="21"/>
                <w:highlight w:val="none"/>
                <w:lang w:val="en-US" w:eastAsia="zh-CN"/>
              </w:rPr>
              <w:t>6.1款</w:t>
            </w:r>
          </w:p>
        </w:tc>
        <w:tc>
          <w:tcPr>
            <w:tcW w:w="1742" w:type="dxa"/>
            <w:vAlign w:val="center"/>
          </w:tcPr>
          <w:p w14:paraId="33EB6B18">
            <w:pPr>
              <w:adjustRightInd w:val="0"/>
              <w:snapToGrid w:val="0"/>
              <w:jc w:val="left"/>
              <w:rPr>
                <w:rFonts w:hint="eastAsia" w:ascii="宋体" w:hAnsi="宋体" w:eastAsia="宋体" w:cs="Times New Roman"/>
                <w:color w:val="auto"/>
                <w:szCs w:val="21"/>
                <w:highlight w:val="none"/>
                <w:lang w:eastAsia="zh-CN"/>
              </w:rPr>
            </w:pPr>
            <w:r>
              <w:rPr>
                <w:rFonts w:hint="eastAsia" w:ascii="宋体" w:hAnsi="宋体" w:eastAsia="宋体" w:cs="Times New Roman"/>
                <w:color w:val="auto"/>
                <w:szCs w:val="21"/>
                <w:highlight w:val="none"/>
                <w:lang w:eastAsia="zh-CN"/>
              </w:rPr>
              <w:t>履行合同义务的顺序</w:t>
            </w:r>
          </w:p>
        </w:tc>
        <w:tc>
          <w:tcPr>
            <w:tcW w:w="5170" w:type="dxa"/>
            <w:vAlign w:val="center"/>
          </w:tcPr>
          <w:p w14:paraId="0FF914ED">
            <w:pPr>
              <w:adjustRightInd w:val="0"/>
              <w:snapToGrid w:val="0"/>
              <w:jc w:val="left"/>
              <w:rPr>
                <w:rFonts w:ascii="宋体" w:hAnsi="宋体" w:eastAsia="宋体" w:cs="Times New Roman"/>
                <w:color w:val="auto"/>
                <w:kern w:val="2"/>
                <w:sz w:val="21"/>
                <w:szCs w:val="21"/>
                <w:highlight w:val="none"/>
                <w:lang w:val="en-US" w:eastAsia="zh-CN" w:bidi="ar-SA"/>
              </w:rPr>
            </w:pPr>
            <w:r>
              <w:rPr>
                <w:rFonts w:hint="eastAsia" w:ascii="宋体" w:hAnsi="宋体" w:eastAsia="宋体" w:cs="Times New Roman"/>
                <w:color w:val="auto"/>
                <w:kern w:val="2"/>
                <w:sz w:val="21"/>
                <w:szCs w:val="21"/>
                <w:highlight w:val="none"/>
                <w:lang w:val="en-US" w:eastAsia="zh-CN" w:bidi="ar-SA"/>
              </w:rPr>
              <w:t>3个工作日说明情况</w:t>
            </w:r>
            <w:r>
              <w:rPr>
                <w:rFonts w:hint="eastAsia" w:ascii="宋体" w:hAnsi="宋体" w:cs="Times New Roman"/>
                <w:color w:val="auto"/>
                <w:kern w:val="2"/>
                <w:sz w:val="21"/>
                <w:szCs w:val="21"/>
                <w:highlight w:val="none"/>
                <w:lang w:val="en-US" w:eastAsia="zh-CN" w:bidi="ar-SA"/>
              </w:rPr>
              <w:t>。</w:t>
            </w:r>
          </w:p>
        </w:tc>
      </w:tr>
      <w:tr w14:paraId="5AD0ED7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607" w:type="dxa"/>
            <w:vMerge w:val="restart"/>
            <w:vAlign w:val="center"/>
          </w:tcPr>
          <w:p w14:paraId="020567B2">
            <w:pPr>
              <w:adjustRightInd w:val="0"/>
              <w:snapToGrid w:val="0"/>
              <w:jc w:val="center"/>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第二节</w:t>
            </w:r>
          </w:p>
          <w:p w14:paraId="2877DB5C">
            <w:pPr>
              <w:adjustRightInd w:val="0"/>
              <w:snapToGrid w:val="0"/>
              <w:jc w:val="center"/>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第</w:t>
            </w:r>
            <w:r>
              <w:rPr>
                <w:rFonts w:hint="eastAsia" w:ascii="宋体" w:hAnsi="宋体" w:eastAsia="宋体" w:cs="Times New Roman"/>
                <w:color w:val="auto"/>
                <w:szCs w:val="21"/>
                <w:highlight w:val="none"/>
                <w:lang w:val="en-US" w:eastAsia="zh-CN"/>
              </w:rPr>
              <w:t>7</w:t>
            </w:r>
            <w:r>
              <w:rPr>
                <w:rFonts w:hint="eastAsia" w:ascii="宋体" w:hAnsi="宋体" w:eastAsia="宋体" w:cs="Times New Roman"/>
                <w:color w:val="auto"/>
                <w:szCs w:val="21"/>
                <w:highlight w:val="none"/>
              </w:rPr>
              <w:t>.1</w:t>
            </w:r>
            <w:r>
              <w:rPr>
                <w:rFonts w:hint="eastAsia" w:ascii="宋体" w:hAnsi="宋体" w:eastAsia="宋体" w:cs="Times New Roman"/>
                <w:color w:val="auto"/>
                <w:szCs w:val="21"/>
                <w:highlight w:val="none"/>
                <w:lang w:val="en-US" w:eastAsia="zh-CN"/>
              </w:rPr>
              <w:t>款</w:t>
            </w:r>
          </w:p>
        </w:tc>
        <w:tc>
          <w:tcPr>
            <w:tcW w:w="1742" w:type="dxa"/>
            <w:vAlign w:val="center"/>
          </w:tcPr>
          <w:p w14:paraId="566322AA">
            <w:pPr>
              <w:adjustRightInd w:val="0"/>
              <w:snapToGrid w:val="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包装</w:t>
            </w:r>
            <w:r>
              <w:rPr>
                <w:rFonts w:hint="eastAsia" w:ascii="宋体" w:hAnsi="宋体" w:eastAsia="宋体" w:cs="Times New Roman"/>
                <w:color w:val="auto"/>
                <w:szCs w:val="21"/>
                <w:highlight w:val="none"/>
                <w:lang w:eastAsia="zh-CN"/>
              </w:rPr>
              <w:t>特殊要求</w:t>
            </w:r>
          </w:p>
        </w:tc>
        <w:tc>
          <w:tcPr>
            <w:tcW w:w="5170" w:type="dxa"/>
            <w:vAlign w:val="center"/>
          </w:tcPr>
          <w:p w14:paraId="4FFBA5FA">
            <w:pPr>
              <w:rPr>
                <w:rFonts w:hint="eastAsia" w:ascii="宋体" w:hAnsi="宋体" w:eastAsia="宋体" w:cs="宋体"/>
                <w:color w:val="auto"/>
                <w:highlight w:val="none"/>
              </w:rPr>
            </w:pPr>
            <w:r>
              <w:rPr>
                <w:rFonts w:hint="eastAsia" w:ascii="宋体" w:hAnsi="宋体" w:eastAsia="宋体" w:cs="宋体"/>
                <w:color w:val="auto"/>
                <w:highlight w:val="none"/>
              </w:rPr>
              <w:t>包装（如适用，须满足《关于印发〈商品包装政府采购需求标准（试行）〉〈快递包装政府采购需求标准（试行）〉的通知》（财办库﹝2020﹞123号））</w:t>
            </w:r>
          </w:p>
        </w:tc>
      </w:tr>
      <w:tr w14:paraId="29A3ADE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607" w:type="dxa"/>
            <w:vMerge w:val="continue"/>
            <w:vAlign w:val="center"/>
          </w:tcPr>
          <w:p w14:paraId="50B8804F">
            <w:pPr>
              <w:adjustRightInd w:val="0"/>
              <w:snapToGrid w:val="0"/>
              <w:jc w:val="center"/>
              <w:rPr>
                <w:rFonts w:hint="eastAsia" w:ascii="宋体" w:hAnsi="宋体" w:eastAsia="宋体" w:cs="Times New Roman"/>
                <w:color w:val="auto"/>
                <w:szCs w:val="21"/>
                <w:highlight w:val="none"/>
              </w:rPr>
            </w:pPr>
          </w:p>
        </w:tc>
        <w:tc>
          <w:tcPr>
            <w:tcW w:w="1742" w:type="dxa"/>
            <w:vAlign w:val="center"/>
          </w:tcPr>
          <w:p w14:paraId="1B5BF850">
            <w:pPr>
              <w:adjustRightInd w:val="0"/>
              <w:snapToGrid w:val="0"/>
              <w:jc w:val="left"/>
              <w:rPr>
                <w:rFonts w:hint="eastAsia" w:ascii="宋体" w:hAnsi="宋体" w:eastAsia="宋体" w:cs="Times New Roman"/>
                <w:color w:val="auto"/>
                <w:szCs w:val="21"/>
                <w:highlight w:val="none"/>
                <w:lang w:eastAsia="zh-CN"/>
              </w:rPr>
            </w:pPr>
            <w:r>
              <w:rPr>
                <w:rFonts w:hint="eastAsia" w:ascii="宋体" w:hAnsi="宋体" w:eastAsia="宋体" w:cs="Times New Roman"/>
                <w:color w:val="auto"/>
                <w:szCs w:val="21"/>
                <w:highlight w:val="none"/>
                <w:lang w:eastAsia="zh-CN"/>
              </w:rPr>
              <w:t>指定现场</w:t>
            </w:r>
          </w:p>
        </w:tc>
        <w:tc>
          <w:tcPr>
            <w:tcW w:w="5170" w:type="dxa"/>
            <w:vAlign w:val="center"/>
          </w:tcPr>
          <w:p w14:paraId="4B2807FC">
            <w:pPr>
              <w:rPr>
                <w:rFonts w:hint="eastAsia" w:ascii="宋体" w:hAnsi="宋体" w:eastAsia="宋体" w:cs="宋体"/>
                <w:color w:val="auto"/>
                <w:highlight w:val="none"/>
              </w:rPr>
            </w:pPr>
            <w:r>
              <w:rPr>
                <w:rFonts w:hint="eastAsia" w:ascii="宋体" w:hAnsi="宋体" w:eastAsia="宋体" w:cs="宋体"/>
                <w:color w:val="auto"/>
                <w:highlight w:val="none"/>
              </w:rPr>
              <w:t>河南省周口生态环境监测中心指定地点</w:t>
            </w:r>
          </w:p>
        </w:tc>
      </w:tr>
      <w:tr w14:paraId="2D9E35E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72" w:hRule="atLeast"/>
        </w:trPr>
        <w:tc>
          <w:tcPr>
            <w:tcW w:w="1607" w:type="dxa"/>
            <w:vAlign w:val="center"/>
          </w:tcPr>
          <w:p w14:paraId="799BB265">
            <w:pPr>
              <w:adjustRightInd w:val="0"/>
              <w:snapToGrid w:val="0"/>
              <w:jc w:val="center"/>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第二节</w:t>
            </w:r>
          </w:p>
          <w:p w14:paraId="7EB8058B">
            <w:pPr>
              <w:adjustRightInd w:val="0"/>
              <w:snapToGrid w:val="0"/>
              <w:jc w:val="center"/>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第</w:t>
            </w:r>
            <w:r>
              <w:rPr>
                <w:rFonts w:hint="eastAsia" w:ascii="宋体" w:hAnsi="宋体" w:eastAsia="宋体" w:cs="Times New Roman"/>
                <w:color w:val="auto"/>
                <w:szCs w:val="21"/>
                <w:highlight w:val="none"/>
                <w:lang w:val="en-US" w:eastAsia="zh-CN"/>
              </w:rPr>
              <w:t>7</w:t>
            </w:r>
            <w:r>
              <w:rPr>
                <w:rFonts w:hint="eastAsia" w:ascii="宋体" w:hAnsi="宋体" w:eastAsia="宋体" w:cs="Times New Roman"/>
                <w:color w:val="auto"/>
                <w:szCs w:val="21"/>
                <w:highlight w:val="none"/>
              </w:rPr>
              <w:t>.2</w:t>
            </w:r>
            <w:r>
              <w:rPr>
                <w:rFonts w:hint="eastAsia" w:ascii="宋体" w:hAnsi="宋体" w:eastAsia="宋体" w:cs="Times New Roman"/>
                <w:color w:val="auto"/>
                <w:szCs w:val="21"/>
                <w:highlight w:val="none"/>
                <w:lang w:val="en-US" w:eastAsia="zh-CN"/>
              </w:rPr>
              <w:t>款</w:t>
            </w:r>
          </w:p>
        </w:tc>
        <w:tc>
          <w:tcPr>
            <w:tcW w:w="1742" w:type="dxa"/>
            <w:vAlign w:val="center"/>
          </w:tcPr>
          <w:p w14:paraId="489B3581">
            <w:pPr>
              <w:adjustRightInd w:val="0"/>
              <w:snapToGrid w:val="0"/>
              <w:jc w:val="left"/>
              <w:rPr>
                <w:rFonts w:hint="eastAsia" w:ascii="宋体" w:hAnsi="宋体" w:eastAsia="宋体" w:cs="Times New Roman"/>
                <w:color w:val="auto"/>
                <w:szCs w:val="21"/>
                <w:highlight w:val="none"/>
                <w:lang w:eastAsia="zh-CN"/>
              </w:rPr>
            </w:pPr>
            <w:r>
              <w:rPr>
                <w:rFonts w:hint="eastAsia" w:ascii="宋体" w:hAnsi="宋体" w:eastAsia="宋体" w:cs="Times New Roman"/>
                <w:color w:val="auto"/>
                <w:szCs w:val="21"/>
                <w:highlight w:val="none"/>
                <w:lang w:eastAsia="zh-CN"/>
              </w:rPr>
              <w:t>运输特殊要求</w:t>
            </w:r>
          </w:p>
        </w:tc>
        <w:tc>
          <w:tcPr>
            <w:tcW w:w="5170" w:type="dxa"/>
            <w:vAlign w:val="center"/>
          </w:tcPr>
          <w:p w14:paraId="2B544142">
            <w:pPr>
              <w:rPr>
                <w:rFonts w:hint="eastAsia" w:ascii="宋体" w:hAnsi="宋体" w:eastAsia="宋体" w:cs="宋体"/>
                <w:color w:val="auto"/>
                <w:highlight w:val="none"/>
              </w:rPr>
            </w:pPr>
            <w:r>
              <w:rPr>
                <w:rFonts w:hint="eastAsia" w:ascii="宋体" w:hAnsi="宋体" w:eastAsia="宋体" w:cs="宋体"/>
                <w:color w:val="auto"/>
                <w:highlight w:val="none"/>
              </w:rPr>
              <w:t>运输（如适用，须满足《关于印发〈商品包装政府采购需求标准（试行）〉〈快递包装政府采购需求标准（试行）〉的通知》（财办库﹝2020﹞123号））</w:t>
            </w:r>
          </w:p>
        </w:tc>
      </w:tr>
      <w:tr w14:paraId="0F1BAAF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82" w:hRule="atLeast"/>
        </w:trPr>
        <w:tc>
          <w:tcPr>
            <w:tcW w:w="1607" w:type="dxa"/>
            <w:vAlign w:val="center"/>
          </w:tcPr>
          <w:p w14:paraId="18DAD565">
            <w:pPr>
              <w:adjustRightInd w:val="0"/>
              <w:snapToGrid w:val="0"/>
              <w:jc w:val="center"/>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第二节</w:t>
            </w:r>
          </w:p>
          <w:p w14:paraId="0C8648B6">
            <w:pPr>
              <w:adjustRightInd w:val="0"/>
              <w:snapToGrid w:val="0"/>
              <w:jc w:val="center"/>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第</w:t>
            </w:r>
            <w:r>
              <w:rPr>
                <w:rFonts w:hint="eastAsia" w:ascii="宋体" w:hAnsi="宋体" w:eastAsia="宋体" w:cs="Times New Roman"/>
                <w:color w:val="auto"/>
                <w:szCs w:val="21"/>
                <w:highlight w:val="none"/>
                <w:lang w:val="en-US" w:eastAsia="zh-CN"/>
              </w:rPr>
              <w:t>7</w:t>
            </w:r>
            <w:r>
              <w:rPr>
                <w:rFonts w:hint="eastAsia" w:ascii="宋体" w:hAnsi="宋体" w:eastAsia="宋体" w:cs="Times New Roman"/>
                <w:color w:val="auto"/>
                <w:szCs w:val="21"/>
                <w:highlight w:val="none"/>
              </w:rPr>
              <w:t>.3</w:t>
            </w:r>
            <w:r>
              <w:rPr>
                <w:rFonts w:hint="eastAsia" w:ascii="宋体" w:hAnsi="宋体" w:eastAsia="宋体" w:cs="Times New Roman"/>
                <w:color w:val="auto"/>
                <w:szCs w:val="21"/>
                <w:highlight w:val="none"/>
                <w:lang w:val="en-US" w:eastAsia="zh-CN"/>
              </w:rPr>
              <w:t>款</w:t>
            </w:r>
          </w:p>
        </w:tc>
        <w:tc>
          <w:tcPr>
            <w:tcW w:w="1742" w:type="dxa"/>
            <w:vAlign w:val="center"/>
          </w:tcPr>
          <w:p w14:paraId="103A17AE">
            <w:pPr>
              <w:adjustRightInd w:val="0"/>
              <w:snapToGrid w:val="0"/>
              <w:jc w:val="left"/>
              <w:rPr>
                <w:rFonts w:hint="eastAsia" w:ascii="宋体" w:hAnsi="宋体" w:eastAsia="宋体" w:cs="Times New Roman"/>
                <w:color w:val="auto"/>
                <w:szCs w:val="21"/>
                <w:highlight w:val="none"/>
                <w:lang w:eastAsia="zh-CN"/>
              </w:rPr>
            </w:pPr>
            <w:r>
              <w:rPr>
                <w:rFonts w:hint="eastAsia" w:ascii="宋体" w:hAnsi="宋体" w:eastAsia="宋体" w:cs="Times New Roman"/>
                <w:color w:val="auto"/>
                <w:szCs w:val="21"/>
                <w:highlight w:val="none"/>
                <w:lang w:eastAsia="zh-CN"/>
              </w:rPr>
              <w:t>保险要求</w:t>
            </w:r>
          </w:p>
        </w:tc>
        <w:tc>
          <w:tcPr>
            <w:tcW w:w="5170" w:type="dxa"/>
            <w:vAlign w:val="center"/>
          </w:tcPr>
          <w:p w14:paraId="2D26F3BA">
            <w:pPr>
              <w:adjustRightInd w:val="0"/>
              <w:snapToGrid w:val="0"/>
              <w:jc w:val="left"/>
              <w:rPr>
                <w:rFonts w:hint="eastAsia" w:ascii="Times New Roman" w:hAnsi="Times New Roman" w:eastAsia="宋体" w:cs="Times New Roman"/>
                <w:color w:val="auto"/>
                <w:highlight w:val="none"/>
              </w:rPr>
            </w:pPr>
            <w:r>
              <w:rPr>
                <w:rFonts w:hint="eastAsia" w:ascii="宋体" w:hAnsi="宋体" w:eastAsia="宋体" w:cs="Times New Roman"/>
                <w:color w:val="auto"/>
                <w:kern w:val="2"/>
                <w:sz w:val="21"/>
                <w:szCs w:val="21"/>
                <w:highlight w:val="none"/>
                <w:lang w:val="en-US" w:eastAsia="zh-CN" w:bidi="ar-SA"/>
              </w:rPr>
              <w:t>乙方负责项目安装调试及验收合格前货物相关保险，并为其所有派驻项目现场的工作人员购买人身意外伤害保险、雇主责任保险及必要的第三者责任保险，相关保险费用已包含在合同总价中。</w:t>
            </w:r>
          </w:p>
        </w:tc>
      </w:tr>
      <w:tr w14:paraId="76AF78B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1487C450">
            <w:pPr>
              <w:adjustRightInd w:val="0"/>
              <w:snapToGrid w:val="0"/>
              <w:jc w:val="center"/>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第二节</w:t>
            </w:r>
          </w:p>
          <w:p w14:paraId="5FA51E08">
            <w:pPr>
              <w:adjustRightInd w:val="0"/>
              <w:snapToGrid w:val="0"/>
              <w:jc w:val="center"/>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第</w:t>
            </w:r>
            <w:r>
              <w:rPr>
                <w:rFonts w:hint="eastAsia" w:ascii="宋体" w:hAnsi="宋体" w:eastAsia="宋体" w:cs="Times New Roman"/>
                <w:color w:val="auto"/>
                <w:szCs w:val="21"/>
                <w:highlight w:val="none"/>
                <w:lang w:val="en-US" w:eastAsia="zh-CN"/>
              </w:rPr>
              <w:t>8</w:t>
            </w:r>
            <w:r>
              <w:rPr>
                <w:rFonts w:hint="eastAsia" w:ascii="宋体" w:hAnsi="宋体" w:eastAsia="宋体" w:cs="Times New Roman"/>
                <w:color w:val="auto"/>
                <w:szCs w:val="21"/>
                <w:highlight w:val="none"/>
              </w:rPr>
              <w:t>.2（1）项</w:t>
            </w:r>
          </w:p>
        </w:tc>
        <w:tc>
          <w:tcPr>
            <w:tcW w:w="1742" w:type="dxa"/>
            <w:vAlign w:val="center"/>
          </w:tcPr>
          <w:p w14:paraId="2EAF40D2">
            <w:pPr>
              <w:adjustRightInd w:val="0"/>
              <w:snapToGrid w:val="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质量保证期</w:t>
            </w:r>
          </w:p>
        </w:tc>
        <w:tc>
          <w:tcPr>
            <w:tcW w:w="5170" w:type="dxa"/>
            <w:vAlign w:val="center"/>
          </w:tcPr>
          <w:p w14:paraId="5CA57562">
            <w:pPr>
              <w:adjustRightInd w:val="0"/>
              <w:snapToGrid w:val="0"/>
              <w:jc w:val="left"/>
              <w:rPr>
                <w:rFonts w:ascii="宋体" w:hAnsi="宋体" w:eastAsia="宋体" w:cs="Times New Roman"/>
                <w:color w:val="auto"/>
                <w:szCs w:val="21"/>
                <w:highlight w:val="none"/>
              </w:rPr>
            </w:pPr>
            <w:r>
              <w:rPr>
                <w:rFonts w:hint="eastAsia" w:ascii="宋体" w:hAnsi="宋体" w:eastAsia="宋体" w:cs="Times New Roman"/>
                <w:color w:val="auto"/>
                <w:kern w:val="2"/>
                <w:sz w:val="21"/>
                <w:szCs w:val="21"/>
                <w:highlight w:val="none"/>
                <w:lang w:val="en-US" w:eastAsia="zh-CN" w:bidi="ar-SA"/>
              </w:rPr>
              <w:t>设备验收合格后，整机质保24个月（其中离子色谱仪整机质保60个月）</w:t>
            </w:r>
          </w:p>
        </w:tc>
      </w:tr>
      <w:tr w14:paraId="5E5E4E0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71D416F4">
            <w:pPr>
              <w:adjustRightInd w:val="0"/>
              <w:snapToGrid w:val="0"/>
              <w:jc w:val="center"/>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第二节</w:t>
            </w:r>
          </w:p>
          <w:p w14:paraId="7695504B">
            <w:pPr>
              <w:adjustRightInd w:val="0"/>
              <w:snapToGrid w:val="0"/>
              <w:jc w:val="center"/>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第</w:t>
            </w:r>
            <w:r>
              <w:rPr>
                <w:rFonts w:hint="eastAsia" w:ascii="宋体" w:hAnsi="宋体" w:eastAsia="宋体" w:cs="Times New Roman"/>
                <w:color w:val="auto"/>
                <w:szCs w:val="21"/>
                <w:highlight w:val="none"/>
                <w:lang w:val="en-US" w:eastAsia="zh-CN"/>
              </w:rPr>
              <w:t>8</w:t>
            </w:r>
            <w:r>
              <w:rPr>
                <w:rFonts w:hint="eastAsia" w:ascii="宋体" w:hAnsi="宋体" w:eastAsia="宋体" w:cs="Times New Roman"/>
                <w:color w:val="auto"/>
                <w:szCs w:val="21"/>
                <w:highlight w:val="none"/>
              </w:rPr>
              <w:t>.2（3）项</w:t>
            </w:r>
          </w:p>
        </w:tc>
        <w:tc>
          <w:tcPr>
            <w:tcW w:w="1742" w:type="dxa"/>
            <w:vAlign w:val="center"/>
          </w:tcPr>
          <w:p w14:paraId="533A61B9">
            <w:pPr>
              <w:adjustRightInd w:val="0"/>
              <w:snapToGrid w:val="0"/>
              <w:jc w:val="left"/>
              <w:rPr>
                <w:rFonts w:hint="eastAsia" w:ascii="宋体" w:hAnsi="宋体" w:eastAsia="宋体" w:cs="Times New Roman"/>
                <w:color w:val="auto"/>
                <w:szCs w:val="21"/>
                <w:highlight w:val="none"/>
                <w:lang w:eastAsia="zh-CN"/>
              </w:rPr>
            </w:pPr>
            <w:r>
              <w:rPr>
                <w:rFonts w:hint="eastAsia" w:ascii="宋体" w:hAnsi="宋体" w:eastAsia="宋体" w:cs="Times New Roman"/>
                <w:color w:val="auto"/>
                <w:szCs w:val="21"/>
                <w:highlight w:val="none"/>
                <w:lang w:eastAsia="zh-CN"/>
              </w:rPr>
              <w:t>货物质量缺陷</w:t>
            </w:r>
          </w:p>
          <w:p w14:paraId="4CD4E3F7">
            <w:pPr>
              <w:adjustRightInd w:val="0"/>
              <w:snapToGrid w:val="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响应时间</w:t>
            </w:r>
          </w:p>
        </w:tc>
        <w:tc>
          <w:tcPr>
            <w:tcW w:w="5170" w:type="dxa"/>
            <w:vAlign w:val="center"/>
          </w:tcPr>
          <w:p w14:paraId="24E87DF7">
            <w:pPr>
              <w:adjustRightInd w:val="0"/>
              <w:snapToGrid w:val="0"/>
              <w:jc w:val="left"/>
              <w:rPr>
                <w:rFonts w:hint="eastAsia" w:ascii="宋体" w:hAnsi="宋体" w:eastAsia="宋体" w:cs="Times New Roman"/>
                <w:color w:val="auto"/>
                <w:kern w:val="2"/>
                <w:sz w:val="21"/>
                <w:szCs w:val="21"/>
                <w:highlight w:val="none"/>
                <w:lang w:val="en-US" w:eastAsia="zh-CN" w:bidi="ar-SA"/>
              </w:rPr>
            </w:pPr>
            <w:r>
              <w:rPr>
                <w:rFonts w:hint="eastAsia" w:ascii="宋体" w:hAnsi="宋体" w:eastAsia="宋体" w:cs="Times New Roman"/>
                <w:color w:val="auto"/>
                <w:kern w:val="2"/>
                <w:sz w:val="21"/>
                <w:szCs w:val="21"/>
                <w:highlight w:val="none"/>
                <w:lang w:val="en-US" w:eastAsia="zh-CN" w:bidi="ar-SA"/>
              </w:rPr>
              <w:t>在接到电话或书面通知后4小时内给予答复，紧急问题应在48小时内抵达现场</w:t>
            </w:r>
          </w:p>
        </w:tc>
      </w:tr>
      <w:tr w14:paraId="1BAE676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79066B59">
            <w:pPr>
              <w:snapToGrid w:val="0"/>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第二节</w:t>
            </w:r>
          </w:p>
          <w:p w14:paraId="6BFB366D">
            <w:pPr>
              <w:autoSpaceDE w:val="0"/>
              <w:autoSpaceDN w:val="0"/>
              <w:adjustRightInd w:val="0"/>
              <w:spacing w:line="400" w:lineRule="exact"/>
              <w:ind w:firstLine="0" w:firstLineChars="0"/>
              <w:jc w:val="center"/>
              <w:rPr>
                <w:rFonts w:hint="default" w:ascii="华文楷体" w:hAnsi="华文楷体" w:eastAsia="华文楷体" w:cs="华文楷体"/>
                <w:color w:val="auto"/>
                <w:sz w:val="22"/>
                <w:szCs w:val="21"/>
                <w:highlight w:val="none"/>
                <w:lang w:val="en-US" w:eastAsia="zh-CN" w:bidi="ar-SA"/>
              </w:rPr>
            </w:pPr>
            <w:r>
              <w:rPr>
                <w:rFonts w:hint="eastAsia" w:ascii="宋体" w:hAnsi="宋体" w:eastAsia="宋体" w:cs="宋体"/>
                <w:color w:val="auto"/>
                <w:sz w:val="22"/>
                <w:szCs w:val="21"/>
                <w:highlight w:val="none"/>
                <w:lang w:val="en-US" w:eastAsia="zh-CN" w:bidi="ar-SA"/>
              </w:rPr>
              <w:t>第11.1款</w:t>
            </w:r>
          </w:p>
        </w:tc>
        <w:tc>
          <w:tcPr>
            <w:tcW w:w="1742" w:type="dxa"/>
            <w:vAlign w:val="center"/>
          </w:tcPr>
          <w:p w14:paraId="4CEB5AD5">
            <w:pPr>
              <w:adjustRightInd w:val="0"/>
              <w:snapToGrid w:val="0"/>
              <w:jc w:val="both"/>
              <w:rPr>
                <w:rFonts w:hint="default" w:ascii="宋体" w:hAnsi="宋体" w:eastAsia="宋体" w:cs="Times New Roman"/>
                <w:color w:val="auto"/>
                <w:szCs w:val="21"/>
                <w:highlight w:val="none"/>
                <w:lang w:val="en-US" w:eastAsia="zh-CN"/>
              </w:rPr>
            </w:pPr>
            <w:r>
              <w:rPr>
                <w:rFonts w:hint="eastAsia" w:ascii="宋体" w:hAnsi="宋体" w:eastAsia="宋体" w:cs="Times New Roman"/>
                <w:color w:val="auto"/>
                <w:szCs w:val="21"/>
                <w:highlight w:val="none"/>
                <w:lang w:val="en-US" w:eastAsia="zh-CN"/>
              </w:rPr>
              <w:t>其他应当保密的信息</w:t>
            </w:r>
          </w:p>
        </w:tc>
        <w:tc>
          <w:tcPr>
            <w:tcW w:w="5170" w:type="dxa"/>
            <w:vAlign w:val="center"/>
          </w:tcPr>
          <w:p w14:paraId="495F598B">
            <w:pPr>
              <w:adjustRightInd w:val="0"/>
              <w:snapToGrid w:val="0"/>
              <w:jc w:val="left"/>
              <w:rPr>
                <w:rFonts w:hint="eastAsia" w:ascii="宋体" w:hAnsi="宋体" w:eastAsia="宋体" w:cs="Times New Roman"/>
                <w:color w:val="auto"/>
                <w:kern w:val="2"/>
                <w:sz w:val="21"/>
                <w:szCs w:val="21"/>
                <w:highlight w:val="none"/>
                <w:lang w:val="en-US" w:eastAsia="zh-CN" w:bidi="ar-SA"/>
              </w:rPr>
            </w:pPr>
            <w:r>
              <w:rPr>
                <w:rFonts w:hint="eastAsia" w:ascii="宋体" w:hAnsi="宋体" w:eastAsia="宋体" w:cs="Times New Roman"/>
                <w:color w:val="auto"/>
                <w:kern w:val="2"/>
                <w:sz w:val="21"/>
                <w:szCs w:val="21"/>
                <w:highlight w:val="none"/>
                <w:lang w:val="en-US" w:eastAsia="zh-CN" w:bidi="ar-SA"/>
              </w:rPr>
              <w:t>提供履行合同所必需的有关图纸、数据、资料等。没有甲方事先同意，乙方不得将甲方资料提供给与履行本合同无关的任何其他人。即使向履行本合同有关的人员提供， 也应注意保密并限于履行合同的必需范围内。</w:t>
            </w:r>
          </w:p>
        </w:tc>
      </w:tr>
      <w:tr w14:paraId="3B82D1A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616" w:hRule="atLeast"/>
        </w:trPr>
        <w:tc>
          <w:tcPr>
            <w:tcW w:w="1607" w:type="dxa"/>
            <w:vAlign w:val="center"/>
          </w:tcPr>
          <w:p w14:paraId="314C88CE">
            <w:pPr>
              <w:adjustRightInd w:val="0"/>
              <w:snapToGrid w:val="0"/>
              <w:jc w:val="center"/>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第二节</w:t>
            </w:r>
          </w:p>
          <w:p w14:paraId="582A0054">
            <w:pPr>
              <w:adjustRightInd w:val="0"/>
              <w:snapToGrid w:val="0"/>
              <w:jc w:val="center"/>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第1</w:t>
            </w:r>
            <w:r>
              <w:rPr>
                <w:rFonts w:hint="eastAsia" w:ascii="宋体" w:hAnsi="宋体" w:eastAsia="宋体" w:cs="Times New Roman"/>
                <w:color w:val="auto"/>
                <w:szCs w:val="21"/>
                <w:highlight w:val="none"/>
                <w:lang w:val="en-US" w:eastAsia="zh-CN"/>
              </w:rPr>
              <w:t>2</w:t>
            </w:r>
            <w:r>
              <w:rPr>
                <w:rFonts w:hint="eastAsia" w:ascii="宋体" w:hAnsi="宋体" w:eastAsia="宋体" w:cs="Times New Roman"/>
                <w:color w:val="auto"/>
                <w:szCs w:val="21"/>
                <w:highlight w:val="none"/>
              </w:rPr>
              <w:t>.2款</w:t>
            </w:r>
          </w:p>
        </w:tc>
        <w:tc>
          <w:tcPr>
            <w:tcW w:w="1742" w:type="dxa"/>
            <w:vAlign w:val="center"/>
          </w:tcPr>
          <w:p w14:paraId="327D7C97">
            <w:pPr>
              <w:adjustRightInd w:val="0"/>
              <w:snapToGrid w:val="0"/>
              <w:jc w:val="left"/>
              <w:rPr>
                <w:rFonts w:hint="eastAsia" w:ascii="宋体" w:hAnsi="宋体" w:eastAsia="宋体" w:cs="Times New Roman"/>
                <w:color w:val="auto"/>
                <w:szCs w:val="21"/>
                <w:highlight w:val="none"/>
                <w:lang w:eastAsia="zh-CN"/>
              </w:rPr>
            </w:pPr>
            <w:r>
              <w:rPr>
                <w:rFonts w:hint="eastAsia" w:ascii="宋体" w:hAnsi="宋体" w:eastAsia="宋体" w:cs="Times New Roman"/>
                <w:color w:val="auto"/>
                <w:szCs w:val="21"/>
                <w:highlight w:val="none"/>
              </w:rPr>
              <w:t>合同价款支付</w:t>
            </w:r>
            <w:r>
              <w:rPr>
                <w:rFonts w:hint="eastAsia" w:ascii="宋体" w:hAnsi="宋体" w:eastAsia="宋体" w:cs="Times New Roman"/>
                <w:color w:val="auto"/>
                <w:szCs w:val="21"/>
                <w:highlight w:val="none"/>
                <w:lang w:eastAsia="zh-CN"/>
              </w:rPr>
              <w:t>时间</w:t>
            </w:r>
          </w:p>
        </w:tc>
        <w:tc>
          <w:tcPr>
            <w:tcW w:w="5170" w:type="dxa"/>
            <w:vAlign w:val="center"/>
          </w:tcPr>
          <w:p w14:paraId="7E932D0C">
            <w:pPr>
              <w:adjustRightInd w:val="0"/>
              <w:snapToGrid w:val="0"/>
              <w:jc w:val="left"/>
              <w:rPr>
                <w:rFonts w:hint="eastAsia" w:ascii="宋体" w:hAnsi="宋体" w:eastAsia="宋体" w:cs="Times New Roman"/>
                <w:color w:val="auto"/>
                <w:kern w:val="2"/>
                <w:sz w:val="21"/>
                <w:szCs w:val="21"/>
                <w:highlight w:val="none"/>
                <w:lang w:val="en-US" w:eastAsia="zh-CN" w:bidi="ar-SA"/>
              </w:rPr>
            </w:pPr>
            <w:r>
              <w:rPr>
                <w:rFonts w:hint="eastAsia" w:ascii="宋体" w:hAnsi="宋体"/>
                <w:color w:val="auto"/>
                <w:szCs w:val="21"/>
                <w:highlight w:val="none"/>
              </w:rPr>
              <w:t>对于满足合同约定支付条件的，甲方原则上应当自收到</w:t>
            </w:r>
            <w:r>
              <w:rPr>
                <w:rFonts w:hint="eastAsia" w:ascii="宋体" w:hAnsi="宋体" w:eastAsia="宋体" w:cs="Times New Roman"/>
                <w:color w:val="auto"/>
                <w:kern w:val="2"/>
                <w:sz w:val="21"/>
                <w:szCs w:val="21"/>
                <w:highlight w:val="none"/>
                <w:lang w:val="en-US" w:eastAsia="zh-CN" w:bidi="ar-SA"/>
              </w:rPr>
              <w:t>等额</w:t>
            </w:r>
            <w:r>
              <w:rPr>
                <w:rFonts w:hint="eastAsia" w:ascii="宋体" w:hAnsi="宋体"/>
                <w:color w:val="auto"/>
                <w:szCs w:val="21"/>
                <w:highlight w:val="none"/>
              </w:rPr>
              <w:t>发票后10个工作日内将资金支付到合同约定的乙方账户，不得以机构</w:t>
            </w:r>
            <w:r>
              <w:rPr>
                <w:rFonts w:hint="eastAsia" w:ascii="宋体" w:hAnsi="宋体" w:eastAsia="宋体" w:cs="Times New Roman"/>
                <w:color w:val="auto"/>
                <w:kern w:val="2"/>
                <w:sz w:val="21"/>
                <w:szCs w:val="21"/>
                <w:highlight w:val="none"/>
                <w:lang w:val="en-US" w:eastAsia="zh-CN" w:bidi="ar-SA"/>
              </w:rPr>
              <w:t>调整</w:t>
            </w:r>
            <w:r>
              <w:rPr>
                <w:rFonts w:hint="eastAsia" w:ascii="宋体" w:hAnsi="宋体"/>
                <w:color w:val="auto"/>
                <w:szCs w:val="21"/>
                <w:highlight w:val="none"/>
              </w:rPr>
              <w:t>、人员更替、政策调整等为由迟延付款，不得将采购文件和合同中未规定的义务作为向乙方付款的条件。</w:t>
            </w:r>
          </w:p>
        </w:tc>
      </w:tr>
      <w:tr w14:paraId="215AA8B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97" w:hRule="atLeast"/>
        </w:trPr>
        <w:tc>
          <w:tcPr>
            <w:tcW w:w="1607" w:type="dxa"/>
            <w:vAlign w:val="center"/>
          </w:tcPr>
          <w:p w14:paraId="6DD6046A">
            <w:pPr>
              <w:adjustRightInd w:val="0"/>
              <w:snapToGrid w:val="0"/>
              <w:jc w:val="center"/>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第二节</w:t>
            </w:r>
          </w:p>
          <w:p w14:paraId="4C0AE11F">
            <w:pPr>
              <w:adjustRightInd w:val="0"/>
              <w:snapToGrid w:val="0"/>
              <w:jc w:val="center"/>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第</w:t>
            </w:r>
            <w:r>
              <w:rPr>
                <w:rFonts w:hint="eastAsia" w:ascii="宋体" w:hAnsi="宋体" w:eastAsia="宋体" w:cs="Times New Roman"/>
                <w:color w:val="auto"/>
                <w:szCs w:val="21"/>
                <w:highlight w:val="none"/>
                <w:lang w:val="en-US" w:eastAsia="zh-CN"/>
              </w:rPr>
              <w:t>13.2</w:t>
            </w:r>
            <w:r>
              <w:rPr>
                <w:rFonts w:hint="eastAsia" w:ascii="宋体" w:hAnsi="宋体" w:eastAsia="宋体" w:cs="Times New Roman"/>
                <w:color w:val="auto"/>
                <w:szCs w:val="21"/>
                <w:highlight w:val="none"/>
              </w:rPr>
              <w:t>款</w:t>
            </w:r>
          </w:p>
        </w:tc>
        <w:tc>
          <w:tcPr>
            <w:tcW w:w="1742" w:type="dxa"/>
            <w:vAlign w:val="center"/>
          </w:tcPr>
          <w:p w14:paraId="049214AA">
            <w:pPr>
              <w:adjustRightInd w:val="0"/>
              <w:snapToGrid w:val="0"/>
              <w:jc w:val="left"/>
              <w:rPr>
                <w:rFonts w:hint="default" w:ascii="宋体" w:hAnsi="宋体" w:eastAsia="宋体" w:cs="Times New Roman"/>
                <w:color w:val="auto"/>
                <w:szCs w:val="21"/>
                <w:highlight w:val="none"/>
                <w:lang w:val="en-US" w:eastAsia="zh-CN"/>
              </w:rPr>
            </w:pPr>
            <w:r>
              <w:rPr>
                <w:rFonts w:hint="eastAsia" w:ascii="宋体" w:hAnsi="宋体" w:eastAsia="宋体" w:cs="Times New Roman"/>
                <w:color w:val="auto"/>
                <w:szCs w:val="21"/>
                <w:highlight w:val="none"/>
                <w:lang w:val="en-US" w:eastAsia="zh-CN"/>
              </w:rPr>
              <w:t>履约保证金不予退还的情形</w:t>
            </w:r>
          </w:p>
        </w:tc>
        <w:tc>
          <w:tcPr>
            <w:tcW w:w="5170" w:type="dxa"/>
            <w:vAlign w:val="center"/>
          </w:tcPr>
          <w:p w14:paraId="41125274">
            <w:pPr>
              <w:adjustRightInd w:val="0"/>
              <w:snapToGrid w:val="0"/>
              <w:jc w:val="left"/>
              <w:rPr>
                <w:rFonts w:hint="eastAsia" w:ascii="宋体" w:hAnsi="宋体" w:eastAsia="宋体" w:cs="Times New Roman"/>
                <w:color w:val="auto"/>
                <w:kern w:val="2"/>
                <w:sz w:val="21"/>
                <w:szCs w:val="21"/>
                <w:highlight w:val="none"/>
                <w:lang w:val="en-US" w:eastAsia="zh-CN" w:bidi="ar-SA"/>
              </w:rPr>
            </w:pPr>
            <w:r>
              <w:rPr>
                <w:rFonts w:hint="eastAsia" w:ascii="宋体" w:hAnsi="宋体" w:eastAsia="宋体" w:cs="Times New Roman"/>
                <w:color w:val="auto"/>
                <w:kern w:val="2"/>
                <w:sz w:val="21"/>
                <w:szCs w:val="21"/>
                <w:highlight w:val="none"/>
                <w:lang w:val="en-US" w:eastAsia="zh-CN" w:bidi="ar-SA"/>
              </w:rPr>
              <w:t>无</w:t>
            </w:r>
          </w:p>
        </w:tc>
      </w:tr>
      <w:tr w14:paraId="5B1716D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52" w:hRule="atLeast"/>
        </w:trPr>
        <w:tc>
          <w:tcPr>
            <w:tcW w:w="1607" w:type="dxa"/>
            <w:vAlign w:val="center"/>
          </w:tcPr>
          <w:p w14:paraId="7783FB1B">
            <w:pPr>
              <w:adjustRightInd w:val="0"/>
              <w:snapToGrid w:val="0"/>
              <w:jc w:val="center"/>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第二节</w:t>
            </w:r>
          </w:p>
          <w:p w14:paraId="7617CC9D">
            <w:pPr>
              <w:adjustRightInd w:val="0"/>
              <w:snapToGrid w:val="0"/>
              <w:jc w:val="center"/>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第</w:t>
            </w:r>
            <w:r>
              <w:rPr>
                <w:rFonts w:hint="eastAsia" w:ascii="宋体" w:hAnsi="宋体" w:eastAsia="宋体" w:cs="Times New Roman"/>
                <w:color w:val="auto"/>
                <w:szCs w:val="21"/>
                <w:highlight w:val="none"/>
                <w:lang w:val="en-US" w:eastAsia="zh-CN"/>
              </w:rPr>
              <w:t>13.3</w:t>
            </w:r>
            <w:r>
              <w:rPr>
                <w:rFonts w:hint="eastAsia" w:ascii="宋体" w:hAnsi="宋体" w:eastAsia="宋体" w:cs="Times New Roman"/>
                <w:color w:val="auto"/>
                <w:szCs w:val="21"/>
                <w:highlight w:val="none"/>
              </w:rPr>
              <w:t>款</w:t>
            </w:r>
          </w:p>
        </w:tc>
        <w:tc>
          <w:tcPr>
            <w:tcW w:w="1742" w:type="dxa"/>
            <w:vAlign w:val="center"/>
          </w:tcPr>
          <w:p w14:paraId="6D171ECB">
            <w:pPr>
              <w:adjustRightInd w:val="0"/>
              <w:snapToGrid w:val="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履约保证金退还时间及</w:t>
            </w:r>
            <w:r>
              <w:rPr>
                <w:rFonts w:hint="eastAsia" w:ascii="宋体" w:hAnsi="宋体" w:eastAsia="宋体" w:cs="Times New Roman"/>
                <w:color w:val="auto"/>
                <w:szCs w:val="21"/>
                <w:highlight w:val="none"/>
                <w:lang w:eastAsia="zh-CN"/>
              </w:rPr>
              <w:t>逾期退还的</w:t>
            </w:r>
            <w:r>
              <w:rPr>
                <w:rFonts w:hint="eastAsia" w:ascii="宋体" w:hAnsi="宋体" w:eastAsia="宋体" w:cs="Times New Roman"/>
                <w:color w:val="auto"/>
                <w:szCs w:val="21"/>
                <w:highlight w:val="none"/>
              </w:rPr>
              <w:t>违约金</w:t>
            </w:r>
          </w:p>
        </w:tc>
        <w:tc>
          <w:tcPr>
            <w:tcW w:w="5170" w:type="dxa"/>
            <w:vAlign w:val="center"/>
          </w:tcPr>
          <w:p w14:paraId="1AF31C41">
            <w:pPr>
              <w:adjustRightInd w:val="0"/>
              <w:snapToGrid w:val="0"/>
              <w:jc w:val="left"/>
              <w:rPr>
                <w:rFonts w:hint="eastAsia" w:ascii="宋体" w:hAnsi="宋体" w:eastAsia="宋体" w:cs="Times New Roman"/>
                <w:color w:val="auto"/>
                <w:kern w:val="2"/>
                <w:sz w:val="21"/>
                <w:szCs w:val="21"/>
                <w:highlight w:val="none"/>
                <w:lang w:val="en-US" w:eastAsia="zh-CN" w:bidi="ar-SA"/>
              </w:rPr>
            </w:pPr>
            <w:r>
              <w:rPr>
                <w:rFonts w:hint="eastAsia" w:ascii="宋体" w:hAnsi="宋体" w:eastAsia="宋体" w:cs="Times New Roman"/>
                <w:color w:val="auto"/>
                <w:kern w:val="2"/>
                <w:sz w:val="21"/>
                <w:szCs w:val="21"/>
                <w:highlight w:val="none"/>
                <w:lang w:val="en-US" w:eastAsia="zh-CN" w:bidi="ar-SA"/>
              </w:rPr>
              <w:t>无</w:t>
            </w:r>
          </w:p>
        </w:tc>
      </w:tr>
      <w:tr w14:paraId="51DB5FA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84" w:hRule="atLeast"/>
        </w:trPr>
        <w:tc>
          <w:tcPr>
            <w:tcW w:w="1607" w:type="dxa"/>
            <w:vAlign w:val="center"/>
          </w:tcPr>
          <w:p w14:paraId="0F9B3EC4">
            <w:pPr>
              <w:adjustRightInd w:val="0"/>
              <w:snapToGrid w:val="0"/>
              <w:jc w:val="center"/>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第二节</w:t>
            </w:r>
          </w:p>
          <w:p w14:paraId="64FFFE18">
            <w:pPr>
              <w:adjustRightInd w:val="0"/>
              <w:snapToGrid w:val="0"/>
              <w:jc w:val="center"/>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第1</w:t>
            </w:r>
            <w:r>
              <w:rPr>
                <w:rFonts w:hint="eastAsia" w:ascii="宋体" w:hAnsi="宋体" w:eastAsia="宋体" w:cs="Times New Roman"/>
                <w:color w:val="auto"/>
                <w:szCs w:val="21"/>
                <w:highlight w:val="none"/>
                <w:lang w:val="en-US" w:eastAsia="zh-CN"/>
              </w:rPr>
              <w:t>4</w:t>
            </w:r>
            <w:r>
              <w:rPr>
                <w:rFonts w:hint="eastAsia" w:ascii="宋体" w:hAnsi="宋体" w:eastAsia="宋体" w:cs="Times New Roman"/>
                <w:color w:val="auto"/>
                <w:szCs w:val="21"/>
                <w:highlight w:val="none"/>
              </w:rPr>
              <w:t>.1（</w:t>
            </w:r>
            <w:r>
              <w:rPr>
                <w:rFonts w:hint="eastAsia" w:ascii="宋体" w:hAnsi="宋体" w:eastAsia="宋体" w:cs="Times New Roman"/>
                <w:color w:val="auto"/>
                <w:szCs w:val="21"/>
                <w:highlight w:val="none"/>
                <w:lang w:val="en-US" w:eastAsia="zh-CN"/>
              </w:rPr>
              <w:t>3</w:t>
            </w:r>
            <w:r>
              <w:rPr>
                <w:rFonts w:hint="eastAsia" w:ascii="宋体" w:hAnsi="宋体" w:eastAsia="宋体" w:cs="Times New Roman"/>
                <w:color w:val="auto"/>
                <w:szCs w:val="21"/>
                <w:highlight w:val="none"/>
              </w:rPr>
              <w:t>）项</w:t>
            </w:r>
          </w:p>
        </w:tc>
        <w:tc>
          <w:tcPr>
            <w:tcW w:w="1742" w:type="dxa"/>
            <w:vAlign w:val="center"/>
          </w:tcPr>
          <w:p w14:paraId="528E8B11">
            <w:pPr>
              <w:adjustRightInd w:val="0"/>
              <w:snapToGrid w:val="0"/>
              <w:jc w:val="left"/>
              <w:rPr>
                <w:rFonts w:hint="eastAsia" w:ascii="宋体" w:hAnsi="宋体" w:eastAsia="宋体" w:cs="Times New Roman"/>
                <w:color w:val="auto"/>
                <w:szCs w:val="21"/>
                <w:highlight w:val="none"/>
                <w:lang w:val="en-US" w:eastAsia="zh-CN"/>
              </w:rPr>
            </w:pPr>
            <w:r>
              <w:rPr>
                <w:rFonts w:hint="eastAsia" w:ascii="宋体" w:hAnsi="宋体" w:eastAsia="宋体" w:cs="Times New Roman"/>
                <w:color w:val="auto"/>
                <w:szCs w:val="21"/>
                <w:highlight w:val="none"/>
                <w:lang w:val="en-US" w:eastAsia="zh-CN"/>
              </w:rPr>
              <w:t>运行监督、维修期限</w:t>
            </w:r>
          </w:p>
        </w:tc>
        <w:tc>
          <w:tcPr>
            <w:tcW w:w="5170" w:type="dxa"/>
            <w:vAlign w:val="center"/>
          </w:tcPr>
          <w:p w14:paraId="362EBACD">
            <w:pPr>
              <w:adjustRightInd w:val="0"/>
              <w:snapToGrid w:val="0"/>
              <w:jc w:val="left"/>
              <w:rPr>
                <w:rFonts w:ascii="宋体" w:hAnsi="宋体" w:eastAsia="宋体" w:cs="Times New Roman"/>
                <w:color w:val="auto"/>
                <w:szCs w:val="21"/>
                <w:highlight w:val="none"/>
              </w:rPr>
            </w:pPr>
            <w:r>
              <w:rPr>
                <w:rFonts w:hint="eastAsia" w:ascii="宋体" w:hAnsi="宋体" w:eastAsia="宋体" w:cs="Times New Roman"/>
                <w:color w:val="auto"/>
                <w:kern w:val="2"/>
                <w:sz w:val="21"/>
                <w:szCs w:val="21"/>
                <w:highlight w:val="none"/>
                <w:lang w:val="en-US" w:eastAsia="zh-CN" w:bidi="ar-SA"/>
              </w:rPr>
              <w:t>设备验收合格后，整机质保24个月（其中离子色谱仪整机质保60个月）</w:t>
            </w:r>
          </w:p>
        </w:tc>
      </w:tr>
      <w:tr w14:paraId="46D22ED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84" w:hRule="atLeast"/>
        </w:trPr>
        <w:tc>
          <w:tcPr>
            <w:tcW w:w="1607" w:type="dxa"/>
            <w:vAlign w:val="center"/>
          </w:tcPr>
          <w:p w14:paraId="1FECCBF6">
            <w:pPr>
              <w:adjustRightInd w:val="0"/>
              <w:snapToGrid w:val="0"/>
              <w:jc w:val="center"/>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第二节</w:t>
            </w:r>
          </w:p>
          <w:p w14:paraId="4A6CA466">
            <w:pPr>
              <w:adjustRightInd w:val="0"/>
              <w:snapToGrid w:val="0"/>
              <w:jc w:val="center"/>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第1</w:t>
            </w:r>
            <w:r>
              <w:rPr>
                <w:rFonts w:hint="eastAsia" w:ascii="宋体" w:hAnsi="宋体" w:eastAsia="宋体" w:cs="Times New Roman"/>
                <w:color w:val="auto"/>
                <w:szCs w:val="21"/>
                <w:highlight w:val="none"/>
                <w:lang w:val="en-US" w:eastAsia="zh-CN"/>
              </w:rPr>
              <w:t>4</w:t>
            </w:r>
            <w:r>
              <w:rPr>
                <w:rFonts w:hint="eastAsia" w:ascii="宋体" w:hAnsi="宋体" w:eastAsia="宋体" w:cs="Times New Roman"/>
                <w:color w:val="auto"/>
                <w:szCs w:val="21"/>
                <w:highlight w:val="none"/>
              </w:rPr>
              <w:t>.1（</w:t>
            </w:r>
            <w:r>
              <w:rPr>
                <w:rFonts w:hint="eastAsia" w:ascii="宋体" w:hAnsi="宋体" w:eastAsia="宋体" w:cs="Times New Roman"/>
                <w:color w:val="auto"/>
                <w:szCs w:val="21"/>
                <w:highlight w:val="none"/>
                <w:lang w:val="en-US" w:eastAsia="zh-CN"/>
              </w:rPr>
              <w:t>5</w:t>
            </w:r>
            <w:r>
              <w:rPr>
                <w:rFonts w:hint="eastAsia" w:ascii="宋体" w:hAnsi="宋体" w:eastAsia="宋体" w:cs="Times New Roman"/>
                <w:color w:val="auto"/>
                <w:szCs w:val="21"/>
                <w:highlight w:val="none"/>
              </w:rPr>
              <w:t>）项</w:t>
            </w:r>
          </w:p>
        </w:tc>
        <w:tc>
          <w:tcPr>
            <w:tcW w:w="1742" w:type="dxa"/>
            <w:vAlign w:val="center"/>
          </w:tcPr>
          <w:p w14:paraId="2EF8BBB3">
            <w:pPr>
              <w:adjustRightInd w:val="0"/>
              <w:snapToGrid w:val="0"/>
              <w:jc w:val="left"/>
              <w:rPr>
                <w:rFonts w:hint="default" w:ascii="宋体" w:hAnsi="宋体" w:eastAsia="宋体" w:cs="Times New Roman"/>
                <w:color w:val="auto"/>
                <w:szCs w:val="21"/>
                <w:highlight w:val="none"/>
                <w:lang w:val="en-US" w:eastAsia="zh-CN"/>
              </w:rPr>
            </w:pPr>
            <w:r>
              <w:rPr>
                <w:rFonts w:hint="eastAsia" w:ascii="宋体" w:hAnsi="宋体" w:eastAsia="宋体" w:cs="Times New Roman"/>
                <w:color w:val="auto"/>
                <w:szCs w:val="21"/>
                <w:highlight w:val="none"/>
                <w:lang w:val="en-US" w:eastAsia="zh-CN"/>
              </w:rPr>
              <w:t>货物回收的约定</w:t>
            </w:r>
          </w:p>
        </w:tc>
        <w:tc>
          <w:tcPr>
            <w:tcW w:w="5170" w:type="dxa"/>
            <w:vAlign w:val="center"/>
          </w:tcPr>
          <w:p w14:paraId="0DB412B9">
            <w:pPr>
              <w:adjustRightInd w:val="0"/>
              <w:snapToGrid w:val="0"/>
              <w:jc w:val="left"/>
              <w:rPr>
                <w:rFonts w:hint="eastAsia" w:ascii="宋体" w:hAnsi="宋体" w:eastAsia="宋体" w:cs="Times New Roman"/>
                <w:color w:val="auto"/>
                <w:szCs w:val="21"/>
                <w:highlight w:val="none"/>
                <w:lang w:val="en-US" w:eastAsia="zh-CN"/>
              </w:rPr>
            </w:pPr>
            <w:r>
              <w:rPr>
                <w:rFonts w:hint="eastAsia" w:ascii="宋体" w:hAnsi="宋体" w:eastAsia="宋体" w:cs="Times New Roman"/>
                <w:color w:val="auto"/>
                <w:szCs w:val="21"/>
                <w:highlight w:val="none"/>
                <w:lang w:val="en-US" w:eastAsia="zh-CN"/>
              </w:rPr>
              <w:t>无</w:t>
            </w:r>
          </w:p>
        </w:tc>
      </w:tr>
      <w:tr w14:paraId="2ABE676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828" w:hRule="atLeast"/>
        </w:trPr>
        <w:tc>
          <w:tcPr>
            <w:tcW w:w="1607" w:type="dxa"/>
            <w:vAlign w:val="center"/>
          </w:tcPr>
          <w:p w14:paraId="26756954">
            <w:pPr>
              <w:adjustRightInd w:val="0"/>
              <w:snapToGrid w:val="0"/>
              <w:jc w:val="center"/>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第二节</w:t>
            </w:r>
          </w:p>
          <w:p w14:paraId="30097B34">
            <w:pPr>
              <w:adjustRightInd w:val="0"/>
              <w:snapToGrid w:val="0"/>
              <w:jc w:val="center"/>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第1</w:t>
            </w:r>
            <w:r>
              <w:rPr>
                <w:rFonts w:hint="eastAsia" w:ascii="宋体" w:hAnsi="宋体" w:eastAsia="宋体" w:cs="Times New Roman"/>
                <w:color w:val="auto"/>
                <w:szCs w:val="21"/>
                <w:highlight w:val="none"/>
                <w:lang w:val="en-US" w:eastAsia="zh-CN"/>
              </w:rPr>
              <w:t>4</w:t>
            </w:r>
            <w:r>
              <w:rPr>
                <w:rFonts w:hint="eastAsia" w:ascii="宋体" w:hAnsi="宋体" w:eastAsia="宋体" w:cs="Times New Roman"/>
                <w:color w:val="auto"/>
                <w:szCs w:val="21"/>
                <w:highlight w:val="none"/>
              </w:rPr>
              <w:t>.1（</w:t>
            </w:r>
            <w:r>
              <w:rPr>
                <w:rFonts w:hint="eastAsia" w:ascii="宋体" w:hAnsi="宋体" w:eastAsia="宋体" w:cs="Times New Roman"/>
                <w:color w:val="auto"/>
                <w:szCs w:val="21"/>
                <w:highlight w:val="none"/>
                <w:lang w:val="en-US" w:eastAsia="zh-CN"/>
              </w:rPr>
              <w:t>6</w:t>
            </w:r>
            <w:r>
              <w:rPr>
                <w:rFonts w:hint="eastAsia" w:ascii="宋体" w:hAnsi="宋体" w:eastAsia="宋体" w:cs="Times New Roman"/>
                <w:color w:val="auto"/>
                <w:szCs w:val="21"/>
                <w:highlight w:val="none"/>
              </w:rPr>
              <w:t>）项</w:t>
            </w:r>
          </w:p>
        </w:tc>
        <w:tc>
          <w:tcPr>
            <w:tcW w:w="1742" w:type="dxa"/>
            <w:vAlign w:val="center"/>
          </w:tcPr>
          <w:p w14:paraId="5AED24E9">
            <w:pPr>
              <w:adjustRightInd w:val="0"/>
              <w:snapToGrid w:val="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乙方提供的其他服务</w:t>
            </w:r>
          </w:p>
        </w:tc>
        <w:tc>
          <w:tcPr>
            <w:tcW w:w="5170" w:type="dxa"/>
            <w:vAlign w:val="center"/>
          </w:tcPr>
          <w:p w14:paraId="05BF2F09">
            <w:pPr>
              <w:numPr>
                <w:ilvl w:val="0"/>
                <w:numId w:val="0"/>
              </w:numPr>
              <w:adjustRightInd w:val="0"/>
              <w:snapToGrid w:val="0"/>
              <w:jc w:val="left"/>
              <w:rPr>
                <w:rFonts w:hint="eastAsia" w:ascii="宋体" w:hAnsi="宋体" w:eastAsia="宋体" w:cs="Times New Roman"/>
                <w:color w:val="auto"/>
                <w:szCs w:val="21"/>
                <w:highlight w:val="none"/>
              </w:rPr>
            </w:pPr>
            <w:r>
              <w:rPr>
                <w:rFonts w:hint="eastAsia" w:ascii="宋体" w:hAnsi="宋体" w:eastAsia="宋体" w:cs="Times New Roman"/>
                <w:color w:val="auto"/>
                <w:kern w:val="2"/>
                <w:sz w:val="21"/>
                <w:szCs w:val="21"/>
                <w:highlight w:val="none"/>
                <w:lang w:val="en-US" w:eastAsia="zh-CN" w:bidi="ar-SA"/>
              </w:rPr>
              <w:t>1.</w:t>
            </w:r>
            <w:r>
              <w:rPr>
                <w:rFonts w:hint="eastAsia" w:ascii="宋体" w:hAnsi="宋体" w:eastAsia="宋体" w:cs="Times New Roman"/>
                <w:color w:val="auto"/>
                <w:szCs w:val="21"/>
                <w:highlight w:val="none"/>
              </w:rPr>
              <w:t>技术要求列示的参数为基本要求，技术要求如果有列示的设备或配件的品牌、型号为推荐品牌、型号，仅供供应商参考，不作为限定依据。</w:t>
            </w:r>
          </w:p>
          <w:p w14:paraId="0A2909E3">
            <w:pPr>
              <w:numPr>
                <w:ilvl w:val="0"/>
                <w:numId w:val="0"/>
              </w:numPr>
              <w:adjustRightInd w:val="0"/>
              <w:snapToGrid w:val="0"/>
              <w:jc w:val="left"/>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2.法律、法规、规章及相关政策对产品、服务质量及售后等有更严格规定的，从其规定。</w:t>
            </w:r>
          </w:p>
          <w:p w14:paraId="389F17D1">
            <w:pPr>
              <w:adjustRightInd w:val="0"/>
              <w:snapToGrid w:val="0"/>
              <w:jc w:val="left"/>
              <w:rPr>
                <w:rFonts w:hint="eastAsia" w:ascii="宋体" w:hAnsi="宋体" w:eastAsia="宋体" w:cs="Times New Roman"/>
                <w:color w:val="auto"/>
                <w:kern w:val="2"/>
                <w:sz w:val="21"/>
                <w:szCs w:val="21"/>
                <w:highlight w:val="none"/>
                <w:lang w:val="en-US" w:eastAsia="zh-CN" w:bidi="ar-SA"/>
              </w:rPr>
            </w:pPr>
            <w:r>
              <w:rPr>
                <w:rFonts w:hint="eastAsia" w:ascii="宋体" w:hAnsi="宋体" w:eastAsia="宋体" w:cs="Times New Roman"/>
                <w:color w:val="auto"/>
                <w:kern w:val="2"/>
                <w:sz w:val="21"/>
                <w:szCs w:val="21"/>
                <w:highlight w:val="none"/>
                <w:lang w:val="en-US" w:eastAsia="zh-CN" w:bidi="ar-SA"/>
              </w:rPr>
              <w:t>3.乙方应本着服务甲方、为甲方着想的宗旨，完善产品及技术要求未尽事宜，不得以采购文件未列明事项为由降低所供产品质量。</w:t>
            </w:r>
          </w:p>
          <w:p w14:paraId="3CD89874">
            <w:pPr>
              <w:adjustRightInd w:val="0"/>
              <w:snapToGrid w:val="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4.合同文件未载明的相关事项必须遵守相关法律法规及规定。</w:t>
            </w:r>
          </w:p>
        </w:tc>
      </w:tr>
      <w:tr w14:paraId="6C6D319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6D8EADA5">
            <w:pPr>
              <w:adjustRightInd w:val="0"/>
              <w:snapToGrid w:val="0"/>
              <w:jc w:val="center"/>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第二节</w:t>
            </w:r>
          </w:p>
          <w:p w14:paraId="7E686F54">
            <w:pPr>
              <w:adjustRightInd w:val="0"/>
              <w:snapToGrid w:val="0"/>
              <w:jc w:val="center"/>
              <w:rPr>
                <w:rFonts w:hint="default" w:ascii="宋体" w:hAnsi="宋体" w:eastAsia="宋体" w:cs="Times New Roman"/>
                <w:color w:val="auto"/>
                <w:szCs w:val="21"/>
                <w:highlight w:val="none"/>
                <w:lang w:val="en-US" w:eastAsia="zh-CN"/>
              </w:rPr>
            </w:pPr>
            <w:r>
              <w:rPr>
                <w:rFonts w:hint="eastAsia" w:ascii="宋体" w:hAnsi="宋体" w:eastAsia="宋体" w:cs="Times New Roman"/>
                <w:color w:val="auto"/>
                <w:szCs w:val="21"/>
                <w:highlight w:val="none"/>
              </w:rPr>
              <w:t>第1</w:t>
            </w:r>
            <w:r>
              <w:rPr>
                <w:rFonts w:hint="eastAsia" w:ascii="宋体" w:hAnsi="宋体" w:eastAsia="宋体" w:cs="Times New Roman"/>
                <w:color w:val="auto"/>
                <w:szCs w:val="21"/>
                <w:highlight w:val="none"/>
                <w:lang w:val="en-US" w:eastAsia="zh-CN"/>
              </w:rPr>
              <w:t>5</w:t>
            </w:r>
            <w:r>
              <w:rPr>
                <w:rFonts w:hint="eastAsia" w:ascii="宋体" w:hAnsi="宋体" w:eastAsia="宋体" w:cs="Times New Roman"/>
                <w:color w:val="auto"/>
                <w:szCs w:val="21"/>
                <w:highlight w:val="none"/>
              </w:rPr>
              <w:t>.</w:t>
            </w:r>
            <w:r>
              <w:rPr>
                <w:rFonts w:hint="eastAsia" w:ascii="宋体" w:hAnsi="宋体" w:eastAsia="宋体" w:cs="Times New Roman"/>
                <w:color w:val="auto"/>
                <w:szCs w:val="21"/>
                <w:highlight w:val="none"/>
                <w:lang w:val="en-US" w:eastAsia="zh-CN"/>
              </w:rPr>
              <w:t>1款</w:t>
            </w:r>
          </w:p>
        </w:tc>
        <w:tc>
          <w:tcPr>
            <w:tcW w:w="1742" w:type="dxa"/>
            <w:vAlign w:val="center"/>
          </w:tcPr>
          <w:p w14:paraId="4E5CB502">
            <w:pPr>
              <w:adjustRightInd w:val="0"/>
              <w:snapToGrid w:val="0"/>
              <w:jc w:val="left"/>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lang w:eastAsia="zh-CN"/>
              </w:rPr>
              <w:t>修理、重作、更换相关具体规定</w:t>
            </w:r>
          </w:p>
        </w:tc>
        <w:tc>
          <w:tcPr>
            <w:tcW w:w="5170" w:type="dxa"/>
            <w:vAlign w:val="center"/>
          </w:tcPr>
          <w:p w14:paraId="19BA518A">
            <w:pPr>
              <w:adjustRightInd w:val="0"/>
              <w:snapToGrid w:val="0"/>
              <w:jc w:val="left"/>
              <w:rPr>
                <w:rFonts w:ascii="宋体" w:hAnsi="宋体" w:eastAsia="宋体" w:cs="Times New Roman"/>
                <w:color w:val="auto"/>
                <w:szCs w:val="21"/>
                <w:highlight w:val="none"/>
              </w:rPr>
            </w:pPr>
            <w:r>
              <w:rPr>
                <w:rFonts w:hint="eastAsia" w:ascii="宋体" w:hAnsi="宋体" w:eastAsia="宋体" w:cs="Times New Roman"/>
                <w:color w:val="auto"/>
                <w:kern w:val="2"/>
                <w:sz w:val="21"/>
                <w:szCs w:val="21"/>
                <w:highlight w:val="none"/>
                <w:lang w:val="en-US" w:eastAsia="zh-CN" w:bidi="ar-SA"/>
              </w:rPr>
              <w:t>无</w:t>
            </w:r>
          </w:p>
        </w:tc>
      </w:tr>
      <w:tr w14:paraId="3885127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2EE9B690">
            <w:pPr>
              <w:adjustRightInd w:val="0"/>
              <w:snapToGrid w:val="0"/>
              <w:jc w:val="center"/>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第二节</w:t>
            </w:r>
          </w:p>
          <w:p w14:paraId="6E6019D1">
            <w:pPr>
              <w:adjustRightInd w:val="0"/>
              <w:snapToGrid w:val="0"/>
              <w:jc w:val="center"/>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第1</w:t>
            </w:r>
            <w:r>
              <w:rPr>
                <w:rFonts w:hint="eastAsia" w:ascii="宋体" w:hAnsi="宋体" w:eastAsia="宋体" w:cs="Times New Roman"/>
                <w:color w:val="auto"/>
                <w:szCs w:val="21"/>
                <w:highlight w:val="none"/>
                <w:lang w:val="en-US" w:eastAsia="zh-CN"/>
              </w:rPr>
              <w:t>5</w:t>
            </w:r>
            <w:r>
              <w:rPr>
                <w:rFonts w:hint="eastAsia" w:ascii="宋体" w:hAnsi="宋体" w:eastAsia="宋体" w:cs="Times New Roman"/>
                <w:color w:val="auto"/>
                <w:szCs w:val="21"/>
                <w:highlight w:val="none"/>
              </w:rPr>
              <w:t>.2（2）项</w:t>
            </w:r>
          </w:p>
        </w:tc>
        <w:tc>
          <w:tcPr>
            <w:tcW w:w="1742" w:type="dxa"/>
            <w:vAlign w:val="center"/>
          </w:tcPr>
          <w:p w14:paraId="43A9690E">
            <w:pPr>
              <w:adjustRightInd w:val="0"/>
              <w:snapToGrid w:val="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迟延交货赔偿费</w:t>
            </w:r>
          </w:p>
        </w:tc>
        <w:tc>
          <w:tcPr>
            <w:tcW w:w="5170" w:type="dxa"/>
            <w:vAlign w:val="center"/>
          </w:tcPr>
          <w:p w14:paraId="06DBD245">
            <w:pPr>
              <w:numPr>
                <w:ilvl w:val="0"/>
                <w:numId w:val="0"/>
              </w:numPr>
              <w:adjustRightInd w:val="0"/>
              <w:snapToGrid w:val="0"/>
              <w:jc w:val="left"/>
              <w:rPr>
                <w:rFonts w:hint="eastAsia" w:ascii="宋体" w:hAnsi="宋体" w:eastAsia="宋体" w:cs="Times New Roman"/>
                <w:color w:val="auto"/>
                <w:szCs w:val="21"/>
                <w:highlight w:val="none"/>
                <w:u w:val="none"/>
              </w:rPr>
            </w:pPr>
            <w:r>
              <w:rPr>
                <w:rFonts w:hint="eastAsia" w:ascii="宋体" w:hAnsi="宋体" w:eastAsia="宋体" w:cs="Times New Roman"/>
                <w:color w:val="auto"/>
                <w:kern w:val="2"/>
                <w:sz w:val="21"/>
                <w:szCs w:val="21"/>
                <w:highlight w:val="none"/>
                <w:lang w:val="en-US" w:eastAsia="zh-CN" w:bidi="ar-SA"/>
              </w:rPr>
              <w:t>1.</w:t>
            </w:r>
            <w:r>
              <w:rPr>
                <w:rFonts w:hint="eastAsia" w:ascii="宋体" w:hAnsi="宋体" w:eastAsia="宋体" w:cs="Times New Roman"/>
                <w:color w:val="auto"/>
                <w:szCs w:val="21"/>
                <w:highlight w:val="none"/>
                <w:u w:val="none"/>
              </w:rPr>
              <w:t>乙方所交货物的规格型号、技术要求、质量品质等不符合合同规定，甲方有权拒收货物，乙方应负责更换并承担因更换而支付的全部实际费用。因更换而造成逾期交货，则按逾期交货处理。</w:t>
            </w:r>
          </w:p>
          <w:p w14:paraId="5DEDDE75">
            <w:pPr>
              <w:numPr>
                <w:ilvl w:val="0"/>
                <w:numId w:val="0"/>
              </w:numPr>
              <w:adjustRightInd w:val="0"/>
              <w:snapToGrid w:val="0"/>
              <w:jc w:val="left"/>
              <w:rPr>
                <w:rFonts w:ascii="宋体" w:hAnsi="宋体" w:eastAsia="宋体" w:cs="Times New Roman"/>
                <w:color w:val="auto"/>
                <w:szCs w:val="21"/>
                <w:highlight w:val="none"/>
                <w:u w:val="single"/>
              </w:rPr>
            </w:pPr>
            <w:r>
              <w:rPr>
                <w:rFonts w:hint="eastAsia" w:ascii="宋体" w:hAnsi="宋体" w:eastAsia="宋体" w:cs="Times New Roman"/>
                <w:color w:val="auto"/>
                <w:szCs w:val="21"/>
                <w:highlight w:val="none"/>
                <w:u w:val="none"/>
              </w:rPr>
              <w:t>2.乙方不能交付货物的,乙方向甲方支付未交付部分货物款总额5%的违约金。</w:t>
            </w:r>
          </w:p>
          <w:p w14:paraId="43CEB804">
            <w:pPr>
              <w:adjustRightInd w:val="0"/>
              <w:snapToGrid w:val="0"/>
              <w:jc w:val="left"/>
              <w:rPr>
                <w:rFonts w:ascii="宋体" w:hAnsi="宋体" w:eastAsia="宋体" w:cs="Times New Roman"/>
                <w:color w:val="auto"/>
                <w:szCs w:val="21"/>
                <w:highlight w:val="none"/>
                <w:u w:val="single"/>
              </w:rPr>
            </w:pPr>
            <w:r>
              <w:rPr>
                <w:rFonts w:hint="eastAsia" w:ascii="宋体" w:hAnsi="宋体" w:eastAsia="宋体" w:cs="Times New Roman"/>
                <w:color w:val="auto"/>
                <w:szCs w:val="21"/>
                <w:highlight w:val="none"/>
                <w:u w:val="none"/>
              </w:rPr>
              <w:t>3.乙方逾期交付货物,乙方向甲方每日偿付逾期交货部分货款总值</w:t>
            </w:r>
            <w:r>
              <w:rPr>
                <w:rFonts w:hint="eastAsia" w:cs="Times New Roman"/>
                <w:color w:val="auto"/>
                <w:kern w:val="2"/>
                <w:sz w:val="21"/>
                <w:szCs w:val="21"/>
                <w:highlight w:val="none"/>
                <w:lang w:val="en-US" w:eastAsia="zh-CN" w:bidi="ar-SA"/>
              </w:rPr>
              <w:t>1</w:t>
            </w:r>
            <w:r>
              <w:rPr>
                <w:rFonts w:hint="eastAsia" w:ascii="宋体" w:hAnsi="宋体" w:eastAsia="宋体" w:cs="Times New Roman"/>
                <w:color w:val="auto"/>
                <w:kern w:val="2"/>
                <w:sz w:val="21"/>
                <w:szCs w:val="21"/>
                <w:highlight w:val="none"/>
                <w:lang w:val="en-US" w:eastAsia="zh-CN" w:bidi="ar-SA"/>
              </w:rPr>
              <w:t>‰</w:t>
            </w:r>
            <w:r>
              <w:rPr>
                <w:rFonts w:hint="eastAsia" w:ascii="宋体" w:hAnsi="宋体" w:eastAsia="宋体" w:cs="Times New Roman"/>
                <w:color w:val="auto"/>
                <w:szCs w:val="21"/>
                <w:highlight w:val="none"/>
                <w:u w:val="none"/>
              </w:rPr>
              <w:t>的赔偿费</w:t>
            </w:r>
            <w:r>
              <w:rPr>
                <w:rFonts w:hint="eastAsia" w:cs="Times New Roman"/>
                <w:color w:val="auto"/>
                <w:szCs w:val="21"/>
                <w:highlight w:val="none"/>
                <w:u w:val="none"/>
                <w:lang w:eastAsia="zh-CN"/>
              </w:rPr>
              <w:t>，</w:t>
            </w:r>
            <w:r>
              <w:rPr>
                <w:rFonts w:hint="eastAsia" w:cs="Times New Roman"/>
                <w:color w:val="auto"/>
                <w:szCs w:val="21"/>
                <w:highlight w:val="none"/>
                <w:u w:val="none"/>
                <w:lang w:val="en-US" w:eastAsia="zh-CN"/>
              </w:rPr>
              <w:t>累计不超过合同总额的</w:t>
            </w:r>
            <w:r>
              <w:rPr>
                <w:rFonts w:hint="eastAsia" w:ascii="宋体" w:hAnsi="宋体" w:eastAsia="宋体" w:cs="Times New Roman"/>
                <w:color w:val="auto"/>
                <w:szCs w:val="21"/>
                <w:highlight w:val="none"/>
                <w:u w:val="none"/>
              </w:rPr>
              <w:t>5%</w:t>
            </w:r>
            <w:r>
              <w:rPr>
                <w:rFonts w:hint="eastAsia" w:ascii="宋体" w:hAnsi="宋体" w:eastAsia="宋体" w:cs="Times New Roman"/>
                <w:color w:val="auto"/>
                <w:szCs w:val="21"/>
                <w:highlight w:val="none"/>
                <w:u w:val="none"/>
                <w:lang w:eastAsia="zh-CN"/>
              </w:rPr>
              <w:t>。</w:t>
            </w:r>
          </w:p>
        </w:tc>
      </w:tr>
      <w:tr w14:paraId="4B531B6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68224E35">
            <w:pPr>
              <w:adjustRightInd w:val="0"/>
              <w:snapToGrid w:val="0"/>
              <w:jc w:val="center"/>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第二节</w:t>
            </w:r>
          </w:p>
          <w:p w14:paraId="57510A7B">
            <w:pPr>
              <w:adjustRightInd w:val="0"/>
              <w:snapToGrid w:val="0"/>
              <w:jc w:val="center"/>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第1</w:t>
            </w:r>
            <w:r>
              <w:rPr>
                <w:rFonts w:hint="eastAsia" w:ascii="宋体" w:hAnsi="宋体" w:eastAsia="宋体" w:cs="Times New Roman"/>
                <w:color w:val="auto"/>
                <w:szCs w:val="21"/>
                <w:highlight w:val="none"/>
                <w:lang w:val="en-US" w:eastAsia="zh-CN"/>
              </w:rPr>
              <w:t>5</w:t>
            </w:r>
            <w:r>
              <w:rPr>
                <w:rFonts w:hint="eastAsia" w:ascii="宋体" w:hAnsi="宋体" w:eastAsia="宋体" w:cs="Times New Roman"/>
                <w:color w:val="auto"/>
                <w:szCs w:val="21"/>
                <w:highlight w:val="none"/>
              </w:rPr>
              <w:t>.</w:t>
            </w:r>
            <w:r>
              <w:rPr>
                <w:rFonts w:hint="eastAsia" w:ascii="宋体" w:hAnsi="宋体" w:eastAsia="宋体" w:cs="Times New Roman"/>
                <w:color w:val="auto"/>
                <w:szCs w:val="21"/>
                <w:highlight w:val="none"/>
                <w:lang w:val="en-US" w:eastAsia="zh-CN"/>
              </w:rPr>
              <w:t>3款</w:t>
            </w:r>
          </w:p>
        </w:tc>
        <w:tc>
          <w:tcPr>
            <w:tcW w:w="1742" w:type="dxa"/>
            <w:vAlign w:val="center"/>
          </w:tcPr>
          <w:p w14:paraId="3EECC801">
            <w:pPr>
              <w:adjustRightInd w:val="0"/>
              <w:snapToGrid w:val="0"/>
              <w:jc w:val="left"/>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逾期付款利息</w:t>
            </w:r>
          </w:p>
        </w:tc>
        <w:tc>
          <w:tcPr>
            <w:tcW w:w="5170" w:type="dxa"/>
            <w:vAlign w:val="center"/>
          </w:tcPr>
          <w:p w14:paraId="395EC4EC">
            <w:pPr>
              <w:adjustRightInd w:val="0"/>
              <w:snapToGrid w:val="0"/>
              <w:jc w:val="left"/>
              <w:rPr>
                <w:rFonts w:ascii="宋体" w:hAnsi="宋体" w:eastAsia="宋体" w:cs="Times New Roman"/>
                <w:color w:val="auto"/>
                <w:szCs w:val="21"/>
                <w:highlight w:val="none"/>
                <w:u w:val="single"/>
              </w:rPr>
            </w:pPr>
            <w:r>
              <w:rPr>
                <w:rFonts w:hint="eastAsia" w:ascii="宋体" w:hAnsi="宋体"/>
                <w:color w:val="auto"/>
                <w:szCs w:val="21"/>
                <w:highlight w:val="none"/>
                <w:u w:val="none"/>
                <w:lang w:val="en-US" w:eastAsia="zh-CN"/>
              </w:rPr>
              <w:t>/</w:t>
            </w:r>
          </w:p>
        </w:tc>
      </w:tr>
      <w:tr w14:paraId="0DC22C1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76" w:hRule="atLeast"/>
        </w:trPr>
        <w:tc>
          <w:tcPr>
            <w:tcW w:w="1607" w:type="dxa"/>
            <w:tcBorders>
              <w:bottom w:val="single" w:color="auto" w:sz="2" w:space="0"/>
              <w:right w:val="single" w:color="auto" w:sz="2" w:space="0"/>
            </w:tcBorders>
            <w:vAlign w:val="center"/>
          </w:tcPr>
          <w:p w14:paraId="6CAB87B2">
            <w:pPr>
              <w:adjustRightInd w:val="0"/>
              <w:snapToGrid w:val="0"/>
              <w:jc w:val="center"/>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第二节</w:t>
            </w:r>
          </w:p>
          <w:p w14:paraId="6F9ABED3">
            <w:pPr>
              <w:adjustRightInd w:val="0"/>
              <w:snapToGrid w:val="0"/>
              <w:jc w:val="center"/>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第1</w:t>
            </w:r>
            <w:r>
              <w:rPr>
                <w:rFonts w:hint="eastAsia" w:ascii="宋体" w:hAnsi="宋体" w:eastAsia="宋体" w:cs="Times New Roman"/>
                <w:color w:val="auto"/>
                <w:szCs w:val="21"/>
                <w:highlight w:val="none"/>
                <w:lang w:val="en-US" w:eastAsia="zh-CN"/>
              </w:rPr>
              <w:t>5</w:t>
            </w:r>
            <w:r>
              <w:rPr>
                <w:rFonts w:hint="eastAsia" w:ascii="宋体" w:hAnsi="宋体" w:eastAsia="宋体" w:cs="Times New Roman"/>
                <w:color w:val="auto"/>
                <w:szCs w:val="21"/>
                <w:highlight w:val="none"/>
              </w:rPr>
              <w:t>.4</w:t>
            </w:r>
            <w:r>
              <w:rPr>
                <w:rFonts w:hint="eastAsia" w:ascii="宋体" w:hAnsi="宋体" w:eastAsia="宋体" w:cs="Times New Roman"/>
                <w:color w:val="auto"/>
                <w:szCs w:val="21"/>
                <w:highlight w:val="none"/>
                <w:lang w:val="en-US" w:eastAsia="zh-CN"/>
              </w:rPr>
              <w:t>款</w:t>
            </w:r>
          </w:p>
        </w:tc>
        <w:tc>
          <w:tcPr>
            <w:tcW w:w="1742" w:type="dxa"/>
            <w:tcBorders>
              <w:left w:val="single" w:color="auto" w:sz="2" w:space="0"/>
              <w:bottom w:val="single" w:color="auto" w:sz="2" w:space="0"/>
              <w:right w:val="single" w:color="auto" w:sz="2" w:space="0"/>
            </w:tcBorders>
            <w:vAlign w:val="center"/>
          </w:tcPr>
          <w:p w14:paraId="4297B761">
            <w:pPr>
              <w:adjustRightInd w:val="0"/>
              <w:snapToGrid w:val="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其他违约责任</w:t>
            </w:r>
          </w:p>
        </w:tc>
        <w:tc>
          <w:tcPr>
            <w:tcW w:w="5170" w:type="dxa"/>
            <w:tcBorders>
              <w:left w:val="single" w:color="auto" w:sz="2" w:space="0"/>
              <w:bottom w:val="single" w:color="auto" w:sz="2" w:space="0"/>
            </w:tcBorders>
            <w:vAlign w:val="center"/>
          </w:tcPr>
          <w:p w14:paraId="4510EA88">
            <w:pPr>
              <w:adjustRightInd w:val="0"/>
              <w:snapToGrid w:val="0"/>
              <w:jc w:val="left"/>
              <w:rPr>
                <w:rFonts w:ascii="宋体" w:hAnsi="宋体" w:eastAsia="宋体" w:cs="Times New Roman"/>
                <w:color w:val="auto"/>
                <w:szCs w:val="21"/>
                <w:highlight w:val="none"/>
                <w:u w:val="single"/>
              </w:rPr>
            </w:pPr>
            <w:r>
              <w:rPr>
                <w:rFonts w:hint="eastAsia" w:ascii="宋体" w:hAnsi="宋体"/>
                <w:color w:val="auto"/>
                <w:szCs w:val="21"/>
                <w:highlight w:val="none"/>
                <w:u w:val="none"/>
                <w:lang w:val="en-US" w:eastAsia="zh-CN"/>
              </w:rPr>
              <w:t>/</w:t>
            </w:r>
          </w:p>
        </w:tc>
      </w:tr>
      <w:tr w14:paraId="0147E82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1607" w:type="dxa"/>
            <w:tcBorders>
              <w:top w:val="single" w:color="auto" w:sz="2" w:space="0"/>
              <w:right w:val="single" w:color="auto" w:sz="2" w:space="0"/>
            </w:tcBorders>
            <w:vAlign w:val="center"/>
          </w:tcPr>
          <w:p w14:paraId="44E3F4E4">
            <w:pPr>
              <w:adjustRightInd w:val="0"/>
              <w:snapToGrid w:val="0"/>
              <w:jc w:val="center"/>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第二节</w:t>
            </w:r>
          </w:p>
          <w:p w14:paraId="40B34F55">
            <w:pPr>
              <w:adjustRightInd w:val="0"/>
              <w:snapToGrid w:val="0"/>
              <w:jc w:val="center"/>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第</w:t>
            </w:r>
            <w:r>
              <w:rPr>
                <w:rFonts w:hint="eastAsia" w:ascii="宋体" w:hAnsi="宋体" w:eastAsia="宋体" w:cs="Times New Roman"/>
                <w:color w:val="auto"/>
                <w:szCs w:val="21"/>
                <w:highlight w:val="none"/>
                <w:lang w:val="en-US" w:eastAsia="zh-CN"/>
              </w:rPr>
              <w:t>19</w:t>
            </w:r>
            <w:r>
              <w:rPr>
                <w:rFonts w:hint="eastAsia" w:ascii="宋体" w:hAnsi="宋体" w:eastAsia="宋体" w:cs="Times New Roman"/>
                <w:color w:val="auto"/>
                <w:szCs w:val="21"/>
                <w:highlight w:val="none"/>
              </w:rPr>
              <w:t>.2</w:t>
            </w:r>
            <w:r>
              <w:rPr>
                <w:rFonts w:hint="eastAsia" w:ascii="宋体" w:hAnsi="宋体" w:eastAsia="宋体" w:cs="Times New Roman"/>
                <w:color w:val="auto"/>
                <w:szCs w:val="21"/>
                <w:highlight w:val="none"/>
                <w:lang w:val="en-US" w:eastAsia="zh-CN"/>
              </w:rPr>
              <w:t>款</w:t>
            </w:r>
          </w:p>
        </w:tc>
        <w:tc>
          <w:tcPr>
            <w:tcW w:w="1742" w:type="dxa"/>
            <w:tcBorders>
              <w:top w:val="single" w:color="auto" w:sz="2" w:space="0"/>
              <w:left w:val="single" w:color="auto" w:sz="2" w:space="0"/>
              <w:right w:val="single" w:color="auto" w:sz="2" w:space="0"/>
            </w:tcBorders>
            <w:vAlign w:val="center"/>
          </w:tcPr>
          <w:p w14:paraId="6202A277">
            <w:pPr>
              <w:adjustRightInd w:val="0"/>
              <w:snapToGrid w:val="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lang w:val="en-US" w:eastAsia="zh-CN"/>
              </w:rPr>
              <w:t>解决争议的方法</w:t>
            </w:r>
          </w:p>
        </w:tc>
        <w:tc>
          <w:tcPr>
            <w:tcW w:w="5170" w:type="dxa"/>
            <w:tcBorders>
              <w:top w:val="single" w:color="auto" w:sz="2" w:space="0"/>
              <w:left w:val="single" w:color="auto" w:sz="2" w:space="0"/>
            </w:tcBorders>
            <w:vAlign w:val="center"/>
          </w:tcPr>
          <w:p w14:paraId="366ADE45">
            <w:pPr>
              <w:autoSpaceDE w:val="0"/>
              <w:autoSpaceDN w:val="0"/>
              <w:adjustRightInd w:val="0"/>
              <w:snapToGrid w:val="0"/>
              <w:spacing w:line="400" w:lineRule="exact"/>
              <w:jc w:val="left"/>
              <w:rPr>
                <w:rFonts w:hint="eastAsia" w:ascii="宋体" w:hAnsi="宋体" w:eastAsia="宋体" w:cs="宋体"/>
                <w:b w:val="0"/>
                <w:bCs w:val="0"/>
                <w:iCs/>
                <w:color w:val="auto"/>
                <w:szCs w:val="21"/>
                <w:highlight w:val="none"/>
              </w:rPr>
            </w:pPr>
            <w:r>
              <w:rPr>
                <w:rFonts w:hint="eastAsia" w:ascii="宋体" w:hAnsi="宋体" w:eastAsia="宋体" w:cs="宋体"/>
                <w:b w:val="0"/>
                <w:bCs w:val="0"/>
                <w:iCs/>
                <w:color w:val="auto"/>
                <w:szCs w:val="21"/>
                <w:highlight w:val="none"/>
              </w:rPr>
              <w:t>因本合同及合同有关事项发生的争议，按下列第</w:t>
            </w:r>
            <w:r>
              <w:rPr>
                <w:rFonts w:hint="eastAsia" w:ascii="宋体" w:hAnsi="宋体" w:eastAsia="宋体" w:cs="宋体"/>
                <w:b w:val="0"/>
                <w:bCs w:val="0"/>
                <w:iCs/>
                <w:color w:val="auto"/>
                <w:szCs w:val="21"/>
                <w:highlight w:val="none"/>
                <w:u w:val="single"/>
              </w:rPr>
              <w:t xml:space="preserve"> </w:t>
            </w:r>
            <w:r>
              <w:rPr>
                <w:rFonts w:hint="eastAsia" w:cs="宋体"/>
                <w:b w:val="0"/>
                <w:bCs w:val="0"/>
                <w:iCs/>
                <w:color w:val="auto"/>
                <w:szCs w:val="21"/>
                <w:highlight w:val="none"/>
                <w:u w:val="single"/>
                <w:lang w:eastAsia="zh-CN"/>
              </w:rPr>
              <w:t>（</w:t>
            </w:r>
            <w:r>
              <w:rPr>
                <w:rFonts w:hint="eastAsia" w:ascii="宋体" w:hAnsi="宋体" w:eastAsia="宋体" w:cs="宋体"/>
                <w:b w:val="0"/>
                <w:bCs w:val="0"/>
                <w:iCs/>
                <w:color w:val="auto"/>
                <w:szCs w:val="21"/>
                <w:highlight w:val="none"/>
                <w:u w:val="single"/>
                <w:lang w:val="en-US" w:eastAsia="zh-CN"/>
              </w:rPr>
              <w:t>1</w:t>
            </w:r>
            <w:r>
              <w:rPr>
                <w:rFonts w:hint="eastAsia" w:cs="宋体"/>
                <w:b w:val="0"/>
                <w:bCs w:val="0"/>
                <w:iCs/>
                <w:color w:val="auto"/>
                <w:szCs w:val="21"/>
                <w:highlight w:val="none"/>
                <w:u w:val="single"/>
                <w:lang w:eastAsia="zh-CN"/>
              </w:rPr>
              <w:t>）</w:t>
            </w:r>
            <w:r>
              <w:rPr>
                <w:rFonts w:hint="eastAsia" w:ascii="宋体" w:hAnsi="宋体" w:eastAsia="宋体" w:cs="宋体"/>
                <w:b w:val="0"/>
                <w:bCs w:val="0"/>
                <w:iCs/>
                <w:color w:val="auto"/>
                <w:szCs w:val="21"/>
                <w:highlight w:val="none"/>
                <w:u w:val="single"/>
              </w:rPr>
              <w:t xml:space="preserve"> </w:t>
            </w:r>
            <w:r>
              <w:rPr>
                <w:rFonts w:hint="eastAsia" w:ascii="宋体" w:hAnsi="宋体" w:eastAsia="宋体" w:cs="宋体"/>
                <w:b w:val="0"/>
                <w:bCs w:val="0"/>
                <w:iCs/>
                <w:color w:val="auto"/>
                <w:szCs w:val="21"/>
                <w:highlight w:val="none"/>
              </w:rPr>
              <w:t>种方式解决：</w:t>
            </w:r>
          </w:p>
          <w:p w14:paraId="29668549">
            <w:pPr>
              <w:autoSpaceDE w:val="0"/>
              <w:autoSpaceDN w:val="0"/>
              <w:adjustRightInd w:val="0"/>
              <w:snapToGrid w:val="0"/>
              <w:spacing w:line="400" w:lineRule="exact"/>
              <w:jc w:val="left"/>
              <w:rPr>
                <w:rFonts w:hint="eastAsia" w:ascii="宋体" w:hAnsi="宋体" w:eastAsia="宋体" w:cs="宋体"/>
                <w:b w:val="0"/>
                <w:bCs w:val="0"/>
                <w:iCs/>
                <w:color w:val="auto"/>
                <w:szCs w:val="21"/>
                <w:highlight w:val="none"/>
              </w:rPr>
            </w:pPr>
            <w:r>
              <w:rPr>
                <w:rFonts w:hint="eastAsia" w:ascii="宋体" w:hAnsi="宋体" w:eastAsia="宋体" w:cs="宋体"/>
                <w:b w:val="0"/>
                <w:bCs w:val="0"/>
                <w:iCs/>
                <w:color w:val="auto"/>
                <w:szCs w:val="21"/>
                <w:highlight w:val="none"/>
              </w:rPr>
              <w:t>（1）向</w:t>
            </w:r>
            <w:r>
              <w:rPr>
                <w:rFonts w:hint="eastAsia" w:ascii="宋体" w:hAnsi="宋体" w:eastAsia="宋体" w:cs="宋体"/>
                <w:b w:val="0"/>
                <w:bCs w:val="0"/>
                <w:iCs/>
                <w:color w:val="auto"/>
                <w:szCs w:val="21"/>
                <w:highlight w:val="none"/>
                <w:u w:val="single"/>
              </w:rPr>
              <w:t xml:space="preserve">  甲方住所地   </w:t>
            </w:r>
            <w:r>
              <w:rPr>
                <w:rFonts w:hint="eastAsia" w:ascii="宋体" w:hAnsi="宋体" w:eastAsia="宋体" w:cs="宋体"/>
                <w:b w:val="0"/>
                <w:bCs w:val="0"/>
                <w:iCs/>
                <w:color w:val="auto"/>
                <w:szCs w:val="21"/>
                <w:highlight w:val="none"/>
              </w:rPr>
              <w:t>仲裁委员会申请仲裁，仲裁地点为</w:t>
            </w:r>
            <w:r>
              <w:rPr>
                <w:rFonts w:hint="eastAsia" w:ascii="宋体" w:hAnsi="宋体" w:eastAsia="宋体" w:cs="宋体"/>
                <w:b w:val="0"/>
                <w:bCs w:val="0"/>
                <w:iCs/>
                <w:color w:val="auto"/>
                <w:szCs w:val="21"/>
                <w:highlight w:val="none"/>
                <w:u w:val="single"/>
              </w:rPr>
              <w:t xml:space="preserve"> </w:t>
            </w:r>
            <w:r>
              <w:rPr>
                <w:rFonts w:hint="eastAsia" w:ascii="宋体" w:hAnsi="宋体" w:eastAsia="宋体" w:cs="宋体"/>
                <w:b w:val="0"/>
                <w:bCs w:val="0"/>
                <w:iCs/>
                <w:color w:val="auto"/>
                <w:szCs w:val="21"/>
                <w:highlight w:val="none"/>
                <w:u w:val="single"/>
                <w:lang w:val="en-US" w:eastAsia="zh-CN"/>
              </w:rPr>
              <w:t>河南省周口市</w:t>
            </w:r>
            <w:r>
              <w:rPr>
                <w:rFonts w:hint="eastAsia" w:ascii="宋体" w:hAnsi="宋体" w:eastAsia="宋体" w:cs="宋体"/>
                <w:b w:val="0"/>
                <w:bCs w:val="0"/>
                <w:iCs/>
                <w:color w:val="auto"/>
                <w:szCs w:val="21"/>
                <w:highlight w:val="none"/>
                <w:u w:val="single"/>
              </w:rPr>
              <w:t xml:space="preserve">  </w:t>
            </w:r>
            <w:r>
              <w:rPr>
                <w:rFonts w:hint="eastAsia" w:ascii="宋体" w:hAnsi="宋体" w:eastAsia="宋体" w:cs="宋体"/>
                <w:b w:val="0"/>
                <w:bCs w:val="0"/>
                <w:iCs/>
                <w:color w:val="auto"/>
                <w:szCs w:val="21"/>
                <w:highlight w:val="none"/>
              </w:rPr>
              <w:t>；</w:t>
            </w:r>
          </w:p>
          <w:p w14:paraId="3FDB44BF">
            <w:pPr>
              <w:rPr>
                <w:color w:val="auto"/>
                <w:highlight w:val="none"/>
              </w:rPr>
            </w:pPr>
            <w:r>
              <w:rPr>
                <w:rFonts w:hint="eastAsia" w:ascii="宋体" w:hAnsi="宋体" w:eastAsia="宋体" w:cs="宋体"/>
                <w:b w:val="0"/>
                <w:bCs w:val="0"/>
                <w:iCs/>
                <w:color w:val="auto"/>
                <w:szCs w:val="21"/>
                <w:highlight w:val="none"/>
              </w:rPr>
              <w:t>（2）向</w:t>
            </w:r>
            <w:r>
              <w:rPr>
                <w:rFonts w:hint="eastAsia" w:ascii="宋体" w:hAnsi="宋体" w:eastAsia="宋体" w:cs="宋体"/>
                <w:b w:val="0"/>
                <w:bCs w:val="0"/>
                <w:iCs/>
                <w:color w:val="auto"/>
                <w:szCs w:val="21"/>
                <w:highlight w:val="none"/>
                <w:u w:val="single"/>
              </w:rPr>
              <w:t xml:space="preserve">   甲方住所地   </w:t>
            </w:r>
            <w:r>
              <w:rPr>
                <w:rFonts w:hint="eastAsia" w:ascii="宋体" w:hAnsi="宋体" w:eastAsia="宋体" w:cs="宋体"/>
                <w:b w:val="0"/>
                <w:bCs w:val="0"/>
                <w:iCs/>
                <w:color w:val="auto"/>
                <w:szCs w:val="21"/>
                <w:highlight w:val="none"/>
              </w:rPr>
              <w:t>人民法院起诉。</w:t>
            </w:r>
          </w:p>
        </w:tc>
      </w:tr>
      <w:tr w14:paraId="3149E13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70" w:hRule="atLeast"/>
        </w:trPr>
        <w:tc>
          <w:tcPr>
            <w:tcW w:w="1607" w:type="dxa"/>
            <w:vAlign w:val="center"/>
          </w:tcPr>
          <w:p w14:paraId="17DF9FA4">
            <w:pPr>
              <w:adjustRightInd w:val="0"/>
              <w:snapToGrid w:val="0"/>
              <w:jc w:val="center"/>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第二节</w:t>
            </w:r>
          </w:p>
          <w:p w14:paraId="23F20186">
            <w:pPr>
              <w:adjustRightInd w:val="0"/>
              <w:snapToGrid w:val="0"/>
              <w:jc w:val="center"/>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第2</w:t>
            </w:r>
            <w:r>
              <w:rPr>
                <w:rFonts w:hint="eastAsia" w:ascii="宋体" w:hAnsi="宋体" w:eastAsia="宋体" w:cs="Times New Roman"/>
                <w:color w:val="auto"/>
                <w:szCs w:val="21"/>
                <w:highlight w:val="none"/>
                <w:lang w:val="en-US" w:eastAsia="zh-CN"/>
              </w:rPr>
              <w:t>3.1</w:t>
            </w:r>
            <w:r>
              <w:rPr>
                <w:rFonts w:hint="eastAsia" w:ascii="宋体" w:hAnsi="宋体" w:eastAsia="宋体" w:cs="Times New Roman"/>
                <w:color w:val="auto"/>
                <w:szCs w:val="21"/>
                <w:highlight w:val="none"/>
                <w:lang w:eastAsia="zh-CN"/>
              </w:rPr>
              <w:t>款</w:t>
            </w:r>
          </w:p>
        </w:tc>
        <w:tc>
          <w:tcPr>
            <w:tcW w:w="1742" w:type="dxa"/>
            <w:vAlign w:val="center"/>
          </w:tcPr>
          <w:p w14:paraId="6E10688A">
            <w:pPr>
              <w:adjustRightInd w:val="0"/>
              <w:snapToGrid w:val="0"/>
              <w:jc w:val="left"/>
              <w:rPr>
                <w:rFonts w:ascii="宋体" w:hAnsi="宋体" w:eastAsia="宋体" w:cs="Times New Roman"/>
                <w:color w:val="auto"/>
                <w:szCs w:val="21"/>
                <w:highlight w:val="none"/>
              </w:rPr>
            </w:pPr>
            <w:r>
              <w:rPr>
                <w:rFonts w:hint="eastAsia" w:ascii="宋体" w:hAnsi="宋体" w:eastAsia="宋体" w:cs="Times New Roman"/>
                <w:bCs/>
                <w:color w:val="auto"/>
                <w:szCs w:val="21"/>
                <w:highlight w:val="none"/>
                <w:lang w:eastAsia="zh-CN"/>
              </w:rPr>
              <w:t>其他专用条款</w:t>
            </w:r>
          </w:p>
        </w:tc>
        <w:tc>
          <w:tcPr>
            <w:tcW w:w="5170" w:type="dxa"/>
            <w:vAlign w:val="center"/>
          </w:tcPr>
          <w:p w14:paraId="0CDACDE3">
            <w:pPr>
              <w:adjustRightInd w:val="0"/>
              <w:snapToGrid w:val="0"/>
              <w:jc w:val="left"/>
              <w:rPr>
                <w:rFonts w:hint="default" w:ascii="宋体" w:hAnsi="宋体" w:eastAsia="宋体" w:cs="Times New Roman"/>
                <w:color w:val="auto"/>
                <w:szCs w:val="21"/>
                <w:highlight w:val="none"/>
                <w:lang w:val="en-US" w:eastAsia="zh-CN"/>
              </w:rPr>
            </w:pPr>
            <w:r>
              <w:rPr>
                <w:rFonts w:hint="eastAsia" w:ascii="宋体" w:hAnsi="宋体" w:eastAsia="宋体" w:cs="Times New Roman"/>
                <w:color w:val="auto"/>
                <w:szCs w:val="21"/>
                <w:highlight w:val="none"/>
                <w:lang w:val="en-US" w:eastAsia="zh-CN"/>
              </w:rPr>
              <w:t>无</w:t>
            </w:r>
          </w:p>
        </w:tc>
      </w:tr>
    </w:tbl>
    <w:p w14:paraId="1B878467">
      <w:pPr>
        <w:rPr>
          <w:rFonts w:hint="eastAsia"/>
          <w:color w:val="auto"/>
          <w:highlight w:val="none"/>
        </w:rPr>
      </w:pPr>
      <w:r>
        <w:rPr>
          <w:rFonts w:hint="eastAsia"/>
          <w:color w:val="auto"/>
          <w:highlight w:val="none"/>
        </w:rPr>
        <w:br w:type="page"/>
      </w:r>
    </w:p>
    <w:p w14:paraId="399528CC">
      <w:pPr>
        <w:bidi w:val="0"/>
        <w:rPr>
          <w:rFonts w:hint="eastAsia"/>
          <w:color w:val="auto"/>
          <w:highlight w:val="none"/>
        </w:rPr>
      </w:pPr>
    </w:p>
    <w:bookmarkEnd w:id="713"/>
    <w:p w14:paraId="6F172707">
      <w:pPr>
        <w:pStyle w:val="4"/>
        <w:pageBreakBefore w:val="0"/>
        <w:numPr>
          <w:ilvl w:val="0"/>
          <w:numId w:val="0"/>
        </w:numPr>
        <w:kinsoku/>
        <w:overflowPunct/>
        <w:bidi w:val="0"/>
        <w:spacing w:line="360" w:lineRule="auto"/>
        <w:rPr>
          <w:rFonts w:hint="eastAsia" w:ascii="宋体" w:hAnsi="宋体" w:eastAsia="宋体" w:cs="宋体"/>
          <w:color w:val="auto"/>
          <w:sz w:val="32"/>
          <w:szCs w:val="32"/>
          <w:highlight w:val="none"/>
          <w:lang w:val="en-US" w:eastAsia="zh-CN"/>
        </w:rPr>
      </w:pPr>
      <w:bookmarkStart w:id="717" w:name="_Toc3028"/>
      <w:r>
        <w:rPr>
          <w:rFonts w:hint="eastAsia" w:ascii="宋体" w:hAnsi="宋体" w:eastAsia="宋体" w:cs="宋体"/>
          <w:color w:val="auto"/>
          <w:sz w:val="32"/>
          <w:szCs w:val="32"/>
          <w:highlight w:val="none"/>
          <w:lang w:val="en-US" w:eastAsia="zh-CN"/>
        </w:rPr>
        <w:t>第六章 采购需求</w:t>
      </w:r>
      <w:bookmarkEnd w:id="717"/>
    </w:p>
    <w:p w14:paraId="3CD56A65">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宋体" w:hAnsi="宋体" w:eastAsia="宋体" w:cs="宋体"/>
          <w:b/>
          <w:bCs/>
          <w:color w:val="auto"/>
          <w:kern w:val="0"/>
          <w:sz w:val="21"/>
          <w:szCs w:val="21"/>
          <w:highlight w:val="none"/>
          <w:lang w:val="en-US" w:eastAsia="zh-CN" w:bidi="ar"/>
        </w:rPr>
      </w:pPr>
      <w:r>
        <w:rPr>
          <w:rFonts w:hint="eastAsia" w:ascii="宋体" w:hAnsi="宋体" w:eastAsia="宋体" w:cs="宋体"/>
          <w:b/>
          <w:bCs/>
          <w:color w:val="auto"/>
          <w:kern w:val="0"/>
          <w:sz w:val="21"/>
          <w:szCs w:val="21"/>
          <w:highlight w:val="none"/>
          <w:lang w:val="en-US" w:eastAsia="zh-CN" w:bidi="ar"/>
        </w:rPr>
        <w:t xml:space="preserve">一、采购标的 </w:t>
      </w:r>
    </w:p>
    <w:p w14:paraId="77BC5729">
      <w:pPr>
        <w:keepNext w:val="0"/>
        <w:keepLines w:val="0"/>
        <w:pageBreakBefore w:val="0"/>
        <w:widowControl w:val="0"/>
        <w:kinsoku/>
        <w:wordWrap/>
        <w:overflowPunct/>
        <w:topLinePunct w:val="0"/>
        <w:autoSpaceDE w:val="0"/>
        <w:autoSpaceDN w:val="0"/>
        <w:bidi w:val="0"/>
        <w:adjustRightInd w:val="0"/>
        <w:snapToGrid/>
        <w:spacing w:line="360" w:lineRule="auto"/>
        <w:ind w:right="-23" w:firstLine="420" w:firstLineChars="200"/>
        <w:jc w:val="left"/>
        <w:textAlignment w:val="auto"/>
        <w:outlineLvl w:val="9"/>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本</w:t>
      </w:r>
      <w:r>
        <w:rPr>
          <w:rFonts w:hint="eastAsia" w:ascii="宋体" w:hAnsi="宋体" w:eastAsia="宋体" w:cs="宋体"/>
          <w:color w:val="auto"/>
          <w:kern w:val="0"/>
          <w:szCs w:val="21"/>
          <w:highlight w:val="none"/>
        </w:rPr>
        <w:t>项目名称</w:t>
      </w:r>
      <w:r>
        <w:rPr>
          <w:rFonts w:hint="eastAsia" w:ascii="宋体" w:hAnsi="宋体" w:eastAsia="宋体" w:cs="宋体"/>
          <w:color w:val="auto"/>
          <w:kern w:val="0"/>
          <w:szCs w:val="21"/>
          <w:highlight w:val="none"/>
          <w:lang w:val="en-US" w:eastAsia="zh-CN"/>
        </w:rPr>
        <w:t>为河南省周口生态环境监测中心2026年监测能力建设项目。</w:t>
      </w:r>
    </w:p>
    <w:p w14:paraId="2E64A52C">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b/>
          <w:bCs/>
          <w:color w:val="auto"/>
          <w:kern w:val="0"/>
          <w:sz w:val="21"/>
          <w:szCs w:val="21"/>
          <w:highlight w:val="none"/>
          <w:lang w:val="en-US" w:eastAsia="zh-CN" w:bidi="ar"/>
        </w:rPr>
        <w:t xml:space="preserve">二、商务要求 </w:t>
      </w:r>
    </w:p>
    <w:p w14:paraId="7049A1D0">
      <w:pPr>
        <w:keepNext w:val="0"/>
        <w:keepLines w:val="0"/>
        <w:pageBreakBefore w:val="0"/>
        <w:widowControl w:val="0"/>
        <w:kinsoku/>
        <w:wordWrap/>
        <w:overflowPunct/>
        <w:topLinePunct w:val="0"/>
        <w:autoSpaceDE w:val="0"/>
        <w:autoSpaceDN w:val="0"/>
        <w:bidi w:val="0"/>
        <w:adjustRightInd w:val="0"/>
        <w:snapToGrid/>
        <w:spacing w:line="360" w:lineRule="auto"/>
        <w:ind w:right="-23" w:firstLine="420" w:firstLineChars="200"/>
        <w:jc w:val="left"/>
        <w:textAlignment w:val="auto"/>
        <w:outlineLvl w:val="9"/>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1.预算金额：</w:t>
      </w:r>
      <w:r>
        <w:rPr>
          <w:rFonts w:hint="eastAsia" w:ascii="宋体" w:hAnsi="宋体" w:eastAsia="宋体" w:cs="宋体"/>
          <w:b w:val="0"/>
          <w:bCs w:val="0"/>
          <w:color w:val="auto"/>
          <w:sz w:val="21"/>
          <w:szCs w:val="21"/>
          <w:highlight w:val="none"/>
          <w:shd w:val="clear" w:color="auto" w:fill="FFFFFF"/>
          <w:lang w:val="en-US" w:eastAsia="zh-CN"/>
        </w:rPr>
        <w:t>1662000.00元</w:t>
      </w:r>
    </w:p>
    <w:p w14:paraId="06E7CF7C">
      <w:pPr>
        <w:keepNext w:val="0"/>
        <w:keepLines w:val="0"/>
        <w:pageBreakBefore w:val="0"/>
        <w:widowControl w:val="0"/>
        <w:kinsoku/>
        <w:wordWrap/>
        <w:overflowPunct/>
        <w:topLinePunct w:val="0"/>
        <w:autoSpaceDE w:val="0"/>
        <w:autoSpaceDN w:val="0"/>
        <w:bidi w:val="0"/>
        <w:adjustRightInd w:val="0"/>
        <w:snapToGrid/>
        <w:spacing w:line="360" w:lineRule="auto"/>
        <w:ind w:right="-23" w:firstLine="630" w:firstLineChars="300"/>
        <w:jc w:val="left"/>
        <w:textAlignment w:val="auto"/>
        <w:outlineLvl w:val="9"/>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最高限价：1662000.00元</w:t>
      </w:r>
    </w:p>
    <w:p w14:paraId="3D2D475F">
      <w:pPr>
        <w:keepNext w:val="0"/>
        <w:keepLines w:val="0"/>
        <w:pageBreakBefore w:val="0"/>
        <w:widowControl w:val="0"/>
        <w:kinsoku/>
        <w:wordWrap/>
        <w:overflowPunct/>
        <w:topLinePunct w:val="0"/>
        <w:autoSpaceDE w:val="0"/>
        <w:autoSpaceDN w:val="0"/>
        <w:bidi w:val="0"/>
        <w:adjustRightInd w:val="0"/>
        <w:snapToGrid/>
        <w:spacing w:line="360" w:lineRule="auto"/>
        <w:ind w:right="-23" w:firstLine="420" w:firstLineChars="200"/>
        <w:jc w:val="left"/>
        <w:textAlignment w:val="auto"/>
        <w:outlineLvl w:val="9"/>
        <w:rPr>
          <w:rFonts w:hint="eastAsia" w:ascii="宋体" w:hAnsi="宋体" w:eastAsia="宋体" w:cs="宋体"/>
          <w:color w:val="auto"/>
          <w:highlight w:val="none"/>
          <w:lang w:val="en-US" w:eastAsia="zh-CN"/>
        </w:rPr>
      </w:pPr>
      <w:r>
        <w:rPr>
          <w:rFonts w:hint="eastAsia" w:ascii="宋体" w:hAnsi="宋体" w:eastAsia="宋体" w:cs="宋体"/>
          <w:color w:val="auto"/>
          <w:kern w:val="0"/>
          <w:szCs w:val="21"/>
          <w:highlight w:val="none"/>
          <w:lang w:val="en-US" w:eastAsia="zh-CN"/>
        </w:rPr>
        <w:t>注：投标人报价不得高于预算金额（最高限价），否则其投标无效。</w:t>
      </w:r>
    </w:p>
    <w:p w14:paraId="7110AC0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shd w:val="clear" w:color="auto" w:fill="FFFFFF"/>
          <w:lang w:val="en-US" w:eastAsia="zh-CN"/>
        </w:rPr>
      </w:pPr>
      <w:r>
        <w:rPr>
          <w:rFonts w:hint="eastAsia" w:ascii="宋体" w:hAnsi="宋体" w:eastAsia="宋体" w:cs="宋体"/>
          <w:color w:val="auto"/>
          <w:kern w:val="0"/>
          <w:szCs w:val="21"/>
          <w:highlight w:val="none"/>
          <w:lang w:val="en-US" w:eastAsia="zh-CN"/>
        </w:rPr>
        <w:t>2.</w:t>
      </w:r>
      <w:r>
        <w:rPr>
          <w:rFonts w:hint="eastAsia" w:ascii="宋体" w:hAnsi="宋体" w:eastAsia="宋体" w:cs="宋体"/>
          <w:color w:val="auto"/>
          <w:kern w:val="2"/>
          <w:sz w:val="21"/>
          <w:szCs w:val="21"/>
          <w:highlight w:val="none"/>
          <w:lang w:val="en-US" w:eastAsia="zh-CN" w:bidi="ar-SA"/>
        </w:rPr>
        <w:t>采购内容：河南省周口生态环境监测中心2026年监测能力建设项目采购内容主要包括：离子色谱仪（1套）、全自动红外测油仪（1套）、便携式气相分子吸收光谱仪（1套）、双光束紫外可见分光光度计（1套）、紫外可见分光光度计（1套）、干燥箱（1套）、便携式抽滤装置（1套）、氟离子计（1套）、立式高压蒸汽灭菌器（2套）、CODcr回流消解仪（2套）、便携式浊度计（2套）、便携式pH测定仪（2套）、便携式溶解氧测定仪（2套）、便携式电导率测定仪（2套），</w:t>
      </w:r>
      <w:r>
        <w:rPr>
          <w:rFonts w:hint="eastAsia" w:ascii="宋体" w:hAnsi="宋体" w:eastAsia="宋体" w:cs="宋体"/>
          <w:color w:val="auto"/>
          <w:kern w:val="0"/>
          <w:sz w:val="21"/>
          <w:szCs w:val="21"/>
          <w:highlight w:val="none"/>
        </w:rPr>
        <w:t>包含设备</w:t>
      </w:r>
      <w:r>
        <w:rPr>
          <w:rFonts w:hint="eastAsia" w:ascii="宋体" w:hAnsi="宋体" w:eastAsia="宋体" w:cs="宋体"/>
          <w:color w:val="auto"/>
          <w:kern w:val="0"/>
          <w:sz w:val="21"/>
          <w:szCs w:val="21"/>
          <w:highlight w:val="none"/>
          <w:lang w:val="en-US" w:eastAsia="zh-CN"/>
        </w:rPr>
        <w:t>的</w:t>
      </w:r>
      <w:r>
        <w:rPr>
          <w:rFonts w:hint="eastAsia" w:ascii="宋体" w:hAnsi="宋体" w:eastAsia="宋体" w:cs="宋体"/>
          <w:color w:val="auto"/>
          <w:kern w:val="0"/>
          <w:sz w:val="21"/>
          <w:szCs w:val="21"/>
          <w:highlight w:val="none"/>
        </w:rPr>
        <w:t>采购、安装、调试、试运行及伴随的相关服务等</w:t>
      </w:r>
      <w:r>
        <w:rPr>
          <w:rFonts w:hint="eastAsia" w:ascii="宋体" w:hAnsi="宋体" w:eastAsia="宋体" w:cs="宋体"/>
          <w:color w:val="auto"/>
          <w:kern w:val="0"/>
          <w:sz w:val="21"/>
          <w:szCs w:val="21"/>
          <w:highlight w:val="none"/>
          <w:lang w:val="en-US" w:eastAsia="zh-CN"/>
        </w:rPr>
        <w:t>全部内容</w:t>
      </w:r>
      <w:r>
        <w:rPr>
          <w:rFonts w:hint="eastAsia" w:ascii="宋体" w:hAnsi="宋体" w:eastAsia="宋体" w:cs="宋体"/>
          <w:color w:val="auto"/>
          <w:kern w:val="2"/>
          <w:sz w:val="21"/>
          <w:szCs w:val="21"/>
          <w:highlight w:val="none"/>
          <w:lang w:val="en-US" w:eastAsia="zh-CN" w:bidi="ar-SA"/>
        </w:rPr>
        <w:t>，</w:t>
      </w:r>
      <w:r>
        <w:rPr>
          <w:rFonts w:hint="eastAsia" w:ascii="宋体" w:hAnsi="宋体" w:eastAsia="宋体" w:cs="宋体"/>
          <w:color w:val="auto"/>
          <w:sz w:val="21"/>
          <w:szCs w:val="21"/>
          <w:highlight w:val="none"/>
          <w:shd w:val="clear" w:color="auto" w:fill="FFFFFF"/>
          <w:lang w:val="en-US" w:eastAsia="zh-CN"/>
        </w:rPr>
        <w:t>具体采购内容详见《河南省政府采购网》附件。</w:t>
      </w:r>
    </w:p>
    <w:p w14:paraId="6BC021F2">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3.</w:t>
      </w:r>
      <w:r>
        <w:rPr>
          <w:rFonts w:hint="eastAsia" w:ascii="宋体" w:hAnsi="宋体" w:eastAsia="宋体" w:cs="宋体"/>
          <w:color w:val="auto"/>
          <w:szCs w:val="21"/>
          <w:highlight w:val="none"/>
        </w:rPr>
        <w:t>质量标准：合格并验收通过。</w:t>
      </w:r>
    </w:p>
    <w:p w14:paraId="40305DBD">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4.</w:t>
      </w:r>
      <w:r>
        <w:rPr>
          <w:rFonts w:hint="eastAsia" w:ascii="宋体" w:hAnsi="宋体" w:eastAsia="宋体" w:cs="宋体"/>
          <w:color w:val="auto"/>
          <w:szCs w:val="21"/>
          <w:highlight w:val="none"/>
        </w:rPr>
        <w:t>交货</w:t>
      </w:r>
      <w:r>
        <w:rPr>
          <w:rFonts w:hint="eastAsia" w:ascii="宋体" w:hAnsi="宋体" w:eastAsia="宋体" w:cs="宋体"/>
          <w:color w:val="auto"/>
          <w:szCs w:val="21"/>
          <w:highlight w:val="none"/>
          <w:lang w:val="en-US" w:eastAsia="zh-CN"/>
        </w:rPr>
        <w:t>及安装调试</w:t>
      </w:r>
      <w:r>
        <w:rPr>
          <w:rFonts w:hint="eastAsia" w:ascii="宋体" w:hAnsi="宋体" w:eastAsia="宋体" w:cs="宋体"/>
          <w:color w:val="auto"/>
          <w:szCs w:val="21"/>
          <w:highlight w:val="none"/>
        </w:rPr>
        <w:t>期：合同签订生效后</w:t>
      </w:r>
      <w:r>
        <w:rPr>
          <w:rFonts w:hint="eastAsia" w:cs="宋体"/>
          <w:color w:val="auto"/>
          <w:szCs w:val="21"/>
          <w:highlight w:val="none"/>
          <w:lang w:val="en-US" w:eastAsia="zh-CN"/>
        </w:rPr>
        <w:t>60</w:t>
      </w:r>
      <w:r>
        <w:rPr>
          <w:rFonts w:hint="eastAsia" w:ascii="宋体" w:hAnsi="宋体" w:eastAsia="宋体" w:cs="宋体"/>
          <w:color w:val="auto"/>
          <w:szCs w:val="21"/>
          <w:highlight w:val="none"/>
          <w:lang w:val="en-US" w:eastAsia="zh-CN"/>
        </w:rPr>
        <w:t>日历天</w:t>
      </w:r>
      <w:r>
        <w:rPr>
          <w:rFonts w:hint="eastAsia" w:ascii="宋体" w:hAnsi="宋体" w:eastAsia="宋体" w:cs="宋体"/>
          <w:color w:val="auto"/>
          <w:szCs w:val="21"/>
          <w:highlight w:val="none"/>
        </w:rPr>
        <w:t>内</w:t>
      </w:r>
      <w:r>
        <w:rPr>
          <w:rFonts w:hint="eastAsia" w:ascii="宋体" w:hAnsi="宋体" w:eastAsia="宋体" w:cs="宋体"/>
          <w:color w:val="auto"/>
          <w:szCs w:val="21"/>
          <w:highlight w:val="none"/>
          <w:lang w:val="en-US" w:eastAsia="zh-CN"/>
        </w:rPr>
        <w:t>交货并</w:t>
      </w:r>
      <w:r>
        <w:rPr>
          <w:rFonts w:hint="eastAsia" w:ascii="宋体" w:hAnsi="宋体" w:eastAsia="宋体" w:cs="宋体"/>
          <w:color w:val="auto"/>
          <w:szCs w:val="21"/>
          <w:highlight w:val="none"/>
        </w:rPr>
        <w:t>安装调试完毕。</w:t>
      </w:r>
    </w:p>
    <w:p w14:paraId="5C74B965">
      <w:pPr>
        <w:keepNext w:val="0"/>
        <w:keepLines w:val="0"/>
        <w:pageBreakBefore w:val="0"/>
        <w:widowControl w:val="0"/>
        <w:kinsoku/>
        <w:wordWrap/>
        <w:overflowPunct/>
        <w:topLinePunct w:val="0"/>
        <w:autoSpaceDE/>
        <w:autoSpaceDN/>
        <w:bidi w:val="0"/>
        <w:adjustRightInd/>
        <w:snapToGrid/>
        <w:spacing w:after="0" w:line="360" w:lineRule="auto"/>
        <w:ind w:left="0" w:leftChars="0" w:firstLine="420" w:firstLineChars="200"/>
        <w:jc w:val="both"/>
        <w:textAlignment w:val="auto"/>
        <w:rPr>
          <w:rFonts w:hint="eastAsia" w:ascii="宋体" w:hAnsi="宋体" w:eastAsia="宋体" w:cs="宋体"/>
          <w:color w:val="auto"/>
          <w:kern w:val="2"/>
          <w:sz w:val="21"/>
          <w:szCs w:val="24"/>
          <w:highlight w:val="none"/>
          <w:lang w:val="en-US" w:eastAsia="zh-CN" w:bidi="ar-SA"/>
        </w:rPr>
      </w:pPr>
      <w:r>
        <w:rPr>
          <w:rFonts w:hint="eastAsia" w:ascii="宋体" w:hAnsi="宋体" w:eastAsia="宋体" w:cs="宋体"/>
          <w:color w:val="auto"/>
          <w:kern w:val="2"/>
          <w:sz w:val="21"/>
          <w:szCs w:val="21"/>
          <w:highlight w:val="none"/>
          <w:lang w:val="en-US" w:eastAsia="zh-CN" w:bidi="ar-SA"/>
        </w:rPr>
        <w:t>5.交货地点：河南省周口生态环境监测中心指定地点。</w:t>
      </w:r>
    </w:p>
    <w:p w14:paraId="37B0C597">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Cs w:val="21"/>
          <w:highlight w:val="none"/>
          <w:lang w:val="zh-CN" w:eastAsia="zh-CN"/>
        </w:rPr>
      </w:pPr>
      <w:r>
        <w:rPr>
          <w:rFonts w:hint="eastAsia" w:ascii="宋体" w:hAnsi="宋体" w:eastAsia="宋体" w:cs="宋体"/>
          <w:color w:val="auto"/>
          <w:szCs w:val="21"/>
          <w:highlight w:val="none"/>
          <w:lang w:val="en-US" w:eastAsia="zh-CN"/>
        </w:rPr>
        <w:t>6.</w:t>
      </w:r>
      <w:r>
        <w:rPr>
          <w:rFonts w:hint="eastAsia" w:ascii="宋体" w:hAnsi="宋体" w:eastAsia="宋体" w:cs="宋体"/>
          <w:color w:val="auto"/>
          <w:szCs w:val="21"/>
          <w:highlight w:val="none"/>
          <w:lang w:eastAsia="zh-CN"/>
        </w:rPr>
        <w:t>质量保证期：设备验收合格后，整机质保24个月（其中离子色谱仪整机质保60个月）。</w:t>
      </w:r>
    </w:p>
    <w:p w14:paraId="0EDC57E7">
      <w:pPr>
        <w:spacing w:line="360" w:lineRule="auto"/>
        <w:ind w:firstLine="420" w:firstLineChars="200"/>
        <w:contextualSpacing/>
        <w:jc w:val="left"/>
        <w:rPr>
          <w:rFonts w:hint="eastAsia" w:ascii="宋体" w:hAnsi="宋体" w:eastAsia="宋体" w:cs="宋体"/>
          <w:color w:val="auto"/>
          <w:sz w:val="21"/>
          <w:szCs w:val="21"/>
          <w:highlight w:val="none"/>
        </w:rPr>
      </w:pPr>
      <w:r>
        <w:rPr>
          <w:rFonts w:hint="eastAsia" w:ascii="宋体" w:hAnsi="宋体" w:eastAsia="宋体" w:cs="宋体"/>
          <w:color w:val="auto"/>
          <w:kern w:val="0"/>
          <w:szCs w:val="21"/>
          <w:highlight w:val="none"/>
          <w:lang w:val="en-US" w:eastAsia="zh-CN"/>
        </w:rPr>
        <w:t>7.付款方式：</w:t>
      </w:r>
      <w:r>
        <w:rPr>
          <w:rFonts w:hint="eastAsia" w:ascii="宋体" w:hAnsi="宋体" w:eastAsia="宋体" w:cs="宋体"/>
          <w:i w:val="0"/>
          <w:iCs w:val="0"/>
          <w:color w:val="auto"/>
          <w:kern w:val="0"/>
          <w:sz w:val="21"/>
          <w:szCs w:val="21"/>
          <w:highlight w:val="none"/>
          <w:lang w:val="en-US" w:eastAsia="zh-CN" w:bidi="ar-SA"/>
        </w:rPr>
        <w:t>合同签订后，采购人向中标人支付合同金额的30%；全部设备到达采购人指定的交货地点且验收合格后，采购人向中标人支付合同金额的40%；全部设备安装调试完毕且验收合格后，采购人向中标人支付合同金额的30%</w:t>
      </w:r>
      <w:r>
        <w:rPr>
          <w:rFonts w:hint="eastAsia" w:cs="宋体"/>
          <w:i w:val="0"/>
          <w:iCs w:val="0"/>
          <w:color w:val="auto"/>
          <w:kern w:val="0"/>
          <w:sz w:val="21"/>
          <w:szCs w:val="21"/>
          <w:highlight w:val="none"/>
          <w:lang w:val="en-US" w:eastAsia="zh-CN" w:bidi="ar-SA"/>
        </w:rPr>
        <w:t>。</w:t>
      </w:r>
    </w:p>
    <w:p w14:paraId="58539D3C">
      <w:pPr>
        <w:keepNext w:val="0"/>
        <w:keepLines w:val="0"/>
        <w:pageBreakBefore w:val="0"/>
        <w:widowControl w:val="0"/>
        <w:kinsoku/>
        <w:wordWrap/>
        <w:overflowPunct/>
        <w:topLinePunct w:val="0"/>
        <w:autoSpaceDE w:val="0"/>
        <w:autoSpaceDN w:val="0"/>
        <w:bidi w:val="0"/>
        <w:adjustRightInd w:val="0"/>
        <w:snapToGrid/>
        <w:spacing w:line="360" w:lineRule="auto"/>
        <w:ind w:right="-23" w:firstLine="420" w:firstLineChars="200"/>
        <w:jc w:val="left"/>
        <w:textAlignment w:val="auto"/>
        <w:outlineLvl w:val="9"/>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8.包装和运输（如适用，须满足《关于印发〈商品包装政府采购需求标准（试行）〉〈快递包装政府采购需求标准（试行）〉的通知》（财办库﹝2020﹞123号））</w:t>
      </w:r>
    </w:p>
    <w:p w14:paraId="1094BD4C">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宋体" w:hAnsi="宋体" w:eastAsia="宋体" w:cs="宋体"/>
          <w:b/>
          <w:bCs/>
          <w:color w:val="auto"/>
          <w:kern w:val="0"/>
          <w:sz w:val="21"/>
          <w:szCs w:val="21"/>
          <w:highlight w:val="none"/>
          <w:lang w:val="en-US" w:eastAsia="zh-CN" w:bidi="ar"/>
        </w:rPr>
      </w:pPr>
      <w:r>
        <w:rPr>
          <w:rFonts w:hint="eastAsia" w:ascii="宋体" w:hAnsi="宋体" w:eastAsia="宋体" w:cs="宋体"/>
          <w:b/>
          <w:bCs/>
          <w:color w:val="auto"/>
          <w:kern w:val="0"/>
          <w:sz w:val="21"/>
          <w:szCs w:val="21"/>
          <w:highlight w:val="none"/>
          <w:lang w:val="en-US" w:eastAsia="zh-CN" w:bidi="ar"/>
        </w:rPr>
        <w:t xml:space="preserve">三、技术要求 </w:t>
      </w:r>
    </w:p>
    <w:p w14:paraId="3EE95AEA">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1"/>
          <w:szCs w:val="21"/>
          <w:highlight w:val="none"/>
        </w:rPr>
      </w:pPr>
      <w:r>
        <w:rPr>
          <w:rFonts w:hint="eastAsia" w:ascii="宋体" w:hAnsi="宋体" w:eastAsia="宋体" w:cs="宋体"/>
          <w:b/>
          <w:bCs/>
          <w:color w:val="auto"/>
          <w:kern w:val="0"/>
          <w:sz w:val="21"/>
          <w:szCs w:val="21"/>
          <w:highlight w:val="none"/>
          <w:lang w:val="en-US" w:eastAsia="zh-CN" w:bidi="ar"/>
        </w:rPr>
        <w:t>3.1 基本要求</w:t>
      </w:r>
    </w:p>
    <w:p w14:paraId="61FF1C44">
      <w:pPr>
        <w:keepNext w:val="0"/>
        <w:keepLines w:val="0"/>
        <w:pageBreakBefore w:val="0"/>
        <w:widowControl w:val="0"/>
        <w:kinsoku/>
        <w:wordWrap/>
        <w:overflowPunct/>
        <w:topLinePunct w:val="0"/>
        <w:autoSpaceDE w:val="0"/>
        <w:autoSpaceDN w:val="0"/>
        <w:bidi w:val="0"/>
        <w:adjustRightInd w:val="0"/>
        <w:snapToGrid/>
        <w:spacing w:line="360" w:lineRule="auto"/>
        <w:ind w:right="-23" w:firstLine="422" w:firstLineChars="200"/>
        <w:jc w:val="left"/>
        <w:textAlignment w:val="auto"/>
        <w:outlineLvl w:val="9"/>
        <w:rPr>
          <w:rFonts w:hint="eastAsia" w:ascii="宋体" w:hAnsi="宋体" w:eastAsia="宋体" w:cs="宋体"/>
          <w:b/>
          <w:bCs/>
          <w:color w:val="auto"/>
          <w:kern w:val="0"/>
          <w:szCs w:val="21"/>
          <w:highlight w:val="none"/>
          <w:lang w:val="en-US" w:eastAsia="zh-CN"/>
        </w:rPr>
      </w:pPr>
      <w:r>
        <w:rPr>
          <w:rFonts w:hint="eastAsia" w:ascii="宋体" w:hAnsi="宋体" w:eastAsia="宋体" w:cs="宋体"/>
          <w:b/>
          <w:bCs/>
          <w:color w:val="auto"/>
          <w:kern w:val="0"/>
          <w:szCs w:val="21"/>
          <w:highlight w:val="none"/>
          <w:lang w:val="en-US" w:eastAsia="zh-CN"/>
        </w:rPr>
        <w:t>（一）采购标的需实现的功能或者目标</w:t>
      </w:r>
    </w:p>
    <w:p w14:paraId="53F60CB4">
      <w:pPr>
        <w:keepNext w:val="0"/>
        <w:keepLines w:val="0"/>
        <w:pageBreakBefore w:val="0"/>
        <w:widowControl w:val="0"/>
        <w:kinsoku/>
        <w:wordWrap/>
        <w:overflowPunct/>
        <w:topLinePunct w:val="0"/>
        <w:autoSpaceDE w:val="0"/>
        <w:autoSpaceDN w:val="0"/>
        <w:bidi w:val="0"/>
        <w:adjustRightInd w:val="0"/>
        <w:snapToGrid/>
        <w:spacing w:line="360" w:lineRule="auto"/>
        <w:ind w:right="-23" w:firstLine="420" w:firstLineChars="200"/>
        <w:jc w:val="left"/>
        <w:textAlignment w:val="auto"/>
        <w:outlineLvl w:val="9"/>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1.采购标的需实现的功能：为满足国省控及县级排名地表水断面、地下水饮用水水源地等常规监测与突发环境事件应急监测工作需要，开展相关环境监测与分析。</w:t>
      </w:r>
    </w:p>
    <w:p w14:paraId="0EE711F1">
      <w:pPr>
        <w:keepNext w:val="0"/>
        <w:keepLines w:val="0"/>
        <w:pageBreakBefore w:val="0"/>
        <w:widowControl w:val="0"/>
        <w:kinsoku/>
        <w:wordWrap/>
        <w:overflowPunct/>
        <w:topLinePunct w:val="0"/>
        <w:autoSpaceDE w:val="0"/>
        <w:autoSpaceDN w:val="0"/>
        <w:bidi w:val="0"/>
        <w:adjustRightInd w:val="0"/>
        <w:snapToGrid/>
        <w:spacing w:line="360" w:lineRule="auto"/>
        <w:ind w:right="-23" w:firstLine="420" w:firstLineChars="200"/>
        <w:jc w:val="left"/>
        <w:textAlignment w:val="auto"/>
        <w:outlineLvl w:val="9"/>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 xml:space="preserve">2.采购标的需实现的目标： </w:t>
      </w:r>
    </w:p>
    <w:p w14:paraId="1804AA7D">
      <w:pPr>
        <w:keepNext w:val="0"/>
        <w:keepLines w:val="0"/>
        <w:pageBreakBefore w:val="0"/>
        <w:widowControl w:val="0"/>
        <w:kinsoku/>
        <w:wordWrap/>
        <w:overflowPunct/>
        <w:topLinePunct w:val="0"/>
        <w:autoSpaceDE w:val="0"/>
        <w:autoSpaceDN w:val="0"/>
        <w:bidi w:val="0"/>
        <w:adjustRightInd w:val="0"/>
        <w:snapToGrid/>
        <w:spacing w:line="360" w:lineRule="auto"/>
        <w:ind w:right="-23" w:firstLine="420" w:firstLineChars="200"/>
        <w:jc w:val="left"/>
        <w:textAlignment w:val="auto"/>
        <w:outlineLvl w:val="9"/>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1）深入贯彻落实“监测先行、监测灵敏、监测准确”的工作要求，充分发挥环境监测在生态环境保护领域的“支撑、引领、服务”核心功能。通过全面加强周口监测中心基础能力建设，实现监测能力的显著提升，切实满足日益精细化、科学化的生态环境管理需求，为周口市持续改善环境质量、纵深推进污染防治攻坚战提供全面、科学、精准且可靠的技术保障体系。</w:t>
      </w:r>
    </w:p>
    <w:p w14:paraId="6CB0ADF0">
      <w:pPr>
        <w:keepNext w:val="0"/>
        <w:keepLines w:val="0"/>
        <w:pageBreakBefore w:val="0"/>
        <w:widowControl w:val="0"/>
        <w:kinsoku/>
        <w:wordWrap/>
        <w:overflowPunct/>
        <w:topLinePunct w:val="0"/>
        <w:autoSpaceDE w:val="0"/>
        <w:autoSpaceDN w:val="0"/>
        <w:bidi w:val="0"/>
        <w:adjustRightInd w:val="0"/>
        <w:snapToGrid/>
        <w:spacing w:line="360" w:lineRule="auto"/>
        <w:ind w:right="-23" w:firstLine="420" w:firstLineChars="200"/>
        <w:jc w:val="left"/>
        <w:textAlignment w:val="auto"/>
        <w:outlineLvl w:val="9"/>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2）项目的建成将全力保障周口市辖区范围内生态环境质量监测工作的高效、有序开展；为周口市辖区内生态环境管理及综合执法工作提供专业、权威的技术指导与支持；高质量完成省厅及市局委托的各项监测任务，确保监测数据真实有效、监测结论科学严谨。</w:t>
      </w:r>
    </w:p>
    <w:p w14:paraId="46AB1550">
      <w:pPr>
        <w:keepNext w:val="0"/>
        <w:keepLines w:val="0"/>
        <w:pageBreakBefore w:val="0"/>
        <w:widowControl w:val="0"/>
        <w:kinsoku/>
        <w:wordWrap/>
        <w:overflowPunct/>
        <w:topLinePunct w:val="0"/>
        <w:autoSpaceDE w:val="0"/>
        <w:autoSpaceDN w:val="0"/>
        <w:bidi w:val="0"/>
        <w:adjustRightInd w:val="0"/>
        <w:snapToGrid/>
        <w:spacing w:line="360" w:lineRule="auto"/>
        <w:ind w:right="-23" w:firstLine="422" w:firstLineChars="200"/>
        <w:jc w:val="left"/>
        <w:textAlignment w:val="auto"/>
        <w:outlineLvl w:val="9"/>
        <w:rPr>
          <w:rFonts w:hint="eastAsia" w:ascii="宋体" w:hAnsi="宋体" w:eastAsia="宋体" w:cs="宋体"/>
          <w:b/>
          <w:bCs/>
          <w:color w:val="auto"/>
          <w:kern w:val="0"/>
          <w:szCs w:val="21"/>
          <w:highlight w:val="none"/>
          <w:lang w:val="en-US" w:eastAsia="zh-CN"/>
        </w:rPr>
      </w:pPr>
      <w:r>
        <w:rPr>
          <w:rFonts w:hint="eastAsia" w:ascii="宋体" w:hAnsi="宋体" w:eastAsia="宋体" w:cs="宋体"/>
          <w:b/>
          <w:bCs/>
          <w:color w:val="auto"/>
          <w:kern w:val="0"/>
          <w:szCs w:val="21"/>
          <w:highlight w:val="none"/>
          <w:lang w:val="en-US" w:eastAsia="zh-CN"/>
        </w:rPr>
        <w:t>（二）需执行的国家相关标准、行业标准、地方标准或者其他标准、规范</w:t>
      </w:r>
    </w:p>
    <w:p w14:paraId="357AE76D">
      <w:pPr>
        <w:keepNext w:val="0"/>
        <w:keepLines w:val="0"/>
        <w:pageBreakBefore w:val="0"/>
        <w:widowControl w:val="0"/>
        <w:kinsoku/>
        <w:wordWrap/>
        <w:overflowPunct/>
        <w:topLinePunct w:val="0"/>
        <w:autoSpaceDE w:val="0"/>
        <w:autoSpaceDN w:val="0"/>
        <w:bidi w:val="0"/>
        <w:adjustRightInd w:val="0"/>
        <w:snapToGrid/>
        <w:spacing w:line="360" w:lineRule="auto"/>
        <w:ind w:right="-23" w:firstLine="420" w:firstLineChars="200"/>
        <w:jc w:val="left"/>
        <w:textAlignment w:val="auto"/>
        <w:outlineLvl w:val="9"/>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本项目执行国家、行业及地方现行有效相关标准、规范，若有新版本，按最新版本执行。</w:t>
      </w:r>
    </w:p>
    <w:p w14:paraId="678B741C">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宋体" w:hAnsi="宋体" w:eastAsia="宋体" w:cs="宋体"/>
          <w:b/>
          <w:bCs/>
          <w:color w:val="auto"/>
          <w:kern w:val="0"/>
          <w:sz w:val="21"/>
          <w:szCs w:val="21"/>
          <w:highlight w:val="none"/>
          <w:lang w:val="en-US" w:eastAsia="zh-CN" w:bidi="ar"/>
        </w:rPr>
      </w:pPr>
      <w:r>
        <w:rPr>
          <w:rFonts w:hint="eastAsia" w:ascii="宋体" w:hAnsi="宋体" w:eastAsia="宋体" w:cs="宋体"/>
          <w:b/>
          <w:bCs/>
          <w:color w:val="auto"/>
          <w:kern w:val="0"/>
          <w:sz w:val="21"/>
          <w:szCs w:val="21"/>
          <w:highlight w:val="none"/>
          <w:lang w:val="en-US" w:eastAsia="zh-CN" w:bidi="ar"/>
        </w:rPr>
        <w:t>3.2技术参数要求</w:t>
      </w:r>
    </w:p>
    <w:p w14:paraId="27716A53">
      <w:pPr>
        <w:keepNext w:val="0"/>
        <w:keepLines w:val="0"/>
        <w:pageBreakBefore w:val="0"/>
        <w:widowControl/>
        <w:numPr>
          <w:ilvl w:val="0"/>
          <w:numId w:val="0"/>
        </w:numPr>
        <w:kinsoku/>
        <w:wordWrap/>
        <w:overflowPunct/>
        <w:topLinePunct w:val="0"/>
        <w:bidi w:val="0"/>
        <w:snapToGrid/>
        <w:spacing w:line="360" w:lineRule="auto"/>
        <w:jc w:val="left"/>
        <w:textAlignment w:val="auto"/>
        <w:rPr>
          <w:rFonts w:hint="eastAsia" w:ascii="宋体" w:hAnsi="宋体" w:eastAsia="宋体" w:cs="宋体"/>
          <w:b/>
          <w:bCs/>
          <w:color w:val="auto"/>
          <w:kern w:val="2"/>
          <w:sz w:val="21"/>
          <w:szCs w:val="21"/>
          <w:highlight w:val="none"/>
          <w:lang w:val="en-US" w:eastAsia="zh-CN" w:bidi="ar-SA"/>
        </w:rPr>
      </w:pPr>
      <w:bookmarkStart w:id="718" w:name="_Toc10129558"/>
      <w:r>
        <w:rPr>
          <w:rFonts w:hint="eastAsia" w:ascii="宋体" w:hAnsi="宋体" w:eastAsia="宋体" w:cs="宋体"/>
          <w:b/>
          <w:bCs/>
          <w:color w:val="auto"/>
          <w:kern w:val="2"/>
          <w:sz w:val="21"/>
          <w:szCs w:val="21"/>
          <w:highlight w:val="none"/>
          <w:lang w:val="en-US" w:eastAsia="zh-CN" w:bidi="ar-SA"/>
        </w:rPr>
        <w:t>（一）离子色谱仪</w:t>
      </w:r>
    </w:p>
    <w:bookmarkEnd w:id="718"/>
    <w:p w14:paraId="74FFB1A4">
      <w:pPr>
        <w:keepNext w:val="0"/>
        <w:keepLines w:val="0"/>
        <w:pageBreakBefore w:val="0"/>
        <w:widowControl/>
        <w:kinsoku/>
        <w:wordWrap/>
        <w:overflowPunct/>
        <w:topLinePunct w:val="0"/>
        <w:autoSpaceDE w:val="0"/>
        <w:autoSpaceDN w:val="0"/>
        <w:bidi w:val="0"/>
        <w:adjustRightInd w:val="0"/>
        <w:snapToGrid/>
        <w:jc w:val="left"/>
        <w:textAlignment w:val="auto"/>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1.采购内容</w:t>
      </w:r>
    </w:p>
    <w:p w14:paraId="2B2B65B0">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采购离子色谱仪1套，主要用于</w:t>
      </w:r>
      <w:r>
        <w:rPr>
          <w:rFonts w:hint="eastAsia" w:ascii="宋体" w:hAnsi="宋体" w:eastAsia="宋体" w:cs="宋体"/>
          <w:color w:val="auto"/>
          <w:sz w:val="21"/>
          <w:szCs w:val="21"/>
          <w:highlight w:val="none"/>
          <w:lang w:val="en-US" w:eastAsia="zh-CN"/>
        </w:rPr>
        <w:t>分析样品中</w:t>
      </w:r>
      <w:r>
        <w:rPr>
          <w:rFonts w:hint="eastAsia" w:ascii="宋体" w:hAnsi="宋体" w:eastAsia="宋体" w:cs="宋体"/>
          <w:color w:val="auto"/>
          <w:sz w:val="21"/>
          <w:szCs w:val="21"/>
          <w:highlight w:val="none"/>
        </w:rPr>
        <w:t>阴离子（F</w:t>
      </w:r>
      <w:r>
        <w:rPr>
          <w:rFonts w:hint="eastAsia" w:ascii="宋体" w:hAnsi="宋体" w:eastAsia="宋体" w:cs="宋体"/>
          <w:color w:val="auto"/>
          <w:sz w:val="21"/>
          <w:szCs w:val="21"/>
          <w:highlight w:val="none"/>
          <w:vertAlign w:val="superscript"/>
        </w:rPr>
        <w:t>-</w:t>
      </w:r>
      <w:r>
        <w:rPr>
          <w:rFonts w:hint="eastAsia" w:ascii="宋体" w:hAnsi="宋体" w:eastAsia="宋体" w:cs="宋体"/>
          <w:color w:val="auto"/>
          <w:sz w:val="21"/>
          <w:szCs w:val="21"/>
          <w:highlight w:val="none"/>
        </w:rPr>
        <w:t>、Cl</w:t>
      </w:r>
      <w:r>
        <w:rPr>
          <w:rFonts w:hint="eastAsia" w:ascii="宋体" w:hAnsi="宋体" w:eastAsia="宋体" w:cs="宋体"/>
          <w:color w:val="auto"/>
          <w:sz w:val="21"/>
          <w:szCs w:val="21"/>
          <w:highlight w:val="none"/>
          <w:vertAlign w:val="superscript"/>
        </w:rPr>
        <w:t>-</w:t>
      </w:r>
      <w:r>
        <w:rPr>
          <w:rFonts w:hint="eastAsia" w:ascii="宋体" w:hAnsi="宋体" w:eastAsia="宋体" w:cs="宋体"/>
          <w:color w:val="auto"/>
          <w:sz w:val="21"/>
          <w:szCs w:val="21"/>
          <w:highlight w:val="none"/>
        </w:rPr>
        <w:t>、Br</w:t>
      </w:r>
      <w:r>
        <w:rPr>
          <w:rFonts w:hint="eastAsia" w:ascii="宋体" w:hAnsi="宋体" w:eastAsia="宋体" w:cs="宋体"/>
          <w:color w:val="auto"/>
          <w:sz w:val="21"/>
          <w:szCs w:val="21"/>
          <w:highlight w:val="none"/>
          <w:vertAlign w:val="superscript"/>
        </w:rPr>
        <w:t>-</w:t>
      </w:r>
      <w:r>
        <w:rPr>
          <w:rFonts w:hint="eastAsia" w:ascii="宋体" w:hAnsi="宋体" w:eastAsia="宋体" w:cs="宋体"/>
          <w:color w:val="auto"/>
          <w:sz w:val="21"/>
          <w:szCs w:val="21"/>
          <w:highlight w:val="none"/>
        </w:rPr>
        <w:t>、BrO</w:t>
      </w:r>
      <w:r>
        <w:rPr>
          <w:rFonts w:hint="eastAsia" w:ascii="宋体" w:hAnsi="宋体" w:eastAsia="宋体" w:cs="宋体"/>
          <w:color w:val="auto"/>
          <w:sz w:val="21"/>
          <w:szCs w:val="21"/>
          <w:highlight w:val="none"/>
          <w:vertAlign w:val="subscript"/>
        </w:rPr>
        <w:t>3</w:t>
      </w:r>
      <w:r>
        <w:rPr>
          <w:rFonts w:hint="eastAsia" w:ascii="宋体" w:hAnsi="宋体" w:eastAsia="宋体" w:cs="宋体"/>
          <w:color w:val="auto"/>
          <w:sz w:val="21"/>
          <w:szCs w:val="21"/>
          <w:highlight w:val="none"/>
          <w:vertAlign w:val="superscript"/>
        </w:rPr>
        <w:t>-</w:t>
      </w:r>
      <w:r>
        <w:rPr>
          <w:rFonts w:hint="eastAsia" w:ascii="宋体" w:hAnsi="宋体" w:eastAsia="宋体" w:cs="宋体"/>
          <w:color w:val="auto"/>
          <w:sz w:val="21"/>
          <w:szCs w:val="21"/>
          <w:highlight w:val="none"/>
        </w:rPr>
        <w:t>、NO</w:t>
      </w:r>
      <w:r>
        <w:rPr>
          <w:rFonts w:hint="eastAsia" w:ascii="宋体" w:hAnsi="宋体" w:eastAsia="宋体" w:cs="宋体"/>
          <w:color w:val="auto"/>
          <w:sz w:val="21"/>
          <w:szCs w:val="21"/>
          <w:highlight w:val="none"/>
          <w:vertAlign w:val="subscript"/>
        </w:rPr>
        <w:t>3</w:t>
      </w:r>
      <w:r>
        <w:rPr>
          <w:rFonts w:hint="eastAsia" w:ascii="宋体" w:hAnsi="宋体" w:eastAsia="宋体" w:cs="宋体"/>
          <w:color w:val="auto"/>
          <w:sz w:val="21"/>
          <w:szCs w:val="21"/>
          <w:highlight w:val="none"/>
          <w:vertAlign w:val="superscript"/>
        </w:rPr>
        <w:t>-</w:t>
      </w:r>
      <w:r>
        <w:rPr>
          <w:rFonts w:hint="eastAsia" w:ascii="宋体" w:hAnsi="宋体" w:eastAsia="宋体" w:cs="宋体"/>
          <w:color w:val="auto"/>
          <w:sz w:val="21"/>
          <w:szCs w:val="21"/>
          <w:highlight w:val="none"/>
        </w:rPr>
        <w:t>、NO</w:t>
      </w:r>
      <w:r>
        <w:rPr>
          <w:rFonts w:hint="eastAsia" w:ascii="宋体" w:hAnsi="宋体" w:eastAsia="宋体" w:cs="宋体"/>
          <w:color w:val="auto"/>
          <w:sz w:val="21"/>
          <w:szCs w:val="21"/>
          <w:highlight w:val="none"/>
          <w:vertAlign w:val="subscript"/>
        </w:rPr>
        <w:t>2</w:t>
      </w:r>
      <w:r>
        <w:rPr>
          <w:rFonts w:hint="eastAsia" w:ascii="宋体" w:hAnsi="宋体" w:eastAsia="宋体" w:cs="宋体"/>
          <w:color w:val="auto"/>
          <w:sz w:val="21"/>
          <w:szCs w:val="21"/>
          <w:highlight w:val="none"/>
          <w:vertAlign w:val="superscript"/>
        </w:rPr>
        <w:t>-</w:t>
      </w:r>
      <w:r>
        <w:rPr>
          <w:rFonts w:hint="eastAsia" w:ascii="宋体" w:hAnsi="宋体" w:eastAsia="宋体" w:cs="宋体"/>
          <w:color w:val="auto"/>
          <w:sz w:val="21"/>
          <w:szCs w:val="21"/>
          <w:highlight w:val="none"/>
        </w:rPr>
        <w:t>、SO</w:t>
      </w:r>
      <w:r>
        <w:rPr>
          <w:rFonts w:hint="eastAsia" w:ascii="宋体" w:hAnsi="宋体" w:eastAsia="宋体" w:cs="宋体"/>
          <w:color w:val="auto"/>
          <w:sz w:val="21"/>
          <w:szCs w:val="21"/>
          <w:highlight w:val="none"/>
          <w:vertAlign w:val="subscript"/>
        </w:rPr>
        <w:t>4</w:t>
      </w:r>
      <w:r>
        <w:rPr>
          <w:rFonts w:hint="eastAsia" w:ascii="宋体" w:hAnsi="宋体" w:eastAsia="宋体" w:cs="宋体"/>
          <w:color w:val="auto"/>
          <w:sz w:val="21"/>
          <w:szCs w:val="21"/>
          <w:highlight w:val="none"/>
          <w:vertAlign w:val="superscript"/>
        </w:rPr>
        <w:t>2-</w:t>
      </w:r>
      <w:r>
        <w:rPr>
          <w:rFonts w:hint="eastAsia" w:ascii="宋体" w:hAnsi="宋体" w:eastAsia="宋体" w:cs="宋体"/>
          <w:color w:val="auto"/>
          <w:sz w:val="21"/>
          <w:szCs w:val="21"/>
          <w:highlight w:val="none"/>
        </w:rPr>
        <w:t xml:space="preserve"> 、PO</w:t>
      </w:r>
      <w:r>
        <w:rPr>
          <w:rFonts w:hint="eastAsia" w:ascii="宋体" w:hAnsi="宋体" w:eastAsia="宋体" w:cs="宋体"/>
          <w:color w:val="auto"/>
          <w:sz w:val="21"/>
          <w:szCs w:val="21"/>
          <w:highlight w:val="none"/>
          <w:vertAlign w:val="subscript"/>
        </w:rPr>
        <w:t>4</w:t>
      </w:r>
      <w:r>
        <w:rPr>
          <w:rFonts w:hint="eastAsia" w:ascii="宋体" w:hAnsi="宋体" w:eastAsia="宋体" w:cs="宋体"/>
          <w:color w:val="auto"/>
          <w:sz w:val="21"/>
          <w:szCs w:val="21"/>
          <w:highlight w:val="none"/>
          <w:vertAlign w:val="superscript"/>
        </w:rPr>
        <w:t>3-</w:t>
      </w:r>
      <w:r>
        <w:rPr>
          <w:rFonts w:hint="eastAsia" w:ascii="宋体" w:hAnsi="宋体" w:eastAsia="宋体" w:cs="宋体"/>
          <w:color w:val="auto"/>
          <w:sz w:val="21"/>
          <w:szCs w:val="21"/>
          <w:highlight w:val="none"/>
        </w:rPr>
        <w:t>等）</w:t>
      </w:r>
      <w:r>
        <w:rPr>
          <w:rFonts w:hint="eastAsia" w:ascii="宋体" w:hAnsi="宋体" w:eastAsia="宋体" w:cs="宋体"/>
          <w:color w:val="auto"/>
          <w:sz w:val="21"/>
          <w:szCs w:val="21"/>
          <w:highlight w:val="none"/>
          <w:lang w:val="en-US" w:eastAsia="zh-CN"/>
        </w:rPr>
        <w:t>和</w:t>
      </w:r>
      <w:r>
        <w:rPr>
          <w:rFonts w:hint="eastAsia" w:ascii="宋体" w:hAnsi="宋体" w:eastAsia="宋体" w:cs="宋体"/>
          <w:color w:val="auto"/>
          <w:sz w:val="21"/>
          <w:szCs w:val="21"/>
          <w:highlight w:val="none"/>
        </w:rPr>
        <w:t>阳离子（Li</w:t>
      </w:r>
      <w:r>
        <w:rPr>
          <w:rFonts w:hint="eastAsia" w:ascii="宋体" w:hAnsi="宋体" w:eastAsia="宋体" w:cs="宋体"/>
          <w:color w:val="auto"/>
          <w:sz w:val="21"/>
          <w:szCs w:val="21"/>
          <w:highlight w:val="none"/>
          <w:vertAlign w:val="superscript"/>
        </w:rPr>
        <w:t>+</w:t>
      </w:r>
      <w:r>
        <w:rPr>
          <w:rFonts w:hint="eastAsia" w:ascii="宋体" w:hAnsi="宋体" w:eastAsia="宋体" w:cs="宋体"/>
          <w:color w:val="auto"/>
          <w:sz w:val="21"/>
          <w:szCs w:val="21"/>
          <w:highlight w:val="none"/>
        </w:rPr>
        <w:t>、Na</w:t>
      </w:r>
      <w:r>
        <w:rPr>
          <w:rFonts w:hint="eastAsia" w:ascii="宋体" w:hAnsi="宋体" w:eastAsia="宋体" w:cs="宋体"/>
          <w:color w:val="auto"/>
          <w:sz w:val="21"/>
          <w:szCs w:val="21"/>
          <w:highlight w:val="none"/>
          <w:vertAlign w:val="superscript"/>
        </w:rPr>
        <w:t>+</w:t>
      </w:r>
      <w:r>
        <w:rPr>
          <w:rFonts w:hint="eastAsia" w:ascii="宋体" w:hAnsi="宋体" w:eastAsia="宋体" w:cs="宋体"/>
          <w:color w:val="auto"/>
          <w:sz w:val="21"/>
          <w:szCs w:val="21"/>
          <w:highlight w:val="none"/>
        </w:rPr>
        <w:t>、NH</w:t>
      </w:r>
      <w:r>
        <w:rPr>
          <w:rFonts w:hint="eastAsia" w:ascii="宋体" w:hAnsi="宋体" w:eastAsia="宋体" w:cs="宋体"/>
          <w:color w:val="auto"/>
          <w:sz w:val="21"/>
          <w:szCs w:val="21"/>
          <w:highlight w:val="none"/>
          <w:vertAlign w:val="subscript"/>
        </w:rPr>
        <w:t>4</w:t>
      </w:r>
      <w:r>
        <w:rPr>
          <w:rFonts w:hint="eastAsia" w:ascii="宋体" w:hAnsi="宋体" w:eastAsia="宋体" w:cs="宋体"/>
          <w:color w:val="auto"/>
          <w:sz w:val="21"/>
          <w:szCs w:val="21"/>
          <w:highlight w:val="none"/>
          <w:vertAlign w:val="superscript"/>
        </w:rPr>
        <w:t>+</w:t>
      </w:r>
      <w:r>
        <w:rPr>
          <w:rFonts w:hint="eastAsia" w:ascii="宋体" w:hAnsi="宋体" w:eastAsia="宋体" w:cs="宋体"/>
          <w:color w:val="auto"/>
          <w:sz w:val="21"/>
          <w:szCs w:val="21"/>
          <w:highlight w:val="none"/>
        </w:rPr>
        <w:t>、K</w:t>
      </w:r>
      <w:r>
        <w:rPr>
          <w:rFonts w:hint="eastAsia" w:ascii="宋体" w:hAnsi="宋体" w:eastAsia="宋体" w:cs="宋体"/>
          <w:color w:val="auto"/>
          <w:sz w:val="21"/>
          <w:szCs w:val="21"/>
          <w:highlight w:val="none"/>
          <w:vertAlign w:val="superscript"/>
        </w:rPr>
        <w:t>+</w:t>
      </w:r>
      <w:r>
        <w:rPr>
          <w:rFonts w:hint="eastAsia" w:ascii="宋体" w:hAnsi="宋体" w:eastAsia="宋体" w:cs="宋体"/>
          <w:color w:val="auto"/>
          <w:sz w:val="21"/>
          <w:szCs w:val="21"/>
          <w:highlight w:val="none"/>
        </w:rPr>
        <w:t>、Mg</w:t>
      </w:r>
      <w:r>
        <w:rPr>
          <w:rFonts w:hint="eastAsia" w:ascii="宋体" w:hAnsi="宋体" w:eastAsia="宋体" w:cs="宋体"/>
          <w:color w:val="auto"/>
          <w:sz w:val="21"/>
          <w:szCs w:val="21"/>
          <w:highlight w:val="none"/>
          <w:vertAlign w:val="superscript"/>
        </w:rPr>
        <w:t>2+</w:t>
      </w:r>
      <w:r>
        <w:rPr>
          <w:rFonts w:hint="eastAsia" w:ascii="宋体" w:hAnsi="宋体" w:eastAsia="宋体" w:cs="宋体"/>
          <w:color w:val="auto"/>
          <w:sz w:val="21"/>
          <w:szCs w:val="21"/>
          <w:highlight w:val="none"/>
        </w:rPr>
        <w:t>、Ca</w:t>
      </w:r>
      <w:r>
        <w:rPr>
          <w:rFonts w:hint="eastAsia" w:ascii="宋体" w:hAnsi="宋体" w:eastAsia="宋体" w:cs="宋体"/>
          <w:color w:val="auto"/>
          <w:sz w:val="21"/>
          <w:szCs w:val="21"/>
          <w:highlight w:val="none"/>
          <w:vertAlign w:val="superscript"/>
        </w:rPr>
        <w:t>2+</w:t>
      </w:r>
      <w:r>
        <w:rPr>
          <w:rFonts w:hint="eastAsia" w:ascii="宋体" w:hAnsi="宋体" w:eastAsia="宋体" w:cs="宋体"/>
          <w:color w:val="auto"/>
          <w:sz w:val="21"/>
          <w:szCs w:val="21"/>
          <w:highlight w:val="none"/>
        </w:rPr>
        <w:t>等）</w:t>
      </w:r>
      <w:r>
        <w:rPr>
          <w:rFonts w:hint="eastAsia" w:ascii="宋体" w:hAnsi="宋体" w:eastAsia="宋体" w:cs="宋体"/>
          <w:color w:val="auto"/>
          <w:sz w:val="21"/>
          <w:szCs w:val="21"/>
          <w:highlight w:val="none"/>
          <w:lang w:val="en-US" w:eastAsia="zh-CN"/>
        </w:rPr>
        <w:t>以及碘离子</w:t>
      </w:r>
      <w:r>
        <w:rPr>
          <w:rFonts w:hint="eastAsia" w:ascii="宋体" w:hAnsi="宋体" w:eastAsia="宋体" w:cs="宋体"/>
          <w:color w:val="auto"/>
          <w:sz w:val="21"/>
          <w:szCs w:val="21"/>
          <w:highlight w:val="none"/>
        </w:rPr>
        <w:t>。</w:t>
      </w:r>
    </w:p>
    <w:p w14:paraId="6A57F654">
      <w:pPr>
        <w:keepNext w:val="0"/>
        <w:keepLines w:val="0"/>
        <w:pageBreakBefore w:val="0"/>
        <w:widowControl/>
        <w:numPr>
          <w:ilvl w:val="0"/>
          <w:numId w:val="0"/>
        </w:numPr>
        <w:kinsoku/>
        <w:wordWrap/>
        <w:overflowPunct/>
        <w:topLinePunct w:val="0"/>
        <w:bidi w:val="0"/>
        <w:snapToGrid/>
        <w:spacing w:line="360" w:lineRule="auto"/>
        <w:jc w:val="left"/>
        <w:textAlignment w:val="auto"/>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b/>
          <w:bCs/>
          <w:color w:val="auto"/>
          <w:kern w:val="2"/>
          <w:sz w:val="21"/>
          <w:szCs w:val="21"/>
          <w:highlight w:val="none"/>
          <w:lang w:val="en-US" w:eastAsia="zh-CN" w:bidi="ar-SA"/>
        </w:rPr>
        <w:t>2.技术参数要求</w:t>
      </w:r>
    </w:p>
    <w:p w14:paraId="1939A146">
      <w:pPr>
        <w:keepNext w:val="0"/>
        <w:keepLines w:val="0"/>
        <w:pageBreakBefore w:val="0"/>
        <w:widowControl/>
        <w:kinsoku/>
        <w:wordWrap/>
        <w:overflowPunct/>
        <w:topLinePunct w:val="0"/>
        <w:autoSpaceDE/>
        <w:autoSpaceDN/>
        <w:bidi w:val="0"/>
        <w:adjustRightInd/>
        <w:snapToGrid/>
        <w:spacing w:line="360" w:lineRule="auto"/>
        <w:ind w:firstLine="422" w:firstLineChars="200"/>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2.1系统参数</w:t>
      </w:r>
    </w:p>
    <w:p w14:paraId="5762691E">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2.1.1全系统采用全塑非金属流路；所有的离子色谱流路均采用PEEK材质，包括分析泵（含泵外壳）、</w:t>
      </w:r>
      <w:r>
        <w:rPr>
          <w:rFonts w:hint="eastAsia" w:ascii="宋体" w:hAnsi="宋体" w:eastAsia="宋体" w:cs="宋体"/>
          <w:color w:val="auto"/>
          <w:sz w:val="21"/>
          <w:szCs w:val="21"/>
          <w:highlight w:val="none"/>
          <w:lang w:val="en-US" w:eastAsia="zh-CN"/>
        </w:rPr>
        <w:t>多</w:t>
      </w:r>
      <w:r>
        <w:rPr>
          <w:rFonts w:hint="eastAsia" w:ascii="宋体" w:hAnsi="宋体" w:eastAsia="宋体" w:cs="宋体"/>
          <w:color w:val="auto"/>
          <w:sz w:val="21"/>
          <w:szCs w:val="21"/>
          <w:highlight w:val="none"/>
        </w:rPr>
        <w:t>通阀、色谱柱、抑制器及检测器之间的所有管路；其中常用的电导检测器、安培检测器采用模块组件设计，自由更换，无需拆卸管路，软件自动识别。</w:t>
      </w:r>
    </w:p>
    <w:p w14:paraId="65F9E9D1">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2.1.2 阴离子、阳离子主机完全独立个体，独立运行，非集成一体机，各自独立的自动进样系统、抑制、分离、检测及分析软件。每台主机具备扩展安培检测器的功能。 </w:t>
      </w:r>
    </w:p>
    <w:p w14:paraId="4BFE76F3">
      <w:pPr>
        <w:keepNext w:val="0"/>
        <w:keepLines w:val="0"/>
        <w:pageBreakBefore w:val="0"/>
        <w:widowControl/>
        <w:kinsoku/>
        <w:wordWrap/>
        <w:overflowPunct/>
        <w:topLinePunct w:val="0"/>
        <w:autoSpaceDE/>
        <w:autoSpaceDN/>
        <w:bidi w:val="0"/>
        <w:adjustRightInd/>
        <w:snapToGrid/>
        <w:spacing w:line="360" w:lineRule="auto"/>
        <w:ind w:firstLine="422" w:firstLineChars="200"/>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2.2色谱泵系统</w:t>
      </w:r>
    </w:p>
    <w:p w14:paraId="213B67F1">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2.2.1高性能/低脉冲双柱塞泵，采用惰性全PEEK泵头（非内衬PEEK外包不锈钢材质）、PEEK管路，适合于pH为0~14的淋洗液及反相有机溶剂，可在等度泵基础上直接增加内置式四元比例阀，实现四元梯度泵；（提供实物照片证明文件）</w:t>
      </w:r>
      <w:r>
        <w:rPr>
          <w:rFonts w:hint="eastAsia" w:ascii="宋体" w:hAnsi="宋体" w:eastAsia="宋体" w:cs="宋体"/>
          <w:color w:val="auto"/>
          <w:sz w:val="21"/>
          <w:szCs w:val="21"/>
          <w:highlight w:val="none"/>
          <w:lang w:eastAsia="zh-CN"/>
        </w:rPr>
        <w:t>。</w:t>
      </w:r>
    </w:p>
    <w:p w14:paraId="7B5E1CAD">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2.2.2输液泵具备内置式独立体主辅泵头。</w:t>
      </w:r>
    </w:p>
    <w:p w14:paraId="307284AD">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2.2.3具有电子脉动抑制技术独立驱动的串联双柱塞。</w:t>
      </w:r>
    </w:p>
    <w:p w14:paraId="4D169C84">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2.2.4全PEEK泵流量：（0.001～12.000）mL/min； </w:t>
      </w:r>
    </w:p>
    <w:p w14:paraId="2D44E9A3">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★2.2.5泵头耐压：</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42MPa；</w:t>
      </w:r>
    </w:p>
    <w:p w14:paraId="556B6E09">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2.2.6流量设定误差：</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0.2%；</w:t>
      </w:r>
    </w:p>
    <w:p w14:paraId="4A81249B">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2.2.7流量稳定性：</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0.2%；</w:t>
      </w:r>
    </w:p>
    <w:p w14:paraId="22296F53">
      <w:pPr>
        <w:keepNext w:val="0"/>
        <w:keepLines w:val="0"/>
        <w:pageBreakBefore w:val="0"/>
        <w:widowControl/>
        <w:kinsoku/>
        <w:wordWrap/>
        <w:overflowPunct/>
        <w:topLinePunct w:val="0"/>
        <w:autoSpaceDE/>
        <w:autoSpaceDN/>
        <w:bidi w:val="0"/>
        <w:adjustRightInd/>
        <w:snapToGrid/>
        <w:spacing w:line="360" w:lineRule="auto"/>
        <w:ind w:firstLine="422" w:firstLineChars="200"/>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2.3淋洗液发生器</w:t>
      </w:r>
    </w:p>
    <w:p w14:paraId="467751B4">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2.3.1流量范围</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0.001～3.000ml/min；</w:t>
      </w:r>
    </w:p>
    <w:p w14:paraId="0002D937">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2.3.2淋洗液浓度范围</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KOH、MSA</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0.01～100.00mM；</w:t>
      </w:r>
    </w:p>
    <w:p w14:paraId="446B8DAE">
      <w:pPr>
        <w:widowControl/>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2.3.3浓度准确度</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0.1mM；</w:t>
      </w:r>
    </w:p>
    <w:p w14:paraId="7CC7BFA3">
      <w:pPr>
        <w:widowControl/>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2.3.4电解液原始浓度</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25% KOH；</w:t>
      </w:r>
    </w:p>
    <w:p w14:paraId="21BC64E7">
      <w:pPr>
        <w:widowControl/>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2.3.5兼容有机溶剂最大浓度</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25%甲醇；</w:t>
      </w:r>
    </w:p>
    <w:p w14:paraId="687F7224">
      <w:pPr>
        <w:widowControl/>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2.3.6梯度精度：</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0.2%；</w:t>
      </w:r>
    </w:p>
    <w:p w14:paraId="23F48E58">
      <w:pPr>
        <w:widowControl/>
        <w:spacing w:line="360" w:lineRule="auto"/>
        <w:ind w:left="420" w:left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2.3.7特殊的卡槽设置，内置式淋洗液发生器； </w:t>
      </w:r>
    </w:p>
    <w:p w14:paraId="42A4DB15">
      <w:pPr>
        <w:widowControl/>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2.3.8可实现</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4级的梯度阶梯控制，仪器方法中可自由编辑梯度类型，可至少实现3种的阶梯类型，且由软件控制；</w:t>
      </w:r>
    </w:p>
    <w:p w14:paraId="72CC1C45">
      <w:pPr>
        <w:widowControl/>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2.3.9软件控制：可在软件中直接输入所需淋洗液浓度。</w:t>
      </w:r>
    </w:p>
    <w:p w14:paraId="2EA342B7">
      <w:pPr>
        <w:keepNext w:val="0"/>
        <w:keepLines w:val="0"/>
        <w:pageBreakBefore w:val="0"/>
        <w:widowControl/>
        <w:kinsoku/>
        <w:wordWrap/>
        <w:overflowPunct/>
        <w:topLinePunct w:val="0"/>
        <w:autoSpaceDE/>
        <w:autoSpaceDN/>
        <w:bidi w:val="0"/>
        <w:adjustRightInd/>
        <w:snapToGrid/>
        <w:spacing w:line="360" w:lineRule="auto"/>
        <w:ind w:firstLine="422" w:firstLineChars="200"/>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2.4自动进样器</w:t>
      </w:r>
    </w:p>
    <w:p w14:paraId="36F51E8B">
      <w:pPr>
        <w:widowControl/>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2.4.1工作方式：极坐标定位方式，注射泵定量取样方式，具有满环进样、部分进样及无损进样等可选模式；</w:t>
      </w:r>
    </w:p>
    <w:p w14:paraId="617545B3">
      <w:pPr>
        <w:widowControl/>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2.4.2★样品位数：</w:t>
      </w:r>
      <w:r>
        <w:rPr>
          <w:rFonts w:hint="eastAsia" w:ascii="宋体" w:hAnsi="宋体" w:eastAsia="宋体" w:cs="宋体"/>
          <w:color w:val="auto"/>
          <w:sz w:val="21"/>
          <w:szCs w:val="21"/>
          <w:highlight w:val="none"/>
          <w:lang w:val="en-US" w:eastAsia="zh-CN"/>
        </w:rPr>
        <w:t>不少于</w:t>
      </w:r>
      <w:r>
        <w:rPr>
          <w:rFonts w:hint="eastAsia" w:ascii="宋体" w:hAnsi="宋体" w:eastAsia="宋体" w:cs="宋体"/>
          <w:color w:val="auto"/>
          <w:sz w:val="21"/>
          <w:szCs w:val="21"/>
          <w:highlight w:val="none"/>
        </w:rPr>
        <w:t>120位，满足仪器</w:t>
      </w:r>
      <w:r>
        <w:rPr>
          <w:rFonts w:hint="eastAsia" w:ascii="宋体" w:hAnsi="宋体" w:eastAsia="宋体" w:cs="宋体"/>
          <w:color w:val="auto"/>
          <w:sz w:val="21"/>
          <w:szCs w:val="21"/>
          <w:highlight w:val="none"/>
          <w:lang w:val="en-US" w:eastAsia="zh-CN"/>
        </w:rPr>
        <w:t>至少可</w:t>
      </w:r>
      <w:r>
        <w:rPr>
          <w:rFonts w:hint="eastAsia" w:ascii="宋体" w:hAnsi="宋体" w:eastAsia="宋体" w:cs="宋体"/>
          <w:color w:val="auto"/>
          <w:sz w:val="21"/>
          <w:szCs w:val="21"/>
          <w:highlight w:val="none"/>
        </w:rPr>
        <w:t>连续24小时不间断运行需求；进样盘自由搭配，同一进样器可实现4mL，2mL样品盘两种不同的进样瓶同时存在，满足不同样品的进样体积需求。</w:t>
      </w:r>
    </w:p>
    <w:p w14:paraId="474A77F1">
      <w:pPr>
        <w:widowControl/>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2.4.3具有缺瓶报警、漏液报警</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开关门感应灯自动化智能化功能，保证设备可靠运行；</w:t>
      </w:r>
    </w:p>
    <w:p w14:paraId="252B9130">
      <w:pPr>
        <w:widowControl/>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2.4.4重复性：满环进样</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0.3%RSD（进样体积</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5uL）；</w:t>
      </w:r>
    </w:p>
    <w:p w14:paraId="2AA8CB16">
      <w:pPr>
        <w:widowControl/>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2.4.5定量环规格：标配：100ul ；选配：20ul，50ul，200ul；</w:t>
      </w:r>
    </w:p>
    <w:p w14:paraId="4160EA16">
      <w:pPr>
        <w:widowControl/>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2.4.6进样针清洗：具有独立清洗内/外壁洗针位，不限次数内外针清洗并具有吹干功能，可在样本间或每一针之间选择是否清洗；</w:t>
      </w:r>
    </w:p>
    <w:p w14:paraId="64CFC799">
      <w:pPr>
        <w:widowControl/>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2.4.7具有双通道分时进样功能，一机多能，软件自由控制；</w:t>
      </w:r>
    </w:p>
    <w:p w14:paraId="74CB1179">
      <w:pPr>
        <w:widowControl/>
        <w:spacing w:line="360" w:lineRule="auto"/>
        <w:ind w:firstLine="420" w:firstLineChars="20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2.4.8自动进样器具有稀释混匀技术；具有一次稀释</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二次稀释，提供软件截图和实验数据报告佐证</w:t>
      </w:r>
      <w:r>
        <w:rPr>
          <w:rFonts w:hint="eastAsia" w:ascii="宋体" w:hAnsi="宋体" w:eastAsia="宋体" w:cs="宋体"/>
          <w:color w:val="auto"/>
          <w:sz w:val="21"/>
          <w:szCs w:val="21"/>
          <w:highlight w:val="none"/>
          <w:lang w:eastAsia="zh-CN"/>
        </w:rPr>
        <w:t>。</w:t>
      </w:r>
    </w:p>
    <w:p w14:paraId="18344045">
      <w:pPr>
        <w:keepNext w:val="0"/>
        <w:keepLines w:val="0"/>
        <w:pageBreakBefore w:val="0"/>
        <w:widowControl/>
        <w:kinsoku/>
        <w:wordWrap/>
        <w:overflowPunct/>
        <w:topLinePunct w:val="0"/>
        <w:autoSpaceDE/>
        <w:autoSpaceDN/>
        <w:bidi w:val="0"/>
        <w:adjustRightInd/>
        <w:snapToGrid/>
        <w:spacing w:line="360" w:lineRule="auto"/>
        <w:ind w:firstLine="422" w:firstLineChars="200"/>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2.5柱温箱</w:t>
      </w:r>
    </w:p>
    <w:p w14:paraId="27B41253">
      <w:pPr>
        <w:widowControl/>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2.5.1风浴热循环加热柱温箱，具有淋洗液预加热功能，可使淋洗液的温度在进入色谱柱前已和色谱柱的柱温保持一致，保证了待测离子的分离效果，同时可获得更平稳的基线，有效的缩短了开机平衡的时间，提高重复性和分析效率；</w:t>
      </w:r>
    </w:p>
    <w:p w14:paraId="13FC1994">
      <w:pPr>
        <w:widowControl/>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2.5.2控温度稳定性：</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0.1℃；</w:t>
      </w:r>
    </w:p>
    <w:p w14:paraId="6E4ECAE2">
      <w:pPr>
        <w:widowControl/>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2.5.3温度设定值误差：±0.05℃；</w:t>
      </w:r>
    </w:p>
    <w:p w14:paraId="34347039">
      <w:pPr>
        <w:widowControl/>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2.5.4可兼容长度为250mm和150mm色谱柱；</w:t>
      </w:r>
    </w:p>
    <w:p w14:paraId="6D7C69B2">
      <w:pPr>
        <w:keepNext w:val="0"/>
        <w:keepLines w:val="0"/>
        <w:pageBreakBefore w:val="0"/>
        <w:widowControl/>
        <w:kinsoku/>
        <w:wordWrap/>
        <w:overflowPunct/>
        <w:topLinePunct w:val="0"/>
        <w:autoSpaceDE/>
        <w:autoSpaceDN/>
        <w:bidi w:val="0"/>
        <w:adjustRightInd/>
        <w:snapToGrid/>
        <w:spacing w:line="360" w:lineRule="auto"/>
        <w:ind w:firstLine="422" w:firstLineChars="200"/>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2.6离子色谱柱</w:t>
      </w:r>
    </w:p>
    <w:p w14:paraId="66087CE4">
      <w:pPr>
        <w:widowControl/>
        <w:spacing w:line="360" w:lineRule="auto"/>
        <w:ind w:firstLine="420" w:firstLineChars="20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配备高容量阴阳离子分离柱及保护柱，耐受pH为0～14的淋洗液，兼容反相有机溶剂，一次进样可完成多种阴离子、阳离子和有机酸的分析</w:t>
      </w:r>
      <w:r>
        <w:rPr>
          <w:rFonts w:hint="eastAsia" w:ascii="宋体" w:hAnsi="宋体" w:eastAsia="宋体" w:cs="宋体"/>
          <w:color w:val="auto"/>
          <w:sz w:val="21"/>
          <w:szCs w:val="21"/>
          <w:highlight w:val="none"/>
          <w:lang w:eastAsia="zh-CN"/>
        </w:rPr>
        <w:t>。</w:t>
      </w:r>
    </w:p>
    <w:p w14:paraId="23C3E0AF">
      <w:pPr>
        <w:keepNext w:val="0"/>
        <w:keepLines w:val="0"/>
        <w:pageBreakBefore w:val="0"/>
        <w:widowControl/>
        <w:kinsoku/>
        <w:wordWrap/>
        <w:overflowPunct/>
        <w:topLinePunct w:val="0"/>
        <w:autoSpaceDE/>
        <w:autoSpaceDN/>
        <w:bidi w:val="0"/>
        <w:adjustRightInd/>
        <w:snapToGrid/>
        <w:spacing w:line="360" w:lineRule="auto"/>
        <w:ind w:firstLine="422" w:firstLineChars="200"/>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2.7抑制器</w:t>
      </w:r>
    </w:p>
    <w:p w14:paraId="439A4B9E">
      <w:pPr>
        <w:widowControl/>
        <w:spacing w:line="360" w:lineRule="auto"/>
        <w:ind w:firstLine="420" w:firstLineChars="20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2.7.1抑制器类型：电解自动再生膜抑制器，无需外加硫酸进行轮流再生。具有高容量</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免维护，低背景电导，低背景噪声和稳定的基线</w:t>
      </w:r>
      <w:r>
        <w:rPr>
          <w:rFonts w:hint="eastAsia" w:ascii="宋体" w:hAnsi="宋体" w:eastAsia="宋体" w:cs="宋体"/>
          <w:color w:val="auto"/>
          <w:sz w:val="21"/>
          <w:szCs w:val="21"/>
          <w:highlight w:val="none"/>
          <w:lang w:eastAsia="zh-CN"/>
        </w:rPr>
        <w:t>；</w:t>
      </w:r>
    </w:p>
    <w:p w14:paraId="0512AC56">
      <w:pPr>
        <w:widowControl/>
        <w:spacing w:line="360" w:lineRule="auto"/>
        <w:ind w:firstLine="420" w:firstLineChars="20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2.7.2可配置阴、阳离子电解自</w:t>
      </w:r>
      <w:r>
        <w:rPr>
          <w:rFonts w:hint="eastAsia" w:ascii="宋体" w:hAnsi="宋体" w:eastAsia="宋体" w:cs="宋体"/>
          <w:color w:val="auto"/>
          <w:sz w:val="21"/>
          <w:szCs w:val="21"/>
          <w:highlight w:val="none"/>
          <w:lang w:val="en-US" w:eastAsia="zh-CN"/>
        </w:rPr>
        <w:t>动</w:t>
      </w:r>
      <w:r>
        <w:rPr>
          <w:rFonts w:hint="eastAsia" w:ascii="宋体" w:hAnsi="宋体" w:eastAsia="宋体" w:cs="宋体"/>
          <w:color w:val="auto"/>
          <w:sz w:val="21"/>
          <w:szCs w:val="21"/>
          <w:highlight w:val="none"/>
        </w:rPr>
        <w:t>再生膜抑制器</w:t>
      </w:r>
      <w:r>
        <w:rPr>
          <w:rFonts w:hint="eastAsia" w:ascii="宋体" w:hAnsi="宋体" w:eastAsia="宋体" w:cs="宋体"/>
          <w:color w:val="auto"/>
          <w:sz w:val="21"/>
          <w:szCs w:val="21"/>
          <w:highlight w:val="none"/>
          <w:lang w:eastAsia="zh-CN"/>
        </w:rPr>
        <w:t>；</w:t>
      </w:r>
    </w:p>
    <w:p w14:paraId="0B57CC3F">
      <w:pPr>
        <w:widowControl/>
        <w:spacing w:line="360" w:lineRule="auto"/>
        <w:ind w:firstLine="420" w:firstLineChars="20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2.7.3恒流源范围：</w:t>
      </w:r>
      <w:r>
        <w:rPr>
          <w:rFonts w:hint="eastAsia" w:ascii="宋体" w:hAnsi="宋体" w:eastAsia="宋体" w:cs="宋体"/>
          <w:color w:val="auto"/>
          <w:sz w:val="21"/>
          <w:szCs w:val="21"/>
          <w:highlight w:val="none"/>
          <w:lang w:val="en-US" w:eastAsia="zh-CN"/>
        </w:rPr>
        <w:t>不小于</w:t>
      </w:r>
      <w:r>
        <w:rPr>
          <w:rFonts w:hint="eastAsia" w:ascii="宋体" w:hAnsi="宋体" w:eastAsia="宋体" w:cs="宋体"/>
          <w:color w:val="auto"/>
          <w:sz w:val="21"/>
          <w:szCs w:val="21"/>
          <w:highlight w:val="none"/>
        </w:rPr>
        <w:t>0-500mA，增量</w:t>
      </w:r>
      <w:r>
        <w:rPr>
          <w:rFonts w:hint="eastAsia" w:ascii="宋体" w:hAnsi="宋体" w:eastAsia="宋体" w:cs="宋体"/>
          <w:color w:val="auto"/>
          <w:sz w:val="21"/>
          <w:szCs w:val="21"/>
          <w:highlight w:val="none"/>
          <w:lang w:val="en-US" w:eastAsia="zh-CN"/>
        </w:rPr>
        <w:t>不高于</w:t>
      </w:r>
      <w:r>
        <w:rPr>
          <w:rFonts w:hint="eastAsia" w:ascii="宋体" w:hAnsi="宋体" w:eastAsia="宋体" w:cs="宋体"/>
          <w:color w:val="auto"/>
          <w:sz w:val="21"/>
          <w:szCs w:val="21"/>
          <w:highlight w:val="none"/>
        </w:rPr>
        <w:t>0.1mA</w:t>
      </w:r>
      <w:r>
        <w:rPr>
          <w:rFonts w:hint="eastAsia" w:ascii="宋体" w:hAnsi="宋体" w:eastAsia="宋体" w:cs="宋体"/>
          <w:color w:val="auto"/>
          <w:sz w:val="21"/>
          <w:szCs w:val="21"/>
          <w:highlight w:val="none"/>
          <w:lang w:eastAsia="zh-CN"/>
        </w:rPr>
        <w:t>。</w:t>
      </w:r>
    </w:p>
    <w:p w14:paraId="579AC8AB">
      <w:pPr>
        <w:keepNext w:val="0"/>
        <w:keepLines w:val="0"/>
        <w:pageBreakBefore w:val="0"/>
        <w:widowControl/>
        <w:kinsoku/>
        <w:wordWrap/>
        <w:overflowPunct/>
        <w:topLinePunct w:val="0"/>
        <w:autoSpaceDE/>
        <w:autoSpaceDN/>
        <w:bidi w:val="0"/>
        <w:adjustRightInd/>
        <w:snapToGrid/>
        <w:spacing w:line="360" w:lineRule="auto"/>
        <w:ind w:firstLine="422" w:firstLineChars="200"/>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2.8电导检测</w:t>
      </w:r>
    </w:p>
    <w:p w14:paraId="48263D67">
      <w:pPr>
        <w:widowControl/>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2.8.1最小检出浓度（Cl）：</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0.0005ug/mL；</w:t>
      </w:r>
    </w:p>
    <w:p w14:paraId="6981F93B">
      <w:pPr>
        <w:widowControl/>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2.8.2最小检出浓度（Li）：</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0.0002ug/mL；</w:t>
      </w:r>
    </w:p>
    <w:p w14:paraId="6A09F23D">
      <w:pPr>
        <w:widowControl/>
        <w:spacing w:line="360" w:lineRule="auto"/>
        <w:ind w:left="630" w:leftChars="200" w:hanging="210" w:hangingChars="1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2.8.3数字电导检测器，自动量程，输出值为电导率值；可自由拆卸和更换</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 xml:space="preserve"> </w:t>
      </w:r>
    </w:p>
    <w:p w14:paraId="4C91A7DE">
      <w:pPr>
        <w:widowControl/>
        <w:spacing w:line="360" w:lineRule="auto"/>
        <w:ind w:firstLine="420" w:firstLineChars="20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★2.8.4电导池体积：</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0.4μL</w:t>
      </w:r>
      <w:r>
        <w:rPr>
          <w:rFonts w:hint="eastAsia" w:ascii="宋体" w:hAnsi="宋体" w:eastAsia="宋体" w:cs="宋体"/>
          <w:color w:val="auto"/>
          <w:sz w:val="21"/>
          <w:szCs w:val="21"/>
          <w:highlight w:val="none"/>
          <w:lang w:eastAsia="zh-CN"/>
        </w:rPr>
        <w:t>；</w:t>
      </w:r>
    </w:p>
    <w:p w14:paraId="6966911C">
      <w:pPr>
        <w:widowControl/>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2.8.5电导检测范围：0-45000μS/cm；</w:t>
      </w:r>
    </w:p>
    <w:p w14:paraId="5D4856CD">
      <w:pPr>
        <w:widowControl/>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2.8.6电导池温度设定误差：±0.01℃；</w:t>
      </w:r>
    </w:p>
    <w:p w14:paraId="780890CA">
      <w:pPr>
        <w:widowControl/>
        <w:spacing w:line="360" w:lineRule="auto"/>
        <w:ind w:firstLine="420" w:firstLineChars="20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2.8.</w:t>
      </w:r>
      <w:r>
        <w:rPr>
          <w:rFonts w:hint="eastAsia" w:ascii="宋体" w:hAnsi="宋体" w:eastAsia="宋体" w:cs="宋体"/>
          <w:color w:val="auto"/>
          <w:sz w:val="21"/>
          <w:szCs w:val="21"/>
          <w:highlight w:val="none"/>
          <w:lang w:val="en-US" w:eastAsia="zh-CN"/>
        </w:rPr>
        <w:t>7</w:t>
      </w:r>
      <w:r>
        <w:rPr>
          <w:rFonts w:hint="eastAsia" w:ascii="宋体" w:hAnsi="宋体" w:eastAsia="宋体" w:cs="宋体"/>
          <w:color w:val="auto"/>
          <w:sz w:val="21"/>
          <w:szCs w:val="21"/>
          <w:highlight w:val="none"/>
        </w:rPr>
        <w:t>电导池温度显示分辨率：0.01℃</w:t>
      </w:r>
      <w:r>
        <w:rPr>
          <w:rFonts w:hint="eastAsia" w:ascii="宋体" w:hAnsi="宋体" w:eastAsia="宋体" w:cs="宋体"/>
          <w:color w:val="auto"/>
          <w:sz w:val="21"/>
          <w:szCs w:val="21"/>
          <w:highlight w:val="none"/>
          <w:lang w:eastAsia="zh-CN"/>
        </w:rPr>
        <w:t>；</w:t>
      </w:r>
    </w:p>
    <w:p w14:paraId="283D07C7">
      <w:pPr>
        <w:widowControl/>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2.8.</w:t>
      </w:r>
      <w:r>
        <w:rPr>
          <w:rFonts w:hint="eastAsia" w:ascii="宋体" w:hAnsi="宋体" w:eastAsia="宋体" w:cs="宋体"/>
          <w:color w:val="auto"/>
          <w:sz w:val="21"/>
          <w:szCs w:val="21"/>
          <w:highlight w:val="none"/>
          <w:lang w:val="en-US" w:eastAsia="zh-CN"/>
        </w:rPr>
        <w:t>8</w:t>
      </w:r>
      <w:r>
        <w:rPr>
          <w:rFonts w:hint="eastAsia" w:ascii="宋体" w:hAnsi="宋体" w:eastAsia="宋体" w:cs="宋体"/>
          <w:color w:val="auto"/>
          <w:sz w:val="21"/>
          <w:szCs w:val="21"/>
          <w:highlight w:val="none"/>
        </w:rPr>
        <w:t>具有温度补偿功能，温度补偿范围：0-3.0%；</w:t>
      </w:r>
    </w:p>
    <w:p w14:paraId="722778E8">
      <w:pPr>
        <w:widowControl/>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2.8.</w:t>
      </w:r>
      <w:r>
        <w:rPr>
          <w:rFonts w:hint="eastAsia" w:ascii="宋体" w:hAnsi="宋体" w:eastAsia="宋体" w:cs="宋体"/>
          <w:color w:val="auto"/>
          <w:sz w:val="21"/>
          <w:szCs w:val="21"/>
          <w:highlight w:val="none"/>
          <w:lang w:val="en-US" w:eastAsia="zh-CN"/>
        </w:rPr>
        <w:t>9</w:t>
      </w:r>
      <w:r>
        <w:rPr>
          <w:rFonts w:hint="eastAsia" w:ascii="宋体" w:hAnsi="宋体" w:eastAsia="宋体" w:cs="宋体"/>
          <w:color w:val="auto"/>
          <w:sz w:val="21"/>
          <w:szCs w:val="21"/>
          <w:highlight w:val="none"/>
        </w:rPr>
        <w:t>电导池温控范围：检测器温区温度+5℃–65℃；</w:t>
      </w:r>
    </w:p>
    <w:p w14:paraId="543F42C4">
      <w:pPr>
        <w:widowControl/>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2.8.</w:t>
      </w:r>
      <w:r>
        <w:rPr>
          <w:rFonts w:hint="eastAsia" w:ascii="宋体" w:hAnsi="宋体" w:eastAsia="宋体" w:cs="宋体"/>
          <w:color w:val="auto"/>
          <w:sz w:val="21"/>
          <w:szCs w:val="21"/>
          <w:highlight w:val="none"/>
          <w:lang w:val="en-US" w:eastAsia="zh-CN"/>
        </w:rPr>
        <w:t>10</w:t>
      </w:r>
      <w:r>
        <w:rPr>
          <w:rFonts w:hint="eastAsia" w:ascii="宋体" w:hAnsi="宋体" w:eastAsia="宋体" w:cs="宋体"/>
          <w:color w:val="auto"/>
          <w:sz w:val="21"/>
          <w:szCs w:val="21"/>
          <w:highlight w:val="none"/>
        </w:rPr>
        <w:t>电导池控温稳定性：</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0.05℃；</w:t>
      </w:r>
    </w:p>
    <w:p w14:paraId="07916939">
      <w:pPr>
        <w:widowControl/>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2.8.</w:t>
      </w:r>
      <w:r>
        <w:rPr>
          <w:rFonts w:hint="eastAsia" w:ascii="宋体" w:hAnsi="宋体" w:eastAsia="宋体" w:cs="宋体"/>
          <w:color w:val="auto"/>
          <w:sz w:val="21"/>
          <w:szCs w:val="21"/>
          <w:highlight w:val="none"/>
          <w:lang w:val="en-US" w:eastAsia="zh-CN"/>
        </w:rPr>
        <w:t>11</w:t>
      </w:r>
      <w:r>
        <w:rPr>
          <w:rFonts w:hint="eastAsia" w:ascii="宋体" w:hAnsi="宋体" w:eastAsia="宋体" w:cs="宋体"/>
          <w:color w:val="auto"/>
          <w:sz w:val="21"/>
          <w:szCs w:val="21"/>
          <w:highlight w:val="none"/>
        </w:rPr>
        <w:t>电导池温度设定值误差：</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0.1℃/h；</w:t>
      </w:r>
    </w:p>
    <w:p w14:paraId="0C3DA1B2">
      <w:pPr>
        <w:widowControl/>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2.8.</w:t>
      </w:r>
      <w:r>
        <w:rPr>
          <w:rFonts w:hint="eastAsia" w:ascii="宋体" w:hAnsi="宋体" w:eastAsia="宋体" w:cs="宋体"/>
          <w:color w:val="auto"/>
          <w:sz w:val="21"/>
          <w:szCs w:val="21"/>
          <w:highlight w:val="none"/>
          <w:lang w:val="en-US" w:eastAsia="zh-CN"/>
        </w:rPr>
        <w:t>12</w:t>
      </w:r>
      <w:r>
        <w:rPr>
          <w:rFonts w:hint="eastAsia" w:ascii="宋体" w:hAnsi="宋体" w:eastAsia="宋体" w:cs="宋体"/>
          <w:color w:val="auto"/>
          <w:sz w:val="21"/>
          <w:szCs w:val="21"/>
          <w:highlight w:val="none"/>
        </w:rPr>
        <w:t>电导池耐压：</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15MPa；</w:t>
      </w:r>
    </w:p>
    <w:p w14:paraId="0A754D13">
      <w:pPr>
        <w:widowControl/>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★2.8.</w:t>
      </w:r>
      <w:r>
        <w:rPr>
          <w:rFonts w:hint="eastAsia" w:ascii="宋体" w:hAnsi="宋体" w:eastAsia="宋体" w:cs="宋体"/>
          <w:color w:val="auto"/>
          <w:sz w:val="21"/>
          <w:szCs w:val="21"/>
          <w:highlight w:val="none"/>
          <w:lang w:val="en-US" w:eastAsia="zh-CN"/>
        </w:rPr>
        <w:t>9</w:t>
      </w:r>
      <w:r>
        <w:rPr>
          <w:rFonts w:hint="eastAsia" w:ascii="宋体" w:hAnsi="宋体" w:eastAsia="宋体" w:cs="宋体"/>
          <w:color w:val="auto"/>
          <w:sz w:val="21"/>
          <w:szCs w:val="21"/>
          <w:highlight w:val="none"/>
        </w:rPr>
        <w:t>采样频率1-100SPS自由选择</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（须提供软件证明图片）</w:t>
      </w:r>
    </w:p>
    <w:p w14:paraId="139DE5BA">
      <w:pPr>
        <w:keepNext w:val="0"/>
        <w:keepLines w:val="0"/>
        <w:pageBreakBefore w:val="0"/>
        <w:widowControl/>
        <w:kinsoku/>
        <w:wordWrap/>
        <w:overflowPunct/>
        <w:topLinePunct w:val="0"/>
        <w:autoSpaceDE/>
        <w:autoSpaceDN/>
        <w:bidi w:val="0"/>
        <w:adjustRightInd/>
        <w:snapToGrid/>
        <w:spacing w:line="360" w:lineRule="auto"/>
        <w:ind w:firstLine="422" w:firstLineChars="200"/>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 xml:space="preserve">2.9插拔式安培检测器 </w:t>
      </w:r>
    </w:p>
    <w:p w14:paraId="07B9E1C2">
      <w:pPr>
        <w:widowControl/>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2.9.1类型：薄层式结构；插拔式盒状设计，可自由拆卸和更换；（须提供实物图）</w:t>
      </w:r>
    </w:p>
    <w:p w14:paraId="1D5BDD54">
      <w:pPr>
        <w:widowControl/>
        <w:spacing w:line="360" w:lineRule="auto"/>
        <w:ind w:left="420" w:left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2.9.2驱动电压范围：-2.048V</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+2.048V</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cr/>
      </w:r>
      <w:r>
        <w:rPr>
          <w:rFonts w:hint="eastAsia" w:ascii="宋体" w:hAnsi="宋体" w:eastAsia="宋体" w:cs="宋体"/>
          <w:color w:val="auto"/>
          <w:sz w:val="21"/>
          <w:szCs w:val="21"/>
          <w:highlight w:val="none"/>
        </w:rPr>
        <w:t>2.9.3驱动电压分辨率：0.001V</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cr/>
      </w:r>
      <w:r>
        <w:rPr>
          <w:rFonts w:hint="eastAsia" w:ascii="宋体" w:hAnsi="宋体" w:eastAsia="宋体" w:cs="宋体"/>
          <w:color w:val="auto"/>
          <w:sz w:val="21"/>
          <w:szCs w:val="21"/>
          <w:highlight w:val="none"/>
        </w:rPr>
        <w:t>2.9.4输出信号范围：积分模式：50pC</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200uC</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cr/>
      </w:r>
      <w:r>
        <w:rPr>
          <w:rFonts w:hint="eastAsia" w:ascii="宋体" w:hAnsi="宋体" w:eastAsia="宋体" w:cs="宋体"/>
          <w:color w:val="auto"/>
          <w:sz w:val="21"/>
          <w:szCs w:val="21"/>
          <w:highlight w:val="none"/>
        </w:rPr>
        <w:t>2.9.5直流模式：1pA</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74uA；</w:t>
      </w:r>
      <w:r>
        <w:rPr>
          <w:rFonts w:hint="eastAsia" w:ascii="宋体" w:hAnsi="宋体" w:eastAsia="宋体" w:cs="宋体"/>
          <w:color w:val="auto"/>
          <w:sz w:val="21"/>
          <w:szCs w:val="21"/>
          <w:highlight w:val="none"/>
        </w:rPr>
        <w:cr/>
      </w:r>
      <w:r>
        <w:rPr>
          <w:rFonts w:hint="eastAsia" w:ascii="宋体" w:hAnsi="宋体" w:eastAsia="宋体" w:cs="宋体"/>
          <w:color w:val="auto"/>
          <w:sz w:val="21"/>
          <w:szCs w:val="21"/>
          <w:highlight w:val="none"/>
        </w:rPr>
        <w:t>2.9.6噪声：积分模式</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30pC；</w:t>
      </w:r>
    </w:p>
    <w:p w14:paraId="3AC68CA5">
      <w:pPr>
        <w:widowControl/>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2.9.7直流模式</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5pA；直流模式静态噪声</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1pA；</w:t>
      </w:r>
    </w:p>
    <w:p w14:paraId="3C247E52">
      <w:pPr>
        <w:widowControl/>
        <w:spacing w:line="360" w:lineRule="auto"/>
        <w:ind w:left="420" w:left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2.9.8参比电极：饱和氯化钾Ag/AgCl参比电极；</w:t>
      </w:r>
      <w:r>
        <w:rPr>
          <w:rFonts w:hint="eastAsia" w:ascii="宋体" w:hAnsi="宋体" w:eastAsia="宋体" w:cs="宋体"/>
          <w:color w:val="auto"/>
          <w:sz w:val="21"/>
          <w:szCs w:val="21"/>
          <w:highlight w:val="none"/>
        </w:rPr>
        <w:cr/>
      </w:r>
      <w:r>
        <w:rPr>
          <w:rFonts w:hint="eastAsia" w:ascii="宋体" w:hAnsi="宋体" w:eastAsia="宋体" w:cs="宋体"/>
          <w:color w:val="auto"/>
          <w:sz w:val="21"/>
          <w:szCs w:val="21"/>
          <w:highlight w:val="none"/>
        </w:rPr>
        <w:t>2.9.9池体积：</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0.3uL；</w:t>
      </w:r>
    </w:p>
    <w:p w14:paraId="6B701A53">
      <w:pPr>
        <w:widowControl/>
        <w:spacing w:line="360" w:lineRule="auto"/>
        <w:ind w:firstLine="420" w:firstLineChars="20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2.9.10 最小检出浓度：I</w:t>
      </w:r>
      <w:r>
        <w:rPr>
          <w:rFonts w:hint="eastAsia" w:ascii="宋体" w:hAnsi="宋体" w:eastAsia="宋体" w:cs="宋体"/>
          <w:color w:val="auto"/>
          <w:sz w:val="21"/>
          <w:szCs w:val="21"/>
          <w:highlight w:val="none"/>
          <w:vertAlign w:val="superscript"/>
        </w:rPr>
        <w:t>-</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0.001μg/mL</w:t>
      </w:r>
      <w:r>
        <w:rPr>
          <w:rFonts w:hint="eastAsia" w:ascii="宋体" w:hAnsi="宋体" w:eastAsia="宋体" w:cs="宋体"/>
          <w:color w:val="auto"/>
          <w:sz w:val="21"/>
          <w:szCs w:val="21"/>
          <w:highlight w:val="none"/>
          <w:lang w:eastAsia="zh-CN"/>
        </w:rPr>
        <w:t>。</w:t>
      </w:r>
    </w:p>
    <w:p w14:paraId="28EA7D7B">
      <w:pPr>
        <w:keepNext w:val="0"/>
        <w:keepLines w:val="0"/>
        <w:pageBreakBefore w:val="0"/>
        <w:widowControl/>
        <w:kinsoku/>
        <w:wordWrap/>
        <w:overflowPunct/>
        <w:topLinePunct w:val="0"/>
        <w:autoSpaceDE/>
        <w:autoSpaceDN/>
        <w:bidi w:val="0"/>
        <w:adjustRightInd/>
        <w:snapToGrid/>
        <w:spacing w:line="360" w:lineRule="auto"/>
        <w:ind w:firstLine="422" w:firstLineChars="200"/>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2.10色谱工作站</w:t>
      </w:r>
    </w:p>
    <w:p w14:paraId="11F2738F">
      <w:pPr>
        <w:widowControl/>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2.10.1实现系统部件的有效集成和控制，对各类检测器，自动进样器等部件可无缝式增加，可完成多维色谱（柱切换）、多检测联用检测等功能的建立。</w:t>
      </w:r>
    </w:p>
    <w:p w14:paraId="0CB5C3F7">
      <w:pPr>
        <w:widowControl/>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2.10.2图形化全反控界面，提供适实时分析条件参数和分析结果、在线修改和采集各部件工作参数、自动进行快速数据采集和处理、具有仪器相关数据与运行状况溯源功能，方便故障排查。智能抑制器保护系统，梯度分析时抑制器电流随淋洗液浓度变化，使抑制器电流处于最佳使用范围，延长抑制器使用寿命。</w:t>
      </w:r>
    </w:p>
    <w:p w14:paraId="123543C0">
      <w:pPr>
        <w:widowControl/>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2.10.3具有多通道缩略图功能，样品列表中已采集数据的样品具有压力、温度、色谱图等多通道缩略显示功能，不用打开具体谱图即可看到样品大概组成及含量信息。</w:t>
      </w:r>
    </w:p>
    <w:p w14:paraId="7206E503">
      <w:pPr>
        <w:widowControl/>
        <w:spacing w:line="360" w:lineRule="auto"/>
        <w:ind w:firstLine="420" w:firstLineChars="20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2.10.4耗材监控系统跟踪和存储耗材的工作时长，进样次数，工作电压等相关数据，确定耗材的运行状况，并分析耗材性能是否对结果造成影响</w:t>
      </w:r>
      <w:r>
        <w:rPr>
          <w:rFonts w:hint="eastAsia" w:ascii="宋体" w:hAnsi="宋体" w:eastAsia="宋体" w:cs="宋体"/>
          <w:color w:val="auto"/>
          <w:sz w:val="21"/>
          <w:szCs w:val="21"/>
          <w:highlight w:val="none"/>
          <w:lang w:eastAsia="zh-CN"/>
        </w:rPr>
        <w:t>。</w:t>
      </w:r>
    </w:p>
    <w:p w14:paraId="5339BD75">
      <w:pPr>
        <w:keepNext w:val="0"/>
        <w:keepLines w:val="0"/>
        <w:pageBreakBefore w:val="0"/>
        <w:widowControl/>
        <w:numPr>
          <w:ilvl w:val="0"/>
          <w:numId w:val="0"/>
        </w:numPr>
        <w:kinsoku/>
        <w:wordWrap/>
        <w:overflowPunct/>
        <w:topLinePunct w:val="0"/>
        <w:bidi w:val="0"/>
        <w:snapToGrid/>
        <w:spacing w:line="360" w:lineRule="auto"/>
        <w:jc w:val="left"/>
        <w:textAlignment w:val="auto"/>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b/>
          <w:bCs/>
          <w:color w:val="auto"/>
          <w:kern w:val="2"/>
          <w:sz w:val="21"/>
          <w:szCs w:val="21"/>
          <w:highlight w:val="none"/>
          <w:lang w:val="en-US" w:eastAsia="zh-CN" w:bidi="ar-SA"/>
        </w:rPr>
        <w:t>3.配置要求</w:t>
      </w:r>
    </w:p>
    <w:p w14:paraId="4D7C727F">
      <w:pPr>
        <w:widowControl/>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3.1</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 xml:space="preserve">离子色谱仪主机2套； </w:t>
      </w:r>
    </w:p>
    <w:p w14:paraId="6E73FA2C">
      <w:pPr>
        <w:widowControl/>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3.2</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 xml:space="preserve">高压输液PEEK泵 2 套； </w:t>
      </w:r>
    </w:p>
    <w:p w14:paraId="6FDC0BA9">
      <w:pPr>
        <w:widowControl/>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3.3</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 xml:space="preserve">数字电导检测器组件 2 套；  </w:t>
      </w:r>
    </w:p>
    <w:p w14:paraId="6943B21D">
      <w:pPr>
        <w:widowControl/>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3.4</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氢氧根体系淋洗液发生器组件1 套；</w:t>
      </w:r>
    </w:p>
    <w:p w14:paraId="444B9C41">
      <w:pPr>
        <w:widowControl/>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3.5</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 xml:space="preserve">甲烷磺酸体系淋洗液发生器组件 1套； </w:t>
      </w:r>
    </w:p>
    <w:p w14:paraId="223C878A">
      <w:pPr>
        <w:widowControl/>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3.6</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阴离子抑制器 1套；</w:t>
      </w:r>
    </w:p>
    <w:p w14:paraId="4DB4E9D3">
      <w:pPr>
        <w:widowControl/>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3.7</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阳离子抑制器 1套</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 xml:space="preserve"> </w:t>
      </w:r>
    </w:p>
    <w:p w14:paraId="3A32AE0F">
      <w:pPr>
        <w:widowControl/>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3.8</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 xml:space="preserve">色谱柱恒温系统 2 套； </w:t>
      </w:r>
    </w:p>
    <w:p w14:paraId="072EAE4C">
      <w:pPr>
        <w:widowControl/>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3.9</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 xml:space="preserve">氮气加压系统 2套； </w:t>
      </w:r>
    </w:p>
    <w:p w14:paraId="4017B78A">
      <w:pPr>
        <w:widowControl/>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3.10</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 xml:space="preserve">智能120位自动进样器系统 2 套； </w:t>
      </w:r>
    </w:p>
    <w:p w14:paraId="239FE071">
      <w:pPr>
        <w:widowControl/>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3.11</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 xml:space="preserve">插拔式安培检测器（含银电极1套） 1套； </w:t>
      </w:r>
    </w:p>
    <w:p w14:paraId="6CE211D5">
      <w:pPr>
        <w:widowControl/>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3.12</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 xml:space="preserve">色谱工作站2 套； </w:t>
      </w:r>
    </w:p>
    <w:p w14:paraId="7C2E0975">
      <w:pPr>
        <w:widowControl/>
        <w:spacing w:line="360" w:lineRule="auto"/>
        <w:ind w:firstLine="420" w:firstLineChars="20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3.13</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氢氧根阴离子色谱柱  1套</w:t>
      </w:r>
      <w:r>
        <w:rPr>
          <w:rFonts w:hint="eastAsia" w:ascii="宋体" w:hAnsi="宋体" w:eastAsia="宋体" w:cs="宋体"/>
          <w:color w:val="auto"/>
          <w:sz w:val="21"/>
          <w:szCs w:val="21"/>
          <w:highlight w:val="none"/>
          <w:lang w:eastAsia="zh-CN"/>
        </w:rPr>
        <w:t>；</w:t>
      </w:r>
    </w:p>
    <w:p w14:paraId="3B05C4B4">
      <w:pPr>
        <w:widowControl/>
        <w:spacing w:line="360" w:lineRule="auto"/>
        <w:ind w:firstLine="420" w:firstLineChars="20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3.14</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 xml:space="preserve">碘离子专用色谱柱 1套 </w:t>
      </w:r>
      <w:r>
        <w:rPr>
          <w:rFonts w:hint="eastAsia" w:ascii="宋体" w:hAnsi="宋体" w:eastAsia="宋体" w:cs="宋体"/>
          <w:color w:val="auto"/>
          <w:sz w:val="21"/>
          <w:szCs w:val="21"/>
          <w:highlight w:val="none"/>
          <w:lang w:eastAsia="zh-CN"/>
        </w:rPr>
        <w:t>；</w:t>
      </w:r>
    </w:p>
    <w:p w14:paraId="3AC074FC">
      <w:pPr>
        <w:widowControl/>
        <w:spacing w:line="360" w:lineRule="auto"/>
        <w:ind w:firstLine="420" w:firstLineChars="20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3.15</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前处理小柱RP/H型 4盒（各两盒）</w:t>
      </w:r>
      <w:r>
        <w:rPr>
          <w:rFonts w:hint="eastAsia" w:ascii="宋体" w:hAnsi="宋体" w:eastAsia="宋体" w:cs="宋体"/>
          <w:color w:val="auto"/>
          <w:sz w:val="21"/>
          <w:szCs w:val="21"/>
          <w:highlight w:val="none"/>
          <w:lang w:eastAsia="zh-CN"/>
        </w:rPr>
        <w:t>；</w:t>
      </w:r>
    </w:p>
    <w:p w14:paraId="25433EA7">
      <w:pPr>
        <w:widowControl/>
        <w:spacing w:line="360" w:lineRule="auto"/>
        <w:ind w:firstLine="420" w:firstLineChars="20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3.16</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数据处理系统 2套</w:t>
      </w:r>
      <w:r>
        <w:rPr>
          <w:rFonts w:hint="eastAsia" w:ascii="宋体" w:hAnsi="宋体" w:eastAsia="宋体" w:cs="宋体"/>
          <w:color w:val="auto"/>
          <w:sz w:val="21"/>
          <w:szCs w:val="21"/>
          <w:highlight w:val="none"/>
          <w:lang w:eastAsia="zh-CN"/>
        </w:rPr>
        <w:t>；</w:t>
      </w:r>
    </w:p>
    <w:p w14:paraId="67290B1C">
      <w:pPr>
        <w:widowControl/>
        <w:spacing w:line="360" w:lineRule="auto"/>
        <w:ind w:firstLine="420" w:firstLineChars="20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3.17</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图文输出设备2台</w:t>
      </w:r>
      <w:r>
        <w:rPr>
          <w:rFonts w:hint="eastAsia" w:ascii="宋体" w:hAnsi="宋体" w:eastAsia="宋体" w:cs="宋体"/>
          <w:color w:val="auto"/>
          <w:sz w:val="21"/>
          <w:szCs w:val="21"/>
          <w:highlight w:val="none"/>
          <w:lang w:eastAsia="zh-CN"/>
        </w:rPr>
        <w:t>；</w:t>
      </w:r>
    </w:p>
    <w:p w14:paraId="482E46C5">
      <w:pPr>
        <w:widowControl/>
        <w:spacing w:line="360" w:lineRule="auto"/>
        <w:ind w:firstLine="420" w:firstLineChars="20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3.18</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阳离子分析色谱柱 1套</w:t>
      </w:r>
      <w:r>
        <w:rPr>
          <w:rFonts w:hint="eastAsia" w:ascii="宋体" w:hAnsi="宋体" w:eastAsia="宋体" w:cs="宋体"/>
          <w:color w:val="auto"/>
          <w:sz w:val="21"/>
          <w:szCs w:val="21"/>
          <w:highlight w:val="none"/>
          <w:lang w:eastAsia="zh-CN"/>
        </w:rPr>
        <w:t>；</w:t>
      </w:r>
    </w:p>
    <w:p w14:paraId="4396B415">
      <w:pPr>
        <w:widowControl/>
        <w:spacing w:line="360" w:lineRule="auto"/>
        <w:ind w:firstLine="420" w:firstLineChars="20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3.19</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阴离子保护柱1套</w:t>
      </w:r>
      <w:r>
        <w:rPr>
          <w:rFonts w:hint="eastAsia" w:ascii="宋体" w:hAnsi="宋体" w:eastAsia="宋体" w:cs="宋体"/>
          <w:color w:val="auto"/>
          <w:sz w:val="21"/>
          <w:szCs w:val="21"/>
          <w:highlight w:val="none"/>
          <w:lang w:eastAsia="zh-CN"/>
        </w:rPr>
        <w:t>；</w:t>
      </w:r>
    </w:p>
    <w:p w14:paraId="68E6D3A2">
      <w:pPr>
        <w:widowControl/>
        <w:spacing w:line="360" w:lineRule="auto"/>
        <w:ind w:firstLine="420" w:firstLineChars="20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3.20</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阳离子保护柱 1套</w:t>
      </w:r>
      <w:r>
        <w:rPr>
          <w:rFonts w:hint="eastAsia" w:ascii="宋体" w:hAnsi="宋体" w:eastAsia="宋体" w:cs="宋体"/>
          <w:color w:val="auto"/>
          <w:sz w:val="21"/>
          <w:szCs w:val="21"/>
          <w:highlight w:val="none"/>
          <w:lang w:eastAsia="zh-CN"/>
        </w:rPr>
        <w:t>；</w:t>
      </w:r>
    </w:p>
    <w:p w14:paraId="74063CBD">
      <w:pPr>
        <w:widowControl/>
        <w:spacing w:line="360" w:lineRule="auto"/>
        <w:ind w:firstLine="420" w:firstLineChars="20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3.21</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样品瓶 600个</w:t>
      </w:r>
      <w:r>
        <w:rPr>
          <w:rFonts w:hint="eastAsia" w:ascii="宋体" w:hAnsi="宋体" w:eastAsia="宋体" w:cs="宋体"/>
          <w:color w:val="auto"/>
          <w:sz w:val="21"/>
          <w:szCs w:val="21"/>
          <w:highlight w:val="none"/>
          <w:lang w:eastAsia="zh-CN"/>
        </w:rPr>
        <w:t>。</w:t>
      </w:r>
    </w:p>
    <w:p w14:paraId="146F7806">
      <w:pPr>
        <w:keepNext w:val="0"/>
        <w:keepLines w:val="0"/>
        <w:pageBreakBefore w:val="0"/>
        <w:widowControl/>
        <w:numPr>
          <w:ilvl w:val="0"/>
          <w:numId w:val="0"/>
        </w:numPr>
        <w:kinsoku/>
        <w:wordWrap/>
        <w:overflowPunct/>
        <w:topLinePunct w:val="0"/>
        <w:bidi w:val="0"/>
        <w:snapToGrid/>
        <w:spacing w:line="360" w:lineRule="auto"/>
        <w:jc w:val="left"/>
        <w:textAlignment w:val="auto"/>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b/>
          <w:bCs/>
          <w:color w:val="auto"/>
          <w:kern w:val="2"/>
          <w:sz w:val="21"/>
          <w:szCs w:val="21"/>
          <w:highlight w:val="none"/>
          <w:lang w:val="en-US" w:eastAsia="zh-CN" w:bidi="ar-SA"/>
        </w:rPr>
        <w:t>4. 售后服务要求</w:t>
      </w:r>
    </w:p>
    <w:p w14:paraId="324449FE">
      <w:pPr>
        <w:widowControl/>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4.1</w:t>
      </w:r>
      <w:r>
        <w:rPr>
          <w:rFonts w:hint="eastAsia" w:ascii="宋体" w:hAnsi="宋体" w:eastAsia="宋体" w:cs="宋体"/>
          <w:color w:val="auto"/>
          <w:sz w:val="21"/>
          <w:szCs w:val="21"/>
          <w:highlight w:val="none"/>
        </w:rPr>
        <w:t>响应时间：在接到电话或书面通知后4小时内给予答复，紧急问题应在48小时内抵达现场。</w:t>
      </w:r>
    </w:p>
    <w:p w14:paraId="21D1D630">
      <w:pPr>
        <w:widowControl/>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4.2</w:t>
      </w:r>
      <w:r>
        <w:rPr>
          <w:rFonts w:hint="eastAsia" w:ascii="宋体" w:hAnsi="宋体" w:eastAsia="宋体" w:cs="宋体"/>
          <w:color w:val="auto"/>
          <w:sz w:val="21"/>
          <w:szCs w:val="21"/>
          <w:highlight w:val="none"/>
        </w:rPr>
        <w:t xml:space="preserve"> 质量保证期：设备验收合格后，整机质保</w:t>
      </w:r>
      <w:r>
        <w:rPr>
          <w:rFonts w:hint="eastAsia" w:ascii="宋体" w:hAnsi="宋体" w:eastAsia="宋体" w:cs="宋体"/>
          <w:color w:val="auto"/>
          <w:sz w:val="21"/>
          <w:szCs w:val="21"/>
          <w:highlight w:val="none"/>
          <w:lang w:val="en-US" w:eastAsia="zh-CN"/>
        </w:rPr>
        <w:t>60个月</w:t>
      </w:r>
      <w:r>
        <w:rPr>
          <w:rFonts w:hint="eastAsia" w:ascii="宋体" w:hAnsi="宋体" w:eastAsia="宋体" w:cs="宋体"/>
          <w:color w:val="auto"/>
          <w:sz w:val="21"/>
          <w:szCs w:val="21"/>
          <w:highlight w:val="none"/>
        </w:rPr>
        <w:t>。</w:t>
      </w:r>
    </w:p>
    <w:p w14:paraId="324E38CA">
      <w:pPr>
        <w:widowControl/>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4.3</w:t>
      </w:r>
      <w:r>
        <w:rPr>
          <w:rFonts w:hint="eastAsia" w:ascii="宋体" w:hAnsi="宋体" w:eastAsia="宋体" w:cs="宋体"/>
          <w:color w:val="auto"/>
          <w:sz w:val="21"/>
          <w:szCs w:val="21"/>
          <w:highlight w:val="none"/>
        </w:rPr>
        <w:t xml:space="preserve"> 技术服务的范围及内容：</w:t>
      </w:r>
      <w:r>
        <w:rPr>
          <w:rFonts w:hint="eastAsia" w:ascii="宋体" w:hAnsi="宋体" w:eastAsia="宋体" w:cs="宋体"/>
          <w:color w:val="auto"/>
          <w:sz w:val="21"/>
          <w:szCs w:val="21"/>
          <w:highlight w:val="none"/>
          <w:lang w:val="en-US" w:eastAsia="zh-CN"/>
        </w:rPr>
        <w:t>供货商</w:t>
      </w:r>
      <w:r>
        <w:rPr>
          <w:rFonts w:hint="eastAsia" w:ascii="宋体" w:hAnsi="宋体" w:eastAsia="宋体" w:cs="宋体"/>
          <w:color w:val="auto"/>
          <w:sz w:val="21"/>
          <w:szCs w:val="21"/>
          <w:highlight w:val="none"/>
        </w:rPr>
        <w:t>委派技术人员到采购人指定现场，完成设备安装、调试及性能测试工作，直至运行稳定、各项技术指标满足要求并验收合格。</w:t>
      </w:r>
    </w:p>
    <w:p w14:paraId="0A4402CB">
      <w:pPr>
        <w:widowControl/>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4.4在质保期内按采购人要求，开展技术培训和支持（含现场培训）</w:t>
      </w:r>
      <w:r>
        <w:rPr>
          <w:rFonts w:hint="eastAsia" w:ascii="宋体" w:hAnsi="宋体" w:eastAsia="宋体" w:cs="宋体"/>
          <w:color w:val="auto"/>
          <w:sz w:val="21"/>
          <w:szCs w:val="21"/>
          <w:highlight w:val="none"/>
        </w:rPr>
        <w:t>。</w:t>
      </w:r>
    </w:p>
    <w:p w14:paraId="5F42156E">
      <w:pPr>
        <w:widowControl/>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4.5</w:t>
      </w:r>
      <w:r>
        <w:rPr>
          <w:rFonts w:hint="eastAsia" w:ascii="宋体" w:hAnsi="宋体" w:eastAsia="宋体" w:cs="宋体"/>
          <w:color w:val="auto"/>
          <w:sz w:val="21"/>
          <w:szCs w:val="21"/>
          <w:highlight w:val="none"/>
        </w:rPr>
        <w:t xml:space="preserve"> 质保期内，所有故障提供技术服务和维修，包括配套的所有耗材，仪器设备保养维护（一年不少于 2 次）及自校工作等。</w:t>
      </w:r>
    </w:p>
    <w:p w14:paraId="3B6CAE33">
      <w:pPr>
        <w:widowControl/>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4.6提供操作软件终身升级及版本更新服务</w:t>
      </w:r>
      <w:r>
        <w:rPr>
          <w:rFonts w:hint="eastAsia" w:ascii="宋体" w:hAnsi="宋体" w:eastAsia="宋体" w:cs="宋体"/>
          <w:color w:val="auto"/>
          <w:sz w:val="21"/>
          <w:szCs w:val="21"/>
          <w:highlight w:val="none"/>
        </w:rPr>
        <w:t>。</w:t>
      </w:r>
    </w:p>
    <w:p w14:paraId="1A533373">
      <w:pPr>
        <w:keepNext w:val="0"/>
        <w:keepLines w:val="0"/>
        <w:pageBreakBefore w:val="0"/>
        <w:widowControl/>
        <w:numPr>
          <w:ilvl w:val="0"/>
          <w:numId w:val="0"/>
        </w:numPr>
        <w:kinsoku/>
        <w:wordWrap/>
        <w:overflowPunct/>
        <w:topLinePunct w:val="0"/>
        <w:bidi w:val="0"/>
        <w:snapToGrid/>
        <w:spacing w:line="360" w:lineRule="auto"/>
        <w:jc w:val="left"/>
        <w:textAlignment w:val="auto"/>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b/>
          <w:bCs/>
          <w:color w:val="auto"/>
          <w:kern w:val="2"/>
          <w:sz w:val="21"/>
          <w:szCs w:val="21"/>
          <w:highlight w:val="none"/>
          <w:lang w:val="en-US" w:eastAsia="zh-CN" w:bidi="ar-SA"/>
        </w:rPr>
        <w:t>（二）全自动红外测油仪</w:t>
      </w:r>
    </w:p>
    <w:p w14:paraId="3EC0CD93">
      <w:pPr>
        <w:keepNext w:val="0"/>
        <w:keepLines w:val="0"/>
        <w:pageBreakBefore w:val="0"/>
        <w:widowControl/>
        <w:numPr>
          <w:ilvl w:val="0"/>
          <w:numId w:val="0"/>
        </w:numPr>
        <w:kinsoku/>
        <w:wordWrap/>
        <w:overflowPunct/>
        <w:topLinePunct w:val="0"/>
        <w:bidi w:val="0"/>
        <w:snapToGrid/>
        <w:spacing w:line="360" w:lineRule="auto"/>
        <w:jc w:val="left"/>
        <w:textAlignment w:val="auto"/>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b/>
          <w:bCs/>
          <w:color w:val="auto"/>
          <w:kern w:val="2"/>
          <w:sz w:val="21"/>
          <w:szCs w:val="21"/>
          <w:highlight w:val="none"/>
          <w:lang w:val="en-US" w:eastAsia="zh-CN" w:bidi="ar-SA"/>
        </w:rPr>
        <w:t>1.采购内容</w:t>
      </w:r>
    </w:p>
    <w:p w14:paraId="20FEFAF9">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采购</w:t>
      </w:r>
      <w:r>
        <w:rPr>
          <w:rFonts w:hint="eastAsia" w:ascii="宋体" w:hAnsi="宋体" w:eastAsia="宋体" w:cs="宋体"/>
          <w:color w:val="auto"/>
          <w:sz w:val="21"/>
          <w:szCs w:val="21"/>
          <w:highlight w:val="none"/>
        </w:rPr>
        <w:t>全自动红外测油仪</w:t>
      </w: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套，用于地表水、地下水、生活污水、工业废水和海水中石油类和动植物油类的分析。</w:t>
      </w:r>
      <w:r>
        <w:rPr>
          <w:rFonts w:hint="eastAsia" w:ascii="宋体" w:hAnsi="宋体" w:eastAsia="宋体" w:cs="宋体"/>
          <w:color w:val="auto"/>
          <w:sz w:val="21"/>
          <w:szCs w:val="21"/>
          <w:highlight w:val="none"/>
          <w:lang w:val="en-US" w:eastAsia="zh-CN"/>
        </w:rPr>
        <w:t>符合</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水质 石油类动植物油类测定、红外分光光度法</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HJ 637-2018</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方法要求。</w:t>
      </w:r>
    </w:p>
    <w:p w14:paraId="36546F5E">
      <w:pPr>
        <w:keepNext w:val="0"/>
        <w:keepLines w:val="0"/>
        <w:pageBreakBefore w:val="0"/>
        <w:widowControl/>
        <w:numPr>
          <w:ilvl w:val="0"/>
          <w:numId w:val="0"/>
        </w:numPr>
        <w:kinsoku/>
        <w:wordWrap/>
        <w:overflowPunct/>
        <w:topLinePunct w:val="0"/>
        <w:bidi w:val="0"/>
        <w:snapToGrid/>
        <w:spacing w:line="360" w:lineRule="auto"/>
        <w:jc w:val="left"/>
        <w:textAlignment w:val="auto"/>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b/>
          <w:bCs/>
          <w:color w:val="auto"/>
          <w:kern w:val="2"/>
          <w:sz w:val="21"/>
          <w:szCs w:val="21"/>
          <w:highlight w:val="none"/>
          <w:lang w:val="en-US" w:eastAsia="zh-CN" w:bidi="ar-SA"/>
        </w:rPr>
        <w:t>2.技术参数要求</w:t>
      </w:r>
    </w:p>
    <w:p w14:paraId="4D9D506C">
      <w:pPr>
        <w:keepNext w:val="0"/>
        <w:keepLines w:val="0"/>
        <w:pageBreakBefore w:val="0"/>
        <w:widowControl/>
        <w:numPr>
          <w:ilvl w:val="0"/>
          <w:numId w:val="0"/>
        </w:numPr>
        <w:kinsoku/>
        <w:wordWrap/>
        <w:overflowPunct/>
        <w:topLinePunct w:val="0"/>
        <w:bidi w:val="0"/>
        <w:snapToGrid/>
        <w:spacing w:line="360" w:lineRule="auto"/>
        <w:ind w:firstLine="422" w:firstLineChars="200"/>
        <w:jc w:val="left"/>
        <w:textAlignment w:val="auto"/>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b/>
          <w:bCs/>
          <w:color w:val="auto"/>
          <w:kern w:val="2"/>
          <w:sz w:val="21"/>
          <w:szCs w:val="21"/>
          <w:highlight w:val="none"/>
          <w:lang w:val="en-US" w:eastAsia="zh-CN" w:bidi="ar-SA"/>
        </w:rPr>
        <w:t>2.1功能综述</w:t>
      </w:r>
    </w:p>
    <w:p w14:paraId="1CE4FDEE">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2.1.1 测量项目：连续测量水中石油类和动植物油类，主机标配2根硅酸镁柱，可自动切换；</w:t>
      </w:r>
    </w:p>
    <w:p w14:paraId="5BF9AFE1">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2.1.2 含自动萃取、自动测量、自动清洗、自动排放等多种功能，样品位即萃取位（提供仪器整机实物照片）；</w:t>
      </w:r>
    </w:p>
    <w:p w14:paraId="492ED1A8">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2.1.3 仪器光学系统、电气系统自成一体，稳定性好、信噪比高，集成化程度高，从而提高了仪器的可靠性和可维护性；</w:t>
      </w:r>
    </w:p>
    <w:p w14:paraId="15B2185A">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★2.1.4 样品测量：不少于12个样品位，可连续循环做样，试剂添加、萃取、分离、测量、清洗自动完成；</w:t>
      </w:r>
    </w:p>
    <w:p w14:paraId="53DC4200">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2.1.5 分离方式：萃取、分离管、除水三次分离；</w:t>
      </w:r>
    </w:p>
    <w:p w14:paraId="56A37484">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2.1.6 采样方式：兼容500ml、700ml、1000ml广口瓶现场采样，直接上机萃取，自动测量、自动读取水样体积；</w:t>
      </w:r>
    </w:p>
    <w:p w14:paraId="325CF381">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2.1.7 自动收集：自带废气处理装置和废液回收装置；</w:t>
      </w:r>
    </w:p>
    <w:p w14:paraId="25439A63">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2.1.8 自动分离：废液中的试剂与水完全自动分离；</w:t>
      </w:r>
    </w:p>
    <w:p w14:paraId="30294F36">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2.1.9 采用多通切换阀和精密注射器配合；</w:t>
      </w:r>
    </w:p>
    <w:p w14:paraId="733287AE">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★2.1.10注射泵重复10次，注射25ml重量法称重： RSD≤0.05%，注射2.5ml重量法称重：RSD≤0.5%；</w:t>
      </w:r>
    </w:p>
    <w:p w14:paraId="76FAE5DA">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2.1.11 紧急样品可中途加样，标记优先样品，对于标记优先样品优先测量；</w:t>
      </w:r>
    </w:p>
    <w:p w14:paraId="60A35B6E">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2.1.12 全过程密闭无毒式操作：废水自动排放，有毒有机试剂自动收集，避免了有毒试剂对人体的伤害；</w:t>
      </w:r>
    </w:p>
    <w:p w14:paraId="77AE99E8">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2.1.13  连续测量过程中，样品瓶不移动，从而避免样品瓶在移动过程中造成水样泼洒，影响水样测量数据；</w:t>
      </w:r>
    </w:p>
    <w:p w14:paraId="278B78CE">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2.1.14蠕动泵自动开闭：测量前蠕动泵自动闭合，避免因人工操作失误导致样品没有转移，测量失效，测量结束蠕动泵自动打开，避免泵管长期夹住导致泵管失去弹性无法工作，使用寿命减少；</w:t>
      </w:r>
    </w:p>
    <w:p w14:paraId="27903D10">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2.1.15 软件可实时洞察实验流程；</w:t>
      </w:r>
    </w:p>
    <w:p w14:paraId="44160408">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2.1.16 仪器可放入1.3米或1.5米通风橱。</w:t>
      </w:r>
    </w:p>
    <w:p w14:paraId="15086A5A">
      <w:pPr>
        <w:widowControl/>
        <w:autoSpaceDE w:val="0"/>
        <w:autoSpaceDN w:val="0"/>
        <w:adjustRightInd w:val="0"/>
        <w:snapToGrid/>
        <w:spacing w:before="0" w:after="0" w:line="360" w:lineRule="auto"/>
        <w:ind w:left="210" w:leftChars="100" w:firstLine="194" w:firstLineChars="92"/>
        <w:rPr>
          <w:rFonts w:hint="eastAsia" w:ascii="宋体" w:hAnsi="宋体" w:eastAsia="宋体" w:cs="宋体"/>
          <w:b/>
          <w:color w:val="auto"/>
          <w:sz w:val="21"/>
          <w:szCs w:val="21"/>
          <w:highlight w:val="none"/>
        </w:rPr>
      </w:pPr>
      <w:r>
        <w:rPr>
          <w:rFonts w:hint="eastAsia" w:ascii="宋体" w:hAnsi="宋体" w:eastAsia="宋体" w:cs="宋体"/>
          <w:b/>
          <w:bCs/>
          <w:color w:val="auto"/>
          <w:kern w:val="0"/>
          <w:sz w:val="21"/>
          <w:szCs w:val="21"/>
          <w:highlight w:val="none"/>
        </w:rPr>
        <w:t>2.2详细参数</w:t>
      </w:r>
    </w:p>
    <w:p w14:paraId="58CE7A4E">
      <w:pPr>
        <w:widowControl/>
        <w:snapToGrid/>
        <w:spacing w:before="0" w:after="0" w:line="360" w:lineRule="auto"/>
        <w:ind w:firstLine="420" w:firstLineChars="200"/>
        <w:jc w:val="both"/>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2.2.1 样品位数：</w:t>
      </w:r>
      <w:r>
        <w:rPr>
          <w:rFonts w:hint="eastAsia" w:ascii="宋体" w:hAnsi="宋体" w:eastAsia="宋体" w:cs="宋体"/>
          <w:color w:val="auto"/>
          <w:sz w:val="21"/>
          <w:szCs w:val="21"/>
          <w:highlight w:val="none"/>
          <w:lang w:val="en-US" w:eastAsia="zh-CN"/>
        </w:rPr>
        <w:t>≥12</w:t>
      </w:r>
      <w:r>
        <w:rPr>
          <w:rFonts w:hint="eastAsia" w:ascii="宋体" w:hAnsi="宋体" w:eastAsia="宋体" w:cs="宋体"/>
          <w:color w:val="auto"/>
          <w:sz w:val="21"/>
          <w:szCs w:val="21"/>
          <w:highlight w:val="none"/>
        </w:rPr>
        <w:t>位</w:t>
      </w:r>
      <w:r>
        <w:rPr>
          <w:rFonts w:hint="eastAsia" w:ascii="宋体" w:hAnsi="宋体" w:eastAsia="宋体" w:cs="宋体"/>
          <w:color w:val="auto"/>
          <w:sz w:val="21"/>
          <w:szCs w:val="21"/>
          <w:highlight w:val="none"/>
          <w:lang w:eastAsia="zh-CN"/>
        </w:rPr>
        <w:t>；</w:t>
      </w:r>
    </w:p>
    <w:p w14:paraId="367E646C">
      <w:pPr>
        <w:widowControl/>
        <w:snapToGrid/>
        <w:spacing w:before="0" w:after="0" w:line="360" w:lineRule="auto"/>
        <w:ind w:firstLine="420" w:firstLineChars="200"/>
        <w:jc w:val="both"/>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2.2.2 采样瓶：500ml或1000ml广口瓶，样品不转移</w:t>
      </w:r>
      <w:r>
        <w:rPr>
          <w:rFonts w:hint="eastAsia" w:ascii="宋体" w:hAnsi="宋体" w:eastAsia="宋体" w:cs="宋体"/>
          <w:color w:val="auto"/>
          <w:sz w:val="21"/>
          <w:szCs w:val="21"/>
          <w:highlight w:val="none"/>
          <w:lang w:eastAsia="zh-CN"/>
        </w:rPr>
        <w:t>；</w:t>
      </w:r>
    </w:p>
    <w:p w14:paraId="03FD1A68">
      <w:pPr>
        <w:widowControl/>
        <w:snapToGrid/>
        <w:spacing w:before="0" w:after="0" w:line="360" w:lineRule="auto"/>
        <w:ind w:firstLine="420" w:firstLineChars="200"/>
        <w:jc w:val="both"/>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2.2.3 水样体积：0-1000mL</w:t>
      </w:r>
      <w:r>
        <w:rPr>
          <w:rFonts w:hint="eastAsia" w:ascii="宋体" w:hAnsi="宋体" w:eastAsia="宋体" w:cs="宋体"/>
          <w:color w:val="auto"/>
          <w:sz w:val="21"/>
          <w:szCs w:val="21"/>
          <w:highlight w:val="none"/>
          <w:lang w:eastAsia="zh-CN"/>
        </w:rPr>
        <w:t>；</w:t>
      </w:r>
    </w:p>
    <w:p w14:paraId="11D904EA">
      <w:pPr>
        <w:widowControl/>
        <w:snapToGrid/>
        <w:spacing w:before="0" w:after="0" w:line="360" w:lineRule="auto"/>
        <w:ind w:firstLine="420" w:firstLineChars="200"/>
        <w:jc w:val="both"/>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2.2.4体积量取：非接触式自动测量水样体积，避免交叉污染，体积测量误差</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lang w:eastAsia="zh-CN"/>
        </w:rPr>
        <w:t>；</w:t>
      </w:r>
    </w:p>
    <w:p w14:paraId="4E1A08FD">
      <w:pPr>
        <w:widowControl/>
        <w:snapToGrid/>
        <w:spacing w:before="0" w:after="0" w:line="360" w:lineRule="auto"/>
        <w:ind w:firstLine="420" w:firstLineChars="200"/>
        <w:jc w:val="both"/>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2.2.5 体积输入：仪器自动读取传输至软件界面</w:t>
      </w:r>
      <w:r>
        <w:rPr>
          <w:rFonts w:hint="eastAsia" w:ascii="宋体" w:hAnsi="宋体" w:eastAsia="宋体" w:cs="宋体"/>
          <w:color w:val="auto"/>
          <w:sz w:val="21"/>
          <w:szCs w:val="21"/>
          <w:highlight w:val="none"/>
          <w:lang w:eastAsia="zh-CN"/>
        </w:rPr>
        <w:t>；</w:t>
      </w:r>
    </w:p>
    <w:p w14:paraId="369E52AA">
      <w:pPr>
        <w:widowControl/>
        <w:snapToGrid/>
        <w:spacing w:before="0" w:after="0" w:line="360" w:lineRule="auto"/>
        <w:ind w:firstLine="420" w:firstLineChars="200"/>
        <w:jc w:val="both"/>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2.2.6 萃取试剂：四氯乙烯</w:t>
      </w:r>
      <w:r>
        <w:rPr>
          <w:rFonts w:hint="eastAsia" w:ascii="宋体" w:hAnsi="宋体" w:eastAsia="宋体" w:cs="宋体"/>
          <w:color w:val="auto"/>
          <w:sz w:val="21"/>
          <w:szCs w:val="21"/>
          <w:highlight w:val="none"/>
          <w:lang w:eastAsia="zh-CN"/>
        </w:rPr>
        <w:t>；</w:t>
      </w:r>
    </w:p>
    <w:p w14:paraId="233203D6">
      <w:pPr>
        <w:widowControl/>
        <w:snapToGrid/>
        <w:spacing w:before="0" w:after="0" w:line="360" w:lineRule="auto"/>
        <w:ind w:firstLine="420" w:firstLineChars="200"/>
        <w:jc w:val="both"/>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2.2.7 校正方法：标准物质校正、标准曲线校正、单点快速校正</w:t>
      </w:r>
      <w:r>
        <w:rPr>
          <w:rFonts w:hint="eastAsia" w:ascii="宋体" w:hAnsi="宋体" w:eastAsia="宋体" w:cs="宋体"/>
          <w:color w:val="auto"/>
          <w:sz w:val="21"/>
          <w:szCs w:val="21"/>
          <w:highlight w:val="none"/>
          <w:lang w:eastAsia="zh-CN"/>
        </w:rPr>
        <w:t>；</w:t>
      </w:r>
    </w:p>
    <w:p w14:paraId="3E97A5DD">
      <w:pPr>
        <w:widowControl/>
        <w:snapToGrid/>
        <w:spacing w:before="0" w:after="0" w:line="360" w:lineRule="auto"/>
        <w:ind w:firstLine="420" w:firstLineChars="200"/>
        <w:jc w:val="both"/>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2.2.8 线性：</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0.999</w:t>
      </w:r>
      <w:r>
        <w:rPr>
          <w:rFonts w:hint="eastAsia" w:ascii="宋体" w:hAnsi="宋体" w:eastAsia="宋体" w:cs="宋体"/>
          <w:color w:val="auto"/>
          <w:sz w:val="21"/>
          <w:szCs w:val="21"/>
          <w:highlight w:val="none"/>
          <w:lang w:eastAsia="zh-CN"/>
        </w:rPr>
        <w:t>；</w:t>
      </w:r>
    </w:p>
    <w:p w14:paraId="233C7554">
      <w:pPr>
        <w:widowControl/>
        <w:snapToGrid/>
        <w:spacing w:before="0" w:after="0" w:line="360" w:lineRule="auto"/>
        <w:ind w:firstLine="420" w:firstLineChars="200"/>
        <w:jc w:val="both"/>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2.2.9 测量范围：0-500mg/L，超量程自动稀释</w:t>
      </w:r>
      <w:r>
        <w:rPr>
          <w:rFonts w:hint="eastAsia" w:ascii="宋体" w:hAnsi="宋体" w:eastAsia="宋体" w:cs="宋体"/>
          <w:color w:val="auto"/>
          <w:sz w:val="21"/>
          <w:szCs w:val="21"/>
          <w:highlight w:val="none"/>
          <w:lang w:eastAsia="zh-CN"/>
        </w:rPr>
        <w:t>；</w:t>
      </w:r>
    </w:p>
    <w:p w14:paraId="478F9C0F">
      <w:pPr>
        <w:widowControl/>
        <w:snapToGrid/>
        <w:spacing w:before="0" w:after="0" w:line="360" w:lineRule="auto"/>
        <w:ind w:firstLine="420" w:firstLineChars="200"/>
        <w:jc w:val="both"/>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2.2.10 分辨率：</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0.001mg/L</w:t>
      </w:r>
      <w:r>
        <w:rPr>
          <w:rFonts w:hint="eastAsia" w:ascii="宋体" w:hAnsi="宋体" w:eastAsia="宋体" w:cs="宋体"/>
          <w:color w:val="auto"/>
          <w:sz w:val="21"/>
          <w:szCs w:val="21"/>
          <w:highlight w:val="none"/>
          <w:lang w:eastAsia="zh-CN"/>
        </w:rPr>
        <w:t>；</w:t>
      </w:r>
    </w:p>
    <w:p w14:paraId="346E118A">
      <w:pPr>
        <w:widowControl/>
        <w:snapToGrid/>
        <w:spacing w:before="0" w:after="0" w:line="360" w:lineRule="auto"/>
        <w:ind w:firstLine="420" w:firstLineChars="200"/>
        <w:jc w:val="both"/>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2.2.11 检出限：</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0.06 mg/L</w:t>
      </w:r>
      <w:r>
        <w:rPr>
          <w:rFonts w:hint="eastAsia" w:ascii="宋体" w:hAnsi="宋体" w:eastAsia="宋体" w:cs="宋体"/>
          <w:color w:val="auto"/>
          <w:sz w:val="21"/>
          <w:szCs w:val="21"/>
          <w:highlight w:val="none"/>
          <w:lang w:eastAsia="zh-CN"/>
        </w:rPr>
        <w:t>；</w:t>
      </w:r>
    </w:p>
    <w:p w14:paraId="31E831B6">
      <w:pPr>
        <w:widowControl/>
        <w:snapToGrid/>
        <w:spacing w:before="0" w:after="0" w:line="360" w:lineRule="auto"/>
        <w:ind w:firstLine="420" w:firstLineChars="200"/>
        <w:jc w:val="both"/>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2.2.12 重现性：RSD</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lang w:eastAsia="zh-CN"/>
        </w:rPr>
        <w:t>；</w:t>
      </w:r>
    </w:p>
    <w:p w14:paraId="6D46E28F">
      <w:pPr>
        <w:widowControl/>
        <w:snapToGrid/>
        <w:spacing w:before="0" w:after="0" w:line="360" w:lineRule="auto"/>
        <w:ind w:firstLine="420" w:firstLineChars="200"/>
        <w:jc w:val="both"/>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2.2.13 准确度：±2%</w:t>
      </w:r>
      <w:r>
        <w:rPr>
          <w:rFonts w:hint="eastAsia" w:ascii="宋体" w:hAnsi="宋体" w:eastAsia="宋体" w:cs="宋体"/>
          <w:color w:val="auto"/>
          <w:sz w:val="21"/>
          <w:szCs w:val="21"/>
          <w:highlight w:val="none"/>
          <w:lang w:eastAsia="zh-CN"/>
        </w:rPr>
        <w:t>；</w:t>
      </w:r>
    </w:p>
    <w:p w14:paraId="4F25E179">
      <w:pPr>
        <w:widowControl/>
        <w:snapToGrid/>
        <w:spacing w:before="0" w:after="0" w:line="360" w:lineRule="auto"/>
        <w:ind w:firstLine="420" w:firstLineChars="200"/>
        <w:jc w:val="both"/>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2.2.14 测量时间：12-15分钟/水样（水样测量全流程）</w:t>
      </w:r>
      <w:r>
        <w:rPr>
          <w:rFonts w:hint="eastAsia" w:ascii="宋体" w:hAnsi="宋体" w:eastAsia="宋体" w:cs="宋体"/>
          <w:color w:val="auto"/>
          <w:sz w:val="21"/>
          <w:szCs w:val="21"/>
          <w:highlight w:val="none"/>
          <w:lang w:eastAsia="zh-CN"/>
        </w:rPr>
        <w:t>；</w:t>
      </w:r>
    </w:p>
    <w:p w14:paraId="2591CB33">
      <w:pPr>
        <w:widowControl/>
        <w:snapToGrid/>
        <w:spacing w:before="0" w:after="0" w:line="360" w:lineRule="auto"/>
        <w:ind w:firstLine="420" w:firstLineChars="200"/>
        <w:jc w:val="both"/>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 xml:space="preserve">2.2.15 电源：220V 50Hz </w:t>
      </w:r>
      <w:r>
        <w:rPr>
          <w:rFonts w:hint="eastAsia" w:ascii="宋体" w:hAnsi="宋体" w:eastAsia="宋体" w:cs="宋体"/>
          <w:color w:val="auto"/>
          <w:sz w:val="21"/>
          <w:szCs w:val="21"/>
          <w:highlight w:val="none"/>
          <w:lang w:eastAsia="zh-CN"/>
        </w:rPr>
        <w:t>。</w:t>
      </w:r>
    </w:p>
    <w:p w14:paraId="45164C2D">
      <w:pPr>
        <w:keepNext w:val="0"/>
        <w:keepLines w:val="0"/>
        <w:pageBreakBefore w:val="0"/>
        <w:widowControl/>
        <w:numPr>
          <w:ilvl w:val="0"/>
          <w:numId w:val="0"/>
        </w:numPr>
        <w:kinsoku/>
        <w:wordWrap/>
        <w:overflowPunct/>
        <w:topLinePunct w:val="0"/>
        <w:bidi w:val="0"/>
        <w:snapToGrid/>
        <w:spacing w:line="360" w:lineRule="auto"/>
        <w:jc w:val="left"/>
        <w:textAlignment w:val="auto"/>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b/>
          <w:bCs/>
          <w:color w:val="auto"/>
          <w:kern w:val="2"/>
          <w:sz w:val="21"/>
          <w:szCs w:val="21"/>
          <w:highlight w:val="none"/>
          <w:lang w:val="en-US" w:eastAsia="zh-CN" w:bidi="ar-SA"/>
        </w:rPr>
        <w:t>3.配置要求</w:t>
      </w:r>
    </w:p>
    <w:p w14:paraId="1E2693A2">
      <w:pPr>
        <w:widowControl/>
        <w:snapToGrid/>
        <w:spacing w:before="0" w:after="0" w:line="360" w:lineRule="auto"/>
        <w:ind w:firstLine="420" w:firstLineChars="200"/>
        <w:jc w:val="both"/>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3.1 全自动红外测油主机：1</w:t>
      </w:r>
      <w:r>
        <w:rPr>
          <w:rFonts w:hint="eastAsia" w:ascii="宋体" w:hAnsi="宋体" w:eastAsia="宋体" w:cs="宋体"/>
          <w:color w:val="auto"/>
          <w:sz w:val="21"/>
          <w:szCs w:val="21"/>
          <w:highlight w:val="none"/>
          <w:lang w:val="en-US" w:eastAsia="zh-CN"/>
        </w:rPr>
        <w:t>套；</w:t>
      </w:r>
    </w:p>
    <w:p w14:paraId="0FB9C27D">
      <w:pPr>
        <w:widowControl/>
        <w:snapToGrid/>
        <w:spacing w:before="0" w:after="0" w:line="360" w:lineRule="auto"/>
        <w:ind w:firstLine="420" w:firstLineChars="200"/>
        <w:jc w:val="both"/>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3.2 数据处理系统：1套</w:t>
      </w:r>
      <w:r>
        <w:rPr>
          <w:rFonts w:hint="eastAsia" w:ascii="宋体" w:hAnsi="宋体" w:eastAsia="宋体" w:cs="宋体"/>
          <w:color w:val="auto"/>
          <w:sz w:val="21"/>
          <w:szCs w:val="21"/>
          <w:highlight w:val="none"/>
          <w:lang w:eastAsia="zh-CN"/>
        </w:rPr>
        <w:t>；</w:t>
      </w:r>
    </w:p>
    <w:p w14:paraId="7A85CC7A">
      <w:pPr>
        <w:widowControl/>
        <w:snapToGrid/>
        <w:spacing w:before="0" w:after="0" w:line="360" w:lineRule="auto"/>
        <w:ind w:firstLine="420" w:firstLineChars="200"/>
        <w:jc w:val="both"/>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3.3 标准配件及耗材（含1年）</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1套</w:t>
      </w:r>
      <w:r>
        <w:rPr>
          <w:rFonts w:hint="eastAsia" w:ascii="宋体" w:hAnsi="宋体" w:eastAsia="宋体" w:cs="宋体"/>
          <w:color w:val="auto"/>
          <w:sz w:val="21"/>
          <w:szCs w:val="21"/>
          <w:highlight w:val="none"/>
          <w:lang w:eastAsia="zh-CN"/>
        </w:rPr>
        <w:t>。</w:t>
      </w:r>
    </w:p>
    <w:p w14:paraId="325B5818">
      <w:pPr>
        <w:keepNext w:val="0"/>
        <w:keepLines w:val="0"/>
        <w:pageBreakBefore w:val="0"/>
        <w:widowControl/>
        <w:numPr>
          <w:ilvl w:val="0"/>
          <w:numId w:val="0"/>
        </w:numPr>
        <w:kinsoku/>
        <w:wordWrap/>
        <w:overflowPunct/>
        <w:topLinePunct w:val="0"/>
        <w:bidi w:val="0"/>
        <w:snapToGrid/>
        <w:spacing w:line="360" w:lineRule="auto"/>
        <w:jc w:val="left"/>
        <w:textAlignment w:val="auto"/>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b/>
          <w:bCs/>
          <w:color w:val="auto"/>
          <w:kern w:val="2"/>
          <w:sz w:val="21"/>
          <w:szCs w:val="21"/>
          <w:highlight w:val="none"/>
          <w:lang w:val="en-US" w:eastAsia="zh-CN" w:bidi="ar-SA"/>
        </w:rPr>
        <w:t>4.售后服务要求</w:t>
      </w:r>
    </w:p>
    <w:p w14:paraId="674383DF">
      <w:pPr>
        <w:widowControl/>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4.1</w:t>
      </w:r>
      <w:r>
        <w:rPr>
          <w:rFonts w:hint="eastAsia" w:ascii="宋体" w:hAnsi="宋体" w:eastAsia="宋体" w:cs="宋体"/>
          <w:color w:val="auto"/>
          <w:sz w:val="21"/>
          <w:szCs w:val="21"/>
          <w:highlight w:val="none"/>
        </w:rPr>
        <w:t>响应时间：在接到电话或书面通知后4小时内给予答复，紧急问题应在48小时内抵达现场。</w:t>
      </w:r>
    </w:p>
    <w:p w14:paraId="773B091A">
      <w:pPr>
        <w:widowControl/>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4.2</w:t>
      </w:r>
      <w:r>
        <w:rPr>
          <w:rFonts w:hint="eastAsia" w:ascii="宋体" w:hAnsi="宋体" w:eastAsia="宋体" w:cs="宋体"/>
          <w:color w:val="auto"/>
          <w:sz w:val="21"/>
          <w:szCs w:val="21"/>
          <w:highlight w:val="none"/>
        </w:rPr>
        <w:t xml:space="preserve"> 质量保证期：设备验收合格后，整机质保24个月。</w:t>
      </w:r>
    </w:p>
    <w:p w14:paraId="4F9EE058">
      <w:pPr>
        <w:widowControl/>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4.3</w:t>
      </w:r>
      <w:r>
        <w:rPr>
          <w:rFonts w:hint="eastAsia" w:ascii="宋体" w:hAnsi="宋体" w:eastAsia="宋体" w:cs="宋体"/>
          <w:color w:val="auto"/>
          <w:sz w:val="21"/>
          <w:szCs w:val="21"/>
          <w:highlight w:val="none"/>
        </w:rPr>
        <w:t xml:space="preserve"> 技术服务的范围及内容：</w:t>
      </w:r>
      <w:r>
        <w:rPr>
          <w:rFonts w:hint="eastAsia" w:ascii="宋体" w:hAnsi="宋体" w:eastAsia="宋体" w:cs="宋体"/>
          <w:color w:val="auto"/>
          <w:sz w:val="21"/>
          <w:szCs w:val="21"/>
          <w:highlight w:val="none"/>
          <w:lang w:val="en-US" w:eastAsia="zh-CN"/>
        </w:rPr>
        <w:t>供货商</w:t>
      </w:r>
      <w:r>
        <w:rPr>
          <w:rFonts w:hint="eastAsia" w:ascii="宋体" w:hAnsi="宋体" w:eastAsia="宋体" w:cs="宋体"/>
          <w:color w:val="auto"/>
          <w:sz w:val="21"/>
          <w:szCs w:val="21"/>
          <w:highlight w:val="none"/>
        </w:rPr>
        <w:t>委派技术人员到采购人指定现场，完成设备安装、调试及性能测试工作，直至运行稳定、各项技术指标满足要求并验收合格。</w:t>
      </w:r>
    </w:p>
    <w:p w14:paraId="1E293B30">
      <w:pPr>
        <w:widowControl/>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4.4在质保期内按采购人要求，开展技术培训和支持（含现场培训）</w:t>
      </w:r>
      <w:r>
        <w:rPr>
          <w:rFonts w:hint="eastAsia" w:ascii="宋体" w:hAnsi="宋体" w:eastAsia="宋体" w:cs="宋体"/>
          <w:color w:val="auto"/>
          <w:sz w:val="21"/>
          <w:szCs w:val="21"/>
          <w:highlight w:val="none"/>
        </w:rPr>
        <w:t>。</w:t>
      </w:r>
    </w:p>
    <w:p w14:paraId="254AEB0A">
      <w:pPr>
        <w:widowControl/>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4.5</w:t>
      </w:r>
      <w:r>
        <w:rPr>
          <w:rFonts w:hint="eastAsia" w:ascii="宋体" w:hAnsi="宋体" w:eastAsia="宋体" w:cs="宋体"/>
          <w:color w:val="auto"/>
          <w:sz w:val="21"/>
          <w:szCs w:val="21"/>
          <w:highlight w:val="none"/>
        </w:rPr>
        <w:t xml:space="preserve"> 质保期内，所有故障提供技术服务和维修，包括配套的所有耗材，仪器设备保养维护（一年不少于 2 次）及自校工作等。</w:t>
      </w:r>
    </w:p>
    <w:p w14:paraId="6F8359D9">
      <w:pPr>
        <w:widowControl/>
        <w:spacing w:line="360" w:lineRule="auto"/>
        <w:ind w:firstLine="420" w:firstLineChars="200"/>
        <w:rPr>
          <w:rFonts w:hint="eastAsia" w:ascii="宋体" w:hAnsi="宋体" w:eastAsia="宋体" w:cs="宋体"/>
          <w:b/>
          <w:bCs/>
          <w:color w:val="auto"/>
          <w:kern w:val="0"/>
          <w:sz w:val="21"/>
          <w:szCs w:val="21"/>
          <w:highlight w:val="none"/>
          <w:lang w:val="en-US" w:eastAsia="zh-CN" w:bidi="ar-SA"/>
        </w:rPr>
      </w:pPr>
      <w:r>
        <w:rPr>
          <w:rFonts w:hint="eastAsia" w:ascii="宋体" w:hAnsi="宋体" w:eastAsia="宋体" w:cs="宋体"/>
          <w:color w:val="auto"/>
          <w:sz w:val="21"/>
          <w:szCs w:val="21"/>
          <w:highlight w:val="none"/>
          <w:lang w:val="en-US" w:eastAsia="zh-CN"/>
        </w:rPr>
        <w:t>4.6提供操作软件终身升级及版本更新服务</w:t>
      </w:r>
      <w:r>
        <w:rPr>
          <w:rFonts w:hint="eastAsia" w:ascii="宋体" w:hAnsi="宋体" w:eastAsia="宋体" w:cs="宋体"/>
          <w:color w:val="auto"/>
          <w:sz w:val="21"/>
          <w:szCs w:val="21"/>
          <w:highlight w:val="none"/>
        </w:rPr>
        <w:t>。</w:t>
      </w:r>
    </w:p>
    <w:p w14:paraId="07BE3241">
      <w:pPr>
        <w:keepNext w:val="0"/>
        <w:keepLines w:val="0"/>
        <w:pageBreakBefore w:val="0"/>
        <w:widowControl/>
        <w:numPr>
          <w:ilvl w:val="0"/>
          <w:numId w:val="0"/>
        </w:numPr>
        <w:kinsoku/>
        <w:wordWrap/>
        <w:overflowPunct/>
        <w:topLinePunct w:val="0"/>
        <w:bidi w:val="0"/>
        <w:snapToGrid/>
        <w:spacing w:line="360" w:lineRule="auto"/>
        <w:jc w:val="left"/>
        <w:textAlignment w:val="auto"/>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b/>
          <w:bCs/>
          <w:color w:val="auto"/>
          <w:kern w:val="2"/>
          <w:sz w:val="21"/>
          <w:szCs w:val="21"/>
          <w:highlight w:val="none"/>
          <w:lang w:val="en-US" w:eastAsia="zh-CN" w:bidi="ar-SA"/>
        </w:rPr>
        <w:t>（三）便携式气相分子吸收光谱仪</w:t>
      </w:r>
    </w:p>
    <w:p w14:paraId="048256E0">
      <w:pPr>
        <w:keepNext w:val="0"/>
        <w:keepLines w:val="0"/>
        <w:pageBreakBefore w:val="0"/>
        <w:widowControl/>
        <w:numPr>
          <w:ilvl w:val="0"/>
          <w:numId w:val="0"/>
        </w:numPr>
        <w:kinsoku/>
        <w:wordWrap/>
        <w:overflowPunct/>
        <w:topLinePunct w:val="0"/>
        <w:bidi w:val="0"/>
        <w:snapToGrid/>
        <w:spacing w:line="360" w:lineRule="auto"/>
        <w:jc w:val="left"/>
        <w:textAlignment w:val="auto"/>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b/>
          <w:bCs/>
          <w:color w:val="auto"/>
          <w:kern w:val="2"/>
          <w:sz w:val="21"/>
          <w:szCs w:val="21"/>
          <w:highlight w:val="none"/>
          <w:lang w:val="en-US" w:eastAsia="zh-CN" w:bidi="ar-SA"/>
        </w:rPr>
        <w:t>1.采购内容</w:t>
      </w:r>
    </w:p>
    <w:p w14:paraId="1F0632B6">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采购便携式气相分子吸收光谱仪1套，主要用于测定各种水质样品中的氨氮、亚硝酸盐氮、硝酸盐氮、总氮、硫化物等项目，符合中华人民共和国环境保护行业标准《水质 氨氮的测定 气相分子吸收光谱法》（HJ 195-2023）、《水质 亚硝酸盐氮的测定 气相分子吸收光谱法》（HJ 197-2024）、《水质 硝酸盐氮的测定 气相分子吸收光谱法》（HJ 198-2024）、《水质 总氮的测定 气相分子吸收光谱法》（HJ 199-2023）、《水质 硫化物的测定 气相分子吸收光谱法》（HJ 200-2023）等方法要求。</w:t>
      </w:r>
    </w:p>
    <w:p w14:paraId="5070B2A4">
      <w:pPr>
        <w:keepNext w:val="0"/>
        <w:keepLines w:val="0"/>
        <w:pageBreakBefore w:val="0"/>
        <w:widowControl/>
        <w:numPr>
          <w:ilvl w:val="0"/>
          <w:numId w:val="0"/>
        </w:numPr>
        <w:kinsoku/>
        <w:wordWrap/>
        <w:overflowPunct/>
        <w:topLinePunct w:val="0"/>
        <w:bidi w:val="0"/>
        <w:snapToGrid/>
        <w:spacing w:line="360" w:lineRule="auto"/>
        <w:jc w:val="left"/>
        <w:textAlignment w:val="auto"/>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b/>
          <w:bCs/>
          <w:color w:val="auto"/>
          <w:kern w:val="2"/>
          <w:sz w:val="21"/>
          <w:szCs w:val="21"/>
          <w:highlight w:val="none"/>
          <w:lang w:val="en-US" w:eastAsia="zh-CN" w:bidi="ar-SA"/>
        </w:rPr>
        <w:t>2.技术参数要求</w:t>
      </w:r>
    </w:p>
    <w:p w14:paraId="4BD30E91">
      <w:pPr>
        <w:widowControl/>
        <w:spacing w:line="360" w:lineRule="auto"/>
        <w:ind w:firstLine="42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2.1便携性要求：</w:t>
      </w:r>
    </w:p>
    <w:p w14:paraId="0A34A194">
      <w:pPr>
        <w:widowControl/>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2.1.1便携要求：在一个主机内集成仪器正常工作需要全部功能，主机包含进样及反应控制系统、气液分离系统、氨氮在线氧化系统、总氮在线消解系统、光源光学及检测系统，配备输出控制系统。主机配有带轮便携箱，便于携带、野外使用；</w:t>
      </w:r>
    </w:p>
    <w:p w14:paraId="73852B71">
      <w:pPr>
        <w:widowControl/>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2.1.2 供电要求：配备移动电源及220V交流接口，适用于野外及实验室多种应用场景。使用移动电源可以满足所有项目检测时间≥4h；</w:t>
      </w:r>
    </w:p>
    <w:p w14:paraId="78D493F5">
      <w:pPr>
        <w:widowControl/>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★2.1.3 气源要求：主机内置气源可独立完成检测，同时支持使用外供载气；</w:t>
      </w:r>
    </w:p>
    <w:p w14:paraId="5456A6E7">
      <w:pPr>
        <w:widowControl/>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2.1.4 自动进样要求：配有便携式自动进样器，样品盘位不小于38位。</w:t>
      </w:r>
    </w:p>
    <w:p w14:paraId="254DF1DC">
      <w:pPr>
        <w:widowControl/>
        <w:spacing w:line="360" w:lineRule="auto"/>
        <w:ind w:firstLine="422" w:firstLineChars="200"/>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rPr>
        <w:t>2.2 工作站（软件）</w:t>
      </w:r>
      <w:r>
        <w:rPr>
          <w:rFonts w:hint="eastAsia" w:ascii="宋体" w:hAnsi="宋体" w:eastAsia="宋体" w:cs="宋体"/>
          <w:color w:val="auto"/>
          <w:sz w:val="21"/>
          <w:szCs w:val="21"/>
          <w:highlight w:val="none"/>
        </w:rPr>
        <w:t xml:space="preserve"> </w:t>
      </w:r>
    </w:p>
    <w:p w14:paraId="581673F4">
      <w:pPr>
        <w:widowControl/>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2.2.1软件具有自检功能，测定前自动检测通讯口、波长、泵转速等；</w:t>
      </w:r>
    </w:p>
    <w:p w14:paraId="53DB6C48">
      <w:pPr>
        <w:widowControl/>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2.2</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2 具备实时的数据图谱显示功能，便于观察分析样品测定各状态的图谱信息，同一样品的平行测定峰型具备对比查看功能，便于用户进行数据有效性分析；</w:t>
      </w:r>
    </w:p>
    <w:p w14:paraId="797B62BC">
      <w:pPr>
        <w:widowControl/>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2.2.3 软件可随时进行样品添加、删除、紧急插入等操作；</w:t>
      </w:r>
    </w:p>
    <w:p w14:paraId="029DEA67">
      <w:pPr>
        <w:widowControl/>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.4 报表设计可根据具体需求进行定制化设计。</w:t>
      </w:r>
    </w:p>
    <w:p w14:paraId="5B4C29A4">
      <w:pPr>
        <w:widowControl/>
        <w:spacing w:line="360" w:lineRule="auto"/>
        <w:ind w:firstLine="42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2.3 自动进样系统</w:t>
      </w:r>
    </w:p>
    <w:p w14:paraId="254455D0">
      <w:pPr>
        <w:widowControl/>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2.3.1样品位数：样品位不少于38位；</w:t>
      </w:r>
    </w:p>
    <w:p w14:paraId="6DD72B30">
      <w:pPr>
        <w:widowControl/>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2.3.2配备一体化同步吹扫均质系统，在清洗过程、进样前或进样过程中始终保持吹扫，避免取样过程中样品中的絮凝物或颗粒物不断沉淀，造成取样不准； </w:t>
      </w:r>
    </w:p>
    <w:p w14:paraId="2736A51B">
      <w:pPr>
        <w:widowControl/>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2.3.3程序控制流动洗针池：可根据进样针污染情况软件设置洗针纯水流量。</w:t>
      </w:r>
    </w:p>
    <w:p w14:paraId="7434CA0C">
      <w:pPr>
        <w:widowControl/>
        <w:spacing w:line="360" w:lineRule="auto"/>
        <w:ind w:firstLine="42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2.4光学系统</w:t>
      </w:r>
    </w:p>
    <w:p w14:paraId="4A7E1472">
      <w:pPr>
        <w:widowControl/>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2.4.1采用光谱学常用的单元素高精度检测器，只需一次进样即可显示标准要求波长下的检测结果；</w:t>
      </w:r>
    </w:p>
    <w:p w14:paraId="6D8D205B">
      <w:pPr>
        <w:widowControl/>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2.4.2具备自动波长调控系统，根据系统设定开机自动校准波长，保障每次运行的波长可靠性与准确性；</w:t>
      </w:r>
    </w:p>
    <w:p w14:paraId="69910686">
      <w:pPr>
        <w:widowControl/>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2.4.3采用连续光源，检测范围190-900nm连续可调，固定灯位，光路稳定，光源寿命：≥2000小时；所有项目的测定无需切换光源，避免使用多个空心阴极灯分别测量不同项目；</w:t>
      </w:r>
    </w:p>
    <w:p w14:paraId="418C16A9">
      <w:pPr>
        <w:widowControl/>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2.4.4具备光源寿命统计监测功能，当光源进入低能量状态时能够及时提醒更换光源。</w:t>
      </w:r>
    </w:p>
    <w:p w14:paraId="289B7991">
      <w:pPr>
        <w:widowControl/>
        <w:spacing w:line="360" w:lineRule="auto"/>
        <w:ind w:firstLine="42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2.5其它功能要求：</w:t>
      </w:r>
    </w:p>
    <w:p w14:paraId="520D81A1">
      <w:pPr>
        <w:widowControl/>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2.5.1半导体恒温除湿系统：除湿系统温度实时显示，分析全过程中完全不使用任何干燥剂；</w:t>
      </w:r>
    </w:p>
    <w:p w14:paraId="5ED71EA4">
      <w:pPr>
        <w:widowControl/>
        <w:spacing w:line="360" w:lineRule="auto"/>
        <w:ind w:firstLine="420" w:firstLineChars="20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★2.5.2气源监测报警系统：具备流量监控功能，软件界面实时显示载气流量值，当载气流量异常时停机、报警并软件提示</w:t>
      </w:r>
      <w:r>
        <w:rPr>
          <w:rFonts w:hint="eastAsia" w:ascii="宋体" w:hAnsi="宋体" w:eastAsia="宋体" w:cs="宋体"/>
          <w:color w:val="auto"/>
          <w:sz w:val="21"/>
          <w:szCs w:val="21"/>
          <w:highlight w:val="none"/>
          <w:lang w:eastAsia="zh-CN"/>
        </w:rPr>
        <w:t>；</w:t>
      </w:r>
    </w:p>
    <w:p w14:paraId="7290B2E3">
      <w:pPr>
        <w:widowControl/>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2.5.3基线漂移：±0.0010Abs（预热2h，连续测试1h）；</w:t>
      </w:r>
    </w:p>
    <w:p w14:paraId="0E8534D2">
      <w:pPr>
        <w:widowControl/>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2.5.4噪声：</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0.0005Abs，具备测量全程基线实时显示功能。</w:t>
      </w:r>
    </w:p>
    <w:p w14:paraId="7F2284BE">
      <w:pPr>
        <w:widowControl/>
        <w:spacing w:line="360" w:lineRule="auto"/>
        <w:ind w:firstLine="42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2.6分析项目的技术指标</w:t>
      </w:r>
    </w:p>
    <w:p w14:paraId="6943A807">
      <w:pPr>
        <w:widowControl/>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2.6.1氨氮项目：</w:t>
      </w:r>
    </w:p>
    <w:p w14:paraId="301D7697">
      <w:pPr>
        <w:widowControl/>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2.6.1.1精密度要求</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在</w:t>
      </w:r>
      <w:r>
        <w:rPr>
          <w:rFonts w:hint="eastAsia" w:ascii="宋体" w:hAnsi="宋体" w:eastAsia="宋体" w:cs="宋体"/>
          <w:color w:val="auto"/>
          <w:sz w:val="21"/>
          <w:szCs w:val="21"/>
          <w:highlight w:val="none"/>
        </w:rPr>
        <w:t>0.2mg/L</w:t>
      </w:r>
      <w:r>
        <w:rPr>
          <w:rFonts w:hint="eastAsia" w:ascii="宋体" w:hAnsi="宋体" w:eastAsia="宋体" w:cs="宋体"/>
          <w:color w:val="auto"/>
          <w:sz w:val="21"/>
          <w:szCs w:val="21"/>
          <w:highlight w:val="none"/>
          <w:lang w:val="en-US" w:eastAsia="zh-CN"/>
        </w:rPr>
        <w:t>浓度点，</w:t>
      </w:r>
      <w:r>
        <w:rPr>
          <w:rFonts w:hint="eastAsia" w:ascii="宋体" w:hAnsi="宋体" w:eastAsia="宋体" w:cs="宋体"/>
          <w:color w:val="auto"/>
          <w:sz w:val="21"/>
          <w:szCs w:val="21"/>
          <w:highlight w:val="none"/>
        </w:rPr>
        <w:t>连续测定6次，RSD</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3％；</w:t>
      </w:r>
    </w:p>
    <w:p w14:paraId="1A8EC0DC">
      <w:pPr>
        <w:widowControl/>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2.6.1.2线性要求：根据设定自动配置标准曲线浓度，相关性系数r</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0.9995；</w:t>
      </w:r>
    </w:p>
    <w:p w14:paraId="102554DB">
      <w:pPr>
        <w:widowControl/>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2.6.1.3检出限要求：检出限</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0.02mg/L。</w:t>
      </w:r>
    </w:p>
    <w:p w14:paraId="3565BAA7">
      <w:pPr>
        <w:widowControl/>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2.6.2亚硝酸盐氮：</w:t>
      </w:r>
    </w:p>
    <w:p w14:paraId="65371035">
      <w:pPr>
        <w:widowControl/>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2.6.2.1精密度要求</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在</w:t>
      </w:r>
      <w:r>
        <w:rPr>
          <w:rFonts w:hint="eastAsia" w:ascii="宋体" w:hAnsi="宋体" w:eastAsia="宋体" w:cs="宋体"/>
          <w:color w:val="auto"/>
          <w:sz w:val="21"/>
          <w:szCs w:val="21"/>
          <w:highlight w:val="none"/>
        </w:rPr>
        <w:t>0.2mg/L</w:t>
      </w:r>
      <w:r>
        <w:rPr>
          <w:rFonts w:hint="eastAsia" w:ascii="宋体" w:hAnsi="宋体" w:eastAsia="宋体" w:cs="宋体"/>
          <w:color w:val="auto"/>
          <w:sz w:val="21"/>
          <w:szCs w:val="21"/>
          <w:highlight w:val="none"/>
          <w:lang w:val="en-US" w:eastAsia="zh-CN"/>
        </w:rPr>
        <w:t>浓度点，</w:t>
      </w:r>
      <w:r>
        <w:rPr>
          <w:rFonts w:hint="eastAsia" w:ascii="宋体" w:hAnsi="宋体" w:eastAsia="宋体" w:cs="宋体"/>
          <w:color w:val="auto"/>
          <w:sz w:val="21"/>
          <w:szCs w:val="21"/>
          <w:highlight w:val="none"/>
        </w:rPr>
        <w:t>连续测定6次，RSD</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3％；</w:t>
      </w:r>
    </w:p>
    <w:p w14:paraId="3A0B2C4F">
      <w:pPr>
        <w:widowControl/>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2.6.2.2线性要求：根据设定自动配置标准曲线浓度，相关性系数r</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0.9995；</w:t>
      </w:r>
    </w:p>
    <w:p w14:paraId="22776CE3">
      <w:pPr>
        <w:widowControl/>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2.6.2.3检出限要求：检出限</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0.003mg/L。</w:t>
      </w:r>
    </w:p>
    <w:p w14:paraId="16CC4842">
      <w:pPr>
        <w:widowControl/>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2.6.3硫化物项目：</w:t>
      </w:r>
    </w:p>
    <w:p w14:paraId="7461F07D">
      <w:pPr>
        <w:widowControl/>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2.6.3.1精密度要求</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在</w:t>
      </w:r>
      <w:r>
        <w:rPr>
          <w:rFonts w:hint="eastAsia" w:ascii="宋体" w:hAnsi="宋体" w:eastAsia="宋体" w:cs="宋体"/>
          <w:color w:val="auto"/>
          <w:sz w:val="21"/>
          <w:szCs w:val="21"/>
          <w:highlight w:val="none"/>
        </w:rPr>
        <w:t>0.2mg/L</w:t>
      </w:r>
      <w:r>
        <w:rPr>
          <w:rFonts w:hint="eastAsia" w:ascii="宋体" w:hAnsi="宋体" w:eastAsia="宋体" w:cs="宋体"/>
          <w:color w:val="auto"/>
          <w:sz w:val="21"/>
          <w:szCs w:val="21"/>
          <w:highlight w:val="none"/>
          <w:lang w:val="en-US" w:eastAsia="zh-CN"/>
        </w:rPr>
        <w:t>浓度点，</w:t>
      </w:r>
      <w:r>
        <w:rPr>
          <w:rFonts w:hint="eastAsia" w:ascii="宋体" w:hAnsi="宋体" w:eastAsia="宋体" w:cs="宋体"/>
          <w:color w:val="auto"/>
          <w:sz w:val="21"/>
          <w:szCs w:val="21"/>
          <w:highlight w:val="none"/>
        </w:rPr>
        <w:t>连续测定6次，RSD</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3％；</w:t>
      </w:r>
    </w:p>
    <w:p w14:paraId="425F00B7">
      <w:pPr>
        <w:widowControl/>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2.6.3.2线性要求：根据设定自动配置标准曲线浓度，相关性系数r</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0.9995；</w:t>
      </w:r>
    </w:p>
    <w:p w14:paraId="4CED7134">
      <w:pPr>
        <w:widowControl/>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2.6.3.3检出限要求：检出限</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0.005mg/L。</w:t>
      </w:r>
    </w:p>
    <w:p w14:paraId="66926D3D">
      <w:pPr>
        <w:widowControl/>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2.6.4硝酸盐氮项目：</w:t>
      </w:r>
    </w:p>
    <w:p w14:paraId="1D543F1C">
      <w:pPr>
        <w:widowControl/>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2.6.4.1精密度要求</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在</w:t>
      </w:r>
      <w:r>
        <w:rPr>
          <w:rFonts w:hint="eastAsia" w:ascii="宋体" w:hAnsi="宋体" w:eastAsia="宋体" w:cs="宋体"/>
          <w:color w:val="auto"/>
          <w:sz w:val="21"/>
          <w:szCs w:val="21"/>
          <w:highlight w:val="none"/>
        </w:rPr>
        <w:t>0.</w:t>
      </w: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mg/L</w:t>
      </w:r>
      <w:r>
        <w:rPr>
          <w:rFonts w:hint="eastAsia" w:ascii="宋体" w:hAnsi="宋体" w:eastAsia="宋体" w:cs="宋体"/>
          <w:color w:val="auto"/>
          <w:sz w:val="21"/>
          <w:szCs w:val="21"/>
          <w:highlight w:val="none"/>
          <w:lang w:val="en-US" w:eastAsia="zh-CN"/>
        </w:rPr>
        <w:t>浓度点，</w:t>
      </w:r>
      <w:r>
        <w:rPr>
          <w:rFonts w:hint="eastAsia" w:ascii="宋体" w:hAnsi="宋体" w:eastAsia="宋体" w:cs="宋体"/>
          <w:color w:val="auto"/>
          <w:sz w:val="21"/>
          <w:szCs w:val="21"/>
          <w:highlight w:val="none"/>
        </w:rPr>
        <w:t>连续测定6次，RSD</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3％；</w:t>
      </w:r>
    </w:p>
    <w:p w14:paraId="1E94806E">
      <w:pPr>
        <w:widowControl/>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2.6.4.2线性要求：根据设定自动配置标准曲线浓度，相关性系数r</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0.9995；</w:t>
      </w:r>
    </w:p>
    <w:p w14:paraId="1E092D32">
      <w:pPr>
        <w:widowControl/>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2.6.4.3检出限要求：检出限</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0.006mg/L。</w:t>
      </w:r>
    </w:p>
    <w:p w14:paraId="3B38C455">
      <w:pPr>
        <w:widowControl/>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2.6.5总氮项目：</w:t>
      </w:r>
    </w:p>
    <w:p w14:paraId="5783C8C6">
      <w:pPr>
        <w:widowControl/>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2.6.5.1精密度要求</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在</w:t>
      </w:r>
      <w:r>
        <w:rPr>
          <w:rFonts w:hint="eastAsia" w:ascii="宋体" w:hAnsi="宋体" w:eastAsia="宋体" w:cs="宋体"/>
          <w:color w:val="auto"/>
          <w:sz w:val="21"/>
          <w:szCs w:val="21"/>
          <w:highlight w:val="none"/>
        </w:rPr>
        <w:t>0.</w:t>
      </w: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mg/L</w:t>
      </w:r>
      <w:r>
        <w:rPr>
          <w:rFonts w:hint="eastAsia" w:ascii="宋体" w:hAnsi="宋体" w:eastAsia="宋体" w:cs="宋体"/>
          <w:color w:val="auto"/>
          <w:sz w:val="21"/>
          <w:szCs w:val="21"/>
          <w:highlight w:val="none"/>
          <w:lang w:val="en-US" w:eastAsia="zh-CN"/>
        </w:rPr>
        <w:t>浓度点，</w:t>
      </w:r>
      <w:r>
        <w:rPr>
          <w:rFonts w:hint="eastAsia" w:ascii="宋体" w:hAnsi="宋体" w:eastAsia="宋体" w:cs="宋体"/>
          <w:color w:val="auto"/>
          <w:sz w:val="21"/>
          <w:szCs w:val="21"/>
          <w:highlight w:val="none"/>
        </w:rPr>
        <w:t>连续测定6次，RSD</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3％；</w:t>
      </w:r>
    </w:p>
    <w:p w14:paraId="1F70B4D5">
      <w:pPr>
        <w:widowControl/>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2.6.5.2线性要求：根据设定自动配置标准曲线浓度，相关性系数r</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0.9995；</w:t>
      </w:r>
    </w:p>
    <w:p w14:paraId="36CB8883">
      <w:pPr>
        <w:widowControl/>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2.6.5.3检出限要求：检出限</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0.05mg/L；</w:t>
      </w:r>
    </w:p>
    <w:p w14:paraId="492D7A44">
      <w:pPr>
        <w:widowControl/>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2.6.5.4消解器功率小于100w，安全可靠（可用功率计现场检测）；</w:t>
      </w:r>
    </w:p>
    <w:p w14:paraId="3CB6E628">
      <w:pPr>
        <w:widowControl/>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2.6.5.5能够</w:t>
      </w:r>
      <w:r>
        <w:rPr>
          <w:rFonts w:hint="eastAsia" w:ascii="宋体" w:hAnsi="宋体" w:eastAsia="宋体" w:cs="宋体"/>
          <w:color w:val="auto"/>
          <w:sz w:val="21"/>
          <w:szCs w:val="21"/>
          <w:highlight w:val="none"/>
          <w:lang w:val="en-US" w:eastAsia="zh-CN"/>
        </w:rPr>
        <w:t>实现</w:t>
      </w:r>
      <w:r>
        <w:rPr>
          <w:rFonts w:hint="eastAsia" w:ascii="宋体" w:hAnsi="宋体" w:eastAsia="宋体" w:cs="宋体"/>
          <w:color w:val="auto"/>
          <w:sz w:val="21"/>
          <w:szCs w:val="21"/>
          <w:highlight w:val="none"/>
        </w:rPr>
        <w:t>连续分析，中间无需停止样品检测清洗管路；</w:t>
      </w:r>
    </w:p>
    <w:p w14:paraId="2BB2421F">
      <w:pPr>
        <w:widowControl/>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2.6.5.6管路切换采用免维护电磁阀，减少日常维护难度。</w:t>
      </w:r>
    </w:p>
    <w:p w14:paraId="7D4818DE">
      <w:pPr>
        <w:keepNext w:val="0"/>
        <w:keepLines w:val="0"/>
        <w:pageBreakBefore w:val="0"/>
        <w:widowControl/>
        <w:numPr>
          <w:ilvl w:val="0"/>
          <w:numId w:val="0"/>
        </w:numPr>
        <w:kinsoku/>
        <w:wordWrap/>
        <w:overflowPunct/>
        <w:topLinePunct w:val="0"/>
        <w:bidi w:val="0"/>
        <w:snapToGrid/>
        <w:spacing w:line="360" w:lineRule="auto"/>
        <w:jc w:val="left"/>
        <w:textAlignment w:val="auto"/>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b/>
          <w:bCs/>
          <w:color w:val="auto"/>
          <w:kern w:val="2"/>
          <w:sz w:val="21"/>
          <w:szCs w:val="21"/>
          <w:highlight w:val="none"/>
          <w:lang w:val="en-US" w:eastAsia="zh-CN" w:bidi="ar-SA"/>
        </w:rPr>
        <w:t>3.配置要求</w:t>
      </w:r>
    </w:p>
    <w:p w14:paraId="2CDDDB0F">
      <w:pPr>
        <w:widowControl/>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3.1主机（含进样系统、自动除水系统、氨氮氧化系统、总氮在线消解系统、电子流量系统、载气净化系统、TCS温度控制系统、自动稀释系统）1套；</w:t>
      </w:r>
    </w:p>
    <w:p w14:paraId="69A25F50">
      <w:pPr>
        <w:widowControl/>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3.2自动进样器 1套；</w:t>
      </w:r>
    </w:p>
    <w:p w14:paraId="6A311627">
      <w:pPr>
        <w:widowControl/>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3.3气相分子吸收光谱仪软件系统1套；</w:t>
      </w:r>
    </w:p>
    <w:p w14:paraId="1B3B4960">
      <w:pPr>
        <w:widowControl/>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3.4耗材配件（含进样软管、尾气吸收装置、备用吸光管、进样针等）1套；</w:t>
      </w:r>
    </w:p>
    <w:p w14:paraId="70D802A8">
      <w:pPr>
        <w:widowControl/>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3.5电脑（支持工作站正常运转）1套；</w:t>
      </w:r>
    </w:p>
    <w:p w14:paraId="0D64E6FC">
      <w:pPr>
        <w:widowControl/>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3.6移动电源1套，所有项目检测时间</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4h。</w:t>
      </w:r>
    </w:p>
    <w:p w14:paraId="595DFDF2">
      <w:pPr>
        <w:keepNext w:val="0"/>
        <w:keepLines w:val="0"/>
        <w:pageBreakBefore w:val="0"/>
        <w:widowControl/>
        <w:numPr>
          <w:ilvl w:val="0"/>
          <w:numId w:val="0"/>
        </w:numPr>
        <w:kinsoku/>
        <w:wordWrap/>
        <w:overflowPunct/>
        <w:topLinePunct w:val="0"/>
        <w:bidi w:val="0"/>
        <w:snapToGrid/>
        <w:spacing w:line="360" w:lineRule="auto"/>
        <w:jc w:val="left"/>
        <w:textAlignment w:val="auto"/>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b/>
          <w:bCs/>
          <w:color w:val="auto"/>
          <w:kern w:val="2"/>
          <w:sz w:val="21"/>
          <w:szCs w:val="21"/>
          <w:highlight w:val="none"/>
          <w:lang w:val="en-US" w:eastAsia="zh-CN" w:bidi="ar-SA"/>
        </w:rPr>
        <w:t>4.售后服务要求</w:t>
      </w:r>
    </w:p>
    <w:p w14:paraId="2A1E21B6">
      <w:pPr>
        <w:widowControl/>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4.1</w:t>
      </w:r>
      <w:r>
        <w:rPr>
          <w:rFonts w:hint="eastAsia" w:ascii="宋体" w:hAnsi="宋体" w:eastAsia="宋体" w:cs="宋体"/>
          <w:color w:val="auto"/>
          <w:sz w:val="21"/>
          <w:szCs w:val="21"/>
          <w:highlight w:val="none"/>
        </w:rPr>
        <w:t>响应时间：在接到电话或书面通知后4小时内给予答复，紧急问题应在48小时内抵达现场。</w:t>
      </w:r>
    </w:p>
    <w:p w14:paraId="1998AC8D">
      <w:pPr>
        <w:widowControl/>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4.2</w:t>
      </w:r>
      <w:r>
        <w:rPr>
          <w:rFonts w:hint="eastAsia" w:ascii="宋体" w:hAnsi="宋体" w:eastAsia="宋体" w:cs="宋体"/>
          <w:color w:val="auto"/>
          <w:sz w:val="21"/>
          <w:szCs w:val="21"/>
          <w:highlight w:val="none"/>
        </w:rPr>
        <w:t xml:space="preserve"> 质量保证期：设备验收合格后整机质保24个月。</w:t>
      </w:r>
    </w:p>
    <w:p w14:paraId="59BD829B">
      <w:pPr>
        <w:widowControl/>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4.3</w:t>
      </w:r>
      <w:r>
        <w:rPr>
          <w:rFonts w:hint="eastAsia" w:ascii="宋体" w:hAnsi="宋体" w:eastAsia="宋体" w:cs="宋体"/>
          <w:color w:val="auto"/>
          <w:sz w:val="21"/>
          <w:szCs w:val="21"/>
          <w:highlight w:val="none"/>
        </w:rPr>
        <w:t xml:space="preserve"> 技术服务的范围及内容：</w:t>
      </w:r>
      <w:r>
        <w:rPr>
          <w:rFonts w:hint="eastAsia" w:ascii="宋体" w:hAnsi="宋体" w:eastAsia="宋体" w:cs="宋体"/>
          <w:color w:val="auto"/>
          <w:sz w:val="21"/>
          <w:szCs w:val="21"/>
          <w:highlight w:val="none"/>
          <w:lang w:val="en-US" w:eastAsia="zh-CN"/>
        </w:rPr>
        <w:t>供货商</w:t>
      </w:r>
      <w:r>
        <w:rPr>
          <w:rFonts w:hint="eastAsia" w:ascii="宋体" w:hAnsi="宋体" w:eastAsia="宋体" w:cs="宋体"/>
          <w:color w:val="auto"/>
          <w:sz w:val="21"/>
          <w:szCs w:val="21"/>
          <w:highlight w:val="none"/>
        </w:rPr>
        <w:t>委派技术人员到采购人指定现场，完成设备安装、调试及性能测试工作，直至运行稳定、各项技术指标满足要求并验收合格。</w:t>
      </w:r>
    </w:p>
    <w:p w14:paraId="11F6EB80">
      <w:pPr>
        <w:widowControl/>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4.4在质保期内按采购人要求，开展技术培训和支持（含现场培训）</w:t>
      </w:r>
      <w:r>
        <w:rPr>
          <w:rFonts w:hint="eastAsia" w:ascii="宋体" w:hAnsi="宋体" w:eastAsia="宋体" w:cs="宋体"/>
          <w:color w:val="auto"/>
          <w:sz w:val="21"/>
          <w:szCs w:val="21"/>
          <w:highlight w:val="none"/>
        </w:rPr>
        <w:t>。</w:t>
      </w:r>
    </w:p>
    <w:p w14:paraId="3F4B7759">
      <w:pPr>
        <w:widowControl/>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4.5</w:t>
      </w:r>
      <w:r>
        <w:rPr>
          <w:rFonts w:hint="eastAsia" w:ascii="宋体" w:hAnsi="宋体" w:eastAsia="宋体" w:cs="宋体"/>
          <w:color w:val="auto"/>
          <w:sz w:val="21"/>
          <w:szCs w:val="21"/>
          <w:highlight w:val="none"/>
        </w:rPr>
        <w:t xml:space="preserve"> 质保期内，所有故障提供技术服务和维修，包括配套的所有耗材，仪器设备保养维护（一年不少于 2 次）及自校工作等。</w:t>
      </w:r>
    </w:p>
    <w:p w14:paraId="4FFEDB69">
      <w:pPr>
        <w:widowControl/>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4.6提供操作软件终身升级及版本更新服务</w:t>
      </w:r>
      <w:r>
        <w:rPr>
          <w:rFonts w:hint="eastAsia" w:ascii="宋体" w:hAnsi="宋体" w:eastAsia="宋体" w:cs="宋体"/>
          <w:color w:val="auto"/>
          <w:sz w:val="21"/>
          <w:szCs w:val="21"/>
          <w:highlight w:val="none"/>
        </w:rPr>
        <w:t>。</w:t>
      </w:r>
    </w:p>
    <w:p w14:paraId="7EFCF0CE">
      <w:pPr>
        <w:widowControl/>
        <w:spacing w:line="360" w:lineRule="auto"/>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b/>
          <w:bCs/>
          <w:color w:val="auto"/>
          <w:kern w:val="2"/>
          <w:sz w:val="21"/>
          <w:szCs w:val="21"/>
          <w:highlight w:val="none"/>
          <w:lang w:val="en-US" w:eastAsia="zh-CN" w:bidi="ar-SA"/>
        </w:rPr>
        <w:t>（四）双光束紫外可见分光光度计</w:t>
      </w:r>
    </w:p>
    <w:p w14:paraId="4E9FDA4C">
      <w:pPr>
        <w:keepNext w:val="0"/>
        <w:keepLines w:val="0"/>
        <w:pageBreakBefore w:val="0"/>
        <w:widowControl/>
        <w:numPr>
          <w:ilvl w:val="0"/>
          <w:numId w:val="0"/>
        </w:numPr>
        <w:kinsoku/>
        <w:wordWrap/>
        <w:overflowPunct/>
        <w:topLinePunct w:val="0"/>
        <w:bidi w:val="0"/>
        <w:snapToGrid/>
        <w:spacing w:line="360" w:lineRule="auto"/>
        <w:jc w:val="left"/>
        <w:textAlignment w:val="auto"/>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b/>
          <w:bCs/>
          <w:color w:val="auto"/>
          <w:kern w:val="2"/>
          <w:sz w:val="21"/>
          <w:szCs w:val="21"/>
          <w:highlight w:val="none"/>
          <w:lang w:val="en-US" w:eastAsia="zh-CN" w:bidi="ar-SA"/>
        </w:rPr>
        <w:t>1.采购内容</w:t>
      </w:r>
    </w:p>
    <w:p w14:paraId="19FC5AD5">
      <w:pPr>
        <w:widowControl/>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采购紫外可见分光光度计1套，用于对环境中水、土壤、固废等样品中常规污染指标、无机污染物及特征有机污染物进行定量与定性分析，满足环境监测日常检测需求。</w:t>
      </w:r>
    </w:p>
    <w:p w14:paraId="51CE051E">
      <w:pPr>
        <w:keepNext w:val="0"/>
        <w:keepLines w:val="0"/>
        <w:pageBreakBefore w:val="0"/>
        <w:widowControl/>
        <w:numPr>
          <w:ilvl w:val="0"/>
          <w:numId w:val="0"/>
        </w:numPr>
        <w:kinsoku/>
        <w:wordWrap/>
        <w:overflowPunct/>
        <w:topLinePunct w:val="0"/>
        <w:bidi w:val="0"/>
        <w:snapToGrid/>
        <w:spacing w:line="360" w:lineRule="auto"/>
        <w:jc w:val="left"/>
        <w:textAlignment w:val="auto"/>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b/>
          <w:bCs/>
          <w:color w:val="auto"/>
          <w:kern w:val="2"/>
          <w:sz w:val="21"/>
          <w:szCs w:val="21"/>
          <w:highlight w:val="none"/>
          <w:lang w:val="en-US" w:eastAsia="zh-CN" w:bidi="ar-SA"/>
        </w:rPr>
        <w:t>2.技术参数要求</w:t>
      </w:r>
    </w:p>
    <w:p w14:paraId="18B5206D">
      <w:pPr>
        <w:widowControl/>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2.1光学系统：双光束测光系统；</w:t>
      </w:r>
    </w:p>
    <w:p w14:paraId="10D8AA98">
      <w:pPr>
        <w:widowControl/>
        <w:spacing w:line="360" w:lineRule="auto"/>
        <w:ind w:firstLine="420" w:firstLineChars="20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2波长范围：190～900nm</w:t>
      </w:r>
      <w:r>
        <w:rPr>
          <w:rFonts w:hint="eastAsia" w:ascii="宋体" w:hAnsi="宋体" w:eastAsia="宋体" w:cs="宋体"/>
          <w:color w:val="auto"/>
          <w:sz w:val="21"/>
          <w:szCs w:val="21"/>
          <w:highlight w:val="none"/>
          <w:lang w:eastAsia="zh-CN"/>
        </w:rPr>
        <w:t>；</w:t>
      </w:r>
    </w:p>
    <w:p w14:paraId="6E2E16D2">
      <w:pPr>
        <w:widowControl/>
        <w:spacing w:line="360" w:lineRule="auto"/>
        <w:ind w:firstLine="420" w:firstLineChars="20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3波长准确度：±0.1nm（D</w:t>
      </w:r>
      <w:r>
        <w:rPr>
          <w:rFonts w:hint="eastAsia" w:ascii="宋体" w:hAnsi="宋体" w:eastAsia="宋体" w:cs="宋体"/>
          <w:color w:val="auto"/>
          <w:sz w:val="21"/>
          <w:szCs w:val="21"/>
          <w:highlight w:val="none"/>
          <w:vertAlign w:val="subscript"/>
        </w:rPr>
        <w:t>2</w:t>
      </w:r>
      <w:r>
        <w:rPr>
          <w:rFonts w:hint="eastAsia" w:ascii="宋体" w:hAnsi="宋体" w:eastAsia="宋体" w:cs="宋体"/>
          <w:color w:val="auto"/>
          <w:sz w:val="21"/>
          <w:szCs w:val="21"/>
          <w:highlight w:val="none"/>
          <w:lang w:val="en-US" w:eastAsia="zh-CN"/>
        </w:rPr>
        <w:t>灯</w:t>
      </w:r>
      <w:r>
        <w:rPr>
          <w:rFonts w:hint="eastAsia" w:ascii="宋体" w:hAnsi="宋体" w:eastAsia="宋体" w:cs="宋体"/>
          <w:color w:val="auto"/>
          <w:sz w:val="21"/>
          <w:szCs w:val="21"/>
          <w:highlight w:val="none"/>
        </w:rPr>
        <w:t>656.1nm）</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±0.3nm</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全波长范围</w:t>
      </w:r>
      <w:r>
        <w:rPr>
          <w:rFonts w:hint="eastAsia" w:ascii="宋体" w:hAnsi="宋体" w:eastAsia="宋体" w:cs="宋体"/>
          <w:color w:val="auto"/>
          <w:sz w:val="21"/>
          <w:szCs w:val="21"/>
          <w:highlight w:val="none"/>
          <w:lang w:eastAsia="zh-CN"/>
        </w:rPr>
        <w:t>）；</w:t>
      </w:r>
    </w:p>
    <w:p w14:paraId="1C81F83C">
      <w:pPr>
        <w:widowControl/>
        <w:spacing w:line="360" w:lineRule="auto"/>
        <w:ind w:firstLine="420" w:firstLineChars="200"/>
        <w:rPr>
          <w:rFonts w:hint="eastAsia" w:ascii="宋体" w:hAnsi="宋体" w:eastAsia="宋体" w:cs="宋体"/>
          <w:b w:val="0"/>
          <w:bCs w:val="0"/>
          <w:color w:val="auto"/>
          <w:sz w:val="21"/>
          <w:szCs w:val="21"/>
          <w:highlight w:val="none"/>
          <w:lang w:eastAsia="zh-CN"/>
        </w:rPr>
      </w:pPr>
      <w:r>
        <w:rPr>
          <w:rFonts w:hint="eastAsia" w:ascii="宋体" w:hAnsi="宋体" w:eastAsia="宋体" w:cs="宋体"/>
          <w:b w:val="0"/>
          <w:bCs w:val="0"/>
          <w:color w:val="auto"/>
          <w:sz w:val="21"/>
          <w:szCs w:val="21"/>
          <w:highlight w:val="none"/>
          <w:lang w:val="en-US" w:eastAsia="zh-CN"/>
        </w:rPr>
        <w:t>2.</w:t>
      </w:r>
      <w:r>
        <w:rPr>
          <w:rFonts w:hint="eastAsia" w:ascii="宋体" w:hAnsi="宋体" w:eastAsia="宋体" w:cs="宋体"/>
          <w:b w:val="0"/>
          <w:bCs w:val="0"/>
          <w:color w:val="auto"/>
          <w:sz w:val="21"/>
          <w:szCs w:val="21"/>
          <w:highlight w:val="none"/>
        </w:rPr>
        <w:t>4波长重复性：≤0.15nm</w:t>
      </w:r>
      <w:r>
        <w:rPr>
          <w:rFonts w:hint="eastAsia" w:ascii="宋体" w:hAnsi="宋体" w:eastAsia="宋体" w:cs="宋体"/>
          <w:b w:val="0"/>
          <w:bCs w:val="0"/>
          <w:color w:val="auto"/>
          <w:sz w:val="21"/>
          <w:szCs w:val="21"/>
          <w:highlight w:val="none"/>
          <w:lang w:eastAsia="zh-CN"/>
        </w:rPr>
        <w:t>；</w:t>
      </w:r>
    </w:p>
    <w:p w14:paraId="7A5D2419">
      <w:pPr>
        <w:widowControl/>
        <w:spacing w:line="360" w:lineRule="auto"/>
        <w:ind w:firstLine="420" w:firstLineChars="200"/>
        <w:rPr>
          <w:rFonts w:hint="eastAsia" w:ascii="宋体" w:hAnsi="宋体" w:eastAsia="宋体" w:cs="宋体"/>
          <w:b w:val="0"/>
          <w:bCs w:val="0"/>
          <w:color w:val="auto"/>
          <w:sz w:val="21"/>
          <w:szCs w:val="21"/>
          <w:highlight w:val="none"/>
          <w:lang w:eastAsia="zh-CN"/>
        </w:rPr>
      </w:pPr>
      <w:r>
        <w:rPr>
          <w:rFonts w:hint="eastAsia" w:ascii="宋体" w:hAnsi="宋体" w:eastAsia="宋体" w:cs="宋体"/>
          <w:b w:val="0"/>
          <w:bCs w:val="0"/>
          <w:color w:val="auto"/>
          <w:sz w:val="21"/>
          <w:szCs w:val="21"/>
          <w:highlight w:val="none"/>
          <w:lang w:val="en-US" w:eastAsia="zh-CN"/>
        </w:rPr>
        <w:t>2.</w:t>
      </w:r>
      <w:r>
        <w:rPr>
          <w:rFonts w:hint="eastAsia" w:ascii="宋体" w:hAnsi="宋体" w:eastAsia="宋体" w:cs="宋体"/>
          <w:b w:val="0"/>
          <w:bCs w:val="0"/>
          <w:color w:val="auto"/>
          <w:sz w:val="21"/>
          <w:szCs w:val="21"/>
          <w:highlight w:val="none"/>
        </w:rPr>
        <w:t>5光谱带宽： 0.1-5nm以0.1nm为间隔连续可调</w:t>
      </w:r>
      <w:r>
        <w:rPr>
          <w:rFonts w:hint="eastAsia" w:ascii="宋体" w:hAnsi="宋体" w:eastAsia="宋体" w:cs="宋体"/>
          <w:b w:val="0"/>
          <w:bCs w:val="0"/>
          <w:color w:val="auto"/>
          <w:sz w:val="21"/>
          <w:szCs w:val="21"/>
          <w:highlight w:val="none"/>
          <w:lang w:eastAsia="zh-CN"/>
        </w:rPr>
        <w:t>；</w:t>
      </w:r>
    </w:p>
    <w:p w14:paraId="40AC35C8">
      <w:pPr>
        <w:widowControl/>
        <w:spacing w:line="360" w:lineRule="auto"/>
        <w:ind w:firstLine="420" w:firstLineChars="20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6杂散光：≤0.01%T (220nm，Nal)   ≤0.05%T</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360nm</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NaN</w:t>
      </w:r>
      <w:r>
        <w:rPr>
          <w:rFonts w:hint="eastAsia" w:ascii="宋体" w:hAnsi="宋体" w:eastAsia="宋体" w:cs="宋体"/>
          <w:color w:val="auto"/>
          <w:sz w:val="21"/>
          <w:szCs w:val="21"/>
          <w:highlight w:val="none"/>
          <w:lang w:val="en-US" w:eastAsia="zh-CN"/>
        </w:rPr>
        <w:t>O</w:t>
      </w:r>
      <w:r>
        <w:rPr>
          <w:rFonts w:hint="eastAsia" w:ascii="宋体" w:hAnsi="宋体" w:eastAsia="宋体" w:cs="宋体"/>
          <w:color w:val="auto"/>
          <w:sz w:val="21"/>
          <w:szCs w:val="21"/>
          <w:highlight w:val="none"/>
          <w:vertAlign w:val="subscript"/>
        </w:rPr>
        <w:t>2</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eastAsia="zh-CN"/>
        </w:rPr>
        <w:t>；</w:t>
      </w:r>
    </w:p>
    <w:p w14:paraId="2CE4CCB2">
      <w:pPr>
        <w:widowControl/>
        <w:spacing w:line="360" w:lineRule="auto"/>
        <w:ind w:firstLine="420" w:firstLineChars="20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7光度范围：-4 ～4Abs</w:t>
      </w:r>
      <w:r>
        <w:rPr>
          <w:rFonts w:hint="eastAsia" w:ascii="宋体" w:hAnsi="宋体" w:eastAsia="宋体" w:cs="宋体"/>
          <w:color w:val="auto"/>
          <w:sz w:val="21"/>
          <w:szCs w:val="21"/>
          <w:highlight w:val="none"/>
          <w:lang w:eastAsia="zh-CN"/>
        </w:rPr>
        <w:t>；</w:t>
      </w:r>
    </w:p>
    <w:p w14:paraId="3A79AFF9">
      <w:pPr>
        <w:widowControl/>
        <w:spacing w:line="360" w:lineRule="auto"/>
        <w:ind w:firstLine="420" w:firstLineChars="20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8光度准确度：±0.002A(0～0.5A)，±0.004A(0.5～1A)，±0.3%T(0～100%T)</w:t>
      </w:r>
      <w:r>
        <w:rPr>
          <w:rFonts w:hint="eastAsia" w:ascii="宋体" w:hAnsi="宋体" w:eastAsia="宋体" w:cs="宋体"/>
          <w:color w:val="auto"/>
          <w:sz w:val="21"/>
          <w:szCs w:val="21"/>
          <w:highlight w:val="none"/>
          <w:lang w:eastAsia="zh-CN"/>
        </w:rPr>
        <w:t>；</w:t>
      </w:r>
    </w:p>
    <w:p w14:paraId="345EDFF1">
      <w:pPr>
        <w:widowControl/>
        <w:spacing w:line="360" w:lineRule="auto"/>
        <w:ind w:firstLine="420" w:firstLineChars="20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9光度重复性：≤0.001A(0～0.5A)，≤0.002A(0.5～1A)</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≤0.10%T</w:t>
      </w:r>
      <w:r>
        <w:rPr>
          <w:rFonts w:hint="eastAsia" w:ascii="宋体" w:hAnsi="宋体" w:eastAsia="宋体" w:cs="宋体"/>
          <w:color w:val="auto"/>
          <w:sz w:val="21"/>
          <w:szCs w:val="21"/>
          <w:highlight w:val="none"/>
          <w:lang w:eastAsia="zh-CN"/>
        </w:rPr>
        <w:t>；</w:t>
      </w:r>
    </w:p>
    <w:p w14:paraId="5FA6D73B">
      <w:pPr>
        <w:widowControl/>
        <w:spacing w:line="360" w:lineRule="auto"/>
        <w:ind w:firstLine="420" w:firstLineChars="20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10基线平直度：±0.001A（200～850nm）</w:t>
      </w:r>
      <w:r>
        <w:rPr>
          <w:rFonts w:hint="eastAsia" w:ascii="宋体" w:hAnsi="宋体" w:eastAsia="宋体" w:cs="宋体"/>
          <w:color w:val="auto"/>
          <w:sz w:val="21"/>
          <w:szCs w:val="21"/>
          <w:highlight w:val="none"/>
          <w:lang w:eastAsia="zh-CN"/>
        </w:rPr>
        <w:t>；</w:t>
      </w:r>
    </w:p>
    <w:p w14:paraId="1BEC2327">
      <w:pPr>
        <w:widowControl/>
        <w:spacing w:line="360" w:lineRule="auto"/>
        <w:ind w:firstLine="420" w:firstLineChars="20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11噪声：≤0.1%T （500nm开机预热半小时）</w:t>
      </w:r>
      <w:r>
        <w:rPr>
          <w:rFonts w:hint="eastAsia" w:ascii="宋体" w:hAnsi="宋体" w:eastAsia="宋体" w:cs="宋体"/>
          <w:color w:val="auto"/>
          <w:sz w:val="21"/>
          <w:szCs w:val="21"/>
          <w:highlight w:val="none"/>
          <w:lang w:eastAsia="zh-CN"/>
        </w:rPr>
        <w:t>；</w:t>
      </w:r>
    </w:p>
    <w:p w14:paraId="63EEDCFA">
      <w:pPr>
        <w:widowControl/>
        <w:spacing w:line="360" w:lineRule="auto"/>
        <w:ind w:firstLine="420" w:firstLineChars="20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12基线漂移：≤0.1T%/h(500nm预热1小时后)</w:t>
      </w:r>
      <w:r>
        <w:rPr>
          <w:rFonts w:hint="eastAsia" w:ascii="宋体" w:hAnsi="宋体" w:eastAsia="宋体" w:cs="宋体"/>
          <w:color w:val="auto"/>
          <w:sz w:val="21"/>
          <w:szCs w:val="21"/>
          <w:highlight w:val="none"/>
          <w:lang w:eastAsia="zh-CN"/>
        </w:rPr>
        <w:t>；</w:t>
      </w:r>
    </w:p>
    <w:p w14:paraId="661FDD30">
      <w:pPr>
        <w:widowControl/>
        <w:spacing w:line="360" w:lineRule="auto"/>
        <w:ind w:firstLine="420" w:firstLineChars="20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13光源：插座型长寿命溴钨灯，更换灯后无须调整</w:t>
      </w:r>
      <w:r>
        <w:rPr>
          <w:rFonts w:hint="eastAsia" w:ascii="宋体" w:hAnsi="宋体" w:eastAsia="宋体" w:cs="宋体"/>
          <w:color w:val="auto"/>
          <w:sz w:val="21"/>
          <w:szCs w:val="21"/>
          <w:highlight w:val="none"/>
          <w:lang w:eastAsia="zh-CN"/>
        </w:rPr>
        <w:t>；</w:t>
      </w:r>
    </w:p>
    <w:p w14:paraId="684BF442">
      <w:pPr>
        <w:widowControl/>
        <w:spacing w:line="360" w:lineRule="auto"/>
        <w:ind w:firstLine="420" w:firstLineChars="200"/>
        <w:rPr>
          <w:rFonts w:hint="eastAsia" w:ascii="宋体" w:hAnsi="宋体" w:eastAsia="宋体" w:cs="宋体"/>
          <w:b w:val="0"/>
          <w:bCs w:val="0"/>
          <w:color w:val="auto"/>
          <w:sz w:val="21"/>
          <w:szCs w:val="21"/>
          <w:highlight w:val="none"/>
          <w:lang w:eastAsia="zh-CN"/>
        </w:rPr>
      </w:pPr>
      <w:r>
        <w:rPr>
          <w:rFonts w:hint="eastAsia" w:ascii="宋体" w:hAnsi="宋体" w:eastAsia="宋体" w:cs="宋体"/>
          <w:b w:val="0"/>
          <w:bCs w:val="0"/>
          <w:color w:val="auto"/>
          <w:sz w:val="21"/>
          <w:szCs w:val="21"/>
          <w:highlight w:val="none"/>
          <w:lang w:val="en-US" w:eastAsia="zh-CN"/>
        </w:rPr>
        <w:t>2.</w:t>
      </w:r>
      <w:r>
        <w:rPr>
          <w:rFonts w:hint="eastAsia" w:ascii="宋体" w:hAnsi="宋体" w:eastAsia="宋体" w:cs="宋体"/>
          <w:b w:val="0"/>
          <w:bCs w:val="0"/>
          <w:color w:val="auto"/>
          <w:sz w:val="21"/>
          <w:szCs w:val="21"/>
          <w:highlight w:val="none"/>
        </w:rPr>
        <w:t>14检测器：光电倍增管</w:t>
      </w:r>
      <w:r>
        <w:rPr>
          <w:rFonts w:hint="eastAsia" w:ascii="宋体" w:hAnsi="宋体" w:eastAsia="宋体" w:cs="宋体"/>
          <w:b w:val="0"/>
          <w:bCs w:val="0"/>
          <w:color w:val="auto"/>
          <w:sz w:val="21"/>
          <w:szCs w:val="21"/>
          <w:highlight w:val="none"/>
          <w:lang w:eastAsia="zh-CN"/>
        </w:rPr>
        <w:t>；</w:t>
      </w:r>
    </w:p>
    <w:p w14:paraId="74B22092">
      <w:pPr>
        <w:widowControl/>
        <w:spacing w:line="360" w:lineRule="auto"/>
        <w:ind w:firstLine="420" w:firstLineChars="20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15光源转换：自动切换（可在320nm~380nm波段范围内任意设定）</w:t>
      </w:r>
      <w:r>
        <w:rPr>
          <w:rFonts w:hint="eastAsia" w:ascii="宋体" w:hAnsi="宋体" w:eastAsia="宋体" w:cs="宋体"/>
          <w:color w:val="auto"/>
          <w:sz w:val="21"/>
          <w:szCs w:val="21"/>
          <w:highlight w:val="none"/>
          <w:lang w:eastAsia="zh-CN"/>
        </w:rPr>
        <w:t>；</w:t>
      </w:r>
    </w:p>
    <w:p w14:paraId="66D9F1E9">
      <w:pPr>
        <w:widowControl/>
        <w:spacing w:line="360" w:lineRule="auto"/>
        <w:ind w:firstLine="420" w:firstLineChars="20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16光度测量功能：</w:t>
      </w:r>
      <w:r>
        <w:rPr>
          <w:rFonts w:hint="eastAsia" w:ascii="宋体" w:hAnsi="宋体" w:eastAsia="宋体" w:cs="宋体"/>
          <w:color w:val="auto"/>
          <w:sz w:val="21"/>
          <w:szCs w:val="21"/>
          <w:highlight w:val="none"/>
          <w:lang w:val="en-US" w:eastAsia="zh-CN"/>
        </w:rPr>
        <w:t>具备</w:t>
      </w:r>
      <w:r>
        <w:rPr>
          <w:rFonts w:hint="eastAsia" w:ascii="宋体" w:hAnsi="宋体" w:eastAsia="宋体" w:cs="宋体"/>
          <w:color w:val="auto"/>
          <w:sz w:val="21"/>
          <w:szCs w:val="21"/>
          <w:highlight w:val="none"/>
        </w:rPr>
        <w:t>透过率、吸光度、反射率</w:t>
      </w:r>
      <w:r>
        <w:rPr>
          <w:rFonts w:hint="eastAsia" w:ascii="宋体" w:hAnsi="宋体" w:eastAsia="宋体" w:cs="宋体"/>
          <w:color w:val="auto"/>
          <w:sz w:val="21"/>
          <w:szCs w:val="21"/>
          <w:highlight w:val="none"/>
          <w:lang w:val="en-US" w:eastAsia="zh-CN"/>
        </w:rPr>
        <w:t>等测量功能</w:t>
      </w:r>
      <w:r>
        <w:rPr>
          <w:rFonts w:hint="eastAsia" w:ascii="宋体" w:hAnsi="宋体" w:eastAsia="宋体" w:cs="宋体"/>
          <w:color w:val="auto"/>
          <w:sz w:val="21"/>
          <w:szCs w:val="21"/>
          <w:highlight w:val="none"/>
          <w:lang w:eastAsia="zh-CN"/>
        </w:rPr>
        <w:t>；</w:t>
      </w:r>
    </w:p>
    <w:p w14:paraId="338EB049">
      <w:pPr>
        <w:widowControl/>
        <w:spacing w:line="360" w:lineRule="auto"/>
        <w:ind w:firstLine="420" w:firstLineChars="20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17光栅：采用全息光栅</w:t>
      </w:r>
      <w:r>
        <w:rPr>
          <w:rFonts w:hint="eastAsia" w:ascii="宋体" w:hAnsi="宋体" w:eastAsia="宋体" w:cs="宋体"/>
          <w:color w:val="auto"/>
          <w:sz w:val="21"/>
          <w:szCs w:val="21"/>
          <w:highlight w:val="none"/>
          <w:lang w:eastAsia="zh-CN"/>
        </w:rPr>
        <w:t>；</w:t>
      </w:r>
    </w:p>
    <w:p w14:paraId="0B8B4625">
      <w:pPr>
        <w:widowControl/>
        <w:spacing w:line="360" w:lineRule="auto"/>
        <w:ind w:firstLine="420" w:firstLineChars="20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18光源光学系统：双光束动态反馈比例记录测光系统</w:t>
      </w:r>
      <w:r>
        <w:rPr>
          <w:rFonts w:hint="eastAsia" w:ascii="宋体" w:hAnsi="宋体" w:eastAsia="宋体" w:cs="宋体"/>
          <w:color w:val="auto"/>
          <w:sz w:val="21"/>
          <w:szCs w:val="21"/>
          <w:highlight w:val="none"/>
          <w:lang w:eastAsia="zh-CN"/>
        </w:rPr>
        <w:t>；</w:t>
      </w:r>
    </w:p>
    <w:p w14:paraId="2CE5DF6F">
      <w:pPr>
        <w:widowControl/>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2.19</w:t>
      </w:r>
      <w:r>
        <w:rPr>
          <w:rFonts w:hint="eastAsia" w:ascii="宋体" w:hAnsi="宋体" w:eastAsia="宋体" w:cs="宋体"/>
          <w:color w:val="auto"/>
          <w:sz w:val="21"/>
          <w:szCs w:val="21"/>
          <w:highlight w:val="none"/>
        </w:rPr>
        <w:t>智能化系统：</w:t>
      </w:r>
      <w:r>
        <w:rPr>
          <w:rFonts w:hint="eastAsia" w:ascii="宋体" w:hAnsi="宋体" w:eastAsia="宋体" w:cs="宋体"/>
          <w:color w:val="auto"/>
          <w:sz w:val="21"/>
          <w:szCs w:val="21"/>
          <w:highlight w:val="none"/>
          <w:lang w:val="en-US" w:eastAsia="zh-CN"/>
        </w:rPr>
        <w:t>具备</w:t>
      </w:r>
      <w:r>
        <w:rPr>
          <w:rFonts w:hint="eastAsia" w:ascii="宋体" w:hAnsi="宋体" w:eastAsia="宋体" w:cs="宋体"/>
          <w:color w:val="auto"/>
          <w:sz w:val="21"/>
          <w:szCs w:val="21"/>
          <w:highlight w:val="none"/>
        </w:rPr>
        <w:t>自动波长定位、自动换灯、自动波长校准、自动样品池切换功能。</w:t>
      </w:r>
    </w:p>
    <w:p w14:paraId="60B6B027">
      <w:pPr>
        <w:keepNext w:val="0"/>
        <w:keepLines w:val="0"/>
        <w:pageBreakBefore w:val="0"/>
        <w:widowControl/>
        <w:numPr>
          <w:ilvl w:val="0"/>
          <w:numId w:val="0"/>
        </w:numPr>
        <w:kinsoku/>
        <w:wordWrap/>
        <w:overflowPunct/>
        <w:topLinePunct w:val="0"/>
        <w:bidi w:val="0"/>
        <w:snapToGrid/>
        <w:spacing w:line="360" w:lineRule="auto"/>
        <w:jc w:val="left"/>
        <w:textAlignment w:val="auto"/>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b/>
          <w:bCs/>
          <w:color w:val="auto"/>
          <w:kern w:val="2"/>
          <w:sz w:val="21"/>
          <w:szCs w:val="21"/>
          <w:highlight w:val="none"/>
          <w:lang w:val="en-US" w:eastAsia="zh-CN" w:bidi="ar-SA"/>
        </w:rPr>
        <w:t>3.配置要求</w:t>
      </w:r>
    </w:p>
    <w:p w14:paraId="3CCD140F">
      <w:pPr>
        <w:widowControl/>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.1紫外可见分光光度计主机1台；</w:t>
      </w:r>
    </w:p>
    <w:p w14:paraId="3F912806">
      <w:pPr>
        <w:widowControl/>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.2长样品池100mm；</w:t>
      </w:r>
    </w:p>
    <w:p w14:paraId="54578062">
      <w:pPr>
        <w:widowControl/>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.3石英比色皿（10mm）1对；</w:t>
      </w:r>
    </w:p>
    <w:p w14:paraId="2322232B">
      <w:pPr>
        <w:widowControl/>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.4中文操作软件1套</w:t>
      </w:r>
      <w:r>
        <w:rPr>
          <w:rFonts w:hint="eastAsia" w:ascii="宋体" w:hAnsi="宋体" w:eastAsia="宋体" w:cs="宋体"/>
          <w:color w:val="auto"/>
          <w:sz w:val="21"/>
          <w:szCs w:val="21"/>
          <w:highlight w:val="none"/>
          <w:lang w:val="en-US" w:eastAsia="zh-CN"/>
        </w:rPr>
        <w:t>；</w:t>
      </w:r>
    </w:p>
    <w:p w14:paraId="28AC16A2">
      <w:pPr>
        <w:widowControl/>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3.5 数据处理系统和图文输出设备各1套。</w:t>
      </w:r>
    </w:p>
    <w:p w14:paraId="7C36AF3D">
      <w:pPr>
        <w:keepNext w:val="0"/>
        <w:keepLines w:val="0"/>
        <w:pageBreakBefore w:val="0"/>
        <w:widowControl/>
        <w:numPr>
          <w:ilvl w:val="0"/>
          <w:numId w:val="0"/>
        </w:numPr>
        <w:kinsoku/>
        <w:wordWrap/>
        <w:overflowPunct/>
        <w:topLinePunct w:val="0"/>
        <w:bidi w:val="0"/>
        <w:snapToGrid/>
        <w:spacing w:line="360" w:lineRule="auto"/>
        <w:jc w:val="left"/>
        <w:textAlignment w:val="auto"/>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b/>
          <w:bCs/>
          <w:color w:val="auto"/>
          <w:kern w:val="2"/>
          <w:sz w:val="21"/>
          <w:szCs w:val="21"/>
          <w:highlight w:val="none"/>
          <w:lang w:val="en-US" w:eastAsia="zh-CN" w:bidi="ar-SA"/>
        </w:rPr>
        <w:t>4.售后服务要求</w:t>
      </w:r>
    </w:p>
    <w:p w14:paraId="744F7464">
      <w:pPr>
        <w:widowControl/>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4.1</w:t>
      </w:r>
      <w:r>
        <w:rPr>
          <w:rFonts w:hint="eastAsia" w:ascii="宋体" w:hAnsi="宋体" w:eastAsia="宋体" w:cs="宋体"/>
          <w:color w:val="auto"/>
          <w:sz w:val="21"/>
          <w:szCs w:val="21"/>
          <w:highlight w:val="none"/>
        </w:rPr>
        <w:t>响应时间：在接到电话或书面通知后4小时内给予答复，紧急问题应在48小时内抵达现场。</w:t>
      </w:r>
    </w:p>
    <w:p w14:paraId="2A0CC225">
      <w:pPr>
        <w:widowControl/>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4.2</w:t>
      </w:r>
      <w:r>
        <w:rPr>
          <w:rFonts w:hint="eastAsia" w:ascii="宋体" w:hAnsi="宋体" w:eastAsia="宋体" w:cs="宋体"/>
          <w:color w:val="auto"/>
          <w:sz w:val="21"/>
          <w:szCs w:val="21"/>
          <w:highlight w:val="none"/>
        </w:rPr>
        <w:t xml:space="preserve"> 质量保证期：设备验收合格后，整机质保24个月。</w:t>
      </w:r>
    </w:p>
    <w:p w14:paraId="5E11A5D9">
      <w:pPr>
        <w:widowControl/>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4.3</w:t>
      </w:r>
      <w:r>
        <w:rPr>
          <w:rFonts w:hint="eastAsia" w:ascii="宋体" w:hAnsi="宋体" w:eastAsia="宋体" w:cs="宋体"/>
          <w:color w:val="auto"/>
          <w:sz w:val="21"/>
          <w:szCs w:val="21"/>
          <w:highlight w:val="none"/>
        </w:rPr>
        <w:t xml:space="preserve"> 技术服务的范围及内容：</w:t>
      </w:r>
      <w:r>
        <w:rPr>
          <w:rFonts w:hint="eastAsia" w:ascii="宋体" w:hAnsi="宋体" w:eastAsia="宋体" w:cs="宋体"/>
          <w:color w:val="auto"/>
          <w:sz w:val="21"/>
          <w:szCs w:val="21"/>
          <w:highlight w:val="none"/>
          <w:lang w:val="en-US" w:eastAsia="zh-CN"/>
        </w:rPr>
        <w:t>供货商</w:t>
      </w:r>
      <w:r>
        <w:rPr>
          <w:rFonts w:hint="eastAsia" w:ascii="宋体" w:hAnsi="宋体" w:eastAsia="宋体" w:cs="宋体"/>
          <w:color w:val="auto"/>
          <w:sz w:val="21"/>
          <w:szCs w:val="21"/>
          <w:highlight w:val="none"/>
        </w:rPr>
        <w:t>委派技术人员到采购人指定现场，完成设备安装、调试及性能测试工作，直至运行稳定、各项技术指标满足要求并验收合格。</w:t>
      </w:r>
    </w:p>
    <w:p w14:paraId="16EB3DE9">
      <w:pPr>
        <w:widowControl/>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4.4在质保期内按采购人要求，开展技术培训和支持（含现场培训）</w:t>
      </w:r>
      <w:r>
        <w:rPr>
          <w:rFonts w:hint="eastAsia" w:ascii="宋体" w:hAnsi="宋体" w:eastAsia="宋体" w:cs="宋体"/>
          <w:color w:val="auto"/>
          <w:sz w:val="21"/>
          <w:szCs w:val="21"/>
          <w:highlight w:val="none"/>
        </w:rPr>
        <w:t>。</w:t>
      </w:r>
    </w:p>
    <w:p w14:paraId="03CE1489">
      <w:pPr>
        <w:widowControl/>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4.5</w:t>
      </w:r>
      <w:r>
        <w:rPr>
          <w:rFonts w:hint="eastAsia" w:ascii="宋体" w:hAnsi="宋体" w:eastAsia="宋体" w:cs="宋体"/>
          <w:color w:val="auto"/>
          <w:sz w:val="21"/>
          <w:szCs w:val="21"/>
          <w:highlight w:val="none"/>
        </w:rPr>
        <w:t xml:space="preserve"> 质保期内，所有故障提供技术服务和维修，包括配套的所有耗材，仪器设备保养维护（一年不少于 2 次）及自校工作等。</w:t>
      </w:r>
    </w:p>
    <w:p w14:paraId="2568BD1A">
      <w:pPr>
        <w:widowControl/>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4.6提供操作软件终身升级及版本更新服务</w:t>
      </w:r>
      <w:r>
        <w:rPr>
          <w:rFonts w:hint="eastAsia" w:ascii="宋体" w:hAnsi="宋体" w:eastAsia="宋体" w:cs="宋体"/>
          <w:color w:val="auto"/>
          <w:sz w:val="21"/>
          <w:szCs w:val="21"/>
          <w:highlight w:val="none"/>
        </w:rPr>
        <w:t>。</w:t>
      </w:r>
    </w:p>
    <w:p w14:paraId="1AE39861">
      <w:pPr>
        <w:keepNext w:val="0"/>
        <w:keepLines w:val="0"/>
        <w:pageBreakBefore w:val="0"/>
        <w:widowControl/>
        <w:numPr>
          <w:ilvl w:val="0"/>
          <w:numId w:val="0"/>
        </w:numPr>
        <w:kinsoku/>
        <w:wordWrap/>
        <w:overflowPunct/>
        <w:topLinePunct w:val="0"/>
        <w:bidi w:val="0"/>
        <w:snapToGrid/>
        <w:spacing w:line="360" w:lineRule="auto"/>
        <w:jc w:val="left"/>
        <w:textAlignment w:val="auto"/>
        <w:rPr>
          <w:rFonts w:hint="eastAsia" w:ascii="宋体" w:hAnsi="宋体" w:eastAsia="宋体" w:cs="宋体"/>
          <w:b/>
          <w:bCs/>
          <w:color w:val="auto"/>
          <w:kern w:val="2"/>
          <w:sz w:val="21"/>
          <w:szCs w:val="21"/>
          <w:highlight w:val="none"/>
          <w:lang w:val="en-US" w:eastAsia="zh-CN" w:bidi="ar-SA"/>
        </w:rPr>
      </w:pPr>
      <w:r>
        <w:rPr>
          <w:rFonts w:hint="eastAsia" w:cs="宋体"/>
          <w:b/>
          <w:bCs/>
          <w:color w:val="auto"/>
          <w:kern w:val="2"/>
          <w:sz w:val="21"/>
          <w:szCs w:val="21"/>
          <w:highlight w:val="none"/>
          <w:lang w:val="en-US" w:eastAsia="zh-CN" w:bidi="ar-SA"/>
        </w:rPr>
        <w:t>（五）</w:t>
      </w:r>
      <w:r>
        <w:rPr>
          <w:rFonts w:hint="eastAsia" w:ascii="宋体" w:hAnsi="宋体" w:eastAsia="宋体" w:cs="宋体"/>
          <w:b/>
          <w:bCs/>
          <w:color w:val="auto"/>
          <w:kern w:val="2"/>
          <w:sz w:val="21"/>
          <w:szCs w:val="21"/>
          <w:highlight w:val="none"/>
          <w:lang w:val="en-US" w:eastAsia="zh-CN" w:bidi="ar-SA"/>
        </w:rPr>
        <w:t>紫外可见分光光度计</w:t>
      </w:r>
    </w:p>
    <w:p w14:paraId="4AB7F483">
      <w:pPr>
        <w:keepNext w:val="0"/>
        <w:keepLines w:val="0"/>
        <w:pageBreakBefore w:val="0"/>
        <w:widowControl/>
        <w:numPr>
          <w:ilvl w:val="0"/>
          <w:numId w:val="0"/>
        </w:numPr>
        <w:kinsoku/>
        <w:wordWrap/>
        <w:overflowPunct/>
        <w:topLinePunct w:val="0"/>
        <w:bidi w:val="0"/>
        <w:snapToGrid/>
        <w:spacing w:line="360" w:lineRule="auto"/>
        <w:jc w:val="left"/>
        <w:textAlignment w:val="auto"/>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b/>
          <w:bCs/>
          <w:color w:val="auto"/>
          <w:kern w:val="2"/>
          <w:sz w:val="21"/>
          <w:szCs w:val="21"/>
          <w:highlight w:val="none"/>
          <w:lang w:val="en-US" w:eastAsia="zh-CN" w:bidi="ar-SA"/>
        </w:rPr>
        <w:t>1.采购内容</w:t>
      </w:r>
    </w:p>
    <w:p w14:paraId="22098BF7">
      <w:pPr>
        <w:widowControl/>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采购紫外可见分光光度计1套，用于对环境中水、土壤、固废等样品中常规污染指标、无机污染物及特征有机污染物进行定量与定性分析，满足环境监测日常检测需求。</w:t>
      </w:r>
    </w:p>
    <w:p w14:paraId="7F2B9752">
      <w:pPr>
        <w:keepNext w:val="0"/>
        <w:keepLines w:val="0"/>
        <w:pageBreakBefore w:val="0"/>
        <w:widowControl/>
        <w:numPr>
          <w:ilvl w:val="0"/>
          <w:numId w:val="0"/>
        </w:numPr>
        <w:kinsoku/>
        <w:wordWrap/>
        <w:overflowPunct/>
        <w:topLinePunct w:val="0"/>
        <w:bidi w:val="0"/>
        <w:snapToGrid/>
        <w:spacing w:line="360" w:lineRule="auto"/>
        <w:jc w:val="left"/>
        <w:textAlignment w:val="auto"/>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b/>
          <w:bCs/>
          <w:color w:val="auto"/>
          <w:kern w:val="2"/>
          <w:sz w:val="21"/>
          <w:szCs w:val="21"/>
          <w:highlight w:val="none"/>
          <w:lang w:val="en-US" w:eastAsia="zh-CN" w:bidi="ar-SA"/>
        </w:rPr>
        <w:t>2.技术参数要求</w:t>
      </w:r>
    </w:p>
    <w:p w14:paraId="7268F8F6">
      <w:pPr>
        <w:widowControl/>
        <w:spacing w:line="360" w:lineRule="auto"/>
        <w:ind w:firstLine="420" w:firstLineChars="200"/>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2.1光学系统：双光束比例检测；</w:t>
      </w:r>
    </w:p>
    <w:p w14:paraId="158DAF77">
      <w:pPr>
        <w:widowControl/>
        <w:spacing w:line="360" w:lineRule="auto"/>
        <w:ind w:firstLine="420" w:firstLineChars="200"/>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2.2波长范围：190-1100nm；</w:t>
      </w:r>
    </w:p>
    <w:p w14:paraId="59BF5A49">
      <w:pPr>
        <w:widowControl/>
        <w:spacing w:line="360" w:lineRule="auto"/>
        <w:ind w:firstLine="420" w:firstLineChars="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2.3波长重复性：≤0.2nm；</w:t>
      </w:r>
    </w:p>
    <w:p w14:paraId="083643ED">
      <w:pPr>
        <w:widowControl/>
        <w:spacing w:line="360" w:lineRule="auto"/>
        <w:ind w:firstLine="420" w:firstLineChars="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2.4波长示值误差：±0.1nm；</w:t>
      </w:r>
    </w:p>
    <w:p w14:paraId="28D75D9A">
      <w:pPr>
        <w:widowControl/>
        <w:spacing w:line="360" w:lineRule="auto"/>
        <w:ind w:firstLine="420" w:firstLineChars="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2.5光谱带宽：≤2.0nm；</w:t>
      </w:r>
    </w:p>
    <w:p w14:paraId="633D5F41">
      <w:pPr>
        <w:widowControl/>
        <w:spacing w:line="360" w:lineRule="auto"/>
        <w:ind w:firstLine="420" w:firstLineChars="0"/>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2.6杂散光：≤0.05%T；</w:t>
      </w:r>
    </w:p>
    <w:p w14:paraId="07A288D3">
      <w:pPr>
        <w:widowControl/>
        <w:spacing w:line="360" w:lineRule="auto"/>
        <w:ind w:firstLine="420" w:firstLineChars="0"/>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2.7光度范围：-0.3Abs~3Abs；</w:t>
      </w:r>
    </w:p>
    <w:p w14:paraId="3ED64162">
      <w:pPr>
        <w:widowControl/>
        <w:spacing w:line="360" w:lineRule="auto"/>
        <w:ind w:firstLine="420" w:firstLineChars="0"/>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2.8透射比示值误差：±0.002Abs（0-0.5Abs）；</w:t>
      </w:r>
    </w:p>
    <w:p w14:paraId="1151320C">
      <w:pPr>
        <w:widowControl/>
        <w:spacing w:line="360" w:lineRule="auto"/>
        <w:ind w:firstLine="420" w:firstLineChars="0"/>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2.9透射比重复性：≤0.001Abs（0-0.5Abs）；</w:t>
      </w:r>
    </w:p>
    <w:p w14:paraId="4B05D089">
      <w:pPr>
        <w:widowControl/>
        <w:spacing w:line="360" w:lineRule="auto"/>
        <w:ind w:firstLine="420" w:firstLineChars="0"/>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2.10基线平直度：±0.002nm（200nm-1090nm)；</w:t>
      </w:r>
    </w:p>
    <w:p w14:paraId="6241AFEC">
      <w:pPr>
        <w:widowControl/>
        <w:spacing w:line="360" w:lineRule="auto"/>
        <w:ind w:firstLine="420" w:firstLineChars="0"/>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2.11噪声：≤0.15%T(500nm、250nm、P~P）；</w:t>
      </w:r>
    </w:p>
    <w:p w14:paraId="0D9FE16C">
      <w:pPr>
        <w:widowControl/>
        <w:spacing w:line="360" w:lineRule="auto"/>
        <w:ind w:firstLine="420" w:firstLineChars="0"/>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2.12基线漂移：≤0.35%T/h。</w:t>
      </w:r>
    </w:p>
    <w:p w14:paraId="5CE9C1A7">
      <w:pPr>
        <w:keepNext w:val="0"/>
        <w:keepLines w:val="0"/>
        <w:pageBreakBefore w:val="0"/>
        <w:widowControl/>
        <w:numPr>
          <w:ilvl w:val="0"/>
          <w:numId w:val="0"/>
        </w:numPr>
        <w:kinsoku/>
        <w:wordWrap/>
        <w:overflowPunct/>
        <w:topLinePunct w:val="0"/>
        <w:bidi w:val="0"/>
        <w:snapToGrid/>
        <w:spacing w:line="360" w:lineRule="auto"/>
        <w:jc w:val="left"/>
        <w:textAlignment w:val="auto"/>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b/>
          <w:bCs/>
          <w:color w:val="auto"/>
          <w:kern w:val="2"/>
          <w:sz w:val="21"/>
          <w:szCs w:val="21"/>
          <w:highlight w:val="none"/>
          <w:lang w:val="en-US" w:eastAsia="zh-CN" w:bidi="ar-SA"/>
        </w:rPr>
        <w:t>3.配置要求</w:t>
      </w:r>
    </w:p>
    <w:p w14:paraId="6A89D91D">
      <w:pPr>
        <w:widowControl/>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.1紫外可见分光光度计主机1台；</w:t>
      </w:r>
    </w:p>
    <w:p w14:paraId="74A43D52">
      <w:pPr>
        <w:widowControl/>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2 10mm石英比色皿1对。</w:t>
      </w:r>
    </w:p>
    <w:p w14:paraId="5D539156">
      <w:pPr>
        <w:keepNext w:val="0"/>
        <w:keepLines w:val="0"/>
        <w:pageBreakBefore w:val="0"/>
        <w:widowControl/>
        <w:numPr>
          <w:ilvl w:val="0"/>
          <w:numId w:val="0"/>
        </w:numPr>
        <w:kinsoku/>
        <w:wordWrap/>
        <w:overflowPunct/>
        <w:topLinePunct w:val="0"/>
        <w:bidi w:val="0"/>
        <w:snapToGrid/>
        <w:spacing w:line="360" w:lineRule="auto"/>
        <w:jc w:val="left"/>
        <w:textAlignment w:val="auto"/>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b/>
          <w:bCs/>
          <w:color w:val="auto"/>
          <w:kern w:val="2"/>
          <w:sz w:val="21"/>
          <w:szCs w:val="21"/>
          <w:highlight w:val="none"/>
          <w:lang w:val="en-US" w:eastAsia="zh-CN" w:bidi="ar-SA"/>
        </w:rPr>
        <w:t>4.售后服务要求</w:t>
      </w:r>
    </w:p>
    <w:p w14:paraId="33F03A14">
      <w:pPr>
        <w:widowControl/>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4.1</w:t>
      </w:r>
      <w:r>
        <w:rPr>
          <w:rFonts w:hint="eastAsia" w:ascii="宋体" w:hAnsi="宋体" w:eastAsia="宋体" w:cs="宋体"/>
          <w:color w:val="auto"/>
          <w:sz w:val="21"/>
          <w:szCs w:val="21"/>
          <w:highlight w:val="none"/>
        </w:rPr>
        <w:t>响应时间：在接到电话或书面通知后4小时内给予答复，紧急问题应在48小时内抵达现场。</w:t>
      </w:r>
    </w:p>
    <w:p w14:paraId="7E3C2496">
      <w:pPr>
        <w:widowControl/>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4.2</w:t>
      </w:r>
      <w:r>
        <w:rPr>
          <w:rFonts w:hint="eastAsia" w:ascii="宋体" w:hAnsi="宋体" w:eastAsia="宋体" w:cs="宋体"/>
          <w:color w:val="auto"/>
          <w:sz w:val="21"/>
          <w:szCs w:val="21"/>
          <w:highlight w:val="none"/>
        </w:rPr>
        <w:t xml:space="preserve"> 质量保证期：设备验收合格后，整机质保24个月。</w:t>
      </w:r>
    </w:p>
    <w:p w14:paraId="5B3640A3">
      <w:pPr>
        <w:widowControl/>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4.3</w:t>
      </w:r>
      <w:r>
        <w:rPr>
          <w:rFonts w:hint="eastAsia" w:ascii="宋体" w:hAnsi="宋体" w:eastAsia="宋体" w:cs="宋体"/>
          <w:color w:val="auto"/>
          <w:sz w:val="21"/>
          <w:szCs w:val="21"/>
          <w:highlight w:val="none"/>
        </w:rPr>
        <w:t xml:space="preserve"> 技术服务的范围及内容：</w:t>
      </w:r>
      <w:r>
        <w:rPr>
          <w:rFonts w:hint="eastAsia" w:ascii="宋体" w:hAnsi="宋体" w:eastAsia="宋体" w:cs="宋体"/>
          <w:color w:val="auto"/>
          <w:sz w:val="21"/>
          <w:szCs w:val="21"/>
          <w:highlight w:val="none"/>
          <w:lang w:val="en-US" w:eastAsia="zh-CN"/>
        </w:rPr>
        <w:t>供货商</w:t>
      </w:r>
      <w:r>
        <w:rPr>
          <w:rFonts w:hint="eastAsia" w:ascii="宋体" w:hAnsi="宋体" w:eastAsia="宋体" w:cs="宋体"/>
          <w:color w:val="auto"/>
          <w:sz w:val="21"/>
          <w:szCs w:val="21"/>
          <w:highlight w:val="none"/>
        </w:rPr>
        <w:t>委派技术人员到采购人指定现场，完成设备安装、调试及性能测试工作，直至运行稳定、各项技术指标满足要求并验收合格。</w:t>
      </w:r>
    </w:p>
    <w:p w14:paraId="041EA335">
      <w:pPr>
        <w:widowControl/>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4.4在质保期内按采购人要求，开展技术培训和支持（含现场培训）</w:t>
      </w:r>
      <w:r>
        <w:rPr>
          <w:rFonts w:hint="eastAsia" w:ascii="宋体" w:hAnsi="宋体" w:eastAsia="宋体" w:cs="宋体"/>
          <w:color w:val="auto"/>
          <w:sz w:val="21"/>
          <w:szCs w:val="21"/>
          <w:highlight w:val="none"/>
        </w:rPr>
        <w:t>。</w:t>
      </w:r>
    </w:p>
    <w:p w14:paraId="3D9D64DD">
      <w:pPr>
        <w:widowControl/>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4.5</w:t>
      </w:r>
      <w:r>
        <w:rPr>
          <w:rFonts w:hint="eastAsia" w:ascii="宋体" w:hAnsi="宋体" w:eastAsia="宋体" w:cs="宋体"/>
          <w:color w:val="auto"/>
          <w:sz w:val="21"/>
          <w:szCs w:val="21"/>
          <w:highlight w:val="none"/>
        </w:rPr>
        <w:t xml:space="preserve"> 质保期内，所有故障提供技术服务和维修，包括配套的所有耗材，仪器设备保养维护（一年不少于 2 次）及自校工作等。</w:t>
      </w:r>
    </w:p>
    <w:p w14:paraId="23510574">
      <w:pPr>
        <w:keepNext w:val="0"/>
        <w:keepLines w:val="0"/>
        <w:pageBreakBefore w:val="0"/>
        <w:widowControl/>
        <w:numPr>
          <w:ilvl w:val="0"/>
          <w:numId w:val="0"/>
        </w:numPr>
        <w:kinsoku/>
        <w:wordWrap/>
        <w:overflowPunct/>
        <w:topLinePunct w:val="0"/>
        <w:bidi w:val="0"/>
        <w:snapToGrid/>
        <w:spacing w:line="360" w:lineRule="auto"/>
        <w:jc w:val="left"/>
        <w:textAlignment w:val="auto"/>
        <w:rPr>
          <w:rFonts w:hint="eastAsia" w:ascii="宋体" w:hAnsi="宋体" w:eastAsia="宋体" w:cs="宋体"/>
          <w:b/>
          <w:bCs/>
          <w:color w:val="auto"/>
          <w:kern w:val="2"/>
          <w:sz w:val="21"/>
          <w:szCs w:val="21"/>
          <w:highlight w:val="none"/>
          <w:lang w:val="en-US" w:eastAsia="zh-CN" w:bidi="ar-SA"/>
        </w:rPr>
      </w:pPr>
      <w:r>
        <w:rPr>
          <w:rFonts w:hint="eastAsia" w:cs="宋体"/>
          <w:b/>
          <w:bCs/>
          <w:color w:val="auto"/>
          <w:kern w:val="2"/>
          <w:sz w:val="21"/>
          <w:szCs w:val="21"/>
          <w:highlight w:val="none"/>
          <w:lang w:val="en-US" w:eastAsia="zh-CN" w:bidi="ar-SA"/>
        </w:rPr>
        <w:t>（六）</w:t>
      </w:r>
      <w:r>
        <w:rPr>
          <w:rFonts w:hint="eastAsia" w:ascii="宋体" w:hAnsi="宋体" w:eastAsia="宋体" w:cs="宋体"/>
          <w:b/>
          <w:bCs/>
          <w:color w:val="auto"/>
          <w:kern w:val="2"/>
          <w:sz w:val="21"/>
          <w:szCs w:val="21"/>
          <w:highlight w:val="none"/>
          <w:lang w:val="en-US" w:eastAsia="zh-CN" w:bidi="ar-SA"/>
        </w:rPr>
        <w:t>干燥箱</w:t>
      </w:r>
    </w:p>
    <w:p w14:paraId="38824F4C">
      <w:pPr>
        <w:keepNext w:val="0"/>
        <w:keepLines w:val="0"/>
        <w:pageBreakBefore w:val="0"/>
        <w:widowControl/>
        <w:numPr>
          <w:ilvl w:val="0"/>
          <w:numId w:val="0"/>
        </w:numPr>
        <w:kinsoku/>
        <w:wordWrap/>
        <w:overflowPunct/>
        <w:topLinePunct w:val="0"/>
        <w:bidi w:val="0"/>
        <w:snapToGrid/>
        <w:spacing w:line="360" w:lineRule="auto"/>
        <w:jc w:val="left"/>
        <w:textAlignment w:val="auto"/>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b/>
          <w:bCs/>
          <w:color w:val="auto"/>
          <w:kern w:val="2"/>
          <w:sz w:val="21"/>
          <w:szCs w:val="21"/>
          <w:highlight w:val="none"/>
          <w:lang w:val="en-US" w:eastAsia="zh-CN" w:bidi="ar-SA"/>
        </w:rPr>
        <w:t>1.采购内容</w:t>
      </w:r>
    </w:p>
    <w:p w14:paraId="60653FCF">
      <w:pPr>
        <w:widowControl/>
        <w:numPr>
          <w:ilvl w:val="0"/>
          <w:numId w:val="0"/>
        </w:numPr>
        <w:spacing w:line="360" w:lineRule="auto"/>
        <w:ind w:left="360" w:leftChars="0" w:hanging="360" w:firstLineChars="0"/>
        <w:jc w:val="left"/>
        <w:rPr>
          <w:rFonts w:hint="eastAsia" w:ascii="宋体" w:hAnsi="宋体" w:eastAsia="宋体" w:cs="宋体"/>
          <w:color w:val="auto"/>
          <w:sz w:val="21"/>
          <w:szCs w:val="21"/>
          <w:highlight w:val="none"/>
          <w:lang w:val="en-US" w:eastAsia="zh-CN"/>
        </w:rPr>
      </w:pPr>
      <w:r>
        <w:rPr>
          <w:rFonts w:hint="eastAsia" w:ascii="宋体" w:hAnsi="宋体" w:eastAsia="宋体" w:cs="宋体"/>
          <w:b/>
          <w:bCs/>
          <w:color w:val="auto"/>
          <w:kern w:val="2"/>
          <w:sz w:val="21"/>
          <w:szCs w:val="21"/>
          <w:highlight w:val="none"/>
          <w:lang w:val="en-US" w:eastAsia="zh-CN" w:bidi="ar-SA"/>
        </w:rPr>
        <w:t xml:space="preserve">   </w:t>
      </w:r>
      <w:r>
        <w:rPr>
          <w:rFonts w:hint="eastAsia" w:ascii="宋体" w:hAnsi="宋体" w:eastAsia="宋体" w:cs="宋体"/>
          <w:b w:val="0"/>
          <w:bCs w:val="0"/>
          <w:color w:val="auto"/>
          <w:kern w:val="2"/>
          <w:sz w:val="21"/>
          <w:szCs w:val="21"/>
          <w:highlight w:val="none"/>
          <w:lang w:val="en-US" w:eastAsia="zh-CN" w:bidi="ar-SA"/>
        </w:rPr>
        <w:t xml:space="preserve"> </w:t>
      </w:r>
      <w:r>
        <w:rPr>
          <w:rFonts w:hint="eastAsia" w:ascii="宋体" w:hAnsi="宋体" w:eastAsia="宋体" w:cs="宋体"/>
          <w:color w:val="auto"/>
          <w:sz w:val="21"/>
          <w:szCs w:val="21"/>
          <w:highlight w:val="none"/>
          <w:lang w:val="en-US" w:eastAsia="zh-CN"/>
        </w:rPr>
        <w:t>采购干燥箱1套，用于固体试剂、坩埚、玻璃器皿等干燥。</w:t>
      </w:r>
    </w:p>
    <w:p w14:paraId="27E35382">
      <w:pPr>
        <w:keepNext w:val="0"/>
        <w:keepLines w:val="0"/>
        <w:pageBreakBefore w:val="0"/>
        <w:widowControl/>
        <w:numPr>
          <w:ilvl w:val="0"/>
          <w:numId w:val="0"/>
        </w:numPr>
        <w:kinsoku/>
        <w:wordWrap/>
        <w:overflowPunct/>
        <w:topLinePunct w:val="0"/>
        <w:bidi w:val="0"/>
        <w:snapToGrid/>
        <w:spacing w:line="360" w:lineRule="auto"/>
        <w:jc w:val="left"/>
        <w:textAlignment w:val="auto"/>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b/>
          <w:bCs/>
          <w:color w:val="auto"/>
          <w:kern w:val="2"/>
          <w:sz w:val="21"/>
          <w:szCs w:val="21"/>
          <w:highlight w:val="none"/>
          <w:lang w:val="en-US" w:eastAsia="zh-CN" w:bidi="ar-SA"/>
        </w:rPr>
        <w:t>2.技术参数要求</w:t>
      </w:r>
    </w:p>
    <w:p w14:paraId="74F8762E">
      <w:pPr>
        <w:widowControl/>
        <w:spacing w:line="360" w:lineRule="auto"/>
        <w:ind w:firstLine="422" w:firstLineChars="200"/>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2.1性能要求</w:t>
      </w:r>
    </w:p>
    <w:p w14:paraId="17CE1FE4">
      <w:pPr>
        <w:widowControl/>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2.1.1设备采用具有超温偏差保护、数字显示的微电脑P.I.D温度控制器，并带有定时功能，控温精确可靠；</w:t>
      </w:r>
      <w:r>
        <w:rPr>
          <w:rFonts w:hint="eastAsia" w:ascii="宋体" w:hAnsi="宋体" w:eastAsia="宋体" w:cs="宋体"/>
          <w:color w:val="auto"/>
          <w:sz w:val="21"/>
          <w:szCs w:val="21"/>
          <w:highlight w:val="none"/>
          <w:lang w:val="en-US" w:eastAsia="zh-CN"/>
        </w:rPr>
        <w:br w:type="textWrapping"/>
      </w:r>
      <w:r>
        <w:rPr>
          <w:rFonts w:hint="eastAsia" w:ascii="宋体" w:hAnsi="宋体" w:eastAsia="宋体" w:cs="宋体"/>
          <w:color w:val="auto"/>
          <w:sz w:val="21"/>
          <w:szCs w:val="21"/>
          <w:highlight w:val="none"/>
          <w:lang w:val="en-US" w:eastAsia="zh-CN"/>
        </w:rPr>
        <w:t xml:space="preserve">    2.1.2采用合成硅密封条，能长期高温运行，使用寿命长，便于更换；</w:t>
      </w:r>
      <w:r>
        <w:rPr>
          <w:rFonts w:hint="eastAsia" w:ascii="宋体" w:hAnsi="宋体" w:eastAsia="宋体" w:cs="宋体"/>
          <w:color w:val="auto"/>
          <w:sz w:val="21"/>
          <w:szCs w:val="21"/>
          <w:highlight w:val="none"/>
          <w:lang w:val="en-US" w:eastAsia="zh-CN"/>
        </w:rPr>
        <w:br w:type="textWrapping"/>
      </w:r>
      <w:r>
        <w:rPr>
          <w:rFonts w:hint="eastAsia" w:ascii="宋体" w:hAnsi="宋体" w:eastAsia="宋体" w:cs="宋体"/>
          <w:color w:val="auto"/>
          <w:sz w:val="21"/>
          <w:szCs w:val="21"/>
          <w:highlight w:val="none"/>
          <w:lang w:val="en-US" w:eastAsia="zh-CN"/>
        </w:rPr>
        <w:t xml:space="preserve">    2.1.3可以从控温面板上调节箱内进风和排气量大小。</w:t>
      </w:r>
      <w:r>
        <w:rPr>
          <w:rFonts w:hint="eastAsia" w:ascii="宋体" w:hAnsi="宋体" w:eastAsia="宋体" w:cs="宋体"/>
          <w:color w:val="auto"/>
          <w:sz w:val="21"/>
          <w:szCs w:val="21"/>
          <w:highlight w:val="none"/>
          <w:lang w:val="en-US" w:eastAsia="zh-CN"/>
        </w:rPr>
        <w:br w:type="textWrapping"/>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b/>
          <w:bCs/>
          <w:color w:val="auto"/>
          <w:sz w:val="21"/>
          <w:szCs w:val="21"/>
          <w:highlight w:val="none"/>
          <w:lang w:val="en-US" w:eastAsia="zh-CN"/>
        </w:rPr>
        <w:t xml:space="preserve"> 2.2技术参数要求</w:t>
      </w:r>
      <w:r>
        <w:rPr>
          <w:rFonts w:hint="eastAsia" w:ascii="宋体" w:hAnsi="宋体" w:eastAsia="宋体" w:cs="宋体"/>
          <w:color w:val="auto"/>
          <w:sz w:val="21"/>
          <w:szCs w:val="21"/>
          <w:highlight w:val="none"/>
          <w:lang w:val="en-US" w:eastAsia="zh-CN"/>
        </w:rPr>
        <w:br w:type="textWrapping"/>
      </w:r>
      <w:r>
        <w:rPr>
          <w:rFonts w:hint="eastAsia" w:ascii="宋体" w:hAnsi="宋体" w:eastAsia="宋体" w:cs="宋体"/>
          <w:color w:val="auto"/>
          <w:sz w:val="21"/>
          <w:szCs w:val="21"/>
          <w:highlight w:val="none"/>
          <w:lang w:val="en-US" w:eastAsia="zh-CN"/>
        </w:rPr>
        <w:t xml:space="preserve">    2.2.1电源电压：AC220V 50HZ；</w:t>
      </w:r>
      <w:r>
        <w:rPr>
          <w:rFonts w:hint="eastAsia" w:ascii="宋体" w:hAnsi="宋体" w:eastAsia="宋体" w:cs="宋体"/>
          <w:color w:val="auto"/>
          <w:sz w:val="21"/>
          <w:szCs w:val="21"/>
          <w:highlight w:val="none"/>
          <w:lang w:val="en-US" w:eastAsia="zh-CN"/>
        </w:rPr>
        <w:br w:type="textWrapping"/>
      </w:r>
      <w:r>
        <w:rPr>
          <w:rFonts w:hint="eastAsia" w:ascii="宋体" w:hAnsi="宋体" w:eastAsia="宋体" w:cs="宋体"/>
          <w:color w:val="auto"/>
          <w:sz w:val="21"/>
          <w:szCs w:val="21"/>
          <w:highlight w:val="none"/>
          <w:lang w:val="en-US" w:eastAsia="zh-CN"/>
        </w:rPr>
        <w:t xml:space="preserve">    2.2.2控温范围：RT+10～250℃；</w:t>
      </w:r>
      <w:r>
        <w:rPr>
          <w:rFonts w:hint="eastAsia" w:ascii="宋体" w:hAnsi="宋体" w:eastAsia="宋体" w:cs="宋体"/>
          <w:color w:val="auto"/>
          <w:sz w:val="21"/>
          <w:szCs w:val="21"/>
          <w:highlight w:val="none"/>
          <w:lang w:val="en-US" w:eastAsia="zh-CN"/>
        </w:rPr>
        <w:br w:type="textWrapping"/>
      </w:r>
      <w:r>
        <w:rPr>
          <w:rFonts w:hint="eastAsia" w:ascii="宋体" w:hAnsi="宋体" w:eastAsia="宋体" w:cs="宋体"/>
          <w:color w:val="auto"/>
          <w:sz w:val="21"/>
          <w:szCs w:val="21"/>
          <w:highlight w:val="none"/>
          <w:lang w:val="en-US" w:eastAsia="zh-CN"/>
        </w:rPr>
        <w:t xml:space="preserve">    2.2.3恒温波动度：±1.0℃；</w:t>
      </w:r>
      <w:r>
        <w:rPr>
          <w:rFonts w:hint="eastAsia" w:ascii="宋体" w:hAnsi="宋体" w:eastAsia="宋体" w:cs="宋体"/>
          <w:color w:val="auto"/>
          <w:sz w:val="21"/>
          <w:szCs w:val="21"/>
          <w:highlight w:val="none"/>
          <w:lang w:val="en-US" w:eastAsia="zh-CN"/>
        </w:rPr>
        <w:br w:type="textWrapping"/>
      </w:r>
      <w:r>
        <w:rPr>
          <w:rFonts w:hint="eastAsia" w:ascii="宋体" w:hAnsi="宋体" w:eastAsia="宋体" w:cs="宋体"/>
          <w:color w:val="auto"/>
          <w:sz w:val="21"/>
          <w:szCs w:val="21"/>
          <w:highlight w:val="none"/>
          <w:lang w:val="en-US" w:eastAsia="zh-CN"/>
        </w:rPr>
        <w:t xml:space="preserve">    2.2.4温度分辨率：0.1℃；</w:t>
      </w:r>
      <w:r>
        <w:rPr>
          <w:rFonts w:hint="eastAsia" w:ascii="宋体" w:hAnsi="宋体" w:eastAsia="宋体" w:cs="宋体"/>
          <w:color w:val="auto"/>
          <w:sz w:val="21"/>
          <w:szCs w:val="21"/>
          <w:highlight w:val="none"/>
          <w:lang w:val="en-US" w:eastAsia="zh-CN"/>
        </w:rPr>
        <w:br w:type="textWrapping"/>
      </w:r>
      <w:r>
        <w:rPr>
          <w:rFonts w:hint="eastAsia" w:ascii="宋体" w:hAnsi="宋体" w:eastAsia="宋体" w:cs="宋体"/>
          <w:color w:val="auto"/>
          <w:sz w:val="21"/>
          <w:szCs w:val="21"/>
          <w:highlight w:val="none"/>
          <w:lang w:val="en-US" w:eastAsia="zh-CN"/>
        </w:rPr>
        <w:t xml:space="preserve">    2.2.5温度均匀度：±3%（测试点为100℃）；</w:t>
      </w:r>
      <w:r>
        <w:rPr>
          <w:rFonts w:hint="eastAsia" w:ascii="宋体" w:hAnsi="宋体" w:eastAsia="宋体" w:cs="宋体"/>
          <w:color w:val="auto"/>
          <w:sz w:val="21"/>
          <w:szCs w:val="21"/>
          <w:highlight w:val="none"/>
          <w:lang w:val="en-US" w:eastAsia="zh-CN"/>
        </w:rPr>
        <w:br w:type="textWrapping"/>
      </w:r>
      <w:r>
        <w:rPr>
          <w:rFonts w:hint="eastAsia" w:ascii="宋体" w:hAnsi="宋体" w:eastAsia="宋体" w:cs="宋体"/>
          <w:color w:val="auto"/>
          <w:sz w:val="21"/>
          <w:szCs w:val="21"/>
          <w:highlight w:val="none"/>
          <w:lang w:val="en-US" w:eastAsia="zh-CN"/>
        </w:rPr>
        <w:t xml:space="preserve">    2.2.6工作环境温度：+5～40℃；</w:t>
      </w:r>
      <w:r>
        <w:rPr>
          <w:rFonts w:hint="eastAsia" w:ascii="宋体" w:hAnsi="宋体" w:eastAsia="宋体" w:cs="宋体"/>
          <w:color w:val="auto"/>
          <w:sz w:val="21"/>
          <w:szCs w:val="21"/>
          <w:highlight w:val="none"/>
          <w:lang w:val="en-US" w:eastAsia="zh-CN"/>
        </w:rPr>
        <w:br w:type="textWrapping"/>
      </w:r>
      <w:r>
        <w:rPr>
          <w:rFonts w:hint="eastAsia" w:ascii="宋体" w:hAnsi="宋体" w:eastAsia="宋体" w:cs="宋体"/>
          <w:color w:val="auto"/>
          <w:sz w:val="21"/>
          <w:szCs w:val="21"/>
          <w:highlight w:val="none"/>
          <w:lang w:val="en-US" w:eastAsia="zh-CN"/>
        </w:rPr>
        <w:t xml:space="preserve">    2.2.7输入功率：≥2000W；</w:t>
      </w:r>
      <w:r>
        <w:rPr>
          <w:rFonts w:hint="eastAsia" w:ascii="宋体" w:hAnsi="宋体" w:eastAsia="宋体" w:cs="宋体"/>
          <w:color w:val="auto"/>
          <w:sz w:val="21"/>
          <w:szCs w:val="21"/>
          <w:highlight w:val="none"/>
          <w:lang w:val="en-US" w:eastAsia="zh-CN"/>
        </w:rPr>
        <w:br w:type="textWrapping"/>
      </w:r>
      <w:r>
        <w:rPr>
          <w:rFonts w:hint="eastAsia" w:ascii="宋体" w:hAnsi="宋体" w:eastAsia="宋体" w:cs="宋体"/>
          <w:color w:val="auto"/>
          <w:sz w:val="21"/>
          <w:szCs w:val="21"/>
          <w:highlight w:val="none"/>
          <w:lang w:val="en-US" w:eastAsia="zh-CN"/>
        </w:rPr>
        <w:t xml:space="preserve">    2.2.8容积：≥130L；</w:t>
      </w:r>
      <w:r>
        <w:rPr>
          <w:rFonts w:hint="eastAsia" w:ascii="宋体" w:hAnsi="宋体" w:eastAsia="宋体" w:cs="宋体"/>
          <w:color w:val="auto"/>
          <w:sz w:val="21"/>
          <w:szCs w:val="21"/>
          <w:highlight w:val="none"/>
          <w:lang w:val="en-US" w:eastAsia="zh-CN"/>
        </w:rPr>
        <w:br w:type="textWrapping"/>
      </w:r>
      <w:r>
        <w:rPr>
          <w:rFonts w:hint="eastAsia" w:ascii="宋体" w:hAnsi="宋体" w:eastAsia="宋体" w:cs="宋体"/>
          <w:color w:val="auto"/>
          <w:sz w:val="21"/>
          <w:szCs w:val="21"/>
          <w:highlight w:val="none"/>
          <w:lang w:val="en-US" w:eastAsia="zh-CN"/>
        </w:rPr>
        <w:t xml:space="preserve">    2.2.9载物托架：不少于2块。</w:t>
      </w:r>
    </w:p>
    <w:p w14:paraId="5BAC5984">
      <w:pPr>
        <w:keepNext w:val="0"/>
        <w:keepLines w:val="0"/>
        <w:pageBreakBefore w:val="0"/>
        <w:widowControl/>
        <w:numPr>
          <w:ilvl w:val="0"/>
          <w:numId w:val="0"/>
        </w:numPr>
        <w:kinsoku/>
        <w:wordWrap/>
        <w:overflowPunct/>
        <w:topLinePunct w:val="0"/>
        <w:bidi w:val="0"/>
        <w:snapToGrid/>
        <w:spacing w:line="360" w:lineRule="auto"/>
        <w:jc w:val="left"/>
        <w:textAlignment w:val="auto"/>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b/>
          <w:bCs/>
          <w:color w:val="auto"/>
          <w:kern w:val="2"/>
          <w:sz w:val="21"/>
          <w:szCs w:val="21"/>
          <w:highlight w:val="none"/>
          <w:lang w:val="en-US" w:eastAsia="zh-CN" w:bidi="ar-SA"/>
        </w:rPr>
        <w:t>3.配置要求</w:t>
      </w:r>
    </w:p>
    <w:p w14:paraId="5DD57B73">
      <w:pPr>
        <w:widowControl/>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3.1主机1套；</w:t>
      </w:r>
    </w:p>
    <w:p w14:paraId="7C16832B">
      <w:pPr>
        <w:widowControl/>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3.2载物托架 不少于2块。</w:t>
      </w:r>
    </w:p>
    <w:p w14:paraId="3771DFB3">
      <w:pPr>
        <w:keepNext w:val="0"/>
        <w:keepLines w:val="0"/>
        <w:pageBreakBefore w:val="0"/>
        <w:widowControl/>
        <w:numPr>
          <w:ilvl w:val="0"/>
          <w:numId w:val="0"/>
        </w:numPr>
        <w:kinsoku/>
        <w:wordWrap/>
        <w:overflowPunct/>
        <w:topLinePunct w:val="0"/>
        <w:bidi w:val="0"/>
        <w:snapToGrid/>
        <w:spacing w:line="360" w:lineRule="auto"/>
        <w:jc w:val="left"/>
        <w:textAlignment w:val="auto"/>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b/>
          <w:bCs/>
          <w:color w:val="auto"/>
          <w:kern w:val="2"/>
          <w:sz w:val="21"/>
          <w:szCs w:val="21"/>
          <w:highlight w:val="none"/>
          <w:lang w:val="en-US" w:eastAsia="zh-CN" w:bidi="ar-SA"/>
        </w:rPr>
        <w:t>4.售后服务要求</w:t>
      </w:r>
    </w:p>
    <w:p w14:paraId="5E1D4587">
      <w:pPr>
        <w:widowControl/>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4.1</w:t>
      </w:r>
      <w:r>
        <w:rPr>
          <w:rFonts w:hint="eastAsia" w:ascii="宋体" w:hAnsi="宋体" w:eastAsia="宋体" w:cs="宋体"/>
          <w:color w:val="auto"/>
          <w:sz w:val="21"/>
          <w:szCs w:val="21"/>
          <w:highlight w:val="none"/>
        </w:rPr>
        <w:t>响应时间：在接到电话或书面通知后4小时内给予答复，紧急问题应在48小时内抵达现场。</w:t>
      </w:r>
    </w:p>
    <w:p w14:paraId="0D34E9F8">
      <w:pPr>
        <w:widowControl/>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4.2</w:t>
      </w:r>
      <w:r>
        <w:rPr>
          <w:rFonts w:hint="eastAsia" w:ascii="宋体" w:hAnsi="宋体" w:eastAsia="宋体" w:cs="宋体"/>
          <w:color w:val="auto"/>
          <w:sz w:val="21"/>
          <w:szCs w:val="21"/>
          <w:highlight w:val="none"/>
        </w:rPr>
        <w:t xml:space="preserve"> 质量保证期：设备验收合格后，整机质保24个月。</w:t>
      </w:r>
    </w:p>
    <w:p w14:paraId="378588B1">
      <w:pPr>
        <w:widowControl/>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4.3</w:t>
      </w:r>
      <w:r>
        <w:rPr>
          <w:rFonts w:hint="eastAsia" w:ascii="宋体" w:hAnsi="宋体" w:eastAsia="宋体" w:cs="宋体"/>
          <w:color w:val="auto"/>
          <w:sz w:val="21"/>
          <w:szCs w:val="21"/>
          <w:highlight w:val="none"/>
        </w:rPr>
        <w:t xml:space="preserve"> 技术服务的范围及内容：</w:t>
      </w:r>
      <w:r>
        <w:rPr>
          <w:rFonts w:hint="eastAsia" w:ascii="宋体" w:hAnsi="宋体" w:eastAsia="宋体" w:cs="宋体"/>
          <w:color w:val="auto"/>
          <w:sz w:val="21"/>
          <w:szCs w:val="21"/>
          <w:highlight w:val="none"/>
          <w:lang w:val="en-US" w:eastAsia="zh-CN"/>
        </w:rPr>
        <w:t>供货商</w:t>
      </w:r>
      <w:r>
        <w:rPr>
          <w:rFonts w:hint="eastAsia" w:ascii="宋体" w:hAnsi="宋体" w:eastAsia="宋体" w:cs="宋体"/>
          <w:color w:val="auto"/>
          <w:sz w:val="21"/>
          <w:szCs w:val="21"/>
          <w:highlight w:val="none"/>
        </w:rPr>
        <w:t>委派技术人员到采购人指定现场，完成设备安装、调试及性能测试工作，直至运行稳定、各项技术指标满足要求并验收合格。</w:t>
      </w:r>
    </w:p>
    <w:p w14:paraId="6C4E3FEC">
      <w:pPr>
        <w:widowControl/>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4.4在质保期内按采购人要求，开展技术培训和支持（含现场培训）</w:t>
      </w:r>
      <w:r>
        <w:rPr>
          <w:rFonts w:hint="eastAsia" w:ascii="宋体" w:hAnsi="宋体" w:eastAsia="宋体" w:cs="宋体"/>
          <w:color w:val="auto"/>
          <w:sz w:val="21"/>
          <w:szCs w:val="21"/>
          <w:highlight w:val="none"/>
        </w:rPr>
        <w:t>。</w:t>
      </w:r>
    </w:p>
    <w:p w14:paraId="0DD1F35B">
      <w:pPr>
        <w:widowControl/>
        <w:spacing w:line="360" w:lineRule="auto"/>
        <w:ind w:firstLine="420" w:firstLineChars="200"/>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color w:val="auto"/>
          <w:sz w:val="21"/>
          <w:szCs w:val="21"/>
          <w:highlight w:val="none"/>
          <w:lang w:val="en-US" w:eastAsia="zh-CN"/>
        </w:rPr>
        <w:t>4.5</w:t>
      </w:r>
      <w:r>
        <w:rPr>
          <w:rFonts w:hint="eastAsia" w:ascii="宋体" w:hAnsi="宋体" w:eastAsia="宋体" w:cs="宋体"/>
          <w:color w:val="auto"/>
          <w:sz w:val="21"/>
          <w:szCs w:val="21"/>
          <w:highlight w:val="none"/>
        </w:rPr>
        <w:t xml:space="preserve"> 质保期内，所有故障提供技术服务和维修，包括配套的所有耗材，仪器设备保养维护（一年不少于 2 次）及自校工作等。</w:t>
      </w:r>
    </w:p>
    <w:p w14:paraId="6015753B">
      <w:pPr>
        <w:keepNext w:val="0"/>
        <w:keepLines w:val="0"/>
        <w:pageBreakBefore w:val="0"/>
        <w:widowControl/>
        <w:numPr>
          <w:ilvl w:val="0"/>
          <w:numId w:val="0"/>
        </w:numPr>
        <w:kinsoku/>
        <w:wordWrap/>
        <w:overflowPunct/>
        <w:topLinePunct w:val="0"/>
        <w:bidi w:val="0"/>
        <w:snapToGrid/>
        <w:spacing w:line="360" w:lineRule="auto"/>
        <w:jc w:val="left"/>
        <w:textAlignment w:val="auto"/>
        <w:rPr>
          <w:rFonts w:hint="eastAsia" w:ascii="宋体" w:hAnsi="宋体" w:eastAsia="宋体" w:cs="宋体"/>
          <w:b/>
          <w:bCs/>
          <w:color w:val="auto"/>
          <w:kern w:val="2"/>
          <w:sz w:val="21"/>
          <w:szCs w:val="21"/>
          <w:highlight w:val="none"/>
          <w:lang w:val="en-US" w:eastAsia="zh-CN" w:bidi="ar-SA"/>
        </w:rPr>
      </w:pPr>
      <w:r>
        <w:rPr>
          <w:rFonts w:hint="eastAsia" w:cs="宋体"/>
          <w:b/>
          <w:bCs/>
          <w:color w:val="auto"/>
          <w:kern w:val="2"/>
          <w:sz w:val="21"/>
          <w:szCs w:val="21"/>
          <w:highlight w:val="none"/>
          <w:lang w:val="en-US" w:eastAsia="zh-CN" w:bidi="ar-SA"/>
        </w:rPr>
        <w:t>（七）</w:t>
      </w:r>
      <w:r>
        <w:rPr>
          <w:rFonts w:hint="eastAsia" w:ascii="宋体" w:hAnsi="宋体" w:eastAsia="宋体" w:cs="宋体"/>
          <w:b/>
          <w:bCs/>
          <w:color w:val="auto"/>
          <w:kern w:val="2"/>
          <w:sz w:val="21"/>
          <w:szCs w:val="21"/>
          <w:highlight w:val="none"/>
          <w:lang w:val="en-US" w:eastAsia="zh-CN" w:bidi="ar-SA"/>
        </w:rPr>
        <w:t>便携式抽滤装置</w:t>
      </w:r>
    </w:p>
    <w:p w14:paraId="0A472257">
      <w:pPr>
        <w:keepNext w:val="0"/>
        <w:keepLines w:val="0"/>
        <w:pageBreakBefore w:val="0"/>
        <w:widowControl/>
        <w:numPr>
          <w:ilvl w:val="0"/>
          <w:numId w:val="0"/>
        </w:numPr>
        <w:kinsoku/>
        <w:wordWrap/>
        <w:overflowPunct/>
        <w:topLinePunct w:val="0"/>
        <w:bidi w:val="0"/>
        <w:snapToGrid/>
        <w:spacing w:line="360" w:lineRule="auto"/>
        <w:jc w:val="left"/>
        <w:textAlignment w:val="auto"/>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b/>
          <w:bCs/>
          <w:color w:val="auto"/>
          <w:kern w:val="2"/>
          <w:sz w:val="21"/>
          <w:szCs w:val="21"/>
          <w:highlight w:val="none"/>
          <w:lang w:val="en-US" w:eastAsia="zh-CN" w:bidi="ar-SA"/>
        </w:rPr>
        <w:t>1.采购内容</w:t>
      </w:r>
    </w:p>
    <w:p w14:paraId="2D5B51A6">
      <w:pPr>
        <w:widowControl/>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采购便携式抽滤装置1套，用于水样的过滤、试剂的过滤等。满足水样溶解态重金属铅、铜、锌、镉、铁、锰等项目采集后在现场过滤；水样叶绿素a 的过滤；水样溶解性总固体的过滤；水样的泥沙等颗粒状杂质过滤等要求。</w:t>
      </w:r>
    </w:p>
    <w:p w14:paraId="3C9E69B6">
      <w:pPr>
        <w:keepNext w:val="0"/>
        <w:keepLines w:val="0"/>
        <w:pageBreakBefore w:val="0"/>
        <w:widowControl/>
        <w:numPr>
          <w:ilvl w:val="0"/>
          <w:numId w:val="0"/>
        </w:numPr>
        <w:kinsoku/>
        <w:wordWrap/>
        <w:overflowPunct/>
        <w:topLinePunct w:val="0"/>
        <w:bidi w:val="0"/>
        <w:snapToGrid/>
        <w:spacing w:line="360" w:lineRule="auto"/>
        <w:jc w:val="left"/>
        <w:textAlignment w:val="auto"/>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b/>
          <w:bCs/>
          <w:color w:val="auto"/>
          <w:kern w:val="2"/>
          <w:sz w:val="21"/>
          <w:szCs w:val="21"/>
          <w:highlight w:val="none"/>
          <w:lang w:val="en-US" w:eastAsia="zh-CN" w:bidi="ar-SA"/>
        </w:rPr>
        <w:t>2.技术参数要求</w:t>
      </w:r>
    </w:p>
    <w:p w14:paraId="0BB1E54F">
      <w:pPr>
        <w:keepNext w:val="0"/>
        <w:keepLines w:val="0"/>
        <w:pageBreakBefore w:val="0"/>
        <w:widowControl/>
        <w:numPr>
          <w:ilvl w:val="0"/>
          <w:numId w:val="0"/>
        </w:numPr>
        <w:kinsoku/>
        <w:wordWrap/>
        <w:overflowPunct/>
        <w:topLinePunct w:val="0"/>
        <w:bidi w:val="0"/>
        <w:snapToGrid/>
        <w:spacing w:line="360" w:lineRule="auto"/>
        <w:ind w:firstLine="422" w:firstLineChars="200"/>
        <w:jc w:val="left"/>
        <w:textAlignment w:val="auto"/>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b/>
          <w:bCs/>
          <w:color w:val="auto"/>
          <w:kern w:val="2"/>
          <w:sz w:val="21"/>
          <w:szCs w:val="21"/>
          <w:highlight w:val="none"/>
          <w:lang w:val="en-US" w:eastAsia="zh-CN" w:bidi="ar-SA"/>
        </w:rPr>
        <w:t>2.1性能指标</w:t>
      </w:r>
    </w:p>
    <w:p w14:paraId="4485E691">
      <w:pPr>
        <w:widowControl/>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★2.1.1采用一体化设计方式，方便携带，便于现场使用；</w:t>
      </w:r>
    </w:p>
    <w:p w14:paraId="1541ACE0">
      <w:pPr>
        <w:widowControl/>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2.1.2采用搭扣式抽滤杯，操作简洁，密封可靠性高；</w:t>
      </w:r>
    </w:p>
    <w:p w14:paraId="2D070AE4">
      <w:pPr>
        <w:widowControl/>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2.1.3仪器本身带滤膜放置盒，可以放置至少2 盒100mm 的微孔滤膜；</w:t>
      </w:r>
    </w:p>
    <w:p w14:paraId="1C386555">
      <w:pPr>
        <w:widowControl/>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★2.1.4自带高容量锂电池，带过流保护，短路保护，续航时间≥10小时，实时液晶显示电池余量、电压；交直流两用，可直接使用220 伏交流电。</w:t>
      </w:r>
    </w:p>
    <w:p w14:paraId="2AACA590">
      <w:pPr>
        <w:widowControl/>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2.1.5耐酸碱腐蚀真空泵；</w:t>
      </w:r>
    </w:p>
    <w:p w14:paraId="071E5ED2">
      <w:pPr>
        <w:widowControl/>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2.1.6集液瓶和样品瓶合二为一，抽滤下一个水样时无需清洗集液瓶；</w:t>
      </w:r>
    </w:p>
    <w:p w14:paraId="421BA6BE">
      <w:pPr>
        <w:widowControl/>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★2.1.7集液瓶（样品瓶）材质符合《国家地表水环境质量监测任务作业指导书》要求，不含金属离子。</w:t>
      </w:r>
    </w:p>
    <w:p w14:paraId="28BCFC18">
      <w:pPr>
        <w:keepNext w:val="0"/>
        <w:keepLines w:val="0"/>
        <w:pageBreakBefore w:val="0"/>
        <w:widowControl/>
        <w:numPr>
          <w:ilvl w:val="0"/>
          <w:numId w:val="0"/>
        </w:numPr>
        <w:kinsoku/>
        <w:wordWrap/>
        <w:overflowPunct/>
        <w:topLinePunct w:val="0"/>
        <w:bidi w:val="0"/>
        <w:snapToGrid/>
        <w:spacing w:line="360" w:lineRule="auto"/>
        <w:ind w:firstLine="422" w:firstLineChars="200"/>
        <w:jc w:val="left"/>
        <w:textAlignment w:val="auto"/>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b/>
          <w:bCs/>
          <w:color w:val="auto"/>
          <w:kern w:val="2"/>
          <w:sz w:val="21"/>
          <w:szCs w:val="21"/>
          <w:highlight w:val="none"/>
          <w:lang w:val="en-US" w:eastAsia="zh-CN" w:bidi="ar-SA"/>
        </w:rPr>
        <w:t>2.2技术参数</w:t>
      </w:r>
    </w:p>
    <w:p w14:paraId="553CF7EE">
      <w:pPr>
        <w:widowControl/>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2.2.1采样流量（空载） ≥10L/min；</w:t>
      </w:r>
    </w:p>
    <w:p w14:paraId="75E706CA">
      <w:pPr>
        <w:widowControl/>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2.2.2负载能力 ≥-60kPa；</w:t>
      </w:r>
    </w:p>
    <w:p w14:paraId="44EDEEC6">
      <w:pPr>
        <w:widowControl/>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2.2.3实用滤膜尺寸 直径100mm；</w:t>
      </w:r>
    </w:p>
    <w:p w14:paraId="3CEDE558">
      <w:pPr>
        <w:widowControl/>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2.2.4工作温度-20～+50℃；</w:t>
      </w:r>
    </w:p>
    <w:p w14:paraId="556475ED">
      <w:pPr>
        <w:widowControl/>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2.2.5噪声 ≤55dB(A)；</w:t>
      </w:r>
    </w:p>
    <w:p w14:paraId="5A6DA085">
      <w:pPr>
        <w:widowControl/>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2.2.6整机重量 ≤4kg；</w:t>
      </w:r>
    </w:p>
    <w:p w14:paraId="5B839E2A">
      <w:pPr>
        <w:widowControl/>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2.2.7功耗 ≤10 W。</w:t>
      </w:r>
    </w:p>
    <w:p w14:paraId="306E8590">
      <w:pPr>
        <w:keepNext w:val="0"/>
        <w:keepLines w:val="0"/>
        <w:pageBreakBefore w:val="0"/>
        <w:widowControl/>
        <w:numPr>
          <w:ilvl w:val="0"/>
          <w:numId w:val="0"/>
        </w:numPr>
        <w:kinsoku/>
        <w:wordWrap/>
        <w:overflowPunct/>
        <w:topLinePunct w:val="0"/>
        <w:bidi w:val="0"/>
        <w:snapToGrid/>
        <w:spacing w:line="360" w:lineRule="auto"/>
        <w:jc w:val="left"/>
        <w:textAlignment w:val="auto"/>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b/>
          <w:bCs/>
          <w:color w:val="auto"/>
          <w:kern w:val="2"/>
          <w:sz w:val="21"/>
          <w:szCs w:val="21"/>
          <w:highlight w:val="none"/>
          <w:lang w:val="en-US" w:eastAsia="zh-CN" w:bidi="ar-SA"/>
        </w:rPr>
        <w:t>3.配置要求</w:t>
      </w:r>
    </w:p>
    <w:p w14:paraId="05EDB21D">
      <w:pPr>
        <w:widowControl/>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3.1便携式抽滤器主机1套；</w:t>
      </w:r>
    </w:p>
    <w:p w14:paraId="0EF2CB5D">
      <w:pPr>
        <w:widowControl/>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3.2滤膜：1盒；</w:t>
      </w:r>
    </w:p>
    <w:p w14:paraId="2A489F51">
      <w:pPr>
        <w:widowControl/>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3.3充电器1个；</w:t>
      </w:r>
    </w:p>
    <w:p w14:paraId="6EAFB615">
      <w:pPr>
        <w:widowControl/>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3.4集液瓶（含盖子）2个；</w:t>
      </w:r>
    </w:p>
    <w:p w14:paraId="4C23DEEC">
      <w:pPr>
        <w:widowControl/>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3.5滤膜夹1个。</w:t>
      </w:r>
    </w:p>
    <w:p w14:paraId="69B8EE48">
      <w:pPr>
        <w:keepNext w:val="0"/>
        <w:keepLines w:val="0"/>
        <w:pageBreakBefore w:val="0"/>
        <w:widowControl/>
        <w:numPr>
          <w:ilvl w:val="0"/>
          <w:numId w:val="0"/>
        </w:numPr>
        <w:kinsoku/>
        <w:wordWrap/>
        <w:overflowPunct/>
        <w:topLinePunct w:val="0"/>
        <w:bidi w:val="0"/>
        <w:snapToGrid/>
        <w:spacing w:line="360" w:lineRule="auto"/>
        <w:jc w:val="left"/>
        <w:textAlignment w:val="auto"/>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b/>
          <w:bCs/>
          <w:color w:val="auto"/>
          <w:kern w:val="2"/>
          <w:sz w:val="21"/>
          <w:szCs w:val="21"/>
          <w:highlight w:val="none"/>
          <w:lang w:val="en-US" w:eastAsia="zh-CN" w:bidi="ar-SA"/>
        </w:rPr>
        <w:t>4.售后服务要求</w:t>
      </w:r>
    </w:p>
    <w:p w14:paraId="13CFED38">
      <w:pPr>
        <w:widowControl/>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4.1</w:t>
      </w:r>
      <w:r>
        <w:rPr>
          <w:rFonts w:hint="eastAsia" w:ascii="宋体" w:hAnsi="宋体" w:eastAsia="宋体" w:cs="宋体"/>
          <w:color w:val="auto"/>
          <w:sz w:val="21"/>
          <w:szCs w:val="21"/>
          <w:highlight w:val="none"/>
        </w:rPr>
        <w:t>响应时间：在接到电话或书面通知后4小时内给予答复，紧急问题应在48小时内抵达现场。</w:t>
      </w:r>
    </w:p>
    <w:p w14:paraId="6C9DEFD2">
      <w:pPr>
        <w:widowControl/>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4.2</w:t>
      </w:r>
      <w:r>
        <w:rPr>
          <w:rFonts w:hint="eastAsia" w:ascii="宋体" w:hAnsi="宋体" w:eastAsia="宋体" w:cs="宋体"/>
          <w:color w:val="auto"/>
          <w:sz w:val="21"/>
          <w:szCs w:val="21"/>
          <w:highlight w:val="none"/>
        </w:rPr>
        <w:t xml:space="preserve"> 质量保证期：设备验收合格后，整机质保24个月。</w:t>
      </w:r>
    </w:p>
    <w:p w14:paraId="3B3F567B">
      <w:pPr>
        <w:widowControl/>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4.3</w:t>
      </w:r>
      <w:r>
        <w:rPr>
          <w:rFonts w:hint="eastAsia" w:ascii="宋体" w:hAnsi="宋体" w:eastAsia="宋体" w:cs="宋体"/>
          <w:color w:val="auto"/>
          <w:sz w:val="21"/>
          <w:szCs w:val="21"/>
          <w:highlight w:val="none"/>
        </w:rPr>
        <w:t xml:space="preserve"> 技术服务的范围及内容：</w:t>
      </w:r>
      <w:r>
        <w:rPr>
          <w:rFonts w:hint="eastAsia" w:ascii="宋体" w:hAnsi="宋体" w:eastAsia="宋体" w:cs="宋体"/>
          <w:color w:val="auto"/>
          <w:sz w:val="21"/>
          <w:szCs w:val="21"/>
          <w:highlight w:val="none"/>
          <w:lang w:val="en-US" w:eastAsia="zh-CN"/>
        </w:rPr>
        <w:t>供货商</w:t>
      </w:r>
      <w:r>
        <w:rPr>
          <w:rFonts w:hint="eastAsia" w:ascii="宋体" w:hAnsi="宋体" w:eastAsia="宋体" w:cs="宋体"/>
          <w:color w:val="auto"/>
          <w:sz w:val="21"/>
          <w:szCs w:val="21"/>
          <w:highlight w:val="none"/>
        </w:rPr>
        <w:t>委派技术人员到采购人指定现场，完成设备安装、调试及性能测试工作，直至运行稳定、各项技术指标满足要求并验收合格。</w:t>
      </w:r>
    </w:p>
    <w:p w14:paraId="01781B0C">
      <w:pPr>
        <w:widowControl/>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4.4在质保期内按采购人要求，开展技术培训和支持（含现场培训）</w:t>
      </w:r>
      <w:r>
        <w:rPr>
          <w:rFonts w:hint="eastAsia" w:ascii="宋体" w:hAnsi="宋体" w:eastAsia="宋体" w:cs="宋体"/>
          <w:color w:val="auto"/>
          <w:sz w:val="21"/>
          <w:szCs w:val="21"/>
          <w:highlight w:val="none"/>
        </w:rPr>
        <w:t>。</w:t>
      </w:r>
    </w:p>
    <w:p w14:paraId="0D2A5B8C">
      <w:pPr>
        <w:widowControl/>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4.5</w:t>
      </w:r>
      <w:r>
        <w:rPr>
          <w:rFonts w:hint="eastAsia" w:ascii="宋体" w:hAnsi="宋体" w:eastAsia="宋体" w:cs="宋体"/>
          <w:color w:val="auto"/>
          <w:sz w:val="21"/>
          <w:szCs w:val="21"/>
          <w:highlight w:val="none"/>
        </w:rPr>
        <w:t xml:space="preserve"> 质保期内，所有故障提供技术服务和维修，包括配套的所有耗材，仪器设备保养维护（一年不少于 2 次）及自校工作等。</w:t>
      </w:r>
    </w:p>
    <w:p w14:paraId="70A8B346">
      <w:pPr>
        <w:keepNext w:val="0"/>
        <w:keepLines w:val="0"/>
        <w:pageBreakBefore w:val="0"/>
        <w:widowControl/>
        <w:numPr>
          <w:ilvl w:val="0"/>
          <w:numId w:val="0"/>
        </w:numPr>
        <w:kinsoku/>
        <w:wordWrap/>
        <w:overflowPunct/>
        <w:topLinePunct w:val="0"/>
        <w:bidi w:val="0"/>
        <w:snapToGrid/>
        <w:spacing w:line="360" w:lineRule="auto"/>
        <w:jc w:val="left"/>
        <w:textAlignment w:val="auto"/>
        <w:rPr>
          <w:rFonts w:hint="eastAsia" w:ascii="宋体" w:hAnsi="宋体" w:eastAsia="宋体" w:cs="宋体"/>
          <w:b/>
          <w:bCs/>
          <w:color w:val="auto"/>
          <w:kern w:val="2"/>
          <w:sz w:val="21"/>
          <w:szCs w:val="21"/>
          <w:highlight w:val="none"/>
          <w:lang w:val="en-US" w:eastAsia="zh-CN" w:bidi="ar-SA"/>
        </w:rPr>
      </w:pPr>
      <w:r>
        <w:rPr>
          <w:rFonts w:hint="eastAsia" w:cs="宋体"/>
          <w:b/>
          <w:bCs/>
          <w:color w:val="auto"/>
          <w:kern w:val="2"/>
          <w:sz w:val="21"/>
          <w:szCs w:val="21"/>
          <w:highlight w:val="none"/>
          <w:lang w:val="en-US" w:eastAsia="zh-CN" w:bidi="ar-SA"/>
        </w:rPr>
        <w:t>（八）</w:t>
      </w:r>
      <w:r>
        <w:rPr>
          <w:rFonts w:hint="eastAsia" w:ascii="宋体" w:hAnsi="宋体" w:eastAsia="宋体" w:cs="宋体"/>
          <w:b/>
          <w:bCs/>
          <w:color w:val="auto"/>
          <w:kern w:val="2"/>
          <w:sz w:val="21"/>
          <w:szCs w:val="21"/>
          <w:highlight w:val="none"/>
          <w:lang w:val="en-US" w:eastAsia="zh-CN" w:bidi="ar-SA"/>
        </w:rPr>
        <w:t>氟离子计</w:t>
      </w:r>
    </w:p>
    <w:p w14:paraId="74AC7B6B">
      <w:pPr>
        <w:keepNext w:val="0"/>
        <w:keepLines w:val="0"/>
        <w:pageBreakBefore w:val="0"/>
        <w:widowControl/>
        <w:numPr>
          <w:ilvl w:val="0"/>
          <w:numId w:val="0"/>
        </w:numPr>
        <w:kinsoku/>
        <w:wordWrap/>
        <w:overflowPunct/>
        <w:topLinePunct w:val="0"/>
        <w:bidi w:val="0"/>
        <w:snapToGrid/>
        <w:spacing w:line="360" w:lineRule="auto"/>
        <w:jc w:val="left"/>
        <w:textAlignment w:val="auto"/>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b/>
          <w:bCs/>
          <w:color w:val="auto"/>
          <w:kern w:val="2"/>
          <w:sz w:val="21"/>
          <w:szCs w:val="21"/>
          <w:highlight w:val="none"/>
          <w:lang w:val="en-US" w:eastAsia="zh-CN" w:bidi="ar-SA"/>
        </w:rPr>
        <w:t>1.采购内容</w:t>
      </w:r>
    </w:p>
    <w:p w14:paraId="70A3395A">
      <w:pPr>
        <w:widowControl/>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采购氟离子计1套，用于分析水质、土壤等样品中氟化物。满足《水质 氟化物的测定 离子选择电极法》（GB 7484-87）、《土壤 水溶性氟化物和总氟化物的测定 离子选择电极法》(HJ 873-2017)等方法要求。</w:t>
      </w:r>
    </w:p>
    <w:p w14:paraId="23CE6973">
      <w:pPr>
        <w:keepNext w:val="0"/>
        <w:keepLines w:val="0"/>
        <w:pageBreakBefore w:val="0"/>
        <w:widowControl/>
        <w:numPr>
          <w:ilvl w:val="0"/>
          <w:numId w:val="0"/>
        </w:numPr>
        <w:kinsoku/>
        <w:wordWrap/>
        <w:overflowPunct/>
        <w:topLinePunct w:val="0"/>
        <w:bidi w:val="0"/>
        <w:snapToGrid/>
        <w:spacing w:line="360" w:lineRule="auto"/>
        <w:jc w:val="left"/>
        <w:textAlignment w:val="auto"/>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b/>
          <w:bCs/>
          <w:color w:val="auto"/>
          <w:kern w:val="2"/>
          <w:sz w:val="21"/>
          <w:szCs w:val="21"/>
          <w:highlight w:val="none"/>
          <w:lang w:val="en-US" w:eastAsia="zh-CN" w:bidi="ar-SA"/>
        </w:rPr>
        <w:t>2.技术参数要求</w:t>
      </w:r>
    </w:p>
    <w:p w14:paraId="7F21C80B">
      <w:pPr>
        <w:keepNext w:val="0"/>
        <w:keepLines w:val="0"/>
        <w:pageBreakBefore w:val="0"/>
        <w:widowControl/>
        <w:numPr>
          <w:ilvl w:val="0"/>
          <w:numId w:val="0"/>
        </w:numPr>
        <w:kinsoku/>
        <w:wordWrap/>
        <w:overflowPunct/>
        <w:topLinePunct w:val="0"/>
        <w:bidi w:val="0"/>
        <w:snapToGrid/>
        <w:spacing w:line="360" w:lineRule="auto"/>
        <w:ind w:firstLine="422" w:firstLineChars="200"/>
        <w:jc w:val="left"/>
        <w:textAlignment w:val="auto"/>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b/>
          <w:bCs/>
          <w:color w:val="auto"/>
          <w:kern w:val="2"/>
          <w:sz w:val="21"/>
          <w:szCs w:val="21"/>
          <w:highlight w:val="none"/>
          <w:lang w:val="en-US" w:eastAsia="zh-CN" w:bidi="ar-SA"/>
        </w:rPr>
        <w:t>2.1性能要求：</w:t>
      </w:r>
    </w:p>
    <w:p w14:paraId="7153DDAE">
      <w:pPr>
        <w:widowControl/>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2.1.1支持自动/手动温度补偿；</w:t>
      </w:r>
    </w:p>
    <w:p w14:paraId="466B309D">
      <w:pPr>
        <w:widowControl/>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2.1.2自动校正、自动识别缓冲液、自动终点锁定、自动温度补偿，最高达到5点校准；</w:t>
      </w:r>
    </w:p>
    <w:p w14:paraId="390CA7AA">
      <w:pPr>
        <w:widowControl/>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2.1.3终点模式：自动，手动，时间间隔，三种终点模式可供选择；</w:t>
      </w:r>
    </w:p>
    <w:p w14:paraId="45ACE1CB">
      <w:pPr>
        <w:widowControl/>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2.1.4仪器须完全符合GLP要求，可以实时存储至少2000组数据，数据导出可使用U盘或软件；</w:t>
      </w:r>
    </w:p>
    <w:p w14:paraId="2CF5C16A">
      <w:pPr>
        <w:widowControl/>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2.1.5配置不低于7英寸彩色触摸屏；</w:t>
      </w:r>
    </w:p>
    <w:p w14:paraId="2E80A830">
      <w:pPr>
        <w:widowControl/>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2.1.6需搭载指导和集成式帮助系统；</w:t>
      </w:r>
    </w:p>
    <w:p w14:paraId="48855FA2">
      <w:pPr>
        <w:widowControl/>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2.1.7可通过状态指示灯显示仪表读数状态；</w:t>
      </w:r>
    </w:p>
    <w:p w14:paraId="287777A5">
      <w:pPr>
        <w:widowControl/>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2.1.8支持两级用户权限管理；</w:t>
      </w:r>
    </w:p>
    <w:p w14:paraId="6D8D0221">
      <w:pPr>
        <w:widowControl/>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2.1.9测量设置保存/导入为方法，彩色限值提醒，验证结果清晰提示；</w:t>
      </w:r>
    </w:p>
    <w:p w14:paraId="383ED339">
      <w:pPr>
        <w:widowControl/>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2.1.10 防尘防水，可更换保护罩，防腐密封接口保护盒；</w:t>
      </w:r>
    </w:p>
    <w:p w14:paraId="445F2DDE">
      <w:pPr>
        <w:widowControl/>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2.1.11电极支架能够精确定位，垂直移动。</w:t>
      </w:r>
    </w:p>
    <w:p w14:paraId="734241D8">
      <w:pPr>
        <w:keepNext w:val="0"/>
        <w:keepLines w:val="0"/>
        <w:pageBreakBefore w:val="0"/>
        <w:widowControl/>
        <w:numPr>
          <w:ilvl w:val="0"/>
          <w:numId w:val="0"/>
        </w:numPr>
        <w:kinsoku/>
        <w:wordWrap/>
        <w:overflowPunct/>
        <w:topLinePunct w:val="0"/>
        <w:bidi w:val="0"/>
        <w:snapToGrid/>
        <w:spacing w:line="360" w:lineRule="auto"/>
        <w:ind w:firstLine="422" w:firstLineChars="200"/>
        <w:jc w:val="left"/>
        <w:textAlignment w:val="auto"/>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b/>
          <w:bCs/>
          <w:color w:val="auto"/>
          <w:kern w:val="2"/>
          <w:sz w:val="21"/>
          <w:szCs w:val="21"/>
          <w:highlight w:val="none"/>
          <w:lang w:val="en-US" w:eastAsia="zh-CN" w:bidi="ar-SA"/>
        </w:rPr>
        <w:t>2.2技术参数要求</w:t>
      </w:r>
    </w:p>
    <w:p w14:paraId="0D06EAE3">
      <w:pPr>
        <w:widowControl/>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2.2.1测量参数：pH，mV（ORP），ref mV，离子，温度；</w:t>
      </w:r>
    </w:p>
    <w:p w14:paraId="251A7F5D">
      <w:pPr>
        <w:widowControl/>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2.2.2测量范围：</w:t>
      </w:r>
    </w:p>
    <w:p w14:paraId="2ACEA515">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center"/>
        <w:rPr>
          <w:rFonts w:hint="eastAsia" w:ascii="宋体" w:hAnsi="宋体" w:eastAsia="宋体" w:cs="宋体"/>
          <w:i w:val="0"/>
          <w:iCs w:val="0"/>
          <w:color w:val="auto"/>
          <w:sz w:val="21"/>
          <w:szCs w:val="21"/>
          <w:highlight w:val="none"/>
          <w:lang w:val="en-US" w:eastAsia="zh-CN" w:bidi="ar"/>
        </w:rPr>
      </w:pPr>
      <w:r>
        <w:rPr>
          <w:rFonts w:hint="eastAsia" w:ascii="宋体" w:hAnsi="宋体" w:eastAsia="宋体" w:cs="宋体"/>
          <w:i w:val="0"/>
          <w:iCs w:val="0"/>
          <w:color w:val="auto"/>
          <w:sz w:val="21"/>
          <w:szCs w:val="21"/>
          <w:highlight w:val="none"/>
          <w:u w:val="none"/>
          <w:lang w:val="en-US" w:eastAsia="zh-CN" w:bidi="ar"/>
        </w:rPr>
        <w:t>pH： -2.000～20.000；</w:t>
      </w:r>
    </w:p>
    <w:p w14:paraId="3069B63D">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center"/>
        <w:rPr>
          <w:rFonts w:hint="eastAsia" w:ascii="宋体" w:hAnsi="宋体" w:eastAsia="宋体" w:cs="宋体"/>
          <w:i w:val="0"/>
          <w:iCs w:val="0"/>
          <w:color w:val="auto"/>
          <w:sz w:val="21"/>
          <w:szCs w:val="21"/>
          <w:highlight w:val="none"/>
          <w:lang w:val="en-US" w:eastAsia="zh-CN" w:bidi="ar"/>
        </w:rPr>
      </w:pPr>
      <w:r>
        <w:rPr>
          <w:rFonts w:hint="eastAsia" w:ascii="宋体" w:hAnsi="宋体" w:eastAsia="宋体" w:cs="宋体"/>
          <w:i w:val="0"/>
          <w:iCs w:val="0"/>
          <w:color w:val="auto"/>
          <w:sz w:val="21"/>
          <w:szCs w:val="21"/>
          <w:highlight w:val="none"/>
          <w:u w:val="none"/>
          <w:lang w:val="en-US" w:eastAsia="zh-CN" w:bidi="ar"/>
        </w:rPr>
        <w:t>mV：-2000.0～2000.0；</w:t>
      </w:r>
    </w:p>
    <w:p w14:paraId="1CF1DD33">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center"/>
        <w:rPr>
          <w:rFonts w:hint="eastAsia" w:ascii="宋体" w:hAnsi="宋体" w:eastAsia="宋体" w:cs="宋体"/>
          <w:i w:val="0"/>
          <w:iCs w:val="0"/>
          <w:color w:val="auto"/>
          <w:sz w:val="21"/>
          <w:szCs w:val="21"/>
          <w:highlight w:val="none"/>
          <w:lang w:val="en-US" w:eastAsia="zh-CN" w:bidi="ar"/>
        </w:rPr>
      </w:pPr>
      <w:r>
        <w:rPr>
          <w:rFonts w:hint="eastAsia" w:ascii="宋体" w:hAnsi="宋体" w:eastAsia="宋体" w:cs="宋体"/>
          <w:i w:val="0"/>
          <w:iCs w:val="0"/>
          <w:color w:val="auto"/>
          <w:sz w:val="21"/>
          <w:szCs w:val="21"/>
          <w:highlight w:val="none"/>
          <w:u w:val="none"/>
          <w:lang w:val="en-US" w:eastAsia="zh-CN" w:bidi="ar"/>
        </w:rPr>
        <w:t>温度：-30.0～130.0℃；</w:t>
      </w:r>
    </w:p>
    <w:p w14:paraId="59A51874">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center"/>
        <w:rPr>
          <w:rFonts w:hint="eastAsia" w:ascii="宋体" w:hAnsi="宋体" w:eastAsia="宋体" w:cs="宋体"/>
          <w:i w:val="0"/>
          <w:iCs w:val="0"/>
          <w:color w:val="auto"/>
          <w:sz w:val="21"/>
          <w:szCs w:val="21"/>
          <w:highlight w:val="none"/>
          <w:lang w:val="en-US" w:eastAsia="zh-CN" w:bidi="ar"/>
        </w:rPr>
      </w:pPr>
      <w:r>
        <w:rPr>
          <w:rFonts w:hint="eastAsia" w:ascii="宋体" w:hAnsi="宋体" w:eastAsia="宋体" w:cs="宋体"/>
          <w:i w:val="0"/>
          <w:iCs w:val="0"/>
          <w:color w:val="auto"/>
          <w:sz w:val="21"/>
          <w:szCs w:val="21"/>
          <w:highlight w:val="none"/>
          <w:u w:val="none"/>
          <w:lang w:val="en-US" w:eastAsia="zh-CN" w:bidi="ar"/>
        </w:rPr>
        <w:t>mmol/L，mol/L，mg/L，ppm：0~999999；</w:t>
      </w:r>
    </w:p>
    <w:p w14:paraId="1127BA3D">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center"/>
        <w:rPr>
          <w:rFonts w:hint="eastAsia" w:ascii="宋体" w:hAnsi="宋体" w:eastAsia="宋体" w:cs="宋体"/>
          <w:i w:val="0"/>
          <w:iCs w:val="0"/>
          <w:color w:val="auto"/>
          <w:sz w:val="21"/>
          <w:szCs w:val="21"/>
          <w:highlight w:val="none"/>
          <w:lang w:val="en-US" w:eastAsia="zh-CN" w:bidi="ar"/>
        </w:rPr>
      </w:pPr>
      <w:r>
        <w:rPr>
          <w:rFonts w:hint="eastAsia" w:ascii="宋体" w:hAnsi="宋体" w:eastAsia="宋体" w:cs="宋体"/>
          <w:i w:val="0"/>
          <w:iCs w:val="0"/>
          <w:color w:val="auto"/>
          <w:sz w:val="21"/>
          <w:szCs w:val="21"/>
          <w:highlight w:val="none"/>
          <w:u w:val="none"/>
          <w:lang w:val="en-US" w:eastAsia="zh-CN" w:bidi="ar"/>
        </w:rPr>
        <w:t>%：0~100.00；</w:t>
      </w:r>
    </w:p>
    <w:p w14:paraId="1573D870">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center"/>
        <w:rPr>
          <w:rFonts w:hint="eastAsia" w:ascii="宋体" w:hAnsi="宋体" w:eastAsia="宋体" w:cs="宋体"/>
          <w:i w:val="0"/>
          <w:iCs w:val="0"/>
          <w:color w:val="auto"/>
          <w:sz w:val="21"/>
          <w:szCs w:val="21"/>
          <w:highlight w:val="none"/>
          <w:lang w:val="en-US" w:eastAsia="zh-CN" w:bidi="ar"/>
        </w:rPr>
      </w:pPr>
      <w:r>
        <w:rPr>
          <w:rFonts w:hint="eastAsia" w:ascii="宋体" w:hAnsi="宋体" w:eastAsia="宋体" w:cs="宋体"/>
          <w:i w:val="0"/>
          <w:iCs w:val="0"/>
          <w:color w:val="auto"/>
          <w:sz w:val="21"/>
          <w:szCs w:val="21"/>
          <w:highlight w:val="none"/>
          <w:u w:val="none"/>
          <w:lang w:val="en-US" w:eastAsia="zh-CN" w:bidi="ar"/>
        </w:rPr>
        <w:t>pX： –2.000~20.000</w:t>
      </w:r>
      <w:r>
        <w:rPr>
          <w:rFonts w:hint="eastAsia" w:ascii="宋体" w:hAnsi="宋体" w:eastAsia="宋体" w:cs="宋体"/>
          <w:color w:val="auto"/>
          <w:sz w:val="21"/>
          <w:szCs w:val="21"/>
          <w:highlight w:val="none"/>
          <w:lang w:eastAsia="zh-CN"/>
        </w:rPr>
        <w:t>。</w:t>
      </w:r>
    </w:p>
    <w:p w14:paraId="07371B88">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center"/>
        <w:rPr>
          <w:rFonts w:hint="eastAsia" w:ascii="宋体" w:hAnsi="宋体" w:eastAsia="宋体" w:cs="宋体"/>
          <w:i w:val="0"/>
          <w:iCs w:val="0"/>
          <w:color w:val="auto"/>
          <w:sz w:val="21"/>
          <w:szCs w:val="21"/>
          <w:highlight w:val="none"/>
          <w:lang w:val="en-US" w:eastAsia="zh-CN" w:bidi="ar"/>
        </w:rPr>
      </w:pPr>
      <w:r>
        <w:rPr>
          <w:rFonts w:hint="eastAsia" w:ascii="宋体" w:hAnsi="宋体" w:eastAsia="宋体" w:cs="宋体"/>
          <w:i w:val="0"/>
          <w:iCs w:val="0"/>
          <w:color w:val="auto"/>
          <w:sz w:val="21"/>
          <w:szCs w:val="21"/>
          <w:highlight w:val="none"/>
          <w:u w:val="none"/>
          <w:lang w:val="en-US" w:eastAsia="zh-CN" w:bidi="ar"/>
        </w:rPr>
        <w:t>2.2.3 分辨率：</w:t>
      </w:r>
    </w:p>
    <w:p w14:paraId="4877BD43">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center"/>
        <w:rPr>
          <w:rFonts w:hint="eastAsia" w:ascii="宋体" w:hAnsi="宋体" w:eastAsia="宋体" w:cs="宋体"/>
          <w:i w:val="0"/>
          <w:iCs w:val="0"/>
          <w:color w:val="auto"/>
          <w:sz w:val="21"/>
          <w:szCs w:val="21"/>
          <w:highlight w:val="none"/>
          <w:lang w:val="en-US" w:eastAsia="zh-CN" w:bidi="ar"/>
        </w:rPr>
      </w:pPr>
      <w:r>
        <w:rPr>
          <w:rFonts w:hint="eastAsia" w:ascii="宋体" w:hAnsi="宋体" w:eastAsia="宋体" w:cs="宋体"/>
          <w:i w:val="0"/>
          <w:iCs w:val="0"/>
          <w:color w:val="auto"/>
          <w:sz w:val="21"/>
          <w:szCs w:val="21"/>
          <w:highlight w:val="none"/>
          <w:u w:val="none"/>
          <w:lang w:val="en-US" w:eastAsia="zh-CN" w:bidi="ar"/>
        </w:rPr>
        <w:t>pH：0.001/0.01/0.1可调；</w:t>
      </w:r>
    </w:p>
    <w:p w14:paraId="424D61B1">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center"/>
        <w:rPr>
          <w:rFonts w:hint="eastAsia" w:ascii="宋体" w:hAnsi="宋体" w:eastAsia="宋体" w:cs="宋体"/>
          <w:i w:val="0"/>
          <w:iCs w:val="0"/>
          <w:color w:val="auto"/>
          <w:sz w:val="21"/>
          <w:szCs w:val="21"/>
          <w:highlight w:val="none"/>
          <w:lang w:val="en-US" w:eastAsia="zh-CN" w:bidi="ar"/>
        </w:rPr>
      </w:pPr>
      <w:r>
        <w:rPr>
          <w:rFonts w:hint="eastAsia" w:ascii="宋体" w:hAnsi="宋体" w:eastAsia="宋体" w:cs="宋体"/>
          <w:i w:val="0"/>
          <w:iCs w:val="0"/>
          <w:color w:val="auto"/>
          <w:sz w:val="21"/>
          <w:szCs w:val="21"/>
          <w:highlight w:val="none"/>
          <w:u w:val="none"/>
          <w:lang w:val="en-US" w:eastAsia="zh-CN" w:bidi="ar"/>
        </w:rPr>
        <w:t>mV：0.1/1可调；</w:t>
      </w:r>
    </w:p>
    <w:p w14:paraId="7F79D7C6">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center"/>
        <w:rPr>
          <w:rFonts w:hint="eastAsia" w:ascii="宋体" w:hAnsi="宋体" w:eastAsia="宋体" w:cs="宋体"/>
          <w:i w:val="0"/>
          <w:iCs w:val="0"/>
          <w:color w:val="auto"/>
          <w:sz w:val="21"/>
          <w:szCs w:val="21"/>
          <w:highlight w:val="none"/>
          <w:lang w:val="en-US" w:eastAsia="zh-CN" w:bidi="ar"/>
        </w:rPr>
      </w:pPr>
      <w:r>
        <w:rPr>
          <w:rFonts w:hint="eastAsia" w:ascii="宋体" w:hAnsi="宋体" w:eastAsia="宋体" w:cs="宋体"/>
          <w:i w:val="0"/>
          <w:iCs w:val="0"/>
          <w:color w:val="auto"/>
          <w:sz w:val="21"/>
          <w:szCs w:val="21"/>
          <w:highlight w:val="none"/>
          <w:u w:val="none"/>
          <w:lang w:val="en-US" w:eastAsia="zh-CN" w:bidi="ar"/>
        </w:rPr>
        <w:t>浓度（mmol/L，mg/L，ppm）：0.001；</w:t>
      </w:r>
    </w:p>
    <w:p w14:paraId="724F36B9">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center"/>
        <w:rPr>
          <w:rFonts w:hint="eastAsia" w:ascii="宋体" w:hAnsi="宋体" w:eastAsia="宋体" w:cs="宋体"/>
          <w:i w:val="0"/>
          <w:iCs w:val="0"/>
          <w:color w:val="auto"/>
          <w:sz w:val="21"/>
          <w:szCs w:val="21"/>
          <w:highlight w:val="none"/>
          <w:lang w:val="en-US" w:eastAsia="zh-CN" w:bidi="ar"/>
        </w:rPr>
      </w:pPr>
      <w:r>
        <w:rPr>
          <w:rFonts w:hint="eastAsia" w:ascii="宋体" w:hAnsi="宋体" w:eastAsia="宋体" w:cs="宋体"/>
          <w:i w:val="0"/>
          <w:iCs w:val="0"/>
          <w:color w:val="auto"/>
          <w:sz w:val="21"/>
          <w:szCs w:val="21"/>
          <w:highlight w:val="none"/>
          <w:u w:val="none"/>
          <w:lang w:val="en-US" w:eastAsia="zh-CN" w:bidi="ar"/>
        </w:rPr>
        <w:t>摩尔浓度（mol/L）：0.0001；</w:t>
      </w:r>
    </w:p>
    <w:p w14:paraId="67E0360B">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center"/>
        <w:rPr>
          <w:rFonts w:hint="eastAsia" w:ascii="宋体" w:hAnsi="宋体" w:eastAsia="宋体" w:cs="宋体"/>
          <w:i w:val="0"/>
          <w:iCs w:val="0"/>
          <w:color w:val="auto"/>
          <w:sz w:val="21"/>
          <w:szCs w:val="21"/>
          <w:highlight w:val="none"/>
          <w:lang w:val="en-US" w:eastAsia="zh-CN" w:bidi="ar"/>
        </w:rPr>
      </w:pPr>
      <w:r>
        <w:rPr>
          <w:rFonts w:hint="eastAsia" w:ascii="宋体" w:hAnsi="宋体" w:eastAsia="宋体" w:cs="宋体"/>
          <w:i w:val="0"/>
          <w:iCs w:val="0"/>
          <w:color w:val="auto"/>
          <w:sz w:val="21"/>
          <w:szCs w:val="21"/>
          <w:highlight w:val="none"/>
          <w:u w:val="none"/>
          <w:lang w:val="en-US" w:eastAsia="zh-CN" w:bidi="ar"/>
        </w:rPr>
        <w:t>百分比浓度%：0.0001；</w:t>
      </w:r>
    </w:p>
    <w:p w14:paraId="48E15889">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center"/>
        <w:rPr>
          <w:rFonts w:hint="eastAsia" w:ascii="宋体" w:hAnsi="宋体" w:eastAsia="宋体" w:cs="宋体"/>
          <w:i w:val="0"/>
          <w:iCs w:val="0"/>
          <w:color w:val="auto"/>
          <w:sz w:val="21"/>
          <w:szCs w:val="21"/>
          <w:highlight w:val="none"/>
          <w:lang w:val="en-US" w:eastAsia="zh-CN" w:bidi="ar"/>
        </w:rPr>
      </w:pPr>
      <w:r>
        <w:rPr>
          <w:rFonts w:hint="eastAsia" w:ascii="宋体" w:hAnsi="宋体" w:eastAsia="宋体" w:cs="宋体"/>
          <w:i w:val="0"/>
          <w:iCs w:val="0"/>
          <w:color w:val="auto"/>
          <w:sz w:val="21"/>
          <w:szCs w:val="21"/>
          <w:highlight w:val="none"/>
          <w:u w:val="none"/>
          <w:lang w:val="en-US" w:eastAsia="zh-CN" w:bidi="ar"/>
        </w:rPr>
        <w:t>pX：0.1 / 0.01可调；</w:t>
      </w:r>
    </w:p>
    <w:p w14:paraId="423C9EBA">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center"/>
        <w:rPr>
          <w:rFonts w:hint="eastAsia" w:ascii="宋体" w:hAnsi="宋体" w:eastAsia="宋体" w:cs="宋体"/>
          <w:i w:val="0"/>
          <w:iCs w:val="0"/>
          <w:color w:val="auto"/>
          <w:sz w:val="21"/>
          <w:szCs w:val="21"/>
          <w:highlight w:val="none"/>
          <w:lang w:val="en-US" w:eastAsia="zh-CN" w:bidi="ar"/>
        </w:rPr>
      </w:pPr>
      <w:r>
        <w:rPr>
          <w:rFonts w:hint="eastAsia" w:ascii="宋体" w:hAnsi="宋体" w:eastAsia="宋体" w:cs="宋体"/>
          <w:i w:val="0"/>
          <w:iCs w:val="0"/>
          <w:color w:val="auto"/>
          <w:sz w:val="21"/>
          <w:szCs w:val="21"/>
          <w:highlight w:val="none"/>
          <w:u w:val="none"/>
          <w:lang w:val="en-US" w:eastAsia="zh-CN" w:bidi="ar"/>
        </w:rPr>
        <w:t>温度：0.1 ℃</w:t>
      </w:r>
      <w:r>
        <w:rPr>
          <w:rFonts w:hint="eastAsia" w:ascii="宋体" w:hAnsi="宋体" w:eastAsia="宋体" w:cs="宋体"/>
          <w:color w:val="auto"/>
          <w:sz w:val="21"/>
          <w:szCs w:val="21"/>
          <w:highlight w:val="none"/>
          <w:lang w:eastAsia="zh-CN"/>
        </w:rPr>
        <w:t>。</w:t>
      </w:r>
    </w:p>
    <w:p w14:paraId="4B38034A">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center"/>
        <w:rPr>
          <w:rFonts w:hint="eastAsia" w:ascii="宋体" w:hAnsi="宋体" w:eastAsia="宋体" w:cs="宋体"/>
          <w:i w:val="0"/>
          <w:iCs w:val="0"/>
          <w:color w:val="auto"/>
          <w:sz w:val="21"/>
          <w:szCs w:val="21"/>
          <w:highlight w:val="none"/>
          <w:u w:val="none"/>
          <w:lang w:val="en-US" w:eastAsia="zh-CN" w:bidi="ar"/>
        </w:rPr>
      </w:pPr>
      <w:r>
        <w:rPr>
          <w:rFonts w:hint="eastAsia" w:ascii="宋体" w:hAnsi="宋体" w:eastAsia="宋体" w:cs="宋体"/>
          <w:i w:val="0"/>
          <w:iCs w:val="0"/>
          <w:color w:val="auto"/>
          <w:sz w:val="21"/>
          <w:szCs w:val="21"/>
          <w:highlight w:val="none"/>
          <w:u w:val="none"/>
          <w:lang w:val="en-US" w:eastAsia="zh-CN" w:bidi="ar"/>
        </w:rPr>
        <w:t>2.2.4 精度：</w:t>
      </w:r>
    </w:p>
    <w:p w14:paraId="06824699">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center"/>
        <w:rPr>
          <w:rFonts w:hint="eastAsia" w:ascii="宋体" w:hAnsi="宋体" w:eastAsia="宋体" w:cs="宋体"/>
          <w:i w:val="0"/>
          <w:iCs w:val="0"/>
          <w:color w:val="auto"/>
          <w:sz w:val="21"/>
          <w:szCs w:val="21"/>
          <w:highlight w:val="none"/>
          <w:lang w:val="en-US" w:eastAsia="zh-CN" w:bidi="ar"/>
        </w:rPr>
      </w:pPr>
      <w:r>
        <w:rPr>
          <w:rFonts w:hint="eastAsia" w:ascii="宋体" w:hAnsi="宋体" w:eastAsia="宋体" w:cs="宋体"/>
          <w:i w:val="0"/>
          <w:iCs w:val="0"/>
          <w:color w:val="auto"/>
          <w:sz w:val="21"/>
          <w:szCs w:val="21"/>
          <w:highlight w:val="none"/>
          <w:u w:val="none"/>
          <w:lang w:val="en-US" w:eastAsia="zh-CN" w:bidi="ar"/>
        </w:rPr>
        <w:t>pH：±0.002；</w:t>
      </w:r>
    </w:p>
    <w:p w14:paraId="7AF66787">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center"/>
        <w:rPr>
          <w:rFonts w:hint="eastAsia" w:ascii="宋体" w:hAnsi="宋体" w:eastAsia="宋体" w:cs="宋体"/>
          <w:i w:val="0"/>
          <w:iCs w:val="0"/>
          <w:color w:val="auto"/>
          <w:sz w:val="21"/>
          <w:szCs w:val="21"/>
          <w:highlight w:val="none"/>
          <w:lang w:val="en-US" w:eastAsia="zh-CN" w:bidi="ar"/>
        </w:rPr>
      </w:pPr>
      <w:r>
        <w:rPr>
          <w:rFonts w:hint="eastAsia" w:ascii="宋体" w:hAnsi="宋体" w:eastAsia="宋体" w:cs="宋体"/>
          <w:i w:val="0"/>
          <w:iCs w:val="0"/>
          <w:color w:val="auto"/>
          <w:sz w:val="21"/>
          <w:szCs w:val="21"/>
          <w:highlight w:val="none"/>
          <w:u w:val="none"/>
          <w:lang w:val="en-US" w:eastAsia="zh-CN" w:bidi="ar"/>
        </w:rPr>
        <w:t>mV：±0.1mV(–500.0~500.0 mV) 或±0.2mV(–2000.0~2000.0 mV)；</w:t>
      </w:r>
    </w:p>
    <w:p w14:paraId="77556E0A">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center"/>
        <w:rPr>
          <w:rFonts w:hint="eastAsia" w:ascii="宋体" w:hAnsi="宋体" w:eastAsia="宋体" w:cs="宋体"/>
          <w:i w:val="0"/>
          <w:iCs w:val="0"/>
          <w:color w:val="auto"/>
          <w:sz w:val="21"/>
          <w:szCs w:val="21"/>
          <w:highlight w:val="none"/>
          <w:lang w:val="en-US" w:eastAsia="zh-CN" w:bidi="ar"/>
        </w:rPr>
      </w:pPr>
      <w:r>
        <w:rPr>
          <w:rFonts w:hint="eastAsia" w:ascii="宋体" w:hAnsi="宋体" w:eastAsia="宋体" w:cs="宋体"/>
          <w:i w:val="0"/>
          <w:iCs w:val="0"/>
          <w:color w:val="auto"/>
          <w:sz w:val="21"/>
          <w:szCs w:val="21"/>
          <w:highlight w:val="none"/>
          <w:u w:val="none"/>
          <w:lang w:val="en-US" w:eastAsia="zh-CN" w:bidi="ar"/>
        </w:rPr>
        <w:t>浓度（mmol/L，mol/L，mg/L，ppm，%）：±0.5%测量值；</w:t>
      </w:r>
    </w:p>
    <w:p w14:paraId="6AF25950">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center"/>
        <w:rPr>
          <w:rFonts w:hint="eastAsia" w:ascii="宋体" w:hAnsi="宋体" w:eastAsia="宋体" w:cs="宋体"/>
          <w:i w:val="0"/>
          <w:iCs w:val="0"/>
          <w:color w:val="auto"/>
          <w:sz w:val="21"/>
          <w:szCs w:val="21"/>
          <w:highlight w:val="none"/>
          <w:lang w:val="en-US" w:eastAsia="zh-CN" w:bidi="ar"/>
        </w:rPr>
      </w:pPr>
      <w:r>
        <w:rPr>
          <w:rFonts w:hint="eastAsia" w:ascii="宋体" w:hAnsi="宋体" w:eastAsia="宋体" w:cs="宋体"/>
          <w:i w:val="0"/>
          <w:iCs w:val="0"/>
          <w:color w:val="auto"/>
          <w:sz w:val="21"/>
          <w:szCs w:val="21"/>
          <w:highlight w:val="none"/>
          <w:u w:val="none"/>
          <w:lang w:val="en-US" w:eastAsia="zh-CN" w:bidi="ar"/>
        </w:rPr>
        <w:t>pX：±0.002；</w:t>
      </w:r>
    </w:p>
    <w:p w14:paraId="1CB5035B">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center"/>
        <w:rPr>
          <w:rFonts w:hint="eastAsia" w:ascii="宋体" w:hAnsi="宋体" w:eastAsia="宋体" w:cs="宋体"/>
          <w:i w:val="0"/>
          <w:iCs w:val="0"/>
          <w:color w:val="auto"/>
          <w:sz w:val="21"/>
          <w:szCs w:val="21"/>
          <w:highlight w:val="none"/>
          <w:lang w:val="en-US" w:eastAsia="zh-CN" w:bidi="ar"/>
        </w:rPr>
      </w:pPr>
      <w:r>
        <w:rPr>
          <w:rFonts w:hint="eastAsia" w:ascii="宋体" w:hAnsi="宋体" w:eastAsia="宋体" w:cs="宋体"/>
          <w:i w:val="0"/>
          <w:iCs w:val="0"/>
          <w:color w:val="auto"/>
          <w:sz w:val="21"/>
          <w:szCs w:val="21"/>
          <w:highlight w:val="none"/>
          <w:u w:val="none"/>
          <w:lang w:val="en-US" w:eastAsia="zh-CN" w:bidi="ar"/>
        </w:rPr>
        <w:t>温度：±0.1 °C（0-100℃）。</w:t>
      </w:r>
    </w:p>
    <w:p w14:paraId="5BD16D54">
      <w:pPr>
        <w:keepNext w:val="0"/>
        <w:keepLines w:val="0"/>
        <w:pageBreakBefore w:val="0"/>
        <w:widowControl/>
        <w:numPr>
          <w:ilvl w:val="0"/>
          <w:numId w:val="0"/>
        </w:numPr>
        <w:kinsoku/>
        <w:wordWrap/>
        <w:overflowPunct/>
        <w:topLinePunct w:val="0"/>
        <w:bidi w:val="0"/>
        <w:snapToGrid/>
        <w:spacing w:line="360" w:lineRule="auto"/>
        <w:jc w:val="left"/>
        <w:textAlignment w:val="auto"/>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b/>
          <w:bCs/>
          <w:color w:val="auto"/>
          <w:kern w:val="2"/>
          <w:sz w:val="21"/>
          <w:szCs w:val="21"/>
          <w:highlight w:val="none"/>
          <w:lang w:val="en-US" w:eastAsia="zh-CN" w:bidi="ar-SA"/>
        </w:rPr>
        <w:t>3.配置要求</w:t>
      </w:r>
    </w:p>
    <w:p w14:paraId="21F4E351">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center"/>
        <w:rPr>
          <w:rFonts w:hint="eastAsia" w:ascii="宋体" w:hAnsi="宋体" w:eastAsia="宋体" w:cs="宋体"/>
          <w:i w:val="0"/>
          <w:iCs w:val="0"/>
          <w:color w:val="auto"/>
          <w:sz w:val="21"/>
          <w:szCs w:val="21"/>
          <w:highlight w:val="none"/>
          <w:lang w:val="en-US" w:eastAsia="zh-CN" w:bidi="ar"/>
        </w:rPr>
      </w:pPr>
      <w:r>
        <w:rPr>
          <w:rFonts w:hint="eastAsia" w:ascii="宋体" w:hAnsi="宋体" w:eastAsia="宋体" w:cs="宋体"/>
          <w:i w:val="0"/>
          <w:iCs w:val="0"/>
          <w:color w:val="auto"/>
          <w:sz w:val="21"/>
          <w:szCs w:val="21"/>
          <w:highlight w:val="none"/>
          <w:u w:val="none"/>
          <w:lang w:val="en-US" w:eastAsia="zh-CN" w:bidi="ar"/>
        </w:rPr>
        <w:t>3.1主机1套；</w:t>
      </w:r>
    </w:p>
    <w:p w14:paraId="4F11DE73">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center"/>
        <w:rPr>
          <w:rFonts w:hint="eastAsia" w:ascii="宋体" w:hAnsi="宋体" w:eastAsia="宋体" w:cs="宋体"/>
          <w:i w:val="0"/>
          <w:iCs w:val="0"/>
          <w:color w:val="auto"/>
          <w:sz w:val="21"/>
          <w:szCs w:val="21"/>
          <w:highlight w:val="none"/>
          <w:lang w:val="en-US" w:eastAsia="zh-CN" w:bidi="ar"/>
        </w:rPr>
      </w:pPr>
      <w:r>
        <w:rPr>
          <w:rFonts w:hint="eastAsia" w:ascii="宋体" w:hAnsi="宋体" w:eastAsia="宋体" w:cs="宋体"/>
          <w:i w:val="0"/>
          <w:iCs w:val="0"/>
          <w:color w:val="auto"/>
          <w:sz w:val="21"/>
          <w:szCs w:val="21"/>
          <w:highlight w:val="none"/>
          <w:u w:val="none"/>
          <w:lang w:val="en-US" w:eastAsia="zh-CN" w:bidi="ar"/>
        </w:rPr>
        <w:t>3.2复合氟离子电极1套；</w:t>
      </w:r>
    </w:p>
    <w:p w14:paraId="22CB67D7">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center"/>
        <w:rPr>
          <w:rFonts w:hint="eastAsia" w:ascii="宋体" w:hAnsi="宋体" w:eastAsia="宋体" w:cs="宋体"/>
          <w:i w:val="0"/>
          <w:iCs w:val="0"/>
          <w:color w:val="auto"/>
          <w:sz w:val="21"/>
          <w:szCs w:val="21"/>
          <w:highlight w:val="none"/>
          <w:lang w:val="en-US" w:eastAsia="zh-CN" w:bidi="ar"/>
        </w:rPr>
      </w:pPr>
      <w:r>
        <w:rPr>
          <w:rFonts w:hint="eastAsia" w:ascii="宋体" w:hAnsi="宋体" w:eastAsia="宋体" w:cs="宋体"/>
          <w:i w:val="0"/>
          <w:iCs w:val="0"/>
          <w:color w:val="auto"/>
          <w:sz w:val="21"/>
          <w:szCs w:val="21"/>
          <w:highlight w:val="none"/>
          <w:u w:val="none"/>
          <w:lang w:val="en-US" w:eastAsia="zh-CN" w:bidi="ar"/>
        </w:rPr>
        <w:t>3.3氟离子校准标准液1套；</w:t>
      </w:r>
    </w:p>
    <w:p w14:paraId="1652EE32">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center"/>
        <w:rPr>
          <w:rFonts w:hint="eastAsia" w:ascii="宋体" w:hAnsi="宋体" w:eastAsia="宋体" w:cs="宋体"/>
          <w:i w:val="0"/>
          <w:iCs w:val="0"/>
          <w:color w:val="auto"/>
          <w:sz w:val="21"/>
          <w:szCs w:val="21"/>
          <w:highlight w:val="none"/>
          <w:lang w:val="en-US" w:eastAsia="zh-CN" w:bidi="ar"/>
        </w:rPr>
      </w:pPr>
      <w:r>
        <w:rPr>
          <w:rFonts w:hint="eastAsia" w:ascii="宋体" w:hAnsi="宋体" w:eastAsia="宋体" w:cs="宋体"/>
          <w:i w:val="0"/>
          <w:iCs w:val="0"/>
          <w:color w:val="auto"/>
          <w:sz w:val="21"/>
          <w:szCs w:val="21"/>
          <w:highlight w:val="none"/>
          <w:u w:val="none"/>
          <w:lang w:val="en-US" w:eastAsia="zh-CN" w:bidi="ar"/>
        </w:rPr>
        <w:t>3.4电极支架1套；</w:t>
      </w:r>
    </w:p>
    <w:p w14:paraId="06960491">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center"/>
        <w:rPr>
          <w:rFonts w:hint="eastAsia" w:ascii="宋体" w:hAnsi="宋体" w:eastAsia="宋体" w:cs="宋体"/>
          <w:i w:val="0"/>
          <w:iCs w:val="0"/>
          <w:color w:val="auto"/>
          <w:sz w:val="21"/>
          <w:szCs w:val="21"/>
          <w:highlight w:val="none"/>
          <w:lang w:val="en-US" w:eastAsia="zh-CN" w:bidi="ar"/>
        </w:rPr>
      </w:pPr>
      <w:r>
        <w:rPr>
          <w:rFonts w:hint="eastAsia" w:ascii="宋体" w:hAnsi="宋体" w:eastAsia="宋体" w:cs="宋体"/>
          <w:i w:val="0"/>
          <w:iCs w:val="0"/>
          <w:color w:val="auto"/>
          <w:sz w:val="21"/>
          <w:szCs w:val="21"/>
          <w:highlight w:val="none"/>
          <w:u w:val="none"/>
          <w:lang w:val="en-US" w:eastAsia="zh-CN" w:bidi="ar"/>
        </w:rPr>
        <w:t>3.5保护罩1套；</w:t>
      </w:r>
    </w:p>
    <w:p w14:paraId="0BEB99C7">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center"/>
        <w:rPr>
          <w:rFonts w:hint="eastAsia" w:ascii="宋体" w:hAnsi="宋体" w:eastAsia="宋体" w:cs="宋体"/>
          <w:i w:val="0"/>
          <w:iCs w:val="0"/>
          <w:color w:val="auto"/>
          <w:sz w:val="21"/>
          <w:szCs w:val="21"/>
          <w:highlight w:val="none"/>
          <w:lang w:val="en-US" w:eastAsia="zh-CN" w:bidi="ar"/>
        </w:rPr>
      </w:pPr>
      <w:r>
        <w:rPr>
          <w:rFonts w:hint="eastAsia" w:ascii="宋体" w:hAnsi="宋体" w:eastAsia="宋体" w:cs="宋体"/>
          <w:i w:val="0"/>
          <w:iCs w:val="0"/>
          <w:color w:val="auto"/>
          <w:sz w:val="21"/>
          <w:szCs w:val="21"/>
          <w:highlight w:val="none"/>
          <w:u w:val="none"/>
          <w:lang w:val="en-US" w:eastAsia="zh-CN" w:bidi="ar"/>
        </w:rPr>
        <w:t>3.6磁力搅拌器1套。</w:t>
      </w:r>
    </w:p>
    <w:p w14:paraId="2D515CCC">
      <w:pPr>
        <w:keepNext w:val="0"/>
        <w:keepLines w:val="0"/>
        <w:pageBreakBefore w:val="0"/>
        <w:widowControl/>
        <w:numPr>
          <w:ilvl w:val="0"/>
          <w:numId w:val="0"/>
        </w:numPr>
        <w:kinsoku/>
        <w:wordWrap/>
        <w:overflowPunct/>
        <w:topLinePunct w:val="0"/>
        <w:bidi w:val="0"/>
        <w:snapToGrid/>
        <w:spacing w:line="360" w:lineRule="auto"/>
        <w:jc w:val="left"/>
        <w:textAlignment w:val="auto"/>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b/>
          <w:bCs/>
          <w:color w:val="auto"/>
          <w:kern w:val="2"/>
          <w:sz w:val="21"/>
          <w:szCs w:val="21"/>
          <w:highlight w:val="none"/>
          <w:lang w:val="en-US" w:eastAsia="zh-CN" w:bidi="ar-SA"/>
        </w:rPr>
        <w:t>4.售后服务要求</w:t>
      </w:r>
    </w:p>
    <w:p w14:paraId="6DD796EB">
      <w:pPr>
        <w:widowControl/>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4.1</w:t>
      </w:r>
      <w:r>
        <w:rPr>
          <w:rFonts w:hint="eastAsia" w:ascii="宋体" w:hAnsi="宋体" w:eastAsia="宋体" w:cs="宋体"/>
          <w:color w:val="auto"/>
          <w:sz w:val="21"/>
          <w:szCs w:val="21"/>
          <w:highlight w:val="none"/>
        </w:rPr>
        <w:t>响应时间：在接到电话或书面通知后4小时内给予答复，紧急问题应在48小时内抵达现场。</w:t>
      </w:r>
    </w:p>
    <w:p w14:paraId="58E9A4A5">
      <w:pPr>
        <w:widowControl/>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4.2</w:t>
      </w:r>
      <w:r>
        <w:rPr>
          <w:rFonts w:hint="eastAsia" w:ascii="宋体" w:hAnsi="宋体" w:eastAsia="宋体" w:cs="宋体"/>
          <w:color w:val="auto"/>
          <w:sz w:val="21"/>
          <w:szCs w:val="21"/>
          <w:highlight w:val="none"/>
        </w:rPr>
        <w:t xml:space="preserve"> 质量保证期：设备验收合格后，整机质保24个月。</w:t>
      </w:r>
    </w:p>
    <w:p w14:paraId="54334F35">
      <w:pPr>
        <w:widowControl/>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4.3</w:t>
      </w:r>
      <w:r>
        <w:rPr>
          <w:rFonts w:hint="eastAsia" w:ascii="宋体" w:hAnsi="宋体" w:eastAsia="宋体" w:cs="宋体"/>
          <w:color w:val="auto"/>
          <w:sz w:val="21"/>
          <w:szCs w:val="21"/>
          <w:highlight w:val="none"/>
        </w:rPr>
        <w:t xml:space="preserve"> 技术服务的范围及内容：</w:t>
      </w:r>
      <w:r>
        <w:rPr>
          <w:rFonts w:hint="eastAsia" w:ascii="宋体" w:hAnsi="宋体" w:eastAsia="宋体" w:cs="宋体"/>
          <w:color w:val="auto"/>
          <w:sz w:val="21"/>
          <w:szCs w:val="21"/>
          <w:highlight w:val="none"/>
          <w:lang w:val="en-US" w:eastAsia="zh-CN"/>
        </w:rPr>
        <w:t>供货商</w:t>
      </w:r>
      <w:r>
        <w:rPr>
          <w:rFonts w:hint="eastAsia" w:ascii="宋体" w:hAnsi="宋体" w:eastAsia="宋体" w:cs="宋体"/>
          <w:color w:val="auto"/>
          <w:sz w:val="21"/>
          <w:szCs w:val="21"/>
          <w:highlight w:val="none"/>
        </w:rPr>
        <w:t>委派技术人员到采购人指定现场，完成设备安装、调试及性能测试工作，直至运行稳定、各项技术指标满足要求并验收合格。</w:t>
      </w:r>
    </w:p>
    <w:p w14:paraId="11A1AB33">
      <w:pPr>
        <w:widowControl/>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4.4在质保期内按采购人要求，开展技术培训和支持（含现场培训）</w:t>
      </w:r>
      <w:r>
        <w:rPr>
          <w:rFonts w:hint="eastAsia" w:ascii="宋体" w:hAnsi="宋体" w:eastAsia="宋体" w:cs="宋体"/>
          <w:color w:val="auto"/>
          <w:sz w:val="21"/>
          <w:szCs w:val="21"/>
          <w:highlight w:val="none"/>
        </w:rPr>
        <w:t>。</w:t>
      </w:r>
    </w:p>
    <w:p w14:paraId="0C9899D8">
      <w:pPr>
        <w:widowControl/>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4.5</w:t>
      </w:r>
      <w:r>
        <w:rPr>
          <w:rFonts w:hint="eastAsia" w:ascii="宋体" w:hAnsi="宋体" w:eastAsia="宋体" w:cs="宋体"/>
          <w:color w:val="auto"/>
          <w:sz w:val="21"/>
          <w:szCs w:val="21"/>
          <w:highlight w:val="none"/>
        </w:rPr>
        <w:t xml:space="preserve"> 质保期内，所有故障提供技术服务和维修，包括配套的所有耗材，仪器设备保养维护（一年不少于 2 次）及自校工作等。</w:t>
      </w:r>
    </w:p>
    <w:p w14:paraId="231B59B1">
      <w:pPr>
        <w:keepNext w:val="0"/>
        <w:keepLines w:val="0"/>
        <w:pageBreakBefore w:val="0"/>
        <w:widowControl/>
        <w:numPr>
          <w:ilvl w:val="0"/>
          <w:numId w:val="0"/>
        </w:numPr>
        <w:kinsoku/>
        <w:wordWrap/>
        <w:overflowPunct/>
        <w:topLinePunct w:val="0"/>
        <w:bidi w:val="0"/>
        <w:snapToGrid/>
        <w:spacing w:line="360" w:lineRule="auto"/>
        <w:jc w:val="left"/>
        <w:textAlignment w:val="auto"/>
        <w:rPr>
          <w:rFonts w:hint="eastAsia" w:ascii="宋体" w:hAnsi="宋体" w:eastAsia="宋体" w:cs="宋体"/>
          <w:b/>
          <w:bCs/>
          <w:color w:val="auto"/>
          <w:kern w:val="2"/>
          <w:sz w:val="21"/>
          <w:szCs w:val="21"/>
          <w:highlight w:val="none"/>
          <w:lang w:val="en-US" w:eastAsia="zh-CN" w:bidi="ar-SA"/>
        </w:rPr>
      </w:pPr>
      <w:r>
        <w:rPr>
          <w:rFonts w:hint="eastAsia" w:cs="宋体"/>
          <w:b/>
          <w:bCs/>
          <w:color w:val="auto"/>
          <w:kern w:val="2"/>
          <w:sz w:val="21"/>
          <w:szCs w:val="21"/>
          <w:highlight w:val="none"/>
          <w:lang w:val="en-US" w:eastAsia="zh-CN" w:bidi="ar-SA"/>
        </w:rPr>
        <w:t>（九）</w:t>
      </w:r>
      <w:r>
        <w:rPr>
          <w:rFonts w:hint="eastAsia" w:ascii="宋体" w:hAnsi="宋体" w:eastAsia="宋体" w:cs="宋体"/>
          <w:b/>
          <w:bCs/>
          <w:color w:val="auto"/>
          <w:kern w:val="2"/>
          <w:sz w:val="21"/>
          <w:szCs w:val="21"/>
          <w:highlight w:val="none"/>
          <w:lang w:val="en-US" w:eastAsia="zh-CN" w:bidi="ar-SA"/>
        </w:rPr>
        <w:t>立式高压蒸汽灭菌器</w:t>
      </w:r>
    </w:p>
    <w:p w14:paraId="354038A3">
      <w:pPr>
        <w:keepNext w:val="0"/>
        <w:keepLines w:val="0"/>
        <w:pageBreakBefore w:val="0"/>
        <w:widowControl/>
        <w:numPr>
          <w:ilvl w:val="0"/>
          <w:numId w:val="0"/>
        </w:numPr>
        <w:kinsoku/>
        <w:wordWrap/>
        <w:overflowPunct/>
        <w:topLinePunct w:val="0"/>
        <w:bidi w:val="0"/>
        <w:snapToGrid/>
        <w:spacing w:line="360" w:lineRule="auto"/>
        <w:jc w:val="left"/>
        <w:textAlignment w:val="auto"/>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b/>
          <w:bCs/>
          <w:color w:val="auto"/>
          <w:kern w:val="2"/>
          <w:sz w:val="21"/>
          <w:szCs w:val="21"/>
          <w:highlight w:val="none"/>
          <w:lang w:val="en-US" w:eastAsia="zh-CN" w:bidi="ar-SA"/>
        </w:rPr>
        <w:t>1.采购内容</w:t>
      </w:r>
    </w:p>
    <w:p w14:paraId="79C985E0">
      <w:pPr>
        <w:widowControl/>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采购立式高压蒸汽灭菌器2套，用于水质总磷、总氮项目的样品高压消解，粪大肠菌群、总大肠菌群、细菌总数等项目的高压灭菌等工作。</w:t>
      </w:r>
    </w:p>
    <w:p w14:paraId="40915BB4">
      <w:pPr>
        <w:keepNext w:val="0"/>
        <w:keepLines w:val="0"/>
        <w:pageBreakBefore w:val="0"/>
        <w:widowControl/>
        <w:numPr>
          <w:ilvl w:val="0"/>
          <w:numId w:val="0"/>
        </w:numPr>
        <w:kinsoku/>
        <w:wordWrap/>
        <w:overflowPunct/>
        <w:topLinePunct w:val="0"/>
        <w:bidi w:val="0"/>
        <w:snapToGrid/>
        <w:spacing w:line="360" w:lineRule="auto"/>
        <w:jc w:val="left"/>
        <w:textAlignment w:val="auto"/>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b/>
          <w:bCs/>
          <w:color w:val="auto"/>
          <w:kern w:val="2"/>
          <w:sz w:val="21"/>
          <w:szCs w:val="21"/>
          <w:highlight w:val="none"/>
          <w:lang w:val="en-US" w:eastAsia="zh-CN" w:bidi="ar-SA"/>
        </w:rPr>
        <w:t>2.技术参数要求</w:t>
      </w:r>
    </w:p>
    <w:p w14:paraId="577EE2FF">
      <w:pPr>
        <w:keepNext w:val="0"/>
        <w:keepLines w:val="0"/>
        <w:pageBreakBefore w:val="0"/>
        <w:widowControl/>
        <w:numPr>
          <w:ilvl w:val="0"/>
          <w:numId w:val="0"/>
        </w:numPr>
        <w:kinsoku/>
        <w:wordWrap/>
        <w:overflowPunct/>
        <w:topLinePunct w:val="0"/>
        <w:bidi w:val="0"/>
        <w:snapToGrid/>
        <w:spacing w:line="360" w:lineRule="auto"/>
        <w:ind w:firstLine="422" w:firstLineChars="200"/>
        <w:jc w:val="left"/>
        <w:textAlignment w:val="auto"/>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b/>
          <w:bCs/>
          <w:color w:val="auto"/>
          <w:kern w:val="2"/>
          <w:sz w:val="21"/>
          <w:szCs w:val="21"/>
          <w:highlight w:val="none"/>
          <w:lang w:val="en-US" w:eastAsia="zh-CN" w:bidi="ar-SA"/>
        </w:rPr>
        <w:t>2.1性能要求</w:t>
      </w:r>
    </w:p>
    <w:p w14:paraId="784DE5F2">
      <w:pPr>
        <w:widowControl/>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2.1.1采用手轮式旋压密封结构，锅盖开启方式采用移位式开盖；</w:t>
      </w:r>
    </w:p>
    <w:p w14:paraId="27EA64B5">
      <w:pPr>
        <w:widowControl/>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2.1.2外壳采用耐高温材料，灭菌锅体采用不锈钢304材质；</w:t>
      </w:r>
    </w:p>
    <w:p w14:paraId="2EE3FDFE">
      <w:pPr>
        <w:widowControl/>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2.1.3采用自胀式密封圈结构；</w:t>
      </w:r>
    </w:p>
    <w:p w14:paraId="63372D7D">
      <w:pPr>
        <w:widowControl/>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2.1.4操作台采用LCD液晶窗图文显示，功能设置均用滚动式图文选择，整个灭菌行程实行微电脑图文显示及自动控制循环程序，灭菌结束（报警）后自动停机；</w:t>
      </w:r>
    </w:p>
    <w:p w14:paraId="6DE7CA39">
      <w:pPr>
        <w:widowControl/>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2.1.5灭菌过程具有动态指示，便于观察灭菌状态；</w:t>
      </w:r>
    </w:p>
    <w:p w14:paraId="0CDA4FA3">
      <w:pPr>
        <w:widowControl/>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2.1.6设定温度时间采用一键式操作方式，可根据不同的灭菌物品快速明了的进行所需选择；</w:t>
      </w:r>
    </w:p>
    <w:p w14:paraId="3504C79A">
      <w:pPr>
        <w:widowControl/>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2.1.7具有风冷式快速冷却装置，确保灭菌结束时对锅体快速降温，缩短开启锅盖时间；</w:t>
      </w:r>
    </w:p>
    <w:p w14:paraId="579F40FF">
      <w:pPr>
        <w:widowControl/>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2.1.8具有故障自动检测判断系统；</w:t>
      </w:r>
    </w:p>
    <w:p w14:paraId="60F24CE5">
      <w:pPr>
        <w:widowControl/>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2.1.9全自动控制系统，自动排放冷空气及灭菌结束自动排气功能；</w:t>
      </w:r>
    </w:p>
    <w:p w14:paraId="75E7721A">
      <w:pPr>
        <w:widowControl/>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2.1.10具有安全联锁装置，采用电子与机械互动的安全联锁结构，确保有压力时自动锁盖，避免误操作而产生不安全；</w:t>
      </w:r>
    </w:p>
    <w:p w14:paraId="196B663F">
      <w:pPr>
        <w:widowControl/>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2.1.11具有机械式安全泄压阀和电控式过压保护装置的双套保护系统；</w:t>
      </w:r>
    </w:p>
    <w:p w14:paraId="7A0FDCB6">
      <w:pPr>
        <w:widowControl/>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2.1.12 具有断水保护防干烧和漏电保护系统。</w:t>
      </w:r>
      <w:r>
        <w:rPr>
          <w:rFonts w:hint="eastAsia" w:ascii="宋体" w:hAnsi="宋体" w:eastAsia="宋体" w:cs="宋体"/>
          <w:color w:val="auto"/>
          <w:sz w:val="21"/>
          <w:szCs w:val="21"/>
          <w:highlight w:val="none"/>
          <w:lang w:val="en-US" w:eastAsia="zh-CN"/>
        </w:rPr>
        <w:br w:type="textWrapping"/>
      </w:r>
      <w:r>
        <w:rPr>
          <w:rFonts w:hint="eastAsia" w:ascii="宋体" w:hAnsi="宋体" w:eastAsia="宋体" w:cs="宋体"/>
          <w:b/>
          <w:bCs/>
          <w:color w:val="auto"/>
          <w:kern w:val="2"/>
          <w:sz w:val="21"/>
          <w:szCs w:val="21"/>
          <w:highlight w:val="none"/>
          <w:lang w:val="en-US" w:eastAsia="zh-CN" w:bidi="ar-SA"/>
        </w:rPr>
        <w:t>2.2技术参数要求</w:t>
      </w:r>
    </w:p>
    <w:p w14:paraId="3519245F">
      <w:pPr>
        <w:widowControl/>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2.2.1灭菌温度可选设定范围50℃-126℃；</w:t>
      </w:r>
    </w:p>
    <w:p w14:paraId="66FF51BD">
      <w:pPr>
        <w:widowControl/>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2.2.2灭菌时间可调设定范围0-9999min；</w:t>
      </w:r>
    </w:p>
    <w:p w14:paraId="64E51C3B">
      <w:pPr>
        <w:widowControl/>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2.2.3容积：≥50升；</w:t>
      </w:r>
    </w:p>
    <w:p w14:paraId="445064F1">
      <w:pPr>
        <w:widowControl/>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2.2.4电源电压：220V/50Hz；功率：≥3.0KW</w:t>
      </w:r>
    </w:p>
    <w:p w14:paraId="32783AD8">
      <w:pPr>
        <w:widowControl/>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2.2.5内置网篮；</w:t>
      </w:r>
    </w:p>
    <w:p w14:paraId="397360DE">
      <w:pPr>
        <w:widowControl/>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2.2.6设计压力：≥0.23MPa，额定工作压力：≥0.14MPa。</w:t>
      </w:r>
    </w:p>
    <w:p w14:paraId="0864E3FD">
      <w:pPr>
        <w:keepNext w:val="0"/>
        <w:keepLines w:val="0"/>
        <w:pageBreakBefore w:val="0"/>
        <w:widowControl/>
        <w:numPr>
          <w:ilvl w:val="0"/>
          <w:numId w:val="0"/>
        </w:numPr>
        <w:kinsoku/>
        <w:wordWrap/>
        <w:overflowPunct/>
        <w:topLinePunct w:val="0"/>
        <w:bidi w:val="0"/>
        <w:snapToGrid/>
        <w:spacing w:line="360" w:lineRule="auto"/>
        <w:jc w:val="left"/>
        <w:textAlignment w:val="auto"/>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b/>
          <w:bCs/>
          <w:color w:val="auto"/>
          <w:kern w:val="2"/>
          <w:sz w:val="21"/>
          <w:szCs w:val="21"/>
          <w:highlight w:val="none"/>
          <w:lang w:val="en-US" w:eastAsia="zh-CN" w:bidi="ar-SA"/>
        </w:rPr>
        <w:t>3.配置要求</w:t>
      </w:r>
    </w:p>
    <w:p w14:paraId="6712FDD7">
      <w:pPr>
        <w:widowControl w:val="0"/>
        <w:autoSpaceDE w:val="0"/>
        <w:autoSpaceDN w:val="0"/>
        <w:adjustRightInd w:val="0"/>
        <w:spacing w:before="0" w:line="360" w:lineRule="auto"/>
        <w:ind w:left="17" w:hanging="16" w:hangingChars="8"/>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 xml:space="preserve">   立式高压蒸汽灭菌器2套。</w:t>
      </w:r>
    </w:p>
    <w:p w14:paraId="592B1936">
      <w:pPr>
        <w:keepNext w:val="0"/>
        <w:keepLines w:val="0"/>
        <w:pageBreakBefore w:val="0"/>
        <w:widowControl/>
        <w:numPr>
          <w:ilvl w:val="0"/>
          <w:numId w:val="0"/>
        </w:numPr>
        <w:kinsoku/>
        <w:wordWrap/>
        <w:overflowPunct/>
        <w:topLinePunct w:val="0"/>
        <w:bidi w:val="0"/>
        <w:snapToGrid/>
        <w:spacing w:line="360" w:lineRule="auto"/>
        <w:jc w:val="left"/>
        <w:textAlignment w:val="auto"/>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b/>
          <w:bCs/>
          <w:color w:val="auto"/>
          <w:kern w:val="2"/>
          <w:sz w:val="21"/>
          <w:szCs w:val="21"/>
          <w:highlight w:val="none"/>
          <w:lang w:val="en-US" w:eastAsia="zh-CN" w:bidi="ar-SA"/>
        </w:rPr>
        <w:t>4.售后服务要求</w:t>
      </w:r>
    </w:p>
    <w:p w14:paraId="42694811">
      <w:pPr>
        <w:widowControl/>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4.1</w:t>
      </w:r>
      <w:r>
        <w:rPr>
          <w:rFonts w:hint="eastAsia" w:ascii="宋体" w:hAnsi="宋体" w:eastAsia="宋体" w:cs="宋体"/>
          <w:color w:val="auto"/>
          <w:sz w:val="21"/>
          <w:szCs w:val="21"/>
          <w:highlight w:val="none"/>
        </w:rPr>
        <w:t>响应时间：在接到电话或书面通知后4小时内给予答复，紧急问题应在48小时内抵达现场。</w:t>
      </w:r>
    </w:p>
    <w:p w14:paraId="309E01BC">
      <w:pPr>
        <w:widowControl/>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4.2</w:t>
      </w:r>
      <w:r>
        <w:rPr>
          <w:rFonts w:hint="eastAsia" w:ascii="宋体" w:hAnsi="宋体" w:eastAsia="宋体" w:cs="宋体"/>
          <w:color w:val="auto"/>
          <w:sz w:val="21"/>
          <w:szCs w:val="21"/>
          <w:highlight w:val="none"/>
        </w:rPr>
        <w:t xml:space="preserve"> 质量保证期：设备验收合格后，整机质保24个月。</w:t>
      </w:r>
    </w:p>
    <w:p w14:paraId="5A2288FE">
      <w:pPr>
        <w:widowControl/>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4.3</w:t>
      </w:r>
      <w:r>
        <w:rPr>
          <w:rFonts w:hint="eastAsia" w:ascii="宋体" w:hAnsi="宋体" w:eastAsia="宋体" w:cs="宋体"/>
          <w:color w:val="auto"/>
          <w:sz w:val="21"/>
          <w:szCs w:val="21"/>
          <w:highlight w:val="none"/>
        </w:rPr>
        <w:t xml:space="preserve"> 技术服务的范围及内容：</w:t>
      </w:r>
      <w:r>
        <w:rPr>
          <w:rFonts w:hint="eastAsia" w:ascii="宋体" w:hAnsi="宋体" w:eastAsia="宋体" w:cs="宋体"/>
          <w:color w:val="auto"/>
          <w:sz w:val="21"/>
          <w:szCs w:val="21"/>
          <w:highlight w:val="none"/>
          <w:lang w:val="en-US" w:eastAsia="zh-CN"/>
        </w:rPr>
        <w:t>供货商</w:t>
      </w:r>
      <w:r>
        <w:rPr>
          <w:rFonts w:hint="eastAsia" w:ascii="宋体" w:hAnsi="宋体" w:eastAsia="宋体" w:cs="宋体"/>
          <w:color w:val="auto"/>
          <w:sz w:val="21"/>
          <w:szCs w:val="21"/>
          <w:highlight w:val="none"/>
        </w:rPr>
        <w:t>委派技术人员到采购人指定现场，完成设备安装、调试及性能测试工作，直至运行稳定、各项技术指标满足要求并验收合格。</w:t>
      </w:r>
    </w:p>
    <w:p w14:paraId="6C609C59">
      <w:pPr>
        <w:widowControl/>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4.4在质保期内按采购人要求，开展技术培训和支持（含现场培训）</w:t>
      </w:r>
      <w:r>
        <w:rPr>
          <w:rFonts w:hint="eastAsia" w:ascii="宋体" w:hAnsi="宋体" w:eastAsia="宋体" w:cs="宋体"/>
          <w:color w:val="auto"/>
          <w:sz w:val="21"/>
          <w:szCs w:val="21"/>
          <w:highlight w:val="none"/>
        </w:rPr>
        <w:t>。</w:t>
      </w:r>
    </w:p>
    <w:p w14:paraId="6C15003B">
      <w:pPr>
        <w:widowControl/>
        <w:spacing w:line="360" w:lineRule="auto"/>
        <w:ind w:firstLine="420" w:firstLineChars="200"/>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4.5</w:t>
      </w:r>
      <w:r>
        <w:rPr>
          <w:rFonts w:hint="eastAsia" w:ascii="宋体" w:hAnsi="宋体" w:eastAsia="宋体" w:cs="宋体"/>
          <w:color w:val="auto"/>
          <w:sz w:val="21"/>
          <w:szCs w:val="21"/>
          <w:highlight w:val="none"/>
        </w:rPr>
        <w:t xml:space="preserve"> 质保期内，所有故障提供技术服务和维修，包括配套的所有耗材，仪器设备保养维护（一年不少于 2 次）及自校工作等。</w:t>
      </w:r>
    </w:p>
    <w:p w14:paraId="5070C113">
      <w:pPr>
        <w:keepNext w:val="0"/>
        <w:keepLines w:val="0"/>
        <w:pageBreakBefore w:val="0"/>
        <w:widowControl/>
        <w:numPr>
          <w:ilvl w:val="0"/>
          <w:numId w:val="0"/>
        </w:numPr>
        <w:kinsoku/>
        <w:wordWrap/>
        <w:overflowPunct/>
        <w:topLinePunct w:val="0"/>
        <w:bidi w:val="0"/>
        <w:snapToGrid/>
        <w:spacing w:line="360" w:lineRule="auto"/>
        <w:jc w:val="left"/>
        <w:textAlignment w:val="auto"/>
        <w:rPr>
          <w:rFonts w:hint="eastAsia" w:ascii="宋体" w:hAnsi="宋体" w:eastAsia="宋体" w:cs="宋体"/>
          <w:b/>
          <w:bCs/>
          <w:color w:val="auto"/>
          <w:kern w:val="2"/>
          <w:sz w:val="21"/>
          <w:szCs w:val="21"/>
          <w:highlight w:val="none"/>
          <w:lang w:val="en-US" w:eastAsia="zh-CN" w:bidi="ar-SA"/>
        </w:rPr>
      </w:pPr>
      <w:r>
        <w:rPr>
          <w:rFonts w:hint="eastAsia" w:cs="宋体"/>
          <w:b/>
          <w:bCs/>
          <w:color w:val="auto"/>
          <w:kern w:val="2"/>
          <w:sz w:val="21"/>
          <w:szCs w:val="21"/>
          <w:highlight w:val="none"/>
          <w:lang w:val="en-US" w:eastAsia="zh-CN" w:bidi="ar-SA"/>
        </w:rPr>
        <w:t>（十）</w:t>
      </w:r>
      <w:r>
        <w:rPr>
          <w:rFonts w:hint="eastAsia" w:ascii="宋体" w:hAnsi="宋体" w:eastAsia="宋体" w:cs="宋体"/>
          <w:b/>
          <w:bCs/>
          <w:color w:val="auto"/>
          <w:kern w:val="2"/>
          <w:sz w:val="21"/>
          <w:szCs w:val="21"/>
          <w:highlight w:val="none"/>
          <w:lang w:val="en-US" w:eastAsia="zh-CN" w:bidi="ar-SA"/>
        </w:rPr>
        <w:t>CODcr回流消解仪</w:t>
      </w:r>
    </w:p>
    <w:p w14:paraId="78B11DD8">
      <w:pPr>
        <w:keepNext w:val="0"/>
        <w:keepLines w:val="0"/>
        <w:pageBreakBefore w:val="0"/>
        <w:widowControl/>
        <w:numPr>
          <w:ilvl w:val="0"/>
          <w:numId w:val="0"/>
        </w:numPr>
        <w:kinsoku/>
        <w:wordWrap/>
        <w:overflowPunct/>
        <w:topLinePunct w:val="0"/>
        <w:bidi w:val="0"/>
        <w:snapToGrid/>
        <w:spacing w:line="360" w:lineRule="auto"/>
        <w:jc w:val="left"/>
        <w:textAlignment w:val="auto"/>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b/>
          <w:bCs/>
          <w:color w:val="auto"/>
          <w:kern w:val="2"/>
          <w:sz w:val="21"/>
          <w:szCs w:val="21"/>
          <w:highlight w:val="none"/>
          <w:lang w:val="en-US" w:eastAsia="zh-CN" w:bidi="ar-SA"/>
        </w:rPr>
        <w:t>1.采购内容</w:t>
      </w:r>
    </w:p>
    <w:p w14:paraId="1A708E7E">
      <w:pPr>
        <w:spacing w:line="480" w:lineRule="exact"/>
        <w:ind w:firstLine="420" w:firstLineChars="20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采购CODcr回流消解仪2套，用于水质化学需氧量CODcr的自动消解预处理。符合《水质 化学需氧量的测定 重铬酸盐法》(HJ 828—2017）方法要求。</w:t>
      </w:r>
    </w:p>
    <w:p w14:paraId="12B17D2B">
      <w:pPr>
        <w:keepNext w:val="0"/>
        <w:keepLines w:val="0"/>
        <w:pageBreakBefore w:val="0"/>
        <w:widowControl/>
        <w:numPr>
          <w:ilvl w:val="0"/>
          <w:numId w:val="0"/>
        </w:numPr>
        <w:kinsoku/>
        <w:wordWrap/>
        <w:overflowPunct/>
        <w:topLinePunct w:val="0"/>
        <w:bidi w:val="0"/>
        <w:snapToGrid/>
        <w:spacing w:line="360" w:lineRule="auto"/>
        <w:jc w:val="left"/>
        <w:textAlignment w:val="auto"/>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b/>
          <w:bCs/>
          <w:color w:val="auto"/>
          <w:kern w:val="2"/>
          <w:sz w:val="21"/>
          <w:szCs w:val="21"/>
          <w:highlight w:val="none"/>
          <w:lang w:val="en-US" w:eastAsia="zh-CN" w:bidi="ar-SA"/>
        </w:rPr>
        <w:t>2.技术参数要求：</w:t>
      </w:r>
    </w:p>
    <w:p w14:paraId="3CE7A1A8">
      <w:pPr>
        <w:keepNext w:val="0"/>
        <w:keepLines w:val="0"/>
        <w:pageBreakBefore w:val="0"/>
        <w:widowControl/>
        <w:numPr>
          <w:ilvl w:val="0"/>
          <w:numId w:val="0"/>
        </w:numPr>
        <w:kinsoku/>
        <w:wordWrap/>
        <w:overflowPunct/>
        <w:topLinePunct w:val="0"/>
        <w:bidi w:val="0"/>
        <w:snapToGrid/>
        <w:spacing w:line="360" w:lineRule="auto"/>
        <w:ind w:firstLine="422" w:firstLineChars="200"/>
        <w:jc w:val="left"/>
        <w:textAlignment w:val="auto"/>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b/>
          <w:bCs/>
          <w:color w:val="auto"/>
          <w:kern w:val="2"/>
          <w:sz w:val="21"/>
          <w:szCs w:val="21"/>
          <w:highlight w:val="none"/>
          <w:lang w:val="en-US" w:eastAsia="zh-CN" w:bidi="ar-SA"/>
        </w:rPr>
        <w:t xml:space="preserve">2.1基础参数 </w:t>
      </w:r>
    </w:p>
    <w:p w14:paraId="38885CB0">
      <w:pPr>
        <w:widowControl/>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2.1.1能够一键启动，自动计时消解、消解结束自动断电冷却、无需人员值守；</w:t>
      </w:r>
    </w:p>
    <w:p w14:paraId="6FC6DD3F">
      <w:pPr>
        <w:widowControl/>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★2.1.2热源为耐强酸碱腐蚀的微晶防护热源；</w:t>
      </w:r>
    </w:p>
    <w:p w14:paraId="013F46AC">
      <w:pPr>
        <w:widowControl/>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★2.1.3不少于12个样品通道，分区独立控温，保证样品均匀受热；</w:t>
      </w:r>
    </w:p>
    <w:p w14:paraId="1DBE480C">
      <w:pPr>
        <w:widowControl/>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2.1.4具有加酸防护，减少硫酸外溢对整机的腐蚀；</w:t>
      </w:r>
    </w:p>
    <w:p w14:paraId="264D3F93">
      <w:pPr>
        <w:widowControl/>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2.1.5冷凝方式为风冷、水冷双模式，减少环境温度影响冷凝一致性；</w:t>
      </w:r>
    </w:p>
    <w:p w14:paraId="5ADEF1DC">
      <w:pPr>
        <w:widowControl/>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2.1.6回流冷凝管喇叭开口，消解结束便于清洗；</w:t>
      </w:r>
    </w:p>
    <w:p w14:paraId="02B7BB2F">
      <w:pPr>
        <w:keepNext w:val="0"/>
        <w:keepLines w:val="0"/>
        <w:pageBreakBefore w:val="0"/>
        <w:widowControl/>
        <w:numPr>
          <w:ilvl w:val="0"/>
          <w:numId w:val="0"/>
        </w:numPr>
        <w:kinsoku/>
        <w:wordWrap/>
        <w:overflowPunct/>
        <w:topLinePunct w:val="0"/>
        <w:bidi w:val="0"/>
        <w:snapToGrid/>
        <w:spacing w:line="360" w:lineRule="auto"/>
        <w:ind w:firstLine="422" w:firstLineChars="200"/>
        <w:jc w:val="left"/>
        <w:textAlignment w:val="auto"/>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b/>
          <w:bCs/>
          <w:color w:val="auto"/>
          <w:kern w:val="2"/>
          <w:sz w:val="21"/>
          <w:szCs w:val="21"/>
          <w:highlight w:val="none"/>
          <w:lang w:val="en-US" w:eastAsia="zh-CN" w:bidi="ar-SA"/>
        </w:rPr>
        <w:t>2.2参数要求</w:t>
      </w:r>
    </w:p>
    <w:p w14:paraId="6193EE72">
      <w:pPr>
        <w:widowControl/>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2.2.1温度范围：150℃-300℃任设，各区加热温度独立控制；</w:t>
      </w:r>
    </w:p>
    <w:p w14:paraId="4BC4FC38">
      <w:pPr>
        <w:widowControl/>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2.2.2消解瓶：250mL锥形瓶；</w:t>
      </w:r>
    </w:p>
    <w:p w14:paraId="547B48B8">
      <w:pPr>
        <w:widowControl/>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2.2.3时间控制：0-150min可调；</w:t>
      </w:r>
    </w:p>
    <w:p w14:paraId="06A92205">
      <w:pPr>
        <w:widowControl/>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2.2.4升温时间：≤10min；</w:t>
      </w:r>
    </w:p>
    <w:p w14:paraId="71CD913A">
      <w:pPr>
        <w:keepNext w:val="0"/>
        <w:keepLines w:val="0"/>
        <w:pageBreakBefore w:val="0"/>
        <w:widowControl/>
        <w:numPr>
          <w:ilvl w:val="0"/>
          <w:numId w:val="0"/>
        </w:numPr>
        <w:kinsoku/>
        <w:wordWrap/>
        <w:overflowPunct/>
        <w:topLinePunct w:val="0"/>
        <w:bidi w:val="0"/>
        <w:snapToGrid/>
        <w:spacing w:line="360" w:lineRule="auto"/>
        <w:jc w:val="left"/>
        <w:textAlignment w:val="auto"/>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b/>
          <w:bCs/>
          <w:color w:val="auto"/>
          <w:kern w:val="2"/>
          <w:sz w:val="21"/>
          <w:szCs w:val="21"/>
          <w:highlight w:val="none"/>
          <w:lang w:val="en-US" w:eastAsia="zh-CN" w:bidi="ar-SA"/>
        </w:rPr>
        <w:t>3.配置要求</w:t>
      </w:r>
    </w:p>
    <w:p w14:paraId="3038CF65">
      <w:pPr>
        <w:widowControl/>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3.1 消解仪主机2套；</w:t>
      </w:r>
    </w:p>
    <w:p w14:paraId="517520A4">
      <w:pPr>
        <w:widowControl/>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3.2 触摸控制屏幕2套；</w:t>
      </w:r>
    </w:p>
    <w:p w14:paraId="6DFA88F6">
      <w:pPr>
        <w:widowControl/>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3.3 微晶防护加热源2套；</w:t>
      </w:r>
    </w:p>
    <w:p w14:paraId="272D2E86">
      <w:pPr>
        <w:widowControl/>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3.4 冷凝瓶24支；</w:t>
      </w:r>
    </w:p>
    <w:p w14:paraId="5A55ED9D">
      <w:pPr>
        <w:widowControl/>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3.5 消解瓶24支；</w:t>
      </w:r>
    </w:p>
    <w:p w14:paraId="24DDDC6A">
      <w:pPr>
        <w:widowControl/>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3.6 随机附件2套。</w:t>
      </w:r>
    </w:p>
    <w:p w14:paraId="523B59E7">
      <w:pPr>
        <w:keepNext w:val="0"/>
        <w:keepLines w:val="0"/>
        <w:pageBreakBefore w:val="0"/>
        <w:widowControl/>
        <w:numPr>
          <w:ilvl w:val="0"/>
          <w:numId w:val="0"/>
        </w:numPr>
        <w:kinsoku/>
        <w:wordWrap/>
        <w:overflowPunct/>
        <w:topLinePunct w:val="0"/>
        <w:bidi w:val="0"/>
        <w:snapToGrid/>
        <w:spacing w:line="360" w:lineRule="auto"/>
        <w:jc w:val="left"/>
        <w:textAlignment w:val="auto"/>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b/>
          <w:bCs/>
          <w:color w:val="auto"/>
          <w:kern w:val="2"/>
          <w:sz w:val="21"/>
          <w:szCs w:val="21"/>
          <w:highlight w:val="none"/>
          <w:lang w:val="en-US" w:eastAsia="zh-CN" w:bidi="ar-SA"/>
        </w:rPr>
        <w:t>4.售后服务要求</w:t>
      </w:r>
    </w:p>
    <w:p w14:paraId="0FB18610">
      <w:pPr>
        <w:widowControl/>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4.1</w:t>
      </w:r>
      <w:r>
        <w:rPr>
          <w:rFonts w:hint="eastAsia" w:ascii="宋体" w:hAnsi="宋体" w:eastAsia="宋体" w:cs="宋体"/>
          <w:color w:val="auto"/>
          <w:sz w:val="21"/>
          <w:szCs w:val="21"/>
          <w:highlight w:val="none"/>
        </w:rPr>
        <w:t>响应时间：在接到电话或书面通知后4小时内给予答复，紧急问题应在48小时内抵达现场。</w:t>
      </w:r>
    </w:p>
    <w:p w14:paraId="1479B857">
      <w:pPr>
        <w:widowControl/>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4.2</w:t>
      </w:r>
      <w:r>
        <w:rPr>
          <w:rFonts w:hint="eastAsia" w:ascii="宋体" w:hAnsi="宋体" w:eastAsia="宋体" w:cs="宋体"/>
          <w:color w:val="auto"/>
          <w:sz w:val="21"/>
          <w:szCs w:val="21"/>
          <w:highlight w:val="none"/>
        </w:rPr>
        <w:t xml:space="preserve"> 质量保证期：设备验收合格后，整机质保24个月。</w:t>
      </w:r>
    </w:p>
    <w:p w14:paraId="0AEB6E20">
      <w:pPr>
        <w:widowControl/>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4.3</w:t>
      </w:r>
      <w:r>
        <w:rPr>
          <w:rFonts w:hint="eastAsia" w:ascii="宋体" w:hAnsi="宋体" w:eastAsia="宋体" w:cs="宋体"/>
          <w:color w:val="auto"/>
          <w:sz w:val="21"/>
          <w:szCs w:val="21"/>
          <w:highlight w:val="none"/>
        </w:rPr>
        <w:t xml:space="preserve"> 技术服务的范围及内容：</w:t>
      </w:r>
      <w:r>
        <w:rPr>
          <w:rFonts w:hint="eastAsia" w:ascii="宋体" w:hAnsi="宋体" w:eastAsia="宋体" w:cs="宋体"/>
          <w:color w:val="auto"/>
          <w:sz w:val="21"/>
          <w:szCs w:val="21"/>
          <w:highlight w:val="none"/>
          <w:lang w:val="en-US" w:eastAsia="zh-CN"/>
        </w:rPr>
        <w:t>供货商</w:t>
      </w:r>
      <w:r>
        <w:rPr>
          <w:rFonts w:hint="eastAsia" w:ascii="宋体" w:hAnsi="宋体" w:eastAsia="宋体" w:cs="宋体"/>
          <w:color w:val="auto"/>
          <w:sz w:val="21"/>
          <w:szCs w:val="21"/>
          <w:highlight w:val="none"/>
        </w:rPr>
        <w:t>委派技术人员到采购人指定现场，完成设备安装、调试及性能测试工作，直至运行稳定、各项技术指标满足要求并验收合格。</w:t>
      </w:r>
    </w:p>
    <w:p w14:paraId="22E7A3D1">
      <w:pPr>
        <w:widowControl/>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4.4在质保期内按采购人要求，开展技术培训和支持（含现场培训）</w:t>
      </w:r>
      <w:r>
        <w:rPr>
          <w:rFonts w:hint="eastAsia" w:ascii="宋体" w:hAnsi="宋体" w:eastAsia="宋体" w:cs="宋体"/>
          <w:color w:val="auto"/>
          <w:sz w:val="21"/>
          <w:szCs w:val="21"/>
          <w:highlight w:val="none"/>
        </w:rPr>
        <w:t>。</w:t>
      </w:r>
    </w:p>
    <w:p w14:paraId="54F3838D">
      <w:pPr>
        <w:widowControl/>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4.5</w:t>
      </w:r>
      <w:r>
        <w:rPr>
          <w:rFonts w:hint="eastAsia" w:ascii="宋体" w:hAnsi="宋体" w:eastAsia="宋体" w:cs="宋体"/>
          <w:color w:val="auto"/>
          <w:sz w:val="21"/>
          <w:szCs w:val="21"/>
          <w:highlight w:val="none"/>
        </w:rPr>
        <w:t xml:space="preserve"> 质保期内，所有故障提供技术服务和维修，包括配套的所有耗材，仪器设备保养维护（一年不少于 2 次）及自校工作等。</w:t>
      </w:r>
    </w:p>
    <w:p w14:paraId="6118148F">
      <w:pPr>
        <w:keepNext w:val="0"/>
        <w:keepLines w:val="0"/>
        <w:pageBreakBefore w:val="0"/>
        <w:widowControl/>
        <w:numPr>
          <w:ilvl w:val="0"/>
          <w:numId w:val="0"/>
        </w:numPr>
        <w:kinsoku/>
        <w:wordWrap/>
        <w:overflowPunct/>
        <w:topLinePunct w:val="0"/>
        <w:bidi w:val="0"/>
        <w:snapToGrid/>
        <w:spacing w:line="360" w:lineRule="auto"/>
        <w:jc w:val="left"/>
        <w:textAlignment w:val="auto"/>
        <w:rPr>
          <w:rFonts w:hint="eastAsia" w:ascii="宋体" w:hAnsi="宋体" w:eastAsia="宋体" w:cs="宋体"/>
          <w:b/>
          <w:bCs/>
          <w:color w:val="auto"/>
          <w:kern w:val="2"/>
          <w:sz w:val="21"/>
          <w:szCs w:val="21"/>
          <w:highlight w:val="none"/>
          <w:lang w:val="en-US" w:eastAsia="zh-CN" w:bidi="ar-SA"/>
        </w:rPr>
      </w:pPr>
      <w:r>
        <w:rPr>
          <w:rFonts w:hint="eastAsia" w:cs="宋体"/>
          <w:b/>
          <w:bCs/>
          <w:color w:val="auto"/>
          <w:kern w:val="2"/>
          <w:sz w:val="21"/>
          <w:szCs w:val="21"/>
          <w:highlight w:val="none"/>
          <w:lang w:val="en-US" w:eastAsia="zh-CN" w:bidi="ar-SA"/>
        </w:rPr>
        <w:t>（十一）</w:t>
      </w:r>
      <w:r>
        <w:rPr>
          <w:rFonts w:hint="eastAsia" w:ascii="宋体" w:hAnsi="宋体" w:eastAsia="宋体" w:cs="宋体"/>
          <w:b/>
          <w:bCs/>
          <w:color w:val="auto"/>
          <w:kern w:val="2"/>
          <w:sz w:val="21"/>
          <w:szCs w:val="21"/>
          <w:highlight w:val="none"/>
          <w:lang w:val="en-US" w:eastAsia="zh-CN" w:bidi="ar-SA"/>
        </w:rPr>
        <w:t>便携式浊度计</w:t>
      </w:r>
    </w:p>
    <w:p w14:paraId="34897BD2">
      <w:pPr>
        <w:keepNext w:val="0"/>
        <w:keepLines w:val="0"/>
        <w:pageBreakBefore w:val="0"/>
        <w:widowControl/>
        <w:numPr>
          <w:ilvl w:val="0"/>
          <w:numId w:val="0"/>
        </w:numPr>
        <w:kinsoku/>
        <w:wordWrap/>
        <w:overflowPunct/>
        <w:topLinePunct w:val="0"/>
        <w:bidi w:val="0"/>
        <w:snapToGrid/>
        <w:spacing w:line="360" w:lineRule="auto"/>
        <w:jc w:val="left"/>
        <w:textAlignment w:val="auto"/>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b/>
          <w:bCs/>
          <w:color w:val="auto"/>
          <w:kern w:val="2"/>
          <w:sz w:val="21"/>
          <w:szCs w:val="21"/>
          <w:highlight w:val="none"/>
          <w:lang w:val="en-US" w:eastAsia="zh-CN" w:bidi="ar-SA"/>
        </w:rPr>
        <w:t>1.采购内容</w:t>
      </w:r>
    </w:p>
    <w:p w14:paraId="46EB94B8">
      <w:pPr>
        <w:widowControl/>
        <w:numPr>
          <w:ilvl w:val="0"/>
          <w:numId w:val="0"/>
        </w:numPr>
        <w:spacing w:line="400" w:lineRule="exact"/>
        <w:ind w:firstLine="420"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z w:val="21"/>
          <w:szCs w:val="21"/>
          <w:highlight w:val="none"/>
          <w:lang w:val="en-US" w:eastAsia="zh-CN"/>
        </w:rPr>
        <w:t>采购便携式浊度计2套，用于地表水、地下水等水质浊度的测定</w:t>
      </w:r>
      <w:r>
        <w:rPr>
          <w:rFonts w:hint="eastAsia" w:ascii="宋体" w:hAnsi="宋体" w:eastAsia="宋体" w:cs="宋体"/>
          <w:color w:val="auto"/>
          <w:sz w:val="21"/>
          <w:szCs w:val="21"/>
          <w:highlight w:val="none"/>
        </w:rPr>
        <w:t>。</w:t>
      </w:r>
      <w:r>
        <w:rPr>
          <w:rFonts w:hint="eastAsia" w:ascii="宋体" w:hAnsi="宋体" w:eastAsia="宋体" w:cs="宋体"/>
          <w:color w:val="auto"/>
          <w:spacing w:val="-2"/>
          <w:sz w:val="21"/>
          <w:szCs w:val="21"/>
          <w:highlight w:val="none"/>
        </w:rPr>
        <w:t xml:space="preserve"> </w:t>
      </w:r>
    </w:p>
    <w:p w14:paraId="4DAC1A28">
      <w:pPr>
        <w:keepNext w:val="0"/>
        <w:keepLines w:val="0"/>
        <w:pageBreakBefore w:val="0"/>
        <w:widowControl/>
        <w:numPr>
          <w:ilvl w:val="0"/>
          <w:numId w:val="0"/>
        </w:numPr>
        <w:kinsoku/>
        <w:wordWrap/>
        <w:overflowPunct/>
        <w:topLinePunct w:val="0"/>
        <w:bidi w:val="0"/>
        <w:snapToGrid/>
        <w:spacing w:line="360" w:lineRule="auto"/>
        <w:jc w:val="left"/>
        <w:textAlignment w:val="auto"/>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b/>
          <w:bCs/>
          <w:color w:val="auto"/>
          <w:kern w:val="2"/>
          <w:sz w:val="21"/>
          <w:szCs w:val="21"/>
          <w:highlight w:val="none"/>
          <w:lang w:val="en-US" w:eastAsia="zh-CN" w:bidi="ar-SA"/>
        </w:rPr>
        <w:t>2.技术参数要求</w:t>
      </w:r>
    </w:p>
    <w:p w14:paraId="0E73A9D6">
      <w:pPr>
        <w:keepNext w:val="0"/>
        <w:keepLines w:val="0"/>
        <w:pageBreakBefore w:val="0"/>
        <w:widowControl/>
        <w:numPr>
          <w:ilvl w:val="0"/>
          <w:numId w:val="0"/>
        </w:numPr>
        <w:kinsoku/>
        <w:wordWrap/>
        <w:overflowPunct/>
        <w:topLinePunct w:val="0"/>
        <w:bidi w:val="0"/>
        <w:snapToGrid/>
        <w:spacing w:line="360" w:lineRule="auto"/>
        <w:ind w:firstLine="422" w:firstLineChars="200"/>
        <w:jc w:val="left"/>
        <w:textAlignment w:val="auto"/>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b/>
          <w:bCs/>
          <w:color w:val="auto"/>
          <w:kern w:val="2"/>
          <w:sz w:val="21"/>
          <w:szCs w:val="21"/>
          <w:highlight w:val="none"/>
          <w:lang w:val="en-US" w:eastAsia="zh-CN" w:bidi="ar-SA"/>
        </w:rPr>
        <w:t>2.1工作条件</w:t>
      </w:r>
    </w:p>
    <w:p w14:paraId="364B1B68">
      <w:pPr>
        <w:widowControl/>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2.1.1电源要求：110~230 Vac，50/60 Hz (交流电或者USB+电源模块)；4节AA电池；可充电镍氢电池（用于USB+电源模块）；</w:t>
      </w:r>
    </w:p>
    <w:p w14:paraId="4FD74536">
      <w:pPr>
        <w:widowControl/>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2.1.2操作温度：0~50℃；</w:t>
      </w:r>
    </w:p>
    <w:p w14:paraId="19188B32">
      <w:pPr>
        <w:widowControl/>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2.1.3 湿度：非冷凝，0~90%（30℃），0~80%（40℃），0~70%（50℃）。</w:t>
      </w:r>
    </w:p>
    <w:p w14:paraId="3FB311BE">
      <w:pPr>
        <w:keepNext w:val="0"/>
        <w:keepLines w:val="0"/>
        <w:pageBreakBefore w:val="0"/>
        <w:widowControl/>
        <w:numPr>
          <w:ilvl w:val="0"/>
          <w:numId w:val="0"/>
        </w:numPr>
        <w:kinsoku/>
        <w:wordWrap/>
        <w:overflowPunct/>
        <w:topLinePunct w:val="0"/>
        <w:bidi w:val="0"/>
        <w:snapToGrid/>
        <w:spacing w:line="360" w:lineRule="auto"/>
        <w:ind w:firstLine="422" w:firstLineChars="200"/>
        <w:jc w:val="left"/>
        <w:textAlignment w:val="auto"/>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b/>
          <w:bCs/>
          <w:color w:val="auto"/>
          <w:kern w:val="2"/>
          <w:sz w:val="21"/>
          <w:szCs w:val="21"/>
          <w:highlight w:val="none"/>
          <w:lang w:val="en-US" w:eastAsia="zh-CN" w:bidi="ar-SA"/>
        </w:rPr>
        <w:t>2.2技术性能指标：</w:t>
      </w:r>
    </w:p>
    <w:p w14:paraId="171BADE5">
      <w:pPr>
        <w:widowControl/>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2.2.1光源：钨灯；</w:t>
      </w:r>
    </w:p>
    <w:p w14:paraId="257FCEFF">
      <w:pPr>
        <w:widowControl/>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2.2.2检测器：硅光电检测器；</w:t>
      </w:r>
    </w:p>
    <w:p w14:paraId="192E0F7F">
      <w:pPr>
        <w:widowControl/>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2.2.3测量范围：0~1000 NTU；</w:t>
      </w:r>
    </w:p>
    <w:p w14:paraId="481778DD">
      <w:pPr>
        <w:widowControl/>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2.2.4准确度：读数的± 2%+杂散光；</w:t>
      </w:r>
    </w:p>
    <w:p w14:paraId="386A91FE">
      <w:pPr>
        <w:widowControl/>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2.2.5可重复性：读数的± 1%或者±0.01NTU（取较大者）；</w:t>
      </w:r>
    </w:p>
    <w:p w14:paraId="2FC2699A">
      <w:pPr>
        <w:widowControl/>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2.2.6分辨率：在最低测量量程范围时为0.01NTU；</w:t>
      </w:r>
    </w:p>
    <w:p w14:paraId="504A16BB">
      <w:pPr>
        <w:widowControl/>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2.2.7杂散光：≤0.02NTU；</w:t>
      </w:r>
    </w:p>
    <w:p w14:paraId="5197F1F9">
      <w:pPr>
        <w:widowControl/>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★2.2.8具有信号平均功能；</w:t>
      </w:r>
    </w:p>
    <w:p w14:paraId="1F1D1619">
      <w:pPr>
        <w:widowControl/>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★2.2.9双检测器光学系统，可消除色度、光波动、杂散光等的干扰；</w:t>
      </w:r>
    </w:p>
    <w:p w14:paraId="5621FB99">
      <w:pPr>
        <w:widowControl/>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★2.2.10具有屏幕在线帮助指引功能，使校准、验证等更简单；</w:t>
      </w:r>
    </w:p>
    <w:p w14:paraId="209613AB">
      <w:pPr>
        <w:widowControl/>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★2.2.11 USB数据传输，无需软件进行数据下载；</w:t>
      </w:r>
    </w:p>
    <w:p w14:paraId="06F03973">
      <w:pPr>
        <w:widowControl/>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★2.2.12 仪器防护等级：≥IP67。</w:t>
      </w:r>
    </w:p>
    <w:p w14:paraId="20C0804C">
      <w:pPr>
        <w:keepNext w:val="0"/>
        <w:keepLines w:val="0"/>
        <w:pageBreakBefore w:val="0"/>
        <w:widowControl/>
        <w:numPr>
          <w:ilvl w:val="0"/>
          <w:numId w:val="0"/>
        </w:numPr>
        <w:kinsoku/>
        <w:wordWrap/>
        <w:overflowPunct/>
        <w:topLinePunct w:val="0"/>
        <w:bidi w:val="0"/>
        <w:snapToGrid/>
        <w:spacing w:line="360" w:lineRule="auto"/>
        <w:jc w:val="left"/>
        <w:textAlignment w:val="auto"/>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b/>
          <w:bCs/>
          <w:color w:val="auto"/>
          <w:kern w:val="2"/>
          <w:sz w:val="21"/>
          <w:szCs w:val="21"/>
          <w:highlight w:val="none"/>
          <w:lang w:val="en-US" w:eastAsia="zh-CN" w:bidi="ar-SA"/>
        </w:rPr>
        <w:t>3.配置要求：</w:t>
      </w:r>
    </w:p>
    <w:p w14:paraId="39323AEE">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spacing w:val="-2"/>
          <w:sz w:val="21"/>
          <w:szCs w:val="21"/>
          <w:highlight w:val="none"/>
          <w:lang w:val="en-US" w:eastAsia="zh-CN"/>
        </w:rPr>
      </w:pPr>
      <w:r>
        <w:rPr>
          <w:rFonts w:hint="eastAsia" w:ascii="宋体" w:hAnsi="宋体" w:eastAsia="宋体" w:cs="宋体"/>
          <w:bCs/>
          <w:color w:val="auto"/>
          <w:sz w:val="21"/>
          <w:szCs w:val="21"/>
          <w:highlight w:val="none"/>
          <w:lang w:val="en-US" w:eastAsia="zh-CN"/>
        </w:rPr>
        <w:t>3.1</w:t>
      </w:r>
      <w:r>
        <w:rPr>
          <w:rFonts w:hint="eastAsia" w:ascii="宋体" w:hAnsi="宋体" w:eastAsia="宋体" w:cs="宋体"/>
          <w:color w:val="auto"/>
          <w:spacing w:val="-2"/>
          <w:sz w:val="21"/>
          <w:szCs w:val="21"/>
          <w:highlight w:val="none"/>
        </w:rPr>
        <w:t>便携式浊度仪主机</w:t>
      </w:r>
      <w:r>
        <w:rPr>
          <w:rFonts w:hint="eastAsia" w:ascii="宋体" w:hAnsi="宋体" w:eastAsia="宋体" w:cs="宋体"/>
          <w:color w:val="auto"/>
          <w:spacing w:val="-2"/>
          <w:sz w:val="21"/>
          <w:szCs w:val="21"/>
          <w:highlight w:val="none"/>
          <w:lang w:val="en-US" w:eastAsia="zh-CN"/>
        </w:rPr>
        <w:t>2套；</w:t>
      </w:r>
    </w:p>
    <w:p w14:paraId="0C020F4D">
      <w:pPr>
        <w:keepNext w:val="0"/>
        <w:keepLines w:val="0"/>
        <w:pageBreakBefore w:val="0"/>
        <w:widowControl/>
        <w:kinsoku/>
        <w:wordWrap/>
        <w:overflowPunct/>
        <w:topLinePunct w:val="0"/>
        <w:autoSpaceDE/>
        <w:autoSpaceDN/>
        <w:bidi w:val="0"/>
        <w:adjustRightInd/>
        <w:snapToGrid/>
        <w:spacing w:line="400" w:lineRule="exact"/>
        <w:ind w:firstLine="412" w:firstLineChars="200"/>
        <w:textAlignment w:val="auto"/>
        <w:rPr>
          <w:rFonts w:hint="eastAsia" w:ascii="宋体" w:hAnsi="宋体" w:eastAsia="宋体" w:cs="宋体"/>
          <w:color w:val="auto"/>
          <w:spacing w:val="-2"/>
          <w:sz w:val="21"/>
          <w:szCs w:val="21"/>
          <w:highlight w:val="none"/>
          <w:lang w:val="en-US" w:eastAsia="zh-CN"/>
        </w:rPr>
      </w:pPr>
      <w:r>
        <w:rPr>
          <w:rFonts w:hint="eastAsia" w:ascii="宋体" w:hAnsi="宋体" w:eastAsia="宋体" w:cs="宋体"/>
          <w:color w:val="auto"/>
          <w:spacing w:val="-2"/>
          <w:sz w:val="21"/>
          <w:szCs w:val="21"/>
          <w:highlight w:val="none"/>
          <w:lang w:val="en-US" w:eastAsia="zh-CN"/>
        </w:rPr>
        <w:t>3.2 6</w:t>
      </w:r>
      <w:r>
        <w:rPr>
          <w:rFonts w:hint="eastAsia" w:ascii="宋体" w:hAnsi="宋体" w:eastAsia="宋体" w:cs="宋体"/>
          <w:color w:val="auto"/>
          <w:spacing w:val="-2"/>
          <w:sz w:val="21"/>
          <w:szCs w:val="21"/>
          <w:highlight w:val="none"/>
        </w:rPr>
        <w:t>个样品池</w:t>
      </w:r>
      <w:r>
        <w:rPr>
          <w:rFonts w:hint="eastAsia" w:ascii="宋体" w:hAnsi="宋体" w:eastAsia="宋体" w:cs="宋体"/>
          <w:color w:val="auto"/>
          <w:spacing w:val="-2"/>
          <w:sz w:val="21"/>
          <w:szCs w:val="21"/>
          <w:highlight w:val="none"/>
          <w:lang w:val="en-US" w:eastAsia="zh-CN"/>
        </w:rPr>
        <w:t>2套；</w:t>
      </w:r>
    </w:p>
    <w:p w14:paraId="5154022D">
      <w:pPr>
        <w:keepNext w:val="0"/>
        <w:keepLines w:val="0"/>
        <w:pageBreakBefore w:val="0"/>
        <w:widowControl/>
        <w:kinsoku/>
        <w:wordWrap/>
        <w:overflowPunct/>
        <w:topLinePunct w:val="0"/>
        <w:autoSpaceDE/>
        <w:autoSpaceDN/>
        <w:bidi w:val="0"/>
        <w:adjustRightInd/>
        <w:snapToGrid/>
        <w:spacing w:line="400" w:lineRule="exact"/>
        <w:ind w:firstLine="412" w:firstLineChars="200"/>
        <w:textAlignment w:val="auto"/>
        <w:rPr>
          <w:rFonts w:hint="eastAsia" w:ascii="宋体" w:hAnsi="宋体" w:eastAsia="宋体" w:cs="宋体"/>
          <w:color w:val="auto"/>
          <w:spacing w:val="-2"/>
          <w:sz w:val="21"/>
          <w:szCs w:val="21"/>
          <w:highlight w:val="none"/>
          <w:lang w:val="en-US" w:eastAsia="zh-CN"/>
        </w:rPr>
      </w:pPr>
      <w:r>
        <w:rPr>
          <w:rFonts w:hint="eastAsia" w:ascii="宋体" w:hAnsi="宋体" w:eastAsia="宋体" w:cs="宋体"/>
          <w:color w:val="auto"/>
          <w:spacing w:val="-2"/>
          <w:sz w:val="21"/>
          <w:szCs w:val="21"/>
          <w:highlight w:val="none"/>
          <w:lang w:val="en-US" w:eastAsia="zh-CN"/>
        </w:rPr>
        <w:t>3.3不同浓度浊度</w:t>
      </w:r>
      <w:r>
        <w:rPr>
          <w:rFonts w:hint="eastAsia" w:ascii="宋体" w:hAnsi="宋体" w:eastAsia="宋体" w:cs="宋体"/>
          <w:color w:val="auto"/>
          <w:spacing w:val="-2"/>
          <w:sz w:val="21"/>
          <w:szCs w:val="21"/>
          <w:highlight w:val="none"/>
        </w:rPr>
        <w:t>标准液</w:t>
      </w:r>
      <w:r>
        <w:rPr>
          <w:rFonts w:hint="eastAsia" w:ascii="宋体" w:hAnsi="宋体" w:eastAsia="宋体" w:cs="宋体"/>
          <w:color w:val="auto"/>
          <w:spacing w:val="-2"/>
          <w:sz w:val="21"/>
          <w:szCs w:val="21"/>
          <w:highlight w:val="none"/>
          <w:lang w:val="en-US" w:eastAsia="zh-CN"/>
        </w:rPr>
        <w:t>2套；</w:t>
      </w:r>
    </w:p>
    <w:p w14:paraId="48F8C418">
      <w:pPr>
        <w:keepNext w:val="0"/>
        <w:keepLines w:val="0"/>
        <w:pageBreakBefore w:val="0"/>
        <w:widowControl/>
        <w:kinsoku/>
        <w:wordWrap/>
        <w:overflowPunct/>
        <w:topLinePunct w:val="0"/>
        <w:autoSpaceDE/>
        <w:autoSpaceDN/>
        <w:bidi w:val="0"/>
        <w:adjustRightInd/>
        <w:snapToGrid/>
        <w:spacing w:line="400" w:lineRule="exact"/>
        <w:ind w:firstLine="412" w:firstLineChars="200"/>
        <w:textAlignment w:val="auto"/>
        <w:rPr>
          <w:rFonts w:hint="eastAsia" w:ascii="宋体" w:hAnsi="宋体" w:eastAsia="宋体" w:cs="宋体"/>
          <w:bCs/>
          <w:color w:val="auto"/>
          <w:sz w:val="21"/>
          <w:szCs w:val="21"/>
          <w:highlight w:val="none"/>
          <w:lang w:val="en-US" w:eastAsia="zh-CN"/>
        </w:rPr>
      </w:pPr>
      <w:r>
        <w:rPr>
          <w:rFonts w:hint="eastAsia" w:ascii="宋体" w:hAnsi="宋体" w:eastAsia="宋体" w:cs="宋体"/>
          <w:color w:val="auto"/>
          <w:spacing w:val="-2"/>
          <w:sz w:val="21"/>
          <w:szCs w:val="21"/>
          <w:highlight w:val="none"/>
          <w:lang w:val="en-US" w:eastAsia="zh-CN"/>
        </w:rPr>
        <w:t>3.4 低浓度</w:t>
      </w:r>
      <w:r>
        <w:rPr>
          <w:rFonts w:hint="eastAsia" w:ascii="宋体" w:hAnsi="宋体" w:eastAsia="宋体" w:cs="宋体"/>
          <w:color w:val="auto"/>
          <w:spacing w:val="-2"/>
          <w:sz w:val="21"/>
          <w:szCs w:val="21"/>
          <w:highlight w:val="none"/>
        </w:rPr>
        <w:t>验证标准液</w:t>
      </w:r>
      <w:r>
        <w:rPr>
          <w:rFonts w:hint="eastAsia" w:ascii="宋体" w:hAnsi="宋体" w:eastAsia="宋体" w:cs="宋体"/>
          <w:color w:val="auto"/>
          <w:spacing w:val="-2"/>
          <w:sz w:val="21"/>
          <w:szCs w:val="21"/>
          <w:highlight w:val="none"/>
          <w:lang w:val="en-US" w:eastAsia="zh-CN"/>
        </w:rPr>
        <w:t>2套</w:t>
      </w:r>
      <w:r>
        <w:rPr>
          <w:rFonts w:hint="eastAsia" w:ascii="宋体" w:hAnsi="宋体" w:eastAsia="宋体" w:cs="宋体"/>
          <w:color w:val="auto"/>
          <w:spacing w:val="-2"/>
          <w:sz w:val="21"/>
          <w:szCs w:val="21"/>
          <w:highlight w:val="none"/>
          <w:lang w:eastAsia="zh-CN"/>
        </w:rPr>
        <w:t>。</w:t>
      </w:r>
    </w:p>
    <w:p w14:paraId="5259C89D">
      <w:pPr>
        <w:keepNext w:val="0"/>
        <w:keepLines w:val="0"/>
        <w:pageBreakBefore w:val="0"/>
        <w:widowControl/>
        <w:numPr>
          <w:ilvl w:val="0"/>
          <w:numId w:val="0"/>
        </w:numPr>
        <w:kinsoku/>
        <w:wordWrap/>
        <w:overflowPunct/>
        <w:topLinePunct w:val="0"/>
        <w:bidi w:val="0"/>
        <w:snapToGrid/>
        <w:spacing w:line="360" w:lineRule="auto"/>
        <w:jc w:val="left"/>
        <w:textAlignment w:val="auto"/>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b/>
          <w:bCs/>
          <w:color w:val="auto"/>
          <w:kern w:val="2"/>
          <w:sz w:val="21"/>
          <w:szCs w:val="21"/>
          <w:highlight w:val="none"/>
          <w:lang w:val="en-US" w:eastAsia="zh-CN" w:bidi="ar-SA"/>
        </w:rPr>
        <w:t>4.售后服务要求</w:t>
      </w:r>
    </w:p>
    <w:p w14:paraId="4E2C425C">
      <w:pPr>
        <w:widowControl/>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4.1</w:t>
      </w:r>
      <w:r>
        <w:rPr>
          <w:rFonts w:hint="eastAsia" w:ascii="宋体" w:hAnsi="宋体" w:eastAsia="宋体" w:cs="宋体"/>
          <w:color w:val="auto"/>
          <w:sz w:val="21"/>
          <w:szCs w:val="21"/>
          <w:highlight w:val="none"/>
        </w:rPr>
        <w:t>响应时间：在接到电话或书面通知后4小时内给予答复，紧急问题应在48小时内抵达现场。</w:t>
      </w:r>
    </w:p>
    <w:p w14:paraId="6AA04DBB">
      <w:pPr>
        <w:widowControl/>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4.2</w:t>
      </w:r>
      <w:r>
        <w:rPr>
          <w:rFonts w:hint="eastAsia" w:ascii="宋体" w:hAnsi="宋体" w:eastAsia="宋体" w:cs="宋体"/>
          <w:color w:val="auto"/>
          <w:sz w:val="21"/>
          <w:szCs w:val="21"/>
          <w:highlight w:val="none"/>
        </w:rPr>
        <w:t xml:space="preserve"> 质量保证期：设备验收合格后，整机质保24个月。</w:t>
      </w:r>
    </w:p>
    <w:p w14:paraId="752FCE3D">
      <w:pPr>
        <w:widowControl/>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4.3</w:t>
      </w:r>
      <w:r>
        <w:rPr>
          <w:rFonts w:hint="eastAsia" w:ascii="宋体" w:hAnsi="宋体" w:eastAsia="宋体" w:cs="宋体"/>
          <w:color w:val="auto"/>
          <w:sz w:val="21"/>
          <w:szCs w:val="21"/>
          <w:highlight w:val="none"/>
        </w:rPr>
        <w:t xml:space="preserve"> 技术服务的范围及内容：</w:t>
      </w:r>
      <w:r>
        <w:rPr>
          <w:rFonts w:hint="eastAsia" w:ascii="宋体" w:hAnsi="宋体" w:eastAsia="宋体" w:cs="宋体"/>
          <w:color w:val="auto"/>
          <w:sz w:val="21"/>
          <w:szCs w:val="21"/>
          <w:highlight w:val="none"/>
          <w:lang w:val="en-US" w:eastAsia="zh-CN"/>
        </w:rPr>
        <w:t>供货商</w:t>
      </w:r>
      <w:r>
        <w:rPr>
          <w:rFonts w:hint="eastAsia" w:ascii="宋体" w:hAnsi="宋体" w:eastAsia="宋体" w:cs="宋体"/>
          <w:color w:val="auto"/>
          <w:sz w:val="21"/>
          <w:szCs w:val="21"/>
          <w:highlight w:val="none"/>
        </w:rPr>
        <w:t>委派技术人员到采购人指定现场，完成设备安装、调试及性能测试工作，直至运行稳定、各项技术指标满足要求并验收合格。</w:t>
      </w:r>
    </w:p>
    <w:p w14:paraId="2C1E62D9">
      <w:pPr>
        <w:widowControl/>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4.4在质保期内按采购人要求，开展技术培训和支持（含现场培训）</w:t>
      </w:r>
      <w:r>
        <w:rPr>
          <w:rFonts w:hint="eastAsia" w:ascii="宋体" w:hAnsi="宋体" w:eastAsia="宋体" w:cs="宋体"/>
          <w:color w:val="auto"/>
          <w:sz w:val="21"/>
          <w:szCs w:val="21"/>
          <w:highlight w:val="none"/>
        </w:rPr>
        <w:t>。</w:t>
      </w:r>
    </w:p>
    <w:p w14:paraId="606267A6">
      <w:pPr>
        <w:widowControl/>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4.5</w:t>
      </w:r>
      <w:r>
        <w:rPr>
          <w:rFonts w:hint="eastAsia" w:ascii="宋体" w:hAnsi="宋体" w:eastAsia="宋体" w:cs="宋体"/>
          <w:color w:val="auto"/>
          <w:sz w:val="21"/>
          <w:szCs w:val="21"/>
          <w:highlight w:val="none"/>
        </w:rPr>
        <w:t xml:space="preserve"> 质保期内，所有故障提供技术服务和维修，包括配套的所有耗材，仪器设备保养维护（一年不少于 2 次）及自校工作等。</w:t>
      </w:r>
    </w:p>
    <w:p w14:paraId="2417CEFB">
      <w:pPr>
        <w:keepNext w:val="0"/>
        <w:keepLines w:val="0"/>
        <w:pageBreakBefore w:val="0"/>
        <w:widowControl/>
        <w:numPr>
          <w:ilvl w:val="0"/>
          <w:numId w:val="0"/>
        </w:numPr>
        <w:kinsoku/>
        <w:wordWrap/>
        <w:overflowPunct/>
        <w:topLinePunct w:val="0"/>
        <w:bidi w:val="0"/>
        <w:snapToGrid/>
        <w:spacing w:line="360" w:lineRule="auto"/>
        <w:jc w:val="left"/>
        <w:textAlignment w:val="auto"/>
        <w:rPr>
          <w:rFonts w:hint="eastAsia" w:ascii="宋体" w:hAnsi="宋体" w:eastAsia="宋体" w:cs="宋体"/>
          <w:b/>
          <w:bCs/>
          <w:color w:val="auto"/>
          <w:kern w:val="2"/>
          <w:sz w:val="21"/>
          <w:szCs w:val="21"/>
          <w:highlight w:val="none"/>
          <w:lang w:val="en-US" w:eastAsia="zh-CN" w:bidi="ar-SA"/>
        </w:rPr>
      </w:pPr>
      <w:r>
        <w:rPr>
          <w:rFonts w:hint="eastAsia" w:cs="宋体"/>
          <w:b/>
          <w:bCs/>
          <w:color w:val="auto"/>
          <w:kern w:val="2"/>
          <w:sz w:val="21"/>
          <w:szCs w:val="21"/>
          <w:highlight w:val="none"/>
          <w:lang w:val="en-US" w:eastAsia="zh-CN" w:bidi="ar-SA"/>
        </w:rPr>
        <w:t>（十二）</w:t>
      </w:r>
      <w:r>
        <w:rPr>
          <w:rFonts w:hint="eastAsia" w:ascii="宋体" w:hAnsi="宋体" w:eastAsia="宋体" w:cs="宋体"/>
          <w:b/>
          <w:bCs/>
          <w:color w:val="auto"/>
          <w:kern w:val="2"/>
          <w:sz w:val="21"/>
          <w:szCs w:val="21"/>
          <w:highlight w:val="none"/>
          <w:lang w:val="en-US" w:eastAsia="zh-CN" w:bidi="ar-SA"/>
        </w:rPr>
        <w:t>便携式pH测定仪</w:t>
      </w:r>
    </w:p>
    <w:p w14:paraId="6CF55510">
      <w:pPr>
        <w:keepNext w:val="0"/>
        <w:keepLines w:val="0"/>
        <w:pageBreakBefore w:val="0"/>
        <w:widowControl/>
        <w:numPr>
          <w:ilvl w:val="0"/>
          <w:numId w:val="0"/>
        </w:numPr>
        <w:kinsoku/>
        <w:wordWrap/>
        <w:overflowPunct/>
        <w:topLinePunct w:val="0"/>
        <w:bidi w:val="0"/>
        <w:snapToGrid/>
        <w:spacing w:line="360" w:lineRule="auto"/>
        <w:jc w:val="left"/>
        <w:textAlignment w:val="auto"/>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b/>
          <w:bCs/>
          <w:color w:val="auto"/>
          <w:kern w:val="2"/>
          <w:sz w:val="21"/>
          <w:szCs w:val="21"/>
          <w:highlight w:val="none"/>
          <w:lang w:val="en-US" w:eastAsia="zh-CN" w:bidi="ar-SA"/>
        </w:rPr>
        <w:t>1.采购内容</w:t>
      </w:r>
    </w:p>
    <w:p w14:paraId="74F648B2">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12" w:firstLineChars="200"/>
        <w:jc w:val="left"/>
        <w:textAlignment w:val="auto"/>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val="en-US" w:eastAsia="zh-CN"/>
        </w:rPr>
        <w:t>采购便携式pH测定仪2套，用于现场水质中pH值的测定</w:t>
      </w:r>
      <w:r>
        <w:rPr>
          <w:rFonts w:hint="eastAsia" w:ascii="宋体" w:hAnsi="宋体" w:eastAsia="宋体" w:cs="宋体"/>
          <w:color w:val="auto"/>
          <w:spacing w:val="-2"/>
          <w:sz w:val="21"/>
          <w:szCs w:val="21"/>
          <w:highlight w:val="none"/>
        </w:rPr>
        <w:t>。</w:t>
      </w:r>
    </w:p>
    <w:p w14:paraId="759C3F5A">
      <w:pPr>
        <w:keepNext w:val="0"/>
        <w:keepLines w:val="0"/>
        <w:pageBreakBefore w:val="0"/>
        <w:widowControl/>
        <w:numPr>
          <w:ilvl w:val="0"/>
          <w:numId w:val="0"/>
        </w:numPr>
        <w:kinsoku/>
        <w:wordWrap/>
        <w:overflowPunct/>
        <w:topLinePunct w:val="0"/>
        <w:bidi w:val="0"/>
        <w:snapToGrid/>
        <w:spacing w:line="360" w:lineRule="auto"/>
        <w:jc w:val="left"/>
        <w:textAlignment w:val="auto"/>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b/>
          <w:bCs/>
          <w:color w:val="auto"/>
          <w:kern w:val="2"/>
          <w:sz w:val="21"/>
          <w:szCs w:val="21"/>
          <w:highlight w:val="none"/>
          <w:lang w:val="en-US" w:eastAsia="zh-CN" w:bidi="ar-SA"/>
        </w:rPr>
        <w:t>2.技术参数要求</w:t>
      </w:r>
    </w:p>
    <w:p w14:paraId="6BE20202">
      <w:pPr>
        <w:keepNext w:val="0"/>
        <w:keepLines w:val="0"/>
        <w:pageBreakBefore w:val="0"/>
        <w:widowControl/>
        <w:numPr>
          <w:ilvl w:val="0"/>
          <w:numId w:val="0"/>
        </w:numPr>
        <w:kinsoku/>
        <w:wordWrap/>
        <w:overflowPunct/>
        <w:topLinePunct w:val="0"/>
        <w:bidi w:val="0"/>
        <w:snapToGrid/>
        <w:spacing w:line="360" w:lineRule="auto"/>
        <w:ind w:firstLine="422" w:firstLineChars="200"/>
        <w:jc w:val="left"/>
        <w:textAlignment w:val="auto"/>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b/>
          <w:bCs/>
          <w:color w:val="auto"/>
          <w:kern w:val="2"/>
          <w:sz w:val="21"/>
          <w:szCs w:val="21"/>
          <w:highlight w:val="none"/>
          <w:lang w:val="en-US" w:eastAsia="zh-CN" w:bidi="ar-SA"/>
        </w:rPr>
        <w:t>2.1工作条件</w:t>
      </w:r>
    </w:p>
    <w:p w14:paraId="6A4AC23B">
      <w:pPr>
        <w:widowControl/>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 xml:space="preserve">2.1.1电源要求：内置电池供电； </w:t>
      </w:r>
    </w:p>
    <w:p w14:paraId="4B911D36">
      <w:pPr>
        <w:widowControl/>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2.1.2存储温度：–20～60 °C，最高90%相对湿度（无冷凝）；</w:t>
      </w:r>
    </w:p>
    <w:p w14:paraId="280865CE">
      <w:pPr>
        <w:widowControl/>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2.1.3工作温度：0～60 °C；</w:t>
      </w:r>
    </w:p>
    <w:p w14:paraId="448D65A5">
      <w:pPr>
        <w:widowControl/>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2.1.4工作湿度：≤90% (无冷凝)。</w:t>
      </w:r>
    </w:p>
    <w:p w14:paraId="295B6FC8">
      <w:pPr>
        <w:keepNext w:val="0"/>
        <w:keepLines w:val="0"/>
        <w:pageBreakBefore w:val="0"/>
        <w:widowControl/>
        <w:numPr>
          <w:ilvl w:val="0"/>
          <w:numId w:val="0"/>
        </w:numPr>
        <w:kinsoku/>
        <w:wordWrap/>
        <w:overflowPunct/>
        <w:topLinePunct w:val="0"/>
        <w:bidi w:val="0"/>
        <w:snapToGrid/>
        <w:spacing w:line="360" w:lineRule="auto"/>
        <w:ind w:firstLine="422" w:firstLineChars="200"/>
        <w:jc w:val="left"/>
        <w:textAlignment w:val="auto"/>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b/>
          <w:bCs/>
          <w:color w:val="auto"/>
          <w:kern w:val="2"/>
          <w:sz w:val="21"/>
          <w:szCs w:val="21"/>
          <w:highlight w:val="none"/>
          <w:lang w:val="en-US" w:eastAsia="zh-CN" w:bidi="ar-SA"/>
        </w:rPr>
        <w:t>2.2技术性能指标</w:t>
      </w:r>
    </w:p>
    <w:p w14:paraId="3E8D3808">
      <w:pPr>
        <w:widowControl/>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2.2.1显示：可显示1个电极的读数（pH电极：pH、温度）；</w:t>
      </w:r>
    </w:p>
    <w:p w14:paraId="71F0B88A">
      <w:pPr>
        <w:widowControl/>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2.2.2数据内存：不少于5000 组数据；</w:t>
      </w:r>
    </w:p>
    <w:p w14:paraId="451A7A23">
      <w:pPr>
        <w:widowControl/>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2.2.3数据存储：数据稳定后可自动存储数据；</w:t>
      </w:r>
    </w:p>
    <w:p w14:paraId="58E43BC5">
      <w:pPr>
        <w:widowControl/>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2.2.4数据传输：通过USB接口连接到至PC或USB存储设备；</w:t>
      </w:r>
    </w:p>
    <w:p w14:paraId="74CCBAF2">
      <w:pPr>
        <w:widowControl/>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2.2.5温度校正：关闭、自动和手动；</w:t>
      </w:r>
    </w:p>
    <w:p w14:paraId="240FFD5E">
      <w:pPr>
        <w:widowControl/>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★2.2.6外壳防护等级：≥IP67；</w:t>
      </w:r>
    </w:p>
    <w:p w14:paraId="4FA3B722">
      <w:pPr>
        <w:widowControl/>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2.2.7重量：≤600g 。</w:t>
      </w:r>
    </w:p>
    <w:p w14:paraId="3312BC7F">
      <w:pPr>
        <w:keepNext w:val="0"/>
        <w:keepLines w:val="0"/>
        <w:pageBreakBefore w:val="0"/>
        <w:widowControl/>
        <w:numPr>
          <w:ilvl w:val="0"/>
          <w:numId w:val="0"/>
        </w:numPr>
        <w:kinsoku/>
        <w:wordWrap/>
        <w:overflowPunct/>
        <w:topLinePunct w:val="0"/>
        <w:bidi w:val="0"/>
        <w:snapToGrid/>
        <w:spacing w:line="360" w:lineRule="auto"/>
        <w:ind w:firstLine="422" w:firstLineChars="200"/>
        <w:jc w:val="left"/>
        <w:textAlignment w:val="auto"/>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b/>
          <w:bCs/>
          <w:color w:val="auto"/>
          <w:kern w:val="2"/>
          <w:sz w:val="21"/>
          <w:szCs w:val="21"/>
          <w:highlight w:val="none"/>
          <w:lang w:val="en-US" w:eastAsia="zh-CN" w:bidi="ar-SA"/>
        </w:rPr>
        <w:t>2.3电极技术性能指标</w:t>
      </w:r>
    </w:p>
    <w:p w14:paraId="3C4CE806">
      <w:pPr>
        <w:keepNext w:val="0"/>
        <w:keepLines w:val="0"/>
        <w:pageBreakBefore w:val="0"/>
        <w:widowControl/>
        <w:numPr>
          <w:ilvl w:val="0"/>
          <w:numId w:val="0"/>
        </w:numPr>
        <w:kinsoku/>
        <w:wordWrap/>
        <w:overflowPunct/>
        <w:topLinePunct w:val="0"/>
        <w:bidi w:val="0"/>
        <w:snapToGrid/>
        <w:spacing w:line="360" w:lineRule="auto"/>
        <w:ind w:firstLine="422" w:firstLineChars="200"/>
        <w:jc w:val="left"/>
        <w:textAlignment w:val="auto"/>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b/>
          <w:bCs/>
          <w:color w:val="auto"/>
          <w:kern w:val="2"/>
          <w:sz w:val="21"/>
          <w:szCs w:val="21"/>
          <w:highlight w:val="none"/>
          <w:lang w:val="en-US" w:eastAsia="zh-CN" w:bidi="ar-SA"/>
        </w:rPr>
        <w:t>2.3.1温度</w:t>
      </w:r>
    </w:p>
    <w:p w14:paraId="6F736818">
      <w:pPr>
        <w:widowControl/>
        <w:spacing w:line="360" w:lineRule="auto"/>
        <w:ind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量程：-10.0～110.0℃</w:t>
      </w:r>
    </w:p>
    <w:p w14:paraId="7F3E850B">
      <w:pPr>
        <w:widowControl/>
        <w:spacing w:line="360" w:lineRule="auto"/>
        <w:ind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分辨率：0.1℃</w:t>
      </w:r>
    </w:p>
    <w:p w14:paraId="57FD8743">
      <w:pPr>
        <w:widowControl/>
        <w:spacing w:line="360" w:lineRule="auto"/>
        <w:ind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准确度：±0.3℃</w:t>
      </w:r>
    </w:p>
    <w:p w14:paraId="72C39D9D">
      <w:pPr>
        <w:keepNext w:val="0"/>
        <w:keepLines w:val="0"/>
        <w:pageBreakBefore w:val="0"/>
        <w:widowControl/>
        <w:numPr>
          <w:ilvl w:val="0"/>
          <w:numId w:val="0"/>
        </w:numPr>
        <w:kinsoku/>
        <w:wordWrap/>
        <w:overflowPunct/>
        <w:topLinePunct w:val="0"/>
        <w:bidi w:val="0"/>
        <w:snapToGrid/>
        <w:spacing w:line="360" w:lineRule="auto"/>
        <w:ind w:firstLine="422" w:firstLineChars="200"/>
        <w:jc w:val="left"/>
        <w:textAlignment w:val="auto"/>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b/>
          <w:bCs/>
          <w:color w:val="auto"/>
          <w:kern w:val="2"/>
          <w:sz w:val="21"/>
          <w:szCs w:val="21"/>
          <w:highlight w:val="none"/>
          <w:lang w:val="en-US" w:eastAsia="zh-CN" w:bidi="ar-SA"/>
        </w:rPr>
        <w:t>2.3.2 pH电极</w:t>
      </w:r>
    </w:p>
    <w:p w14:paraId="390F5E38">
      <w:pPr>
        <w:keepNext w:val="0"/>
        <w:keepLines w:val="0"/>
        <w:pageBreakBefore w:val="0"/>
        <w:widowControl/>
        <w:numPr>
          <w:ilvl w:val="0"/>
          <w:numId w:val="0"/>
        </w:numPr>
        <w:kinsoku/>
        <w:wordWrap/>
        <w:overflowPunct/>
        <w:topLinePunct w:val="0"/>
        <w:bidi w:val="0"/>
        <w:snapToGrid/>
        <w:spacing w:line="360" w:lineRule="auto"/>
        <w:ind w:firstLine="412" w:firstLineChars="200"/>
        <w:jc w:val="left"/>
        <w:textAlignment w:val="auto"/>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量程：0～14</w:t>
      </w:r>
    </w:p>
    <w:p w14:paraId="062B42C9">
      <w:pPr>
        <w:keepNext w:val="0"/>
        <w:keepLines w:val="0"/>
        <w:pageBreakBefore w:val="0"/>
        <w:widowControl/>
        <w:numPr>
          <w:ilvl w:val="0"/>
          <w:numId w:val="0"/>
        </w:numPr>
        <w:kinsoku/>
        <w:wordWrap/>
        <w:overflowPunct/>
        <w:topLinePunct w:val="0"/>
        <w:bidi w:val="0"/>
        <w:snapToGrid/>
        <w:spacing w:line="360" w:lineRule="auto"/>
        <w:ind w:firstLine="412" w:firstLineChars="200"/>
        <w:jc w:val="left"/>
        <w:textAlignment w:val="auto"/>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分辨率：0.1/0.01/0.001可选</w:t>
      </w:r>
    </w:p>
    <w:p w14:paraId="3BE67B2B">
      <w:pPr>
        <w:keepNext w:val="0"/>
        <w:keepLines w:val="0"/>
        <w:pageBreakBefore w:val="0"/>
        <w:widowControl/>
        <w:numPr>
          <w:ilvl w:val="0"/>
          <w:numId w:val="0"/>
        </w:numPr>
        <w:kinsoku/>
        <w:wordWrap/>
        <w:overflowPunct/>
        <w:topLinePunct w:val="0"/>
        <w:bidi w:val="0"/>
        <w:snapToGrid/>
        <w:spacing w:line="360" w:lineRule="auto"/>
        <w:ind w:firstLine="420" w:firstLineChars="200"/>
        <w:jc w:val="left"/>
        <w:textAlignment w:val="auto"/>
        <w:rPr>
          <w:rFonts w:hint="eastAsia" w:ascii="宋体" w:hAnsi="宋体" w:eastAsia="宋体" w:cs="宋体"/>
          <w:bCs/>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color w:val="auto"/>
          <w:spacing w:val="-2"/>
          <w:sz w:val="21"/>
          <w:szCs w:val="21"/>
          <w:highlight w:val="none"/>
        </w:rPr>
        <w:t>精度：</w:t>
      </w:r>
      <w:r>
        <w:rPr>
          <w:rFonts w:hint="eastAsia" w:ascii="宋体" w:hAnsi="宋体" w:eastAsia="宋体" w:cs="宋体"/>
          <w:color w:val="auto"/>
          <w:spacing w:val="-2"/>
          <w:sz w:val="21"/>
          <w:szCs w:val="21"/>
          <w:highlight w:val="none"/>
          <w:lang w:val="en-US" w:eastAsia="zh-CN"/>
        </w:rPr>
        <w:t>±</w:t>
      </w:r>
      <w:r>
        <w:rPr>
          <w:rFonts w:hint="eastAsia" w:ascii="宋体" w:hAnsi="宋体" w:eastAsia="宋体" w:cs="宋体"/>
          <w:color w:val="auto"/>
          <w:spacing w:val="-2"/>
          <w:sz w:val="21"/>
          <w:szCs w:val="21"/>
          <w:highlight w:val="none"/>
        </w:rPr>
        <w:t>0.02</w:t>
      </w:r>
      <w:r>
        <w:rPr>
          <w:rFonts w:hint="eastAsia" w:ascii="宋体" w:hAnsi="宋体" w:eastAsia="宋体" w:cs="宋体"/>
          <w:bCs/>
          <w:color w:val="auto"/>
          <w:sz w:val="21"/>
          <w:szCs w:val="21"/>
          <w:highlight w:val="none"/>
        </w:rPr>
        <w:t xml:space="preserve"> </w:t>
      </w:r>
    </w:p>
    <w:p w14:paraId="6FA80D33">
      <w:pPr>
        <w:keepNext w:val="0"/>
        <w:keepLines w:val="0"/>
        <w:pageBreakBefore w:val="0"/>
        <w:widowControl/>
        <w:numPr>
          <w:ilvl w:val="0"/>
          <w:numId w:val="0"/>
        </w:numPr>
        <w:kinsoku/>
        <w:wordWrap/>
        <w:overflowPunct/>
        <w:topLinePunct w:val="0"/>
        <w:bidi w:val="0"/>
        <w:snapToGrid/>
        <w:spacing w:line="360" w:lineRule="auto"/>
        <w:jc w:val="left"/>
        <w:textAlignment w:val="auto"/>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b/>
          <w:bCs/>
          <w:color w:val="auto"/>
          <w:kern w:val="2"/>
          <w:sz w:val="21"/>
          <w:szCs w:val="21"/>
          <w:highlight w:val="none"/>
          <w:lang w:val="en-US" w:eastAsia="zh-CN" w:bidi="ar-SA"/>
        </w:rPr>
        <w:t>3.配置要求</w:t>
      </w:r>
    </w:p>
    <w:p w14:paraId="53C71FC8">
      <w:pPr>
        <w:widowControl/>
        <w:spacing w:line="360" w:lineRule="auto"/>
        <w:ind w:firstLine="420" w:firstLineChars="200"/>
        <w:rPr>
          <w:rFonts w:hint="eastAsia" w:ascii="宋体" w:hAnsi="宋体" w:eastAsia="宋体" w:cs="宋体"/>
          <w:color w:val="auto"/>
          <w:sz w:val="21"/>
          <w:szCs w:val="21"/>
          <w:highlight w:val="none"/>
          <w:lang w:val="en-US" w:eastAsia="zh-CN"/>
        </w:rPr>
      </w:pPr>
      <w:bookmarkStart w:id="719" w:name="_Hlk64970512"/>
      <w:r>
        <w:rPr>
          <w:rFonts w:hint="eastAsia" w:ascii="宋体" w:hAnsi="宋体" w:eastAsia="宋体" w:cs="宋体"/>
          <w:color w:val="auto"/>
          <w:sz w:val="21"/>
          <w:szCs w:val="21"/>
          <w:highlight w:val="none"/>
          <w:lang w:val="en-US" w:eastAsia="zh-CN"/>
        </w:rPr>
        <w:t>3.1 pH主机2套</w:t>
      </w:r>
    </w:p>
    <w:p w14:paraId="05EC329C">
      <w:pPr>
        <w:widowControl/>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3.2 pH复合</w:t>
      </w:r>
      <w:r>
        <w:rPr>
          <w:rFonts w:hint="eastAsia" w:ascii="宋体" w:hAnsi="宋体" w:eastAsia="宋体" w:cs="宋体"/>
          <w:color w:val="auto"/>
          <w:sz w:val="21"/>
          <w:szCs w:val="21"/>
          <w:highlight w:val="none"/>
          <w:lang w:val="fr-FR" w:eastAsia="zh-CN"/>
        </w:rPr>
        <w:t>电极</w:t>
      </w:r>
      <w:r>
        <w:rPr>
          <w:rFonts w:hint="eastAsia" w:ascii="宋体" w:hAnsi="宋体" w:eastAsia="宋体" w:cs="宋体"/>
          <w:color w:val="auto"/>
          <w:sz w:val="21"/>
          <w:szCs w:val="21"/>
          <w:highlight w:val="none"/>
          <w:lang w:val="en-US" w:eastAsia="zh-CN"/>
        </w:rPr>
        <w:t>2套；</w:t>
      </w:r>
    </w:p>
    <w:bookmarkEnd w:id="719"/>
    <w:p w14:paraId="3095EA2B">
      <w:pPr>
        <w:widowControl/>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lang w:val="fr-FR" w:eastAsia="zh-CN"/>
        </w:rPr>
        <w:t>.</w:t>
      </w:r>
      <w:r>
        <w:rPr>
          <w:rFonts w:hint="eastAsia" w:ascii="宋体" w:hAnsi="宋体" w:eastAsia="宋体" w:cs="宋体"/>
          <w:color w:val="auto"/>
          <w:sz w:val="21"/>
          <w:szCs w:val="21"/>
          <w:highlight w:val="none"/>
          <w:lang w:val="en-US" w:eastAsia="zh-CN"/>
        </w:rPr>
        <w:t>3 系列</w:t>
      </w:r>
      <w:r>
        <w:rPr>
          <w:rFonts w:hint="eastAsia" w:ascii="宋体" w:hAnsi="宋体" w:eastAsia="宋体" w:cs="宋体"/>
          <w:color w:val="auto"/>
          <w:sz w:val="21"/>
          <w:szCs w:val="21"/>
          <w:highlight w:val="none"/>
          <w:lang w:val="fr-FR" w:eastAsia="zh-CN"/>
        </w:rPr>
        <w:t xml:space="preserve">pH </w:t>
      </w:r>
      <w:r>
        <w:rPr>
          <w:rFonts w:hint="eastAsia" w:ascii="宋体" w:hAnsi="宋体" w:eastAsia="宋体" w:cs="宋体"/>
          <w:color w:val="auto"/>
          <w:sz w:val="21"/>
          <w:szCs w:val="21"/>
          <w:highlight w:val="none"/>
          <w:lang w:val="en-US" w:eastAsia="zh-CN"/>
        </w:rPr>
        <w:t>电极校准标准液2套</w:t>
      </w:r>
    </w:p>
    <w:p w14:paraId="6D2DC740">
      <w:pPr>
        <w:keepNext w:val="0"/>
        <w:keepLines w:val="0"/>
        <w:pageBreakBefore w:val="0"/>
        <w:widowControl/>
        <w:numPr>
          <w:ilvl w:val="0"/>
          <w:numId w:val="0"/>
        </w:numPr>
        <w:kinsoku/>
        <w:wordWrap/>
        <w:overflowPunct/>
        <w:topLinePunct w:val="0"/>
        <w:bidi w:val="0"/>
        <w:snapToGrid/>
        <w:spacing w:line="360" w:lineRule="auto"/>
        <w:jc w:val="left"/>
        <w:textAlignment w:val="auto"/>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b/>
          <w:bCs/>
          <w:color w:val="auto"/>
          <w:kern w:val="2"/>
          <w:sz w:val="21"/>
          <w:szCs w:val="21"/>
          <w:highlight w:val="none"/>
          <w:lang w:val="en-US" w:eastAsia="zh-CN" w:bidi="ar-SA"/>
        </w:rPr>
        <w:t>4.售后服务要求</w:t>
      </w:r>
    </w:p>
    <w:p w14:paraId="778DA599">
      <w:pPr>
        <w:widowControl/>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4.1</w:t>
      </w:r>
      <w:r>
        <w:rPr>
          <w:rFonts w:hint="eastAsia" w:ascii="宋体" w:hAnsi="宋体" w:eastAsia="宋体" w:cs="宋体"/>
          <w:color w:val="auto"/>
          <w:sz w:val="21"/>
          <w:szCs w:val="21"/>
          <w:highlight w:val="none"/>
        </w:rPr>
        <w:t>响应时间：在接到电话或书面通知后4小时内给予答复，紧急问题应在48小时内抵达现场。</w:t>
      </w:r>
    </w:p>
    <w:p w14:paraId="22605B43">
      <w:pPr>
        <w:widowControl/>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4.2</w:t>
      </w:r>
      <w:r>
        <w:rPr>
          <w:rFonts w:hint="eastAsia" w:ascii="宋体" w:hAnsi="宋体" w:eastAsia="宋体" w:cs="宋体"/>
          <w:color w:val="auto"/>
          <w:sz w:val="21"/>
          <w:szCs w:val="21"/>
          <w:highlight w:val="none"/>
        </w:rPr>
        <w:t xml:space="preserve"> 质量保证期：设备验收合格后，整机质保24个月。</w:t>
      </w:r>
    </w:p>
    <w:p w14:paraId="2395AE8C">
      <w:pPr>
        <w:widowControl/>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4.3</w:t>
      </w:r>
      <w:r>
        <w:rPr>
          <w:rFonts w:hint="eastAsia" w:ascii="宋体" w:hAnsi="宋体" w:eastAsia="宋体" w:cs="宋体"/>
          <w:color w:val="auto"/>
          <w:sz w:val="21"/>
          <w:szCs w:val="21"/>
          <w:highlight w:val="none"/>
        </w:rPr>
        <w:t xml:space="preserve"> 技术服务的范围及内容：</w:t>
      </w:r>
      <w:r>
        <w:rPr>
          <w:rFonts w:hint="eastAsia" w:ascii="宋体" w:hAnsi="宋体" w:eastAsia="宋体" w:cs="宋体"/>
          <w:color w:val="auto"/>
          <w:sz w:val="21"/>
          <w:szCs w:val="21"/>
          <w:highlight w:val="none"/>
          <w:lang w:val="en-US" w:eastAsia="zh-CN"/>
        </w:rPr>
        <w:t>供货商</w:t>
      </w:r>
      <w:r>
        <w:rPr>
          <w:rFonts w:hint="eastAsia" w:ascii="宋体" w:hAnsi="宋体" w:eastAsia="宋体" w:cs="宋体"/>
          <w:color w:val="auto"/>
          <w:sz w:val="21"/>
          <w:szCs w:val="21"/>
          <w:highlight w:val="none"/>
        </w:rPr>
        <w:t>委派技术人员到采购人指定现场，完成设备安装、调试及性能测试工作，直至运行稳定、各项技术指标满足要求并验收合格。</w:t>
      </w:r>
    </w:p>
    <w:p w14:paraId="4555D278">
      <w:pPr>
        <w:widowControl/>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4.4在质保期内按采购人要求，开展技术培训和支持（含现场培训）</w:t>
      </w:r>
      <w:r>
        <w:rPr>
          <w:rFonts w:hint="eastAsia" w:ascii="宋体" w:hAnsi="宋体" w:eastAsia="宋体" w:cs="宋体"/>
          <w:color w:val="auto"/>
          <w:sz w:val="21"/>
          <w:szCs w:val="21"/>
          <w:highlight w:val="none"/>
        </w:rPr>
        <w:t>。</w:t>
      </w:r>
    </w:p>
    <w:p w14:paraId="1C317122">
      <w:pPr>
        <w:widowControl/>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4.5</w:t>
      </w:r>
      <w:r>
        <w:rPr>
          <w:rFonts w:hint="eastAsia" w:ascii="宋体" w:hAnsi="宋体" w:eastAsia="宋体" w:cs="宋体"/>
          <w:color w:val="auto"/>
          <w:sz w:val="21"/>
          <w:szCs w:val="21"/>
          <w:highlight w:val="none"/>
        </w:rPr>
        <w:t xml:space="preserve"> 质保期内，所有故障提供技术服务和维修，包括配套的所有耗材，仪器设备保养维护（一年不少于 2 次）及自校工作等。</w:t>
      </w:r>
    </w:p>
    <w:p w14:paraId="0DA57F75">
      <w:pPr>
        <w:keepNext w:val="0"/>
        <w:keepLines w:val="0"/>
        <w:pageBreakBefore w:val="0"/>
        <w:widowControl/>
        <w:numPr>
          <w:ilvl w:val="0"/>
          <w:numId w:val="0"/>
        </w:numPr>
        <w:kinsoku/>
        <w:wordWrap/>
        <w:overflowPunct/>
        <w:topLinePunct w:val="0"/>
        <w:bidi w:val="0"/>
        <w:snapToGrid/>
        <w:spacing w:line="360" w:lineRule="auto"/>
        <w:jc w:val="left"/>
        <w:textAlignment w:val="auto"/>
        <w:rPr>
          <w:rFonts w:hint="eastAsia" w:ascii="宋体" w:hAnsi="宋体" w:eastAsia="宋体" w:cs="宋体"/>
          <w:b/>
          <w:bCs/>
          <w:color w:val="auto"/>
          <w:kern w:val="2"/>
          <w:sz w:val="21"/>
          <w:szCs w:val="21"/>
          <w:highlight w:val="none"/>
          <w:lang w:val="en-US" w:eastAsia="zh-CN" w:bidi="ar-SA"/>
        </w:rPr>
      </w:pPr>
      <w:r>
        <w:rPr>
          <w:rFonts w:hint="eastAsia" w:cs="宋体"/>
          <w:b/>
          <w:bCs/>
          <w:color w:val="auto"/>
          <w:kern w:val="2"/>
          <w:sz w:val="21"/>
          <w:szCs w:val="21"/>
          <w:highlight w:val="none"/>
          <w:lang w:val="en-US" w:eastAsia="zh-CN" w:bidi="ar-SA"/>
        </w:rPr>
        <w:t>（十三）</w:t>
      </w:r>
      <w:r>
        <w:rPr>
          <w:rFonts w:hint="eastAsia" w:ascii="宋体" w:hAnsi="宋体" w:eastAsia="宋体" w:cs="宋体"/>
          <w:b/>
          <w:bCs/>
          <w:color w:val="auto"/>
          <w:kern w:val="2"/>
          <w:sz w:val="21"/>
          <w:szCs w:val="21"/>
          <w:highlight w:val="none"/>
          <w:lang w:val="en-US" w:eastAsia="zh-CN" w:bidi="ar-SA"/>
        </w:rPr>
        <w:t>便携式溶解氧测定仪</w:t>
      </w:r>
    </w:p>
    <w:p w14:paraId="0B06ACD8">
      <w:pPr>
        <w:keepNext w:val="0"/>
        <w:keepLines w:val="0"/>
        <w:pageBreakBefore w:val="0"/>
        <w:widowControl/>
        <w:numPr>
          <w:ilvl w:val="0"/>
          <w:numId w:val="0"/>
        </w:numPr>
        <w:kinsoku/>
        <w:wordWrap/>
        <w:overflowPunct/>
        <w:topLinePunct w:val="0"/>
        <w:bidi w:val="0"/>
        <w:snapToGrid/>
        <w:spacing w:line="360" w:lineRule="auto"/>
        <w:jc w:val="left"/>
        <w:textAlignment w:val="auto"/>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b/>
          <w:bCs/>
          <w:color w:val="auto"/>
          <w:kern w:val="2"/>
          <w:sz w:val="21"/>
          <w:szCs w:val="21"/>
          <w:highlight w:val="none"/>
          <w:lang w:val="en-US" w:eastAsia="zh-CN" w:bidi="ar-SA"/>
        </w:rPr>
        <w:t>1.采购内容</w:t>
      </w:r>
    </w:p>
    <w:p w14:paraId="3924AAB3">
      <w:pPr>
        <w:widowControl/>
        <w:spacing w:line="360" w:lineRule="auto"/>
        <w:ind w:firstLine="412" w:firstLineChars="200"/>
        <w:jc w:val="both"/>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val="en-US" w:eastAsia="zh-CN"/>
        </w:rPr>
        <w:t>采购</w:t>
      </w:r>
      <w:r>
        <w:rPr>
          <w:rFonts w:hint="eastAsia" w:ascii="宋体" w:hAnsi="宋体" w:eastAsia="宋体" w:cs="宋体"/>
          <w:color w:val="auto"/>
          <w:sz w:val="21"/>
          <w:szCs w:val="21"/>
          <w:highlight w:val="none"/>
          <w:lang w:val="en-US" w:eastAsia="zh-CN"/>
        </w:rPr>
        <w:t>便携式溶解氧测定仪</w:t>
      </w:r>
      <w:r>
        <w:rPr>
          <w:rFonts w:hint="eastAsia" w:ascii="宋体" w:hAnsi="宋体" w:eastAsia="宋体" w:cs="宋体"/>
          <w:color w:val="auto"/>
          <w:spacing w:val="-2"/>
          <w:sz w:val="21"/>
          <w:szCs w:val="21"/>
          <w:highlight w:val="none"/>
          <w:lang w:val="en-US" w:eastAsia="zh-CN"/>
        </w:rPr>
        <w:t>2套，用于现场水质中溶解氧的测定</w:t>
      </w:r>
      <w:r>
        <w:rPr>
          <w:rFonts w:hint="eastAsia" w:ascii="宋体" w:hAnsi="宋体" w:eastAsia="宋体" w:cs="宋体"/>
          <w:color w:val="auto"/>
          <w:spacing w:val="-2"/>
          <w:sz w:val="21"/>
          <w:szCs w:val="21"/>
          <w:highlight w:val="none"/>
        </w:rPr>
        <w:t>。</w:t>
      </w:r>
    </w:p>
    <w:p w14:paraId="06E870E7">
      <w:pPr>
        <w:keepNext w:val="0"/>
        <w:keepLines w:val="0"/>
        <w:pageBreakBefore w:val="0"/>
        <w:widowControl/>
        <w:numPr>
          <w:ilvl w:val="0"/>
          <w:numId w:val="0"/>
        </w:numPr>
        <w:kinsoku/>
        <w:wordWrap/>
        <w:overflowPunct/>
        <w:topLinePunct w:val="0"/>
        <w:bidi w:val="0"/>
        <w:snapToGrid/>
        <w:spacing w:line="360" w:lineRule="auto"/>
        <w:jc w:val="left"/>
        <w:textAlignment w:val="auto"/>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b/>
          <w:bCs/>
          <w:color w:val="auto"/>
          <w:kern w:val="2"/>
          <w:sz w:val="21"/>
          <w:szCs w:val="21"/>
          <w:highlight w:val="none"/>
          <w:lang w:val="en-US" w:eastAsia="zh-CN" w:bidi="ar-SA"/>
        </w:rPr>
        <w:t>2.技术参数要求</w:t>
      </w:r>
    </w:p>
    <w:p w14:paraId="3ADEAB07">
      <w:pPr>
        <w:keepNext w:val="0"/>
        <w:keepLines w:val="0"/>
        <w:pageBreakBefore w:val="0"/>
        <w:widowControl/>
        <w:numPr>
          <w:ilvl w:val="0"/>
          <w:numId w:val="0"/>
        </w:numPr>
        <w:kinsoku/>
        <w:wordWrap/>
        <w:overflowPunct/>
        <w:topLinePunct w:val="0"/>
        <w:bidi w:val="0"/>
        <w:snapToGrid/>
        <w:spacing w:line="360" w:lineRule="auto"/>
        <w:ind w:firstLine="422" w:firstLineChars="200"/>
        <w:jc w:val="left"/>
        <w:textAlignment w:val="auto"/>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b/>
          <w:bCs/>
          <w:color w:val="auto"/>
          <w:kern w:val="2"/>
          <w:sz w:val="21"/>
          <w:szCs w:val="21"/>
          <w:highlight w:val="none"/>
          <w:lang w:val="en-US" w:eastAsia="zh-CN" w:bidi="ar-SA"/>
        </w:rPr>
        <w:t>2.1 工作条件</w:t>
      </w:r>
    </w:p>
    <w:p w14:paraId="5033BCF5">
      <w:pPr>
        <w:widowControl/>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 xml:space="preserve">2.1.1电源要求 ：内置电池供电； </w:t>
      </w:r>
    </w:p>
    <w:p w14:paraId="31B41559">
      <w:pPr>
        <w:widowControl/>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2.1.2存储温度： –20 ～ 60 °C，最高90%相对湿度（无冷凝）；</w:t>
      </w:r>
    </w:p>
    <w:p w14:paraId="6A3026AC">
      <w:pPr>
        <w:widowControl/>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2.1.3工作温度： 0 ～ 60 °C；</w:t>
      </w:r>
    </w:p>
    <w:p w14:paraId="1D26B0DD">
      <w:pPr>
        <w:widowControl/>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2.1.4工作湿度： ≤90% (无冷凝)</w:t>
      </w:r>
    </w:p>
    <w:p w14:paraId="6757C92B">
      <w:pPr>
        <w:keepNext w:val="0"/>
        <w:keepLines w:val="0"/>
        <w:pageBreakBefore w:val="0"/>
        <w:widowControl/>
        <w:numPr>
          <w:ilvl w:val="0"/>
          <w:numId w:val="0"/>
        </w:numPr>
        <w:kinsoku/>
        <w:wordWrap/>
        <w:overflowPunct/>
        <w:topLinePunct w:val="0"/>
        <w:bidi w:val="0"/>
        <w:snapToGrid/>
        <w:spacing w:line="360" w:lineRule="auto"/>
        <w:ind w:firstLine="422" w:firstLineChars="200"/>
        <w:jc w:val="left"/>
        <w:textAlignment w:val="auto"/>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b/>
          <w:bCs/>
          <w:color w:val="auto"/>
          <w:kern w:val="2"/>
          <w:sz w:val="21"/>
          <w:szCs w:val="21"/>
          <w:highlight w:val="none"/>
          <w:lang w:val="en-US" w:eastAsia="zh-CN" w:bidi="ar-SA"/>
        </w:rPr>
        <w:t>2.2技术性能指标</w:t>
      </w:r>
    </w:p>
    <w:p w14:paraId="75CC7B78">
      <w:pPr>
        <w:widowControl/>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2.2.1显示：可显示1个电极的读数</w:t>
      </w:r>
    </w:p>
    <w:p w14:paraId="54C0A370">
      <w:pPr>
        <w:widowControl/>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（1）溶解氧电极：溶解氧、温度；</w:t>
      </w:r>
    </w:p>
    <w:p w14:paraId="227B77D9">
      <w:pPr>
        <w:widowControl/>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2.2.2 数据内存： 不少于5000 组数据；</w:t>
      </w:r>
    </w:p>
    <w:p w14:paraId="6FEDAB76">
      <w:pPr>
        <w:widowControl/>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2.2.3 数据传输：通过USB接口连接到至PC或USB存储设备；</w:t>
      </w:r>
    </w:p>
    <w:p w14:paraId="215191A9">
      <w:pPr>
        <w:widowControl/>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★2.2.4外壳防护等级：≥IP67；</w:t>
      </w:r>
    </w:p>
    <w:p w14:paraId="3D45EACB">
      <w:pPr>
        <w:widowControl/>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2.2.5 重量：≤600g</w:t>
      </w:r>
    </w:p>
    <w:p w14:paraId="406F9DB9">
      <w:pPr>
        <w:keepNext w:val="0"/>
        <w:keepLines w:val="0"/>
        <w:pageBreakBefore w:val="0"/>
        <w:widowControl/>
        <w:numPr>
          <w:ilvl w:val="0"/>
          <w:numId w:val="0"/>
        </w:numPr>
        <w:kinsoku/>
        <w:wordWrap/>
        <w:overflowPunct/>
        <w:topLinePunct w:val="0"/>
        <w:bidi w:val="0"/>
        <w:snapToGrid/>
        <w:spacing w:line="360" w:lineRule="auto"/>
        <w:ind w:firstLine="422" w:firstLineChars="200"/>
        <w:jc w:val="left"/>
        <w:textAlignment w:val="auto"/>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b/>
          <w:bCs/>
          <w:color w:val="auto"/>
          <w:kern w:val="2"/>
          <w:sz w:val="21"/>
          <w:szCs w:val="21"/>
          <w:highlight w:val="none"/>
          <w:lang w:val="en-US" w:eastAsia="zh-CN" w:bidi="ar-SA"/>
        </w:rPr>
        <w:t>2.3 溶解氧电极技术性能指标</w:t>
      </w:r>
    </w:p>
    <w:p w14:paraId="5B082420">
      <w:pPr>
        <w:keepNext w:val="0"/>
        <w:keepLines w:val="0"/>
        <w:pageBreakBefore w:val="0"/>
        <w:widowControl/>
        <w:numPr>
          <w:ilvl w:val="0"/>
          <w:numId w:val="0"/>
        </w:numPr>
        <w:kinsoku/>
        <w:wordWrap/>
        <w:overflowPunct/>
        <w:topLinePunct w:val="0"/>
        <w:bidi w:val="0"/>
        <w:snapToGrid/>
        <w:spacing w:line="360" w:lineRule="auto"/>
        <w:ind w:firstLine="422" w:firstLineChars="200"/>
        <w:jc w:val="left"/>
        <w:textAlignment w:val="auto"/>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b/>
          <w:bCs/>
          <w:color w:val="auto"/>
          <w:kern w:val="2"/>
          <w:sz w:val="21"/>
          <w:szCs w:val="21"/>
          <w:highlight w:val="none"/>
          <w:lang w:val="en-US" w:eastAsia="zh-CN" w:bidi="ar-SA"/>
        </w:rPr>
        <w:t>2.3.1温度</w:t>
      </w:r>
    </w:p>
    <w:p w14:paraId="207365FB">
      <w:pPr>
        <w:widowControl/>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量程：-10.0～110.0℃</w:t>
      </w:r>
    </w:p>
    <w:p w14:paraId="6EF54E63">
      <w:pPr>
        <w:widowControl/>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分辨率：0.1℃</w:t>
      </w:r>
    </w:p>
    <w:p w14:paraId="776EE725">
      <w:pPr>
        <w:widowControl/>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准确度：±0.3℃</w:t>
      </w:r>
    </w:p>
    <w:p w14:paraId="257B4334">
      <w:pPr>
        <w:keepNext w:val="0"/>
        <w:keepLines w:val="0"/>
        <w:pageBreakBefore w:val="0"/>
        <w:widowControl/>
        <w:numPr>
          <w:ilvl w:val="0"/>
          <w:numId w:val="0"/>
        </w:numPr>
        <w:kinsoku/>
        <w:wordWrap/>
        <w:overflowPunct/>
        <w:topLinePunct w:val="0"/>
        <w:bidi w:val="0"/>
        <w:snapToGrid/>
        <w:spacing w:line="360" w:lineRule="auto"/>
        <w:ind w:firstLine="422" w:firstLineChars="200"/>
        <w:jc w:val="left"/>
        <w:textAlignment w:val="auto"/>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b/>
          <w:bCs/>
          <w:color w:val="auto"/>
          <w:kern w:val="2"/>
          <w:sz w:val="21"/>
          <w:szCs w:val="21"/>
          <w:highlight w:val="none"/>
          <w:lang w:val="en-US" w:eastAsia="zh-CN" w:bidi="ar-SA"/>
        </w:rPr>
        <w:t>2.3.2 溶解氧电极</w:t>
      </w:r>
    </w:p>
    <w:p w14:paraId="467971C3">
      <w:pPr>
        <w:keepNext w:val="0"/>
        <w:keepLines w:val="0"/>
        <w:pageBreakBefore w:val="0"/>
        <w:widowControl/>
        <w:numPr>
          <w:ilvl w:val="0"/>
          <w:numId w:val="0"/>
        </w:numPr>
        <w:kinsoku/>
        <w:wordWrap/>
        <w:overflowPunct/>
        <w:topLinePunct w:val="0"/>
        <w:bidi w:val="0"/>
        <w:snapToGrid/>
        <w:spacing w:line="360" w:lineRule="auto"/>
        <w:ind w:firstLine="412" w:firstLineChars="200"/>
        <w:jc w:val="left"/>
        <w:textAlignment w:val="auto"/>
        <w:rPr>
          <w:rFonts w:hint="eastAsia" w:ascii="宋体" w:hAnsi="宋体" w:eastAsia="宋体" w:cs="宋体"/>
          <w:color w:val="auto"/>
          <w:spacing w:val="-2"/>
          <w:sz w:val="21"/>
          <w:szCs w:val="21"/>
          <w:highlight w:val="none"/>
        </w:rPr>
      </w:pPr>
      <w:r>
        <w:rPr>
          <w:rFonts w:hint="eastAsia" w:ascii="宋体" w:hAnsi="宋体" w:eastAsia="宋体" w:cs="宋体"/>
          <w:color w:val="auto"/>
          <w:spacing w:val="-2"/>
          <w:kern w:val="2"/>
          <w:sz w:val="21"/>
          <w:szCs w:val="21"/>
          <w:highlight w:val="none"/>
          <w:lang w:bidi="ar"/>
        </w:rPr>
        <w:t>量程: 0.01~20.0 mg/L</w:t>
      </w:r>
    </w:p>
    <w:p w14:paraId="793C55C2">
      <w:pPr>
        <w:widowControl w:val="0"/>
        <w:autoSpaceDE w:val="0"/>
        <w:autoSpaceDN w:val="0"/>
        <w:adjustRightInd w:val="0"/>
        <w:spacing w:line="360" w:lineRule="auto"/>
        <w:ind w:firstLine="1030" w:firstLineChars="500"/>
        <w:jc w:val="both"/>
        <w:rPr>
          <w:rFonts w:hint="eastAsia" w:ascii="宋体" w:hAnsi="宋体" w:eastAsia="宋体" w:cs="宋体"/>
          <w:color w:val="auto"/>
          <w:spacing w:val="-2"/>
          <w:sz w:val="21"/>
          <w:szCs w:val="21"/>
          <w:highlight w:val="none"/>
        </w:rPr>
      </w:pPr>
      <w:r>
        <w:rPr>
          <w:rFonts w:hint="eastAsia" w:ascii="宋体" w:hAnsi="宋体" w:eastAsia="宋体" w:cs="宋体"/>
          <w:color w:val="auto"/>
          <w:spacing w:val="-2"/>
          <w:kern w:val="2"/>
          <w:sz w:val="21"/>
          <w:szCs w:val="21"/>
          <w:highlight w:val="none"/>
          <w:lang w:bidi="ar"/>
        </w:rPr>
        <w:t>0~200% 饱和度</w:t>
      </w:r>
    </w:p>
    <w:p w14:paraId="24CE1872">
      <w:pPr>
        <w:widowControl w:val="0"/>
        <w:autoSpaceDE w:val="0"/>
        <w:autoSpaceDN w:val="0"/>
        <w:adjustRightInd w:val="0"/>
        <w:spacing w:line="360" w:lineRule="auto"/>
        <w:ind w:firstLine="309" w:firstLineChars="150"/>
        <w:jc w:val="both"/>
        <w:rPr>
          <w:rFonts w:hint="eastAsia" w:ascii="宋体" w:hAnsi="宋体" w:eastAsia="宋体" w:cs="宋体"/>
          <w:color w:val="auto"/>
          <w:spacing w:val="-2"/>
          <w:kern w:val="2"/>
          <w:sz w:val="21"/>
          <w:szCs w:val="21"/>
          <w:highlight w:val="none"/>
          <w:lang w:bidi="ar"/>
        </w:rPr>
      </w:pPr>
      <w:r>
        <w:rPr>
          <w:rFonts w:hint="eastAsia" w:ascii="宋体" w:hAnsi="宋体" w:eastAsia="宋体" w:cs="宋体"/>
          <w:color w:val="auto"/>
          <w:spacing w:val="-2"/>
          <w:kern w:val="2"/>
          <w:sz w:val="21"/>
          <w:szCs w:val="21"/>
          <w:highlight w:val="none"/>
          <w:lang w:bidi="ar"/>
        </w:rPr>
        <w:t>分辨率：0.01 mg/L</w:t>
      </w:r>
    </w:p>
    <w:p w14:paraId="554D9F1D">
      <w:pPr>
        <w:widowControl w:val="0"/>
        <w:autoSpaceDE w:val="0"/>
        <w:autoSpaceDN w:val="0"/>
        <w:adjustRightInd w:val="0"/>
        <w:spacing w:line="360" w:lineRule="auto"/>
        <w:ind w:firstLine="309" w:firstLineChars="150"/>
        <w:jc w:val="both"/>
        <w:rPr>
          <w:rFonts w:hint="eastAsia" w:ascii="宋体" w:hAnsi="宋体" w:eastAsia="宋体" w:cs="宋体"/>
          <w:color w:val="auto"/>
          <w:spacing w:val="-2"/>
          <w:sz w:val="21"/>
          <w:szCs w:val="21"/>
          <w:highlight w:val="none"/>
          <w:lang w:eastAsia="zh-CN"/>
        </w:rPr>
      </w:pPr>
      <w:r>
        <w:rPr>
          <w:rFonts w:hint="eastAsia" w:ascii="宋体" w:hAnsi="宋体" w:eastAsia="宋体" w:cs="宋体"/>
          <w:color w:val="auto"/>
          <w:spacing w:val="-2"/>
          <w:kern w:val="2"/>
          <w:sz w:val="21"/>
          <w:szCs w:val="21"/>
          <w:highlight w:val="none"/>
          <w:lang w:bidi="ar"/>
        </w:rPr>
        <w:t>溶解氧的准确度：在 0.1~8 mg/L时，为 ±0.1 mg/L</w:t>
      </w:r>
      <w:r>
        <w:rPr>
          <w:rFonts w:hint="eastAsia" w:ascii="宋体" w:hAnsi="宋体" w:eastAsia="宋体" w:cs="宋体"/>
          <w:color w:val="auto"/>
          <w:spacing w:val="-2"/>
          <w:kern w:val="2"/>
          <w:sz w:val="21"/>
          <w:szCs w:val="21"/>
          <w:highlight w:val="none"/>
          <w:lang w:eastAsia="zh-CN" w:bidi="ar"/>
        </w:rPr>
        <w:t>；</w:t>
      </w:r>
    </w:p>
    <w:p w14:paraId="0E0D18B6">
      <w:pPr>
        <w:widowControl w:val="0"/>
        <w:autoSpaceDE w:val="0"/>
        <w:autoSpaceDN w:val="0"/>
        <w:adjustRightInd w:val="0"/>
        <w:spacing w:line="360" w:lineRule="auto"/>
        <w:ind w:firstLine="1751" w:firstLineChars="850"/>
        <w:jc w:val="both"/>
        <w:rPr>
          <w:rFonts w:hint="eastAsia" w:ascii="宋体" w:hAnsi="宋体" w:eastAsia="宋体" w:cs="宋体"/>
          <w:color w:val="auto"/>
          <w:spacing w:val="-2"/>
          <w:kern w:val="2"/>
          <w:sz w:val="21"/>
          <w:szCs w:val="21"/>
          <w:highlight w:val="none"/>
          <w:lang w:eastAsia="zh-CN" w:bidi="ar"/>
        </w:rPr>
      </w:pPr>
      <w:r>
        <w:rPr>
          <w:rFonts w:hint="eastAsia" w:ascii="宋体" w:hAnsi="宋体" w:eastAsia="宋体" w:cs="宋体"/>
          <w:color w:val="auto"/>
          <w:spacing w:val="-2"/>
          <w:kern w:val="2"/>
          <w:sz w:val="21"/>
          <w:szCs w:val="21"/>
          <w:highlight w:val="none"/>
          <w:lang w:bidi="ar"/>
        </w:rPr>
        <w:t>大于8.0 mg/L时，为 ±0.2 mg/L</w:t>
      </w:r>
      <w:r>
        <w:rPr>
          <w:rFonts w:hint="eastAsia" w:ascii="宋体" w:hAnsi="宋体" w:eastAsia="宋体" w:cs="宋体"/>
          <w:color w:val="auto"/>
          <w:spacing w:val="-2"/>
          <w:kern w:val="2"/>
          <w:sz w:val="21"/>
          <w:szCs w:val="21"/>
          <w:highlight w:val="none"/>
          <w:lang w:eastAsia="zh-CN" w:bidi="ar"/>
        </w:rPr>
        <w:t>。</w:t>
      </w:r>
    </w:p>
    <w:p w14:paraId="388FEBFC">
      <w:pPr>
        <w:keepNext w:val="0"/>
        <w:keepLines w:val="0"/>
        <w:pageBreakBefore w:val="0"/>
        <w:widowControl/>
        <w:numPr>
          <w:ilvl w:val="0"/>
          <w:numId w:val="0"/>
        </w:numPr>
        <w:kinsoku/>
        <w:wordWrap/>
        <w:overflowPunct/>
        <w:topLinePunct w:val="0"/>
        <w:bidi w:val="0"/>
        <w:snapToGrid/>
        <w:spacing w:line="360" w:lineRule="auto"/>
        <w:jc w:val="left"/>
        <w:textAlignment w:val="auto"/>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b/>
          <w:bCs/>
          <w:color w:val="auto"/>
          <w:kern w:val="2"/>
          <w:sz w:val="21"/>
          <w:szCs w:val="21"/>
          <w:highlight w:val="none"/>
          <w:lang w:val="en-US" w:eastAsia="zh-CN" w:bidi="ar-SA"/>
        </w:rPr>
        <w:t>3.配置要求</w:t>
      </w:r>
    </w:p>
    <w:p w14:paraId="428CD7B2">
      <w:pPr>
        <w:keepNext w:val="0"/>
        <w:keepLines w:val="0"/>
        <w:pageBreakBefore w:val="0"/>
        <w:widowControl/>
        <w:kinsoku/>
        <w:wordWrap/>
        <w:overflowPunct/>
        <w:topLinePunct w:val="0"/>
        <w:autoSpaceDE/>
        <w:autoSpaceDN/>
        <w:bidi w:val="0"/>
        <w:adjustRightInd/>
        <w:snapToGrid/>
        <w:spacing w:before="60" w:after="60" w:line="360" w:lineRule="auto"/>
        <w:ind w:firstLine="412" w:firstLineChars="200"/>
        <w:jc w:val="both"/>
        <w:textAlignment w:val="auto"/>
        <w:rPr>
          <w:rFonts w:hint="eastAsia" w:ascii="宋体" w:hAnsi="宋体" w:eastAsia="宋体" w:cs="宋体"/>
          <w:b w:val="0"/>
          <w:bCs/>
          <w:color w:val="auto"/>
          <w:spacing w:val="-2"/>
          <w:kern w:val="2"/>
          <w:sz w:val="21"/>
          <w:szCs w:val="21"/>
          <w:highlight w:val="none"/>
          <w:lang w:val="en-US" w:eastAsia="zh-CN" w:bidi="ar-SA"/>
        </w:rPr>
      </w:pPr>
      <w:r>
        <w:rPr>
          <w:rFonts w:hint="eastAsia" w:ascii="宋体" w:hAnsi="宋体" w:eastAsia="宋体" w:cs="宋体"/>
          <w:b w:val="0"/>
          <w:bCs/>
          <w:color w:val="auto"/>
          <w:spacing w:val="-2"/>
          <w:kern w:val="2"/>
          <w:sz w:val="21"/>
          <w:szCs w:val="21"/>
          <w:highlight w:val="none"/>
          <w:lang w:val="en-US" w:eastAsia="zh-CN" w:bidi="ar-SA"/>
        </w:rPr>
        <w:t xml:space="preserve">3.1 溶解氧主机2套； </w:t>
      </w:r>
    </w:p>
    <w:p w14:paraId="0DD1C2C2">
      <w:pPr>
        <w:keepNext w:val="0"/>
        <w:keepLines w:val="0"/>
        <w:pageBreakBefore w:val="0"/>
        <w:widowControl/>
        <w:kinsoku/>
        <w:wordWrap/>
        <w:overflowPunct/>
        <w:topLinePunct w:val="0"/>
        <w:autoSpaceDE/>
        <w:autoSpaceDN/>
        <w:bidi w:val="0"/>
        <w:adjustRightInd/>
        <w:snapToGrid/>
        <w:spacing w:before="60" w:after="60" w:line="360" w:lineRule="auto"/>
        <w:ind w:firstLine="412" w:firstLineChars="200"/>
        <w:jc w:val="both"/>
        <w:textAlignment w:val="auto"/>
        <w:rPr>
          <w:rFonts w:hint="eastAsia" w:ascii="宋体" w:hAnsi="宋体" w:eastAsia="宋体" w:cs="宋体"/>
          <w:b w:val="0"/>
          <w:bCs/>
          <w:color w:val="auto"/>
          <w:spacing w:val="-2"/>
          <w:kern w:val="2"/>
          <w:sz w:val="21"/>
          <w:szCs w:val="21"/>
          <w:highlight w:val="none"/>
          <w:lang w:val="en-US" w:eastAsia="zh-CN" w:bidi="ar-SA"/>
        </w:rPr>
      </w:pPr>
      <w:r>
        <w:rPr>
          <w:rFonts w:hint="eastAsia" w:ascii="宋体" w:hAnsi="宋体" w:eastAsia="宋体" w:cs="宋体"/>
          <w:b w:val="0"/>
          <w:bCs/>
          <w:color w:val="auto"/>
          <w:spacing w:val="-2"/>
          <w:kern w:val="2"/>
          <w:sz w:val="21"/>
          <w:szCs w:val="21"/>
          <w:highlight w:val="none"/>
          <w:lang w:val="en-US" w:eastAsia="zh-CN" w:bidi="ar-SA"/>
        </w:rPr>
        <w:t>3.2 溶解氧电极2套。</w:t>
      </w:r>
    </w:p>
    <w:p w14:paraId="3DEEF63F">
      <w:pPr>
        <w:keepNext w:val="0"/>
        <w:keepLines w:val="0"/>
        <w:pageBreakBefore w:val="0"/>
        <w:widowControl/>
        <w:numPr>
          <w:ilvl w:val="0"/>
          <w:numId w:val="0"/>
        </w:numPr>
        <w:kinsoku/>
        <w:wordWrap/>
        <w:overflowPunct/>
        <w:topLinePunct w:val="0"/>
        <w:bidi w:val="0"/>
        <w:snapToGrid/>
        <w:spacing w:line="360" w:lineRule="auto"/>
        <w:jc w:val="left"/>
        <w:textAlignment w:val="auto"/>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b/>
          <w:bCs/>
          <w:color w:val="auto"/>
          <w:kern w:val="2"/>
          <w:sz w:val="21"/>
          <w:szCs w:val="21"/>
          <w:highlight w:val="none"/>
          <w:lang w:val="en-US" w:eastAsia="zh-CN" w:bidi="ar-SA"/>
        </w:rPr>
        <w:t>4.售后服务要求</w:t>
      </w:r>
    </w:p>
    <w:p w14:paraId="6A15E1AA">
      <w:pPr>
        <w:widowControl/>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4.1</w:t>
      </w:r>
      <w:r>
        <w:rPr>
          <w:rFonts w:hint="eastAsia" w:ascii="宋体" w:hAnsi="宋体" w:eastAsia="宋体" w:cs="宋体"/>
          <w:color w:val="auto"/>
          <w:sz w:val="21"/>
          <w:szCs w:val="21"/>
          <w:highlight w:val="none"/>
        </w:rPr>
        <w:t>响应时间：在接到电话或书面通知后4小时内给予答复，紧急问题应在48小时内抵达现场。</w:t>
      </w:r>
    </w:p>
    <w:p w14:paraId="0504C4E3">
      <w:pPr>
        <w:widowControl/>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4.2</w:t>
      </w:r>
      <w:r>
        <w:rPr>
          <w:rFonts w:hint="eastAsia" w:ascii="宋体" w:hAnsi="宋体" w:eastAsia="宋体" w:cs="宋体"/>
          <w:color w:val="auto"/>
          <w:sz w:val="21"/>
          <w:szCs w:val="21"/>
          <w:highlight w:val="none"/>
        </w:rPr>
        <w:t xml:space="preserve"> 质量保证期：设备验收合格后，整机质保24个月。</w:t>
      </w:r>
    </w:p>
    <w:p w14:paraId="6BFEC32C">
      <w:pPr>
        <w:widowControl/>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4.3</w:t>
      </w:r>
      <w:r>
        <w:rPr>
          <w:rFonts w:hint="eastAsia" w:ascii="宋体" w:hAnsi="宋体" w:eastAsia="宋体" w:cs="宋体"/>
          <w:color w:val="auto"/>
          <w:sz w:val="21"/>
          <w:szCs w:val="21"/>
          <w:highlight w:val="none"/>
        </w:rPr>
        <w:t xml:space="preserve"> 技术服务的范围及内容：</w:t>
      </w:r>
      <w:r>
        <w:rPr>
          <w:rFonts w:hint="eastAsia" w:ascii="宋体" w:hAnsi="宋体" w:eastAsia="宋体" w:cs="宋体"/>
          <w:color w:val="auto"/>
          <w:sz w:val="21"/>
          <w:szCs w:val="21"/>
          <w:highlight w:val="none"/>
          <w:lang w:val="en-US" w:eastAsia="zh-CN"/>
        </w:rPr>
        <w:t>供货商</w:t>
      </w:r>
      <w:r>
        <w:rPr>
          <w:rFonts w:hint="eastAsia" w:ascii="宋体" w:hAnsi="宋体" w:eastAsia="宋体" w:cs="宋体"/>
          <w:color w:val="auto"/>
          <w:sz w:val="21"/>
          <w:szCs w:val="21"/>
          <w:highlight w:val="none"/>
        </w:rPr>
        <w:t>委派技术人员到采购人指定现场，完成设备安装、调试及性能测试工作，直至运行稳定、各项技术指标满足要求并验收合格。</w:t>
      </w:r>
    </w:p>
    <w:p w14:paraId="4860AE79">
      <w:pPr>
        <w:widowControl/>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4.4在质保期内按采购人要求，开展技术培训和支持（含现场培训）</w:t>
      </w:r>
      <w:r>
        <w:rPr>
          <w:rFonts w:hint="eastAsia" w:ascii="宋体" w:hAnsi="宋体" w:eastAsia="宋体" w:cs="宋体"/>
          <w:color w:val="auto"/>
          <w:sz w:val="21"/>
          <w:szCs w:val="21"/>
          <w:highlight w:val="none"/>
        </w:rPr>
        <w:t>。</w:t>
      </w:r>
    </w:p>
    <w:p w14:paraId="5BC57F01">
      <w:pPr>
        <w:widowControl/>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4.5</w:t>
      </w:r>
      <w:r>
        <w:rPr>
          <w:rFonts w:hint="eastAsia" w:ascii="宋体" w:hAnsi="宋体" w:eastAsia="宋体" w:cs="宋体"/>
          <w:color w:val="auto"/>
          <w:sz w:val="21"/>
          <w:szCs w:val="21"/>
          <w:highlight w:val="none"/>
        </w:rPr>
        <w:t xml:space="preserve"> 质保期内，所有故障提供技术服务和维修，包括配套的所有耗材，仪器设备保养维护（一年不少于 2 次）及自校工作等。</w:t>
      </w:r>
    </w:p>
    <w:p w14:paraId="2DFB2149">
      <w:pPr>
        <w:keepNext w:val="0"/>
        <w:keepLines w:val="0"/>
        <w:pageBreakBefore w:val="0"/>
        <w:widowControl/>
        <w:numPr>
          <w:ilvl w:val="0"/>
          <w:numId w:val="0"/>
        </w:numPr>
        <w:kinsoku/>
        <w:wordWrap/>
        <w:overflowPunct/>
        <w:topLinePunct w:val="0"/>
        <w:bidi w:val="0"/>
        <w:snapToGrid/>
        <w:spacing w:line="360" w:lineRule="auto"/>
        <w:jc w:val="left"/>
        <w:textAlignment w:val="auto"/>
        <w:rPr>
          <w:rFonts w:hint="eastAsia" w:ascii="宋体" w:hAnsi="宋体" w:eastAsia="宋体" w:cs="宋体"/>
          <w:b/>
          <w:bCs/>
          <w:color w:val="auto"/>
          <w:kern w:val="2"/>
          <w:sz w:val="21"/>
          <w:szCs w:val="21"/>
          <w:highlight w:val="none"/>
          <w:lang w:val="en-US" w:eastAsia="zh-CN" w:bidi="ar-SA"/>
        </w:rPr>
      </w:pPr>
      <w:r>
        <w:rPr>
          <w:rFonts w:hint="eastAsia" w:cs="宋体"/>
          <w:b/>
          <w:bCs/>
          <w:color w:val="auto"/>
          <w:kern w:val="2"/>
          <w:sz w:val="21"/>
          <w:szCs w:val="21"/>
          <w:highlight w:val="none"/>
          <w:lang w:val="en-US" w:eastAsia="zh-CN" w:bidi="ar-SA"/>
        </w:rPr>
        <w:t>（十四）</w:t>
      </w:r>
      <w:r>
        <w:rPr>
          <w:rFonts w:hint="eastAsia" w:ascii="宋体" w:hAnsi="宋体" w:eastAsia="宋体" w:cs="宋体"/>
          <w:b/>
          <w:bCs/>
          <w:color w:val="auto"/>
          <w:kern w:val="2"/>
          <w:sz w:val="21"/>
          <w:szCs w:val="21"/>
          <w:highlight w:val="none"/>
          <w:lang w:val="en-US" w:eastAsia="zh-CN" w:bidi="ar-SA"/>
        </w:rPr>
        <w:t>便携式电导率测定仪</w:t>
      </w:r>
    </w:p>
    <w:p w14:paraId="611DB1C3">
      <w:pPr>
        <w:keepNext w:val="0"/>
        <w:keepLines w:val="0"/>
        <w:pageBreakBefore w:val="0"/>
        <w:widowControl/>
        <w:numPr>
          <w:ilvl w:val="0"/>
          <w:numId w:val="0"/>
        </w:numPr>
        <w:kinsoku/>
        <w:wordWrap/>
        <w:overflowPunct/>
        <w:topLinePunct w:val="0"/>
        <w:bidi w:val="0"/>
        <w:snapToGrid/>
        <w:spacing w:line="360" w:lineRule="auto"/>
        <w:jc w:val="left"/>
        <w:textAlignment w:val="auto"/>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b/>
          <w:bCs/>
          <w:color w:val="auto"/>
          <w:kern w:val="2"/>
          <w:sz w:val="21"/>
          <w:szCs w:val="21"/>
          <w:highlight w:val="none"/>
          <w:lang w:val="en-US" w:eastAsia="zh-CN" w:bidi="ar-SA"/>
        </w:rPr>
        <w:t>1.采购内容</w:t>
      </w:r>
    </w:p>
    <w:p w14:paraId="5DD8BB75">
      <w:pPr>
        <w:widowControl/>
        <w:spacing w:line="360" w:lineRule="auto"/>
        <w:ind w:firstLine="412" w:firstLineChars="200"/>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color w:val="auto"/>
          <w:spacing w:val="-2"/>
          <w:sz w:val="21"/>
          <w:szCs w:val="21"/>
          <w:highlight w:val="none"/>
          <w:lang w:val="en-US" w:eastAsia="zh-CN"/>
        </w:rPr>
        <w:t>采购</w:t>
      </w:r>
      <w:r>
        <w:rPr>
          <w:rFonts w:hint="eastAsia" w:ascii="宋体" w:hAnsi="宋体" w:eastAsia="宋体" w:cs="宋体"/>
          <w:color w:val="auto"/>
          <w:sz w:val="21"/>
          <w:szCs w:val="21"/>
          <w:highlight w:val="none"/>
          <w:lang w:val="en-US" w:eastAsia="zh-CN"/>
        </w:rPr>
        <w:t>便携式电导率测定仪</w:t>
      </w:r>
      <w:r>
        <w:rPr>
          <w:rFonts w:hint="eastAsia" w:ascii="宋体" w:hAnsi="宋体" w:eastAsia="宋体" w:cs="宋体"/>
          <w:color w:val="auto"/>
          <w:spacing w:val="-2"/>
          <w:sz w:val="21"/>
          <w:szCs w:val="21"/>
          <w:highlight w:val="none"/>
          <w:lang w:val="en-US" w:eastAsia="zh-CN"/>
        </w:rPr>
        <w:t>2套，用于现场水质中电导率的测定</w:t>
      </w:r>
      <w:r>
        <w:rPr>
          <w:rFonts w:hint="eastAsia" w:ascii="宋体" w:hAnsi="宋体" w:eastAsia="宋体" w:cs="宋体"/>
          <w:color w:val="auto"/>
          <w:spacing w:val="-2"/>
          <w:sz w:val="21"/>
          <w:szCs w:val="21"/>
          <w:highlight w:val="none"/>
        </w:rPr>
        <w:t>。</w:t>
      </w:r>
    </w:p>
    <w:p w14:paraId="07171CE0">
      <w:pPr>
        <w:keepNext w:val="0"/>
        <w:keepLines w:val="0"/>
        <w:pageBreakBefore w:val="0"/>
        <w:widowControl/>
        <w:numPr>
          <w:ilvl w:val="0"/>
          <w:numId w:val="0"/>
        </w:numPr>
        <w:kinsoku/>
        <w:wordWrap/>
        <w:overflowPunct/>
        <w:topLinePunct w:val="0"/>
        <w:bidi w:val="0"/>
        <w:snapToGrid/>
        <w:spacing w:line="360" w:lineRule="auto"/>
        <w:jc w:val="left"/>
        <w:textAlignment w:val="auto"/>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b/>
          <w:bCs/>
          <w:color w:val="auto"/>
          <w:kern w:val="2"/>
          <w:sz w:val="21"/>
          <w:szCs w:val="21"/>
          <w:highlight w:val="none"/>
          <w:lang w:val="en-US" w:eastAsia="zh-CN" w:bidi="ar-SA"/>
        </w:rPr>
        <w:t>2.技术参数要求</w:t>
      </w:r>
    </w:p>
    <w:p w14:paraId="0FC6E5CB">
      <w:pPr>
        <w:keepNext w:val="0"/>
        <w:keepLines w:val="0"/>
        <w:pageBreakBefore w:val="0"/>
        <w:widowControl/>
        <w:numPr>
          <w:ilvl w:val="0"/>
          <w:numId w:val="0"/>
        </w:numPr>
        <w:kinsoku/>
        <w:wordWrap/>
        <w:overflowPunct/>
        <w:topLinePunct w:val="0"/>
        <w:bidi w:val="0"/>
        <w:snapToGrid/>
        <w:spacing w:line="360" w:lineRule="auto"/>
        <w:ind w:firstLine="422" w:firstLineChars="200"/>
        <w:jc w:val="left"/>
        <w:textAlignment w:val="auto"/>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b/>
          <w:bCs/>
          <w:color w:val="auto"/>
          <w:kern w:val="2"/>
          <w:sz w:val="21"/>
          <w:szCs w:val="21"/>
          <w:highlight w:val="none"/>
          <w:lang w:val="en-US" w:eastAsia="zh-CN" w:bidi="ar-SA"/>
        </w:rPr>
        <w:t>2.1工作条件</w:t>
      </w:r>
    </w:p>
    <w:p w14:paraId="28A60634">
      <w:pPr>
        <w:widowControl/>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 xml:space="preserve">2.1.1 电源要求 ：内置电池供电； </w:t>
      </w:r>
    </w:p>
    <w:p w14:paraId="23B8A713">
      <w:pPr>
        <w:widowControl/>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2.1.2 存储温度： –20 ～ 60 °C，最高90%相对湿度（无冷凝）；</w:t>
      </w:r>
    </w:p>
    <w:p w14:paraId="24F80F1C">
      <w:pPr>
        <w:widowControl/>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2.1.3 工作温度： 0 ～ 60 °C；</w:t>
      </w:r>
    </w:p>
    <w:p w14:paraId="687A471A">
      <w:pPr>
        <w:widowControl/>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2.1.4工作湿度： ≤90% (无冷凝)</w:t>
      </w:r>
    </w:p>
    <w:p w14:paraId="77B675C8">
      <w:pPr>
        <w:keepNext w:val="0"/>
        <w:keepLines w:val="0"/>
        <w:pageBreakBefore w:val="0"/>
        <w:widowControl/>
        <w:numPr>
          <w:ilvl w:val="0"/>
          <w:numId w:val="0"/>
        </w:numPr>
        <w:kinsoku/>
        <w:wordWrap/>
        <w:overflowPunct/>
        <w:topLinePunct w:val="0"/>
        <w:bidi w:val="0"/>
        <w:snapToGrid/>
        <w:spacing w:line="360" w:lineRule="auto"/>
        <w:ind w:firstLine="422" w:firstLineChars="200"/>
        <w:jc w:val="left"/>
        <w:textAlignment w:val="auto"/>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b/>
          <w:bCs/>
          <w:color w:val="auto"/>
          <w:kern w:val="2"/>
          <w:sz w:val="21"/>
          <w:szCs w:val="21"/>
          <w:highlight w:val="none"/>
          <w:lang w:val="en-US" w:eastAsia="zh-CN" w:bidi="ar-SA"/>
        </w:rPr>
        <w:t>2.2技术性能指标</w:t>
      </w:r>
    </w:p>
    <w:p w14:paraId="3FCF66C0">
      <w:pPr>
        <w:widowControl/>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2.2.1显示：可显示1个电极的读数</w:t>
      </w:r>
    </w:p>
    <w:p w14:paraId="5DB66FE7">
      <w:pPr>
        <w:widowControl/>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 xml:space="preserve">（1）电导率电极：电导率、电阻率、温度 </w:t>
      </w:r>
    </w:p>
    <w:p w14:paraId="38BA8F74">
      <w:pPr>
        <w:widowControl/>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2.2.2 数据内存：不少于5000 组数据；</w:t>
      </w:r>
    </w:p>
    <w:p w14:paraId="43903A2A">
      <w:pPr>
        <w:widowControl/>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2.2.3 数据传输：通过USB接口连接至PC或USB存储设备；</w:t>
      </w:r>
    </w:p>
    <w:p w14:paraId="37AEBB38">
      <w:pPr>
        <w:widowControl/>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2.2.4 温度校正：关闭、自动和手动；</w:t>
      </w:r>
    </w:p>
    <w:p w14:paraId="148814DF">
      <w:pPr>
        <w:widowControl/>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★2.2.5外壳防护等级：≥IP67；</w:t>
      </w:r>
    </w:p>
    <w:p w14:paraId="61EAF04C">
      <w:pPr>
        <w:widowControl/>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2.2.6 重量：≤600g。</w:t>
      </w:r>
    </w:p>
    <w:p w14:paraId="2900AC52">
      <w:pPr>
        <w:keepNext w:val="0"/>
        <w:keepLines w:val="0"/>
        <w:pageBreakBefore w:val="0"/>
        <w:widowControl/>
        <w:numPr>
          <w:ilvl w:val="0"/>
          <w:numId w:val="0"/>
        </w:numPr>
        <w:kinsoku/>
        <w:wordWrap/>
        <w:overflowPunct/>
        <w:topLinePunct w:val="0"/>
        <w:bidi w:val="0"/>
        <w:snapToGrid/>
        <w:spacing w:line="360" w:lineRule="auto"/>
        <w:ind w:firstLine="422" w:firstLineChars="200"/>
        <w:jc w:val="left"/>
        <w:textAlignment w:val="auto"/>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b/>
          <w:bCs/>
          <w:color w:val="auto"/>
          <w:kern w:val="2"/>
          <w:sz w:val="21"/>
          <w:szCs w:val="21"/>
          <w:highlight w:val="none"/>
          <w:lang w:val="en-US" w:eastAsia="zh-CN" w:bidi="ar-SA"/>
        </w:rPr>
        <w:t>2.3 电导率电极技术性能指标</w:t>
      </w:r>
    </w:p>
    <w:p w14:paraId="5CF1D8EA">
      <w:pPr>
        <w:keepNext w:val="0"/>
        <w:keepLines w:val="0"/>
        <w:pageBreakBefore w:val="0"/>
        <w:widowControl/>
        <w:numPr>
          <w:ilvl w:val="0"/>
          <w:numId w:val="0"/>
        </w:numPr>
        <w:kinsoku/>
        <w:wordWrap/>
        <w:overflowPunct/>
        <w:topLinePunct w:val="0"/>
        <w:bidi w:val="0"/>
        <w:snapToGrid/>
        <w:spacing w:line="360" w:lineRule="auto"/>
        <w:ind w:firstLine="422" w:firstLineChars="200"/>
        <w:jc w:val="left"/>
        <w:textAlignment w:val="auto"/>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b/>
          <w:bCs/>
          <w:color w:val="auto"/>
          <w:kern w:val="2"/>
          <w:sz w:val="21"/>
          <w:szCs w:val="21"/>
          <w:highlight w:val="none"/>
          <w:lang w:val="en-US" w:eastAsia="zh-CN" w:bidi="ar-SA"/>
        </w:rPr>
        <w:t>2.3.1电导率电极</w:t>
      </w:r>
    </w:p>
    <w:p w14:paraId="5EEB8A74">
      <w:pPr>
        <w:keepNext w:val="0"/>
        <w:keepLines w:val="0"/>
        <w:pageBreakBefore w:val="0"/>
        <w:widowControl/>
        <w:numPr>
          <w:ilvl w:val="0"/>
          <w:numId w:val="0"/>
        </w:numPr>
        <w:kinsoku/>
        <w:wordWrap/>
        <w:overflowPunct/>
        <w:topLinePunct w:val="0"/>
        <w:bidi w:val="0"/>
        <w:snapToGrid/>
        <w:spacing w:line="360" w:lineRule="auto"/>
        <w:ind w:firstLine="414" w:firstLineChars="200"/>
        <w:jc w:val="left"/>
        <w:textAlignment w:val="auto"/>
        <w:rPr>
          <w:rFonts w:hint="eastAsia" w:ascii="宋体" w:hAnsi="宋体" w:eastAsia="宋体" w:cs="宋体"/>
          <w:b/>
          <w:bCs/>
          <w:color w:val="auto"/>
          <w:spacing w:val="-2"/>
          <w:sz w:val="21"/>
          <w:szCs w:val="21"/>
          <w:highlight w:val="none"/>
        </w:rPr>
      </w:pPr>
      <w:r>
        <w:rPr>
          <w:rFonts w:hint="eastAsia" w:ascii="宋体" w:hAnsi="宋体" w:eastAsia="宋体" w:cs="宋体"/>
          <w:b/>
          <w:bCs/>
          <w:color w:val="auto"/>
          <w:spacing w:val="-2"/>
          <w:sz w:val="21"/>
          <w:szCs w:val="21"/>
          <w:highlight w:val="none"/>
        </w:rPr>
        <w:t>温度：</w:t>
      </w:r>
    </w:p>
    <w:p w14:paraId="01A9A2D7">
      <w:pPr>
        <w:widowControl/>
        <w:spacing w:line="360" w:lineRule="auto"/>
        <w:ind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量程：-10.0～110.0℃</w:t>
      </w:r>
    </w:p>
    <w:p w14:paraId="74C1A486">
      <w:pPr>
        <w:widowControl/>
        <w:spacing w:line="360" w:lineRule="auto"/>
        <w:ind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分辨率：0.1℃</w:t>
      </w:r>
    </w:p>
    <w:p w14:paraId="06B69659">
      <w:pPr>
        <w:widowControl/>
        <w:spacing w:line="360" w:lineRule="auto"/>
        <w:ind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准确度：±0.3℃</w:t>
      </w:r>
    </w:p>
    <w:p w14:paraId="10E689C1">
      <w:pPr>
        <w:widowControl/>
        <w:spacing w:line="360" w:lineRule="auto"/>
        <w:ind w:firstLine="414" w:firstLineChars="200"/>
        <w:rPr>
          <w:rFonts w:hint="eastAsia" w:ascii="宋体" w:hAnsi="宋体" w:eastAsia="宋体" w:cs="宋体"/>
          <w:b/>
          <w:color w:val="auto"/>
          <w:spacing w:val="-2"/>
          <w:kern w:val="2"/>
          <w:sz w:val="21"/>
          <w:szCs w:val="21"/>
          <w:highlight w:val="none"/>
          <w:lang w:bidi="ar"/>
        </w:rPr>
      </w:pPr>
      <w:r>
        <w:rPr>
          <w:rFonts w:hint="eastAsia" w:ascii="宋体" w:hAnsi="宋体" w:eastAsia="宋体" w:cs="宋体"/>
          <w:b/>
          <w:color w:val="auto"/>
          <w:spacing w:val="-2"/>
          <w:kern w:val="2"/>
          <w:sz w:val="21"/>
          <w:szCs w:val="21"/>
          <w:highlight w:val="none"/>
          <w:lang w:bidi="ar"/>
        </w:rPr>
        <w:t>电导率：</w:t>
      </w:r>
    </w:p>
    <w:p w14:paraId="72806211">
      <w:pPr>
        <w:widowControl/>
        <w:spacing w:line="360" w:lineRule="auto"/>
        <w:ind w:firstLine="412" w:firstLineChars="200"/>
        <w:rPr>
          <w:rFonts w:hint="eastAsia" w:ascii="宋体" w:hAnsi="宋体" w:eastAsia="宋体" w:cs="宋体"/>
          <w:color w:val="auto"/>
          <w:spacing w:val="-2"/>
          <w:kern w:val="2"/>
          <w:sz w:val="21"/>
          <w:szCs w:val="21"/>
          <w:highlight w:val="none"/>
          <w:lang w:bidi="ar"/>
        </w:rPr>
      </w:pPr>
      <w:r>
        <w:rPr>
          <w:rFonts w:hint="eastAsia" w:ascii="宋体" w:hAnsi="宋体" w:eastAsia="宋体" w:cs="宋体"/>
          <w:color w:val="auto"/>
          <w:spacing w:val="-2"/>
          <w:kern w:val="2"/>
          <w:sz w:val="21"/>
          <w:szCs w:val="21"/>
          <w:highlight w:val="none"/>
          <w:lang w:bidi="ar"/>
        </w:rPr>
        <w:t>量程：0.01 μS/cm ~ 200.0 mS/cm</w:t>
      </w:r>
    </w:p>
    <w:p w14:paraId="63B31A5E">
      <w:pPr>
        <w:widowControl/>
        <w:spacing w:line="360" w:lineRule="auto"/>
        <w:ind w:firstLine="412" w:firstLineChars="200"/>
        <w:rPr>
          <w:rFonts w:hint="eastAsia" w:ascii="宋体" w:hAnsi="宋体" w:eastAsia="宋体" w:cs="宋体"/>
          <w:color w:val="auto"/>
          <w:spacing w:val="-2"/>
          <w:kern w:val="2"/>
          <w:sz w:val="21"/>
          <w:szCs w:val="21"/>
          <w:highlight w:val="none"/>
          <w:lang w:bidi="ar"/>
        </w:rPr>
      </w:pPr>
      <w:r>
        <w:rPr>
          <w:rFonts w:hint="eastAsia" w:ascii="宋体" w:hAnsi="宋体" w:eastAsia="宋体" w:cs="宋体"/>
          <w:color w:val="auto"/>
          <w:spacing w:val="-2"/>
          <w:kern w:val="2"/>
          <w:sz w:val="21"/>
          <w:szCs w:val="21"/>
          <w:highlight w:val="none"/>
          <w:lang w:bidi="ar"/>
        </w:rPr>
        <w:t>分辨率：0.01 μS/cm</w:t>
      </w:r>
    </w:p>
    <w:p w14:paraId="78C97369">
      <w:pPr>
        <w:widowControl/>
        <w:spacing w:line="360" w:lineRule="auto"/>
        <w:ind w:firstLine="420" w:firstLineChars="200"/>
        <w:rPr>
          <w:rFonts w:hint="eastAsia" w:ascii="宋体" w:hAnsi="宋体" w:eastAsia="宋体" w:cs="宋体"/>
          <w:color w:val="auto"/>
          <w:kern w:val="2"/>
          <w:sz w:val="21"/>
          <w:szCs w:val="21"/>
          <w:highlight w:val="none"/>
          <w:lang w:bidi="ar"/>
        </w:rPr>
      </w:pPr>
      <w:r>
        <w:rPr>
          <w:rFonts w:hint="eastAsia" w:ascii="宋体" w:hAnsi="宋体" w:eastAsia="宋体" w:cs="宋体"/>
          <w:color w:val="auto"/>
          <w:kern w:val="2"/>
          <w:sz w:val="21"/>
          <w:szCs w:val="21"/>
          <w:highlight w:val="none"/>
          <w:lang w:bidi="ar"/>
        </w:rPr>
        <w:t>电阻率：</w:t>
      </w:r>
    </w:p>
    <w:p w14:paraId="487200A9">
      <w:pPr>
        <w:widowControl/>
        <w:spacing w:line="360" w:lineRule="auto"/>
        <w:ind w:firstLine="412" w:firstLineChars="200"/>
        <w:rPr>
          <w:rFonts w:hint="eastAsia" w:ascii="宋体" w:hAnsi="宋体" w:eastAsia="宋体" w:cs="宋体"/>
          <w:color w:val="auto"/>
          <w:spacing w:val="8"/>
          <w:kern w:val="2"/>
          <w:sz w:val="21"/>
          <w:szCs w:val="21"/>
          <w:highlight w:val="none"/>
          <w:lang w:bidi="ar"/>
        </w:rPr>
      </w:pPr>
      <w:r>
        <w:rPr>
          <w:rFonts w:hint="eastAsia" w:ascii="宋体" w:hAnsi="宋体" w:eastAsia="宋体" w:cs="宋体"/>
          <w:color w:val="auto"/>
          <w:spacing w:val="-2"/>
          <w:kern w:val="2"/>
          <w:sz w:val="21"/>
          <w:szCs w:val="21"/>
          <w:highlight w:val="none"/>
          <w:lang w:bidi="ar"/>
        </w:rPr>
        <w:t>量程：</w:t>
      </w:r>
      <w:r>
        <w:rPr>
          <w:rFonts w:hint="eastAsia" w:ascii="宋体" w:hAnsi="宋体" w:eastAsia="宋体" w:cs="宋体"/>
          <w:color w:val="auto"/>
          <w:spacing w:val="8"/>
          <w:kern w:val="2"/>
          <w:sz w:val="21"/>
          <w:szCs w:val="21"/>
          <w:highlight w:val="none"/>
          <w:lang w:bidi="ar"/>
        </w:rPr>
        <w:t>2.5</w:t>
      </w:r>
      <w:r>
        <w:rPr>
          <w:rFonts w:hint="eastAsia" w:ascii="宋体" w:hAnsi="宋体" w:eastAsia="宋体" w:cs="宋体"/>
          <w:color w:val="auto"/>
          <w:spacing w:val="-2"/>
          <w:kern w:val="2"/>
          <w:sz w:val="21"/>
          <w:szCs w:val="21"/>
          <w:highlight w:val="none"/>
          <w:lang w:bidi="ar"/>
        </w:rPr>
        <w:t>～49</w:t>
      </w:r>
      <w:r>
        <w:rPr>
          <w:rFonts w:hint="eastAsia" w:ascii="宋体" w:hAnsi="宋体" w:eastAsia="宋体" w:cs="宋体"/>
          <w:color w:val="auto"/>
          <w:spacing w:val="8"/>
          <w:kern w:val="2"/>
          <w:sz w:val="21"/>
          <w:szCs w:val="21"/>
          <w:highlight w:val="none"/>
          <w:lang w:bidi="ar"/>
        </w:rPr>
        <w:t>欧姆·厘米</w:t>
      </w:r>
    </w:p>
    <w:p w14:paraId="0A46DB13">
      <w:pPr>
        <w:widowControl/>
        <w:spacing w:line="360" w:lineRule="auto"/>
        <w:ind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kern w:val="2"/>
          <w:sz w:val="21"/>
          <w:szCs w:val="21"/>
          <w:highlight w:val="none"/>
          <w:lang w:bidi="ar"/>
        </w:rPr>
        <w:t>分辨率：0.1</w:t>
      </w:r>
      <w:r>
        <w:rPr>
          <w:rFonts w:hint="eastAsia" w:ascii="宋体" w:hAnsi="宋体" w:eastAsia="宋体" w:cs="宋体"/>
          <w:color w:val="auto"/>
          <w:spacing w:val="8"/>
          <w:kern w:val="2"/>
          <w:sz w:val="21"/>
          <w:szCs w:val="21"/>
          <w:highlight w:val="none"/>
          <w:lang w:bidi="ar"/>
        </w:rPr>
        <w:t>欧姆·厘米</w:t>
      </w:r>
    </w:p>
    <w:p w14:paraId="1B2D1600">
      <w:pPr>
        <w:keepNext w:val="0"/>
        <w:keepLines w:val="0"/>
        <w:pageBreakBefore w:val="0"/>
        <w:widowControl/>
        <w:numPr>
          <w:ilvl w:val="0"/>
          <w:numId w:val="0"/>
        </w:numPr>
        <w:kinsoku/>
        <w:wordWrap/>
        <w:overflowPunct/>
        <w:topLinePunct w:val="0"/>
        <w:bidi w:val="0"/>
        <w:snapToGrid/>
        <w:spacing w:line="360" w:lineRule="auto"/>
        <w:jc w:val="left"/>
        <w:textAlignment w:val="auto"/>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b/>
          <w:bCs/>
          <w:color w:val="auto"/>
          <w:kern w:val="2"/>
          <w:sz w:val="21"/>
          <w:szCs w:val="21"/>
          <w:highlight w:val="none"/>
          <w:lang w:val="en-US" w:eastAsia="zh-CN" w:bidi="ar-SA"/>
        </w:rPr>
        <w:t>3.配置要求</w:t>
      </w:r>
    </w:p>
    <w:p w14:paraId="0CE5D78C">
      <w:pPr>
        <w:keepNext w:val="0"/>
        <w:keepLines w:val="0"/>
        <w:pageBreakBefore w:val="0"/>
        <w:widowControl/>
        <w:kinsoku/>
        <w:wordWrap/>
        <w:overflowPunct/>
        <w:topLinePunct w:val="0"/>
        <w:autoSpaceDE/>
        <w:autoSpaceDN/>
        <w:bidi w:val="0"/>
        <w:adjustRightInd/>
        <w:snapToGrid/>
        <w:spacing w:before="60" w:after="60" w:line="360" w:lineRule="auto"/>
        <w:ind w:firstLine="414" w:firstLineChars="200"/>
        <w:jc w:val="both"/>
        <w:textAlignment w:val="auto"/>
        <w:rPr>
          <w:rFonts w:hint="eastAsia" w:ascii="宋体" w:hAnsi="宋体" w:eastAsia="宋体" w:cs="宋体"/>
          <w:b/>
          <w:bCs w:val="0"/>
          <w:color w:val="auto"/>
          <w:spacing w:val="-2"/>
          <w:kern w:val="2"/>
          <w:sz w:val="21"/>
          <w:szCs w:val="21"/>
          <w:highlight w:val="none"/>
          <w:lang w:val="en-US" w:eastAsia="zh-CN" w:bidi="ar-SA"/>
        </w:rPr>
      </w:pPr>
      <w:r>
        <w:rPr>
          <w:rFonts w:hint="eastAsia" w:ascii="宋体" w:hAnsi="宋体" w:eastAsia="宋体" w:cs="宋体"/>
          <w:b/>
          <w:bCs w:val="0"/>
          <w:color w:val="auto"/>
          <w:spacing w:val="-2"/>
          <w:kern w:val="2"/>
          <w:sz w:val="21"/>
          <w:szCs w:val="21"/>
          <w:highlight w:val="none"/>
          <w:lang w:val="en-US" w:eastAsia="zh-CN" w:bidi="ar-SA"/>
        </w:rPr>
        <w:t xml:space="preserve">3.1 </w:t>
      </w:r>
      <w:r>
        <w:rPr>
          <w:rFonts w:hint="eastAsia" w:ascii="宋体" w:hAnsi="宋体" w:eastAsia="宋体" w:cs="宋体"/>
          <w:b w:val="0"/>
          <w:bCs w:val="0"/>
          <w:color w:val="auto"/>
          <w:spacing w:val="-2"/>
          <w:kern w:val="2"/>
          <w:sz w:val="21"/>
          <w:szCs w:val="21"/>
          <w:highlight w:val="none"/>
          <w:lang w:val="en-US" w:eastAsia="zh-CN" w:bidi="ar-SA"/>
        </w:rPr>
        <w:t>电导率主机2套；</w:t>
      </w:r>
    </w:p>
    <w:p w14:paraId="1190E80B">
      <w:pPr>
        <w:keepNext w:val="0"/>
        <w:keepLines w:val="0"/>
        <w:pageBreakBefore w:val="0"/>
        <w:widowControl/>
        <w:kinsoku/>
        <w:wordWrap/>
        <w:overflowPunct/>
        <w:topLinePunct w:val="0"/>
        <w:autoSpaceDE/>
        <w:autoSpaceDN/>
        <w:bidi w:val="0"/>
        <w:adjustRightInd/>
        <w:snapToGrid/>
        <w:spacing w:before="60" w:after="60" w:line="360" w:lineRule="auto"/>
        <w:ind w:firstLine="414" w:firstLineChars="200"/>
        <w:jc w:val="both"/>
        <w:textAlignment w:val="auto"/>
        <w:rPr>
          <w:rFonts w:hint="eastAsia" w:ascii="宋体" w:hAnsi="宋体" w:eastAsia="宋体" w:cs="宋体"/>
          <w:b w:val="0"/>
          <w:bCs/>
          <w:color w:val="auto"/>
          <w:spacing w:val="-2"/>
          <w:kern w:val="2"/>
          <w:sz w:val="21"/>
          <w:szCs w:val="21"/>
          <w:highlight w:val="none"/>
          <w:lang w:val="en-US" w:eastAsia="zh-CN" w:bidi="ar-SA"/>
        </w:rPr>
      </w:pPr>
      <w:r>
        <w:rPr>
          <w:rFonts w:hint="eastAsia" w:ascii="宋体" w:hAnsi="宋体" w:eastAsia="宋体" w:cs="宋体"/>
          <w:b/>
          <w:bCs w:val="0"/>
          <w:color w:val="auto"/>
          <w:spacing w:val="-2"/>
          <w:kern w:val="2"/>
          <w:sz w:val="21"/>
          <w:szCs w:val="21"/>
          <w:highlight w:val="none"/>
          <w:lang w:val="en-US" w:eastAsia="zh-CN" w:bidi="ar-SA"/>
        </w:rPr>
        <w:t xml:space="preserve">3.2 </w:t>
      </w:r>
      <w:r>
        <w:rPr>
          <w:rFonts w:hint="eastAsia" w:ascii="宋体" w:hAnsi="宋体" w:eastAsia="宋体" w:cs="宋体"/>
          <w:b w:val="0"/>
          <w:bCs w:val="0"/>
          <w:color w:val="auto"/>
          <w:spacing w:val="-2"/>
          <w:kern w:val="2"/>
          <w:sz w:val="21"/>
          <w:szCs w:val="21"/>
          <w:highlight w:val="none"/>
          <w:lang w:val="en-US" w:eastAsia="zh-CN" w:bidi="ar-SA"/>
        </w:rPr>
        <w:t>电导率</w:t>
      </w:r>
      <w:r>
        <w:rPr>
          <w:rFonts w:hint="eastAsia" w:ascii="宋体" w:hAnsi="宋体" w:eastAsia="宋体" w:cs="宋体"/>
          <w:b w:val="0"/>
          <w:bCs w:val="0"/>
          <w:color w:val="auto"/>
          <w:spacing w:val="-2"/>
          <w:kern w:val="2"/>
          <w:sz w:val="21"/>
          <w:szCs w:val="21"/>
          <w:highlight w:val="none"/>
          <w:lang w:val="fr-FR" w:eastAsia="zh-CN" w:bidi="ar-SA"/>
        </w:rPr>
        <w:t>电极</w:t>
      </w:r>
      <w:r>
        <w:rPr>
          <w:rFonts w:hint="eastAsia" w:ascii="宋体" w:hAnsi="宋体" w:eastAsia="宋体" w:cs="宋体"/>
          <w:b w:val="0"/>
          <w:bCs w:val="0"/>
          <w:color w:val="auto"/>
          <w:spacing w:val="-2"/>
          <w:kern w:val="2"/>
          <w:sz w:val="21"/>
          <w:szCs w:val="21"/>
          <w:highlight w:val="none"/>
          <w:lang w:val="en-US" w:eastAsia="zh-CN" w:bidi="ar-SA"/>
        </w:rPr>
        <w:t>2套；</w:t>
      </w:r>
    </w:p>
    <w:p w14:paraId="13463A2F">
      <w:pPr>
        <w:keepNext w:val="0"/>
        <w:keepLines w:val="0"/>
        <w:pageBreakBefore w:val="0"/>
        <w:widowControl/>
        <w:tabs>
          <w:tab w:val="left" w:pos="3000"/>
        </w:tabs>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pacing w:val="-2"/>
          <w:sz w:val="21"/>
          <w:szCs w:val="21"/>
          <w:highlight w:val="none"/>
          <w:lang w:val="en-US" w:eastAsia="zh-CN"/>
        </w:rPr>
      </w:pPr>
      <w:r>
        <w:rPr>
          <w:rFonts w:hint="eastAsia" w:ascii="宋体" w:hAnsi="宋体" w:eastAsia="宋体" w:cs="宋体"/>
          <w:bCs/>
          <w:color w:val="auto"/>
          <w:sz w:val="21"/>
          <w:szCs w:val="21"/>
          <w:highlight w:val="none"/>
          <w:lang w:val="en-US" w:eastAsia="zh-CN"/>
        </w:rPr>
        <w:t>3.3</w:t>
      </w:r>
      <w:r>
        <w:rPr>
          <w:rFonts w:hint="eastAsia" w:ascii="宋体" w:hAnsi="宋体" w:eastAsia="宋体" w:cs="宋体"/>
          <w:color w:val="auto"/>
          <w:spacing w:val="-2"/>
          <w:sz w:val="21"/>
          <w:szCs w:val="21"/>
          <w:highlight w:val="none"/>
        </w:rPr>
        <w:t>校准标准液</w:t>
      </w:r>
      <w:r>
        <w:rPr>
          <w:rFonts w:hint="eastAsia" w:ascii="宋体" w:hAnsi="宋体" w:eastAsia="宋体" w:cs="宋体"/>
          <w:color w:val="auto"/>
          <w:spacing w:val="-2"/>
          <w:sz w:val="21"/>
          <w:szCs w:val="21"/>
          <w:highlight w:val="none"/>
          <w:lang w:val="en-US" w:eastAsia="zh-CN"/>
        </w:rPr>
        <w:t>2套。</w:t>
      </w:r>
    </w:p>
    <w:p w14:paraId="61C426EE">
      <w:pPr>
        <w:keepNext w:val="0"/>
        <w:keepLines w:val="0"/>
        <w:pageBreakBefore w:val="0"/>
        <w:widowControl/>
        <w:numPr>
          <w:ilvl w:val="0"/>
          <w:numId w:val="0"/>
        </w:numPr>
        <w:kinsoku/>
        <w:wordWrap/>
        <w:overflowPunct/>
        <w:topLinePunct w:val="0"/>
        <w:bidi w:val="0"/>
        <w:snapToGrid/>
        <w:spacing w:line="360" w:lineRule="auto"/>
        <w:jc w:val="left"/>
        <w:textAlignment w:val="auto"/>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b/>
          <w:bCs/>
          <w:color w:val="auto"/>
          <w:kern w:val="2"/>
          <w:sz w:val="21"/>
          <w:szCs w:val="21"/>
          <w:highlight w:val="none"/>
          <w:lang w:val="en-US" w:eastAsia="zh-CN" w:bidi="ar-SA"/>
        </w:rPr>
        <w:t>4.售后服务要求</w:t>
      </w:r>
    </w:p>
    <w:p w14:paraId="494CB474">
      <w:pPr>
        <w:widowControl/>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4.1</w:t>
      </w:r>
      <w:r>
        <w:rPr>
          <w:rFonts w:hint="eastAsia" w:ascii="宋体" w:hAnsi="宋体" w:eastAsia="宋体" w:cs="宋体"/>
          <w:color w:val="auto"/>
          <w:sz w:val="21"/>
          <w:szCs w:val="21"/>
          <w:highlight w:val="none"/>
        </w:rPr>
        <w:t>响应时间：在接到电话或书面通知后4小时内给予答复，紧急问题应在48小时内抵达现场。</w:t>
      </w:r>
    </w:p>
    <w:p w14:paraId="4777B847">
      <w:pPr>
        <w:widowControl/>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4.2</w:t>
      </w:r>
      <w:r>
        <w:rPr>
          <w:rFonts w:hint="eastAsia" w:ascii="宋体" w:hAnsi="宋体" w:eastAsia="宋体" w:cs="宋体"/>
          <w:color w:val="auto"/>
          <w:sz w:val="21"/>
          <w:szCs w:val="21"/>
          <w:highlight w:val="none"/>
        </w:rPr>
        <w:t xml:space="preserve"> 质量保证期：设备验收合格后，整机质保24个月。</w:t>
      </w:r>
    </w:p>
    <w:p w14:paraId="0210BFAF">
      <w:pPr>
        <w:widowControl/>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4.3</w:t>
      </w:r>
      <w:r>
        <w:rPr>
          <w:rFonts w:hint="eastAsia" w:ascii="宋体" w:hAnsi="宋体" w:eastAsia="宋体" w:cs="宋体"/>
          <w:color w:val="auto"/>
          <w:sz w:val="21"/>
          <w:szCs w:val="21"/>
          <w:highlight w:val="none"/>
        </w:rPr>
        <w:t xml:space="preserve"> 技术服务的范围及内容：</w:t>
      </w:r>
      <w:r>
        <w:rPr>
          <w:rFonts w:hint="eastAsia" w:ascii="宋体" w:hAnsi="宋体" w:eastAsia="宋体" w:cs="宋体"/>
          <w:color w:val="auto"/>
          <w:sz w:val="21"/>
          <w:szCs w:val="21"/>
          <w:highlight w:val="none"/>
          <w:lang w:val="en-US" w:eastAsia="zh-CN"/>
        </w:rPr>
        <w:t>供货商</w:t>
      </w:r>
      <w:r>
        <w:rPr>
          <w:rFonts w:hint="eastAsia" w:ascii="宋体" w:hAnsi="宋体" w:eastAsia="宋体" w:cs="宋体"/>
          <w:color w:val="auto"/>
          <w:sz w:val="21"/>
          <w:szCs w:val="21"/>
          <w:highlight w:val="none"/>
        </w:rPr>
        <w:t>委派技术人员到采购人指定现场，完成设备安装、调试及性能测试工作，直至运行稳定、各项技术指标满足要求并验收合格。</w:t>
      </w:r>
    </w:p>
    <w:p w14:paraId="4E182622">
      <w:pPr>
        <w:widowControl/>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4.4在质保期内按采购人要求，开展技术培训和支持（含现场培训）</w:t>
      </w:r>
      <w:r>
        <w:rPr>
          <w:rFonts w:hint="eastAsia" w:ascii="宋体" w:hAnsi="宋体" w:eastAsia="宋体" w:cs="宋体"/>
          <w:color w:val="auto"/>
          <w:sz w:val="21"/>
          <w:szCs w:val="21"/>
          <w:highlight w:val="none"/>
        </w:rPr>
        <w:t>。</w:t>
      </w:r>
    </w:p>
    <w:p w14:paraId="088C2015">
      <w:pPr>
        <w:widowControl/>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4.5</w:t>
      </w:r>
      <w:r>
        <w:rPr>
          <w:rFonts w:hint="eastAsia" w:ascii="宋体" w:hAnsi="宋体" w:eastAsia="宋体" w:cs="宋体"/>
          <w:color w:val="auto"/>
          <w:sz w:val="21"/>
          <w:szCs w:val="21"/>
          <w:highlight w:val="none"/>
        </w:rPr>
        <w:t xml:space="preserve"> 质保期内，所有故障提供技术服务和维修，包括配套的所有耗材，仪器设备保养维护（一年不少于 2 次）及自校工作等。</w:t>
      </w:r>
    </w:p>
    <w:p w14:paraId="703E3D8B">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宋体" w:hAnsi="宋体" w:eastAsia="宋体" w:cs="宋体"/>
          <w:b/>
          <w:bCs/>
          <w:color w:val="auto"/>
          <w:kern w:val="0"/>
          <w:sz w:val="21"/>
          <w:szCs w:val="21"/>
          <w:highlight w:val="none"/>
          <w:lang w:val="en-US" w:eastAsia="zh-CN" w:bidi="ar"/>
        </w:rPr>
      </w:pPr>
      <w:r>
        <w:rPr>
          <w:rFonts w:hint="eastAsia" w:cs="宋体"/>
          <w:b/>
          <w:bCs/>
          <w:color w:val="auto"/>
          <w:kern w:val="0"/>
          <w:sz w:val="21"/>
          <w:szCs w:val="21"/>
          <w:highlight w:val="none"/>
          <w:lang w:val="en-US" w:eastAsia="zh-CN" w:bidi="ar"/>
        </w:rPr>
        <w:t>四、</w:t>
      </w:r>
      <w:r>
        <w:rPr>
          <w:rFonts w:hint="eastAsia" w:ascii="宋体" w:hAnsi="宋体" w:eastAsia="宋体" w:cs="宋体"/>
          <w:b/>
          <w:bCs/>
          <w:color w:val="auto"/>
          <w:kern w:val="0"/>
          <w:sz w:val="21"/>
          <w:szCs w:val="21"/>
          <w:highlight w:val="none"/>
          <w:lang w:val="en-US" w:eastAsia="zh-CN" w:bidi="ar"/>
        </w:rPr>
        <w:t>核心产品</w:t>
      </w:r>
    </w:p>
    <w:p w14:paraId="3B40142C">
      <w:pPr>
        <w:keepNext w:val="0"/>
        <w:keepLines w:val="0"/>
        <w:pageBreakBefore w:val="0"/>
        <w:widowControl/>
        <w:suppressLineNumbers w:val="0"/>
        <w:kinsoku/>
        <w:wordWrap/>
        <w:overflowPunct/>
        <w:topLinePunct w:val="0"/>
        <w:autoSpaceDE/>
        <w:autoSpaceDN/>
        <w:bidi w:val="0"/>
        <w:adjustRightInd/>
        <w:snapToGrid/>
        <w:spacing w:line="360" w:lineRule="auto"/>
        <w:ind w:firstLine="422" w:firstLineChars="200"/>
        <w:jc w:val="left"/>
        <w:textAlignment w:val="auto"/>
        <w:rPr>
          <w:rFonts w:hint="eastAsia" w:ascii="宋体" w:hAnsi="宋体" w:eastAsia="宋体" w:cs="宋体"/>
          <w:b/>
          <w:bCs/>
          <w:color w:val="auto"/>
          <w:kern w:val="0"/>
          <w:sz w:val="21"/>
          <w:szCs w:val="21"/>
          <w:highlight w:val="none"/>
          <w:lang w:val="en-US" w:eastAsia="zh-CN" w:bidi="ar"/>
        </w:rPr>
      </w:pPr>
      <w:r>
        <w:rPr>
          <w:rFonts w:hint="eastAsia" w:ascii="宋体" w:hAnsi="宋体" w:eastAsia="宋体" w:cs="宋体"/>
          <w:b/>
          <w:bCs/>
          <w:color w:val="auto"/>
          <w:kern w:val="0"/>
          <w:sz w:val="21"/>
          <w:szCs w:val="21"/>
          <w:highlight w:val="none"/>
          <w:u w:val="single"/>
          <w:lang w:val="en-US" w:eastAsia="zh-CN" w:bidi="ar"/>
        </w:rPr>
        <w:t xml:space="preserve"> 离子色谱仪 </w:t>
      </w:r>
      <w:r>
        <w:rPr>
          <w:rFonts w:hint="eastAsia" w:ascii="宋体" w:hAnsi="宋体" w:eastAsia="宋体" w:cs="宋体"/>
          <w:b/>
          <w:bCs/>
          <w:color w:val="auto"/>
          <w:kern w:val="0"/>
          <w:sz w:val="21"/>
          <w:szCs w:val="21"/>
          <w:highlight w:val="none"/>
          <w:lang w:val="en-US" w:eastAsia="zh-CN" w:bidi="ar"/>
        </w:rPr>
        <w:t>产品为本次采购的核心产品。</w:t>
      </w:r>
    </w:p>
    <w:p w14:paraId="2C6928BE">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宋体" w:hAnsi="宋体" w:eastAsia="宋体" w:cs="宋体"/>
          <w:b/>
          <w:bCs/>
          <w:color w:val="auto"/>
          <w:kern w:val="0"/>
          <w:sz w:val="21"/>
          <w:szCs w:val="21"/>
          <w:highlight w:val="none"/>
          <w:lang w:val="en-US" w:eastAsia="zh-CN" w:bidi="ar"/>
        </w:rPr>
      </w:pPr>
      <w:r>
        <w:rPr>
          <w:rFonts w:hint="eastAsia" w:cs="宋体"/>
          <w:b/>
          <w:bCs/>
          <w:color w:val="auto"/>
          <w:kern w:val="0"/>
          <w:sz w:val="21"/>
          <w:szCs w:val="21"/>
          <w:highlight w:val="none"/>
          <w:lang w:val="en-US" w:eastAsia="zh-CN" w:bidi="ar"/>
        </w:rPr>
        <w:t>五</w:t>
      </w:r>
      <w:r>
        <w:rPr>
          <w:rFonts w:hint="eastAsia" w:ascii="宋体" w:hAnsi="宋体" w:eastAsia="宋体" w:cs="宋体"/>
          <w:b/>
          <w:bCs/>
          <w:color w:val="auto"/>
          <w:kern w:val="0"/>
          <w:sz w:val="21"/>
          <w:szCs w:val="21"/>
          <w:highlight w:val="none"/>
          <w:lang w:val="en-US" w:eastAsia="zh-CN" w:bidi="ar"/>
        </w:rPr>
        <w:t>、履约验收要求</w:t>
      </w:r>
    </w:p>
    <w:p w14:paraId="6E660012">
      <w:pPr>
        <w:numPr>
          <w:ilvl w:val="0"/>
          <w:numId w:val="0"/>
        </w:numPr>
        <w:adjustRightInd w:val="0"/>
        <w:snapToGrid w:val="0"/>
        <w:spacing w:before="0" w:beforeLines="0" w:line="400" w:lineRule="exact"/>
        <w:ind w:firstLine="420" w:firstLineChars="200"/>
        <w:rPr>
          <w:rFonts w:hint="eastAsia" w:ascii="宋体" w:hAnsi="宋体" w:eastAsia="宋体" w:cs="Times New Roman"/>
          <w:bCs/>
          <w:color w:val="auto"/>
          <w:szCs w:val="21"/>
          <w:highlight w:val="none"/>
        </w:rPr>
      </w:pPr>
      <w:bookmarkStart w:id="720" w:name="_Toc11301"/>
      <w:r>
        <w:rPr>
          <w:rFonts w:hint="eastAsia" w:ascii="宋体" w:hAnsi="宋体" w:eastAsia="宋体" w:cs="Times New Roman"/>
          <w:bCs/>
          <w:color w:val="auto"/>
          <w:kern w:val="2"/>
          <w:sz w:val="21"/>
          <w:szCs w:val="21"/>
          <w:highlight w:val="none"/>
          <w:lang w:val="en-US" w:eastAsia="zh-CN" w:bidi="ar-SA"/>
        </w:rPr>
        <w:t>（1）</w:t>
      </w:r>
      <w:r>
        <w:rPr>
          <w:rFonts w:hint="eastAsia" w:ascii="宋体" w:hAnsi="宋体" w:eastAsia="宋体" w:cs="Times New Roman"/>
          <w:bCs/>
          <w:color w:val="auto"/>
          <w:szCs w:val="21"/>
          <w:highlight w:val="none"/>
        </w:rPr>
        <w:t>验收组织方式：</w:t>
      </w:r>
      <w:r>
        <w:rPr>
          <w:rFonts w:hint="eastAsia" w:ascii="宋体" w:hAnsi="宋体" w:eastAsia="宋体" w:cs="宋体"/>
          <w:color w:val="auto"/>
          <w:sz w:val="21"/>
          <w:szCs w:val="21"/>
          <w:highlight w:val="none"/>
        </w:rPr>
        <w:sym w:font="Wingdings" w:char="00FE"/>
      </w:r>
      <w:r>
        <w:rPr>
          <w:rFonts w:hint="eastAsia" w:ascii="宋体" w:hAnsi="宋体" w:eastAsia="宋体" w:cs="Times New Roman"/>
          <w:bCs/>
          <w:color w:val="auto"/>
          <w:szCs w:val="21"/>
          <w:highlight w:val="none"/>
        </w:rPr>
        <w:t xml:space="preserve">自行组织 </w:t>
      </w:r>
      <w:r>
        <w:rPr>
          <w:rFonts w:hint="eastAsia" w:ascii="宋体" w:hAnsi="宋体" w:eastAsia="宋体" w:cs="宋体"/>
          <w:color w:val="auto"/>
          <w:sz w:val="21"/>
          <w:szCs w:val="21"/>
          <w:highlight w:val="none"/>
        </w:rPr>
        <w:sym w:font="Wingdings" w:char="00A8"/>
      </w:r>
      <w:r>
        <w:rPr>
          <w:rFonts w:hint="eastAsia" w:ascii="宋体" w:hAnsi="宋体" w:eastAsia="宋体" w:cs="Times New Roman"/>
          <w:bCs/>
          <w:color w:val="auto"/>
          <w:szCs w:val="21"/>
          <w:highlight w:val="none"/>
        </w:rPr>
        <w:t>委托第三方组织</w:t>
      </w:r>
    </w:p>
    <w:p w14:paraId="75FE811B">
      <w:pPr>
        <w:numPr>
          <w:ilvl w:val="0"/>
          <w:numId w:val="0"/>
        </w:numPr>
        <w:adjustRightInd w:val="0"/>
        <w:snapToGrid w:val="0"/>
        <w:spacing w:before="0" w:beforeLines="0" w:line="400" w:lineRule="exact"/>
        <w:rPr>
          <w:rFonts w:ascii="宋体" w:hAnsi="宋体" w:eastAsia="宋体" w:cs="Times New Roman"/>
          <w:bCs/>
          <w:color w:val="auto"/>
          <w:szCs w:val="21"/>
          <w:highlight w:val="none"/>
        </w:rPr>
      </w:pPr>
      <w:r>
        <w:rPr>
          <w:rFonts w:hint="eastAsia" w:ascii="宋体" w:hAnsi="宋体" w:eastAsia="宋体" w:cs="Times New Roman"/>
          <w:bCs/>
          <w:color w:val="auto"/>
          <w:szCs w:val="21"/>
          <w:highlight w:val="none"/>
          <w:lang w:val="en-US" w:eastAsia="zh-CN"/>
        </w:rPr>
        <w:t xml:space="preserve">        </w:t>
      </w:r>
      <w:r>
        <w:rPr>
          <w:rFonts w:hint="eastAsia" w:ascii="宋体" w:hAnsi="宋体" w:eastAsia="宋体" w:cs="Times New Roman"/>
          <w:bCs/>
          <w:color w:val="auto"/>
          <w:szCs w:val="21"/>
          <w:highlight w:val="none"/>
        </w:rPr>
        <w:t>验收主体：</w:t>
      </w:r>
      <w:r>
        <w:rPr>
          <w:rFonts w:hint="eastAsia" w:ascii="宋体" w:hAnsi="宋体" w:eastAsia="宋体" w:cs="Times New Roman"/>
          <w:bCs/>
          <w:color w:val="auto"/>
          <w:szCs w:val="21"/>
          <w:highlight w:val="none"/>
          <w:u w:val="single"/>
        </w:rPr>
        <w:t xml:space="preserve">  河南省周口生态环境监测中心  </w:t>
      </w:r>
    </w:p>
    <w:p w14:paraId="34FB835B">
      <w:pPr>
        <w:adjustRightInd w:val="0"/>
        <w:snapToGrid w:val="0"/>
        <w:spacing w:before="0" w:beforeLines="0" w:line="400" w:lineRule="exact"/>
        <w:ind w:firstLine="0" w:firstLineChars="0"/>
        <w:rPr>
          <w:rFonts w:ascii="宋体" w:hAnsi="宋体" w:eastAsia="宋体" w:cs="Times New Roman"/>
          <w:bCs/>
          <w:color w:val="auto"/>
          <w:szCs w:val="21"/>
          <w:highlight w:val="none"/>
        </w:rPr>
      </w:pPr>
      <w:r>
        <w:rPr>
          <w:rFonts w:hint="eastAsia" w:ascii="宋体" w:hAnsi="宋体" w:eastAsia="宋体" w:cs="Times New Roman"/>
          <w:bCs/>
          <w:color w:val="auto"/>
          <w:szCs w:val="21"/>
          <w:highlight w:val="none"/>
          <w:lang w:val="en-US" w:eastAsia="zh-CN"/>
        </w:rPr>
        <w:t xml:space="preserve">        </w:t>
      </w:r>
      <w:r>
        <w:rPr>
          <w:rFonts w:hint="eastAsia" w:ascii="宋体" w:hAnsi="宋体" w:eastAsia="宋体" w:cs="Times New Roman"/>
          <w:bCs/>
          <w:color w:val="auto"/>
          <w:szCs w:val="21"/>
          <w:highlight w:val="none"/>
        </w:rPr>
        <w:t>是否邀请本项目的其他供应商</w:t>
      </w:r>
      <w:r>
        <w:rPr>
          <w:rFonts w:hint="eastAsia" w:ascii="宋体" w:hAnsi="宋体" w:eastAsia="宋体" w:cs="Times New Roman"/>
          <w:bCs/>
          <w:color w:val="auto"/>
          <w:szCs w:val="21"/>
          <w:highlight w:val="none"/>
          <w:lang w:eastAsia="zh-CN"/>
        </w:rPr>
        <w:t>参加验收</w:t>
      </w:r>
      <w:r>
        <w:rPr>
          <w:rFonts w:hint="eastAsia" w:ascii="宋体" w:hAnsi="宋体" w:eastAsia="宋体" w:cs="Times New Roman"/>
          <w:bCs/>
          <w:color w:val="auto"/>
          <w:szCs w:val="21"/>
          <w:highlight w:val="none"/>
        </w:rPr>
        <w:t>：</w:t>
      </w:r>
      <w:r>
        <w:rPr>
          <w:rFonts w:hint="eastAsia" w:ascii="宋体" w:hAnsi="宋体" w:eastAsia="宋体" w:cs="宋体"/>
          <w:color w:val="auto"/>
          <w:sz w:val="21"/>
          <w:szCs w:val="21"/>
          <w:highlight w:val="none"/>
        </w:rPr>
        <w:sym w:font="Wingdings" w:char="00A8"/>
      </w:r>
      <w:r>
        <w:rPr>
          <w:rFonts w:hint="eastAsia" w:ascii="宋体" w:hAnsi="宋体" w:eastAsia="宋体" w:cs="Times New Roman"/>
          <w:bCs/>
          <w:color w:val="auto"/>
          <w:szCs w:val="21"/>
          <w:highlight w:val="none"/>
        </w:rPr>
        <w:t xml:space="preserve">是  </w:t>
      </w:r>
      <w:r>
        <w:rPr>
          <w:rFonts w:hint="eastAsia" w:ascii="宋体" w:hAnsi="宋体" w:eastAsia="宋体" w:cs="宋体"/>
          <w:color w:val="auto"/>
          <w:sz w:val="21"/>
          <w:szCs w:val="21"/>
          <w:highlight w:val="none"/>
        </w:rPr>
        <w:sym w:font="Wingdings" w:char="00FE"/>
      </w:r>
      <w:r>
        <w:rPr>
          <w:rFonts w:hint="eastAsia" w:ascii="宋体" w:hAnsi="宋体" w:eastAsia="宋体" w:cs="Times New Roman"/>
          <w:bCs/>
          <w:color w:val="auto"/>
          <w:szCs w:val="21"/>
          <w:highlight w:val="none"/>
        </w:rPr>
        <w:t>否</w:t>
      </w:r>
    </w:p>
    <w:p w14:paraId="0C1444D2">
      <w:pPr>
        <w:adjustRightInd w:val="0"/>
        <w:snapToGrid w:val="0"/>
        <w:spacing w:before="0" w:beforeLines="0" w:line="400" w:lineRule="exact"/>
        <w:ind w:firstLine="840" w:firstLineChars="400"/>
        <w:rPr>
          <w:rFonts w:ascii="宋体" w:hAnsi="宋体" w:eastAsia="宋体" w:cs="Times New Roman"/>
          <w:bCs/>
          <w:color w:val="auto"/>
          <w:szCs w:val="21"/>
          <w:highlight w:val="none"/>
        </w:rPr>
      </w:pPr>
      <w:r>
        <w:rPr>
          <w:rFonts w:hint="eastAsia" w:ascii="宋体" w:hAnsi="宋体" w:eastAsia="宋体" w:cs="Times New Roman"/>
          <w:bCs/>
          <w:color w:val="auto"/>
          <w:szCs w:val="21"/>
          <w:highlight w:val="none"/>
        </w:rPr>
        <w:t>是否邀请专家</w:t>
      </w:r>
      <w:r>
        <w:rPr>
          <w:rFonts w:hint="eastAsia" w:ascii="宋体" w:hAnsi="宋体" w:eastAsia="宋体" w:cs="Times New Roman"/>
          <w:bCs/>
          <w:color w:val="auto"/>
          <w:szCs w:val="21"/>
          <w:highlight w:val="none"/>
          <w:lang w:eastAsia="zh-CN"/>
        </w:rPr>
        <w:t>参加验收</w:t>
      </w:r>
      <w:r>
        <w:rPr>
          <w:rFonts w:hint="eastAsia" w:ascii="宋体" w:hAnsi="宋体" w:eastAsia="宋体" w:cs="Times New Roman"/>
          <w:bCs/>
          <w:color w:val="auto"/>
          <w:szCs w:val="21"/>
          <w:highlight w:val="none"/>
        </w:rPr>
        <w:t>：</w:t>
      </w:r>
      <w:r>
        <w:rPr>
          <w:rFonts w:hint="eastAsia" w:ascii="宋体" w:hAnsi="宋体" w:eastAsia="宋体" w:cs="宋体"/>
          <w:color w:val="auto"/>
          <w:sz w:val="21"/>
          <w:szCs w:val="21"/>
          <w:highlight w:val="none"/>
        </w:rPr>
        <w:sym w:font="Wingdings" w:char="00FE"/>
      </w:r>
      <w:r>
        <w:rPr>
          <w:rFonts w:hint="eastAsia" w:ascii="宋体" w:hAnsi="宋体" w:eastAsia="宋体" w:cs="Times New Roman"/>
          <w:bCs/>
          <w:color w:val="auto"/>
          <w:szCs w:val="21"/>
          <w:highlight w:val="none"/>
        </w:rPr>
        <w:t xml:space="preserve">是  </w:t>
      </w:r>
      <w:r>
        <w:rPr>
          <w:rFonts w:hint="eastAsia" w:ascii="宋体" w:hAnsi="宋体" w:eastAsia="宋体" w:cs="宋体"/>
          <w:color w:val="auto"/>
          <w:sz w:val="21"/>
          <w:szCs w:val="21"/>
          <w:highlight w:val="none"/>
        </w:rPr>
        <w:sym w:font="Wingdings" w:char="00A8"/>
      </w:r>
      <w:r>
        <w:rPr>
          <w:rFonts w:hint="eastAsia" w:ascii="宋体" w:hAnsi="宋体" w:eastAsia="宋体" w:cs="Times New Roman"/>
          <w:bCs/>
          <w:color w:val="auto"/>
          <w:szCs w:val="21"/>
          <w:highlight w:val="none"/>
        </w:rPr>
        <w:t>否</w:t>
      </w:r>
    </w:p>
    <w:p w14:paraId="4690D519">
      <w:pPr>
        <w:adjustRightInd w:val="0"/>
        <w:snapToGrid w:val="0"/>
        <w:spacing w:before="0" w:beforeLines="0" w:line="400" w:lineRule="exact"/>
        <w:ind w:firstLine="840" w:firstLineChars="400"/>
        <w:rPr>
          <w:rFonts w:ascii="宋体" w:hAnsi="宋体" w:eastAsia="宋体" w:cs="Times New Roman"/>
          <w:bCs/>
          <w:color w:val="auto"/>
          <w:szCs w:val="21"/>
          <w:highlight w:val="none"/>
        </w:rPr>
      </w:pPr>
      <w:r>
        <w:rPr>
          <w:rFonts w:hint="eastAsia" w:ascii="宋体" w:hAnsi="宋体" w:eastAsia="宋体" w:cs="Times New Roman"/>
          <w:bCs/>
          <w:color w:val="auto"/>
          <w:szCs w:val="21"/>
          <w:highlight w:val="none"/>
        </w:rPr>
        <w:t>是否邀请服务对象</w:t>
      </w:r>
      <w:r>
        <w:rPr>
          <w:rFonts w:hint="eastAsia" w:ascii="宋体" w:hAnsi="宋体" w:eastAsia="宋体" w:cs="Times New Roman"/>
          <w:bCs/>
          <w:color w:val="auto"/>
          <w:szCs w:val="21"/>
          <w:highlight w:val="none"/>
          <w:lang w:eastAsia="zh-CN"/>
        </w:rPr>
        <w:t>参加验收</w:t>
      </w:r>
      <w:r>
        <w:rPr>
          <w:rFonts w:hint="eastAsia" w:ascii="宋体" w:hAnsi="宋体" w:eastAsia="宋体" w:cs="Times New Roman"/>
          <w:bCs/>
          <w:color w:val="auto"/>
          <w:szCs w:val="21"/>
          <w:highlight w:val="none"/>
        </w:rPr>
        <w:t>：</w:t>
      </w:r>
      <w:r>
        <w:rPr>
          <w:rFonts w:hint="eastAsia" w:ascii="宋体" w:hAnsi="宋体" w:eastAsia="宋体" w:cs="宋体"/>
          <w:color w:val="auto"/>
          <w:sz w:val="21"/>
          <w:szCs w:val="21"/>
          <w:highlight w:val="none"/>
        </w:rPr>
        <w:sym w:font="Wingdings" w:char="00A8"/>
      </w:r>
      <w:r>
        <w:rPr>
          <w:rFonts w:hint="eastAsia" w:ascii="宋体" w:hAnsi="宋体" w:eastAsia="宋体" w:cs="Times New Roman"/>
          <w:bCs/>
          <w:color w:val="auto"/>
          <w:szCs w:val="21"/>
          <w:highlight w:val="none"/>
        </w:rPr>
        <w:t xml:space="preserve">是  </w:t>
      </w:r>
      <w:r>
        <w:rPr>
          <w:rFonts w:hint="eastAsia" w:ascii="宋体" w:hAnsi="宋体" w:eastAsia="宋体" w:cs="宋体"/>
          <w:color w:val="auto"/>
          <w:sz w:val="21"/>
          <w:szCs w:val="21"/>
          <w:highlight w:val="none"/>
        </w:rPr>
        <w:sym w:font="Wingdings" w:char="00FE"/>
      </w:r>
      <w:r>
        <w:rPr>
          <w:rFonts w:hint="eastAsia" w:ascii="宋体" w:hAnsi="宋体" w:eastAsia="宋体" w:cs="Times New Roman"/>
          <w:bCs/>
          <w:color w:val="auto"/>
          <w:szCs w:val="21"/>
          <w:highlight w:val="none"/>
        </w:rPr>
        <w:t>否</w:t>
      </w:r>
    </w:p>
    <w:p w14:paraId="1EE88BF3">
      <w:pPr>
        <w:adjustRightInd w:val="0"/>
        <w:snapToGrid w:val="0"/>
        <w:spacing w:before="0" w:beforeLines="0" w:line="400" w:lineRule="exact"/>
        <w:ind w:firstLine="840" w:firstLineChars="400"/>
        <w:rPr>
          <w:rFonts w:ascii="宋体" w:hAnsi="宋体" w:eastAsia="宋体" w:cs="Times New Roman"/>
          <w:bCs/>
          <w:color w:val="auto"/>
          <w:szCs w:val="21"/>
          <w:highlight w:val="none"/>
        </w:rPr>
      </w:pPr>
      <w:r>
        <w:rPr>
          <w:rFonts w:hint="eastAsia" w:ascii="宋体" w:hAnsi="宋体" w:eastAsia="宋体" w:cs="Times New Roman"/>
          <w:bCs/>
          <w:color w:val="auto"/>
          <w:szCs w:val="21"/>
          <w:highlight w:val="none"/>
        </w:rPr>
        <w:t>是否邀请第三方检测机构</w:t>
      </w:r>
      <w:r>
        <w:rPr>
          <w:rFonts w:hint="eastAsia" w:ascii="宋体" w:hAnsi="宋体" w:eastAsia="宋体" w:cs="Times New Roman"/>
          <w:bCs/>
          <w:color w:val="auto"/>
          <w:szCs w:val="21"/>
          <w:highlight w:val="none"/>
          <w:lang w:eastAsia="zh-CN"/>
        </w:rPr>
        <w:t>参加验收</w:t>
      </w:r>
      <w:r>
        <w:rPr>
          <w:rFonts w:hint="eastAsia" w:ascii="宋体" w:hAnsi="宋体" w:eastAsia="宋体" w:cs="Times New Roman"/>
          <w:bCs/>
          <w:color w:val="auto"/>
          <w:szCs w:val="21"/>
          <w:highlight w:val="none"/>
        </w:rPr>
        <w:t>：</w:t>
      </w:r>
      <w:r>
        <w:rPr>
          <w:rFonts w:hint="eastAsia" w:ascii="宋体" w:hAnsi="宋体" w:eastAsia="宋体" w:cs="宋体"/>
          <w:color w:val="auto"/>
          <w:sz w:val="21"/>
          <w:szCs w:val="21"/>
          <w:highlight w:val="none"/>
        </w:rPr>
        <w:sym w:font="Wingdings" w:char="00A8"/>
      </w:r>
      <w:r>
        <w:rPr>
          <w:rFonts w:hint="eastAsia" w:ascii="宋体" w:hAnsi="宋体" w:eastAsia="宋体" w:cs="Times New Roman"/>
          <w:bCs/>
          <w:color w:val="auto"/>
          <w:szCs w:val="21"/>
          <w:highlight w:val="none"/>
        </w:rPr>
        <w:t xml:space="preserve">是  </w:t>
      </w:r>
      <w:r>
        <w:rPr>
          <w:rFonts w:hint="eastAsia" w:ascii="宋体" w:hAnsi="宋体" w:eastAsia="宋体" w:cs="宋体"/>
          <w:color w:val="auto"/>
          <w:sz w:val="21"/>
          <w:szCs w:val="21"/>
          <w:highlight w:val="none"/>
        </w:rPr>
        <w:sym w:font="Wingdings" w:char="00FE"/>
      </w:r>
      <w:r>
        <w:rPr>
          <w:rFonts w:hint="eastAsia" w:ascii="宋体" w:hAnsi="宋体" w:eastAsia="宋体" w:cs="Times New Roman"/>
          <w:bCs/>
          <w:color w:val="auto"/>
          <w:szCs w:val="21"/>
          <w:highlight w:val="none"/>
        </w:rPr>
        <w:t>否</w:t>
      </w:r>
    </w:p>
    <w:p w14:paraId="6580CD31">
      <w:pPr>
        <w:adjustRightInd w:val="0"/>
        <w:snapToGrid w:val="0"/>
        <w:spacing w:before="0" w:beforeLines="0" w:line="400" w:lineRule="exact"/>
        <w:ind w:firstLine="840" w:firstLineChars="400"/>
        <w:rPr>
          <w:rFonts w:hint="eastAsia" w:ascii="宋体" w:hAnsi="宋体" w:eastAsia="宋体" w:cs="Times New Roman"/>
          <w:bCs/>
          <w:color w:val="auto"/>
          <w:szCs w:val="21"/>
          <w:highlight w:val="none"/>
        </w:rPr>
      </w:pPr>
      <w:r>
        <w:rPr>
          <w:rFonts w:hint="eastAsia" w:ascii="宋体" w:hAnsi="宋体" w:eastAsia="宋体" w:cs="Times New Roman"/>
          <w:bCs/>
          <w:color w:val="auto"/>
          <w:szCs w:val="21"/>
          <w:highlight w:val="none"/>
          <w:lang w:eastAsia="zh-CN"/>
        </w:rPr>
        <w:t>是否进行抽查检测：</w:t>
      </w:r>
      <w:r>
        <w:rPr>
          <w:rFonts w:hint="eastAsia" w:ascii="宋体" w:hAnsi="宋体" w:eastAsia="宋体" w:cs="宋体"/>
          <w:color w:val="auto"/>
          <w:sz w:val="21"/>
          <w:szCs w:val="21"/>
          <w:highlight w:val="none"/>
        </w:rPr>
        <w:sym w:font="Wingdings" w:char="00A8"/>
      </w:r>
      <w:r>
        <w:rPr>
          <w:rFonts w:hint="eastAsia" w:ascii="宋体" w:hAnsi="宋体" w:eastAsia="宋体" w:cs="Times New Roman"/>
          <w:bCs/>
          <w:color w:val="auto"/>
          <w:szCs w:val="21"/>
          <w:highlight w:val="none"/>
        </w:rPr>
        <w:t>是</w:t>
      </w:r>
      <w:r>
        <w:rPr>
          <w:rFonts w:hint="eastAsia" w:ascii="宋体" w:hAnsi="宋体" w:eastAsia="宋体" w:cs="Times New Roman"/>
          <w:bCs/>
          <w:color w:val="auto"/>
          <w:szCs w:val="21"/>
          <w:highlight w:val="none"/>
          <w:lang w:eastAsia="zh-CN"/>
        </w:rPr>
        <w:t>，抽查比例：</w:t>
      </w:r>
      <w:r>
        <w:rPr>
          <w:rFonts w:hint="eastAsia" w:ascii="宋体" w:hAnsi="宋体" w:eastAsia="宋体" w:cs="Times New Roman"/>
          <w:bCs/>
          <w:color w:val="auto"/>
          <w:szCs w:val="21"/>
          <w:highlight w:val="none"/>
          <w:u w:val="single"/>
        </w:rPr>
        <w:t xml:space="preserve">   </w:t>
      </w:r>
      <w:r>
        <w:rPr>
          <w:rFonts w:hint="eastAsia" w:ascii="宋体" w:hAnsi="宋体" w:eastAsia="宋体" w:cs="Times New Roman"/>
          <w:bCs/>
          <w:color w:val="auto"/>
          <w:szCs w:val="21"/>
          <w:highlight w:val="none"/>
          <w:u w:val="single"/>
          <w:lang w:val="en-US" w:eastAsia="zh-CN"/>
        </w:rPr>
        <w:t xml:space="preserve">     </w:t>
      </w:r>
      <w:r>
        <w:rPr>
          <w:rFonts w:hint="eastAsia" w:ascii="宋体" w:hAnsi="宋体" w:eastAsia="宋体" w:cs="Times New Roman"/>
          <w:bCs/>
          <w:color w:val="auto"/>
          <w:szCs w:val="21"/>
          <w:highlight w:val="none"/>
        </w:rPr>
        <w:t xml:space="preserve"> </w:t>
      </w:r>
      <w:r>
        <w:rPr>
          <w:rFonts w:hint="eastAsia" w:ascii="宋体" w:hAnsi="宋体" w:eastAsia="宋体" w:cs="宋体"/>
          <w:color w:val="auto"/>
          <w:sz w:val="21"/>
          <w:szCs w:val="21"/>
          <w:highlight w:val="none"/>
        </w:rPr>
        <w:sym w:font="Wingdings" w:char="00FE"/>
      </w:r>
      <w:r>
        <w:rPr>
          <w:rFonts w:hint="eastAsia" w:ascii="宋体" w:hAnsi="宋体" w:eastAsia="宋体" w:cs="Times New Roman"/>
          <w:bCs/>
          <w:color w:val="auto"/>
          <w:szCs w:val="21"/>
          <w:highlight w:val="none"/>
        </w:rPr>
        <w:t>否</w:t>
      </w:r>
    </w:p>
    <w:p w14:paraId="514781F4">
      <w:pPr>
        <w:adjustRightInd w:val="0"/>
        <w:snapToGrid w:val="0"/>
        <w:spacing w:before="0" w:beforeLines="0" w:line="400" w:lineRule="exact"/>
        <w:ind w:firstLine="840" w:firstLineChars="400"/>
        <w:rPr>
          <w:rFonts w:hint="eastAsia" w:ascii="宋体" w:hAnsi="宋体" w:eastAsia="宋体" w:cs="Times New Roman"/>
          <w:bCs/>
          <w:color w:val="auto"/>
          <w:szCs w:val="21"/>
          <w:highlight w:val="none"/>
          <w:u w:val="single"/>
          <w:lang w:eastAsia="zh-CN"/>
        </w:rPr>
      </w:pPr>
      <w:r>
        <w:rPr>
          <w:rFonts w:hint="eastAsia" w:ascii="宋体" w:hAnsi="宋体" w:eastAsia="宋体" w:cs="Times New Roman"/>
          <w:bCs/>
          <w:color w:val="auto"/>
          <w:szCs w:val="21"/>
          <w:highlight w:val="none"/>
          <w:lang w:val="en-US" w:eastAsia="zh-CN"/>
        </w:rPr>
        <w:t>是否存在破坏性检测：</w:t>
      </w:r>
      <w:r>
        <w:rPr>
          <w:rFonts w:hint="eastAsia" w:ascii="宋体" w:hAnsi="宋体" w:eastAsia="宋体" w:cs="宋体"/>
          <w:color w:val="auto"/>
          <w:sz w:val="21"/>
          <w:szCs w:val="21"/>
          <w:highlight w:val="none"/>
        </w:rPr>
        <w:sym w:font="Wingdings" w:char="00A8"/>
      </w:r>
      <w:r>
        <w:rPr>
          <w:rFonts w:hint="eastAsia" w:ascii="宋体" w:hAnsi="宋体" w:eastAsia="宋体" w:cs="Times New Roman"/>
          <w:bCs/>
          <w:color w:val="auto"/>
          <w:szCs w:val="21"/>
          <w:highlight w:val="none"/>
        </w:rPr>
        <w:t>是</w:t>
      </w:r>
      <w:r>
        <w:rPr>
          <w:rFonts w:hint="eastAsia" w:ascii="宋体" w:hAnsi="宋体" w:eastAsia="宋体" w:cs="Times New Roman"/>
          <w:bCs/>
          <w:color w:val="auto"/>
          <w:szCs w:val="21"/>
          <w:highlight w:val="none"/>
          <w:lang w:eastAsia="zh-CN"/>
        </w:rPr>
        <w:t>，</w:t>
      </w:r>
      <w:r>
        <w:rPr>
          <w:rFonts w:hint="eastAsia" w:ascii="宋体" w:hAnsi="宋体" w:eastAsia="宋体" w:cs="Times New Roman"/>
          <w:bCs/>
          <w:color w:val="auto"/>
          <w:szCs w:val="21"/>
          <w:highlight w:val="none"/>
          <w:u w:val="single"/>
          <w:lang w:eastAsia="zh-CN"/>
        </w:rPr>
        <w:t>（应明确对被破坏的检测产品的处理方式）</w:t>
      </w:r>
    </w:p>
    <w:p w14:paraId="45F0B4C3">
      <w:pPr>
        <w:adjustRightInd w:val="0"/>
        <w:snapToGrid w:val="0"/>
        <w:spacing w:before="0" w:beforeLines="0" w:line="400" w:lineRule="exact"/>
        <w:ind w:firstLine="840" w:firstLineChars="400"/>
        <w:rPr>
          <w:rFonts w:hint="eastAsia" w:ascii="宋体" w:hAnsi="宋体" w:eastAsia="宋体" w:cs="Times New Roman"/>
          <w:bCs/>
          <w:color w:val="auto"/>
          <w:szCs w:val="21"/>
          <w:highlight w:val="none"/>
          <w:lang w:eastAsia="zh-CN"/>
        </w:rPr>
      </w:pPr>
      <w:r>
        <w:rPr>
          <w:rFonts w:hint="eastAsia" w:ascii="宋体" w:hAnsi="宋体" w:eastAsia="宋体" w:cs="Times New Roman"/>
          <w:bCs/>
          <w:color w:val="auto"/>
          <w:szCs w:val="21"/>
          <w:highlight w:val="none"/>
          <w:lang w:val="en-US" w:eastAsia="zh-CN"/>
        </w:rPr>
        <w:t xml:space="preserve">                    </w:t>
      </w:r>
      <w:r>
        <w:rPr>
          <w:rFonts w:hint="eastAsia" w:ascii="宋体" w:hAnsi="宋体" w:eastAsia="宋体" w:cs="宋体"/>
          <w:color w:val="auto"/>
          <w:sz w:val="21"/>
          <w:szCs w:val="21"/>
          <w:highlight w:val="none"/>
        </w:rPr>
        <w:sym w:font="Wingdings" w:char="00FE"/>
      </w:r>
      <w:r>
        <w:rPr>
          <w:rFonts w:hint="eastAsia" w:ascii="宋体" w:hAnsi="宋体" w:eastAsia="宋体" w:cs="Times New Roman"/>
          <w:bCs/>
          <w:color w:val="auto"/>
          <w:szCs w:val="21"/>
          <w:highlight w:val="none"/>
        </w:rPr>
        <w:t>否</w:t>
      </w:r>
    </w:p>
    <w:p w14:paraId="73B2D076">
      <w:pPr>
        <w:adjustRightInd w:val="0"/>
        <w:snapToGrid w:val="0"/>
        <w:spacing w:before="0" w:beforeLines="0" w:line="400" w:lineRule="exact"/>
        <w:ind w:firstLine="840" w:firstLineChars="400"/>
        <w:rPr>
          <w:rFonts w:hint="eastAsia" w:ascii="宋体" w:hAnsi="宋体" w:eastAsia="宋体" w:cs="Times New Roman"/>
          <w:bCs/>
          <w:color w:val="auto"/>
          <w:szCs w:val="21"/>
          <w:highlight w:val="none"/>
          <w:u w:val="single"/>
        </w:rPr>
      </w:pPr>
      <w:r>
        <w:rPr>
          <w:rFonts w:hint="eastAsia" w:ascii="宋体" w:hAnsi="宋体" w:eastAsia="宋体" w:cs="Times New Roman"/>
          <w:bCs/>
          <w:color w:val="auto"/>
          <w:szCs w:val="21"/>
          <w:highlight w:val="none"/>
        </w:rPr>
        <w:t>验收组织的其他事项：</w:t>
      </w:r>
      <w:r>
        <w:rPr>
          <w:rFonts w:hint="eastAsia" w:ascii="宋体" w:hAnsi="宋体" w:eastAsia="宋体" w:cs="Times New Roman"/>
          <w:bCs/>
          <w:color w:val="auto"/>
          <w:szCs w:val="21"/>
          <w:highlight w:val="none"/>
          <w:u w:val="single"/>
        </w:rPr>
        <w:t xml:space="preserve">     </w:t>
      </w:r>
      <w:r>
        <w:rPr>
          <w:rFonts w:hint="eastAsia" w:ascii="宋体" w:hAnsi="宋体" w:eastAsia="宋体" w:cs="Times New Roman"/>
          <w:bCs/>
          <w:color w:val="auto"/>
          <w:szCs w:val="21"/>
          <w:highlight w:val="none"/>
          <w:u w:val="single"/>
          <w:lang w:val="en-US" w:eastAsia="zh-CN"/>
        </w:rPr>
        <w:t>/</w:t>
      </w:r>
      <w:r>
        <w:rPr>
          <w:rFonts w:hint="eastAsia" w:ascii="宋体" w:hAnsi="宋体" w:eastAsia="宋体" w:cs="Times New Roman"/>
          <w:bCs/>
          <w:color w:val="auto"/>
          <w:szCs w:val="21"/>
          <w:highlight w:val="none"/>
          <w:u w:val="single"/>
        </w:rPr>
        <w:t xml:space="preserve">         </w:t>
      </w:r>
    </w:p>
    <w:p w14:paraId="514585AC">
      <w:pPr>
        <w:adjustRightInd w:val="0"/>
        <w:snapToGrid w:val="0"/>
        <w:spacing w:before="0" w:beforeLines="0" w:line="400" w:lineRule="exact"/>
        <w:ind w:firstLine="420" w:firstLineChars="200"/>
        <w:rPr>
          <w:rFonts w:hint="eastAsia" w:ascii="宋体" w:hAnsi="宋体" w:eastAsia="宋体" w:cs="Times New Roman"/>
          <w:bCs/>
          <w:color w:val="auto"/>
          <w:szCs w:val="21"/>
          <w:highlight w:val="none"/>
          <w:u w:val="single"/>
        </w:rPr>
      </w:pPr>
      <w:r>
        <w:rPr>
          <w:rFonts w:hint="eastAsia" w:ascii="宋体" w:hAnsi="宋体" w:eastAsia="宋体" w:cs="Times New Roman"/>
          <w:bCs/>
          <w:color w:val="auto"/>
          <w:szCs w:val="21"/>
          <w:highlight w:val="none"/>
        </w:rPr>
        <w:t>（2）履约验收时间：</w:t>
      </w:r>
      <w:r>
        <w:rPr>
          <w:rFonts w:hint="eastAsia" w:ascii="宋体" w:hAnsi="宋体" w:eastAsia="宋体" w:cs="Times New Roman"/>
          <w:bCs/>
          <w:color w:val="auto"/>
          <w:szCs w:val="21"/>
          <w:highlight w:val="none"/>
          <w:u w:val="single"/>
        </w:rPr>
        <w:t>（计划于何时验收/供应商提出验收申请之日起</w:t>
      </w:r>
      <w:r>
        <w:rPr>
          <w:rFonts w:hint="eastAsia" w:ascii="宋体" w:hAnsi="宋体" w:eastAsia="宋体" w:cs="Times New Roman"/>
          <w:bCs/>
          <w:color w:val="auto"/>
          <w:szCs w:val="21"/>
          <w:highlight w:val="none"/>
          <w:u w:val="single"/>
          <w:lang w:val="en-US" w:eastAsia="zh-CN"/>
        </w:rPr>
        <w:t>7</w:t>
      </w:r>
      <w:r>
        <w:rPr>
          <w:rFonts w:hint="eastAsia" w:ascii="宋体" w:hAnsi="宋体" w:eastAsia="宋体" w:cs="Times New Roman"/>
          <w:bCs/>
          <w:color w:val="auto"/>
          <w:szCs w:val="21"/>
          <w:highlight w:val="none"/>
          <w:u w:val="single"/>
        </w:rPr>
        <w:t>日内组织验收）</w:t>
      </w:r>
      <w:r>
        <w:rPr>
          <w:rFonts w:hint="eastAsia" w:ascii="宋体" w:hAnsi="宋体" w:eastAsia="宋体" w:cs="Times New Roman"/>
          <w:bCs/>
          <w:color w:val="auto"/>
          <w:szCs w:val="21"/>
          <w:highlight w:val="none"/>
          <w:u w:val="single"/>
          <w:lang w:val="en-US" w:eastAsia="zh-CN"/>
        </w:rPr>
        <w:t xml:space="preserve"> </w:t>
      </w:r>
    </w:p>
    <w:p w14:paraId="1B1D6EE5">
      <w:pPr>
        <w:adjustRightInd w:val="0"/>
        <w:snapToGrid w:val="0"/>
        <w:spacing w:before="0" w:beforeLines="0" w:line="400" w:lineRule="exact"/>
        <w:ind w:firstLine="420" w:firstLineChars="200"/>
        <w:rPr>
          <w:rFonts w:hint="eastAsia" w:ascii="宋体" w:hAnsi="宋体" w:eastAsia="宋体" w:cs="Times New Roman"/>
          <w:bCs/>
          <w:color w:val="auto"/>
          <w:szCs w:val="21"/>
          <w:highlight w:val="none"/>
        </w:rPr>
      </w:pPr>
      <w:r>
        <w:rPr>
          <w:rFonts w:hint="eastAsia" w:ascii="宋体" w:hAnsi="宋体" w:eastAsia="宋体" w:cs="Times New Roman"/>
          <w:bCs/>
          <w:color w:val="auto"/>
          <w:szCs w:val="21"/>
          <w:highlight w:val="none"/>
        </w:rPr>
        <w:t>（3）履约验收方式：</w:t>
      </w:r>
      <w:r>
        <w:rPr>
          <w:rFonts w:hint="eastAsia" w:ascii="宋体" w:hAnsi="宋体" w:eastAsia="宋体" w:cs="宋体"/>
          <w:color w:val="auto"/>
          <w:sz w:val="21"/>
          <w:szCs w:val="21"/>
          <w:highlight w:val="none"/>
        </w:rPr>
        <w:sym w:font="Wingdings" w:char="00FE"/>
      </w:r>
      <w:r>
        <w:rPr>
          <w:rFonts w:hint="eastAsia" w:ascii="宋体" w:hAnsi="宋体" w:eastAsia="宋体" w:cs="Times New Roman"/>
          <w:bCs/>
          <w:color w:val="auto"/>
          <w:szCs w:val="21"/>
          <w:highlight w:val="none"/>
        </w:rPr>
        <w:t xml:space="preserve">一次性验收         </w:t>
      </w:r>
    </w:p>
    <w:p w14:paraId="072B240D">
      <w:pPr>
        <w:adjustRightInd w:val="0"/>
        <w:snapToGrid w:val="0"/>
        <w:spacing w:before="0" w:beforeLines="0" w:line="400" w:lineRule="exact"/>
        <w:ind w:firstLine="0" w:firstLineChars="0"/>
        <w:rPr>
          <w:rFonts w:hint="eastAsia" w:ascii="宋体" w:hAnsi="宋体" w:eastAsia="宋体" w:cs="Times New Roman"/>
          <w:bCs/>
          <w:color w:val="auto"/>
          <w:szCs w:val="21"/>
          <w:highlight w:val="none"/>
          <w:lang w:val="en-US" w:eastAsia="zh-CN"/>
        </w:rPr>
      </w:pPr>
      <w:r>
        <w:rPr>
          <w:rFonts w:hint="eastAsia" w:ascii="宋体" w:hAnsi="宋体" w:eastAsia="宋体" w:cs="Times New Roman"/>
          <w:bCs/>
          <w:color w:val="auto"/>
          <w:szCs w:val="21"/>
          <w:highlight w:val="none"/>
          <w:lang w:val="en-US" w:eastAsia="zh-CN"/>
        </w:rPr>
        <w:t xml:space="preserve">                       </w:t>
      </w:r>
      <w:r>
        <w:rPr>
          <w:rFonts w:hint="eastAsia" w:ascii="宋体" w:hAnsi="宋体" w:eastAsia="宋体" w:cs="宋体"/>
          <w:color w:val="auto"/>
          <w:sz w:val="21"/>
          <w:szCs w:val="21"/>
          <w:highlight w:val="none"/>
        </w:rPr>
        <w:sym w:font="Wingdings" w:char="00A8"/>
      </w:r>
      <w:r>
        <w:rPr>
          <w:rFonts w:hint="eastAsia" w:ascii="宋体" w:hAnsi="宋体" w:eastAsia="宋体" w:cs="Times New Roman"/>
          <w:bCs/>
          <w:color w:val="auto"/>
          <w:szCs w:val="21"/>
          <w:highlight w:val="none"/>
        </w:rPr>
        <w:t>分期/分项验收</w:t>
      </w:r>
      <w:r>
        <w:rPr>
          <w:rFonts w:hint="eastAsia" w:ascii="宋体" w:hAnsi="宋体" w:eastAsia="宋体" w:cs="Times New Roman"/>
          <w:bCs/>
          <w:color w:val="auto"/>
          <w:szCs w:val="21"/>
          <w:highlight w:val="none"/>
          <w:lang w:eastAsia="zh-CN"/>
        </w:rPr>
        <w:t>：</w:t>
      </w:r>
      <w:r>
        <w:rPr>
          <w:rFonts w:hint="eastAsia" w:ascii="宋体" w:hAnsi="宋体" w:eastAsia="宋体" w:cs="Times New Roman"/>
          <w:bCs/>
          <w:color w:val="auto"/>
          <w:szCs w:val="21"/>
          <w:highlight w:val="none"/>
          <w:u w:val="single"/>
        </w:rPr>
        <w:t xml:space="preserve"> </w:t>
      </w:r>
      <w:r>
        <w:rPr>
          <w:rFonts w:hint="eastAsia" w:ascii="宋体" w:hAnsi="宋体" w:eastAsia="宋体" w:cs="Times New Roman"/>
          <w:bCs/>
          <w:color w:val="auto"/>
          <w:szCs w:val="21"/>
          <w:highlight w:val="none"/>
          <w:u w:val="single"/>
          <w:lang w:eastAsia="zh-CN"/>
        </w:rPr>
        <w:t>（应明确分期</w:t>
      </w:r>
      <w:r>
        <w:rPr>
          <w:rFonts w:hint="default" w:ascii="宋体" w:hAnsi="宋体" w:eastAsia="宋体" w:cs="Times New Roman"/>
          <w:bCs/>
          <w:color w:val="auto"/>
          <w:szCs w:val="21"/>
          <w:highlight w:val="none"/>
          <w:u w:val="single"/>
          <w:lang w:val="en" w:eastAsia="zh-CN"/>
        </w:rPr>
        <w:t>/</w:t>
      </w:r>
      <w:r>
        <w:rPr>
          <w:rFonts w:hint="eastAsia" w:ascii="宋体" w:hAnsi="宋体" w:eastAsia="宋体" w:cs="Times New Roman"/>
          <w:bCs/>
          <w:color w:val="auto"/>
          <w:szCs w:val="21"/>
          <w:highlight w:val="none"/>
          <w:u w:val="single"/>
          <w:lang w:val="en" w:eastAsia="zh-CN"/>
        </w:rPr>
        <w:t>分项验收的工作安排</w:t>
      </w:r>
      <w:r>
        <w:rPr>
          <w:rFonts w:hint="eastAsia" w:ascii="宋体" w:hAnsi="宋体" w:eastAsia="宋体" w:cs="Times New Roman"/>
          <w:bCs/>
          <w:color w:val="auto"/>
          <w:szCs w:val="21"/>
          <w:highlight w:val="none"/>
          <w:u w:val="single"/>
          <w:lang w:eastAsia="zh-CN"/>
        </w:rPr>
        <w:t>）</w:t>
      </w:r>
      <w:r>
        <w:rPr>
          <w:rFonts w:hint="eastAsia" w:ascii="宋体" w:hAnsi="宋体" w:eastAsia="宋体" w:cs="Times New Roman"/>
          <w:bCs/>
          <w:color w:val="auto"/>
          <w:szCs w:val="21"/>
          <w:highlight w:val="none"/>
          <w:u w:val="single"/>
        </w:rPr>
        <w:t xml:space="preserve"> </w:t>
      </w:r>
    </w:p>
    <w:p w14:paraId="21C31526">
      <w:pPr>
        <w:adjustRightInd w:val="0"/>
        <w:snapToGrid w:val="0"/>
        <w:spacing w:before="0" w:beforeLines="0" w:line="400" w:lineRule="exact"/>
        <w:ind w:firstLine="420" w:firstLineChars="200"/>
        <w:rPr>
          <w:color w:val="auto"/>
          <w:highlight w:val="none"/>
        </w:rPr>
      </w:pPr>
      <w:r>
        <w:rPr>
          <w:rFonts w:hint="eastAsia" w:ascii="宋体" w:hAnsi="宋体" w:eastAsia="宋体" w:cs="Times New Roman"/>
          <w:bCs/>
          <w:color w:val="auto"/>
          <w:szCs w:val="21"/>
          <w:highlight w:val="none"/>
        </w:rPr>
        <w:t>（4）履约验收程序：</w:t>
      </w:r>
      <w:r>
        <w:rPr>
          <w:rFonts w:hint="eastAsia" w:ascii="宋体" w:hAnsi="宋体" w:eastAsia="宋体" w:cs="Times New Roman"/>
          <w:bCs/>
          <w:color w:val="auto"/>
          <w:kern w:val="2"/>
          <w:sz w:val="21"/>
          <w:szCs w:val="21"/>
          <w:highlight w:val="none"/>
          <w:u w:val="single"/>
          <w:lang w:val="en-US" w:eastAsia="zh-CN" w:bidi="ar-SA"/>
        </w:rPr>
        <w:t>全部设备供货齐全、安装调试培训完成后，乙方提出申请，甲方组成验收工作组,由采购人领导牵头,财务、审计、监察、资产管理、技术、专家等组成，组织验收。乙方派代表和设备技术人员共同出席。</w:t>
      </w:r>
    </w:p>
    <w:p w14:paraId="39F12EF1">
      <w:pPr>
        <w:adjustRightInd w:val="0"/>
        <w:snapToGrid w:val="0"/>
        <w:spacing w:before="0" w:beforeLines="0" w:line="400" w:lineRule="exact"/>
        <w:ind w:firstLine="420" w:firstLineChars="200"/>
        <w:rPr>
          <w:rFonts w:ascii="宋体" w:hAnsi="宋体" w:eastAsia="宋体" w:cs="Times New Roman"/>
          <w:bCs/>
          <w:color w:val="auto"/>
          <w:szCs w:val="21"/>
          <w:highlight w:val="none"/>
          <w:u w:val="single"/>
        </w:rPr>
      </w:pPr>
      <w:r>
        <w:rPr>
          <w:rFonts w:hint="eastAsia" w:ascii="宋体" w:hAnsi="宋体" w:eastAsia="宋体" w:cs="Times New Roman"/>
          <w:bCs/>
          <w:color w:val="auto"/>
          <w:szCs w:val="21"/>
          <w:highlight w:val="none"/>
        </w:rPr>
        <w:t>（5）履约验收的内容：</w:t>
      </w:r>
      <w:r>
        <w:rPr>
          <w:rFonts w:hint="eastAsia" w:ascii="宋体" w:hAnsi="宋体" w:eastAsia="宋体" w:cs="Times New Roman"/>
          <w:bCs/>
          <w:color w:val="auto"/>
          <w:szCs w:val="21"/>
          <w:highlight w:val="none"/>
          <w:u w:val="single"/>
        </w:rPr>
        <w:t xml:space="preserve"> 离子色谱仪（1套）、全自动红外测油仪（1套）、便携式气相分子吸收光谱仪（1套）、双光束紫外可见分光光度计（1套）、紫外可见分光光度计（1套）、干燥箱（1套）、便携式抽滤装置（1套）、氟离子计（1套）、立式高压蒸汽灭菌器（2套）、CODcr回流消解仪（2套）、便携式浊度计（2套）、便携式pH测定仪（2套）、便携式溶解氧测定仪（2套）、便携式电导率测定仪（2套），</w:t>
      </w:r>
      <w:r>
        <w:rPr>
          <w:rFonts w:hint="eastAsia" w:ascii="宋体" w:hAnsi="宋体"/>
          <w:bCs/>
          <w:color w:val="auto"/>
          <w:szCs w:val="21"/>
          <w:highlight w:val="none"/>
          <w:u w:val="single"/>
        </w:rPr>
        <w:t>包含设备品牌、型号、参数、配置、安装、调试、试运行及</w:t>
      </w:r>
      <w:r>
        <w:rPr>
          <w:rFonts w:hint="eastAsia" w:ascii="宋体" w:hAnsi="宋体"/>
          <w:bCs/>
          <w:color w:val="auto"/>
          <w:szCs w:val="21"/>
          <w:highlight w:val="none"/>
          <w:u w:val="single"/>
          <w:lang w:val="en-US" w:eastAsia="zh-CN"/>
        </w:rPr>
        <w:t>售后</w:t>
      </w:r>
      <w:r>
        <w:rPr>
          <w:rFonts w:hint="eastAsia" w:ascii="宋体" w:hAnsi="宋体"/>
          <w:bCs/>
          <w:color w:val="auto"/>
          <w:szCs w:val="21"/>
          <w:highlight w:val="none"/>
          <w:u w:val="single"/>
        </w:rPr>
        <w:t>等</w:t>
      </w:r>
    </w:p>
    <w:p w14:paraId="4C474A2E">
      <w:pPr>
        <w:adjustRightInd w:val="0"/>
        <w:snapToGrid w:val="0"/>
        <w:spacing w:before="0" w:beforeLines="0" w:line="400" w:lineRule="exact"/>
        <w:ind w:firstLine="420" w:firstLineChars="200"/>
        <w:rPr>
          <w:rFonts w:hint="eastAsia" w:ascii="宋体" w:hAnsi="宋体" w:eastAsia="宋体" w:cs="Times New Roman"/>
          <w:bCs/>
          <w:color w:val="auto"/>
          <w:szCs w:val="21"/>
          <w:highlight w:val="none"/>
          <w:u w:val="single"/>
        </w:rPr>
      </w:pPr>
      <w:r>
        <w:rPr>
          <w:rFonts w:hint="eastAsia" w:ascii="宋体" w:hAnsi="宋体" w:eastAsia="宋体" w:cs="Times New Roman"/>
          <w:bCs/>
          <w:color w:val="auto"/>
          <w:szCs w:val="21"/>
          <w:highlight w:val="none"/>
        </w:rPr>
        <w:t>（6）履约验收标准：</w:t>
      </w:r>
      <w:r>
        <w:rPr>
          <w:rFonts w:hint="eastAsia" w:ascii="宋体" w:hAnsi="宋体" w:eastAsia="宋体" w:cs="Times New Roman"/>
          <w:bCs/>
          <w:color w:val="auto"/>
          <w:szCs w:val="21"/>
          <w:highlight w:val="none"/>
          <w:u w:val="single"/>
        </w:rPr>
        <w:t xml:space="preserve"> 按招标文件、投标文件</w:t>
      </w:r>
      <w:r>
        <w:rPr>
          <w:rFonts w:hint="eastAsia" w:ascii="宋体" w:hAnsi="宋体" w:eastAsia="宋体" w:cs="Times New Roman"/>
          <w:bCs/>
          <w:color w:val="auto"/>
          <w:szCs w:val="21"/>
          <w:highlight w:val="none"/>
          <w:u w:val="single"/>
          <w:lang w:eastAsia="zh-CN"/>
        </w:rPr>
        <w:t>、</w:t>
      </w:r>
      <w:r>
        <w:rPr>
          <w:rFonts w:hint="eastAsia" w:ascii="宋体" w:hAnsi="宋体" w:eastAsia="宋体" w:cs="Times New Roman"/>
          <w:bCs/>
          <w:color w:val="auto"/>
          <w:szCs w:val="21"/>
          <w:highlight w:val="none"/>
          <w:u w:val="single"/>
        </w:rPr>
        <w:t>采购合同</w:t>
      </w:r>
      <w:r>
        <w:rPr>
          <w:rFonts w:hint="eastAsia" w:ascii="宋体" w:hAnsi="宋体" w:eastAsia="宋体" w:cs="Times New Roman"/>
          <w:bCs/>
          <w:color w:val="auto"/>
          <w:szCs w:val="21"/>
          <w:highlight w:val="none"/>
          <w:u w:val="single"/>
          <w:lang w:val="en-US" w:eastAsia="zh-CN"/>
        </w:rPr>
        <w:t>约定，以及国家、地方、行业相关标准执行</w:t>
      </w:r>
      <w:r>
        <w:rPr>
          <w:rFonts w:hint="eastAsia" w:ascii="宋体" w:hAnsi="宋体" w:eastAsia="宋体" w:cs="Times New Roman"/>
          <w:bCs/>
          <w:color w:val="auto"/>
          <w:szCs w:val="21"/>
          <w:highlight w:val="none"/>
          <w:u w:val="single"/>
        </w:rPr>
        <w:t xml:space="preserve"> </w:t>
      </w:r>
    </w:p>
    <w:p w14:paraId="06A0F507">
      <w:pPr>
        <w:autoSpaceDE w:val="0"/>
        <w:autoSpaceDN w:val="0"/>
        <w:adjustRightInd w:val="0"/>
        <w:spacing w:beforeLines="0" w:line="400" w:lineRule="exact"/>
        <w:ind w:firstLine="420" w:firstLineChars="200"/>
        <w:rPr>
          <w:rFonts w:hint="eastAsia" w:ascii="宋体" w:hAnsi="宋体" w:eastAsia="宋体" w:cs="宋体"/>
          <w:color w:val="auto"/>
          <w:sz w:val="21"/>
          <w:szCs w:val="21"/>
          <w:highlight w:val="none"/>
          <w:lang w:val="en-US" w:eastAsia="zh-CN" w:bidi="ar-SA"/>
        </w:rPr>
      </w:pPr>
      <w:r>
        <w:rPr>
          <w:rFonts w:hint="eastAsia" w:ascii="宋体" w:hAnsi="宋体" w:eastAsia="宋体" w:cs="宋体"/>
          <w:bCs/>
          <w:color w:val="auto"/>
          <w:sz w:val="21"/>
          <w:szCs w:val="21"/>
          <w:highlight w:val="none"/>
          <w:u w:val="none"/>
          <w:lang w:val="en-US" w:eastAsia="zh-CN" w:bidi="ar-SA"/>
        </w:rPr>
        <w:t>（7）是否以采购活动中供应商提供的样品作为参考：</w:t>
      </w:r>
      <w:r>
        <w:rPr>
          <w:rFonts w:hint="eastAsia" w:ascii="宋体" w:hAnsi="宋体" w:eastAsia="宋体" w:cs="宋体"/>
          <w:color w:val="auto"/>
          <w:sz w:val="21"/>
          <w:szCs w:val="21"/>
          <w:highlight w:val="none"/>
          <w:lang w:val="en-US" w:eastAsia="zh-CN" w:bidi="ar-SA"/>
        </w:rPr>
        <w:sym w:font="Wingdings" w:char="00A8"/>
      </w:r>
      <w:r>
        <w:rPr>
          <w:rFonts w:hint="eastAsia" w:ascii="宋体" w:hAnsi="宋体" w:eastAsia="宋体" w:cs="宋体"/>
          <w:bCs/>
          <w:color w:val="auto"/>
          <w:sz w:val="21"/>
          <w:szCs w:val="21"/>
          <w:highlight w:val="none"/>
          <w:lang w:val="en-US" w:eastAsia="zh-CN" w:bidi="ar-SA"/>
        </w:rPr>
        <w:t xml:space="preserve">是  </w:t>
      </w:r>
      <w:r>
        <w:rPr>
          <w:rFonts w:hint="eastAsia" w:ascii="宋体" w:hAnsi="宋体" w:eastAsia="宋体" w:cs="宋体"/>
          <w:color w:val="auto"/>
          <w:sz w:val="21"/>
          <w:szCs w:val="21"/>
          <w:highlight w:val="none"/>
          <w:lang w:val="en-US" w:eastAsia="zh-CN" w:bidi="ar-SA"/>
        </w:rPr>
        <w:sym w:font="Wingdings" w:char="00FE"/>
      </w:r>
      <w:r>
        <w:rPr>
          <w:rFonts w:hint="eastAsia" w:ascii="宋体" w:hAnsi="宋体" w:eastAsia="宋体" w:cs="宋体"/>
          <w:bCs/>
          <w:color w:val="auto"/>
          <w:sz w:val="21"/>
          <w:szCs w:val="21"/>
          <w:highlight w:val="none"/>
          <w:lang w:val="en-US" w:eastAsia="zh-CN" w:bidi="ar-SA"/>
        </w:rPr>
        <w:t>否</w:t>
      </w:r>
    </w:p>
    <w:p w14:paraId="797A5122">
      <w:pPr>
        <w:adjustRightInd w:val="0"/>
        <w:snapToGrid w:val="0"/>
        <w:spacing w:before="0" w:beforeLines="0" w:line="400" w:lineRule="exact"/>
        <w:ind w:firstLine="420" w:firstLineChars="200"/>
        <w:rPr>
          <w:rFonts w:hint="eastAsia" w:ascii="宋体" w:hAnsi="宋体" w:eastAsia="宋体" w:cs="宋体"/>
          <w:bCs/>
          <w:color w:val="auto"/>
          <w:szCs w:val="21"/>
          <w:highlight w:val="none"/>
          <w:u w:val="single"/>
        </w:rPr>
      </w:pPr>
      <w:r>
        <w:rPr>
          <w:rFonts w:hint="eastAsia" w:ascii="宋体" w:hAnsi="宋体" w:eastAsia="宋体" w:cs="宋体"/>
          <w:bCs/>
          <w:color w:val="auto"/>
          <w:szCs w:val="21"/>
          <w:highlight w:val="none"/>
        </w:rPr>
        <w:t>（8）履约验收其他事项：</w:t>
      </w:r>
      <w:r>
        <w:rPr>
          <w:rFonts w:hint="eastAsia" w:ascii="宋体" w:hAnsi="宋体" w:eastAsia="宋体" w:cs="宋体"/>
          <w:bCs/>
          <w:color w:val="auto"/>
          <w:szCs w:val="21"/>
          <w:highlight w:val="none"/>
          <w:u w:val="single"/>
        </w:rPr>
        <w:t xml:space="preserve">      </w:t>
      </w:r>
      <w:r>
        <w:rPr>
          <w:rFonts w:hint="eastAsia" w:ascii="宋体" w:hAnsi="宋体" w:eastAsia="宋体" w:cs="宋体"/>
          <w:bCs/>
          <w:i w:val="0"/>
          <w:iCs w:val="0"/>
          <w:color w:val="auto"/>
          <w:szCs w:val="21"/>
          <w:highlight w:val="none"/>
          <w:u w:val="single"/>
        </w:rPr>
        <w:t>（产权过户登记等）</w:t>
      </w:r>
      <w:r>
        <w:rPr>
          <w:rFonts w:hint="eastAsia" w:ascii="宋体" w:hAnsi="宋体" w:eastAsia="宋体" w:cs="宋体"/>
          <w:bCs/>
          <w:color w:val="auto"/>
          <w:szCs w:val="21"/>
          <w:highlight w:val="none"/>
          <w:u w:val="single"/>
        </w:rPr>
        <w:t xml:space="preserve"> </w:t>
      </w:r>
      <w:r>
        <w:rPr>
          <w:rFonts w:hint="eastAsia" w:ascii="宋体" w:hAnsi="宋体" w:eastAsia="宋体" w:cs="宋体"/>
          <w:bCs/>
          <w:color w:val="auto"/>
          <w:szCs w:val="21"/>
          <w:highlight w:val="none"/>
          <w:u w:val="single"/>
          <w:lang w:val="en-US" w:eastAsia="zh-CN"/>
        </w:rPr>
        <w:t>/</w:t>
      </w:r>
      <w:r>
        <w:rPr>
          <w:rFonts w:hint="eastAsia" w:ascii="宋体" w:hAnsi="宋体" w:eastAsia="宋体" w:cs="宋体"/>
          <w:bCs/>
          <w:color w:val="auto"/>
          <w:szCs w:val="21"/>
          <w:highlight w:val="none"/>
          <w:u w:val="single"/>
        </w:rPr>
        <w:t xml:space="preserve">         </w:t>
      </w:r>
    </w:p>
    <w:p w14:paraId="27BB8471">
      <w:pPr>
        <w:keepNext w:val="0"/>
        <w:keepLines w:val="0"/>
        <w:pageBreakBefore w:val="0"/>
        <w:widowControl w:val="0"/>
        <w:kinsoku/>
        <w:wordWrap w:val="0"/>
        <w:overflowPunct/>
        <w:topLinePunct/>
        <w:autoSpaceDE/>
        <w:autoSpaceDN/>
        <w:bidi w:val="0"/>
        <w:adjustRightInd/>
        <w:snapToGrid/>
        <w:spacing w:after="120" w:line="360" w:lineRule="auto"/>
        <w:jc w:val="both"/>
        <w:textAlignment w:val="auto"/>
        <w:rPr>
          <w:rFonts w:hint="eastAsia" w:ascii="宋体" w:hAnsi="宋体" w:eastAsia="宋体" w:cs="宋体"/>
          <w:b/>
          <w:bCs/>
          <w:color w:val="auto"/>
          <w:szCs w:val="21"/>
          <w:highlight w:val="none"/>
          <w:lang w:val="en-US" w:eastAsia="zh-CN"/>
        </w:rPr>
      </w:pPr>
      <w:r>
        <w:rPr>
          <w:rFonts w:hint="eastAsia" w:cs="宋体"/>
          <w:b/>
          <w:bCs/>
          <w:color w:val="auto"/>
          <w:szCs w:val="21"/>
          <w:highlight w:val="none"/>
          <w:lang w:val="en-US" w:eastAsia="zh-CN"/>
        </w:rPr>
        <w:t>六</w:t>
      </w:r>
      <w:r>
        <w:rPr>
          <w:rFonts w:hint="eastAsia" w:ascii="宋体" w:hAnsi="宋体" w:eastAsia="宋体" w:cs="宋体"/>
          <w:b/>
          <w:bCs/>
          <w:color w:val="auto"/>
          <w:szCs w:val="21"/>
          <w:highlight w:val="none"/>
          <w:lang w:val="en-US" w:eastAsia="zh-CN"/>
        </w:rPr>
        <w:t>、其他要求</w:t>
      </w:r>
    </w:p>
    <w:p w14:paraId="685CBB3F">
      <w:pPr>
        <w:keepNext w:val="0"/>
        <w:keepLines w:val="0"/>
        <w:pageBreakBefore w:val="0"/>
        <w:widowControl w:val="0"/>
        <w:kinsoku/>
        <w:wordWrap w:val="0"/>
        <w:overflowPunct/>
        <w:topLinePunct/>
        <w:autoSpaceDE/>
        <w:autoSpaceDN/>
        <w:bidi w:val="0"/>
        <w:adjustRightInd/>
        <w:snapToGrid/>
        <w:spacing w:after="120" w:line="360" w:lineRule="auto"/>
        <w:ind w:left="0" w:leftChars="0" w:firstLine="420" w:firstLineChars="200"/>
        <w:jc w:val="both"/>
        <w:textAlignment w:val="auto"/>
        <w:rPr>
          <w:rFonts w:hint="eastAsia" w:ascii="宋体" w:hAnsi="宋体" w:eastAsia="宋体" w:cs="宋体"/>
          <w:b w:val="0"/>
          <w:bCs/>
          <w:color w:val="auto"/>
          <w:szCs w:val="21"/>
          <w:highlight w:val="none"/>
          <w:lang w:eastAsia="zh-CN"/>
        </w:rPr>
      </w:pPr>
      <w:r>
        <w:rPr>
          <w:rFonts w:hint="eastAsia" w:ascii="宋体" w:hAnsi="宋体" w:eastAsia="宋体" w:cs="宋体"/>
          <w:b w:val="0"/>
          <w:bCs/>
          <w:color w:val="auto"/>
          <w:szCs w:val="21"/>
          <w:highlight w:val="none"/>
        </w:rPr>
        <w:t>投标人需针对本项目提供包括但不限于：供货方案</w:t>
      </w:r>
      <w:r>
        <w:rPr>
          <w:rFonts w:hint="eastAsia" w:ascii="宋体" w:hAnsi="宋体" w:eastAsia="宋体" w:cs="宋体"/>
          <w:b w:val="0"/>
          <w:bCs/>
          <w:color w:val="auto"/>
          <w:szCs w:val="21"/>
          <w:highlight w:val="none"/>
          <w:lang w:eastAsia="zh-CN"/>
        </w:rPr>
        <w:t>、</w:t>
      </w:r>
      <w:r>
        <w:rPr>
          <w:rFonts w:hint="eastAsia" w:ascii="宋体" w:hAnsi="宋体" w:eastAsia="宋体" w:cs="宋体"/>
          <w:b w:val="0"/>
          <w:bCs/>
          <w:color w:val="auto"/>
          <w:szCs w:val="21"/>
          <w:highlight w:val="none"/>
        </w:rPr>
        <w:t>项目实施方案</w:t>
      </w:r>
      <w:r>
        <w:rPr>
          <w:rFonts w:hint="eastAsia" w:ascii="宋体" w:hAnsi="宋体" w:eastAsia="宋体" w:cs="宋体"/>
          <w:b w:val="0"/>
          <w:bCs/>
          <w:color w:val="auto"/>
          <w:szCs w:val="21"/>
          <w:highlight w:val="none"/>
          <w:lang w:eastAsia="zh-CN"/>
        </w:rPr>
        <w:t>、</w:t>
      </w:r>
      <w:r>
        <w:rPr>
          <w:rFonts w:hint="eastAsia" w:ascii="宋体" w:hAnsi="宋体" w:eastAsia="宋体" w:cs="宋体"/>
          <w:b w:val="0"/>
          <w:bCs/>
          <w:color w:val="auto"/>
          <w:szCs w:val="21"/>
          <w:highlight w:val="none"/>
        </w:rPr>
        <w:t>售后服务方案</w:t>
      </w:r>
      <w:r>
        <w:rPr>
          <w:rFonts w:hint="eastAsia" w:ascii="宋体" w:hAnsi="宋体" w:eastAsia="宋体" w:cs="宋体"/>
          <w:b w:val="0"/>
          <w:bCs/>
          <w:color w:val="auto"/>
          <w:szCs w:val="21"/>
          <w:highlight w:val="none"/>
          <w:lang w:eastAsia="zh-CN"/>
        </w:rPr>
        <w:t>、质量保证期</w:t>
      </w:r>
      <w:r>
        <w:rPr>
          <w:rFonts w:hint="eastAsia" w:ascii="宋体" w:hAnsi="宋体" w:eastAsia="宋体" w:cs="宋体"/>
          <w:b w:val="0"/>
          <w:bCs/>
          <w:color w:val="auto"/>
          <w:szCs w:val="21"/>
          <w:highlight w:val="none"/>
        </w:rPr>
        <w:t>内保证措施</w:t>
      </w:r>
      <w:r>
        <w:rPr>
          <w:rFonts w:hint="eastAsia" w:ascii="宋体" w:hAnsi="宋体" w:eastAsia="宋体" w:cs="宋体"/>
          <w:b w:val="0"/>
          <w:bCs/>
          <w:color w:val="auto"/>
          <w:szCs w:val="21"/>
          <w:highlight w:val="none"/>
          <w:lang w:eastAsia="zh-CN"/>
        </w:rPr>
        <w:t>、</w:t>
      </w:r>
      <w:r>
        <w:rPr>
          <w:rFonts w:hint="eastAsia" w:ascii="宋体" w:hAnsi="宋体" w:eastAsia="宋体" w:cs="宋体"/>
          <w:b w:val="0"/>
          <w:bCs/>
          <w:color w:val="auto"/>
          <w:szCs w:val="21"/>
          <w:highlight w:val="none"/>
        </w:rPr>
        <w:t>人员培训方案</w:t>
      </w:r>
      <w:r>
        <w:rPr>
          <w:rFonts w:hint="eastAsia" w:ascii="宋体" w:hAnsi="宋体" w:eastAsia="宋体" w:cs="宋体"/>
          <w:b w:val="0"/>
          <w:bCs/>
          <w:color w:val="auto"/>
          <w:szCs w:val="21"/>
          <w:highlight w:val="none"/>
          <w:lang w:eastAsia="zh-CN"/>
        </w:rPr>
        <w:t>等内容。</w:t>
      </w:r>
    </w:p>
    <w:p w14:paraId="5C27AC6F">
      <w:pPr>
        <w:pStyle w:val="17"/>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br w:type="page"/>
      </w:r>
    </w:p>
    <w:p w14:paraId="07EEB183">
      <w:pPr>
        <w:pStyle w:val="4"/>
        <w:bidi w:val="0"/>
        <w:jc w:val="center"/>
        <w:rPr>
          <w:rFonts w:hint="eastAsia" w:ascii="宋体" w:hAnsi="宋体" w:eastAsia="宋体" w:cs="宋体"/>
          <w:b w:val="0"/>
          <w:color w:val="auto"/>
          <w:sz w:val="52"/>
          <w:szCs w:val="52"/>
          <w:highlight w:val="none"/>
        </w:rPr>
      </w:pPr>
      <w:bookmarkStart w:id="721" w:name="_Toc20815"/>
      <w:r>
        <w:rPr>
          <w:rFonts w:hint="eastAsia" w:ascii="宋体" w:hAnsi="宋体" w:eastAsia="宋体" w:cs="宋体"/>
          <w:b/>
          <w:color w:val="auto"/>
          <w:sz w:val="32"/>
          <w:szCs w:val="32"/>
          <w:highlight w:val="none"/>
          <w:lang w:val="en-US" w:eastAsia="zh-CN"/>
        </w:rPr>
        <w:t>第七章 投标文件</w:t>
      </w:r>
      <w:r>
        <w:rPr>
          <w:rFonts w:hint="eastAsia" w:ascii="宋体" w:hAnsi="宋体" w:eastAsia="宋体" w:cs="宋体"/>
          <w:b/>
          <w:color w:val="auto"/>
          <w:sz w:val="32"/>
          <w:szCs w:val="32"/>
          <w:highlight w:val="none"/>
          <w:lang w:eastAsia="zh-CN"/>
        </w:rPr>
        <w:t>资格审查文件册通用格式</w:t>
      </w:r>
      <w:bookmarkEnd w:id="720"/>
      <w:bookmarkEnd w:id="721"/>
    </w:p>
    <w:p w14:paraId="7DE1C232">
      <w:pPr>
        <w:pStyle w:val="17"/>
        <w:pageBreakBefore w:val="0"/>
        <w:kinsoku/>
        <w:overflowPunct/>
        <w:bidi w:val="0"/>
        <w:spacing w:before="312" w:beforeLines="100" w:after="312" w:afterLines="100" w:line="360" w:lineRule="auto"/>
        <w:jc w:val="center"/>
        <w:rPr>
          <w:rFonts w:hint="eastAsia" w:ascii="宋体" w:hAnsi="宋体" w:eastAsia="宋体" w:cs="宋体"/>
          <w:b/>
          <w:color w:val="auto"/>
          <w:sz w:val="44"/>
          <w:szCs w:val="44"/>
          <w:highlight w:val="none"/>
        </w:rPr>
      </w:pPr>
      <w:r>
        <w:rPr>
          <w:rFonts w:hint="eastAsia" w:ascii="宋体" w:hAnsi="宋体" w:eastAsia="宋体" w:cs="宋体"/>
          <w:b/>
          <w:color w:val="auto"/>
          <w:sz w:val="44"/>
          <w:szCs w:val="44"/>
          <w:highlight w:val="none"/>
          <w:u w:val="single"/>
        </w:rPr>
        <w:t xml:space="preserve">                    </w:t>
      </w:r>
      <w:r>
        <w:rPr>
          <w:rFonts w:hint="eastAsia" w:ascii="宋体" w:hAnsi="宋体" w:eastAsia="宋体" w:cs="宋体"/>
          <w:b/>
          <w:color w:val="auto"/>
          <w:sz w:val="44"/>
          <w:szCs w:val="44"/>
          <w:highlight w:val="none"/>
        </w:rPr>
        <w:t>项目</w:t>
      </w:r>
    </w:p>
    <w:p w14:paraId="644C9A27">
      <w:pPr>
        <w:pStyle w:val="17"/>
        <w:pageBreakBefore w:val="0"/>
        <w:kinsoku/>
        <w:overflowPunct/>
        <w:bidi w:val="0"/>
        <w:spacing w:before="312" w:beforeLines="100" w:after="312" w:afterLines="100" w:line="360" w:lineRule="auto"/>
        <w:jc w:val="center"/>
        <w:rPr>
          <w:rFonts w:hint="eastAsia" w:ascii="宋体" w:hAnsi="宋体" w:eastAsia="宋体" w:cs="宋体"/>
          <w:b/>
          <w:color w:val="auto"/>
          <w:sz w:val="44"/>
          <w:szCs w:val="44"/>
          <w:highlight w:val="none"/>
        </w:rPr>
      </w:pPr>
    </w:p>
    <w:p w14:paraId="2A92C18B">
      <w:pPr>
        <w:pStyle w:val="17"/>
        <w:pageBreakBefore w:val="0"/>
        <w:kinsoku/>
        <w:overflowPunct/>
        <w:bidi w:val="0"/>
        <w:spacing w:before="312" w:beforeLines="100" w:after="312" w:afterLines="100" w:line="360" w:lineRule="auto"/>
        <w:jc w:val="center"/>
        <w:rPr>
          <w:rFonts w:hint="eastAsia" w:ascii="宋体" w:hAnsi="宋体" w:eastAsia="宋体" w:cs="宋体"/>
          <w:b/>
          <w:bCs/>
          <w:color w:val="auto"/>
          <w:sz w:val="84"/>
          <w:szCs w:val="84"/>
          <w:highlight w:val="none"/>
        </w:rPr>
      </w:pPr>
      <w:r>
        <w:rPr>
          <w:rFonts w:hint="eastAsia" w:ascii="宋体" w:hAnsi="宋体" w:eastAsia="宋体" w:cs="宋体"/>
          <w:b/>
          <w:bCs/>
          <w:color w:val="auto"/>
          <w:sz w:val="84"/>
          <w:szCs w:val="84"/>
          <w:highlight w:val="none"/>
        </w:rPr>
        <w:t>投标文件</w:t>
      </w:r>
    </w:p>
    <w:p w14:paraId="19F1EE54">
      <w:pPr>
        <w:pStyle w:val="17"/>
        <w:pageBreakBefore w:val="0"/>
        <w:kinsoku/>
        <w:overflowPunct/>
        <w:bidi w:val="0"/>
        <w:spacing w:before="312" w:beforeLines="100" w:after="312" w:afterLines="100" w:line="360" w:lineRule="auto"/>
        <w:jc w:val="center"/>
        <w:rPr>
          <w:rFonts w:hint="eastAsia" w:ascii="宋体" w:hAnsi="宋体" w:eastAsia="宋体" w:cs="宋体"/>
          <w:b/>
          <w:bCs/>
          <w:color w:val="auto"/>
          <w:sz w:val="84"/>
          <w:szCs w:val="84"/>
          <w:highlight w:val="none"/>
        </w:rPr>
      </w:pPr>
      <w:r>
        <w:rPr>
          <w:rFonts w:hint="eastAsia" w:ascii="宋体" w:hAnsi="宋体" w:eastAsia="宋体" w:cs="宋体"/>
          <w:b/>
          <w:bCs/>
          <w:color w:val="auto"/>
          <w:sz w:val="84"/>
          <w:szCs w:val="84"/>
          <w:highlight w:val="none"/>
        </w:rPr>
        <w:t>资格审查文件册</w:t>
      </w:r>
    </w:p>
    <w:p w14:paraId="5850D293">
      <w:pPr>
        <w:pStyle w:val="17"/>
        <w:pageBreakBefore w:val="0"/>
        <w:kinsoku/>
        <w:overflowPunct/>
        <w:bidi w:val="0"/>
        <w:spacing w:before="312" w:beforeLines="100" w:after="312" w:afterLines="100" w:line="360" w:lineRule="auto"/>
        <w:jc w:val="center"/>
        <w:rPr>
          <w:rFonts w:hint="eastAsia" w:ascii="宋体" w:hAnsi="宋体" w:eastAsia="宋体" w:cs="宋体"/>
          <w:b/>
          <w:bCs/>
          <w:color w:val="auto"/>
          <w:sz w:val="32"/>
          <w:highlight w:val="none"/>
        </w:rPr>
      </w:pPr>
      <w:r>
        <w:rPr>
          <w:rFonts w:hint="eastAsia" w:ascii="宋体" w:hAnsi="宋体" w:eastAsia="宋体" w:cs="宋体"/>
          <w:b/>
          <w:bCs/>
          <w:color w:val="auto"/>
          <w:sz w:val="28"/>
          <w:szCs w:val="28"/>
          <w:highlight w:val="none"/>
          <w:u w:val="none"/>
          <w:lang w:eastAsia="zh-CN"/>
        </w:rPr>
        <w:t>项目编号：</w:t>
      </w:r>
    </w:p>
    <w:p w14:paraId="45526C5C">
      <w:pPr>
        <w:pStyle w:val="17"/>
        <w:pageBreakBefore w:val="0"/>
        <w:kinsoku/>
        <w:overflowPunct/>
        <w:bidi w:val="0"/>
        <w:spacing w:before="312" w:beforeLines="100" w:after="312" w:afterLines="100" w:line="360" w:lineRule="auto"/>
        <w:jc w:val="center"/>
        <w:rPr>
          <w:rFonts w:hint="eastAsia" w:ascii="宋体" w:hAnsi="宋体" w:eastAsia="宋体" w:cs="宋体"/>
          <w:b/>
          <w:bCs/>
          <w:color w:val="auto"/>
          <w:sz w:val="32"/>
          <w:highlight w:val="none"/>
        </w:rPr>
      </w:pPr>
      <w:r>
        <w:rPr>
          <w:rFonts w:hint="eastAsia" w:ascii="宋体" w:hAnsi="宋体" w:eastAsia="宋体" w:cs="宋体"/>
          <w:b/>
          <w:bCs/>
          <w:color w:val="auto"/>
          <w:sz w:val="32"/>
          <w:highlight w:val="none"/>
        </w:rPr>
        <w:t>（封面）</w:t>
      </w:r>
    </w:p>
    <w:p w14:paraId="7F6331D2">
      <w:pPr>
        <w:pStyle w:val="17"/>
        <w:pageBreakBefore w:val="0"/>
        <w:kinsoku/>
        <w:overflowPunct/>
        <w:bidi w:val="0"/>
        <w:spacing w:before="312" w:beforeLines="100" w:after="312" w:afterLines="100" w:line="360" w:lineRule="auto"/>
        <w:rPr>
          <w:rFonts w:hint="eastAsia" w:ascii="宋体" w:hAnsi="宋体" w:eastAsia="宋体" w:cs="宋体"/>
          <w:b/>
          <w:bCs/>
          <w:color w:val="auto"/>
          <w:sz w:val="32"/>
          <w:highlight w:val="none"/>
          <w:u w:val="single"/>
        </w:rPr>
      </w:pPr>
    </w:p>
    <w:p w14:paraId="5E8B7DB7">
      <w:pPr>
        <w:pStyle w:val="17"/>
        <w:pageBreakBefore w:val="0"/>
        <w:kinsoku/>
        <w:overflowPunct/>
        <w:bidi w:val="0"/>
        <w:spacing w:before="312" w:beforeLines="100" w:after="312" w:afterLines="100" w:line="360" w:lineRule="auto"/>
        <w:jc w:val="both"/>
        <w:rPr>
          <w:rFonts w:hint="eastAsia" w:ascii="宋体" w:hAnsi="宋体" w:eastAsia="宋体" w:cs="宋体"/>
          <w:b/>
          <w:bCs/>
          <w:color w:val="auto"/>
          <w:sz w:val="32"/>
          <w:highlight w:val="none"/>
          <w:u w:val="single"/>
        </w:rPr>
      </w:pPr>
    </w:p>
    <w:p w14:paraId="46B4075E">
      <w:pPr>
        <w:pStyle w:val="17"/>
        <w:pageBreakBefore w:val="0"/>
        <w:kinsoku/>
        <w:overflowPunct/>
        <w:bidi w:val="0"/>
        <w:spacing w:before="312" w:beforeLines="100" w:after="312" w:afterLines="100" w:line="360" w:lineRule="auto"/>
        <w:jc w:val="center"/>
        <w:rPr>
          <w:rFonts w:hint="eastAsia" w:ascii="宋体" w:hAnsi="宋体" w:eastAsia="宋体" w:cs="宋体"/>
          <w:b/>
          <w:bCs/>
          <w:color w:val="auto"/>
          <w:sz w:val="32"/>
          <w:highlight w:val="none"/>
          <w:u w:val="single"/>
        </w:rPr>
      </w:pPr>
      <w:r>
        <w:rPr>
          <w:rFonts w:hint="eastAsia" w:ascii="宋体" w:hAnsi="宋体" w:eastAsia="宋体" w:cs="宋体"/>
          <w:b/>
          <w:bCs/>
          <w:color w:val="auto"/>
          <w:sz w:val="32"/>
          <w:highlight w:val="none"/>
        </w:rPr>
        <w:t>投</w:t>
      </w:r>
      <w:r>
        <w:rPr>
          <w:rFonts w:hint="eastAsia" w:ascii="宋体" w:hAnsi="宋体" w:eastAsia="宋体" w:cs="宋体"/>
          <w:b/>
          <w:bCs/>
          <w:color w:val="auto"/>
          <w:sz w:val="32"/>
          <w:highlight w:val="none"/>
          <w:lang w:val="en-US" w:eastAsia="zh-CN"/>
        </w:rPr>
        <w:t xml:space="preserve">  </w:t>
      </w:r>
      <w:r>
        <w:rPr>
          <w:rFonts w:hint="eastAsia" w:ascii="宋体" w:hAnsi="宋体" w:eastAsia="宋体" w:cs="宋体"/>
          <w:b/>
          <w:bCs/>
          <w:color w:val="auto"/>
          <w:sz w:val="32"/>
          <w:highlight w:val="none"/>
        </w:rPr>
        <w:t>标</w:t>
      </w:r>
      <w:r>
        <w:rPr>
          <w:rFonts w:hint="eastAsia" w:ascii="宋体" w:hAnsi="宋体" w:eastAsia="宋体" w:cs="宋体"/>
          <w:b/>
          <w:bCs/>
          <w:color w:val="auto"/>
          <w:sz w:val="32"/>
          <w:highlight w:val="none"/>
          <w:lang w:val="en-US" w:eastAsia="zh-CN"/>
        </w:rPr>
        <w:t xml:space="preserve">  </w:t>
      </w:r>
      <w:r>
        <w:rPr>
          <w:rFonts w:hint="eastAsia" w:ascii="宋体" w:hAnsi="宋体" w:eastAsia="宋体" w:cs="宋体"/>
          <w:b/>
          <w:bCs/>
          <w:color w:val="auto"/>
          <w:sz w:val="32"/>
          <w:highlight w:val="none"/>
        </w:rPr>
        <w:t>人：</w:t>
      </w:r>
      <w:r>
        <w:rPr>
          <w:rFonts w:hint="eastAsia" w:ascii="宋体" w:hAnsi="宋体" w:eastAsia="宋体" w:cs="宋体"/>
          <w:b/>
          <w:bCs/>
          <w:color w:val="auto"/>
          <w:sz w:val="32"/>
          <w:highlight w:val="none"/>
          <w:u w:val="single"/>
        </w:rPr>
        <w:t xml:space="preserve">         </w:t>
      </w:r>
      <w:r>
        <w:rPr>
          <w:rFonts w:hint="eastAsia" w:ascii="宋体" w:hAnsi="宋体" w:eastAsia="宋体" w:cs="宋体"/>
          <w:b/>
          <w:bCs/>
          <w:color w:val="auto"/>
          <w:sz w:val="32"/>
          <w:highlight w:val="none"/>
          <w:u w:val="single"/>
          <w:lang w:val="en-US" w:eastAsia="zh-CN"/>
        </w:rPr>
        <w:t xml:space="preserve"> </w:t>
      </w:r>
      <w:r>
        <w:rPr>
          <w:rFonts w:hint="eastAsia" w:ascii="宋体" w:hAnsi="宋体" w:eastAsia="宋体" w:cs="宋体"/>
          <w:b/>
          <w:bCs/>
          <w:color w:val="auto"/>
          <w:sz w:val="32"/>
          <w:highlight w:val="none"/>
          <w:u w:val="single"/>
        </w:rPr>
        <w:t xml:space="preserve">            </w:t>
      </w:r>
      <w:r>
        <w:rPr>
          <w:rFonts w:hint="eastAsia" w:ascii="宋体" w:hAnsi="宋体" w:eastAsia="宋体" w:cs="宋体"/>
          <w:b/>
          <w:bCs/>
          <w:color w:val="auto"/>
          <w:sz w:val="32"/>
          <w:highlight w:val="none"/>
        </w:rPr>
        <w:t>（盖章）</w:t>
      </w:r>
    </w:p>
    <w:p w14:paraId="36B5BDC2">
      <w:pPr>
        <w:pStyle w:val="17"/>
        <w:pageBreakBefore w:val="0"/>
        <w:kinsoku/>
        <w:overflowPunct/>
        <w:bidi w:val="0"/>
        <w:spacing w:before="312" w:beforeLines="100" w:after="312" w:afterLines="100" w:line="360" w:lineRule="auto"/>
        <w:ind w:firstLine="596" w:firstLineChars="198"/>
        <w:rPr>
          <w:rFonts w:hint="eastAsia" w:ascii="宋体" w:hAnsi="宋体" w:eastAsia="宋体" w:cs="宋体"/>
          <w:b/>
          <w:bCs/>
          <w:color w:val="auto"/>
          <w:sz w:val="30"/>
          <w:szCs w:val="30"/>
          <w:highlight w:val="none"/>
        </w:rPr>
      </w:pPr>
      <w:r>
        <w:rPr>
          <w:rFonts w:hint="eastAsia" w:ascii="宋体" w:hAnsi="宋体" w:eastAsia="宋体" w:cs="宋体"/>
          <w:b/>
          <w:bCs/>
          <w:color w:val="auto"/>
          <w:sz w:val="30"/>
          <w:szCs w:val="30"/>
          <w:highlight w:val="none"/>
        </w:rPr>
        <w:t>法定代表人或其委托代理人：</w:t>
      </w:r>
      <w:r>
        <w:rPr>
          <w:rFonts w:hint="eastAsia" w:ascii="宋体" w:hAnsi="宋体" w:eastAsia="宋体" w:cs="宋体"/>
          <w:b/>
          <w:bCs/>
          <w:color w:val="auto"/>
          <w:sz w:val="30"/>
          <w:szCs w:val="30"/>
          <w:highlight w:val="none"/>
          <w:u w:val="single"/>
        </w:rPr>
        <w:t xml:space="preserve">              </w:t>
      </w:r>
      <w:r>
        <w:rPr>
          <w:rFonts w:hint="eastAsia" w:ascii="宋体" w:hAnsi="宋体" w:eastAsia="宋体" w:cs="宋体"/>
          <w:b/>
          <w:bCs/>
          <w:color w:val="auto"/>
          <w:sz w:val="30"/>
          <w:szCs w:val="30"/>
          <w:highlight w:val="none"/>
        </w:rPr>
        <w:t>（签字或盖章）</w:t>
      </w:r>
    </w:p>
    <w:p w14:paraId="3E848A95">
      <w:pPr>
        <w:pStyle w:val="14"/>
        <w:pageBreakBefore w:val="0"/>
        <w:kinsoku/>
        <w:overflowPunct/>
        <w:bidi w:val="0"/>
        <w:spacing w:line="360" w:lineRule="auto"/>
        <w:ind w:left="0" w:leftChars="0" w:firstLine="2129" w:firstLineChars="707"/>
        <w:rPr>
          <w:rFonts w:hint="eastAsia" w:ascii="宋体" w:hAnsi="宋体" w:eastAsia="宋体" w:cs="宋体"/>
          <w:b/>
          <w:bCs/>
          <w:color w:val="auto"/>
          <w:sz w:val="30"/>
          <w:szCs w:val="30"/>
          <w:highlight w:val="none"/>
        </w:rPr>
      </w:pPr>
      <w:r>
        <w:rPr>
          <w:rFonts w:hint="eastAsia" w:ascii="宋体" w:hAnsi="宋体" w:eastAsia="宋体" w:cs="宋体"/>
          <w:b/>
          <w:bCs/>
          <w:color w:val="auto"/>
          <w:sz w:val="30"/>
          <w:szCs w:val="30"/>
          <w:highlight w:val="none"/>
        </w:rPr>
        <w:t>日      期：       年    月    日</w:t>
      </w:r>
    </w:p>
    <w:p w14:paraId="65A50551">
      <w:pPr>
        <w:pageBreakBefore w:val="0"/>
        <w:kinsoku/>
        <w:overflowPunct/>
        <w:bidi w:val="0"/>
        <w:spacing w:line="360" w:lineRule="auto"/>
        <w:jc w:val="center"/>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br w:type="page"/>
      </w:r>
      <w:r>
        <w:rPr>
          <w:rFonts w:hint="eastAsia" w:ascii="宋体" w:hAnsi="宋体" w:eastAsia="宋体" w:cs="宋体"/>
          <w:b/>
          <w:color w:val="auto"/>
          <w:sz w:val="28"/>
          <w:szCs w:val="28"/>
          <w:highlight w:val="none"/>
          <w:lang w:eastAsia="zh-CN"/>
        </w:rPr>
        <w:t>投标文件</w:t>
      </w:r>
      <w:r>
        <w:rPr>
          <w:rFonts w:hint="eastAsia" w:ascii="宋体" w:hAnsi="宋体" w:eastAsia="宋体" w:cs="宋体"/>
          <w:b/>
          <w:color w:val="auto"/>
          <w:sz w:val="28"/>
          <w:szCs w:val="28"/>
          <w:highlight w:val="none"/>
        </w:rPr>
        <w:t>资格审查文件</w:t>
      </w:r>
      <w:r>
        <w:rPr>
          <w:rFonts w:hint="eastAsia" w:ascii="宋体" w:hAnsi="宋体" w:eastAsia="宋体" w:cs="宋体"/>
          <w:b/>
          <w:color w:val="auto"/>
          <w:sz w:val="28"/>
          <w:szCs w:val="28"/>
          <w:highlight w:val="none"/>
          <w:lang w:eastAsia="zh-CN"/>
        </w:rPr>
        <w:t>册</w:t>
      </w:r>
      <w:r>
        <w:rPr>
          <w:rFonts w:hint="eastAsia" w:ascii="宋体" w:hAnsi="宋体" w:eastAsia="宋体" w:cs="宋体"/>
          <w:b/>
          <w:color w:val="auto"/>
          <w:sz w:val="28"/>
          <w:szCs w:val="28"/>
          <w:highlight w:val="none"/>
        </w:rPr>
        <w:t>目录</w:t>
      </w:r>
    </w:p>
    <w:p w14:paraId="627FB5DE">
      <w:pPr>
        <w:pageBreakBefore w:val="0"/>
        <w:numPr>
          <w:ilvl w:val="0"/>
          <w:numId w:val="0"/>
        </w:numPr>
        <w:tabs>
          <w:tab w:val="left" w:pos="1080"/>
        </w:tabs>
        <w:kinsoku/>
        <w:overflowPunct/>
        <w:bidi w:val="0"/>
        <w:spacing w:line="360" w:lineRule="auto"/>
        <w:rPr>
          <w:rFonts w:hint="eastAsia" w:ascii="宋体" w:hAnsi="宋体" w:eastAsia="宋体" w:cs="宋体"/>
          <w:color w:val="auto"/>
          <w:szCs w:val="21"/>
          <w:highlight w:val="none"/>
        </w:rPr>
      </w:pPr>
    </w:p>
    <w:p w14:paraId="717E0163">
      <w:pPr>
        <w:pageBreakBefore w:val="0"/>
        <w:numPr>
          <w:ilvl w:val="0"/>
          <w:numId w:val="30"/>
        </w:numPr>
        <w:tabs>
          <w:tab w:val="left" w:pos="1080"/>
        </w:tabs>
        <w:kinsoku/>
        <w:overflowPunct/>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投标人资格声明函</w:t>
      </w:r>
    </w:p>
    <w:p w14:paraId="276E3739">
      <w:pPr>
        <w:pageBreakBefore w:val="0"/>
        <w:numPr>
          <w:ilvl w:val="0"/>
          <w:numId w:val="30"/>
        </w:numPr>
        <w:tabs>
          <w:tab w:val="left" w:pos="1080"/>
        </w:tabs>
        <w:kinsoku/>
        <w:overflowPunct/>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投标人基本情况</w:t>
      </w:r>
    </w:p>
    <w:p w14:paraId="53B589A4">
      <w:pPr>
        <w:pageBreakBefore w:val="0"/>
        <w:numPr>
          <w:ilvl w:val="0"/>
          <w:numId w:val="30"/>
        </w:numPr>
        <w:tabs>
          <w:tab w:val="left" w:pos="1080"/>
        </w:tabs>
        <w:kinsoku/>
        <w:overflowPunct/>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投标人资格证明文件</w:t>
      </w:r>
    </w:p>
    <w:p w14:paraId="2E62C497">
      <w:pPr>
        <w:pageBreakBefore w:val="0"/>
        <w:tabs>
          <w:tab w:val="left" w:pos="1080"/>
        </w:tabs>
        <w:kinsoku/>
        <w:overflowPunct/>
        <w:bidi w:val="0"/>
        <w:spacing w:line="360" w:lineRule="auto"/>
        <w:jc w:val="center"/>
        <w:rPr>
          <w:rFonts w:hint="eastAsia" w:ascii="宋体" w:hAnsi="宋体" w:eastAsia="宋体" w:cs="宋体"/>
          <w:color w:val="auto"/>
          <w:szCs w:val="21"/>
          <w:highlight w:val="none"/>
        </w:rPr>
      </w:pPr>
    </w:p>
    <w:p w14:paraId="2B63A78C">
      <w:pPr>
        <w:pageBreakBefore w:val="0"/>
        <w:tabs>
          <w:tab w:val="left" w:pos="1080"/>
        </w:tabs>
        <w:kinsoku/>
        <w:overflowPunct/>
        <w:bidi w:val="0"/>
        <w:spacing w:line="360" w:lineRule="auto"/>
        <w:rPr>
          <w:rFonts w:hint="eastAsia" w:ascii="宋体" w:hAnsi="宋体" w:eastAsia="宋体" w:cs="宋体"/>
          <w:color w:val="auto"/>
          <w:szCs w:val="21"/>
          <w:highlight w:val="none"/>
        </w:rPr>
      </w:pPr>
    </w:p>
    <w:p w14:paraId="17B7B52B">
      <w:pPr>
        <w:pageBreakBefore w:val="0"/>
        <w:tabs>
          <w:tab w:val="left" w:pos="1080"/>
        </w:tabs>
        <w:kinsoku/>
        <w:overflowPunct/>
        <w:bidi w:val="0"/>
        <w:spacing w:line="360" w:lineRule="auto"/>
        <w:rPr>
          <w:rFonts w:hint="eastAsia" w:ascii="宋体" w:hAnsi="宋体" w:eastAsia="宋体" w:cs="宋体"/>
          <w:color w:val="auto"/>
          <w:szCs w:val="21"/>
          <w:highlight w:val="none"/>
        </w:rPr>
      </w:pPr>
    </w:p>
    <w:p w14:paraId="381623F4">
      <w:pPr>
        <w:pageBreakBefore w:val="0"/>
        <w:tabs>
          <w:tab w:val="left" w:pos="1080"/>
        </w:tabs>
        <w:kinsoku/>
        <w:overflowPunct/>
        <w:bidi w:val="0"/>
        <w:spacing w:line="360" w:lineRule="auto"/>
        <w:rPr>
          <w:rFonts w:hint="eastAsia" w:ascii="宋体" w:hAnsi="宋体" w:eastAsia="宋体" w:cs="宋体"/>
          <w:color w:val="auto"/>
          <w:szCs w:val="21"/>
          <w:highlight w:val="none"/>
        </w:rPr>
      </w:pPr>
    </w:p>
    <w:p w14:paraId="657BF886">
      <w:pPr>
        <w:pageBreakBefore w:val="0"/>
        <w:tabs>
          <w:tab w:val="left" w:pos="1080"/>
        </w:tabs>
        <w:kinsoku/>
        <w:overflowPunct/>
        <w:bidi w:val="0"/>
        <w:spacing w:line="360" w:lineRule="auto"/>
        <w:rPr>
          <w:rFonts w:hint="eastAsia" w:ascii="宋体" w:hAnsi="宋体" w:eastAsia="宋体" w:cs="宋体"/>
          <w:color w:val="auto"/>
          <w:szCs w:val="21"/>
          <w:highlight w:val="none"/>
        </w:rPr>
      </w:pPr>
    </w:p>
    <w:p w14:paraId="41C87FC4">
      <w:pPr>
        <w:pageBreakBefore w:val="0"/>
        <w:tabs>
          <w:tab w:val="left" w:pos="1080"/>
        </w:tabs>
        <w:kinsoku/>
        <w:overflowPunct/>
        <w:bidi w:val="0"/>
        <w:spacing w:line="360" w:lineRule="auto"/>
        <w:rPr>
          <w:rFonts w:hint="eastAsia" w:ascii="宋体" w:hAnsi="宋体" w:eastAsia="宋体" w:cs="宋体"/>
          <w:color w:val="auto"/>
          <w:szCs w:val="21"/>
          <w:highlight w:val="none"/>
        </w:rPr>
      </w:pPr>
    </w:p>
    <w:p w14:paraId="1E271286">
      <w:pPr>
        <w:pageBreakBefore w:val="0"/>
        <w:kinsoku/>
        <w:overflowPunct/>
        <w:bidi w:val="0"/>
        <w:spacing w:line="360" w:lineRule="auto"/>
        <w:rPr>
          <w:rFonts w:hint="eastAsia" w:ascii="宋体" w:hAnsi="宋体" w:eastAsia="宋体" w:cs="宋体"/>
          <w:color w:val="auto"/>
          <w:highlight w:val="none"/>
        </w:rPr>
      </w:pPr>
    </w:p>
    <w:p w14:paraId="74E907D3">
      <w:pPr>
        <w:pStyle w:val="5"/>
        <w:pageBreakBefore w:val="0"/>
        <w:numPr>
          <w:ilvl w:val="0"/>
          <w:numId w:val="31"/>
        </w:numPr>
        <w:tabs>
          <w:tab w:val="left" w:pos="840"/>
        </w:tabs>
        <w:kinsoku/>
        <w:overflowPunct/>
        <w:bidi w:val="0"/>
        <w:spacing w:line="360" w:lineRule="auto"/>
        <w:jc w:val="center"/>
        <w:rPr>
          <w:rFonts w:hint="eastAsia" w:ascii="宋体" w:hAnsi="宋体" w:eastAsia="宋体" w:cs="宋体"/>
          <w:color w:val="auto"/>
          <w:sz w:val="24"/>
          <w:szCs w:val="24"/>
          <w:highlight w:val="none"/>
          <w:lang w:val="en-US" w:eastAsia="zh-CN"/>
        </w:rPr>
      </w:pPr>
      <w:bookmarkStart w:id="722" w:name="_Toc5124"/>
      <w:r>
        <w:rPr>
          <w:rFonts w:hint="eastAsia" w:ascii="宋体" w:hAnsi="宋体" w:eastAsia="宋体" w:cs="宋体"/>
          <w:color w:val="auto"/>
          <w:sz w:val="24"/>
          <w:szCs w:val="24"/>
          <w:highlight w:val="none"/>
          <w:lang w:val="en-US" w:eastAsia="zh-CN"/>
        </w:rPr>
        <w:br w:type="page"/>
      </w:r>
      <w:bookmarkStart w:id="723" w:name="_Toc8410"/>
      <w:r>
        <w:rPr>
          <w:rFonts w:hint="eastAsia" w:ascii="宋体" w:hAnsi="宋体" w:eastAsia="宋体" w:cs="宋体"/>
          <w:color w:val="auto"/>
          <w:sz w:val="24"/>
          <w:szCs w:val="24"/>
          <w:highlight w:val="none"/>
          <w:lang w:val="en-US" w:eastAsia="zh-CN"/>
        </w:rPr>
        <w:t>投标人资格声明函</w:t>
      </w:r>
      <w:bookmarkEnd w:id="722"/>
      <w:bookmarkEnd w:id="723"/>
    </w:p>
    <w:p w14:paraId="70CF7BF0">
      <w:pPr>
        <w:pageBreakBefore w:val="0"/>
        <w:kinsoku/>
        <w:overflowPunct/>
        <w:bidi w:val="0"/>
        <w:spacing w:line="360" w:lineRule="auto"/>
        <w:rPr>
          <w:rFonts w:hint="eastAsia" w:ascii="宋体" w:hAnsi="宋体" w:eastAsia="宋体" w:cs="宋体"/>
          <w:bCs/>
          <w:color w:val="auto"/>
          <w:szCs w:val="21"/>
          <w:highlight w:val="none"/>
        </w:rPr>
      </w:pPr>
    </w:p>
    <w:p w14:paraId="4435763B">
      <w:pPr>
        <w:pageBreakBefore w:val="0"/>
        <w:kinsoku/>
        <w:overflowPunct/>
        <w:bidi w:val="0"/>
        <w:spacing w:line="360" w:lineRule="auto"/>
        <w:rPr>
          <w:rFonts w:hint="eastAsia" w:ascii="宋体" w:hAnsi="宋体" w:eastAsia="宋体" w:cs="宋体"/>
          <w:color w:val="auto"/>
          <w:highlight w:val="none"/>
        </w:rPr>
      </w:pPr>
      <w:r>
        <w:rPr>
          <w:rFonts w:hint="eastAsia" w:ascii="宋体" w:hAnsi="宋体" w:eastAsia="宋体" w:cs="宋体"/>
          <w:color w:val="auto"/>
          <w:highlight w:val="none"/>
          <w:u w:val="single"/>
        </w:rPr>
        <w:t>致（采购人或采购代理机构名称）</w:t>
      </w:r>
      <w:r>
        <w:rPr>
          <w:rFonts w:hint="eastAsia" w:ascii="宋体" w:hAnsi="宋体" w:eastAsia="宋体" w:cs="宋体"/>
          <w:color w:val="auto"/>
          <w:highlight w:val="none"/>
        </w:rPr>
        <w:t>：</w:t>
      </w:r>
    </w:p>
    <w:p w14:paraId="49A41328">
      <w:pPr>
        <w:pageBreakBefore w:val="0"/>
        <w:kinsoku/>
        <w:overflowPunct/>
        <w:bidi w:val="0"/>
        <w:spacing w:line="360" w:lineRule="auto"/>
        <w:ind w:firstLine="450"/>
        <w:rPr>
          <w:rFonts w:hint="eastAsia" w:ascii="宋体" w:hAnsi="宋体" w:eastAsia="宋体" w:cs="宋体"/>
          <w:color w:val="auto"/>
          <w:szCs w:val="21"/>
          <w:highlight w:val="none"/>
        </w:rPr>
      </w:pPr>
      <w:r>
        <w:rPr>
          <w:rFonts w:hint="eastAsia" w:ascii="宋体" w:hAnsi="宋体" w:eastAsia="宋体" w:cs="宋体"/>
          <w:color w:val="auto"/>
          <w:szCs w:val="21"/>
          <w:highlight w:val="none"/>
        </w:rPr>
        <w:t>关于贵方</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val="en-US" w:eastAsia="zh-CN"/>
        </w:rPr>
        <w:t xml:space="preserve">   项目名称、编号        </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的投标邀请，本公司愿意参加投标，提供招标内容中规定的货物</w:t>
      </w:r>
      <w:r>
        <w:rPr>
          <w:rFonts w:hint="eastAsia" w:ascii="宋体" w:hAnsi="宋体" w:eastAsia="宋体" w:cs="宋体"/>
          <w:color w:val="auto"/>
          <w:szCs w:val="21"/>
          <w:highlight w:val="none"/>
          <w:lang w:eastAsia="zh-CN"/>
        </w:rPr>
        <w:t>及其伴随的服务</w:t>
      </w:r>
      <w:r>
        <w:rPr>
          <w:rFonts w:hint="eastAsia" w:ascii="宋体" w:hAnsi="宋体" w:eastAsia="宋体" w:cs="宋体"/>
          <w:color w:val="auto"/>
          <w:szCs w:val="21"/>
          <w:highlight w:val="none"/>
        </w:rPr>
        <w:t>，并声明提交的下列文件是准确的和真实的。</w:t>
      </w:r>
    </w:p>
    <w:p w14:paraId="6D085C0C">
      <w:pPr>
        <w:pageBreakBefore w:val="0"/>
        <w:kinsoku/>
        <w:overflowPunct/>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bCs/>
          <w:color w:val="auto"/>
          <w:szCs w:val="21"/>
          <w:highlight w:val="none"/>
        </w:rPr>
        <w:t>1.</w:t>
      </w:r>
      <w:r>
        <w:rPr>
          <w:rFonts w:hint="eastAsia" w:ascii="宋体" w:hAnsi="宋体" w:eastAsia="宋体" w:cs="宋体"/>
          <w:color w:val="auto"/>
          <w:szCs w:val="21"/>
          <w:highlight w:val="none"/>
        </w:rPr>
        <w:t>投标人基本情况</w:t>
      </w:r>
    </w:p>
    <w:p w14:paraId="06C0F4D7">
      <w:pPr>
        <w:pageBreakBefore w:val="0"/>
        <w:kinsoku/>
        <w:overflowPunct/>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2.投标人资格证明文件</w:t>
      </w:r>
    </w:p>
    <w:p w14:paraId="60B35407">
      <w:pPr>
        <w:pageBreakBefore w:val="0"/>
        <w:kinsoku/>
        <w:overflowPunct/>
        <w:bidi w:val="0"/>
        <w:spacing w:line="360" w:lineRule="auto"/>
        <w:ind w:firstLine="420" w:firstLineChars="200"/>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我方在此声明</w:t>
      </w:r>
      <w:r>
        <w:rPr>
          <w:rFonts w:hint="eastAsia" w:ascii="宋体" w:hAnsi="宋体" w:eastAsia="宋体" w:cs="宋体"/>
          <w:color w:val="auto"/>
          <w:szCs w:val="21"/>
          <w:highlight w:val="none"/>
          <w:lang w:eastAsia="zh-CN"/>
        </w:rPr>
        <w:t>：</w:t>
      </w:r>
    </w:p>
    <w:p w14:paraId="0EBAF763">
      <w:pPr>
        <w:pageBreakBefore w:val="0"/>
        <w:kinsoku/>
        <w:overflowPunct/>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1</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我方具备并满足《中华人民共和国政府采购法》</w:t>
      </w:r>
      <w:r>
        <w:rPr>
          <w:rFonts w:hint="eastAsia" w:ascii="宋体" w:hAnsi="宋体" w:eastAsia="宋体" w:cs="宋体"/>
          <w:color w:val="auto"/>
          <w:szCs w:val="21"/>
          <w:highlight w:val="none"/>
          <w:lang w:eastAsia="zh-CN"/>
        </w:rPr>
        <w:t>第</w:t>
      </w:r>
      <w:r>
        <w:rPr>
          <w:rFonts w:hint="eastAsia" w:ascii="宋体" w:hAnsi="宋体" w:eastAsia="宋体" w:cs="宋体"/>
          <w:color w:val="auto"/>
          <w:szCs w:val="21"/>
          <w:highlight w:val="none"/>
        </w:rPr>
        <w:t>二十二条</w:t>
      </w:r>
      <w:r>
        <w:rPr>
          <w:rFonts w:hint="eastAsia" w:ascii="宋体" w:hAnsi="宋体" w:eastAsia="宋体" w:cs="宋体"/>
          <w:color w:val="auto"/>
          <w:szCs w:val="21"/>
          <w:highlight w:val="none"/>
          <w:lang w:eastAsia="zh-CN"/>
        </w:rPr>
        <w:t>及</w:t>
      </w:r>
      <w:r>
        <w:rPr>
          <w:rFonts w:hint="eastAsia" w:ascii="宋体" w:hAnsi="宋体" w:eastAsia="宋体" w:cs="宋体"/>
          <w:color w:val="auto"/>
          <w:szCs w:val="21"/>
          <w:highlight w:val="none"/>
        </w:rPr>
        <w:t>实施条例第十七条所规定的投标</w:t>
      </w:r>
      <w:r>
        <w:rPr>
          <w:rFonts w:hint="eastAsia" w:ascii="宋体" w:hAnsi="宋体" w:eastAsia="宋体" w:cs="宋体"/>
          <w:color w:val="auto"/>
          <w:szCs w:val="21"/>
          <w:highlight w:val="none"/>
          <w:lang w:eastAsia="zh-CN"/>
        </w:rPr>
        <w:t>人</w:t>
      </w:r>
      <w:r>
        <w:rPr>
          <w:rFonts w:hint="eastAsia" w:ascii="宋体" w:hAnsi="宋体" w:eastAsia="宋体" w:cs="宋体"/>
          <w:color w:val="auto"/>
          <w:szCs w:val="21"/>
          <w:highlight w:val="none"/>
        </w:rPr>
        <w:t>的条件</w:t>
      </w:r>
      <w:r>
        <w:rPr>
          <w:rFonts w:hint="eastAsia" w:ascii="宋体" w:hAnsi="宋体" w:eastAsia="宋体" w:cs="宋体"/>
          <w:color w:val="auto"/>
          <w:szCs w:val="21"/>
          <w:highlight w:val="none"/>
          <w:lang w:eastAsia="zh-CN"/>
        </w:rPr>
        <w:t>；</w:t>
      </w:r>
    </w:p>
    <w:p w14:paraId="4EC47ACA">
      <w:pPr>
        <w:pageBreakBefore w:val="0"/>
        <w:kinsoku/>
        <w:overflowPunct/>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2</w:t>
      </w:r>
      <w:r>
        <w:rPr>
          <w:rFonts w:hint="eastAsia" w:ascii="宋体" w:hAnsi="宋体" w:eastAsia="宋体" w:cs="宋体"/>
          <w:color w:val="auto"/>
          <w:szCs w:val="21"/>
          <w:highlight w:val="none"/>
          <w:lang w:eastAsia="zh-CN"/>
        </w:rPr>
        <w:t>）我方未</w:t>
      </w:r>
      <w:r>
        <w:rPr>
          <w:rFonts w:hint="eastAsia" w:ascii="宋体" w:hAnsi="宋体" w:eastAsia="宋体" w:cs="宋体"/>
          <w:color w:val="auto"/>
          <w:highlight w:val="none"/>
          <w:shd w:val="clear" w:color="auto" w:fill="FFFFFF"/>
          <w:lang w:eastAsia="zh-CN"/>
        </w:rPr>
        <w:t>被列入失信被执行人、重大税收违法失信主体、政府采购严重违法失信行为记录名单、严重违法失信名单</w:t>
      </w:r>
      <w:r>
        <w:rPr>
          <w:rFonts w:hint="eastAsia" w:ascii="宋体" w:hAnsi="宋体" w:eastAsia="宋体" w:cs="宋体"/>
          <w:color w:val="auto"/>
          <w:sz w:val="21"/>
          <w:szCs w:val="21"/>
          <w:highlight w:val="none"/>
          <w:u w:val="none"/>
        </w:rPr>
        <w:t>及其他不符合《中华人民共和国政府采购法》第二十二条规定条件的</w:t>
      </w:r>
      <w:r>
        <w:rPr>
          <w:rFonts w:hint="eastAsia" w:ascii="宋体" w:hAnsi="宋体" w:eastAsia="宋体" w:cs="宋体"/>
          <w:color w:val="auto"/>
          <w:sz w:val="21"/>
          <w:szCs w:val="21"/>
          <w:highlight w:val="none"/>
          <w:u w:val="none"/>
          <w:lang w:eastAsia="zh-CN"/>
        </w:rPr>
        <w:t>投标人。</w:t>
      </w:r>
    </w:p>
    <w:p w14:paraId="4DFA70C5">
      <w:pPr>
        <w:pageBreakBefore w:val="0"/>
        <w:kinsoku/>
        <w:overflowPunct/>
        <w:bidi w:val="0"/>
        <w:spacing w:line="360" w:lineRule="auto"/>
        <w:rPr>
          <w:rFonts w:hint="eastAsia" w:ascii="宋体" w:hAnsi="宋体" w:eastAsia="宋体" w:cs="宋体"/>
          <w:color w:val="auto"/>
          <w:szCs w:val="21"/>
          <w:highlight w:val="none"/>
        </w:rPr>
      </w:pPr>
    </w:p>
    <w:p w14:paraId="64613958">
      <w:pPr>
        <w:pageBreakBefore w:val="0"/>
        <w:kinsoku/>
        <w:overflowPunct/>
        <w:bidi w:val="0"/>
        <w:spacing w:line="360" w:lineRule="auto"/>
        <w:rPr>
          <w:rFonts w:hint="eastAsia" w:ascii="宋体" w:hAnsi="宋体" w:eastAsia="宋体" w:cs="宋体"/>
          <w:color w:val="auto"/>
          <w:szCs w:val="21"/>
          <w:highlight w:val="none"/>
        </w:rPr>
      </w:pPr>
    </w:p>
    <w:p w14:paraId="6A1D0CB3">
      <w:pPr>
        <w:pageBreakBefore w:val="0"/>
        <w:kinsoku/>
        <w:overflowPunct/>
        <w:bidi w:val="0"/>
        <w:spacing w:line="360" w:lineRule="auto"/>
        <w:ind w:firstLine="2940" w:firstLineChars="140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rPr>
        <w:t>投标人：</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rPr>
        <w:t>（盖章）</w:t>
      </w:r>
    </w:p>
    <w:p w14:paraId="3AE0D886">
      <w:pPr>
        <w:pageBreakBefore w:val="0"/>
        <w:kinsoku/>
        <w:overflowPunct/>
        <w:bidi w:val="0"/>
        <w:spacing w:line="360" w:lineRule="auto"/>
        <w:ind w:firstLine="2940" w:firstLineChars="14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法定代表人或</w:t>
      </w:r>
      <w:r>
        <w:rPr>
          <w:rFonts w:hint="eastAsia" w:ascii="宋体" w:hAnsi="宋体" w:eastAsia="宋体" w:cs="宋体"/>
          <w:color w:val="auto"/>
          <w:szCs w:val="21"/>
          <w:highlight w:val="none"/>
          <w:lang w:eastAsia="zh-CN"/>
        </w:rPr>
        <w:t>其委托代理人</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rPr>
        <w:t>（签字或盖章）</w:t>
      </w:r>
    </w:p>
    <w:p w14:paraId="4D44051A">
      <w:pPr>
        <w:pageBreakBefore w:val="0"/>
        <w:tabs>
          <w:tab w:val="left" w:pos="5380"/>
          <w:tab w:val="left" w:pos="6520"/>
          <w:tab w:val="left" w:pos="7680"/>
        </w:tabs>
        <w:kinsoku/>
        <w:overflowPunct/>
        <w:autoSpaceDE w:val="0"/>
        <w:autoSpaceDN w:val="0"/>
        <w:bidi w:val="0"/>
        <w:adjustRightInd w:val="0"/>
        <w:spacing w:line="360" w:lineRule="auto"/>
        <w:ind w:right="-20" w:firstLine="3780" w:firstLineChars="180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u w:val="single"/>
        </w:rPr>
        <w:t xml:space="preserve">     </w:t>
      </w:r>
      <w:r>
        <w:rPr>
          <w:rFonts w:hint="eastAsia" w:ascii="宋体" w:hAnsi="宋体" w:eastAsia="宋体" w:cs="宋体"/>
          <w:color w:val="auto"/>
          <w:spacing w:val="43"/>
          <w:kern w:val="0"/>
          <w:szCs w:val="21"/>
          <w:highlight w:val="none"/>
          <w:u w:val="single"/>
        </w:rPr>
        <w:t xml:space="preserve"> </w:t>
      </w:r>
      <w:r>
        <w:rPr>
          <w:rFonts w:hint="eastAsia" w:ascii="宋体" w:hAnsi="宋体" w:eastAsia="宋体" w:cs="宋体"/>
          <w:color w:val="auto"/>
          <w:kern w:val="0"/>
          <w:szCs w:val="21"/>
          <w:highlight w:val="none"/>
        </w:rPr>
        <w:t>年</w:t>
      </w:r>
      <w:r>
        <w:rPr>
          <w:rFonts w:hint="eastAsia" w:ascii="宋体" w:hAnsi="宋体" w:eastAsia="宋体" w:cs="宋体"/>
          <w:color w:val="auto"/>
          <w:kern w:val="0"/>
          <w:szCs w:val="21"/>
          <w:highlight w:val="none"/>
          <w:u w:val="single"/>
        </w:rPr>
        <w:t xml:space="preserve">       </w:t>
      </w:r>
      <w:r>
        <w:rPr>
          <w:rFonts w:hint="eastAsia" w:ascii="宋体" w:hAnsi="宋体" w:eastAsia="宋体" w:cs="宋体"/>
          <w:color w:val="auto"/>
          <w:kern w:val="0"/>
          <w:szCs w:val="21"/>
          <w:highlight w:val="none"/>
        </w:rPr>
        <w:t>月</w:t>
      </w:r>
      <w:r>
        <w:rPr>
          <w:rFonts w:hint="eastAsia" w:ascii="宋体" w:hAnsi="宋体" w:eastAsia="宋体" w:cs="宋体"/>
          <w:color w:val="auto"/>
          <w:kern w:val="0"/>
          <w:szCs w:val="21"/>
          <w:highlight w:val="none"/>
          <w:u w:val="single"/>
        </w:rPr>
        <w:t xml:space="preserve">      </w:t>
      </w:r>
      <w:r>
        <w:rPr>
          <w:rFonts w:hint="eastAsia" w:ascii="宋体" w:hAnsi="宋体" w:eastAsia="宋体" w:cs="宋体"/>
          <w:color w:val="auto"/>
          <w:kern w:val="0"/>
          <w:szCs w:val="21"/>
          <w:highlight w:val="none"/>
        </w:rPr>
        <w:t>日</w:t>
      </w:r>
    </w:p>
    <w:p w14:paraId="448C9088">
      <w:pPr>
        <w:pageBreakBefore w:val="0"/>
        <w:kinsoku/>
        <w:overflowPunct/>
        <w:bidi w:val="0"/>
        <w:spacing w:line="360" w:lineRule="auto"/>
        <w:rPr>
          <w:rFonts w:hint="eastAsia" w:ascii="宋体" w:hAnsi="宋体" w:eastAsia="宋体" w:cs="宋体"/>
          <w:color w:val="auto"/>
          <w:szCs w:val="21"/>
          <w:highlight w:val="none"/>
        </w:rPr>
      </w:pPr>
    </w:p>
    <w:p w14:paraId="41781575">
      <w:pPr>
        <w:pStyle w:val="8"/>
        <w:pageBreakBefore w:val="0"/>
        <w:kinsoku/>
        <w:overflowPunct/>
        <w:bidi w:val="0"/>
        <w:spacing w:line="360" w:lineRule="auto"/>
        <w:rPr>
          <w:rFonts w:hint="eastAsia" w:ascii="宋体" w:hAnsi="宋体" w:eastAsia="宋体" w:cs="宋体"/>
          <w:color w:val="auto"/>
          <w:sz w:val="24"/>
          <w:highlight w:val="none"/>
        </w:rPr>
      </w:pPr>
    </w:p>
    <w:p w14:paraId="005BD132">
      <w:pPr>
        <w:pStyle w:val="8"/>
        <w:pageBreakBefore w:val="0"/>
        <w:kinsoku/>
        <w:overflowPunct/>
        <w:bidi w:val="0"/>
        <w:spacing w:line="360" w:lineRule="auto"/>
        <w:rPr>
          <w:rFonts w:hint="eastAsia" w:ascii="宋体" w:hAnsi="宋体" w:eastAsia="宋体" w:cs="宋体"/>
          <w:color w:val="auto"/>
          <w:sz w:val="24"/>
          <w:highlight w:val="none"/>
        </w:rPr>
      </w:pPr>
    </w:p>
    <w:p w14:paraId="2497D4E9">
      <w:pPr>
        <w:pageBreakBefore w:val="0"/>
        <w:kinsoku/>
        <w:overflowPunct/>
        <w:bidi w:val="0"/>
        <w:spacing w:line="360" w:lineRule="auto"/>
        <w:rPr>
          <w:rFonts w:hint="eastAsia" w:ascii="宋体" w:hAnsi="宋体" w:eastAsia="宋体" w:cs="宋体"/>
          <w:color w:val="auto"/>
          <w:highlight w:val="none"/>
        </w:rPr>
      </w:pPr>
    </w:p>
    <w:p w14:paraId="504CEEC2">
      <w:pPr>
        <w:pStyle w:val="5"/>
        <w:pageBreakBefore w:val="0"/>
        <w:numPr>
          <w:ilvl w:val="0"/>
          <w:numId w:val="31"/>
        </w:numPr>
        <w:tabs>
          <w:tab w:val="left" w:pos="840"/>
        </w:tabs>
        <w:kinsoku/>
        <w:overflowPunct/>
        <w:bidi w:val="0"/>
        <w:spacing w:line="360" w:lineRule="auto"/>
        <w:jc w:val="center"/>
        <w:rPr>
          <w:rFonts w:hint="eastAsia" w:ascii="宋体" w:hAnsi="宋体" w:eastAsia="宋体" w:cs="宋体"/>
          <w:color w:val="auto"/>
          <w:sz w:val="24"/>
          <w:szCs w:val="24"/>
          <w:highlight w:val="none"/>
          <w:lang w:val="en-US" w:eastAsia="zh-CN"/>
        </w:rPr>
      </w:pPr>
      <w:bookmarkStart w:id="724" w:name="_Toc17556"/>
      <w:r>
        <w:rPr>
          <w:rFonts w:hint="eastAsia" w:ascii="宋体" w:hAnsi="宋体" w:eastAsia="宋体" w:cs="宋体"/>
          <w:color w:val="auto"/>
          <w:sz w:val="24"/>
          <w:szCs w:val="24"/>
          <w:highlight w:val="none"/>
          <w:lang w:val="en-US" w:eastAsia="zh-CN"/>
        </w:rPr>
        <w:br w:type="page"/>
      </w:r>
      <w:bookmarkStart w:id="725" w:name="_Toc27640"/>
      <w:r>
        <w:rPr>
          <w:rFonts w:hint="eastAsia" w:ascii="宋体" w:hAnsi="宋体" w:eastAsia="宋体" w:cs="宋体"/>
          <w:color w:val="auto"/>
          <w:sz w:val="24"/>
          <w:szCs w:val="24"/>
          <w:highlight w:val="none"/>
          <w:lang w:val="en-US" w:eastAsia="zh-CN"/>
        </w:rPr>
        <w:t>投标人基本情况</w:t>
      </w:r>
      <w:bookmarkEnd w:id="724"/>
      <w:bookmarkEnd w:id="725"/>
    </w:p>
    <w:p w14:paraId="0D22B56C">
      <w:pPr>
        <w:pageBreakBefore w:val="0"/>
        <w:kinsoku/>
        <w:overflowPunct/>
        <w:bidi w:val="0"/>
        <w:spacing w:line="360" w:lineRule="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1.投标人概况</w:t>
      </w:r>
    </w:p>
    <w:p w14:paraId="030CB56F">
      <w:pPr>
        <w:pageBreakBefore w:val="0"/>
        <w:kinsoku/>
        <w:overflowPunct/>
        <w:bidi w:val="0"/>
        <w:spacing w:line="360" w:lineRule="auto"/>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（1）投标人名称：</w:t>
      </w:r>
    </w:p>
    <w:p w14:paraId="619AD3B5">
      <w:pPr>
        <w:pageBreakBefore w:val="0"/>
        <w:kinsoku/>
        <w:overflowPunct/>
        <w:bidi w:val="0"/>
        <w:spacing w:line="360" w:lineRule="auto"/>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（2）注册地址：</w:t>
      </w:r>
    </w:p>
    <w:p w14:paraId="07594508">
      <w:pPr>
        <w:pageBreakBefore w:val="0"/>
        <w:kinsoku/>
        <w:overflowPunct/>
        <w:bidi w:val="0"/>
        <w:spacing w:line="360" w:lineRule="auto"/>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（3）成立或注册日期：</w:t>
      </w:r>
    </w:p>
    <w:p w14:paraId="5ADB47E4">
      <w:pPr>
        <w:pageBreakBefore w:val="0"/>
        <w:kinsoku/>
        <w:overflowPunct/>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（4）法定代表人（姓名、职务）：</w:t>
      </w:r>
    </w:p>
    <w:p w14:paraId="1B435246">
      <w:pPr>
        <w:pageBreakBefore w:val="0"/>
        <w:kinsoku/>
        <w:overflowPunct/>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（5）注册资本：</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万元</w:t>
      </w:r>
    </w:p>
    <w:p w14:paraId="521A12B0">
      <w:pPr>
        <w:pageBreakBefore w:val="0"/>
        <w:kinsoku/>
        <w:overflowPunct/>
        <w:bidi w:val="0"/>
        <w:spacing w:line="360" w:lineRule="auto"/>
        <w:rPr>
          <w:rFonts w:hint="eastAsia" w:ascii="宋体" w:hAnsi="宋体" w:eastAsia="宋体" w:cs="宋体"/>
          <w:b/>
          <w:color w:val="auto"/>
          <w:szCs w:val="21"/>
          <w:highlight w:val="none"/>
          <w:lang w:eastAsia="zh-CN"/>
        </w:rPr>
      </w:pP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6</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投标人关联企业情况（包括但不限于与投标人法定代表人（单位负责人）为同一人或者存在控股、管理关系的不同单位）</w:t>
      </w:r>
      <w:r>
        <w:rPr>
          <w:rFonts w:hint="eastAsia" w:ascii="宋体" w:hAnsi="宋体" w:eastAsia="宋体" w:cs="宋体"/>
          <w:color w:val="auto"/>
          <w:szCs w:val="21"/>
          <w:highlight w:val="none"/>
          <w:lang w:eastAsia="zh-CN"/>
        </w:rPr>
        <w:t>：</w:t>
      </w:r>
    </w:p>
    <w:p w14:paraId="781B7EE0">
      <w:pPr>
        <w:pageBreakBefore w:val="0"/>
        <w:kinsoku/>
        <w:overflowPunct/>
        <w:bidi w:val="0"/>
        <w:spacing w:line="360" w:lineRule="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2.投标人财务状况</w:t>
      </w:r>
    </w:p>
    <w:p w14:paraId="7A45FC43">
      <w:pPr>
        <w:pageBreakBefore w:val="0"/>
        <w:kinsoku/>
        <w:overflowPunct/>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（1）资产负债表（到  年  月  日为止）</w:t>
      </w:r>
    </w:p>
    <w:p w14:paraId="7DC32BC0">
      <w:pPr>
        <w:pageBreakBefore w:val="0"/>
        <w:kinsoku/>
        <w:overflowPunct/>
        <w:bidi w:val="0"/>
        <w:spacing w:line="360" w:lineRule="auto"/>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固定资产合计</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元</w:t>
      </w:r>
    </w:p>
    <w:p w14:paraId="0A694905">
      <w:pPr>
        <w:pageBreakBefore w:val="0"/>
        <w:kinsoku/>
        <w:overflowPunct/>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流动资产合计</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元</w:t>
      </w:r>
    </w:p>
    <w:p w14:paraId="516190F9">
      <w:pPr>
        <w:pageBreakBefore w:val="0"/>
        <w:kinsoku/>
        <w:overflowPunct/>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长期负债合计</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元</w:t>
      </w:r>
    </w:p>
    <w:p w14:paraId="2628CD88">
      <w:pPr>
        <w:pageBreakBefore w:val="0"/>
        <w:kinsoku/>
        <w:overflowPunct/>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流动负债合计</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元</w:t>
      </w:r>
    </w:p>
    <w:p w14:paraId="55B6CCAF">
      <w:pPr>
        <w:pageBreakBefore w:val="0"/>
        <w:kinsoku/>
        <w:overflowPunct/>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（2）损益表（到  年  月  日为止）</w:t>
      </w:r>
    </w:p>
    <w:p w14:paraId="57AD8D46">
      <w:pPr>
        <w:pageBreakBefore w:val="0"/>
        <w:kinsoku/>
        <w:overflowPunct/>
        <w:bidi w:val="0"/>
        <w:spacing w:line="360" w:lineRule="auto"/>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利润总额累计：</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元</w:t>
      </w:r>
    </w:p>
    <w:p w14:paraId="42C97E15">
      <w:pPr>
        <w:pageBreakBefore w:val="0"/>
        <w:kinsoku/>
        <w:overflowPunct/>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净利润累计：</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元</w:t>
      </w:r>
    </w:p>
    <w:p w14:paraId="7C635DB2">
      <w:pPr>
        <w:pageBreakBefore w:val="0"/>
        <w:kinsoku/>
        <w:overflowPunct/>
        <w:bidi w:val="0"/>
        <w:spacing w:line="360" w:lineRule="auto"/>
        <w:rPr>
          <w:rFonts w:hint="eastAsia" w:ascii="宋体" w:hAnsi="宋体" w:eastAsia="宋体" w:cs="宋体"/>
          <w:color w:val="auto"/>
          <w:szCs w:val="21"/>
          <w:highlight w:val="none"/>
        </w:rPr>
      </w:pPr>
    </w:p>
    <w:p w14:paraId="7117A6E2">
      <w:pPr>
        <w:pageBreakBefore w:val="0"/>
        <w:kinsoku/>
        <w:overflowPunct/>
        <w:bidi w:val="0"/>
        <w:spacing w:line="360" w:lineRule="auto"/>
        <w:rPr>
          <w:rFonts w:hint="eastAsia" w:ascii="宋体" w:hAnsi="宋体" w:eastAsia="宋体" w:cs="宋体"/>
          <w:color w:val="auto"/>
          <w:szCs w:val="21"/>
          <w:highlight w:val="none"/>
        </w:rPr>
      </w:pPr>
    </w:p>
    <w:p w14:paraId="72B7FFF9">
      <w:pPr>
        <w:pageBreakBefore w:val="0"/>
        <w:kinsoku/>
        <w:overflowPunct/>
        <w:bidi w:val="0"/>
        <w:spacing w:line="360" w:lineRule="auto"/>
        <w:rPr>
          <w:rFonts w:hint="eastAsia" w:ascii="宋体" w:hAnsi="宋体" w:eastAsia="宋体" w:cs="宋体"/>
          <w:color w:val="auto"/>
          <w:szCs w:val="21"/>
          <w:highlight w:val="none"/>
        </w:rPr>
      </w:pPr>
    </w:p>
    <w:p w14:paraId="2A3BA63F">
      <w:pPr>
        <w:pageBreakBefore w:val="0"/>
        <w:kinsoku/>
        <w:overflowPunct/>
        <w:bidi w:val="0"/>
        <w:spacing w:line="360" w:lineRule="auto"/>
        <w:ind w:firstLine="2940" w:firstLineChars="140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rPr>
        <w:t>投标人：</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rPr>
        <w:t>（盖章）</w:t>
      </w:r>
    </w:p>
    <w:p w14:paraId="136927D1">
      <w:pPr>
        <w:pageBreakBefore w:val="0"/>
        <w:kinsoku/>
        <w:overflowPunct/>
        <w:bidi w:val="0"/>
        <w:spacing w:line="360" w:lineRule="auto"/>
        <w:ind w:firstLine="2940" w:firstLineChars="14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法定代表人或</w:t>
      </w:r>
      <w:r>
        <w:rPr>
          <w:rFonts w:hint="eastAsia" w:ascii="宋体" w:hAnsi="宋体" w:eastAsia="宋体" w:cs="宋体"/>
          <w:color w:val="auto"/>
          <w:szCs w:val="21"/>
          <w:highlight w:val="none"/>
          <w:lang w:eastAsia="zh-CN"/>
        </w:rPr>
        <w:t>其委托代理人</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rPr>
        <w:t>（签字或盖章）</w:t>
      </w:r>
    </w:p>
    <w:p w14:paraId="4B3C71D8">
      <w:pPr>
        <w:pageBreakBefore w:val="0"/>
        <w:tabs>
          <w:tab w:val="left" w:pos="5380"/>
          <w:tab w:val="left" w:pos="6520"/>
          <w:tab w:val="left" w:pos="7680"/>
        </w:tabs>
        <w:kinsoku/>
        <w:overflowPunct/>
        <w:autoSpaceDE w:val="0"/>
        <w:autoSpaceDN w:val="0"/>
        <w:bidi w:val="0"/>
        <w:adjustRightInd w:val="0"/>
        <w:spacing w:line="360" w:lineRule="auto"/>
        <w:ind w:right="-20" w:firstLine="3780" w:firstLineChars="180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u w:val="single"/>
        </w:rPr>
        <w:t xml:space="preserve">     </w:t>
      </w:r>
      <w:r>
        <w:rPr>
          <w:rFonts w:hint="eastAsia" w:ascii="宋体" w:hAnsi="宋体" w:eastAsia="宋体" w:cs="宋体"/>
          <w:color w:val="auto"/>
          <w:spacing w:val="43"/>
          <w:kern w:val="0"/>
          <w:szCs w:val="21"/>
          <w:highlight w:val="none"/>
          <w:u w:val="single"/>
        </w:rPr>
        <w:t xml:space="preserve"> </w:t>
      </w:r>
      <w:r>
        <w:rPr>
          <w:rFonts w:hint="eastAsia" w:ascii="宋体" w:hAnsi="宋体" w:eastAsia="宋体" w:cs="宋体"/>
          <w:color w:val="auto"/>
          <w:kern w:val="0"/>
          <w:szCs w:val="21"/>
          <w:highlight w:val="none"/>
        </w:rPr>
        <w:t>年</w:t>
      </w:r>
      <w:r>
        <w:rPr>
          <w:rFonts w:hint="eastAsia" w:ascii="宋体" w:hAnsi="宋体" w:eastAsia="宋体" w:cs="宋体"/>
          <w:color w:val="auto"/>
          <w:kern w:val="0"/>
          <w:szCs w:val="21"/>
          <w:highlight w:val="none"/>
          <w:u w:val="single"/>
        </w:rPr>
        <w:t xml:space="preserve">       </w:t>
      </w:r>
      <w:r>
        <w:rPr>
          <w:rFonts w:hint="eastAsia" w:ascii="宋体" w:hAnsi="宋体" w:eastAsia="宋体" w:cs="宋体"/>
          <w:color w:val="auto"/>
          <w:kern w:val="0"/>
          <w:szCs w:val="21"/>
          <w:highlight w:val="none"/>
        </w:rPr>
        <w:t>月</w:t>
      </w:r>
      <w:r>
        <w:rPr>
          <w:rFonts w:hint="eastAsia" w:ascii="宋体" w:hAnsi="宋体" w:eastAsia="宋体" w:cs="宋体"/>
          <w:color w:val="auto"/>
          <w:kern w:val="0"/>
          <w:szCs w:val="21"/>
          <w:highlight w:val="none"/>
          <w:u w:val="single"/>
        </w:rPr>
        <w:t xml:space="preserve">      </w:t>
      </w:r>
      <w:r>
        <w:rPr>
          <w:rFonts w:hint="eastAsia" w:ascii="宋体" w:hAnsi="宋体" w:eastAsia="宋体" w:cs="宋体"/>
          <w:color w:val="auto"/>
          <w:kern w:val="0"/>
          <w:szCs w:val="21"/>
          <w:highlight w:val="none"/>
        </w:rPr>
        <w:t>日</w:t>
      </w:r>
    </w:p>
    <w:p w14:paraId="0A972BCE">
      <w:pPr>
        <w:pageBreakBefore w:val="0"/>
        <w:kinsoku/>
        <w:overflowPunct/>
        <w:bidi w:val="0"/>
        <w:spacing w:line="360" w:lineRule="auto"/>
        <w:rPr>
          <w:rFonts w:hint="eastAsia" w:ascii="宋体" w:hAnsi="宋体" w:eastAsia="宋体" w:cs="宋体"/>
          <w:color w:val="auto"/>
          <w:szCs w:val="21"/>
          <w:highlight w:val="none"/>
        </w:rPr>
      </w:pPr>
    </w:p>
    <w:p w14:paraId="0935D685">
      <w:pPr>
        <w:pageBreakBefore w:val="0"/>
        <w:kinsoku/>
        <w:overflowPunct/>
        <w:bidi w:val="0"/>
        <w:spacing w:line="360" w:lineRule="auto"/>
        <w:rPr>
          <w:rFonts w:hint="eastAsia" w:ascii="宋体" w:hAnsi="宋体" w:eastAsia="宋体" w:cs="宋体"/>
          <w:color w:val="auto"/>
          <w:sz w:val="24"/>
          <w:highlight w:val="none"/>
        </w:rPr>
      </w:pPr>
    </w:p>
    <w:p w14:paraId="79711A07">
      <w:pPr>
        <w:pageBreakBefore w:val="0"/>
        <w:kinsoku/>
        <w:overflowPunct/>
        <w:bidi w:val="0"/>
        <w:spacing w:line="360" w:lineRule="auto"/>
        <w:rPr>
          <w:rFonts w:hint="eastAsia" w:ascii="宋体" w:hAnsi="宋体" w:eastAsia="宋体" w:cs="宋体"/>
          <w:color w:val="auto"/>
          <w:sz w:val="24"/>
          <w:highlight w:val="none"/>
        </w:rPr>
      </w:pPr>
    </w:p>
    <w:p w14:paraId="08AD17D0">
      <w:pPr>
        <w:pStyle w:val="5"/>
        <w:pageBreakBefore w:val="0"/>
        <w:numPr>
          <w:ilvl w:val="0"/>
          <w:numId w:val="31"/>
        </w:numPr>
        <w:tabs>
          <w:tab w:val="left" w:pos="840"/>
        </w:tabs>
        <w:kinsoku/>
        <w:overflowPunct/>
        <w:bidi w:val="0"/>
        <w:spacing w:line="360" w:lineRule="auto"/>
        <w:jc w:val="center"/>
        <w:rPr>
          <w:rFonts w:hint="eastAsia" w:ascii="宋体" w:hAnsi="宋体" w:eastAsia="宋体" w:cs="宋体"/>
          <w:color w:val="auto"/>
          <w:highlight w:val="none"/>
        </w:rPr>
      </w:pPr>
      <w:bookmarkStart w:id="726" w:name="_Toc30926"/>
      <w:r>
        <w:rPr>
          <w:rFonts w:hint="eastAsia" w:ascii="宋体" w:hAnsi="宋体" w:eastAsia="宋体" w:cs="宋体"/>
          <w:color w:val="auto"/>
          <w:sz w:val="24"/>
          <w:szCs w:val="24"/>
          <w:highlight w:val="none"/>
          <w:lang w:val="en-US" w:eastAsia="zh-CN"/>
        </w:rPr>
        <w:br w:type="page"/>
      </w:r>
      <w:bookmarkStart w:id="727" w:name="_Toc20556"/>
      <w:r>
        <w:rPr>
          <w:rFonts w:hint="eastAsia" w:ascii="宋体" w:hAnsi="宋体" w:eastAsia="宋体" w:cs="宋体"/>
          <w:color w:val="auto"/>
          <w:sz w:val="24"/>
          <w:szCs w:val="24"/>
          <w:highlight w:val="none"/>
          <w:lang w:val="en-US" w:eastAsia="zh-CN"/>
        </w:rPr>
        <w:t>投标人资格证明文件</w:t>
      </w:r>
      <w:bookmarkEnd w:id="726"/>
      <w:bookmarkEnd w:id="727"/>
    </w:p>
    <w:p w14:paraId="72ABA1DF">
      <w:pPr>
        <w:pStyle w:val="70"/>
        <w:pageBreakBefore w:val="0"/>
        <w:kinsoku/>
        <w:overflowPunct/>
        <w:bidi w:val="0"/>
        <w:spacing w:line="360" w:lineRule="auto"/>
        <w:jc w:val="center"/>
        <w:rPr>
          <w:rFonts w:hint="eastAsia" w:ascii="宋体" w:hAnsi="宋体" w:eastAsia="宋体" w:cs="宋体"/>
          <w:b/>
          <w:color w:val="auto"/>
          <w:sz w:val="24"/>
          <w:szCs w:val="24"/>
          <w:highlight w:val="none"/>
          <w:lang w:val="en-US" w:eastAsia="zh-CN"/>
        </w:rPr>
      </w:pPr>
      <w:r>
        <w:rPr>
          <w:rFonts w:hint="eastAsia" w:ascii="宋体" w:hAnsi="宋体" w:eastAsia="宋体" w:cs="宋体"/>
          <w:b/>
          <w:color w:val="auto"/>
          <w:sz w:val="24"/>
          <w:szCs w:val="24"/>
          <w:highlight w:val="none"/>
          <w:lang w:val="en-US" w:eastAsia="zh-CN"/>
        </w:rPr>
        <w:t>具有独立承担民事责任的能力的证明材料</w:t>
      </w:r>
    </w:p>
    <w:p w14:paraId="10AE155C">
      <w:pPr>
        <w:pStyle w:val="35"/>
        <w:keepNext w:val="0"/>
        <w:keepLines w:val="0"/>
        <w:pageBreakBefore w:val="0"/>
        <w:widowControl w:val="0"/>
        <w:kinsoku/>
        <w:wordWrap/>
        <w:overflowPunct/>
        <w:topLinePunct w:val="0"/>
        <w:autoSpaceDE/>
        <w:autoSpaceDN/>
        <w:bidi w:val="0"/>
        <w:adjustRightInd/>
        <w:snapToGrid/>
        <w:spacing w:after="0" w:line="360" w:lineRule="auto"/>
        <w:ind w:left="0" w:leftChars="0"/>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投标人为企业（包括合伙企业）的，应提供有效的“营业执照”；</w:t>
      </w:r>
    </w:p>
    <w:p w14:paraId="6D48977C">
      <w:pPr>
        <w:pStyle w:val="35"/>
        <w:keepNext w:val="0"/>
        <w:keepLines w:val="0"/>
        <w:pageBreakBefore w:val="0"/>
        <w:widowControl w:val="0"/>
        <w:kinsoku/>
        <w:wordWrap/>
        <w:overflowPunct/>
        <w:topLinePunct w:val="0"/>
        <w:autoSpaceDE/>
        <w:autoSpaceDN/>
        <w:bidi w:val="0"/>
        <w:adjustRightInd/>
        <w:snapToGrid/>
        <w:spacing w:after="0" w:line="360" w:lineRule="auto"/>
        <w:ind w:left="0" w:leftChars="0"/>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投标人为事业单位的，应提供有效的“事业单位法人证书”；</w:t>
      </w:r>
    </w:p>
    <w:p w14:paraId="79F1E04C">
      <w:pPr>
        <w:pStyle w:val="35"/>
        <w:keepNext w:val="0"/>
        <w:keepLines w:val="0"/>
        <w:pageBreakBefore w:val="0"/>
        <w:widowControl w:val="0"/>
        <w:kinsoku/>
        <w:wordWrap/>
        <w:overflowPunct/>
        <w:topLinePunct w:val="0"/>
        <w:autoSpaceDE/>
        <w:autoSpaceDN/>
        <w:bidi w:val="0"/>
        <w:adjustRightInd/>
        <w:snapToGrid/>
        <w:spacing w:after="0" w:line="360" w:lineRule="auto"/>
        <w:ind w:left="0" w:leftChars="0"/>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投标人是非企业机构的，应提供有效的“执业许可证”“登记证书”等证明文件；</w:t>
      </w:r>
    </w:p>
    <w:p w14:paraId="2306A4C5">
      <w:pPr>
        <w:pStyle w:val="35"/>
        <w:keepNext w:val="0"/>
        <w:keepLines w:val="0"/>
        <w:pageBreakBefore w:val="0"/>
        <w:widowControl w:val="0"/>
        <w:kinsoku/>
        <w:wordWrap/>
        <w:overflowPunct/>
        <w:topLinePunct w:val="0"/>
        <w:autoSpaceDE/>
        <w:autoSpaceDN/>
        <w:bidi w:val="0"/>
        <w:adjustRightInd/>
        <w:snapToGrid/>
        <w:spacing w:after="0" w:line="360" w:lineRule="auto"/>
        <w:ind w:left="0" w:leftChars="0"/>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投标人是个体工商户的，应提供有效的“个体工商户营业执照”；</w:t>
      </w:r>
    </w:p>
    <w:p w14:paraId="5BECDF23">
      <w:pPr>
        <w:pStyle w:val="35"/>
        <w:keepNext w:val="0"/>
        <w:keepLines w:val="0"/>
        <w:pageBreakBefore w:val="0"/>
        <w:widowControl w:val="0"/>
        <w:kinsoku/>
        <w:wordWrap/>
        <w:overflowPunct/>
        <w:topLinePunct w:val="0"/>
        <w:autoSpaceDE/>
        <w:autoSpaceDN/>
        <w:bidi w:val="0"/>
        <w:adjustRightInd/>
        <w:snapToGrid/>
        <w:spacing w:after="0" w:line="360" w:lineRule="auto"/>
        <w:ind w:left="0" w:leftChars="0"/>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投标人是自然人的，应提供有效的自然人身份证明。</w:t>
      </w:r>
    </w:p>
    <w:p w14:paraId="1586CCC0">
      <w:pPr>
        <w:pStyle w:val="70"/>
        <w:pageBreakBefore w:val="0"/>
        <w:kinsoku/>
        <w:overflowPunct/>
        <w:bidi w:val="0"/>
        <w:spacing w:line="360" w:lineRule="auto"/>
        <w:ind w:left="425"/>
        <w:jc w:val="center"/>
        <w:rPr>
          <w:rFonts w:hint="eastAsia" w:ascii="宋体" w:hAnsi="宋体" w:eastAsia="宋体" w:cs="宋体"/>
          <w:b/>
          <w:color w:val="auto"/>
          <w:sz w:val="28"/>
          <w:szCs w:val="28"/>
          <w:highlight w:val="none"/>
        </w:rPr>
      </w:pPr>
    </w:p>
    <w:p w14:paraId="53FAEBF4">
      <w:pPr>
        <w:pStyle w:val="70"/>
        <w:pageBreakBefore w:val="0"/>
        <w:kinsoku/>
        <w:overflowPunct/>
        <w:bidi w:val="0"/>
        <w:spacing w:line="360" w:lineRule="auto"/>
        <w:ind w:left="425"/>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br w:type="page"/>
      </w:r>
      <w:r>
        <w:rPr>
          <w:rFonts w:hint="eastAsia" w:ascii="宋体" w:hAnsi="宋体" w:eastAsia="宋体" w:cs="宋体"/>
          <w:b/>
          <w:color w:val="auto"/>
          <w:sz w:val="24"/>
          <w:szCs w:val="24"/>
          <w:highlight w:val="none"/>
        </w:rPr>
        <w:t>参加政府采购活动前3年在经营活动中没有重大</w:t>
      </w:r>
    </w:p>
    <w:p w14:paraId="0B3B4582">
      <w:pPr>
        <w:pStyle w:val="70"/>
        <w:pageBreakBefore w:val="0"/>
        <w:kinsoku/>
        <w:overflowPunct/>
        <w:bidi w:val="0"/>
        <w:spacing w:line="360" w:lineRule="auto"/>
        <w:ind w:left="425"/>
        <w:jc w:val="center"/>
        <w:rPr>
          <w:rFonts w:hint="eastAsia" w:ascii="宋体" w:hAnsi="宋体" w:eastAsia="宋体" w:cs="宋体"/>
          <w:b/>
          <w:color w:val="auto"/>
          <w:sz w:val="24"/>
          <w:szCs w:val="24"/>
          <w:highlight w:val="none"/>
          <w:lang w:eastAsia="zh-CN"/>
        </w:rPr>
      </w:pPr>
      <w:r>
        <w:rPr>
          <w:rFonts w:hint="eastAsia" w:ascii="宋体" w:hAnsi="宋体" w:eastAsia="宋体" w:cs="宋体"/>
          <w:b/>
          <w:color w:val="auto"/>
          <w:sz w:val="24"/>
          <w:szCs w:val="24"/>
          <w:highlight w:val="none"/>
        </w:rPr>
        <w:t>违法记录的书面声</w:t>
      </w:r>
      <w:r>
        <w:rPr>
          <w:rFonts w:hint="eastAsia" w:ascii="宋体" w:hAnsi="宋体" w:eastAsia="宋体" w:cs="宋体"/>
          <w:b/>
          <w:color w:val="auto"/>
          <w:sz w:val="24"/>
          <w:szCs w:val="24"/>
          <w:highlight w:val="none"/>
          <w:lang w:eastAsia="zh-CN"/>
        </w:rPr>
        <w:t>明</w:t>
      </w:r>
    </w:p>
    <w:p w14:paraId="5DAD7BAF">
      <w:pPr>
        <w:pageBreakBefore w:val="0"/>
        <w:kinsoku/>
        <w:overflowPunct/>
        <w:bidi w:val="0"/>
        <w:spacing w:before="156" w:beforeLines="50" w:after="156" w:afterLines="50" w:line="360" w:lineRule="auto"/>
        <w:ind w:left="687" w:leftChars="227" w:hanging="210" w:hangingChars="100"/>
        <w:rPr>
          <w:rFonts w:hint="eastAsia" w:ascii="宋体" w:hAnsi="宋体" w:eastAsia="宋体" w:cs="宋体"/>
          <w:color w:val="auto"/>
          <w:szCs w:val="21"/>
          <w:highlight w:val="none"/>
        </w:rPr>
      </w:pPr>
      <w:r>
        <w:rPr>
          <w:rFonts w:hint="eastAsia" w:ascii="宋体" w:hAnsi="宋体" w:eastAsia="宋体" w:cs="宋体"/>
          <w:color w:val="auto"/>
          <w:szCs w:val="21"/>
          <w:highlight w:val="none"/>
          <w:u w:val="single"/>
          <w:lang w:bidi="ar"/>
        </w:rPr>
        <w:t>采购人名称</w:t>
      </w:r>
      <w:r>
        <w:rPr>
          <w:rFonts w:hint="eastAsia" w:ascii="宋体" w:hAnsi="宋体" w:eastAsia="宋体" w:cs="宋体"/>
          <w:color w:val="auto"/>
          <w:szCs w:val="21"/>
          <w:highlight w:val="none"/>
          <w:lang w:bidi="ar"/>
        </w:rPr>
        <w:t>：</w:t>
      </w:r>
    </w:p>
    <w:p w14:paraId="5D833B25">
      <w:pPr>
        <w:pageBreakBefore w:val="0"/>
        <w:kinsoku/>
        <w:overflowPunct/>
        <w:bidi w:val="0"/>
        <w:spacing w:before="156" w:beforeLines="50" w:after="156" w:afterLines="50" w:line="360" w:lineRule="auto"/>
        <w:ind w:left="689" w:leftChars="328" w:firstLine="210" w:firstLineChars="100"/>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我单位在参加政府采购活动前3年在经营活动中没有重大违法记录，特此声明。</w:t>
      </w:r>
    </w:p>
    <w:p w14:paraId="543050B4">
      <w:pPr>
        <w:pageBreakBefore w:val="0"/>
        <w:kinsoku/>
        <w:overflowPunct/>
        <w:bidi w:val="0"/>
        <w:spacing w:before="156" w:beforeLines="50" w:after="156" w:afterLines="50" w:line="360" w:lineRule="auto"/>
        <w:rPr>
          <w:rFonts w:hint="eastAsia" w:ascii="宋体" w:hAnsi="宋体" w:eastAsia="宋体" w:cs="宋体"/>
          <w:color w:val="auto"/>
          <w:szCs w:val="21"/>
          <w:highlight w:val="none"/>
        </w:rPr>
      </w:pPr>
    </w:p>
    <w:p w14:paraId="77F76149">
      <w:pPr>
        <w:pageBreakBefore w:val="0"/>
        <w:kinsoku/>
        <w:overflowPunct/>
        <w:bidi w:val="0"/>
        <w:spacing w:line="360" w:lineRule="auto"/>
        <w:ind w:firstLine="2940" w:firstLineChars="140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rPr>
        <w:t>投标人：</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rPr>
        <w:t>（盖章）</w:t>
      </w:r>
    </w:p>
    <w:p w14:paraId="450717E3">
      <w:pPr>
        <w:pageBreakBefore w:val="0"/>
        <w:kinsoku/>
        <w:overflowPunct/>
        <w:bidi w:val="0"/>
        <w:spacing w:line="360" w:lineRule="auto"/>
        <w:ind w:firstLine="2940" w:firstLineChars="14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法定代表人或</w:t>
      </w:r>
      <w:r>
        <w:rPr>
          <w:rFonts w:hint="eastAsia" w:ascii="宋体" w:hAnsi="宋体" w:eastAsia="宋体" w:cs="宋体"/>
          <w:color w:val="auto"/>
          <w:szCs w:val="21"/>
          <w:highlight w:val="none"/>
          <w:lang w:eastAsia="zh-CN"/>
        </w:rPr>
        <w:t>其委托代理人</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rPr>
        <w:t>（签字或盖章）</w:t>
      </w:r>
    </w:p>
    <w:p w14:paraId="3A8F640B">
      <w:pPr>
        <w:pageBreakBefore w:val="0"/>
        <w:tabs>
          <w:tab w:val="left" w:pos="5380"/>
          <w:tab w:val="left" w:pos="6520"/>
          <w:tab w:val="left" w:pos="7680"/>
        </w:tabs>
        <w:kinsoku/>
        <w:overflowPunct/>
        <w:autoSpaceDE w:val="0"/>
        <w:autoSpaceDN w:val="0"/>
        <w:bidi w:val="0"/>
        <w:adjustRightInd w:val="0"/>
        <w:spacing w:line="360" w:lineRule="auto"/>
        <w:ind w:right="-20" w:firstLine="3780" w:firstLineChars="1800"/>
        <w:jc w:val="left"/>
        <w:rPr>
          <w:rFonts w:hint="eastAsia" w:ascii="宋体" w:hAnsi="宋体" w:eastAsia="宋体" w:cs="宋体"/>
          <w:color w:val="auto"/>
          <w:szCs w:val="21"/>
          <w:highlight w:val="none"/>
          <w:lang w:bidi="ar"/>
        </w:rPr>
      </w:pPr>
      <w:r>
        <w:rPr>
          <w:rFonts w:hint="eastAsia" w:ascii="宋体" w:hAnsi="宋体" w:eastAsia="宋体" w:cs="宋体"/>
          <w:color w:val="auto"/>
          <w:kern w:val="0"/>
          <w:szCs w:val="21"/>
          <w:highlight w:val="none"/>
          <w:u w:val="single"/>
        </w:rPr>
        <w:t xml:space="preserve">     </w:t>
      </w:r>
      <w:r>
        <w:rPr>
          <w:rFonts w:hint="eastAsia" w:ascii="宋体" w:hAnsi="宋体" w:eastAsia="宋体" w:cs="宋体"/>
          <w:color w:val="auto"/>
          <w:spacing w:val="43"/>
          <w:kern w:val="0"/>
          <w:szCs w:val="21"/>
          <w:highlight w:val="none"/>
          <w:u w:val="single"/>
        </w:rPr>
        <w:t xml:space="preserve"> </w:t>
      </w:r>
      <w:r>
        <w:rPr>
          <w:rFonts w:hint="eastAsia" w:ascii="宋体" w:hAnsi="宋体" w:eastAsia="宋体" w:cs="宋体"/>
          <w:color w:val="auto"/>
          <w:kern w:val="0"/>
          <w:szCs w:val="21"/>
          <w:highlight w:val="none"/>
        </w:rPr>
        <w:t>年</w:t>
      </w:r>
      <w:r>
        <w:rPr>
          <w:rFonts w:hint="eastAsia" w:ascii="宋体" w:hAnsi="宋体" w:eastAsia="宋体" w:cs="宋体"/>
          <w:color w:val="auto"/>
          <w:kern w:val="0"/>
          <w:szCs w:val="21"/>
          <w:highlight w:val="none"/>
          <w:u w:val="single"/>
        </w:rPr>
        <w:t xml:space="preserve">       </w:t>
      </w:r>
      <w:r>
        <w:rPr>
          <w:rFonts w:hint="eastAsia" w:ascii="宋体" w:hAnsi="宋体" w:eastAsia="宋体" w:cs="宋体"/>
          <w:color w:val="auto"/>
          <w:kern w:val="0"/>
          <w:szCs w:val="21"/>
          <w:highlight w:val="none"/>
        </w:rPr>
        <w:t>月</w:t>
      </w:r>
      <w:r>
        <w:rPr>
          <w:rFonts w:hint="eastAsia" w:ascii="宋体" w:hAnsi="宋体" w:eastAsia="宋体" w:cs="宋体"/>
          <w:color w:val="auto"/>
          <w:kern w:val="0"/>
          <w:szCs w:val="21"/>
          <w:highlight w:val="none"/>
          <w:u w:val="single"/>
        </w:rPr>
        <w:t xml:space="preserve">      </w:t>
      </w:r>
      <w:r>
        <w:rPr>
          <w:rFonts w:hint="eastAsia" w:ascii="宋体" w:hAnsi="宋体" w:eastAsia="宋体" w:cs="宋体"/>
          <w:color w:val="auto"/>
          <w:kern w:val="0"/>
          <w:szCs w:val="21"/>
          <w:highlight w:val="none"/>
        </w:rPr>
        <w:t>日</w:t>
      </w:r>
    </w:p>
    <w:p w14:paraId="5241D29B">
      <w:pPr>
        <w:pStyle w:val="35"/>
        <w:keepNext w:val="0"/>
        <w:keepLines w:val="0"/>
        <w:pageBreakBefore w:val="0"/>
        <w:widowControl w:val="0"/>
        <w:kinsoku/>
        <w:wordWrap/>
        <w:overflowPunct/>
        <w:topLinePunct w:val="0"/>
        <w:autoSpaceDE/>
        <w:autoSpaceDN/>
        <w:bidi w:val="0"/>
        <w:adjustRightInd/>
        <w:snapToGrid/>
        <w:spacing w:after="0" w:line="360" w:lineRule="auto"/>
        <w:ind w:left="0" w:leftChars="0"/>
        <w:textAlignment w:val="auto"/>
        <w:rPr>
          <w:rFonts w:hint="eastAsia" w:ascii="宋体" w:hAnsi="宋体" w:eastAsia="宋体" w:cs="宋体"/>
          <w:color w:val="auto"/>
          <w:highlight w:val="none"/>
          <w:lang w:val="en-US" w:eastAsia="zh-CN"/>
        </w:rPr>
      </w:pPr>
    </w:p>
    <w:p w14:paraId="3E026E95">
      <w:pPr>
        <w:pStyle w:val="70"/>
        <w:pageBreakBefore w:val="0"/>
        <w:kinsoku/>
        <w:overflowPunct/>
        <w:bidi w:val="0"/>
        <w:spacing w:line="360" w:lineRule="auto"/>
        <w:ind w:left="425"/>
        <w:jc w:val="center"/>
        <w:rPr>
          <w:rFonts w:hint="eastAsia" w:ascii="宋体" w:hAnsi="宋体" w:eastAsia="宋体" w:cs="宋体"/>
          <w:b/>
          <w:color w:val="auto"/>
          <w:sz w:val="28"/>
          <w:szCs w:val="28"/>
          <w:highlight w:val="none"/>
        </w:rPr>
      </w:pPr>
      <w:r>
        <w:rPr>
          <w:rFonts w:hint="eastAsia" w:ascii="宋体" w:hAnsi="宋体" w:eastAsia="宋体" w:cs="宋体"/>
          <w:b/>
          <w:color w:val="auto"/>
          <w:sz w:val="24"/>
          <w:szCs w:val="24"/>
          <w:highlight w:val="none"/>
        </w:rPr>
        <w:br w:type="page"/>
      </w:r>
      <w:r>
        <w:rPr>
          <w:rFonts w:hint="eastAsia" w:ascii="宋体" w:hAnsi="宋体" w:eastAsia="宋体" w:cs="宋体"/>
          <w:b/>
          <w:color w:val="auto"/>
          <w:sz w:val="24"/>
          <w:szCs w:val="24"/>
          <w:highlight w:val="none"/>
        </w:rPr>
        <w:t>具有履行合同所必需的设备和专业技术能力</w:t>
      </w:r>
      <w:r>
        <w:rPr>
          <w:rFonts w:hint="eastAsia" w:ascii="宋体" w:hAnsi="宋体" w:eastAsia="宋体" w:cs="宋体"/>
          <w:b/>
          <w:color w:val="auto"/>
          <w:sz w:val="24"/>
          <w:szCs w:val="24"/>
          <w:highlight w:val="none"/>
          <w:lang w:eastAsia="zh-CN"/>
        </w:rPr>
        <w:t>书面声明函</w:t>
      </w:r>
    </w:p>
    <w:p w14:paraId="54C23792">
      <w:pPr>
        <w:pageBreakBefore w:val="0"/>
        <w:kinsoku/>
        <w:overflowPunct/>
        <w:bidi w:val="0"/>
        <w:spacing w:before="156" w:beforeLines="50" w:after="156" w:afterLines="50" w:line="360" w:lineRule="auto"/>
        <w:ind w:left="687" w:leftChars="227" w:hanging="210" w:hangingChars="100"/>
        <w:rPr>
          <w:rFonts w:hint="eastAsia" w:ascii="宋体" w:hAnsi="宋体" w:eastAsia="宋体" w:cs="宋体"/>
          <w:color w:val="auto"/>
          <w:szCs w:val="21"/>
          <w:highlight w:val="none"/>
        </w:rPr>
      </w:pPr>
      <w:r>
        <w:rPr>
          <w:rFonts w:hint="eastAsia" w:ascii="宋体" w:hAnsi="宋体" w:eastAsia="宋体" w:cs="宋体"/>
          <w:color w:val="auto"/>
          <w:szCs w:val="21"/>
          <w:highlight w:val="none"/>
          <w:u w:val="single"/>
          <w:lang w:bidi="ar"/>
        </w:rPr>
        <w:t>采购人名称</w:t>
      </w:r>
      <w:r>
        <w:rPr>
          <w:rFonts w:hint="eastAsia" w:ascii="宋体" w:hAnsi="宋体" w:eastAsia="宋体" w:cs="宋体"/>
          <w:color w:val="auto"/>
          <w:szCs w:val="21"/>
          <w:highlight w:val="none"/>
          <w:lang w:bidi="ar"/>
        </w:rPr>
        <w:t>：</w:t>
      </w:r>
    </w:p>
    <w:p w14:paraId="1F2C8B8D">
      <w:pPr>
        <w:pageBreakBefore w:val="0"/>
        <w:kinsoku/>
        <w:overflowPunct/>
        <w:bidi w:val="0"/>
        <w:spacing w:before="156" w:beforeLines="50" w:after="156" w:afterLines="50" w:line="360" w:lineRule="auto"/>
        <w:ind w:left="689" w:leftChars="328" w:firstLine="210" w:firstLineChars="100"/>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bidi="ar"/>
        </w:rPr>
        <w:t>我单位具有履行合同所必需的设备和专业技术能力</w:t>
      </w:r>
      <w:r>
        <w:rPr>
          <w:rFonts w:hint="eastAsia" w:ascii="宋体" w:hAnsi="宋体" w:eastAsia="宋体" w:cs="宋体"/>
          <w:color w:val="auto"/>
          <w:szCs w:val="21"/>
          <w:highlight w:val="none"/>
          <w:lang w:bidi="ar"/>
        </w:rPr>
        <w:t>，特此声明。</w:t>
      </w:r>
    </w:p>
    <w:p w14:paraId="726DC829">
      <w:pPr>
        <w:pageBreakBefore w:val="0"/>
        <w:kinsoku/>
        <w:overflowPunct/>
        <w:bidi w:val="0"/>
        <w:spacing w:before="156" w:beforeLines="50" w:after="156" w:afterLines="50" w:line="360" w:lineRule="auto"/>
        <w:ind w:left="687" w:leftChars="227" w:hanging="210" w:hangingChars="100"/>
        <w:rPr>
          <w:rFonts w:hint="eastAsia" w:ascii="宋体" w:hAnsi="宋体" w:eastAsia="宋体" w:cs="宋体"/>
          <w:color w:val="auto"/>
          <w:szCs w:val="21"/>
          <w:highlight w:val="none"/>
        </w:rPr>
      </w:pPr>
    </w:p>
    <w:p w14:paraId="309C58B8">
      <w:pPr>
        <w:pageBreakBefore w:val="0"/>
        <w:kinsoku/>
        <w:overflowPunct/>
        <w:bidi w:val="0"/>
        <w:spacing w:line="360" w:lineRule="auto"/>
        <w:ind w:firstLine="2940" w:firstLineChars="140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rPr>
        <w:t>投标人：</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rPr>
        <w:t>（盖章）</w:t>
      </w:r>
    </w:p>
    <w:p w14:paraId="64E2B416">
      <w:pPr>
        <w:pageBreakBefore w:val="0"/>
        <w:kinsoku/>
        <w:overflowPunct/>
        <w:bidi w:val="0"/>
        <w:spacing w:line="360" w:lineRule="auto"/>
        <w:ind w:firstLine="2940" w:firstLineChars="14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法定代表人或</w:t>
      </w:r>
      <w:r>
        <w:rPr>
          <w:rFonts w:hint="eastAsia" w:ascii="宋体" w:hAnsi="宋体" w:eastAsia="宋体" w:cs="宋体"/>
          <w:color w:val="auto"/>
          <w:szCs w:val="21"/>
          <w:highlight w:val="none"/>
          <w:lang w:eastAsia="zh-CN"/>
        </w:rPr>
        <w:t>其委托代理人</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rPr>
        <w:t>（签字或盖章）</w:t>
      </w:r>
    </w:p>
    <w:p w14:paraId="695CFE25">
      <w:pPr>
        <w:pageBreakBefore w:val="0"/>
        <w:tabs>
          <w:tab w:val="left" w:pos="5380"/>
          <w:tab w:val="left" w:pos="6520"/>
          <w:tab w:val="left" w:pos="7680"/>
        </w:tabs>
        <w:kinsoku/>
        <w:overflowPunct/>
        <w:autoSpaceDE w:val="0"/>
        <w:autoSpaceDN w:val="0"/>
        <w:bidi w:val="0"/>
        <w:adjustRightInd w:val="0"/>
        <w:spacing w:line="360" w:lineRule="auto"/>
        <w:ind w:right="-20" w:firstLine="3780" w:firstLineChars="180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u w:val="single"/>
        </w:rPr>
        <w:t xml:space="preserve">     </w:t>
      </w:r>
      <w:r>
        <w:rPr>
          <w:rFonts w:hint="eastAsia" w:ascii="宋体" w:hAnsi="宋体" w:eastAsia="宋体" w:cs="宋体"/>
          <w:color w:val="auto"/>
          <w:spacing w:val="43"/>
          <w:kern w:val="0"/>
          <w:szCs w:val="21"/>
          <w:highlight w:val="none"/>
          <w:u w:val="single"/>
        </w:rPr>
        <w:t xml:space="preserve"> </w:t>
      </w:r>
      <w:r>
        <w:rPr>
          <w:rFonts w:hint="eastAsia" w:ascii="宋体" w:hAnsi="宋体" w:eastAsia="宋体" w:cs="宋体"/>
          <w:color w:val="auto"/>
          <w:kern w:val="0"/>
          <w:szCs w:val="21"/>
          <w:highlight w:val="none"/>
        </w:rPr>
        <w:t>年</w:t>
      </w:r>
      <w:r>
        <w:rPr>
          <w:rFonts w:hint="eastAsia" w:ascii="宋体" w:hAnsi="宋体" w:eastAsia="宋体" w:cs="宋体"/>
          <w:color w:val="auto"/>
          <w:kern w:val="0"/>
          <w:szCs w:val="21"/>
          <w:highlight w:val="none"/>
          <w:u w:val="single"/>
        </w:rPr>
        <w:t xml:space="preserve">       </w:t>
      </w:r>
      <w:r>
        <w:rPr>
          <w:rFonts w:hint="eastAsia" w:ascii="宋体" w:hAnsi="宋体" w:eastAsia="宋体" w:cs="宋体"/>
          <w:color w:val="auto"/>
          <w:kern w:val="0"/>
          <w:szCs w:val="21"/>
          <w:highlight w:val="none"/>
        </w:rPr>
        <w:t>月</w:t>
      </w:r>
      <w:r>
        <w:rPr>
          <w:rFonts w:hint="eastAsia" w:ascii="宋体" w:hAnsi="宋体" w:eastAsia="宋体" w:cs="宋体"/>
          <w:color w:val="auto"/>
          <w:kern w:val="0"/>
          <w:szCs w:val="21"/>
          <w:highlight w:val="none"/>
          <w:u w:val="single"/>
        </w:rPr>
        <w:t xml:space="preserve">      </w:t>
      </w:r>
      <w:r>
        <w:rPr>
          <w:rFonts w:hint="eastAsia" w:ascii="宋体" w:hAnsi="宋体" w:eastAsia="宋体" w:cs="宋体"/>
          <w:color w:val="auto"/>
          <w:kern w:val="0"/>
          <w:szCs w:val="21"/>
          <w:highlight w:val="none"/>
        </w:rPr>
        <w:t>日</w:t>
      </w:r>
    </w:p>
    <w:p w14:paraId="2D47A4A8">
      <w:pPr>
        <w:pStyle w:val="70"/>
        <w:spacing w:line="360" w:lineRule="auto"/>
        <w:ind w:left="425"/>
        <w:jc w:val="center"/>
        <w:rPr>
          <w:rFonts w:hint="eastAsia" w:ascii="宋体" w:hAnsi="宋体" w:eastAsia="宋体" w:cs="宋体"/>
          <w:b/>
          <w:color w:val="auto"/>
          <w:highlight w:val="none"/>
        </w:rPr>
      </w:pPr>
      <w:r>
        <w:rPr>
          <w:rFonts w:hint="eastAsia" w:ascii="宋体" w:hAnsi="宋体" w:eastAsia="宋体" w:cs="宋体"/>
          <w:b/>
          <w:color w:val="auto"/>
          <w:sz w:val="24"/>
          <w:szCs w:val="24"/>
          <w:highlight w:val="none"/>
        </w:rPr>
        <w:br w:type="page"/>
      </w:r>
      <w:bookmarkStart w:id="728" w:name="_Toc474231357"/>
      <w:bookmarkStart w:id="729" w:name="_Toc478045087"/>
      <w:bookmarkStart w:id="730" w:name="_Toc475365553"/>
      <w:bookmarkStart w:id="731" w:name="_Toc474325226"/>
      <w:r>
        <w:rPr>
          <w:rFonts w:hint="eastAsia" w:ascii="宋体" w:hAnsi="宋体" w:eastAsia="宋体" w:cs="宋体"/>
          <w:b/>
          <w:color w:val="auto"/>
          <w:highlight w:val="none"/>
        </w:rPr>
        <w:t>依法缴纳税收的证明材料</w:t>
      </w:r>
    </w:p>
    <w:p w14:paraId="222E93A8">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202</w:t>
      </w:r>
      <w:r>
        <w:rPr>
          <w:rFonts w:hint="eastAsia" w:ascii="宋体" w:hAnsi="宋体" w:eastAsia="宋体" w:cs="宋体"/>
          <w:color w:val="auto"/>
          <w:highlight w:val="none"/>
          <w:lang w:val="en-US" w:eastAsia="zh-CN"/>
        </w:rPr>
        <w:t>5</w:t>
      </w:r>
      <w:r>
        <w:rPr>
          <w:rFonts w:hint="eastAsia" w:ascii="宋体" w:hAnsi="宋体" w:eastAsia="宋体" w:cs="宋体"/>
          <w:color w:val="auto"/>
          <w:highlight w:val="none"/>
        </w:rPr>
        <w:t>年</w:t>
      </w:r>
      <w:r>
        <w:rPr>
          <w:rFonts w:hint="eastAsia" w:ascii="宋体" w:hAnsi="宋体" w:eastAsia="宋体" w:cs="宋体"/>
          <w:color w:val="auto"/>
          <w:highlight w:val="none"/>
          <w:lang w:val="en-US" w:eastAsia="zh-CN"/>
        </w:rPr>
        <w:t>6</w:t>
      </w:r>
      <w:r>
        <w:rPr>
          <w:rFonts w:hint="eastAsia" w:ascii="宋体" w:hAnsi="宋体" w:eastAsia="宋体" w:cs="宋体"/>
          <w:color w:val="auto"/>
          <w:highlight w:val="none"/>
        </w:rPr>
        <w:t>月</w:t>
      </w:r>
      <w:r>
        <w:rPr>
          <w:rFonts w:hint="eastAsia" w:ascii="宋体" w:hAnsi="宋体" w:eastAsia="宋体" w:cs="宋体"/>
          <w:color w:val="auto"/>
          <w:highlight w:val="none"/>
          <w:lang w:val="en-US" w:eastAsia="zh-CN"/>
        </w:rPr>
        <w:t>1日</w:t>
      </w:r>
      <w:r>
        <w:rPr>
          <w:rFonts w:hint="eastAsia" w:ascii="宋体" w:hAnsi="宋体" w:eastAsia="宋体" w:cs="宋体"/>
          <w:color w:val="auto"/>
          <w:highlight w:val="none"/>
        </w:rPr>
        <w:t>以来任意</w:t>
      </w:r>
      <w:r>
        <w:rPr>
          <w:rFonts w:hint="eastAsia" w:ascii="宋体" w:hAnsi="宋体" w:eastAsia="宋体" w:cs="宋体"/>
          <w:color w:val="auto"/>
          <w:highlight w:val="none"/>
          <w:lang w:val="en-US" w:eastAsia="zh-CN"/>
        </w:rPr>
        <w:t>一</w:t>
      </w:r>
      <w:r>
        <w:rPr>
          <w:rFonts w:hint="eastAsia" w:ascii="宋体" w:hAnsi="宋体" w:eastAsia="宋体" w:cs="宋体"/>
          <w:color w:val="auto"/>
          <w:highlight w:val="none"/>
        </w:rPr>
        <w:t>个月</w:t>
      </w:r>
      <w:r>
        <w:rPr>
          <w:rFonts w:hint="eastAsia" w:ascii="宋体" w:hAnsi="宋体" w:eastAsia="宋体" w:cs="宋体"/>
          <w:color w:val="auto"/>
          <w:szCs w:val="28"/>
          <w:highlight w:val="none"/>
        </w:rPr>
        <w:t>缴纳的相关税收凭据（主管行政部门或银行出具）</w:t>
      </w:r>
      <w:r>
        <w:rPr>
          <w:rFonts w:hint="eastAsia" w:ascii="宋体" w:hAnsi="宋体" w:eastAsia="宋体" w:cs="宋体"/>
          <w:color w:val="auto"/>
          <w:highlight w:val="none"/>
        </w:rPr>
        <w:t>。</w:t>
      </w:r>
      <w:r>
        <w:rPr>
          <w:rFonts w:hint="eastAsia" w:ascii="宋体" w:hAnsi="宋体" w:eastAsia="宋体" w:cs="宋体"/>
          <w:color w:val="auto"/>
          <w:szCs w:val="28"/>
          <w:highlight w:val="none"/>
        </w:rPr>
        <w:t>其他组织和自然人也需要提供缴纳税收的凭证（</w:t>
      </w:r>
      <w:r>
        <w:rPr>
          <w:rFonts w:hint="eastAsia" w:ascii="宋体" w:hAnsi="宋体" w:eastAsia="宋体" w:cs="宋体"/>
          <w:color w:val="auto"/>
          <w:kern w:val="0"/>
          <w:szCs w:val="21"/>
          <w:highlight w:val="none"/>
        </w:rPr>
        <w:t>新成立企业从成立之日起计算，</w:t>
      </w:r>
      <w:r>
        <w:rPr>
          <w:rFonts w:hint="eastAsia" w:ascii="宋体" w:hAnsi="宋体" w:eastAsia="宋体" w:cs="宋体"/>
          <w:color w:val="auto"/>
          <w:szCs w:val="28"/>
          <w:highlight w:val="none"/>
        </w:rPr>
        <w:t>依法免税的投标人，应提供相应行政部门出具的证明文件，证明其依法免税）</w:t>
      </w:r>
      <w:r>
        <w:rPr>
          <w:rFonts w:hint="eastAsia" w:ascii="宋体" w:hAnsi="宋体" w:eastAsia="宋体" w:cs="宋体"/>
          <w:color w:val="auto"/>
          <w:highlight w:val="none"/>
        </w:rPr>
        <w:t>。</w:t>
      </w:r>
    </w:p>
    <w:p w14:paraId="0D9064D6">
      <w:pPr>
        <w:spacing w:line="360" w:lineRule="auto"/>
        <w:rPr>
          <w:rFonts w:hint="eastAsia" w:ascii="宋体" w:hAnsi="宋体" w:eastAsia="宋体" w:cs="宋体"/>
          <w:color w:val="auto"/>
          <w:highlight w:val="none"/>
        </w:rPr>
      </w:pPr>
    </w:p>
    <w:p w14:paraId="2CB3A8EE">
      <w:pPr>
        <w:widowControl w:val="0"/>
        <w:autoSpaceDE w:val="0"/>
        <w:autoSpaceDN w:val="0"/>
        <w:adjustRightInd w:val="0"/>
        <w:spacing w:line="360" w:lineRule="auto"/>
        <w:rPr>
          <w:rFonts w:hint="eastAsia" w:ascii="宋体" w:hAnsi="宋体" w:eastAsia="宋体" w:cs="宋体"/>
          <w:color w:val="auto"/>
          <w:sz w:val="24"/>
          <w:szCs w:val="24"/>
          <w:highlight w:val="none"/>
          <w:lang w:val="en-US" w:eastAsia="zh-CN" w:bidi="ar-SA"/>
        </w:rPr>
      </w:pPr>
    </w:p>
    <w:p w14:paraId="2205F921">
      <w:pPr>
        <w:spacing w:before="120" w:beforeLines="50" w:after="120" w:afterLines="50" w:line="360" w:lineRule="auto"/>
        <w:rPr>
          <w:rFonts w:hint="eastAsia" w:ascii="宋体" w:hAnsi="宋体" w:eastAsia="宋体" w:cs="宋体"/>
          <w:color w:val="auto"/>
          <w:highlight w:val="none"/>
        </w:rPr>
      </w:pPr>
    </w:p>
    <w:p w14:paraId="4803AB39">
      <w:pPr>
        <w:widowControl w:val="0"/>
        <w:autoSpaceDE w:val="0"/>
        <w:autoSpaceDN w:val="0"/>
        <w:adjustRightInd w:val="0"/>
        <w:spacing w:line="360" w:lineRule="auto"/>
        <w:ind w:left="425"/>
        <w:jc w:val="center"/>
        <w:rPr>
          <w:rFonts w:hint="eastAsia" w:ascii="宋体" w:hAnsi="宋体" w:eastAsia="宋体" w:cs="宋体"/>
          <w:b/>
          <w:color w:val="auto"/>
          <w:sz w:val="28"/>
          <w:szCs w:val="28"/>
          <w:highlight w:val="none"/>
          <w:lang w:val="en-US" w:eastAsia="zh-CN" w:bidi="ar-SA"/>
        </w:rPr>
      </w:pPr>
      <w:r>
        <w:rPr>
          <w:rFonts w:hint="eastAsia" w:ascii="宋体" w:hAnsi="宋体" w:eastAsia="宋体" w:cs="宋体"/>
          <w:b/>
          <w:color w:val="auto"/>
          <w:sz w:val="28"/>
          <w:szCs w:val="28"/>
          <w:highlight w:val="none"/>
          <w:lang w:val="en-US" w:eastAsia="zh-CN" w:bidi="ar-SA"/>
        </w:rPr>
        <w:br w:type="page"/>
      </w:r>
      <w:r>
        <w:rPr>
          <w:rFonts w:hint="eastAsia" w:ascii="宋体" w:hAnsi="宋体" w:eastAsia="宋体" w:cs="宋体"/>
          <w:b/>
          <w:color w:val="auto"/>
          <w:sz w:val="24"/>
          <w:szCs w:val="24"/>
          <w:highlight w:val="none"/>
          <w:lang w:val="en-US" w:eastAsia="zh-CN" w:bidi="ar-SA"/>
        </w:rPr>
        <w:t>依法缴纳社会保障资金的证明材料</w:t>
      </w:r>
    </w:p>
    <w:p w14:paraId="5AA2CEE3">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202</w:t>
      </w:r>
      <w:r>
        <w:rPr>
          <w:rFonts w:hint="eastAsia" w:ascii="宋体" w:hAnsi="宋体" w:eastAsia="宋体" w:cs="宋体"/>
          <w:color w:val="auto"/>
          <w:highlight w:val="none"/>
          <w:lang w:val="en-US" w:eastAsia="zh-CN"/>
        </w:rPr>
        <w:t>5</w:t>
      </w:r>
      <w:r>
        <w:rPr>
          <w:rFonts w:hint="eastAsia" w:ascii="宋体" w:hAnsi="宋体" w:eastAsia="宋体" w:cs="宋体"/>
          <w:color w:val="auto"/>
          <w:highlight w:val="none"/>
        </w:rPr>
        <w:t>年</w:t>
      </w:r>
      <w:r>
        <w:rPr>
          <w:rFonts w:hint="eastAsia" w:ascii="宋体" w:hAnsi="宋体" w:eastAsia="宋体" w:cs="宋体"/>
          <w:color w:val="auto"/>
          <w:highlight w:val="none"/>
          <w:lang w:val="en-US" w:eastAsia="zh-CN"/>
        </w:rPr>
        <w:t>6</w:t>
      </w:r>
      <w:r>
        <w:rPr>
          <w:rFonts w:hint="eastAsia" w:ascii="宋体" w:hAnsi="宋体" w:eastAsia="宋体" w:cs="宋体"/>
          <w:color w:val="auto"/>
          <w:highlight w:val="none"/>
        </w:rPr>
        <w:t>月</w:t>
      </w:r>
      <w:r>
        <w:rPr>
          <w:rFonts w:hint="eastAsia" w:ascii="宋体" w:hAnsi="宋体" w:eastAsia="宋体" w:cs="宋体"/>
          <w:color w:val="auto"/>
          <w:highlight w:val="none"/>
          <w:lang w:val="en-US" w:eastAsia="zh-CN"/>
        </w:rPr>
        <w:t>1日</w:t>
      </w:r>
      <w:r>
        <w:rPr>
          <w:rFonts w:hint="eastAsia" w:ascii="宋体" w:hAnsi="宋体" w:eastAsia="宋体" w:cs="宋体"/>
          <w:color w:val="auto"/>
          <w:highlight w:val="none"/>
        </w:rPr>
        <w:t>以来任意</w:t>
      </w:r>
      <w:r>
        <w:rPr>
          <w:rFonts w:hint="eastAsia" w:ascii="宋体" w:hAnsi="宋体" w:eastAsia="宋体" w:cs="宋体"/>
          <w:color w:val="auto"/>
          <w:highlight w:val="none"/>
          <w:lang w:val="en-US" w:eastAsia="zh-CN"/>
        </w:rPr>
        <w:t>一</w:t>
      </w:r>
      <w:r>
        <w:rPr>
          <w:rFonts w:hint="eastAsia" w:ascii="宋体" w:hAnsi="宋体" w:eastAsia="宋体" w:cs="宋体"/>
          <w:color w:val="auto"/>
          <w:highlight w:val="none"/>
        </w:rPr>
        <w:t>个月</w:t>
      </w:r>
      <w:r>
        <w:rPr>
          <w:rFonts w:hint="eastAsia" w:ascii="宋体" w:hAnsi="宋体" w:eastAsia="宋体" w:cs="宋体"/>
          <w:color w:val="auto"/>
          <w:szCs w:val="28"/>
          <w:highlight w:val="none"/>
        </w:rPr>
        <w:t>缴纳社会保险凭据（专用收据或社会保险缴纳清单）。其他组织和自然人也需要提供缴纳社会保险的凭证（</w:t>
      </w:r>
      <w:r>
        <w:rPr>
          <w:rFonts w:hint="eastAsia" w:ascii="宋体" w:hAnsi="宋体" w:eastAsia="宋体" w:cs="宋体"/>
          <w:color w:val="auto"/>
          <w:kern w:val="0"/>
          <w:szCs w:val="21"/>
          <w:highlight w:val="none"/>
        </w:rPr>
        <w:t>新成立企业从成立之日起计算，</w:t>
      </w:r>
      <w:r>
        <w:rPr>
          <w:rFonts w:hint="eastAsia" w:ascii="宋体" w:hAnsi="宋体" w:eastAsia="宋体" w:cs="宋体"/>
          <w:color w:val="auto"/>
          <w:szCs w:val="28"/>
          <w:highlight w:val="none"/>
        </w:rPr>
        <w:t>依法不需要缴纳社会保障资金的投标人，应提供相应行政部门出具的证明文件，证明其依法不需要缴纳社会保障资金）</w:t>
      </w:r>
      <w:r>
        <w:rPr>
          <w:rFonts w:hint="eastAsia" w:ascii="宋体" w:hAnsi="宋体" w:eastAsia="宋体" w:cs="宋体"/>
          <w:color w:val="auto"/>
          <w:highlight w:val="none"/>
        </w:rPr>
        <w:t>。</w:t>
      </w:r>
    </w:p>
    <w:p w14:paraId="103DE153">
      <w:pPr>
        <w:pStyle w:val="70"/>
        <w:pageBreakBefore w:val="0"/>
        <w:kinsoku/>
        <w:overflowPunct/>
        <w:bidi w:val="0"/>
        <w:spacing w:line="360" w:lineRule="auto"/>
        <w:ind w:left="425"/>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br w:type="page"/>
      </w:r>
    </w:p>
    <w:bookmarkEnd w:id="728"/>
    <w:bookmarkEnd w:id="729"/>
    <w:bookmarkEnd w:id="730"/>
    <w:bookmarkEnd w:id="731"/>
    <w:p w14:paraId="7C812BF5">
      <w:pPr>
        <w:widowControl w:val="0"/>
        <w:autoSpaceDE w:val="0"/>
        <w:autoSpaceDN w:val="0"/>
        <w:adjustRightInd w:val="0"/>
        <w:spacing w:line="360" w:lineRule="auto"/>
        <w:ind w:left="425"/>
        <w:jc w:val="center"/>
        <w:rPr>
          <w:rFonts w:hint="eastAsia" w:ascii="宋体" w:hAnsi="宋体" w:eastAsia="宋体" w:cs="宋体"/>
          <w:b/>
          <w:color w:val="auto"/>
          <w:sz w:val="24"/>
          <w:szCs w:val="24"/>
          <w:highlight w:val="none"/>
          <w:lang w:val="en-US" w:eastAsia="zh-CN" w:bidi="ar-SA"/>
        </w:rPr>
      </w:pPr>
      <w:r>
        <w:rPr>
          <w:rFonts w:hint="eastAsia" w:ascii="宋体" w:hAnsi="宋体" w:eastAsia="宋体" w:cs="宋体"/>
          <w:b/>
          <w:color w:val="auto"/>
          <w:sz w:val="24"/>
          <w:szCs w:val="24"/>
          <w:highlight w:val="none"/>
          <w:lang w:val="en-US" w:eastAsia="zh-CN" w:bidi="ar-SA"/>
        </w:rPr>
        <w:t>财务状况</w:t>
      </w:r>
    </w:p>
    <w:p w14:paraId="3EFEBCBC">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 xml:space="preserve">    投标人是企业法人的，应提供</w:t>
      </w:r>
      <w:r>
        <w:rPr>
          <w:rFonts w:hint="eastAsia" w:ascii="宋体" w:hAnsi="宋体" w:eastAsia="宋体" w:cs="宋体"/>
          <w:color w:val="auto"/>
          <w:highlight w:val="none"/>
          <w:u w:val="single"/>
        </w:rPr>
        <w:t>202</w:t>
      </w:r>
      <w:r>
        <w:rPr>
          <w:rFonts w:hint="eastAsia" w:ascii="宋体" w:hAnsi="宋体" w:eastAsia="宋体" w:cs="宋体"/>
          <w:color w:val="auto"/>
          <w:highlight w:val="none"/>
          <w:u w:val="single"/>
          <w:lang w:val="en-US" w:eastAsia="zh-CN"/>
        </w:rPr>
        <w:t>4或2025</w:t>
      </w:r>
      <w:r>
        <w:rPr>
          <w:rFonts w:hint="eastAsia" w:ascii="宋体" w:hAnsi="宋体" w:eastAsia="宋体" w:cs="宋体"/>
          <w:color w:val="auto"/>
          <w:highlight w:val="none"/>
        </w:rPr>
        <w:t>年度经审计的财务报告，包括“四表一注或三表一注”，即资产负债表、利润表（损益表）、现金流量表、所有者权益变动表（所有者权益变动表如无，可不提供）及其附注或基本开户银行出具的资信证明。部分其他组织和自然人，没有经审计的财务报告，可以提供银行出具的资信证明。投标人为事业单位的，至少应提供近一年的资产负债表。</w:t>
      </w:r>
      <w:r>
        <w:rPr>
          <w:rFonts w:hint="eastAsia" w:ascii="宋体" w:hAnsi="宋体" w:eastAsia="宋体" w:cs="宋体"/>
          <w:b/>
          <w:bCs/>
          <w:color w:val="auto"/>
          <w:kern w:val="0"/>
          <w:highlight w:val="none"/>
        </w:rPr>
        <w:t>（根据《关于加强审计报告查验工作的通知》，审计报告须具有注册会计师行业统一监管平台赋予的验证码）</w:t>
      </w:r>
    </w:p>
    <w:p w14:paraId="358E70FE">
      <w:pPr>
        <w:widowControl w:val="0"/>
        <w:spacing w:line="360" w:lineRule="auto"/>
        <w:ind w:firstLine="420"/>
        <w:jc w:val="both"/>
        <w:rPr>
          <w:rFonts w:hint="eastAsia" w:ascii="宋体" w:hAnsi="宋体" w:eastAsia="宋体" w:cs="宋体"/>
          <w:b/>
          <w:color w:val="auto"/>
          <w:kern w:val="2"/>
          <w:sz w:val="28"/>
          <w:szCs w:val="28"/>
          <w:highlight w:val="none"/>
          <w:lang w:val="en-US" w:eastAsia="zh-CN" w:bidi="ar-SA"/>
        </w:rPr>
      </w:pPr>
    </w:p>
    <w:p w14:paraId="38E24732">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center"/>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br w:type="page"/>
      </w:r>
      <w:r>
        <w:rPr>
          <w:rFonts w:hint="eastAsia" w:ascii="宋体" w:hAnsi="宋体" w:eastAsia="宋体" w:cs="宋体"/>
          <w:b/>
          <w:color w:val="auto"/>
          <w:sz w:val="24"/>
          <w:szCs w:val="24"/>
          <w:highlight w:val="none"/>
        </w:rPr>
        <w:t>能证明</w:t>
      </w:r>
      <w:r>
        <w:rPr>
          <w:rFonts w:hint="eastAsia" w:ascii="宋体" w:hAnsi="宋体" w:eastAsia="宋体" w:cs="宋体"/>
          <w:b/>
          <w:color w:val="auto"/>
          <w:sz w:val="24"/>
          <w:szCs w:val="24"/>
          <w:highlight w:val="none"/>
          <w:lang w:val="en-US" w:eastAsia="zh-CN"/>
        </w:rPr>
        <w:t>投标</w:t>
      </w:r>
      <w:r>
        <w:rPr>
          <w:rFonts w:hint="eastAsia" w:ascii="宋体" w:hAnsi="宋体" w:eastAsia="宋体" w:cs="宋体"/>
          <w:b/>
          <w:color w:val="auto"/>
          <w:sz w:val="24"/>
          <w:szCs w:val="24"/>
          <w:highlight w:val="none"/>
        </w:rPr>
        <w:t>人资格的其他资料</w:t>
      </w:r>
    </w:p>
    <w:p w14:paraId="10420E5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根据《关于在政府采购活动中查询及使用信用记录有关问题的通知》（财库[2016]125号）的规定，采购人或采购代理机构将通过“中国执行信息公开网”网站（https://zxgk.court.gov.cn/）、“信用中国”网站（https://www.creditchina.gov.cn/）、中国政府采购网（http://www.ccgp.gov.cn/）、国家企业信用信息公示系统（http://www.gsxt.gov.cn）等渠道查询投标人信用记录，被列入失信被执行人、重大税收违法失信主体、政府采购严重违法失信行为记录名单、严重违法失信名单的投标人将被拒绝参与本项目政府采购活动（截止时点：投标截止时间）。在规定的查询时间之后，网站信息发生的任何变更均不再作为评审依据。投标人自行提供的与网站信息不一致的其他证明材料亦不作为资格审查的依据。信用信息查询记录和证据将同采购文件等资料一同归档保存</w:t>
      </w:r>
      <w:r>
        <w:rPr>
          <w:rFonts w:hint="eastAsia" w:ascii="宋体" w:hAnsi="宋体" w:eastAsia="宋体" w:cs="宋体"/>
          <w:color w:val="auto"/>
          <w:sz w:val="21"/>
          <w:szCs w:val="21"/>
          <w:highlight w:val="none"/>
        </w:rPr>
        <w:t>。</w:t>
      </w:r>
      <w:r>
        <w:rPr>
          <w:rFonts w:hint="eastAsia" w:ascii="宋体" w:hAnsi="宋体" w:eastAsia="宋体" w:cs="宋体"/>
          <w:color w:val="auto"/>
          <w:highlight w:val="none"/>
          <w:shd w:val="clear" w:color="auto" w:fill="FFFFFF"/>
          <w:lang w:eastAsia="zh-CN"/>
        </w:rPr>
        <w:t>【</w:t>
      </w:r>
      <w:r>
        <w:rPr>
          <w:rFonts w:hint="eastAsia" w:ascii="宋体" w:hAnsi="宋体" w:eastAsia="宋体" w:cs="宋体"/>
          <w:color w:val="auto"/>
          <w:highlight w:val="none"/>
          <w:shd w:val="clear" w:color="auto" w:fill="FFFFFF"/>
          <w:lang w:val="en-US" w:eastAsia="zh-CN"/>
        </w:rPr>
        <w:t>投标人错附或漏附，不作为废标依据</w:t>
      </w:r>
      <w:r>
        <w:rPr>
          <w:rFonts w:hint="eastAsia" w:ascii="宋体" w:hAnsi="宋体" w:eastAsia="宋体" w:cs="宋体"/>
          <w:color w:val="auto"/>
          <w:highlight w:val="none"/>
          <w:lang w:val="en-US" w:eastAsia="zh-CN"/>
        </w:rPr>
        <w:t>，具体以采购人或采购代理机构查询为准</w:t>
      </w:r>
      <w:r>
        <w:rPr>
          <w:rFonts w:hint="eastAsia" w:ascii="宋体" w:hAnsi="宋体" w:eastAsia="宋体" w:cs="宋体"/>
          <w:color w:val="auto"/>
          <w:highlight w:val="none"/>
          <w:shd w:val="clear" w:color="auto" w:fill="FFFFFF"/>
          <w:lang w:eastAsia="zh-CN"/>
        </w:rPr>
        <w:t>】</w:t>
      </w:r>
    </w:p>
    <w:p w14:paraId="5C4C60EA">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2.单位负责人为同一人或者存在直接控股、管理关系的不同投标人，不得参加同一合同项下的政府采购活动。</w:t>
      </w:r>
      <w:r>
        <w:rPr>
          <w:rFonts w:hint="eastAsia" w:ascii="宋体" w:hAnsi="宋体" w:eastAsia="宋体" w:cs="宋体"/>
          <w:color w:val="auto"/>
          <w:highlight w:val="none"/>
          <w:shd w:val="clear" w:color="auto" w:fill="FFFFFF"/>
          <w:lang w:eastAsia="zh-CN"/>
        </w:rPr>
        <w:t>【</w:t>
      </w:r>
      <w:r>
        <w:rPr>
          <w:rFonts w:hint="eastAsia" w:ascii="宋体" w:hAnsi="宋体" w:eastAsia="宋体" w:cs="宋体"/>
          <w:color w:val="auto"/>
          <w:highlight w:val="none"/>
          <w:shd w:val="clear" w:color="auto" w:fill="FFFFFF"/>
          <w:lang w:val="en-US" w:eastAsia="zh-CN"/>
        </w:rPr>
        <w:t>建议投标人提供</w:t>
      </w:r>
      <w:r>
        <w:rPr>
          <w:rFonts w:hint="eastAsia" w:ascii="宋体" w:hAnsi="宋体" w:eastAsia="宋体" w:cs="宋体"/>
          <w:color w:val="auto"/>
          <w:highlight w:val="none"/>
        </w:rPr>
        <w:t>“国家企业信用信息公示系统”中公示的公司信息、股东（或投资人）信息网站查询页</w:t>
      </w:r>
      <w:r>
        <w:rPr>
          <w:rFonts w:hint="eastAsia" w:ascii="宋体" w:hAnsi="宋体" w:eastAsia="宋体" w:cs="宋体"/>
          <w:color w:val="auto"/>
          <w:highlight w:val="none"/>
          <w:lang w:val="en-US" w:eastAsia="zh-CN"/>
        </w:rPr>
        <w:t>或承诺函，格式自拟，具体以采购人或采购代理机构查询为准</w:t>
      </w:r>
      <w:r>
        <w:rPr>
          <w:rFonts w:hint="eastAsia" w:ascii="宋体" w:hAnsi="宋体" w:eastAsia="宋体" w:cs="宋体"/>
          <w:color w:val="auto"/>
          <w:highlight w:val="none"/>
          <w:shd w:val="clear" w:color="auto" w:fill="FFFFFF"/>
          <w:lang w:eastAsia="zh-CN"/>
        </w:rPr>
        <w:t>】</w:t>
      </w:r>
    </w:p>
    <w:p w14:paraId="066FA0BD">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center"/>
        <w:textAlignment w:val="auto"/>
        <w:rPr>
          <w:rFonts w:hint="eastAsia" w:ascii="宋体" w:hAnsi="宋体" w:eastAsia="宋体" w:cs="宋体"/>
          <w:b/>
          <w:color w:val="auto"/>
          <w:sz w:val="28"/>
          <w:szCs w:val="28"/>
          <w:highlight w:val="none"/>
        </w:rPr>
      </w:pPr>
      <w:r>
        <w:rPr>
          <w:rFonts w:hint="eastAsia" w:ascii="宋体" w:hAnsi="宋体" w:eastAsia="宋体" w:cs="宋体"/>
          <w:color w:val="auto"/>
          <w:sz w:val="21"/>
          <w:szCs w:val="21"/>
          <w:highlight w:val="none"/>
          <w:lang w:val="en-US" w:eastAsia="zh-CN"/>
        </w:rPr>
        <w:br w:type="page"/>
      </w:r>
      <w:r>
        <w:rPr>
          <w:rFonts w:hint="eastAsia" w:ascii="宋体" w:hAnsi="宋体" w:eastAsia="宋体" w:cs="宋体"/>
          <w:b/>
          <w:color w:val="auto"/>
          <w:sz w:val="24"/>
          <w:szCs w:val="24"/>
          <w:highlight w:val="none"/>
        </w:rPr>
        <w:t>非联合体投标承诺函</w:t>
      </w:r>
    </w:p>
    <w:p w14:paraId="512DAADD">
      <w:pPr>
        <w:widowControl w:val="0"/>
        <w:jc w:val="both"/>
        <w:rPr>
          <w:rFonts w:hint="eastAsia" w:ascii="宋体" w:hAnsi="宋体" w:eastAsia="宋体" w:cs="宋体"/>
          <w:b/>
          <w:color w:val="auto"/>
          <w:kern w:val="2"/>
          <w:sz w:val="28"/>
          <w:szCs w:val="28"/>
          <w:highlight w:val="none"/>
          <w:lang w:val="en-US" w:eastAsia="zh-CN" w:bidi="ar-SA"/>
        </w:rPr>
      </w:pPr>
    </w:p>
    <w:p w14:paraId="6B4D5D70">
      <w:pPr>
        <w:pageBreakBefore w:val="0"/>
        <w:kinsoku/>
        <w:overflowPunct/>
        <w:bidi w:val="0"/>
        <w:spacing w:before="156" w:beforeLines="50" w:after="156" w:afterLines="50" w:line="360" w:lineRule="auto"/>
        <w:ind w:left="687" w:leftChars="227" w:hanging="210" w:hangingChars="100"/>
        <w:rPr>
          <w:rFonts w:hint="eastAsia" w:ascii="宋体" w:hAnsi="宋体" w:eastAsia="宋体" w:cs="宋体"/>
          <w:color w:val="auto"/>
          <w:szCs w:val="21"/>
          <w:highlight w:val="none"/>
        </w:rPr>
      </w:pPr>
      <w:r>
        <w:rPr>
          <w:rFonts w:hint="eastAsia" w:ascii="宋体" w:hAnsi="宋体" w:eastAsia="宋体" w:cs="宋体"/>
          <w:color w:val="auto"/>
          <w:szCs w:val="21"/>
          <w:highlight w:val="none"/>
          <w:u w:val="single"/>
          <w:lang w:bidi="ar"/>
        </w:rPr>
        <w:t>采购人名称</w:t>
      </w:r>
      <w:r>
        <w:rPr>
          <w:rFonts w:hint="eastAsia" w:ascii="宋体" w:hAnsi="宋体" w:eastAsia="宋体" w:cs="宋体"/>
          <w:color w:val="auto"/>
          <w:szCs w:val="21"/>
          <w:highlight w:val="none"/>
          <w:lang w:bidi="ar"/>
        </w:rPr>
        <w:t>：</w:t>
      </w:r>
    </w:p>
    <w:p w14:paraId="562F21C2">
      <w:pPr>
        <w:pageBreakBefore w:val="0"/>
        <w:kinsoku/>
        <w:overflowPunct/>
        <w:bidi w:val="0"/>
        <w:spacing w:before="156" w:beforeLines="50" w:after="156" w:afterLines="50" w:line="360" w:lineRule="auto"/>
        <w:ind w:left="689" w:leftChars="328" w:firstLine="210" w:firstLineChars="100"/>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bidi="ar"/>
        </w:rPr>
        <w:t>我单位</w:t>
      </w:r>
      <w:r>
        <w:rPr>
          <w:rFonts w:hint="eastAsia" w:ascii="宋体" w:hAnsi="宋体" w:eastAsia="宋体" w:cs="宋体"/>
          <w:color w:val="auto"/>
          <w:szCs w:val="21"/>
          <w:highlight w:val="none"/>
          <w:lang w:val="en-US" w:eastAsia="zh-CN" w:bidi="ar"/>
        </w:rPr>
        <w:t>承诺非联合体投标</w:t>
      </w:r>
      <w:r>
        <w:rPr>
          <w:rFonts w:hint="eastAsia" w:ascii="宋体" w:hAnsi="宋体" w:eastAsia="宋体" w:cs="宋体"/>
          <w:color w:val="auto"/>
          <w:szCs w:val="21"/>
          <w:highlight w:val="none"/>
          <w:lang w:bidi="ar"/>
        </w:rPr>
        <w:t>，特此声明。</w:t>
      </w:r>
    </w:p>
    <w:p w14:paraId="5A7EF408">
      <w:pPr>
        <w:pageBreakBefore w:val="0"/>
        <w:kinsoku/>
        <w:overflowPunct/>
        <w:bidi w:val="0"/>
        <w:spacing w:before="156" w:beforeLines="50" w:after="156" w:afterLines="50" w:line="360" w:lineRule="auto"/>
        <w:ind w:left="687" w:leftChars="227" w:hanging="210" w:hangingChars="100"/>
        <w:rPr>
          <w:rFonts w:hint="eastAsia" w:ascii="宋体" w:hAnsi="宋体" w:eastAsia="宋体" w:cs="宋体"/>
          <w:color w:val="auto"/>
          <w:szCs w:val="21"/>
          <w:highlight w:val="none"/>
        </w:rPr>
      </w:pPr>
    </w:p>
    <w:p w14:paraId="6ED31BBE">
      <w:pPr>
        <w:pageBreakBefore w:val="0"/>
        <w:kinsoku/>
        <w:overflowPunct/>
        <w:bidi w:val="0"/>
        <w:spacing w:line="360" w:lineRule="auto"/>
        <w:ind w:firstLine="2940" w:firstLineChars="140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rPr>
        <w:t>投标人：</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rPr>
        <w:t>（盖章）</w:t>
      </w:r>
    </w:p>
    <w:p w14:paraId="4375CDCF">
      <w:pPr>
        <w:pageBreakBefore w:val="0"/>
        <w:kinsoku/>
        <w:overflowPunct/>
        <w:bidi w:val="0"/>
        <w:spacing w:line="360" w:lineRule="auto"/>
        <w:ind w:firstLine="2940" w:firstLineChars="14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法定代表人或</w:t>
      </w:r>
      <w:r>
        <w:rPr>
          <w:rFonts w:hint="eastAsia" w:ascii="宋体" w:hAnsi="宋体" w:eastAsia="宋体" w:cs="宋体"/>
          <w:color w:val="auto"/>
          <w:szCs w:val="21"/>
          <w:highlight w:val="none"/>
          <w:lang w:eastAsia="zh-CN"/>
        </w:rPr>
        <w:t>其委托代理人</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rPr>
        <w:t>（签字或盖章）</w:t>
      </w:r>
    </w:p>
    <w:p w14:paraId="33AFF44D">
      <w:pPr>
        <w:pageBreakBefore w:val="0"/>
        <w:tabs>
          <w:tab w:val="left" w:pos="5380"/>
          <w:tab w:val="left" w:pos="6520"/>
          <w:tab w:val="left" w:pos="7680"/>
        </w:tabs>
        <w:kinsoku/>
        <w:overflowPunct/>
        <w:autoSpaceDE w:val="0"/>
        <w:autoSpaceDN w:val="0"/>
        <w:bidi w:val="0"/>
        <w:adjustRightInd w:val="0"/>
        <w:spacing w:line="360" w:lineRule="auto"/>
        <w:ind w:right="-20" w:firstLine="3780" w:firstLineChars="1800"/>
        <w:jc w:val="left"/>
        <w:rPr>
          <w:rFonts w:hint="eastAsia" w:ascii="宋体" w:hAnsi="宋体" w:eastAsia="宋体" w:cs="宋体"/>
          <w:color w:val="auto"/>
          <w:spacing w:val="10"/>
          <w:kern w:val="0"/>
          <w:szCs w:val="21"/>
          <w:highlight w:val="none"/>
        </w:rPr>
      </w:pPr>
      <w:r>
        <w:rPr>
          <w:rFonts w:hint="eastAsia" w:ascii="宋体" w:hAnsi="宋体" w:eastAsia="宋体" w:cs="宋体"/>
          <w:color w:val="auto"/>
          <w:kern w:val="0"/>
          <w:szCs w:val="21"/>
          <w:highlight w:val="none"/>
          <w:u w:val="single"/>
        </w:rPr>
        <w:t xml:space="preserve">     </w:t>
      </w:r>
      <w:r>
        <w:rPr>
          <w:rFonts w:hint="eastAsia" w:ascii="宋体" w:hAnsi="宋体" w:eastAsia="宋体" w:cs="宋体"/>
          <w:color w:val="auto"/>
          <w:spacing w:val="43"/>
          <w:kern w:val="0"/>
          <w:szCs w:val="21"/>
          <w:highlight w:val="none"/>
          <w:u w:val="single"/>
        </w:rPr>
        <w:t xml:space="preserve"> </w:t>
      </w:r>
      <w:r>
        <w:rPr>
          <w:rFonts w:hint="eastAsia" w:ascii="宋体" w:hAnsi="宋体" w:eastAsia="宋体" w:cs="宋体"/>
          <w:color w:val="auto"/>
          <w:kern w:val="0"/>
          <w:szCs w:val="21"/>
          <w:highlight w:val="none"/>
        </w:rPr>
        <w:t>年</w:t>
      </w:r>
      <w:r>
        <w:rPr>
          <w:rFonts w:hint="eastAsia" w:ascii="宋体" w:hAnsi="宋体" w:eastAsia="宋体" w:cs="宋体"/>
          <w:color w:val="auto"/>
          <w:kern w:val="0"/>
          <w:szCs w:val="21"/>
          <w:highlight w:val="none"/>
          <w:u w:val="single"/>
        </w:rPr>
        <w:t xml:space="preserve">       </w:t>
      </w:r>
      <w:r>
        <w:rPr>
          <w:rFonts w:hint="eastAsia" w:ascii="宋体" w:hAnsi="宋体" w:eastAsia="宋体" w:cs="宋体"/>
          <w:color w:val="auto"/>
          <w:kern w:val="0"/>
          <w:szCs w:val="21"/>
          <w:highlight w:val="none"/>
        </w:rPr>
        <w:t>月</w:t>
      </w:r>
      <w:r>
        <w:rPr>
          <w:rFonts w:hint="eastAsia" w:ascii="宋体" w:hAnsi="宋体" w:eastAsia="宋体" w:cs="宋体"/>
          <w:color w:val="auto"/>
          <w:kern w:val="0"/>
          <w:szCs w:val="21"/>
          <w:highlight w:val="none"/>
          <w:u w:val="single"/>
        </w:rPr>
        <w:t xml:space="preserve">      </w:t>
      </w:r>
      <w:r>
        <w:rPr>
          <w:rFonts w:hint="eastAsia" w:ascii="宋体" w:hAnsi="宋体" w:eastAsia="宋体" w:cs="宋体"/>
          <w:color w:val="auto"/>
          <w:kern w:val="0"/>
          <w:szCs w:val="21"/>
          <w:highlight w:val="none"/>
        </w:rPr>
        <w:t>日</w:t>
      </w:r>
    </w:p>
    <w:p w14:paraId="231DA9CA">
      <w:pPr>
        <w:pageBreakBefore w:val="0"/>
        <w:kinsoku/>
        <w:overflowPunct/>
        <w:bidi w:val="0"/>
        <w:spacing w:line="360" w:lineRule="auto"/>
        <w:rPr>
          <w:rFonts w:hint="eastAsia" w:ascii="宋体" w:hAnsi="宋体" w:eastAsia="宋体" w:cs="宋体"/>
          <w:color w:val="auto"/>
          <w:szCs w:val="21"/>
          <w:highlight w:val="none"/>
        </w:rPr>
      </w:pPr>
    </w:p>
    <w:p w14:paraId="2C07EC34">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lang w:val="en-US" w:eastAsia="zh-CN"/>
        </w:rPr>
      </w:pPr>
    </w:p>
    <w:p w14:paraId="39348666">
      <w:pPr>
        <w:pStyle w:val="70"/>
        <w:pageBreakBefore w:val="0"/>
        <w:kinsoku/>
        <w:overflowPunct/>
        <w:bidi w:val="0"/>
        <w:spacing w:line="360" w:lineRule="auto"/>
        <w:ind w:left="425"/>
        <w:jc w:val="center"/>
        <w:rPr>
          <w:rFonts w:hint="eastAsia" w:ascii="宋体" w:hAnsi="宋体" w:eastAsia="宋体" w:cs="宋体"/>
          <w:b/>
          <w:color w:val="auto"/>
          <w:sz w:val="28"/>
          <w:szCs w:val="28"/>
          <w:highlight w:val="none"/>
        </w:rPr>
      </w:pPr>
    </w:p>
    <w:p w14:paraId="6F429667">
      <w:pPr>
        <w:pStyle w:val="70"/>
        <w:pageBreakBefore w:val="0"/>
        <w:kinsoku/>
        <w:overflowPunct/>
        <w:bidi w:val="0"/>
        <w:spacing w:line="360" w:lineRule="auto"/>
        <w:jc w:val="both"/>
        <w:rPr>
          <w:rFonts w:hint="eastAsia" w:ascii="宋体" w:hAnsi="宋体" w:eastAsia="宋体" w:cs="宋体"/>
          <w:b/>
          <w:color w:val="auto"/>
          <w:sz w:val="28"/>
          <w:szCs w:val="28"/>
          <w:highlight w:val="none"/>
        </w:rPr>
      </w:pPr>
    </w:p>
    <w:p w14:paraId="385F4B97">
      <w:pPr>
        <w:pStyle w:val="8"/>
        <w:pageBreakBefore w:val="0"/>
        <w:kinsoku/>
        <w:overflowPunct/>
        <w:bidi w:val="0"/>
        <w:spacing w:line="360" w:lineRule="auto"/>
        <w:rPr>
          <w:rFonts w:hint="eastAsia" w:ascii="宋体" w:hAnsi="宋体" w:eastAsia="宋体" w:cs="宋体"/>
          <w:b/>
          <w:color w:val="auto"/>
          <w:sz w:val="24"/>
          <w:highlight w:val="none"/>
        </w:rPr>
      </w:pPr>
      <w:r>
        <w:rPr>
          <w:rFonts w:hint="eastAsia" w:ascii="宋体" w:hAnsi="宋体" w:eastAsia="宋体" w:cs="宋体"/>
          <w:b/>
          <w:color w:val="auto"/>
          <w:sz w:val="24"/>
          <w:highlight w:val="none"/>
        </w:rPr>
        <w:br w:type="page"/>
      </w:r>
    </w:p>
    <w:p w14:paraId="6D959E4C">
      <w:pPr>
        <w:pStyle w:val="4"/>
        <w:pageBreakBefore w:val="0"/>
        <w:numPr>
          <w:ilvl w:val="0"/>
          <w:numId w:val="0"/>
        </w:numPr>
        <w:kinsoku/>
        <w:overflowPunct/>
        <w:bidi w:val="0"/>
        <w:spacing w:line="360" w:lineRule="auto"/>
        <w:rPr>
          <w:rFonts w:hint="eastAsia" w:ascii="宋体" w:hAnsi="宋体" w:eastAsia="宋体" w:cs="宋体"/>
          <w:b/>
          <w:color w:val="auto"/>
          <w:sz w:val="32"/>
          <w:szCs w:val="32"/>
          <w:highlight w:val="none"/>
          <w:lang w:eastAsia="zh-CN"/>
        </w:rPr>
      </w:pPr>
      <w:bookmarkStart w:id="732" w:name="_Toc14704"/>
      <w:bookmarkStart w:id="733" w:name="_Toc20243"/>
      <w:r>
        <w:rPr>
          <w:rFonts w:hint="eastAsia" w:ascii="宋体" w:hAnsi="宋体" w:eastAsia="宋体" w:cs="宋体"/>
          <w:b/>
          <w:color w:val="auto"/>
          <w:kern w:val="44"/>
          <w:sz w:val="32"/>
          <w:szCs w:val="32"/>
          <w:highlight w:val="none"/>
          <w:lang w:val="en-US" w:eastAsia="zh-CN" w:bidi="ar-SA"/>
        </w:rPr>
        <w:t xml:space="preserve">第八章 </w:t>
      </w:r>
      <w:r>
        <w:rPr>
          <w:rFonts w:hint="eastAsia" w:ascii="宋体" w:hAnsi="宋体" w:eastAsia="宋体" w:cs="宋体"/>
          <w:b/>
          <w:color w:val="auto"/>
          <w:sz w:val="32"/>
          <w:szCs w:val="32"/>
          <w:highlight w:val="none"/>
          <w:lang w:eastAsia="zh-CN"/>
        </w:rPr>
        <w:t>投标文件通用格式</w:t>
      </w:r>
      <w:bookmarkEnd w:id="732"/>
      <w:bookmarkEnd w:id="733"/>
    </w:p>
    <w:p w14:paraId="764BE04F">
      <w:pPr>
        <w:pStyle w:val="17"/>
        <w:pageBreakBefore w:val="0"/>
        <w:kinsoku/>
        <w:overflowPunct/>
        <w:bidi w:val="0"/>
        <w:spacing w:before="312" w:beforeLines="100" w:after="312" w:afterLines="100" w:line="360" w:lineRule="auto"/>
        <w:jc w:val="center"/>
        <w:rPr>
          <w:rFonts w:hint="eastAsia" w:ascii="宋体" w:hAnsi="宋体" w:eastAsia="宋体" w:cs="宋体"/>
          <w:b/>
          <w:color w:val="auto"/>
          <w:sz w:val="52"/>
          <w:szCs w:val="52"/>
          <w:highlight w:val="none"/>
        </w:rPr>
      </w:pPr>
    </w:p>
    <w:p w14:paraId="21FD4DD6">
      <w:pPr>
        <w:pStyle w:val="17"/>
        <w:pageBreakBefore w:val="0"/>
        <w:kinsoku/>
        <w:overflowPunct/>
        <w:bidi w:val="0"/>
        <w:spacing w:before="312" w:beforeLines="100" w:after="312" w:afterLines="100" w:line="360" w:lineRule="auto"/>
        <w:jc w:val="center"/>
        <w:rPr>
          <w:rFonts w:hint="eastAsia" w:ascii="宋体" w:hAnsi="宋体" w:eastAsia="宋体" w:cs="宋体"/>
          <w:b/>
          <w:bCs/>
          <w:color w:val="auto"/>
          <w:sz w:val="32"/>
          <w:highlight w:val="none"/>
          <w:u w:val="single"/>
          <w:lang w:val="en-US" w:eastAsia="zh-CN"/>
        </w:rPr>
      </w:pPr>
      <w:r>
        <w:rPr>
          <w:rFonts w:hint="eastAsia" w:ascii="宋体" w:hAnsi="宋体" w:eastAsia="宋体" w:cs="宋体"/>
          <w:b/>
          <w:color w:val="auto"/>
          <w:sz w:val="44"/>
          <w:szCs w:val="44"/>
          <w:highlight w:val="none"/>
          <w:u w:val="single"/>
        </w:rPr>
        <w:t xml:space="preserve">                    </w:t>
      </w:r>
      <w:r>
        <w:rPr>
          <w:rFonts w:hint="eastAsia" w:ascii="宋体" w:hAnsi="宋体" w:eastAsia="宋体" w:cs="宋体"/>
          <w:b/>
          <w:color w:val="auto"/>
          <w:sz w:val="44"/>
          <w:szCs w:val="44"/>
          <w:highlight w:val="none"/>
        </w:rPr>
        <w:t>项目</w:t>
      </w:r>
    </w:p>
    <w:p w14:paraId="08EC264B">
      <w:pPr>
        <w:pStyle w:val="17"/>
        <w:pageBreakBefore w:val="0"/>
        <w:kinsoku/>
        <w:overflowPunct/>
        <w:bidi w:val="0"/>
        <w:spacing w:before="312" w:beforeLines="100" w:after="312" w:afterLines="100" w:line="360" w:lineRule="auto"/>
        <w:jc w:val="center"/>
        <w:rPr>
          <w:rFonts w:hint="eastAsia" w:ascii="宋体" w:hAnsi="宋体" w:eastAsia="宋体" w:cs="宋体"/>
          <w:b/>
          <w:bCs/>
          <w:color w:val="auto"/>
          <w:sz w:val="84"/>
          <w:szCs w:val="84"/>
          <w:highlight w:val="none"/>
        </w:rPr>
      </w:pPr>
      <w:r>
        <w:rPr>
          <w:rFonts w:hint="eastAsia" w:ascii="宋体" w:hAnsi="宋体" w:eastAsia="宋体" w:cs="宋体"/>
          <w:b/>
          <w:bCs/>
          <w:color w:val="auto"/>
          <w:sz w:val="84"/>
          <w:szCs w:val="84"/>
          <w:highlight w:val="none"/>
        </w:rPr>
        <w:t>投标文件</w:t>
      </w:r>
    </w:p>
    <w:p w14:paraId="6EE8BEB9">
      <w:pPr>
        <w:pStyle w:val="17"/>
        <w:keepNext w:val="0"/>
        <w:keepLines w:val="0"/>
        <w:pageBreakBefore w:val="0"/>
        <w:widowControl w:val="0"/>
        <w:kinsoku/>
        <w:wordWrap/>
        <w:overflowPunct/>
        <w:topLinePunct w:val="0"/>
        <w:autoSpaceDE/>
        <w:autoSpaceDN/>
        <w:bidi w:val="0"/>
        <w:adjustRightInd/>
        <w:snapToGrid/>
        <w:spacing w:before="312" w:beforeLines="100" w:after="312" w:afterLines="100" w:line="360" w:lineRule="auto"/>
        <w:jc w:val="center"/>
        <w:textAlignment w:val="auto"/>
        <w:outlineLvl w:val="9"/>
        <w:rPr>
          <w:rFonts w:hint="eastAsia" w:ascii="宋体" w:hAnsi="宋体" w:eastAsia="宋体" w:cs="宋体"/>
          <w:b/>
          <w:bCs w:val="0"/>
          <w:color w:val="auto"/>
          <w:sz w:val="28"/>
          <w:szCs w:val="28"/>
          <w:highlight w:val="none"/>
          <w:lang w:eastAsia="zh-CN"/>
        </w:rPr>
      </w:pPr>
      <w:r>
        <w:rPr>
          <w:rFonts w:hint="eastAsia" w:ascii="宋体" w:hAnsi="宋体" w:eastAsia="宋体" w:cs="宋体"/>
          <w:b/>
          <w:bCs w:val="0"/>
          <w:color w:val="auto"/>
          <w:sz w:val="28"/>
          <w:szCs w:val="28"/>
          <w:highlight w:val="none"/>
          <w:lang w:eastAsia="zh-CN"/>
        </w:rPr>
        <w:t>项目编号：</w:t>
      </w:r>
    </w:p>
    <w:p w14:paraId="4F88BACC">
      <w:pPr>
        <w:pStyle w:val="17"/>
        <w:pageBreakBefore w:val="0"/>
        <w:kinsoku/>
        <w:overflowPunct/>
        <w:bidi w:val="0"/>
        <w:spacing w:before="312" w:beforeLines="100" w:after="312" w:afterLines="100" w:line="360" w:lineRule="auto"/>
        <w:jc w:val="center"/>
        <w:rPr>
          <w:rFonts w:hint="eastAsia" w:ascii="宋体" w:hAnsi="宋体" w:eastAsia="宋体" w:cs="宋体"/>
          <w:bCs/>
          <w:color w:val="auto"/>
          <w:sz w:val="32"/>
          <w:highlight w:val="none"/>
        </w:rPr>
      </w:pPr>
      <w:r>
        <w:rPr>
          <w:rFonts w:hint="eastAsia" w:ascii="宋体" w:hAnsi="宋体" w:eastAsia="宋体" w:cs="宋体"/>
          <w:bCs/>
          <w:color w:val="auto"/>
          <w:sz w:val="32"/>
          <w:highlight w:val="none"/>
        </w:rPr>
        <w:t>（封面）</w:t>
      </w:r>
    </w:p>
    <w:p w14:paraId="5837740D">
      <w:pPr>
        <w:pStyle w:val="17"/>
        <w:pageBreakBefore w:val="0"/>
        <w:kinsoku/>
        <w:overflowPunct/>
        <w:bidi w:val="0"/>
        <w:spacing w:before="312" w:beforeLines="100" w:after="312" w:afterLines="100" w:line="360" w:lineRule="auto"/>
        <w:jc w:val="center"/>
        <w:rPr>
          <w:rFonts w:hint="eastAsia" w:ascii="宋体" w:hAnsi="宋体" w:eastAsia="宋体" w:cs="宋体"/>
          <w:b/>
          <w:bCs/>
          <w:color w:val="auto"/>
          <w:sz w:val="32"/>
          <w:highlight w:val="none"/>
          <w:u w:val="single"/>
        </w:rPr>
      </w:pPr>
    </w:p>
    <w:p w14:paraId="49020762">
      <w:pPr>
        <w:pStyle w:val="17"/>
        <w:pageBreakBefore w:val="0"/>
        <w:kinsoku/>
        <w:overflowPunct/>
        <w:bidi w:val="0"/>
        <w:spacing w:before="312" w:beforeLines="100" w:after="312" w:afterLines="100" w:line="360" w:lineRule="auto"/>
        <w:jc w:val="center"/>
        <w:rPr>
          <w:rFonts w:hint="eastAsia" w:ascii="宋体" w:hAnsi="宋体" w:eastAsia="宋体" w:cs="宋体"/>
          <w:b/>
          <w:bCs/>
          <w:color w:val="auto"/>
          <w:sz w:val="32"/>
          <w:highlight w:val="none"/>
          <w:u w:val="single"/>
        </w:rPr>
      </w:pPr>
    </w:p>
    <w:p w14:paraId="2B720581">
      <w:pPr>
        <w:pStyle w:val="17"/>
        <w:pageBreakBefore w:val="0"/>
        <w:kinsoku/>
        <w:overflowPunct/>
        <w:bidi w:val="0"/>
        <w:spacing w:before="312" w:beforeLines="100" w:after="312" w:afterLines="100" w:line="360" w:lineRule="auto"/>
        <w:rPr>
          <w:rFonts w:hint="eastAsia" w:ascii="宋体" w:hAnsi="宋体" w:eastAsia="宋体" w:cs="宋体"/>
          <w:b/>
          <w:bCs/>
          <w:color w:val="auto"/>
          <w:sz w:val="32"/>
          <w:highlight w:val="none"/>
          <w:u w:val="single"/>
        </w:rPr>
      </w:pPr>
    </w:p>
    <w:p w14:paraId="74724FFB">
      <w:pPr>
        <w:pStyle w:val="17"/>
        <w:pageBreakBefore w:val="0"/>
        <w:kinsoku/>
        <w:overflowPunct/>
        <w:bidi w:val="0"/>
        <w:spacing w:before="312" w:beforeLines="100" w:after="312" w:afterLines="100" w:line="360" w:lineRule="auto"/>
        <w:jc w:val="center"/>
        <w:rPr>
          <w:rFonts w:hint="eastAsia" w:ascii="宋体" w:hAnsi="宋体" w:eastAsia="宋体" w:cs="宋体"/>
          <w:b/>
          <w:bCs/>
          <w:color w:val="auto"/>
          <w:sz w:val="32"/>
          <w:highlight w:val="none"/>
          <w:u w:val="single"/>
        </w:rPr>
      </w:pPr>
    </w:p>
    <w:p w14:paraId="59F1F6DE">
      <w:pPr>
        <w:pStyle w:val="17"/>
        <w:pageBreakBefore w:val="0"/>
        <w:kinsoku/>
        <w:overflowPunct/>
        <w:bidi w:val="0"/>
        <w:spacing w:before="312" w:beforeLines="100" w:after="312" w:afterLines="100" w:line="360" w:lineRule="auto"/>
        <w:jc w:val="center"/>
        <w:rPr>
          <w:rFonts w:hint="eastAsia" w:ascii="宋体" w:hAnsi="宋体" w:eastAsia="宋体" w:cs="宋体"/>
          <w:b/>
          <w:bCs/>
          <w:color w:val="auto"/>
          <w:sz w:val="32"/>
          <w:highlight w:val="none"/>
          <w:u w:val="single"/>
        </w:rPr>
      </w:pPr>
      <w:r>
        <w:rPr>
          <w:rFonts w:hint="eastAsia" w:ascii="宋体" w:hAnsi="宋体" w:eastAsia="宋体" w:cs="宋体"/>
          <w:b/>
          <w:bCs/>
          <w:color w:val="auto"/>
          <w:sz w:val="32"/>
          <w:highlight w:val="none"/>
        </w:rPr>
        <w:t xml:space="preserve"> </w:t>
      </w:r>
      <w:r>
        <w:rPr>
          <w:rFonts w:hint="eastAsia" w:ascii="宋体" w:hAnsi="宋体" w:eastAsia="宋体" w:cs="宋体"/>
          <w:b/>
          <w:bCs/>
          <w:color w:val="auto"/>
          <w:sz w:val="32"/>
          <w:highlight w:val="none"/>
          <w:lang w:eastAsia="zh-CN"/>
        </w:rPr>
        <w:t>投</w:t>
      </w:r>
      <w:r>
        <w:rPr>
          <w:rFonts w:hint="eastAsia" w:ascii="宋体" w:hAnsi="宋体" w:eastAsia="宋体" w:cs="宋体"/>
          <w:b/>
          <w:bCs/>
          <w:color w:val="auto"/>
          <w:sz w:val="32"/>
          <w:highlight w:val="none"/>
          <w:lang w:val="en-US" w:eastAsia="zh-CN"/>
        </w:rPr>
        <w:t xml:space="preserve">   </w:t>
      </w:r>
      <w:r>
        <w:rPr>
          <w:rFonts w:hint="eastAsia" w:ascii="宋体" w:hAnsi="宋体" w:eastAsia="宋体" w:cs="宋体"/>
          <w:b/>
          <w:bCs/>
          <w:color w:val="auto"/>
          <w:sz w:val="32"/>
          <w:highlight w:val="none"/>
          <w:lang w:eastAsia="zh-CN"/>
        </w:rPr>
        <w:t>标</w:t>
      </w:r>
      <w:r>
        <w:rPr>
          <w:rFonts w:hint="eastAsia" w:ascii="宋体" w:hAnsi="宋体" w:eastAsia="宋体" w:cs="宋体"/>
          <w:b/>
          <w:bCs/>
          <w:color w:val="auto"/>
          <w:sz w:val="32"/>
          <w:highlight w:val="none"/>
          <w:lang w:val="en-US" w:eastAsia="zh-CN"/>
        </w:rPr>
        <w:t xml:space="preserve">  </w:t>
      </w:r>
      <w:r>
        <w:rPr>
          <w:rFonts w:hint="eastAsia" w:ascii="宋体" w:hAnsi="宋体" w:eastAsia="宋体" w:cs="宋体"/>
          <w:b/>
          <w:bCs/>
          <w:color w:val="auto"/>
          <w:sz w:val="32"/>
          <w:highlight w:val="none"/>
          <w:lang w:eastAsia="zh-CN"/>
        </w:rPr>
        <w:t>人</w:t>
      </w:r>
      <w:r>
        <w:rPr>
          <w:rFonts w:hint="eastAsia" w:ascii="宋体" w:hAnsi="宋体" w:eastAsia="宋体" w:cs="宋体"/>
          <w:b/>
          <w:bCs/>
          <w:color w:val="auto"/>
          <w:sz w:val="32"/>
          <w:highlight w:val="none"/>
        </w:rPr>
        <w:t>：</w:t>
      </w:r>
      <w:r>
        <w:rPr>
          <w:rFonts w:hint="eastAsia" w:ascii="宋体" w:hAnsi="宋体" w:eastAsia="宋体" w:cs="宋体"/>
          <w:b/>
          <w:bCs/>
          <w:color w:val="auto"/>
          <w:sz w:val="32"/>
          <w:highlight w:val="none"/>
          <w:u w:val="single"/>
        </w:rPr>
        <w:t xml:space="preserve">                     </w:t>
      </w:r>
      <w:r>
        <w:rPr>
          <w:rFonts w:hint="eastAsia" w:ascii="宋体" w:hAnsi="宋体" w:eastAsia="宋体" w:cs="宋体"/>
          <w:b/>
          <w:bCs/>
          <w:color w:val="auto"/>
          <w:sz w:val="32"/>
          <w:highlight w:val="none"/>
        </w:rPr>
        <w:t>（</w:t>
      </w:r>
      <w:r>
        <w:rPr>
          <w:rFonts w:hint="eastAsia" w:ascii="宋体" w:hAnsi="宋体" w:eastAsia="宋体" w:cs="宋体"/>
          <w:b/>
          <w:bCs/>
          <w:color w:val="auto"/>
          <w:sz w:val="32"/>
          <w:highlight w:val="none"/>
          <w:lang w:eastAsia="zh-CN"/>
        </w:rPr>
        <w:t>盖章</w:t>
      </w:r>
      <w:r>
        <w:rPr>
          <w:rFonts w:hint="eastAsia" w:ascii="宋体" w:hAnsi="宋体" w:eastAsia="宋体" w:cs="宋体"/>
          <w:b/>
          <w:bCs/>
          <w:color w:val="auto"/>
          <w:sz w:val="32"/>
          <w:highlight w:val="none"/>
        </w:rPr>
        <w:t>）</w:t>
      </w:r>
    </w:p>
    <w:p w14:paraId="570383C8">
      <w:pPr>
        <w:pStyle w:val="17"/>
        <w:pageBreakBefore w:val="0"/>
        <w:kinsoku/>
        <w:overflowPunct/>
        <w:bidi w:val="0"/>
        <w:spacing w:before="312" w:beforeLines="100" w:after="312" w:afterLines="100" w:line="360" w:lineRule="auto"/>
        <w:ind w:firstLine="596" w:firstLineChars="198"/>
        <w:rPr>
          <w:rFonts w:hint="eastAsia" w:ascii="宋体" w:hAnsi="宋体" w:eastAsia="宋体" w:cs="宋体"/>
          <w:b/>
          <w:bCs/>
          <w:color w:val="auto"/>
          <w:sz w:val="30"/>
          <w:szCs w:val="30"/>
          <w:highlight w:val="none"/>
        </w:rPr>
      </w:pPr>
      <w:r>
        <w:rPr>
          <w:rFonts w:hint="eastAsia" w:ascii="宋体" w:hAnsi="宋体" w:eastAsia="宋体" w:cs="宋体"/>
          <w:b/>
          <w:bCs/>
          <w:color w:val="auto"/>
          <w:sz w:val="30"/>
          <w:szCs w:val="30"/>
          <w:highlight w:val="none"/>
        </w:rPr>
        <w:t>法定代表人或其委托代理人：</w:t>
      </w:r>
      <w:r>
        <w:rPr>
          <w:rFonts w:hint="eastAsia" w:ascii="宋体" w:hAnsi="宋体" w:eastAsia="宋体" w:cs="宋体"/>
          <w:b/>
          <w:bCs/>
          <w:color w:val="auto"/>
          <w:sz w:val="30"/>
          <w:szCs w:val="30"/>
          <w:highlight w:val="none"/>
          <w:u w:val="single"/>
        </w:rPr>
        <w:t xml:space="preserve">              </w:t>
      </w:r>
      <w:r>
        <w:rPr>
          <w:rFonts w:hint="eastAsia" w:ascii="宋体" w:hAnsi="宋体" w:eastAsia="宋体" w:cs="宋体"/>
          <w:b/>
          <w:bCs/>
          <w:color w:val="auto"/>
          <w:sz w:val="30"/>
          <w:szCs w:val="30"/>
          <w:highlight w:val="none"/>
        </w:rPr>
        <w:t>（签字或盖章）</w:t>
      </w:r>
    </w:p>
    <w:p w14:paraId="5E85FF20">
      <w:pPr>
        <w:pStyle w:val="14"/>
        <w:pageBreakBefore w:val="0"/>
        <w:kinsoku/>
        <w:overflowPunct/>
        <w:bidi w:val="0"/>
        <w:spacing w:line="360" w:lineRule="auto"/>
        <w:ind w:left="0" w:leftChars="0" w:firstLine="2129" w:firstLineChars="707"/>
        <w:rPr>
          <w:rFonts w:hint="eastAsia" w:ascii="宋体" w:hAnsi="宋体" w:eastAsia="宋体" w:cs="宋体"/>
          <w:b/>
          <w:bCs/>
          <w:color w:val="auto"/>
          <w:sz w:val="30"/>
          <w:szCs w:val="30"/>
          <w:highlight w:val="none"/>
        </w:rPr>
      </w:pPr>
      <w:r>
        <w:rPr>
          <w:rFonts w:hint="eastAsia" w:ascii="宋体" w:hAnsi="宋体" w:eastAsia="宋体" w:cs="宋体"/>
          <w:b/>
          <w:bCs/>
          <w:color w:val="auto"/>
          <w:sz w:val="30"/>
          <w:szCs w:val="30"/>
          <w:highlight w:val="none"/>
        </w:rPr>
        <w:t>日      期：       年    月    日</w:t>
      </w:r>
    </w:p>
    <w:p w14:paraId="7F96F4D4">
      <w:pPr>
        <w:pageBreakBefore w:val="0"/>
        <w:kinsoku/>
        <w:overflowPunct/>
        <w:bidi w:val="0"/>
        <w:spacing w:line="360" w:lineRule="auto"/>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br w:type="page"/>
      </w:r>
    </w:p>
    <w:p w14:paraId="1DE506F8">
      <w:pPr>
        <w:pageBreakBefore w:val="0"/>
        <w:kinsoku/>
        <w:overflowPunct/>
        <w:bidi w:val="0"/>
        <w:spacing w:line="360" w:lineRule="auto"/>
        <w:jc w:val="center"/>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投标文件目录</w:t>
      </w:r>
    </w:p>
    <w:p w14:paraId="083DA11B">
      <w:pPr>
        <w:pageBreakBefore w:val="0"/>
        <w:kinsoku/>
        <w:overflowPunct/>
        <w:bidi w:val="0"/>
        <w:spacing w:line="360" w:lineRule="auto"/>
        <w:jc w:val="center"/>
        <w:rPr>
          <w:rFonts w:hint="eastAsia" w:ascii="宋体" w:hAnsi="宋体" w:eastAsia="宋体" w:cs="宋体"/>
          <w:b/>
          <w:color w:val="auto"/>
          <w:sz w:val="24"/>
          <w:highlight w:val="none"/>
        </w:rPr>
      </w:pPr>
    </w:p>
    <w:p w14:paraId="447A0005">
      <w:pPr>
        <w:pageBreakBefore w:val="0"/>
        <w:numPr>
          <w:ilvl w:val="0"/>
          <w:numId w:val="32"/>
        </w:numPr>
        <w:kinsoku/>
        <w:overflowPunct/>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法定代表人</w:t>
      </w:r>
      <w:r>
        <w:rPr>
          <w:rFonts w:hint="eastAsia" w:ascii="宋体" w:hAnsi="宋体" w:eastAsia="宋体" w:cs="宋体"/>
          <w:color w:val="auto"/>
          <w:szCs w:val="21"/>
          <w:highlight w:val="none"/>
          <w:lang w:eastAsia="zh-CN"/>
        </w:rPr>
        <w:t>身份证明（</w:t>
      </w:r>
      <w:r>
        <w:rPr>
          <w:rFonts w:hint="eastAsia" w:ascii="宋体" w:hAnsi="宋体" w:eastAsia="宋体" w:cs="宋体"/>
          <w:color w:val="auto"/>
          <w:kern w:val="0"/>
          <w:szCs w:val="21"/>
          <w:highlight w:val="none"/>
        </w:rPr>
        <w:t>适</w:t>
      </w:r>
      <w:r>
        <w:rPr>
          <w:rFonts w:hint="eastAsia" w:ascii="宋体" w:hAnsi="宋体" w:eastAsia="宋体" w:cs="宋体"/>
          <w:color w:val="auto"/>
          <w:spacing w:val="-2"/>
          <w:kern w:val="0"/>
          <w:szCs w:val="21"/>
          <w:highlight w:val="none"/>
        </w:rPr>
        <w:t>用</w:t>
      </w:r>
      <w:r>
        <w:rPr>
          <w:rFonts w:hint="eastAsia" w:ascii="宋体" w:hAnsi="宋体" w:eastAsia="宋体" w:cs="宋体"/>
          <w:color w:val="auto"/>
          <w:kern w:val="0"/>
          <w:szCs w:val="21"/>
          <w:highlight w:val="none"/>
        </w:rPr>
        <w:t>于</w:t>
      </w:r>
      <w:r>
        <w:rPr>
          <w:rFonts w:hint="eastAsia" w:ascii="宋体" w:hAnsi="宋体" w:eastAsia="宋体" w:cs="宋体"/>
          <w:color w:val="auto"/>
          <w:spacing w:val="-2"/>
          <w:kern w:val="0"/>
          <w:szCs w:val="21"/>
          <w:highlight w:val="none"/>
        </w:rPr>
        <w:t>无</w:t>
      </w:r>
      <w:r>
        <w:rPr>
          <w:rFonts w:hint="eastAsia" w:ascii="宋体" w:hAnsi="宋体" w:eastAsia="宋体" w:cs="宋体"/>
          <w:color w:val="auto"/>
          <w:kern w:val="0"/>
          <w:szCs w:val="21"/>
          <w:highlight w:val="none"/>
        </w:rPr>
        <w:t>委</w:t>
      </w:r>
      <w:r>
        <w:rPr>
          <w:rFonts w:hint="eastAsia" w:ascii="宋体" w:hAnsi="宋体" w:eastAsia="宋体" w:cs="宋体"/>
          <w:color w:val="auto"/>
          <w:spacing w:val="-2"/>
          <w:kern w:val="0"/>
          <w:szCs w:val="21"/>
          <w:highlight w:val="none"/>
        </w:rPr>
        <w:t>托</w:t>
      </w:r>
      <w:r>
        <w:rPr>
          <w:rFonts w:hint="eastAsia" w:ascii="宋体" w:hAnsi="宋体" w:eastAsia="宋体" w:cs="宋体"/>
          <w:color w:val="auto"/>
          <w:kern w:val="0"/>
          <w:szCs w:val="21"/>
          <w:highlight w:val="none"/>
        </w:rPr>
        <w:t>代</w:t>
      </w:r>
      <w:r>
        <w:rPr>
          <w:rFonts w:hint="eastAsia" w:ascii="宋体" w:hAnsi="宋体" w:eastAsia="宋体" w:cs="宋体"/>
          <w:color w:val="auto"/>
          <w:spacing w:val="-2"/>
          <w:kern w:val="0"/>
          <w:szCs w:val="21"/>
          <w:highlight w:val="none"/>
        </w:rPr>
        <w:t>理</w:t>
      </w:r>
      <w:r>
        <w:rPr>
          <w:rFonts w:hint="eastAsia" w:ascii="宋体" w:hAnsi="宋体" w:eastAsia="宋体" w:cs="宋体"/>
          <w:color w:val="auto"/>
          <w:kern w:val="0"/>
          <w:szCs w:val="21"/>
          <w:highlight w:val="none"/>
        </w:rPr>
        <w:t>人</w:t>
      </w:r>
      <w:r>
        <w:rPr>
          <w:rFonts w:hint="eastAsia" w:ascii="宋体" w:hAnsi="宋体" w:eastAsia="宋体" w:cs="宋体"/>
          <w:color w:val="auto"/>
          <w:spacing w:val="-2"/>
          <w:kern w:val="0"/>
          <w:szCs w:val="21"/>
          <w:highlight w:val="none"/>
        </w:rPr>
        <w:t>的</w:t>
      </w:r>
      <w:r>
        <w:rPr>
          <w:rFonts w:hint="eastAsia" w:ascii="宋体" w:hAnsi="宋体" w:eastAsia="宋体" w:cs="宋体"/>
          <w:color w:val="auto"/>
          <w:kern w:val="0"/>
          <w:szCs w:val="21"/>
          <w:highlight w:val="none"/>
        </w:rPr>
        <w:t>情况</w:t>
      </w:r>
      <w:r>
        <w:rPr>
          <w:rFonts w:hint="eastAsia" w:ascii="宋体" w:hAnsi="宋体" w:eastAsia="宋体" w:cs="宋体"/>
          <w:color w:val="auto"/>
          <w:szCs w:val="21"/>
          <w:highlight w:val="none"/>
          <w:lang w:eastAsia="zh-CN"/>
        </w:rPr>
        <w:t>）</w:t>
      </w:r>
    </w:p>
    <w:p w14:paraId="56110F51">
      <w:pPr>
        <w:pageBreakBefore w:val="0"/>
        <w:numPr>
          <w:ilvl w:val="0"/>
          <w:numId w:val="33"/>
        </w:numPr>
        <w:kinsoku/>
        <w:overflowPunct/>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法定代表人授权</w:t>
      </w:r>
      <w:r>
        <w:rPr>
          <w:rFonts w:hint="eastAsia" w:ascii="宋体" w:hAnsi="宋体" w:eastAsia="宋体" w:cs="宋体"/>
          <w:color w:val="auto"/>
          <w:szCs w:val="21"/>
          <w:highlight w:val="none"/>
          <w:lang w:eastAsia="zh-CN"/>
        </w:rPr>
        <w:t>委托</w:t>
      </w:r>
      <w:r>
        <w:rPr>
          <w:rFonts w:hint="eastAsia" w:ascii="宋体" w:hAnsi="宋体" w:eastAsia="宋体" w:cs="宋体"/>
          <w:color w:val="auto"/>
          <w:szCs w:val="21"/>
          <w:highlight w:val="none"/>
        </w:rPr>
        <w:t>书</w:t>
      </w:r>
      <w:r>
        <w:rPr>
          <w:rFonts w:hint="eastAsia" w:ascii="宋体" w:hAnsi="宋体" w:eastAsia="宋体" w:cs="宋体"/>
          <w:color w:val="auto"/>
          <w:szCs w:val="21"/>
          <w:highlight w:val="none"/>
          <w:lang w:eastAsia="zh-CN"/>
        </w:rPr>
        <w:t>（</w:t>
      </w:r>
      <w:r>
        <w:rPr>
          <w:rFonts w:hint="eastAsia" w:ascii="宋体" w:hAnsi="宋体" w:eastAsia="宋体" w:cs="宋体"/>
          <w:color w:val="auto"/>
          <w:spacing w:val="-2"/>
          <w:kern w:val="0"/>
          <w:szCs w:val="21"/>
          <w:highlight w:val="none"/>
        </w:rPr>
        <w:t>适</w:t>
      </w:r>
      <w:r>
        <w:rPr>
          <w:rFonts w:hint="eastAsia" w:ascii="宋体" w:hAnsi="宋体" w:eastAsia="宋体" w:cs="宋体"/>
          <w:color w:val="auto"/>
          <w:kern w:val="0"/>
          <w:szCs w:val="21"/>
          <w:highlight w:val="none"/>
        </w:rPr>
        <w:t>用</w:t>
      </w:r>
      <w:r>
        <w:rPr>
          <w:rFonts w:hint="eastAsia" w:ascii="宋体" w:hAnsi="宋体" w:eastAsia="宋体" w:cs="宋体"/>
          <w:color w:val="auto"/>
          <w:spacing w:val="-2"/>
          <w:kern w:val="0"/>
          <w:szCs w:val="21"/>
          <w:highlight w:val="none"/>
        </w:rPr>
        <w:t>于</w:t>
      </w:r>
      <w:r>
        <w:rPr>
          <w:rFonts w:hint="eastAsia" w:ascii="宋体" w:hAnsi="宋体" w:eastAsia="宋体" w:cs="宋体"/>
          <w:color w:val="auto"/>
          <w:kern w:val="0"/>
          <w:szCs w:val="21"/>
          <w:highlight w:val="none"/>
        </w:rPr>
        <w:t>有委</w:t>
      </w:r>
      <w:r>
        <w:rPr>
          <w:rFonts w:hint="eastAsia" w:ascii="宋体" w:hAnsi="宋体" w:eastAsia="宋体" w:cs="宋体"/>
          <w:color w:val="auto"/>
          <w:spacing w:val="-2"/>
          <w:kern w:val="0"/>
          <w:szCs w:val="21"/>
          <w:highlight w:val="none"/>
        </w:rPr>
        <w:t>托</w:t>
      </w:r>
      <w:r>
        <w:rPr>
          <w:rFonts w:hint="eastAsia" w:ascii="宋体" w:hAnsi="宋体" w:eastAsia="宋体" w:cs="宋体"/>
          <w:color w:val="auto"/>
          <w:kern w:val="0"/>
          <w:szCs w:val="21"/>
          <w:highlight w:val="none"/>
        </w:rPr>
        <w:t>代</w:t>
      </w:r>
      <w:r>
        <w:rPr>
          <w:rFonts w:hint="eastAsia" w:ascii="宋体" w:hAnsi="宋体" w:eastAsia="宋体" w:cs="宋体"/>
          <w:color w:val="auto"/>
          <w:spacing w:val="-2"/>
          <w:kern w:val="0"/>
          <w:szCs w:val="21"/>
          <w:highlight w:val="none"/>
        </w:rPr>
        <w:t>理</w:t>
      </w:r>
      <w:r>
        <w:rPr>
          <w:rFonts w:hint="eastAsia" w:ascii="宋体" w:hAnsi="宋体" w:eastAsia="宋体" w:cs="宋体"/>
          <w:color w:val="auto"/>
          <w:kern w:val="0"/>
          <w:szCs w:val="21"/>
          <w:highlight w:val="none"/>
        </w:rPr>
        <w:t>人</w:t>
      </w:r>
      <w:r>
        <w:rPr>
          <w:rFonts w:hint="eastAsia" w:ascii="宋体" w:hAnsi="宋体" w:eastAsia="宋体" w:cs="宋体"/>
          <w:color w:val="auto"/>
          <w:spacing w:val="-2"/>
          <w:kern w:val="0"/>
          <w:szCs w:val="21"/>
          <w:highlight w:val="none"/>
        </w:rPr>
        <w:t>的</w:t>
      </w:r>
      <w:r>
        <w:rPr>
          <w:rFonts w:hint="eastAsia" w:ascii="宋体" w:hAnsi="宋体" w:eastAsia="宋体" w:cs="宋体"/>
          <w:color w:val="auto"/>
          <w:kern w:val="0"/>
          <w:szCs w:val="21"/>
          <w:highlight w:val="none"/>
        </w:rPr>
        <w:t>情</w:t>
      </w:r>
      <w:r>
        <w:rPr>
          <w:rFonts w:hint="eastAsia" w:ascii="宋体" w:hAnsi="宋体" w:eastAsia="宋体" w:cs="宋体"/>
          <w:color w:val="auto"/>
          <w:spacing w:val="-2"/>
          <w:kern w:val="0"/>
          <w:szCs w:val="21"/>
          <w:highlight w:val="none"/>
        </w:rPr>
        <w:t>况</w:t>
      </w:r>
      <w:r>
        <w:rPr>
          <w:rFonts w:hint="eastAsia" w:ascii="宋体" w:hAnsi="宋体" w:eastAsia="宋体" w:cs="宋体"/>
          <w:color w:val="auto"/>
          <w:szCs w:val="21"/>
          <w:highlight w:val="none"/>
          <w:lang w:eastAsia="zh-CN"/>
        </w:rPr>
        <w:t>）</w:t>
      </w:r>
    </w:p>
    <w:p w14:paraId="3C87BAB4">
      <w:pPr>
        <w:pageBreakBefore w:val="0"/>
        <w:numPr>
          <w:ilvl w:val="0"/>
          <w:numId w:val="32"/>
        </w:numPr>
        <w:kinsoku/>
        <w:overflowPunct/>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投标书</w:t>
      </w:r>
    </w:p>
    <w:p w14:paraId="4FE16BD3">
      <w:pPr>
        <w:pageBreakBefore w:val="0"/>
        <w:numPr>
          <w:ilvl w:val="0"/>
          <w:numId w:val="34"/>
        </w:numPr>
        <w:tabs>
          <w:tab w:val="clear" w:pos="0"/>
        </w:tabs>
        <w:kinsoku/>
        <w:overflowPunct/>
        <w:bidi w:val="0"/>
        <w:spacing w:line="360" w:lineRule="auto"/>
        <w:ind w:left="420" w:leftChars="0" w:hanging="420" w:firstLineChars="0"/>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val="en-US" w:eastAsia="zh-CN"/>
        </w:rPr>
        <w:t>投标承诺函</w:t>
      </w:r>
    </w:p>
    <w:p w14:paraId="77C90F6D">
      <w:pPr>
        <w:pageBreakBefore w:val="0"/>
        <w:numPr>
          <w:ilvl w:val="0"/>
          <w:numId w:val="34"/>
        </w:numPr>
        <w:kinsoku/>
        <w:overflowPunct/>
        <w:bidi w:val="0"/>
        <w:spacing w:line="360" w:lineRule="auto"/>
        <w:ind w:left="420" w:leftChars="0" w:hanging="420" w:firstLineChars="0"/>
        <w:rPr>
          <w:rFonts w:hint="eastAsia" w:ascii="宋体" w:hAnsi="宋体" w:eastAsia="宋体" w:cs="宋体"/>
          <w:color w:val="auto"/>
          <w:szCs w:val="21"/>
          <w:highlight w:val="none"/>
        </w:rPr>
      </w:pPr>
      <w:r>
        <w:rPr>
          <w:rFonts w:hint="eastAsia" w:ascii="宋体" w:hAnsi="宋体" w:eastAsia="宋体" w:cs="宋体"/>
          <w:color w:val="auto"/>
          <w:szCs w:val="21"/>
          <w:highlight w:val="none"/>
        </w:rPr>
        <w:t>投标报价表格</w:t>
      </w:r>
    </w:p>
    <w:p w14:paraId="7EEE417F">
      <w:pPr>
        <w:pageBreakBefore w:val="0"/>
        <w:numPr>
          <w:ilvl w:val="0"/>
          <w:numId w:val="34"/>
        </w:numPr>
        <w:kinsoku/>
        <w:overflowPunct/>
        <w:bidi w:val="0"/>
        <w:spacing w:line="360" w:lineRule="auto"/>
        <w:ind w:left="420" w:leftChars="0" w:hanging="420" w:firstLineChars="0"/>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商务技术偏差表</w:t>
      </w:r>
    </w:p>
    <w:p w14:paraId="408CA94A">
      <w:pPr>
        <w:pageBreakBefore w:val="0"/>
        <w:numPr>
          <w:ilvl w:val="0"/>
          <w:numId w:val="34"/>
        </w:numPr>
        <w:kinsoku/>
        <w:overflowPunct/>
        <w:bidi w:val="0"/>
        <w:spacing w:line="360" w:lineRule="auto"/>
        <w:ind w:left="420" w:leftChars="0" w:hanging="420" w:firstLineChars="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技术部分</w:t>
      </w:r>
    </w:p>
    <w:p w14:paraId="74B0FE6E">
      <w:pPr>
        <w:pageBreakBefore w:val="0"/>
        <w:numPr>
          <w:ilvl w:val="0"/>
          <w:numId w:val="34"/>
        </w:numPr>
        <w:tabs>
          <w:tab w:val="clear" w:pos="0"/>
        </w:tabs>
        <w:kinsoku/>
        <w:overflowPunct/>
        <w:bidi w:val="0"/>
        <w:spacing w:line="360" w:lineRule="auto"/>
        <w:ind w:left="420" w:leftChars="0" w:hanging="420" w:firstLineChars="0"/>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反商业贿赂承诺书</w:t>
      </w:r>
    </w:p>
    <w:p w14:paraId="3680D52E">
      <w:pPr>
        <w:pageBreakBefore w:val="0"/>
        <w:numPr>
          <w:ilvl w:val="0"/>
          <w:numId w:val="34"/>
        </w:numPr>
        <w:tabs>
          <w:tab w:val="clear" w:pos="0"/>
        </w:tabs>
        <w:kinsoku/>
        <w:overflowPunct/>
        <w:bidi w:val="0"/>
        <w:spacing w:line="360" w:lineRule="auto"/>
        <w:ind w:left="420" w:leftChars="0" w:hanging="420" w:firstLineChars="0"/>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售后服务方案及其他</w:t>
      </w:r>
    </w:p>
    <w:p w14:paraId="0C437E2B">
      <w:pPr>
        <w:pageBreakBefore w:val="0"/>
        <w:numPr>
          <w:ilvl w:val="0"/>
          <w:numId w:val="34"/>
        </w:numPr>
        <w:tabs>
          <w:tab w:val="clear" w:pos="0"/>
        </w:tabs>
        <w:kinsoku/>
        <w:overflowPunct/>
        <w:bidi w:val="0"/>
        <w:spacing w:line="360" w:lineRule="auto"/>
        <w:ind w:left="420" w:leftChars="0" w:hanging="420" w:firstLineChars="0"/>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中小企业声明函（如有）</w:t>
      </w:r>
    </w:p>
    <w:p w14:paraId="3B1BB856">
      <w:pPr>
        <w:pageBreakBefore w:val="0"/>
        <w:numPr>
          <w:ilvl w:val="0"/>
          <w:numId w:val="34"/>
        </w:numPr>
        <w:tabs>
          <w:tab w:val="clear" w:pos="0"/>
        </w:tabs>
        <w:kinsoku/>
        <w:overflowPunct/>
        <w:bidi w:val="0"/>
        <w:spacing w:line="360" w:lineRule="auto"/>
        <w:ind w:left="420" w:leftChars="0" w:hanging="420" w:firstLineChars="0"/>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关于符合本国产品标准的声明函（如有）或财政部会同有关部门规定的有关证明文件（如有）</w:t>
      </w:r>
    </w:p>
    <w:p w14:paraId="5A2B14C6">
      <w:pPr>
        <w:pageBreakBefore w:val="0"/>
        <w:numPr>
          <w:ilvl w:val="0"/>
          <w:numId w:val="34"/>
        </w:numPr>
        <w:tabs>
          <w:tab w:val="clear" w:pos="0"/>
        </w:tabs>
        <w:kinsoku/>
        <w:overflowPunct/>
        <w:bidi w:val="0"/>
        <w:spacing w:line="360" w:lineRule="auto"/>
        <w:ind w:left="420" w:leftChars="0" w:hanging="420" w:firstLineChars="0"/>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残疾人福利性单位声明函（如有）</w:t>
      </w:r>
    </w:p>
    <w:p w14:paraId="5E78499F">
      <w:pPr>
        <w:pageBreakBefore w:val="0"/>
        <w:numPr>
          <w:ilvl w:val="0"/>
          <w:numId w:val="34"/>
        </w:numPr>
        <w:tabs>
          <w:tab w:val="clear" w:pos="0"/>
        </w:tabs>
        <w:kinsoku/>
        <w:overflowPunct/>
        <w:bidi w:val="0"/>
        <w:spacing w:line="360" w:lineRule="auto"/>
        <w:ind w:left="420" w:leftChars="0" w:hanging="420" w:firstLineChars="0"/>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监狱企业证明材料（如有）</w:t>
      </w:r>
    </w:p>
    <w:p w14:paraId="41A90CA1">
      <w:pPr>
        <w:pageBreakBefore w:val="0"/>
        <w:numPr>
          <w:ilvl w:val="0"/>
          <w:numId w:val="34"/>
        </w:numPr>
        <w:tabs>
          <w:tab w:val="clear" w:pos="0"/>
        </w:tabs>
        <w:kinsoku/>
        <w:overflowPunct/>
        <w:bidi w:val="0"/>
        <w:spacing w:line="360" w:lineRule="auto"/>
        <w:ind w:left="420" w:leftChars="0" w:hanging="420" w:firstLineChars="0"/>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节能产品、环境标志产品明细表（如有）</w:t>
      </w:r>
    </w:p>
    <w:p w14:paraId="715EF56A">
      <w:pPr>
        <w:pageBreakBefore w:val="0"/>
        <w:numPr>
          <w:ilvl w:val="0"/>
          <w:numId w:val="34"/>
        </w:numPr>
        <w:tabs>
          <w:tab w:val="clear" w:pos="0"/>
        </w:tabs>
        <w:kinsoku/>
        <w:overflowPunct/>
        <w:bidi w:val="0"/>
        <w:spacing w:line="360" w:lineRule="auto"/>
        <w:ind w:left="420" w:leftChars="0" w:hanging="420" w:firstLineChars="0"/>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其他资料</w:t>
      </w:r>
    </w:p>
    <w:p w14:paraId="40871B36">
      <w:pPr>
        <w:pStyle w:val="5"/>
        <w:pageBreakBefore w:val="0"/>
        <w:numPr>
          <w:ilvl w:val="0"/>
          <w:numId w:val="0"/>
        </w:numPr>
        <w:kinsoku/>
        <w:overflowPunct/>
        <w:bidi w:val="0"/>
        <w:spacing w:line="360" w:lineRule="auto"/>
        <w:ind w:leftChars="0"/>
        <w:jc w:val="center"/>
        <w:rPr>
          <w:rFonts w:hint="eastAsia" w:ascii="宋体" w:hAnsi="宋体" w:eastAsia="宋体" w:cs="宋体"/>
          <w:color w:val="auto"/>
          <w:highlight w:val="none"/>
        </w:rPr>
      </w:pPr>
      <w:r>
        <w:rPr>
          <w:rFonts w:hint="eastAsia" w:ascii="宋体" w:hAnsi="宋体" w:eastAsia="宋体" w:cs="宋体"/>
          <w:color w:val="auto"/>
          <w:sz w:val="36"/>
          <w:highlight w:val="none"/>
        </w:rPr>
        <w:br w:type="page"/>
      </w:r>
      <w:bookmarkStart w:id="734" w:name="_Toc25945"/>
      <w:bookmarkStart w:id="735" w:name="_Toc26039"/>
      <w:bookmarkStart w:id="736" w:name="_Toc2504"/>
      <w:bookmarkStart w:id="737" w:name="_Toc17941"/>
      <w:bookmarkStart w:id="738" w:name="_Toc17342"/>
      <w:bookmarkStart w:id="739" w:name="_Toc312133589"/>
      <w:r>
        <w:rPr>
          <w:rFonts w:hint="eastAsia" w:ascii="宋体" w:hAnsi="宋体" w:eastAsia="宋体" w:cs="宋体"/>
          <w:color w:val="auto"/>
          <w:sz w:val="24"/>
          <w:szCs w:val="24"/>
          <w:highlight w:val="none"/>
          <w:lang w:eastAsia="zh-CN"/>
        </w:rPr>
        <w:t>一、</w:t>
      </w:r>
      <w:r>
        <w:rPr>
          <w:rFonts w:hint="eastAsia" w:ascii="宋体" w:hAnsi="宋体" w:eastAsia="宋体" w:cs="宋体"/>
          <w:b/>
          <w:color w:val="auto"/>
          <w:sz w:val="24"/>
          <w:szCs w:val="24"/>
          <w:highlight w:val="none"/>
        </w:rPr>
        <w:t>法定代表人身份证明</w:t>
      </w:r>
      <w:bookmarkEnd w:id="734"/>
      <w:bookmarkEnd w:id="735"/>
      <w:bookmarkEnd w:id="736"/>
      <w:bookmarkEnd w:id="737"/>
      <w:bookmarkEnd w:id="738"/>
    </w:p>
    <w:p w14:paraId="6B5DB4BA">
      <w:pPr>
        <w:keepNext w:val="0"/>
        <w:keepLines w:val="0"/>
        <w:pageBreakBefore w:val="0"/>
        <w:widowControl w:val="0"/>
        <w:kinsoku/>
        <w:wordWrap/>
        <w:overflowPunct/>
        <w:topLinePunct w:val="0"/>
        <w:autoSpaceDE w:val="0"/>
        <w:autoSpaceDN w:val="0"/>
        <w:bidi w:val="0"/>
        <w:adjustRightInd w:val="0"/>
        <w:snapToGrid/>
        <w:spacing w:line="360" w:lineRule="auto"/>
        <w:textAlignment w:val="auto"/>
        <w:outlineLvl w:val="9"/>
        <w:rPr>
          <w:rFonts w:hint="eastAsia" w:ascii="宋体" w:hAnsi="宋体" w:eastAsia="宋体" w:cs="宋体"/>
          <w:color w:val="auto"/>
          <w:kern w:val="0"/>
          <w:sz w:val="21"/>
          <w:szCs w:val="21"/>
          <w:highlight w:val="none"/>
          <w:u w:val="single"/>
        </w:rPr>
      </w:pPr>
      <w:r>
        <w:rPr>
          <w:rFonts w:hint="eastAsia" w:ascii="宋体" w:hAnsi="宋体" w:eastAsia="宋体" w:cs="宋体"/>
          <w:color w:val="auto"/>
          <w:kern w:val="0"/>
          <w:sz w:val="21"/>
          <w:szCs w:val="21"/>
          <w:highlight w:val="none"/>
        </w:rPr>
        <w:t>投标人名称：</w:t>
      </w:r>
      <w:r>
        <w:rPr>
          <w:rFonts w:hint="eastAsia" w:ascii="宋体" w:hAnsi="宋体" w:eastAsia="宋体" w:cs="宋体"/>
          <w:color w:val="auto"/>
          <w:kern w:val="0"/>
          <w:sz w:val="21"/>
          <w:szCs w:val="21"/>
          <w:highlight w:val="none"/>
          <w:u w:val="single"/>
        </w:rPr>
        <w:t xml:space="preserve">      </w:t>
      </w:r>
      <w:r>
        <w:rPr>
          <w:rFonts w:hint="eastAsia" w:ascii="宋体" w:hAnsi="宋体" w:eastAsia="宋体" w:cs="宋体"/>
          <w:color w:val="auto"/>
          <w:kern w:val="0"/>
          <w:sz w:val="21"/>
          <w:szCs w:val="21"/>
          <w:highlight w:val="none"/>
          <w:u w:val="single"/>
          <w:lang w:val="en-US" w:eastAsia="zh-CN"/>
        </w:rPr>
        <w:t xml:space="preserve">               </w:t>
      </w:r>
      <w:r>
        <w:rPr>
          <w:rFonts w:hint="eastAsia" w:ascii="宋体" w:hAnsi="宋体" w:eastAsia="宋体" w:cs="宋体"/>
          <w:color w:val="auto"/>
          <w:kern w:val="0"/>
          <w:sz w:val="21"/>
          <w:szCs w:val="21"/>
          <w:highlight w:val="none"/>
          <w:u w:val="single"/>
        </w:rPr>
        <w:t xml:space="preserve">     </w:t>
      </w:r>
    </w:p>
    <w:p w14:paraId="0E63B4BE">
      <w:pPr>
        <w:keepNext w:val="0"/>
        <w:keepLines w:val="0"/>
        <w:pageBreakBefore w:val="0"/>
        <w:widowControl w:val="0"/>
        <w:kinsoku/>
        <w:wordWrap/>
        <w:overflowPunct/>
        <w:topLinePunct w:val="0"/>
        <w:autoSpaceDE w:val="0"/>
        <w:autoSpaceDN w:val="0"/>
        <w:bidi w:val="0"/>
        <w:adjustRightInd w:val="0"/>
        <w:snapToGrid/>
        <w:spacing w:line="360" w:lineRule="auto"/>
        <w:textAlignment w:val="auto"/>
        <w:outlineLvl w:val="9"/>
        <w:rPr>
          <w:rFonts w:hint="eastAsia" w:ascii="宋体" w:hAnsi="宋体" w:eastAsia="宋体" w:cs="宋体"/>
          <w:color w:val="auto"/>
          <w:kern w:val="0"/>
          <w:sz w:val="21"/>
          <w:szCs w:val="21"/>
          <w:highlight w:val="none"/>
          <w:u w:val="single"/>
        </w:rPr>
      </w:pPr>
      <w:r>
        <w:rPr>
          <w:rFonts w:hint="eastAsia" w:ascii="宋体" w:hAnsi="宋体" w:eastAsia="宋体" w:cs="宋体"/>
          <w:color w:val="auto"/>
          <w:kern w:val="0"/>
          <w:sz w:val="21"/>
          <w:szCs w:val="21"/>
          <w:highlight w:val="none"/>
        </w:rPr>
        <w:t>姓名：</w:t>
      </w:r>
      <w:r>
        <w:rPr>
          <w:rFonts w:hint="eastAsia" w:ascii="宋体" w:hAnsi="宋体" w:eastAsia="宋体" w:cs="宋体"/>
          <w:color w:val="auto"/>
          <w:kern w:val="0"/>
          <w:sz w:val="21"/>
          <w:szCs w:val="21"/>
          <w:highlight w:val="none"/>
          <w:u w:val="single"/>
        </w:rPr>
        <w:t xml:space="preserve">    </w:t>
      </w:r>
      <w:r>
        <w:rPr>
          <w:rFonts w:hint="eastAsia" w:ascii="宋体" w:hAnsi="宋体" w:eastAsia="宋体" w:cs="宋体"/>
          <w:color w:val="auto"/>
          <w:kern w:val="0"/>
          <w:sz w:val="21"/>
          <w:szCs w:val="21"/>
          <w:highlight w:val="none"/>
          <w:u w:val="single"/>
          <w:lang w:val="en-US" w:eastAsia="zh-CN"/>
        </w:rPr>
        <w:t xml:space="preserve">          </w:t>
      </w:r>
      <w:r>
        <w:rPr>
          <w:rFonts w:hint="eastAsia" w:ascii="宋体" w:hAnsi="宋体" w:eastAsia="宋体" w:cs="宋体"/>
          <w:color w:val="auto"/>
          <w:kern w:val="0"/>
          <w:sz w:val="21"/>
          <w:szCs w:val="21"/>
          <w:highlight w:val="none"/>
          <w:u w:val="single"/>
        </w:rPr>
        <w:t xml:space="preserve"> </w:t>
      </w:r>
      <w:r>
        <w:rPr>
          <w:rFonts w:hint="eastAsia" w:ascii="宋体" w:hAnsi="宋体" w:eastAsia="宋体" w:cs="宋体"/>
          <w:color w:val="auto"/>
          <w:kern w:val="0"/>
          <w:sz w:val="21"/>
          <w:szCs w:val="21"/>
          <w:highlight w:val="none"/>
        </w:rPr>
        <w:t>性别：</w:t>
      </w:r>
      <w:r>
        <w:rPr>
          <w:rFonts w:hint="eastAsia" w:ascii="宋体" w:hAnsi="宋体" w:eastAsia="宋体" w:cs="宋体"/>
          <w:color w:val="auto"/>
          <w:kern w:val="0"/>
          <w:sz w:val="21"/>
          <w:szCs w:val="21"/>
          <w:highlight w:val="none"/>
          <w:u w:val="single"/>
        </w:rPr>
        <w:t xml:space="preserve">  </w:t>
      </w:r>
      <w:r>
        <w:rPr>
          <w:rFonts w:hint="eastAsia" w:ascii="宋体" w:hAnsi="宋体" w:eastAsia="宋体" w:cs="宋体"/>
          <w:color w:val="auto"/>
          <w:kern w:val="0"/>
          <w:sz w:val="21"/>
          <w:szCs w:val="21"/>
          <w:highlight w:val="none"/>
          <w:u w:val="single"/>
          <w:lang w:val="en-US" w:eastAsia="zh-CN"/>
        </w:rPr>
        <w:t xml:space="preserve">        </w:t>
      </w:r>
      <w:r>
        <w:rPr>
          <w:rFonts w:hint="eastAsia" w:ascii="宋体" w:hAnsi="宋体" w:eastAsia="宋体" w:cs="宋体"/>
          <w:color w:val="auto"/>
          <w:kern w:val="0"/>
          <w:sz w:val="21"/>
          <w:szCs w:val="21"/>
          <w:highlight w:val="none"/>
          <w:u w:val="single"/>
        </w:rPr>
        <w:t xml:space="preserve">  </w:t>
      </w:r>
      <w:r>
        <w:rPr>
          <w:rFonts w:hint="eastAsia" w:ascii="宋体" w:hAnsi="宋体" w:eastAsia="宋体" w:cs="宋体"/>
          <w:color w:val="auto"/>
          <w:kern w:val="0"/>
          <w:sz w:val="21"/>
          <w:szCs w:val="21"/>
          <w:highlight w:val="none"/>
        </w:rPr>
        <w:t xml:space="preserve"> 年龄：</w:t>
      </w:r>
      <w:r>
        <w:rPr>
          <w:rFonts w:hint="eastAsia" w:ascii="宋体" w:hAnsi="宋体" w:eastAsia="宋体" w:cs="宋体"/>
          <w:color w:val="auto"/>
          <w:kern w:val="0"/>
          <w:sz w:val="21"/>
          <w:szCs w:val="21"/>
          <w:highlight w:val="none"/>
          <w:u w:val="single"/>
        </w:rPr>
        <w:t xml:space="preserve"> </w:t>
      </w:r>
      <w:r>
        <w:rPr>
          <w:rFonts w:hint="eastAsia" w:ascii="宋体" w:hAnsi="宋体" w:eastAsia="宋体" w:cs="宋体"/>
          <w:color w:val="auto"/>
          <w:kern w:val="0"/>
          <w:sz w:val="21"/>
          <w:szCs w:val="21"/>
          <w:highlight w:val="none"/>
          <w:u w:val="single"/>
          <w:lang w:val="en-US" w:eastAsia="zh-CN"/>
        </w:rPr>
        <w:t xml:space="preserve">   </w:t>
      </w:r>
      <w:r>
        <w:rPr>
          <w:rFonts w:hint="eastAsia" w:ascii="宋体" w:hAnsi="宋体" w:eastAsia="宋体" w:cs="宋体"/>
          <w:color w:val="auto"/>
          <w:kern w:val="0"/>
          <w:sz w:val="21"/>
          <w:szCs w:val="21"/>
          <w:highlight w:val="none"/>
          <w:u w:val="single"/>
        </w:rPr>
        <w:t xml:space="preserve">   </w:t>
      </w:r>
      <w:r>
        <w:rPr>
          <w:rFonts w:hint="eastAsia" w:ascii="宋体" w:hAnsi="宋体" w:eastAsia="宋体" w:cs="宋体"/>
          <w:color w:val="auto"/>
          <w:kern w:val="0"/>
          <w:sz w:val="21"/>
          <w:szCs w:val="21"/>
          <w:highlight w:val="none"/>
        </w:rPr>
        <w:t xml:space="preserve"> 职务：</w:t>
      </w:r>
      <w:r>
        <w:rPr>
          <w:rFonts w:hint="eastAsia" w:ascii="宋体" w:hAnsi="宋体" w:eastAsia="宋体" w:cs="宋体"/>
          <w:color w:val="auto"/>
          <w:kern w:val="0"/>
          <w:sz w:val="21"/>
          <w:szCs w:val="21"/>
          <w:highlight w:val="none"/>
          <w:u w:val="single"/>
        </w:rPr>
        <w:t xml:space="preserve"> </w:t>
      </w:r>
      <w:r>
        <w:rPr>
          <w:rFonts w:hint="eastAsia" w:ascii="宋体" w:hAnsi="宋体" w:eastAsia="宋体" w:cs="宋体"/>
          <w:color w:val="auto"/>
          <w:kern w:val="0"/>
          <w:sz w:val="21"/>
          <w:szCs w:val="21"/>
          <w:highlight w:val="none"/>
          <w:u w:val="single"/>
          <w:lang w:val="en-US" w:eastAsia="zh-CN"/>
        </w:rPr>
        <w:t xml:space="preserve">            </w:t>
      </w:r>
      <w:r>
        <w:rPr>
          <w:rFonts w:hint="eastAsia" w:ascii="宋体" w:hAnsi="宋体" w:eastAsia="宋体" w:cs="宋体"/>
          <w:color w:val="auto"/>
          <w:kern w:val="0"/>
          <w:sz w:val="21"/>
          <w:szCs w:val="21"/>
          <w:highlight w:val="none"/>
          <w:u w:val="single"/>
        </w:rPr>
        <w:t xml:space="preserve">    </w:t>
      </w:r>
    </w:p>
    <w:p w14:paraId="0FC22B0E">
      <w:pPr>
        <w:keepNext w:val="0"/>
        <w:keepLines w:val="0"/>
        <w:pageBreakBefore w:val="0"/>
        <w:widowControl w:val="0"/>
        <w:kinsoku/>
        <w:wordWrap/>
        <w:overflowPunct/>
        <w:topLinePunct w:val="0"/>
        <w:autoSpaceDE w:val="0"/>
        <w:autoSpaceDN w:val="0"/>
        <w:bidi w:val="0"/>
        <w:adjustRightInd w:val="0"/>
        <w:snapToGrid/>
        <w:spacing w:line="360" w:lineRule="auto"/>
        <w:textAlignment w:val="auto"/>
        <w:outlineLvl w:val="9"/>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系</w:t>
      </w:r>
      <w:r>
        <w:rPr>
          <w:rFonts w:hint="eastAsia" w:ascii="宋体" w:hAnsi="宋体" w:eastAsia="宋体" w:cs="宋体"/>
          <w:color w:val="auto"/>
          <w:kern w:val="0"/>
          <w:sz w:val="21"/>
          <w:szCs w:val="21"/>
          <w:highlight w:val="none"/>
          <w:u w:val="single"/>
        </w:rPr>
        <w:t xml:space="preserve">     </w:t>
      </w:r>
      <w:r>
        <w:rPr>
          <w:rFonts w:hint="eastAsia" w:ascii="宋体" w:hAnsi="宋体" w:eastAsia="宋体" w:cs="宋体"/>
          <w:color w:val="auto"/>
          <w:kern w:val="0"/>
          <w:sz w:val="21"/>
          <w:szCs w:val="21"/>
          <w:highlight w:val="none"/>
          <w:u w:val="single"/>
          <w:lang w:val="en-US" w:eastAsia="zh-CN"/>
        </w:rPr>
        <w:t xml:space="preserve">                     </w:t>
      </w:r>
      <w:r>
        <w:rPr>
          <w:rFonts w:hint="eastAsia" w:ascii="宋体" w:hAnsi="宋体" w:eastAsia="宋体" w:cs="宋体"/>
          <w:color w:val="auto"/>
          <w:kern w:val="0"/>
          <w:sz w:val="21"/>
          <w:szCs w:val="21"/>
          <w:highlight w:val="none"/>
          <w:u w:val="single"/>
        </w:rPr>
        <w:t xml:space="preserve">      </w:t>
      </w:r>
      <w:r>
        <w:rPr>
          <w:rFonts w:hint="eastAsia" w:ascii="宋体" w:hAnsi="宋体" w:eastAsia="宋体" w:cs="宋体"/>
          <w:color w:val="auto"/>
          <w:kern w:val="0"/>
          <w:sz w:val="21"/>
          <w:szCs w:val="21"/>
          <w:highlight w:val="none"/>
        </w:rPr>
        <w:t>（投标人名称）的法定代表人。</w:t>
      </w:r>
    </w:p>
    <w:p w14:paraId="30389C3E">
      <w:pPr>
        <w:keepNext w:val="0"/>
        <w:keepLines w:val="0"/>
        <w:pageBreakBefore w:val="0"/>
        <w:widowControl w:val="0"/>
        <w:kinsoku/>
        <w:wordWrap/>
        <w:overflowPunct/>
        <w:topLinePunct w:val="0"/>
        <w:autoSpaceDE w:val="0"/>
        <w:autoSpaceDN w:val="0"/>
        <w:bidi w:val="0"/>
        <w:adjustRightInd w:val="0"/>
        <w:snapToGrid/>
        <w:spacing w:line="360" w:lineRule="auto"/>
        <w:textAlignment w:val="auto"/>
        <w:outlineLvl w:val="9"/>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特此证明。</w:t>
      </w:r>
    </w:p>
    <w:p w14:paraId="49F042CF">
      <w:pPr>
        <w:keepNext w:val="0"/>
        <w:keepLines w:val="0"/>
        <w:pageBreakBefore w:val="0"/>
        <w:widowControl w:val="0"/>
        <w:kinsoku/>
        <w:wordWrap/>
        <w:overflowPunct/>
        <w:topLinePunct w:val="0"/>
        <w:autoSpaceDE w:val="0"/>
        <w:autoSpaceDN w:val="0"/>
        <w:bidi w:val="0"/>
        <w:adjustRightInd w:val="0"/>
        <w:snapToGrid/>
        <w:spacing w:line="360" w:lineRule="auto"/>
        <w:textAlignment w:val="auto"/>
        <w:outlineLvl w:val="9"/>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附：法定代表人身份证</w:t>
      </w:r>
      <w:r>
        <w:rPr>
          <w:rFonts w:hint="eastAsia" w:ascii="宋体" w:hAnsi="宋体" w:eastAsia="宋体" w:cs="宋体"/>
          <w:color w:val="auto"/>
          <w:kern w:val="0"/>
          <w:sz w:val="21"/>
          <w:szCs w:val="21"/>
          <w:highlight w:val="none"/>
          <w:lang w:eastAsia="zh-CN"/>
        </w:rPr>
        <w:t>复印件或扫描件</w:t>
      </w:r>
      <w:r>
        <w:rPr>
          <w:rFonts w:hint="eastAsia" w:ascii="宋体" w:hAnsi="宋体" w:eastAsia="宋体" w:cs="宋体"/>
          <w:color w:val="auto"/>
          <w:kern w:val="0"/>
          <w:sz w:val="21"/>
          <w:szCs w:val="21"/>
          <w:highlight w:val="none"/>
        </w:rPr>
        <w:t>。</w:t>
      </w:r>
    </w:p>
    <w:p w14:paraId="490FABD3">
      <w:pPr>
        <w:keepNext w:val="0"/>
        <w:keepLines w:val="0"/>
        <w:pageBreakBefore w:val="0"/>
        <w:widowControl w:val="0"/>
        <w:kinsoku/>
        <w:wordWrap/>
        <w:overflowPunct/>
        <w:topLinePunct w:val="0"/>
        <w:autoSpaceDE w:val="0"/>
        <w:autoSpaceDN w:val="0"/>
        <w:bidi w:val="0"/>
        <w:adjustRightInd w:val="0"/>
        <w:snapToGrid/>
        <w:spacing w:line="360" w:lineRule="auto"/>
        <w:textAlignment w:val="auto"/>
        <w:outlineLvl w:val="9"/>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注：本身份证明需由投标人加盖单位公章。</w:t>
      </w:r>
    </w:p>
    <w:p w14:paraId="1FD4DBA5">
      <w:pPr>
        <w:keepNext w:val="0"/>
        <w:keepLines w:val="0"/>
        <w:pageBreakBefore w:val="0"/>
        <w:widowControl w:val="0"/>
        <w:kinsoku/>
        <w:wordWrap/>
        <w:overflowPunct/>
        <w:topLinePunct w:val="0"/>
        <w:autoSpaceDE w:val="0"/>
        <w:autoSpaceDN w:val="0"/>
        <w:bidi w:val="0"/>
        <w:adjustRightInd w:val="0"/>
        <w:snapToGrid/>
        <w:spacing w:line="360" w:lineRule="auto"/>
        <w:textAlignment w:val="auto"/>
        <w:outlineLvl w:val="9"/>
        <w:rPr>
          <w:rFonts w:hint="eastAsia" w:ascii="宋体" w:hAnsi="宋体" w:eastAsia="宋体" w:cs="宋体"/>
          <w:color w:val="auto"/>
          <w:kern w:val="0"/>
          <w:sz w:val="21"/>
          <w:szCs w:val="21"/>
          <w:highlight w:val="none"/>
        </w:rPr>
      </w:pPr>
    </w:p>
    <w:p w14:paraId="3C7E2DD8">
      <w:pPr>
        <w:keepNext w:val="0"/>
        <w:keepLines w:val="0"/>
        <w:pageBreakBefore w:val="0"/>
        <w:widowControl w:val="0"/>
        <w:kinsoku/>
        <w:wordWrap/>
        <w:overflowPunct/>
        <w:topLinePunct w:val="0"/>
        <w:autoSpaceDE w:val="0"/>
        <w:autoSpaceDN w:val="0"/>
        <w:bidi w:val="0"/>
        <w:adjustRightInd w:val="0"/>
        <w:snapToGrid/>
        <w:spacing w:line="360" w:lineRule="auto"/>
        <w:textAlignment w:val="auto"/>
        <w:outlineLvl w:val="9"/>
        <w:rPr>
          <w:rFonts w:hint="eastAsia" w:ascii="宋体" w:hAnsi="宋体" w:eastAsia="宋体" w:cs="宋体"/>
          <w:color w:val="auto"/>
          <w:kern w:val="0"/>
          <w:sz w:val="21"/>
          <w:szCs w:val="21"/>
          <w:highlight w:val="none"/>
        </w:rPr>
      </w:pPr>
    </w:p>
    <w:p w14:paraId="505220D1">
      <w:pPr>
        <w:pageBreakBefore w:val="0"/>
        <w:kinsoku/>
        <w:overflowPunct/>
        <w:bidi w:val="0"/>
        <w:spacing w:line="360" w:lineRule="auto"/>
        <w:ind w:firstLine="3150" w:firstLineChars="150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rPr>
        <w:t>投标人：</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rPr>
        <w:t>（盖章）</w:t>
      </w:r>
    </w:p>
    <w:p w14:paraId="359F5669">
      <w:pPr>
        <w:pageBreakBefore w:val="0"/>
        <w:tabs>
          <w:tab w:val="left" w:pos="5380"/>
          <w:tab w:val="left" w:pos="6520"/>
          <w:tab w:val="left" w:pos="7680"/>
        </w:tabs>
        <w:kinsoku/>
        <w:overflowPunct/>
        <w:autoSpaceDE w:val="0"/>
        <w:autoSpaceDN w:val="0"/>
        <w:bidi w:val="0"/>
        <w:adjustRightInd w:val="0"/>
        <w:spacing w:line="360" w:lineRule="auto"/>
        <w:ind w:right="-20" w:firstLine="4410" w:firstLineChars="210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u w:val="single"/>
        </w:rPr>
        <w:t xml:space="preserve">     </w:t>
      </w:r>
      <w:r>
        <w:rPr>
          <w:rFonts w:hint="eastAsia" w:ascii="宋体" w:hAnsi="宋体" w:eastAsia="宋体" w:cs="宋体"/>
          <w:color w:val="auto"/>
          <w:spacing w:val="43"/>
          <w:kern w:val="0"/>
          <w:szCs w:val="21"/>
          <w:highlight w:val="none"/>
          <w:u w:val="single"/>
        </w:rPr>
        <w:t xml:space="preserve"> </w:t>
      </w:r>
      <w:r>
        <w:rPr>
          <w:rFonts w:hint="eastAsia" w:ascii="宋体" w:hAnsi="宋体" w:eastAsia="宋体" w:cs="宋体"/>
          <w:color w:val="auto"/>
          <w:kern w:val="0"/>
          <w:szCs w:val="21"/>
          <w:highlight w:val="none"/>
        </w:rPr>
        <w:t>年</w:t>
      </w:r>
      <w:r>
        <w:rPr>
          <w:rFonts w:hint="eastAsia" w:ascii="宋体" w:hAnsi="宋体" w:eastAsia="宋体" w:cs="宋体"/>
          <w:color w:val="auto"/>
          <w:kern w:val="0"/>
          <w:szCs w:val="21"/>
          <w:highlight w:val="none"/>
          <w:u w:val="single"/>
        </w:rPr>
        <w:t xml:space="preserve">       </w:t>
      </w:r>
      <w:r>
        <w:rPr>
          <w:rFonts w:hint="eastAsia" w:ascii="宋体" w:hAnsi="宋体" w:eastAsia="宋体" w:cs="宋体"/>
          <w:color w:val="auto"/>
          <w:kern w:val="0"/>
          <w:szCs w:val="21"/>
          <w:highlight w:val="none"/>
        </w:rPr>
        <w:t>月</w:t>
      </w:r>
      <w:r>
        <w:rPr>
          <w:rFonts w:hint="eastAsia" w:ascii="宋体" w:hAnsi="宋体" w:eastAsia="宋体" w:cs="宋体"/>
          <w:color w:val="auto"/>
          <w:kern w:val="0"/>
          <w:szCs w:val="21"/>
          <w:highlight w:val="none"/>
          <w:u w:val="single"/>
        </w:rPr>
        <w:t xml:space="preserve">      </w:t>
      </w:r>
      <w:r>
        <w:rPr>
          <w:rFonts w:hint="eastAsia" w:ascii="宋体" w:hAnsi="宋体" w:eastAsia="宋体" w:cs="宋体"/>
          <w:color w:val="auto"/>
          <w:kern w:val="0"/>
          <w:szCs w:val="21"/>
          <w:highlight w:val="none"/>
        </w:rPr>
        <w:t>日</w:t>
      </w:r>
    </w:p>
    <w:p w14:paraId="7C3611A6">
      <w:pPr>
        <w:pStyle w:val="68"/>
        <w:pageBreakBefore w:val="0"/>
        <w:kinsoku/>
        <w:overflowPunct/>
        <w:bidi w:val="0"/>
        <w:spacing w:line="360" w:lineRule="auto"/>
        <w:rPr>
          <w:rFonts w:hint="eastAsia" w:ascii="宋体" w:hAnsi="宋体" w:eastAsia="宋体" w:cs="宋体"/>
          <w:color w:val="auto"/>
          <w:highlight w:val="none"/>
        </w:rPr>
      </w:pPr>
    </w:p>
    <w:p w14:paraId="609CA037">
      <w:pPr>
        <w:pageBreakBefore w:val="0"/>
        <w:kinsoku/>
        <w:overflowPunct/>
        <w:bidi w:val="0"/>
        <w:spacing w:line="360" w:lineRule="auto"/>
        <w:rPr>
          <w:rFonts w:hint="eastAsia" w:ascii="宋体" w:hAnsi="宋体" w:eastAsia="宋体" w:cs="宋体"/>
          <w:color w:val="auto"/>
          <w:highlight w:val="none"/>
        </w:rPr>
      </w:pPr>
    </w:p>
    <w:p w14:paraId="0F5C4382">
      <w:pPr>
        <w:pStyle w:val="5"/>
        <w:pageBreakBefore w:val="0"/>
        <w:numPr>
          <w:ilvl w:val="0"/>
          <w:numId w:val="35"/>
        </w:numPr>
        <w:kinsoku/>
        <w:overflowPunct/>
        <w:bidi w:val="0"/>
        <w:spacing w:line="360" w:lineRule="auto"/>
        <w:jc w:val="center"/>
        <w:rPr>
          <w:rFonts w:hint="eastAsia" w:ascii="宋体" w:hAnsi="宋体" w:eastAsia="宋体" w:cs="宋体"/>
          <w:color w:val="auto"/>
          <w:kern w:val="0"/>
          <w:sz w:val="20"/>
          <w:szCs w:val="20"/>
          <w:highlight w:val="none"/>
        </w:rPr>
      </w:pPr>
      <w:bookmarkStart w:id="740" w:name="_Toc12134"/>
      <w:bookmarkStart w:id="741" w:name="_Toc16759"/>
      <w:r>
        <w:rPr>
          <w:rFonts w:hint="eastAsia" w:ascii="宋体" w:hAnsi="宋体" w:eastAsia="宋体" w:cs="宋体"/>
          <w:color w:val="auto"/>
          <w:sz w:val="24"/>
          <w:szCs w:val="24"/>
          <w:highlight w:val="none"/>
        </w:rPr>
        <w:br w:type="page"/>
      </w:r>
      <w:bookmarkStart w:id="742" w:name="_Toc26791"/>
      <w:r>
        <w:rPr>
          <w:rFonts w:hint="eastAsia" w:ascii="宋体" w:hAnsi="宋体" w:eastAsia="宋体" w:cs="宋体"/>
          <w:color w:val="auto"/>
          <w:sz w:val="24"/>
          <w:szCs w:val="24"/>
          <w:highlight w:val="none"/>
        </w:rPr>
        <w:t>法定代表人授权</w:t>
      </w:r>
      <w:r>
        <w:rPr>
          <w:rFonts w:hint="eastAsia" w:ascii="宋体" w:hAnsi="宋体" w:eastAsia="宋体" w:cs="宋体"/>
          <w:color w:val="auto"/>
          <w:sz w:val="24"/>
          <w:szCs w:val="24"/>
          <w:highlight w:val="none"/>
          <w:lang w:eastAsia="zh-CN"/>
        </w:rPr>
        <w:t>委托</w:t>
      </w:r>
      <w:r>
        <w:rPr>
          <w:rFonts w:hint="eastAsia" w:ascii="宋体" w:hAnsi="宋体" w:eastAsia="宋体" w:cs="宋体"/>
          <w:color w:val="auto"/>
          <w:sz w:val="24"/>
          <w:szCs w:val="24"/>
          <w:highlight w:val="none"/>
        </w:rPr>
        <w:t>书</w:t>
      </w:r>
      <w:bookmarkEnd w:id="739"/>
      <w:bookmarkEnd w:id="740"/>
      <w:bookmarkEnd w:id="741"/>
      <w:bookmarkEnd w:id="742"/>
    </w:p>
    <w:p w14:paraId="7F69BF31">
      <w:pPr>
        <w:keepNext w:val="0"/>
        <w:keepLines w:val="0"/>
        <w:pageBreakBefore w:val="0"/>
        <w:widowControl w:val="0"/>
        <w:tabs>
          <w:tab w:val="left" w:pos="3880"/>
        </w:tabs>
        <w:kinsoku/>
        <w:wordWrap/>
        <w:overflowPunct/>
        <w:topLinePunct w:val="0"/>
        <w:autoSpaceDE w:val="0"/>
        <w:autoSpaceDN w:val="0"/>
        <w:bidi w:val="0"/>
        <w:adjustRightInd w:val="0"/>
        <w:snapToGrid/>
        <w:spacing w:line="360" w:lineRule="auto"/>
        <w:ind w:firstLine="420" w:firstLineChars="200"/>
        <w:textAlignment w:val="auto"/>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本人</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（姓名）系</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（投标人名称）的法定代表人，现委托</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（姓名</w:t>
      </w:r>
      <w:r>
        <w:rPr>
          <w:rFonts w:hint="eastAsia" w:ascii="宋体" w:hAnsi="宋体" w:eastAsia="宋体" w:cs="宋体"/>
          <w:color w:val="auto"/>
          <w:szCs w:val="21"/>
          <w:highlight w:val="none"/>
          <w:lang w:eastAsia="zh-CN"/>
        </w:rPr>
        <w:t>、职务</w:t>
      </w:r>
      <w:r>
        <w:rPr>
          <w:rFonts w:hint="eastAsia" w:ascii="宋体" w:hAnsi="宋体" w:eastAsia="宋体" w:cs="宋体"/>
          <w:color w:val="auto"/>
          <w:szCs w:val="21"/>
          <w:highlight w:val="none"/>
        </w:rPr>
        <w:t>）为我方代理人。</w:t>
      </w:r>
      <w:r>
        <w:rPr>
          <w:rFonts w:hint="eastAsia" w:ascii="宋体" w:hAnsi="宋体" w:eastAsia="宋体" w:cs="宋体"/>
          <w:color w:val="auto"/>
          <w:kern w:val="0"/>
          <w:position w:val="-2"/>
          <w:szCs w:val="21"/>
          <w:highlight w:val="none"/>
        </w:rPr>
        <w:t>代理</w:t>
      </w:r>
      <w:r>
        <w:rPr>
          <w:rFonts w:hint="eastAsia" w:ascii="宋体" w:hAnsi="宋体" w:eastAsia="宋体" w:cs="宋体"/>
          <w:color w:val="auto"/>
          <w:spacing w:val="-2"/>
          <w:kern w:val="0"/>
          <w:position w:val="-2"/>
          <w:szCs w:val="21"/>
          <w:highlight w:val="none"/>
        </w:rPr>
        <w:t>人</w:t>
      </w:r>
      <w:r>
        <w:rPr>
          <w:rFonts w:hint="eastAsia" w:ascii="宋体" w:hAnsi="宋体" w:eastAsia="宋体" w:cs="宋体"/>
          <w:color w:val="auto"/>
          <w:kern w:val="0"/>
          <w:position w:val="-2"/>
          <w:szCs w:val="21"/>
          <w:highlight w:val="none"/>
        </w:rPr>
        <w:t>根据授权，</w:t>
      </w:r>
      <w:r>
        <w:rPr>
          <w:rFonts w:hint="eastAsia" w:ascii="宋体" w:hAnsi="宋体" w:eastAsia="宋体" w:cs="宋体"/>
          <w:color w:val="auto"/>
          <w:spacing w:val="-2"/>
          <w:kern w:val="0"/>
          <w:position w:val="-2"/>
          <w:szCs w:val="21"/>
          <w:highlight w:val="none"/>
        </w:rPr>
        <w:t>以</w:t>
      </w:r>
      <w:r>
        <w:rPr>
          <w:rFonts w:hint="eastAsia" w:ascii="宋体" w:hAnsi="宋体" w:eastAsia="宋体" w:cs="宋体"/>
          <w:color w:val="auto"/>
          <w:kern w:val="0"/>
          <w:position w:val="-2"/>
          <w:szCs w:val="21"/>
          <w:highlight w:val="none"/>
        </w:rPr>
        <w:t>我方名</w:t>
      </w:r>
      <w:r>
        <w:rPr>
          <w:rFonts w:hint="eastAsia" w:ascii="宋体" w:hAnsi="宋体" w:eastAsia="宋体" w:cs="宋体"/>
          <w:color w:val="auto"/>
          <w:szCs w:val="21"/>
          <w:highlight w:val="none"/>
        </w:rPr>
        <w:t>义签署、澄清确认、递交、撤回、修改</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rPr>
        <w:tab/>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rPr>
        <w:t>（项目名称）</w:t>
      </w:r>
      <w:r>
        <w:rPr>
          <w:rFonts w:hint="eastAsia" w:ascii="宋体" w:hAnsi="宋体" w:eastAsia="宋体" w:cs="宋体"/>
          <w:color w:val="auto"/>
          <w:szCs w:val="21"/>
          <w:highlight w:val="none"/>
        </w:rPr>
        <w:t>投标文件、签订合同和处理有关事宜，其法律后果由我方承担。</w:t>
      </w:r>
    </w:p>
    <w:p w14:paraId="39D11538">
      <w:pPr>
        <w:pageBreakBefore w:val="0"/>
        <w:kinsoku/>
        <w:overflowPunct/>
        <w:bidi w:val="0"/>
        <w:spacing w:line="360" w:lineRule="auto"/>
        <w:ind w:firstLine="420" w:firstLineChars="200"/>
        <w:rPr>
          <w:rFonts w:hint="eastAsia" w:ascii="宋体" w:hAnsi="宋体" w:eastAsia="宋体" w:cs="宋体"/>
          <w:color w:val="auto"/>
          <w:szCs w:val="21"/>
          <w:highlight w:val="none"/>
          <w:u w:val="single"/>
          <w:lang w:val="en-US" w:eastAsia="zh-CN"/>
        </w:rPr>
      </w:pPr>
      <w:r>
        <w:rPr>
          <w:rFonts w:hint="eastAsia" w:ascii="宋体" w:hAnsi="宋体" w:eastAsia="宋体" w:cs="宋体"/>
          <w:color w:val="auto"/>
          <w:szCs w:val="21"/>
          <w:highlight w:val="none"/>
          <w:lang w:eastAsia="zh-CN"/>
        </w:rPr>
        <w:t>委托期限：</w:t>
      </w:r>
      <w:r>
        <w:rPr>
          <w:rFonts w:hint="eastAsia" w:ascii="宋体" w:hAnsi="宋体" w:eastAsia="宋体" w:cs="宋体"/>
          <w:b/>
          <w:bCs/>
          <w:color w:val="auto"/>
          <w:szCs w:val="21"/>
          <w:highlight w:val="none"/>
          <w:u w:val="single"/>
          <w:lang w:val="en-US" w:eastAsia="zh-CN"/>
        </w:rPr>
        <w:t>同</w:t>
      </w:r>
      <w:r>
        <w:rPr>
          <w:rFonts w:hint="eastAsia" w:ascii="宋体" w:hAnsi="宋体" w:eastAsia="宋体" w:cs="宋体"/>
          <w:b/>
          <w:bCs/>
          <w:color w:val="auto"/>
          <w:highlight w:val="none"/>
          <w:u w:val="single"/>
          <w:lang w:eastAsia="zh-CN"/>
        </w:rPr>
        <w:t>投标有效期</w:t>
      </w:r>
      <w:r>
        <w:rPr>
          <w:rFonts w:hint="eastAsia" w:ascii="宋体" w:hAnsi="宋体" w:eastAsia="宋体" w:cs="宋体"/>
          <w:b w:val="0"/>
          <w:bCs w:val="0"/>
          <w:color w:val="auto"/>
          <w:highlight w:val="none"/>
          <w:u w:val="none"/>
          <w:lang w:eastAsia="zh-CN"/>
        </w:rPr>
        <w:t>。</w:t>
      </w:r>
    </w:p>
    <w:p w14:paraId="5DCCFAB7">
      <w:pPr>
        <w:pageBreakBefore w:val="0"/>
        <w:kinsoku/>
        <w:overflowPunct/>
        <w:bidi w:val="0"/>
        <w:spacing w:line="360" w:lineRule="auto"/>
        <w:ind w:firstLine="420" w:firstLineChars="200"/>
        <w:rPr>
          <w:rFonts w:hint="eastAsia" w:ascii="宋体" w:hAnsi="宋体" w:eastAsia="宋体" w:cs="宋体"/>
          <w:color w:val="auto"/>
          <w:szCs w:val="21"/>
          <w:highlight w:val="none"/>
          <w:u w:val="none"/>
          <w:lang w:val="en-US" w:eastAsia="zh-CN"/>
        </w:rPr>
      </w:pPr>
      <w:r>
        <w:rPr>
          <w:rFonts w:hint="eastAsia" w:ascii="宋体" w:hAnsi="宋体" w:eastAsia="宋体" w:cs="宋体"/>
          <w:color w:val="auto"/>
          <w:szCs w:val="21"/>
          <w:highlight w:val="none"/>
          <w:u w:val="none"/>
          <w:lang w:val="en-US" w:eastAsia="zh-CN"/>
        </w:rPr>
        <w:t>代理人无转委托权。</w:t>
      </w:r>
    </w:p>
    <w:p w14:paraId="46319D4B">
      <w:pPr>
        <w:pageBreakBefore w:val="0"/>
        <w:kinsoku/>
        <w:overflowPunct/>
        <w:bidi w:val="0"/>
        <w:spacing w:line="360" w:lineRule="auto"/>
        <w:ind w:firstLine="420" w:firstLineChars="200"/>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附：</w:t>
      </w:r>
      <w:r>
        <w:rPr>
          <w:rFonts w:hint="eastAsia" w:ascii="宋体" w:hAnsi="宋体" w:eastAsia="宋体" w:cs="宋体"/>
          <w:color w:val="auto"/>
          <w:spacing w:val="-2"/>
          <w:kern w:val="0"/>
          <w:szCs w:val="21"/>
          <w:highlight w:val="none"/>
        </w:rPr>
        <w:t>法</w:t>
      </w:r>
      <w:r>
        <w:rPr>
          <w:rFonts w:hint="eastAsia" w:ascii="宋体" w:hAnsi="宋体" w:eastAsia="宋体" w:cs="宋体"/>
          <w:color w:val="auto"/>
          <w:kern w:val="0"/>
          <w:szCs w:val="21"/>
          <w:highlight w:val="none"/>
        </w:rPr>
        <w:t>定</w:t>
      </w:r>
      <w:r>
        <w:rPr>
          <w:rFonts w:hint="eastAsia" w:ascii="宋体" w:hAnsi="宋体" w:eastAsia="宋体" w:cs="宋体"/>
          <w:color w:val="auto"/>
          <w:spacing w:val="-2"/>
          <w:kern w:val="0"/>
          <w:szCs w:val="21"/>
          <w:highlight w:val="none"/>
        </w:rPr>
        <w:t>代</w:t>
      </w:r>
      <w:r>
        <w:rPr>
          <w:rFonts w:hint="eastAsia" w:ascii="宋体" w:hAnsi="宋体" w:eastAsia="宋体" w:cs="宋体"/>
          <w:color w:val="auto"/>
          <w:kern w:val="0"/>
          <w:szCs w:val="21"/>
          <w:highlight w:val="none"/>
        </w:rPr>
        <w:t>表</w:t>
      </w:r>
      <w:r>
        <w:rPr>
          <w:rFonts w:hint="eastAsia" w:ascii="宋体" w:hAnsi="宋体" w:eastAsia="宋体" w:cs="宋体"/>
          <w:color w:val="auto"/>
          <w:spacing w:val="-2"/>
          <w:kern w:val="0"/>
          <w:szCs w:val="21"/>
          <w:highlight w:val="none"/>
        </w:rPr>
        <w:t>人</w:t>
      </w:r>
      <w:r>
        <w:rPr>
          <w:rFonts w:hint="eastAsia" w:ascii="宋体" w:hAnsi="宋体" w:eastAsia="宋体" w:cs="宋体"/>
          <w:color w:val="auto"/>
          <w:kern w:val="0"/>
          <w:szCs w:val="21"/>
          <w:highlight w:val="none"/>
        </w:rPr>
        <w:t>身</w:t>
      </w:r>
      <w:r>
        <w:rPr>
          <w:rFonts w:hint="eastAsia" w:ascii="宋体" w:hAnsi="宋体" w:eastAsia="宋体" w:cs="宋体"/>
          <w:color w:val="auto"/>
          <w:spacing w:val="-2"/>
          <w:kern w:val="0"/>
          <w:szCs w:val="21"/>
          <w:highlight w:val="none"/>
        </w:rPr>
        <w:t>份</w:t>
      </w:r>
      <w:r>
        <w:rPr>
          <w:rFonts w:hint="eastAsia" w:ascii="宋体" w:hAnsi="宋体" w:eastAsia="宋体" w:cs="宋体"/>
          <w:color w:val="auto"/>
          <w:kern w:val="0"/>
          <w:szCs w:val="21"/>
          <w:highlight w:val="none"/>
        </w:rPr>
        <w:t>证</w:t>
      </w:r>
      <w:r>
        <w:rPr>
          <w:rFonts w:hint="eastAsia" w:ascii="宋体" w:hAnsi="宋体" w:eastAsia="宋体" w:cs="宋体"/>
          <w:color w:val="auto"/>
          <w:spacing w:val="-2"/>
          <w:kern w:val="0"/>
          <w:szCs w:val="21"/>
          <w:highlight w:val="none"/>
          <w:lang w:eastAsia="zh-CN"/>
        </w:rPr>
        <w:t>复印件或扫描件</w:t>
      </w:r>
      <w:r>
        <w:rPr>
          <w:rFonts w:hint="eastAsia" w:ascii="宋体" w:hAnsi="宋体" w:eastAsia="宋体" w:cs="宋体"/>
          <w:color w:val="auto"/>
          <w:spacing w:val="-2"/>
          <w:kern w:val="0"/>
          <w:szCs w:val="21"/>
          <w:highlight w:val="none"/>
        </w:rPr>
        <w:t>及</w:t>
      </w:r>
      <w:r>
        <w:rPr>
          <w:rFonts w:hint="eastAsia" w:ascii="宋体" w:hAnsi="宋体" w:eastAsia="宋体" w:cs="宋体"/>
          <w:color w:val="auto"/>
          <w:kern w:val="0"/>
          <w:szCs w:val="21"/>
          <w:highlight w:val="none"/>
        </w:rPr>
        <w:t>委</w:t>
      </w:r>
      <w:r>
        <w:rPr>
          <w:rFonts w:hint="eastAsia" w:ascii="宋体" w:hAnsi="宋体" w:eastAsia="宋体" w:cs="宋体"/>
          <w:color w:val="auto"/>
          <w:spacing w:val="-2"/>
          <w:kern w:val="0"/>
          <w:szCs w:val="21"/>
          <w:highlight w:val="none"/>
        </w:rPr>
        <w:t>托</w:t>
      </w:r>
      <w:r>
        <w:rPr>
          <w:rFonts w:hint="eastAsia" w:ascii="宋体" w:hAnsi="宋体" w:eastAsia="宋体" w:cs="宋体"/>
          <w:color w:val="auto"/>
          <w:kern w:val="0"/>
          <w:szCs w:val="21"/>
          <w:highlight w:val="none"/>
        </w:rPr>
        <w:t>代</w:t>
      </w:r>
      <w:r>
        <w:rPr>
          <w:rFonts w:hint="eastAsia" w:ascii="宋体" w:hAnsi="宋体" w:eastAsia="宋体" w:cs="宋体"/>
          <w:color w:val="auto"/>
          <w:spacing w:val="-2"/>
          <w:kern w:val="0"/>
          <w:szCs w:val="21"/>
          <w:highlight w:val="none"/>
        </w:rPr>
        <w:t>理</w:t>
      </w:r>
      <w:r>
        <w:rPr>
          <w:rFonts w:hint="eastAsia" w:ascii="宋体" w:hAnsi="宋体" w:eastAsia="宋体" w:cs="宋体"/>
          <w:color w:val="auto"/>
          <w:kern w:val="0"/>
          <w:szCs w:val="21"/>
          <w:highlight w:val="none"/>
        </w:rPr>
        <w:t>人</w:t>
      </w:r>
      <w:r>
        <w:rPr>
          <w:rFonts w:hint="eastAsia" w:ascii="宋体" w:hAnsi="宋体" w:eastAsia="宋体" w:cs="宋体"/>
          <w:color w:val="auto"/>
          <w:spacing w:val="-2"/>
          <w:kern w:val="0"/>
          <w:szCs w:val="21"/>
          <w:highlight w:val="none"/>
        </w:rPr>
        <w:t>身</w:t>
      </w:r>
      <w:r>
        <w:rPr>
          <w:rFonts w:hint="eastAsia" w:ascii="宋体" w:hAnsi="宋体" w:eastAsia="宋体" w:cs="宋体"/>
          <w:color w:val="auto"/>
          <w:kern w:val="0"/>
          <w:szCs w:val="21"/>
          <w:highlight w:val="none"/>
        </w:rPr>
        <w:t>份</w:t>
      </w:r>
      <w:r>
        <w:rPr>
          <w:rFonts w:hint="eastAsia" w:ascii="宋体" w:hAnsi="宋体" w:eastAsia="宋体" w:cs="宋体"/>
          <w:color w:val="auto"/>
          <w:spacing w:val="-2"/>
          <w:kern w:val="0"/>
          <w:szCs w:val="21"/>
          <w:highlight w:val="none"/>
        </w:rPr>
        <w:t>证</w:t>
      </w:r>
      <w:r>
        <w:rPr>
          <w:rFonts w:hint="eastAsia" w:ascii="宋体" w:hAnsi="宋体" w:eastAsia="宋体" w:cs="宋体"/>
          <w:color w:val="auto"/>
          <w:kern w:val="0"/>
          <w:szCs w:val="21"/>
          <w:highlight w:val="none"/>
          <w:lang w:eastAsia="zh-CN"/>
        </w:rPr>
        <w:t>复印件或扫描件</w:t>
      </w:r>
    </w:p>
    <w:p w14:paraId="1D9CCE96">
      <w:pPr>
        <w:pageBreakBefore w:val="0"/>
        <w:kinsoku/>
        <w:overflowPunct/>
        <w:bidi w:val="0"/>
        <w:spacing w:line="360" w:lineRule="auto"/>
        <w:rPr>
          <w:rFonts w:hint="eastAsia" w:ascii="宋体" w:hAnsi="宋体" w:eastAsia="宋体" w:cs="宋体"/>
          <w:color w:val="auto"/>
          <w:szCs w:val="21"/>
          <w:highlight w:val="none"/>
        </w:rPr>
      </w:pPr>
    </w:p>
    <w:p w14:paraId="45278DD2">
      <w:pPr>
        <w:keepNext w:val="0"/>
        <w:keepLines w:val="0"/>
        <w:pageBreakBefore w:val="0"/>
        <w:widowControl w:val="0"/>
        <w:kinsoku/>
        <w:wordWrap/>
        <w:overflowPunct/>
        <w:topLinePunct w:val="0"/>
        <w:bidi w:val="0"/>
        <w:snapToGrid/>
        <w:spacing w:line="360" w:lineRule="auto"/>
        <w:ind w:firstLine="2940" w:firstLineChars="1400"/>
        <w:textAlignment w:val="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rPr>
        <w:t>投标人：</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rPr>
        <w:t>（盖章）</w:t>
      </w:r>
    </w:p>
    <w:p w14:paraId="2D87596E">
      <w:pPr>
        <w:pStyle w:val="70"/>
        <w:keepNext w:val="0"/>
        <w:keepLines w:val="0"/>
        <w:pageBreakBefore w:val="0"/>
        <w:widowControl w:val="0"/>
        <w:kinsoku/>
        <w:wordWrap/>
        <w:overflowPunct/>
        <w:topLinePunct w:val="0"/>
        <w:bidi w:val="0"/>
        <w:snapToGrid/>
        <w:spacing w:line="360" w:lineRule="auto"/>
        <w:ind w:firstLine="2940" w:firstLineChars="1400"/>
        <w:textAlignment w:val="auto"/>
        <w:outlineLvl w:val="9"/>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法定代表人：</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kern w:val="2"/>
          <w:sz w:val="21"/>
          <w:szCs w:val="21"/>
          <w:highlight w:val="none"/>
          <w:lang w:val="en-US" w:eastAsia="zh-CN" w:bidi="ar-SA"/>
        </w:rPr>
        <w:t>（签字或盖章）</w:t>
      </w:r>
    </w:p>
    <w:p w14:paraId="0E71122B">
      <w:pPr>
        <w:pStyle w:val="70"/>
        <w:keepNext w:val="0"/>
        <w:keepLines w:val="0"/>
        <w:pageBreakBefore w:val="0"/>
        <w:widowControl w:val="0"/>
        <w:kinsoku/>
        <w:wordWrap/>
        <w:overflowPunct/>
        <w:topLinePunct w:val="0"/>
        <w:bidi w:val="0"/>
        <w:snapToGrid/>
        <w:spacing w:line="360" w:lineRule="auto"/>
        <w:ind w:firstLine="2940" w:firstLineChars="1400"/>
        <w:textAlignment w:val="auto"/>
        <w:outlineLvl w:val="9"/>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身份证号：</w:t>
      </w:r>
      <w:r>
        <w:rPr>
          <w:rFonts w:hint="eastAsia" w:ascii="宋体" w:hAnsi="宋体" w:eastAsia="宋体" w:cs="宋体"/>
          <w:color w:val="auto"/>
          <w:kern w:val="2"/>
          <w:sz w:val="21"/>
          <w:szCs w:val="21"/>
          <w:highlight w:val="none"/>
          <w:u w:val="single"/>
          <w:lang w:val="en-US" w:eastAsia="zh-CN" w:bidi="ar-SA"/>
        </w:rPr>
        <w:t xml:space="preserve">                                </w:t>
      </w:r>
    </w:p>
    <w:p w14:paraId="0C92180E">
      <w:pPr>
        <w:keepNext w:val="0"/>
        <w:keepLines w:val="0"/>
        <w:pageBreakBefore w:val="0"/>
        <w:widowControl w:val="0"/>
        <w:kinsoku/>
        <w:wordWrap/>
        <w:overflowPunct/>
        <w:topLinePunct w:val="0"/>
        <w:bidi w:val="0"/>
        <w:snapToGrid/>
        <w:spacing w:line="360" w:lineRule="auto"/>
        <w:ind w:firstLine="2940" w:firstLineChars="1400"/>
        <w:textAlignment w:val="auto"/>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委托代理人</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rPr>
        <w:t>（签字或盖章）</w:t>
      </w:r>
    </w:p>
    <w:p w14:paraId="27872E1D">
      <w:pPr>
        <w:keepNext w:val="0"/>
        <w:keepLines w:val="0"/>
        <w:pageBreakBefore w:val="0"/>
        <w:widowControl w:val="0"/>
        <w:kinsoku/>
        <w:wordWrap/>
        <w:overflowPunct/>
        <w:topLinePunct w:val="0"/>
        <w:bidi w:val="0"/>
        <w:snapToGrid/>
        <w:spacing w:line="360" w:lineRule="auto"/>
        <w:ind w:firstLine="2940" w:firstLineChars="1400"/>
        <w:textAlignment w:val="auto"/>
        <w:rPr>
          <w:rFonts w:hint="eastAsia" w:ascii="宋体" w:hAnsi="宋体" w:eastAsia="宋体" w:cs="宋体"/>
          <w:color w:val="auto"/>
          <w:szCs w:val="21"/>
          <w:highlight w:val="none"/>
        </w:rPr>
      </w:pPr>
      <w:r>
        <w:rPr>
          <w:rFonts w:hint="eastAsia" w:ascii="宋体" w:hAnsi="宋体" w:eastAsia="宋体" w:cs="宋体"/>
          <w:color w:val="auto"/>
          <w:kern w:val="2"/>
          <w:sz w:val="21"/>
          <w:szCs w:val="21"/>
          <w:highlight w:val="none"/>
          <w:lang w:val="en-US" w:eastAsia="zh-CN" w:bidi="ar-SA"/>
        </w:rPr>
        <w:t>身份证号：</w:t>
      </w:r>
      <w:r>
        <w:rPr>
          <w:rFonts w:hint="eastAsia" w:ascii="宋体" w:hAnsi="宋体" w:eastAsia="宋体" w:cs="宋体"/>
          <w:color w:val="auto"/>
          <w:kern w:val="2"/>
          <w:sz w:val="21"/>
          <w:szCs w:val="21"/>
          <w:highlight w:val="none"/>
          <w:u w:val="single"/>
          <w:lang w:val="en-US" w:eastAsia="zh-CN" w:bidi="ar-SA"/>
        </w:rPr>
        <w:t xml:space="preserve">                                </w:t>
      </w:r>
      <w:r>
        <w:rPr>
          <w:rFonts w:hint="eastAsia" w:ascii="宋体" w:hAnsi="宋体" w:eastAsia="宋体" w:cs="宋体"/>
          <w:color w:val="auto"/>
          <w:kern w:val="2"/>
          <w:sz w:val="21"/>
          <w:szCs w:val="21"/>
          <w:highlight w:val="none"/>
          <w:lang w:val="en-US" w:eastAsia="zh-CN" w:bidi="ar-SA"/>
        </w:rPr>
        <w:t xml:space="preserve">  </w:t>
      </w:r>
    </w:p>
    <w:p w14:paraId="5C42BCD6">
      <w:pPr>
        <w:pageBreakBefore w:val="0"/>
        <w:tabs>
          <w:tab w:val="left" w:pos="5380"/>
          <w:tab w:val="left" w:pos="6520"/>
          <w:tab w:val="left" w:pos="7680"/>
        </w:tabs>
        <w:kinsoku/>
        <w:overflowPunct/>
        <w:autoSpaceDE w:val="0"/>
        <w:autoSpaceDN w:val="0"/>
        <w:bidi w:val="0"/>
        <w:adjustRightInd w:val="0"/>
        <w:spacing w:line="360" w:lineRule="auto"/>
        <w:ind w:right="-20" w:firstLine="3780" w:firstLineChars="1800"/>
        <w:jc w:val="left"/>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u w:val="single"/>
        </w:rPr>
        <w:t xml:space="preserve">     </w:t>
      </w:r>
      <w:r>
        <w:rPr>
          <w:rFonts w:hint="eastAsia" w:ascii="宋体" w:hAnsi="宋体" w:eastAsia="宋体" w:cs="宋体"/>
          <w:color w:val="auto"/>
          <w:spacing w:val="43"/>
          <w:kern w:val="0"/>
          <w:szCs w:val="21"/>
          <w:highlight w:val="none"/>
          <w:u w:val="single"/>
        </w:rPr>
        <w:t xml:space="preserve"> </w:t>
      </w:r>
      <w:r>
        <w:rPr>
          <w:rFonts w:hint="eastAsia" w:ascii="宋体" w:hAnsi="宋体" w:eastAsia="宋体" w:cs="宋体"/>
          <w:color w:val="auto"/>
          <w:kern w:val="0"/>
          <w:szCs w:val="21"/>
          <w:highlight w:val="none"/>
        </w:rPr>
        <w:t>年</w:t>
      </w:r>
      <w:r>
        <w:rPr>
          <w:rFonts w:hint="eastAsia" w:ascii="宋体" w:hAnsi="宋体" w:eastAsia="宋体" w:cs="宋体"/>
          <w:color w:val="auto"/>
          <w:kern w:val="0"/>
          <w:szCs w:val="21"/>
          <w:highlight w:val="none"/>
          <w:u w:val="single"/>
        </w:rPr>
        <w:t xml:space="preserve">       </w:t>
      </w:r>
      <w:r>
        <w:rPr>
          <w:rFonts w:hint="eastAsia" w:ascii="宋体" w:hAnsi="宋体" w:eastAsia="宋体" w:cs="宋体"/>
          <w:color w:val="auto"/>
          <w:kern w:val="0"/>
          <w:szCs w:val="21"/>
          <w:highlight w:val="none"/>
        </w:rPr>
        <w:t>月</w:t>
      </w:r>
      <w:r>
        <w:rPr>
          <w:rFonts w:hint="eastAsia" w:ascii="宋体" w:hAnsi="宋体" w:eastAsia="宋体" w:cs="宋体"/>
          <w:color w:val="auto"/>
          <w:kern w:val="0"/>
          <w:szCs w:val="21"/>
          <w:highlight w:val="none"/>
          <w:u w:val="single"/>
        </w:rPr>
        <w:t xml:space="preserve">      </w:t>
      </w:r>
      <w:r>
        <w:rPr>
          <w:rFonts w:hint="eastAsia" w:ascii="宋体" w:hAnsi="宋体" w:eastAsia="宋体" w:cs="宋体"/>
          <w:color w:val="auto"/>
          <w:kern w:val="0"/>
          <w:szCs w:val="21"/>
          <w:highlight w:val="none"/>
        </w:rPr>
        <w:t>日</w:t>
      </w:r>
    </w:p>
    <w:p w14:paraId="62338254">
      <w:pPr>
        <w:pageBreakBefore w:val="0"/>
        <w:kinsoku/>
        <w:overflowPunct/>
        <w:bidi w:val="0"/>
        <w:spacing w:line="360" w:lineRule="auto"/>
        <w:rPr>
          <w:rFonts w:hint="eastAsia" w:ascii="宋体" w:hAnsi="宋体" w:eastAsia="宋体" w:cs="宋体"/>
          <w:b/>
          <w:color w:val="auto"/>
          <w:sz w:val="24"/>
          <w:highlight w:val="none"/>
        </w:rPr>
      </w:pPr>
    </w:p>
    <w:p w14:paraId="43776A64">
      <w:pPr>
        <w:pStyle w:val="5"/>
        <w:pageBreakBefore w:val="0"/>
        <w:numPr>
          <w:ilvl w:val="0"/>
          <w:numId w:val="35"/>
        </w:numPr>
        <w:tabs>
          <w:tab w:val="left" w:pos="840"/>
        </w:tabs>
        <w:kinsoku/>
        <w:overflowPunct/>
        <w:bidi w:val="0"/>
        <w:spacing w:line="360" w:lineRule="auto"/>
        <w:jc w:val="center"/>
        <w:rPr>
          <w:rFonts w:hint="eastAsia" w:ascii="宋体" w:hAnsi="宋体" w:eastAsia="宋体" w:cs="宋体"/>
          <w:color w:val="auto"/>
          <w:sz w:val="24"/>
          <w:szCs w:val="24"/>
          <w:highlight w:val="none"/>
          <w:lang w:val="en-US" w:eastAsia="zh-CN"/>
        </w:rPr>
      </w:pPr>
      <w:bookmarkStart w:id="743" w:name="_Toc20920"/>
      <w:r>
        <w:rPr>
          <w:rFonts w:hint="eastAsia" w:ascii="宋体" w:hAnsi="宋体" w:eastAsia="宋体" w:cs="宋体"/>
          <w:color w:val="auto"/>
          <w:sz w:val="24"/>
          <w:szCs w:val="24"/>
          <w:highlight w:val="none"/>
          <w:lang w:val="en-US" w:eastAsia="zh-CN"/>
        </w:rPr>
        <w:br w:type="page"/>
      </w:r>
      <w:bookmarkStart w:id="744" w:name="_Toc1380"/>
      <w:r>
        <w:rPr>
          <w:rFonts w:hint="eastAsia" w:ascii="宋体" w:hAnsi="宋体" w:eastAsia="宋体" w:cs="宋体"/>
          <w:color w:val="auto"/>
          <w:sz w:val="24"/>
          <w:szCs w:val="24"/>
          <w:highlight w:val="none"/>
          <w:lang w:val="en-US" w:eastAsia="zh-CN"/>
        </w:rPr>
        <w:t>投标书</w:t>
      </w:r>
      <w:bookmarkEnd w:id="743"/>
      <w:bookmarkEnd w:id="744"/>
    </w:p>
    <w:p w14:paraId="41465105">
      <w:pPr>
        <w:pageBreakBefore w:val="0"/>
        <w:kinsoku/>
        <w:overflowPunct/>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致：（</w:t>
      </w:r>
      <w:r>
        <w:rPr>
          <w:rFonts w:hint="eastAsia" w:ascii="宋体" w:hAnsi="宋体" w:eastAsia="宋体" w:cs="宋体"/>
          <w:color w:val="auto"/>
          <w:szCs w:val="21"/>
          <w:highlight w:val="none"/>
          <w:u w:val="single"/>
        </w:rPr>
        <w:t>采购人或采购代理机构名称</w:t>
      </w:r>
      <w:r>
        <w:rPr>
          <w:rFonts w:hint="eastAsia" w:ascii="宋体" w:hAnsi="宋体" w:eastAsia="宋体" w:cs="宋体"/>
          <w:color w:val="auto"/>
          <w:szCs w:val="21"/>
          <w:highlight w:val="none"/>
        </w:rPr>
        <w:t>）</w:t>
      </w:r>
    </w:p>
    <w:p w14:paraId="3363F9D7">
      <w:pPr>
        <w:pStyle w:val="15"/>
        <w:keepNext w:val="0"/>
        <w:keepLines w:val="0"/>
        <w:pageBreakBefore w:val="0"/>
        <w:widowControl w:val="0"/>
        <w:numPr>
          <w:ilvl w:val="0"/>
          <w:numId w:val="36"/>
        </w:numPr>
        <w:tabs>
          <w:tab w:val="left" w:pos="0"/>
        </w:tabs>
        <w:kinsoku/>
        <w:wordWrap/>
        <w:overflowPunct/>
        <w:topLinePunct w:val="0"/>
        <w:autoSpaceDE/>
        <w:autoSpaceDN/>
        <w:bidi w:val="0"/>
        <w:adjustRightInd/>
        <w:snapToGrid/>
        <w:spacing w:after="0" w:line="360" w:lineRule="auto"/>
        <w:ind w:left="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我方已仔细研究了</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rPr>
        <w:tab/>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rPr>
        <w:t>（项目名称）招标项目招标文件的全部内容，愿意以人民币（大写）</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（小写：¥</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元）的投标总报价，交货及安装调试期：</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rPr>
        <w:t>，按合同约定完成</w:t>
      </w:r>
      <w:r>
        <w:rPr>
          <w:rFonts w:hint="eastAsia" w:ascii="宋体" w:hAnsi="宋体" w:eastAsia="宋体" w:cs="宋体"/>
          <w:color w:val="auto"/>
          <w:sz w:val="21"/>
          <w:szCs w:val="21"/>
          <w:highlight w:val="none"/>
          <w:lang w:eastAsia="zh-CN"/>
        </w:rPr>
        <w:t>全部</w:t>
      </w:r>
      <w:r>
        <w:rPr>
          <w:rFonts w:hint="eastAsia" w:ascii="宋体" w:hAnsi="宋体" w:eastAsia="宋体" w:cs="宋体"/>
          <w:color w:val="auto"/>
          <w:sz w:val="21"/>
          <w:szCs w:val="21"/>
          <w:highlight w:val="none"/>
        </w:rPr>
        <w:t>工作。</w:t>
      </w:r>
    </w:p>
    <w:p w14:paraId="057EF04B">
      <w:pPr>
        <w:pStyle w:val="15"/>
        <w:keepNext w:val="0"/>
        <w:keepLines w:val="0"/>
        <w:pageBreakBefore w:val="0"/>
        <w:widowControl w:val="0"/>
        <w:numPr>
          <w:ilvl w:val="0"/>
          <w:numId w:val="36"/>
        </w:numPr>
        <w:tabs>
          <w:tab w:val="left" w:pos="0"/>
        </w:tabs>
        <w:kinsoku/>
        <w:wordWrap/>
        <w:overflowPunct/>
        <w:topLinePunct w:val="0"/>
        <w:autoSpaceDE/>
        <w:autoSpaceDN/>
        <w:bidi w:val="0"/>
        <w:adjustRightInd/>
        <w:snapToGrid/>
        <w:spacing w:after="0" w:line="360" w:lineRule="auto"/>
        <w:ind w:left="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如果我方中标，我方将按招标文件的规定签订并严格履行合同中的责任和义务，在签订合同时不向你方提出附加条件，在合同约定的期限内完成合同规定的全部内容。</w:t>
      </w:r>
    </w:p>
    <w:p w14:paraId="091385E1">
      <w:pPr>
        <w:pStyle w:val="15"/>
        <w:keepNext w:val="0"/>
        <w:keepLines w:val="0"/>
        <w:pageBreakBefore w:val="0"/>
        <w:widowControl w:val="0"/>
        <w:numPr>
          <w:ilvl w:val="0"/>
          <w:numId w:val="36"/>
        </w:numPr>
        <w:tabs>
          <w:tab w:val="left" w:pos="720"/>
        </w:tabs>
        <w:kinsoku/>
        <w:wordWrap/>
        <w:overflowPunct/>
        <w:topLinePunct w:val="0"/>
        <w:autoSpaceDE/>
        <w:autoSpaceDN/>
        <w:bidi w:val="0"/>
        <w:adjustRightInd/>
        <w:snapToGrid/>
        <w:spacing w:after="0" w:line="360" w:lineRule="auto"/>
        <w:ind w:left="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我方已详细审查全部招标文件，包括修改文件以及全部参考资料和有关附件。我们完全理解并同意放弃对这方面有不明及误解的权力。</w:t>
      </w:r>
    </w:p>
    <w:p w14:paraId="5871ED41">
      <w:pPr>
        <w:pStyle w:val="15"/>
        <w:keepNext w:val="0"/>
        <w:keepLines w:val="0"/>
        <w:pageBreakBefore w:val="0"/>
        <w:widowControl w:val="0"/>
        <w:numPr>
          <w:ilvl w:val="0"/>
          <w:numId w:val="36"/>
        </w:numPr>
        <w:tabs>
          <w:tab w:val="left" w:pos="720"/>
        </w:tabs>
        <w:kinsoku/>
        <w:wordWrap/>
        <w:overflowPunct/>
        <w:topLinePunct w:val="0"/>
        <w:autoSpaceDE/>
        <w:autoSpaceDN/>
        <w:bidi w:val="0"/>
        <w:adjustRightInd/>
        <w:snapToGrid/>
        <w:spacing w:after="0" w:line="360" w:lineRule="auto"/>
        <w:ind w:left="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投标有效期为提交投标文件的截止之日起</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val="en-US" w:eastAsia="zh-CN"/>
        </w:rPr>
        <w:t xml:space="preserve">90 </w:t>
      </w:r>
      <w:r>
        <w:rPr>
          <w:rFonts w:hint="eastAsia" w:ascii="宋体" w:hAnsi="宋体" w:eastAsia="宋体" w:cs="宋体"/>
          <w:color w:val="auto"/>
          <w:sz w:val="21"/>
          <w:szCs w:val="21"/>
          <w:highlight w:val="none"/>
        </w:rPr>
        <w:t>日历天。</w:t>
      </w:r>
    </w:p>
    <w:p w14:paraId="31023054">
      <w:pPr>
        <w:pStyle w:val="15"/>
        <w:keepNext w:val="0"/>
        <w:keepLines w:val="0"/>
        <w:pageBreakBefore w:val="0"/>
        <w:widowControl w:val="0"/>
        <w:numPr>
          <w:ilvl w:val="0"/>
          <w:numId w:val="36"/>
        </w:numPr>
        <w:tabs>
          <w:tab w:val="left" w:pos="720"/>
        </w:tabs>
        <w:kinsoku/>
        <w:wordWrap/>
        <w:overflowPunct/>
        <w:topLinePunct w:val="0"/>
        <w:autoSpaceDE/>
        <w:autoSpaceDN/>
        <w:bidi w:val="0"/>
        <w:adjustRightInd/>
        <w:snapToGrid/>
        <w:spacing w:after="0" w:line="360" w:lineRule="auto"/>
        <w:ind w:left="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我方在此声明，所递交的投标文件及有关资料内容完整、真实和准确，且不存在第</w:t>
      </w:r>
      <w:r>
        <w:rPr>
          <w:rFonts w:hint="eastAsia" w:ascii="宋体" w:hAnsi="宋体" w:eastAsia="宋体" w:cs="宋体"/>
          <w:color w:val="auto"/>
          <w:sz w:val="21"/>
          <w:szCs w:val="21"/>
          <w:highlight w:val="none"/>
          <w:lang w:eastAsia="zh-CN"/>
        </w:rPr>
        <w:t>二</w:t>
      </w:r>
      <w:r>
        <w:rPr>
          <w:rFonts w:hint="eastAsia" w:ascii="宋体" w:hAnsi="宋体" w:eastAsia="宋体" w:cs="宋体"/>
          <w:color w:val="auto"/>
          <w:sz w:val="21"/>
          <w:szCs w:val="21"/>
          <w:highlight w:val="none"/>
        </w:rPr>
        <w:t>章“投标人须知”第</w:t>
      </w:r>
      <w:r>
        <w:rPr>
          <w:rFonts w:hint="eastAsia" w:ascii="宋体" w:hAnsi="宋体" w:eastAsia="宋体" w:cs="宋体"/>
          <w:color w:val="auto"/>
          <w:sz w:val="21"/>
          <w:szCs w:val="21"/>
          <w:highlight w:val="none"/>
          <w:lang w:val="en-US" w:eastAsia="zh-CN"/>
        </w:rPr>
        <w:t>1.2.11、1.2.12</w:t>
      </w:r>
      <w:r>
        <w:rPr>
          <w:rFonts w:hint="eastAsia" w:ascii="宋体" w:hAnsi="宋体" w:eastAsia="宋体" w:cs="宋体"/>
          <w:color w:val="auto"/>
          <w:sz w:val="21"/>
          <w:szCs w:val="21"/>
          <w:highlight w:val="none"/>
          <w:lang w:eastAsia="zh-CN"/>
        </w:rPr>
        <w:t>项</w:t>
      </w:r>
      <w:r>
        <w:rPr>
          <w:rFonts w:hint="eastAsia" w:ascii="宋体" w:hAnsi="宋体" w:eastAsia="宋体" w:cs="宋体"/>
          <w:color w:val="auto"/>
          <w:sz w:val="21"/>
          <w:szCs w:val="21"/>
          <w:highlight w:val="none"/>
        </w:rPr>
        <w:t>规定的任何一种情形。</w:t>
      </w:r>
    </w:p>
    <w:p w14:paraId="6A53D1B6">
      <w:pPr>
        <w:pStyle w:val="15"/>
        <w:keepNext w:val="0"/>
        <w:keepLines w:val="0"/>
        <w:pageBreakBefore w:val="0"/>
        <w:widowControl w:val="0"/>
        <w:numPr>
          <w:ilvl w:val="0"/>
          <w:numId w:val="36"/>
        </w:numPr>
        <w:tabs>
          <w:tab w:val="left" w:pos="720"/>
        </w:tabs>
        <w:kinsoku/>
        <w:wordWrap/>
        <w:overflowPunct/>
        <w:topLinePunct w:val="0"/>
        <w:autoSpaceDE/>
        <w:autoSpaceDN/>
        <w:bidi w:val="0"/>
        <w:adjustRightInd/>
        <w:snapToGrid/>
        <w:spacing w:after="0" w:line="360" w:lineRule="auto"/>
        <w:ind w:left="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我方同意提供按照贵方可能要求的与其投标有关的一切数据或资料，完全理解贵方不一定接受最低价的投标或收到的任何投标。</w:t>
      </w:r>
    </w:p>
    <w:p w14:paraId="26A5010E">
      <w:pPr>
        <w:pStyle w:val="15"/>
        <w:keepNext w:val="0"/>
        <w:keepLines w:val="0"/>
        <w:pageBreakBefore w:val="0"/>
        <w:widowControl w:val="0"/>
        <w:numPr>
          <w:ilvl w:val="0"/>
          <w:numId w:val="36"/>
        </w:numPr>
        <w:tabs>
          <w:tab w:val="left" w:pos="720"/>
        </w:tabs>
        <w:kinsoku/>
        <w:wordWrap/>
        <w:overflowPunct/>
        <w:topLinePunct w:val="0"/>
        <w:autoSpaceDE/>
        <w:autoSpaceDN/>
        <w:bidi w:val="0"/>
        <w:adjustRightInd/>
        <w:snapToGrid/>
        <w:spacing w:after="0" w:line="360" w:lineRule="auto"/>
        <w:ind w:left="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 w:val="21"/>
          <w:szCs w:val="21"/>
          <w:highlight w:val="none"/>
          <w:lang w:eastAsia="zh-CN"/>
        </w:rPr>
        <w:t>我方承诺，</w:t>
      </w:r>
      <w:r>
        <w:rPr>
          <w:rFonts w:hint="eastAsia" w:ascii="宋体" w:hAnsi="宋体" w:eastAsia="宋体" w:cs="宋体"/>
          <w:color w:val="auto"/>
          <w:sz w:val="21"/>
          <w:szCs w:val="21"/>
          <w:highlight w:val="none"/>
        </w:rPr>
        <w:t>如果我方中标</w:t>
      </w:r>
      <w:r>
        <w:rPr>
          <w:rFonts w:hint="eastAsia" w:ascii="宋体" w:hAnsi="宋体" w:eastAsia="宋体" w:cs="宋体"/>
          <w:color w:val="auto"/>
          <w:sz w:val="21"/>
          <w:szCs w:val="21"/>
          <w:highlight w:val="none"/>
          <w:lang w:eastAsia="zh-CN"/>
        </w:rPr>
        <w:t>，在收到中标通知书时，</w:t>
      </w:r>
      <w:r>
        <w:rPr>
          <w:rFonts w:hint="eastAsia" w:ascii="宋体" w:hAnsi="宋体" w:eastAsia="宋体" w:cs="宋体"/>
          <w:color w:val="auto"/>
          <w:sz w:val="21"/>
          <w:szCs w:val="21"/>
          <w:highlight w:val="none"/>
        </w:rPr>
        <w:t>保证按照招标文件约定的招标代理费的收费标准</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足额</w:t>
      </w:r>
      <w:r>
        <w:rPr>
          <w:rFonts w:hint="eastAsia" w:ascii="宋体" w:hAnsi="宋体" w:eastAsia="宋体" w:cs="宋体"/>
          <w:color w:val="auto"/>
          <w:sz w:val="21"/>
          <w:szCs w:val="21"/>
          <w:highlight w:val="none"/>
          <w:lang w:eastAsia="zh-CN"/>
        </w:rPr>
        <w:t>、准时</w:t>
      </w:r>
      <w:r>
        <w:rPr>
          <w:rFonts w:hint="eastAsia" w:ascii="宋体" w:hAnsi="宋体" w:eastAsia="宋体" w:cs="宋体"/>
          <w:color w:val="auto"/>
          <w:sz w:val="21"/>
          <w:szCs w:val="21"/>
          <w:highlight w:val="none"/>
        </w:rPr>
        <w:t>交纳招标代理服务费。</w:t>
      </w:r>
    </w:p>
    <w:p w14:paraId="0F63929D">
      <w:pPr>
        <w:keepNext w:val="0"/>
        <w:keepLines w:val="0"/>
        <w:pageBreakBefore w:val="0"/>
        <w:widowControl w:val="0"/>
        <w:tabs>
          <w:tab w:val="left" w:pos="7240"/>
        </w:tabs>
        <w:kinsoku/>
        <w:wordWrap/>
        <w:overflowPunct/>
        <w:topLinePunct w:val="0"/>
        <w:autoSpaceDE w:val="0"/>
        <w:autoSpaceDN w:val="0"/>
        <w:bidi w:val="0"/>
        <w:adjustRightInd w:val="0"/>
        <w:snapToGrid/>
        <w:spacing w:line="360" w:lineRule="auto"/>
        <w:ind w:left="2621" w:right="-23"/>
        <w:textAlignment w:val="auto"/>
        <w:outlineLvl w:val="9"/>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投标人</w:t>
      </w:r>
      <w:r>
        <w:rPr>
          <w:rFonts w:hint="eastAsia" w:ascii="宋体" w:hAnsi="宋体" w:eastAsia="宋体" w:cs="宋体"/>
          <w:color w:val="auto"/>
          <w:spacing w:val="-2"/>
          <w:kern w:val="0"/>
          <w:szCs w:val="21"/>
          <w:highlight w:val="none"/>
        </w:rPr>
        <w:t>：</w:t>
      </w:r>
      <w:r>
        <w:rPr>
          <w:rFonts w:hint="eastAsia" w:ascii="宋体" w:hAnsi="宋体" w:eastAsia="宋体" w:cs="宋体"/>
          <w:color w:val="auto"/>
          <w:spacing w:val="43"/>
          <w:kern w:val="0"/>
          <w:szCs w:val="21"/>
          <w:highlight w:val="none"/>
          <w:u w:val="single"/>
        </w:rPr>
        <w:t xml:space="preserve">      </w:t>
      </w:r>
      <w:r>
        <w:rPr>
          <w:rFonts w:hint="eastAsia" w:ascii="宋体" w:hAnsi="宋体" w:eastAsia="宋体" w:cs="宋体"/>
          <w:color w:val="auto"/>
          <w:spacing w:val="43"/>
          <w:kern w:val="0"/>
          <w:szCs w:val="21"/>
          <w:highlight w:val="none"/>
          <w:u w:val="single"/>
          <w:lang w:val="en-US" w:eastAsia="zh-CN"/>
        </w:rPr>
        <w:t xml:space="preserve">        </w:t>
      </w:r>
      <w:r>
        <w:rPr>
          <w:rFonts w:hint="eastAsia" w:ascii="宋体" w:hAnsi="宋体" w:eastAsia="宋体" w:cs="宋体"/>
          <w:color w:val="auto"/>
          <w:spacing w:val="43"/>
          <w:kern w:val="0"/>
          <w:szCs w:val="21"/>
          <w:highlight w:val="none"/>
          <w:u w:val="single"/>
        </w:rPr>
        <w:t xml:space="preserve">    </w:t>
      </w:r>
      <w:r>
        <w:rPr>
          <w:rFonts w:hint="eastAsia" w:ascii="宋体" w:hAnsi="宋体" w:eastAsia="宋体" w:cs="宋体"/>
          <w:color w:val="auto"/>
          <w:spacing w:val="43"/>
          <w:kern w:val="0"/>
          <w:szCs w:val="21"/>
          <w:highlight w:val="none"/>
          <w:u w:val="single"/>
          <w:lang w:val="en-US" w:eastAsia="zh-CN"/>
        </w:rPr>
        <w:t xml:space="preserve"> </w:t>
      </w:r>
      <w:r>
        <w:rPr>
          <w:rFonts w:hint="eastAsia" w:ascii="宋体" w:hAnsi="宋体" w:eastAsia="宋体" w:cs="宋体"/>
          <w:color w:val="auto"/>
          <w:spacing w:val="43"/>
          <w:kern w:val="0"/>
          <w:szCs w:val="21"/>
          <w:highlight w:val="none"/>
          <w:u w:val="single"/>
        </w:rPr>
        <w:t xml:space="preserve"> </w:t>
      </w:r>
      <w:r>
        <w:rPr>
          <w:rFonts w:hint="eastAsia" w:ascii="宋体" w:hAnsi="宋体" w:eastAsia="宋体" w:cs="宋体"/>
          <w:color w:val="auto"/>
          <w:kern w:val="0"/>
          <w:szCs w:val="21"/>
          <w:highlight w:val="none"/>
        </w:rPr>
        <w:t>（</w:t>
      </w:r>
      <w:r>
        <w:rPr>
          <w:rFonts w:hint="eastAsia" w:ascii="宋体" w:hAnsi="宋体" w:eastAsia="宋体" w:cs="宋体"/>
          <w:color w:val="auto"/>
          <w:kern w:val="0"/>
          <w:szCs w:val="21"/>
          <w:highlight w:val="none"/>
          <w:lang w:eastAsia="zh-CN"/>
        </w:rPr>
        <w:t>盖章</w:t>
      </w:r>
      <w:r>
        <w:rPr>
          <w:rFonts w:hint="eastAsia" w:ascii="宋体" w:hAnsi="宋体" w:eastAsia="宋体" w:cs="宋体"/>
          <w:color w:val="auto"/>
          <w:kern w:val="0"/>
          <w:szCs w:val="21"/>
          <w:highlight w:val="none"/>
        </w:rPr>
        <w:t>）</w:t>
      </w:r>
    </w:p>
    <w:p w14:paraId="760C33E1">
      <w:pPr>
        <w:keepNext w:val="0"/>
        <w:keepLines w:val="0"/>
        <w:pageBreakBefore w:val="0"/>
        <w:widowControl w:val="0"/>
        <w:tabs>
          <w:tab w:val="left" w:pos="3220"/>
          <w:tab w:val="left" w:pos="8480"/>
        </w:tabs>
        <w:kinsoku/>
        <w:wordWrap/>
        <w:overflowPunct/>
        <w:topLinePunct w:val="0"/>
        <w:autoSpaceDE w:val="0"/>
        <w:autoSpaceDN w:val="0"/>
        <w:bidi w:val="0"/>
        <w:adjustRightInd w:val="0"/>
        <w:snapToGrid/>
        <w:spacing w:line="360" w:lineRule="auto"/>
        <w:ind w:left="2601" w:right="-23"/>
        <w:textAlignment w:val="auto"/>
        <w:outlineLvl w:val="9"/>
        <w:rPr>
          <w:rFonts w:hint="eastAsia" w:ascii="宋体" w:hAnsi="宋体" w:eastAsia="宋体" w:cs="宋体"/>
          <w:color w:val="auto"/>
          <w:kern w:val="0"/>
          <w:position w:val="-2"/>
          <w:szCs w:val="21"/>
          <w:highlight w:val="none"/>
        </w:rPr>
      </w:pPr>
      <w:r>
        <w:rPr>
          <w:rFonts w:hint="eastAsia" w:ascii="宋体" w:hAnsi="宋体" w:eastAsia="宋体" w:cs="宋体"/>
          <w:color w:val="auto"/>
          <w:kern w:val="0"/>
          <w:position w:val="-2"/>
          <w:szCs w:val="21"/>
          <w:highlight w:val="none"/>
        </w:rPr>
        <w:t>法定代表人或其委托代理人：</w:t>
      </w:r>
      <w:r>
        <w:rPr>
          <w:rFonts w:hint="eastAsia" w:ascii="宋体" w:hAnsi="宋体" w:eastAsia="宋体" w:cs="宋体"/>
          <w:color w:val="auto"/>
          <w:kern w:val="0"/>
          <w:position w:val="-2"/>
          <w:szCs w:val="21"/>
          <w:highlight w:val="none"/>
          <w:u w:val="single"/>
        </w:rPr>
        <w:t xml:space="preserve">                </w:t>
      </w:r>
      <w:r>
        <w:rPr>
          <w:rFonts w:hint="eastAsia" w:ascii="宋体" w:hAnsi="宋体" w:eastAsia="宋体" w:cs="宋体"/>
          <w:color w:val="auto"/>
          <w:kern w:val="0"/>
          <w:position w:val="-2"/>
          <w:szCs w:val="21"/>
          <w:highlight w:val="none"/>
        </w:rPr>
        <w:t>（签字</w:t>
      </w:r>
      <w:r>
        <w:rPr>
          <w:rFonts w:hint="eastAsia" w:ascii="宋体" w:hAnsi="宋体" w:eastAsia="宋体" w:cs="宋体"/>
          <w:color w:val="auto"/>
          <w:kern w:val="0"/>
          <w:position w:val="-2"/>
          <w:szCs w:val="21"/>
          <w:highlight w:val="none"/>
          <w:lang w:eastAsia="zh-CN"/>
        </w:rPr>
        <w:t>或盖章</w:t>
      </w:r>
      <w:r>
        <w:rPr>
          <w:rFonts w:hint="eastAsia" w:ascii="宋体" w:hAnsi="宋体" w:eastAsia="宋体" w:cs="宋体"/>
          <w:color w:val="auto"/>
          <w:kern w:val="0"/>
          <w:position w:val="-2"/>
          <w:szCs w:val="21"/>
          <w:highlight w:val="none"/>
        </w:rPr>
        <w:t>）</w:t>
      </w:r>
    </w:p>
    <w:p w14:paraId="5D5C77E8">
      <w:pPr>
        <w:keepNext w:val="0"/>
        <w:keepLines w:val="0"/>
        <w:pageBreakBefore w:val="0"/>
        <w:widowControl w:val="0"/>
        <w:tabs>
          <w:tab w:val="left" w:pos="3220"/>
          <w:tab w:val="left" w:pos="8480"/>
        </w:tabs>
        <w:kinsoku/>
        <w:wordWrap/>
        <w:overflowPunct/>
        <w:topLinePunct w:val="0"/>
        <w:autoSpaceDE w:val="0"/>
        <w:autoSpaceDN w:val="0"/>
        <w:bidi w:val="0"/>
        <w:adjustRightInd w:val="0"/>
        <w:snapToGrid/>
        <w:spacing w:line="360" w:lineRule="auto"/>
        <w:ind w:left="2601" w:right="-23"/>
        <w:textAlignment w:val="auto"/>
        <w:outlineLvl w:val="9"/>
        <w:rPr>
          <w:rFonts w:hint="eastAsia" w:ascii="宋体" w:hAnsi="宋体" w:eastAsia="宋体" w:cs="宋体"/>
          <w:color w:val="auto"/>
          <w:kern w:val="0"/>
          <w:szCs w:val="21"/>
          <w:highlight w:val="none"/>
          <w:u w:val="single"/>
        </w:rPr>
      </w:pPr>
      <w:r>
        <w:rPr>
          <w:rFonts w:hint="eastAsia" w:ascii="宋体" w:hAnsi="宋体" w:eastAsia="宋体" w:cs="宋体"/>
          <w:color w:val="auto"/>
          <w:kern w:val="0"/>
          <w:position w:val="-2"/>
          <w:szCs w:val="21"/>
          <w:highlight w:val="none"/>
        </w:rPr>
        <w:t>地</w:t>
      </w:r>
      <w:r>
        <w:rPr>
          <w:rFonts w:hint="eastAsia" w:ascii="宋体" w:hAnsi="宋体" w:eastAsia="宋体" w:cs="宋体"/>
          <w:color w:val="auto"/>
          <w:kern w:val="0"/>
          <w:position w:val="-2"/>
          <w:szCs w:val="21"/>
          <w:highlight w:val="none"/>
        </w:rPr>
        <w:tab/>
      </w:r>
      <w:r>
        <w:rPr>
          <w:rFonts w:hint="eastAsia" w:ascii="宋体" w:hAnsi="宋体" w:eastAsia="宋体" w:cs="宋体"/>
          <w:color w:val="auto"/>
          <w:kern w:val="0"/>
          <w:position w:val="-2"/>
          <w:szCs w:val="21"/>
          <w:highlight w:val="none"/>
        </w:rPr>
        <w:t>址</w:t>
      </w:r>
      <w:r>
        <w:rPr>
          <w:rFonts w:hint="eastAsia" w:ascii="宋体" w:hAnsi="宋体" w:eastAsia="宋体" w:cs="宋体"/>
          <w:color w:val="auto"/>
          <w:spacing w:val="-2"/>
          <w:kern w:val="0"/>
          <w:position w:val="-2"/>
          <w:szCs w:val="21"/>
          <w:highlight w:val="none"/>
        </w:rPr>
        <w:t>：</w:t>
      </w:r>
      <w:r>
        <w:rPr>
          <w:rFonts w:hint="eastAsia" w:ascii="宋体" w:hAnsi="宋体" w:eastAsia="宋体" w:cs="宋体"/>
          <w:color w:val="auto"/>
          <w:kern w:val="0"/>
          <w:szCs w:val="21"/>
          <w:highlight w:val="none"/>
          <w:u w:val="single"/>
        </w:rPr>
        <w:t xml:space="preserve">                                           </w:t>
      </w:r>
    </w:p>
    <w:p w14:paraId="68AC57A9">
      <w:pPr>
        <w:keepNext w:val="0"/>
        <w:keepLines w:val="0"/>
        <w:pageBreakBefore w:val="0"/>
        <w:widowControl w:val="0"/>
        <w:tabs>
          <w:tab w:val="left" w:pos="3220"/>
          <w:tab w:val="left" w:pos="8480"/>
        </w:tabs>
        <w:kinsoku/>
        <w:wordWrap/>
        <w:overflowPunct/>
        <w:topLinePunct w:val="0"/>
        <w:autoSpaceDE w:val="0"/>
        <w:autoSpaceDN w:val="0"/>
        <w:bidi w:val="0"/>
        <w:adjustRightInd w:val="0"/>
        <w:snapToGrid/>
        <w:spacing w:line="360" w:lineRule="auto"/>
        <w:ind w:left="2601" w:right="-23"/>
        <w:textAlignment w:val="auto"/>
        <w:outlineLvl w:val="9"/>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position w:val="-2"/>
          <w:szCs w:val="21"/>
          <w:highlight w:val="none"/>
        </w:rPr>
        <w:t>网</w:t>
      </w:r>
      <w:r>
        <w:rPr>
          <w:rFonts w:hint="eastAsia" w:ascii="宋体" w:hAnsi="宋体" w:eastAsia="宋体" w:cs="宋体"/>
          <w:color w:val="auto"/>
          <w:kern w:val="0"/>
          <w:position w:val="-2"/>
          <w:szCs w:val="21"/>
          <w:highlight w:val="none"/>
        </w:rPr>
        <w:tab/>
      </w:r>
      <w:r>
        <w:rPr>
          <w:rFonts w:hint="eastAsia" w:ascii="宋体" w:hAnsi="宋体" w:eastAsia="宋体" w:cs="宋体"/>
          <w:color w:val="auto"/>
          <w:kern w:val="0"/>
          <w:position w:val="-2"/>
          <w:szCs w:val="21"/>
          <w:highlight w:val="none"/>
        </w:rPr>
        <w:t>址</w:t>
      </w:r>
      <w:r>
        <w:rPr>
          <w:rFonts w:hint="eastAsia" w:ascii="宋体" w:hAnsi="宋体" w:eastAsia="宋体" w:cs="宋体"/>
          <w:color w:val="auto"/>
          <w:spacing w:val="-2"/>
          <w:kern w:val="0"/>
          <w:position w:val="-2"/>
          <w:szCs w:val="21"/>
          <w:highlight w:val="none"/>
        </w:rPr>
        <w:t>：</w:t>
      </w:r>
      <w:r>
        <w:rPr>
          <w:rFonts w:hint="eastAsia" w:ascii="宋体" w:hAnsi="宋体" w:eastAsia="宋体" w:cs="宋体"/>
          <w:color w:val="auto"/>
          <w:kern w:val="0"/>
          <w:szCs w:val="21"/>
          <w:highlight w:val="none"/>
          <w:u w:val="single"/>
        </w:rPr>
        <w:t xml:space="preserve">                        </w:t>
      </w:r>
      <w:r>
        <w:rPr>
          <w:rFonts w:hint="eastAsia" w:ascii="宋体" w:hAnsi="宋体" w:eastAsia="宋体" w:cs="宋体"/>
          <w:color w:val="auto"/>
          <w:kern w:val="0"/>
          <w:szCs w:val="21"/>
          <w:highlight w:val="none"/>
          <w:u w:val="single"/>
          <w:lang w:val="en-US" w:eastAsia="zh-CN"/>
        </w:rPr>
        <w:t xml:space="preserve"> </w:t>
      </w:r>
      <w:r>
        <w:rPr>
          <w:rFonts w:hint="eastAsia" w:ascii="宋体" w:hAnsi="宋体" w:eastAsia="宋体" w:cs="宋体"/>
          <w:color w:val="auto"/>
          <w:kern w:val="0"/>
          <w:szCs w:val="21"/>
          <w:highlight w:val="none"/>
          <w:u w:val="single"/>
        </w:rPr>
        <w:t xml:space="preserve">                 </w:t>
      </w:r>
      <w:r>
        <w:rPr>
          <w:rFonts w:hint="eastAsia" w:ascii="宋体" w:hAnsi="宋体" w:eastAsia="宋体" w:cs="宋体"/>
          <w:color w:val="auto"/>
          <w:kern w:val="0"/>
          <w:szCs w:val="21"/>
          <w:highlight w:val="none"/>
          <w:u w:val="single"/>
          <w:lang w:val="en-US" w:eastAsia="zh-CN"/>
        </w:rPr>
        <w:t xml:space="preserve"> </w:t>
      </w:r>
    </w:p>
    <w:p w14:paraId="1B702C83">
      <w:pPr>
        <w:keepNext w:val="0"/>
        <w:keepLines w:val="0"/>
        <w:pageBreakBefore w:val="0"/>
        <w:widowControl w:val="0"/>
        <w:tabs>
          <w:tab w:val="left" w:pos="3220"/>
          <w:tab w:val="left" w:pos="8480"/>
        </w:tabs>
        <w:kinsoku/>
        <w:wordWrap/>
        <w:overflowPunct/>
        <w:topLinePunct w:val="0"/>
        <w:autoSpaceDE w:val="0"/>
        <w:autoSpaceDN w:val="0"/>
        <w:bidi w:val="0"/>
        <w:adjustRightInd w:val="0"/>
        <w:snapToGrid/>
        <w:spacing w:line="360" w:lineRule="auto"/>
        <w:ind w:left="2601" w:right="-23"/>
        <w:textAlignment w:val="auto"/>
        <w:outlineLvl w:val="9"/>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position w:val="-2"/>
          <w:szCs w:val="21"/>
          <w:highlight w:val="none"/>
        </w:rPr>
        <w:t>电</w:t>
      </w:r>
      <w:r>
        <w:rPr>
          <w:rFonts w:hint="eastAsia" w:ascii="宋体" w:hAnsi="宋体" w:eastAsia="宋体" w:cs="宋体"/>
          <w:color w:val="auto"/>
          <w:kern w:val="0"/>
          <w:position w:val="-2"/>
          <w:szCs w:val="21"/>
          <w:highlight w:val="none"/>
        </w:rPr>
        <w:tab/>
      </w:r>
      <w:r>
        <w:rPr>
          <w:rFonts w:hint="eastAsia" w:ascii="宋体" w:hAnsi="宋体" w:eastAsia="宋体" w:cs="宋体"/>
          <w:color w:val="auto"/>
          <w:kern w:val="0"/>
          <w:position w:val="-2"/>
          <w:szCs w:val="21"/>
          <w:highlight w:val="none"/>
        </w:rPr>
        <w:t>话</w:t>
      </w:r>
      <w:r>
        <w:rPr>
          <w:rFonts w:hint="eastAsia" w:ascii="宋体" w:hAnsi="宋体" w:eastAsia="宋体" w:cs="宋体"/>
          <w:color w:val="auto"/>
          <w:spacing w:val="-2"/>
          <w:kern w:val="0"/>
          <w:position w:val="-2"/>
          <w:szCs w:val="21"/>
          <w:highlight w:val="none"/>
        </w:rPr>
        <w:t>：</w:t>
      </w:r>
      <w:r>
        <w:rPr>
          <w:rFonts w:hint="eastAsia" w:ascii="宋体" w:hAnsi="宋体" w:eastAsia="宋体" w:cs="宋体"/>
          <w:color w:val="auto"/>
          <w:kern w:val="0"/>
          <w:szCs w:val="21"/>
          <w:highlight w:val="none"/>
          <w:u w:val="single"/>
        </w:rPr>
        <w:t xml:space="preserve">                                          </w:t>
      </w:r>
      <w:r>
        <w:rPr>
          <w:rFonts w:hint="eastAsia" w:ascii="宋体" w:hAnsi="宋体" w:eastAsia="宋体" w:cs="宋体"/>
          <w:color w:val="auto"/>
          <w:kern w:val="0"/>
          <w:szCs w:val="21"/>
          <w:highlight w:val="none"/>
          <w:u w:val="single"/>
          <w:lang w:val="en-US" w:eastAsia="zh-CN"/>
        </w:rPr>
        <w:t xml:space="preserve"> </w:t>
      </w:r>
    </w:p>
    <w:p w14:paraId="4907074F">
      <w:pPr>
        <w:keepNext w:val="0"/>
        <w:keepLines w:val="0"/>
        <w:pageBreakBefore w:val="0"/>
        <w:widowControl w:val="0"/>
        <w:tabs>
          <w:tab w:val="left" w:pos="3220"/>
          <w:tab w:val="left" w:pos="8480"/>
        </w:tabs>
        <w:kinsoku/>
        <w:wordWrap/>
        <w:overflowPunct/>
        <w:topLinePunct w:val="0"/>
        <w:autoSpaceDE w:val="0"/>
        <w:autoSpaceDN w:val="0"/>
        <w:bidi w:val="0"/>
        <w:adjustRightInd w:val="0"/>
        <w:snapToGrid/>
        <w:spacing w:line="360" w:lineRule="auto"/>
        <w:ind w:left="2601" w:right="-23"/>
        <w:textAlignment w:val="auto"/>
        <w:outlineLvl w:val="9"/>
        <w:rPr>
          <w:rFonts w:hint="eastAsia" w:ascii="宋体" w:hAnsi="宋体" w:eastAsia="宋体" w:cs="宋体"/>
          <w:color w:val="auto"/>
          <w:kern w:val="0"/>
          <w:szCs w:val="21"/>
          <w:highlight w:val="none"/>
        </w:rPr>
      </w:pPr>
      <w:r>
        <w:rPr>
          <w:rFonts w:hint="eastAsia" w:ascii="宋体" w:hAnsi="宋体" w:eastAsia="宋体" w:cs="宋体"/>
          <w:color w:val="auto"/>
          <w:kern w:val="0"/>
          <w:position w:val="-2"/>
          <w:szCs w:val="21"/>
          <w:highlight w:val="none"/>
        </w:rPr>
        <w:t>传</w:t>
      </w:r>
      <w:r>
        <w:rPr>
          <w:rFonts w:hint="eastAsia" w:ascii="宋体" w:hAnsi="宋体" w:eastAsia="宋体" w:cs="宋体"/>
          <w:color w:val="auto"/>
          <w:kern w:val="0"/>
          <w:position w:val="-2"/>
          <w:szCs w:val="21"/>
          <w:highlight w:val="none"/>
        </w:rPr>
        <w:tab/>
      </w:r>
      <w:r>
        <w:rPr>
          <w:rFonts w:hint="eastAsia" w:ascii="宋体" w:hAnsi="宋体" w:eastAsia="宋体" w:cs="宋体"/>
          <w:color w:val="auto"/>
          <w:kern w:val="0"/>
          <w:position w:val="-2"/>
          <w:szCs w:val="21"/>
          <w:highlight w:val="none"/>
        </w:rPr>
        <w:t>真</w:t>
      </w:r>
      <w:r>
        <w:rPr>
          <w:rFonts w:hint="eastAsia" w:ascii="宋体" w:hAnsi="宋体" w:eastAsia="宋体" w:cs="宋体"/>
          <w:color w:val="auto"/>
          <w:spacing w:val="-2"/>
          <w:kern w:val="0"/>
          <w:position w:val="-2"/>
          <w:szCs w:val="21"/>
          <w:highlight w:val="none"/>
        </w:rPr>
        <w:t>：</w:t>
      </w:r>
      <w:r>
        <w:rPr>
          <w:rFonts w:hint="eastAsia" w:ascii="宋体" w:hAnsi="宋体" w:eastAsia="宋体" w:cs="宋体"/>
          <w:color w:val="auto"/>
          <w:w w:val="169"/>
          <w:kern w:val="0"/>
          <w:position w:val="-2"/>
          <w:szCs w:val="21"/>
          <w:highlight w:val="none"/>
          <w:u w:val="single"/>
        </w:rPr>
        <w:t xml:space="preserve">                          </w:t>
      </w:r>
    </w:p>
    <w:p w14:paraId="565332FE">
      <w:pPr>
        <w:keepNext w:val="0"/>
        <w:keepLines w:val="0"/>
        <w:pageBreakBefore w:val="0"/>
        <w:widowControl w:val="0"/>
        <w:tabs>
          <w:tab w:val="left" w:pos="8480"/>
        </w:tabs>
        <w:kinsoku/>
        <w:wordWrap/>
        <w:overflowPunct/>
        <w:topLinePunct w:val="0"/>
        <w:autoSpaceDE w:val="0"/>
        <w:autoSpaceDN w:val="0"/>
        <w:bidi w:val="0"/>
        <w:adjustRightInd w:val="0"/>
        <w:snapToGrid/>
        <w:spacing w:line="360" w:lineRule="auto"/>
        <w:ind w:left="2601" w:right="-23"/>
        <w:textAlignment w:val="auto"/>
        <w:outlineLvl w:val="9"/>
        <w:rPr>
          <w:rFonts w:hint="eastAsia" w:ascii="宋体" w:hAnsi="宋体" w:eastAsia="宋体" w:cs="宋体"/>
          <w:color w:val="auto"/>
          <w:kern w:val="0"/>
          <w:position w:val="-2"/>
          <w:szCs w:val="21"/>
          <w:highlight w:val="none"/>
          <w:lang w:eastAsia="zh-CN"/>
        </w:rPr>
      </w:pPr>
      <w:r>
        <w:rPr>
          <w:rFonts w:hint="eastAsia" w:ascii="宋体" w:hAnsi="宋体" w:eastAsia="宋体" w:cs="宋体"/>
          <w:color w:val="auto"/>
          <w:kern w:val="0"/>
          <w:position w:val="-2"/>
          <w:szCs w:val="21"/>
          <w:highlight w:val="none"/>
        </w:rPr>
        <w:t>邮政</w:t>
      </w:r>
      <w:r>
        <w:rPr>
          <w:rFonts w:hint="eastAsia" w:ascii="宋体" w:hAnsi="宋体" w:eastAsia="宋体" w:cs="宋体"/>
          <w:color w:val="auto"/>
          <w:spacing w:val="-2"/>
          <w:kern w:val="0"/>
          <w:position w:val="-2"/>
          <w:szCs w:val="21"/>
          <w:highlight w:val="none"/>
        </w:rPr>
        <w:t>编</w:t>
      </w:r>
      <w:r>
        <w:rPr>
          <w:rFonts w:hint="eastAsia" w:ascii="宋体" w:hAnsi="宋体" w:eastAsia="宋体" w:cs="宋体"/>
          <w:color w:val="auto"/>
          <w:kern w:val="0"/>
          <w:position w:val="-2"/>
          <w:szCs w:val="21"/>
          <w:highlight w:val="none"/>
        </w:rPr>
        <w:t>码</w:t>
      </w:r>
      <w:r>
        <w:rPr>
          <w:rFonts w:hint="eastAsia" w:ascii="宋体" w:hAnsi="宋体" w:eastAsia="宋体" w:cs="宋体"/>
          <w:color w:val="auto"/>
          <w:spacing w:val="-2"/>
          <w:kern w:val="0"/>
          <w:position w:val="-2"/>
          <w:szCs w:val="21"/>
          <w:highlight w:val="none"/>
        </w:rPr>
        <w:t>：</w:t>
      </w:r>
      <w:r>
        <w:rPr>
          <w:rFonts w:hint="eastAsia" w:ascii="宋体" w:hAnsi="宋体" w:eastAsia="宋体" w:cs="宋体"/>
          <w:color w:val="auto"/>
          <w:w w:val="169"/>
          <w:kern w:val="0"/>
          <w:position w:val="-2"/>
          <w:szCs w:val="21"/>
          <w:highlight w:val="none"/>
          <w:u w:val="single"/>
        </w:rPr>
        <w:t xml:space="preserve">                          </w:t>
      </w:r>
    </w:p>
    <w:p w14:paraId="1A81AE5B">
      <w:pPr>
        <w:keepNext w:val="0"/>
        <w:keepLines w:val="0"/>
        <w:pageBreakBefore w:val="0"/>
        <w:widowControl w:val="0"/>
        <w:tabs>
          <w:tab w:val="left" w:pos="5380"/>
          <w:tab w:val="left" w:pos="6520"/>
          <w:tab w:val="left" w:pos="7680"/>
        </w:tabs>
        <w:kinsoku/>
        <w:wordWrap/>
        <w:overflowPunct/>
        <w:topLinePunct w:val="0"/>
        <w:autoSpaceDE w:val="0"/>
        <w:autoSpaceDN w:val="0"/>
        <w:bidi w:val="0"/>
        <w:adjustRightInd w:val="0"/>
        <w:snapToGrid/>
        <w:spacing w:line="360" w:lineRule="auto"/>
        <w:ind w:left="4435" w:right="-23"/>
        <w:textAlignment w:val="auto"/>
        <w:outlineLvl w:val="9"/>
        <w:rPr>
          <w:rFonts w:hint="eastAsia" w:ascii="宋体" w:hAnsi="宋体" w:eastAsia="宋体" w:cs="宋体"/>
          <w:color w:val="auto"/>
          <w:szCs w:val="21"/>
          <w:highlight w:val="none"/>
          <w:u w:val="none"/>
          <w:lang w:eastAsia="zh-CN"/>
        </w:rPr>
      </w:pPr>
      <w:r>
        <w:rPr>
          <w:rFonts w:hint="eastAsia" w:ascii="宋体" w:hAnsi="宋体" w:eastAsia="宋体" w:cs="宋体"/>
          <w:color w:val="auto"/>
          <w:kern w:val="0"/>
          <w:szCs w:val="21"/>
          <w:highlight w:val="none"/>
          <w:u w:val="single"/>
        </w:rPr>
        <w:t xml:space="preserve">     </w:t>
      </w:r>
      <w:r>
        <w:rPr>
          <w:rFonts w:hint="eastAsia" w:ascii="宋体" w:hAnsi="宋体" w:eastAsia="宋体" w:cs="宋体"/>
          <w:color w:val="auto"/>
          <w:spacing w:val="43"/>
          <w:kern w:val="0"/>
          <w:szCs w:val="21"/>
          <w:highlight w:val="none"/>
          <w:u w:val="single"/>
        </w:rPr>
        <w:t xml:space="preserve"> </w:t>
      </w:r>
      <w:r>
        <w:rPr>
          <w:rFonts w:hint="eastAsia" w:ascii="宋体" w:hAnsi="宋体" w:eastAsia="宋体" w:cs="宋体"/>
          <w:color w:val="auto"/>
          <w:kern w:val="0"/>
          <w:szCs w:val="21"/>
          <w:highlight w:val="none"/>
        </w:rPr>
        <w:t>年</w:t>
      </w:r>
      <w:r>
        <w:rPr>
          <w:rFonts w:hint="eastAsia" w:ascii="宋体" w:hAnsi="宋体" w:eastAsia="宋体" w:cs="宋体"/>
          <w:color w:val="auto"/>
          <w:kern w:val="0"/>
          <w:szCs w:val="21"/>
          <w:highlight w:val="none"/>
          <w:u w:val="single"/>
        </w:rPr>
        <w:t xml:space="preserve">       </w:t>
      </w:r>
      <w:r>
        <w:rPr>
          <w:rFonts w:hint="eastAsia" w:ascii="宋体" w:hAnsi="宋体" w:eastAsia="宋体" w:cs="宋体"/>
          <w:color w:val="auto"/>
          <w:kern w:val="0"/>
          <w:szCs w:val="21"/>
          <w:highlight w:val="none"/>
        </w:rPr>
        <w:t>月</w:t>
      </w:r>
      <w:r>
        <w:rPr>
          <w:rFonts w:hint="eastAsia" w:ascii="宋体" w:hAnsi="宋体" w:eastAsia="宋体" w:cs="宋体"/>
          <w:color w:val="auto"/>
          <w:kern w:val="0"/>
          <w:szCs w:val="21"/>
          <w:highlight w:val="none"/>
          <w:u w:val="single"/>
        </w:rPr>
        <w:t xml:space="preserve">      </w:t>
      </w:r>
      <w:r>
        <w:rPr>
          <w:rFonts w:hint="eastAsia" w:ascii="宋体" w:hAnsi="宋体" w:eastAsia="宋体" w:cs="宋体"/>
          <w:color w:val="auto"/>
          <w:kern w:val="0"/>
          <w:szCs w:val="21"/>
          <w:highlight w:val="none"/>
          <w:u w:val="none"/>
          <w:lang w:eastAsia="zh-CN"/>
        </w:rPr>
        <w:t>日</w:t>
      </w:r>
    </w:p>
    <w:p w14:paraId="3EC2AFAE">
      <w:pPr>
        <w:pStyle w:val="5"/>
        <w:pageBreakBefore w:val="0"/>
        <w:numPr>
          <w:ilvl w:val="0"/>
          <w:numId w:val="35"/>
        </w:numPr>
        <w:tabs>
          <w:tab w:val="left" w:pos="840"/>
        </w:tabs>
        <w:kinsoku/>
        <w:overflowPunct/>
        <w:bidi w:val="0"/>
        <w:spacing w:line="360" w:lineRule="auto"/>
        <w:jc w:val="center"/>
        <w:rPr>
          <w:rFonts w:hint="eastAsia" w:ascii="宋体" w:hAnsi="宋体" w:eastAsia="宋体" w:cs="宋体"/>
          <w:color w:val="auto"/>
          <w:highlight w:val="none"/>
        </w:rPr>
      </w:pPr>
      <w:bookmarkStart w:id="745" w:name="_Toc28373"/>
      <w:bookmarkStart w:id="746" w:name="_Toc312133598"/>
      <w:r>
        <w:rPr>
          <w:rFonts w:hint="eastAsia" w:ascii="宋体" w:hAnsi="宋体" w:eastAsia="宋体" w:cs="宋体"/>
          <w:color w:val="auto"/>
          <w:sz w:val="24"/>
          <w:szCs w:val="24"/>
          <w:highlight w:val="none"/>
          <w:lang w:eastAsia="zh-CN"/>
        </w:rPr>
        <w:br w:type="page"/>
      </w:r>
      <w:bookmarkStart w:id="747" w:name="_Toc18432"/>
      <w:r>
        <w:rPr>
          <w:rFonts w:hint="eastAsia" w:ascii="宋体" w:hAnsi="宋体" w:eastAsia="宋体" w:cs="宋体"/>
          <w:color w:val="auto"/>
          <w:sz w:val="24"/>
          <w:szCs w:val="24"/>
          <w:highlight w:val="none"/>
          <w:lang w:eastAsia="zh-CN"/>
        </w:rPr>
        <w:t>投标</w:t>
      </w:r>
      <w:bookmarkEnd w:id="745"/>
      <w:r>
        <w:rPr>
          <w:rFonts w:hint="eastAsia" w:ascii="宋体" w:hAnsi="宋体" w:eastAsia="宋体" w:cs="宋体"/>
          <w:color w:val="auto"/>
          <w:sz w:val="24"/>
          <w:szCs w:val="24"/>
          <w:highlight w:val="none"/>
          <w:lang w:val="en-US" w:eastAsia="zh-CN"/>
        </w:rPr>
        <w:t>承诺函</w:t>
      </w:r>
      <w:bookmarkEnd w:id="747"/>
    </w:p>
    <w:p w14:paraId="66D58972">
      <w:pPr>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rPr>
        <w:t>（采购人或采购代理机构）：</w:t>
      </w:r>
    </w:p>
    <w:p w14:paraId="0984CA43">
      <w:pPr>
        <w:pStyle w:val="70"/>
        <w:keepNext w:val="0"/>
        <w:keepLines w:val="0"/>
        <w:pageBreakBefore w:val="0"/>
        <w:widowControl w:val="0"/>
        <w:kinsoku/>
        <w:wordWrap/>
        <w:overflowPunct/>
        <w:topLinePunct w:val="0"/>
        <w:bidi w:val="0"/>
        <w:snapToGrid/>
        <w:spacing w:line="360" w:lineRule="auto"/>
        <w:ind w:firstLine="420" w:firstLineChars="200"/>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我单位在此郑重承诺，如有以下情形之一的：</w:t>
      </w:r>
    </w:p>
    <w:p w14:paraId="2F07779D">
      <w:pPr>
        <w:keepNext w:val="0"/>
        <w:keepLines w:val="0"/>
        <w:pageBreakBefore w:val="0"/>
        <w:widowControl w:val="0"/>
        <w:numPr>
          <w:ilvl w:val="0"/>
          <w:numId w:val="37"/>
        </w:numPr>
        <w:kinsoku/>
        <w:wordWrap/>
        <w:overflowPunct/>
        <w:topLinePunct w:val="0"/>
        <w:autoSpaceDE w:val="0"/>
        <w:autoSpaceDN w:val="0"/>
        <w:bidi w:val="0"/>
        <w:adjustRightInd w:val="0"/>
        <w:snapToGrid/>
        <w:spacing w:line="360" w:lineRule="auto"/>
        <w:ind w:leftChars="200" w:right="40" w:rightChars="0"/>
        <w:jc w:val="left"/>
        <w:textAlignment w:val="auto"/>
        <w:outlineLvl w:val="9"/>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在招标文件规定的投标有效期内撤回投标；</w:t>
      </w:r>
    </w:p>
    <w:p w14:paraId="5293AEF9">
      <w:pPr>
        <w:keepNext w:val="0"/>
        <w:keepLines w:val="0"/>
        <w:pageBreakBefore w:val="0"/>
        <w:widowControl w:val="0"/>
        <w:numPr>
          <w:ilvl w:val="0"/>
          <w:numId w:val="37"/>
        </w:numPr>
        <w:kinsoku/>
        <w:wordWrap/>
        <w:overflowPunct/>
        <w:topLinePunct w:val="0"/>
        <w:autoSpaceDE w:val="0"/>
        <w:autoSpaceDN w:val="0"/>
        <w:bidi w:val="0"/>
        <w:adjustRightInd w:val="0"/>
        <w:snapToGrid/>
        <w:spacing w:line="360" w:lineRule="auto"/>
        <w:ind w:leftChars="200" w:right="40" w:rightChars="0"/>
        <w:jc w:val="left"/>
        <w:textAlignment w:val="auto"/>
        <w:outlineLvl w:val="9"/>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在</w:t>
      </w:r>
      <w:r>
        <w:rPr>
          <w:rFonts w:hint="eastAsia" w:ascii="宋体" w:hAnsi="宋体" w:eastAsia="宋体" w:cs="宋体"/>
          <w:color w:val="auto"/>
          <w:kern w:val="0"/>
          <w:sz w:val="21"/>
          <w:szCs w:val="21"/>
          <w:highlight w:val="none"/>
          <w:lang w:eastAsia="zh-CN"/>
        </w:rPr>
        <w:t>投标</w:t>
      </w:r>
      <w:r>
        <w:rPr>
          <w:rFonts w:hint="eastAsia" w:ascii="宋体" w:hAnsi="宋体" w:eastAsia="宋体" w:cs="宋体"/>
          <w:color w:val="auto"/>
          <w:kern w:val="0"/>
          <w:sz w:val="21"/>
          <w:szCs w:val="21"/>
          <w:highlight w:val="none"/>
        </w:rPr>
        <w:t>文件中提供虚假材料；</w:t>
      </w:r>
    </w:p>
    <w:p w14:paraId="1E1B9C58">
      <w:pPr>
        <w:keepNext w:val="0"/>
        <w:keepLines w:val="0"/>
        <w:pageBreakBefore w:val="0"/>
        <w:widowControl w:val="0"/>
        <w:numPr>
          <w:ilvl w:val="0"/>
          <w:numId w:val="37"/>
        </w:numPr>
        <w:kinsoku/>
        <w:wordWrap/>
        <w:overflowPunct/>
        <w:topLinePunct w:val="0"/>
        <w:autoSpaceDE w:val="0"/>
        <w:autoSpaceDN w:val="0"/>
        <w:bidi w:val="0"/>
        <w:adjustRightInd w:val="0"/>
        <w:snapToGrid/>
        <w:spacing w:line="360" w:lineRule="auto"/>
        <w:ind w:leftChars="200" w:right="40" w:rightChars="0"/>
        <w:jc w:val="left"/>
        <w:textAlignment w:val="auto"/>
        <w:outlineLvl w:val="9"/>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中标后无正当理由不与采购人或者采购代理机构签订合同；</w:t>
      </w:r>
    </w:p>
    <w:p w14:paraId="3D87569D">
      <w:pPr>
        <w:keepNext w:val="0"/>
        <w:keepLines w:val="0"/>
        <w:pageBreakBefore w:val="0"/>
        <w:widowControl w:val="0"/>
        <w:numPr>
          <w:ilvl w:val="0"/>
          <w:numId w:val="37"/>
        </w:numPr>
        <w:kinsoku/>
        <w:wordWrap/>
        <w:overflowPunct/>
        <w:topLinePunct w:val="0"/>
        <w:autoSpaceDE w:val="0"/>
        <w:autoSpaceDN w:val="0"/>
        <w:bidi w:val="0"/>
        <w:adjustRightInd w:val="0"/>
        <w:snapToGrid/>
        <w:spacing w:line="360" w:lineRule="auto"/>
        <w:ind w:leftChars="200" w:right="40" w:rightChars="0"/>
        <w:jc w:val="left"/>
        <w:textAlignment w:val="auto"/>
        <w:outlineLvl w:val="9"/>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将中标项目转让给他人</w:t>
      </w:r>
      <w:r>
        <w:rPr>
          <w:rFonts w:hint="eastAsia" w:ascii="宋体" w:hAnsi="宋体" w:eastAsia="宋体" w:cs="宋体"/>
          <w:color w:val="auto"/>
          <w:kern w:val="0"/>
          <w:sz w:val="21"/>
          <w:szCs w:val="21"/>
          <w:highlight w:val="none"/>
          <w:lang w:eastAsia="zh-CN"/>
        </w:rPr>
        <w:t>，</w:t>
      </w:r>
      <w:r>
        <w:rPr>
          <w:rFonts w:hint="eastAsia" w:ascii="宋体" w:hAnsi="宋体" w:eastAsia="宋体" w:cs="宋体"/>
          <w:color w:val="auto"/>
          <w:kern w:val="0"/>
          <w:sz w:val="21"/>
          <w:szCs w:val="21"/>
          <w:highlight w:val="none"/>
        </w:rPr>
        <w:t>或者在投标文件中未说明</w:t>
      </w:r>
      <w:r>
        <w:rPr>
          <w:rFonts w:hint="eastAsia" w:ascii="宋体" w:hAnsi="宋体" w:eastAsia="宋体" w:cs="宋体"/>
          <w:color w:val="auto"/>
          <w:kern w:val="0"/>
          <w:sz w:val="21"/>
          <w:szCs w:val="21"/>
          <w:highlight w:val="none"/>
          <w:lang w:eastAsia="zh-CN"/>
        </w:rPr>
        <w:t>，</w:t>
      </w:r>
      <w:r>
        <w:rPr>
          <w:rFonts w:hint="eastAsia" w:ascii="宋体" w:hAnsi="宋体" w:eastAsia="宋体" w:cs="宋体"/>
          <w:color w:val="auto"/>
          <w:kern w:val="0"/>
          <w:sz w:val="21"/>
          <w:szCs w:val="21"/>
          <w:highlight w:val="none"/>
        </w:rPr>
        <w:t>且未经采购人同意</w:t>
      </w:r>
      <w:r>
        <w:rPr>
          <w:rFonts w:hint="eastAsia" w:ascii="宋体" w:hAnsi="宋体" w:eastAsia="宋体" w:cs="宋体"/>
          <w:color w:val="auto"/>
          <w:kern w:val="0"/>
          <w:sz w:val="21"/>
          <w:szCs w:val="21"/>
          <w:highlight w:val="none"/>
          <w:lang w:eastAsia="zh-CN"/>
        </w:rPr>
        <w:t>，</w:t>
      </w:r>
      <w:r>
        <w:rPr>
          <w:rFonts w:hint="eastAsia" w:ascii="宋体" w:hAnsi="宋体" w:eastAsia="宋体" w:cs="宋体"/>
          <w:color w:val="auto"/>
          <w:kern w:val="0"/>
          <w:sz w:val="21"/>
          <w:szCs w:val="21"/>
          <w:highlight w:val="none"/>
        </w:rPr>
        <w:t>将中标项目分包给他人的；</w:t>
      </w:r>
    </w:p>
    <w:p w14:paraId="118A76C4">
      <w:pPr>
        <w:keepNext w:val="0"/>
        <w:keepLines w:val="0"/>
        <w:pageBreakBefore w:val="0"/>
        <w:widowControl w:val="0"/>
        <w:numPr>
          <w:ilvl w:val="0"/>
          <w:numId w:val="37"/>
        </w:numPr>
        <w:kinsoku/>
        <w:wordWrap/>
        <w:overflowPunct/>
        <w:topLinePunct w:val="0"/>
        <w:autoSpaceDE w:val="0"/>
        <w:autoSpaceDN w:val="0"/>
        <w:bidi w:val="0"/>
        <w:adjustRightInd w:val="0"/>
        <w:snapToGrid/>
        <w:spacing w:line="360" w:lineRule="auto"/>
        <w:ind w:leftChars="200" w:right="40" w:rightChars="0"/>
        <w:jc w:val="left"/>
        <w:textAlignment w:val="auto"/>
        <w:outlineLvl w:val="9"/>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拒绝履行合同义务；</w:t>
      </w:r>
    </w:p>
    <w:p w14:paraId="5D27CC56">
      <w:pPr>
        <w:keepNext w:val="0"/>
        <w:keepLines w:val="0"/>
        <w:pageBreakBefore w:val="0"/>
        <w:widowControl w:val="0"/>
        <w:numPr>
          <w:ilvl w:val="0"/>
          <w:numId w:val="37"/>
        </w:numPr>
        <w:kinsoku/>
        <w:wordWrap/>
        <w:overflowPunct/>
        <w:topLinePunct w:val="0"/>
        <w:autoSpaceDE w:val="0"/>
        <w:autoSpaceDN w:val="0"/>
        <w:bidi w:val="0"/>
        <w:adjustRightInd w:val="0"/>
        <w:snapToGrid/>
        <w:spacing w:line="360" w:lineRule="auto"/>
        <w:ind w:leftChars="200" w:right="40" w:rightChars="0"/>
        <w:jc w:val="left"/>
        <w:textAlignment w:val="auto"/>
        <w:outlineLvl w:val="9"/>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与采购人、其他</w:t>
      </w:r>
      <w:r>
        <w:rPr>
          <w:rFonts w:hint="eastAsia" w:ascii="宋体" w:hAnsi="宋体" w:eastAsia="宋体" w:cs="宋体"/>
          <w:color w:val="auto"/>
          <w:kern w:val="0"/>
          <w:sz w:val="21"/>
          <w:szCs w:val="21"/>
          <w:highlight w:val="none"/>
          <w:lang w:eastAsia="zh-CN"/>
        </w:rPr>
        <w:t>投标人或者采购代理机构</w:t>
      </w:r>
      <w:r>
        <w:rPr>
          <w:rFonts w:hint="eastAsia" w:ascii="宋体" w:hAnsi="宋体" w:eastAsia="宋体" w:cs="宋体"/>
          <w:color w:val="auto"/>
          <w:kern w:val="0"/>
          <w:sz w:val="21"/>
          <w:szCs w:val="21"/>
          <w:highlight w:val="none"/>
        </w:rPr>
        <w:t>恶意串通；</w:t>
      </w:r>
    </w:p>
    <w:p w14:paraId="77914D38">
      <w:pPr>
        <w:keepNext w:val="0"/>
        <w:keepLines w:val="0"/>
        <w:pageBreakBefore w:val="0"/>
        <w:widowControl w:val="0"/>
        <w:numPr>
          <w:ilvl w:val="0"/>
          <w:numId w:val="37"/>
        </w:numPr>
        <w:kinsoku/>
        <w:wordWrap/>
        <w:overflowPunct/>
        <w:topLinePunct w:val="0"/>
        <w:autoSpaceDE w:val="0"/>
        <w:autoSpaceDN w:val="0"/>
        <w:bidi w:val="0"/>
        <w:adjustRightInd w:val="0"/>
        <w:snapToGrid/>
        <w:spacing w:line="360" w:lineRule="auto"/>
        <w:ind w:leftChars="200" w:right="40" w:rightChars="0"/>
        <w:jc w:val="left"/>
        <w:textAlignment w:val="auto"/>
        <w:outlineLvl w:val="9"/>
        <w:rPr>
          <w:rFonts w:hint="eastAsia" w:ascii="宋体" w:hAnsi="宋体" w:eastAsia="宋体" w:cs="宋体"/>
          <w:color w:val="auto"/>
          <w:kern w:val="0"/>
          <w:sz w:val="21"/>
          <w:szCs w:val="21"/>
          <w:highlight w:val="none"/>
          <w:lang w:eastAsia="zh-CN"/>
        </w:rPr>
      </w:pPr>
      <w:r>
        <w:rPr>
          <w:rFonts w:hint="eastAsia" w:ascii="宋体" w:hAnsi="宋体" w:eastAsia="宋体" w:cs="宋体"/>
          <w:color w:val="auto"/>
          <w:kern w:val="0"/>
          <w:sz w:val="21"/>
          <w:szCs w:val="21"/>
          <w:highlight w:val="none"/>
        </w:rPr>
        <w:t>在履约过程中未按招标文件、中标的投标文件、生效的政府采购合同等约定</w:t>
      </w:r>
      <w:r>
        <w:rPr>
          <w:rFonts w:hint="eastAsia" w:ascii="宋体" w:hAnsi="宋体" w:eastAsia="宋体" w:cs="宋体"/>
          <w:color w:val="auto"/>
          <w:kern w:val="0"/>
          <w:sz w:val="21"/>
          <w:szCs w:val="21"/>
          <w:highlight w:val="none"/>
          <w:lang w:eastAsia="zh-CN"/>
        </w:rPr>
        <w:t>，</w:t>
      </w:r>
      <w:r>
        <w:rPr>
          <w:rFonts w:hint="eastAsia" w:ascii="宋体" w:hAnsi="宋体" w:eastAsia="宋体" w:cs="宋体"/>
          <w:color w:val="auto"/>
          <w:kern w:val="0"/>
          <w:sz w:val="21"/>
          <w:szCs w:val="21"/>
          <w:highlight w:val="none"/>
        </w:rPr>
        <w:t>提供货物、工程和服务；</w:t>
      </w:r>
    </w:p>
    <w:p w14:paraId="64C72F23">
      <w:pPr>
        <w:keepNext w:val="0"/>
        <w:keepLines w:val="0"/>
        <w:pageBreakBefore w:val="0"/>
        <w:widowControl w:val="0"/>
        <w:numPr>
          <w:ilvl w:val="0"/>
          <w:numId w:val="37"/>
        </w:numPr>
        <w:kinsoku/>
        <w:wordWrap/>
        <w:overflowPunct/>
        <w:topLinePunct w:val="0"/>
        <w:autoSpaceDE w:val="0"/>
        <w:autoSpaceDN w:val="0"/>
        <w:bidi w:val="0"/>
        <w:adjustRightInd w:val="0"/>
        <w:snapToGrid/>
        <w:spacing w:line="360" w:lineRule="auto"/>
        <w:ind w:leftChars="200" w:right="40" w:rightChars="0"/>
        <w:jc w:val="left"/>
        <w:textAlignment w:val="auto"/>
        <w:outlineLvl w:val="9"/>
        <w:rPr>
          <w:rFonts w:hint="eastAsia" w:ascii="宋体" w:hAnsi="宋体" w:eastAsia="宋体" w:cs="宋体"/>
          <w:color w:val="auto"/>
          <w:kern w:val="0"/>
          <w:sz w:val="21"/>
          <w:szCs w:val="21"/>
          <w:highlight w:val="none"/>
          <w:lang w:eastAsia="zh-CN"/>
        </w:rPr>
      </w:pPr>
      <w:r>
        <w:rPr>
          <w:rFonts w:hint="eastAsia" w:ascii="宋体" w:hAnsi="宋体" w:eastAsia="宋体" w:cs="宋体"/>
          <w:color w:val="auto"/>
          <w:kern w:val="0"/>
          <w:sz w:val="21"/>
          <w:szCs w:val="21"/>
          <w:highlight w:val="none"/>
        </w:rPr>
        <w:t>存在其他违法违规行为。</w:t>
      </w:r>
    </w:p>
    <w:p w14:paraId="7415C321">
      <w:pPr>
        <w:keepNext w:val="0"/>
        <w:keepLines w:val="0"/>
        <w:pageBreakBefore w:val="0"/>
        <w:widowControl w:val="0"/>
        <w:numPr>
          <w:ilvl w:val="0"/>
          <w:numId w:val="0"/>
        </w:numPr>
        <w:kinsoku/>
        <w:wordWrap/>
        <w:overflowPunct/>
        <w:topLinePunct w:val="0"/>
        <w:autoSpaceDE w:val="0"/>
        <w:autoSpaceDN w:val="0"/>
        <w:bidi w:val="0"/>
        <w:adjustRightInd w:val="0"/>
        <w:snapToGrid/>
        <w:spacing w:line="360" w:lineRule="auto"/>
        <w:ind w:leftChars="0" w:right="40" w:rightChars="0" w:firstLine="420" w:firstLineChars="200"/>
        <w:jc w:val="left"/>
        <w:textAlignment w:val="auto"/>
        <w:outlineLvl w:val="9"/>
        <w:rPr>
          <w:rFonts w:hint="eastAsia" w:ascii="宋体" w:hAnsi="宋体" w:eastAsia="宋体" w:cs="宋体"/>
          <w:color w:val="auto"/>
          <w:sz w:val="21"/>
          <w:szCs w:val="21"/>
          <w:highlight w:val="none"/>
          <w:lang w:eastAsia="zh-CN"/>
        </w:rPr>
      </w:pPr>
      <w:r>
        <w:rPr>
          <w:rFonts w:hint="eastAsia" w:ascii="宋体" w:hAnsi="宋体" w:eastAsia="宋体" w:cs="宋体"/>
          <w:color w:val="auto"/>
          <w:kern w:val="0"/>
          <w:sz w:val="21"/>
          <w:szCs w:val="21"/>
          <w:highlight w:val="none"/>
          <w:lang w:eastAsia="zh-CN"/>
        </w:rPr>
        <w:t>我单位</w:t>
      </w:r>
      <w:r>
        <w:rPr>
          <w:rFonts w:hint="eastAsia" w:ascii="宋体" w:hAnsi="宋体" w:eastAsia="宋体" w:cs="宋体"/>
          <w:color w:val="auto"/>
          <w:sz w:val="21"/>
          <w:szCs w:val="21"/>
          <w:highlight w:val="none"/>
          <w:lang w:eastAsia="zh-CN"/>
        </w:rPr>
        <w:t>自愿接受被处以中标无效，采购金额千分之五以上千分之十以下的罚款并赔偿采购人及采购代理机构的损失</w:t>
      </w:r>
      <w:r>
        <w:rPr>
          <w:rFonts w:hint="eastAsia" w:ascii="宋体" w:hAnsi="宋体" w:eastAsia="宋体" w:cs="宋体"/>
          <w:color w:val="auto"/>
          <w:kern w:val="0"/>
          <w:sz w:val="21"/>
          <w:szCs w:val="21"/>
          <w:highlight w:val="none"/>
          <w:lang w:eastAsia="zh-CN"/>
        </w:rPr>
        <w:t>，</w:t>
      </w:r>
      <w:r>
        <w:rPr>
          <w:rFonts w:hint="eastAsia" w:ascii="宋体" w:hAnsi="宋体" w:eastAsia="宋体" w:cs="宋体"/>
          <w:color w:val="auto"/>
          <w:sz w:val="21"/>
          <w:szCs w:val="21"/>
          <w:highlight w:val="none"/>
          <w:lang w:eastAsia="zh-CN"/>
        </w:rPr>
        <w:t>列入不良行为记录名单</w:t>
      </w:r>
      <w:r>
        <w:rPr>
          <w:rFonts w:hint="eastAsia" w:ascii="宋体" w:hAnsi="宋体" w:eastAsia="宋体" w:cs="宋体"/>
          <w:color w:val="auto"/>
          <w:kern w:val="0"/>
          <w:sz w:val="21"/>
          <w:szCs w:val="21"/>
          <w:highlight w:val="none"/>
          <w:lang w:eastAsia="zh-CN"/>
        </w:rPr>
        <w:t>，</w:t>
      </w:r>
      <w:r>
        <w:rPr>
          <w:rFonts w:hint="eastAsia" w:ascii="宋体" w:hAnsi="宋体" w:eastAsia="宋体" w:cs="宋体"/>
          <w:color w:val="auto"/>
          <w:sz w:val="21"/>
          <w:szCs w:val="21"/>
          <w:highlight w:val="none"/>
          <w:lang w:eastAsia="zh-CN"/>
        </w:rPr>
        <w:t>在一至三年内禁止参加政府采购活动</w:t>
      </w:r>
      <w:r>
        <w:rPr>
          <w:rFonts w:hint="eastAsia" w:ascii="宋体" w:hAnsi="宋体" w:eastAsia="宋体" w:cs="宋体"/>
          <w:color w:val="auto"/>
          <w:kern w:val="0"/>
          <w:sz w:val="21"/>
          <w:szCs w:val="21"/>
          <w:highlight w:val="none"/>
          <w:lang w:eastAsia="zh-CN"/>
        </w:rPr>
        <w:t>，</w:t>
      </w:r>
      <w:r>
        <w:rPr>
          <w:rFonts w:hint="eastAsia" w:ascii="宋体" w:hAnsi="宋体" w:eastAsia="宋体" w:cs="宋体"/>
          <w:color w:val="auto"/>
          <w:sz w:val="21"/>
          <w:szCs w:val="21"/>
          <w:highlight w:val="none"/>
          <w:lang w:eastAsia="zh-CN"/>
        </w:rPr>
        <w:t>有违法所得的</w:t>
      </w:r>
      <w:r>
        <w:rPr>
          <w:rFonts w:hint="eastAsia" w:ascii="宋体" w:hAnsi="宋体" w:eastAsia="宋体" w:cs="宋体"/>
          <w:color w:val="auto"/>
          <w:kern w:val="0"/>
          <w:sz w:val="21"/>
          <w:szCs w:val="21"/>
          <w:highlight w:val="none"/>
          <w:lang w:eastAsia="zh-CN"/>
        </w:rPr>
        <w:t>，</w:t>
      </w:r>
      <w:r>
        <w:rPr>
          <w:rFonts w:hint="eastAsia" w:ascii="宋体" w:hAnsi="宋体" w:eastAsia="宋体" w:cs="宋体"/>
          <w:color w:val="auto"/>
          <w:sz w:val="21"/>
          <w:szCs w:val="21"/>
          <w:highlight w:val="none"/>
          <w:lang w:eastAsia="zh-CN"/>
        </w:rPr>
        <w:t>并处没收违法所得，情节严重的，由市场监督管理部门吊销营业执照；构成犯罪的，依法追究刑事责任。</w:t>
      </w:r>
    </w:p>
    <w:p w14:paraId="6ED614A0">
      <w:pPr>
        <w:pStyle w:val="70"/>
        <w:pageBreakBefore w:val="0"/>
        <w:kinsoku/>
        <w:overflowPunct/>
        <w:bidi w:val="0"/>
        <w:spacing w:line="360" w:lineRule="auto"/>
        <w:rPr>
          <w:rFonts w:hint="eastAsia" w:ascii="宋体" w:hAnsi="宋体" w:eastAsia="宋体" w:cs="宋体"/>
          <w:color w:val="auto"/>
          <w:sz w:val="21"/>
          <w:szCs w:val="21"/>
          <w:highlight w:val="none"/>
        </w:rPr>
      </w:pPr>
    </w:p>
    <w:p w14:paraId="00144F99">
      <w:pPr>
        <w:pStyle w:val="70"/>
        <w:pageBreakBefore w:val="0"/>
        <w:kinsoku/>
        <w:overflowPunct/>
        <w:bidi w:val="0"/>
        <w:spacing w:line="360" w:lineRule="auto"/>
        <w:rPr>
          <w:rFonts w:hint="eastAsia" w:ascii="宋体" w:hAnsi="宋体" w:eastAsia="宋体" w:cs="宋体"/>
          <w:color w:val="auto"/>
          <w:highlight w:val="none"/>
          <w:lang w:eastAsia="zh-CN"/>
        </w:rPr>
      </w:pPr>
    </w:p>
    <w:p w14:paraId="65F45418">
      <w:pPr>
        <w:pStyle w:val="70"/>
        <w:pageBreakBefore w:val="0"/>
        <w:kinsoku/>
        <w:overflowPunct/>
        <w:bidi w:val="0"/>
        <w:spacing w:line="360" w:lineRule="auto"/>
        <w:rPr>
          <w:rFonts w:hint="eastAsia" w:ascii="宋体" w:hAnsi="宋体" w:eastAsia="宋体" w:cs="宋体"/>
          <w:color w:val="auto"/>
          <w:kern w:val="0"/>
          <w:sz w:val="21"/>
          <w:szCs w:val="21"/>
          <w:highlight w:val="none"/>
          <w:lang w:eastAsia="zh-CN"/>
        </w:rPr>
      </w:pPr>
    </w:p>
    <w:p w14:paraId="399F865E">
      <w:pPr>
        <w:pageBreakBefore w:val="0"/>
        <w:kinsoku/>
        <w:overflowPunct/>
        <w:bidi w:val="0"/>
        <w:spacing w:line="360" w:lineRule="auto"/>
        <w:ind w:firstLine="3360" w:firstLineChars="1600"/>
        <w:rPr>
          <w:rFonts w:hint="eastAsia" w:ascii="宋体" w:hAnsi="宋体" w:eastAsia="宋体" w:cs="宋体"/>
          <w:b w:val="0"/>
          <w:bCs/>
          <w:color w:val="auto"/>
          <w:szCs w:val="21"/>
          <w:highlight w:val="none"/>
        </w:rPr>
      </w:pPr>
      <w:r>
        <w:rPr>
          <w:rFonts w:hint="eastAsia" w:ascii="宋体" w:hAnsi="宋体" w:eastAsia="宋体" w:cs="宋体"/>
          <w:color w:val="auto"/>
          <w:kern w:val="0"/>
          <w:sz w:val="21"/>
          <w:szCs w:val="21"/>
          <w:highlight w:val="none"/>
          <w:lang w:eastAsia="zh-CN"/>
        </w:rPr>
        <w:t>投</w:t>
      </w:r>
      <w:r>
        <w:rPr>
          <w:rFonts w:hint="eastAsia" w:ascii="宋体" w:hAnsi="宋体" w:eastAsia="宋体" w:cs="宋体"/>
          <w:color w:val="auto"/>
          <w:kern w:val="0"/>
          <w:sz w:val="21"/>
          <w:szCs w:val="21"/>
          <w:highlight w:val="none"/>
          <w:lang w:val="en-US" w:eastAsia="zh-CN"/>
        </w:rPr>
        <w:t xml:space="preserve"> </w:t>
      </w:r>
      <w:r>
        <w:rPr>
          <w:rFonts w:hint="eastAsia" w:ascii="宋体" w:hAnsi="宋体" w:eastAsia="宋体" w:cs="宋体"/>
          <w:color w:val="auto"/>
          <w:kern w:val="0"/>
          <w:sz w:val="21"/>
          <w:szCs w:val="21"/>
          <w:highlight w:val="none"/>
          <w:lang w:eastAsia="zh-CN"/>
        </w:rPr>
        <w:t>标</w:t>
      </w:r>
      <w:r>
        <w:rPr>
          <w:rFonts w:hint="eastAsia" w:ascii="宋体" w:hAnsi="宋体" w:eastAsia="宋体" w:cs="宋体"/>
          <w:color w:val="auto"/>
          <w:kern w:val="0"/>
          <w:sz w:val="21"/>
          <w:szCs w:val="21"/>
          <w:highlight w:val="none"/>
          <w:lang w:val="en-US" w:eastAsia="zh-CN"/>
        </w:rPr>
        <w:t xml:space="preserve"> </w:t>
      </w:r>
      <w:r>
        <w:rPr>
          <w:rFonts w:hint="eastAsia" w:ascii="宋体" w:hAnsi="宋体" w:eastAsia="宋体" w:cs="宋体"/>
          <w:color w:val="auto"/>
          <w:kern w:val="0"/>
          <w:sz w:val="21"/>
          <w:szCs w:val="21"/>
          <w:highlight w:val="none"/>
          <w:lang w:eastAsia="zh-CN"/>
        </w:rPr>
        <w:t>人</w:t>
      </w:r>
      <w:r>
        <w:rPr>
          <w:rFonts w:hint="eastAsia" w:ascii="宋体" w:hAnsi="宋体" w:eastAsia="宋体" w:cs="宋体"/>
          <w:b w:val="0"/>
          <w:bCs/>
          <w:color w:val="auto"/>
          <w:szCs w:val="21"/>
          <w:highlight w:val="none"/>
        </w:rPr>
        <w:t>：</w:t>
      </w:r>
      <w:r>
        <w:rPr>
          <w:rFonts w:hint="eastAsia" w:ascii="宋体" w:hAnsi="宋体" w:eastAsia="宋体" w:cs="宋体"/>
          <w:b w:val="0"/>
          <w:bCs/>
          <w:color w:val="auto"/>
          <w:szCs w:val="21"/>
          <w:highlight w:val="none"/>
          <w:u w:val="single"/>
        </w:rPr>
        <w:t xml:space="preserve"> </w:t>
      </w:r>
      <w:r>
        <w:rPr>
          <w:rFonts w:hint="eastAsia" w:ascii="宋体" w:hAnsi="宋体" w:eastAsia="宋体" w:cs="宋体"/>
          <w:b w:val="0"/>
          <w:bCs/>
          <w:color w:val="auto"/>
          <w:szCs w:val="21"/>
          <w:highlight w:val="none"/>
          <w:u w:val="single"/>
          <w:lang w:val="en-US" w:eastAsia="zh-CN"/>
        </w:rPr>
        <w:t xml:space="preserve">                     </w:t>
      </w:r>
      <w:r>
        <w:rPr>
          <w:rFonts w:hint="eastAsia" w:ascii="宋体" w:hAnsi="宋体" w:eastAsia="宋体" w:cs="宋体"/>
          <w:b w:val="0"/>
          <w:bCs/>
          <w:color w:val="auto"/>
          <w:szCs w:val="21"/>
          <w:highlight w:val="none"/>
        </w:rPr>
        <w:t>（</w:t>
      </w:r>
      <w:r>
        <w:rPr>
          <w:rFonts w:hint="eastAsia" w:ascii="宋体" w:hAnsi="宋体" w:eastAsia="宋体" w:cs="宋体"/>
          <w:b w:val="0"/>
          <w:bCs/>
          <w:color w:val="auto"/>
          <w:szCs w:val="21"/>
          <w:highlight w:val="none"/>
          <w:lang w:eastAsia="zh-CN"/>
        </w:rPr>
        <w:t>盖章</w:t>
      </w:r>
      <w:r>
        <w:rPr>
          <w:rFonts w:hint="eastAsia" w:ascii="宋体" w:hAnsi="宋体" w:eastAsia="宋体" w:cs="宋体"/>
          <w:b w:val="0"/>
          <w:bCs/>
          <w:color w:val="auto"/>
          <w:szCs w:val="21"/>
          <w:highlight w:val="none"/>
        </w:rPr>
        <w:t>）</w:t>
      </w:r>
    </w:p>
    <w:p w14:paraId="0D9A3E0E">
      <w:pPr>
        <w:pageBreakBefore w:val="0"/>
        <w:kinsoku/>
        <w:overflowPunct/>
        <w:bidi w:val="0"/>
        <w:spacing w:line="360" w:lineRule="auto"/>
        <w:ind w:firstLine="3360" w:firstLineChars="1600"/>
        <w:rPr>
          <w:rFonts w:hint="eastAsia" w:ascii="宋体" w:hAnsi="宋体" w:eastAsia="宋体" w:cs="宋体"/>
          <w:b w:val="0"/>
          <w:bCs/>
          <w:color w:val="auto"/>
          <w:szCs w:val="21"/>
          <w:highlight w:val="none"/>
        </w:rPr>
      </w:pPr>
      <w:r>
        <w:rPr>
          <w:rFonts w:hint="eastAsia" w:ascii="宋体" w:hAnsi="宋体" w:eastAsia="宋体" w:cs="宋体"/>
          <w:b w:val="0"/>
          <w:bCs/>
          <w:color w:val="auto"/>
          <w:szCs w:val="21"/>
          <w:highlight w:val="none"/>
        </w:rPr>
        <w:t>法定代表人或其委托代理人：</w:t>
      </w:r>
      <w:r>
        <w:rPr>
          <w:rFonts w:hint="eastAsia" w:ascii="宋体" w:hAnsi="宋体" w:eastAsia="宋体" w:cs="宋体"/>
          <w:b w:val="0"/>
          <w:bCs/>
          <w:color w:val="auto"/>
          <w:szCs w:val="21"/>
          <w:highlight w:val="none"/>
          <w:u w:val="single"/>
        </w:rPr>
        <w:t xml:space="preserve"> </w:t>
      </w:r>
      <w:r>
        <w:rPr>
          <w:rFonts w:hint="eastAsia" w:ascii="宋体" w:hAnsi="宋体" w:eastAsia="宋体" w:cs="宋体"/>
          <w:b w:val="0"/>
          <w:bCs/>
          <w:color w:val="auto"/>
          <w:szCs w:val="21"/>
          <w:highlight w:val="none"/>
          <w:u w:val="single"/>
          <w:lang w:val="en-US" w:eastAsia="zh-CN"/>
        </w:rPr>
        <w:t xml:space="preserve">       </w:t>
      </w:r>
      <w:r>
        <w:rPr>
          <w:rFonts w:hint="eastAsia" w:ascii="宋体" w:hAnsi="宋体" w:eastAsia="宋体" w:cs="宋体"/>
          <w:b w:val="0"/>
          <w:bCs/>
          <w:color w:val="auto"/>
          <w:szCs w:val="21"/>
          <w:highlight w:val="none"/>
        </w:rPr>
        <w:t>（</w:t>
      </w:r>
      <w:r>
        <w:rPr>
          <w:rFonts w:hint="eastAsia" w:ascii="宋体" w:hAnsi="宋体" w:eastAsia="宋体" w:cs="宋体"/>
          <w:color w:val="auto"/>
          <w:szCs w:val="21"/>
          <w:highlight w:val="none"/>
        </w:rPr>
        <w:t>签字或盖章</w:t>
      </w:r>
      <w:r>
        <w:rPr>
          <w:rFonts w:hint="eastAsia" w:ascii="宋体" w:hAnsi="宋体" w:eastAsia="宋体" w:cs="宋体"/>
          <w:b w:val="0"/>
          <w:bCs/>
          <w:color w:val="auto"/>
          <w:szCs w:val="21"/>
          <w:highlight w:val="none"/>
        </w:rPr>
        <w:t>）</w:t>
      </w:r>
    </w:p>
    <w:p w14:paraId="0164A910">
      <w:pPr>
        <w:keepNext w:val="0"/>
        <w:keepLines w:val="0"/>
        <w:pageBreakBefore w:val="0"/>
        <w:widowControl w:val="0"/>
        <w:tabs>
          <w:tab w:val="left" w:pos="5380"/>
          <w:tab w:val="left" w:pos="6520"/>
          <w:tab w:val="left" w:pos="7680"/>
        </w:tabs>
        <w:kinsoku/>
        <w:wordWrap/>
        <w:overflowPunct/>
        <w:topLinePunct w:val="0"/>
        <w:autoSpaceDE w:val="0"/>
        <w:autoSpaceDN w:val="0"/>
        <w:bidi w:val="0"/>
        <w:adjustRightInd w:val="0"/>
        <w:snapToGrid/>
        <w:spacing w:line="360" w:lineRule="auto"/>
        <w:ind w:right="-23" w:rightChars="0" w:firstLine="4620" w:firstLineChars="2200"/>
        <w:jc w:val="left"/>
        <w:textAlignment w:val="auto"/>
        <w:outlineLvl w:val="9"/>
        <w:rPr>
          <w:rFonts w:hint="eastAsia" w:ascii="宋体" w:hAnsi="宋体" w:eastAsia="宋体" w:cs="宋体"/>
          <w:b w:val="0"/>
          <w:bCs/>
          <w:color w:val="auto"/>
          <w:kern w:val="0"/>
          <w:sz w:val="21"/>
          <w:szCs w:val="21"/>
          <w:highlight w:val="none"/>
        </w:rPr>
      </w:pPr>
      <w:r>
        <w:rPr>
          <w:rFonts w:hint="eastAsia" w:ascii="宋体" w:hAnsi="宋体" w:eastAsia="宋体" w:cs="宋体"/>
          <w:b w:val="0"/>
          <w:bCs/>
          <w:color w:val="auto"/>
          <w:kern w:val="0"/>
          <w:sz w:val="21"/>
          <w:szCs w:val="21"/>
          <w:highlight w:val="none"/>
          <w:u w:val="single"/>
        </w:rPr>
        <w:t xml:space="preserve">     </w:t>
      </w:r>
      <w:r>
        <w:rPr>
          <w:rFonts w:hint="eastAsia" w:ascii="宋体" w:hAnsi="宋体" w:eastAsia="宋体" w:cs="宋体"/>
          <w:b w:val="0"/>
          <w:bCs/>
          <w:color w:val="auto"/>
          <w:spacing w:val="43"/>
          <w:kern w:val="0"/>
          <w:sz w:val="21"/>
          <w:szCs w:val="21"/>
          <w:highlight w:val="none"/>
          <w:u w:val="single"/>
        </w:rPr>
        <w:t xml:space="preserve"> </w:t>
      </w:r>
      <w:r>
        <w:rPr>
          <w:rFonts w:hint="eastAsia" w:ascii="宋体" w:hAnsi="宋体" w:eastAsia="宋体" w:cs="宋体"/>
          <w:b w:val="0"/>
          <w:bCs/>
          <w:color w:val="auto"/>
          <w:kern w:val="0"/>
          <w:sz w:val="21"/>
          <w:szCs w:val="21"/>
          <w:highlight w:val="none"/>
        </w:rPr>
        <w:t>年</w:t>
      </w:r>
      <w:r>
        <w:rPr>
          <w:rFonts w:hint="eastAsia" w:ascii="宋体" w:hAnsi="宋体" w:eastAsia="宋体" w:cs="宋体"/>
          <w:b w:val="0"/>
          <w:bCs/>
          <w:color w:val="auto"/>
          <w:kern w:val="0"/>
          <w:sz w:val="21"/>
          <w:szCs w:val="21"/>
          <w:highlight w:val="none"/>
          <w:u w:val="single"/>
        </w:rPr>
        <w:t xml:space="preserve">       </w:t>
      </w:r>
      <w:r>
        <w:rPr>
          <w:rFonts w:hint="eastAsia" w:ascii="宋体" w:hAnsi="宋体" w:eastAsia="宋体" w:cs="宋体"/>
          <w:b w:val="0"/>
          <w:bCs/>
          <w:color w:val="auto"/>
          <w:kern w:val="0"/>
          <w:sz w:val="21"/>
          <w:szCs w:val="21"/>
          <w:highlight w:val="none"/>
        </w:rPr>
        <w:t>月</w:t>
      </w:r>
      <w:r>
        <w:rPr>
          <w:rFonts w:hint="eastAsia" w:ascii="宋体" w:hAnsi="宋体" w:eastAsia="宋体" w:cs="宋体"/>
          <w:b w:val="0"/>
          <w:bCs/>
          <w:color w:val="auto"/>
          <w:kern w:val="0"/>
          <w:sz w:val="21"/>
          <w:szCs w:val="21"/>
          <w:highlight w:val="none"/>
          <w:u w:val="single"/>
          <w:lang w:val="en-US" w:eastAsia="zh-CN"/>
        </w:rPr>
        <w:t xml:space="preserve">      </w:t>
      </w:r>
      <w:r>
        <w:rPr>
          <w:rFonts w:hint="eastAsia" w:ascii="宋体" w:hAnsi="宋体" w:eastAsia="宋体" w:cs="宋体"/>
          <w:b w:val="0"/>
          <w:bCs/>
          <w:color w:val="auto"/>
          <w:kern w:val="0"/>
          <w:sz w:val="21"/>
          <w:szCs w:val="21"/>
          <w:highlight w:val="none"/>
        </w:rPr>
        <w:t>日</w:t>
      </w:r>
    </w:p>
    <w:p w14:paraId="576E158A">
      <w:pPr>
        <w:pStyle w:val="70"/>
        <w:pageBreakBefore w:val="0"/>
        <w:kinsoku/>
        <w:overflowPunct/>
        <w:bidi w:val="0"/>
        <w:spacing w:line="360" w:lineRule="auto"/>
        <w:rPr>
          <w:rFonts w:hint="eastAsia" w:ascii="宋体" w:hAnsi="宋体" w:eastAsia="宋体" w:cs="宋体"/>
          <w:color w:val="auto"/>
          <w:highlight w:val="none"/>
        </w:rPr>
      </w:pPr>
    </w:p>
    <w:p w14:paraId="62C64430">
      <w:pPr>
        <w:pStyle w:val="5"/>
        <w:pageBreakBefore w:val="0"/>
        <w:numPr>
          <w:ilvl w:val="0"/>
          <w:numId w:val="35"/>
        </w:numPr>
        <w:tabs>
          <w:tab w:val="left" w:pos="840"/>
        </w:tabs>
        <w:kinsoku/>
        <w:overflowPunct/>
        <w:bidi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br w:type="page"/>
      </w:r>
      <w:bookmarkStart w:id="748" w:name="_Toc799"/>
      <w:bookmarkStart w:id="749" w:name="_Toc1547"/>
      <w:r>
        <w:rPr>
          <w:rFonts w:hint="eastAsia" w:ascii="宋体" w:hAnsi="宋体" w:eastAsia="宋体" w:cs="宋体"/>
          <w:color w:val="auto"/>
          <w:sz w:val="24"/>
          <w:szCs w:val="24"/>
          <w:highlight w:val="none"/>
        </w:rPr>
        <w:t>投标报价表格</w:t>
      </w:r>
      <w:bookmarkEnd w:id="746"/>
      <w:bookmarkEnd w:id="748"/>
      <w:bookmarkEnd w:id="749"/>
    </w:p>
    <w:p w14:paraId="52246CA9">
      <w:pPr>
        <w:keepNext/>
        <w:keepLines/>
        <w:widowControl w:val="0"/>
        <w:spacing w:line="360" w:lineRule="auto"/>
        <w:ind w:left="425" w:hanging="425"/>
        <w:jc w:val="center"/>
        <w:outlineLvl w:val="2"/>
        <w:rPr>
          <w:rFonts w:hint="eastAsia" w:ascii="宋体" w:hAnsi="宋体" w:eastAsia="宋体" w:cs="宋体"/>
          <w:color w:val="auto"/>
          <w:highlight w:val="none"/>
        </w:rPr>
      </w:pPr>
      <w:r>
        <w:rPr>
          <w:rFonts w:hint="eastAsia" w:ascii="宋体" w:hAnsi="宋体" w:eastAsia="宋体" w:cs="宋体"/>
          <w:b/>
          <w:color w:val="auto"/>
          <w:kern w:val="2"/>
          <w:sz w:val="21"/>
          <w:szCs w:val="21"/>
          <w:highlight w:val="none"/>
          <w:lang w:val="en-US" w:eastAsia="zh-CN" w:bidi="ar-SA"/>
        </w:rPr>
        <w:t xml:space="preserve">(一) </w:t>
      </w:r>
      <w:bookmarkStart w:id="750" w:name="_Toc463003910"/>
      <w:bookmarkStart w:id="751" w:name="_Toc2875"/>
      <w:bookmarkStart w:id="752" w:name="_Toc495304002"/>
      <w:r>
        <w:rPr>
          <w:rFonts w:hint="eastAsia" w:ascii="宋体" w:hAnsi="宋体" w:eastAsia="宋体" w:cs="宋体"/>
          <w:b/>
          <w:color w:val="auto"/>
          <w:kern w:val="2"/>
          <w:sz w:val="21"/>
          <w:szCs w:val="21"/>
          <w:highlight w:val="none"/>
          <w:lang w:val="en-US" w:eastAsia="zh-CN" w:bidi="ar-SA"/>
        </w:rPr>
        <w:t>开标一览表</w:t>
      </w:r>
      <w:bookmarkEnd w:id="750"/>
      <w:bookmarkEnd w:id="751"/>
      <w:bookmarkEnd w:id="752"/>
    </w:p>
    <w:tbl>
      <w:tblPr>
        <w:tblStyle w:val="3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89"/>
        <w:gridCol w:w="6015"/>
      </w:tblGrid>
      <w:tr w14:paraId="3A5109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389" w:type="dxa"/>
            <w:tcBorders>
              <w:top w:val="single" w:color="auto" w:sz="4" w:space="0"/>
              <w:left w:val="single" w:color="auto" w:sz="4" w:space="0"/>
              <w:bottom w:val="single" w:color="auto" w:sz="4" w:space="0"/>
              <w:right w:val="single" w:color="auto" w:sz="4" w:space="0"/>
            </w:tcBorders>
            <w:noWrap w:val="0"/>
            <w:vAlign w:val="center"/>
          </w:tcPr>
          <w:p w14:paraId="3EB948D1">
            <w:pPr>
              <w:pageBreakBefore w:val="0"/>
              <w:widowControl/>
              <w:kinsoku/>
              <w:overflowPunct/>
              <w:bidi w:val="0"/>
              <w:spacing w:line="360" w:lineRule="auto"/>
              <w:jc w:val="center"/>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项目名称</w:t>
            </w:r>
          </w:p>
        </w:tc>
        <w:tc>
          <w:tcPr>
            <w:tcW w:w="6015" w:type="dxa"/>
            <w:tcBorders>
              <w:top w:val="single" w:color="auto" w:sz="4" w:space="0"/>
              <w:left w:val="single" w:color="auto" w:sz="4" w:space="0"/>
              <w:bottom w:val="single" w:color="auto" w:sz="4" w:space="0"/>
              <w:right w:val="single" w:color="auto" w:sz="4" w:space="0"/>
            </w:tcBorders>
            <w:noWrap w:val="0"/>
            <w:vAlign w:val="center"/>
          </w:tcPr>
          <w:p w14:paraId="59176CA6">
            <w:pPr>
              <w:pageBreakBefore w:val="0"/>
              <w:widowControl/>
              <w:kinsoku/>
              <w:overflowPunct/>
              <w:bidi w:val="0"/>
              <w:spacing w:line="360" w:lineRule="auto"/>
              <w:jc w:val="center"/>
              <w:rPr>
                <w:rFonts w:hint="eastAsia" w:ascii="宋体" w:hAnsi="宋体" w:eastAsia="宋体" w:cs="宋体"/>
                <w:color w:val="auto"/>
                <w:szCs w:val="21"/>
                <w:highlight w:val="none"/>
              </w:rPr>
            </w:pPr>
          </w:p>
        </w:tc>
      </w:tr>
      <w:tr w14:paraId="3F140F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389" w:type="dxa"/>
            <w:tcBorders>
              <w:top w:val="single" w:color="auto" w:sz="4" w:space="0"/>
              <w:left w:val="single" w:color="auto" w:sz="4" w:space="0"/>
              <w:bottom w:val="single" w:color="auto" w:sz="4" w:space="0"/>
              <w:right w:val="single" w:color="auto" w:sz="4" w:space="0"/>
            </w:tcBorders>
            <w:noWrap w:val="0"/>
            <w:vAlign w:val="center"/>
          </w:tcPr>
          <w:p w14:paraId="6C0AE1DD">
            <w:pPr>
              <w:pageBreakBefore w:val="0"/>
              <w:widowControl/>
              <w:kinsoku/>
              <w:overflowPunct/>
              <w:bidi w:val="0"/>
              <w:spacing w:line="360" w:lineRule="auto"/>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eastAsia="zh-CN"/>
              </w:rPr>
              <w:t>投标人</w:t>
            </w:r>
            <w:r>
              <w:rPr>
                <w:rFonts w:hint="eastAsia" w:ascii="宋体" w:hAnsi="宋体" w:eastAsia="宋体" w:cs="宋体"/>
                <w:color w:val="auto"/>
                <w:szCs w:val="21"/>
                <w:highlight w:val="none"/>
                <w:lang w:val="en-US" w:eastAsia="zh-CN"/>
              </w:rPr>
              <w:t>名称</w:t>
            </w:r>
          </w:p>
        </w:tc>
        <w:tc>
          <w:tcPr>
            <w:tcW w:w="6015" w:type="dxa"/>
            <w:tcBorders>
              <w:top w:val="single" w:color="auto" w:sz="4" w:space="0"/>
              <w:left w:val="single" w:color="auto" w:sz="4" w:space="0"/>
              <w:bottom w:val="single" w:color="auto" w:sz="4" w:space="0"/>
              <w:right w:val="single" w:color="auto" w:sz="4" w:space="0"/>
            </w:tcBorders>
            <w:noWrap w:val="0"/>
            <w:vAlign w:val="center"/>
          </w:tcPr>
          <w:p w14:paraId="3D51994F">
            <w:pPr>
              <w:pageBreakBefore w:val="0"/>
              <w:widowControl/>
              <w:kinsoku/>
              <w:overflowPunct/>
              <w:bidi w:val="0"/>
              <w:spacing w:line="360" w:lineRule="auto"/>
              <w:jc w:val="center"/>
              <w:rPr>
                <w:rFonts w:hint="eastAsia" w:ascii="宋体" w:hAnsi="宋体" w:eastAsia="宋体" w:cs="宋体"/>
                <w:color w:val="auto"/>
                <w:szCs w:val="21"/>
                <w:highlight w:val="none"/>
              </w:rPr>
            </w:pPr>
          </w:p>
        </w:tc>
      </w:tr>
      <w:tr w14:paraId="3C6740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389" w:type="dxa"/>
            <w:tcBorders>
              <w:top w:val="single" w:color="auto" w:sz="4" w:space="0"/>
              <w:left w:val="single" w:color="auto" w:sz="4" w:space="0"/>
              <w:bottom w:val="single" w:color="auto" w:sz="4" w:space="0"/>
              <w:right w:val="single" w:color="auto" w:sz="4" w:space="0"/>
            </w:tcBorders>
            <w:noWrap w:val="0"/>
            <w:vAlign w:val="center"/>
          </w:tcPr>
          <w:p w14:paraId="30B002CB">
            <w:pPr>
              <w:pageBreakBefore w:val="0"/>
              <w:widowControl/>
              <w:kinsoku/>
              <w:overflowPunct/>
              <w:bidi w:val="0"/>
              <w:spacing w:line="360" w:lineRule="auto"/>
              <w:jc w:val="center"/>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投标内容</w:t>
            </w:r>
          </w:p>
        </w:tc>
        <w:tc>
          <w:tcPr>
            <w:tcW w:w="6015" w:type="dxa"/>
            <w:tcBorders>
              <w:top w:val="single" w:color="auto" w:sz="4" w:space="0"/>
              <w:left w:val="single" w:color="auto" w:sz="4" w:space="0"/>
              <w:bottom w:val="single" w:color="auto" w:sz="4" w:space="0"/>
              <w:right w:val="single" w:color="auto" w:sz="4" w:space="0"/>
            </w:tcBorders>
            <w:noWrap w:val="0"/>
            <w:vAlign w:val="center"/>
          </w:tcPr>
          <w:p w14:paraId="71B4B860">
            <w:pPr>
              <w:pageBreakBefore w:val="0"/>
              <w:widowControl/>
              <w:kinsoku/>
              <w:overflowPunct/>
              <w:bidi w:val="0"/>
              <w:spacing w:line="360" w:lineRule="auto"/>
              <w:jc w:val="center"/>
              <w:rPr>
                <w:rFonts w:hint="eastAsia" w:ascii="宋体" w:hAnsi="宋体" w:eastAsia="宋体" w:cs="宋体"/>
                <w:color w:val="auto"/>
                <w:szCs w:val="21"/>
                <w:highlight w:val="none"/>
              </w:rPr>
            </w:pPr>
          </w:p>
        </w:tc>
      </w:tr>
      <w:tr w14:paraId="61819A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389" w:type="dxa"/>
            <w:tcBorders>
              <w:top w:val="single" w:color="auto" w:sz="4" w:space="0"/>
              <w:left w:val="single" w:color="auto" w:sz="4" w:space="0"/>
              <w:bottom w:val="single" w:color="auto" w:sz="4" w:space="0"/>
              <w:right w:val="single" w:color="auto" w:sz="4" w:space="0"/>
            </w:tcBorders>
            <w:noWrap w:val="0"/>
            <w:vAlign w:val="center"/>
          </w:tcPr>
          <w:p w14:paraId="4204F8F4">
            <w:pPr>
              <w:pageBreakBefore w:val="0"/>
              <w:widowControl/>
              <w:kinsoku/>
              <w:overflowPunct/>
              <w:bidi w:val="0"/>
              <w:spacing w:line="360" w:lineRule="auto"/>
              <w:jc w:val="center"/>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项目编号</w:t>
            </w:r>
          </w:p>
        </w:tc>
        <w:tc>
          <w:tcPr>
            <w:tcW w:w="6015" w:type="dxa"/>
            <w:tcBorders>
              <w:top w:val="single" w:color="auto" w:sz="4" w:space="0"/>
              <w:left w:val="single" w:color="auto" w:sz="4" w:space="0"/>
              <w:bottom w:val="single" w:color="auto" w:sz="4" w:space="0"/>
              <w:right w:val="single" w:color="auto" w:sz="4" w:space="0"/>
            </w:tcBorders>
            <w:noWrap w:val="0"/>
            <w:vAlign w:val="center"/>
          </w:tcPr>
          <w:p w14:paraId="6F8A6293">
            <w:pPr>
              <w:pageBreakBefore w:val="0"/>
              <w:widowControl/>
              <w:kinsoku/>
              <w:overflowPunct/>
              <w:bidi w:val="0"/>
              <w:spacing w:line="360" w:lineRule="auto"/>
              <w:jc w:val="both"/>
              <w:rPr>
                <w:rFonts w:hint="eastAsia" w:ascii="宋体" w:hAnsi="宋体" w:eastAsia="宋体" w:cs="宋体"/>
                <w:b/>
                <w:bCs/>
                <w:color w:val="auto"/>
                <w:szCs w:val="21"/>
                <w:highlight w:val="none"/>
              </w:rPr>
            </w:pPr>
          </w:p>
        </w:tc>
      </w:tr>
      <w:tr w14:paraId="61103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389" w:type="dxa"/>
            <w:vMerge w:val="restart"/>
            <w:tcBorders>
              <w:top w:val="single" w:color="auto" w:sz="4" w:space="0"/>
              <w:left w:val="single" w:color="auto" w:sz="4" w:space="0"/>
              <w:right w:val="single" w:color="auto" w:sz="4" w:space="0"/>
            </w:tcBorders>
            <w:noWrap w:val="0"/>
            <w:vAlign w:val="center"/>
          </w:tcPr>
          <w:p w14:paraId="3EF47A9C">
            <w:pPr>
              <w:pageBreakBefore w:val="0"/>
              <w:widowControl/>
              <w:kinsoku/>
              <w:overflowPunct/>
              <w:bidi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投标</w:t>
            </w:r>
            <w:r>
              <w:rPr>
                <w:rFonts w:hint="eastAsia" w:ascii="宋体" w:hAnsi="宋体" w:eastAsia="宋体" w:cs="宋体"/>
                <w:color w:val="auto"/>
                <w:szCs w:val="21"/>
                <w:highlight w:val="none"/>
                <w:lang w:val="en-US" w:eastAsia="zh-CN"/>
              </w:rPr>
              <w:t>总</w:t>
            </w:r>
            <w:r>
              <w:rPr>
                <w:rFonts w:hint="eastAsia" w:ascii="宋体" w:hAnsi="宋体" w:eastAsia="宋体" w:cs="宋体"/>
                <w:color w:val="auto"/>
                <w:szCs w:val="21"/>
                <w:highlight w:val="none"/>
                <w:lang w:eastAsia="zh-CN"/>
              </w:rPr>
              <w:t>报价</w:t>
            </w:r>
          </w:p>
        </w:tc>
        <w:tc>
          <w:tcPr>
            <w:tcW w:w="6015" w:type="dxa"/>
            <w:tcBorders>
              <w:top w:val="single" w:color="auto" w:sz="4" w:space="0"/>
              <w:left w:val="single" w:color="auto" w:sz="4" w:space="0"/>
              <w:right w:val="single" w:color="auto" w:sz="4" w:space="0"/>
            </w:tcBorders>
            <w:noWrap w:val="0"/>
            <w:vAlign w:val="center"/>
          </w:tcPr>
          <w:p w14:paraId="1BCCDC92">
            <w:pPr>
              <w:spacing w:line="360" w:lineRule="auto"/>
              <w:rPr>
                <w:rFonts w:hint="eastAsia" w:ascii="宋体" w:hAnsi="宋体" w:eastAsia="宋体" w:cs="宋体"/>
                <w:b/>
                <w:bCs/>
                <w:color w:val="auto"/>
                <w:szCs w:val="21"/>
                <w:highlight w:val="none"/>
              </w:rPr>
            </w:pPr>
            <w:r>
              <w:rPr>
                <w:rFonts w:hint="eastAsia" w:ascii="宋体" w:hAnsi="宋体" w:eastAsia="宋体" w:cs="宋体"/>
                <w:bCs/>
                <w:color w:val="auto"/>
                <w:szCs w:val="21"/>
                <w:highlight w:val="none"/>
              </w:rPr>
              <w:t>小写：</w:t>
            </w:r>
            <w:r>
              <w:rPr>
                <w:rFonts w:hint="eastAsia" w:ascii="宋体" w:hAnsi="宋体" w:eastAsia="宋体" w:cs="宋体"/>
                <w:color w:val="auto"/>
                <w:szCs w:val="21"/>
                <w:highlight w:val="none"/>
              </w:rPr>
              <w:t>¥</w:t>
            </w:r>
            <w:r>
              <w:rPr>
                <w:rFonts w:hint="eastAsia" w:ascii="宋体" w:hAnsi="宋体" w:eastAsia="宋体" w:cs="宋体"/>
                <w:bCs/>
                <w:color w:val="auto"/>
                <w:szCs w:val="21"/>
                <w:highlight w:val="none"/>
                <w:u w:val="single"/>
              </w:rPr>
              <w:t xml:space="preserve">                 </w:t>
            </w:r>
            <w:r>
              <w:rPr>
                <w:rFonts w:hint="eastAsia" w:ascii="宋体" w:hAnsi="宋体" w:eastAsia="宋体" w:cs="宋体"/>
                <w:bCs/>
                <w:color w:val="auto"/>
                <w:szCs w:val="21"/>
                <w:highlight w:val="none"/>
              </w:rPr>
              <w:t>元</w:t>
            </w:r>
          </w:p>
        </w:tc>
      </w:tr>
      <w:tr w14:paraId="296B8E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389" w:type="dxa"/>
            <w:vMerge w:val="continue"/>
            <w:tcBorders>
              <w:left w:val="single" w:color="auto" w:sz="4" w:space="0"/>
              <w:right w:val="single" w:color="auto" w:sz="4" w:space="0"/>
            </w:tcBorders>
            <w:noWrap w:val="0"/>
            <w:vAlign w:val="center"/>
          </w:tcPr>
          <w:p w14:paraId="3DAA3CD1">
            <w:pPr>
              <w:pageBreakBefore w:val="0"/>
              <w:kinsoku/>
              <w:overflowPunct/>
              <w:bidi w:val="0"/>
              <w:spacing w:line="360" w:lineRule="auto"/>
              <w:rPr>
                <w:rFonts w:hint="eastAsia" w:ascii="宋体" w:hAnsi="宋体" w:eastAsia="宋体" w:cs="宋体"/>
                <w:color w:val="auto"/>
                <w:highlight w:val="none"/>
              </w:rPr>
            </w:pPr>
          </w:p>
        </w:tc>
        <w:tc>
          <w:tcPr>
            <w:tcW w:w="6015" w:type="dxa"/>
            <w:tcBorders>
              <w:top w:val="single" w:color="auto" w:sz="4" w:space="0"/>
              <w:left w:val="single" w:color="auto" w:sz="4" w:space="0"/>
              <w:right w:val="single" w:color="auto" w:sz="4" w:space="0"/>
            </w:tcBorders>
            <w:noWrap w:val="0"/>
            <w:vAlign w:val="center"/>
          </w:tcPr>
          <w:p w14:paraId="2F819D51">
            <w:pPr>
              <w:spacing w:line="360" w:lineRule="auto"/>
              <w:rPr>
                <w:rFonts w:hint="eastAsia" w:ascii="宋体" w:hAnsi="宋体" w:eastAsia="宋体" w:cs="宋体"/>
                <w:color w:val="auto"/>
                <w:szCs w:val="21"/>
                <w:highlight w:val="none"/>
              </w:rPr>
            </w:pPr>
            <w:r>
              <w:rPr>
                <w:rFonts w:hint="eastAsia" w:ascii="宋体" w:hAnsi="宋体" w:eastAsia="宋体" w:cs="宋体"/>
                <w:bCs/>
                <w:color w:val="auto"/>
                <w:szCs w:val="21"/>
                <w:highlight w:val="none"/>
              </w:rPr>
              <w:t>大写：</w:t>
            </w:r>
            <w:r>
              <w:rPr>
                <w:rFonts w:hint="eastAsia" w:ascii="宋体" w:hAnsi="宋体" w:eastAsia="宋体" w:cs="宋体"/>
                <w:bCs/>
                <w:color w:val="auto"/>
                <w:szCs w:val="21"/>
                <w:highlight w:val="none"/>
                <w:u w:val="single"/>
              </w:rPr>
              <w:t xml:space="preserve">                 </w:t>
            </w:r>
          </w:p>
        </w:tc>
      </w:tr>
      <w:tr w14:paraId="66077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389" w:type="dxa"/>
            <w:tcBorders>
              <w:top w:val="single" w:color="auto" w:sz="4" w:space="0"/>
              <w:left w:val="single" w:color="auto" w:sz="4" w:space="0"/>
              <w:right w:val="single" w:color="auto" w:sz="4" w:space="0"/>
            </w:tcBorders>
            <w:noWrap w:val="0"/>
            <w:vAlign w:val="center"/>
          </w:tcPr>
          <w:p w14:paraId="5DC4EED5">
            <w:pPr>
              <w:pageBreakBefore w:val="0"/>
              <w:widowControl/>
              <w:kinsoku/>
              <w:overflowPunct/>
              <w:bidi w:val="0"/>
              <w:spacing w:line="360" w:lineRule="auto"/>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交货及安装调试期</w:t>
            </w:r>
          </w:p>
        </w:tc>
        <w:tc>
          <w:tcPr>
            <w:tcW w:w="6015" w:type="dxa"/>
            <w:tcBorders>
              <w:top w:val="single" w:color="auto" w:sz="4" w:space="0"/>
              <w:left w:val="single" w:color="auto" w:sz="4" w:space="0"/>
              <w:right w:val="single" w:color="auto" w:sz="4" w:space="0"/>
            </w:tcBorders>
            <w:noWrap w:val="0"/>
            <w:vAlign w:val="center"/>
          </w:tcPr>
          <w:p w14:paraId="2F54855A">
            <w:pPr>
              <w:pageBreakBefore w:val="0"/>
              <w:widowControl/>
              <w:kinsoku/>
              <w:overflowPunct/>
              <w:bidi w:val="0"/>
              <w:spacing w:line="360" w:lineRule="auto"/>
              <w:jc w:val="center"/>
              <w:rPr>
                <w:rFonts w:hint="eastAsia" w:ascii="宋体" w:hAnsi="宋体" w:eastAsia="宋体" w:cs="宋体"/>
                <w:b/>
                <w:bCs/>
                <w:color w:val="auto"/>
                <w:szCs w:val="21"/>
                <w:highlight w:val="none"/>
              </w:rPr>
            </w:pPr>
          </w:p>
        </w:tc>
      </w:tr>
      <w:tr w14:paraId="3F40FF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389" w:type="dxa"/>
            <w:tcBorders>
              <w:top w:val="single" w:color="auto" w:sz="4" w:space="0"/>
              <w:left w:val="single" w:color="auto" w:sz="4" w:space="0"/>
              <w:bottom w:val="single" w:color="auto" w:sz="4" w:space="0"/>
              <w:right w:val="single" w:color="auto" w:sz="4" w:space="0"/>
            </w:tcBorders>
            <w:noWrap w:val="0"/>
            <w:vAlign w:val="center"/>
          </w:tcPr>
          <w:p w14:paraId="28AD537A">
            <w:pPr>
              <w:pageBreakBefore w:val="0"/>
              <w:widowControl/>
              <w:kinsoku/>
              <w:overflowPunct/>
              <w:bidi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交货地点</w:t>
            </w:r>
          </w:p>
        </w:tc>
        <w:tc>
          <w:tcPr>
            <w:tcW w:w="6015" w:type="dxa"/>
            <w:tcBorders>
              <w:top w:val="single" w:color="auto" w:sz="4" w:space="0"/>
              <w:left w:val="single" w:color="auto" w:sz="4" w:space="0"/>
              <w:bottom w:val="single" w:color="auto" w:sz="4" w:space="0"/>
              <w:right w:val="single" w:color="auto" w:sz="4" w:space="0"/>
            </w:tcBorders>
            <w:noWrap w:val="0"/>
            <w:vAlign w:val="center"/>
          </w:tcPr>
          <w:p w14:paraId="258B6945">
            <w:pPr>
              <w:pageBreakBefore w:val="0"/>
              <w:widowControl/>
              <w:kinsoku/>
              <w:overflowPunct/>
              <w:bidi w:val="0"/>
              <w:spacing w:line="360" w:lineRule="auto"/>
              <w:jc w:val="center"/>
              <w:rPr>
                <w:rFonts w:hint="eastAsia" w:ascii="宋体" w:hAnsi="宋体" w:eastAsia="宋体" w:cs="宋体"/>
                <w:color w:val="auto"/>
                <w:szCs w:val="21"/>
                <w:highlight w:val="none"/>
              </w:rPr>
            </w:pPr>
          </w:p>
        </w:tc>
      </w:tr>
      <w:tr w14:paraId="04A822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389" w:type="dxa"/>
            <w:tcBorders>
              <w:top w:val="single" w:color="auto" w:sz="4" w:space="0"/>
              <w:left w:val="single" w:color="auto" w:sz="4" w:space="0"/>
              <w:bottom w:val="single" w:color="auto" w:sz="4" w:space="0"/>
              <w:right w:val="single" w:color="auto" w:sz="4" w:space="0"/>
            </w:tcBorders>
            <w:noWrap w:val="0"/>
            <w:vAlign w:val="center"/>
          </w:tcPr>
          <w:p w14:paraId="18432150">
            <w:pPr>
              <w:pageBreakBefore w:val="0"/>
              <w:widowControl/>
              <w:kinsoku/>
              <w:overflowPunct/>
              <w:bidi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质量标准</w:t>
            </w:r>
          </w:p>
        </w:tc>
        <w:tc>
          <w:tcPr>
            <w:tcW w:w="6015" w:type="dxa"/>
            <w:tcBorders>
              <w:top w:val="single" w:color="auto" w:sz="4" w:space="0"/>
              <w:left w:val="single" w:color="auto" w:sz="4" w:space="0"/>
              <w:bottom w:val="single" w:color="auto" w:sz="4" w:space="0"/>
              <w:right w:val="single" w:color="auto" w:sz="4" w:space="0"/>
            </w:tcBorders>
            <w:noWrap w:val="0"/>
            <w:vAlign w:val="center"/>
          </w:tcPr>
          <w:p w14:paraId="6A6F7421">
            <w:pPr>
              <w:pageBreakBefore w:val="0"/>
              <w:widowControl/>
              <w:kinsoku/>
              <w:overflowPunct/>
              <w:bidi w:val="0"/>
              <w:spacing w:line="360" w:lineRule="auto"/>
              <w:jc w:val="center"/>
              <w:rPr>
                <w:rFonts w:hint="eastAsia" w:ascii="宋体" w:hAnsi="宋体" w:eastAsia="宋体" w:cs="宋体"/>
                <w:color w:val="auto"/>
                <w:szCs w:val="21"/>
                <w:highlight w:val="none"/>
              </w:rPr>
            </w:pPr>
          </w:p>
        </w:tc>
      </w:tr>
      <w:tr w14:paraId="06B3B0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389" w:type="dxa"/>
            <w:tcBorders>
              <w:top w:val="single" w:color="auto" w:sz="4" w:space="0"/>
              <w:left w:val="single" w:color="auto" w:sz="4" w:space="0"/>
              <w:bottom w:val="single" w:color="auto" w:sz="4" w:space="0"/>
              <w:right w:val="single" w:color="auto" w:sz="4" w:space="0"/>
            </w:tcBorders>
            <w:noWrap w:val="0"/>
            <w:vAlign w:val="center"/>
          </w:tcPr>
          <w:p w14:paraId="55136A7C">
            <w:pPr>
              <w:pageBreakBefore w:val="0"/>
              <w:widowControl/>
              <w:kinsoku/>
              <w:overflowPunct/>
              <w:bidi w:val="0"/>
              <w:spacing w:line="360" w:lineRule="auto"/>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质量保证期</w:t>
            </w:r>
          </w:p>
        </w:tc>
        <w:tc>
          <w:tcPr>
            <w:tcW w:w="6015" w:type="dxa"/>
            <w:tcBorders>
              <w:top w:val="single" w:color="auto" w:sz="4" w:space="0"/>
              <w:left w:val="single" w:color="auto" w:sz="4" w:space="0"/>
              <w:bottom w:val="single" w:color="auto" w:sz="4" w:space="0"/>
              <w:right w:val="single" w:color="auto" w:sz="4" w:space="0"/>
            </w:tcBorders>
            <w:noWrap w:val="0"/>
            <w:vAlign w:val="center"/>
          </w:tcPr>
          <w:p w14:paraId="0976D7A8">
            <w:pPr>
              <w:pageBreakBefore w:val="0"/>
              <w:widowControl/>
              <w:kinsoku/>
              <w:overflowPunct/>
              <w:bidi w:val="0"/>
              <w:spacing w:line="360" w:lineRule="auto"/>
              <w:jc w:val="center"/>
              <w:rPr>
                <w:rFonts w:hint="eastAsia" w:ascii="宋体" w:hAnsi="宋体" w:eastAsia="宋体" w:cs="宋体"/>
                <w:color w:val="auto"/>
                <w:szCs w:val="21"/>
                <w:highlight w:val="none"/>
              </w:rPr>
            </w:pPr>
          </w:p>
        </w:tc>
      </w:tr>
      <w:tr w14:paraId="24C307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389" w:type="dxa"/>
            <w:tcBorders>
              <w:top w:val="single" w:color="auto" w:sz="4" w:space="0"/>
              <w:left w:val="single" w:color="auto" w:sz="4" w:space="0"/>
              <w:bottom w:val="single" w:color="auto" w:sz="4" w:space="0"/>
              <w:right w:val="single" w:color="auto" w:sz="4" w:space="0"/>
            </w:tcBorders>
            <w:noWrap w:val="0"/>
            <w:vAlign w:val="center"/>
          </w:tcPr>
          <w:p w14:paraId="2A65F9C3">
            <w:pPr>
              <w:pageBreakBefore w:val="0"/>
              <w:widowControl/>
              <w:kinsoku/>
              <w:overflowPunct/>
              <w:bidi w:val="0"/>
              <w:spacing w:line="360" w:lineRule="auto"/>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投标有效期</w:t>
            </w:r>
          </w:p>
        </w:tc>
        <w:tc>
          <w:tcPr>
            <w:tcW w:w="6015" w:type="dxa"/>
            <w:tcBorders>
              <w:top w:val="single" w:color="auto" w:sz="4" w:space="0"/>
              <w:left w:val="single" w:color="auto" w:sz="4" w:space="0"/>
              <w:bottom w:val="single" w:color="auto" w:sz="4" w:space="0"/>
              <w:right w:val="single" w:color="auto" w:sz="4" w:space="0"/>
            </w:tcBorders>
            <w:noWrap w:val="0"/>
            <w:vAlign w:val="center"/>
          </w:tcPr>
          <w:p w14:paraId="1F0D9DF8">
            <w:pPr>
              <w:pageBreakBefore w:val="0"/>
              <w:widowControl/>
              <w:kinsoku/>
              <w:overflowPunct/>
              <w:bidi w:val="0"/>
              <w:spacing w:line="360" w:lineRule="auto"/>
              <w:jc w:val="center"/>
              <w:rPr>
                <w:rFonts w:hint="eastAsia" w:ascii="宋体" w:hAnsi="宋体" w:eastAsia="宋体" w:cs="宋体"/>
                <w:color w:val="auto"/>
                <w:szCs w:val="21"/>
                <w:highlight w:val="none"/>
              </w:rPr>
            </w:pPr>
          </w:p>
        </w:tc>
      </w:tr>
      <w:tr w14:paraId="1548EE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389" w:type="dxa"/>
            <w:tcBorders>
              <w:top w:val="single" w:color="auto" w:sz="4" w:space="0"/>
              <w:left w:val="single" w:color="auto" w:sz="4" w:space="0"/>
              <w:bottom w:val="single" w:color="auto" w:sz="4" w:space="0"/>
              <w:right w:val="single" w:color="auto" w:sz="4" w:space="0"/>
            </w:tcBorders>
            <w:noWrap w:val="0"/>
            <w:vAlign w:val="center"/>
          </w:tcPr>
          <w:p w14:paraId="5CF66521">
            <w:pPr>
              <w:pageBreakBefore w:val="0"/>
              <w:widowControl/>
              <w:kinsoku/>
              <w:overflowPunct/>
              <w:bidi w:val="0"/>
              <w:spacing w:line="360" w:lineRule="auto"/>
              <w:jc w:val="center"/>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其他</w:t>
            </w:r>
          </w:p>
        </w:tc>
        <w:tc>
          <w:tcPr>
            <w:tcW w:w="6015" w:type="dxa"/>
            <w:tcBorders>
              <w:top w:val="single" w:color="auto" w:sz="4" w:space="0"/>
              <w:left w:val="single" w:color="auto" w:sz="4" w:space="0"/>
              <w:bottom w:val="single" w:color="auto" w:sz="4" w:space="0"/>
              <w:right w:val="single" w:color="auto" w:sz="4" w:space="0"/>
            </w:tcBorders>
            <w:noWrap w:val="0"/>
            <w:vAlign w:val="center"/>
          </w:tcPr>
          <w:p w14:paraId="37583A6B">
            <w:pPr>
              <w:pageBreakBefore w:val="0"/>
              <w:widowControl/>
              <w:kinsoku/>
              <w:overflowPunct/>
              <w:bidi w:val="0"/>
              <w:spacing w:line="360" w:lineRule="auto"/>
              <w:jc w:val="center"/>
              <w:rPr>
                <w:rFonts w:hint="eastAsia" w:ascii="宋体" w:hAnsi="宋体" w:eastAsia="宋体" w:cs="宋体"/>
                <w:color w:val="auto"/>
                <w:szCs w:val="21"/>
                <w:highlight w:val="none"/>
              </w:rPr>
            </w:pPr>
          </w:p>
        </w:tc>
      </w:tr>
      <w:tr w14:paraId="2989D6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atLeast"/>
          <w:jc w:val="center"/>
        </w:trPr>
        <w:tc>
          <w:tcPr>
            <w:tcW w:w="8404" w:type="dxa"/>
            <w:gridSpan w:val="2"/>
            <w:tcBorders>
              <w:top w:val="single" w:color="auto" w:sz="4" w:space="0"/>
              <w:left w:val="single" w:color="auto" w:sz="4" w:space="0"/>
              <w:bottom w:val="single" w:color="auto" w:sz="4" w:space="0"/>
              <w:right w:val="single" w:color="auto" w:sz="4" w:space="0"/>
            </w:tcBorders>
            <w:noWrap w:val="0"/>
            <w:vAlign w:val="center"/>
          </w:tcPr>
          <w:p w14:paraId="775FAF3E">
            <w:pPr>
              <w:pageBreakBefore w:val="0"/>
              <w:widowControl/>
              <w:kinsoku/>
              <w:overflowPunct/>
              <w:bidi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 xml:space="preserve">注： </w:t>
            </w:r>
          </w:p>
          <w:p w14:paraId="054A6287">
            <w:pPr>
              <w:pageBreakBefore w:val="0"/>
              <w:widowControl/>
              <w:kinsoku/>
              <w:overflowPunct/>
              <w:bidi w:val="0"/>
              <w:spacing w:line="360" w:lineRule="auto"/>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 xml:space="preserve">1、本汇总表必须按要求认真填写，不得缺项。 </w:t>
            </w:r>
          </w:p>
          <w:p w14:paraId="5FF61724">
            <w:pPr>
              <w:widowControl w:val="0"/>
              <w:numPr>
                <w:ilvl w:val="0"/>
                <w:numId w:val="0"/>
              </w:numPr>
              <w:autoSpaceDE w:val="0"/>
              <w:autoSpaceDN w:val="0"/>
              <w:adjustRightInd w:val="0"/>
              <w:spacing w:line="360" w:lineRule="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2、本表投标报价应与投标文件中投标报价一览表的总报价一致。</w:t>
            </w:r>
          </w:p>
          <w:p w14:paraId="1B3A8F90">
            <w:pPr>
              <w:widowControl w:val="0"/>
              <w:numPr>
                <w:ilvl w:val="0"/>
                <w:numId w:val="0"/>
              </w:numPr>
              <w:autoSpaceDE w:val="0"/>
              <w:autoSpaceDN w:val="0"/>
              <w:adjustRightInd w:val="0"/>
              <w:spacing w:line="360" w:lineRule="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3、河南省公共资源交易中心系统中的开标一览表为模板，格式无法修改，以投标正文中的开标一览表为准。</w:t>
            </w:r>
          </w:p>
          <w:p w14:paraId="5779DF4D">
            <w:pPr>
              <w:pageBreakBefore w:val="0"/>
              <w:widowControl/>
              <w:kinsoku/>
              <w:overflowPunct/>
              <w:bidi w:val="0"/>
              <w:spacing w:line="360" w:lineRule="auto"/>
              <w:jc w:val="left"/>
              <w:rPr>
                <w:rFonts w:hint="eastAsia" w:ascii="宋体" w:hAnsi="宋体" w:eastAsia="宋体" w:cs="宋体"/>
                <w:color w:val="auto"/>
                <w:highlight w:val="none"/>
                <w:lang w:val="en-US"/>
              </w:rPr>
            </w:pPr>
          </w:p>
        </w:tc>
      </w:tr>
    </w:tbl>
    <w:p w14:paraId="041F5A42">
      <w:pPr>
        <w:pageBreakBefore w:val="0"/>
        <w:kinsoku/>
        <w:overflowPunct/>
        <w:bidi w:val="0"/>
        <w:spacing w:line="360" w:lineRule="auto"/>
        <w:ind w:firstLine="3360" w:firstLineChars="1600"/>
        <w:rPr>
          <w:rFonts w:hint="eastAsia" w:ascii="宋体" w:hAnsi="宋体" w:eastAsia="宋体" w:cs="宋体"/>
          <w:b w:val="0"/>
          <w:bCs/>
          <w:color w:val="auto"/>
          <w:szCs w:val="21"/>
          <w:highlight w:val="none"/>
        </w:rPr>
      </w:pPr>
      <w:r>
        <w:rPr>
          <w:rFonts w:hint="eastAsia" w:ascii="宋体" w:hAnsi="宋体" w:eastAsia="宋体" w:cs="宋体"/>
          <w:color w:val="auto"/>
          <w:kern w:val="0"/>
          <w:sz w:val="21"/>
          <w:szCs w:val="21"/>
          <w:highlight w:val="none"/>
          <w:lang w:eastAsia="zh-CN"/>
        </w:rPr>
        <w:t>投</w:t>
      </w:r>
      <w:r>
        <w:rPr>
          <w:rFonts w:hint="eastAsia" w:ascii="宋体" w:hAnsi="宋体" w:eastAsia="宋体" w:cs="宋体"/>
          <w:color w:val="auto"/>
          <w:kern w:val="0"/>
          <w:sz w:val="21"/>
          <w:szCs w:val="21"/>
          <w:highlight w:val="none"/>
          <w:lang w:val="en-US" w:eastAsia="zh-CN"/>
        </w:rPr>
        <w:t xml:space="preserve"> </w:t>
      </w:r>
      <w:r>
        <w:rPr>
          <w:rFonts w:hint="eastAsia" w:ascii="宋体" w:hAnsi="宋体" w:eastAsia="宋体" w:cs="宋体"/>
          <w:color w:val="auto"/>
          <w:kern w:val="0"/>
          <w:sz w:val="21"/>
          <w:szCs w:val="21"/>
          <w:highlight w:val="none"/>
          <w:lang w:eastAsia="zh-CN"/>
        </w:rPr>
        <w:t>标</w:t>
      </w:r>
      <w:r>
        <w:rPr>
          <w:rFonts w:hint="eastAsia" w:ascii="宋体" w:hAnsi="宋体" w:eastAsia="宋体" w:cs="宋体"/>
          <w:color w:val="auto"/>
          <w:kern w:val="0"/>
          <w:sz w:val="21"/>
          <w:szCs w:val="21"/>
          <w:highlight w:val="none"/>
          <w:lang w:val="en-US" w:eastAsia="zh-CN"/>
        </w:rPr>
        <w:t xml:space="preserve"> </w:t>
      </w:r>
      <w:r>
        <w:rPr>
          <w:rFonts w:hint="eastAsia" w:ascii="宋体" w:hAnsi="宋体" w:eastAsia="宋体" w:cs="宋体"/>
          <w:color w:val="auto"/>
          <w:kern w:val="0"/>
          <w:sz w:val="21"/>
          <w:szCs w:val="21"/>
          <w:highlight w:val="none"/>
          <w:lang w:eastAsia="zh-CN"/>
        </w:rPr>
        <w:t>人</w:t>
      </w:r>
      <w:r>
        <w:rPr>
          <w:rFonts w:hint="eastAsia" w:ascii="宋体" w:hAnsi="宋体" w:eastAsia="宋体" w:cs="宋体"/>
          <w:b w:val="0"/>
          <w:bCs/>
          <w:color w:val="auto"/>
          <w:szCs w:val="21"/>
          <w:highlight w:val="none"/>
        </w:rPr>
        <w:t>：</w:t>
      </w:r>
      <w:r>
        <w:rPr>
          <w:rFonts w:hint="eastAsia" w:ascii="宋体" w:hAnsi="宋体" w:eastAsia="宋体" w:cs="宋体"/>
          <w:b w:val="0"/>
          <w:bCs/>
          <w:color w:val="auto"/>
          <w:szCs w:val="21"/>
          <w:highlight w:val="none"/>
          <w:u w:val="single"/>
        </w:rPr>
        <w:t xml:space="preserve"> </w:t>
      </w:r>
      <w:r>
        <w:rPr>
          <w:rFonts w:hint="eastAsia" w:ascii="宋体" w:hAnsi="宋体" w:eastAsia="宋体" w:cs="宋体"/>
          <w:b w:val="0"/>
          <w:bCs/>
          <w:color w:val="auto"/>
          <w:szCs w:val="21"/>
          <w:highlight w:val="none"/>
          <w:u w:val="single"/>
          <w:lang w:val="en-US" w:eastAsia="zh-CN"/>
        </w:rPr>
        <w:t xml:space="preserve">                     </w:t>
      </w:r>
      <w:r>
        <w:rPr>
          <w:rFonts w:hint="eastAsia" w:ascii="宋体" w:hAnsi="宋体" w:eastAsia="宋体" w:cs="宋体"/>
          <w:b w:val="0"/>
          <w:bCs/>
          <w:color w:val="auto"/>
          <w:szCs w:val="21"/>
          <w:highlight w:val="none"/>
        </w:rPr>
        <w:t>（</w:t>
      </w:r>
      <w:r>
        <w:rPr>
          <w:rFonts w:hint="eastAsia" w:ascii="宋体" w:hAnsi="宋体" w:eastAsia="宋体" w:cs="宋体"/>
          <w:b w:val="0"/>
          <w:bCs/>
          <w:color w:val="auto"/>
          <w:szCs w:val="21"/>
          <w:highlight w:val="none"/>
          <w:lang w:eastAsia="zh-CN"/>
        </w:rPr>
        <w:t>盖章</w:t>
      </w:r>
      <w:r>
        <w:rPr>
          <w:rFonts w:hint="eastAsia" w:ascii="宋体" w:hAnsi="宋体" w:eastAsia="宋体" w:cs="宋体"/>
          <w:b w:val="0"/>
          <w:bCs/>
          <w:color w:val="auto"/>
          <w:szCs w:val="21"/>
          <w:highlight w:val="none"/>
        </w:rPr>
        <w:t>）</w:t>
      </w:r>
    </w:p>
    <w:p w14:paraId="3C157807">
      <w:pPr>
        <w:pageBreakBefore w:val="0"/>
        <w:kinsoku/>
        <w:overflowPunct/>
        <w:bidi w:val="0"/>
        <w:spacing w:line="360" w:lineRule="auto"/>
        <w:ind w:firstLine="3360" w:firstLineChars="1600"/>
        <w:rPr>
          <w:rFonts w:hint="eastAsia" w:ascii="宋体" w:hAnsi="宋体" w:eastAsia="宋体" w:cs="宋体"/>
          <w:b w:val="0"/>
          <w:bCs/>
          <w:color w:val="auto"/>
          <w:szCs w:val="21"/>
          <w:highlight w:val="none"/>
        </w:rPr>
      </w:pPr>
      <w:r>
        <w:rPr>
          <w:rFonts w:hint="eastAsia" w:ascii="宋体" w:hAnsi="宋体" w:eastAsia="宋体" w:cs="宋体"/>
          <w:b w:val="0"/>
          <w:bCs/>
          <w:color w:val="auto"/>
          <w:szCs w:val="21"/>
          <w:highlight w:val="none"/>
        </w:rPr>
        <w:t>法定代表人或其委托代理人：</w:t>
      </w:r>
      <w:r>
        <w:rPr>
          <w:rFonts w:hint="eastAsia" w:ascii="宋体" w:hAnsi="宋体" w:eastAsia="宋体" w:cs="宋体"/>
          <w:b w:val="0"/>
          <w:bCs/>
          <w:color w:val="auto"/>
          <w:szCs w:val="21"/>
          <w:highlight w:val="none"/>
          <w:u w:val="single"/>
        </w:rPr>
        <w:t xml:space="preserve"> </w:t>
      </w:r>
      <w:r>
        <w:rPr>
          <w:rFonts w:hint="eastAsia" w:ascii="宋体" w:hAnsi="宋体" w:eastAsia="宋体" w:cs="宋体"/>
          <w:b w:val="0"/>
          <w:bCs/>
          <w:color w:val="auto"/>
          <w:szCs w:val="21"/>
          <w:highlight w:val="none"/>
          <w:u w:val="single"/>
          <w:lang w:val="en-US" w:eastAsia="zh-CN"/>
        </w:rPr>
        <w:t xml:space="preserve">       </w:t>
      </w:r>
      <w:r>
        <w:rPr>
          <w:rFonts w:hint="eastAsia" w:ascii="宋体" w:hAnsi="宋体" w:eastAsia="宋体" w:cs="宋体"/>
          <w:b w:val="0"/>
          <w:bCs/>
          <w:color w:val="auto"/>
          <w:szCs w:val="21"/>
          <w:highlight w:val="none"/>
        </w:rPr>
        <w:t>（</w:t>
      </w:r>
      <w:r>
        <w:rPr>
          <w:rFonts w:hint="eastAsia" w:ascii="宋体" w:hAnsi="宋体" w:eastAsia="宋体" w:cs="宋体"/>
          <w:color w:val="auto"/>
          <w:szCs w:val="21"/>
          <w:highlight w:val="none"/>
        </w:rPr>
        <w:t>签字或盖章</w:t>
      </w:r>
      <w:r>
        <w:rPr>
          <w:rFonts w:hint="eastAsia" w:ascii="宋体" w:hAnsi="宋体" w:eastAsia="宋体" w:cs="宋体"/>
          <w:b w:val="0"/>
          <w:bCs/>
          <w:color w:val="auto"/>
          <w:szCs w:val="21"/>
          <w:highlight w:val="none"/>
        </w:rPr>
        <w:t>）</w:t>
      </w:r>
    </w:p>
    <w:p w14:paraId="2132C1C2">
      <w:pPr>
        <w:keepNext w:val="0"/>
        <w:keepLines w:val="0"/>
        <w:pageBreakBefore w:val="0"/>
        <w:widowControl w:val="0"/>
        <w:tabs>
          <w:tab w:val="left" w:pos="5380"/>
          <w:tab w:val="left" w:pos="6520"/>
          <w:tab w:val="left" w:pos="7680"/>
        </w:tabs>
        <w:kinsoku/>
        <w:wordWrap/>
        <w:overflowPunct/>
        <w:topLinePunct w:val="0"/>
        <w:autoSpaceDE w:val="0"/>
        <w:autoSpaceDN w:val="0"/>
        <w:bidi w:val="0"/>
        <w:adjustRightInd w:val="0"/>
        <w:snapToGrid/>
        <w:spacing w:line="360" w:lineRule="auto"/>
        <w:ind w:right="-23" w:rightChars="0" w:firstLine="4620" w:firstLineChars="2200"/>
        <w:jc w:val="left"/>
        <w:textAlignment w:val="auto"/>
        <w:outlineLvl w:val="9"/>
        <w:rPr>
          <w:rFonts w:hint="eastAsia" w:ascii="宋体" w:hAnsi="宋体" w:eastAsia="宋体" w:cs="宋体"/>
          <w:b w:val="0"/>
          <w:bCs/>
          <w:color w:val="auto"/>
          <w:kern w:val="0"/>
          <w:sz w:val="21"/>
          <w:szCs w:val="21"/>
          <w:highlight w:val="none"/>
        </w:rPr>
      </w:pPr>
      <w:r>
        <w:rPr>
          <w:rFonts w:hint="eastAsia" w:ascii="宋体" w:hAnsi="宋体" w:eastAsia="宋体" w:cs="宋体"/>
          <w:b w:val="0"/>
          <w:bCs/>
          <w:color w:val="auto"/>
          <w:kern w:val="0"/>
          <w:sz w:val="21"/>
          <w:szCs w:val="21"/>
          <w:highlight w:val="none"/>
          <w:u w:val="single"/>
        </w:rPr>
        <w:t xml:space="preserve">     </w:t>
      </w:r>
      <w:r>
        <w:rPr>
          <w:rFonts w:hint="eastAsia" w:ascii="宋体" w:hAnsi="宋体" w:eastAsia="宋体" w:cs="宋体"/>
          <w:b w:val="0"/>
          <w:bCs/>
          <w:color w:val="auto"/>
          <w:spacing w:val="43"/>
          <w:kern w:val="0"/>
          <w:sz w:val="21"/>
          <w:szCs w:val="21"/>
          <w:highlight w:val="none"/>
          <w:u w:val="single"/>
        </w:rPr>
        <w:t xml:space="preserve"> </w:t>
      </w:r>
      <w:r>
        <w:rPr>
          <w:rFonts w:hint="eastAsia" w:ascii="宋体" w:hAnsi="宋体" w:eastAsia="宋体" w:cs="宋体"/>
          <w:b w:val="0"/>
          <w:bCs/>
          <w:color w:val="auto"/>
          <w:kern w:val="0"/>
          <w:sz w:val="21"/>
          <w:szCs w:val="21"/>
          <w:highlight w:val="none"/>
        </w:rPr>
        <w:t>年</w:t>
      </w:r>
      <w:r>
        <w:rPr>
          <w:rFonts w:hint="eastAsia" w:ascii="宋体" w:hAnsi="宋体" w:eastAsia="宋体" w:cs="宋体"/>
          <w:b w:val="0"/>
          <w:bCs/>
          <w:color w:val="auto"/>
          <w:kern w:val="0"/>
          <w:sz w:val="21"/>
          <w:szCs w:val="21"/>
          <w:highlight w:val="none"/>
          <w:u w:val="single"/>
        </w:rPr>
        <w:t xml:space="preserve">       </w:t>
      </w:r>
      <w:r>
        <w:rPr>
          <w:rFonts w:hint="eastAsia" w:ascii="宋体" w:hAnsi="宋体" w:eastAsia="宋体" w:cs="宋体"/>
          <w:b w:val="0"/>
          <w:bCs/>
          <w:color w:val="auto"/>
          <w:kern w:val="0"/>
          <w:sz w:val="21"/>
          <w:szCs w:val="21"/>
          <w:highlight w:val="none"/>
        </w:rPr>
        <w:t>月</w:t>
      </w:r>
      <w:r>
        <w:rPr>
          <w:rFonts w:hint="eastAsia" w:ascii="宋体" w:hAnsi="宋体" w:eastAsia="宋体" w:cs="宋体"/>
          <w:b w:val="0"/>
          <w:bCs/>
          <w:color w:val="auto"/>
          <w:kern w:val="0"/>
          <w:sz w:val="21"/>
          <w:szCs w:val="21"/>
          <w:highlight w:val="none"/>
          <w:u w:val="single"/>
          <w:lang w:val="en-US" w:eastAsia="zh-CN"/>
        </w:rPr>
        <w:t xml:space="preserve">      </w:t>
      </w:r>
      <w:r>
        <w:rPr>
          <w:rFonts w:hint="eastAsia" w:ascii="宋体" w:hAnsi="宋体" w:eastAsia="宋体" w:cs="宋体"/>
          <w:b w:val="0"/>
          <w:bCs/>
          <w:color w:val="auto"/>
          <w:kern w:val="0"/>
          <w:sz w:val="21"/>
          <w:szCs w:val="21"/>
          <w:highlight w:val="none"/>
        </w:rPr>
        <w:t>日</w:t>
      </w:r>
    </w:p>
    <w:p w14:paraId="60A8A71D">
      <w:pPr>
        <w:keepNext/>
        <w:keepLines/>
        <w:widowControl w:val="0"/>
        <w:spacing w:line="360" w:lineRule="auto"/>
        <w:ind w:left="425" w:hanging="425"/>
        <w:jc w:val="center"/>
        <w:outlineLvl w:val="2"/>
        <w:rPr>
          <w:rFonts w:hint="eastAsia" w:ascii="宋体" w:hAnsi="宋体" w:eastAsia="宋体" w:cs="宋体"/>
          <w:color w:val="auto"/>
          <w:highlight w:val="none"/>
        </w:rPr>
      </w:pPr>
      <w:r>
        <w:rPr>
          <w:rFonts w:hint="eastAsia" w:ascii="宋体" w:hAnsi="宋体" w:eastAsia="宋体" w:cs="宋体"/>
          <w:b w:val="0"/>
          <w:bCs/>
          <w:color w:val="auto"/>
          <w:kern w:val="0"/>
          <w:sz w:val="21"/>
          <w:szCs w:val="21"/>
          <w:highlight w:val="none"/>
        </w:rPr>
        <w:br w:type="page"/>
      </w:r>
      <w:r>
        <w:rPr>
          <w:rFonts w:hint="eastAsia" w:ascii="宋体" w:hAnsi="宋体" w:eastAsia="宋体" w:cs="宋体"/>
          <w:b/>
          <w:color w:val="auto"/>
          <w:kern w:val="2"/>
          <w:sz w:val="21"/>
          <w:szCs w:val="21"/>
          <w:highlight w:val="none"/>
          <w:lang w:val="en-US" w:eastAsia="zh-CN" w:bidi="ar-SA"/>
        </w:rPr>
        <w:t xml:space="preserve">(二) </w:t>
      </w:r>
      <w:bookmarkStart w:id="753" w:name="_Toc463003911"/>
      <w:bookmarkStart w:id="754" w:name="_Toc495304003"/>
      <w:bookmarkStart w:id="755" w:name="_Toc11980"/>
      <w:r>
        <w:rPr>
          <w:rFonts w:hint="eastAsia" w:ascii="宋体" w:hAnsi="宋体" w:eastAsia="宋体" w:cs="宋体"/>
          <w:b/>
          <w:color w:val="auto"/>
          <w:kern w:val="2"/>
          <w:sz w:val="21"/>
          <w:szCs w:val="21"/>
          <w:highlight w:val="none"/>
          <w:lang w:val="en-US" w:eastAsia="zh-CN" w:bidi="ar-SA"/>
        </w:rPr>
        <w:t>投标报价一览表</w:t>
      </w:r>
      <w:bookmarkEnd w:id="753"/>
      <w:bookmarkEnd w:id="754"/>
      <w:bookmarkEnd w:id="755"/>
    </w:p>
    <w:tbl>
      <w:tblPr>
        <w:tblStyle w:val="36"/>
        <w:tblW w:w="0" w:type="auto"/>
        <w:tblInd w:w="15" w:type="dxa"/>
        <w:tblLayout w:type="fixed"/>
        <w:tblCellMar>
          <w:top w:w="0" w:type="dxa"/>
          <w:left w:w="0" w:type="dxa"/>
          <w:bottom w:w="0" w:type="dxa"/>
          <w:right w:w="0" w:type="dxa"/>
        </w:tblCellMar>
      </w:tblPr>
      <w:tblGrid>
        <w:gridCol w:w="1080"/>
        <w:gridCol w:w="5314"/>
        <w:gridCol w:w="1380"/>
        <w:gridCol w:w="1290"/>
      </w:tblGrid>
      <w:tr w14:paraId="3D254473">
        <w:tblPrEx>
          <w:tblCellMar>
            <w:top w:w="0" w:type="dxa"/>
            <w:left w:w="0" w:type="dxa"/>
            <w:bottom w:w="0" w:type="dxa"/>
            <w:right w:w="0" w:type="dxa"/>
          </w:tblCellMar>
        </w:tblPrEx>
        <w:trPr>
          <w:trHeight w:val="506" w:hRule="atLeast"/>
        </w:trPr>
        <w:tc>
          <w:tcPr>
            <w:tcW w:w="1080"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bottom"/>
          </w:tcPr>
          <w:p w14:paraId="38A6BB85">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序号</w:t>
            </w:r>
          </w:p>
        </w:tc>
        <w:tc>
          <w:tcPr>
            <w:tcW w:w="5314" w:type="dxa"/>
            <w:tcBorders>
              <w:top w:val="single" w:color="auto" w:sz="4" w:space="0"/>
              <w:left w:val="nil"/>
              <w:bottom w:val="single" w:color="auto" w:sz="4" w:space="0"/>
              <w:right w:val="single" w:color="auto" w:sz="4" w:space="0"/>
            </w:tcBorders>
            <w:noWrap w:val="0"/>
            <w:tcMar>
              <w:top w:w="15" w:type="dxa"/>
              <w:left w:w="15" w:type="dxa"/>
              <w:bottom w:w="0" w:type="dxa"/>
              <w:right w:w="15" w:type="dxa"/>
            </w:tcMar>
            <w:vAlign w:val="bottom"/>
          </w:tcPr>
          <w:p w14:paraId="5A8516CB">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项目</w:t>
            </w:r>
          </w:p>
        </w:tc>
        <w:tc>
          <w:tcPr>
            <w:tcW w:w="1380" w:type="dxa"/>
            <w:tcBorders>
              <w:top w:val="single" w:color="auto" w:sz="4" w:space="0"/>
              <w:left w:val="nil"/>
              <w:bottom w:val="single" w:color="auto" w:sz="4" w:space="0"/>
              <w:right w:val="single" w:color="auto" w:sz="4" w:space="0"/>
            </w:tcBorders>
            <w:noWrap w:val="0"/>
            <w:tcMar>
              <w:top w:w="15" w:type="dxa"/>
              <w:left w:w="15" w:type="dxa"/>
              <w:bottom w:w="0" w:type="dxa"/>
              <w:right w:w="15" w:type="dxa"/>
            </w:tcMar>
            <w:vAlign w:val="bottom"/>
          </w:tcPr>
          <w:p w14:paraId="3D6E39BA">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报价</w:t>
            </w:r>
          </w:p>
        </w:tc>
        <w:tc>
          <w:tcPr>
            <w:tcW w:w="1290" w:type="dxa"/>
            <w:tcBorders>
              <w:top w:val="single" w:color="auto" w:sz="4" w:space="0"/>
              <w:left w:val="nil"/>
              <w:bottom w:val="single" w:color="auto" w:sz="4" w:space="0"/>
              <w:right w:val="single" w:color="auto" w:sz="4" w:space="0"/>
            </w:tcBorders>
            <w:noWrap w:val="0"/>
            <w:tcMar>
              <w:top w:w="15" w:type="dxa"/>
              <w:left w:w="15" w:type="dxa"/>
              <w:bottom w:w="0" w:type="dxa"/>
              <w:right w:w="15" w:type="dxa"/>
            </w:tcMar>
            <w:vAlign w:val="bottom"/>
          </w:tcPr>
          <w:p w14:paraId="28090E39">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备注</w:t>
            </w:r>
          </w:p>
        </w:tc>
      </w:tr>
      <w:tr w14:paraId="69750F78">
        <w:tblPrEx>
          <w:tblCellMar>
            <w:top w:w="0" w:type="dxa"/>
            <w:left w:w="0" w:type="dxa"/>
            <w:bottom w:w="0" w:type="dxa"/>
            <w:right w:w="0" w:type="dxa"/>
          </w:tblCellMar>
        </w:tblPrEx>
        <w:trPr>
          <w:trHeight w:val="285" w:hRule="atLeast"/>
        </w:trPr>
        <w:tc>
          <w:tcPr>
            <w:tcW w:w="1080" w:type="dxa"/>
            <w:tcBorders>
              <w:top w:val="nil"/>
              <w:left w:val="single" w:color="auto" w:sz="4" w:space="0"/>
              <w:bottom w:val="single" w:color="auto" w:sz="4" w:space="0"/>
              <w:right w:val="single" w:color="auto" w:sz="4" w:space="0"/>
            </w:tcBorders>
            <w:noWrap w:val="0"/>
            <w:tcMar>
              <w:top w:w="15" w:type="dxa"/>
              <w:left w:w="15" w:type="dxa"/>
              <w:bottom w:w="0" w:type="dxa"/>
              <w:right w:w="15" w:type="dxa"/>
            </w:tcMar>
            <w:vAlign w:val="bottom"/>
          </w:tcPr>
          <w:p w14:paraId="6BE9915A">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w:t>
            </w:r>
          </w:p>
        </w:tc>
        <w:tc>
          <w:tcPr>
            <w:tcW w:w="5314" w:type="dxa"/>
            <w:tcBorders>
              <w:top w:val="nil"/>
              <w:left w:val="nil"/>
              <w:bottom w:val="single" w:color="auto" w:sz="4" w:space="0"/>
              <w:right w:val="single" w:color="auto" w:sz="4" w:space="0"/>
            </w:tcBorders>
            <w:noWrap w:val="0"/>
            <w:tcMar>
              <w:top w:w="15" w:type="dxa"/>
              <w:left w:w="15" w:type="dxa"/>
              <w:bottom w:w="0" w:type="dxa"/>
              <w:right w:w="15" w:type="dxa"/>
            </w:tcMar>
            <w:vAlign w:val="bottom"/>
          </w:tcPr>
          <w:p w14:paraId="77AC254A">
            <w:pPr>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设备费</w:t>
            </w:r>
          </w:p>
        </w:tc>
        <w:tc>
          <w:tcPr>
            <w:tcW w:w="1380" w:type="dxa"/>
            <w:tcBorders>
              <w:top w:val="nil"/>
              <w:left w:val="nil"/>
              <w:bottom w:val="single" w:color="auto" w:sz="4" w:space="0"/>
              <w:right w:val="single" w:color="auto" w:sz="4" w:space="0"/>
            </w:tcBorders>
            <w:noWrap w:val="0"/>
            <w:tcMar>
              <w:top w:w="15" w:type="dxa"/>
              <w:left w:w="15" w:type="dxa"/>
              <w:bottom w:w="0" w:type="dxa"/>
              <w:right w:w="15" w:type="dxa"/>
            </w:tcMar>
            <w:vAlign w:val="bottom"/>
          </w:tcPr>
          <w:p w14:paraId="1E739E76">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t>　</w:t>
            </w:r>
          </w:p>
        </w:tc>
        <w:tc>
          <w:tcPr>
            <w:tcW w:w="1290" w:type="dxa"/>
            <w:tcBorders>
              <w:top w:val="nil"/>
              <w:left w:val="nil"/>
              <w:bottom w:val="single" w:color="auto" w:sz="4" w:space="0"/>
              <w:right w:val="single" w:color="auto" w:sz="4" w:space="0"/>
            </w:tcBorders>
            <w:noWrap w:val="0"/>
            <w:tcMar>
              <w:top w:w="15" w:type="dxa"/>
              <w:left w:w="15" w:type="dxa"/>
              <w:bottom w:w="0" w:type="dxa"/>
              <w:right w:w="15" w:type="dxa"/>
            </w:tcMar>
            <w:vAlign w:val="bottom"/>
          </w:tcPr>
          <w:p w14:paraId="41416D7F">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t>　</w:t>
            </w:r>
          </w:p>
        </w:tc>
      </w:tr>
      <w:tr w14:paraId="241A099A">
        <w:tblPrEx>
          <w:tblCellMar>
            <w:top w:w="0" w:type="dxa"/>
            <w:left w:w="0" w:type="dxa"/>
            <w:bottom w:w="0" w:type="dxa"/>
            <w:right w:w="0" w:type="dxa"/>
          </w:tblCellMar>
        </w:tblPrEx>
        <w:trPr>
          <w:trHeight w:val="285" w:hRule="atLeast"/>
        </w:trPr>
        <w:tc>
          <w:tcPr>
            <w:tcW w:w="1080" w:type="dxa"/>
            <w:tcBorders>
              <w:top w:val="nil"/>
              <w:left w:val="single" w:color="auto" w:sz="4" w:space="0"/>
              <w:bottom w:val="single" w:color="auto" w:sz="4" w:space="0"/>
              <w:right w:val="single" w:color="auto" w:sz="4" w:space="0"/>
            </w:tcBorders>
            <w:noWrap w:val="0"/>
            <w:tcMar>
              <w:top w:w="15" w:type="dxa"/>
              <w:left w:w="15" w:type="dxa"/>
              <w:bottom w:w="0" w:type="dxa"/>
              <w:right w:w="15" w:type="dxa"/>
            </w:tcMar>
            <w:vAlign w:val="bottom"/>
          </w:tcPr>
          <w:p w14:paraId="78AAF703">
            <w:pPr>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2</w:t>
            </w:r>
          </w:p>
        </w:tc>
        <w:tc>
          <w:tcPr>
            <w:tcW w:w="5314" w:type="dxa"/>
            <w:tcBorders>
              <w:top w:val="nil"/>
              <w:left w:val="nil"/>
              <w:bottom w:val="single" w:color="auto" w:sz="4" w:space="0"/>
              <w:right w:val="single" w:color="auto" w:sz="4" w:space="0"/>
            </w:tcBorders>
            <w:noWrap w:val="0"/>
            <w:tcMar>
              <w:top w:w="15" w:type="dxa"/>
              <w:left w:w="15" w:type="dxa"/>
              <w:bottom w:w="0" w:type="dxa"/>
              <w:right w:w="15" w:type="dxa"/>
            </w:tcMar>
            <w:vAlign w:val="bottom"/>
          </w:tcPr>
          <w:p w14:paraId="19E09252">
            <w:pPr>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备品备件和专用工具费</w:t>
            </w:r>
          </w:p>
        </w:tc>
        <w:tc>
          <w:tcPr>
            <w:tcW w:w="1380" w:type="dxa"/>
            <w:tcBorders>
              <w:top w:val="nil"/>
              <w:left w:val="nil"/>
              <w:bottom w:val="single" w:color="auto" w:sz="4" w:space="0"/>
              <w:right w:val="single" w:color="auto" w:sz="4" w:space="0"/>
            </w:tcBorders>
            <w:noWrap w:val="0"/>
            <w:tcMar>
              <w:top w:w="15" w:type="dxa"/>
              <w:left w:w="15" w:type="dxa"/>
              <w:bottom w:w="0" w:type="dxa"/>
              <w:right w:w="15" w:type="dxa"/>
            </w:tcMar>
            <w:vAlign w:val="bottom"/>
          </w:tcPr>
          <w:p w14:paraId="74A3687B">
            <w:pPr>
              <w:rPr>
                <w:rFonts w:hint="eastAsia" w:ascii="宋体" w:hAnsi="宋体" w:eastAsia="宋体" w:cs="宋体"/>
                <w:color w:val="auto"/>
                <w:szCs w:val="21"/>
                <w:highlight w:val="none"/>
              </w:rPr>
            </w:pPr>
          </w:p>
        </w:tc>
        <w:tc>
          <w:tcPr>
            <w:tcW w:w="1290" w:type="dxa"/>
            <w:tcBorders>
              <w:top w:val="nil"/>
              <w:left w:val="nil"/>
              <w:bottom w:val="single" w:color="auto" w:sz="4" w:space="0"/>
              <w:right w:val="single" w:color="auto" w:sz="4" w:space="0"/>
            </w:tcBorders>
            <w:noWrap w:val="0"/>
            <w:tcMar>
              <w:top w:w="15" w:type="dxa"/>
              <w:left w:w="15" w:type="dxa"/>
              <w:bottom w:w="0" w:type="dxa"/>
              <w:right w:w="15" w:type="dxa"/>
            </w:tcMar>
            <w:vAlign w:val="bottom"/>
          </w:tcPr>
          <w:p w14:paraId="1F1FE542">
            <w:pPr>
              <w:rPr>
                <w:rFonts w:hint="eastAsia" w:ascii="宋体" w:hAnsi="宋体" w:eastAsia="宋体" w:cs="宋体"/>
                <w:color w:val="auto"/>
                <w:szCs w:val="21"/>
                <w:highlight w:val="none"/>
              </w:rPr>
            </w:pPr>
          </w:p>
        </w:tc>
      </w:tr>
      <w:tr w14:paraId="0DD6A372">
        <w:tblPrEx>
          <w:tblCellMar>
            <w:top w:w="0" w:type="dxa"/>
            <w:left w:w="0" w:type="dxa"/>
            <w:bottom w:w="0" w:type="dxa"/>
            <w:right w:w="0" w:type="dxa"/>
          </w:tblCellMar>
        </w:tblPrEx>
        <w:trPr>
          <w:trHeight w:val="285" w:hRule="atLeast"/>
        </w:trPr>
        <w:tc>
          <w:tcPr>
            <w:tcW w:w="1080" w:type="dxa"/>
            <w:tcBorders>
              <w:top w:val="nil"/>
              <w:left w:val="single" w:color="auto" w:sz="4" w:space="0"/>
              <w:bottom w:val="single" w:color="auto" w:sz="4" w:space="0"/>
              <w:right w:val="single" w:color="auto" w:sz="4" w:space="0"/>
            </w:tcBorders>
            <w:noWrap w:val="0"/>
            <w:tcMar>
              <w:top w:w="15" w:type="dxa"/>
              <w:left w:w="15" w:type="dxa"/>
              <w:bottom w:w="0" w:type="dxa"/>
              <w:right w:w="15" w:type="dxa"/>
            </w:tcMar>
            <w:vAlign w:val="bottom"/>
          </w:tcPr>
          <w:p w14:paraId="143BC170">
            <w:pPr>
              <w:jc w:val="center"/>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val="en-US" w:eastAsia="zh-CN"/>
              </w:rPr>
              <w:t>3</w:t>
            </w:r>
          </w:p>
        </w:tc>
        <w:tc>
          <w:tcPr>
            <w:tcW w:w="5314" w:type="dxa"/>
            <w:tcBorders>
              <w:top w:val="nil"/>
              <w:left w:val="nil"/>
              <w:bottom w:val="single" w:color="auto" w:sz="4" w:space="0"/>
              <w:right w:val="nil"/>
            </w:tcBorders>
            <w:noWrap w:val="0"/>
            <w:tcMar>
              <w:top w:w="15" w:type="dxa"/>
              <w:left w:w="15" w:type="dxa"/>
              <w:bottom w:w="0" w:type="dxa"/>
              <w:right w:w="15" w:type="dxa"/>
            </w:tcMar>
            <w:vAlign w:val="bottom"/>
          </w:tcPr>
          <w:p w14:paraId="4DE5D2E9">
            <w:pPr>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检验费及伴随的消耗材料费</w:t>
            </w:r>
          </w:p>
        </w:tc>
        <w:tc>
          <w:tcPr>
            <w:tcW w:w="1380" w:type="dxa"/>
            <w:tcBorders>
              <w:top w:val="nil"/>
              <w:left w:val="single" w:color="auto" w:sz="4" w:space="0"/>
              <w:bottom w:val="single" w:color="auto" w:sz="4" w:space="0"/>
              <w:right w:val="single" w:color="auto" w:sz="4" w:space="0"/>
            </w:tcBorders>
            <w:noWrap w:val="0"/>
            <w:tcMar>
              <w:top w:w="15" w:type="dxa"/>
              <w:left w:w="15" w:type="dxa"/>
              <w:bottom w:w="0" w:type="dxa"/>
              <w:right w:w="15" w:type="dxa"/>
            </w:tcMar>
            <w:vAlign w:val="bottom"/>
          </w:tcPr>
          <w:p w14:paraId="3A57956D">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t>　</w:t>
            </w:r>
          </w:p>
        </w:tc>
        <w:tc>
          <w:tcPr>
            <w:tcW w:w="1290" w:type="dxa"/>
            <w:tcBorders>
              <w:top w:val="nil"/>
              <w:left w:val="nil"/>
              <w:bottom w:val="single" w:color="auto" w:sz="4" w:space="0"/>
              <w:right w:val="single" w:color="auto" w:sz="4" w:space="0"/>
            </w:tcBorders>
            <w:noWrap w:val="0"/>
            <w:tcMar>
              <w:top w:w="15" w:type="dxa"/>
              <w:left w:w="15" w:type="dxa"/>
              <w:bottom w:w="0" w:type="dxa"/>
              <w:right w:w="15" w:type="dxa"/>
            </w:tcMar>
            <w:vAlign w:val="bottom"/>
          </w:tcPr>
          <w:p w14:paraId="1DA4FA66">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t>　</w:t>
            </w:r>
          </w:p>
        </w:tc>
      </w:tr>
      <w:tr w14:paraId="18DE7F13">
        <w:tblPrEx>
          <w:tblCellMar>
            <w:top w:w="0" w:type="dxa"/>
            <w:left w:w="0" w:type="dxa"/>
            <w:bottom w:w="0" w:type="dxa"/>
            <w:right w:w="0" w:type="dxa"/>
          </w:tblCellMar>
        </w:tblPrEx>
        <w:trPr>
          <w:trHeight w:val="285" w:hRule="atLeast"/>
        </w:trPr>
        <w:tc>
          <w:tcPr>
            <w:tcW w:w="1080"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bottom"/>
          </w:tcPr>
          <w:p w14:paraId="6A6CDDFC">
            <w:pPr>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4</w:t>
            </w:r>
          </w:p>
        </w:tc>
        <w:tc>
          <w:tcPr>
            <w:tcW w:w="5314" w:type="dxa"/>
            <w:tcBorders>
              <w:top w:val="single" w:color="auto" w:sz="4" w:space="0"/>
              <w:left w:val="nil"/>
              <w:bottom w:val="nil"/>
              <w:right w:val="nil"/>
            </w:tcBorders>
            <w:noWrap w:val="0"/>
            <w:tcMar>
              <w:top w:w="15" w:type="dxa"/>
              <w:left w:w="15" w:type="dxa"/>
              <w:bottom w:w="0" w:type="dxa"/>
              <w:right w:w="15" w:type="dxa"/>
            </w:tcMar>
            <w:vAlign w:val="bottom"/>
          </w:tcPr>
          <w:p w14:paraId="40E5C657">
            <w:pPr>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技术服务费（安装、调试、试车、运行等）</w:t>
            </w:r>
          </w:p>
        </w:tc>
        <w:tc>
          <w:tcPr>
            <w:tcW w:w="1380" w:type="dxa"/>
            <w:tcBorders>
              <w:top w:val="nil"/>
              <w:left w:val="single" w:color="auto" w:sz="4" w:space="0"/>
              <w:bottom w:val="single" w:color="auto" w:sz="4" w:space="0"/>
              <w:right w:val="single" w:color="auto" w:sz="4" w:space="0"/>
            </w:tcBorders>
            <w:noWrap w:val="0"/>
            <w:tcMar>
              <w:top w:w="15" w:type="dxa"/>
              <w:left w:w="15" w:type="dxa"/>
              <w:bottom w:w="0" w:type="dxa"/>
              <w:right w:w="15" w:type="dxa"/>
            </w:tcMar>
            <w:vAlign w:val="bottom"/>
          </w:tcPr>
          <w:p w14:paraId="443E4AE4">
            <w:pPr>
              <w:rPr>
                <w:rFonts w:hint="eastAsia" w:ascii="宋体" w:hAnsi="宋体" w:eastAsia="宋体" w:cs="宋体"/>
                <w:color w:val="auto"/>
                <w:szCs w:val="21"/>
                <w:highlight w:val="none"/>
              </w:rPr>
            </w:pPr>
          </w:p>
        </w:tc>
        <w:tc>
          <w:tcPr>
            <w:tcW w:w="1290" w:type="dxa"/>
            <w:tcBorders>
              <w:top w:val="nil"/>
              <w:left w:val="nil"/>
              <w:bottom w:val="single" w:color="auto" w:sz="4" w:space="0"/>
              <w:right w:val="single" w:color="auto" w:sz="4" w:space="0"/>
            </w:tcBorders>
            <w:noWrap w:val="0"/>
            <w:tcMar>
              <w:top w:w="15" w:type="dxa"/>
              <w:left w:w="15" w:type="dxa"/>
              <w:bottom w:w="0" w:type="dxa"/>
              <w:right w:w="15" w:type="dxa"/>
            </w:tcMar>
            <w:vAlign w:val="bottom"/>
          </w:tcPr>
          <w:p w14:paraId="3104302B">
            <w:pPr>
              <w:rPr>
                <w:rFonts w:hint="eastAsia" w:ascii="宋体" w:hAnsi="宋体" w:eastAsia="宋体" w:cs="宋体"/>
                <w:color w:val="auto"/>
                <w:szCs w:val="21"/>
                <w:highlight w:val="none"/>
              </w:rPr>
            </w:pPr>
          </w:p>
        </w:tc>
      </w:tr>
      <w:tr w14:paraId="1DD802B0">
        <w:tblPrEx>
          <w:tblCellMar>
            <w:top w:w="0" w:type="dxa"/>
            <w:left w:w="0" w:type="dxa"/>
            <w:bottom w:w="0" w:type="dxa"/>
            <w:right w:w="0" w:type="dxa"/>
          </w:tblCellMar>
        </w:tblPrEx>
        <w:trPr>
          <w:trHeight w:val="285" w:hRule="atLeast"/>
        </w:trPr>
        <w:tc>
          <w:tcPr>
            <w:tcW w:w="1080" w:type="dxa"/>
            <w:tcBorders>
              <w:top w:val="nil"/>
              <w:left w:val="single" w:color="auto" w:sz="4" w:space="0"/>
              <w:bottom w:val="single" w:color="auto" w:sz="4" w:space="0"/>
              <w:right w:val="single" w:color="auto" w:sz="4" w:space="0"/>
            </w:tcBorders>
            <w:noWrap w:val="0"/>
            <w:tcMar>
              <w:top w:w="15" w:type="dxa"/>
              <w:left w:w="15" w:type="dxa"/>
              <w:bottom w:w="0" w:type="dxa"/>
              <w:right w:w="15" w:type="dxa"/>
            </w:tcMar>
            <w:vAlign w:val="bottom"/>
          </w:tcPr>
          <w:p w14:paraId="4F820FAD">
            <w:pPr>
              <w:jc w:val="center"/>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val="en-US" w:eastAsia="zh-CN"/>
              </w:rPr>
              <w:t>5</w:t>
            </w:r>
          </w:p>
        </w:tc>
        <w:tc>
          <w:tcPr>
            <w:tcW w:w="5314" w:type="dxa"/>
            <w:tcBorders>
              <w:top w:val="single" w:color="auto" w:sz="4" w:space="0"/>
              <w:left w:val="nil"/>
              <w:bottom w:val="single" w:color="auto" w:sz="4" w:space="0"/>
              <w:right w:val="single" w:color="auto" w:sz="4" w:space="0"/>
            </w:tcBorders>
            <w:noWrap w:val="0"/>
            <w:tcMar>
              <w:top w:w="15" w:type="dxa"/>
              <w:left w:w="15" w:type="dxa"/>
              <w:bottom w:w="0" w:type="dxa"/>
              <w:right w:w="15" w:type="dxa"/>
            </w:tcMar>
            <w:vAlign w:val="bottom"/>
          </w:tcPr>
          <w:p w14:paraId="698879B1">
            <w:pPr>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培训费</w:t>
            </w:r>
          </w:p>
        </w:tc>
        <w:tc>
          <w:tcPr>
            <w:tcW w:w="1380" w:type="dxa"/>
            <w:tcBorders>
              <w:top w:val="nil"/>
              <w:left w:val="nil"/>
              <w:bottom w:val="single" w:color="auto" w:sz="4" w:space="0"/>
              <w:right w:val="single" w:color="auto" w:sz="4" w:space="0"/>
            </w:tcBorders>
            <w:noWrap w:val="0"/>
            <w:tcMar>
              <w:top w:w="15" w:type="dxa"/>
              <w:left w:w="15" w:type="dxa"/>
              <w:bottom w:w="0" w:type="dxa"/>
              <w:right w:w="15" w:type="dxa"/>
            </w:tcMar>
            <w:vAlign w:val="bottom"/>
          </w:tcPr>
          <w:p w14:paraId="55EE71B8">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t>　</w:t>
            </w:r>
          </w:p>
        </w:tc>
        <w:tc>
          <w:tcPr>
            <w:tcW w:w="1290" w:type="dxa"/>
            <w:tcBorders>
              <w:top w:val="nil"/>
              <w:left w:val="nil"/>
              <w:bottom w:val="single" w:color="auto" w:sz="4" w:space="0"/>
              <w:right w:val="single" w:color="auto" w:sz="4" w:space="0"/>
            </w:tcBorders>
            <w:noWrap w:val="0"/>
            <w:tcMar>
              <w:top w:w="15" w:type="dxa"/>
              <w:left w:w="15" w:type="dxa"/>
              <w:bottom w:w="0" w:type="dxa"/>
              <w:right w:w="15" w:type="dxa"/>
            </w:tcMar>
            <w:vAlign w:val="bottom"/>
          </w:tcPr>
          <w:p w14:paraId="411E59D4">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t>　</w:t>
            </w:r>
          </w:p>
        </w:tc>
      </w:tr>
      <w:tr w14:paraId="56F80B96">
        <w:tblPrEx>
          <w:tblCellMar>
            <w:top w:w="0" w:type="dxa"/>
            <w:left w:w="0" w:type="dxa"/>
            <w:bottom w:w="0" w:type="dxa"/>
            <w:right w:w="0" w:type="dxa"/>
          </w:tblCellMar>
        </w:tblPrEx>
        <w:trPr>
          <w:trHeight w:val="285" w:hRule="atLeast"/>
        </w:trPr>
        <w:tc>
          <w:tcPr>
            <w:tcW w:w="1080" w:type="dxa"/>
            <w:tcBorders>
              <w:top w:val="nil"/>
              <w:left w:val="single" w:color="auto" w:sz="4" w:space="0"/>
              <w:bottom w:val="single" w:color="auto" w:sz="4" w:space="0"/>
              <w:right w:val="single" w:color="auto" w:sz="4" w:space="0"/>
            </w:tcBorders>
            <w:noWrap w:val="0"/>
            <w:tcMar>
              <w:top w:w="15" w:type="dxa"/>
              <w:left w:w="15" w:type="dxa"/>
              <w:bottom w:w="0" w:type="dxa"/>
              <w:right w:w="15" w:type="dxa"/>
            </w:tcMar>
            <w:vAlign w:val="bottom"/>
          </w:tcPr>
          <w:p w14:paraId="578B2563">
            <w:pPr>
              <w:jc w:val="center"/>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val="en-US" w:eastAsia="zh-CN"/>
              </w:rPr>
              <w:t>6</w:t>
            </w:r>
          </w:p>
        </w:tc>
        <w:tc>
          <w:tcPr>
            <w:tcW w:w="5314" w:type="dxa"/>
            <w:tcBorders>
              <w:top w:val="nil"/>
              <w:left w:val="nil"/>
              <w:bottom w:val="single" w:color="auto" w:sz="4" w:space="0"/>
              <w:right w:val="single" w:color="auto" w:sz="4" w:space="0"/>
            </w:tcBorders>
            <w:noWrap w:val="0"/>
            <w:tcMar>
              <w:top w:w="15" w:type="dxa"/>
              <w:left w:w="15" w:type="dxa"/>
              <w:bottom w:w="0" w:type="dxa"/>
              <w:right w:w="15" w:type="dxa"/>
            </w:tcMar>
            <w:vAlign w:val="bottom"/>
          </w:tcPr>
          <w:p w14:paraId="1041C552">
            <w:pPr>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运费和保险费</w:t>
            </w:r>
          </w:p>
        </w:tc>
        <w:tc>
          <w:tcPr>
            <w:tcW w:w="1380" w:type="dxa"/>
            <w:tcBorders>
              <w:top w:val="nil"/>
              <w:left w:val="nil"/>
              <w:bottom w:val="single" w:color="auto" w:sz="4" w:space="0"/>
              <w:right w:val="single" w:color="auto" w:sz="4" w:space="0"/>
            </w:tcBorders>
            <w:noWrap w:val="0"/>
            <w:tcMar>
              <w:top w:w="15" w:type="dxa"/>
              <w:left w:w="15" w:type="dxa"/>
              <w:bottom w:w="0" w:type="dxa"/>
              <w:right w:w="15" w:type="dxa"/>
            </w:tcMar>
            <w:vAlign w:val="bottom"/>
          </w:tcPr>
          <w:p w14:paraId="634C7D15">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t>　</w:t>
            </w:r>
          </w:p>
        </w:tc>
        <w:tc>
          <w:tcPr>
            <w:tcW w:w="1290" w:type="dxa"/>
            <w:tcBorders>
              <w:top w:val="nil"/>
              <w:left w:val="nil"/>
              <w:bottom w:val="single" w:color="auto" w:sz="4" w:space="0"/>
              <w:right w:val="single" w:color="auto" w:sz="4" w:space="0"/>
            </w:tcBorders>
            <w:noWrap w:val="0"/>
            <w:tcMar>
              <w:top w:w="15" w:type="dxa"/>
              <w:left w:w="15" w:type="dxa"/>
              <w:bottom w:w="0" w:type="dxa"/>
              <w:right w:w="15" w:type="dxa"/>
            </w:tcMar>
            <w:vAlign w:val="bottom"/>
          </w:tcPr>
          <w:p w14:paraId="16827D51">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t>　</w:t>
            </w:r>
          </w:p>
        </w:tc>
      </w:tr>
      <w:tr w14:paraId="3637A07C">
        <w:tblPrEx>
          <w:tblCellMar>
            <w:top w:w="0" w:type="dxa"/>
            <w:left w:w="0" w:type="dxa"/>
            <w:bottom w:w="0" w:type="dxa"/>
            <w:right w:w="0" w:type="dxa"/>
          </w:tblCellMar>
        </w:tblPrEx>
        <w:trPr>
          <w:trHeight w:val="285" w:hRule="atLeast"/>
        </w:trPr>
        <w:tc>
          <w:tcPr>
            <w:tcW w:w="1080" w:type="dxa"/>
            <w:tcBorders>
              <w:top w:val="nil"/>
              <w:left w:val="single" w:color="auto" w:sz="4" w:space="0"/>
              <w:bottom w:val="single" w:color="auto" w:sz="4" w:space="0"/>
              <w:right w:val="single" w:color="auto" w:sz="4" w:space="0"/>
            </w:tcBorders>
            <w:noWrap w:val="0"/>
            <w:tcMar>
              <w:top w:w="15" w:type="dxa"/>
              <w:left w:w="15" w:type="dxa"/>
              <w:bottom w:w="0" w:type="dxa"/>
              <w:right w:w="15" w:type="dxa"/>
            </w:tcMar>
            <w:vAlign w:val="bottom"/>
          </w:tcPr>
          <w:p w14:paraId="4717C0EF">
            <w:pPr>
              <w:jc w:val="center"/>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val="en-US" w:eastAsia="zh-CN"/>
              </w:rPr>
              <w:t>7</w:t>
            </w:r>
          </w:p>
        </w:tc>
        <w:tc>
          <w:tcPr>
            <w:tcW w:w="5314" w:type="dxa"/>
            <w:tcBorders>
              <w:top w:val="nil"/>
              <w:left w:val="nil"/>
              <w:bottom w:val="single" w:color="auto" w:sz="4" w:space="0"/>
              <w:right w:val="single" w:color="auto" w:sz="4" w:space="0"/>
            </w:tcBorders>
            <w:noWrap w:val="0"/>
            <w:tcMar>
              <w:top w:w="15" w:type="dxa"/>
              <w:left w:w="15" w:type="dxa"/>
              <w:bottom w:w="0" w:type="dxa"/>
              <w:right w:w="15" w:type="dxa"/>
            </w:tcMar>
            <w:vAlign w:val="bottom"/>
          </w:tcPr>
          <w:p w14:paraId="4DF3D280">
            <w:pPr>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其他相关服务费</w:t>
            </w:r>
          </w:p>
        </w:tc>
        <w:tc>
          <w:tcPr>
            <w:tcW w:w="1380" w:type="dxa"/>
            <w:tcBorders>
              <w:top w:val="nil"/>
              <w:left w:val="nil"/>
              <w:bottom w:val="single" w:color="auto" w:sz="4" w:space="0"/>
              <w:right w:val="single" w:color="auto" w:sz="4" w:space="0"/>
            </w:tcBorders>
            <w:noWrap w:val="0"/>
            <w:tcMar>
              <w:top w:w="15" w:type="dxa"/>
              <w:left w:w="15" w:type="dxa"/>
              <w:bottom w:w="0" w:type="dxa"/>
              <w:right w:w="15" w:type="dxa"/>
            </w:tcMar>
            <w:vAlign w:val="bottom"/>
          </w:tcPr>
          <w:p w14:paraId="3B6FD3A3">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t>　</w:t>
            </w:r>
          </w:p>
        </w:tc>
        <w:tc>
          <w:tcPr>
            <w:tcW w:w="1290" w:type="dxa"/>
            <w:tcBorders>
              <w:top w:val="nil"/>
              <w:left w:val="nil"/>
              <w:bottom w:val="single" w:color="auto" w:sz="4" w:space="0"/>
              <w:right w:val="single" w:color="auto" w:sz="4" w:space="0"/>
            </w:tcBorders>
            <w:noWrap w:val="0"/>
            <w:tcMar>
              <w:top w:w="15" w:type="dxa"/>
              <w:left w:w="15" w:type="dxa"/>
              <w:bottom w:w="0" w:type="dxa"/>
              <w:right w:w="15" w:type="dxa"/>
            </w:tcMar>
            <w:vAlign w:val="bottom"/>
          </w:tcPr>
          <w:p w14:paraId="20823975">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t>　</w:t>
            </w:r>
          </w:p>
        </w:tc>
      </w:tr>
      <w:tr w14:paraId="10BD0061">
        <w:tblPrEx>
          <w:tblCellMar>
            <w:top w:w="0" w:type="dxa"/>
            <w:left w:w="0" w:type="dxa"/>
            <w:bottom w:w="0" w:type="dxa"/>
            <w:right w:w="0" w:type="dxa"/>
          </w:tblCellMar>
        </w:tblPrEx>
        <w:trPr>
          <w:trHeight w:val="439" w:hRule="atLeast"/>
        </w:trPr>
        <w:tc>
          <w:tcPr>
            <w:tcW w:w="1080" w:type="dxa"/>
            <w:tcBorders>
              <w:top w:val="nil"/>
              <w:left w:val="single" w:color="auto" w:sz="4" w:space="0"/>
              <w:bottom w:val="nil"/>
              <w:right w:val="single" w:color="auto" w:sz="4" w:space="0"/>
            </w:tcBorders>
            <w:noWrap w:val="0"/>
            <w:tcMar>
              <w:top w:w="15" w:type="dxa"/>
              <w:left w:w="15" w:type="dxa"/>
              <w:bottom w:w="0" w:type="dxa"/>
              <w:right w:w="15" w:type="dxa"/>
            </w:tcMar>
            <w:vAlign w:val="bottom"/>
          </w:tcPr>
          <w:p w14:paraId="6F294FFD">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8</w:t>
            </w:r>
          </w:p>
        </w:tc>
        <w:tc>
          <w:tcPr>
            <w:tcW w:w="5314" w:type="dxa"/>
            <w:tcBorders>
              <w:top w:val="single" w:color="auto" w:sz="4" w:space="0"/>
              <w:left w:val="nil"/>
              <w:bottom w:val="single" w:color="auto" w:sz="4" w:space="0"/>
              <w:right w:val="single" w:color="auto" w:sz="4" w:space="0"/>
            </w:tcBorders>
            <w:noWrap w:val="0"/>
            <w:tcMar>
              <w:top w:w="15" w:type="dxa"/>
              <w:left w:w="15" w:type="dxa"/>
              <w:bottom w:w="0" w:type="dxa"/>
              <w:right w:w="15" w:type="dxa"/>
            </w:tcMar>
            <w:vAlign w:val="bottom"/>
          </w:tcPr>
          <w:p w14:paraId="4810DBAB">
            <w:pPr>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税费</w:t>
            </w:r>
          </w:p>
        </w:tc>
        <w:tc>
          <w:tcPr>
            <w:tcW w:w="1380" w:type="dxa"/>
            <w:tcBorders>
              <w:top w:val="single" w:color="auto" w:sz="4" w:space="0"/>
              <w:left w:val="nil"/>
              <w:bottom w:val="single" w:color="auto" w:sz="4" w:space="0"/>
              <w:right w:val="single" w:color="auto" w:sz="4" w:space="0"/>
            </w:tcBorders>
            <w:noWrap w:val="0"/>
            <w:tcMar>
              <w:top w:w="15" w:type="dxa"/>
              <w:left w:w="15" w:type="dxa"/>
              <w:bottom w:w="0" w:type="dxa"/>
              <w:right w:w="15" w:type="dxa"/>
            </w:tcMar>
            <w:vAlign w:val="bottom"/>
          </w:tcPr>
          <w:p w14:paraId="3B751186">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t>　</w:t>
            </w:r>
          </w:p>
        </w:tc>
        <w:tc>
          <w:tcPr>
            <w:tcW w:w="1290" w:type="dxa"/>
            <w:tcBorders>
              <w:top w:val="nil"/>
              <w:left w:val="nil"/>
              <w:bottom w:val="single" w:color="auto" w:sz="4" w:space="0"/>
              <w:right w:val="single" w:color="auto" w:sz="4" w:space="0"/>
            </w:tcBorders>
            <w:noWrap w:val="0"/>
            <w:tcMar>
              <w:top w:w="15" w:type="dxa"/>
              <w:left w:w="15" w:type="dxa"/>
              <w:bottom w:w="0" w:type="dxa"/>
              <w:right w:w="15" w:type="dxa"/>
            </w:tcMar>
            <w:vAlign w:val="bottom"/>
          </w:tcPr>
          <w:p w14:paraId="6EB4A81F">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t>　</w:t>
            </w:r>
          </w:p>
        </w:tc>
      </w:tr>
      <w:tr w14:paraId="1800DFC6">
        <w:tblPrEx>
          <w:tblCellMar>
            <w:top w:w="0" w:type="dxa"/>
            <w:left w:w="0" w:type="dxa"/>
            <w:bottom w:w="0" w:type="dxa"/>
            <w:right w:w="0" w:type="dxa"/>
          </w:tblCellMar>
        </w:tblPrEx>
        <w:trPr>
          <w:trHeight w:val="643" w:hRule="atLeast"/>
        </w:trPr>
        <w:tc>
          <w:tcPr>
            <w:tcW w:w="6394" w:type="dxa"/>
            <w:gridSpan w:val="2"/>
            <w:tcBorders>
              <w:top w:val="single" w:color="auto" w:sz="4" w:space="0"/>
              <w:left w:val="single" w:color="auto" w:sz="4" w:space="0"/>
              <w:bottom w:val="single" w:color="auto" w:sz="4" w:space="0"/>
              <w:right w:val="single" w:color="000000" w:sz="4" w:space="0"/>
            </w:tcBorders>
            <w:noWrap w:val="0"/>
            <w:tcMar>
              <w:top w:w="15" w:type="dxa"/>
              <w:left w:w="15" w:type="dxa"/>
              <w:bottom w:w="0" w:type="dxa"/>
              <w:right w:w="15" w:type="dxa"/>
            </w:tcMar>
            <w:vAlign w:val="bottom"/>
          </w:tcPr>
          <w:p w14:paraId="6AF4D6C5">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总               计  （1+2+3+4+5+6+7+8）</w:t>
            </w:r>
          </w:p>
        </w:tc>
        <w:tc>
          <w:tcPr>
            <w:tcW w:w="1380" w:type="dxa"/>
            <w:tcBorders>
              <w:top w:val="nil"/>
              <w:left w:val="nil"/>
              <w:bottom w:val="single" w:color="auto" w:sz="4" w:space="0"/>
              <w:right w:val="single" w:color="auto" w:sz="4" w:space="0"/>
            </w:tcBorders>
            <w:noWrap w:val="0"/>
            <w:tcMar>
              <w:top w:w="15" w:type="dxa"/>
              <w:left w:w="15" w:type="dxa"/>
              <w:bottom w:w="0" w:type="dxa"/>
              <w:right w:w="15" w:type="dxa"/>
            </w:tcMar>
            <w:vAlign w:val="bottom"/>
          </w:tcPr>
          <w:p w14:paraId="73053008">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t>　</w:t>
            </w:r>
          </w:p>
        </w:tc>
        <w:tc>
          <w:tcPr>
            <w:tcW w:w="1290" w:type="dxa"/>
            <w:tcBorders>
              <w:top w:val="nil"/>
              <w:left w:val="nil"/>
              <w:bottom w:val="single" w:color="auto" w:sz="4" w:space="0"/>
              <w:right w:val="single" w:color="auto" w:sz="4" w:space="0"/>
            </w:tcBorders>
            <w:noWrap w:val="0"/>
            <w:tcMar>
              <w:top w:w="15" w:type="dxa"/>
              <w:left w:w="15" w:type="dxa"/>
              <w:bottom w:w="0" w:type="dxa"/>
              <w:right w:w="15" w:type="dxa"/>
            </w:tcMar>
            <w:vAlign w:val="bottom"/>
          </w:tcPr>
          <w:p w14:paraId="42032BAF">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t>　</w:t>
            </w:r>
          </w:p>
        </w:tc>
      </w:tr>
    </w:tbl>
    <w:p w14:paraId="554A7CBB">
      <w:pPr>
        <w:rPr>
          <w:rFonts w:hint="eastAsia" w:ascii="宋体" w:hAnsi="宋体" w:eastAsia="宋体" w:cs="宋体"/>
          <w:color w:val="auto"/>
          <w:szCs w:val="21"/>
          <w:highlight w:val="none"/>
        </w:rPr>
      </w:pPr>
    </w:p>
    <w:p w14:paraId="34D76893">
      <w:pPr>
        <w:spacing w:line="480" w:lineRule="exact"/>
        <w:ind w:firstLine="3360" w:firstLineChars="1600"/>
        <w:rPr>
          <w:rFonts w:hint="eastAsia" w:ascii="宋体" w:hAnsi="宋体" w:eastAsia="宋体" w:cs="宋体"/>
          <w:bCs/>
          <w:color w:val="auto"/>
          <w:szCs w:val="21"/>
          <w:highlight w:val="none"/>
        </w:rPr>
      </w:pPr>
      <w:r>
        <w:rPr>
          <w:rFonts w:hint="eastAsia" w:ascii="宋体" w:hAnsi="宋体" w:eastAsia="宋体" w:cs="宋体"/>
          <w:color w:val="auto"/>
          <w:kern w:val="0"/>
          <w:szCs w:val="21"/>
          <w:highlight w:val="none"/>
        </w:rPr>
        <w:t>投 标 人</w:t>
      </w:r>
      <w:r>
        <w:rPr>
          <w:rFonts w:hint="eastAsia" w:ascii="宋体" w:hAnsi="宋体" w:eastAsia="宋体" w:cs="宋体"/>
          <w:bCs/>
          <w:color w:val="auto"/>
          <w:szCs w:val="21"/>
          <w:highlight w:val="none"/>
        </w:rPr>
        <w:t>：</w:t>
      </w:r>
      <w:r>
        <w:rPr>
          <w:rFonts w:hint="eastAsia" w:ascii="宋体" w:hAnsi="宋体" w:eastAsia="宋体" w:cs="宋体"/>
          <w:bCs/>
          <w:color w:val="auto"/>
          <w:szCs w:val="21"/>
          <w:highlight w:val="none"/>
          <w:u w:val="single"/>
        </w:rPr>
        <w:t xml:space="preserve">                      </w:t>
      </w:r>
      <w:r>
        <w:rPr>
          <w:rFonts w:hint="eastAsia" w:ascii="宋体" w:hAnsi="宋体" w:eastAsia="宋体" w:cs="宋体"/>
          <w:bCs/>
          <w:color w:val="auto"/>
          <w:szCs w:val="21"/>
          <w:highlight w:val="none"/>
        </w:rPr>
        <w:t>（盖章）</w:t>
      </w:r>
    </w:p>
    <w:p w14:paraId="6569679E">
      <w:pPr>
        <w:spacing w:line="480" w:lineRule="exact"/>
        <w:ind w:firstLine="3360" w:firstLineChars="16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法定代表人或其委托代理人：</w:t>
      </w:r>
      <w:r>
        <w:rPr>
          <w:rFonts w:hint="eastAsia" w:ascii="宋体" w:hAnsi="宋体" w:eastAsia="宋体" w:cs="宋体"/>
          <w:bCs/>
          <w:color w:val="auto"/>
          <w:szCs w:val="21"/>
          <w:highlight w:val="none"/>
          <w:u w:val="single"/>
        </w:rPr>
        <w:t xml:space="preserve">        </w:t>
      </w:r>
      <w:r>
        <w:rPr>
          <w:rFonts w:hint="eastAsia" w:ascii="宋体" w:hAnsi="宋体" w:eastAsia="宋体" w:cs="宋体"/>
          <w:bCs/>
          <w:color w:val="auto"/>
          <w:szCs w:val="21"/>
          <w:highlight w:val="none"/>
        </w:rPr>
        <w:t>（</w:t>
      </w:r>
      <w:r>
        <w:rPr>
          <w:rFonts w:hint="eastAsia" w:ascii="宋体" w:hAnsi="宋体" w:eastAsia="宋体" w:cs="宋体"/>
          <w:color w:val="auto"/>
          <w:szCs w:val="21"/>
          <w:highlight w:val="none"/>
        </w:rPr>
        <w:t>签字或盖章</w:t>
      </w:r>
      <w:r>
        <w:rPr>
          <w:rFonts w:hint="eastAsia" w:ascii="宋体" w:hAnsi="宋体" w:eastAsia="宋体" w:cs="宋体"/>
          <w:bCs/>
          <w:color w:val="auto"/>
          <w:szCs w:val="21"/>
          <w:highlight w:val="none"/>
        </w:rPr>
        <w:t>）</w:t>
      </w:r>
    </w:p>
    <w:p w14:paraId="687204F2">
      <w:pPr>
        <w:tabs>
          <w:tab w:val="left" w:pos="5380"/>
          <w:tab w:val="left" w:pos="6520"/>
          <w:tab w:val="left" w:pos="7680"/>
        </w:tabs>
        <w:autoSpaceDE w:val="0"/>
        <w:autoSpaceDN w:val="0"/>
        <w:adjustRightInd w:val="0"/>
        <w:spacing w:line="380" w:lineRule="exact"/>
        <w:ind w:right="-23" w:firstLine="4620" w:firstLineChars="2200"/>
        <w:jc w:val="left"/>
        <w:rPr>
          <w:rFonts w:hint="eastAsia" w:ascii="宋体" w:hAnsi="宋体" w:eastAsia="宋体" w:cs="宋体"/>
          <w:bCs/>
          <w:color w:val="auto"/>
          <w:kern w:val="0"/>
          <w:szCs w:val="21"/>
          <w:highlight w:val="none"/>
        </w:rPr>
      </w:pPr>
      <w:r>
        <w:rPr>
          <w:rFonts w:hint="eastAsia" w:ascii="宋体" w:hAnsi="宋体" w:eastAsia="宋体" w:cs="宋体"/>
          <w:bCs/>
          <w:color w:val="auto"/>
          <w:kern w:val="0"/>
          <w:szCs w:val="21"/>
          <w:highlight w:val="none"/>
          <w:u w:val="single"/>
        </w:rPr>
        <w:t xml:space="preserve">     </w:t>
      </w:r>
      <w:r>
        <w:rPr>
          <w:rFonts w:hint="eastAsia" w:ascii="宋体" w:hAnsi="宋体" w:eastAsia="宋体" w:cs="宋体"/>
          <w:bCs/>
          <w:color w:val="auto"/>
          <w:spacing w:val="43"/>
          <w:kern w:val="0"/>
          <w:szCs w:val="21"/>
          <w:highlight w:val="none"/>
          <w:u w:val="single"/>
        </w:rPr>
        <w:t xml:space="preserve"> </w:t>
      </w:r>
      <w:r>
        <w:rPr>
          <w:rFonts w:hint="eastAsia" w:ascii="宋体" w:hAnsi="宋体" w:eastAsia="宋体" w:cs="宋体"/>
          <w:bCs/>
          <w:color w:val="auto"/>
          <w:kern w:val="0"/>
          <w:szCs w:val="21"/>
          <w:highlight w:val="none"/>
        </w:rPr>
        <w:t>年</w:t>
      </w:r>
      <w:r>
        <w:rPr>
          <w:rFonts w:hint="eastAsia" w:ascii="宋体" w:hAnsi="宋体" w:eastAsia="宋体" w:cs="宋体"/>
          <w:bCs/>
          <w:color w:val="auto"/>
          <w:kern w:val="0"/>
          <w:szCs w:val="21"/>
          <w:highlight w:val="none"/>
          <w:u w:val="single"/>
        </w:rPr>
        <w:t xml:space="preserve">       </w:t>
      </w:r>
      <w:r>
        <w:rPr>
          <w:rFonts w:hint="eastAsia" w:ascii="宋体" w:hAnsi="宋体" w:eastAsia="宋体" w:cs="宋体"/>
          <w:bCs/>
          <w:color w:val="auto"/>
          <w:kern w:val="0"/>
          <w:szCs w:val="21"/>
          <w:highlight w:val="none"/>
        </w:rPr>
        <w:t>月</w:t>
      </w:r>
      <w:r>
        <w:rPr>
          <w:rFonts w:hint="eastAsia" w:ascii="宋体" w:hAnsi="宋体" w:eastAsia="宋体" w:cs="宋体"/>
          <w:bCs/>
          <w:color w:val="auto"/>
          <w:kern w:val="0"/>
          <w:szCs w:val="21"/>
          <w:highlight w:val="none"/>
          <w:u w:val="single"/>
        </w:rPr>
        <w:t xml:space="preserve">      </w:t>
      </w:r>
      <w:r>
        <w:rPr>
          <w:rFonts w:hint="eastAsia" w:ascii="宋体" w:hAnsi="宋体" w:eastAsia="宋体" w:cs="宋体"/>
          <w:bCs/>
          <w:color w:val="auto"/>
          <w:kern w:val="0"/>
          <w:szCs w:val="21"/>
          <w:highlight w:val="none"/>
        </w:rPr>
        <w:t>日</w:t>
      </w:r>
    </w:p>
    <w:p w14:paraId="14E33707">
      <w:pPr>
        <w:keepNext w:val="0"/>
        <w:keepLines w:val="0"/>
        <w:pageBreakBefore w:val="0"/>
        <w:widowControl w:val="0"/>
        <w:tabs>
          <w:tab w:val="left" w:pos="5380"/>
          <w:tab w:val="left" w:pos="6520"/>
          <w:tab w:val="left" w:pos="7680"/>
        </w:tabs>
        <w:kinsoku/>
        <w:wordWrap/>
        <w:overflowPunct/>
        <w:topLinePunct w:val="0"/>
        <w:autoSpaceDE w:val="0"/>
        <w:autoSpaceDN w:val="0"/>
        <w:bidi w:val="0"/>
        <w:adjustRightInd w:val="0"/>
        <w:snapToGrid/>
        <w:spacing w:line="360" w:lineRule="auto"/>
        <w:ind w:right="-23" w:rightChars="0" w:firstLine="4620" w:firstLineChars="2200"/>
        <w:jc w:val="left"/>
        <w:textAlignment w:val="auto"/>
        <w:outlineLvl w:val="9"/>
        <w:rPr>
          <w:rFonts w:hint="eastAsia" w:ascii="宋体" w:hAnsi="宋体" w:eastAsia="宋体" w:cs="宋体"/>
          <w:b w:val="0"/>
          <w:bCs/>
          <w:color w:val="auto"/>
          <w:kern w:val="0"/>
          <w:sz w:val="21"/>
          <w:szCs w:val="21"/>
          <w:highlight w:val="none"/>
        </w:rPr>
      </w:pPr>
    </w:p>
    <w:p w14:paraId="16741CD4">
      <w:pPr>
        <w:pageBreakBefore w:val="0"/>
        <w:kinsoku/>
        <w:overflowPunct/>
        <w:autoSpaceDE w:val="0"/>
        <w:autoSpaceDN w:val="0"/>
        <w:bidi w:val="0"/>
        <w:adjustRightInd w:val="0"/>
        <w:spacing w:line="360" w:lineRule="auto"/>
        <w:ind w:left="210" w:leftChars="100"/>
        <w:jc w:val="center"/>
        <w:rPr>
          <w:rFonts w:hint="eastAsia" w:ascii="宋体" w:hAnsi="宋体" w:eastAsia="宋体" w:cs="宋体"/>
          <w:color w:val="auto"/>
          <w:szCs w:val="21"/>
          <w:highlight w:val="none"/>
        </w:rPr>
        <w:sectPr>
          <w:footerReference r:id="rId11" w:type="first"/>
          <w:headerReference r:id="rId9" w:type="default"/>
          <w:footerReference r:id="rId10" w:type="even"/>
          <w:pgSz w:w="11906" w:h="16838"/>
          <w:pgMar w:top="1304" w:right="1797" w:bottom="1304" w:left="1797" w:header="851" w:footer="754" w:gutter="0"/>
          <w:pgNumType w:fmt="decimal"/>
          <w:cols w:space="720" w:num="1"/>
          <w:rtlGutter w:val="0"/>
          <w:docGrid w:type="lines" w:linePitch="312" w:charSpace="0"/>
        </w:sectPr>
      </w:pPr>
    </w:p>
    <w:p w14:paraId="71520993">
      <w:pPr>
        <w:bidi w:val="0"/>
        <w:rPr>
          <w:rFonts w:hint="eastAsia" w:ascii="宋体" w:hAnsi="宋体" w:eastAsia="宋体" w:cs="宋体"/>
          <w:color w:val="auto"/>
          <w:highlight w:val="none"/>
          <w:lang w:val="en-US" w:eastAsia="zh-CN"/>
        </w:rPr>
      </w:pPr>
      <w:bookmarkStart w:id="756" w:name="_Toc495304004"/>
      <w:bookmarkStart w:id="757" w:name="_Toc23444"/>
      <w:bookmarkStart w:id="758" w:name="_Toc463003912"/>
    </w:p>
    <w:p w14:paraId="3D063BA0">
      <w:pPr>
        <w:keepNext/>
        <w:keepLines/>
        <w:widowControl w:val="0"/>
        <w:spacing w:line="360" w:lineRule="auto"/>
        <w:ind w:left="425" w:hanging="425"/>
        <w:jc w:val="center"/>
        <w:outlineLvl w:val="2"/>
        <w:rPr>
          <w:rFonts w:hint="eastAsia" w:ascii="宋体" w:hAnsi="宋体" w:eastAsia="宋体" w:cs="宋体"/>
          <w:b/>
          <w:color w:val="auto"/>
          <w:kern w:val="2"/>
          <w:sz w:val="21"/>
          <w:szCs w:val="21"/>
          <w:highlight w:val="none"/>
          <w:lang w:val="en-US" w:eastAsia="zh-CN" w:bidi="ar-SA"/>
        </w:rPr>
      </w:pPr>
      <w:r>
        <w:rPr>
          <w:rFonts w:hint="eastAsia" w:ascii="宋体" w:hAnsi="宋体" w:eastAsia="宋体" w:cs="宋体"/>
          <w:b/>
          <w:color w:val="auto"/>
          <w:kern w:val="2"/>
          <w:sz w:val="21"/>
          <w:szCs w:val="21"/>
          <w:highlight w:val="none"/>
          <w:lang w:val="en-US" w:eastAsia="zh-CN" w:bidi="ar-SA"/>
        </w:rPr>
        <w:t>(三) 备件、专用工具和消耗品价格表</w:t>
      </w:r>
      <w:bookmarkEnd w:id="756"/>
      <w:bookmarkEnd w:id="757"/>
      <w:bookmarkEnd w:id="758"/>
    </w:p>
    <w:tbl>
      <w:tblPr>
        <w:tblStyle w:val="36"/>
        <w:tblW w:w="9791" w:type="dxa"/>
        <w:jc w:val="center"/>
        <w:tblLayout w:type="fixed"/>
        <w:tblCellMar>
          <w:top w:w="0" w:type="dxa"/>
          <w:left w:w="0" w:type="dxa"/>
          <w:bottom w:w="0" w:type="dxa"/>
          <w:right w:w="0" w:type="dxa"/>
        </w:tblCellMar>
      </w:tblPr>
      <w:tblGrid>
        <w:gridCol w:w="1349"/>
        <w:gridCol w:w="1707"/>
        <w:gridCol w:w="2222"/>
        <w:gridCol w:w="1023"/>
        <w:gridCol w:w="698"/>
        <w:gridCol w:w="698"/>
        <w:gridCol w:w="698"/>
        <w:gridCol w:w="698"/>
        <w:gridCol w:w="698"/>
      </w:tblGrid>
      <w:tr w14:paraId="4708373C">
        <w:tblPrEx>
          <w:tblCellMar>
            <w:top w:w="0" w:type="dxa"/>
            <w:left w:w="0" w:type="dxa"/>
            <w:bottom w:w="0" w:type="dxa"/>
            <w:right w:w="0" w:type="dxa"/>
          </w:tblCellMar>
        </w:tblPrEx>
        <w:trPr>
          <w:trHeight w:val="90" w:hRule="atLeast"/>
          <w:jc w:val="center"/>
        </w:trPr>
        <w:tc>
          <w:tcPr>
            <w:tcW w:w="1349"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bottom"/>
          </w:tcPr>
          <w:p w14:paraId="1FC12798">
            <w:pPr>
              <w:pageBreakBefore w:val="0"/>
              <w:kinsoku/>
              <w:overflowPunct/>
              <w:bidi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序号</w:t>
            </w:r>
          </w:p>
        </w:tc>
        <w:tc>
          <w:tcPr>
            <w:tcW w:w="1707" w:type="dxa"/>
            <w:tcBorders>
              <w:top w:val="single" w:color="auto" w:sz="4" w:space="0"/>
              <w:left w:val="nil"/>
              <w:bottom w:val="single" w:color="auto" w:sz="4" w:space="0"/>
              <w:right w:val="single" w:color="auto" w:sz="4" w:space="0"/>
            </w:tcBorders>
            <w:noWrap w:val="0"/>
            <w:tcMar>
              <w:top w:w="15" w:type="dxa"/>
              <w:left w:w="15" w:type="dxa"/>
              <w:bottom w:w="0" w:type="dxa"/>
              <w:right w:w="15" w:type="dxa"/>
            </w:tcMar>
            <w:vAlign w:val="bottom"/>
          </w:tcPr>
          <w:p w14:paraId="1F28451F">
            <w:pPr>
              <w:pageBreakBefore w:val="0"/>
              <w:kinsoku/>
              <w:overflowPunct/>
              <w:bidi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名称</w:t>
            </w:r>
          </w:p>
        </w:tc>
        <w:tc>
          <w:tcPr>
            <w:tcW w:w="2222" w:type="dxa"/>
            <w:tcBorders>
              <w:top w:val="single" w:color="auto" w:sz="4" w:space="0"/>
              <w:left w:val="nil"/>
              <w:bottom w:val="single" w:color="auto" w:sz="4" w:space="0"/>
              <w:right w:val="single" w:color="auto" w:sz="4" w:space="0"/>
            </w:tcBorders>
            <w:noWrap w:val="0"/>
            <w:tcMar>
              <w:top w:w="15" w:type="dxa"/>
              <w:left w:w="15" w:type="dxa"/>
              <w:bottom w:w="0" w:type="dxa"/>
              <w:right w:w="15" w:type="dxa"/>
            </w:tcMar>
            <w:vAlign w:val="bottom"/>
          </w:tcPr>
          <w:p w14:paraId="7B57FAE2">
            <w:pPr>
              <w:pageBreakBefore w:val="0"/>
              <w:kinsoku/>
              <w:overflowPunct/>
              <w:bidi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规格型号</w:t>
            </w:r>
          </w:p>
        </w:tc>
        <w:tc>
          <w:tcPr>
            <w:tcW w:w="1023" w:type="dxa"/>
            <w:tcBorders>
              <w:top w:val="single" w:color="auto" w:sz="4" w:space="0"/>
              <w:left w:val="nil"/>
              <w:bottom w:val="single" w:color="auto" w:sz="4" w:space="0"/>
              <w:right w:val="single" w:color="auto" w:sz="4" w:space="0"/>
            </w:tcBorders>
            <w:noWrap w:val="0"/>
            <w:tcMar>
              <w:top w:w="15" w:type="dxa"/>
              <w:left w:w="15" w:type="dxa"/>
              <w:bottom w:w="0" w:type="dxa"/>
              <w:right w:w="15" w:type="dxa"/>
            </w:tcMar>
            <w:vAlign w:val="bottom"/>
          </w:tcPr>
          <w:p w14:paraId="2DE01214">
            <w:pPr>
              <w:pageBreakBefore w:val="0"/>
              <w:kinsoku/>
              <w:overflowPunct/>
              <w:bidi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制造商</w:t>
            </w:r>
          </w:p>
        </w:tc>
        <w:tc>
          <w:tcPr>
            <w:tcW w:w="698" w:type="dxa"/>
            <w:tcBorders>
              <w:top w:val="single" w:color="auto" w:sz="4" w:space="0"/>
              <w:left w:val="nil"/>
              <w:bottom w:val="single" w:color="auto" w:sz="4" w:space="0"/>
              <w:right w:val="single" w:color="auto" w:sz="4" w:space="0"/>
            </w:tcBorders>
            <w:noWrap w:val="0"/>
            <w:tcMar>
              <w:top w:w="15" w:type="dxa"/>
              <w:left w:w="15" w:type="dxa"/>
              <w:bottom w:w="0" w:type="dxa"/>
              <w:right w:w="15" w:type="dxa"/>
            </w:tcMar>
            <w:vAlign w:val="bottom"/>
          </w:tcPr>
          <w:p w14:paraId="5F8347A3">
            <w:pPr>
              <w:pageBreakBefore w:val="0"/>
              <w:kinsoku/>
              <w:overflowPunct/>
              <w:bidi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单位</w:t>
            </w:r>
          </w:p>
        </w:tc>
        <w:tc>
          <w:tcPr>
            <w:tcW w:w="698" w:type="dxa"/>
            <w:tcBorders>
              <w:top w:val="single" w:color="auto" w:sz="4" w:space="0"/>
              <w:left w:val="nil"/>
              <w:bottom w:val="single" w:color="auto" w:sz="4" w:space="0"/>
              <w:right w:val="single" w:color="auto" w:sz="4" w:space="0"/>
            </w:tcBorders>
            <w:noWrap w:val="0"/>
            <w:tcMar>
              <w:top w:w="15" w:type="dxa"/>
              <w:left w:w="15" w:type="dxa"/>
              <w:bottom w:w="0" w:type="dxa"/>
              <w:right w:w="15" w:type="dxa"/>
            </w:tcMar>
            <w:vAlign w:val="bottom"/>
          </w:tcPr>
          <w:p w14:paraId="46E3D281">
            <w:pPr>
              <w:pageBreakBefore w:val="0"/>
              <w:kinsoku/>
              <w:overflowPunct/>
              <w:bidi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数量</w:t>
            </w:r>
          </w:p>
        </w:tc>
        <w:tc>
          <w:tcPr>
            <w:tcW w:w="698" w:type="dxa"/>
            <w:tcBorders>
              <w:top w:val="single" w:color="auto" w:sz="4" w:space="0"/>
              <w:left w:val="nil"/>
              <w:bottom w:val="single" w:color="auto" w:sz="4" w:space="0"/>
              <w:right w:val="single" w:color="auto" w:sz="4" w:space="0"/>
            </w:tcBorders>
            <w:noWrap w:val="0"/>
            <w:tcMar>
              <w:top w:w="15" w:type="dxa"/>
              <w:left w:w="15" w:type="dxa"/>
              <w:bottom w:w="0" w:type="dxa"/>
              <w:right w:w="15" w:type="dxa"/>
            </w:tcMar>
            <w:vAlign w:val="bottom"/>
          </w:tcPr>
          <w:p w14:paraId="55A6DBBD">
            <w:pPr>
              <w:pageBreakBefore w:val="0"/>
              <w:kinsoku/>
              <w:overflowPunct/>
              <w:bidi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单价</w:t>
            </w:r>
          </w:p>
        </w:tc>
        <w:tc>
          <w:tcPr>
            <w:tcW w:w="698" w:type="dxa"/>
            <w:tcBorders>
              <w:top w:val="single" w:color="auto" w:sz="4" w:space="0"/>
              <w:left w:val="nil"/>
              <w:bottom w:val="single" w:color="auto" w:sz="4" w:space="0"/>
              <w:right w:val="single" w:color="auto" w:sz="4" w:space="0"/>
            </w:tcBorders>
            <w:noWrap w:val="0"/>
            <w:tcMar>
              <w:top w:w="15" w:type="dxa"/>
              <w:left w:w="15" w:type="dxa"/>
              <w:bottom w:w="0" w:type="dxa"/>
              <w:right w:w="15" w:type="dxa"/>
            </w:tcMar>
            <w:vAlign w:val="bottom"/>
          </w:tcPr>
          <w:p w14:paraId="20CDD9FF">
            <w:pPr>
              <w:pageBreakBefore w:val="0"/>
              <w:kinsoku/>
              <w:overflowPunct/>
              <w:bidi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合计</w:t>
            </w:r>
          </w:p>
        </w:tc>
        <w:tc>
          <w:tcPr>
            <w:tcW w:w="698" w:type="dxa"/>
            <w:tcBorders>
              <w:top w:val="single" w:color="auto" w:sz="4" w:space="0"/>
              <w:left w:val="nil"/>
              <w:bottom w:val="single" w:color="auto" w:sz="4" w:space="0"/>
              <w:right w:val="single" w:color="auto" w:sz="4" w:space="0"/>
            </w:tcBorders>
            <w:noWrap w:val="0"/>
            <w:tcMar>
              <w:top w:w="15" w:type="dxa"/>
              <w:left w:w="15" w:type="dxa"/>
              <w:bottom w:w="0" w:type="dxa"/>
              <w:right w:w="15" w:type="dxa"/>
            </w:tcMar>
            <w:vAlign w:val="bottom"/>
          </w:tcPr>
          <w:p w14:paraId="047FF076">
            <w:pPr>
              <w:pageBreakBefore w:val="0"/>
              <w:kinsoku/>
              <w:overflowPunct/>
              <w:bidi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备注</w:t>
            </w:r>
          </w:p>
        </w:tc>
      </w:tr>
      <w:tr w14:paraId="08CC5F76">
        <w:tblPrEx>
          <w:tblCellMar>
            <w:top w:w="0" w:type="dxa"/>
            <w:left w:w="0" w:type="dxa"/>
            <w:bottom w:w="0" w:type="dxa"/>
            <w:right w:w="0" w:type="dxa"/>
          </w:tblCellMar>
        </w:tblPrEx>
        <w:trPr>
          <w:trHeight w:val="285" w:hRule="atLeast"/>
          <w:jc w:val="center"/>
        </w:trPr>
        <w:tc>
          <w:tcPr>
            <w:tcW w:w="1349" w:type="dxa"/>
            <w:tcBorders>
              <w:top w:val="nil"/>
              <w:left w:val="single" w:color="auto" w:sz="4" w:space="0"/>
              <w:bottom w:val="single" w:color="auto" w:sz="4" w:space="0"/>
              <w:right w:val="single" w:color="auto" w:sz="4" w:space="0"/>
            </w:tcBorders>
            <w:noWrap w:val="0"/>
            <w:tcMar>
              <w:top w:w="15" w:type="dxa"/>
              <w:left w:w="15" w:type="dxa"/>
              <w:bottom w:w="0" w:type="dxa"/>
              <w:right w:w="15" w:type="dxa"/>
            </w:tcMar>
            <w:vAlign w:val="bottom"/>
          </w:tcPr>
          <w:p w14:paraId="02758398">
            <w:pPr>
              <w:pageBreakBefore w:val="0"/>
              <w:kinsoku/>
              <w:overflowPunct/>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w:t>
            </w:r>
          </w:p>
        </w:tc>
        <w:tc>
          <w:tcPr>
            <w:tcW w:w="1707" w:type="dxa"/>
            <w:tcBorders>
              <w:top w:val="nil"/>
              <w:left w:val="nil"/>
              <w:bottom w:val="single" w:color="auto" w:sz="4" w:space="0"/>
              <w:right w:val="single" w:color="auto" w:sz="4" w:space="0"/>
            </w:tcBorders>
            <w:noWrap w:val="0"/>
            <w:tcMar>
              <w:top w:w="15" w:type="dxa"/>
              <w:left w:w="15" w:type="dxa"/>
              <w:bottom w:w="0" w:type="dxa"/>
              <w:right w:w="15" w:type="dxa"/>
            </w:tcMar>
            <w:vAlign w:val="bottom"/>
          </w:tcPr>
          <w:p w14:paraId="15154FE0">
            <w:pPr>
              <w:pageBreakBefore w:val="0"/>
              <w:kinsoku/>
              <w:overflowPunct/>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w:t>
            </w:r>
          </w:p>
        </w:tc>
        <w:tc>
          <w:tcPr>
            <w:tcW w:w="2222" w:type="dxa"/>
            <w:tcBorders>
              <w:top w:val="nil"/>
              <w:left w:val="nil"/>
              <w:bottom w:val="single" w:color="auto" w:sz="4" w:space="0"/>
              <w:right w:val="single" w:color="auto" w:sz="4" w:space="0"/>
            </w:tcBorders>
            <w:noWrap w:val="0"/>
            <w:tcMar>
              <w:top w:w="15" w:type="dxa"/>
              <w:left w:w="15" w:type="dxa"/>
              <w:bottom w:w="0" w:type="dxa"/>
              <w:right w:w="15" w:type="dxa"/>
            </w:tcMar>
            <w:vAlign w:val="bottom"/>
          </w:tcPr>
          <w:p w14:paraId="169D0171">
            <w:pPr>
              <w:pageBreakBefore w:val="0"/>
              <w:kinsoku/>
              <w:overflowPunct/>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w:t>
            </w:r>
          </w:p>
        </w:tc>
        <w:tc>
          <w:tcPr>
            <w:tcW w:w="1023" w:type="dxa"/>
            <w:tcBorders>
              <w:top w:val="nil"/>
              <w:left w:val="nil"/>
              <w:bottom w:val="single" w:color="auto" w:sz="4" w:space="0"/>
              <w:right w:val="single" w:color="auto" w:sz="4" w:space="0"/>
            </w:tcBorders>
            <w:noWrap w:val="0"/>
            <w:tcMar>
              <w:top w:w="15" w:type="dxa"/>
              <w:left w:w="15" w:type="dxa"/>
              <w:bottom w:w="0" w:type="dxa"/>
              <w:right w:w="15" w:type="dxa"/>
            </w:tcMar>
            <w:vAlign w:val="bottom"/>
          </w:tcPr>
          <w:p w14:paraId="045082ED">
            <w:pPr>
              <w:pageBreakBefore w:val="0"/>
              <w:kinsoku/>
              <w:overflowPunct/>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w:t>
            </w:r>
          </w:p>
        </w:tc>
        <w:tc>
          <w:tcPr>
            <w:tcW w:w="698" w:type="dxa"/>
            <w:tcBorders>
              <w:top w:val="nil"/>
              <w:left w:val="nil"/>
              <w:bottom w:val="single" w:color="auto" w:sz="4" w:space="0"/>
              <w:right w:val="single" w:color="auto" w:sz="4" w:space="0"/>
            </w:tcBorders>
            <w:noWrap w:val="0"/>
            <w:tcMar>
              <w:top w:w="15" w:type="dxa"/>
              <w:left w:w="15" w:type="dxa"/>
              <w:bottom w:w="0" w:type="dxa"/>
              <w:right w:w="15" w:type="dxa"/>
            </w:tcMar>
            <w:vAlign w:val="bottom"/>
          </w:tcPr>
          <w:p w14:paraId="39FB55FB">
            <w:pPr>
              <w:pageBreakBefore w:val="0"/>
              <w:kinsoku/>
              <w:overflowPunct/>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w:t>
            </w:r>
          </w:p>
        </w:tc>
        <w:tc>
          <w:tcPr>
            <w:tcW w:w="698" w:type="dxa"/>
            <w:tcBorders>
              <w:top w:val="nil"/>
              <w:left w:val="nil"/>
              <w:bottom w:val="single" w:color="auto" w:sz="4" w:space="0"/>
              <w:right w:val="single" w:color="auto" w:sz="4" w:space="0"/>
            </w:tcBorders>
            <w:noWrap w:val="0"/>
            <w:tcMar>
              <w:top w:w="15" w:type="dxa"/>
              <w:left w:w="15" w:type="dxa"/>
              <w:bottom w:w="0" w:type="dxa"/>
              <w:right w:w="15" w:type="dxa"/>
            </w:tcMar>
            <w:vAlign w:val="bottom"/>
          </w:tcPr>
          <w:p w14:paraId="168ECA03">
            <w:pPr>
              <w:pageBreakBefore w:val="0"/>
              <w:kinsoku/>
              <w:overflowPunct/>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w:t>
            </w:r>
          </w:p>
        </w:tc>
        <w:tc>
          <w:tcPr>
            <w:tcW w:w="698" w:type="dxa"/>
            <w:tcBorders>
              <w:top w:val="nil"/>
              <w:left w:val="nil"/>
              <w:bottom w:val="single" w:color="auto" w:sz="4" w:space="0"/>
              <w:right w:val="single" w:color="auto" w:sz="4" w:space="0"/>
            </w:tcBorders>
            <w:noWrap w:val="0"/>
            <w:tcMar>
              <w:top w:w="15" w:type="dxa"/>
              <w:left w:w="15" w:type="dxa"/>
              <w:bottom w:w="0" w:type="dxa"/>
              <w:right w:w="15" w:type="dxa"/>
            </w:tcMar>
            <w:vAlign w:val="bottom"/>
          </w:tcPr>
          <w:p w14:paraId="7D3956DD">
            <w:pPr>
              <w:pageBreakBefore w:val="0"/>
              <w:kinsoku/>
              <w:overflowPunct/>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w:t>
            </w:r>
          </w:p>
        </w:tc>
        <w:tc>
          <w:tcPr>
            <w:tcW w:w="698" w:type="dxa"/>
            <w:tcBorders>
              <w:top w:val="nil"/>
              <w:left w:val="nil"/>
              <w:bottom w:val="single" w:color="auto" w:sz="4" w:space="0"/>
              <w:right w:val="single" w:color="auto" w:sz="4" w:space="0"/>
            </w:tcBorders>
            <w:noWrap w:val="0"/>
            <w:tcMar>
              <w:top w:w="15" w:type="dxa"/>
              <w:left w:w="15" w:type="dxa"/>
              <w:bottom w:w="0" w:type="dxa"/>
              <w:right w:w="15" w:type="dxa"/>
            </w:tcMar>
            <w:vAlign w:val="bottom"/>
          </w:tcPr>
          <w:p w14:paraId="20DA8F4D">
            <w:pPr>
              <w:pageBreakBefore w:val="0"/>
              <w:kinsoku/>
              <w:overflowPunct/>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w:t>
            </w:r>
          </w:p>
        </w:tc>
        <w:tc>
          <w:tcPr>
            <w:tcW w:w="698" w:type="dxa"/>
            <w:tcBorders>
              <w:top w:val="nil"/>
              <w:left w:val="nil"/>
              <w:bottom w:val="single" w:color="auto" w:sz="4" w:space="0"/>
              <w:right w:val="single" w:color="auto" w:sz="4" w:space="0"/>
            </w:tcBorders>
            <w:noWrap w:val="0"/>
            <w:tcMar>
              <w:top w:w="15" w:type="dxa"/>
              <w:left w:w="15" w:type="dxa"/>
              <w:bottom w:w="0" w:type="dxa"/>
              <w:right w:w="15" w:type="dxa"/>
            </w:tcMar>
            <w:vAlign w:val="bottom"/>
          </w:tcPr>
          <w:p w14:paraId="1DF28A98">
            <w:pPr>
              <w:pageBreakBefore w:val="0"/>
              <w:kinsoku/>
              <w:overflowPunct/>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w:t>
            </w:r>
          </w:p>
        </w:tc>
      </w:tr>
      <w:tr w14:paraId="06689BB3">
        <w:tblPrEx>
          <w:tblCellMar>
            <w:top w:w="0" w:type="dxa"/>
            <w:left w:w="0" w:type="dxa"/>
            <w:bottom w:w="0" w:type="dxa"/>
            <w:right w:w="0" w:type="dxa"/>
          </w:tblCellMar>
        </w:tblPrEx>
        <w:trPr>
          <w:trHeight w:val="285" w:hRule="atLeast"/>
          <w:jc w:val="center"/>
        </w:trPr>
        <w:tc>
          <w:tcPr>
            <w:tcW w:w="1349" w:type="dxa"/>
            <w:tcBorders>
              <w:top w:val="nil"/>
              <w:left w:val="single" w:color="auto" w:sz="4" w:space="0"/>
              <w:bottom w:val="single" w:color="auto" w:sz="4" w:space="0"/>
              <w:right w:val="single" w:color="auto" w:sz="4" w:space="0"/>
            </w:tcBorders>
            <w:noWrap w:val="0"/>
            <w:tcMar>
              <w:top w:w="15" w:type="dxa"/>
              <w:left w:w="15" w:type="dxa"/>
              <w:bottom w:w="0" w:type="dxa"/>
              <w:right w:w="15" w:type="dxa"/>
            </w:tcMar>
            <w:vAlign w:val="bottom"/>
          </w:tcPr>
          <w:p w14:paraId="4269DB3D">
            <w:pPr>
              <w:pageBreakBefore w:val="0"/>
              <w:kinsoku/>
              <w:overflowPunct/>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w:t>
            </w:r>
          </w:p>
        </w:tc>
        <w:tc>
          <w:tcPr>
            <w:tcW w:w="1707" w:type="dxa"/>
            <w:tcBorders>
              <w:top w:val="nil"/>
              <w:left w:val="nil"/>
              <w:bottom w:val="single" w:color="auto" w:sz="4" w:space="0"/>
              <w:right w:val="single" w:color="auto" w:sz="4" w:space="0"/>
            </w:tcBorders>
            <w:noWrap w:val="0"/>
            <w:tcMar>
              <w:top w:w="15" w:type="dxa"/>
              <w:left w:w="15" w:type="dxa"/>
              <w:bottom w:w="0" w:type="dxa"/>
              <w:right w:w="15" w:type="dxa"/>
            </w:tcMar>
            <w:vAlign w:val="bottom"/>
          </w:tcPr>
          <w:p w14:paraId="292229CF">
            <w:pPr>
              <w:pageBreakBefore w:val="0"/>
              <w:kinsoku/>
              <w:overflowPunct/>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w:t>
            </w:r>
          </w:p>
        </w:tc>
        <w:tc>
          <w:tcPr>
            <w:tcW w:w="2222" w:type="dxa"/>
            <w:tcBorders>
              <w:top w:val="nil"/>
              <w:left w:val="nil"/>
              <w:bottom w:val="single" w:color="auto" w:sz="4" w:space="0"/>
              <w:right w:val="single" w:color="auto" w:sz="4" w:space="0"/>
            </w:tcBorders>
            <w:noWrap w:val="0"/>
            <w:tcMar>
              <w:top w:w="15" w:type="dxa"/>
              <w:left w:w="15" w:type="dxa"/>
              <w:bottom w:w="0" w:type="dxa"/>
              <w:right w:w="15" w:type="dxa"/>
            </w:tcMar>
            <w:vAlign w:val="bottom"/>
          </w:tcPr>
          <w:p w14:paraId="684C59AB">
            <w:pPr>
              <w:pageBreakBefore w:val="0"/>
              <w:kinsoku/>
              <w:overflowPunct/>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w:t>
            </w:r>
          </w:p>
        </w:tc>
        <w:tc>
          <w:tcPr>
            <w:tcW w:w="1023" w:type="dxa"/>
            <w:tcBorders>
              <w:top w:val="nil"/>
              <w:left w:val="nil"/>
              <w:bottom w:val="single" w:color="auto" w:sz="4" w:space="0"/>
              <w:right w:val="single" w:color="auto" w:sz="4" w:space="0"/>
            </w:tcBorders>
            <w:noWrap w:val="0"/>
            <w:tcMar>
              <w:top w:w="15" w:type="dxa"/>
              <w:left w:w="15" w:type="dxa"/>
              <w:bottom w:w="0" w:type="dxa"/>
              <w:right w:w="15" w:type="dxa"/>
            </w:tcMar>
            <w:vAlign w:val="bottom"/>
          </w:tcPr>
          <w:p w14:paraId="5DE580AC">
            <w:pPr>
              <w:pageBreakBefore w:val="0"/>
              <w:kinsoku/>
              <w:overflowPunct/>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w:t>
            </w:r>
          </w:p>
        </w:tc>
        <w:tc>
          <w:tcPr>
            <w:tcW w:w="698" w:type="dxa"/>
            <w:tcBorders>
              <w:top w:val="nil"/>
              <w:left w:val="nil"/>
              <w:bottom w:val="single" w:color="auto" w:sz="4" w:space="0"/>
              <w:right w:val="single" w:color="auto" w:sz="4" w:space="0"/>
            </w:tcBorders>
            <w:noWrap w:val="0"/>
            <w:tcMar>
              <w:top w:w="15" w:type="dxa"/>
              <w:left w:w="15" w:type="dxa"/>
              <w:bottom w:w="0" w:type="dxa"/>
              <w:right w:w="15" w:type="dxa"/>
            </w:tcMar>
            <w:vAlign w:val="bottom"/>
          </w:tcPr>
          <w:p w14:paraId="604B33F6">
            <w:pPr>
              <w:pageBreakBefore w:val="0"/>
              <w:kinsoku/>
              <w:overflowPunct/>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w:t>
            </w:r>
          </w:p>
        </w:tc>
        <w:tc>
          <w:tcPr>
            <w:tcW w:w="698" w:type="dxa"/>
            <w:tcBorders>
              <w:top w:val="nil"/>
              <w:left w:val="nil"/>
              <w:bottom w:val="single" w:color="auto" w:sz="4" w:space="0"/>
              <w:right w:val="single" w:color="auto" w:sz="4" w:space="0"/>
            </w:tcBorders>
            <w:noWrap w:val="0"/>
            <w:tcMar>
              <w:top w:w="15" w:type="dxa"/>
              <w:left w:w="15" w:type="dxa"/>
              <w:bottom w:w="0" w:type="dxa"/>
              <w:right w:w="15" w:type="dxa"/>
            </w:tcMar>
            <w:vAlign w:val="bottom"/>
          </w:tcPr>
          <w:p w14:paraId="5F1EDB64">
            <w:pPr>
              <w:pageBreakBefore w:val="0"/>
              <w:kinsoku/>
              <w:overflowPunct/>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w:t>
            </w:r>
          </w:p>
        </w:tc>
        <w:tc>
          <w:tcPr>
            <w:tcW w:w="698" w:type="dxa"/>
            <w:tcBorders>
              <w:top w:val="nil"/>
              <w:left w:val="nil"/>
              <w:bottom w:val="single" w:color="auto" w:sz="4" w:space="0"/>
              <w:right w:val="single" w:color="auto" w:sz="4" w:space="0"/>
            </w:tcBorders>
            <w:noWrap w:val="0"/>
            <w:tcMar>
              <w:top w:w="15" w:type="dxa"/>
              <w:left w:w="15" w:type="dxa"/>
              <w:bottom w:w="0" w:type="dxa"/>
              <w:right w:w="15" w:type="dxa"/>
            </w:tcMar>
            <w:vAlign w:val="bottom"/>
          </w:tcPr>
          <w:p w14:paraId="5B28F9B2">
            <w:pPr>
              <w:pageBreakBefore w:val="0"/>
              <w:kinsoku/>
              <w:overflowPunct/>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w:t>
            </w:r>
          </w:p>
        </w:tc>
        <w:tc>
          <w:tcPr>
            <w:tcW w:w="698" w:type="dxa"/>
            <w:tcBorders>
              <w:top w:val="nil"/>
              <w:left w:val="nil"/>
              <w:bottom w:val="single" w:color="auto" w:sz="4" w:space="0"/>
              <w:right w:val="single" w:color="auto" w:sz="4" w:space="0"/>
            </w:tcBorders>
            <w:noWrap w:val="0"/>
            <w:tcMar>
              <w:top w:w="15" w:type="dxa"/>
              <w:left w:w="15" w:type="dxa"/>
              <w:bottom w:w="0" w:type="dxa"/>
              <w:right w:w="15" w:type="dxa"/>
            </w:tcMar>
            <w:vAlign w:val="bottom"/>
          </w:tcPr>
          <w:p w14:paraId="64A3C87D">
            <w:pPr>
              <w:pageBreakBefore w:val="0"/>
              <w:kinsoku/>
              <w:overflowPunct/>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w:t>
            </w:r>
          </w:p>
        </w:tc>
        <w:tc>
          <w:tcPr>
            <w:tcW w:w="698" w:type="dxa"/>
            <w:tcBorders>
              <w:top w:val="nil"/>
              <w:left w:val="nil"/>
              <w:bottom w:val="single" w:color="auto" w:sz="4" w:space="0"/>
              <w:right w:val="single" w:color="auto" w:sz="4" w:space="0"/>
            </w:tcBorders>
            <w:noWrap w:val="0"/>
            <w:tcMar>
              <w:top w:w="15" w:type="dxa"/>
              <w:left w:w="15" w:type="dxa"/>
              <w:bottom w:w="0" w:type="dxa"/>
              <w:right w:w="15" w:type="dxa"/>
            </w:tcMar>
            <w:vAlign w:val="bottom"/>
          </w:tcPr>
          <w:p w14:paraId="72B10C9C">
            <w:pPr>
              <w:pageBreakBefore w:val="0"/>
              <w:kinsoku/>
              <w:overflowPunct/>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w:t>
            </w:r>
          </w:p>
        </w:tc>
      </w:tr>
      <w:tr w14:paraId="53DBCAC6">
        <w:tblPrEx>
          <w:tblCellMar>
            <w:top w:w="0" w:type="dxa"/>
            <w:left w:w="0" w:type="dxa"/>
            <w:bottom w:w="0" w:type="dxa"/>
            <w:right w:w="0" w:type="dxa"/>
          </w:tblCellMar>
        </w:tblPrEx>
        <w:trPr>
          <w:trHeight w:val="285" w:hRule="atLeast"/>
          <w:jc w:val="center"/>
        </w:trPr>
        <w:tc>
          <w:tcPr>
            <w:tcW w:w="1349" w:type="dxa"/>
            <w:tcBorders>
              <w:top w:val="nil"/>
              <w:left w:val="single" w:color="auto" w:sz="4" w:space="0"/>
              <w:bottom w:val="single" w:color="auto" w:sz="4" w:space="0"/>
              <w:right w:val="single" w:color="auto" w:sz="4" w:space="0"/>
            </w:tcBorders>
            <w:noWrap w:val="0"/>
            <w:tcMar>
              <w:top w:w="15" w:type="dxa"/>
              <w:left w:w="15" w:type="dxa"/>
              <w:bottom w:w="0" w:type="dxa"/>
              <w:right w:w="15" w:type="dxa"/>
            </w:tcMar>
            <w:vAlign w:val="bottom"/>
          </w:tcPr>
          <w:p w14:paraId="5D43B03A">
            <w:pPr>
              <w:pageBreakBefore w:val="0"/>
              <w:kinsoku/>
              <w:overflowPunct/>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w:t>
            </w:r>
          </w:p>
        </w:tc>
        <w:tc>
          <w:tcPr>
            <w:tcW w:w="1707" w:type="dxa"/>
            <w:tcBorders>
              <w:top w:val="nil"/>
              <w:left w:val="nil"/>
              <w:bottom w:val="single" w:color="auto" w:sz="4" w:space="0"/>
              <w:right w:val="single" w:color="auto" w:sz="4" w:space="0"/>
            </w:tcBorders>
            <w:noWrap w:val="0"/>
            <w:tcMar>
              <w:top w:w="15" w:type="dxa"/>
              <w:left w:w="15" w:type="dxa"/>
              <w:bottom w:w="0" w:type="dxa"/>
              <w:right w:w="15" w:type="dxa"/>
            </w:tcMar>
            <w:vAlign w:val="bottom"/>
          </w:tcPr>
          <w:p w14:paraId="3806C156">
            <w:pPr>
              <w:pageBreakBefore w:val="0"/>
              <w:kinsoku/>
              <w:overflowPunct/>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w:t>
            </w:r>
          </w:p>
        </w:tc>
        <w:tc>
          <w:tcPr>
            <w:tcW w:w="2222" w:type="dxa"/>
            <w:tcBorders>
              <w:top w:val="nil"/>
              <w:left w:val="nil"/>
              <w:bottom w:val="single" w:color="auto" w:sz="4" w:space="0"/>
              <w:right w:val="single" w:color="auto" w:sz="4" w:space="0"/>
            </w:tcBorders>
            <w:noWrap w:val="0"/>
            <w:tcMar>
              <w:top w:w="15" w:type="dxa"/>
              <w:left w:w="15" w:type="dxa"/>
              <w:bottom w:w="0" w:type="dxa"/>
              <w:right w:w="15" w:type="dxa"/>
            </w:tcMar>
            <w:vAlign w:val="bottom"/>
          </w:tcPr>
          <w:p w14:paraId="00EA6FFE">
            <w:pPr>
              <w:pageBreakBefore w:val="0"/>
              <w:kinsoku/>
              <w:overflowPunct/>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w:t>
            </w:r>
          </w:p>
        </w:tc>
        <w:tc>
          <w:tcPr>
            <w:tcW w:w="1023" w:type="dxa"/>
            <w:tcBorders>
              <w:top w:val="nil"/>
              <w:left w:val="nil"/>
              <w:bottom w:val="single" w:color="auto" w:sz="4" w:space="0"/>
              <w:right w:val="single" w:color="auto" w:sz="4" w:space="0"/>
            </w:tcBorders>
            <w:noWrap w:val="0"/>
            <w:tcMar>
              <w:top w:w="15" w:type="dxa"/>
              <w:left w:w="15" w:type="dxa"/>
              <w:bottom w:w="0" w:type="dxa"/>
              <w:right w:w="15" w:type="dxa"/>
            </w:tcMar>
            <w:vAlign w:val="bottom"/>
          </w:tcPr>
          <w:p w14:paraId="7E1A4626">
            <w:pPr>
              <w:pageBreakBefore w:val="0"/>
              <w:kinsoku/>
              <w:overflowPunct/>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w:t>
            </w:r>
          </w:p>
        </w:tc>
        <w:tc>
          <w:tcPr>
            <w:tcW w:w="698" w:type="dxa"/>
            <w:tcBorders>
              <w:top w:val="nil"/>
              <w:left w:val="nil"/>
              <w:bottom w:val="single" w:color="auto" w:sz="4" w:space="0"/>
              <w:right w:val="single" w:color="auto" w:sz="4" w:space="0"/>
            </w:tcBorders>
            <w:noWrap w:val="0"/>
            <w:tcMar>
              <w:top w:w="15" w:type="dxa"/>
              <w:left w:w="15" w:type="dxa"/>
              <w:bottom w:w="0" w:type="dxa"/>
              <w:right w:w="15" w:type="dxa"/>
            </w:tcMar>
            <w:vAlign w:val="bottom"/>
          </w:tcPr>
          <w:p w14:paraId="2CE5B406">
            <w:pPr>
              <w:pageBreakBefore w:val="0"/>
              <w:kinsoku/>
              <w:overflowPunct/>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w:t>
            </w:r>
          </w:p>
        </w:tc>
        <w:tc>
          <w:tcPr>
            <w:tcW w:w="698" w:type="dxa"/>
            <w:tcBorders>
              <w:top w:val="nil"/>
              <w:left w:val="nil"/>
              <w:bottom w:val="single" w:color="auto" w:sz="4" w:space="0"/>
              <w:right w:val="single" w:color="auto" w:sz="4" w:space="0"/>
            </w:tcBorders>
            <w:noWrap w:val="0"/>
            <w:tcMar>
              <w:top w:w="15" w:type="dxa"/>
              <w:left w:w="15" w:type="dxa"/>
              <w:bottom w:w="0" w:type="dxa"/>
              <w:right w:w="15" w:type="dxa"/>
            </w:tcMar>
            <w:vAlign w:val="bottom"/>
          </w:tcPr>
          <w:p w14:paraId="096722B6">
            <w:pPr>
              <w:pageBreakBefore w:val="0"/>
              <w:kinsoku/>
              <w:overflowPunct/>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w:t>
            </w:r>
          </w:p>
        </w:tc>
        <w:tc>
          <w:tcPr>
            <w:tcW w:w="698" w:type="dxa"/>
            <w:tcBorders>
              <w:top w:val="nil"/>
              <w:left w:val="nil"/>
              <w:bottom w:val="single" w:color="auto" w:sz="4" w:space="0"/>
              <w:right w:val="single" w:color="auto" w:sz="4" w:space="0"/>
            </w:tcBorders>
            <w:noWrap w:val="0"/>
            <w:tcMar>
              <w:top w:w="15" w:type="dxa"/>
              <w:left w:w="15" w:type="dxa"/>
              <w:bottom w:w="0" w:type="dxa"/>
              <w:right w:w="15" w:type="dxa"/>
            </w:tcMar>
            <w:vAlign w:val="bottom"/>
          </w:tcPr>
          <w:p w14:paraId="243FCFA7">
            <w:pPr>
              <w:pageBreakBefore w:val="0"/>
              <w:kinsoku/>
              <w:overflowPunct/>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w:t>
            </w:r>
          </w:p>
        </w:tc>
        <w:tc>
          <w:tcPr>
            <w:tcW w:w="698" w:type="dxa"/>
            <w:tcBorders>
              <w:top w:val="nil"/>
              <w:left w:val="nil"/>
              <w:bottom w:val="single" w:color="auto" w:sz="4" w:space="0"/>
              <w:right w:val="single" w:color="auto" w:sz="4" w:space="0"/>
            </w:tcBorders>
            <w:noWrap w:val="0"/>
            <w:tcMar>
              <w:top w:w="15" w:type="dxa"/>
              <w:left w:w="15" w:type="dxa"/>
              <w:bottom w:w="0" w:type="dxa"/>
              <w:right w:w="15" w:type="dxa"/>
            </w:tcMar>
            <w:vAlign w:val="bottom"/>
          </w:tcPr>
          <w:p w14:paraId="45F553A8">
            <w:pPr>
              <w:pageBreakBefore w:val="0"/>
              <w:kinsoku/>
              <w:overflowPunct/>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w:t>
            </w:r>
          </w:p>
        </w:tc>
        <w:tc>
          <w:tcPr>
            <w:tcW w:w="698" w:type="dxa"/>
            <w:tcBorders>
              <w:top w:val="nil"/>
              <w:left w:val="nil"/>
              <w:bottom w:val="single" w:color="auto" w:sz="4" w:space="0"/>
              <w:right w:val="single" w:color="auto" w:sz="4" w:space="0"/>
            </w:tcBorders>
            <w:noWrap w:val="0"/>
            <w:tcMar>
              <w:top w:w="15" w:type="dxa"/>
              <w:left w:w="15" w:type="dxa"/>
              <w:bottom w:w="0" w:type="dxa"/>
              <w:right w:w="15" w:type="dxa"/>
            </w:tcMar>
            <w:vAlign w:val="bottom"/>
          </w:tcPr>
          <w:p w14:paraId="248914C5">
            <w:pPr>
              <w:pageBreakBefore w:val="0"/>
              <w:kinsoku/>
              <w:overflowPunct/>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w:t>
            </w:r>
          </w:p>
        </w:tc>
      </w:tr>
      <w:tr w14:paraId="5091DBF4">
        <w:tblPrEx>
          <w:tblCellMar>
            <w:top w:w="0" w:type="dxa"/>
            <w:left w:w="0" w:type="dxa"/>
            <w:bottom w:w="0" w:type="dxa"/>
            <w:right w:w="0" w:type="dxa"/>
          </w:tblCellMar>
        </w:tblPrEx>
        <w:trPr>
          <w:trHeight w:val="285" w:hRule="atLeast"/>
          <w:jc w:val="center"/>
        </w:trPr>
        <w:tc>
          <w:tcPr>
            <w:tcW w:w="1349" w:type="dxa"/>
            <w:tcBorders>
              <w:top w:val="nil"/>
              <w:left w:val="single" w:color="auto" w:sz="4" w:space="0"/>
              <w:bottom w:val="single" w:color="auto" w:sz="4" w:space="0"/>
              <w:right w:val="single" w:color="auto" w:sz="4" w:space="0"/>
            </w:tcBorders>
            <w:noWrap w:val="0"/>
            <w:tcMar>
              <w:top w:w="15" w:type="dxa"/>
              <w:left w:w="15" w:type="dxa"/>
              <w:bottom w:w="0" w:type="dxa"/>
              <w:right w:w="15" w:type="dxa"/>
            </w:tcMar>
            <w:vAlign w:val="bottom"/>
          </w:tcPr>
          <w:p w14:paraId="7B9A56F9">
            <w:pPr>
              <w:pageBreakBefore w:val="0"/>
              <w:kinsoku/>
              <w:overflowPunct/>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w:t>
            </w:r>
          </w:p>
        </w:tc>
        <w:tc>
          <w:tcPr>
            <w:tcW w:w="1707" w:type="dxa"/>
            <w:tcBorders>
              <w:top w:val="nil"/>
              <w:left w:val="nil"/>
              <w:bottom w:val="single" w:color="auto" w:sz="4" w:space="0"/>
              <w:right w:val="single" w:color="auto" w:sz="4" w:space="0"/>
            </w:tcBorders>
            <w:noWrap w:val="0"/>
            <w:tcMar>
              <w:top w:w="15" w:type="dxa"/>
              <w:left w:w="15" w:type="dxa"/>
              <w:bottom w:w="0" w:type="dxa"/>
              <w:right w:w="15" w:type="dxa"/>
            </w:tcMar>
            <w:vAlign w:val="bottom"/>
          </w:tcPr>
          <w:p w14:paraId="31DC81E0">
            <w:pPr>
              <w:pageBreakBefore w:val="0"/>
              <w:kinsoku/>
              <w:overflowPunct/>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w:t>
            </w:r>
          </w:p>
        </w:tc>
        <w:tc>
          <w:tcPr>
            <w:tcW w:w="2222" w:type="dxa"/>
            <w:tcBorders>
              <w:top w:val="nil"/>
              <w:left w:val="nil"/>
              <w:bottom w:val="single" w:color="auto" w:sz="4" w:space="0"/>
              <w:right w:val="single" w:color="auto" w:sz="4" w:space="0"/>
            </w:tcBorders>
            <w:noWrap w:val="0"/>
            <w:tcMar>
              <w:top w:w="15" w:type="dxa"/>
              <w:left w:w="15" w:type="dxa"/>
              <w:bottom w:w="0" w:type="dxa"/>
              <w:right w:w="15" w:type="dxa"/>
            </w:tcMar>
            <w:vAlign w:val="bottom"/>
          </w:tcPr>
          <w:p w14:paraId="52AD2EA2">
            <w:pPr>
              <w:pageBreakBefore w:val="0"/>
              <w:kinsoku/>
              <w:overflowPunct/>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w:t>
            </w:r>
          </w:p>
        </w:tc>
        <w:tc>
          <w:tcPr>
            <w:tcW w:w="1023" w:type="dxa"/>
            <w:tcBorders>
              <w:top w:val="nil"/>
              <w:left w:val="nil"/>
              <w:bottom w:val="single" w:color="auto" w:sz="4" w:space="0"/>
              <w:right w:val="single" w:color="auto" w:sz="4" w:space="0"/>
            </w:tcBorders>
            <w:noWrap w:val="0"/>
            <w:tcMar>
              <w:top w:w="15" w:type="dxa"/>
              <w:left w:w="15" w:type="dxa"/>
              <w:bottom w:w="0" w:type="dxa"/>
              <w:right w:w="15" w:type="dxa"/>
            </w:tcMar>
            <w:vAlign w:val="bottom"/>
          </w:tcPr>
          <w:p w14:paraId="1B0C3F10">
            <w:pPr>
              <w:pageBreakBefore w:val="0"/>
              <w:kinsoku/>
              <w:overflowPunct/>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w:t>
            </w:r>
          </w:p>
        </w:tc>
        <w:tc>
          <w:tcPr>
            <w:tcW w:w="698" w:type="dxa"/>
            <w:tcBorders>
              <w:top w:val="nil"/>
              <w:left w:val="nil"/>
              <w:bottom w:val="single" w:color="auto" w:sz="4" w:space="0"/>
              <w:right w:val="single" w:color="auto" w:sz="4" w:space="0"/>
            </w:tcBorders>
            <w:noWrap w:val="0"/>
            <w:tcMar>
              <w:top w:w="15" w:type="dxa"/>
              <w:left w:w="15" w:type="dxa"/>
              <w:bottom w:w="0" w:type="dxa"/>
              <w:right w:w="15" w:type="dxa"/>
            </w:tcMar>
            <w:vAlign w:val="bottom"/>
          </w:tcPr>
          <w:p w14:paraId="471D3B2D">
            <w:pPr>
              <w:pageBreakBefore w:val="0"/>
              <w:kinsoku/>
              <w:overflowPunct/>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w:t>
            </w:r>
          </w:p>
        </w:tc>
        <w:tc>
          <w:tcPr>
            <w:tcW w:w="698" w:type="dxa"/>
            <w:tcBorders>
              <w:top w:val="nil"/>
              <w:left w:val="nil"/>
              <w:bottom w:val="single" w:color="auto" w:sz="4" w:space="0"/>
              <w:right w:val="single" w:color="auto" w:sz="4" w:space="0"/>
            </w:tcBorders>
            <w:noWrap w:val="0"/>
            <w:tcMar>
              <w:top w:w="15" w:type="dxa"/>
              <w:left w:w="15" w:type="dxa"/>
              <w:bottom w:w="0" w:type="dxa"/>
              <w:right w:w="15" w:type="dxa"/>
            </w:tcMar>
            <w:vAlign w:val="bottom"/>
          </w:tcPr>
          <w:p w14:paraId="65707C33">
            <w:pPr>
              <w:pageBreakBefore w:val="0"/>
              <w:kinsoku/>
              <w:overflowPunct/>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w:t>
            </w:r>
          </w:p>
        </w:tc>
        <w:tc>
          <w:tcPr>
            <w:tcW w:w="698" w:type="dxa"/>
            <w:tcBorders>
              <w:top w:val="nil"/>
              <w:left w:val="nil"/>
              <w:bottom w:val="single" w:color="auto" w:sz="4" w:space="0"/>
              <w:right w:val="single" w:color="auto" w:sz="4" w:space="0"/>
            </w:tcBorders>
            <w:noWrap w:val="0"/>
            <w:tcMar>
              <w:top w:w="15" w:type="dxa"/>
              <w:left w:w="15" w:type="dxa"/>
              <w:bottom w:w="0" w:type="dxa"/>
              <w:right w:w="15" w:type="dxa"/>
            </w:tcMar>
            <w:vAlign w:val="bottom"/>
          </w:tcPr>
          <w:p w14:paraId="7682C1FC">
            <w:pPr>
              <w:pageBreakBefore w:val="0"/>
              <w:kinsoku/>
              <w:overflowPunct/>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w:t>
            </w:r>
          </w:p>
        </w:tc>
        <w:tc>
          <w:tcPr>
            <w:tcW w:w="698" w:type="dxa"/>
            <w:tcBorders>
              <w:top w:val="nil"/>
              <w:left w:val="nil"/>
              <w:bottom w:val="single" w:color="auto" w:sz="4" w:space="0"/>
              <w:right w:val="single" w:color="auto" w:sz="4" w:space="0"/>
            </w:tcBorders>
            <w:noWrap w:val="0"/>
            <w:tcMar>
              <w:top w:w="15" w:type="dxa"/>
              <w:left w:w="15" w:type="dxa"/>
              <w:bottom w:w="0" w:type="dxa"/>
              <w:right w:w="15" w:type="dxa"/>
            </w:tcMar>
            <w:vAlign w:val="bottom"/>
          </w:tcPr>
          <w:p w14:paraId="0B42EF84">
            <w:pPr>
              <w:pageBreakBefore w:val="0"/>
              <w:kinsoku/>
              <w:overflowPunct/>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w:t>
            </w:r>
          </w:p>
        </w:tc>
        <w:tc>
          <w:tcPr>
            <w:tcW w:w="698" w:type="dxa"/>
            <w:tcBorders>
              <w:top w:val="nil"/>
              <w:left w:val="nil"/>
              <w:bottom w:val="single" w:color="auto" w:sz="4" w:space="0"/>
              <w:right w:val="single" w:color="auto" w:sz="4" w:space="0"/>
            </w:tcBorders>
            <w:noWrap w:val="0"/>
            <w:tcMar>
              <w:top w:w="15" w:type="dxa"/>
              <w:left w:w="15" w:type="dxa"/>
              <w:bottom w:w="0" w:type="dxa"/>
              <w:right w:w="15" w:type="dxa"/>
            </w:tcMar>
            <w:vAlign w:val="bottom"/>
          </w:tcPr>
          <w:p w14:paraId="0CECFA1B">
            <w:pPr>
              <w:pageBreakBefore w:val="0"/>
              <w:kinsoku/>
              <w:overflowPunct/>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w:t>
            </w:r>
          </w:p>
        </w:tc>
      </w:tr>
      <w:tr w14:paraId="37065C42">
        <w:tblPrEx>
          <w:tblCellMar>
            <w:top w:w="0" w:type="dxa"/>
            <w:left w:w="0" w:type="dxa"/>
            <w:bottom w:w="0" w:type="dxa"/>
            <w:right w:w="0" w:type="dxa"/>
          </w:tblCellMar>
        </w:tblPrEx>
        <w:trPr>
          <w:trHeight w:val="90" w:hRule="atLeast"/>
          <w:jc w:val="center"/>
        </w:trPr>
        <w:tc>
          <w:tcPr>
            <w:tcW w:w="1349" w:type="dxa"/>
            <w:tcBorders>
              <w:top w:val="nil"/>
              <w:left w:val="single" w:color="auto" w:sz="4" w:space="0"/>
              <w:bottom w:val="single" w:color="auto" w:sz="4" w:space="0"/>
              <w:right w:val="single" w:color="auto" w:sz="4" w:space="0"/>
            </w:tcBorders>
            <w:noWrap w:val="0"/>
            <w:tcMar>
              <w:top w:w="15" w:type="dxa"/>
              <w:left w:w="15" w:type="dxa"/>
              <w:bottom w:w="0" w:type="dxa"/>
              <w:right w:w="15" w:type="dxa"/>
            </w:tcMar>
            <w:vAlign w:val="bottom"/>
          </w:tcPr>
          <w:p w14:paraId="430D4FB7">
            <w:pPr>
              <w:pageBreakBefore w:val="0"/>
              <w:kinsoku/>
              <w:overflowPunct/>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w:t>
            </w:r>
          </w:p>
        </w:tc>
        <w:tc>
          <w:tcPr>
            <w:tcW w:w="1707" w:type="dxa"/>
            <w:tcBorders>
              <w:top w:val="nil"/>
              <w:left w:val="nil"/>
              <w:bottom w:val="single" w:color="auto" w:sz="4" w:space="0"/>
              <w:right w:val="single" w:color="auto" w:sz="4" w:space="0"/>
            </w:tcBorders>
            <w:noWrap w:val="0"/>
            <w:tcMar>
              <w:top w:w="15" w:type="dxa"/>
              <w:left w:w="15" w:type="dxa"/>
              <w:bottom w:w="0" w:type="dxa"/>
              <w:right w:w="15" w:type="dxa"/>
            </w:tcMar>
            <w:vAlign w:val="bottom"/>
          </w:tcPr>
          <w:p w14:paraId="0782A0AF">
            <w:pPr>
              <w:pageBreakBefore w:val="0"/>
              <w:kinsoku/>
              <w:overflowPunct/>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w:t>
            </w:r>
          </w:p>
        </w:tc>
        <w:tc>
          <w:tcPr>
            <w:tcW w:w="2222" w:type="dxa"/>
            <w:tcBorders>
              <w:top w:val="nil"/>
              <w:left w:val="nil"/>
              <w:bottom w:val="single" w:color="auto" w:sz="4" w:space="0"/>
              <w:right w:val="single" w:color="auto" w:sz="4" w:space="0"/>
            </w:tcBorders>
            <w:noWrap w:val="0"/>
            <w:tcMar>
              <w:top w:w="15" w:type="dxa"/>
              <w:left w:w="15" w:type="dxa"/>
              <w:bottom w:w="0" w:type="dxa"/>
              <w:right w:w="15" w:type="dxa"/>
            </w:tcMar>
            <w:vAlign w:val="bottom"/>
          </w:tcPr>
          <w:p w14:paraId="4A321100">
            <w:pPr>
              <w:pageBreakBefore w:val="0"/>
              <w:kinsoku/>
              <w:overflowPunct/>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w:t>
            </w:r>
          </w:p>
        </w:tc>
        <w:tc>
          <w:tcPr>
            <w:tcW w:w="1023" w:type="dxa"/>
            <w:tcBorders>
              <w:top w:val="nil"/>
              <w:left w:val="nil"/>
              <w:bottom w:val="single" w:color="auto" w:sz="4" w:space="0"/>
              <w:right w:val="single" w:color="auto" w:sz="4" w:space="0"/>
            </w:tcBorders>
            <w:noWrap w:val="0"/>
            <w:tcMar>
              <w:top w:w="15" w:type="dxa"/>
              <w:left w:w="15" w:type="dxa"/>
              <w:bottom w:w="0" w:type="dxa"/>
              <w:right w:w="15" w:type="dxa"/>
            </w:tcMar>
            <w:vAlign w:val="bottom"/>
          </w:tcPr>
          <w:p w14:paraId="3F68BFA0">
            <w:pPr>
              <w:pageBreakBefore w:val="0"/>
              <w:kinsoku/>
              <w:overflowPunct/>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w:t>
            </w:r>
          </w:p>
        </w:tc>
        <w:tc>
          <w:tcPr>
            <w:tcW w:w="698" w:type="dxa"/>
            <w:tcBorders>
              <w:top w:val="nil"/>
              <w:left w:val="nil"/>
              <w:bottom w:val="single" w:color="auto" w:sz="4" w:space="0"/>
              <w:right w:val="single" w:color="auto" w:sz="4" w:space="0"/>
            </w:tcBorders>
            <w:noWrap w:val="0"/>
            <w:tcMar>
              <w:top w:w="15" w:type="dxa"/>
              <w:left w:w="15" w:type="dxa"/>
              <w:bottom w:w="0" w:type="dxa"/>
              <w:right w:w="15" w:type="dxa"/>
            </w:tcMar>
            <w:vAlign w:val="bottom"/>
          </w:tcPr>
          <w:p w14:paraId="4B37BEAB">
            <w:pPr>
              <w:pageBreakBefore w:val="0"/>
              <w:kinsoku/>
              <w:overflowPunct/>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w:t>
            </w:r>
          </w:p>
        </w:tc>
        <w:tc>
          <w:tcPr>
            <w:tcW w:w="698" w:type="dxa"/>
            <w:tcBorders>
              <w:top w:val="nil"/>
              <w:left w:val="nil"/>
              <w:bottom w:val="single" w:color="auto" w:sz="4" w:space="0"/>
              <w:right w:val="single" w:color="auto" w:sz="4" w:space="0"/>
            </w:tcBorders>
            <w:noWrap w:val="0"/>
            <w:tcMar>
              <w:top w:w="15" w:type="dxa"/>
              <w:left w:w="15" w:type="dxa"/>
              <w:bottom w:w="0" w:type="dxa"/>
              <w:right w:w="15" w:type="dxa"/>
            </w:tcMar>
            <w:vAlign w:val="bottom"/>
          </w:tcPr>
          <w:p w14:paraId="129393F4">
            <w:pPr>
              <w:pageBreakBefore w:val="0"/>
              <w:kinsoku/>
              <w:overflowPunct/>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w:t>
            </w:r>
          </w:p>
        </w:tc>
        <w:tc>
          <w:tcPr>
            <w:tcW w:w="698" w:type="dxa"/>
            <w:tcBorders>
              <w:top w:val="nil"/>
              <w:left w:val="nil"/>
              <w:bottom w:val="single" w:color="auto" w:sz="4" w:space="0"/>
              <w:right w:val="single" w:color="auto" w:sz="4" w:space="0"/>
            </w:tcBorders>
            <w:noWrap w:val="0"/>
            <w:tcMar>
              <w:top w:w="15" w:type="dxa"/>
              <w:left w:w="15" w:type="dxa"/>
              <w:bottom w:w="0" w:type="dxa"/>
              <w:right w:w="15" w:type="dxa"/>
            </w:tcMar>
            <w:vAlign w:val="bottom"/>
          </w:tcPr>
          <w:p w14:paraId="5F9BE017">
            <w:pPr>
              <w:pageBreakBefore w:val="0"/>
              <w:kinsoku/>
              <w:overflowPunct/>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w:t>
            </w:r>
          </w:p>
        </w:tc>
        <w:tc>
          <w:tcPr>
            <w:tcW w:w="698" w:type="dxa"/>
            <w:tcBorders>
              <w:top w:val="nil"/>
              <w:left w:val="nil"/>
              <w:bottom w:val="single" w:color="auto" w:sz="4" w:space="0"/>
              <w:right w:val="single" w:color="auto" w:sz="4" w:space="0"/>
            </w:tcBorders>
            <w:noWrap w:val="0"/>
            <w:tcMar>
              <w:top w:w="15" w:type="dxa"/>
              <w:left w:w="15" w:type="dxa"/>
              <w:bottom w:w="0" w:type="dxa"/>
              <w:right w:w="15" w:type="dxa"/>
            </w:tcMar>
            <w:vAlign w:val="bottom"/>
          </w:tcPr>
          <w:p w14:paraId="6BF22F6A">
            <w:pPr>
              <w:pageBreakBefore w:val="0"/>
              <w:kinsoku/>
              <w:overflowPunct/>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w:t>
            </w:r>
          </w:p>
        </w:tc>
        <w:tc>
          <w:tcPr>
            <w:tcW w:w="698" w:type="dxa"/>
            <w:tcBorders>
              <w:top w:val="nil"/>
              <w:left w:val="nil"/>
              <w:bottom w:val="single" w:color="auto" w:sz="4" w:space="0"/>
              <w:right w:val="single" w:color="auto" w:sz="4" w:space="0"/>
            </w:tcBorders>
            <w:noWrap w:val="0"/>
            <w:tcMar>
              <w:top w:w="15" w:type="dxa"/>
              <w:left w:w="15" w:type="dxa"/>
              <w:bottom w:w="0" w:type="dxa"/>
              <w:right w:w="15" w:type="dxa"/>
            </w:tcMar>
            <w:vAlign w:val="bottom"/>
          </w:tcPr>
          <w:p w14:paraId="1E4FAFE4">
            <w:pPr>
              <w:pageBreakBefore w:val="0"/>
              <w:kinsoku/>
              <w:overflowPunct/>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w:t>
            </w:r>
          </w:p>
        </w:tc>
      </w:tr>
      <w:tr w14:paraId="302E6E24">
        <w:tblPrEx>
          <w:tblCellMar>
            <w:top w:w="0" w:type="dxa"/>
            <w:left w:w="0" w:type="dxa"/>
            <w:bottom w:w="0" w:type="dxa"/>
            <w:right w:w="0" w:type="dxa"/>
          </w:tblCellMar>
        </w:tblPrEx>
        <w:trPr>
          <w:trHeight w:val="285" w:hRule="atLeast"/>
          <w:jc w:val="center"/>
        </w:trPr>
        <w:tc>
          <w:tcPr>
            <w:tcW w:w="1349" w:type="dxa"/>
            <w:tcBorders>
              <w:top w:val="nil"/>
              <w:left w:val="single" w:color="auto" w:sz="4" w:space="0"/>
              <w:bottom w:val="single" w:color="auto" w:sz="4" w:space="0"/>
              <w:right w:val="single" w:color="auto" w:sz="4" w:space="0"/>
            </w:tcBorders>
            <w:noWrap w:val="0"/>
            <w:tcMar>
              <w:top w:w="15" w:type="dxa"/>
              <w:left w:w="15" w:type="dxa"/>
              <w:bottom w:w="0" w:type="dxa"/>
              <w:right w:w="15" w:type="dxa"/>
            </w:tcMar>
            <w:vAlign w:val="bottom"/>
          </w:tcPr>
          <w:p w14:paraId="545A7B22">
            <w:pPr>
              <w:pageBreakBefore w:val="0"/>
              <w:kinsoku/>
              <w:overflowPunct/>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w:t>
            </w:r>
          </w:p>
        </w:tc>
        <w:tc>
          <w:tcPr>
            <w:tcW w:w="1707" w:type="dxa"/>
            <w:tcBorders>
              <w:top w:val="nil"/>
              <w:left w:val="nil"/>
              <w:bottom w:val="single" w:color="auto" w:sz="4" w:space="0"/>
              <w:right w:val="single" w:color="auto" w:sz="4" w:space="0"/>
            </w:tcBorders>
            <w:noWrap w:val="0"/>
            <w:tcMar>
              <w:top w:w="15" w:type="dxa"/>
              <w:left w:w="15" w:type="dxa"/>
              <w:bottom w:w="0" w:type="dxa"/>
              <w:right w:w="15" w:type="dxa"/>
            </w:tcMar>
            <w:vAlign w:val="bottom"/>
          </w:tcPr>
          <w:p w14:paraId="6AAD606B">
            <w:pPr>
              <w:pageBreakBefore w:val="0"/>
              <w:kinsoku/>
              <w:overflowPunct/>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w:t>
            </w:r>
          </w:p>
        </w:tc>
        <w:tc>
          <w:tcPr>
            <w:tcW w:w="2222" w:type="dxa"/>
            <w:tcBorders>
              <w:top w:val="nil"/>
              <w:left w:val="nil"/>
              <w:bottom w:val="single" w:color="auto" w:sz="4" w:space="0"/>
              <w:right w:val="single" w:color="auto" w:sz="4" w:space="0"/>
            </w:tcBorders>
            <w:noWrap w:val="0"/>
            <w:tcMar>
              <w:top w:w="15" w:type="dxa"/>
              <w:left w:w="15" w:type="dxa"/>
              <w:bottom w:w="0" w:type="dxa"/>
              <w:right w:w="15" w:type="dxa"/>
            </w:tcMar>
            <w:vAlign w:val="bottom"/>
          </w:tcPr>
          <w:p w14:paraId="59C6D394">
            <w:pPr>
              <w:pageBreakBefore w:val="0"/>
              <w:kinsoku/>
              <w:overflowPunct/>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w:t>
            </w:r>
          </w:p>
        </w:tc>
        <w:tc>
          <w:tcPr>
            <w:tcW w:w="1023" w:type="dxa"/>
            <w:tcBorders>
              <w:top w:val="nil"/>
              <w:left w:val="nil"/>
              <w:bottom w:val="single" w:color="auto" w:sz="4" w:space="0"/>
              <w:right w:val="single" w:color="auto" w:sz="4" w:space="0"/>
            </w:tcBorders>
            <w:noWrap w:val="0"/>
            <w:tcMar>
              <w:top w:w="15" w:type="dxa"/>
              <w:left w:w="15" w:type="dxa"/>
              <w:bottom w:w="0" w:type="dxa"/>
              <w:right w:w="15" w:type="dxa"/>
            </w:tcMar>
            <w:vAlign w:val="bottom"/>
          </w:tcPr>
          <w:p w14:paraId="13687E32">
            <w:pPr>
              <w:pageBreakBefore w:val="0"/>
              <w:kinsoku/>
              <w:overflowPunct/>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w:t>
            </w:r>
          </w:p>
        </w:tc>
        <w:tc>
          <w:tcPr>
            <w:tcW w:w="698" w:type="dxa"/>
            <w:tcBorders>
              <w:top w:val="nil"/>
              <w:left w:val="nil"/>
              <w:bottom w:val="single" w:color="auto" w:sz="4" w:space="0"/>
              <w:right w:val="single" w:color="auto" w:sz="4" w:space="0"/>
            </w:tcBorders>
            <w:noWrap w:val="0"/>
            <w:tcMar>
              <w:top w:w="15" w:type="dxa"/>
              <w:left w:w="15" w:type="dxa"/>
              <w:bottom w:w="0" w:type="dxa"/>
              <w:right w:w="15" w:type="dxa"/>
            </w:tcMar>
            <w:vAlign w:val="bottom"/>
          </w:tcPr>
          <w:p w14:paraId="25816749">
            <w:pPr>
              <w:pageBreakBefore w:val="0"/>
              <w:kinsoku/>
              <w:overflowPunct/>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w:t>
            </w:r>
          </w:p>
        </w:tc>
        <w:tc>
          <w:tcPr>
            <w:tcW w:w="698" w:type="dxa"/>
            <w:tcBorders>
              <w:top w:val="nil"/>
              <w:left w:val="nil"/>
              <w:bottom w:val="single" w:color="auto" w:sz="4" w:space="0"/>
              <w:right w:val="single" w:color="auto" w:sz="4" w:space="0"/>
            </w:tcBorders>
            <w:noWrap w:val="0"/>
            <w:tcMar>
              <w:top w:w="15" w:type="dxa"/>
              <w:left w:w="15" w:type="dxa"/>
              <w:bottom w:w="0" w:type="dxa"/>
              <w:right w:w="15" w:type="dxa"/>
            </w:tcMar>
            <w:vAlign w:val="bottom"/>
          </w:tcPr>
          <w:p w14:paraId="3C1C3A8D">
            <w:pPr>
              <w:pageBreakBefore w:val="0"/>
              <w:kinsoku/>
              <w:overflowPunct/>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w:t>
            </w:r>
          </w:p>
        </w:tc>
        <w:tc>
          <w:tcPr>
            <w:tcW w:w="698" w:type="dxa"/>
            <w:tcBorders>
              <w:top w:val="nil"/>
              <w:left w:val="nil"/>
              <w:bottom w:val="single" w:color="auto" w:sz="4" w:space="0"/>
              <w:right w:val="single" w:color="auto" w:sz="4" w:space="0"/>
            </w:tcBorders>
            <w:noWrap w:val="0"/>
            <w:tcMar>
              <w:top w:w="15" w:type="dxa"/>
              <w:left w:w="15" w:type="dxa"/>
              <w:bottom w:w="0" w:type="dxa"/>
              <w:right w:w="15" w:type="dxa"/>
            </w:tcMar>
            <w:vAlign w:val="bottom"/>
          </w:tcPr>
          <w:p w14:paraId="3B62186B">
            <w:pPr>
              <w:pageBreakBefore w:val="0"/>
              <w:kinsoku/>
              <w:overflowPunct/>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w:t>
            </w:r>
          </w:p>
        </w:tc>
        <w:tc>
          <w:tcPr>
            <w:tcW w:w="698" w:type="dxa"/>
            <w:tcBorders>
              <w:top w:val="nil"/>
              <w:left w:val="nil"/>
              <w:bottom w:val="single" w:color="auto" w:sz="4" w:space="0"/>
              <w:right w:val="single" w:color="auto" w:sz="4" w:space="0"/>
            </w:tcBorders>
            <w:noWrap w:val="0"/>
            <w:tcMar>
              <w:top w:w="15" w:type="dxa"/>
              <w:left w:w="15" w:type="dxa"/>
              <w:bottom w:w="0" w:type="dxa"/>
              <w:right w:w="15" w:type="dxa"/>
            </w:tcMar>
            <w:vAlign w:val="bottom"/>
          </w:tcPr>
          <w:p w14:paraId="565C5CF0">
            <w:pPr>
              <w:pageBreakBefore w:val="0"/>
              <w:kinsoku/>
              <w:overflowPunct/>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w:t>
            </w:r>
          </w:p>
        </w:tc>
        <w:tc>
          <w:tcPr>
            <w:tcW w:w="698" w:type="dxa"/>
            <w:tcBorders>
              <w:top w:val="nil"/>
              <w:left w:val="nil"/>
              <w:bottom w:val="single" w:color="auto" w:sz="4" w:space="0"/>
              <w:right w:val="single" w:color="auto" w:sz="4" w:space="0"/>
            </w:tcBorders>
            <w:noWrap w:val="0"/>
            <w:tcMar>
              <w:top w:w="15" w:type="dxa"/>
              <w:left w:w="15" w:type="dxa"/>
              <w:bottom w:w="0" w:type="dxa"/>
              <w:right w:w="15" w:type="dxa"/>
            </w:tcMar>
            <w:vAlign w:val="bottom"/>
          </w:tcPr>
          <w:p w14:paraId="5DA3B088">
            <w:pPr>
              <w:pageBreakBefore w:val="0"/>
              <w:kinsoku/>
              <w:overflowPunct/>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w:t>
            </w:r>
          </w:p>
        </w:tc>
      </w:tr>
      <w:tr w14:paraId="3872E5EE">
        <w:tblPrEx>
          <w:tblCellMar>
            <w:top w:w="0" w:type="dxa"/>
            <w:left w:w="0" w:type="dxa"/>
            <w:bottom w:w="0" w:type="dxa"/>
            <w:right w:w="0" w:type="dxa"/>
          </w:tblCellMar>
        </w:tblPrEx>
        <w:trPr>
          <w:trHeight w:val="285" w:hRule="atLeast"/>
          <w:jc w:val="center"/>
        </w:trPr>
        <w:tc>
          <w:tcPr>
            <w:tcW w:w="1349" w:type="dxa"/>
            <w:tcBorders>
              <w:top w:val="nil"/>
              <w:left w:val="single" w:color="auto" w:sz="4" w:space="0"/>
              <w:bottom w:val="single" w:color="auto" w:sz="4" w:space="0"/>
              <w:right w:val="single" w:color="auto" w:sz="4" w:space="0"/>
            </w:tcBorders>
            <w:noWrap w:val="0"/>
            <w:tcMar>
              <w:top w:w="15" w:type="dxa"/>
              <w:left w:w="15" w:type="dxa"/>
              <w:bottom w:w="0" w:type="dxa"/>
              <w:right w:w="15" w:type="dxa"/>
            </w:tcMar>
            <w:vAlign w:val="bottom"/>
          </w:tcPr>
          <w:p w14:paraId="621B6A3C">
            <w:pPr>
              <w:pageBreakBefore w:val="0"/>
              <w:kinsoku/>
              <w:overflowPunct/>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w:t>
            </w:r>
          </w:p>
        </w:tc>
        <w:tc>
          <w:tcPr>
            <w:tcW w:w="1707" w:type="dxa"/>
            <w:tcBorders>
              <w:top w:val="nil"/>
              <w:left w:val="nil"/>
              <w:bottom w:val="single" w:color="auto" w:sz="4" w:space="0"/>
              <w:right w:val="single" w:color="auto" w:sz="4" w:space="0"/>
            </w:tcBorders>
            <w:noWrap w:val="0"/>
            <w:tcMar>
              <w:top w:w="15" w:type="dxa"/>
              <w:left w:w="15" w:type="dxa"/>
              <w:bottom w:w="0" w:type="dxa"/>
              <w:right w:w="15" w:type="dxa"/>
            </w:tcMar>
            <w:vAlign w:val="bottom"/>
          </w:tcPr>
          <w:p w14:paraId="2B82C902">
            <w:pPr>
              <w:pageBreakBefore w:val="0"/>
              <w:kinsoku/>
              <w:overflowPunct/>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w:t>
            </w:r>
          </w:p>
        </w:tc>
        <w:tc>
          <w:tcPr>
            <w:tcW w:w="2222" w:type="dxa"/>
            <w:tcBorders>
              <w:top w:val="nil"/>
              <w:left w:val="nil"/>
              <w:bottom w:val="single" w:color="auto" w:sz="4" w:space="0"/>
              <w:right w:val="single" w:color="auto" w:sz="4" w:space="0"/>
            </w:tcBorders>
            <w:noWrap w:val="0"/>
            <w:tcMar>
              <w:top w:w="15" w:type="dxa"/>
              <w:left w:w="15" w:type="dxa"/>
              <w:bottom w:w="0" w:type="dxa"/>
              <w:right w:w="15" w:type="dxa"/>
            </w:tcMar>
            <w:vAlign w:val="bottom"/>
          </w:tcPr>
          <w:p w14:paraId="2DDE7852">
            <w:pPr>
              <w:pageBreakBefore w:val="0"/>
              <w:kinsoku/>
              <w:overflowPunct/>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w:t>
            </w:r>
          </w:p>
        </w:tc>
        <w:tc>
          <w:tcPr>
            <w:tcW w:w="1023" w:type="dxa"/>
            <w:tcBorders>
              <w:top w:val="nil"/>
              <w:left w:val="nil"/>
              <w:bottom w:val="single" w:color="auto" w:sz="4" w:space="0"/>
              <w:right w:val="single" w:color="auto" w:sz="4" w:space="0"/>
            </w:tcBorders>
            <w:noWrap w:val="0"/>
            <w:tcMar>
              <w:top w:w="15" w:type="dxa"/>
              <w:left w:w="15" w:type="dxa"/>
              <w:bottom w:w="0" w:type="dxa"/>
              <w:right w:w="15" w:type="dxa"/>
            </w:tcMar>
            <w:vAlign w:val="bottom"/>
          </w:tcPr>
          <w:p w14:paraId="4F1438A6">
            <w:pPr>
              <w:pageBreakBefore w:val="0"/>
              <w:kinsoku/>
              <w:overflowPunct/>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w:t>
            </w:r>
          </w:p>
        </w:tc>
        <w:tc>
          <w:tcPr>
            <w:tcW w:w="698" w:type="dxa"/>
            <w:tcBorders>
              <w:top w:val="nil"/>
              <w:left w:val="nil"/>
              <w:bottom w:val="single" w:color="auto" w:sz="4" w:space="0"/>
              <w:right w:val="single" w:color="auto" w:sz="4" w:space="0"/>
            </w:tcBorders>
            <w:noWrap w:val="0"/>
            <w:tcMar>
              <w:top w:w="15" w:type="dxa"/>
              <w:left w:w="15" w:type="dxa"/>
              <w:bottom w:w="0" w:type="dxa"/>
              <w:right w:w="15" w:type="dxa"/>
            </w:tcMar>
            <w:vAlign w:val="bottom"/>
          </w:tcPr>
          <w:p w14:paraId="24698B3D">
            <w:pPr>
              <w:pageBreakBefore w:val="0"/>
              <w:kinsoku/>
              <w:overflowPunct/>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w:t>
            </w:r>
          </w:p>
        </w:tc>
        <w:tc>
          <w:tcPr>
            <w:tcW w:w="698" w:type="dxa"/>
            <w:tcBorders>
              <w:top w:val="nil"/>
              <w:left w:val="nil"/>
              <w:bottom w:val="single" w:color="auto" w:sz="4" w:space="0"/>
              <w:right w:val="single" w:color="auto" w:sz="4" w:space="0"/>
            </w:tcBorders>
            <w:noWrap w:val="0"/>
            <w:tcMar>
              <w:top w:w="15" w:type="dxa"/>
              <w:left w:w="15" w:type="dxa"/>
              <w:bottom w:w="0" w:type="dxa"/>
              <w:right w:w="15" w:type="dxa"/>
            </w:tcMar>
            <w:vAlign w:val="bottom"/>
          </w:tcPr>
          <w:p w14:paraId="2F762D3B">
            <w:pPr>
              <w:pageBreakBefore w:val="0"/>
              <w:kinsoku/>
              <w:overflowPunct/>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w:t>
            </w:r>
          </w:p>
        </w:tc>
        <w:tc>
          <w:tcPr>
            <w:tcW w:w="698" w:type="dxa"/>
            <w:tcBorders>
              <w:top w:val="nil"/>
              <w:left w:val="nil"/>
              <w:bottom w:val="single" w:color="auto" w:sz="4" w:space="0"/>
              <w:right w:val="single" w:color="auto" w:sz="4" w:space="0"/>
            </w:tcBorders>
            <w:noWrap w:val="0"/>
            <w:tcMar>
              <w:top w:w="15" w:type="dxa"/>
              <w:left w:w="15" w:type="dxa"/>
              <w:bottom w:w="0" w:type="dxa"/>
              <w:right w:w="15" w:type="dxa"/>
            </w:tcMar>
            <w:vAlign w:val="bottom"/>
          </w:tcPr>
          <w:p w14:paraId="1957AC94">
            <w:pPr>
              <w:pageBreakBefore w:val="0"/>
              <w:kinsoku/>
              <w:overflowPunct/>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w:t>
            </w:r>
          </w:p>
        </w:tc>
        <w:tc>
          <w:tcPr>
            <w:tcW w:w="698" w:type="dxa"/>
            <w:tcBorders>
              <w:top w:val="nil"/>
              <w:left w:val="nil"/>
              <w:bottom w:val="single" w:color="auto" w:sz="4" w:space="0"/>
              <w:right w:val="single" w:color="auto" w:sz="4" w:space="0"/>
            </w:tcBorders>
            <w:noWrap w:val="0"/>
            <w:tcMar>
              <w:top w:w="15" w:type="dxa"/>
              <w:left w:w="15" w:type="dxa"/>
              <w:bottom w:w="0" w:type="dxa"/>
              <w:right w:w="15" w:type="dxa"/>
            </w:tcMar>
            <w:vAlign w:val="bottom"/>
          </w:tcPr>
          <w:p w14:paraId="39AB1054">
            <w:pPr>
              <w:pageBreakBefore w:val="0"/>
              <w:kinsoku/>
              <w:overflowPunct/>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w:t>
            </w:r>
          </w:p>
        </w:tc>
        <w:tc>
          <w:tcPr>
            <w:tcW w:w="698" w:type="dxa"/>
            <w:tcBorders>
              <w:top w:val="nil"/>
              <w:left w:val="nil"/>
              <w:bottom w:val="single" w:color="auto" w:sz="4" w:space="0"/>
              <w:right w:val="single" w:color="auto" w:sz="4" w:space="0"/>
            </w:tcBorders>
            <w:noWrap w:val="0"/>
            <w:tcMar>
              <w:top w:w="15" w:type="dxa"/>
              <w:left w:w="15" w:type="dxa"/>
              <w:bottom w:w="0" w:type="dxa"/>
              <w:right w:w="15" w:type="dxa"/>
            </w:tcMar>
            <w:vAlign w:val="bottom"/>
          </w:tcPr>
          <w:p w14:paraId="73A7354F">
            <w:pPr>
              <w:pageBreakBefore w:val="0"/>
              <w:kinsoku/>
              <w:overflowPunct/>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w:t>
            </w:r>
          </w:p>
        </w:tc>
      </w:tr>
      <w:tr w14:paraId="05C20EB5">
        <w:tblPrEx>
          <w:tblCellMar>
            <w:top w:w="0" w:type="dxa"/>
            <w:left w:w="0" w:type="dxa"/>
            <w:bottom w:w="0" w:type="dxa"/>
            <w:right w:w="0" w:type="dxa"/>
          </w:tblCellMar>
        </w:tblPrEx>
        <w:trPr>
          <w:trHeight w:val="285" w:hRule="atLeast"/>
          <w:jc w:val="center"/>
        </w:trPr>
        <w:tc>
          <w:tcPr>
            <w:tcW w:w="1349" w:type="dxa"/>
            <w:tcBorders>
              <w:top w:val="nil"/>
              <w:left w:val="single" w:color="auto" w:sz="4" w:space="0"/>
              <w:bottom w:val="single" w:color="auto" w:sz="4" w:space="0"/>
              <w:right w:val="single" w:color="auto" w:sz="4" w:space="0"/>
            </w:tcBorders>
            <w:noWrap w:val="0"/>
            <w:tcMar>
              <w:top w:w="15" w:type="dxa"/>
              <w:left w:w="15" w:type="dxa"/>
              <w:bottom w:w="0" w:type="dxa"/>
              <w:right w:w="15" w:type="dxa"/>
            </w:tcMar>
            <w:vAlign w:val="bottom"/>
          </w:tcPr>
          <w:p w14:paraId="6F27094A">
            <w:pPr>
              <w:pageBreakBefore w:val="0"/>
              <w:kinsoku/>
              <w:overflowPunct/>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w:t>
            </w:r>
          </w:p>
        </w:tc>
        <w:tc>
          <w:tcPr>
            <w:tcW w:w="1707" w:type="dxa"/>
            <w:tcBorders>
              <w:top w:val="nil"/>
              <w:left w:val="nil"/>
              <w:bottom w:val="single" w:color="auto" w:sz="4" w:space="0"/>
              <w:right w:val="single" w:color="auto" w:sz="4" w:space="0"/>
            </w:tcBorders>
            <w:noWrap w:val="0"/>
            <w:tcMar>
              <w:top w:w="15" w:type="dxa"/>
              <w:left w:w="15" w:type="dxa"/>
              <w:bottom w:w="0" w:type="dxa"/>
              <w:right w:w="15" w:type="dxa"/>
            </w:tcMar>
            <w:vAlign w:val="bottom"/>
          </w:tcPr>
          <w:p w14:paraId="1F00292F">
            <w:pPr>
              <w:pageBreakBefore w:val="0"/>
              <w:kinsoku/>
              <w:overflowPunct/>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w:t>
            </w:r>
          </w:p>
        </w:tc>
        <w:tc>
          <w:tcPr>
            <w:tcW w:w="2222" w:type="dxa"/>
            <w:tcBorders>
              <w:top w:val="nil"/>
              <w:left w:val="nil"/>
              <w:bottom w:val="single" w:color="auto" w:sz="4" w:space="0"/>
              <w:right w:val="single" w:color="auto" w:sz="4" w:space="0"/>
            </w:tcBorders>
            <w:noWrap w:val="0"/>
            <w:tcMar>
              <w:top w:w="15" w:type="dxa"/>
              <w:left w:w="15" w:type="dxa"/>
              <w:bottom w:w="0" w:type="dxa"/>
              <w:right w:w="15" w:type="dxa"/>
            </w:tcMar>
            <w:vAlign w:val="bottom"/>
          </w:tcPr>
          <w:p w14:paraId="05E81C3C">
            <w:pPr>
              <w:pageBreakBefore w:val="0"/>
              <w:kinsoku/>
              <w:overflowPunct/>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w:t>
            </w:r>
          </w:p>
        </w:tc>
        <w:tc>
          <w:tcPr>
            <w:tcW w:w="1023" w:type="dxa"/>
            <w:tcBorders>
              <w:top w:val="nil"/>
              <w:left w:val="nil"/>
              <w:bottom w:val="single" w:color="auto" w:sz="4" w:space="0"/>
              <w:right w:val="single" w:color="auto" w:sz="4" w:space="0"/>
            </w:tcBorders>
            <w:noWrap w:val="0"/>
            <w:tcMar>
              <w:top w:w="15" w:type="dxa"/>
              <w:left w:w="15" w:type="dxa"/>
              <w:bottom w:w="0" w:type="dxa"/>
              <w:right w:w="15" w:type="dxa"/>
            </w:tcMar>
            <w:vAlign w:val="bottom"/>
          </w:tcPr>
          <w:p w14:paraId="29802C06">
            <w:pPr>
              <w:pageBreakBefore w:val="0"/>
              <w:kinsoku/>
              <w:overflowPunct/>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w:t>
            </w:r>
          </w:p>
        </w:tc>
        <w:tc>
          <w:tcPr>
            <w:tcW w:w="698" w:type="dxa"/>
            <w:tcBorders>
              <w:top w:val="nil"/>
              <w:left w:val="nil"/>
              <w:bottom w:val="single" w:color="auto" w:sz="4" w:space="0"/>
              <w:right w:val="single" w:color="auto" w:sz="4" w:space="0"/>
            </w:tcBorders>
            <w:noWrap w:val="0"/>
            <w:tcMar>
              <w:top w:w="15" w:type="dxa"/>
              <w:left w:w="15" w:type="dxa"/>
              <w:bottom w:w="0" w:type="dxa"/>
              <w:right w:w="15" w:type="dxa"/>
            </w:tcMar>
            <w:vAlign w:val="bottom"/>
          </w:tcPr>
          <w:p w14:paraId="120D8030">
            <w:pPr>
              <w:pageBreakBefore w:val="0"/>
              <w:kinsoku/>
              <w:overflowPunct/>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w:t>
            </w:r>
          </w:p>
        </w:tc>
        <w:tc>
          <w:tcPr>
            <w:tcW w:w="698" w:type="dxa"/>
            <w:tcBorders>
              <w:top w:val="nil"/>
              <w:left w:val="nil"/>
              <w:bottom w:val="single" w:color="auto" w:sz="4" w:space="0"/>
              <w:right w:val="single" w:color="auto" w:sz="4" w:space="0"/>
            </w:tcBorders>
            <w:noWrap w:val="0"/>
            <w:tcMar>
              <w:top w:w="15" w:type="dxa"/>
              <w:left w:w="15" w:type="dxa"/>
              <w:bottom w:w="0" w:type="dxa"/>
              <w:right w:w="15" w:type="dxa"/>
            </w:tcMar>
            <w:vAlign w:val="bottom"/>
          </w:tcPr>
          <w:p w14:paraId="1DF19C31">
            <w:pPr>
              <w:pageBreakBefore w:val="0"/>
              <w:kinsoku/>
              <w:overflowPunct/>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w:t>
            </w:r>
          </w:p>
        </w:tc>
        <w:tc>
          <w:tcPr>
            <w:tcW w:w="698" w:type="dxa"/>
            <w:tcBorders>
              <w:top w:val="nil"/>
              <w:left w:val="nil"/>
              <w:bottom w:val="single" w:color="auto" w:sz="4" w:space="0"/>
              <w:right w:val="single" w:color="auto" w:sz="4" w:space="0"/>
            </w:tcBorders>
            <w:noWrap w:val="0"/>
            <w:tcMar>
              <w:top w:w="15" w:type="dxa"/>
              <w:left w:w="15" w:type="dxa"/>
              <w:bottom w:w="0" w:type="dxa"/>
              <w:right w:w="15" w:type="dxa"/>
            </w:tcMar>
            <w:vAlign w:val="bottom"/>
          </w:tcPr>
          <w:p w14:paraId="63AE81C4">
            <w:pPr>
              <w:pageBreakBefore w:val="0"/>
              <w:kinsoku/>
              <w:overflowPunct/>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w:t>
            </w:r>
          </w:p>
        </w:tc>
        <w:tc>
          <w:tcPr>
            <w:tcW w:w="698" w:type="dxa"/>
            <w:tcBorders>
              <w:top w:val="nil"/>
              <w:left w:val="nil"/>
              <w:bottom w:val="single" w:color="auto" w:sz="4" w:space="0"/>
              <w:right w:val="single" w:color="auto" w:sz="4" w:space="0"/>
            </w:tcBorders>
            <w:noWrap w:val="0"/>
            <w:tcMar>
              <w:top w:w="15" w:type="dxa"/>
              <w:left w:w="15" w:type="dxa"/>
              <w:bottom w:w="0" w:type="dxa"/>
              <w:right w:w="15" w:type="dxa"/>
            </w:tcMar>
            <w:vAlign w:val="bottom"/>
          </w:tcPr>
          <w:p w14:paraId="480783E0">
            <w:pPr>
              <w:pageBreakBefore w:val="0"/>
              <w:kinsoku/>
              <w:overflowPunct/>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w:t>
            </w:r>
          </w:p>
        </w:tc>
        <w:tc>
          <w:tcPr>
            <w:tcW w:w="698" w:type="dxa"/>
            <w:tcBorders>
              <w:top w:val="nil"/>
              <w:left w:val="nil"/>
              <w:bottom w:val="single" w:color="auto" w:sz="4" w:space="0"/>
              <w:right w:val="single" w:color="auto" w:sz="4" w:space="0"/>
            </w:tcBorders>
            <w:noWrap w:val="0"/>
            <w:tcMar>
              <w:top w:w="15" w:type="dxa"/>
              <w:left w:w="15" w:type="dxa"/>
              <w:bottom w:w="0" w:type="dxa"/>
              <w:right w:w="15" w:type="dxa"/>
            </w:tcMar>
            <w:vAlign w:val="bottom"/>
          </w:tcPr>
          <w:p w14:paraId="3FD10F80">
            <w:pPr>
              <w:pageBreakBefore w:val="0"/>
              <w:kinsoku/>
              <w:overflowPunct/>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w:t>
            </w:r>
          </w:p>
        </w:tc>
      </w:tr>
      <w:tr w14:paraId="29683EE3">
        <w:tblPrEx>
          <w:tblCellMar>
            <w:top w:w="0" w:type="dxa"/>
            <w:left w:w="0" w:type="dxa"/>
            <w:bottom w:w="0" w:type="dxa"/>
            <w:right w:w="0" w:type="dxa"/>
          </w:tblCellMar>
        </w:tblPrEx>
        <w:trPr>
          <w:trHeight w:val="285" w:hRule="atLeast"/>
          <w:jc w:val="center"/>
        </w:trPr>
        <w:tc>
          <w:tcPr>
            <w:tcW w:w="1349" w:type="dxa"/>
            <w:tcBorders>
              <w:top w:val="nil"/>
              <w:left w:val="single" w:color="auto" w:sz="4" w:space="0"/>
              <w:bottom w:val="single" w:color="auto" w:sz="4" w:space="0"/>
              <w:right w:val="single" w:color="auto" w:sz="4" w:space="0"/>
            </w:tcBorders>
            <w:noWrap w:val="0"/>
            <w:tcMar>
              <w:top w:w="15" w:type="dxa"/>
              <w:left w:w="15" w:type="dxa"/>
              <w:bottom w:w="0" w:type="dxa"/>
              <w:right w:w="15" w:type="dxa"/>
            </w:tcMar>
            <w:vAlign w:val="bottom"/>
          </w:tcPr>
          <w:p w14:paraId="6C2ABCA8">
            <w:pPr>
              <w:pageBreakBefore w:val="0"/>
              <w:kinsoku/>
              <w:overflowPunct/>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w:t>
            </w:r>
          </w:p>
        </w:tc>
        <w:tc>
          <w:tcPr>
            <w:tcW w:w="1707" w:type="dxa"/>
            <w:tcBorders>
              <w:top w:val="nil"/>
              <w:left w:val="nil"/>
              <w:bottom w:val="single" w:color="auto" w:sz="4" w:space="0"/>
              <w:right w:val="single" w:color="auto" w:sz="4" w:space="0"/>
            </w:tcBorders>
            <w:noWrap w:val="0"/>
            <w:tcMar>
              <w:top w:w="15" w:type="dxa"/>
              <w:left w:w="15" w:type="dxa"/>
              <w:bottom w:w="0" w:type="dxa"/>
              <w:right w:w="15" w:type="dxa"/>
            </w:tcMar>
            <w:vAlign w:val="bottom"/>
          </w:tcPr>
          <w:p w14:paraId="22F07CDB">
            <w:pPr>
              <w:pageBreakBefore w:val="0"/>
              <w:kinsoku/>
              <w:overflowPunct/>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w:t>
            </w:r>
          </w:p>
        </w:tc>
        <w:tc>
          <w:tcPr>
            <w:tcW w:w="2222" w:type="dxa"/>
            <w:tcBorders>
              <w:top w:val="nil"/>
              <w:left w:val="nil"/>
              <w:bottom w:val="single" w:color="auto" w:sz="4" w:space="0"/>
              <w:right w:val="single" w:color="auto" w:sz="4" w:space="0"/>
            </w:tcBorders>
            <w:noWrap w:val="0"/>
            <w:tcMar>
              <w:top w:w="15" w:type="dxa"/>
              <w:left w:w="15" w:type="dxa"/>
              <w:bottom w:w="0" w:type="dxa"/>
              <w:right w:w="15" w:type="dxa"/>
            </w:tcMar>
            <w:vAlign w:val="bottom"/>
          </w:tcPr>
          <w:p w14:paraId="5581E66D">
            <w:pPr>
              <w:pageBreakBefore w:val="0"/>
              <w:kinsoku/>
              <w:overflowPunct/>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w:t>
            </w:r>
          </w:p>
        </w:tc>
        <w:tc>
          <w:tcPr>
            <w:tcW w:w="1023" w:type="dxa"/>
            <w:tcBorders>
              <w:top w:val="nil"/>
              <w:left w:val="nil"/>
              <w:bottom w:val="single" w:color="auto" w:sz="4" w:space="0"/>
              <w:right w:val="single" w:color="auto" w:sz="4" w:space="0"/>
            </w:tcBorders>
            <w:noWrap w:val="0"/>
            <w:tcMar>
              <w:top w:w="15" w:type="dxa"/>
              <w:left w:w="15" w:type="dxa"/>
              <w:bottom w:w="0" w:type="dxa"/>
              <w:right w:w="15" w:type="dxa"/>
            </w:tcMar>
            <w:vAlign w:val="bottom"/>
          </w:tcPr>
          <w:p w14:paraId="43CA179E">
            <w:pPr>
              <w:pageBreakBefore w:val="0"/>
              <w:kinsoku/>
              <w:overflowPunct/>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w:t>
            </w:r>
          </w:p>
        </w:tc>
        <w:tc>
          <w:tcPr>
            <w:tcW w:w="698" w:type="dxa"/>
            <w:tcBorders>
              <w:top w:val="nil"/>
              <w:left w:val="nil"/>
              <w:bottom w:val="single" w:color="auto" w:sz="4" w:space="0"/>
              <w:right w:val="single" w:color="auto" w:sz="4" w:space="0"/>
            </w:tcBorders>
            <w:noWrap w:val="0"/>
            <w:tcMar>
              <w:top w:w="15" w:type="dxa"/>
              <w:left w:w="15" w:type="dxa"/>
              <w:bottom w:w="0" w:type="dxa"/>
              <w:right w:w="15" w:type="dxa"/>
            </w:tcMar>
            <w:vAlign w:val="bottom"/>
          </w:tcPr>
          <w:p w14:paraId="6C2726A0">
            <w:pPr>
              <w:pageBreakBefore w:val="0"/>
              <w:kinsoku/>
              <w:overflowPunct/>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w:t>
            </w:r>
          </w:p>
        </w:tc>
        <w:tc>
          <w:tcPr>
            <w:tcW w:w="698" w:type="dxa"/>
            <w:tcBorders>
              <w:top w:val="nil"/>
              <w:left w:val="nil"/>
              <w:bottom w:val="single" w:color="auto" w:sz="4" w:space="0"/>
              <w:right w:val="single" w:color="auto" w:sz="4" w:space="0"/>
            </w:tcBorders>
            <w:noWrap w:val="0"/>
            <w:tcMar>
              <w:top w:w="15" w:type="dxa"/>
              <w:left w:w="15" w:type="dxa"/>
              <w:bottom w:w="0" w:type="dxa"/>
              <w:right w:w="15" w:type="dxa"/>
            </w:tcMar>
            <w:vAlign w:val="bottom"/>
          </w:tcPr>
          <w:p w14:paraId="7C052D56">
            <w:pPr>
              <w:pageBreakBefore w:val="0"/>
              <w:kinsoku/>
              <w:overflowPunct/>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w:t>
            </w:r>
          </w:p>
        </w:tc>
        <w:tc>
          <w:tcPr>
            <w:tcW w:w="698" w:type="dxa"/>
            <w:tcBorders>
              <w:top w:val="nil"/>
              <w:left w:val="nil"/>
              <w:bottom w:val="single" w:color="auto" w:sz="4" w:space="0"/>
              <w:right w:val="single" w:color="auto" w:sz="4" w:space="0"/>
            </w:tcBorders>
            <w:noWrap w:val="0"/>
            <w:tcMar>
              <w:top w:w="15" w:type="dxa"/>
              <w:left w:w="15" w:type="dxa"/>
              <w:bottom w:w="0" w:type="dxa"/>
              <w:right w:w="15" w:type="dxa"/>
            </w:tcMar>
            <w:vAlign w:val="bottom"/>
          </w:tcPr>
          <w:p w14:paraId="62EBD493">
            <w:pPr>
              <w:pageBreakBefore w:val="0"/>
              <w:kinsoku/>
              <w:overflowPunct/>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w:t>
            </w:r>
          </w:p>
        </w:tc>
        <w:tc>
          <w:tcPr>
            <w:tcW w:w="698" w:type="dxa"/>
            <w:tcBorders>
              <w:top w:val="nil"/>
              <w:left w:val="nil"/>
              <w:bottom w:val="single" w:color="auto" w:sz="4" w:space="0"/>
              <w:right w:val="single" w:color="auto" w:sz="4" w:space="0"/>
            </w:tcBorders>
            <w:noWrap w:val="0"/>
            <w:tcMar>
              <w:top w:w="15" w:type="dxa"/>
              <w:left w:w="15" w:type="dxa"/>
              <w:bottom w:w="0" w:type="dxa"/>
              <w:right w:w="15" w:type="dxa"/>
            </w:tcMar>
            <w:vAlign w:val="bottom"/>
          </w:tcPr>
          <w:p w14:paraId="1D8FD7BE">
            <w:pPr>
              <w:pageBreakBefore w:val="0"/>
              <w:kinsoku/>
              <w:overflowPunct/>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w:t>
            </w:r>
          </w:p>
        </w:tc>
        <w:tc>
          <w:tcPr>
            <w:tcW w:w="698" w:type="dxa"/>
            <w:tcBorders>
              <w:top w:val="nil"/>
              <w:left w:val="nil"/>
              <w:bottom w:val="single" w:color="auto" w:sz="4" w:space="0"/>
              <w:right w:val="single" w:color="auto" w:sz="4" w:space="0"/>
            </w:tcBorders>
            <w:noWrap w:val="0"/>
            <w:tcMar>
              <w:top w:w="15" w:type="dxa"/>
              <w:left w:w="15" w:type="dxa"/>
              <w:bottom w:w="0" w:type="dxa"/>
              <w:right w:w="15" w:type="dxa"/>
            </w:tcMar>
            <w:vAlign w:val="bottom"/>
          </w:tcPr>
          <w:p w14:paraId="15178713">
            <w:pPr>
              <w:pageBreakBefore w:val="0"/>
              <w:kinsoku/>
              <w:overflowPunct/>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w:t>
            </w:r>
          </w:p>
        </w:tc>
      </w:tr>
      <w:tr w14:paraId="491F4C10">
        <w:tblPrEx>
          <w:tblCellMar>
            <w:top w:w="0" w:type="dxa"/>
            <w:left w:w="0" w:type="dxa"/>
            <w:bottom w:w="0" w:type="dxa"/>
            <w:right w:w="0" w:type="dxa"/>
          </w:tblCellMar>
        </w:tblPrEx>
        <w:trPr>
          <w:trHeight w:val="285" w:hRule="atLeast"/>
          <w:jc w:val="center"/>
        </w:trPr>
        <w:tc>
          <w:tcPr>
            <w:tcW w:w="1349" w:type="dxa"/>
            <w:tcBorders>
              <w:top w:val="nil"/>
              <w:left w:val="single" w:color="auto" w:sz="4" w:space="0"/>
              <w:bottom w:val="single" w:color="auto" w:sz="4" w:space="0"/>
              <w:right w:val="single" w:color="auto" w:sz="4" w:space="0"/>
            </w:tcBorders>
            <w:noWrap w:val="0"/>
            <w:tcMar>
              <w:top w:w="15" w:type="dxa"/>
              <w:left w:w="15" w:type="dxa"/>
              <w:bottom w:w="0" w:type="dxa"/>
              <w:right w:w="15" w:type="dxa"/>
            </w:tcMar>
            <w:vAlign w:val="bottom"/>
          </w:tcPr>
          <w:p w14:paraId="0B7DB29B">
            <w:pPr>
              <w:pageBreakBefore w:val="0"/>
              <w:kinsoku/>
              <w:overflowPunct/>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w:t>
            </w:r>
          </w:p>
        </w:tc>
        <w:tc>
          <w:tcPr>
            <w:tcW w:w="1707" w:type="dxa"/>
            <w:tcBorders>
              <w:top w:val="nil"/>
              <w:left w:val="nil"/>
              <w:bottom w:val="single" w:color="auto" w:sz="4" w:space="0"/>
              <w:right w:val="single" w:color="auto" w:sz="4" w:space="0"/>
            </w:tcBorders>
            <w:noWrap w:val="0"/>
            <w:tcMar>
              <w:top w:w="15" w:type="dxa"/>
              <w:left w:w="15" w:type="dxa"/>
              <w:bottom w:w="0" w:type="dxa"/>
              <w:right w:w="15" w:type="dxa"/>
            </w:tcMar>
            <w:vAlign w:val="bottom"/>
          </w:tcPr>
          <w:p w14:paraId="59230842">
            <w:pPr>
              <w:pageBreakBefore w:val="0"/>
              <w:kinsoku/>
              <w:overflowPunct/>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w:t>
            </w:r>
          </w:p>
        </w:tc>
        <w:tc>
          <w:tcPr>
            <w:tcW w:w="2222" w:type="dxa"/>
            <w:tcBorders>
              <w:top w:val="nil"/>
              <w:left w:val="nil"/>
              <w:bottom w:val="single" w:color="auto" w:sz="4" w:space="0"/>
              <w:right w:val="single" w:color="auto" w:sz="4" w:space="0"/>
            </w:tcBorders>
            <w:noWrap w:val="0"/>
            <w:tcMar>
              <w:top w:w="15" w:type="dxa"/>
              <w:left w:w="15" w:type="dxa"/>
              <w:bottom w:w="0" w:type="dxa"/>
              <w:right w:w="15" w:type="dxa"/>
            </w:tcMar>
            <w:vAlign w:val="bottom"/>
          </w:tcPr>
          <w:p w14:paraId="4978F3CA">
            <w:pPr>
              <w:pageBreakBefore w:val="0"/>
              <w:kinsoku/>
              <w:overflowPunct/>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w:t>
            </w:r>
          </w:p>
        </w:tc>
        <w:tc>
          <w:tcPr>
            <w:tcW w:w="1023" w:type="dxa"/>
            <w:tcBorders>
              <w:top w:val="nil"/>
              <w:left w:val="nil"/>
              <w:bottom w:val="single" w:color="auto" w:sz="4" w:space="0"/>
              <w:right w:val="single" w:color="auto" w:sz="4" w:space="0"/>
            </w:tcBorders>
            <w:noWrap w:val="0"/>
            <w:tcMar>
              <w:top w:w="15" w:type="dxa"/>
              <w:left w:w="15" w:type="dxa"/>
              <w:bottom w:w="0" w:type="dxa"/>
              <w:right w:w="15" w:type="dxa"/>
            </w:tcMar>
            <w:vAlign w:val="bottom"/>
          </w:tcPr>
          <w:p w14:paraId="45EAB19E">
            <w:pPr>
              <w:pageBreakBefore w:val="0"/>
              <w:kinsoku/>
              <w:overflowPunct/>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w:t>
            </w:r>
          </w:p>
        </w:tc>
        <w:tc>
          <w:tcPr>
            <w:tcW w:w="698" w:type="dxa"/>
            <w:tcBorders>
              <w:top w:val="nil"/>
              <w:left w:val="nil"/>
              <w:bottom w:val="single" w:color="auto" w:sz="4" w:space="0"/>
              <w:right w:val="single" w:color="auto" w:sz="4" w:space="0"/>
            </w:tcBorders>
            <w:noWrap w:val="0"/>
            <w:tcMar>
              <w:top w:w="15" w:type="dxa"/>
              <w:left w:w="15" w:type="dxa"/>
              <w:bottom w:w="0" w:type="dxa"/>
              <w:right w:w="15" w:type="dxa"/>
            </w:tcMar>
            <w:vAlign w:val="bottom"/>
          </w:tcPr>
          <w:p w14:paraId="2934BC4F">
            <w:pPr>
              <w:pageBreakBefore w:val="0"/>
              <w:kinsoku/>
              <w:overflowPunct/>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w:t>
            </w:r>
          </w:p>
        </w:tc>
        <w:tc>
          <w:tcPr>
            <w:tcW w:w="698" w:type="dxa"/>
            <w:tcBorders>
              <w:top w:val="nil"/>
              <w:left w:val="nil"/>
              <w:bottom w:val="single" w:color="auto" w:sz="4" w:space="0"/>
              <w:right w:val="single" w:color="auto" w:sz="4" w:space="0"/>
            </w:tcBorders>
            <w:noWrap w:val="0"/>
            <w:tcMar>
              <w:top w:w="15" w:type="dxa"/>
              <w:left w:w="15" w:type="dxa"/>
              <w:bottom w:w="0" w:type="dxa"/>
              <w:right w:w="15" w:type="dxa"/>
            </w:tcMar>
            <w:vAlign w:val="bottom"/>
          </w:tcPr>
          <w:p w14:paraId="78D1FF36">
            <w:pPr>
              <w:pageBreakBefore w:val="0"/>
              <w:kinsoku/>
              <w:overflowPunct/>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w:t>
            </w:r>
          </w:p>
        </w:tc>
        <w:tc>
          <w:tcPr>
            <w:tcW w:w="698" w:type="dxa"/>
            <w:tcBorders>
              <w:top w:val="nil"/>
              <w:left w:val="nil"/>
              <w:bottom w:val="single" w:color="auto" w:sz="4" w:space="0"/>
              <w:right w:val="single" w:color="auto" w:sz="4" w:space="0"/>
            </w:tcBorders>
            <w:noWrap w:val="0"/>
            <w:tcMar>
              <w:top w:w="15" w:type="dxa"/>
              <w:left w:w="15" w:type="dxa"/>
              <w:bottom w:w="0" w:type="dxa"/>
              <w:right w:w="15" w:type="dxa"/>
            </w:tcMar>
            <w:vAlign w:val="bottom"/>
          </w:tcPr>
          <w:p w14:paraId="762B1907">
            <w:pPr>
              <w:pageBreakBefore w:val="0"/>
              <w:kinsoku/>
              <w:overflowPunct/>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w:t>
            </w:r>
          </w:p>
        </w:tc>
        <w:tc>
          <w:tcPr>
            <w:tcW w:w="698" w:type="dxa"/>
            <w:tcBorders>
              <w:top w:val="nil"/>
              <w:left w:val="nil"/>
              <w:bottom w:val="single" w:color="auto" w:sz="4" w:space="0"/>
              <w:right w:val="single" w:color="auto" w:sz="4" w:space="0"/>
            </w:tcBorders>
            <w:noWrap w:val="0"/>
            <w:tcMar>
              <w:top w:w="15" w:type="dxa"/>
              <w:left w:w="15" w:type="dxa"/>
              <w:bottom w:w="0" w:type="dxa"/>
              <w:right w:w="15" w:type="dxa"/>
            </w:tcMar>
            <w:vAlign w:val="bottom"/>
          </w:tcPr>
          <w:p w14:paraId="6E08FE59">
            <w:pPr>
              <w:pageBreakBefore w:val="0"/>
              <w:kinsoku/>
              <w:overflowPunct/>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w:t>
            </w:r>
          </w:p>
        </w:tc>
        <w:tc>
          <w:tcPr>
            <w:tcW w:w="698" w:type="dxa"/>
            <w:tcBorders>
              <w:top w:val="nil"/>
              <w:left w:val="nil"/>
              <w:bottom w:val="single" w:color="auto" w:sz="4" w:space="0"/>
              <w:right w:val="single" w:color="auto" w:sz="4" w:space="0"/>
            </w:tcBorders>
            <w:noWrap w:val="0"/>
            <w:tcMar>
              <w:top w:w="15" w:type="dxa"/>
              <w:left w:w="15" w:type="dxa"/>
              <w:bottom w:w="0" w:type="dxa"/>
              <w:right w:w="15" w:type="dxa"/>
            </w:tcMar>
            <w:vAlign w:val="bottom"/>
          </w:tcPr>
          <w:p w14:paraId="62BD7353">
            <w:pPr>
              <w:pageBreakBefore w:val="0"/>
              <w:kinsoku/>
              <w:overflowPunct/>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w:t>
            </w:r>
          </w:p>
        </w:tc>
      </w:tr>
      <w:tr w14:paraId="2749448A">
        <w:tblPrEx>
          <w:tblCellMar>
            <w:top w:w="0" w:type="dxa"/>
            <w:left w:w="0" w:type="dxa"/>
            <w:bottom w:w="0" w:type="dxa"/>
            <w:right w:w="0" w:type="dxa"/>
          </w:tblCellMar>
        </w:tblPrEx>
        <w:trPr>
          <w:trHeight w:val="285" w:hRule="atLeast"/>
          <w:jc w:val="center"/>
        </w:trPr>
        <w:tc>
          <w:tcPr>
            <w:tcW w:w="1349" w:type="dxa"/>
            <w:tcBorders>
              <w:top w:val="nil"/>
              <w:left w:val="single" w:color="auto" w:sz="4" w:space="0"/>
              <w:bottom w:val="single" w:color="auto" w:sz="4" w:space="0"/>
              <w:right w:val="single" w:color="auto" w:sz="4" w:space="0"/>
            </w:tcBorders>
            <w:noWrap w:val="0"/>
            <w:tcMar>
              <w:top w:w="15" w:type="dxa"/>
              <w:left w:w="15" w:type="dxa"/>
              <w:bottom w:w="0" w:type="dxa"/>
              <w:right w:w="15" w:type="dxa"/>
            </w:tcMar>
            <w:vAlign w:val="bottom"/>
          </w:tcPr>
          <w:p w14:paraId="6F6498F1">
            <w:pPr>
              <w:pageBreakBefore w:val="0"/>
              <w:kinsoku/>
              <w:overflowPunct/>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w:t>
            </w:r>
          </w:p>
        </w:tc>
        <w:tc>
          <w:tcPr>
            <w:tcW w:w="1707" w:type="dxa"/>
            <w:tcBorders>
              <w:top w:val="nil"/>
              <w:left w:val="nil"/>
              <w:bottom w:val="single" w:color="auto" w:sz="4" w:space="0"/>
              <w:right w:val="single" w:color="auto" w:sz="4" w:space="0"/>
            </w:tcBorders>
            <w:noWrap w:val="0"/>
            <w:tcMar>
              <w:top w:w="15" w:type="dxa"/>
              <w:left w:w="15" w:type="dxa"/>
              <w:bottom w:w="0" w:type="dxa"/>
              <w:right w:w="15" w:type="dxa"/>
            </w:tcMar>
            <w:vAlign w:val="bottom"/>
          </w:tcPr>
          <w:p w14:paraId="0DF6A3A7">
            <w:pPr>
              <w:pageBreakBefore w:val="0"/>
              <w:kinsoku/>
              <w:overflowPunct/>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w:t>
            </w:r>
          </w:p>
        </w:tc>
        <w:tc>
          <w:tcPr>
            <w:tcW w:w="2222" w:type="dxa"/>
            <w:tcBorders>
              <w:top w:val="nil"/>
              <w:left w:val="nil"/>
              <w:bottom w:val="single" w:color="auto" w:sz="4" w:space="0"/>
              <w:right w:val="single" w:color="auto" w:sz="4" w:space="0"/>
            </w:tcBorders>
            <w:noWrap w:val="0"/>
            <w:tcMar>
              <w:top w:w="15" w:type="dxa"/>
              <w:left w:w="15" w:type="dxa"/>
              <w:bottom w:w="0" w:type="dxa"/>
              <w:right w:w="15" w:type="dxa"/>
            </w:tcMar>
            <w:vAlign w:val="bottom"/>
          </w:tcPr>
          <w:p w14:paraId="2E7CE2E4">
            <w:pPr>
              <w:pageBreakBefore w:val="0"/>
              <w:kinsoku/>
              <w:overflowPunct/>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w:t>
            </w:r>
          </w:p>
        </w:tc>
        <w:tc>
          <w:tcPr>
            <w:tcW w:w="1023" w:type="dxa"/>
            <w:tcBorders>
              <w:top w:val="nil"/>
              <w:left w:val="nil"/>
              <w:bottom w:val="single" w:color="auto" w:sz="4" w:space="0"/>
              <w:right w:val="single" w:color="auto" w:sz="4" w:space="0"/>
            </w:tcBorders>
            <w:noWrap w:val="0"/>
            <w:tcMar>
              <w:top w:w="15" w:type="dxa"/>
              <w:left w:w="15" w:type="dxa"/>
              <w:bottom w:w="0" w:type="dxa"/>
              <w:right w:w="15" w:type="dxa"/>
            </w:tcMar>
            <w:vAlign w:val="bottom"/>
          </w:tcPr>
          <w:p w14:paraId="7FE6A1FE">
            <w:pPr>
              <w:pageBreakBefore w:val="0"/>
              <w:kinsoku/>
              <w:overflowPunct/>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w:t>
            </w:r>
          </w:p>
        </w:tc>
        <w:tc>
          <w:tcPr>
            <w:tcW w:w="698" w:type="dxa"/>
            <w:tcBorders>
              <w:top w:val="nil"/>
              <w:left w:val="nil"/>
              <w:bottom w:val="single" w:color="auto" w:sz="4" w:space="0"/>
              <w:right w:val="single" w:color="auto" w:sz="4" w:space="0"/>
            </w:tcBorders>
            <w:noWrap w:val="0"/>
            <w:tcMar>
              <w:top w:w="15" w:type="dxa"/>
              <w:left w:w="15" w:type="dxa"/>
              <w:bottom w:w="0" w:type="dxa"/>
              <w:right w:w="15" w:type="dxa"/>
            </w:tcMar>
            <w:vAlign w:val="bottom"/>
          </w:tcPr>
          <w:p w14:paraId="249950D0">
            <w:pPr>
              <w:pageBreakBefore w:val="0"/>
              <w:kinsoku/>
              <w:overflowPunct/>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w:t>
            </w:r>
          </w:p>
        </w:tc>
        <w:tc>
          <w:tcPr>
            <w:tcW w:w="698" w:type="dxa"/>
            <w:tcBorders>
              <w:top w:val="nil"/>
              <w:left w:val="nil"/>
              <w:bottom w:val="single" w:color="auto" w:sz="4" w:space="0"/>
              <w:right w:val="single" w:color="auto" w:sz="4" w:space="0"/>
            </w:tcBorders>
            <w:noWrap w:val="0"/>
            <w:tcMar>
              <w:top w:w="15" w:type="dxa"/>
              <w:left w:w="15" w:type="dxa"/>
              <w:bottom w:w="0" w:type="dxa"/>
              <w:right w:w="15" w:type="dxa"/>
            </w:tcMar>
            <w:vAlign w:val="bottom"/>
          </w:tcPr>
          <w:p w14:paraId="228000A0">
            <w:pPr>
              <w:pageBreakBefore w:val="0"/>
              <w:kinsoku/>
              <w:overflowPunct/>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w:t>
            </w:r>
          </w:p>
        </w:tc>
        <w:tc>
          <w:tcPr>
            <w:tcW w:w="698" w:type="dxa"/>
            <w:tcBorders>
              <w:top w:val="nil"/>
              <w:left w:val="nil"/>
              <w:bottom w:val="single" w:color="auto" w:sz="4" w:space="0"/>
              <w:right w:val="single" w:color="auto" w:sz="4" w:space="0"/>
            </w:tcBorders>
            <w:noWrap w:val="0"/>
            <w:tcMar>
              <w:top w:w="15" w:type="dxa"/>
              <w:left w:w="15" w:type="dxa"/>
              <w:bottom w:w="0" w:type="dxa"/>
              <w:right w:w="15" w:type="dxa"/>
            </w:tcMar>
            <w:vAlign w:val="bottom"/>
          </w:tcPr>
          <w:p w14:paraId="773C8E03">
            <w:pPr>
              <w:pageBreakBefore w:val="0"/>
              <w:kinsoku/>
              <w:overflowPunct/>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w:t>
            </w:r>
          </w:p>
        </w:tc>
        <w:tc>
          <w:tcPr>
            <w:tcW w:w="698" w:type="dxa"/>
            <w:tcBorders>
              <w:top w:val="nil"/>
              <w:left w:val="nil"/>
              <w:bottom w:val="single" w:color="auto" w:sz="4" w:space="0"/>
              <w:right w:val="single" w:color="auto" w:sz="4" w:space="0"/>
            </w:tcBorders>
            <w:noWrap w:val="0"/>
            <w:tcMar>
              <w:top w:w="15" w:type="dxa"/>
              <w:left w:w="15" w:type="dxa"/>
              <w:bottom w:w="0" w:type="dxa"/>
              <w:right w:w="15" w:type="dxa"/>
            </w:tcMar>
            <w:vAlign w:val="bottom"/>
          </w:tcPr>
          <w:p w14:paraId="402F6907">
            <w:pPr>
              <w:pageBreakBefore w:val="0"/>
              <w:kinsoku/>
              <w:overflowPunct/>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w:t>
            </w:r>
          </w:p>
        </w:tc>
        <w:tc>
          <w:tcPr>
            <w:tcW w:w="698" w:type="dxa"/>
            <w:tcBorders>
              <w:top w:val="nil"/>
              <w:left w:val="nil"/>
              <w:bottom w:val="single" w:color="auto" w:sz="4" w:space="0"/>
              <w:right w:val="single" w:color="auto" w:sz="4" w:space="0"/>
            </w:tcBorders>
            <w:noWrap w:val="0"/>
            <w:tcMar>
              <w:top w:w="15" w:type="dxa"/>
              <w:left w:w="15" w:type="dxa"/>
              <w:bottom w:w="0" w:type="dxa"/>
              <w:right w:w="15" w:type="dxa"/>
            </w:tcMar>
            <w:vAlign w:val="bottom"/>
          </w:tcPr>
          <w:p w14:paraId="4DAA01BA">
            <w:pPr>
              <w:pageBreakBefore w:val="0"/>
              <w:kinsoku/>
              <w:overflowPunct/>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w:t>
            </w:r>
          </w:p>
        </w:tc>
      </w:tr>
      <w:tr w14:paraId="460508F6">
        <w:tblPrEx>
          <w:tblCellMar>
            <w:top w:w="0" w:type="dxa"/>
            <w:left w:w="0" w:type="dxa"/>
            <w:bottom w:w="0" w:type="dxa"/>
            <w:right w:w="0" w:type="dxa"/>
          </w:tblCellMar>
        </w:tblPrEx>
        <w:trPr>
          <w:trHeight w:val="285" w:hRule="atLeast"/>
          <w:jc w:val="center"/>
        </w:trPr>
        <w:tc>
          <w:tcPr>
            <w:tcW w:w="1349" w:type="dxa"/>
            <w:tcBorders>
              <w:top w:val="nil"/>
              <w:left w:val="single" w:color="auto" w:sz="4" w:space="0"/>
              <w:bottom w:val="single" w:color="auto" w:sz="4" w:space="0"/>
              <w:right w:val="single" w:color="auto" w:sz="4" w:space="0"/>
            </w:tcBorders>
            <w:noWrap w:val="0"/>
            <w:tcMar>
              <w:top w:w="15" w:type="dxa"/>
              <w:left w:w="15" w:type="dxa"/>
              <w:bottom w:w="0" w:type="dxa"/>
              <w:right w:w="15" w:type="dxa"/>
            </w:tcMar>
            <w:vAlign w:val="bottom"/>
          </w:tcPr>
          <w:p w14:paraId="2C6F7947">
            <w:pPr>
              <w:pageBreakBefore w:val="0"/>
              <w:kinsoku/>
              <w:overflowPunct/>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w:t>
            </w:r>
          </w:p>
        </w:tc>
        <w:tc>
          <w:tcPr>
            <w:tcW w:w="1707" w:type="dxa"/>
            <w:tcBorders>
              <w:top w:val="nil"/>
              <w:left w:val="nil"/>
              <w:bottom w:val="single" w:color="auto" w:sz="4" w:space="0"/>
              <w:right w:val="single" w:color="auto" w:sz="4" w:space="0"/>
            </w:tcBorders>
            <w:noWrap w:val="0"/>
            <w:tcMar>
              <w:top w:w="15" w:type="dxa"/>
              <w:left w:w="15" w:type="dxa"/>
              <w:bottom w:w="0" w:type="dxa"/>
              <w:right w:w="15" w:type="dxa"/>
            </w:tcMar>
            <w:vAlign w:val="bottom"/>
          </w:tcPr>
          <w:p w14:paraId="0FFA4261">
            <w:pPr>
              <w:pageBreakBefore w:val="0"/>
              <w:kinsoku/>
              <w:overflowPunct/>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w:t>
            </w:r>
          </w:p>
        </w:tc>
        <w:tc>
          <w:tcPr>
            <w:tcW w:w="2222" w:type="dxa"/>
            <w:tcBorders>
              <w:top w:val="nil"/>
              <w:left w:val="nil"/>
              <w:bottom w:val="single" w:color="auto" w:sz="4" w:space="0"/>
              <w:right w:val="single" w:color="auto" w:sz="4" w:space="0"/>
            </w:tcBorders>
            <w:noWrap w:val="0"/>
            <w:tcMar>
              <w:top w:w="15" w:type="dxa"/>
              <w:left w:w="15" w:type="dxa"/>
              <w:bottom w:w="0" w:type="dxa"/>
              <w:right w:w="15" w:type="dxa"/>
            </w:tcMar>
            <w:vAlign w:val="bottom"/>
          </w:tcPr>
          <w:p w14:paraId="48920639">
            <w:pPr>
              <w:pageBreakBefore w:val="0"/>
              <w:kinsoku/>
              <w:overflowPunct/>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w:t>
            </w:r>
          </w:p>
        </w:tc>
        <w:tc>
          <w:tcPr>
            <w:tcW w:w="1023" w:type="dxa"/>
            <w:tcBorders>
              <w:top w:val="nil"/>
              <w:left w:val="nil"/>
              <w:bottom w:val="single" w:color="auto" w:sz="4" w:space="0"/>
              <w:right w:val="single" w:color="auto" w:sz="4" w:space="0"/>
            </w:tcBorders>
            <w:noWrap w:val="0"/>
            <w:tcMar>
              <w:top w:w="15" w:type="dxa"/>
              <w:left w:w="15" w:type="dxa"/>
              <w:bottom w:w="0" w:type="dxa"/>
              <w:right w:w="15" w:type="dxa"/>
            </w:tcMar>
            <w:vAlign w:val="bottom"/>
          </w:tcPr>
          <w:p w14:paraId="47E1D29D">
            <w:pPr>
              <w:pageBreakBefore w:val="0"/>
              <w:kinsoku/>
              <w:overflowPunct/>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w:t>
            </w:r>
          </w:p>
        </w:tc>
        <w:tc>
          <w:tcPr>
            <w:tcW w:w="698" w:type="dxa"/>
            <w:tcBorders>
              <w:top w:val="nil"/>
              <w:left w:val="nil"/>
              <w:bottom w:val="single" w:color="auto" w:sz="4" w:space="0"/>
              <w:right w:val="single" w:color="auto" w:sz="4" w:space="0"/>
            </w:tcBorders>
            <w:noWrap w:val="0"/>
            <w:tcMar>
              <w:top w:w="15" w:type="dxa"/>
              <w:left w:w="15" w:type="dxa"/>
              <w:bottom w:w="0" w:type="dxa"/>
              <w:right w:w="15" w:type="dxa"/>
            </w:tcMar>
            <w:vAlign w:val="bottom"/>
          </w:tcPr>
          <w:p w14:paraId="1F6E4F38">
            <w:pPr>
              <w:pageBreakBefore w:val="0"/>
              <w:kinsoku/>
              <w:overflowPunct/>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w:t>
            </w:r>
          </w:p>
        </w:tc>
        <w:tc>
          <w:tcPr>
            <w:tcW w:w="698" w:type="dxa"/>
            <w:tcBorders>
              <w:top w:val="nil"/>
              <w:left w:val="nil"/>
              <w:bottom w:val="single" w:color="auto" w:sz="4" w:space="0"/>
              <w:right w:val="single" w:color="auto" w:sz="4" w:space="0"/>
            </w:tcBorders>
            <w:noWrap w:val="0"/>
            <w:tcMar>
              <w:top w:w="15" w:type="dxa"/>
              <w:left w:w="15" w:type="dxa"/>
              <w:bottom w:w="0" w:type="dxa"/>
              <w:right w:w="15" w:type="dxa"/>
            </w:tcMar>
            <w:vAlign w:val="bottom"/>
          </w:tcPr>
          <w:p w14:paraId="744C5A20">
            <w:pPr>
              <w:pageBreakBefore w:val="0"/>
              <w:kinsoku/>
              <w:overflowPunct/>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w:t>
            </w:r>
          </w:p>
        </w:tc>
        <w:tc>
          <w:tcPr>
            <w:tcW w:w="698" w:type="dxa"/>
            <w:tcBorders>
              <w:top w:val="nil"/>
              <w:left w:val="nil"/>
              <w:bottom w:val="single" w:color="auto" w:sz="4" w:space="0"/>
              <w:right w:val="single" w:color="auto" w:sz="4" w:space="0"/>
            </w:tcBorders>
            <w:noWrap w:val="0"/>
            <w:tcMar>
              <w:top w:w="15" w:type="dxa"/>
              <w:left w:w="15" w:type="dxa"/>
              <w:bottom w:w="0" w:type="dxa"/>
              <w:right w:w="15" w:type="dxa"/>
            </w:tcMar>
            <w:vAlign w:val="bottom"/>
          </w:tcPr>
          <w:p w14:paraId="44AE9EF9">
            <w:pPr>
              <w:pageBreakBefore w:val="0"/>
              <w:kinsoku/>
              <w:overflowPunct/>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w:t>
            </w:r>
          </w:p>
        </w:tc>
        <w:tc>
          <w:tcPr>
            <w:tcW w:w="698" w:type="dxa"/>
            <w:tcBorders>
              <w:top w:val="nil"/>
              <w:left w:val="nil"/>
              <w:bottom w:val="single" w:color="auto" w:sz="4" w:space="0"/>
              <w:right w:val="single" w:color="auto" w:sz="4" w:space="0"/>
            </w:tcBorders>
            <w:noWrap w:val="0"/>
            <w:tcMar>
              <w:top w:w="15" w:type="dxa"/>
              <w:left w:w="15" w:type="dxa"/>
              <w:bottom w:w="0" w:type="dxa"/>
              <w:right w:w="15" w:type="dxa"/>
            </w:tcMar>
            <w:vAlign w:val="bottom"/>
          </w:tcPr>
          <w:p w14:paraId="23D9BF3E">
            <w:pPr>
              <w:pageBreakBefore w:val="0"/>
              <w:kinsoku/>
              <w:overflowPunct/>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w:t>
            </w:r>
          </w:p>
        </w:tc>
        <w:tc>
          <w:tcPr>
            <w:tcW w:w="698" w:type="dxa"/>
            <w:tcBorders>
              <w:top w:val="nil"/>
              <w:left w:val="nil"/>
              <w:bottom w:val="single" w:color="auto" w:sz="4" w:space="0"/>
              <w:right w:val="single" w:color="auto" w:sz="4" w:space="0"/>
            </w:tcBorders>
            <w:noWrap w:val="0"/>
            <w:tcMar>
              <w:top w:w="15" w:type="dxa"/>
              <w:left w:w="15" w:type="dxa"/>
              <w:bottom w:w="0" w:type="dxa"/>
              <w:right w:w="15" w:type="dxa"/>
            </w:tcMar>
            <w:vAlign w:val="bottom"/>
          </w:tcPr>
          <w:p w14:paraId="4C26D65B">
            <w:pPr>
              <w:pageBreakBefore w:val="0"/>
              <w:kinsoku/>
              <w:overflowPunct/>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w:t>
            </w:r>
          </w:p>
        </w:tc>
      </w:tr>
      <w:tr w14:paraId="0E074CB5">
        <w:tblPrEx>
          <w:tblCellMar>
            <w:top w:w="0" w:type="dxa"/>
            <w:left w:w="0" w:type="dxa"/>
            <w:bottom w:w="0" w:type="dxa"/>
            <w:right w:w="0" w:type="dxa"/>
          </w:tblCellMar>
        </w:tblPrEx>
        <w:trPr>
          <w:trHeight w:val="285" w:hRule="atLeast"/>
          <w:jc w:val="center"/>
        </w:trPr>
        <w:tc>
          <w:tcPr>
            <w:tcW w:w="1349" w:type="dxa"/>
            <w:tcBorders>
              <w:top w:val="nil"/>
              <w:left w:val="single" w:color="auto" w:sz="4" w:space="0"/>
              <w:bottom w:val="single" w:color="auto" w:sz="4" w:space="0"/>
              <w:right w:val="single" w:color="auto" w:sz="4" w:space="0"/>
            </w:tcBorders>
            <w:noWrap w:val="0"/>
            <w:tcMar>
              <w:top w:w="15" w:type="dxa"/>
              <w:left w:w="15" w:type="dxa"/>
              <w:bottom w:w="0" w:type="dxa"/>
              <w:right w:w="15" w:type="dxa"/>
            </w:tcMar>
            <w:vAlign w:val="bottom"/>
          </w:tcPr>
          <w:p w14:paraId="78693730">
            <w:pPr>
              <w:pageBreakBefore w:val="0"/>
              <w:kinsoku/>
              <w:overflowPunct/>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w:t>
            </w:r>
          </w:p>
        </w:tc>
        <w:tc>
          <w:tcPr>
            <w:tcW w:w="1707" w:type="dxa"/>
            <w:tcBorders>
              <w:top w:val="nil"/>
              <w:left w:val="nil"/>
              <w:bottom w:val="single" w:color="auto" w:sz="4" w:space="0"/>
              <w:right w:val="single" w:color="auto" w:sz="4" w:space="0"/>
            </w:tcBorders>
            <w:noWrap w:val="0"/>
            <w:tcMar>
              <w:top w:w="15" w:type="dxa"/>
              <w:left w:w="15" w:type="dxa"/>
              <w:bottom w:w="0" w:type="dxa"/>
              <w:right w:w="15" w:type="dxa"/>
            </w:tcMar>
            <w:vAlign w:val="bottom"/>
          </w:tcPr>
          <w:p w14:paraId="0A5036AD">
            <w:pPr>
              <w:pageBreakBefore w:val="0"/>
              <w:kinsoku/>
              <w:overflowPunct/>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w:t>
            </w:r>
          </w:p>
        </w:tc>
        <w:tc>
          <w:tcPr>
            <w:tcW w:w="2222" w:type="dxa"/>
            <w:tcBorders>
              <w:top w:val="nil"/>
              <w:left w:val="nil"/>
              <w:bottom w:val="single" w:color="auto" w:sz="4" w:space="0"/>
              <w:right w:val="single" w:color="auto" w:sz="4" w:space="0"/>
            </w:tcBorders>
            <w:noWrap w:val="0"/>
            <w:tcMar>
              <w:top w:w="15" w:type="dxa"/>
              <w:left w:w="15" w:type="dxa"/>
              <w:bottom w:w="0" w:type="dxa"/>
              <w:right w:w="15" w:type="dxa"/>
            </w:tcMar>
            <w:vAlign w:val="bottom"/>
          </w:tcPr>
          <w:p w14:paraId="75A1E9D6">
            <w:pPr>
              <w:pageBreakBefore w:val="0"/>
              <w:kinsoku/>
              <w:overflowPunct/>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w:t>
            </w:r>
          </w:p>
        </w:tc>
        <w:tc>
          <w:tcPr>
            <w:tcW w:w="1023" w:type="dxa"/>
            <w:tcBorders>
              <w:top w:val="nil"/>
              <w:left w:val="nil"/>
              <w:bottom w:val="single" w:color="auto" w:sz="4" w:space="0"/>
              <w:right w:val="single" w:color="auto" w:sz="4" w:space="0"/>
            </w:tcBorders>
            <w:noWrap w:val="0"/>
            <w:tcMar>
              <w:top w:w="15" w:type="dxa"/>
              <w:left w:w="15" w:type="dxa"/>
              <w:bottom w:w="0" w:type="dxa"/>
              <w:right w:w="15" w:type="dxa"/>
            </w:tcMar>
            <w:vAlign w:val="bottom"/>
          </w:tcPr>
          <w:p w14:paraId="07E9D1F0">
            <w:pPr>
              <w:pageBreakBefore w:val="0"/>
              <w:kinsoku/>
              <w:overflowPunct/>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w:t>
            </w:r>
          </w:p>
        </w:tc>
        <w:tc>
          <w:tcPr>
            <w:tcW w:w="698" w:type="dxa"/>
            <w:tcBorders>
              <w:top w:val="nil"/>
              <w:left w:val="nil"/>
              <w:bottom w:val="single" w:color="auto" w:sz="4" w:space="0"/>
              <w:right w:val="single" w:color="auto" w:sz="4" w:space="0"/>
            </w:tcBorders>
            <w:noWrap w:val="0"/>
            <w:tcMar>
              <w:top w:w="15" w:type="dxa"/>
              <w:left w:w="15" w:type="dxa"/>
              <w:bottom w:w="0" w:type="dxa"/>
              <w:right w:w="15" w:type="dxa"/>
            </w:tcMar>
            <w:vAlign w:val="bottom"/>
          </w:tcPr>
          <w:p w14:paraId="574DEAD0">
            <w:pPr>
              <w:pageBreakBefore w:val="0"/>
              <w:kinsoku/>
              <w:overflowPunct/>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w:t>
            </w:r>
          </w:p>
        </w:tc>
        <w:tc>
          <w:tcPr>
            <w:tcW w:w="698" w:type="dxa"/>
            <w:tcBorders>
              <w:top w:val="nil"/>
              <w:left w:val="nil"/>
              <w:bottom w:val="single" w:color="auto" w:sz="4" w:space="0"/>
              <w:right w:val="single" w:color="auto" w:sz="4" w:space="0"/>
            </w:tcBorders>
            <w:noWrap w:val="0"/>
            <w:tcMar>
              <w:top w:w="15" w:type="dxa"/>
              <w:left w:w="15" w:type="dxa"/>
              <w:bottom w:w="0" w:type="dxa"/>
              <w:right w:w="15" w:type="dxa"/>
            </w:tcMar>
            <w:vAlign w:val="bottom"/>
          </w:tcPr>
          <w:p w14:paraId="51C996D9">
            <w:pPr>
              <w:pageBreakBefore w:val="0"/>
              <w:kinsoku/>
              <w:overflowPunct/>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w:t>
            </w:r>
          </w:p>
        </w:tc>
        <w:tc>
          <w:tcPr>
            <w:tcW w:w="698" w:type="dxa"/>
            <w:tcBorders>
              <w:top w:val="nil"/>
              <w:left w:val="nil"/>
              <w:bottom w:val="single" w:color="auto" w:sz="4" w:space="0"/>
              <w:right w:val="single" w:color="auto" w:sz="4" w:space="0"/>
            </w:tcBorders>
            <w:noWrap w:val="0"/>
            <w:tcMar>
              <w:top w:w="15" w:type="dxa"/>
              <w:left w:w="15" w:type="dxa"/>
              <w:bottom w:w="0" w:type="dxa"/>
              <w:right w:w="15" w:type="dxa"/>
            </w:tcMar>
            <w:vAlign w:val="bottom"/>
          </w:tcPr>
          <w:p w14:paraId="17DE3F53">
            <w:pPr>
              <w:pageBreakBefore w:val="0"/>
              <w:kinsoku/>
              <w:overflowPunct/>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w:t>
            </w:r>
          </w:p>
        </w:tc>
        <w:tc>
          <w:tcPr>
            <w:tcW w:w="698" w:type="dxa"/>
            <w:tcBorders>
              <w:top w:val="nil"/>
              <w:left w:val="nil"/>
              <w:bottom w:val="single" w:color="auto" w:sz="4" w:space="0"/>
              <w:right w:val="single" w:color="auto" w:sz="4" w:space="0"/>
            </w:tcBorders>
            <w:noWrap w:val="0"/>
            <w:tcMar>
              <w:top w:w="15" w:type="dxa"/>
              <w:left w:w="15" w:type="dxa"/>
              <w:bottom w:w="0" w:type="dxa"/>
              <w:right w:w="15" w:type="dxa"/>
            </w:tcMar>
            <w:vAlign w:val="bottom"/>
          </w:tcPr>
          <w:p w14:paraId="7F1EF76B">
            <w:pPr>
              <w:pageBreakBefore w:val="0"/>
              <w:kinsoku/>
              <w:overflowPunct/>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w:t>
            </w:r>
          </w:p>
        </w:tc>
        <w:tc>
          <w:tcPr>
            <w:tcW w:w="698" w:type="dxa"/>
            <w:tcBorders>
              <w:top w:val="nil"/>
              <w:left w:val="nil"/>
              <w:bottom w:val="single" w:color="auto" w:sz="4" w:space="0"/>
              <w:right w:val="single" w:color="auto" w:sz="4" w:space="0"/>
            </w:tcBorders>
            <w:noWrap w:val="0"/>
            <w:tcMar>
              <w:top w:w="15" w:type="dxa"/>
              <w:left w:w="15" w:type="dxa"/>
              <w:bottom w:w="0" w:type="dxa"/>
              <w:right w:w="15" w:type="dxa"/>
            </w:tcMar>
            <w:vAlign w:val="bottom"/>
          </w:tcPr>
          <w:p w14:paraId="368B0623">
            <w:pPr>
              <w:pageBreakBefore w:val="0"/>
              <w:kinsoku/>
              <w:overflowPunct/>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w:t>
            </w:r>
          </w:p>
        </w:tc>
      </w:tr>
      <w:tr w14:paraId="06CC9353">
        <w:tblPrEx>
          <w:tblCellMar>
            <w:top w:w="0" w:type="dxa"/>
            <w:left w:w="0" w:type="dxa"/>
            <w:bottom w:w="0" w:type="dxa"/>
            <w:right w:w="0" w:type="dxa"/>
          </w:tblCellMar>
        </w:tblPrEx>
        <w:trPr>
          <w:trHeight w:val="285" w:hRule="atLeast"/>
          <w:jc w:val="center"/>
        </w:trPr>
        <w:tc>
          <w:tcPr>
            <w:tcW w:w="1349" w:type="dxa"/>
            <w:tcBorders>
              <w:top w:val="nil"/>
              <w:left w:val="single" w:color="auto" w:sz="4" w:space="0"/>
              <w:bottom w:val="single" w:color="auto" w:sz="4" w:space="0"/>
              <w:right w:val="single" w:color="auto" w:sz="4" w:space="0"/>
            </w:tcBorders>
            <w:noWrap w:val="0"/>
            <w:tcMar>
              <w:top w:w="15" w:type="dxa"/>
              <w:left w:w="15" w:type="dxa"/>
              <w:bottom w:w="0" w:type="dxa"/>
              <w:right w:w="15" w:type="dxa"/>
            </w:tcMar>
            <w:vAlign w:val="bottom"/>
          </w:tcPr>
          <w:p w14:paraId="15CB7BAB">
            <w:pPr>
              <w:pageBreakBefore w:val="0"/>
              <w:kinsoku/>
              <w:overflowPunct/>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w:t>
            </w:r>
          </w:p>
        </w:tc>
        <w:tc>
          <w:tcPr>
            <w:tcW w:w="1707" w:type="dxa"/>
            <w:tcBorders>
              <w:top w:val="nil"/>
              <w:left w:val="nil"/>
              <w:bottom w:val="single" w:color="auto" w:sz="4" w:space="0"/>
              <w:right w:val="single" w:color="auto" w:sz="4" w:space="0"/>
            </w:tcBorders>
            <w:noWrap w:val="0"/>
            <w:tcMar>
              <w:top w:w="15" w:type="dxa"/>
              <w:left w:w="15" w:type="dxa"/>
              <w:bottom w:w="0" w:type="dxa"/>
              <w:right w:w="15" w:type="dxa"/>
            </w:tcMar>
            <w:vAlign w:val="bottom"/>
          </w:tcPr>
          <w:p w14:paraId="426CC540">
            <w:pPr>
              <w:pageBreakBefore w:val="0"/>
              <w:kinsoku/>
              <w:overflowPunct/>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w:t>
            </w:r>
          </w:p>
        </w:tc>
        <w:tc>
          <w:tcPr>
            <w:tcW w:w="2222" w:type="dxa"/>
            <w:tcBorders>
              <w:top w:val="nil"/>
              <w:left w:val="nil"/>
              <w:bottom w:val="single" w:color="auto" w:sz="4" w:space="0"/>
              <w:right w:val="single" w:color="auto" w:sz="4" w:space="0"/>
            </w:tcBorders>
            <w:noWrap w:val="0"/>
            <w:tcMar>
              <w:top w:w="15" w:type="dxa"/>
              <w:left w:w="15" w:type="dxa"/>
              <w:bottom w:w="0" w:type="dxa"/>
              <w:right w:w="15" w:type="dxa"/>
            </w:tcMar>
            <w:vAlign w:val="bottom"/>
          </w:tcPr>
          <w:p w14:paraId="0AC9F8BA">
            <w:pPr>
              <w:pageBreakBefore w:val="0"/>
              <w:kinsoku/>
              <w:overflowPunct/>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w:t>
            </w:r>
          </w:p>
        </w:tc>
        <w:tc>
          <w:tcPr>
            <w:tcW w:w="1023" w:type="dxa"/>
            <w:tcBorders>
              <w:top w:val="nil"/>
              <w:left w:val="nil"/>
              <w:bottom w:val="single" w:color="auto" w:sz="4" w:space="0"/>
              <w:right w:val="single" w:color="auto" w:sz="4" w:space="0"/>
            </w:tcBorders>
            <w:noWrap w:val="0"/>
            <w:tcMar>
              <w:top w:w="15" w:type="dxa"/>
              <w:left w:w="15" w:type="dxa"/>
              <w:bottom w:w="0" w:type="dxa"/>
              <w:right w:w="15" w:type="dxa"/>
            </w:tcMar>
            <w:vAlign w:val="bottom"/>
          </w:tcPr>
          <w:p w14:paraId="77EACE70">
            <w:pPr>
              <w:pageBreakBefore w:val="0"/>
              <w:kinsoku/>
              <w:overflowPunct/>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w:t>
            </w:r>
          </w:p>
        </w:tc>
        <w:tc>
          <w:tcPr>
            <w:tcW w:w="698" w:type="dxa"/>
            <w:tcBorders>
              <w:top w:val="nil"/>
              <w:left w:val="nil"/>
              <w:bottom w:val="single" w:color="auto" w:sz="4" w:space="0"/>
              <w:right w:val="single" w:color="auto" w:sz="4" w:space="0"/>
            </w:tcBorders>
            <w:noWrap w:val="0"/>
            <w:tcMar>
              <w:top w:w="15" w:type="dxa"/>
              <w:left w:w="15" w:type="dxa"/>
              <w:bottom w:w="0" w:type="dxa"/>
              <w:right w:w="15" w:type="dxa"/>
            </w:tcMar>
            <w:vAlign w:val="bottom"/>
          </w:tcPr>
          <w:p w14:paraId="2CEA3E53">
            <w:pPr>
              <w:pageBreakBefore w:val="0"/>
              <w:kinsoku/>
              <w:overflowPunct/>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w:t>
            </w:r>
          </w:p>
        </w:tc>
        <w:tc>
          <w:tcPr>
            <w:tcW w:w="698" w:type="dxa"/>
            <w:tcBorders>
              <w:top w:val="nil"/>
              <w:left w:val="nil"/>
              <w:bottom w:val="single" w:color="auto" w:sz="4" w:space="0"/>
              <w:right w:val="single" w:color="auto" w:sz="4" w:space="0"/>
            </w:tcBorders>
            <w:noWrap w:val="0"/>
            <w:tcMar>
              <w:top w:w="15" w:type="dxa"/>
              <w:left w:w="15" w:type="dxa"/>
              <w:bottom w:w="0" w:type="dxa"/>
              <w:right w:w="15" w:type="dxa"/>
            </w:tcMar>
            <w:vAlign w:val="bottom"/>
          </w:tcPr>
          <w:p w14:paraId="05B7E584">
            <w:pPr>
              <w:pageBreakBefore w:val="0"/>
              <w:kinsoku/>
              <w:overflowPunct/>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w:t>
            </w:r>
          </w:p>
        </w:tc>
        <w:tc>
          <w:tcPr>
            <w:tcW w:w="698" w:type="dxa"/>
            <w:tcBorders>
              <w:top w:val="nil"/>
              <w:left w:val="nil"/>
              <w:bottom w:val="single" w:color="auto" w:sz="4" w:space="0"/>
              <w:right w:val="single" w:color="auto" w:sz="4" w:space="0"/>
            </w:tcBorders>
            <w:noWrap w:val="0"/>
            <w:tcMar>
              <w:top w:w="15" w:type="dxa"/>
              <w:left w:w="15" w:type="dxa"/>
              <w:bottom w:w="0" w:type="dxa"/>
              <w:right w:w="15" w:type="dxa"/>
            </w:tcMar>
            <w:vAlign w:val="bottom"/>
          </w:tcPr>
          <w:p w14:paraId="3A8568D8">
            <w:pPr>
              <w:pageBreakBefore w:val="0"/>
              <w:kinsoku/>
              <w:overflowPunct/>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w:t>
            </w:r>
          </w:p>
        </w:tc>
        <w:tc>
          <w:tcPr>
            <w:tcW w:w="698" w:type="dxa"/>
            <w:tcBorders>
              <w:top w:val="nil"/>
              <w:left w:val="nil"/>
              <w:bottom w:val="single" w:color="auto" w:sz="4" w:space="0"/>
              <w:right w:val="single" w:color="auto" w:sz="4" w:space="0"/>
            </w:tcBorders>
            <w:noWrap w:val="0"/>
            <w:tcMar>
              <w:top w:w="15" w:type="dxa"/>
              <w:left w:w="15" w:type="dxa"/>
              <w:bottom w:w="0" w:type="dxa"/>
              <w:right w:w="15" w:type="dxa"/>
            </w:tcMar>
            <w:vAlign w:val="bottom"/>
          </w:tcPr>
          <w:p w14:paraId="7DF62CA8">
            <w:pPr>
              <w:pageBreakBefore w:val="0"/>
              <w:kinsoku/>
              <w:overflowPunct/>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w:t>
            </w:r>
          </w:p>
        </w:tc>
        <w:tc>
          <w:tcPr>
            <w:tcW w:w="698" w:type="dxa"/>
            <w:tcBorders>
              <w:top w:val="nil"/>
              <w:left w:val="nil"/>
              <w:bottom w:val="single" w:color="auto" w:sz="4" w:space="0"/>
              <w:right w:val="single" w:color="auto" w:sz="4" w:space="0"/>
            </w:tcBorders>
            <w:noWrap w:val="0"/>
            <w:tcMar>
              <w:top w:w="15" w:type="dxa"/>
              <w:left w:w="15" w:type="dxa"/>
              <w:bottom w:w="0" w:type="dxa"/>
              <w:right w:w="15" w:type="dxa"/>
            </w:tcMar>
            <w:vAlign w:val="bottom"/>
          </w:tcPr>
          <w:p w14:paraId="50CED410">
            <w:pPr>
              <w:pageBreakBefore w:val="0"/>
              <w:kinsoku/>
              <w:overflowPunct/>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w:t>
            </w:r>
          </w:p>
        </w:tc>
      </w:tr>
      <w:tr w14:paraId="45A95E7D">
        <w:tblPrEx>
          <w:tblCellMar>
            <w:top w:w="0" w:type="dxa"/>
            <w:left w:w="0" w:type="dxa"/>
            <w:bottom w:w="0" w:type="dxa"/>
            <w:right w:w="0" w:type="dxa"/>
          </w:tblCellMar>
        </w:tblPrEx>
        <w:trPr>
          <w:trHeight w:val="540" w:hRule="atLeast"/>
          <w:jc w:val="center"/>
        </w:trPr>
        <w:tc>
          <w:tcPr>
            <w:tcW w:w="1349" w:type="dxa"/>
            <w:tcBorders>
              <w:top w:val="nil"/>
              <w:left w:val="nil"/>
              <w:bottom w:val="nil"/>
              <w:right w:val="nil"/>
            </w:tcBorders>
            <w:noWrap w:val="0"/>
            <w:tcMar>
              <w:top w:w="15" w:type="dxa"/>
              <w:left w:w="15" w:type="dxa"/>
              <w:bottom w:w="0" w:type="dxa"/>
              <w:right w:w="15" w:type="dxa"/>
            </w:tcMar>
            <w:vAlign w:val="bottom"/>
          </w:tcPr>
          <w:p w14:paraId="5114CB59">
            <w:pPr>
              <w:pageBreakBefore w:val="0"/>
              <w:kinsoku/>
              <w:overflowPunct/>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说明：</w:t>
            </w:r>
          </w:p>
        </w:tc>
        <w:tc>
          <w:tcPr>
            <w:tcW w:w="6348" w:type="dxa"/>
            <w:gridSpan w:val="5"/>
            <w:tcBorders>
              <w:top w:val="nil"/>
              <w:left w:val="nil"/>
              <w:bottom w:val="nil"/>
              <w:right w:val="nil"/>
            </w:tcBorders>
            <w:noWrap w:val="0"/>
            <w:tcMar>
              <w:top w:w="15" w:type="dxa"/>
              <w:left w:w="15" w:type="dxa"/>
              <w:bottom w:w="0" w:type="dxa"/>
              <w:right w:w="15" w:type="dxa"/>
            </w:tcMar>
            <w:vAlign w:val="bottom"/>
          </w:tcPr>
          <w:p w14:paraId="34532F3F">
            <w:pPr>
              <w:pageBreakBefore w:val="0"/>
              <w:kinsoku/>
              <w:overflowPunct/>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 此表名称栏填写备件、专用工具和消耗品名称。</w:t>
            </w:r>
          </w:p>
        </w:tc>
        <w:tc>
          <w:tcPr>
            <w:tcW w:w="698" w:type="dxa"/>
            <w:tcBorders>
              <w:top w:val="nil"/>
              <w:left w:val="nil"/>
              <w:bottom w:val="nil"/>
              <w:right w:val="nil"/>
            </w:tcBorders>
            <w:noWrap w:val="0"/>
            <w:tcMar>
              <w:top w:w="15" w:type="dxa"/>
              <w:left w:w="15" w:type="dxa"/>
              <w:bottom w:w="0" w:type="dxa"/>
              <w:right w:w="15" w:type="dxa"/>
            </w:tcMar>
            <w:vAlign w:val="bottom"/>
          </w:tcPr>
          <w:p w14:paraId="1315744D">
            <w:pPr>
              <w:pageBreakBefore w:val="0"/>
              <w:kinsoku/>
              <w:overflowPunct/>
              <w:bidi w:val="0"/>
              <w:spacing w:line="360" w:lineRule="auto"/>
              <w:rPr>
                <w:rFonts w:hint="eastAsia" w:ascii="宋体" w:hAnsi="宋体" w:eastAsia="宋体" w:cs="宋体"/>
                <w:color w:val="auto"/>
                <w:szCs w:val="21"/>
                <w:highlight w:val="none"/>
              </w:rPr>
            </w:pPr>
          </w:p>
        </w:tc>
        <w:tc>
          <w:tcPr>
            <w:tcW w:w="698" w:type="dxa"/>
            <w:tcBorders>
              <w:top w:val="nil"/>
              <w:left w:val="nil"/>
              <w:bottom w:val="nil"/>
              <w:right w:val="nil"/>
            </w:tcBorders>
            <w:noWrap w:val="0"/>
            <w:tcMar>
              <w:top w:w="15" w:type="dxa"/>
              <w:left w:w="15" w:type="dxa"/>
              <w:bottom w:w="0" w:type="dxa"/>
              <w:right w:w="15" w:type="dxa"/>
            </w:tcMar>
            <w:vAlign w:val="bottom"/>
          </w:tcPr>
          <w:p w14:paraId="5AA12215">
            <w:pPr>
              <w:pageBreakBefore w:val="0"/>
              <w:kinsoku/>
              <w:overflowPunct/>
              <w:bidi w:val="0"/>
              <w:spacing w:line="360" w:lineRule="auto"/>
              <w:rPr>
                <w:rFonts w:hint="eastAsia" w:ascii="宋体" w:hAnsi="宋体" w:eastAsia="宋体" w:cs="宋体"/>
                <w:color w:val="auto"/>
                <w:szCs w:val="21"/>
                <w:highlight w:val="none"/>
              </w:rPr>
            </w:pPr>
          </w:p>
        </w:tc>
        <w:tc>
          <w:tcPr>
            <w:tcW w:w="698" w:type="dxa"/>
            <w:tcBorders>
              <w:top w:val="nil"/>
              <w:left w:val="nil"/>
              <w:bottom w:val="nil"/>
              <w:right w:val="nil"/>
            </w:tcBorders>
            <w:noWrap w:val="0"/>
            <w:tcMar>
              <w:top w:w="15" w:type="dxa"/>
              <w:left w:w="15" w:type="dxa"/>
              <w:bottom w:w="0" w:type="dxa"/>
              <w:right w:w="15" w:type="dxa"/>
            </w:tcMar>
            <w:vAlign w:val="bottom"/>
          </w:tcPr>
          <w:p w14:paraId="4397596A">
            <w:pPr>
              <w:pageBreakBefore w:val="0"/>
              <w:kinsoku/>
              <w:overflowPunct/>
              <w:bidi w:val="0"/>
              <w:spacing w:line="360" w:lineRule="auto"/>
              <w:rPr>
                <w:rFonts w:hint="eastAsia" w:ascii="宋体" w:hAnsi="宋体" w:eastAsia="宋体" w:cs="宋体"/>
                <w:color w:val="auto"/>
                <w:szCs w:val="21"/>
                <w:highlight w:val="none"/>
              </w:rPr>
            </w:pPr>
          </w:p>
        </w:tc>
      </w:tr>
      <w:tr w14:paraId="24C064CF">
        <w:tblPrEx>
          <w:tblCellMar>
            <w:top w:w="0" w:type="dxa"/>
            <w:left w:w="0" w:type="dxa"/>
            <w:bottom w:w="0" w:type="dxa"/>
            <w:right w:w="0" w:type="dxa"/>
          </w:tblCellMar>
        </w:tblPrEx>
        <w:trPr>
          <w:trHeight w:val="540" w:hRule="atLeast"/>
          <w:jc w:val="center"/>
        </w:trPr>
        <w:tc>
          <w:tcPr>
            <w:tcW w:w="1349" w:type="dxa"/>
            <w:tcBorders>
              <w:top w:val="nil"/>
              <w:left w:val="nil"/>
              <w:bottom w:val="nil"/>
              <w:right w:val="nil"/>
            </w:tcBorders>
            <w:noWrap w:val="0"/>
            <w:tcMar>
              <w:top w:w="15" w:type="dxa"/>
              <w:left w:w="15" w:type="dxa"/>
              <w:bottom w:w="0" w:type="dxa"/>
              <w:right w:w="15" w:type="dxa"/>
            </w:tcMar>
            <w:vAlign w:val="bottom"/>
          </w:tcPr>
          <w:p w14:paraId="0F8864C2">
            <w:pPr>
              <w:pageBreakBefore w:val="0"/>
              <w:kinsoku/>
              <w:overflowPunct/>
              <w:bidi w:val="0"/>
              <w:spacing w:line="360" w:lineRule="auto"/>
              <w:rPr>
                <w:rFonts w:hint="eastAsia" w:ascii="宋体" w:hAnsi="宋体" w:eastAsia="宋体" w:cs="宋体"/>
                <w:color w:val="auto"/>
                <w:szCs w:val="21"/>
                <w:highlight w:val="none"/>
              </w:rPr>
            </w:pPr>
          </w:p>
        </w:tc>
        <w:tc>
          <w:tcPr>
            <w:tcW w:w="6348" w:type="dxa"/>
            <w:gridSpan w:val="5"/>
            <w:tcBorders>
              <w:top w:val="nil"/>
              <w:left w:val="nil"/>
              <w:bottom w:val="nil"/>
              <w:right w:val="nil"/>
            </w:tcBorders>
            <w:noWrap w:val="0"/>
            <w:tcMar>
              <w:top w:w="15" w:type="dxa"/>
              <w:left w:w="15" w:type="dxa"/>
              <w:bottom w:w="0" w:type="dxa"/>
              <w:right w:w="15" w:type="dxa"/>
            </w:tcMar>
            <w:vAlign w:val="bottom"/>
          </w:tcPr>
          <w:p w14:paraId="49B18AC6">
            <w:pPr>
              <w:pageBreakBefore w:val="0"/>
              <w:kinsoku/>
              <w:overflowPunct/>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 备品、专用工具和消耗品分类、分项填写。</w:t>
            </w:r>
          </w:p>
        </w:tc>
        <w:tc>
          <w:tcPr>
            <w:tcW w:w="698" w:type="dxa"/>
            <w:tcBorders>
              <w:top w:val="nil"/>
              <w:left w:val="nil"/>
              <w:bottom w:val="nil"/>
              <w:right w:val="nil"/>
            </w:tcBorders>
            <w:noWrap w:val="0"/>
            <w:tcMar>
              <w:top w:w="15" w:type="dxa"/>
              <w:left w:w="15" w:type="dxa"/>
              <w:bottom w:w="0" w:type="dxa"/>
              <w:right w:w="15" w:type="dxa"/>
            </w:tcMar>
            <w:vAlign w:val="bottom"/>
          </w:tcPr>
          <w:p w14:paraId="65148B87">
            <w:pPr>
              <w:pageBreakBefore w:val="0"/>
              <w:kinsoku/>
              <w:overflowPunct/>
              <w:bidi w:val="0"/>
              <w:spacing w:line="360" w:lineRule="auto"/>
              <w:rPr>
                <w:rFonts w:hint="eastAsia" w:ascii="宋体" w:hAnsi="宋体" w:eastAsia="宋体" w:cs="宋体"/>
                <w:color w:val="auto"/>
                <w:szCs w:val="21"/>
                <w:highlight w:val="none"/>
              </w:rPr>
            </w:pPr>
          </w:p>
        </w:tc>
        <w:tc>
          <w:tcPr>
            <w:tcW w:w="698" w:type="dxa"/>
            <w:tcBorders>
              <w:top w:val="nil"/>
              <w:left w:val="nil"/>
              <w:bottom w:val="nil"/>
              <w:right w:val="nil"/>
            </w:tcBorders>
            <w:noWrap w:val="0"/>
            <w:tcMar>
              <w:top w:w="15" w:type="dxa"/>
              <w:left w:w="15" w:type="dxa"/>
              <w:bottom w:w="0" w:type="dxa"/>
              <w:right w:w="15" w:type="dxa"/>
            </w:tcMar>
            <w:vAlign w:val="bottom"/>
          </w:tcPr>
          <w:p w14:paraId="7ADA3E66">
            <w:pPr>
              <w:pageBreakBefore w:val="0"/>
              <w:kinsoku/>
              <w:overflowPunct/>
              <w:bidi w:val="0"/>
              <w:spacing w:line="360" w:lineRule="auto"/>
              <w:rPr>
                <w:rFonts w:hint="eastAsia" w:ascii="宋体" w:hAnsi="宋体" w:eastAsia="宋体" w:cs="宋体"/>
                <w:color w:val="auto"/>
                <w:szCs w:val="21"/>
                <w:highlight w:val="none"/>
              </w:rPr>
            </w:pPr>
          </w:p>
        </w:tc>
        <w:tc>
          <w:tcPr>
            <w:tcW w:w="698" w:type="dxa"/>
            <w:tcBorders>
              <w:top w:val="nil"/>
              <w:left w:val="nil"/>
              <w:bottom w:val="nil"/>
              <w:right w:val="nil"/>
            </w:tcBorders>
            <w:noWrap w:val="0"/>
            <w:tcMar>
              <w:top w:w="15" w:type="dxa"/>
              <w:left w:w="15" w:type="dxa"/>
              <w:bottom w:w="0" w:type="dxa"/>
              <w:right w:w="15" w:type="dxa"/>
            </w:tcMar>
            <w:vAlign w:val="bottom"/>
          </w:tcPr>
          <w:p w14:paraId="66C01114">
            <w:pPr>
              <w:pageBreakBefore w:val="0"/>
              <w:kinsoku/>
              <w:overflowPunct/>
              <w:bidi w:val="0"/>
              <w:spacing w:line="360" w:lineRule="auto"/>
              <w:rPr>
                <w:rFonts w:hint="eastAsia" w:ascii="宋体" w:hAnsi="宋体" w:eastAsia="宋体" w:cs="宋体"/>
                <w:color w:val="auto"/>
                <w:szCs w:val="21"/>
                <w:highlight w:val="none"/>
              </w:rPr>
            </w:pPr>
          </w:p>
        </w:tc>
      </w:tr>
    </w:tbl>
    <w:p w14:paraId="6195BB13">
      <w:pPr>
        <w:pageBreakBefore w:val="0"/>
        <w:kinsoku/>
        <w:overflowPunct/>
        <w:bidi w:val="0"/>
        <w:spacing w:line="360" w:lineRule="auto"/>
        <w:rPr>
          <w:rFonts w:hint="eastAsia" w:ascii="宋体" w:hAnsi="宋体" w:eastAsia="宋体" w:cs="宋体"/>
          <w:color w:val="auto"/>
          <w:szCs w:val="21"/>
          <w:highlight w:val="none"/>
        </w:rPr>
      </w:pPr>
    </w:p>
    <w:p w14:paraId="4C0AE44F">
      <w:pPr>
        <w:pageBreakBefore w:val="0"/>
        <w:kinsoku/>
        <w:overflowPunct/>
        <w:bidi w:val="0"/>
        <w:spacing w:line="360" w:lineRule="auto"/>
        <w:rPr>
          <w:rFonts w:hint="eastAsia" w:ascii="宋体" w:hAnsi="宋体" w:eastAsia="宋体" w:cs="宋体"/>
          <w:color w:val="auto"/>
          <w:szCs w:val="21"/>
          <w:highlight w:val="none"/>
        </w:rPr>
      </w:pPr>
    </w:p>
    <w:p w14:paraId="3CD2860E">
      <w:pPr>
        <w:pageBreakBefore w:val="0"/>
        <w:kinsoku/>
        <w:overflowPunct/>
        <w:bidi w:val="0"/>
        <w:spacing w:line="360" w:lineRule="auto"/>
        <w:ind w:firstLine="3360" w:firstLineChars="1600"/>
        <w:rPr>
          <w:rFonts w:hint="eastAsia" w:ascii="宋体" w:hAnsi="宋体" w:eastAsia="宋体" w:cs="宋体"/>
          <w:b w:val="0"/>
          <w:bCs/>
          <w:color w:val="auto"/>
          <w:szCs w:val="21"/>
          <w:highlight w:val="none"/>
        </w:rPr>
      </w:pPr>
      <w:r>
        <w:rPr>
          <w:rFonts w:hint="eastAsia" w:ascii="宋体" w:hAnsi="宋体" w:eastAsia="宋体" w:cs="宋体"/>
          <w:color w:val="auto"/>
          <w:kern w:val="0"/>
          <w:sz w:val="21"/>
          <w:szCs w:val="21"/>
          <w:highlight w:val="none"/>
          <w:lang w:eastAsia="zh-CN"/>
        </w:rPr>
        <w:t>投</w:t>
      </w:r>
      <w:r>
        <w:rPr>
          <w:rFonts w:hint="eastAsia" w:ascii="宋体" w:hAnsi="宋体" w:eastAsia="宋体" w:cs="宋体"/>
          <w:color w:val="auto"/>
          <w:kern w:val="0"/>
          <w:sz w:val="21"/>
          <w:szCs w:val="21"/>
          <w:highlight w:val="none"/>
          <w:lang w:val="en-US" w:eastAsia="zh-CN"/>
        </w:rPr>
        <w:t xml:space="preserve"> </w:t>
      </w:r>
      <w:r>
        <w:rPr>
          <w:rFonts w:hint="eastAsia" w:ascii="宋体" w:hAnsi="宋体" w:eastAsia="宋体" w:cs="宋体"/>
          <w:color w:val="auto"/>
          <w:kern w:val="0"/>
          <w:sz w:val="21"/>
          <w:szCs w:val="21"/>
          <w:highlight w:val="none"/>
          <w:lang w:eastAsia="zh-CN"/>
        </w:rPr>
        <w:t>标</w:t>
      </w:r>
      <w:r>
        <w:rPr>
          <w:rFonts w:hint="eastAsia" w:ascii="宋体" w:hAnsi="宋体" w:eastAsia="宋体" w:cs="宋体"/>
          <w:color w:val="auto"/>
          <w:kern w:val="0"/>
          <w:sz w:val="21"/>
          <w:szCs w:val="21"/>
          <w:highlight w:val="none"/>
          <w:lang w:val="en-US" w:eastAsia="zh-CN"/>
        </w:rPr>
        <w:t xml:space="preserve"> </w:t>
      </w:r>
      <w:r>
        <w:rPr>
          <w:rFonts w:hint="eastAsia" w:ascii="宋体" w:hAnsi="宋体" w:eastAsia="宋体" w:cs="宋体"/>
          <w:color w:val="auto"/>
          <w:kern w:val="0"/>
          <w:sz w:val="21"/>
          <w:szCs w:val="21"/>
          <w:highlight w:val="none"/>
          <w:lang w:eastAsia="zh-CN"/>
        </w:rPr>
        <w:t>人</w:t>
      </w:r>
      <w:r>
        <w:rPr>
          <w:rFonts w:hint="eastAsia" w:ascii="宋体" w:hAnsi="宋体" w:eastAsia="宋体" w:cs="宋体"/>
          <w:b w:val="0"/>
          <w:bCs/>
          <w:color w:val="auto"/>
          <w:szCs w:val="21"/>
          <w:highlight w:val="none"/>
        </w:rPr>
        <w:t>：</w:t>
      </w:r>
      <w:r>
        <w:rPr>
          <w:rFonts w:hint="eastAsia" w:ascii="宋体" w:hAnsi="宋体" w:eastAsia="宋体" w:cs="宋体"/>
          <w:b w:val="0"/>
          <w:bCs/>
          <w:color w:val="auto"/>
          <w:szCs w:val="21"/>
          <w:highlight w:val="none"/>
          <w:u w:val="single"/>
        </w:rPr>
        <w:t xml:space="preserve"> </w:t>
      </w:r>
      <w:r>
        <w:rPr>
          <w:rFonts w:hint="eastAsia" w:ascii="宋体" w:hAnsi="宋体" w:eastAsia="宋体" w:cs="宋体"/>
          <w:b w:val="0"/>
          <w:bCs/>
          <w:color w:val="auto"/>
          <w:szCs w:val="21"/>
          <w:highlight w:val="none"/>
          <w:u w:val="single"/>
          <w:lang w:val="en-US" w:eastAsia="zh-CN"/>
        </w:rPr>
        <w:t xml:space="preserve">                     </w:t>
      </w:r>
      <w:r>
        <w:rPr>
          <w:rFonts w:hint="eastAsia" w:ascii="宋体" w:hAnsi="宋体" w:eastAsia="宋体" w:cs="宋体"/>
          <w:b w:val="0"/>
          <w:bCs/>
          <w:color w:val="auto"/>
          <w:szCs w:val="21"/>
          <w:highlight w:val="none"/>
        </w:rPr>
        <w:t>（</w:t>
      </w:r>
      <w:r>
        <w:rPr>
          <w:rFonts w:hint="eastAsia" w:ascii="宋体" w:hAnsi="宋体" w:eastAsia="宋体" w:cs="宋体"/>
          <w:b w:val="0"/>
          <w:bCs/>
          <w:color w:val="auto"/>
          <w:szCs w:val="21"/>
          <w:highlight w:val="none"/>
          <w:lang w:eastAsia="zh-CN"/>
        </w:rPr>
        <w:t>盖章</w:t>
      </w:r>
      <w:r>
        <w:rPr>
          <w:rFonts w:hint="eastAsia" w:ascii="宋体" w:hAnsi="宋体" w:eastAsia="宋体" w:cs="宋体"/>
          <w:b w:val="0"/>
          <w:bCs/>
          <w:color w:val="auto"/>
          <w:szCs w:val="21"/>
          <w:highlight w:val="none"/>
        </w:rPr>
        <w:t>）</w:t>
      </w:r>
    </w:p>
    <w:p w14:paraId="137356EE">
      <w:pPr>
        <w:pageBreakBefore w:val="0"/>
        <w:kinsoku/>
        <w:overflowPunct/>
        <w:bidi w:val="0"/>
        <w:spacing w:line="360" w:lineRule="auto"/>
        <w:ind w:firstLine="3360" w:firstLineChars="1600"/>
        <w:rPr>
          <w:rFonts w:hint="eastAsia" w:ascii="宋体" w:hAnsi="宋体" w:eastAsia="宋体" w:cs="宋体"/>
          <w:b w:val="0"/>
          <w:bCs/>
          <w:color w:val="auto"/>
          <w:szCs w:val="21"/>
          <w:highlight w:val="none"/>
        </w:rPr>
      </w:pPr>
      <w:r>
        <w:rPr>
          <w:rFonts w:hint="eastAsia" w:ascii="宋体" w:hAnsi="宋体" w:eastAsia="宋体" w:cs="宋体"/>
          <w:b w:val="0"/>
          <w:bCs/>
          <w:color w:val="auto"/>
          <w:szCs w:val="21"/>
          <w:highlight w:val="none"/>
        </w:rPr>
        <w:t>法定代表人或其委托代理人：</w:t>
      </w:r>
      <w:r>
        <w:rPr>
          <w:rFonts w:hint="eastAsia" w:ascii="宋体" w:hAnsi="宋体" w:eastAsia="宋体" w:cs="宋体"/>
          <w:b w:val="0"/>
          <w:bCs/>
          <w:color w:val="auto"/>
          <w:szCs w:val="21"/>
          <w:highlight w:val="none"/>
          <w:u w:val="single"/>
        </w:rPr>
        <w:t xml:space="preserve"> </w:t>
      </w:r>
      <w:r>
        <w:rPr>
          <w:rFonts w:hint="eastAsia" w:ascii="宋体" w:hAnsi="宋体" w:eastAsia="宋体" w:cs="宋体"/>
          <w:b w:val="0"/>
          <w:bCs/>
          <w:color w:val="auto"/>
          <w:szCs w:val="21"/>
          <w:highlight w:val="none"/>
          <w:u w:val="single"/>
          <w:lang w:val="en-US" w:eastAsia="zh-CN"/>
        </w:rPr>
        <w:t xml:space="preserve">       </w:t>
      </w:r>
      <w:r>
        <w:rPr>
          <w:rFonts w:hint="eastAsia" w:ascii="宋体" w:hAnsi="宋体" w:eastAsia="宋体" w:cs="宋体"/>
          <w:b w:val="0"/>
          <w:bCs/>
          <w:color w:val="auto"/>
          <w:szCs w:val="21"/>
          <w:highlight w:val="none"/>
        </w:rPr>
        <w:t>（</w:t>
      </w:r>
      <w:r>
        <w:rPr>
          <w:rFonts w:hint="eastAsia" w:ascii="宋体" w:hAnsi="宋体" w:eastAsia="宋体" w:cs="宋体"/>
          <w:color w:val="auto"/>
          <w:szCs w:val="21"/>
          <w:highlight w:val="none"/>
        </w:rPr>
        <w:t>签字或盖章</w:t>
      </w:r>
      <w:r>
        <w:rPr>
          <w:rFonts w:hint="eastAsia" w:ascii="宋体" w:hAnsi="宋体" w:eastAsia="宋体" w:cs="宋体"/>
          <w:b w:val="0"/>
          <w:bCs/>
          <w:color w:val="auto"/>
          <w:szCs w:val="21"/>
          <w:highlight w:val="none"/>
        </w:rPr>
        <w:t>）</w:t>
      </w:r>
    </w:p>
    <w:p w14:paraId="4D00D82B">
      <w:pPr>
        <w:keepNext w:val="0"/>
        <w:keepLines w:val="0"/>
        <w:pageBreakBefore w:val="0"/>
        <w:widowControl w:val="0"/>
        <w:tabs>
          <w:tab w:val="left" w:pos="5380"/>
          <w:tab w:val="left" w:pos="6520"/>
          <w:tab w:val="left" w:pos="7680"/>
        </w:tabs>
        <w:kinsoku/>
        <w:wordWrap/>
        <w:overflowPunct/>
        <w:topLinePunct w:val="0"/>
        <w:autoSpaceDE w:val="0"/>
        <w:autoSpaceDN w:val="0"/>
        <w:bidi w:val="0"/>
        <w:adjustRightInd w:val="0"/>
        <w:snapToGrid/>
        <w:spacing w:line="360" w:lineRule="auto"/>
        <w:ind w:right="-23" w:rightChars="0" w:firstLine="4620" w:firstLineChars="2200"/>
        <w:jc w:val="left"/>
        <w:textAlignment w:val="auto"/>
        <w:outlineLvl w:val="9"/>
        <w:rPr>
          <w:rFonts w:hint="eastAsia" w:ascii="宋体" w:hAnsi="宋体" w:eastAsia="宋体" w:cs="宋体"/>
          <w:b w:val="0"/>
          <w:bCs/>
          <w:color w:val="auto"/>
          <w:kern w:val="0"/>
          <w:sz w:val="21"/>
          <w:szCs w:val="21"/>
          <w:highlight w:val="none"/>
        </w:rPr>
      </w:pPr>
      <w:r>
        <w:rPr>
          <w:rFonts w:hint="eastAsia" w:ascii="宋体" w:hAnsi="宋体" w:eastAsia="宋体" w:cs="宋体"/>
          <w:b w:val="0"/>
          <w:bCs/>
          <w:color w:val="auto"/>
          <w:kern w:val="0"/>
          <w:sz w:val="21"/>
          <w:szCs w:val="21"/>
          <w:highlight w:val="none"/>
          <w:u w:val="single"/>
        </w:rPr>
        <w:t xml:space="preserve">     </w:t>
      </w:r>
      <w:r>
        <w:rPr>
          <w:rFonts w:hint="eastAsia" w:ascii="宋体" w:hAnsi="宋体" w:eastAsia="宋体" w:cs="宋体"/>
          <w:b w:val="0"/>
          <w:bCs/>
          <w:color w:val="auto"/>
          <w:spacing w:val="43"/>
          <w:kern w:val="0"/>
          <w:sz w:val="21"/>
          <w:szCs w:val="21"/>
          <w:highlight w:val="none"/>
          <w:u w:val="single"/>
        </w:rPr>
        <w:t xml:space="preserve"> </w:t>
      </w:r>
      <w:r>
        <w:rPr>
          <w:rFonts w:hint="eastAsia" w:ascii="宋体" w:hAnsi="宋体" w:eastAsia="宋体" w:cs="宋体"/>
          <w:b w:val="0"/>
          <w:bCs/>
          <w:color w:val="auto"/>
          <w:kern w:val="0"/>
          <w:sz w:val="21"/>
          <w:szCs w:val="21"/>
          <w:highlight w:val="none"/>
        </w:rPr>
        <w:t>年</w:t>
      </w:r>
      <w:r>
        <w:rPr>
          <w:rFonts w:hint="eastAsia" w:ascii="宋体" w:hAnsi="宋体" w:eastAsia="宋体" w:cs="宋体"/>
          <w:b w:val="0"/>
          <w:bCs/>
          <w:color w:val="auto"/>
          <w:kern w:val="0"/>
          <w:sz w:val="21"/>
          <w:szCs w:val="21"/>
          <w:highlight w:val="none"/>
          <w:u w:val="single"/>
        </w:rPr>
        <w:t xml:space="preserve">       </w:t>
      </w:r>
      <w:r>
        <w:rPr>
          <w:rFonts w:hint="eastAsia" w:ascii="宋体" w:hAnsi="宋体" w:eastAsia="宋体" w:cs="宋体"/>
          <w:b w:val="0"/>
          <w:bCs/>
          <w:color w:val="auto"/>
          <w:kern w:val="0"/>
          <w:sz w:val="21"/>
          <w:szCs w:val="21"/>
          <w:highlight w:val="none"/>
        </w:rPr>
        <w:t>月</w:t>
      </w:r>
      <w:r>
        <w:rPr>
          <w:rFonts w:hint="eastAsia" w:ascii="宋体" w:hAnsi="宋体" w:eastAsia="宋体" w:cs="宋体"/>
          <w:b w:val="0"/>
          <w:bCs/>
          <w:color w:val="auto"/>
          <w:kern w:val="0"/>
          <w:sz w:val="21"/>
          <w:szCs w:val="21"/>
          <w:highlight w:val="none"/>
          <w:u w:val="single"/>
          <w:lang w:val="en-US" w:eastAsia="zh-CN"/>
        </w:rPr>
        <w:t xml:space="preserve">      </w:t>
      </w:r>
      <w:r>
        <w:rPr>
          <w:rFonts w:hint="eastAsia" w:ascii="宋体" w:hAnsi="宋体" w:eastAsia="宋体" w:cs="宋体"/>
          <w:b w:val="0"/>
          <w:bCs/>
          <w:color w:val="auto"/>
          <w:kern w:val="0"/>
          <w:sz w:val="21"/>
          <w:szCs w:val="21"/>
          <w:highlight w:val="none"/>
        </w:rPr>
        <w:t>日</w:t>
      </w:r>
    </w:p>
    <w:p w14:paraId="48A96F0D">
      <w:pPr>
        <w:autoSpaceDE w:val="0"/>
        <w:autoSpaceDN w:val="0"/>
        <w:adjustRightInd w:val="0"/>
        <w:spacing w:line="360" w:lineRule="auto"/>
        <w:ind w:left="210" w:leftChars="100"/>
        <w:jc w:val="center"/>
        <w:rPr>
          <w:rFonts w:hint="eastAsia" w:ascii="宋体" w:hAnsi="宋体" w:eastAsia="宋体" w:cs="宋体"/>
          <w:color w:val="auto"/>
          <w:szCs w:val="21"/>
          <w:highlight w:val="none"/>
        </w:rPr>
        <w:sectPr>
          <w:footerReference r:id="rId14" w:type="first"/>
          <w:footerReference r:id="rId12" w:type="default"/>
          <w:footerReference r:id="rId13" w:type="even"/>
          <w:pgSz w:w="11906" w:h="16838"/>
          <w:pgMar w:top="1417" w:right="1417" w:bottom="1417" w:left="1417" w:header="851" w:footer="754" w:gutter="0"/>
          <w:cols w:space="720" w:num="1"/>
          <w:docGrid w:type="lines" w:linePitch="312" w:charSpace="0"/>
        </w:sectPr>
      </w:pPr>
    </w:p>
    <w:p w14:paraId="1CC242E0">
      <w:pPr>
        <w:keepNext/>
        <w:keepLines/>
        <w:widowControl w:val="0"/>
        <w:spacing w:line="360" w:lineRule="auto"/>
        <w:ind w:left="425" w:hanging="425"/>
        <w:jc w:val="center"/>
        <w:outlineLvl w:val="2"/>
        <w:rPr>
          <w:rFonts w:hint="eastAsia" w:ascii="宋体" w:hAnsi="宋体" w:eastAsia="宋体" w:cs="宋体"/>
          <w:b/>
          <w:color w:val="auto"/>
          <w:kern w:val="2"/>
          <w:sz w:val="21"/>
          <w:szCs w:val="21"/>
          <w:highlight w:val="none"/>
          <w:lang w:val="en-US" w:eastAsia="zh-CN" w:bidi="ar-SA"/>
        </w:rPr>
      </w:pPr>
      <w:r>
        <w:rPr>
          <w:rFonts w:hint="eastAsia" w:ascii="宋体" w:hAnsi="宋体" w:eastAsia="宋体" w:cs="宋体"/>
          <w:b/>
          <w:color w:val="auto"/>
          <w:kern w:val="2"/>
          <w:sz w:val="21"/>
          <w:szCs w:val="21"/>
          <w:highlight w:val="none"/>
          <w:lang w:val="en-US" w:eastAsia="zh-CN" w:bidi="ar-SA"/>
        </w:rPr>
        <w:t xml:space="preserve">(四) </w:t>
      </w:r>
      <w:bookmarkStart w:id="759" w:name="_Toc495304005"/>
      <w:bookmarkStart w:id="760" w:name="_Toc463003913"/>
      <w:bookmarkStart w:id="761" w:name="_Toc5621"/>
      <w:r>
        <w:rPr>
          <w:rFonts w:hint="eastAsia" w:ascii="宋体" w:hAnsi="宋体" w:eastAsia="宋体" w:cs="宋体"/>
          <w:b/>
          <w:color w:val="auto"/>
          <w:kern w:val="2"/>
          <w:sz w:val="21"/>
          <w:szCs w:val="21"/>
          <w:highlight w:val="none"/>
          <w:lang w:val="en-US" w:eastAsia="zh-CN" w:bidi="ar-SA"/>
        </w:rPr>
        <w:t>货物分项报价一览表</w:t>
      </w:r>
      <w:bookmarkEnd w:id="759"/>
      <w:bookmarkEnd w:id="760"/>
      <w:bookmarkEnd w:id="761"/>
    </w:p>
    <w:tbl>
      <w:tblPr>
        <w:tblStyle w:val="3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1"/>
        <w:gridCol w:w="1319"/>
        <w:gridCol w:w="932"/>
        <w:gridCol w:w="1256"/>
        <w:gridCol w:w="869"/>
        <w:gridCol w:w="870"/>
        <w:gridCol w:w="870"/>
        <w:gridCol w:w="870"/>
        <w:gridCol w:w="985"/>
        <w:gridCol w:w="960"/>
        <w:gridCol w:w="2803"/>
        <w:gridCol w:w="764"/>
      </w:tblGrid>
      <w:tr w14:paraId="193B2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91" w:type="dxa"/>
            <w:noWrap w:val="0"/>
            <w:vAlign w:val="center"/>
          </w:tcPr>
          <w:p w14:paraId="77A7CDCF">
            <w:pPr>
              <w:pageBreakBefore w:val="0"/>
              <w:kinsoku/>
              <w:overflowPunct/>
              <w:autoSpaceDE w:val="0"/>
              <w:autoSpaceDN w:val="0"/>
              <w:bidi w:val="0"/>
              <w:adjustRightIn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序号</w:t>
            </w:r>
          </w:p>
        </w:tc>
        <w:tc>
          <w:tcPr>
            <w:tcW w:w="1319" w:type="dxa"/>
            <w:noWrap w:val="0"/>
            <w:vAlign w:val="center"/>
          </w:tcPr>
          <w:p w14:paraId="639D3B1F">
            <w:pPr>
              <w:pageBreakBefore w:val="0"/>
              <w:kinsoku/>
              <w:overflowPunct/>
              <w:autoSpaceDE w:val="0"/>
              <w:autoSpaceDN w:val="0"/>
              <w:bidi w:val="0"/>
              <w:adjustRightIn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设备名称</w:t>
            </w:r>
          </w:p>
        </w:tc>
        <w:tc>
          <w:tcPr>
            <w:tcW w:w="932" w:type="dxa"/>
            <w:noWrap w:val="0"/>
            <w:vAlign w:val="center"/>
          </w:tcPr>
          <w:p w14:paraId="3B76A7CB">
            <w:pPr>
              <w:pageBreakBefore w:val="0"/>
              <w:kinsoku/>
              <w:overflowPunct/>
              <w:autoSpaceDE w:val="0"/>
              <w:autoSpaceDN w:val="0"/>
              <w:bidi w:val="0"/>
              <w:adjustRightIn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品牌</w:t>
            </w:r>
          </w:p>
        </w:tc>
        <w:tc>
          <w:tcPr>
            <w:tcW w:w="1256" w:type="dxa"/>
            <w:noWrap w:val="0"/>
            <w:vAlign w:val="center"/>
          </w:tcPr>
          <w:p w14:paraId="1BDFC3BD">
            <w:pPr>
              <w:pageBreakBefore w:val="0"/>
              <w:kinsoku/>
              <w:overflowPunct/>
              <w:autoSpaceDE w:val="0"/>
              <w:autoSpaceDN w:val="0"/>
              <w:bidi w:val="0"/>
              <w:adjustRightInd w:val="0"/>
              <w:spacing w:line="360" w:lineRule="auto"/>
              <w:jc w:val="center"/>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规格型号</w:t>
            </w:r>
          </w:p>
        </w:tc>
        <w:tc>
          <w:tcPr>
            <w:tcW w:w="869" w:type="dxa"/>
            <w:noWrap w:val="0"/>
            <w:vAlign w:val="center"/>
          </w:tcPr>
          <w:p w14:paraId="7410818C">
            <w:pPr>
              <w:pageBreakBefore w:val="0"/>
              <w:kinsoku/>
              <w:overflowPunct/>
              <w:autoSpaceDE w:val="0"/>
              <w:autoSpaceDN w:val="0"/>
              <w:bidi w:val="0"/>
              <w:adjustRightIn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产地</w:t>
            </w:r>
          </w:p>
        </w:tc>
        <w:tc>
          <w:tcPr>
            <w:tcW w:w="870" w:type="dxa"/>
            <w:noWrap w:val="0"/>
            <w:vAlign w:val="center"/>
          </w:tcPr>
          <w:p w14:paraId="3871B320">
            <w:pPr>
              <w:pageBreakBefore w:val="0"/>
              <w:kinsoku/>
              <w:overflowPunct/>
              <w:autoSpaceDE w:val="0"/>
              <w:autoSpaceDN w:val="0"/>
              <w:bidi w:val="0"/>
              <w:adjustRightIn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制造商名称</w:t>
            </w:r>
          </w:p>
        </w:tc>
        <w:tc>
          <w:tcPr>
            <w:tcW w:w="870" w:type="dxa"/>
            <w:noWrap w:val="0"/>
            <w:vAlign w:val="center"/>
          </w:tcPr>
          <w:p w14:paraId="2E8571CA">
            <w:pPr>
              <w:pageBreakBefore w:val="0"/>
              <w:kinsoku/>
              <w:overflowPunct/>
              <w:autoSpaceDE w:val="0"/>
              <w:autoSpaceDN w:val="0"/>
              <w:bidi w:val="0"/>
              <w:adjustRightIn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单位</w:t>
            </w:r>
          </w:p>
        </w:tc>
        <w:tc>
          <w:tcPr>
            <w:tcW w:w="870" w:type="dxa"/>
            <w:noWrap w:val="0"/>
            <w:vAlign w:val="center"/>
          </w:tcPr>
          <w:p w14:paraId="5C54E519">
            <w:pPr>
              <w:pageBreakBefore w:val="0"/>
              <w:kinsoku/>
              <w:overflowPunct/>
              <w:autoSpaceDE w:val="0"/>
              <w:autoSpaceDN w:val="0"/>
              <w:bidi w:val="0"/>
              <w:adjustRightIn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数量</w:t>
            </w:r>
          </w:p>
        </w:tc>
        <w:tc>
          <w:tcPr>
            <w:tcW w:w="985" w:type="dxa"/>
            <w:noWrap w:val="0"/>
            <w:vAlign w:val="center"/>
          </w:tcPr>
          <w:p w14:paraId="4A1ACC39">
            <w:pPr>
              <w:pageBreakBefore w:val="0"/>
              <w:kinsoku/>
              <w:overflowPunct/>
              <w:autoSpaceDE w:val="0"/>
              <w:autoSpaceDN w:val="0"/>
              <w:bidi w:val="0"/>
              <w:adjustRightIn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单价</w:t>
            </w:r>
          </w:p>
        </w:tc>
        <w:tc>
          <w:tcPr>
            <w:tcW w:w="960" w:type="dxa"/>
            <w:noWrap w:val="0"/>
            <w:vAlign w:val="center"/>
          </w:tcPr>
          <w:p w14:paraId="535A9533">
            <w:pPr>
              <w:pageBreakBefore w:val="0"/>
              <w:kinsoku/>
              <w:overflowPunct/>
              <w:autoSpaceDE w:val="0"/>
              <w:autoSpaceDN w:val="0"/>
              <w:bidi w:val="0"/>
              <w:adjustRightIn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总价</w:t>
            </w:r>
          </w:p>
        </w:tc>
        <w:tc>
          <w:tcPr>
            <w:tcW w:w="2803" w:type="dxa"/>
            <w:noWrap w:val="0"/>
            <w:vAlign w:val="center"/>
          </w:tcPr>
          <w:p w14:paraId="0466ED43">
            <w:pPr>
              <w:pageBreakBefore w:val="0"/>
              <w:kinsoku/>
              <w:overflowPunct/>
              <w:autoSpaceDE w:val="0"/>
              <w:autoSpaceDN w:val="0"/>
              <w:bidi w:val="0"/>
              <w:adjustRightIn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是否属于小型、微型（监狱、残疾人福利性单位）企业生产的产品（填是/否）</w:t>
            </w:r>
          </w:p>
        </w:tc>
        <w:tc>
          <w:tcPr>
            <w:tcW w:w="764" w:type="dxa"/>
            <w:noWrap w:val="0"/>
            <w:vAlign w:val="center"/>
          </w:tcPr>
          <w:p w14:paraId="68A8EA12">
            <w:pPr>
              <w:pageBreakBefore w:val="0"/>
              <w:kinsoku/>
              <w:overflowPunct/>
              <w:autoSpaceDE w:val="0"/>
              <w:autoSpaceDN w:val="0"/>
              <w:bidi w:val="0"/>
              <w:adjustRightIn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备注</w:t>
            </w:r>
          </w:p>
        </w:tc>
      </w:tr>
      <w:tr w14:paraId="4AABE1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jc w:val="center"/>
        </w:trPr>
        <w:tc>
          <w:tcPr>
            <w:tcW w:w="691" w:type="dxa"/>
            <w:noWrap w:val="0"/>
            <w:vAlign w:val="top"/>
          </w:tcPr>
          <w:p w14:paraId="79F8BB3A">
            <w:pPr>
              <w:pageBreakBefore w:val="0"/>
              <w:kinsoku/>
              <w:overflowPunct/>
              <w:autoSpaceDE w:val="0"/>
              <w:autoSpaceDN w:val="0"/>
              <w:bidi w:val="0"/>
              <w:adjustRightInd w:val="0"/>
              <w:spacing w:line="360" w:lineRule="auto"/>
              <w:rPr>
                <w:rFonts w:hint="eastAsia" w:ascii="宋体" w:hAnsi="宋体" w:eastAsia="宋体" w:cs="宋体"/>
                <w:color w:val="auto"/>
                <w:szCs w:val="21"/>
                <w:highlight w:val="none"/>
              </w:rPr>
            </w:pPr>
          </w:p>
        </w:tc>
        <w:tc>
          <w:tcPr>
            <w:tcW w:w="1319" w:type="dxa"/>
            <w:noWrap w:val="0"/>
            <w:vAlign w:val="top"/>
          </w:tcPr>
          <w:p w14:paraId="43AC3378">
            <w:pPr>
              <w:pageBreakBefore w:val="0"/>
              <w:kinsoku/>
              <w:overflowPunct/>
              <w:autoSpaceDE w:val="0"/>
              <w:autoSpaceDN w:val="0"/>
              <w:bidi w:val="0"/>
              <w:adjustRightInd w:val="0"/>
              <w:spacing w:line="360" w:lineRule="auto"/>
              <w:rPr>
                <w:rFonts w:hint="eastAsia" w:ascii="宋体" w:hAnsi="宋体" w:eastAsia="宋体" w:cs="宋体"/>
                <w:color w:val="auto"/>
                <w:szCs w:val="21"/>
                <w:highlight w:val="none"/>
              </w:rPr>
            </w:pPr>
          </w:p>
        </w:tc>
        <w:tc>
          <w:tcPr>
            <w:tcW w:w="932" w:type="dxa"/>
            <w:noWrap w:val="0"/>
            <w:vAlign w:val="top"/>
          </w:tcPr>
          <w:p w14:paraId="5C8C99F1">
            <w:pPr>
              <w:pageBreakBefore w:val="0"/>
              <w:kinsoku/>
              <w:overflowPunct/>
              <w:autoSpaceDE w:val="0"/>
              <w:autoSpaceDN w:val="0"/>
              <w:bidi w:val="0"/>
              <w:adjustRightInd w:val="0"/>
              <w:spacing w:line="360" w:lineRule="auto"/>
              <w:rPr>
                <w:rFonts w:hint="eastAsia" w:ascii="宋体" w:hAnsi="宋体" w:eastAsia="宋体" w:cs="宋体"/>
                <w:color w:val="auto"/>
                <w:szCs w:val="21"/>
                <w:highlight w:val="none"/>
              </w:rPr>
            </w:pPr>
          </w:p>
        </w:tc>
        <w:tc>
          <w:tcPr>
            <w:tcW w:w="1256" w:type="dxa"/>
            <w:noWrap w:val="0"/>
            <w:vAlign w:val="top"/>
          </w:tcPr>
          <w:p w14:paraId="30B5CAE1">
            <w:pPr>
              <w:pageBreakBefore w:val="0"/>
              <w:kinsoku/>
              <w:overflowPunct/>
              <w:autoSpaceDE w:val="0"/>
              <w:autoSpaceDN w:val="0"/>
              <w:bidi w:val="0"/>
              <w:adjustRightInd w:val="0"/>
              <w:spacing w:line="360" w:lineRule="auto"/>
              <w:rPr>
                <w:rFonts w:hint="eastAsia" w:ascii="宋体" w:hAnsi="宋体" w:eastAsia="宋体" w:cs="宋体"/>
                <w:color w:val="auto"/>
                <w:szCs w:val="21"/>
                <w:highlight w:val="none"/>
              </w:rPr>
            </w:pPr>
          </w:p>
        </w:tc>
        <w:tc>
          <w:tcPr>
            <w:tcW w:w="869" w:type="dxa"/>
            <w:noWrap w:val="0"/>
            <w:vAlign w:val="top"/>
          </w:tcPr>
          <w:p w14:paraId="042B0100">
            <w:pPr>
              <w:pageBreakBefore w:val="0"/>
              <w:kinsoku/>
              <w:overflowPunct/>
              <w:autoSpaceDE w:val="0"/>
              <w:autoSpaceDN w:val="0"/>
              <w:bidi w:val="0"/>
              <w:adjustRightInd w:val="0"/>
              <w:spacing w:line="360" w:lineRule="auto"/>
              <w:rPr>
                <w:rFonts w:hint="eastAsia" w:ascii="宋体" w:hAnsi="宋体" w:eastAsia="宋体" w:cs="宋体"/>
                <w:color w:val="auto"/>
                <w:szCs w:val="21"/>
                <w:highlight w:val="none"/>
              </w:rPr>
            </w:pPr>
          </w:p>
        </w:tc>
        <w:tc>
          <w:tcPr>
            <w:tcW w:w="870" w:type="dxa"/>
            <w:noWrap w:val="0"/>
            <w:vAlign w:val="top"/>
          </w:tcPr>
          <w:p w14:paraId="6F301C90">
            <w:pPr>
              <w:pageBreakBefore w:val="0"/>
              <w:kinsoku/>
              <w:overflowPunct/>
              <w:autoSpaceDE w:val="0"/>
              <w:autoSpaceDN w:val="0"/>
              <w:bidi w:val="0"/>
              <w:adjustRightInd w:val="0"/>
              <w:spacing w:line="360" w:lineRule="auto"/>
              <w:rPr>
                <w:rFonts w:hint="eastAsia" w:ascii="宋体" w:hAnsi="宋体" w:eastAsia="宋体" w:cs="宋体"/>
                <w:color w:val="auto"/>
                <w:szCs w:val="21"/>
                <w:highlight w:val="none"/>
              </w:rPr>
            </w:pPr>
          </w:p>
        </w:tc>
        <w:tc>
          <w:tcPr>
            <w:tcW w:w="870" w:type="dxa"/>
            <w:noWrap w:val="0"/>
            <w:vAlign w:val="top"/>
          </w:tcPr>
          <w:p w14:paraId="55B82FCC">
            <w:pPr>
              <w:pageBreakBefore w:val="0"/>
              <w:kinsoku/>
              <w:overflowPunct/>
              <w:autoSpaceDE w:val="0"/>
              <w:autoSpaceDN w:val="0"/>
              <w:bidi w:val="0"/>
              <w:adjustRightInd w:val="0"/>
              <w:spacing w:line="360" w:lineRule="auto"/>
              <w:rPr>
                <w:rFonts w:hint="eastAsia" w:ascii="宋体" w:hAnsi="宋体" w:eastAsia="宋体" w:cs="宋体"/>
                <w:color w:val="auto"/>
                <w:szCs w:val="21"/>
                <w:highlight w:val="none"/>
              </w:rPr>
            </w:pPr>
          </w:p>
        </w:tc>
        <w:tc>
          <w:tcPr>
            <w:tcW w:w="870" w:type="dxa"/>
            <w:noWrap w:val="0"/>
            <w:vAlign w:val="top"/>
          </w:tcPr>
          <w:p w14:paraId="24F42E51">
            <w:pPr>
              <w:pageBreakBefore w:val="0"/>
              <w:kinsoku/>
              <w:overflowPunct/>
              <w:autoSpaceDE w:val="0"/>
              <w:autoSpaceDN w:val="0"/>
              <w:bidi w:val="0"/>
              <w:adjustRightInd w:val="0"/>
              <w:spacing w:line="360" w:lineRule="auto"/>
              <w:rPr>
                <w:rFonts w:hint="eastAsia" w:ascii="宋体" w:hAnsi="宋体" w:eastAsia="宋体" w:cs="宋体"/>
                <w:color w:val="auto"/>
                <w:szCs w:val="21"/>
                <w:highlight w:val="none"/>
              </w:rPr>
            </w:pPr>
          </w:p>
        </w:tc>
        <w:tc>
          <w:tcPr>
            <w:tcW w:w="985" w:type="dxa"/>
            <w:noWrap w:val="0"/>
            <w:vAlign w:val="top"/>
          </w:tcPr>
          <w:p w14:paraId="0C54550B">
            <w:pPr>
              <w:pageBreakBefore w:val="0"/>
              <w:kinsoku/>
              <w:overflowPunct/>
              <w:autoSpaceDE w:val="0"/>
              <w:autoSpaceDN w:val="0"/>
              <w:bidi w:val="0"/>
              <w:adjustRightInd w:val="0"/>
              <w:spacing w:line="360" w:lineRule="auto"/>
              <w:rPr>
                <w:rFonts w:hint="eastAsia" w:ascii="宋体" w:hAnsi="宋体" w:eastAsia="宋体" w:cs="宋体"/>
                <w:color w:val="auto"/>
                <w:szCs w:val="21"/>
                <w:highlight w:val="none"/>
              </w:rPr>
            </w:pPr>
          </w:p>
        </w:tc>
        <w:tc>
          <w:tcPr>
            <w:tcW w:w="960" w:type="dxa"/>
            <w:noWrap w:val="0"/>
            <w:vAlign w:val="top"/>
          </w:tcPr>
          <w:p w14:paraId="6ED246D9">
            <w:pPr>
              <w:pageBreakBefore w:val="0"/>
              <w:kinsoku/>
              <w:overflowPunct/>
              <w:autoSpaceDE w:val="0"/>
              <w:autoSpaceDN w:val="0"/>
              <w:bidi w:val="0"/>
              <w:adjustRightInd w:val="0"/>
              <w:spacing w:line="360" w:lineRule="auto"/>
              <w:rPr>
                <w:rFonts w:hint="eastAsia" w:ascii="宋体" w:hAnsi="宋体" w:eastAsia="宋体" w:cs="宋体"/>
                <w:color w:val="auto"/>
                <w:szCs w:val="21"/>
                <w:highlight w:val="none"/>
              </w:rPr>
            </w:pPr>
          </w:p>
        </w:tc>
        <w:tc>
          <w:tcPr>
            <w:tcW w:w="2803" w:type="dxa"/>
            <w:noWrap w:val="0"/>
            <w:vAlign w:val="top"/>
          </w:tcPr>
          <w:p w14:paraId="190619A1">
            <w:pPr>
              <w:pageBreakBefore w:val="0"/>
              <w:kinsoku/>
              <w:overflowPunct/>
              <w:autoSpaceDE w:val="0"/>
              <w:autoSpaceDN w:val="0"/>
              <w:bidi w:val="0"/>
              <w:adjustRightInd w:val="0"/>
              <w:spacing w:line="360" w:lineRule="auto"/>
              <w:rPr>
                <w:rFonts w:hint="eastAsia" w:ascii="宋体" w:hAnsi="宋体" w:eastAsia="宋体" w:cs="宋体"/>
                <w:color w:val="auto"/>
                <w:szCs w:val="21"/>
                <w:highlight w:val="none"/>
              </w:rPr>
            </w:pPr>
          </w:p>
        </w:tc>
        <w:tc>
          <w:tcPr>
            <w:tcW w:w="764" w:type="dxa"/>
            <w:noWrap w:val="0"/>
            <w:vAlign w:val="top"/>
          </w:tcPr>
          <w:p w14:paraId="25464CD3">
            <w:pPr>
              <w:pageBreakBefore w:val="0"/>
              <w:kinsoku/>
              <w:overflowPunct/>
              <w:autoSpaceDE w:val="0"/>
              <w:autoSpaceDN w:val="0"/>
              <w:bidi w:val="0"/>
              <w:adjustRightInd w:val="0"/>
              <w:spacing w:line="360" w:lineRule="auto"/>
              <w:rPr>
                <w:rFonts w:hint="eastAsia" w:ascii="宋体" w:hAnsi="宋体" w:eastAsia="宋体" w:cs="宋体"/>
                <w:color w:val="auto"/>
                <w:szCs w:val="21"/>
                <w:highlight w:val="none"/>
              </w:rPr>
            </w:pPr>
          </w:p>
        </w:tc>
      </w:tr>
      <w:tr w14:paraId="5B54C4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jc w:val="center"/>
        </w:trPr>
        <w:tc>
          <w:tcPr>
            <w:tcW w:w="691" w:type="dxa"/>
            <w:noWrap w:val="0"/>
            <w:vAlign w:val="top"/>
          </w:tcPr>
          <w:p w14:paraId="4A347642">
            <w:pPr>
              <w:pageBreakBefore w:val="0"/>
              <w:kinsoku/>
              <w:overflowPunct/>
              <w:autoSpaceDE w:val="0"/>
              <w:autoSpaceDN w:val="0"/>
              <w:bidi w:val="0"/>
              <w:adjustRightInd w:val="0"/>
              <w:spacing w:line="360" w:lineRule="auto"/>
              <w:rPr>
                <w:rFonts w:hint="eastAsia" w:ascii="宋体" w:hAnsi="宋体" w:eastAsia="宋体" w:cs="宋体"/>
                <w:color w:val="auto"/>
                <w:szCs w:val="21"/>
                <w:highlight w:val="none"/>
              </w:rPr>
            </w:pPr>
          </w:p>
        </w:tc>
        <w:tc>
          <w:tcPr>
            <w:tcW w:w="1319" w:type="dxa"/>
            <w:noWrap w:val="0"/>
            <w:vAlign w:val="top"/>
          </w:tcPr>
          <w:p w14:paraId="2BAA64A1">
            <w:pPr>
              <w:pageBreakBefore w:val="0"/>
              <w:kinsoku/>
              <w:overflowPunct/>
              <w:autoSpaceDE w:val="0"/>
              <w:autoSpaceDN w:val="0"/>
              <w:bidi w:val="0"/>
              <w:adjustRightInd w:val="0"/>
              <w:spacing w:line="360" w:lineRule="auto"/>
              <w:rPr>
                <w:rFonts w:hint="eastAsia" w:ascii="宋体" w:hAnsi="宋体" w:eastAsia="宋体" w:cs="宋体"/>
                <w:color w:val="auto"/>
                <w:szCs w:val="21"/>
                <w:highlight w:val="none"/>
              </w:rPr>
            </w:pPr>
          </w:p>
        </w:tc>
        <w:tc>
          <w:tcPr>
            <w:tcW w:w="932" w:type="dxa"/>
            <w:noWrap w:val="0"/>
            <w:vAlign w:val="top"/>
          </w:tcPr>
          <w:p w14:paraId="76F88A24">
            <w:pPr>
              <w:pageBreakBefore w:val="0"/>
              <w:kinsoku/>
              <w:overflowPunct/>
              <w:autoSpaceDE w:val="0"/>
              <w:autoSpaceDN w:val="0"/>
              <w:bidi w:val="0"/>
              <w:adjustRightInd w:val="0"/>
              <w:spacing w:line="360" w:lineRule="auto"/>
              <w:rPr>
                <w:rFonts w:hint="eastAsia" w:ascii="宋体" w:hAnsi="宋体" w:eastAsia="宋体" w:cs="宋体"/>
                <w:color w:val="auto"/>
                <w:szCs w:val="21"/>
                <w:highlight w:val="none"/>
              </w:rPr>
            </w:pPr>
          </w:p>
        </w:tc>
        <w:tc>
          <w:tcPr>
            <w:tcW w:w="1256" w:type="dxa"/>
            <w:noWrap w:val="0"/>
            <w:vAlign w:val="top"/>
          </w:tcPr>
          <w:p w14:paraId="030BE10B">
            <w:pPr>
              <w:pageBreakBefore w:val="0"/>
              <w:kinsoku/>
              <w:overflowPunct/>
              <w:autoSpaceDE w:val="0"/>
              <w:autoSpaceDN w:val="0"/>
              <w:bidi w:val="0"/>
              <w:adjustRightInd w:val="0"/>
              <w:spacing w:line="360" w:lineRule="auto"/>
              <w:rPr>
                <w:rFonts w:hint="eastAsia" w:ascii="宋体" w:hAnsi="宋体" w:eastAsia="宋体" w:cs="宋体"/>
                <w:color w:val="auto"/>
                <w:szCs w:val="21"/>
                <w:highlight w:val="none"/>
              </w:rPr>
            </w:pPr>
          </w:p>
        </w:tc>
        <w:tc>
          <w:tcPr>
            <w:tcW w:w="869" w:type="dxa"/>
            <w:noWrap w:val="0"/>
            <w:vAlign w:val="top"/>
          </w:tcPr>
          <w:p w14:paraId="0C5E0615">
            <w:pPr>
              <w:pageBreakBefore w:val="0"/>
              <w:kinsoku/>
              <w:overflowPunct/>
              <w:autoSpaceDE w:val="0"/>
              <w:autoSpaceDN w:val="0"/>
              <w:bidi w:val="0"/>
              <w:adjustRightInd w:val="0"/>
              <w:spacing w:line="360" w:lineRule="auto"/>
              <w:rPr>
                <w:rFonts w:hint="eastAsia" w:ascii="宋体" w:hAnsi="宋体" w:eastAsia="宋体" w:cs="宋体"/>
                <w:color w:val="auto"/>
                <w:szCs w:val="21"/>
                <w:highlight w:val="none"/>
              </w:rPr>
            </w:pPr>
          </w:p>
        </w:tc>
        <w:tc>
          <w:tcPr>
            <w:tcW w:w="870" w:type="dxa"/>
            <w:noWrap w:val="0"/>
            <w:vAlign w:val="top"/>
          </w:tcPr>
          <w:p w14:paraId="2E78A887">
            <w:pPr>
              <w:pageBreakBefore w:val="0"/>
              <w:kinsoku/>
              <w:overflowPunct/>
              <w:autoSpaceDE w:val="0"/>
              <w:autoSpaceDN w:val="0"/>
              <w:bidi w:val="0"/>
              <w:adjustRightInd w:val="0"/>
              <w:spacing w:line="360" w:lineRule="auto"/>
              <w:rPr>
                <w:rFonts w:hint="eastAsia" w:ascii="宋体" w:hAnsi="宋体" w:eastAsia="宋体" w:cs="宋体"/>
                <w:color w:val="auto"/>
                <w:szCs w:val="21"/>
                <w:highlight w:val="none"/>
              </w:rPr>
            </w:pPr>
          </w:p>
        </w:tc>
        <w:tc>
          <w:tcPr>
            <w:tcW w:w="870" w:type="dxa"/>
            <w:noWrap w:val="0"/>
            <w:vAlign w:val="top"/>
          </w:tcPr>
          <w:p w14:paraId="6786BCF7">
            <w:pPr>
              <w:pageBreakBefore w:val="0"/>
              <w:kinsoku/>
              <w:overflowPunct/>
              <w:autoSpaceDE w:val="0"/>
              <w:autoSpaceDN w:val="0"/>
              <w:bidi w:val="0"/>
              <w:adjustRightInd w:val="0"/>
              <w:spacing w:line="360" w:lineRule="auto"/>
              <w:rPr>
                <w:rFonts w:hint="eastAsia" w:ascii="宋体" w:hAnsi="宋体" w:eastAsia="宋体" w:cs="宋体"/>
                <w:color w:val="auto"/>
                <w:szCs w:val="21"/>
                <w:highlight w:val="none"/>
              </w:rPr>
            </w:pPr>
          </w:p>
        </w:tc>
        <w:tc>
          <w:tcPr>
            <w:tcW w:w="870" w:type="dxa"/>
            <w:noWrap w:val="0"/>
            <w:vAlign w:val="top"/>
          </w:tcPr>
          <w:p w14:paraId="591CAA0B">
            <w:pPr>
              <w:pageBreakBefore w:val="0"/>
              <w:kinsoku/>
              <w:overflowPunct/>
              <w:autoSpaceDE w:val="0"/>
              <w:autoSpaceDN w:val="0"/>
              <w:bidi w:val="0"/>
              <w:adjustRightInd w:val="0"/>
              <w:spacing w:line="360" w:lineRule="auto"/>
              <w:rPr>
                <w:rFonts w:hint="eastAsia" w:ascii="宋体" w:hAnsi="宋体" w:eastAsia="宋体" w:cs="宋体"/>
                <w:color w:val="auto"/>
                <w:szCs w:val="21"/>
                <w:highlight w:val="none"/>
              </w:rPr>
            </w:pPr>
          </w:p>
        </w:tc>
        <w:tc>
          <w:tcPr>
            <w:tcW w:w="985" w:type="dxa"/>
            <w:noWrap w:val="0"/>
            <w:vAlign w:val="top"/>
          </w:tcPr>
          <w:p w14:paraId="6BC92705">
            <w:pPr>
              <w:pageBreakBefore w:val="0"/>
              <w:kinsoku/>
              <w:overflowPunct/>
              <w:autoSpaceDE w:val="0"/>
              <w:autoSpaceDN w:val="0"/>
              <w:bidi w:val="0"/>
              <w:adjustRightInd w:val="0"/>
              <w:spacing w:line="360" w:lineRule="auto"/>
              <w:rPr>
                <w:rFonts w:hint="eastAsia" w:ascii="宋体" w:hAnsi="宋体" w:eastAsia="宋体" w:cs="宋体"/>
                <w:color w:val="auto"/>
                <w:szCs w:val="21"/>
                <w:highlight w:val="none"/>
              </w:rPr>
            </w:pPr>
          </w:p>
        </w:tc>
        <w:tc>
          <w:tcPr>
            <w:tcW w:w="960" w:type="dxa"/>
            <w:noWrap w:val="0"/>
            <w:vAlign w:val="top"/>
          </w:tcPr>
          <w:p w14:paraId="471D6BDE">
            <w:pPr>
              <w:pageBreakBefore w:val="0"/>
              <w:kinsoku/>
              <w:overflowPunct/>
              <w:autoSpaceDE w:val="0"/>
              <w:autoSpaceDN w:val="0"/>
              <w:bidi w:val="0"/>
              <w:adjustRightInd w:val="0"/>
              <w:spacing w:line="360" w:lineRule="auto"/>
              <w:rPr>
                <w:rFonts w:hint="eastAsia" w:ascii="宋体" w:hAnsi="宋体" w:eastAsia="宋体" w:cs="宋体"/>
                <w:color w:val="auto"/>
                <w:szCs w:val="21"/>
                <w:highlight w:val="none"/>
              </w:rPr>
            </w:pPr>
          </w:p>
        </w:tc>
        <w:tc>
          <w:tcPr>
            <w:tcW w:w="2803" w:type="dxa"/>
            <w:noWrap w:val="0"/>
            <w:vAlign w:val="top"/>
          </w:tcPr>
          <w:p w14:paraId="747697DC">
            <w:pPr>
              <w:pageBreakBefore w:val="0"/>
              <w:kinsoku/>
              <w:overflowPunct/>
              <w:autoSpaceDE w:val="0"/>
              <w:autoSpaceDN w:val="0"/>
              <w:bidi w:val="0"/>
              <w:adjustRightInd w:val="0"/>
              <w:spacing w:line="360" w:lineRule="auto"/>
              <w:rPr>
                <w:rFonts w:hint="eastAsia" w:ascii="宋体" w:hAnsi="宋体" w:eastAsia="宋体" w:cs="宋体"/>
                <w:color w:val="auto"/>
                <w:szCs w:val="21"/>
                <w:highlight w:val="none"/>
              </w:rPr>
            </w:pPr>
          </w:p>
        </w:tc>
        <w:tc>
          <w:tcPr>
            <w:tcW w:w="764" w:type="dxa"/>
            <w:noWrap w:val="0"/>
            <w:vAlign w:val="top"/>
          </w:tcPr>
          <w:p w14:paraId="0AD920A3">
            <w:pPr>
              <w:pageBreakBefore w:val="0"/>
              <w:kinsoku/>
              <w:overflowPunct/>
              <w:autoSpaceDE w:val="0"/>
              <w:autoSpaceDN w:val="0"/>
              <w:bidi w:val="0"/>
              <w:adjustRightInd w:val="0"/>
              <w:spacing w:line="360" w:lineRule="auto"/>
              <w:rPr>
                <w:rFonts w:hint="eastAsia" w:ascii="宋体" w:hAnsi="宋体" w:eastAsia="宋体" w:cs="宋体"/>
                <w:color w:val="auto"/>
                <w:szCs w:val="21"/>
                <w:highlight w:val="none"/>
              </w:rPr>
            </w:pPr>
          </w:p>
        </w:tc>
      </w:tr>
      <w:tr w14:paraId="186020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jc w:val="center"/>
        </w:trPr>
        <w:tc>
          <w:tcPr>
            <w:tcW w:w="691" w:type="dxa"/>
            <w:noWrap w:val="0"/>
            <w:vAlign w:val="top"/>
          </w:tcPr>
          <w:p w14:paraId="3B4D1B17">
            <w:pPr>
              <w:pageBreakBefore w:val="0"/>
              <w:kinsoku/>
              <w:overflowPunct/>
              <w:autoSpaceDE w:val="0"/>
              <w:autoSpaceDN w:val="0"/>
              <w:bidi w:val="0"/>
              <w:adjustRightInd w:val="0"/>
              <w:spacing w:line="360" w:lineRule="auto"/>
              <w:rPr>
                <w:rFonts w:hint="eastAsia" w:ascii="宋体" w:hAnsi="宋体" w:eastAsia="宋体" w:cs="宋体"/>
                <w:color w:val="auto"/>
                <w:szCs w:val="21"/>
                <w:highlight w:val="none"/>
              </w:rPr>
            </w:pPr>
          </w:p>
        </w:tc>
        <w:tc>
          <w:tcPr>
            <w:tcW w:w="1319" w:type="dxa"/>
            <w:noWrap w:val="0"/>
            <w:vAlign w:val="top"/>
          </w:tcPr>
          <w:p w14:paraId="01A42F51">
            <w:pPr>
              <w:pageBreakBefore w:val="0"/>
              <w:kinsoku/>
              <w:overflowPunct/>
              <w:autoSpaceDE w:val="0"/>
              <w:autoSpaceDN w:val="0"/>
              <w:bidi w:val="0"/>
              <w:adjustRightInd w:val="0"/>
              <w:spacing w:line="360" w:lineRule="auto"/>
              <w:rPr>
                <w:rFonts w:hint="eastAsia" w:ascii="宋体" w:hAnsi="宋体" w:eastAsia="宋体" w:cs="宋体"/>
                <w:color w:val="auto"/>
                <w:szCs w:val="21"/>
                <w:highlight w:val="none"/>
              </w:rPr>
            </w:pPr>
          </w:p>
        </w:tc>
        <w:tc>
          <w:tcPr>
            <w:tcW w:w="932" w:type="dxa"/>
            <w:noWrap w:val="0"/>
            <w:vAlign w:val="top"/>
          </w:tcPr>
          <w:p w14:paraId="2966AF82">
            <w:pPr>
              <w:pageBreakBefore w:val="0"/>
              <w:kinsoku/>
              <w:overflowPunct/>
              <w:autoSpaceDE w:val="0"/>
              <w:autoSpaceDN w:val="0"/>
              <w:bidi w:val="0"/>
              <w:adjustRightInd w:val="0"/>
              <w:spacing w:line="360" w:lineRule="auto"/>
              <w:rPr>
                <w:rFonts w:hint="eastAsia" w:ascii="宋体" w:hAnsi="宋体" w:eastAsia="宋体" w:cs="宋体"/>
                <w:color w:val="auto"/>
                <w:szCs w:val="21"/>
                <w:highlight w:val="none"/>
              </w:rPr>
            </w:pPr>
          </w:p>
        </w:tc>
        <w:tc>
          <w:tcPr>
            <w:tcW w:w="1256" w:type="dxa"/>
            <w:noWrap w:val="0"/>
            <w:vAlign w:val="top"/>
          </w:tcPr>
          <w:p w14:paraId="6427517B">
            <w:pPr>
              <w:pageBreakBefore w:val="0"/>
              <w:kinsoku/>
              <w:overflowPunct/>
              <w:autoSpaceDE w:val="0"/>
              <w:autoSpaceDN w:val="0"/>
              <w:bidi w:val="0"/>
              <w:adjustRightInd w:val="0"/>
              <w:spacing w:line="360" w:lineRule="auto"/>
              <w:rPr>
                <w:rFonts w:hint="eastAsia" w:ascii="宋体" w:hAnsi="宋体" w:eastAsia="宋体" w:cs="宋体"/>
                <w:color w:val="auto"/>
                <w:szCs w:val="21"/>
                <w:highlight w:val="none"/>
              </w:rPr>
            </w:pPr>
          </w:p>
        </w:tc>
        <w:tc>
          <w:tcPr>
            <w:tcW w:w="869" w:type="dxa"/>
            <w:noWrap w:val="0"/>
            <w:vAlign w:val="top"/>
          </w:tcPr>
          <w:p w14:paraId="3EF899BF">
            <w:pPr>
              <w:pageBreakBefore w:val="0"/>
              <w:kinsoku/>
              <w:overflowPunct/>
              <w:autoSpaceDE w:val="0"/>
              <w:autoSpaceDN w:val="0"/>
              <w:bidi w:val="0"/>
              <w:adjustRightInd w:val="0"/>
              <w:spacing w:line="360" w:lineRule="auto"/>
              <w:rPr>
                <w:rFonts w:hint="eastAsia" w:ascii="宋体" w:hAnsi="宋体" w:eastAsia="宋体" w:cs="宋体"/>
                <w:color w:val="auto"/>
                <w:szCs w:val="21"/>
                <w:highlight w:val="none"/>
              </w:rPr>
            </w:pPr>
          </w:p>
        </w:tc>
        <w:tc>
          <w:tcPr>
            <w:tcW w:w="870" w:type="dxa"/>
            <w:noWrap w:val="0"/>
            <w:vAlign w:val="top"/>
          </w:tcPr>
          <w:p w14:paraId="5FD0EDDB">
            <w:pPr>
              <w:pageBreakBefore w:val="0"/>
              <w:kinsoku/>
              <w:overflowPunct/>
              <w:autoSpaceDE w:val="0"/>
              <w:autoSpaceDN w:val="0"/>
              <w:bidi w:val="0"/>
              <w:adjustRightInd w:val="0"/>
              <w:spacing w:line="360" w:lineRule="auto"/>
              <w:rPr>
                <w:rFonts w:hint="eastAsia" w:ascii="宋体" w:hAnsi="宋体" w:eastAsia="宋体" w:cs="宋体"/>
                <w:color w:val="auto"/>
                <w:szCs w:val="21"/>
                <w:highlight w:val="none"/>
              </w:rPr>
            </w:pPr>
          </w:p>
        </w:tc>
        <w:tc>
          <w:tcPr>
            <w:tcW w:w="870" w:type="dxa"/>
            <w:noWrap w:val="0"/>
            <w:vAlign w:val="top"/>
          </w:tcPr>
          <w:p w14:paraId="4FE439C5">
            <w:pPr>
              <w:pageBreakBefore w:val="0"/>
              <w:kinsoku/>
              <w:overflowPunct/>
              <w:autoSpaceDE w:val="0"/>
              <w:autoSpaceDN w:val="0"/>
              <w:bidi w:val="0"/>
              <w:adjustRightInd w:val="0"/>
              <w:spacing w:line="360" w:lineRule="auto"/>
              <w:rPr>
                <w:rFonts w:hint="eastAsia" w:ascii="宋体" w:hAnsi="宋体" w:eastAsia="宋体" w:cs="宋体"/>
                <w:color w:val="auto"/>
                <w:szCs w:val="21"/>
                <w:highlight w:val="none"/>
              </w:rPr>
            </w:pPr>
          </w:p>
        </w:tc>
        <w:tc>
          <w:tcPr>
            <w:tcW w:w="870" w:type="dxa"/>
            <w:noWrap w:val="0"/>
            <w:vAlign w:val="top"/>
          </w:tcPr>
          <w:p w14:paraId="7D0C017F">
            <w:pPr>
              <w:pageBreakBefore w:val="0"/>
              <w:kinsoku/>
              <w:overflowPunct/>
              <w:autoSpaceDE w:val="0"/>
              <w:autoSpaceDN w:val="0"/>
              <w:bidi w:val="0"/>
              <w:adjustRightInd w:val="0"/>
              <w:spacing w:line="360" w:lineRule="auto"/>
              <w:rPr>
                <w:rFonts w:hint="eastAsia" w:ascii="宋体" w:hAnsi="宋体" w:eastAsia="宋体" w:cs="宋体"/>
                <w:color w:val="auto"/>
                <w:szCs w:val="21"/>
                <w:highlight w:val="none"/>
              </w:rPr>
            </w:pPr>
          </w:p>
        </w:tc>
        <w:tc>
          <w:tcPr>
            <w:tcW w:w="985" w:type="dxa"/>
            <w:noWrap w:val="0"/>
            <w:vAlign w:val="top"/>
          </w:tcPr>
          <w:p w14:paraId="2EF811FF">
            <w:pPr>
              <w:pageBreakBefore w:val="0"/>
              <w:kinsoku/>
              <w:overflowPunct/>
              <w:autoSpaceDE w:val="0"/>
              <w:autoSpaceDN w:val="0"/>
              <w:bidi w:val="0"/>
              <w:adjustRightInd w:val="0"/>
              <w:spacing w:line="360" w:lineRule="auto"/>
              <w:rPr>
                <w:rFonts w:hint="eastAsia" w:ascii="宋体" w:hAnsi="宋体" w:eastAsia="宋体" w:cs="宋体"/>
                <w:color w:val="auto"/>
                <w:szCs w:val="21"/>
                <w:highlight w:val="none"/>
              </w:rPr>
            </w:pPr>
          </w:p>
        </w:tc>
        <w:tc>
          <w:tcPr>
            <w:tcW w:w="960" w:type="dxa"/>
            <w:noWrap w:val="0"/>
            <w:vAlign w:val="center"/>
          </w:tcPr>
          <w:p w14:paraId="6DF80101">
            <w:pPr>
              <w:pageBreakBefore w:val="0"/>
              <w:kinsoku/>
              <w:overflowPunct/>
              <w:autoSpaceDE w:val="0"/>
              <w:autoSpaceDN w:val="0"/>
              <w:bidi w:val="0"/>
              <w:adjustRightInd w:val="0"/>
              <w:spacing w:line="360" w:lineRule="auto"/>
              <w:jc w:val="center"/>
              <w:rPr>
                <w:rFonts w:hint="eastAsia" w:ascii="宋体" w:hAnsi="宋体" w:eastAsia="宋体" w:cs="宋体"/>
                <w:color w:val="auto"/>
                <w:szCs w:val="21"/>
                <w:highlight w:val="none"/>
              </w:rPr>
            </w:pPr>
          </w:p>
        </w:tc>
        <w:tc>
          <w:tcPr>
            <w:tcW w:w="2803" w:type="dxa"/>
            <w:noWrap w:val="0"/>
            <w:vAlign w:val="top"/>
          </w:tcPr>
          <w:p w14:paraId="72660D01">
            <w:pPr>
              <w:pageBreakBefore w:val="0"/>
              <w:kinsoku/>
              <w:overflowPunct/>
              <w:autoSpaceDE w:val="0"/>
              <w:autoSpaceDN w:val="0"/>
              <w:bidi w:val="0"/>
              <w:adjustRightInd w:val="0"/>
              <w:spacing w:line="360" w:lineRule="auto"/>
              <w:rPr>
                <w:rFonts w:hint="eastAsia" w:ascii="宋体" w:hAnsi="宋体" w:eastAsia="宋体" w:cs="宋体"/>
                <w:color w:val="auto"/>
                <w:szCs w:val="21"/>
                <w:highlight w:val="none"/>
              </w:rPr>
            </w:pPr>
          </w:p>
        </w:tc>
        <w:tc>
          <w:tcPr>
            <w:tcW w:w="764" w:type="dxa"/>
            <w:noWrap w:val="0"/>
            <w:vAlign w:val="top"/>
          </w:tcPr>
          <w:p w14:paraId="2072DA16">
            <w:pPr>
              <w:pageBreakBefore w:val="0"/>
              <w:kinsoku/>
              <w:overflowPunct/>
              <w:autoSpaceDE w:val="0"/>
              <w:autoSpaceDN w:val="0"/>
              <w:bidi w:val="0"/>
              <w:adjustRightInd w:val="0"/>
              <w:spacing w:line="360" w:lineRule="auto"/>
              <w:rPr>
                <w:rFonts w:hint="eastAsia" w:ascii="宋体" w:hAnsi="宋体" w:eastAsia="宋体" w:cs="宋体"/>
                <w:color w:val="auto"/>
                <w:szCs w:val="21"/>
                <w:highlight w:val="none"/>
              </w:rPr>
            </w:pPr>
          </w:p>
        </w:tc>
      </w:tr>
      <w:tr w14:paraId="4C285A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jc w:val="center"/>
        </w:trPr>
        <w:tc>
          <w:tcPr>
            <w:tcW w:w="691" w:type="dxa"/>
            <w:noWrap w:val="0"/>
            <w:vAlign w:val="top"/>
          </w:tcPr>
          <w:p w14:paraId="4B198C5C">
            <w:pPr>
              <w:pageBreakBefore w:val="0"/>
              <w:kinsoku/>
              <w:overflowPunct/>
              <w:autoSpaceDE w:val="0"/>
              <w:autoSpaceDN w:val="0"/>
              <w:bidi w:val="0"/>
              <w:adjustRightInd w:val="0"/>
              <w:spacing w:line="360" w:lineRule="auto"/>
              <w:rPr>
                <w:rFonts w:hint="eastAsia" w:ascii="宋体" w:hAnsi="宋体" w:eastAsia="宋体" w:cs="宋体"/>
                <w:color w:val="auto"/>
                <w:szCs w:val="21"/>
                <w:highlight w:val="none"/>
              </w:rPr>
            </w:pPr>
          </w:p>
        </w:tc>
        <w:tc>
          <w:tcPr>
            <w:tcW w:w="1319" w:type="dxa"/>
            <w:noWrap w:val="0"/>
            <w:vAlign w:val="top"/>
          </w:tcPr>
          <w:p w14:paraId="7EA6CEAD">
            <w:pPr>
              <w:pageBreakBefore w:val="0"/>
              <w:kinsoku/>
              <w:overflowPunct/>
              <w:autoSpaceDE w:val="0"/>
              <w:autoSpaceDN w:val="0"/>
              <w:bidi w:val="0"/>
              <w:adjustRightInd w:val="0"/>
              <w:spacing w:line="360" w:lineRule="auto"/>
              <w:rPr>
                <w:rFonts w:hint="eastAsia" w:ascii="宋体" w:hAnsi="宋体" w:eastAsia="宋体" w:cs="宋体"/>
                <w:color w:val="auto"/>
                <w:szCs w:val="21"/>
                <w:highlight w:val="none"/>
              </w:rPr>
            </w:pPr>
          </w:p>
        </w:tc>
        <w:tc>
          <w:tcPr>
            <w:tcW w:w="932" w:type="dxa"/>
            <w:noWrap w:val="0"/>
            <w:vAlign w:val="top"/>
          </w:tcPr>
          <w:p w14:paraId="24EF9873">
            <w:pPr>
              <w:pageBreakBefore w:val="0"/>
              <w:kinsoku/>
              <w:overflowPunct/>
              <w:autoSpaceDE w:val="0"/>
              <w:autoSpaceDN w:val="0"/>
              <w:bidi w:val="0"/>
              <w:adjustRightInd w:val="0"/>
              <w:spacing w:line="360" w:lineRule="auto"/>
              <w:rPr>
                <w:rFonts w:hint="eastAsia" w:ascii="宋体" w:hAnsi="宋体" w:eastAsia="宋体" w:cs="宋体"/>
                <w:color w:val="auto"/>
                <w:szCs w:val="21"/>
                <w:highlight w:val="none"/>
              </w:rPr>
            </w:pPr>
          </w:p>
        </w:tc>
        <w:tc>
          <w:tcPr>
            <w:tcW w:w="1256" w:type="dxa"/>
            <w:noWrap w:val="0"/>
            <w:vAlign w:val="top"/>
          </w:tcPr>
          <w:p w14:paraId="3D888A58">
            <w:pPr>
              <w:pageBreakBefore w:val="0"/>
              <w:kinsoku/>
              <w:overflowPunct/>
              <w:autoSpaceDE w:val="0"/>
              <w:autoSpaceDN w:val="0"/>
              <w:bidi w:val="0"/>
              <w:adjustRightInd w:val="0"/>
              <w:spacing w:line="360" w:lineRule="auto"/>
              <w:rPr>
                <w:rFonts w:hint="eastAsia" w:ascii="宋体" w:hAnsi="宋体" w:eastAsia="宋体" w:cs="宋体"/>
                <w:color w:val="auto"/>
                <w:szCs w:val="21"/>
                <w:highlight w:val="none"/>
              </w:rPr>
            </w:pPr>
          </w:p>
        </w:tc>
        <w:tc>
          <w:tcPr>
            <w:tcW w:w="869" w:type="dxa"/>
            <w:noWrap w:val="0"/>
            <w:vAlign w:val="top"/>
          </w:tcPr>
          <w:p w14:paraId="41E3AFBE">
            <w:pPr>
              <w:pageBreakBefore w:val="0"/>
              <w:kinsoku/>
              <w:overflowPunct/>
              <w:autoSpaceDE w:val="0"/>
              <w:autoSpaceDN w:val="0"/>
              <w:bidi w:val="0"/>
              <w:adjustRightInd w:val="0"/>
              <w:spacing w:line="360" w:lineRule="auto"/>
              <w:rPr>
                <w:rFonts w:hint="eastAsia" w:ascii="宋体" w:hAnsi="宋体" w:eastAsia="宋体" w:cs="宋体"/>
                <w:color w:val="auto"/>
                <w:szCs w:val="21"/>
                <w:highlight w:val="none"/>
              </w:rPr>
            </w:pPr>
          </w:p>
        </w:tc>
        <w:tc>
          <w:tcPr>
            <w:tcW w:w="870" w:type="dxa"/>
            <w:noWrap w:val="0"/>
            <w:vAlign w:val="top"/>
          </w:tcPr>
          <w:p w14:paraId="27750308">
            <w:pPr>
              <w:pageBreakBefore w:val="0"/>
              <w:kinsoku/>
              <w:overflowPunct/>
              <w:autoSpaceDE w:val="0"/>
              <w:autoSpaceDN w:val="0"/>
              <w:bidi w:val="0"/>
              <w:adjustRightInd w:val="0"/>
              <w:spacing w:line="360" w:lineRule="auto"/>
              <w:rPr>
                <w:rFonts w:hint="eastAsia" w:ascii="宋体" w:hAnsi="宋体" w:eastAsia="宋体" w:cs="宋体"/>
                <w:color w:val="auto"/>
                <w:szCs w:val="21"/>
                <w:highlight w:val="none"/>
              </w:rPr>
            </w:pPr>
          </w:p>
        </w:tc>
        <w:tc>
          <w:tcPr>
            <w:tcW w:w="870" w:type="dxa"/>
            <w:noWrap w:val="0"/>
            <w:vAlign w:val="top"/>
          </w:tcPr>
          <w:p w14:paraId="62702D60">
            <w:pPr>
              <w:pageBreakBefore w:val="0"/>
              <w:kinsoku/>
              <w:overflowPunct/>
              <w:autoSpaceDE w:val="0"/>
              <w:autoSpaceDN w:val="0"/>
              <w:bidi w:val="0"/>
              <w:adjustRightInd w:val="0"/>
              <w:spacing w:line="360" w:lineRule="auto"/>
              <w:rPr>
                <w:rFonts w:hint="eastAsia" w:ascii="宋体" w:hAnsi="宋体" w:eastAsia="宋体" w:cs="宋体"/>
                <w:color w:val="auto"/>
                <w:szCs w:val="21"/>
                <w:highlight w:val="none"/>
              </w:rPr>
            </w:pPr>
          </w:p>
        </w:tc>
        <w:tc>
          <w:tcPr>
            <w:tcW w:w="870" w:type="dxa"/>
            <w:noWrap w:val="0"/>
            <w:vAlign w:val="top"/>
          </w:tcPr>
          <w:p w14:paraId="39DF63ED">
            <w:pPr>
              <w:pageBreakBefore w:val="0"/>
              <w:kinsoku/>
              <w:overflowPunct/>
              <w:autoSpaceDE w:val="0"/>
              <w:autoSpaceDN w:val="0"/>
              <w:bidi w:val="0"/>
              <w:adjustRightInd w:val="0"/>
              <w:spacing w:line="360" w:lineRule="auto"/>
              <w:rPr>
                <w:rFonts w:hint="eastAsia" w:ascii="宋体" w:hAnsi="宋体" w:eastAsia="宋体" w:cs="宋体"/>
                <w:color w:val="auto"/>
                <w:szCs w:val="21"/>
                <w:highlight w:val="none"/>
              </w:rPr>
            </w:pPr>
          </w:p>
        </w:tc>
        <w:tc>
          <w:tcPr>
            <w:tcW w:w="985" w:type="dxa"/>
            <w:noWrap w:val="0"/>
            <w:vAlign w:val="top"/>
          </w:tcPr>
          <w:p w14:paraId="3FB8615B">
            <w:pPr>
              <w:pageBreakBefore w:val="0"/>
              <w:kinsoku/>
              <w:overflowPunct/>
              <w:autoSpaceDE w:val="0"/>
              <w:autoSpaceDN w:val="0"/>
              <w:bidi w:val="0"/>
              <w:adjustRightInd w:val="0"/>
              <w:spacing w:line="360" w:lineRule="auto"/>
              <w:rPr>
                <w:rFonts w:hint="eastAsia" w:ascii="宋体" w:hAnsi="宋体" w:eastAsia="宋体" w:cs="宋体"/>
                <w:color w:val="auto"/>
                <w:szCs w:val="21"/>
                <w:highlight w:val="none"/>
              </w:rPr>
            </w:pPr>
          </w:p>
        </w:tc>
        <w:tc>
          <w:tcPr>
            <w:tcW w:w="960" w:type="dxa"/>
            <w:noWrap w:val="0"/>
            <w:vAlign w:val="top"/>
          </w:tcPr>
          <w:p w14:paraId="4E6F4069">
            <w:pPr>
              <w:pageBreakBefore w:val="0"/>
              <w:kinsoku/>
              <w:overflowPunct/>
              <w:autoSpaceDE w:val="0"/>
              <w:autoSpaceDN w:val="0"/>
              <w:bidi w:val="0"/>
              <w:adjustRightInd w:val="0"/>
              <w:spacing w:line="360" w:lineRule="auto"/>
              <w:rPr>
                <w:rFonts w:hint="eastAsia" w:ascii="宋体" w:hAnsi="宋体" w:eastAsia="宋体" w:cs="宋体"/>
                <w:color w:val="auto"/>
                <w:szCs w:val="21"/>
                <w:highlight w:val="none"/>
              </w:rPr>
            </w:pPr>
          </w:p>
        </w:tc>
        <w:tc>
          <w:tcPr>
            <w:tcW w:w="2803" w:type="dxa"/>
            <w:noWrap w:val="0"/>
            <w:vAlign w:val="top"/>
          </w:tcPr>
          <w:p w14:paraId="0057D05A">
            <w:pPr>
              <w:pageBreakBefore w:val="0"/>
              <w:kinsoku/>
              <w:overflowPunct/>
              <w:autoSpaceDE w:val="0"/>
              <w:autoSpaceDN w:val="0"/>
              <w:bidi w:val="0"/>
              <w:adjustRightInd w:val="0"/>
              <w:spacing w:line="360" w:lineRule="auto"/>
              <w:rPr>
                <w:rFonts w:hint="eastAsia" w:ascii="宋体" w:hAnsi="宋体" w:eastAsia="宋体" w:cs="宋体"/>
                <w:color w:val="auto"/>
                <w:szCs w:val="21"/>
                <w:highlight w:val="none"/>
              </w:rPr>
            </w:pPr>
          </w:p>
        </w:tc>
        <w:tc>
          <w:tcPr>
            <w:tcW w:w="764" w:type="dxa"/>
            <w:noWrap w:val="0"/>
            <w:vAlign w:val="top"/>
          </w:tcPr>
          <w:p w14:paraId="535B81AE">
            <w:pPr>
              <w:pageBreakBefore w:val="0"/>
              <w:kinsoku/>
              <w:overflowPunct/>
              <w:autoSpaceDE w:val="0"/>
              <w:autoSpaceDN w:val="0"/>
              <w:bidi w:val="0"/>
              <w:adjustRightInd w:val="0"/>
              <w:spacing w:line="360" w:lineRule="auto"/>
              <w:rPr>
                <w:rFonts w:hint="eastAsia" w:ascii="宋体" w:hAnsi="宋体" w:eastAsia="宋体" w:cs="宋体"/>
                <w:color w:val="auto"/>
                <w:szCs w:val="21"/>
                <w:highlight w:val="none"/>
              </w:rPr>
            </w:pPr>
          </w:p>
        </w:tc>
      </w:tr>
      <w:tr w14:paraId="599045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jc w:val="center"/>
        </w:trPr>
        <w:tc>
          <w:tcPr>
            <w:tcW w:w="691" w:type="dxa"/>
            <w:noWrap w:val="0"/>
            <w:vAlign w:val="top"/>
          </w:tcPr>
          <w:p w14:paraId="72A2F88A">
            <w:pPr>
              <w:pageBreakBefore w:val="0"/>
              <w:kinsoku/>
              <w:overflowPunct/>
              <w:autoSpaceDE w:val="0"/>
              <w:autoSpaceDN w:val="0"/>
              <w:bidi w:val="0"/>
              <w:adjustRightInd w:val="0"/>
              <w:spacing w:line="360" w:lineRule="auto"/>
              <w:rPr>
                <w:rFonts w:hint="eastAsia" w:ascii="宋体" w:hAnsi="宋体" w:eastAsia="宋体" w:cs="宋体"/>
                <w:color w:val="auto"/>
                <w:szCs w:val="21"/>
                <w:highlight w:val="none"/>
              </w:rPr>
            </w:pPr>
          </w:p>
        </w:tc>
        <w:tc>
          <w:tcPr>
            <w:tcW w:w="1319" w:type="dxa"/>
            <w:noWrap w:val="0"/>
            <w:vAlign w:val="top"/>
          </w:tcPr>
          <w:p w14:paraId="72C936A3">
            <w:pPr>
              <w:pageBreakBefore w:val="0"/>
              <w:kinsoku/>
              <w:overflowPunct/>
              <w:autoSpaceDE w:val="0"/>
              <w:autoSpaceDN w:val="0"/>
              <w:bidi w:val="0"/>
              <w:adjustRightInd w:val="0"/>
              <w:spacing w:line="360" w:lineRule="auto"/>
              <w:rPr>
                <w:rFonts w:hint="eastAsia" w:ascii="宋体" w:hAnsi="宋体" w:eastAsia="宋体" w:cs="宋体"/>
                <w:color w:val="auto"/>
                <w:szCs w:val="21"/>
                <w:highlight w:val="none"/>
              </w:rPr>
            </w:pPr>
          </w:p>
        </w:tc>
        <w:tc>
          <w:tcPr>
            <w:tcW w:w="932" w:type="dxa"/>
            <w:noWrap w:val="0"/>
            <w:vAlign w:val="top"/>
          </w:tcPr>
          <w:p w14:paraId="1C8A8DC5">
            <w:pPr>
              <w:pageBreakBefore w:val="0"/>
              <w:kinsoku/>
              <w:overflowPunct/>
              <w:autoSpaceDE w:val="0"/>
              <w:autoSpaceDN w:val="0"/>
              <w:bidi w:val="0"/>
              <w:adjustRightInd w:val="0"/>
              <w:spacing w:line="360" w:lineRule="auto"/>
              <w:rPr>
                <w:rFonts w:hint="eastAsia" w:ascii="宋体" w:hAnsi="宋体" w:eastAsia="宋体" w:cs="宋体"/>
                <w:color w:val="auto"/>
                <w:szCs w:val="21"/>
                <w:highlight w:val="none"/>
              </w:rPr>
            </w:pPr>
          </w:p>
        </w:tc>
        <w:tc>
          <w:tcPr>
            <w:tcW w:w="1256" w:type="dxa"/>
            <w:noWrap w:val="0"/>
            <w:vAlign w:val="top"/>
          </w:tcPr>
          <w:p w14:paraId="6B9FBA15">
            <w:pPr>
              <w:pageBreakBefore w:val="0"/>
              <w:kinsoku/>
              <w:overflowPunct/>
              <w:autoSpaceDE w:val="0"/>
              <w:autoSpaceDN w:val="0"/>
              <w:bidi w:val="0"/>
              <w:adjustRightInd w:val="0"/>
              <w:spacing w:line="360" w:lineRule="auto"/>
              <w:rPr>
                <w:rFonts w:hint="eastAsia" w:ascii="宋体" w:hAnsi="宋体" w:eastAsia="宋体" w:cs="宋体"/>
                <w:color w:val="auto"/>
                <w:szCs w:val="21"/>
                <w:highlight w:val="none"/>
              </w:rPr>
            </w:pPr>
          </w:p>
        </w:tc>
        <w:tc>
          <w:tcPr>
            <w:tcW w:w="869" w:type="dxa"/>
            <w:noWrap w:val="0"/>
            <w:vAlign w:val="top"/>
          </w:tcPr>
          <w:p w14:paraId="5B7B8452">
            <w:pPr>
              <w:pageBreakBefore w:val="0"/>
              <w:kinsoku/>
              <w:overflowPunct/>
              <w:autoSpaceDE w:val="0"/>
              <w:autoSpaceDN w:val="0"/>
              <w:bidi w:val="0"/>
              <w:adjustRightInd w:val="0"/>
              <w:spacing w:line="360" w:lineRule="auto"/>
              <w:rPr>
                <w:rFonts w:hint="eastAsia" w:ascii="宋体" w:hAnsi="宋体" w:eastAsia="宋体" w:cs="宋体"/>
                <w:color w:val="auto"/>
                <w:szCs w:val="21"/>
                <w:highlight w:val="none"/>
              </w:rPr>
            </w:pPr>
          </w:p>
        </w:tc>
        <w:tc>
          <w:tcPr>
            <w:tcW w:w="870" w:type="dxa"/>
            <w:noWrap w:val="0"/>
            <w:vAlign w:val="top"/>
          </w:tcPr>
          <w:p w14:paraId="03459740">
            <w:pPr>
              <w:pageBreakBefore w:val="0"/>
              <w:kinsoku/>
              <w:overflowPunct/>
              <w:autoSpaceDE w:val="0"/>
              <w:autoSpaceDN w:val="0"/>
              <w:bidi w:val="0"/>
              <w:adjustRightInd w:val="0"/>
              <w:spacing w:line="360" w:lineRule="auto"/>
              <w:rPr>
                <w:rFonts w:hint="eastAsia" w:ascii="宋体" w:hAnsi="宋体" w:eastAsia="宋体" w:cs="宋体"/>
                <w:color w:val="auto"/>
                <w:szCs w:val="21"/>
                <w:highlight w:val="none"/>
              </w:rPr>
            </w:pPr>
          </w:p>
        </w:tc>
        <w:tc>
          <w:tcPr>
            <w:tcW w:w="870" w:type="dxa"/>
            <w:noWrap w:val="0"/>
            <w:vAlign w:val="top"/>
          </w:tcPr>
          <w:p w14:paraId="528E2A83">
            <w:pPr>
              <w:pageBreakBefore w:val="0"/>
              <w:kinsoku/>
              <w:overflowPunct/>
              <w:autoSpaceDE w:val="0"/>
              <w:autoSpaceDN w:val="0"/>
              <w:bidi w:val="0"/>
              <w:adjustRightInd w:val="0"/>
              <w:spacing w:line="360" w:lineRule="auto"/>
              <w:rPr>
                <w:rFonts w:hint="eastAsia" w:ascii="宋体" w:hAnsi="宋体" w:eastAsia="宋体" w:cs="宋体"/>
                <w:color w:val="auto"/>
                <w:szCs w:val="21"/>
                <w:highlight w:val="none"/>
              </w:rPr>
            </w:pPr>
          </w:p>
        </w:tc>
        <w:tc>
          <w:tcPr>
            <w:tcW w:w="870" w:type="dxa"/>
            <w:noWrap w:val="0"/>
            <w:vAlign w:val="top"/>
          </w:tcPr>
          <w:p w14:paraId="63979590">
            <w:pPr>
              <w:pageBreakBefore w:val="0"/>
              <w:kinsoku/>
              <w:overflowPunct/>
              <w:autoSpaceDE w:val="0"/>
              <w:autoSpaceDN w:val="0"/>
              <w:bidi w:val="0"/>
              <w:adjustRightInd w:val="0"/>
              <w:spacing w:line="360" w:lineRule="auto"/>
              <w:rPr>
                <w:rFonts w:hint="eastAsia" w:ascii="宋体" w:hAnsi="宋体" w:eastAsia="宋体" w:cs="宋体"/>
                <w:color w:val="auto"/>
                <w:szCs w:val="21"/>
                <w:highlight w:val="none"/>
              </w:rPr>
            </w:pPr>
          </w:p>
        </w:tc>
        <w:tc>
          <w:tcPr>
            <w:tcW w:w="985" w:type="dxa"/>
            <w:noWrap w:val="0"/>
            <w:vAlign w:val="top"/>
          </w:tcPr>
          <w:p w14:paraId="7D953170">
            <w:pPr>
              <w:pageBreakBefore w:val="0"/>
              <w:kinsoku/>
              <w:overflowPunct/>
              <w:autoSpaceDE w:val="0"/>
              <w:autoSpaceDN w:val="0"/>
              <w:bidi w:val="0"/>
              <w:adjustRightInd w:val="0"/>
              <w:spacing w:line="360" w:lineRule="auto"/>
              <w:rPr>
                <w:rFonts w:hint="eastAsia" w:ascii="宋体" w:hAnsi="宋体" w:eastAsia="宋体" w:cs="宋体"/>
                <w:color w:val="auto"/>
                <w:szCs w:val="21"/>
                <w:highlight w:val="none"/>
              </w:rPr>
            </w:pPr>
          </w:p>
        </w:tc>
        <w:tc>
          <w:tcPr>
            <w:tcW w:w="960" w:type="dxa"/>
            <w:noWrap w:val="0"/>
            <w:vAlign w:val="top"/>
          </w:tcPr>
          <w:p w14:paraId="0F21F020">
            <w:pPr>
              <w:pageBreakBefore w:val="0"/>
              <w:kinsoku/>
              <w:overflowPunct/>
              <w:autoSpaceDE w:val="0"/>
              <w:autoSpaceDN w:val="0"/>
              <w:bidi w:val="0"/>
              <w:adjustRightInd w:val="0"/>
              <w:spacing w:line="360" w:lineRule="auto"/>
              <w:rPr>
                <w:rFonts w:hint="eastAsia" w:ascii="宋体" w:hAnsi="宋体" w:eastAsia="宋体" w:cs="宋体"/>
                <w:color w:val="auto"/>
                <w:szCs w:val="21"/>
                <w:highlight w:val="none"/>
              </w:rPr>
            </w:pPr>
          </w:p>
        </w:tc>
        <w:tc>
          <w:tcPr>
            <w:tcW w:w="2803" w:type="dxa"/>
            <w:noWrap w:val="0"/>
            <w:vAlign w:val="top"/>
          </w:tcPr>
          <w:p w14:paraId="351E66E4">
            <w:pPr>
              <w:pageBreakBefore w:val="0"/>
              <w:kinsoku/>
              <w:overflowPunct/>
              <w:autoSpaceDE w:val="0"/>
              <w:autoSpaceDN w:val="0"/>
              <w:bidi w:val="0"/>
              <w:adjustRightInd w:val="0"/>
              <w:spacing w:line="360" w:lineRule="auto"/>
              <w:rPr>
                <w:rFonts w:hint="eastAsia" w:ascii="宋体" w:hAnsi="宋体" w:eastAsia="宋体" w:cs="宋体"/>
                <w:color w:val="auto"/>
                <w:szCs w:val="21"/>
                <w:highlight w:val="none"/>
              </w:rPr>
            </w:pPr>
          </w:p>
        </w:tc>
        <w:tc>
          <w:tcPr>
            <w:tcW w:w="764" w:type="dxa"/>
            <w:noWrap w:val="0"/>
            <w:vAlign w:val="top"/>
          </w:tcPr>
          <w:p w14:paraId="7EDDDC18">
            <w:pPr>
              <w:pageBreakBefore w:val="0"/>
              <w:kinsoku/>
              <w:overflowPunct/>
              <w:autoSpaceDE w:val="0"/>
              <w:autoSpaceDN w:val="0"/>
              <w:bidi w:val="0"/>
              <w:adjustRightInd w:val="0"/>
              <w:spacing w:line="360" w:lineRule="auto"/>
              <w:rPr>
                <w:rFonts w:hint="eastAsia" w:ascii="宋体" w:hAnsi="宋体" w:eastAsia="宋体" w:cs="宋体"/>
                <w:color w:val="auto"/>
                <w:szCs w:val="21"/>
                <w:highlight w:val="none"/>
              </w:rPr>
            </w:pPr>
          </w:p>
        </w:tc>
      </w:tr>
      <w:tr w14:paraId="3FA95B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jc w:val="center"/>
        </w:trPr>
        <w:tc>
          <w:tcPr>
            <w:tcW w:w="691" w:type="dxa"/>
            <w:noWrap w:val="0"/>
            <w:vAlign w:val="top"/>
          </w:tcPr>
          <w:p w14:paraId="7CCCB198">
            <w:pPr>
              <w:pageBreakBefore w:val="0"/>
              <w:kinsoku/>
              <w:overflowPunct/>
              <w:autoSpaceDE w:val="0"/>
              <w:autoSpaceDN w:val="0"/>
              <w:bidi w:val="0"/>
              <w:adjustRightInd w:val="0"/>
              <w:spacing w:line="360" w:lineRule="auto"/>
              <w:rPr>
                <w:rFonts w:hint="eastAsia" w:ascii="宋体" w:hAnsi="宋体" w:eastAsia="宋体" w:cs="宋体"/>
                <w:color w:val="auto"/>
                <w:szCs w:val="21"/>
                <w:highlight w:val="none"/>
              </w:rPr>
            </w:pPr>
          </w:p>
        </w:tc>
        <w:tc>
          <w:tcPr>
            <w:tcW w:w="1319" w:type="dxa"/>
            <w:noWrap w:val="0"/>
            <w:vAlign w:val="top"/>
          </w:tcPr>
          <w:p w14:paraId="420C11FD">
            <w:pPr>
              <w:pageBreakBefore w:val="0"/>
              <w:kinsoku/>
              <w:overflowPunct/>
              <w:autoSpaceDE w:val="0"/>
              <w:autoSpaceDN w:val="0"/>
              <w:bidi w:val="0"/>
              <w:adjustRightInd w:val="0"/>
              <w:spacing w:line="360" w:lineRule="auto"/>
              <w:rPr>
                <w:rFonts w:hint="eastAsia" w:ascii="宋体" w:hAnsi="宋体" w:eastAsia="宋体" w:cs="宋体"/>
                <w:color w:val="auto"/>
                <w:szCs w:val="21"/>
                <w:highlight w:val="none"/>
              </w:rPr>
            </w:pPr>
          </w:p>
        </w:tc>
        <w:tc>
          <w:tcPr>
            <w:tcW w:w="932" w:type="dxa"/>
            <w:noWrap w:val="0"/>
            <w:vAlign w:val="top"/>
          </w:tcPr>
          <w:p w14:paraId="656FDAF8">
            <w:pPr>
              <w:pageBreakBefore w:val="0"/>
              <w:kinsoku/>
              <w:overflowPunct/>
              <w:autoSpaceDE w:val="0"/>
              <w:autoSpaceDN w:val="0"/>
              <w:bidi w:val="0"/>
              <w:adjustRightInd w:val="0"/>
              <w:spacing w:line="360" w:lineRule="auto"/>
              <w:rPr>
                <w:rFonts w:hint="eastAsia" w:ascii="宋体" w:hAnsi="宋体" w:eastAsia="宋体" w:cs="宋体"/>
                <w:color w:val="auto"/>
                <w:szCs w:val="21"/>
                <w:highlight w:val="none"/>
              </w:rPr>
            </w:pPr>
          </w:p>
        </w:tc>
        <w:tc>
          <w:tcPr>
            <w:tcW w:w="1256" w:type="dxa"/>
            <w:noWrap w:val="0"/>
            <w:vAlign w:val="top"/>
          </w:tcPr>
          <w:p w14:paraId="6A27246B">
            <w:pPr>
              <w:pageBreakBefore w:val="0"/>
              <w:kinsoku/>
              <w:overflowPunct/>
              <w:autoSpaceDE w:val="0"/>
              <w:autoSpaceDN w:val="0"/>
              <w:bidi w:val="0"/>
              <w:adjustRightInd w:val="0"/>
              <w:spacing w:line="360" w:lineRule="auto"/>
              <w:rPr>
                <w:rFonts w:hint="eastAsia" w:ascii="宋体" w:hAnsi="宋体" w:eastAsia="宋体" w:cs="宋体"/>
                <w:color w:val="auto"/>
                <w:szCs w:val="21"/>
                <w:highlight w:val="none"/>
              </w:rPr>
            </w:pPr>
          </w:p>
        </w:tc>
        <w:tc>
          <w:tcPr>
            <w:tcW w:w="869" w:type="dxa"/>
            <w:noWrap w:val="0"/>
            <w:vAlign w:val="top"/>
          </w:tcPr>
          <w:p w14:paraId="4848C44F">
            <w:pPr>
              <w:pageBreakBefore w:val="0"/>
              <w:kinsoku/>
              <w:overflowPunct/>
              <w:autoSpaceDE w:val="0"/>
              <w:autoSpaceDN w:val="0"/>
              <w:bidi w:val="0"/>
              <w:adjustRightInd w:val="0"/>
              <w:spacing w:line="360" w:lineRule="auto"/>
              <w:rPr>
                <w:rFonts w:hint="eastAsia" w:ascii="宋体" w:hAnsi="宋体" w:eastAsia="宋体" w:cs="宋体"/>
                <w:color w:val="auto"/>
                <w:szCs w:val="21"/>
                <w:highlight w:val="none"/>
              </w:rPr>
            </w:pPr>
          </w:p>
        </w:tc>
        <w:tc>
          <w:tcPr>
            <w:tcW w:w="870" w:type="dxa"/>
            <w:noWrap w:val="0"/>
            <w:vAlign w:val="top"/>
          </w:tcPr>
          <w:p w14:paraId="4DCFEA3B">
            <w:pPr>
              <w:pageBreakBefore w:val="0"/>
              <w:kinsoku/>
              <w:overflowPunct/>
              <w:autoSpaceDE w:val="0"/>
              <w:autoSpaceDN w:val="0"/>
              <w:bidi w:val="0"/>
              <w:adjustRightInd w:val="0"/>
              <w:spacing w:line="360" w:lineRule="auto"/>
              <w:rPr>
                <w:rFonts w:hint="eastAsia" w:ascii="宋体" w:hAnsi="宋体" w:eastAsia="宋体" w:cs="宋体"/>
                <w:color w:val="auto"/>
                <w:szCs w:val="21"/>
                <w:highlight w:val="none"/>
              </w:rPr>
            </w:pPr>
          </w:p>
        </w:tc>
        <w:tc>
          <w:tcPr>
            <w:tcW w:w="870" w:type="dxa"/>
            <w:noWrap w:val="0"/>
            <w:vAlign w:val="top"/>
          </w:tcPr>
          <w:p w14:paraId="52F82110">
            <w:pPr>
              <w:pageBreakBefore w:val="0"/>
              <w:kinsoku/>
              <w:overflowPunct/>
              <w:autoSpaceDE w:val="0"/>
              <w:autoSpaceDN w:val="0"/>
              <w:bidi w:val="0"/>
              <w:adjustRightInd w:val="0"/>
              <w:spacing w:line="360" w:lineRule="auto"/>
              <w:rPr>
                <w:rFonts w:hint="eastAsia" w:ascii="宋体" w:hAnsi="宋体" w:eastAsia="宋体" w:cs="宋体"/>
                <w:color w:val="auto"/>
                <w:szCs w:val="21"/>
                <w:highlight w:val="none"/>
              </w:rPr>
            </w:pPr>
          </w:p>
        </w:tc>
        <w:tc>
          <w:tcPr>
            <w:tcW w:w="870" w:type="dxa"/>
            <w:noWrap w:val="0"/>
            <w:vAlign w:val="top"/>
          </w:tcPr>
          <w:p w14:paraId="34AD7B3C">
            <w:pPr>
              <w:pageBreakBefore w:val="0"/>
              <w:kinsoku/>
              <w:overflowPunct/>
              <w:autoSpaceDE w:val="0"/>
              <w:autoSpaceDN w:val="0"/>
              <w:bidi w:val="0"/>
              <w:adjustRightInd w:val="0"/>
              <w:spacing w:line="360" w:lineRule="auto"/>
              <w:rPr>
                <w:rFonts w:hint="eastAsia" w:ascii="宋体" w:hAnsi="宋体" w:eastAsia="宋体" w:cs="宋体"/>
                <w:color w:val="auto"/>
                <w:szCs w:val="21"/>
                <w:highlight w:val="none"/>
              </w:rPr>
            </w:pPr>
          </w:p>
        </w:tc>
        <w:tc>
          <w:tcPr>
            <w:tcW w:w="985" w:type="dxa"/>
            <w:noWrap w:val="0"/>
            <w:vAlign w:val="top"/>
          </w:tcPr>
          <w:p w14:paraId="0A94A941">
            <w:pPr>
              <w:pageBreakBefore w:val="0"/>
              <w:kinsoku/>
              <w:overflowPunct/>
              <w:autoSpaceDE w:val="0"/>
              <w:autoSpaceDN w:val="0"/>
              <w:bidi w:val="0"/>
              <w:adjustRightInd w:val="0"/>
              <w:spacing w:line="360" w:lineRule="auto"/>
              <w:rPr>
                <w:rFonts w:hint="eastAsia" w:ascii="宋体" w:hAnsi="宋体" w:eastAsia="宋体" w:cs="宋体"/>
                <w:color w:val="auto"/>
                <w:szCs w:val="21"/>
                <w:highlight w:val="none"/>
              </w:rPr>
            </w:pPr>
          </w:p>
        </w:tc>
        <w:tc>
          <w:tcPr>
            <w:tcW w:w="960" w:type="dxa"/>
            <w:noWrap w:val="0"/>
            <w:vAlign w:val="top"/>
          </w:tcPr>
          <w:p w14:paraId="4372631C">
            <w:pPr>
              <w:pageBreakBefore w:val="0"/>
              <w:kinsoku/>
              <w:overflowPunct/>
              <w:autoSpaceDE w:val="0"/>
              <w:autoSpaceDN w:val="0"/>
              <w:bidi w:val="0"/>
              <w:adjustRightInd w:val="0"/>
              <w:spacing w:line="360" w:lineRule="auto"/>
              <w:rPr>
                <w:rFonts w:hint="eastAsia" w:ascii="宋体" w:hAnsi="宋体" w:eastAsia="宋体" w:cs="宋体"/>
                <w:color w:val="auto"/>
                <w:szCs w:val="21"/>
                <w:highlight w:val="none"/>
              </w:rPr>
            </w:pPr>
          </w:p>
        </w:tc>
        <w:tc>
          <w:tcPr>
            <w:tcW w:w="2803" w:type="dxa"/>
            <w:noWrap w:val="0"/>
            <w:vAlign w:val="top"/>
          </w:tcPr>
          <w:p w14:paraId="2E1489F3">
            <w:pPr>
              <w:pageBreakBefore w:val="0"/>
              <w:kinsoku/>
              <w:overflowPunct/>
              <w:autoSpaceDE w:val="0"/>
              <w:autoSpaceDN w:val="0"/>
              <w:bidi w:val="0"/>
              <w:adjustRightInd w:val="0"/>
              <w:spacing w:line="360" w:lineRule="auto"/>
              <w:rPr>
                <w:rFonts w:hint="eastAsia" w:ascii="宋体" w:hAnsi="宋体" w:eastAsia="宋体" w:cs="宋体"/>
                <w:color w:val="auto"/>
                <w:szCs w:val="21"/>
                <w:highlight w:val="none"/>
              </w:rPr>
            </w:pPr>
          </w:p>
        </w:tc>
        <w:tc>
          <w:tcPr>
            <w:tcW w:w="764" w:type="dxa"/>
            <w:noWrap w:val="0"/>
            <w:vAlign w:val="top"/>
          </w:tcPr>
          <w:p w14:paraId="61A8683E">
            <w:pPr>
              <w:pageBreakBefore w:val="0"/>
              <w:kinsoku/>
              <w:overflowPunct/>
              <w:autoSpaceDE w:val="0"/>
              <w:autoSpaceDN w:val="0"/>
              <w:bidi w:val="0"/>
              <w:adjustRightInd w:val="0"/>
              <w:spacing w:line="360" w:lineRule="auto"/>
              <w:rPr>
                <w:rFonts w:hint="eastAsia" w:ascii="宋体" w:hAnsi="宋体" w:eastAsia="宋体" w:cs="宋体"/>
                <w:color w:val="auto"/>
                <w:szCs w:val="21"/>
                <w:highlight w:val="none"/>
              </w:rPr>
            </w:pPr>
          </w:p>
        </w:tc>
      </w:tr>
    </w:tbl>
    <w:p w14:paraId="404DF631">
      <w:pPr>
        <w:pageBreakBefore w:val="0"/>
        <w:kinsoku/>
        <w:overflowPunct/>
        <w:autoSpaceDE w:val="0"/>
        <w:autoSpaceDN w:val="0"/>
        <w:bidi w:val="0"/>
        <w:adjustRightInd w:val="0"/>
        <w:spacing w:line="360" w:lineRule="auto"/>
        <w:rPr>
          <w:rFonts w:hint="eastAsia" w:ascii="宋体" w:hAnsi="宋体" w:eastAsia="宋体" w:cs="宋体"/>
          <w:color w:val="auto"/>
          <w:szCs w:val="21"/>
          <w:highlight w:val="none"/>
        </w:rPr>
      </w:pPr>
      <w:r>
        <w:rPr>
          <w:rFonts w:hint="eastAsia" w:ascii="宋体" w:hAnsi="宋体" w:eastAsia="宋体" w:cs="宋体"/>
          <w:color w:val="auto"/>
          <w:highlight w:val="none"/>
          <w:lang w:val="en-US" w:eastAsia="zh-CN"/>
        </w:rPr>
        <w:t xml:space="preserve">     </w:t>
      </w:r>
      <w:r>
        <w:rPr>
          <w:rFonts w:hint="eastAsia" w:ascii="宋体" w:hAnsi="宋体" w:eastAsia="宋体" w:cs="宋体"/>
          <w:color w:val="auto"/>
          <w:szCs w:val="21"/>
          <w:highlight w:val="none"/>
        </w:rPr>
        <w:t>说明：</w:t>
      </w:r>
      <w:r>
        <w:rPr>
          <w:rFonts w:hint="eastAsia" w:ascii="宋体" w:hAnsi="宋体" w:eastAsia="宋体" w:cs="宋体"/>
          <w:color w:val="auto"/>
          <w:szCs w:val="21"/>
          <w:highlight w:val="none"/>
          <w:lang w:val="en-US" w:eastAsia="zh-CN"/>
        </w:rPr>
        <w:t xml:space="preserve">1. </w:t>
      </w:r>
      <w:r>
        <w:rPr>
          <w:rFonts w:hint="eastAsia" w:ascii="宋体" w:hAnsi="宋体" w:eastAsia="宋体" w:cs="宋体"/>
          <w:color w:val="auto"/>
          <w:szCs w:val="21"/>
          <w:highlight w:val="none"/>
        </w:rPr>
        <w:t>货物分项必须与</w:t>
      </w:r>
      <w:r>
        <w:rPr>
          <w:rFonts w:hint="eastAsia" w:ascii="宋体" w:hAnsi="宋体" w:eastAsia="宋体" w:cs="宋体"/>
          <w:color w:val="auto"/>
          <w:szCs w:val="21"/>
          <w:highlight w:val="none"/>
          <w:lang w:eastAsia="zh-CN"/>
        </w:rPr>
        <w:t>采购</w:t>
      </w:r>
      <w:r>
        <w:rPr>
          <w:rFonts w:hint="eastAsia" w:ascii="宋体" w:hAnsi="宋体" w:eastAsia="宋体" w:cs="宋体"/>
          <w:color w:val="auto"/>
          <w:szCs w:val="21"/>
          <w:highlight w:val="none"/>
        </w:rPr>
        <w:t>需求表中货物分项一致。</w:t>
      </w:r>
    </w:p>
    <w:p w14:paraId="70E96390">
      <w:pPr>
        <w:pageBreakBefore w:val="0"/>
        <w:kinsoku/>
        <w:overflowPunct/>
        <w:autoSpaceDE w:val="0"/>
        <w:autoSpaceDN w:val="0"/>
        <w:bidi w:val="0"/>
        <w:adjustRightInd w:val="0"/>
        <w:spacing w:line="360" w:lineRule="auto"/>
        <w:rPr>
          <w:rFonts w:hint="eastAsia" w:ascii="宋体" w:hAnsi="宋体" w:eastAsia="宋体" w:cs="宋体"/>
          <w:color w:val="auto"/>
          <w:highlight w:val="none"/>
        </w:rPr>
      </w:pPr>
    </w:p>
    <w:p w14:paraId="36FF56FB">
      <w:pPr>
        <w:autoSpaceDE w:val="0"/>
        <w:autoSpaceDN w:val="0"/>
        <w:adjustRightInd w:val="0"/>
        <w:spacing w:line="360" w:lineRule="auto"/>
        <w:ind w:firstLine="840" w:firstLineChars="400"/>
        <w:rPr>
          <w:rFonts w:hint="eastAsia" w:ascii="宋体" w:hAnsi="宋体" w:eastAsia="宋体" w:cs="宋体"/>
          <w:color w:val="auto"/>
          <w:szCs w:val="21"/>
          <w:highlight w:val="none"/>
        </w:rPr>
      </w:pPr>
      <w:r>
        <w:rPr>
          <w:rFonts w:hint="eastAsia" w:ascii="宋体" w:hAnsi="宋体" w:eastAsia="宋体" w:cs="宋体"/>
          <w:color w:val="auto"/>
          <w:highlight w:val="none"/>
          <w:lang w:val="en-US" w:eastAsia="zh-CN"/>
        </w:rPr>
        <w:t xml:space="preserve">                                                                                                </w:t>
      </w:r>
    </w:p>
    <w:p w14:paraId="7787D43F">
      <w:pPr>
        <w:spacing w:line="360" w:lineRule="auto"/>
        <w:jc w:val="right"/>
        <w:rPr>
          <w:rFonts w:hint="eastAsia" w:ascii="宋体" w:hAnsi="宋体" w:eastAsia="宋体" w:cs="宋体"/>
          <w:bCs/>
          <w:color w:val="auto"/>
          <w:szCs w:val="21"/>
          <w:highlight w:val="none"/>
        </w:rPr>
      </w:pPr>
      <w:r>
        <w:rPr>
          <w:rFonts w:hint="eastAsia" w:ascii="宋体" w:hAnsi="宋体" w:eastAsia="宋体" w:cs="宋体"/>
          <w:color w:val="auto"/>
          <w:kern w:val="0"/>
          <w:szCs w:val="21"/>
          <w:highlight w:val="none"/>
        </w:rPr>
        <w:t>投 标 人</w:t>
      </w:r>
      <w:r>
        <w:rPr>
          <w:rFonts w:hint="eastAsia" w:ascii="宋体" w:hAnsi="宋体" w:eastAsia="宋体" w:cs="宋体"/>
          <w:bCs/>
          <w:color w:val="auto"/>
          <w:szCs w:val="21"/>
          <w:highlight w:val="none"/>
        </w:rPr>
        <w:t>：</w:t>
      </w:r>
      <w:r>
        <w:rPr>
          <w:rFonts w:hint="eastAsia" w:ascii="宋体" w:hAnsi="宋体" w:eastAsia="宋体" w:cs="宋体"/>
          <w:bCs/>
          <w:color w:val="auto"/>
          <w:szCs w:val="21"/>
          <w:highlight w:val="none"/>
          <w:u w:val="single"/>
        </w:rPr>
        <w:t xml:space="preserve">                      </w:t>
      </w:r>
      <w:r>
        <w:rPr>
          <w:rFonts w:hint="eastAsia" w:ascii="宋体" w:hAnsi="宋体" w:eastAsia="宋体" w:cs="宋体"/>
          <w:bCs/>
          <w:color w:val="auto"/>
          <w:szCs w:val="21"/>
          <w:highlight w:val="none"/>
        </w:rPr>
        <w:t>（盖章）</w:t>
      </w:r>
    </w:p>
    <w:p w14:paraId="1D74028B">
      <w:pPr>
        <w:spacing w:line="360" w:lineRule="auto"/>
        <w:jc w:val="right"/>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法定代表人或其委托代理人：</w:t>
      </w:r>
      <w:r>
        <w:rPr>
          <w:rFonts w:hint="eastAsia" w:ascii="宋体" w:hAnsi="宋体" w:eastAsia="宋体" w:cs="宋体"/>
          <w:bCs/>
          <w:color w:val="auto"/>
          <w:szCs w:val="21"/>
          <w:highlight w:val="none"/>
          <w:u w:val="single"/>
        </w:rPr>
        <w:t xml:space="preserve">        </w:t>
      </w:r>
      <w:r>
        <w:rPr>
          <w:rFonts w:hint="eastAsia" w:ascii="宋体" w:hAnsi="宋体" w:eastAsia="宋体" w:cs="宋体"/>
          <w:bCs/>
          <w:color w:val="auto"/>
          <w:szCs w:val="21"/>
          <w:highlight w:val="none"/>
        </w:rPr>
        <w:t>（</w:t>
      </w:r>
      <w:r>
        <w:rPr>
          <w:rFonts w:hint="eastAsia" w:ascii="宋体" w:hAnsi="宋体" w:eastAsia="宋体" w:cs="宋体"/>
          <w:color w:val="auto"/>
          <w:szCs w:val="21"/>
          <w:highlight w:val="none"/>
        </w:rPr>
        <w:t>签字或盖章</w:t>
      </w:r>
      <w:r>
        <w:rPr>
          <w:rFonts w:hint="eastAsia" w:ascii="宋体" w:hAnsi="宋体" w:eastAsia="宋体" w:cs="宋体"/>
          <w:bCs/>
          <w:color w:val="auto"/>
          <w:szCs w:val="21"/>
          <w:highlight w:val="none"/>
        </w:rPr>
        <w:t>）</w:t>
      </w:r>
    </w:p>
    <w:p w14:paraId="26A2A622">
      <w:pPr>
        <w:tabs>
          <w:tab w:val="left" w:pos="5380"/>
          <w:tab w:val="left" w:pos="6520"/>
          <w:tab w:val="left" w:pos="7680"/>
        </w:tabs>
        <w:autoSpaceDE w:val="0"/>
        <w:autoSpaceDN w:val="0"/>
        <w:adjustRightInd w:val="0"/>
        <w:spacing w:line="360" w:lineRule="auto"/>
        <w:ind w:right="-23" w:firstLine="6300" w:firstLineChars="3000"/>
        <w:jc w:val="right"/>
        <w:rPr>
          <w:rFonts w:hint="eastAsia" w:ascii="宋体" w:hAnsi="宋体" w:eastAsia="宋体" w:cs="宋体"/>
          <w:bCs/>
          <w:color w:val="auto"/>
          <w:kern w:val="0"/>
          <w:szCs w:val="21"/>
          <w:highlight w:val="none"/>
        </w:rPr>
      </w:pPr>
      <w:r>
        <w:rPr>
          <w:rFonts w:hint="eastAsia" w:ascii="宋体" w:hAnsi="宋体" w:eastAsia="宋体" w:cs="宋体"/>
          <w:bCs/>
          <w:color w:val="auto"/>
          <w:kern w:val="0"/>
          <w:szCs w:val="21"/>
          <w:highlight w:val="none"/>
          <w:u w:val="single"/>
          <w:lang w:val="en-US" w:eastAsia="zh-CN"/>
        </w:rPr>
        <w:t xml:space="preserve">       </w:t>
      </w:r>
      <w:r>
        <w:rPr>
          <w:rFonts w:hint="eastAsia" w:ascii="宋体" w:hAnsi="宋体" w:eastAsia="宋体" w:cs="宋体"/>
          <w:bCs/>
          <w:color w:val="auto"/>
          <w:kern w:val="0"/>
          <w:szCs w:val="21"/>
          <w:highlight w:val="none"/>
        </w:rPr>
        <w:t>年</w:t>
      </w:r>
      <w:r>
        <w:rPr>
          <w:rFonts w:hint="eastAsia" w:ascii="宋体" w:hAnsi="宋体" w:eastAsia="宋体" w:cs="宋体"/>
          <w:bCs/>
          <w:color w:val="auto"/>
          <w:kern w:val="0"/>
          <w:szCs w:val="21"/>
          <w:highlight w:val="none"/>
          <w:u w:val="single"/>
        </w:rPr>
        <w:t xml:space="preserve">       </w:t>
      </w:r>
      <w:r>
        <w:rPr>
          <w:rFonts w:hint="eastAsia" w:ascii="宋体" w:hAnsi="宋体" w:eastAsia="宋体" w:cs="宋体"/>
          <w:bCs/>
          <w:color w:val="auto"/>
          <w:kern w:val="0"/>
          <w:szCs w:val="21"/>
          <w:highlight w:val="none"/>
        </w:rPr>
        <w:t>月</w:t>
      </w:r>
      <w:r>
        <w:rPr>
          <w:rFonts w:hint="eastAsia" w:ascii="宋体" w:hAnsi="宋体" w:eastAsia="宋体" w:cs="宋体"/>
          <w:bCs/>
          <w:color w:val="auto"/>
          <w:kern w:val="0"/>
          <w:szCs w:val="21"/>
          <w:highlight w:val="none"/>
          <w:u w:val="single"/>
        </w:rPr>
        <w:t xml:space="preserve">      </w:t>
      </w:r>
      <w:r>
        <w:rPr>
          <w:rFonts w:hint="eastAsia" w:ascii="宋体" w:hAnsi="宋体" w:eastAsia="宋体" w:cs="宋体"/>
          <w:bCs/>
          <w:color w:val="auto"/>
          <w:kern w:val="0"/>
          <w:szCs w:val="21"/>
          <w:highlight w:val="none"/>
        </w:rPr>
        <w:t>日</w:t>
      </w:r>
    </w:p>
    <w:p w14:paraId="723E8051">
      <w:pPr>
        <w:autoSpaceDE w:val="0"/>
        <w:autoSpaceDN w:val="0"/>
        <w:adjustRightInd w:val="0"/>
        <w:spacing w:line="360" w:lineRule="auto"/>
        <w:rPr>
          <w:rFonts w:hint="eastAsia" w:ascii="宋体" w:hAnsi="宋体" w:eastAsia="宋体" w:cs="宋体"/>
          <w:b/>
          <w:bCs/>
          <w:color w:val="auto"/>
          <w:szCs w:val="21"/>
          <w:highlight w:val="none"/>
        </w:rPr>
      </w:pPr>
    </w:p>
    <w:p w14:paraId="420099DE">
      <w:pPr>
        <w:pageBreakBefore w:val="0"/>
        <w:kinsoku/>
        <w:overflowPunct/>
        <w:bidi w:val="0"/>
        <w:spacing w:line="360" w:lineRule="auto"/>
        <w:rPr>
          <w:rFonts w:hint="eastAsia" w:ascii="宋体" w:hAnsi="宋体" w:eastAsia="宋体" w:cs="宋体"/>
          <w:color w:val="auto"/>
          <w:szCs w:val="21"/>
          <w:highlight w:val="none"/>
        </w:rPr>
        <w:sectPr>
          <w:headerReference r:id="rId15" w:type="default"/>
          <w:footerReference r:id="rId16" w:type="default"/>
          <w:pgSz w:w="16838" w:h="11906" w:orient="landscape"/>
          <w:pgMar w:top="1247" w:right="1440" w:bottom="1400" w:left="1440" w:header="851" w:footer="992" w:gutter="0"/>
          <w:pgNumType w:fmt="decimal"/>
          <w:cols w:space="720" w:num="1"/>
          <w:rtlGutter w:val="0"/>
          <w:docGrid w:type="linesAndChars" w:linePitch="319" w:charSpace="0"/>
        </w:sectPr>
      </w:pPr>
    </w:p>
    <w:p w14:paraId="61C1AD99">
      <w:pPr>
        <w:pStyle w:val="5"/>
        <w:pageBreakBefore w:val="0"/>
        <w:numPr>
          <w:ilvl w:val="0"/>
          <w:numId w:val="35"/>
        </w:numPr>
        <w:tabs>
          <w:tab w:val="left" w:pos="840"/>
        </w:tabs>
        <w:kinsoku/>
        <w:overflowPunct/>
        <w:bidi w:val="0"/>
        <w:spacing w:line="360" w:lineRule="auto"/>
        <w:jc w:val="center"/>
        <w:rPr>
          <w:rFonts w:hint="eastAsia" w:ascii="宋体" w:hAnsi="宋体" w:eastAsia="宋体" w:cs="宋体"/>
          <w:color w:val="auto"/>
          <w:sz w:val="24"/>
          <w:szCs w:val="24"/>
          <w:highlight w:val="none"/>
        </w:rPr>
      </w:pPr>
      <w:bookmarkStart w:id="762" w:name="_Toc8349"/>
      <w:r>
        <w:rPr>
          <w:rFonts w:hint="eastAsia" w:ascii="宋体" w:hAnsi="宋体" w:eastAsia="宋体" w:cs="宋体"/>
          <w:color w:val="auto"/>
          <w:sz w:val="24"/>
          <w:szCs w:val="24"/>
          <w:highlight w:val="none"/>
          <w:lang w:eastAsia="zh-CN"/>
        </w:rPr>
        <w:t>商务技术偏差表</w:t>
      </w:r>
      <w:bookmarkEnd w:id="762"/>
    </w:p>
    <w:p w14:paraId="653151D5">
      <w:pPr>
        <w:pStyle w:val="6"/>
        <w:pageBreakBefore w:val="0"/>
        <w:kinsoku/>
        <w:overflowPunct/>
        <w:bidi w:val="0"/>
        <w:spacing w:line="360" w:lineRule="auto"/>
        <w:jc w:val="center"/>
        <w:rPr>
          <w:rFonts w:hint="eastAsia" w:ascii="宋体" w:hAnsi="宋体" w:eastAsia="宋体" w:cs="宋体"/>
          <w:color w:val="auto"/>
          <w:highlight w:val="none"/>
          <w:lang w:eastAsia="zh-CN"/>
        </w:rPr>
      </w:pPr>
      <w:bookmarkStart w:id="763" w:name="_Toc14065"/>
      <w:bookmarkStart w:id="764" w:name="_Toc9217"/>
      <w:r>
        <w:rPr>
          <w:rFonts w:hint="eastAsia" w:ascii="宋体" w:hAnsi="宋体" w:eastAsia="宋体" w:cs="宋体"/>
          <w:color w:val="auto"/>
          <w:sz w:val="24"/>
          <w:szCs w:val="24"/>
          <w:highlight w:val="none"/>
          <w:lang w:eastAsia="zh-CN"/>
        </w:rPr>
        <w:t>（一）商务条款偏差表</w:t>
      </w:r>
      <w:bookmarkEnd w:id="763"/>
    </w:p>
    <w:tbl>
      <w:tblPr>
        <w:tblStyle w:val="36"/>
        <w:tblW w:w="4998"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804"/>
        <w:gridCol w:w="2681"/>
        <w:gridCol w:w="4006"/>
        <w:gridCol w:w="1341"/>
      </w:tblGrid>
      <w:tr w14:paraId="172DCA0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455" w:type="pct"/>
            <w:noWrap w:val="0"/>
            <w:vAlign w:val="center"/>
          </w:tcPr>
          <w:p w14:paraId="559F93F1">
            <w:pPr>
              <w:pageBreakBefore w:val="0"/>
              <w:kinsoku/>
              <w:overflowPunct/>
              <w:bidi w:val="0"/>
              <w:spacing w:before="156" w:beforeLines="50" w:after="156" w:afterLines="50"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1517" w:type="pct"/>
            <w:noWrap w:val="0"/>
            <w:vAlign w:val="center"/>
          </w:tcPr>
          <w:p w14:paraId="2FF2BE4D">
            <w:pPr>
              <w:pageBreakBefore w:val="0"/>
              <w:kinsoku/>
              <w:overflowPunct/>
              <w:bidi w:val="0"/>
              <w:spacing w:before="156" w:beforeLines="50" w:after="156" w:afterLines="50"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招标文件</w:t>
            </w:r>
            <w:r>
              <w:rPr>
                <w:rFonts w:hint="eastAsia" w:ascii="宋体" w:hAnsi="宋体" w:eastAsia="宋体" w:cs="宋体"/>
                <w:color w:val="auto"/>
                <w:sz w:val="21"/>
                <w:szCs w:val="21"/>
                <w:highlight w:val="none"/>
              </w:rPr>
              <w:t>商务条款</w:t>
            </w:r>
          </w:p>
        </w:tc>
        <w:tc>
          <w:tcPr>
            <w:tcW w:w="2267" w:type="pct"/>
            <w:noWrap w:val="0"/>
            <w:vAlign w:val="center"/>
          </w:tcPr>
          <w:p w14:paraId="5AA24C61">
            <w:pPr>
              <w:pageBreakBefore w:val="0"/>
              <w:kinsoku/>
              <w:overflowPunct/>
              <w:bidi w:val="0"/>
              <w:spacing w:before="156" w:beforeLines="50" w:after="156" w:afterLines="50" w:line="360" w:lineRule="auto"/>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投标文件响应商务</w:t>
            </w:r>
            <w:r>
              <w:rPr>
                <w:rFonts w:hint="eastAsia" w:ascii="宋体" w:hAnsi="宋体" w:eastAsia="宋体" w:cs="宋体"/>
                <w:color w:val="auto"/>
                <w:sz w:val="21"/>
                <w:szCs w:val="21"/>
                <w:highlight w:val="none"/>
                <w:lang w:val="en-US" w:eastAsia="zh-CN"/>
              </w:rPr>
              <w:t>条款</w:t>
            </w:r>
            <w:r>
              <w:rPr>
                <w:rFonts w:hint="eastAsia" w:ascii="宋体" w:hAnsi="宋体" w:eastAsia="宋体" w:cs="宋体"/>
                <w:color w:val="auto"/>
                <w:sz w:val="21"/>
                <w:szCs w:val="21"/>
                <w:highlight w:val="none"/>
                <w:lang w:eastAsia="zh-CN"/>
              </w:rPr>
              <w:t>说明</w:t>
            </w:r>
          </w:p>
          <w:p w14:paraId="04E155A2">
            <w:pPr>
              <w:pageBreakBefore w:val="0"/>
              <w:kinsoku/>
              <w:overflowPunct/>
              <w:bidi w:val="0"/>
              <w:spacing w:before="156" w:beforeLines="50" w:after="156" w:afterLines="50"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（投标人须应答）</w:t>
            </w:r>
          </w:p>
        </w:tc>
        <w:tc>
          <w:tcPr>
            <w:tcW w:w="759" w:type="pct"/>
            <w:noWrap w:val="0"/>
            <w:vAlign w:val="center"/>
          </w:tcPr>
          <w:p w14:paraId="031FF3D9">
            <w:pPr>
              <w:pageBreakBefore w:val="0"/>
              <w:kinsoku/>
              <w:overflowPunct/>
              <w:bidi w:val="0"/>
              <w:spacing w:before="156" w:beforeLines="50" w:after="156" w:afterLines="50"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偏差说明</w:t>
            </w:r>
          </w:p>
        </w:tc>
      </w:tr>
      <w:tr w14:paraId="15A6AE1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45" w:hRule="atLeast"/>
        </w:trPr>
        <w:tc>
          <w:tcPr>
            <w:tcW w:w="455" w:type="pct"/>
            <w:noWrap w:val="0"/>
            <w:vAlign w:val="center"/>
          </w:tcPr>
          <w:p w14:paraId="179BC442">
            <w:pPr>
              <w:pStyle w:val="17"/>
              <w:pageBreakBefore w:val="0"/>
              <w:kinsoku/>
              <w:overflowPunct/>
              <w:bidi w:val="0"/>
              <w:spacing w:line="36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p>
        </w:tc>
        <w:tc>
          <w:tcPr>
            <w:tcW w:w="1517" w:type="pct"/>
            <w:noWrap w:val="0"/>
            <w:vAlign w:val="center"/>
          </w:tcPr>
          <w:p w14:paraId="33C246B5">
            <w:pPr>
              <w:pStyle w:val="17"/>
              <w:pageBreakBefore w:val="0"/>
              <w:kinsoku/>
              <w:overflowPunct/>
              <w:bidi w:val="0"/>
              <w:spacing w:line="360" w:lineRule="auto"/>
              <w:jc w:val="center"/>
              <w:rPr>
                <w:rFonts w:hint="eastAsia" w:ascii="宋体" w:hAnsi="宋体" w:eastAsia="宋体" w:cs="宋体"/>
                <w:color w:val="auto"/>
                <w:sz w:val="21"/>
                <w:szCs w:val="21"/>
                <w:highlight w:val="none"/>
                <w:lang w:val="en-US" w:eastAsia="zh-CN"/>
              </w:rPr>
            </w:pPr>
          </w:p>
        </w:tc>
        <w:tc>
          <w:tcPr>
            <w:tcW w:w="2267" w:type="pct"/>
            <w:noWrap w:val="0"/>
            <w:vAlign w:val="center"/>
          </w:tcPr>
          <w:p w14:paraId="38F173AD">
            <w:pPr>
              <w:pStyle w:val="17"/>
              <w:pageBreakBefore w:val="0"/>
              <w:kinsoku/>
              <w:overflowPunct/>
              <w:bidi w:val="0"/>
              <w:spacing w:line="360" w:lineRule="auto"/>
              <w:jc w:val="center"/>
              <w:rPr>
                <w:rFonts w:hint="eastAsia" w:ascii="宋体" w:hAnsi="宋体" w:eastAsia="宋体" w:cs="宋体"/>
                <w:color w:val="auto"/>
                <w:sz w:val="21"/>
                <w:szCs w:val="21"/>
                <w:highlight w:val="none"/>
                <w:lang w:val="en-US" w:eastAsia="zh-CN"/>
              </w:rPr>
            </w:pPr>
          </w:p>
        </w:tc>
        <w:tc>
          <w:tcPr>
            <w:tcW w:w="759" w:type="pct"/>
            <w:noWrap w:val="0"/>
            <w:vAlign w:val="center"/>
          </w:tcPr>
          <w:p w14:paraId="38E654C5">
            <w:pPr>
              <w:pStyle w:val="17"/>
              <w:pageBreakBefore w:val="0"/>
              <w:kinsoku/>
              <w:overflowPunct/>
              <w:bidi w:val="0"/>
              <w:spacing w:line="360" w:lineRule="auto"/>
              <w:jc w:val="center"/>
              <w:rPr>
                <w:rFonts w:hint="eastAsia" w:ascii="宋体" w:hAnsi="宋体" w:eastAsia="宋体" w:cs="宋体"/>
                <w:color w:val="auto"/>
                <w:sz w:val="21"/>
                <w:szCs w:val="21"/>
                <w:highlight w:val="none"/>
                <w:lang w:val="en-US" w:eastAsia="zh-CN"/>
              </w:rPr>
            </w:pPr>
          </w:p>
        </w:tc>
      </w:tr>
      <w:tr w14:paraId="37F3C84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45" w:hRule="atLeast"/>
        </w:trPr>
        <w:tc>
          <w:tcPr>
            <w:tcW w:w="455" w:type="pct"/>
            <w:noWrap w:val="0"/>
            <w:vAlign w:val="center"/>
          </w:tcPr>
          <w:p w14:paraId="1E7C12ED">
            <w:pPr>
              <w:pStyle w:val="17"/>
              <w:pageBreakBefore w:val="0"/>
              <w:kinsoku/>
              <w:overflowPunct/>
              <w:bidi w:val="0"/>
              <w:spacing w:line="36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w:t>
            </w:r>
          </w:p>
        </w:tc>
        <w:tc>
          <w:tcPr>
            <w:tcW w:w="1517" w:type="pct"/>
            <w:noWrap w:val="0"/>
            <w:vAlign w:val="center"/>
          </w:tcPr>
          <w:p w14:paraId="1A76DCA3">
            <w:pPr>
              <w:pStyle w:val="17"/>
              <w:pageBreakBefore w:val="0"/>
              <w:kinsoku/>
              <w:overflowPunct/>
              <w:bidi w:val="0"/>
              <w:spacing w:line="360" w:lineRule="auto"/>
              <w:jc w:val="center"/>
              <w:rPr>
                <w:rFonts w:hint="eastAsia" w:ascii="宋体" w:hAnsi="宋体" w:eastAsia="宋体" w:cs="宋体"/>
                <w:color w:val="auto"/>
                <w:sz w:val="21"/>
                <w:szCs w:val="21"/>
                <w:highlight w:val="none"/>
                <w:lang w:val="en-US" w:eastAsia="zh-CN"/>
              </w:rPr>
            </w:pPr>
          </w:p>
        </w:tc>
        <w:tc>
          <w:tcPr>
            <w:tcW w:w="2267" w:type="pct"/>
            <w:noWrap w:val="0"/>
            <w:vAlign w:val="center"/>
          </w:tcPr>
          <w:p w14:paraId="053507FE">
            <w:pPr>
              <w:pStyle w:val="17"/>
              <w:pageBreakBefore w:val="0"/>
              <w:kinsoku/>
              <w:overflowPunct/>
              <w:bidi w:val="0"/>
              <w:spacing w:line="360" w:lineRule="auto"/>
              <w:jc w:val="center"/>
              <w:rPr>
                <w:rFonts w:hint="eastAsia" w:ascii="宋体" w:hAnsi="宋体" w:eastAsia="宋体" w:cs="宋体"/>
                <w:color w:val="auto"/>
                <w:sz w:val="21"/>
                <w:szCs w:val="21"/>
                <w:highlight w:val="none"/>
                <w:lang w:val="en-US" w:eastAsia="zh-CN"/>
              </w:rPr>
            </w:pPr>
          </w:p>
        </w:tc>
        <w:tc>
          <w:tcPr>
            <w:tcW w:w="759" w:type="pct"/>
            <w:noWrap w:val="0"/>
            <w:vAlign w:val="center"/>
          </w:tcPr>
          <w:p w14:paraId="2B1E760E">
            <w:pPr>
              <w:pStyle w:val="17"/>
              <w:pageBreakBefore w:val="0"/>
              <w:kinsoku/>
              <w:overflowPunct/>
              <w:bidi w:val="0"/>
              <w:spacing w:line="360" w:lineRule="auto"/>
              <w:jc w:val="center"/>
              <w:rPr>
                <w:rFonts w:hint="eastAsia" w:ascii="宋体" w:hAnsi="宋体" w:eastAsia="宋体" w:cs="宋体"/>
                <w:color w:val="auto"/>
                <w:sz w:val="21"/>
                <w:szCs w:val="21"/>
                <w:highlight w:val="none"/>
                <w:lang w:val="en-US" w:eastAsia="zh-CN"/>
              </w:rPr>
            </w:pPr>
          </w:p>
        </w:tc>
      </w:tr>
      <w:tr w14:paraId="1246AE6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45" w:hRule="atLeast"/>
        </w:trPr>
        <w:tc>
          <w:tcPr>
            <w:tcW w:w="455" w:type="pct"/>
            <w:noWrap w:val="0"/>
            <w:vAlign w:val="center"/>
          </w:tcPr>
          <w:p w14:paraId="44A9B3F2">
            <w:pPr>
              <w:pStyle w:val="17"/>
              <w:pageBreakBefore w:val="0"/>
              <w:kinsoku/>
              <w:overflowPunct/>
              <w:bidi w:val="0"/>
              <w:spacing w:line="36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w:t>
            </w:r>
          </w:p>
        </w:tc>
        <w:tc>
          <w:tcPr>
            <w:tcW w:w="1517" w:type="pct"/>
            <w:noWrap w:val="0"/>
            <w:vAlign w:val="center"/>
          </w:tcPr>
          <w:p w14:paraId="3F34C0D3">
            <w:pPr>
              <w:pStyle w:val="17"/>
              <w:pageBreakBefore w:val="0"/>
              <w:kinsoku/>
              <w:overflowPunct/>
              <w:bidi w:val="0"/>
              <w:spacing w:line="360" w:lineRule="auto"/>
              <w:jc w:val="center"/>
              <w:rPr>
                <w:rFonts w:hint="eastAsia" w:ascii="宋体" w:hAnsi="宋体" w:eastAsia="宋体" w:cs="宋体"/>
                <w:color w:val="auto"/>
                <w:sz w:val="21"/>
                <w:szCs w:val="21"/>
                <w:highlight w:val="none"/>
                <w:lang w:val="en-US" w:eastAsia="zh-CN"/>
              </w:rPr>
            </w:pPr>
          </w:p>
        </w:tc>
        <w:tc>
          <w:tcPr>
            <w:tcW w:w="2267" w:type="pct"/>
            <w:noWrap w:val="0"/>
            <w:vAlign w:val="center"/>
          </w:tcPr>
          <w:p w14:paraId="3A7D364A">
            <w:pPr>
              <w:pStyle w:val="17"/>
              <w:pageBreakBefore w:val="0"/>
              <w:kinsoku/>
              <w:overflowPunct/>
              <w:bidi w:val="0"/>
              <w:spacing w:line="360" w:lineRule="auto"/>
              <w:jc w:val="center"/>
              <w:rPr>
                <w:rFonts w:hint="eastAsia" w:ascii="宋体" w:hAnsi="宋体" w:eastAsia="宋体" w:cs="宋体"/>
                <w:color w:val="auto"/>
                <w:sz w:val="21"/>
                <w:szCs w:val="21"/>
                <w:highlight w:val="none"/>
                <w:lang w:val="en-US" w:eastAsia="zh-CN"/>
              </w:rPr>
            </w:pPr>
          </w:p>
        </w:tc>
        <w:tc>
          <w:tcPr>
            <w:tcW w:w="759" w:type="pct"/>
            <w:noWrap w:val="0"/>
            <w:vAlign w:val="center"/>
          </w:tcPr>
          <w:p w14:paraId="5EB73506">
            <w:pPr>
              <w:pStyle w:val="17"/>
              <w:pageBreakBefore w:val="0"/>
              <w:kinsoku/>
              <w:overflowPunct/>
              <w:bidi w:val="0"/>
              <w:spacing w:line="360" w:lineRule="auto"/>
              <w:jc w:val="center"/>
              <w:rPr>
                <w:rFonts w:hint="eastAsia" w:ascii="宋体" w:hAnsi="宋体" w:eastAsia="宋体" w:cs="宋体"/>
                <w:color w:val="auto"/>
                <w:sz w:val="21"/>
                <w:szCs w:val="21"/>
                <w:highlight w:val="none"/>
                <w:lang w:val="en-US" w:eastAsia="zh-CN"/>
              </w:rPr>
            </w:pPr>
          </w:p>
        </w:tc>
      </w:tr>
    </w:tbl>
    <w:p w14:paraId="344D031D">
      <w:pPr>
        <w:pStyle w:val="8"/>
        <w:pageBreakBefore w:val="0"/>
        <w:kinsoku/>
        <w:overflowPunct/>
        <w:bidi w:val="0"/>
        <w:spacing w:line="360" w:lineRule="auto"/>
        <w:rPr>
          <w:rFonts w:hint="eastAsia" w:ascii="宋体" w:hAnsi="宋体" w:eastAsia="宋体" w:cs="宋体"/>
          <w:color w:val="auto"/>
          <w:highlight w:val="none"/>
        </w:rPr>
      </w:pPr>
    </w:p>
    <w:p w14:paraId="12A10F5F">
      <w:pPr>
        <w:pStyle w:val="131"/>
        <w:keepNext w:val="0"/>
        <w:keepLines w:val="0"/>
        <w:pageBreakBefore w:val="0"/>
        <w:widowControl w:val="0"/>
        <w:numPr>
          <w:ilvl w:val="0"/>
          <w:numId w:val="0"/>
        </w:numPr>
        <w:kinsoku/>
        <w:wordWrap/>
        <w:overflowPunct/>
        <w:topLinePunct w:val="0"/>
        <w:bidi w:val="0"/>
        <w:adjustRightInd w:val="0"/>
        <w:spacing w:after="0" w:afterLines="0" w:line="360" w:lineRule="auto"/>
        <w:ind w:right="0" w:rightChars="0" w:firstLine="420" w:firstLineChars="20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注：1. 投标人需按招标文件商务条款的要求填写，填写应以“满足”或“不满足”，并辅以详细解释。除“满足”项目外，必须在偏差说明一栏中对偏差予以详细说明。</w:t>
      </w:r>
      <w:r>
        <w:rPr>
          <w:rFonts w:hint="eastAsia" w:ascii="宋体" w:hAnsi="宋体" w:eastAsia="宋体" w:cs="宋体"/>
          <w:color w:val="auto"/>
          <w:sz w:val="21"/>
          <w:szCs w:val="21"/>
          <w:highlight w:val="none"/>
          <w:lang w:val="en-US" w:eastAsia="zh-CN"/>
        </w:rPr>
        <w:t>商务条款包括采购范围、交货及安装调试期、交货地点、质量标准、质量保证期、投标有效期、付款方式。</w:t>
      </w:r>
    </w:p>
    <w:p w14:paraId="5EA36EE0">
      <w:pPr>
        <w:pStyle w:val="131"/>
        <w:keepNext w:val="0"/>
        <w:keepLines w:val="0"/>
        <w:pageBreakBefore w:val="0"/>
        <w:widowControl w:val="0"/>
        <w:numPr>
          <w:ilvl w:val="0"/>
          <w:numId w:val="0"/>
        </w:numPr>
        <w:kinsoku/>
        <w:wordWrap/>
        <w:overflowPunct/>
        <w:topLinePunct w:val="0"/>
        <w:bidi w:val="0"/>
        <w:adjustRightInd w:val="0"/>
        <w:spacing w:after="0" w:afterLines="0" w:line="360" w:lineRule="auto"/>
        <w:ind w:right="0" w:righ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 投标</w:t>
      </w:r>
      <w:r>
        <w:rPr>
          <w:rFonts w:hint="eastAsia" w:ascii="宋体" w:hAnsi="宋体" w:eastAsia="宋体" w:cs="宋体"/>
          <w:color w:val="auto"/>
          <w:sz w:val="21"/>
          <w:szCs w:val="21"/>
          <w:highlight w:val="none"/>
          <w:lang w:eastAsia="zh-CN"/>
        </w:rPr>
        <w:t>人</w:t>
      </w:r>
      <w:r>
        <w:rPr>
          <w:rFonts w:hint="eastAsia" w:ascii="宋体" w:hAnsi="宋体" w:eastAsia="宋体" w:cs="宋体"/>
          <w:color w:val="auto"/>
          <w:sz w:val="21"/>
          <w:szCs w:val="21"/>
          <w:highlight w:val="none"/>
        </w:rPr>
        <w:t>可根据其投标内容进一步细化上述表格，并可增添其它表格或说明以便进一步明确投标内容。</w:t>
      </w:r>
    </w:p>
    <w:p w14:paraId="174C7967">
      <w:pPr>
        <w:pStyle w:val="131"/>
        <w:keepNext w:val="0"/>
        <w:keepLines w:val="0"/>
        <w:pageBreakBefore w:val="0"/>
        <w:widowControl w:val="0"/>
        <w:numPr>
          <w:ilvl w:val="0"/>
          <w:numId w:val="0"/>
        </w:numPr>
        <w:kinsoku/>
        <w:wordWrap/>
        <w:overflowPunct/>
        <w:topLinePunct w:val="0"/>
        <w:bidi w:val="0"/>
        <w:adjustRightInd w:val="0"/>
        <w:spacing w:after="0" w:afterLines="0" w:line="360" w:lineRule="auto"/>
        <w:ind w:right="0" w:righ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 w:val="21"/>
          <w:szCs w:val="21"/>
          <w:highlight w:val="none"/>
          <w:lang w:val="en-US" w:eastAsia="zh-CN"/>
        </w:rPr>
        <w:t>3.未按要求填写，可能会造成不良后果，投标人自行承担。</w:t>
      </w:r>
    </w:p>
    <w:p w14:paraId="756471CF">
      <w:pPr>
        <w:pStyle w:val="17"/>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textAlignment w:val="auto"/>
        <w:rPr>
          <w:rFonts w:hint="eastAsia" w:ascii="宋体" w:hAnsi="宋体" w:eastAsia="宋体" w:cs="宋体"/>
          <w:color w:val="auto"/>
          <w:sz w:val="21"/>
          <w:szCs w:val="21"/>
          <w:highlight w:val="none"/>
        </w:rPr>
      </w:pPr>
    </w:p>
    <w:p w14:paraId="091261EC">
      <w:pPr>
        <w:pageBreakBefore w:val="0"/>
        <w:kinsoku/>
        <w:overflowPunct/>
        <w:bidi w:val="0"/>
        <w:spacing w:line="360" w:lineRule="auto"/>
        <w:rPr>
          <w:rFonts w:hint="eastAsia" w:ascii="宋体" w:hAnsi="宋体" w:eastAsia="宋体" w:cs="宋体"/>
          <w:color w:val="auto"/>
          <w:szCs w:val="21"/>
          <w:highlight w:val="none"/>
        </w:rPr>
      </w:pPr>
    </w:p>
    <w:p w14:paraId="011908F6">
      <w:pPr>
        <w:pageBreakBefore w:val="0"/>
        <w:kinsoku/>
        <w:overflowPunct/>
        <w:bidi w:val="0"/>
        <w:spacing w:line="360" w:lineRule="auto"/>
        <w:ind w:firstLine="3360" w:firstLineChars="1600"/>
        <w:rPr>
          <w:rFonts w:hint="eastAsia" w:ascii="宋体" w:hAnsi="宋体" w:eastAsia="宋体" w:cs="宋体"/>
          <w:b w:val="0"/>
          <w:bCs/>
          <w:color w:val="auto"/>
          <w:szCs w:val="21"/>
          <w:highlight w:val="none"/>
        </w:rPr>
      </w:pPr>
      <w:r>
        <w:rPr>
          <w:rFonts w:hint="eastAsia" w:ascii="宋体" w:hAnsi="宋体" w:eastAsia="宋体" w:cs="宋体"/>
          <w:color w:val="auto"/>
          <w:kern w:val="0"/>
          <w:sz w:val="21"/>
          <w:szCs w:val="21"/>
          <w:highlight w:val="none"/>
          <w:lang w:eastAsia="zh-CN"/>
        </w:rPr>
        <w:t>投</w:t>
      </w:r>
      <w:r>
        <w:rPr>
          <w:rFonts w:hint="eastAsia" w:ascii="宋体" w:hAnsi="宋体" w:eastAsia="宋体" w:cs="宋体"/>
          <w:color w:val="auto"/>
          <w:kern w:val="0"/>
          <w:sz w:val="21"/>
          <w:szCs w:val="21"/>
          <w:highlight w:val="none"/>
          <w:lang w:val="en-US" w:eastAsia="zh-CN"/>
        </w:rPr>
        <w:t xml:space="preserve"> </w:t>
      </w:r>
      <w:r>
        <w:rPr>
          <w:rFonts w:hint="eastAsia" w:ascii="宋体" w:hAnsi="宋体" w:eastAsia="宋体" w:cs="宋体"/>
          <w:color w:val="auto"/>
          <w:kern w:val="0"/>
          <w:sz w:val="21"/>
          <w:szCs w:val="21"/>
          <w:highlight w:val="none"/>
          <w:lang w:eastAsia="zh-CN"/>
        </w:rPr>
        <w:t>标</w:t>
      </w:r>
      <w:r>
        <w:rPr>
          <w:rFonts w:hint="eastAsia" w:ascii="宋体" w:hAnsi="宋体" w:eastAsia="宋体" w:cs="宋体"/>
          <w:color w:val="auto"/>
          <w:kern w:val="0"/>
          <w:sz w:val="21"/>
          <w:szCs w:val="21"/>
          <w:highlight w:val="none"/>
          <w:lang w:val="en-US" w:eastAsia="zh-CN"/>
        </w:rPr>
        <w:t xml:space="preserve"> </w:t>
      </w:r>
      <w:r>
        <w:rPr>
          <w:rFonts w:hint="eastAsia" w:ascii="宋体" w:hAnsi="宋体" w:eastAsia="宋体" w:cs="宋体"/>
          <w:color w:val="auto"/>
          <w:kern w:val="0"/>
          <w:sz w:val="21"/>
          <w:szCs w:val="21"/>
          <w:highlight w:val="none"/>
          <w:lang w:eastAsia="zh-CN"/>
        </w:rPr>
        <w:t>人</w:t>
      </w:r>
      <w:r>
        <w:rPr>
          <w:rFonts w:hint="eastAsia" w:ascii="宋体" w:hAnsi="宋体" w:eastAsia="宋体" w:cs="宋体"/>
          <w:b w:val="0"/>
          <w:bCs/>
          <w:color w:val="auto"/>
          <w:szCs w:val="21"/>
          <w:highlight w:val="none"/>
        </w:rPr>
        <w:t>：</w:t>
      </w:r>
      <w:r>
        <w:rPr>
          <w:rFonts w:hint="eastAsia" w:ascii="宋体" w:hAnsi="宋体" w:eastAsia="宋体" w:cs="宋体"/>
          <w:b w:val="0"/>
          <w:bCs/>
          <w:color w:val="auto"/>
          <w:szCs w:val="21"/>
          <w:highlight w:val="none"/>
          <w:u w:val="single"/>
        </w:rPr>
        <w:t xml:space="preserve"> </w:t>
      </w:r>
      <w:r>
        <w:rPr>
          <w:rFonts w:hint="eastAsia" w:ascii="宋体" w:hAnsi="宋体" w:eastAsia="宋体" w:cs="宋体"/>
          <w:b w:val="0"/>
          <w:bCs/>
          <w:color w:val="auto"/>
          <w:szCs w:val="21"/>
          <w:highlight w:val="none"/>
          <w:u w:val="single"/>
          <w:lang w:val="en-US" w:eastAsia="zh-CN"/>
        </w:rPr>
        <w:t xml:space="preserve">                     </w:t>
      </w:r>
      <w:r>
        <w:rPr>
          <w:rFonts w:hint="eastAsia" w:ascii="宋体" w:hAnsi="宋体" w:eastAsia="宋体" w:cs="宋体"/>
          <w:b w:val="0"/>
          <w:bCs/>
          <w:color w:val="auto"/>
          <w:szCs w:val="21"/>
          <w:highlight w:val="none"/>
        </w:rPr>
        <w:t>（</w:t>
      </w:r>
      <w:r>
        <w:rPr>
          <w:rFonts w:hint="eastAsia" w:ascii="宋体" w:hAnsi="宋体" w:eastAsia="宋体" w:cs="宋体"/>
          <w:b w:val="0"/>
          <w:bCs/>
          <w:color w:val="auto"/>
          <w:szCs w:val="21"/>
          <w:highlight w:val="none"/>
          <w:lang w:eastAsia="zh-CN"/>
        </w:rPr>
        <w:t>盖章</w:t>
      </w:r>
      <w:r>
        <w:rPr>
          <w:rFonts w:hint="eastAsia" w:ascii="宋体" w:hAnsi="宋体" w:eastAsia="宋体" w:cs="宋体"/>
          <w:b w:val="0"/>
          <w:bCs/>
          <w:color w:val="auto"/>
          <w:szCs w:val="21"/>
          <w:highlight w:val="none"/>
        </w:rPr>
        <w:t>）</w:t>
      </w:r>
    </w:p>
    <w:p w14:paraId="2AAF5950">
      <w:pPr>
        <w:pageBreakBefore w:val="0"/>
        <w:kinsoku/>
        <w:overflowPunct/>
        <w:bidi w:val="0"/>
        <w:spacing w:line="360" w:lineRule="auto"/>
        <w:ind w:firstLine="3360" w:firstLineChars="1600"/>
        <w:rPr>
          <w:rFonts w:hint="eastAsia" w:ascii="宋体" w:hAnsi="宋体" w:eastAsia="宋体" w:cs="宋体"/>
          <w:b w:val="0"/>
          <w:bCs/>
          <w:color w:val="auto"/>
          <w:szCs w:val="21"/>
          <w:highlight w:val="none"/>
        </w:rPr>
      </w:pPr>
      <w:r>
        <w:rPr>
          <w:rFonts w:hint="eastAsia" w:ascii="宋体" w:hAnsi="宋体" w:eastAsia="宋体" w:cs="宋体"/>
          <w:b w:val="0"/>
          <w:bCs/>
          <w:color w:val="auto"/>
          <w:szCs w:val="21"/>
          <w:highlight w:val="none"/>
        </w:rPr>
        <w:t>法定代表人或其委托代理人：</w:t>
      </w:r>
      <w:r>
        <w:rPr>
          <w:rFonts w:hint="eastAsia" w:ascii="宋体" w:hAnsi="宋体" w:eastAsia="宋体" w:cs="宋体"/>
          <w:b w:val="0"/>
          <w:bCs/>
          <w:color w:val="auto"/>
          <w:szCs w:val="21"/>
          <w:highlight w:val="none"/>
          <w:u w:val="single"/>
        </w:rPr>
        <w:t xml:space="preserve"> </w:t>
      </w:r>
      <w:r>
        <w:rPr>
          <w:rFonts w:hint="eastAsia" w:ascii="宋体" w:hAnsi="宋体" w:eastAsia="宋体" w:cs="宋体"/>
          <w:b w:val="0"/>
          <w:bCs/>
          <w:color w:val="auto"/>
          <w:szCs w:val="21"/>
          <w:highlight w:val="none"/>
          <w:u w:val="single"/>
          <w:lang w:val="en-US" w:eastAsia="zh-CN"/>
        </w:rPr>
        <w:t xml:space="preserve">       </w:t>
      </w:r>
      <w:r>
        <w:rPr>
          <w:rFonts w:hint="eastAsia" w:ascii="宋体" w:hAnsi="宋体" w:eastAsia="宋体" w:cs="宋体"/>
          <w:b w:val="0"/>
          <w:bCs/>
          <w:color w:val="auto"/>
          <w:szCs w:val="21"/>
          <w:highlight w:val="none"/>
        </w:rPr>
        <w:t>（</w:t>
      </w:r>
      <w:r>
        <w:rPr>
          <w:rFonts w:hint="eastAsia" w:ascii="宋体" w:hAnsi="宋体" w:eastAsia="宋体" w:cs="宋体"/>
          <w:color w:val="auto"/>
          <w:szCs w:val="21"/>
          <w:highlight w:val="none"/>
        </w:rPr>
        <w:t>签字或盖章</w:t>
      </w:r>
      <w:r>
        <w:rPr>
          <w:rFonts w:hint="eastAsia" w:ascii="宋体" w:hAnsi="宋体" w:eastAsia="宋体" w:cs="宋体"/>
          <w:b w:val="0"/>
          <w:bCs/>
          <w:color w:val="auto"/>
          <w:szCs w:val="21"/>
          <w:highlight w:val="none"/>
        </w:rPr>
        <w:t>）</w:t>
      </w:r>
    </w:p>
    <w:p w14:paraId="3D4F9338">
      <w:pPr>
        <w:keepNext w:val="0"/>
        <w:keepLines w:val="0"/>
        <w:pageBreakBefore w:val="0"/>
        <w:widowControl w:val="0"/>
        <w:tabs>
          <w:tab w:val="left" w:pos="5380"/>
          <w:tab w:val="left" w:pos="6520"/>
          <w:tab w:val="left" w:pos="7680"/>
        </w:tabs>
        <w:kinsoku/>
        <w:wordWrap/>
        <w:overflowPunct/>
        <w:topLinePunct w:val="0"/>
        <w:autoSpaceDE w:val="0"/>
        <w:autoSpaceDN w:val="0"/>
        <w:bidi w:val="0"/>
        <w:adjustRightInd w:val="0"/>
        <w:snapToGrid/>
        <w:spacing w:line="360" w:lineRule="auto"/>
        <w:ind w:right="-23" w:rightChars="0" w:firstLine="4620" w:firstLineChars="2200"/>
        <w:jc w:val="left"/>
        <w:textAlignment w:val="auto"/>
        <w:outlineLvl w:val="9"/>
        <w:rPr>
          <w:rFonts w:hint="eastAsia" w:ascii="宋体" w:hAnsi="宋体" w:eastAsia="宋体" w:cs="宋体"/>
          <w:b w:val="0"/>
          <w:bCs/>
          <w:color w:val="auto"/>
          <w:kern w:val="0"/>
          <w:sz w:val="21"/>
          <w:szCs w:val="21"/>
          <w:highlight w:val="none"/>
        </w:rPr>
      </w:pPr>
      <w:r>
        <w:rPr>
          <w:rFonts w:hint="eastAsia" w:ascii="宋体" w:hAnsi="宋体" w:eastAsia="宋体" w:cs="宋体"/>
          <w:b w:val="0"/>
          <w:bCs/>
          <w:color w:val="auto"/>
          <w:kern w:val="0"/>
          <w:sz w:val="21"/>
          <w:szCs w:val="21"/>
          <w:highlight w:val="none"/>
          <w:u w:val="single"/>
        </w:rPr>
        <w:t xml:space="preserve">     </w:t>
      </w:r>
      <w:r>
        <w:rPr>
          <w:rFonts w:hint="eastAsia" w:ascii="宋体" w:hAnsi="宋体" w:eastAsia="宋体" w:cs="宋体"/>
          <w:b w:val="0"/>
          <w:bCs/>
          <w:color w:val="auto"/>
          <w:spacing w:val="43"/>
          <w:kern w:val="0"/>
          <w:sz w:val="21"/>
          <w:szCs w:val="21"/>
          <w:highlight w:val="none"/>
          <w:u w:val="single"/>
        </w:rPr>
        <w:t xml:space="preserve"> </w:t>
      </w:r>
      <w:r>
        <w:rPr>
          <w:rFonts w:hint="eastAsia" w:ascii="宋体" w:hAnsi="宋体" w:eastAsia="宋体" w:cs="宋体"/>
          <w:b w:val="0"/>
          <w:bCs/>
          <w:color w:val="auto"/>
          <w:kern w:val="0"/>
          <w:sz w:val="21"/>
          <w:szCs w:val="21"/>
          <w:highlight w:val="none"/>
        </w:rPr>
        <w:t>年</w:t>
      </w:r>
      <w:r>
        <w:rPr>
          <w:rFonts w:hint="eastAsia" w:ascii="宋体" w:hAnsi="宋体" w:eastAsia="宋体" w:cs="宋体"/>
          <w:b w:val="0"/>
          <w:bCs/>
          <w:color w:val="auto"/>
          <w:kern w:val="0"/>
          <w:sz w:val="21"/>
          <w:szCs w:val="21"/>
          <w:highlight w:val="none"/>
          <w:u w:val="single"/>
        </w:rPr>
        <w:t xml:space="preserve">       </w:t>
      </w:r>
      <w:r>
        <w:rPr>
          <w:rFonts w:hint="eastAsia" w:ascii="宋体" w:hAnsi="宋体" w:eastAsia="宋体" w:cs="宋体"/>
          <w:b w:val="0"/>
          <w:bCs/>
          <w:color w:val="auto"/>
          <w:kern w:val="0"/>
          <w:sz w:val="21"/>
          <w:szCs w:val="21"/>
          <w:highlight w:val="none"/>
        </w:rPr>
        <w:t>月</w:t>
      </w:r>
      <w:r>
        <w:rPr>
          <w:rFonts w:hint="eastAsia" w:ascii="宋体" w:hAnsi="宋体" w:eastAsia="宋体" w:cs="宋体"/>
          <w:b w:val="0"/>
          <w:bCs/>
          <w:color w:val="auto"/>
          <w:kern w:val="0"/>
          <w:sz w:val="21"/>
          <w:szCs w:val="21"/>
          <w:highlight w:val="none"/>
          <w:u w:val="single"/>
          <w:lang w:val="en-US" w:eastAsia="zh-CN"/>
        </w:rPr>
        <w:t xml:space="preserve">      </w:t>
      </w:r>
      <w:r>
        <w:rPr>
          <w:rFonts w:hint="eastAsia" w:ascii="宋体" w:hAnsi="宋体" w:eastAsia="宋体" w:cs="宋体"/>
          <w:b w:val="0"/>
          <w:bCs/>
          <w:color w:val="auto"/>
          <w:kern w:val="0"/>
          <w:sz w:val="21"/>
          <w:szCs w:val="21"/>
          <w:highlight w:val="none"/>
        </w:rPr>
        <w:t>日</w:t>
      </w:r>
    </w:p>
    <w:p w14:paraId="27127DD9">
      <w:pPr>
        <w:pStyle w:val="6"/>
        <w:pageBreakBefore w:val="0"/>
        <w:kinsoku/>
        <w:overflowPunct/>
        <w:bidi w:val="0"/>
        <w:spacing w:line="360" w:lineRule="auto"/>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br w:type="page"/>
      </w:r>
      <w:r>
        <w:rPr>
          <w:rFonts w:hint="eastAsia" w:ascii="宋体" w:hAnsi="宋体" w:eastAsia="宋体" w:cs="宋体"/>
          <w:color w:val="auto"/>
          <w:sz w:val="24"/>
          <w:szCs w:val="24"/>
          <w:highlight w:val="none"/>
          <w:lang w:eastAsia="zh-CN"/>
        </w:rPr>
        <w:t>（二）</w:t>
      </w:r>
      <w:bookmarkEnd w:id="764"/>
      <w:r>
        <w:rPr>
          <w:rFonts w:hint="eastAsia" w:ascii="宋体" w:hAnsi="宋体" w:eastAsia="宋体" w:cs="宋体"/>
          <w:color w:val="auto"/>
          <w:sz w:val="24"/>
          <w:szCs w:val="24"/>
          <w:highlight w:val="none"/>
          <w:lang w:eastAsia="zh-CN"/>
        </w:rPr>
        <w:t>技术条款偏差表</w:t>
      </w:r>
    </w:p>
    <w:tbl>
      <w:tblPr>
        <w:tblStyle w:val="36"/>
        <w:tblW w:w="4997"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726"/>
        <w:gridCol w:w="1179"/>
        <w:gridCol w:w="2603"/>
        <w:gridCol w:w="2515"/>
        <w:gridCol w:w="1808"/>
      </w:tblGrid>
      <w:tr w14:paraId="5EE88C5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1" w:type="pct"/>
            <w:noWrap w:val="0"/>
            <w:vAlign w:val="center"/>
          </w:tcPr>
          <w:p w14:paraId="231E3BC6">
            <w:pPr>
              <w:pageBreakBefore w:val="0"/>
              <w:kinsoku/>
              <w:overflowPunct/>
              <w:bidi w:val="0"/>
              <w:snapToGrid w:val="0"/>
              <w:spacing w:before="312" w:beforeLines="100" w:after="312" w:afterLines="100"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667" w:type="pct"/>
            <w:noWrap w:val="0"/>
            <w:vAlign w:val="center"/>
          </w:tcPr>
          <w:p w14:paraId="6A7E0BE7">
            <w:pPr>
              <w:pageBreakBefore w:val="0"/>
              <w:kinsoku/>
              <w:overflowPunct/>
              <w:bidi w:val="0"/>
              <w:snapToGrid w:val="0"/>
              <w:spacing w:before="156" w:beforeLines="50" w:after="156" w:afterLines="50" w:line="360" w:lineRule="auto"/>
              <w:jc w:val="center"/>
              <w:rPr>
                <w:rFonts w:hint="eastAsia"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lang w:val="en-US" w:eastAsia="zh-CN"/>
              </w:rPr>
              <w:t>设备名称</w:t>
            </w:r>
          </w:p>
        </w:tc>
        <w:tc>
          <w:tcPr>
            <w:tcW w:w="1473" w:type="pct"/>
            <w:noWrap w:val="0"/>
            <w:vAlign w:val="center"/>
          </w:tcPr>
          <w:p w14:paraId="411B6801">
            <w:pPr>
              <w:pageBreakBefore w:val="0"/>
              <w:kinsoku/>
              <w:overflowPunct/>
              <w:bidi w:val="0"/>
              <w:snapToGrid w:val="0"/>
              <w:spacing w:before="156" w:beforeLines="50" w:after="156" w:afterLines="50"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招标文件</w:t>
            </w:r>
            <w:r>
              <w:rPr>
                <w:rFonts w:hint="eastAsia" w:ascii="宋体" w:hAnsi="宋体" w:eastAsia="宋体" w:cs="宋体"/>
                <w:color w:val="auto"/>
                <w:sz w:val="21"/>
                <w:szCs w:val="21"/>
                <w:highlight w:val="none"/>
              </w:rPr>
              <w:t>技术需求</w:t>
            </w:r>
          </w:p>
        </w:tc>
        <w:tc>
          <w:tcPr>
            <w:tcW w:w="1423" w:type="pct"/>
            <w:noWrap w:val="0"/>
            <w:vAlign w:val="center"/>
          </w:tcPr>
          <w:p w14:paraId="609F3B1F">
            <w:pPr>
              <w:pageBreakBefore w:val="0"/>
              <w:kinsoku/>
              <w:overflowPunct/>
              <w:bidi w:val="0"/>
              <w:snapToGrid w:val="0"/>
              <w:spacing w:before="156" w:beforeLines="50" w:after="156" w:afterLines="50" w:line="360" w:lineRule="auto"/>
              <w:jc w:val="center"/>
              <w:rPr>
                <w:rFonts w:hint="eastAsia" w:ascii="宋体" w:hAnsi="宋体" w:eastAsia="宋体" w:cs="宋体"/>
                <w:b/>
                <w:color w:val="auto"/>
                <w:sz w:val="21"/>
                <w:szCs w:val="21"/>
                <w:highlight w:val="none"/>
              </w:rPr>
            </w:pPr>
            <w:r>
              <w:rPr>
                <w:rFonts w:hint="eastAsia" w:ascii="宋体" w:hAnsi="宋体" w:eastAsia="宋体" w:cs="宋体"/>
                <w:color w:val="auto"/>
                <w:sz w:val="21"/>
                <w:szCs w:val="21"/>
                <w:highlight w:val="none"/>
                <w:lang w:eastAsia="zh-CN"/>
              </w:rPr>
              <w:t>投标文件</w:t>
            </w:r>
            <w:r>
              <w:rPr>
                <w:rFonts w:hint="eastAsia" w:ascii="宋体" w:hAnsi="宋体" w:eastAsia="宋体" w:cs="宋体"/>
                <w:color w:val="auto"/>
                <w:sz w:val="21"/>
                <w:szCs w:val="21"/>
                <w:highlight w:val="none"/>
              </w:rPr>
              <w:t>响应</w:t>
            </w:r>
            <w:r>
              <w:rPr>
                <w:rFonts w:hint="eastAsia" w:ascii="宋体" w:hAnsi="宋体" w:eastAsia="宋体" w:cs="宋体"/>
                <w:color w:val="auto"/>
                <w:sz w:val="21"/>
                <w:szCs w:val="21"/>
                <w:highlight w:val="none"/>
                <w:lang w:eastAsia="zh-CN"/>
              </w:rPr>
              <w:t>技术需求说明</w:t>
            </w:r>
            <w:r>
              <w:rPr>
                <w:rFonts w:hint="eastAsia" w:ascii="宋体" w:hAnsi="宋体" w:eastAsia="宋体" w:cs="宋体"/>
                <w:b/>
                <w:bCs/>
                <w:color w:val="auto"/>
                <w:sz w:val="21"/>
                <w:szCs w:val="21"/>
                <w:highlight w:val="none"/>
              </w:rPr>
              <w:t>（</w:t>
            </w:r>
            <w:r>
              <w:rPr>
                <w:rFonts w:hint="eastAsia" w:ascii="宋体" w:hAnsi="宋体" w:eastAsia="宋体" w:cs="宋体"/>
                <w:b/>
                <w:bCs/>
                <w:color w:val="auto"/>
                <w:sz w:val="21"/>
                <w:szCs w:val="21"/>
                <w:highlight w:val="none"/>
                <w:lang w:eastAsia="zh-CN"/>
              </w:rPr>
              <w:t>投标人</w:t>
            </w:r>
            <w:r>
              <w:rPr>
                <w:rFonts w:hint="eastAsia" w:ascii="宋体" w:hAnsi="宋体" w:eastAsia="宋体" w:cs="宋体"/>
                <w:b/>
                <w:bCs/>
                <w:color w:val="auto"/>
                <w:sz w:val="21"/>
                <w:szCs w:val="21"/>
                <w:highlight w:val="none"/>
              </w:rPr>
              <w:t>须应答）</w:t>
            </w:r>
          </w:p>
        </w:tc>
        <w:tc>
          <w:tcPr>
            <w:tcW w:w="1023" w:type="pct"/>
            <w:noWrap w:val="0"/>
            <w:vAlign w:val="center"/>
          </w:tcPr>
          <w:p w14:paraId="64EF68E4">
            <w:pPr>
              <w:pageBreakBefore w:val="0"/>
              <w:kinsoku/>
              <w:overflowPunct/>
              <w:bidi w:val="0"/>
              <w:snapToGrid w:val="0"/>
              <w:spacing w:before="156" w:beforeLines="50" w:after="156" w:afterLines="50"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偏差说明</w:t>
            </w:r>
          </w:p>
        </w:tc>
      </w:tr>
      <w:tr w14:paraId="4E7ECF2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1" w:type="pct"/>
            <w:noWrap w:val="0"/>
            <w:vAlign w:val="center"/>
          </w:tcPr>
          <w:p w14:paraId="33A74C30">
            <w:pPr>
              <w:pageBreakBefore w:val="0"/>
              <w:kinsoku/>
              <w:overflowPunct/>
              <w:bidi w:val="0"/>
              <w:snapToGrid w:val="0"/>
              <w:spacing w:before="312" w:beforeLines="100" w:after="312" w:afterLines="100" w:line="36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p>
        </w:tc>
        <w:tc>
          <w:tcPr>
            <w:tcW w:w="667" w:type="pct"/>
            <w:noWrap w:val="0"/>
            <w:vAlign w:val="center"/>
          </w:tcPr>
          <w:p w14:paraId="1F56D139">
            <w:pPr>
              <w:pageBreakBefore w:val="0"/>
              <w:kinsoku/>
              <w:overflowPunct/>
              <w:bidi w:val="0"/>
              <w:spacing w:line="360" w:lineRule="auto"/>
              <w:jc w:val="center"/>
              <w:rPr>
                <w:rFonts w:hint="eastAsia" w:ascii="宋体" w:hAnsi="宋体" w:eastAsia="宋体" w:cs="宋体"/>
                <w:color w:val="auto"/>
                <w:sz w:val="21"/>
                <w:szCs w:val="21"/>
                <w:highlight w:val="none"/>
              </w:rPr>
            </w:pPr>
          </w:p>
        </w:tc>
        <w:tc>
          <w:tcPr>
            <w:tcW w:w="1473" w:type="pct"/>
            <w:noWrap w:val="0"/>
            <w:vAlign w:val="center"/>
          </w:tcPr>
          <w:p w14:paraId="3B846281">
            <w:pPr>
              <w:pageBreakBefore w:val="0"/>
              <w:kinsoku/>
              <w:overflowPunct/>
              <w:bidi w:val="0"/>
              <w:spacing w:line="360" w:lineRule="auto"/>
              <w:jc w:val="center"/>
              <w:rPr>
                <w:rFonts w:hint="eastAsia" w:ascii="宋体" w:hAnsi="宋体" w:eastAsia="宋体" w:cs="宋体"/>
                <w:color w:val="auto"/>
                <w:sz w:val="21"/>
                <w:szCs w:val="21"/>
                <w:highlight w:val="none"/>
              </w:rPr>
            </w:pPr>
          </w:p>
        </w:tc>
        <w:tc>
          <w:tcPr>
            <w:tcW w:w="1423" w:type="pct"/>
            <w:noWrap w:val="0"/>
            <w:vAlign w:val="center"/>
          </w:tcPr>
          <w:p w14:paraId="1F8E73FE">
            <w:pPr>
              <w:pageBreakBefore w:val="0"/>
              <w:kinsoku/>
              <w:overflowPunct/>
              <w:bidi w:val="0"/>
              <w:spacing w:line="360" w:lineRule="auto"/>
              <w:jc w:val="center"/>
              <w:rPr>
                <w:rFonts w:hint="eastAsia" w:ascii="宋体" w:hAnsi="宋体" w:eastAsia="宋体" w:cs="宋体"/>
                <w:color w:val="auto"/>
                <w:sz w:val="21"/>
                <w:szCs w:val="21"/>
                <w:highlight w:val="none"/>
              </w:rPr>
            </w:pPr>
          </w:p>
        </w:tc>
        <w:tc>
          <w:tcPr>
            <w:tcW w:w="1023" w:type="pct"/>
            <w:noWrap w:val="0"/>
            <w:vAlign w:val="center"/>
          </w:tcPr>
          <w:p w14:paraId="1F12FEF8">
            <w:pPr>
              <w:pageBreakBefore w:val="0"/>
              <w:kinsoku/>
              <w:overflowPunct/>
              <w:bidi w:val="0"/>
              <w:spacing w:line="360" w:lineRule="auto"/>
              <w:jc w:val="center"/>
              <w:rPr>
                <w:rFonts w:hint="eastAsia" w:ascii="宋体" w:hAnsi="宋体" w:eastAsia="宋体" w:cs="宋体"/>
                <w:color w:val="auto"/>
                <w:sz w:val="21"/>
                <w:szCs w:val="21"/>
                <w:highlight w:val="none"/>
              </w:rPr>
            </w:pPr>
          </w:p>
        </w:tc>
      </w:tr>
      <w:tr w14:paraId="64A6B6D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1" w:type="pct"/>
            <w:noWrap w:val="0"/>
            <w:vAlign w:val="center"/>
          </w:tcPr>
          <w:p w14:paraId="7AC1D081">
            <w:pPr>
              <w:pageBreakBefore w:val="0"/>
              <w:kinsoku/>
              <w:overflowPunct/>
              <w:bidi w:val="0"/>
              <w:snapToGrid w:val="0"/>
              <w:spacing w:before="312" w:beforeLines="100" w:after="312" w:afterLines="100" w:line="36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w:t>
            </w:r>
          </w:p>
        </w:tc>
        <w:tc>
          <w:tcPr>
            <w:tcW w:w="667" w:type="pct"/>
            <w:noWrap w:val="0"/>
            <w:vAlign w:val="center"/>
          </w:tcPr>
          <w:p w14:paraId="00BC4131">
            <w:pPr>
              <w:pageBreakBefore w:val="0"/>
              <w:kinsoku/>
              <w:overflowPunct/>
              <w:bidi w:val="0"/>
              <w:spacing w:line="360" w:lineRule="auto"/>
              <w:jc w:val="center"/>
              <w:rPr>
                <w:rFonts w:hint="eastAsia" w:ascii="宋体" w:hAnsi="宋体" w:eastAsia="宋体" w:cs="宋体"/>
                <w:color w:val="auto"/>
                <w:sz w:val="21"/>
                <w:szCs w:val="21"/>
                <w:highlight w:val="none"/>
              </w:rPr>
            </w:pPr>
          </w:p>
        </w:tc>
        <w:tc>
          <w:tcPr>
            <w:tcW w:w="1473" w:type="pct"/>
            <w:noWrap w:val="0"/>
            <w:vAlign w:val="center"/>
          </w:tcPr>
          <w:p w14:paraId="4B192CD6">
            <w:pPr>
              <w:pageBreakBefore w:val="0"/>
              <w:kinsoku/>
              <w:overflowPunct/>
              <w:bidi w:val="0"/>
              <w:spacing w:line="360" w:lineRule="auto"/>
              <w:jc w:val="center"/>
              <w:rPr>
                <w:rFonts w:hint="eastAsia" w:ascii="宋体" w:hAnsi="宋体" w:eastAsia="宋体" w:cs="宋体"/>
                <w:color w:val="auto"/>
                <w:sz w:val="21"/>
                <w:szCs w:val="21"/>
                <w:highlight w:val="none"/>
              </w:rPr>
            </w:pPr>
          </w:p>
        </w:tc>
        <w:tc>
          <w:tcPr>
            <w:tcW w:w="1423" w:type="pct"/>
            <w:noWrap w:val="0"/>
            <w:vAlign w:val="center"/>
          </w:tcPr>
          <w:p w14:paraId="102FA9B5">
            <w:pPr>
              <w:pageBreakBefore w:val="0"/>
              <w:kinsoku/>
              <w:overflowPunct/>
              <w:bidi w:val="0"/>
              <w:spacing w:line="360" w:lineRule="auto"/>
              <w:jc w:val="center"/>
              <w:rPr>
                <w:rFonts w:hint="eastAsia" w:ascii="宋体" w:hAnsi="宋体" w:eastAsia="宋体" w:cs="宋体"/>
                <w:color w:val="auto"/>
                <w:sz w:val="21"/>
                <w:szCs w:val="21"/>
                <w:highlight w:val="none"/>
              </w:rPr>
            </w:pPr>
          </w:p>
        </w:tc>
        <w:tc>
          <w:tcPr>
            <w:tcW w:w="1023" w:type="pct"/>
            <w:noWrap w:val="0"/>
            <w:vAlign w:val="center"/>
          </w:tcPr>
          <w:p w14:paraId="31BAAB6D">
            <w:pPr>
              <w:pageBreakBefore w:val="0"/>
              <w:kinsoku/>
              <w:overflowPunct/>
              <w:bidi w:val="0"/>
              <w:spacing w:line="360" w:lineRule="auto"/>
              <w:jc w:val="center"/>
              <w:rPr>
                <w:rFonts w:hint="eastAsia" w:ascii="宋体" w:hAnsi="宋体" w:eastAsia="宋体" w:cs="宋体"/>
                <w:color w:val="auto"/>
                <w:sz w:val="21"/>
                <w:szCs w:val="21"/>
                <w:highlight w:val="none"/>
              </w:rPr>
            </w:pPr>
          </w:p>
        </w:tc>
      </w:tr>
      <w:tr w14:paraId="4F10138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1" w:type="pct"/>
            <w:noWrap w:val="0"/>
            <w:vAlign w:val="center"/>
          </w:tcPr>
          <w:p w14:paraId="0BA8D846">
            <w:pPr>
              <w:pageBreakBefore w:val="0"/>
              <w:kinsoku/>
              <w:overflowPunct/>
              <w:bidi w:val="0"/>
              <w:snapToGrid w:val="0"/>
              <w:spacing w:before="312" w:beforeLines="100" w:after="312" w:afterLines="100"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w:t>
            </w:r>
          </w:p>
        </w:tc>
        <w:tc>
          <w:tcPr>
            <w:tcW w:w="667" w:type="pct"/>
            <w:noWrap w:val="0"/>
            <w:vAlign w:val="center"/>
          </w:tcPr>
          <w:p w14:paraId="2C10E940">
            <w:pPr>
              <w:pageBreakBefore w:val="0"/>
              <w:kinsoku/>
              <w:overflowPunct/>
              <w:bidi w:val="0"/>
              <w:spacing w:line="360" w:lineRule="auto"/>
              <w:jc w:val="center"/>
              <w:rPr>
                <w:rFonts w:hint="eastAsia" w:ascii="宋体" w:hAnsi="宋体" w:eastAsia="宋体" w:cs="宋体"/>
                <w:color w:val="auto"/>
                <w:sz w:val="21"/>
                <w:szCs w:val="21"/>
                <w:highlight w:val="none"/>
              </w:rPr>
            </w:pPr>
          </w:p>
        </w:tc>
        <w:tc>
          <w:tcPr>
            <w:tcW w:w="1473" w:type="pct"/>
            <w:noWrap w:val="0"/>
            <w:vAlign w:val="center"/>
          </w:tcPr>
          <w:p w14:paraId="6D595446">
            <w:pPr>
              <w:pageBreakBefore w:val="0"/>
              <w:kinsoku/>
              <w:overflowPunct/>
              <w:bidi w:val="0"/>
              <w:spacing w:line="360" w:lineRule="auto"/>
              <w:jc w:val="center"/>
              <w:rPr>
                <w:rFonts w:hint="eastAsia" w:ascii="宋体" w:hAnsi="宋体" w:eastAsia="宋体" w:cs="宋体"/>
                <w:color w:val="auto"/>
                <w:sz w:val="21"/>
                <w:szCs w:val="21"/>
                <w:highlight w:val="none"/>
              </w:rPr>
            </w:pPr>
          </w:p>
        </w:tc>
        <w:tc>
          <w:tcPr>
            <w:tcW w:w="1423" w:type="pct"/>
            <w:noWrap w:val="0"/>
            <w:vAlign w:val="center"/>
          </w:tcPr>
          <w:p w14:paraId="13FBDF3D">
            <w:pPr>
              <w:pageBreakBefore w:val="0"/>
              <w:kinsoku/>
              <w:overflowPunct/>
              <w:bidi w:val="0"/>
              <w:spacing w:line="360" w:lineRule="auto"/>
              <w:jc w:val="center"/>
              <w:rPr>
                <w:rFonts w:hint="eastAsia" w:ascii="宋体" w:hAnsi="宋体" w:eastAsia="宋体" w:cs="宋体"/>
                <w:color w:val="auto"/>
                <w:sz w:val="21"/>
                <w:szCs w:val="21"/>
                <w:highlight w:val="none"/>
              </w:rPr>
            </w:pPr>
          </w:p>
        </w:tc>
        <w:tc>
          <w:tcPr>
            <w:tcW w:w="1023" w:type="pct"/>
            <w:noWrap w:val="0"/>
            <w:vAlign w:val="center"/>
          </w:tcPr>
          <w:p w14:paraId="6E3AF52A">
            <w:pPr>
              <w:pageBreakBefore w:val="0"/>
              <w:kinsoku/>
              <w:overflowPunct/>
              <w:bidi w:val="0"/>
              <w:spacing w:line="360" w:lineRule="auto"/>
              <w:jc w:val="center"/>
              <w:rPr>
                <w:rFonts w:hint="eastAsia" w:ascii="宋体" w:hAnsi="宋体" w:eastAsia="宋体" w:cs="宋体"/>
                <w:color w:val="auto"/>
                <w:sz w:val="21"/>
                <w:szCs w:val="21"/>
                <w:highlight w:val="none"/>
              </w:rPr>
            </w:pPr>
          </w:p>
        </w:tc>
      </w:tr>
    </w:tbl>
    <w:p w14:paraId="6218F639">
      <w:pPr>
        <w:pStyle w:val="131"/>
        <w:keepNext w:val="0"/>
        <w:keepLines w:val="0"/>
        <w:pageBreakBefore w:val="0"/>
        <w:widowControl w:val="0"/>
        <w:numPr>
          <w:ilvl w:val="0"/>
          <w:numId w:val="0"/>
        </w:numPr>
        <w:kinsoku/>
        <w:wordWrap/>
        <w:overflowPunct/>
        <w:topLinePunct w:val="0"/>
        <w:bidi w:val="0"/>
        <w:adjustRightInd w:val="0"/>
        <w:spacing w:after="0" w:afterLines="0" w:line="360" w:lineRule="auto"/>
        <w:ind w:right="0" w:rightChars="0"/>
        <w:textAlignment w:val="auto"/>
        <w:rPr>
          <w:rFonts w:hint="eastAsia" w:ascii="宋体" w:hAnsi="宋体" w:eastAsia="宋体" w:cs="宋体"/>
          <w:color w:val="auto"/>
          <w:szCs w:val="21"/>
          <w:highlight w:val="none"/>
          <w:lang w:eastAsia="zh-CN"/>
        </w:rPr>
      </w:pPr>
    </w:p>
    <w:p w14:paraId="0B09AD1F">
      <w:pPr>
        <w:pStyle w:val="131"/>
        <w:keepNext w:val="0"/>
        <w:keepLines w:val="0"/>
        <w:pageBreakBefore w:val="0"/>
        <w:widowControl w:val="0"/>
        <w:numPr>
          <w:ilvl w:val="0"/>
          <w:numId w:val="0"/>
        </w:numPr>
        <w:kinsoku/>
        <w:wordWrap/>
        <w:overflowPunct/>
        <w:topLinePunct w:val="0"/>
        <w:bidi w:val="0"/>
        <w:adjustRightInd w:val="0"/>
        <w:spacing w:after="0" w:afterLines="0" w:line="360" w:lineRule="auto"/>
        <w:ind w:right="0" w:rightChars="0" w:firstLine="48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Cs w:val="21"/>
          <w:highlight w:val="none"/>
          <w:lang w:eastAsia="zh-CN"/>
        </w:rPr>
        <w:t>注：</w:t>
      </w:r>
      <w:r>
        <w:rPr>
          <w:rFonts w:hint="eastAsia" w:ascii="宋体" w:hAnsi="宋体" w:eastAsia="宋体" w:cs="宋体"/>
          <w:color w:val="auto"/>
          <w:sz w:val="21"/>
          <w:szCs w:val="21"/>
          <w:highlight w:val="none"/>
        </w:rPr>
        <w:t xml:space="preserve">1. </w:t>
      </w:r>
      <w:r>
        <w:rPr>
          <w:rFonts w:hint="eastAsia" w:ascii="宋体" w:hAnsi="宋体" w:eastAsia="宋体" w:cs="宋体"/>
          <w:color w:val="auto"/>
          <w:sz w:val="21"/>
          <w:szCs w:val="21"/>
          <w:highlight w:val="none"/>
          <w:lang w:eastAsia="zh-CN"/>
        </w:rPr>
        <w:t>投标人</w:t>
      </w:r>
      <w:r>
        <w:rPr>
          <w:rFonts w:hint="eastAsia" w:ascii="宋体" w:hAnsi="宋体" w:eastAsia="宋体" w:cs="宋体"/>
          <w:color w:val="auto"/>
          <w:sz w:val="21"/>
          <w:szCs w:val="21"/>
          <w:highlight w:val="none"/>
        </w:rPr>
        <w:t>需按</w:t>
      </w:r>
      <w:r>
        <w:rPr>
          <w:rFonts w:hint="eastAsia" w:ascii="宋体" w:hAnsi="宋体" w:eastAsia="宋体" w:cs="宋体"/>
          <w:color w:val="auto"/>
          <w:sz w:val="21"/>
          <w:szCs w:val="21"/>
          <w:highlight w:val="none"/>
          <w:lang w:eastAsia="zh-CN"/>
        </w:rPr>
        <w:t>招标文件</w:t>
      </w:r>
      <w:r>
        <w:rPr>
          <w:rFonts w:hint="eastAsia" w:ascii="宋体" w:hAnsi="宋体" w:eastAsia="宋体" w:cs="宋体"/>
          <w:color w:val="auto"/>
          <w:sz w:val="21"/>
          <w:szCs w:val="21"/>
          <w:highlight w:val="none"/>
        </w:rPr>
        <w:t>第</w:t>
      </w:r>
      <w:r>
        <w:rPr>
          <w:rFonts w:hint="eastAsia" w:ascii="宋体" w:hAnsi="宋体" w:eastAsia="宋体" w:cs="宋体"/>
          <w:color w:val="auto"/>
          <w:sz w:val="21"/>
          <w:szCs w:val="21"/>
          <w:highlight w:val="none"/>
          <w:lang w:val="en-US" w:eastAsia="zh-CN"/>
        </w:rPr>
        <w:t>六</w:t>
      </w:r>
      <w:r>
        <w:rPr>
          <w:rFonts w:hint="eastAsia" w:ascii="宋体" w:hAnsi="宋体" w:eastAsia="宋体" w:cs="宋体"/>
          <w:color w:val="auto"/>
          <w:sz w:val="21"/>
          <w:szCs w:val="21"/>
          <w:highlight w:val="none"/>
        </w:rPr>
        <w:t>章“</w:t>
      </w:r>
      <w:r>
        <w:rPr>
          <w:rFonts w:hint="eastAsia" w:ascii="宋体" w:hAnsi="宋体" w:eastAsia="宋体" w:cs="宋体"/>
          <w:color w:val="auto"/>
          <w:sz w:val="21"/>
          <w:szCs w:val="21"/>
          <w:highlight w:val="none"/>
          <w:lang w:eastAsia="zh-CN"/>
        </w:rPr>
        <w:t>采购需求</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第</w:t>
      </w:r>
      <w:r>
        <w:rPr>
          <w:rFonts w:hint="eastAsia" w:ascii="宋体" w:hAnsi="宋体" w:eastAsia="宋体" w:cs="宋体"/>
          <w:color w:val="auto"/>
          <w:sz w:val="21"/>
          <w:szCs w:val="21"/>
          <w:highlight w:val="none"/>
        </w:rPr>
        <w:t>三</w:t>
      </w:r>
      <w:r>
        <w:rPr>
          <w:rFonts w:hint="eastAsia" w:ascii="宋体" w:hAnsi="宋体" w:eastAsia="宋体" w:cs="宋体"/>
          <w:color w:val="auto"/>
          <w:sz w:val="21"/>
          <w:szCs w:val="21"/>
          <w:highlight w:val="none"/>
          <w:lang w:val="en-US" w:eastAsia="zh-CN"/>
        </w:rPr>
        <w:t>条中的</w:t>
      </w:r>
      <w:r>
        <w:rPr>
          <w:rFonts w:hint="eastAsia" w:ascii="宋体" w:hAnsi="宋体" w:eastAsia="宋体" w:cs="宋体"/>
          <w:b/>
          <w:bCs/>
          <w:color w:val="auto"/>
          <w:sz w:val="21"/>
          <w:szCs w:val="21"/>
          <w:highlight w:val="none"/>
          <w:lang w:val="en-US" w:eastAsia="zh-CN"/>
        </w:rPr>
        <w:t>3.2</w:t>
      </w:r>
      <w:r>
        <w:rPr>
          <w:rFonts w:hint="eastAsia" w:ascii="宋体" w:hAnsi="宋体" w:eastAsia="宋体" w:cs="宋体"/>
          <w:b/>
          <w:bCs/>
          <w:color w:val="auto"/>
          <w:kern w:val="0"/>
          <w:sz w:val="21"/>
          <w:szCs w:val="21"/>
          <w:highlight w:val="none"/>
          <w:lang w:val="en-US" w:eastAsia="zh-CN" w:bidi="ar"/>
        </w:rPr>
        <w:t>技术参数要求</w:t>
      </w:r>
      <w:r>
        <w:rPr>
          <w:rFonts w:hint="eastAsia" w:ascii="宋体" w:hAnsi="宋体" w:eastAsia="宋体" w:cs="宋体"/>
          <w:color w:val="auto"/>
          <w:sz w:val="21"/>
          <w:szCs w:val="21"/>
          <w:highlight w:val="none"/>
          <w:lang w:eastAsia="zh-CN"/>
        </w:rPr>
        <w:t>填写</w:t>
      </w:r>
      <w:r>
        <w:rPr>
          <w:rFonts w:hint="eastAsia" w:ascii="宋体" w:hAnsi="宋体" w:eastAsia="宋体" w:cs="宋体"/>
          <w:color w:val="auto"/>
          <w:sz w:val="21"/>
          <w:szCs w:val="21"/>
          <w:highlight w:val="none"/>
        </w:rPr>
        <w:t>，应</w:t>
      </w:r>
      <w:r>
        <w:rPr>
          <w:rFonts w:hint="eastAsia" w:ascii="宋体" w:hAnsi="宋体" w:eastAsia="宋体" w:cs="宋体"/>
          <w:color w:val="auto"/>
          <w:sz w:val="21"/>
          <w:szCs w:val="21"/>
          <w:highlight w:val="none"/>
          <w:lang w:eastAsia="zh-CN"/>
        </w:rPr>
        <w:t>填写</w:t>
      </w:r>
      <w:r>
        <w:rPr>
          <w:rFonts w:hint="eastAsia" w:ascii="宋体" w:hAnsi="宋体" w:eastAsia="宋体" w:cs="宋体"/>
          <w:color w:val="auto"/>
          <w:sz w:val="21"/>
          <w:szCs w:val="21"/>
          <w:highlight w:val="none"/>
        </w:rPr>
        <w:t>以“满足”或“不满足”，列出所投产品或服务的具体技术指标，并辅以详细解释。除“满足”项目外，必须在偏差说明一栏中对偏差予以详细说明。</w:t>
      </w:r>
    </w:p>
    <w:p w14:paraId="63404996">
      <w:pPr>
        <w:pStyle w:val="131"/>
        <w:keepNext w:val="0"/>
        <w:keepLines w:val="0"/>
        <w:pageBreakBefore w:val="0"/>
        <w:widowControl w:val="0"/>
        <w:numPr>
          <w:ilvl w:val="0"/>
          <w:numId w:val="0"/>
        </w:numPr>
        <w:kinsoku/>
        <w:wordWrap/>
        <w:overflowPunct/>
        <w:topLinePunct w:val="0"/>
        <w:bidi w:val="0"/>
        <w:adjustRightInd w:val="0"/>
        <w:spacing w:after="0" w:afterLines="0" w:line="360" w:lineRule="auto"/>
        <w:ind w:right="0" w:righ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 投标</w:t>
      </w:r>
      <w:r>
        <w:rPr>
          <w:rFonts w:hint="eastAsia" w:ascii="宋体" w:hAnsi="宋体" w:eastAsia="宋体" w:cs="宋体"/>
          <w:color w:val="auto"/>
          <w:sz w:val="21"/>
          <w:szCs w:val="21"/>
          <w:highlight w:val="none"/>
          <w:lang w:eastAsia="zh-CN"/>
        </w:rPr>
        <w:t>人</w:t>
      </w:r>
      <w:r>
        <w:rPr>
          <w:rFonts w:hint="eastAsia" w:ascii="宋体" w:hAnsi="宋体" w:eastAsia="宋体" w:cs="宋体"/>
          <w:color w:val="auto"/>
          <w:sz w:val="21"/>
          <w:szCs w:val="21"/>
          <w:highlight w:val="none"/>
        </w:rPr>
        <w:t>可根据其投标内容进一步细化上述表格，并可增添其它表格或说明以便进一步明确投标内容。</w:t>
      </w:r>
    </w:p>
    <w:p w14:paraId="4626D45A">
      <w:pPr>
        <w:pStyle w:val="131"/>
        <w:keepNext w:val="0"/>
        <w:keepLines w:val="0"/>
        <w:pageBreakBefore w:val="0"/>
        <w:widowControl w:val="0"/>
        <w:numPr>
          <w:ilvl w:val="0"/>
          <w:numId w:val="0"/>
        </w:numPr>
        <w:kinsoku/>
        <w:wordWrap/>
        <w:overflowPunct/>
        <w:topLinePunct w:val="0"/>
        <w:bidi w:val="0"/>
        <w:adjustRightInd w:val="0"/>
        <w:spacing w:after="0" w:afterLines="0" w:line="360" w:lineRule="auto"/>
        <w:ind w:right="0" w:righ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 w:val="21"/>
          <w:szCs w:val="21"/>
          <w:highlight w:val="none"/>
          <w:lang w:val="en-US" w:eastAsia="zh-CN"/>
        </w:rPr>
        <w:t>3.未按要求填写，可能会造成不良后果，投标人自行承担。</w:t>
      </w:r>
    </w:p>
    <w:p w14:paraId="39C0D2EB">
      <w:pPr>
        <w:pStyle w:val="2"/>
        <w:pageBreakBefore w:val="0"/>
        <w:kinsoku/>
        <w:overflowPunct/>
        <w:bidi w:val="0"/>
        <w:spacing w:line="360" w:lineRule="auto"/>
        <w:rPr>
          <w:rFonts w:hint="eastAsia" w:ascii="宋体" w:hAnsi="宋体" w:eastAsia="宋体" w:cs="宋体"/>
          <w:color w:val="auto"/>
          <w:highlight w:val="none"/>
          <w:lang w:eastAsia="zh-CN"/>
        </w:rPr>
      </w:pPr>
    </w:p>
    <w:p w14:paraId="54164897">
      <w:pPr>
        <w:pageBreakBefore w:val="0"/>
        <w:kinsoku/>
        <w:overflowPunct/>
        <w:bidi w:val="0"/>
        <w:spacing w:line="360" w:lineRule="auto"/>
        <w:ind w:firstLine="3360" w:firstLineChars="1600"/>
        <w:rPr>
          <w:rFonts w:hint="eastAsia" w:ascii="宋体" w:hAnsi="宋体" w:eastAsia="宋体" w:cs="宋体"/>
          <w:b w:val="0"/>
          <w:bCs/>
          <w:color w:val="auto"/>
          <w:szCs w:val="21"/>
          <w:highlight w:val="none"/>
        </w:rPr>
      </w:pPr>
      <w:r>
        <w:rPr>
          <w:rFonts w:hint="eastAsia" w:ascii="宋体" w:hAnsi="宋体" w:eastAsia="宋体" w:cs="宋体"/>
          <w:color w:val="auto"/>
          <w:kern w:val="0"/>
          <w:sz w:val="21"/>
          <w:szCs w:val="21"/>
          <w:highlight w:val="none"/>
          <w:lang w:eastAsia="zh-CN"/>
        </w:rPr>
        <w:t>投</w:t>
      </w:r>
      <w:r>
        <w:rPr>
          <w:rFonts w:hint="eastAsia" w:ascii="宋体" w:hAnsi="宋体" w:eastAsia="宋体" w:cs="宋体"/>
          <w:color w:val="auto"/>
          <w:kern w:val="0"/>
          <w:sz w:val="21"/>
          <w:szCs w:val="21"/>
          <w:highlight w:val="none"/>
          <w:lang w:val="en-US" w:eastAsia="zh-CN"/>
        </w:rPr>
        <w:t xml:space="preserve"> </w:t>
      </w:r>
      <w:r>
        <w:rPr>
          <w:rFonts w:hint="eastAsia" w:ascii="宋体" w:hAnsi="宋体" w:eastAsia="宋体" w:cs="宋体"/>
          <w:color w:val="auto"/>
          <w:kern w:val="0"/>
          <w:sz w:val="21"/>
          <w:szCs w:val="21"/>
          <w:highlight w:val="none"/>
          <w:lang w:eastAsia="zh-CN"/>
        </w:rPr>
        <w:t>标</w:t>
      </w:r>
      <w:r>
        <w:rPr>
          <w:rFonts w:hint="eastAsia" w:ascii="宋体" w:hAnsi="宋体" w:eastAsia="宋体" w:cs="宋体"/>
          <w:color w:val="auto"/>
          <w:kern w:val="0"/>
          <w:sz w:val="21"/>
          <w:szCs w:val="21"/>
          <w:highlight w:val="none"/>
          <w:lang w:val="en-US" w:eastAsia="zh-CN"/>
        </w:rPr>
        <w:t xml:space="preserve"> </w:t>
      </w:r>
      <w:r>
        <w:rPr>
          <w:rFonts w:hint="eastAsia" w:ascii="宋体" w:hAnsi="宋体" w:eastAsia="宋体" w:cs="宋体"/>
          <w:color w:val="auto"/>
          <w:kern w:val="0"/>
          <w:sz w:val="21"/>
          <w:szCs w:val="21"/>
          <w:highlight w:val="none"/>
          <w:lang w:eastAsia="zh-CN"/>
        </w:rPr>
        <w:t>人</w:t>
      </w:r>
      <w:r>
        <w:rPr>
          <w:rFonts w:hint="eastAsia" w:ascii="宋体" w:hAnsi="宋体" w:eastAsia="宋体" w:cs="宋体"/>
          <w:b w:val="0"/>
          <w:bCs/>
          <w:color w:val="auto"/>
          <w:szCs w:val="21"/>
          <w:highlight w:val="none"/>
        </w:rPr>
        <w:t>：</w:t>
      </w:r>
      <w:r>
        <w:rPr>
          <w:rFonts w:hint="eastAsia" w:ascii="宋体" w:hAnsi="宋体" w:eastAsia="宋体" w:cs="宋体"/>
          <w:b w:val="0"/>
          <w:bCs/>
          <w:color w:val="auto"/>
          <w:szCs w:val="21"/>
          <w:highlight w:val="none"/>
          <w:u w:val="single"/>
        </w:rPr>
        <w:t xml:space="preserve"> </w:t>
      </w:r>
      <w:r>
        <w:rPr>
          <w:rFonts w:hint="eastAsia" w:ascii="宋体" w:hAnsi="宋体" w:eastAsia="宋体" w:cs="宋体"/>
          <w:b w:val="0"/>
          <w:bCs/>
          <w:color w:val="auto"/>
          <w:szCs w:val="21"/>
          <w:highlight w:val="none"/>
          <w:u w:val="single"/>
          <w:lang w:val="en-US" w:eastAsia="zh-CN"/>
        </w:rPr>
        <w:t xml:space="preserve">                     </w:t>
      </w:r>
      <w:r>
        <w:rPr>
          <w:rFonts w:hint="eastAsia" w:ascii="宋体" w:hAnsi="宋体" w:eastAsia="宋体" w:cs="宋体"/>
          <w:b w:val="0"/>
          <w:bCs/>
          <w:color w:val="auto"/>
          <w:szCs w:val="21"/>
          <w:highlight w:val="none"/>
        </w:rPr>
        <w:t>（</w:t>
      </w:r>
      <w:r>
        <w:rPr>
          <w:rFonts w:hint="eastAsia" w:ascii="宋体" w:hAnsi="宋体" w:eastAsia="宋体" w:cs="宋体"/>
          <w:b w:val="0"/>
          <w:bCs/>
          <w:color w:val="auto"/>
          <w:szCs w:val="21"/>
          <w:highlight w:val="none"/>
          <w:lang w:eastAsia="zh-CN"/>
        </w:rPr>
        <w:t>盖章</w:t>
      </w:r>
      <w:r>
        <w:rPr>
          <w:rFonts w:hint="eastAsia" w:ascii="宋体" w:hAnsi="宋体" w:eastAsia="宋体" w:cs="宋体"/>
          <w:b w:val="0"/>
          <w:bCs/>
          <w:color w:val="auto"/>
          <w:szCs w:val="21"/>
          <w:highlight w:val="none"/>
        </w:rPr>
        <w:t>）</w:t>
      </w:r>
    </w:p>
    <w:p w14:paraId="4900882E">
      <w:pPr>
        <w:pageBreakBefore w:val="0"/>
        <w:kinsoku/>
        <w:overflowPunct/>
        <w:bidi w:val="0"/>
        <w:spacing w:line="360" w:lineRule="auto"/>
        <w:ind w:firstLine="3360" w:firstLineChars="1600"/>
        <w:rPr>
          <w:rFonts w:hint="eastAsia" w:ascii="宋体" w:hAnsi="宋体" w:eastAsia="宋体" w:cs="宋体"/>
          <w:b w:val="0"/>
          <w:bCs/>
          <w:color w:val="auto"/>
          <w:szCs w:val="21"/>
          <w:highlight w:val="none"/>
        </w:rPr>
      </w:pPr>
      <w:r>
        <w:rPr>
          <w:rFonts w:hint="eastAsia" w:ascii="宋体" w:hAnsi="宋体" w:eastAsia="宋体" w:cs="宋体"/>
          <w:b w:val="0"/>
          <w:bCs/>
          <w:color w:val="auto"/>
          <w:szCs w:val="21"/>
          <w:highlight w:val="none"/>
        </w:rPr>
        <w:t>法定代表人或其委托代理人：</w:t>
      </w:r>
      <w:r>
        <w:rPr>
          <w:rFonts w:hint="eastAsia" w:ascii="宋体" w:hAnsi="宋体" w:eastAsia="宋体" w:cs="宋体"/>
          <w:b w:val="0"/>
          <w:bCs/>
          <w:color w:val="auto"/>
          <w:szCs w:val="21"/>
          <w:highlight w:val="none"/>
          <w:u w:val="single"/>
        </w:rPr>
        <w:t xml:space="preserve"> </w:t>
      </w:r>
      <w:r>
        <w:rPr>
          <w:rFonts w:hint="eastAsia" w:ascii="宋体" w:hAnsi="宋体" w:eastAsia="宋体" w:cs="宋体"/>
          <w:b w:val="0"/>
          <w:bCs/>
          <w:color w:val="auto"/>
          <w:szCs w:val="21"/>
          <w:highlight w:val="none"/>
          <w:u w:val="single"/>
          <w:lang w:val="en-US" w:eastAsia="zh-CN"/>
        </w:rPr>
        <w:t xml:space="preserve">       </w:t>
      </w:r>
      <w:r>
        <w:rPr>
          <w:rFonts w:hint="eastAsia" w:ascii="宋体" w:hAnsi="宋体" w:eastAsia="宋体" w:cs="宋体"/>
          <w:b w:val="0"/>
          <w:bCs/>
          <w:color w:val="auto"/>
          <w:szCs w:val="21"/>
          <w:highlight w:val="none"/>
        </w:rPr>
        <w:t>（</w:t>
      </w:r>
      <w:r>
        <w:rPr>
          <w:rFonts w:hint="eastAsia" w:ascii="宋体" w:hAnsi="宋体" w:eastAsia="宋体" w:cs="宋体"/>
          <w:color w:val="auto"/>
          <w:szCs w:val="21"/>
          <w:highlight w:val="none"/>
        </w:rPr>
        <w:t>签字或盖章</w:t>
      </w:r>
      <w:r>
        <w:rPr>
          <w:rFonts w:hint="eastAsia" w:ascii="宋体" w:hAnsi="宋体" w:eastAsia="宋体" w:cs="宋体"/>
          <w:b w:val="0"/>
          <w:bCs/>
          <w:color w:val="auto"/>
          <w:szCs w:val="21"/>
          <w:highlight w:val="none"/>
        </w:rPr>
        <w:t>）</w:t>
      </w:r>
    </w:p>
    <w:p w14:paraId="66E08F78">
      <w:pPr>
        <w:keepNext w:val="0"/>
        <w:keepLines w:val="0"/>
        <w:pageBreakBefore w:val="0"/>
        <w:widowControl w:val="0"/>
        <w:tabs>
          <w:tab w:val="left" w:pos="5380"/>
          <w:tab w:val="left" w:pos="6520"/>
          <w:tab w:val="left" w:pos="7680"/>
        </w:tabs>
        <w:kinsoku/>
        <w:wordWrap/>
        <w:overflowPunct/>
        <w:topLinePunct w:val="0"/>
        <w:autoSpaceDE w:val="0"/>
        <w:autoSpaceDN w:val="0"/>
        <w:bidi w:val="0"/>
        <w:adjustRightInd w:val="0"/>
        <w:snapToGrid/>
        <w:spacing w:line="360" w:lineRule="auto"/>
        <w:ind w:right="-23" w:rightChars="0" w:firstLine="4620" w:firstLineChars="2200"/>
        <w:jc w:val="left"/>
        <w:textAlignment w:val="auto"/>
        <w:outlineLvl w:val="9"/>
        <w:rPr>
          <w:rFonts w:hint="eastAsia" w:ascii="宋体" w:hAnsi="宋体" w:eastAsia="宋体" w:cs="宋体"/>
          <w:b w:val="0"/>
          <w:bCs/>
          <w:color w:val="auto"/>
          <w:kern w:val="0"/>
          <w:sz w:val="21"/>
          <w:szCs w:val="21"/>
          <w:highlight w:val="none"/>
        </w:rPr>
      </w:pPr>
      <w:r>
        <w:rPr>
          <w:rFonts w:hint="eastAsia" w:ascii="宋体" w:hAnsi="宋体" w:eastAsia="宋体" w:cs="宋体"/>
          <w:b w:val="0"/>
          <w:bCs/>
          <w:color w:val="auto"/>
          <w:kern w:val="0"/>
          <w:sz w:val="21"/>
          <w:szCs w:val="21"/>
          <w:highlight w:val="none"/>
          <w:u w:val="single"/>
        </w:rPr>
        <w:t xml:space="preserve">     </w:t>
      </w:r>
      <w:r>
        <w:rPr>
          <w:rFonts w:hint="eastAsia" w:ascii="宋体" w:hAnsi="宋体" w:eastAsia="宋体" w:cs="宋体"/>
          <w:b w:val="0"/>
          <w:bCs/>
          <w:color w:val="auto"/>
          <w:spacing w:val="43"/>
          <w:kern w:val="0"/>
          <w:sz w:val="21"/>
          <w:szCs w:val="21"/>
          <w:highlight w:val="none"/>
          <w:u w:val="single"/>
        </w:rPr>
        <w:t xml:space="preserve"> </w:t>
      </w:r>
      <w:r>
        <w:rPr>
          <w:rFonts w:hint="eastAsia" w:ascii="宋体" w:hAnsi="宋体" w:eastAsia="宋体" w:cs="宋体"/>
          <w:b w:val="0"/>
          <w:bCs/>
          <w:color w:val="auto"/>
          <w:kern w:val="0"/>
          <w:sz w:val="21"/>
          <w:szCs w:val="21"/>
          <w:highlight w:val="none"/>
        </w:rPr>
        <w:t>年</w:t>
      </w:r>
      <w:r>
        <w:rPr>
          <w:rFonts w:hint="eastAsia" w:ascii="宋体" w:hAnsi="宋体" w:eastAsia="宋体" w:cs="宋体"/>
          <w:b w:val="0"/>
          <w:bCs/>
          <w:color w:val="auto"/>
          <w:kern w:val="0"/>
          <w:sz w:val="21"/>
          <w:szCs w:val="21"/>
          <w:highlight w:val="none"/>
          <w:u w:val="single"/>
        </w:rPr>
        <w:t xml:space="preserve">       </w:t>
      </w:r>
      <w:r>
        <w:rPr>
          <w:rFonts w:hint="eastAsia" w:ascii="宋体" w:hAnsi="宋体" w:eastAsia="宋体" w:cs="宋体"/>
          <w:b w:val="0"/>
          <w:bCs/>
          <w:color w:val="auto"/>
          <w:kern w:val="0"/>
          <w:sz w:val="21"/>
          <w:szCs w:val="21"/>
          <w:highlight w:val="none"/>
        </w:rPr>
        <w:t>月</w:t>
      </w:r>
      <w:r>
        <w:rPr>
          <w:rFonts w:hint="eastAsia" w:ascii="宋体" w:hAnsi="宋体" w:eastAsia="宋体" w:cs="宋体"/>
          <w:b w:val="0"/>
          <w:bCs/>
          <w:color w:val="auto"/>
          <w:kern w:val="0"/>
          <w:sz w:val="21"/>
          <w:szCs w:val="21"/>
          <w:highlight w:val="none"/>
          <w:u w:val="single"/>
          <w:lang w:val="en-US" w:eastAsia="zh-CN"/>
        </w:rPr>
        <w:t xml:space="preserve">      </w:t>
      </w:r>
      <w:r>
        <w:rPr>
          <w:rFonts w:hint="eastAsia" w:ascii="宋体" w:hAnsi="宋体" w:eastAsia="宋体" w:cs="宋体"/>
          <w:b w:val="0"/>
          <w:bCs/>
          <w:color w:val="auto"/>
          <w:kern w:val="0"/>
          <w:sz w:val="21"/>
          <w:szCs w:val="21"/>
          <w:highlight w:val="none"/>
        </w:rPr>
        <w:t>日</w:t>
      </w:r>
    </w:p>
    <w:p w14:paraId="4773B68F">
      <w:pPr>
        <w:keepNext w:val="0"/>
        <w:keepLines w:val="0"/>
        <w:pageBreakBefore w:val="0"/>
        <w:widowControl w:val="0"/>
        <w:tabs>
          <w:tab w:val="left" w:pos="5380"/>
          <w:tab w:val="left" w:pos="6520"/>
          <w:tab w:val="left" w:pos="7680"/>
        </w:tabs>
        <w:kinsoku/>
        <w:wordWrap/>
        <w:overflowPunct/>
        <w:topLinePunct w:val="0"/>
        <w:autoSpaceDE w:val="0"/>
        <w:autoSpaceDN w:val="0"/>
        <w:bidi w:val="0"/>
        <w:adjustRightInd w:val="0"/>
        <w:snapToGrid/>
        <w:spacing w:line="360" w:lineRule="auto"/>
        <w:ind w:right="-23" w:rightChars="0" w:firstLine="4620" w:firstLineChars="2200"/>
        <w:jc w:val="left"/>
        <w:textAlignment w:val="auto"/>
        <w:outlineLvl w:val="9"/>
        <w:rPr>
          <w:rFonts w:hint="eastAsia" w:ascii="宋体" w:hAnsi="宋体" w:eastAsia="宋体" w:cs="宋体"/>
          <w:b w:val="0"/>
          <w:bCs/>
          <w:color w:val="auto"/>
          <w:kern w:val="0"/>
          <w:sz w:val="21"/>
          <w:szCs w:val="21"/>
          <w:highlight w:val="none"/>
        </w:rPr>
      </w:pPr>
    </w:p>
    <w:p w14:paraId="343EE312">
      <w:pPr>
        <w:pStyle w:val="5"/>
        <w:pageBreakBefore w:val="0"/>
        <w:numPr>
          <w:ilvl w:val="0"/>
          <w:numId w:val="35"/>
        </w:numPr>
        <w:tabs>
          <w:tab w:val="left" w:pos="840"/>
        </w:tabs>
        <w:kinsoku/>
        <w:overflowPunct/>
        <w:bidi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1"/>
          <w:szCs w:val="21"/>
          <w:highlight w:val="none"/>
        </w:rPr>
        <w:br w:type="page"/>
      </w:r>
      <w:bookmarkStart w:id="765" w:name="_Toc5255"/>
      <w:bookmarkStart w:id="766" w:name="_Toc312133600"/>
      <w:r>
        <w:rPr>
          <w:rFonts w:hint="eastAsia" w:ascii="宋体" w:hAnsi="宋体" w:eastAsia="宋体" w:cs="宋体"/>
          <w:color w:val="auto"/>
          <w:sz w:val="24"/>
          <w:szCs w:val="24"/>
          <w:highlight w:val="none"/>
          <w:lang w:val="en-US" w:eastAsia="zh-CN"/>
        </w:rPr>
        <w:t>技术部分</w:t>
      </w:r>
      <w:bookmarkEnd w:id="765"/>
    </w:p>
    <w:p w14:paraId="43DF2670">
      <w:pPr>
        <w:pageBreakBefore w:val="0"/>
        <w:kinsoku/>
        <w:overflowPunct/>
        <w:bidi w:val="0"/>
        <w:spacing w:line="360" w:lineRule="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格式自拟，内容包括但不限于：</w:t>
      </w:r>
    </w:p>
    <w:p w14:paraId="4C591A30">
      <w:pPr>
        <w:pageBreakBefore w:val="0"/>
        <w:kinsoku/>
        <w:overflowPunct/>
        <w:bidi w:val="0"/>
        <w:spacing w:line="360" w:lineRule="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（一）供货方案</w:t>
      </w:r>
    </w:p>
    <w:p w14:paraId="24A02FED">
      <w:pPr>
        <w:pageBreakBefore w:val="0"/>
        <w:kinsoku/>
        <w:overflowPunct/>
        <w:bidi w:val="0"/>
        <w:spacing w:line="360" w:lineRule="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（二）项目实施方案</w:t>
      </w:r>
    </w:p>
    <w:p w14:paraId="47FFDE7C">
      <w:pPr>
        <w:pStyle w:val="68"/>
        <w:pageBreakBefore w:val="0"/>
        <w:kinsoku/>
        <w:overflowPunct/>
        <w:bidi w:val="0"/>
        <w:spacing w:line="360" w:lineRule="auto"/>
        <w:rPr>
          <w:rFonts w:hint="eastAsia" w:ascii="宋体" w:hAnsi="宋体" w:eastAsia="宋体" w:cs="宋体"/>
          <w:color w:val="auto"/>
          <w:highlight w:val="none"/>
          <w:lang w:val="en-US" w:eastAsia="zh-CN"/>
        </w:rPr>
      </w:pPr>
    </w:p>
    <w:p w14:paraId="7C579B88">
      <w:pPr>
        <w:pStyle w:val="9"/>
        <w:pageBreakBefore w:val="0"/>
        <w:kinsoku/>
        <w:overflowPunct/>
        <w:bidi w:val="0"/>
        <w:spacing w:line="360" w:lineRule="auto"/>
        <w:rPr>
          <w:rFonts w:hint="eastAsia" w:ascii="宋体" w:hAnsi="宋体" w:eastAsia="宋体" w:cs="宋体"/>
          <w:color w:val="auto"/>
          <w:highlight w:val="none"/>
        </w:rPr>
      </w:pPr>
    </w:p>
    <w:bookmarkEnd w:id="766"/>
    <w:p w14:paraId="221E4B43">
      <w:pPr>
        <w:pageBreakBefore w:val="0"/>
        <w:kinsoku/>
        <w:overflowPunct/>
        <w:bidi w:val="0"/>
        <w:spacing w:line="360" w:lineRule="auto"/>
        <w:rPr>
          <w:rFonts w:hint="eastAsia" w:ascii="宋体" w:hAnsi="宋体" w:eastAsia="宋体" w:cs="宋体"/>
          <w:color w:val="auto"/>
          <w:spacing w:val="10"/>
          <w:kern w:val="0"/>
          <w:szCs w:val="21"/>
          <w:highlight w:val="none"/>
        </w:rPr>
      </w:pPr>
    </w:p>
    <w:p w14:paraId="2EEF9B8F">
      <w:pPr>
        <w:pStyle w:val="8"/>
        <w:pageBreakBefore w:val="0"/>
        <w:kinsoku/>
        <w:overflowPunct/>
        <w:bidi w:val="0"/>
        <w:spacing w:line="360" w:lineRule="auto"/>
        <w:ind w:firstLine="0"/>
        <w:rPr>
          <w:rFonts w:hint="eastAsia" w:ascii="宋体" w:hAnsi="宋体" w:eastAsia="宋体" w:cs="宋体"/>
          <w:color w:val="auto"/>
          <w:spacing w:val="10"/>
          <w:kern w:val="0"/>
          <w:szCs w:val="21"/>
          <w:highlight w:val="none"/>
        </w:rPr>
      </w:pPr>
    </w:p>
    <w:p w14:paraId="327E8467">
      <w:pPr>
        <w:pStyle w:val="8"/>
        <w:pageBreakBefore w:val="0"/>
        <w:kinsoku/>
        <w:overflowPunct/>
        <w:bidi w:val="0"/>
        <w:spacing w:line="360" w:lineRule="auto"/>
        <w:ind w:firstLine="0"/>
        <w:rPr>
          <w:rFonts w:hint="eastAsia" w:ascii="宋体" w:hAnsi="宋体" w:eastAsia="宋体" w:cs="宋体"/>
          <w:color w:val="auto"/>
          <w:szCs w:val="21"/>
          <w:highlight w:val="none"/>
        </w:rPr>
      </w:pPr>
    </w:p>
    <w:p w14:paraId="2BC5BFBB">
      <w:pPr>
        <w:pStyle w:val="8"/>
        <w:pageBreakBefore w:val="0"/>
        <w:kinsoku/>
        <w:overflowPunct/>
        <w:bidi w:val="0"/>
        <w:spacing w:line="360" w:lineRule="auto"/>
        <w:ind w:firstLine="0"/>
        <w:rPr>
          <w:rFonts w:hint="eastAsia" w:ascii="宋体" w:hAnsi="宋体" w:eastAsia="宋体" w:cs="宋体"/>
          <w:color w:val="auto"/>
          <w:szCs w:val="21"/>
          <w:highlight w:val="none"/>
        </w:rPr>
      </w:pPr>
    </w:p>
    <w:p w14:paraId="176D7E70">
      <w:pPr>
        <w:pStyle w:val="8"/>
        <w:pageBreakBefore w:val="0"/>
        <w:kinsoku/>
        <w:overflowPunct/>
        <w:bidi w:val="0"/>
        <w:spacing w:line="360" w:lineRule="auto"/>
        <w:ind w:firstLine="0"/>
        <w:rPr>
          <w:rFonts w:hint="eastAsia" w:ascii="宋体" w:hAnsi="宋体" w:eastAsia="宋体" w:cs="宋体"/>
          <w:color w:val="auto"/>
          <w:szCs w:val="21"/>
          <w:highlight w:val="none"/>
        </w:rPr>
      </w:pPr>
    </w:p>
    <w:p w14:paraId="05C59683">
      <w:pPr>
        <w:pStyle w:val="5"/>
        <w:pageBreakBefore w:val="0"/>
        <w:numPr>
          <w:ilvl w:val="0"/>
          <w:numId w:val="35"/>
        </w:numPr>
        <w:tabs>
          <w:tab w:val="left" w:pos="840"/>
        </w:tabs>
        <w:kinsoku/>
        <w:overflowPunct/>
        <w:bidi w:val="0"/>
        <w:spacing w:line="360" w:lineRule="auto"/>
        <w:jc w:val="center"/>
        <w:rPr>
          <w:rFonts w:hint="eastAsia" w:ascii="宋体" w:hAnsi="宋体" w:eastAsia="宋体" w:cs="宋体"/>
          <w:color w:val="auto"/>
          <w:sz w:val="24"/>
          <w:szCs w:val="24"/>
          <w:highlight w:val="none"/>
        </w:rPr>
      </w:pPr>
      <w:bookmarkStart w:id="767" w:name="_Toc275795959"/>
      <w:r>
        <w:rPr>
          <w:rFonts w:hint="eastAsia" w:ascii="宋体" w:hAnsi="宋体" w:eastAsia="宋体" w:cs="宋体"/>
          <w:color w:val="auto"/>
          <w:sz w:val="21"/>
          <w:szCs w:val="21"/>
          <w:highlight w:val="none"/>
        </w:rPr>
        <w:br w:type="page"/>
      </w:r>
      <w:bookmarkStart w:id="768" w:name="_Toc339972632"/>
      <w:bookmarkStart w:id="769" w:name="_Toc26830"/>
      <w:bookmarkStart w:id="770" w:name="_Toc355809725"/>
      <w:bookmarkStart w:id="771" w:name="_Toc27228"/>
      <w:r>
        <w:rPr>
          <w:rFonts w:hint="eastAsia" w:ascii="宋体" w:hAnsi="宋体" w:eastAsia="宋体" w:cs="宋体"/>
          <w:color w:val="auto"/>
          <w:sz w:val="24"/>
          <w:szCs w:val="24"/>
          <w:highlight w:val="none"/>
          <w:lang w:eastAsia="zh-CN"/>
        </w:rPr>
        <w:t>反商业贿赂承诺书</w:t>
      </w:r>
      <w:bookmarkEnd w:id="767"/>
      <w:bookmarkEnd w:id="768"/>
      <w:bookmarkEnd w:id="769"/>
      <w:bookmarkEnd w:id="770"/>
      <w:bookmarkEnd w:id="771"/>
    </w:p>
    <w:p w14:paraId="086B3B33">
      <w:pPr>
        <w:pageBreakBefore w:val="0"/>
        <w:kinsoku/>
        <w:overflowPunct/>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我公司承诺：</w:t>
      </w:r>
    </w:p>
    <w:p w14:paraId="1AC09D1E">
      <w:pPr>
        <w:pageBreakBefore w:val="0"/>
        <w:kinsoku/>
        <w:overflowPunct/>
        <w:bidi w:val="0"/>
        <w:spacing w:line="360" w:lineRule="auto"/>
        <w:ind w:firstLine="555"/>
        <w:rPr>
          <w:rFonts w:hint="eastAsia" w:ascii="宋体" w:hAnsi="宋体" w:eastAsia="宋体" w:cs="宋体"/>
          <w:color w:val="auto"/>
          <w:szCs w:val="21"/>
          <w:highlight w:val="none"/>
        </w:rPr>
      </w:pPr>
      <w:r>
        <w:rPr>
          <w:rFonts w:hint="eastAsia" w:ascii="宋体" w:hAnsi="宋体" w:eastAsia="宋体" w:cs="宋体"/>
          <w:color w:val="auto"/>
          <w:szCs w:val="21"/>
          <w:highlight w:val="none"/>
        </w:rPr>
        <w:t>在</w:t>
      </w:r>
      <w:r>
        <w:rPr>
          <w:rFonts w:hint="eastAsia" w:ascii="宋体" w:hAnsi="宋体" w:eastAsia="宋体" w:cs="宋体"/>
          <w:color w:val="auto"/>
          <w:szCs w:val="21"/>
          <w:highlight w:val="none"/>
          <w:u w:val="single"/>
        </w:rPr>
        <w:t xml:space="preserve"> （采购项目名称）</w:t>
      </w:r>
      <w:r>
        <w:rPr>
          <w:rFonts w:hint="eastAsia" w:ascii="宋体" w:hAnsi="宋体" w:eastAsia="宋体" w:cs="宋体"/>
          <w:color w:val="auto"/>
          <w:szCs w:val="21"/>
          <w:highlight w:val="none"/>
        </w:rPr>
        <w:t>采购活动中，我公司保证做到：</w:t>
      </w:r>
    </w:p>
    <w:p w14:paraId="359768CD">
      <w:pPr>
        <w:pageBreakBefore w:val="0"/>
        <w:kinsoku/>
        <w:overflowPunct/>
        <w:bidi w:val="0"/>
        <w:spacing w:line="360" w:lineRule="auto"/>
        <w:ind w:firstLine="555"/>
        <w:rPr>
          <w:rFonts w:hint="eastAsia" w:ascii="宋体" w:hAnsi="宋体" w:eastAsia="宋体" w:cs="宋体"/>
          <w:color w:val="auto"/>
          <w:szCs w:val="21"/>
          <w:highlight w:val="none"/>
        </w:rPr>
      </w:pPr>
      <w:r>
        <w:rPr>
          <w:rFonts w:hint="eastAsia" w:ascii="宋体" w:hAnsi="宋体" w:eastAsia="宋体" w:cs="宋体"/>
          <w:color w:val="auto"/>
          <w:szCs w:val="21"/>
          <w:highlight w:val="none"/>
        </w:rPr>
        <w:t>1. 公平竞争参加本次采购活动。</w:t>
      </w:r>
    </w:p>
    <w:p w14:paraId="5CC96CEF">
      <w:pPr>
        <w:pageBreakBefore w:val="0"/>
        <w:kinsoku/>
        <w:overflowPunct/>
        <w:bidi w:val="0"/>
        <w:spacing w:line="360" w:lineRule="auto"/>
        <w:ind w:firstLine="556"/>
        <w:rPr>
          <w:rFonts w:hint="eastAsia" w:ascii="宋体" w:hAnsi="宋体" w:eastAsia="宋体" w:cs="宋体"/>
          <w:color w:val="auto"/>
          <w:szCs w:val="21"/>
          <w:highlight w:val="none"/>
        </w:rPr>
      </w:pPr>
      <w:r>
        <w:rPr>
          <w:rFonts w:hint="eastAsia" w:ascii="宋体" w:hAnsi="宋体" w:eastAsia="宋体" w:cs="宋体"/>
          <w:color w:val="auto"/>
          <w:szCs w:val="21"/>
          <w:highlight w:val="none"/>
        </w:rPr>
        <w:t>2. 杜绝任何形式的商业贿赂行为。不向国家工作人员、政府采购代理机构工作人员、评审专家及其亲属提供礼品礼金、有价证券、购物券、回扣、佣金、咨询费、劳务费、赞助费、宣传费、宴请；不为其报销各种消费凭证，不支付其旅游、娱乐等费用。</w:t>
      </w:r>
    </w:p>
    <w:p w14:paraId="5E9B06F1">
      <w:pPr>
        <w:pageBreakBefore w:val="0"/>
        <w:kinsoku/>
        <w:overflowPunct/>
        <w:bidi w:val="0"/>
        <w:spacing w:line="360" w:lineRule="auto"/>
        <w:ind w:firstLine="556"/>
        <w:rPr>
          <w:rFonts w:hint="eastAsia" w:ascii="宋体" w:hAnsi="宋体" w:eastAsia="宋体" w:cs="宋体"/>
          <w:color w:val="auto"/>
          <w:szCs w:val="21"/>
          <w:highlight w:val="none"/>
        </w:rPr>
      </w:pPr>
      <w:r>
        <w:rPr>
          <w:rFonts w:hint="eastAsia" w:ascii="宋体" w:hAnsi="宋体" w:eastAsia="宋体" w:cs="宋体"/>
          <w:color w:val="auto"/>
          <w:szCs w:val="21"/>
          <w:highlight w:val="none"/>
        </w:rPr>
        <w:t>3. 若出现上述行为，我公司及参与投标的工作人员愿意接受按照国家法律法规等有关规定给予的处罚。</w:t>
      </w:r>
    </w:p>
    <w:p w14:paraId="6176C1DB">
      <w:pPr>
        <w:pageBreakBefore w:val="0"/>
        <w:kinsoku/>
        <w:overflowPunct/>
        <w:bidi w:val="0"/>
        <w:spacing w:line="360" w:lineRule="auto"/>
        <w:ind w:firstLine="555"/>
        <w:rPr>
          <w:rFonts w:hint="eastAsia" w:ascii="宋体" w:hAnsi="宋体" w:eastAsia="宋体" w:cs="宋体"/>
          <w:color w:val="auto"/>
          <w:szCs w:val="21"/>
          <w:highlight w:val="none"/>
        </w:rPr>
      </w:pPr>
    </w:p>
    <w:p w14:paraId="689644FC">
      <w:pPr>
        <w:pageBreakBefore w:val="0"/>
        <w:kinsoku/>
        <w:overflowPunct/>
        <w:bidi w:val="0"/>
        <w:spacing w:line="360" w:lineRule="auto"/>
        <w:ind w:firstLine="2880"/>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投标人（公章）：</w:t>
      </w:r>
    </w:p>
    <w:p w14:paraId="07DC96D9">
      <w:pPr>
        <w:pageBreakBefore w:val="0"/>
        <w:kinsoku/>
        <w:overflowPunct/>
        <w:bidi w:val="0"/>
        <w:spacing w:line="360" w:lineRule="auto"/>
        <w:ind w:firstLine="2880"/>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法定代表人</w:t>
      </w:r>
      <w:r>
        <w:rPr>
          <w:rFonts w:hint="eastAsia" w:ascii="宋体" w:hAnsi="宋体" w:eastAsia="宋体" w:cs="宋体"/>
          <w:color w:val="auto"/>
          <w:szCs w:val="21"/>
          <w:highlight w:val="none"/>
        </w:rPr>
        <w:t>（签字或盖章）：</w:t>
      </w:r>
    </w:p>
    <w:p w14:paraId="3D93F81C">
      <w:pPr>
        <w:pageBreakBefore w:val="0"/>
        <w:kinsoku/>
        <w:overflowPunct/>
        <w:bidi w:val="0"/>
        <w:spacing w:line="360" w:lineRule="auto"/>
        <w:ind w:firstLine="2880"/>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授权委托人</w:t>
      </w:r>
      <w:r>
        <w:rPr>
          <w:rFonts w:hint="eastAsia" w:ascii="宋体" w:hAnsi="宋体" w:eastAsia="宋体" w:cs="宋体"/>
          <w:color w:val="auto"/>
          <w:szCs w:val="21"/>
          <w:highlight w:val="none"/>
        </w:rPr>
        <w:t>（签字或盖章）：</w:t>
      </w:r>
    </w:p>
    <w:p w14:paraId="10F7C287">
      <w:pPr>
        <w:pageBreakBefore w:val="0"/>
        <w:tabs>
          <w:tab w:val="left" w:pos="5380"/>
          <w:tab w:val="left" w:pos="6520"/>
          <w:tab w:val="left" w:pos="7680"/>
        </w:tabs>
        <w:kinsoku/>
        <w:overflowPunct/>
        <w:autoSpaceDE w:val="0"/>
        <w:autoSpaceDN w:val="0"/>
        <w:bidi w:val="0"/>
        <w:adjustRightInd w:val="0"/>
        <w:spacing w:line="360" w:lineRule="auto"/>
        <w:ind w:right="-20" w:firstLine="3780" w:firstLineChars="180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u w:val="single"/>
        </w:rPr>
        <w:t xml:space="preserve">     </w:t>
      </w:r>
      <w:r>
        <w:rPr>
          <w:rFonts w:hint="eastAsia" w:ascii="宋体" w:hAnsi="宋体" w:eastAsia="宋体" w:cs="宋体"/>
          <w:color w:val="auto"/>
          <w:spacing w:val="43"/>
          <w:kern w:val="0"/>
          <w:szCs w:val="21"/>
          <w:highlight w:val="none"/>
          <w:u w:val="single"/>
        </w:rPr>
        <w:t xml:space="preserve"> </w:t>
      </w:r>
      <w:r>
        <w:rPr>
          <w:rFonts w:hint="eastAsia" w:ascii="宋体" w:hAnsi="宋体" w:eastAsia="宋体" w:cs="宋体"/>
          <w:color w:val="auto"/>
          <w:kern w:val="0"/>
          <w:szCs w:val="21"/>
          <w:highlight w:val="none"/>
        </w:rPr>
        <w:t>年</w:t>
      </w:r>
      <w:r>
        <w:rPr>
          <w:rFonts w:hint="eastAsia" w:ascii="宋体" w:hAnsi="宋体" w:eastAsia="宋体" w:cs="宋体"/>
          <w:color w:val="auto"/>
          <w:kern w:val="0"/>
          <w:szCs w:val="21"/>
          <w:highlight w:val="none"/>
          <w:u w:val="single"/>
        </w:rPr>
        <w:t xml:space="preserve">       </w:t>
      </w:r>
      <w:r>
        <w:rPr>
          <w:rFonts w:hint="eastAsia" w:ascii="宋体" w:hAnsi="宋体" w:eastAsia="宋体" w:cs="宋体"/>
          <w:color w:val="auto"/>
          <w:kern w:val="0"/>
          <w:szCs w:val="21"/>
          <w:highlight w:val="none"/>
        </w:rPr>
        <w:t>月</w:t>
      </w:r>
      <w:r>
        <w:rPr>
          <w:rFonts w:hint="eastAsia" w:ascii="宋体" w:hAnsi="宋体" w:eastAsia="宋体" w:cs="宋体"/>
          <w:color w:val="auto"/>
          <w:kern w:val="0"/>
          <w:szCs w:val="21"/>
          <w:highlight w:val="none"/>
          <w:u w:val="single"/>
        </w:rPr>
        <w:t xml:space="preserve">      </w:t>
      </w:r>
      <w:r>
        <w:rPr>
          <w:rFonts w:hint="eastAsia" w:ascii="宋体" w:hAnsi="宋体" w:eastAsia="宋体" w:cs="宋体"/>
          <w:color w:val="auto"/>
          <w:kern w:val="0"/>
          <w:szCs w:val="21"/>
          <w:highlight w:val="none"/>
        </w:rPr>
        <w:t>日</w:t>
      </w:r>
    </w:p>
    <w:p w14:paraId="40DD9122">
      <w:pPr>
        <w:pageBreakBefore w:val="0"/>
        <w:kinsoku/>
        <w:overflowPunct/>
        <w:bidi w:val="0"/>
        <w:spacing w:line="360" w:lineRule="auto"/>
        <w:rPr>
          <w:rFonts w:hint="eastAsia" w:ascii="宋体" w:hAnsi="宋体" w:eastAsia="宋体" w:cs="宋体"/>
          <w:color w:val="auto"/>
          <w:szCs w:val="21"/>
          <w:highlight w:val="none"/>
        </w:rPr>
      </w:pPr>
    </w:p>
    <w:p w14:paraId="194D8111">
      <w:pPr>
        <w:pageBreakBefore w:val="0"/>
        <w:widowControl/>
        <w:kinsoku/>
        <w:overflowPunct/>
        <w:bidi w:val="0"/>
        <w:spacing w:line="360" w:lineRule="auto"/>
        <w:rPr>
          <w:rFonts w:hint="eastAsia" w:ascii="宋体" w:hAnsi="宋体" w:eastAsia="宋体" w:cs="宋体"/>
          <w:color w:val="auto"/>
          <w:highlight w:val="none"/>
        </w:rPr>
      </w:pPr>
    </w:p>
    <w:p w14:paraId="68DDF270">
      <w:pPr>
        <w:pStyle w:val="5"/>
        <w:pageBreakBefore w:val="0"/>
        <w:numPr>
          <w:ilvl w:val="0"/>
          <w:numId w:val="35"/>
        </w:numPr>
        <w:tabs>
          <w:tab w:val="left" w:pos="840"/>
        </w:tabs>
        <w:kinsoku/>
        <w:overflowPunct/>
        <w:bidi w:val="0"/>
        <w:spacing w:line="360" w:lineRule="auto"/>
        <w:jc w:val="center"/>
        <w:rPr>
          <w:rFonts w:hint="eastAsia" w:ascii="宋体" w:hAnsi="宋体" w:eastAsia="宋体" w:cs="宋体"/>
          <w:color w:val="auto"/>
          <w:sz w:val="24"/>
          <w:szCs w:val="24"/>
          <w:highlight w:val="none"/>
          <w:lang w:val="en-US" w:eastAsia="zh-CN"/>
        </w:rPr>
      </w:pPr>
      <w:bookmarkStart w:id="772" w:name="_Toc13111"/>
      <w:bookmarkStart w:id="773" w:name="_Toc718"/>
      <w:r>
        <w:rPr>
          <w:rFonts w:hint="eastAsia" w:ascii="宋体" w:hAnsi="宋体" w:eastAsia="宋体" w:cs="宋体"/>
          <w:color w:val="auto"/>
          <w:sz w:val="24"/>
          <w:szCs w:val="24"/>
          <w:highlight w:val="none"/>
          <w:lang w:val="en-US" w:eastAsia="zh-CN"/>
        </w:rPr>
        <w:br w:type="page"/>
      </w:r>
      <w:bookmarkEnd w:id="772"/>
      <w:bookmarkStart w:id="774" w:name="_Toc23641"/>
      <w:r>
        <w:rPr>
          <w:rFonts w:hint="eastAsia" w:ascii="宋体" w:hAnsi="宋体" w:eastAsia="宋体" w:cs="宋体"/>
          <w:color w:val="auto"/>
          <w:sz w:val="24"/>
          <w:szCs w:val="24"/>
          <w:highlight w:val="none"/>
          <w:lang w:val="en-US" w:eastAsia="zh-CN"/>
        </w:rPr>
        <w:t>售后服务方案及其他</w:t>
      </w:r>
      <w:bookmarkEnd w:id="774"/>
    </w:p>
    <w:p w14:paraId="13B03C10">
      <w:pPr>
        <w:numPr>
          <w:ilvl w:val="0"/>
          <w:numId w:val="0"/>
        </w:numPr>
        <w:bidi w:val="0"/>
        <w:spacing w:line="360" w:lineRule="auto"/>
        <w:ind w:leftChars="0"/>
        <w:rPr>
          <w:rFonts w:hint="eastAsia" w:ascii="宋体" w:hAnsi="宋体" w:eastAsia="宋体" w:cs="宋体"/>
          <w:color w:val="auto"/>
          <w:highlight w:val="none"/>
          <w:lang w:val="en-US" w:eastAsia="zh-CN"/>
        </w:rPr>
      </w:pPr>
      <w:bookmarkStart w:id="775" w:name="_Toc312133601"/>
      <w:bookmarkStart w:id="776" w:name="_Toc15159"/>
      <w:r>
        <w:rPr>
          <w:rFonts w:hint="eastAsia" w:ascii="宋体" w:hAnsi="宋体" w:eastAsia="宋体" w:cs="宋体"/>
          <w:color w:val="auto"/>
          <w:highlight w:val="none"/>
          <w:lang w:eastAsia="zh-CN"/>
        </w:rPr>
        <w:t>格式自拟，</w:t>
      </w:r>
      <w:r>
        <w:rPr>
          <w:rFonts w:hint="eastAsia" w:ascii="宋体" w:hAnsi="宋体" w:eastAsia="宋体" w:cs="宋体"/>
          <w:color w:val="auto"/>
          <w:highlight w:val="none"/>
          <w:lang w:val="en-US" w:eastAsia="zh-CN"/>
        </w:rPr>
        <w:t>内容包括但不限于：</w:t>
      </w:r>
    </w:p>
    <w:p w14:paraId="453F8015">
      <w:pPr>
        <w:numPr>
          <w:ilvl w:val="0"/>
          <w:numId w:val="0"/>
        </w:numPr>
        <w:bidi w:val="0"/>
        <w:spacing w:line="360" w:lineRule="auto"/>
        <w:ind w:leftChars="0"/>
        <w:rPr>
          <w:rFonts w:hint="eastAsia" w:ascii="宋体" w:hAnsi="宋体" w:eastAsia="宋体" w:cs="宋体"/>
          <w:color w:val="auto"/>
          <w:highlight w:val="none"/>
          <w:lang w:eastAsia="zh-CN"/>
        </w:rPr>
      </w:pPr>
      <w:r>
        <w:rPr>
          <w:rFonts w:hint="eastAsia" w:ascii="宋体" w:hAnsi="宋体" w:eastAsia="宋体" w:cs="宋体"/>
          <w:color w:val="auto"/>
          <w:highlight w:val="none"/>
          <w:lang w:val="en-US" w:eastAsia="zh-CN"/>
        </w:rPr>
        <w:t>（一）</w:t>
      </w:r>
      <w:r>
        <w:rPr>
          <w:rFonts w:hint="eastAsia" w:ascii="宋体" w:hAnsi="宋体" w:eastAsia="宋体" w:cs="宋体"/>
          <w:color w:val="auto"/>
          <w:highlight w:val="none"/>
          <w:lang w:eastAsia="zh-CN"/>
        </w:rPr>
        <w:t>售后服务方案</w:t>
      </w:r>
    </w:p>
    <w:p w14:paraId="23B95EAA">
      <w:pPr>
        <w:numPr>
          <w:ilvl w:val="0"/>
          <w:numId w:val="0"/>
        </w:numPr>
        <w:bidi w:val="0"/>
        <w:spacing w:line="360" w:lineRule="auto"/>
        <w:ind w:leftChars="0"/>
        <w:rPr>
          <w:rFonts w:hint="eastAsia" w:ascii="宋体" w:hAnsi="宋体" w:eastAsia="宋体" w:cs="宋体"/>
          <w:color w:val="auto"/>
          <w:highlight w:val="none"/>
          <w:lang w:eastAsia="zh-CN"/>
        </w:rPr>
      </w:pPr>
      <w:r>
        <w:rPr>
          <w:rFonts w:hint="eastAsia" w:ascii="宋体" w:hAnsi="宋体" w:eastAsia="宋体" w:cs="宋体"/>
          <w:color w:val="auto"/>
          <w:highlight w:val="none"/>
          <w:lang w:val="en-US" w:eastAsia="zh-CN"/>
        </w:rPr>
        <w:t>（二）质量保证期</w:t>
      </w:r>
      <w:r>
        <w:rPr>
          <w:rFonts w:hint="eastAsia" w:ascii="宋体" w:hAnsi="宋体" w:eastAsia="宋体" w:cs="宋体"/>
          <w:color w:val="auto"/>
          <w:highlight w:val="none"/>
          <w:lang w:eastAsia="zh-CN"/>
        </w:rPr>
        <w:t>内保证措施</w:t>
      </w:r>
    </w:p>
    <w:p w14:paraId="37F7252E">
      <w:pPr>
        <w:numPr>
          <w:ilvl w:val="0"/>
          <w:numId w:val="0"/>
        </w:numPr>
        <w:bidi w:val="0"/>
        <w:spacing w:line="360" w:lineRule="auto"/>
        <w:ind w:leftChars="0"/>
        <w:rPr>
          <w:rFonts w:hint="eastAsia" w:ascii="宋体" w:hAnsi="宋体" w:eastAsia="宋体" w:cs="宋体"/>
          <w:color w:val="auto"/>
          <w:highlight w:val="none"/>
          <w:lang w:eastAsia="zh-CN"/>
        </w:rPr>
      </w:pPr>
      <w:r>
        <w:rPr>
          <w:rFonts w:hint="eastAsia" w:ascii="宋体" w:hAnsi="宋体" w:eastAsia="宋体" w:cs="宋体"/>
          <w:color w:val="auto"/>
          <w:highlight w:val="none"/>
          <w:lang w:val="en-US" w:eastAsia="zh-CN"/>
        </w:rPr>
        <w:t>（三）</w:t>
      </w:r>
      <w:r>
        <w:rPr>
          <w:rFonts w:hint="eastAsia" w:ascii="宋体" w:hAnsi="宋体" w:eastAsia="宋体" w:cs="宋体"/>
          <w:color w:val="auto"/>
          <w:highlight w:val="none"/>
          <w:lang w:eastAsia="zh-CN"/>
        </w:rPr>
        <w:t>人员培训方案</w:t>
      </w:r>
    </w:p>
    <w:bookmarkEnd w:id="775"/>
    <w:bookmarkEnd w:id="776"/>
    <w:p w14:paraId="11D6CB26">
      <w:pPr>
        <w:pStyle w:val="68"/>
        <w:pageBreakBefore w:val="0"/>
        <w:kinsoku/>
        <w:overflowPunct/>
        <w:bidi w:val="0"/>
        <w:spacing w:line="360" w:lineRule="auto"/>
        <w:rPr>
          <w:rFonts w:hint="eastAsia" w:ascii="宋体" w:hAnsi="宋体" w:eastAsia="宋体" w:cs="宋体"/>
          <w:color w:val="auto"/>
          <w:highlight w:val="none"/>
        </w:rPr>
      </w:pPr>
    </w:p>
    <w:p w14:paraId="547BACD2">
      <w:pPr>
        <w:pStyle w:val="9"/>
        <w:pageBreakBefore w:val="0"/>
        <w:kinsoku/>
        <w:overflowPunct/>
        <w:bidi w:val="0"/>
        <w:spacing w:line="360" w:lineRule="auto"/>
        <w:rPr>
          <w:rFonts w:hint="eastAsia" w:ascii="宋体" w:hAnsi="宋体" w:eastAsia="宋体" w:cs="宋体"/>
          <w:color w:val="auto"/>
          <w:highlight w:val="none"/>
        </w:rPr>
      </w:pPr>
    </w:p>
    <w:p w14:paraId="2B32A01E">
      <w:pPr>
        <w:pStyle w:val="5"/>
        <w:pageBreakBefore w:val="0"/>
        <w:numPr>
          <w:ilvl w:val="0"/>
          <w:numId w:val="35"/>
        </w:numPr>
        <w:tabs>
          <w:tab w:val="left" w:pos="840"/>
        </w:tabs>
        <w:kinsoku/>
        <w:overflowPunct/>
        <w:bidi w:val="0"/>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eastAsia="zh-CN"/>
        </w:rPr>
        <w:br w:type="page"/>
      </w:r>
      <w:bookmarkStart w:id="777" w:name="_Toc28487"/>
      <w:r>
        <w:rPr>
          <w:rFonts w:hint="eastAsia" w:ascii="宋体" w:hAnsi="宋体" w:eastAsia="宋体" w:cs="宋体"/>
          <w:color w:val="auto"/>
          <w:sz w:val="24"/>
          <w:szCs w:val="24"/>
          <w:highlight w:val="none"/>
          <w:lang w:val="en-US" w:eastAsia="zh-CN"/>
        </w:rPr>
        <w:t>中小企业声明函</w:t>
      </w:r>
      <w:bookmarkEnd w:id="773"/>
      <w:r>
        <w:rPr>
          <w:rFonts w:hint="eastAsia" w:ascii="宋体" w:hAnsi="宋体" w:eastAsia="宋体" w:cs="宋体"/>
          <w:color w:val="auto"/>
          <w:sz w:val="24"/>
          <w:szCs w:val="24"/>
          <w:highlight w:val="none"/>
          <w:lang w:val="en-US" w:eastAsia="zh-CN"/>
        </w:rPr>
        <w:t>（如有）</w:t>
      </w:r>
      <w:bookmarkEnd w:id="777"/>
    </w:p>
    <w:p w14:paraId="2C66AA2C">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i w:val="0"/>
          <w:iCs w:val="0"/>
          <w:color w:val="auto"/>
          <w:kern w:val="0"/>
          <w:sz w:val="21"/>
          <w:szCs w:val="21"/>
          <w:highlight w:val="none"/>
          <w:lang w:val="en-US" w:eastAsia="zh-CN" w:bidi="ar"/>
        </w:rPr>
      </w:pPr>
      <w:r>
        <w:rPr>
          <w:rFonts w:hint="eastAsia" w:ascii="宋体" w:hAnsi="宋体" w:eastAsia="宋体" w:cs="宋体"/>
          <w:i w:val="0"/>
          <w:iCs w:val="0"/>
          <w:color w:val="auto"/>
          <w:kern w:val="0"/>
          <w:sz w:val="21"/>
          <w:szCs w:val="21"/>
          <w:highlight w:val="none"/>
          <w:lang w:val="en-US" w:eastAsia="zh-CN" w:bidi="ar"/>
        </w:rPr>
        <w:t>本公司（联合体）郑重声明，根据《政府采购促进中小企业发展管理办法》（财库﹝2020﹞46号）的规定，本公司 （联合体）参加</w:t>
      </w:r>
      <w:r>
        <w:rPr>
          <w:rFonts w:hint="eastAsia" w:ascii="宋体" w:hAnsi="宋体" w:eastAsia="宋体" w:cs="宋体"/>
          <w:i w:val="0"/>
          <w:iCs w:val="0"/>
          <w:color w:val="auto"/>
          <w:kern w:val="0"/>
          <w:sz w:val="21"/>
          <w:szCs w:val="21"/>
          <w:highlight w:val="none"/>
          <w:u w:val="single"/>
          <w:lang w:val="en-US" w:eastAsia="zh-CN" w:bidi="ar"/>
        </w:rPr>
        <w:t>（单位名称）</w:t>
      </w:r>
      <w:r>
        <w:rPr>
          <w:rFonts w:hint="eastAsia" w:ascii="宋体" w:hAnsi="宋体" w:eastAsia="宋体" w:cs="宋体"/>
          <w:i w:val="0"/>
          <w:iCs w:val="0"/>
          <w:color w:val="auto"/>
          <w:kern w:val="0"/>
          <w:sz w:val="21"/>
          <w:szCs w:val="21"/>
          <w:highlight w:val="none"/>
          <w:lang w:val="en-US" w:eastAsia="zh-CN" w:bidi="ar"/>
        </w:rPr>
        <w:t>的</w:t>
      </w:r>
      <w:r>
        <w:rPr>
          <w:rFonts w:hint="eastAsia" w:ascii="宋体" w:hAnsi="宋体" w:eastAsia="宋体" w:cs="宋体"/>
          <w:i w:val="0"/>
          <w:iCs w:val="0"/>
          <w:color w:val="auto"/>
          <w:kern w:val="0"/>
          <w:sz w:val="21"/>
          <w:szCs w:val="21"/>
          <w:highlight w:val="none"/>
          <w:u w:val="single"/>
          <w:lang w:val="en-US" w:eastAsia="zh-CN" w:bidi="ar"/>
        </w:rPr>
        <w:t>（项目名称）</w:t>
      </w:r>
      <w:r>
        <w:rPr>
          <w:rFonts w:hint="eastAsia" w:ascii="宋体" w:hAnsi="宋体" w:eastAsia="宋体" w:cs="宋体"/>
          <w:i w:val="0"/>
          <w:iCs w:val="0"/>
          <w:color w:val="auto"/>
          <w:kern w:val="0"/>
          <w:sz w:val="21"/>
          <w:szCs w:val="21"/>
          <w:highlight w:val="none"/>
          <w:lang w:val="en-US" w:eastAsia="zh-CN" w:bidi="ar"/>
        </w:rPr>
        <w:t>采购活动，提供的货物全部由符合政策要求的中小企业制造。相关企业（含联合体中的中小企业、签订分包意向协议的中小企业）</w:t>
      </w:r>
    </w:p>
    <w:p w14:paraId="7AACD2BB">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宋体" w:hAnsi="宋体" w:eastAsia="宋体" w:cs="宋体"/>
          <w:i w:val="0"/>
          <w:iCs w:val="0"/>
          <w:color w:val="auto"/>
          <w:kern w:val="0"/>
          <w:sz w:val="21"/>
          <w:szCs w:val="21"/>
          <w:highlight w:val="none"/>
          <w:lang w:val="en-US" w:eastAsia="zh-CN" w:bidi="ar"/>
        </w:rPr>
      </w:pPr>
      <w:r>
        <w:rPr>
          <w:rFonts w:hint="eastAsia" w:ascii="宋体" w:hAnsi="宋体" w:eastAsia="宋体" w:cs="宋体"/>
          <w:i w:val="0"/>
          <w:iCs w:val="0"/>
          <w:color w:val="auto"/>
          <w:kern w:val="0"/>
          <w:sz w:val="21"/>
          <w:szCs w:val="21"/>
          <w:highlight w:val="none"/>
          <w:lang w:val="en-US" w:eastAsia="zh-CN" w:bidi="ar"/>
        </w:rPr>
        <w:t>的具体情况如下：</w:t>
      </w:r>
    </w:p>
    <w:p w14:paraId="58052D36">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i w:val="0"/>
          <w:iCs w:val="0"/>
          <w:color w:val="auto"/>
          <w:kern w:val="0"/>
          <w:sz w:val="21"/>
          <w:szCs w:val="21"/>
          <w:highlight w:val="none"/>
          <w:lang w:val="en-US" w:eastAsia="zh-CN" w:bidi="ar"/>
        </w:rPr>
      </w:pPr>
      <w:r>
        <w:rPr>
          <w:rFonts w:hint="eastAsia" w:ascii="宋体" w:hAnsi="宋体" w:eastAsia="宋体" w:cs="宋体"/>
          <w:i w:val="0"/>
          <w:iCs w:val="0"/>
          <w:color w:val="auto"/>
          <w:kern w:val="0"/>
          <w:sz w:val="21"/>
          <w:szCs w:val="21"/>
          <w:highlight w:val="none"/>
          <w:lang w:val="en-US" w:eastAsia="zh-CN" w:bidi="ar"/>
        </w:rPr>
        <w:t xml:space="preserve">1. </w:t>
      </w:r>
      <w:r>
        <w:rPr>
          <w:rFonts w:hint="eastAsia" w:ascii="宋体" w:hAnsi="宋体" w:eastAsia="宋体" w:cs="宋体"/>
          <w:i w:val="0"/>
          <w:iCs w:val="0"/>
          <w:color w:val="auto"/>
          <w:kern w:val="0"/>
          <w:sz w:val="21"/>
          <w:szCs w:val="21"/>
          <w:highlight w:val="none"/>
          <w:u w:val="single"/>
          <w:lang w:val="en-US" w:eastAsia="zh-CN" w:bidi="ar"/>
        </w:rPr>
        <w:t xml:space="preserve">（标的名称） </w:t>
      </w:r>
      <w:r>
        <w:rPr>
          <w:rFonts w:hint="eastAsia" w:ascii="宋体" w:hAnsi="宋体" w:eastAsia="宋体" w:cs="宋体"/>
          <w:i w:val="0"/>
          <w:iCs w:val="0"/>
          <w:color w:val="auto"/>
          <w:kern w:val="0"/>
          <w:sz w:val="21"/>
          <w:szCs w:val="21"/>
          <w:highlight w:val="none"/>
          <w:lang w:val="en-US" w:eastAsia="zh-CN" w:bidi="ar"/>
        </w:rPr>
        <w:t>，属于</w:t>
      </w:r>
      <w:r>
        <w:rPr>
          <w:rFonts w:hint="eastAsia" w:ascii="宋体" w:hAnsi="宋体" w:eastAsia="宋体" w:cs="宋体"/>
          <w:i w:val="0"/>
          <w:iCs w:val="0"/>
          <w:color w:val="auto"/>
          <w:kern w:val="0"/>
          <w:sz w:val="21"/>
          <w:szCs w:val="21"/>
          <w:highlight w:val="none"/>
          <w:u w:val="single"/>
          <w:lang w:val="en-US" w:eastAsia="zh-CN" w:bidi="ar"/>
        </w:rPr>
        <w:t>（采购文件中明确的所属行业）</w:t>
      </w:r>
      <w:r>
        <w:rPr>
          <w:rFonts w:hint="eastAsia" w:ascii="宋体" w:hAnsi="宋体" w:eastAsia="宋体" w:cs="宋体"/>
          <w:i w:val="0"/>
          <w:iCs w:val="0"/>
          <w:color w:val="auto"/>
          <w:kern w:val="0"/>
          <w:sz w:val="21"/>
          <w:szCs w:val="21"/>
          <w:highlight w:val="none"/>
          <w:lang w:val="en-US" w:eastAsia="zh-CN" w:bidi="ar"/>
        </w:rPr>
        <w:t>行业；制造商为</w:t>
      </w:r>
      <w:r>
        <w:rPr>
          <w:rFonts w:hint="eastAsia" w:ascii="宋体" w:hAnsi="宋体" w:eastAsia="宋体" w:cs="宋体"/>
          <w:i w:val="0"/>
          <w:iCs w:val="0"/>
          <w:color w:val="auto"/>
          <w:kern w:val="0"/>
          <w:sz w:val="21"/>
          <w:szCs w:val="21"/>
          <w:highlight w:val="none"/>
          <w:u w:val="single"/>
          <w:lang w:val="en-US" w:eastAsia="zh-CN" w:bidi="ar"/>
        </w:rPr>
        <w:t>（企业名称）</w:t>
      </w:r>
      <w:r>
        <w:rPr>
          <w:rFonts w:hint="eastAsia" w:ascii="宋体" w:hAnsi="宋体" w:eastAsia="宋体" w:cs="宋体"/>
          <w:i w:val="0"/>
          <w:iCs w:val="0"/>
          <w:color w:val="auto"/>
          <w:kern w:val="0"/>
          <w:sz w:val="21"/>
          <w:szCs w:val="21"/>
          <w:highlight w:val="none"/>
          <w:lang w:val="en-US" w:eastAsia="zh-CN" w:bidi="ar"/>
        </w:rPr>
        <w:t>，从业人员</w:t>
      </w:r>
      <w:r>
        <w:rPr>
          <w:rFonts w:hint="eastAsia" w:ascii="宋体" w:hAnsi="宋体" w:eastAsia="宋体" w:cs="宋体"/>
          <w:i w:val="0"/>
          <w:iCs w:val="0"/>
          <w:color w:val="auto"/>
          <w:kern w:val="0"/>
          <w:sz w:val="21"/>
          <w:szCs w:val="21"/>
          <w:highlight w:val="none"/>
          <w:u w:val="single"/>
          <w:lang w:val="en-US" w:eastAsia="zh-CN" w:bidi="ar"/>
        </w:rPr>
        <w:t xml:space="preserve">    </w:t>
      </w:r>
      <w:r>
        <w:rPr>
          <w:rFonts w:hint="eastAsia" w:ascii="宋体" w:hAnsi="宋体" w:eastAsia="宋体" w:cs="宋体"/>
          <w:i w:val="0"/>
          <w:iCs w:val="0"/>
          <w:color w:val="auto"/>
          <w:kern w:val="0"/>
          <w:sz w:val="21"/>
          <w:szCs w:val="21"/>
          <w:highlight w:val="none"/>
          <w:lang w:val="en-US" w:eastAsia="zh-CN" w:bidi="ar"/>
        </w:rPr>
        <w:t>人，营业收入为</w:t>
      </w:r>
      <w:r>
        <w:rPr>
          <w:rFonts w:hint="eastAsia" w:ascii="宋体" w:hAnsi="宋体" w:eastAsia="宋体" w:cs="宋体"/>
          <w:i w:val="0"/>
          <w:iCs w:val="0"/>
          <w:color w:val="auto"/>
          <w:kern w:val="0"/>
          <w:sz w:val="21"/>
          <w:szCs w:val="21"/>
          <w:highlight w:val="none"/>
          <w:u w:val="single"/>
          <w:lang w:val="en-US" w:eastAsia="zh-CN" w:bidi="ar"/>
        </w:rPr>
        <w:t xml:space="preserve">     </w:t>
      </w:r>
      <w:r>
        <w:rPr>
          <w:rFonts w:hint="eastAsia" w:ascii="宋体" w:hAnsi="宋体" w:eastAsia="宋体" w:cs="宋体"/>
          <w:i w:val="0"/>
          <w:iCs w:val="0"/>
          <w:color w:val="auto"/>
          <w:kern w:val="0"/>
          <w:sz w:val="21"/>
          <w:szCs w:val="21"/>
          <w:highlight w:val="none"/>
          <w:lang w:val="en-US" w:eastAsia="zh-CN" w:bidi="ar"/>
        </w:rPr>
        <w:t>万元，资产总额为</w:t>
      </w:r>
      <w:r>
        <w:rPr>
          <w:rFonts w:hint="eastAsia" w:ascii="宋体" w:hAnsi="宋体" w:eastAsia="宋体" w:cs="宋体"/>
          <w:i w:val="0"/>
          <w:iCs w:val="0"/>
          <w:color w:val="auto"/>
          <w:kern w:val="0"/>
          <w:sz w:val="21"/>
          <w:szCs w:val="21"/>
          <w:highlight w:val="none"/>
          <w:u w:val="single"/>
          <w:lang w:val="en-US" w:eastAsia="zh-CN" w:bidi="ar"/>
        </w:rPr>
        <w:t xml:space="preserve">      </w:t>
      </w:r>
      <w:r>
        <w:rPr>
          <w:rFonts w:hint="eastAsia" w:ascii="宋体" w:hAnsi="宋体" w:eastAsia="宋体" w:cs="宋体"/>
          <w:i w:val="0"/>
          <w:iCs w:val="0"/>
          <w:color w:val="auto"/>
          <w:kern w:val="0"/>
          <w:sz w:val="21"/>
          <w:szCs w:val="21"/>
          <w:highlight w:val="none"/>
          <w:lang w:val="en-US" w:eastAsia="zh-CN" w:bidi="ar"/>
        </w:rPr>
        <w:t>万元①，属于</w:t>
      </w:r>
      <w:r>
        <w:rPr>
          <w:rFonts w:hint="eastAsia" w:ascii="宋体" w:hAnsi="宋体" w:eastAsia="宋体" w:cs="宋体"/>
          <w:i w:val="0"/>
          <w:iCs w:val="0"/>
          <w:color w:val="auto"/>
          <w:kern w:val="0"/>
          <w:sz w:val="21"/>
          <w:szCs w:val="21"/>
          <w:highlight w:val="none"/>
          <w:u w:val="single"/>
          <w:lang w:val="en-US" w:eastAsia="zh-CN" w:bidi="ar"/>
        </w:rPr>
        <w:t>（中型企业、小型企业、微型企业）</w:t>
      </w:r>
      <w:r>
        <w:rPr>
          <w:rFonts w:hint="eastAsia" w:ascii="宋体" w:hAnsi="宋体" w:eastAsia="宋体" w:cs="宋体"/>
          <w:i w:val="0"/>
          <w:iCs w:val="0"/>
          <w:color w:val="auto"/>
          <w:kern w:val="0"/>
          <w:sz w:val="21"/>
          <w:szCs w:val="21"/>
          <w:highlight w:val="none"/>
          <w:lang w:val="en-US" w:eastAsia="zh-CN" w:bidi="ar"/>
        </w:rPr>
        <w:t>；</w:t>
      </w:r>
    </w:p>
    <w:p w14:paraId="42591184">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i w:val="0"/>
          <w:iCs w:val="0"/>
          <w:color w:val="auto"/>
          <w:kern w:val="0"/>
          <w:sz w:val="21"/>
          <w:szCs w:val="21"/>
          <w:highlight w:val="none"/>
          <w:lang w:val="en-US" w:eastAsia="zh-CN" w:bidi="ar"/>
        </w:rPr>
      </w:pPr>
      <w:r>
        <w:rPr>
          <w:rFonts w:hint="eastAsia" w:ascii="宋体" w:hAnsi="宋体" w:eastAsia="宋体" w:cs="宋体"/>
          <w:i w:val="0"/>
          <w:iCs w:val="0"/>
          <w:color w:val="auto"/>
          <w:kern w:val="0"/>
          <w:sz w:val="21"/>
          <w:szCs w:val="21"/>
          <w:highlight w:val="none"/>
          <w:lang w:val="en-US" w:eastAsia="zh-CN" w:bidi="ar"/>
        </w:rPr>
        <w:t xml:space="preserve">2. </w:t>
      </w:r>
      <w:r>
        <w:rPr>
          <w:rFonts w:hint="eastAsia" w:ascii="宋体" w:hAnsi="宋体" w:eastAsia="宋体" w:cs="宋体"/>
          <w:i w:val="0"/>
          <w:iCs w:val="0"/>
          <w:color w:val="auto"/>
          <w:kern w:val="0"/>
          <w:sz w:val="21"/>
          <w:szCs w:val="21"/>
          <w:highlight w:val="none"/>
          <w:u w:val="single"/>
          <w:lang w:val="en-US" w:eastAsia="zh-CN" w:bidi="ar"/>
        </w:rPr>
        <w:t xml:space="preserve">（标的名称） </w:t>
      </w:r>
      <w:r>
        <w:rPr>
          <w:rFonts w:hint="eastAsia" w:ascii="宋体" w:hAnsi="宋体" w:eastAsia="宋体" w:cs="宋体"/>
          <w:i w:val="0"/>
          <w:iCs w:val="0"/>
          <w:color w:val="auto"/>
          <w:kern w:val="0"/>
          <w:sz w:val="21"/>
          <w:szCs w:val="21"/>
          <w:highlight w:val="none"/>
          <w:lang w:val="en-US" w:eastAsia="zh-CN" w:bidi="ar"/>
        </w:rPr>
        <w:t>，属于</w:t>
      </w:r>
      <w:r>
        <w:rPr>
          <w:rFonts w:hint="eastAsia" w:ascii="宋体" w:hAnsi="宋体" w:eastAsia="宋体" w:cs="宋体"/>
          <w:i w:val="0"/>
          <w:iCs w:val="0"/>
          <w:color w:val="auto"/>
          <w:kern w:val="0"/>
          <w:sz w:val="21"/>
          <w:szCs w:val="21"/>
          <w:highlight w:val="none"/>
          <w:u w:val="single"/>
          <w:lang w:val="en-US" w:eastAsia="zh-CN" w:bidi="ar"/>
        </w:rPr>
        <w:t>（采购文件中明确的所属行业）</w:t>
      </w:r>
      <w:r>
        <w:rPr>
          <w:rFonts w:hint="eastAsia" w:ascii="宋体" w:hAnsi="宋体" w:eastAsia="宋体" w:cs="宋体"/>
          <w:i w:val="0"/>
          <w:iCs w:val="0"/>
          <w:color w:val="auto"/>
          <w:kern w:val="0"/>
          <w:sz w:val="21"/>
          <w:szCs w:val="21"/>
          <w:highlight w:val="none"/>
          <w:lang w:val="en-US" w:eastAsia="zh-CN" w:bidi="ar"/>
        </w:rPr>
        <w:t>行业；制造商为</w:t>
      </w:r>
      <w:r>
        <w:rPr>
          <w:rFonts w:hint="eastAsia" w:ascii="宋体" w:hAnsi="宋体" w:eastAsia="宋体" w:cs="宋体"/>
          <w:i w:val="0"/>
          <w:iCs w:val="0"/>
          <w:color w:val="auto"/>
          <w:kern w:val="0"/>
          <w:sz w:val="21"/>
          <w:szCs w:val="21"/>
          <w:highlight w:val="none"/>
          <w:u w:val="single"/>
          <w:lang w:val="en-US" w:eastAsia="zh-CN" w:bidi="ar"/>
        </w:rPr>
        <w:t>（企业名称），</w:t>
      </w:r>
      <w:r>
        <w:rPr>
          <w:rFonts w:hint="eastAsia" w:ascii="宋体" w:hAnsi="宋体" w:eastAsia="宋体" w:cs="宋体"/>
          <w:i w:val="0"/>
          <w:iCs w:val="0"/>
          <w:color w:val="auto"/>
          <w:kern w:val="0"/>
          <w:sz w:val="21"/>
          <w:szCs w:val="21"/>
          <w:highlight w:val="none"/>
          <w:lang w:val="en-US" w:eastAsia="zh-CN" w:bidi="ar"/>
        </w:rPr>
        <w:t>从业人员</w:t>
      </w:r>
      <w:r>
        <w:rPr>
          <w:rFonts w:hint="eastAsia" w:ascii="宋体" w:hAnsi="宋体" w:eastAsia="宋体" w:cs="宋体"/>
          <w:i w:val="0"/>
          <w:iCs w:val="0"/>
          <w:color w:val="auto"/>
          <w:kern w:val="0"/>
          <w:sz w:val="21"/>
          <w:szCs w:val="21"/>
          <w:highlight w:val="none"/>
          <w:u w:val="single"/>
          <w:lang w:val="en-US" w:eastAsia="zh-CN" w:bidi="ar"/>
        </w:rPr>
        <w:t xml:space="preserve">   </w:t>
      </w:r>
      <w:r>
        <w:rPr>
          <w:rFonts w:hint="eastAsia" w:ascii="宋体" w:hAnsi="宋体" w:eastAsia="宋体" w:cs="宋体"/>
          <w:i w:val="0"/>
          <w:iCs w:val="0"/>
          <w:color w:val="auto"/>
          <w:kern w:val="0"/>
          <w:sz w:val="21"/>
          <w:szCs w:val="21"/>
          <w:highlight w:val="none"/>
          <w:lang w:val="en-US" w:eastAsia="zh-CN" w:bidi="ar"/>
        </w:rPr>
        <w:t>人，营业收入为</w:t>
      </w:r>
      <w:r>
        <w:rPr>
          <w:rFonts w:hint="eastAsia" w:ascii="宋体" w:hAnsi="宋体" w:eastAsia="宋体" w:cs="宋体"/>
          <w:i w:val="0"/>
          <w:iCs w:val="0"/>
          <w:color w:val="auto"/>
          <w:kern w:val="0"/>
          <w:sz w:val="21"/>
          <w:szCs w:val="21"/>
          <w:highlight w:val="none"/>
          <w:u w:val="single"/>
          <w:lang w:val="en-US" w:eastAsia="zh-CN" w:bidi="ar"/>
        </w:rPr>
        <w:t xml:space="preserve">    </w:t>
      </w:r>
      <w:r>
        <w:rPr>
          <w:rFonts w:hint="eastAsia" w:ascii="宋体" w:hAnsi="宋体" w:eastAsia="宋体" w:cs="宋体"/>
          <w:i w:val="0"/>
          <w:iCs w:val="0"/>
          <w:color w:val="auto"/>
          <w:kern w:val="0"/>
          <w:sz w:val="21"/>
          <w:szCs w:val="21"/>
          <w:highlight w:val="none"/>
          <w:lang w:val="en-US" w:eastAsia="zh-CN" w:bidi="ar"/>
        </w:rPr>
        <w:t>万元，资产总额为</w:t>
      </w:r>
      <w:r>
        <w:rPr>
          <w:rFonts w:hint="eastAsia" w:ascii="宋体" w:hAnsi="宋体" w:eastAsia="宋体" w:cs="宋体"/>
          <w:i w:val="0"/>
          <w:iCs w:val="0"/>
          <w:color w:val="auto"/>
          <w:kern w:val="0"/>
          <w:sz w:val="21"/>
          <w:szCs w:val="21"/>
          <w:highlight w:val="none"/>
          <w:u w:val="single"/>
          <w:lang w:val="en-US" w:eastAsia="zh-CN" w:bidi="ar"/>
        </w:rPr>
        <w:t xml:space="preserve">     </w:t>
      </w:r>
      <w:r>
        <w:rPr>
          <w:rFonts w:hint="eastAsia" w:ascii="宋体" w:hAnsi="宋体" w:eastAsia="宋体" w:cs="宋体"/>
          <w:i w:val="0"/>
          <w:iCs w:val="0"/>
          <w:color w:val="auto"/>
          <w:kern w:val="0"/>
          <w:sz w:val="21"/>
          <w:szCs w:val="21"/>
          <w:highlight w:val="none"/>
          <w:lang w:val="en-US" w:eastAsia="zh-CN" w:bidi="ar"/>
        </w:rPr>
        <w:t>万元，属于</w:t>
      </w:r>
      <w:r>
        <w:rPr>
          <w:rFonts w:hint="eastAsia" w:ascii="宋体" w:hAnsi="宋体" w:eastAsia="宋体" w:cs="宋体"/>
          <w:i w:val="0"/>
          <w:iCs w:val="0"/>
          <w:color w:val="auto"/>
          <w:kern w:val="0"/>
          <w:sz w:val="21"/>
          <w:szCs w:val="21"/>
          <w:highlight w:val="none"/>
          <w:u w:val="single"/>
          <w:lang w:val="en-US" w:eastAsia="zh-CN" w:bidi="ar"/>
        </w:rPr>
        <w:t>（中型企业、小型企业、微型企业）</w:t>
      </w:r>
      <w:r>
        <w:rPr>
          <w:rFonts w:hint="eastAsia" w:ascii="宋体" w:hAnsi="宋体" w:eastAsia="宋体" w:cs="宋体"/>
          <w:i w:val="0"/>
          <w:iCs w:val="0"/>
          <w:color w:val="auto"/>
          <w:kern w:val="0"/>
          <w:sz w:val="21"/>
          <w:szCs w:val="21"/>
          <w:highlight w:val="none"/>
          <w:lang w:val="en-US" w:eastAsia="zh-CN" w:bidi="ar"/>
        </w:rPr>
        <w:t>；</w:t>
      </w:r>
    </w:p>
    <w:p w14:paraId="346FED48">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宋体" w:hAnsi="宋体" w:eastAsia="宋体" w:cs="宋体"/>
          <w:i w:val="0"/>
          <w:iCs w:val="0"/>
          <w:color w:val="auto"/>
          <w:kern w:val="0"/>
          <w:sz w:val="21"/>
          <w:szCs w:val="21"/>
          <w:highlight w:val="none"/>
          <w:lang w:val="en-US" w:eastAsia="zh-CN" w:bidi="ar"/>
        </w:rPr>
      </w:pPr>
      <w:r>
        <w:rPr>
          <w:rFonts w:hint="eastAsia" w:ascii="宋体" w:hAnsi="宋体" w:eastAsia="宋体" w:cs="宋体"/>
          <w:i w:val="0"/>
          <w:iCs w:val="0"/>
          <w:color w:val="auto"/>
          <w:kern w:val="0"/>
          <w:sz w:val="21"/>
          <w:szCs w:val="21"/>
          <w:highlight w:val="none"/>
          <w:lang w:val="en-US" w:eastAsia="zh-CN" w:bidi="ar"/>
        </w:rPr>
        <w:t>……</w:t>
      </w:r>
    </w:p>
    <w:p w14:paraId="707C40F0">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i w:val="0"/>
          <w:iCs w:val="0"/>
          <w:color w:val="auto"/>
          <w:kern w:val="0"/>
          <w:sz w:val="21"/>
          <w:szCs w:val="21"/>
          <w:highlight w:val="none"/>
          <w:lang w:val="en-US" w:eastAsia="zh-CN" w:bidi="ar"/>
        </w:rPr>
      </w:pPr>
      <w:r>
        <w:rPr>
          <w:rFonts w:hint="eastAsia" w:ascii="宋体" w:hAnsi="宋体" w:eastAsia="宋体" w:cs="宋体"/>
          <w:i w:val="0"/>
          <w:iCs w:val="0"/>
          <w:color w:val="auto"/>
          <w:kern w:val="0"/>
          <w:sz w:val="21"/>
          <w:szCs w:val="21"/>
          <w:highlight w:val="none"/>
          <w:lang w:val="en-US" w:eastAsia="zh-CN" w:bidi="ar"/>
        </w:rPr>
        <w:t>以上企业，不属于大企业的分支机构，不存在控股股东为大企业的情形，也不存在与大企业的负责人为同一人的情形。</w:t>
      </w:r>
    </w:p>
    <w:p w14:paraId="02D6EEA5">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i w:val="0"/>
          <w:iCs w:val="0"/>
          <w:color w:val="auto"/>
          <w:kern w:val="0"/>
          <w:sz w:val="21"/>
          <w:szCs w:val="21"/>
          <w:highlight w:val="none"/>
          <w:lang w:val="en-US" w:eastAsia="zh-CN" w:bidi="ar"/>
        </w:rPr>
      </w:pPr>
      <w:r>
        <w:rPr>
          <w:rFonts w:hint="eastAsia" w:ascii="宋体" w:hAnsi="宋体" w:eastAsia="宋体" w:cs="宋体"/>
          <w:i w:val="0"/>
          <w:iCs w:val="0"/>
          <w:color w:val="auto"/>
          <w:kern w:val="0"/>
          <w:sz w:val="21"/>
          <w:szCs w:val="21"/>
          <w:highlight w:val="none"/>
          <w:lang w:val="en-US" w:eastAsia="zh-CN" w:bidi="ar"/>
        </w:rPr>
        <w:t xml:space="preserve">本企业对上述声明内容的真实性负责。如有虚假，将依法承担相应责任。 </w:t>
      </w:r>
    </w:p>
    <w:p w14:paraId="6DF80A3E">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宋体" w:hAnsi="宋体" w:eastAsia="宋体" w:cs="宋体"/>
          <w:i w:val="0"/>
          <w:iCs w:val="0"/>
          <w:color w:val="auto"/>
          <w:kern w:val="0"/>
          <w:sz w:val="21"/>
          <w:szCs w:val="21"/>
          <w:highlight w:val="none"/>
          <w:lang w:val="en-US" w:eastAsia="zh-CN" w:bidi="ar"/>
        </w:rPr>
      </w:pPr>
    </w:p>
    <w:p w14:paraId="45580043">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宋体" w:hAnsi="宋体" w:eastAsia="宋体" w:cs="宋体"/>
          <w:i w:val="0"/>
          <w:iCs w:val="0"/>
          <w:color w:val="auto"/>
          <w:kern w:val="0"/>
          <w:sz w:val="21"/>
          <w:szCs w:val="21"/>
          <w:highlight w:val="none"/>
          <w:lang w:val="en-US" w:eastAsia="zh-CN" w:bidi="ar"/>
        </w:rPr>
      </w:pPr>
    </w:p>
    <w:p w14:paraId="621E92F2">
      <w:pPr>
        <w:keepNext w:val="0"/>
        <w:keepLines w:val="0"/>
        <w:pageBreakBefore w:val="0"/>
        <w:widowControl/>
        <w:suppressLineNumbers w:val="0"/>
        <w:kinsoku/>
        <w:wordWrap/>
        <w:overflowPunct/>
        <w:topLinePunct w:val="0"/>
        <w:autoSpaceDE/>
        <w:autoSpaceDN/>
        <w:bidi w:val="0"/>
        <w:adjustRightInd/>
        <w:snapToGrid/>
        <w:spacing w:line="360" w:lineRule="auto"/>
        <w:ind w:firstLine="5460" w:firstLineChars="2600"/>
        <w:jc w:val="right"/>
        <w:textAlignment w:val="auto"/>
        <w:rPr>
          <w:rFonts w:hint="eastAsia" w:ascii="宋体" w:hAnsi="宋体" w:eastAsia="宋体" w:cs="宋体"/>
          <w:i w:val="0"/>
          <w:iCs w:val="0"/>
          <w:color w:val="auto"/>
          <w:kern w:val="0"/>
          <w:sz w:val="21"/>
          <w:szCs w:val="21"/>
          <w:highlight w:val="none"/>
          <w:lang w:val="en-US" w:eastAsia="zh-CN" w:bidi="ar"/>
        </w:rPr>
      </w:pPr>
      <w:r>
        <w:rPr>
          <w:rFonts w:hint="eastAsia" w:ascii="宋体" w:hAnsi="宋体" w:eastAsia="宋体" w:cs="宋体"/>
          <w:i w:val="0"/>
          <w:iCs w:val="0"/>
          <w:color w:val="auto"/>
          <w:kern w:val="0"/>
          <w:sz w:val="21"/>
          <w:szCs w:val="21"/>
          <w:highlight w:val="none"/>
          <w:lang w:val="en-US" w:eastAsia="zh-CN" w:bidi="ar"/>
        </w:rPr>
        <w:t xml:space="preserve">企业名称（盖章）： </w:t>
      </w:r>
    </w:p>
    <w:p w14:paraId="16A37416">
      <w:pPr>
        <w:pageBreakBefore w:val="0"/>
        <w:tabs>
          <w:tab w:val="left" w:pos="5380"/>
          <w:tab w:val="left" w:pos="6520"/>
          <w:tab w:val="left" w:pos="7680"/>
        </w:tabs>
        <w:kinsoku/>
        <w:overflowPunct/>
        <w:autoSpaceDE w:val="0"/>
        <w:autoSpaceDN w:val="0"/>
        <w:bidi w:val="0"/>
        <w:adjustRightInd w:val="0"/>
        <w:spacing w:line="360" w:lineRule="auto"/>
        <w:ind w:right="-20" w:firstLine="3780" w:firstLineChars="1800"/>
        <w:jc w:val="righ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u w:val="single"/>
        </w:rPr>
        <w:t xml:space="preserve">     </w:t>
      </w:r>
      <w:r>
        <w:rPr>
          <w:rFonts w:hint="eastAsia" w:ascii="宋体" w:hAnsi="宋体" w:eastAsia="宋体" w:cs="宋体"/>
          <w:color w:val="auto"/>
          <w:spacing w:val="43"/>
          <w:kern w:val="0"/>
          <w:szCs w:val="21"/>
          <w:highlight w:val="none"/>
          <w:u w:val="single"/>
        </w:rPr>
        <w:t xml:space="preserve"> </w:t>
      </w:r>
      <w:r>
        <w:rPr>
          <w:rFonts w:hint="eastAsia" w:ascii="宋体" w:hAnsi="宋体" w:eastAsia="宋体" w:cs="宋体"/>
          <w:color w:val="auto"/>
          <w:kern w:val="0"/>
          <w:szCs w:val="21"/>
          <w:highlight w:val="none"/>
        </w:rPr>
        <w:t>年</w:t>
      </w:r>
      <w:r>
        <w:rPr>
          <w:rFonts w:hint="eastAsia" w:ascii="宋体" w:hAnsi="宋体" w:eastAsia="宋体" w:cs="宋体"/>
          <w:color w:val="auto"/>
          <w:kern w:val="0"/>
          <w:szCs w:val="21"/>
          <w:highlight w:val="none"/>
          <w:u w:val="single"/>
        </w:rPr>
        <w:t xml:space="preserve">       </w:t>
      </w:r>
      <w:r>
        <w:rPr>
          <w:rFonts w:hint="eastAsia" w:ascii="宋体" w:hAnsi="宋体" w:eastAsia="宋体" w:cs="宋体"/>
          <w:color w:val="auto"/>
          <w:kern w:val="0"/>
          <w:szCs w:val="21"/>
          <w:highlight w:val="none"/>
        </w:rPr>
        <w:t>月</w:t>
      </w:r>
      <w:r>
        <w:rPr>
          <w:rFonts w:hint="eastAsia" w:ascii="宋体" w:hAnsi="宋体" w:eastAsia="宋体" w:cs="宋体"/>
          <w:color w:val="auto"/>
          <w:kern w:val="0"/>
          <w:szCs w:val="21"/>
          <w:highlight w:val="none"/>
          <w:u w:val="single"/>
        </w:rPr>
        <w:t xml:space="preserve">      </w:t>
      </w:r>
      <w:r>
        <w:rPr>
          <w:rFonts w:hint="eastAsia" w:ascii="宋体" w:hAnsi="宋体" w:eastAsia="宋体" w:cs="宋体"/>
          <w:color w:val="auto"/>
          <w:kern w:val="0"/>
          <w:szCs w:val="21"/>
          <w:highlight w:val="none"/>
        </w:rPr>
        <w:t>日</w:t>
      </w:r>
    </w:p>
    <w:p w14:paraId="6C075DC6">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kern w:val="0"/>
          <w:sz w:val="21"/>
          <w:szCs w:val="21"/>
          <w:highlight w:val="none"/>
          <w:lang w:val="en-US" w:eastAsia="zh-CN" w:bidi="ar"/>
        </w:rPr>
      </w:pPr>
    </w:p>
    <w:p w14:paraId="7B655303">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b/>
          <w:bCs/>
          <w:color w:val="auto"/>
          <w:kern w:val="0"/>
          <w:sz w:val="21"/>
          <w:szCs w:val="21"/>
          <w:highlight w:val="none"/>
          <w:lang w:val="en-US" w:eastAsia="zh-CN" w:bidi="ar"/>
        </w:rPr>
        <w:t>注：</w:t>
      </w:r>
      <w:r>
        <w:rPr>
          <w:rFonts w:hint="eastAsia" w:ascii="宋体" w:hAnsi="宋体" w:eastAsia="宋体" w:cs="宋体"/>
          <w:color w:val="auto"/>
          <w:kern w:val="0"/>
          <w:sz w:val="21"/>
          <w:szCs w:val="21"/>
          <w:highlight w:val="none"/>
          <w:lang w:val="en-US" w:eastAsia="en-US" w:bidi="ar"/>
        </w:rPr>
        <w:t>①</w:t>
      </w:r>
      <w:r>
        <w:rPr>
          <w:rFonts w:hint="eastAsia" w:ascii="宋体" w:hAnsi="宋体" w:eastAsia="宋体" w:cs="宋体"/>
          <w:color w:val="auto"/>
          <w:kern w:val="0"/>
          <w:sz w:val="21"/>
          <w:szCs w:val="21"/>
          <w:highlight w:val="none"/>
          <w:lang w:val="en-US" w:eastAsia="zh-CN" w:bidi="ar"/>
        </w:rPr>
        <w:t>从业人员、营业收入、资产总额填报上一年度数据，无上一年度数据的新成立企业可不填报。</w:t>
      </w:r>
    </w:p>
    <w:p w14:paraId="03152971">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sz w:val="21"/>
          <w:szCs w:val="21"/>
          <w:highlight w:val="none"/>
          <w:lang w:val="en-US" w:eastAsia="en-US"/>
        </w:rPr>
        <w:t>②</w:t>
      </w:r>
      <w:r>
        <w:rPr>
          <w:rFonts w:hint="eastAsia" w:ascii="宋体" w:hAnsi="宋体" w:eastAsia="宋体" w:cs="宋体"/>
          <w:color w:val="auto"/>
          <w:kern w:val="0"/>
          <w:sz w:val="21"/>
          <w:szCs w:val="21"/>
          <w:highlight w:val="none"/>
          <w:lang w:val="en-US" w:eastAsia="zh-CN" w:bidi="ar"/>
        </w:rPr>
        <w:t>投标人提供的货物既有中小企业制造货物，也有大型企业制造货物的，不享受《政府采购促进中小企业发展管理办法》规定的中小企业扶持政策。</w:t>
      </w:r>
    </w:p>
    <w:p w14:paraId="40CCA7B2">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sz w:val="21"/>
          <w:szCs w:val="21"/>
          <w:highlight w:val="none"/>
          <w:lang w:val="en-US" w:eastAsia="en-US"/>
        </w:rPr>
        <w:t>③</w:t>
      </w:r>
      <w:r>
        <w:rPr>
          <w:rFonts w:hint="eastAsia" w:ascii="宋体" w:hAnsi="宋体" w:eastAsia="宋体" w:cs="宋体"/>
          <w:color w:val="auto"/>
          <w:kern w:val="0"/>
          <w:sz w:val="21"/>
          <w:szCs w:val="21"/>
          <w:highlight w:val="none"/>
          <w:lang w:val="en-US" w:eastAsia="zh-CN" w:bidi="ar"/>
        </w:rPr>
        <w:t xml:space="preserve">以联合体形式参加政府采购活动，联合体各方均为中小企业的，联合体视同中小企业。其中，联合体各方均为小微企业的，联合体视同小微企业。 </w:t>
      </w:r>
    </w:p>
    <w:p w14:paraId="10386E78">
      <w:pPr>
        <w:pStyle w:val="35"/>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④在政府采购活动中，投标人提供的所有货物由小微企业制造，即货物由小微企业生产且使用该小微企业商号或者注册商标的，才能享受《政府采购促进中小企业发展管理办法》规定的价格扣减。</w:t>
      </w:r>
    </w:p>
    <w:p w14:paraId="61D7F1EC">
      <w:pPr>
        <w:pStyle w:val="35"/>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⑤中小企业声明函格式应严格按照招标文件提供的格式填写。非单一产品采购的，设备制造商不止一家时，中小企业声明函中须列出所有的设备及制造商，罗列不全的中小企业声明函不予认可。</w:t>
      </w:r>
    </w:p>
    <w:p w14:paraId="1B84ADAF">
      <w:pPr>
        <w:pStyle w:val="35"/>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⑥在货物采购项目中，货物应当由中小企业制造，不对其中涉及的服务的承接商作出要求。</w:t>
      </w:r>
    </w:p>
    <w:p w14:paraId="01710097">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kern w:val="0"/>
          <w:sz w:val="21"/>
          <w:szCs w:val="21"/>
          <w:highlight w:val="none"/>
          <w:lang w:val="en-US" w:eastAsia="zh-CN" w:bidi="ar"/>
        </w:rPr>
      </w:pPr>
    </w:p>
    <w:p w14:paraId="5B05377A">
      <w:pPr>
        <w:pStyle w:val="5"/>
        <w:pageBreakBefore w:val="0"/>
        <w:numPr>
          <w:ilvl w:val="0"/>
          <w:numId w:val="35"/>
        </w:numPr>
        <w:tabs>
          <w:tab w:val="left" w:pos="840"/>
        </w:tabs>
        <w:kinsoku/>
        <w:overflowPunct/>
        <w:bidi w:val="0"/>
        <w:spacing w:line="360" w:lineRule="auto"/>
        <w:ind w:left="420" w:hanging="420"/>
        <w:jc w:val="center"/>
        <w:rPr>
          <w:rFonts w:hint="eastAsia" w:ascii="宋体" w:hAnsi="宋体" w:eastAsia="宋体" w:cs="宋体"/>
          <w:color w:val="auto"/>
          <w:kern w:val="0"/>
          <w:sz w:val="21"/>
          <w:szCs w:val="21"/>
          <w:highlight w:val="none"/>
          <w:lang w:val="en-US" w:eastAsia="zh-CN" w:bidi="ar"/>
        </w:rPr>
      </w:pPr>
      <w:bookmarkStart w:id="778" w:name="OLE_LINK14"/>
      <w:bookmarkStart w:id="779" w:name="OLE_LINK13"/>
      <w:r>
        <w:rPr>
          <w:rFonts w:hint="eastAsia" w:ascii="宋体" w:hAnsi="宋体" w:eastAsia="宋体" w:cs="宋体"/>
          <w:color w:val="auto"/>
          <w:sz w:val="24"/>
          <w:szCs w:val="24"/>
          <w:highlight w:val="none"/>
          <w:lang w:val="en-US" w:eastAsia="zh-CN"/>
        </w:rPr>
        <w:br w:type="page"/>
      </w:r>
      <w:bookmarkStart w:id="780" w:name="_Toc29116"/>
      <w:r>
        <w:rPr>
          <w:rFonts w:hint="eastAsia" w:ascii="宋体" w:hAnsi="宋体" w:eastAsia="宋体" w:cs="宋体"/>
          <w:color w:val="auto"/>
          <w:sz w:val="24"/>
          <w:szCs w:val="24"/>
          <w:highlight w:val="none"/>
          <w:lang w:val="en-US" w:eastAsia="zh-CN"/>
        </w:rPr>
        <w:t>关于符合本国产品标准的声明函（如有）或财政部会同有关部门规定的有关证明文件（如有）</w:t>
      </w:r>
      <w:bookmarkEnd w:id="780"/>
    </w:p>
    <w:p w14:paraId="7C2412EE">
      <w:pPr>
        <w:pStyle w:val="3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30" w:beforeAutospacing="0" w:after="30" w:afterAutospacing="0" w:line="360" w:lineRule="auto"/>
        <w:ind w:left="0" w:right="0" w:firstLine="42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本公司（单位）郑重声明，根据《国务院办公厅关于在政府采购中实施本国产品标准及相关政策的通知》（国办发〔2025〕34号）的规定，本公司（单位）提供的以下产品属于本国产品。具体情况如下：</w:t>
      </w:r>
    </w:p>
    <w:p w14:paraId="469E7ED9">
      <w:pPr>
        <w:pStyle w:val="3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30" w:beforeAutospacing="0" w:after="30" w:afterAutospacing="0" w:line="360" w:lineRule="auto"/>
        <w:ind w:left="0" w:right="0" w:firstLine="420"/>
        <w:textAlignment w:val="auto"/>
        <w:rPr>
          <w:rFonts w:hint="eastAsia" w:ascii="宋体" w:hAnsi="宋体" w:eastAsia="宋体" w:cs="宋体"/>
          <w:i w:val="0"/>
          <w:iCs w:val="0"/>
          <w:color w:val="auto"/>
          <w:sz w:val="21"/>
          <w:szCs w:val="21"/>
          <w:highlight w:val="none"/>
        </w:rPr>
      </w:pPr>
      <w:r>
        <w:rPr>
          <w:rFonts w:hint="eastAsia" w:ascii="宋体" w:hAnsi="宋体" w:eastAsia="宋体" w:cs="宋体"/>
          <w:i w:val="0"/>
          <w:iCs w:val="0"/>
          <w:color w:val="auto"/>
          <w:sz w:val="21"/>
          <w:szCs w:val="21"/>
          <w:highlight w:val="none"/>
        </w:rPr>
        <w:t>1.</w:t>
      </w:r>
      <w:r>
        <w:rPr>
          <w:rStyle w:val="42"/>
          <w:rFonts w:hint="eastAsia" w:ascii="宋体" w:hAnsi="宋体" w:eastAsia="宋体" w:cs="宋体"/>
          <w:i w:val="0"/>
          <w:iCs w:val="0"/>
          <w:color w:val="auto"/>
          <w:sz w:val="21"/>
          <w:szCs w:val="21"/>
          <w:highlight w:val="none"/>
          <w:u w:val="single"/>
        </w:rPr>
        <w:t>（产品名称1）</w:t>
      </w:r>
      <w:r>
        <w:rPr>
          <w:rStyle w:val="42"/>
          <w:rFonts w:hint="eastAsia" w:ascii="宋体" w:hAnsi="宋体" w:eastAsia="宋体" w:cs="宋体"/>
          <w:i w:val="0"/>
          <w:iCs w:val="0"/>
          <w:color w:val="auto"/>
          <w:sz w:val="21"/>
          <w:szCs w:val="21"/>
          <w:highlight w:val="none"/>
          <w:u w:val="none"/>
          <w:vertAlign w:val="superscript"/>
        </w:rPr>
        <w:t>1</w:t>
      </w:r>
      <w:r>
        <w:rPr>
          <w:rFonts w:hint="eastAsia" w:ascii="宋体" w:hAnsi="宋体" w:eastAsia="宋体" w:cs="宋体"/>
          <w:i w:val="0"/>
          <w:iCs w:val="0"/>
          <w:color w:val="auto"/>
          <w:sz w:val="21"/>
          <w:szCs w:val="21"/>
          <w:highlight w:val="none"/>
        </w:rPr>
        <w:t>，生产厂为</w:t>
      </w:r>
      <w:r>
        <w:rPr>
          <w:rStyle w:val="42"/>
          <w:rFonts w:hint="eastAsia" w:ascii="宋体" w:hAnsi="宋体" w:eastAsia="宋体" w:cs="宋体"/>
          <w:i w:val="0"/>
          <w:iCs w:val="0"/>
          <w:color w:val="auto"/>
          <w:sz w:val="21"/>
          <w:szCs w:val="21"/>
          <w:highlight w:val="none"/>
          <w:u w:val="single"/>
        </w:rPr>
        <w:t>（厂名）</w:t>
      </w:r>
      <w:r>
        <w:rPr>
          <w:rStyle w:val="42"/>
          <w:rFonts w:hint="eastAsia" w:ascii="宋体" w:hAnsi="宋体" w:eastAsia="宋体" w:cs="宋体"/>
          <w:i w:val="0"/>
          <w:iCs w:val="0"/>
          <w:color w:val="auto"/>
          <w:sz w:val="21"/>
          <w:szCs w:val="21"/>
          <w:highlight w:val="none"/>
          <w:u w:val="none"/>
          <w:vertAlign w:val="superscript"/>
        </w:rPr>
        <w:t>2</w:t>
      </w:r>
      <w:r>
        <w:rPr>
          <w:rFonts w:hint="eastAsia" w:ascii="宋体" w:hAnsi="宋体" w:eastAsia="宋体" w:cs="宋体"/>
          <w:i w:val="0"/>
          <w:iCs w:val="0"/>
          <w:color w:val="auto"/>
          <w:sz w:val="21"/>
          <w:szCs w:val="21"/>
          <w:highlight w:val="none"/>
        </w:rPr>
        <w:t>，厂址为</w:t>
      </w:r>
      <w:r>
        <w:rPr>
          <w:rStyle w:val="42"/>
          <w:rFonts w:hint="eastAsia" w:ascii="宋体" w:hAnsi="宋体" w:eastAsia="宋体" w:cs="宋体"/>
          <w:i w:val="0"/>
          <w:iCs w:val="0"/>
          <w:color w:val="auto"/>
          <w:sz w:val="21"/>
          <w:szCs w:val="21"/>
          <w:highlight w:val="none"/>
          <w:u w:val="single"/>
        </w:rPr>
        <w:t>（生产厂址）</w:t>
      </w:r>
      <w:r>
        <w:rPr>
          <w:rFonts w:hint="eastAsia" w:ascii="宋体" w:hAnsi="宋体" w:eastAsia="宋体" w:cs="宋体"/>
          <w:i w:val="0"/>
          <w:iCs w:val="0"/>
          <w:color w:val="auto"/>
          <w:sz w:val="21"/>
          <w:szCs w:val="21"/>
          <w:highlight w:val="none"/>
        </w:rPr>
        <w:t>。</w:t>
      </w:r>
      <w:r>
        <w:rPr>
          <w:rStyle w:val="42"/>
          <w:rFonts w:hint="eastAsia" w:ascii="宋体" w:hAnsi="宋体" w:eastAsia="宋体" w:cs="宋体"/>
          <w:i w:val="0"/>
          <w:iCs w:val="0"/>
          <w:color w:val="auto"/>
          <w:sz w:val="21"/>
          <w:szCs w:val="21"/>
          <w:highlight w:val="none"/>
          <w:u w:val="single"/>
        </w:rPr>
        <w:t>（产品名称1）</w:t>
      </w:r>
      <w:r>
        <w:rPr>
          <w:rFonts w:hint="eastAsia" w:ascii="宋体" w:hAnsi="宋体" w:eastAsia="宋体" w:cs="宋体"/>
          <w:i w:val="0"/>
          <w:iCs w:val="0"/>
          <w:color w:val="auto"/>
          <w:sz w:val="21"/>
          <w:szCs w:val="21"/>
          <w:highlight w:val="none"/>
        </w:rPr>
        <w:t>的中国境内生产的组件成本占比≥</w:t>
      </w:r>
      <w:r>
        <w:rPr>
          <w:rStyle w:val="42"/>
          <w:rFonts w:hint="eastAsia" w:ascii="宋体" w:hAnsi="宋体" w:eastAsia="宋体" w:cs="宋体"/>
          <w:i w:val="0"/>
          <w:iCs w:val="0"/>
          <w:color w:val="auto"/>
          <w:sz w:val="21"/>
          <w:szCs w:val="21"/>
          <w:highlight w:val="none"/>
          <w:u w:val="single"/>
        </w:rPr>
        <w:t>（规定比例）</w:t>
      </w:r>
      <w:r>
        <w:rPr>
          <w:rStyle w:val="42"/>
          <w:rFonts w:hint="eastAsia" w:ascii="宋体" w:hAnsi="宋体" w:eastAsia="宋体" w:cs="宋体"/>
          <w:i w:val="0"/>
          <w:iCs w:val="0"/>
          <w:color w:val="auto"/>
          <w:sz w:val="21"/>
          <w:szCs w:val="21"/>
          <w:highlight w:val="none"/>
          <w:u w:val="none"/>
          <w:vertAlign w:val="superscript"/>
        </w:rPr>
        <w:t>3</w:t>
      </w:r>
      <w:r>
        <w:rPr>
          <w:rFonts w:hint="eastAsia" w:ascii="宋体" w:hAnsi="宋体" w:eastAsia="宋体" w:cs="宋体"/>
          <w:i w:val="0"/>
          <w:iCs w:val="0"/>
          <w:color w:val="auto"/>
          <w:sz w:val="21"/>
          <w:szCs w:val="21"/>
          <w:highlight w:val="none"/>
        </w:rPr>
        <w:t>。</w:t>
      </w:r>
      <w:r>
        <w:rPr>
          <w:rStyle w:val="42"/>
          <w:rFonts w:hint="eastAsia" w:ascii="宋体" w:hAnsi="宋体" w:eastAsia="宋体" w:cs="宋体"/>
          <w:i w:val="0"/>
          <w:iCs w:val="0"/>
          <w:color w:val="auto"/>
          <w:sz w:val="21"/>
          <w:szCs w:val="21"/>
          <w:highlight w:val="none"/>
          <w:u w:val="single"/>
        </w:rPr>
        <w:t>（产品名称1）</w:t>
      </w:r>
      <w:r>
        <w:rPr>
          <w:rFonts w:hint="eastAsia" w:ascii="宋体" w:hAnsi="宋体" w:eastAsia="宋体" w:cs="宋体"/>
          <w:i w:val="0"/>
          <w:iCs w:val="0"/>
          <w:color w:val="auto"/>
          <w:sz w:val="21"/>
          <w:szCs w:val="21"/>
          <w:highlight w:val="none"/>
        </w:rPr>
        <w:t>的</w:t>
      </w:r>
      <w:r>
        <w:rPr>
          <w:rStyle w:val="42"/>
          <w:rFonts w:hint="eastAsia" w:ascii="宋体" w:hAnsi="宋体" w:eastAsia="宋体" w:cs="宋体"/>
          <w:i w:val="0"/>
          <w:iCs w:val="0"/>
          <w:color w:val="auto"/>
          <w:sz w:val="21"/>
          <w:szCs w:val="21"/>
          <w:highlight w:val="none"/>
          <w:u w:val="single"/>
        </w:rPr>
        <w:t>（关键组件）</w:t>
      </w:r>
      <w:r>
        <w:rPr>
          <w:rStyle w:val="42"/>
          <w:rFonts w:hint="eastAsia" w:ascii="宋体" w:hAnsi="宋体" w:eastAsia="宋体" w:cs="宋体"/>
          <w:i w:val="0"/>
          <w:iCs w:val="0"/>
          <w:color w:val="auto"/>
          <w:sz w:val="21"/>
          <w:szCs w:val="21"/>
          <w:highlight w:val="none"/>
          <w:u w:val="none"/>
          <w:vertAlign w:val="superscript"/>
        </w:rPr>
        <w:t>4</w:t>
      </w:r>
      <w:r>
        <w:rPr>
          <w:rFonts w:hint="eastAsia" w:ascii="宋体" w:hAnsi="宋体" w:eastAsia="宋体" w:cs="宋体"/>
          <w:i w:val="0"/>
          <w:iCs w:val="0"/>
          <w:color w:val="auto"/>
          <w:sz w:val="21"/>
          <w:szCs w:val="21"/>
          <w:highlight w:val="none"/>
        </w:rPr>
        <w:t>在中国境内生产。</w:t>
      </w:r>
      <w:r>
        <w:rPr>
          <w:rStyle w:val="42"/>
          <w:rFonts w:hint="eastAsia" w:ascii="宋体" w:hAnsi="宋体" w:eastAsia="宋体" w:cs="宋体"/>
          <w:i w:val="0"/>
          <w:iCs w:val="0"/>
          <w:color w:val="auto"/>
          <w:sz w:val="21"/>
          <w:szCs w:val="21"/>
          <w:highlight w:val="none"/>
          <w:u w:val="single"/>
        </w:rPr>
        <w:t>（产品名称1）</w:t>
      </w:r>
      <w:r>
        <w:rPr>
          <w:rFonts w:hint="eastAsia" w:ascii="宋体" w:hAnsi="宋体" w:eastAsia="宋体" w:cs="宋体"/>
          <w:i w:val="0"/>
          <w:iCs w:val="0"/>
          <w:color w:val="auto"/>
          <w:sz w:val="21"/>
          <w:szCs w:val="21"/>
          <w:highlight w:val="none"/>
        </w:rPr>
        <w:t>的</w:t>
      </w:r>
      <w:r>
        <w:rPr>
          <w:rStyle w:val="42"/>
          <w:rFonts w:hint="eastAsia" w:ascii="宋体" w:hAnsi="宋体" w:eastAsia="宋体" w:cs="宋体"/>
          <w:i w:val="0"/>
          <w:iCs w:val="0"/>
          <w:color w:val="auto"/>
          <w:sz w:val="21"/>
          <w:szCs w:val="21"/>
          <w:highlight w:val="none"/>
          <w:u w:val="single"/>
        </w:rPr>
        <w:t>（关键工序）</w:t>
      </w:r>
      <w:r>
        <w:rPr>
          <w:rStyle w:val="42"/>
          <w:rFonts w:hint="eastAsia" w:ascii="宋体" w:hAnsi="宋体" w:eastAsia="宋体" w:cs="宋体"/>
          <w:i w:val="0"/>
          <w:iCs w:val="0"/>
          <w:color w:val="auto"/>
          <w:sz w:val="21"/>
          <w:szCs w:val="21"/>
          <w:highlight w:val="none"/>
          <w:u w:val="none"/>
          <w:vertAlign w:val="superscript"/>
        </w:rPr>
        <w:t>5</w:t>
      </w:r>
      <w:r>
        <w:rPr>
          <w:rFonts w:hint="eastAsia" w:ascii="宋体" w:hAnsi="宋体" w:eastAsia="宋体" w:cs="宋体"/>
          <w:i w:val="0"/>
          <w:iCs w:val="0"/>
          <w:color w:val="auto"/>
          <w:sz w:val="21"/>
          <w:szCs w:val="21"/>
          <w:highlight w:val="none"/>
        </w:rPr>
        <w:t>在中国境内完成。</w:t>
      </w:r>
    </w:p>
    <w:p w14:paraId="0BB6DBAA">
      <w:pPr>
        <w:pStyle w:val="3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30" w:beforeAutospacing="0" w:after="30" w:afterAutospacing="0" w:line="360" w:lineRule="auto"/>
        <w:ind w:left="0" w:right="0" w:firstLine="420"/>
        <w:textAlignment w:val="auto"/>
        <w:rPr>
          <w:rFonts w:hint="eastAsia" w:ascii="宋体" w:hAnsi="宋体" w:eastAsia="宋体" w:cs="宋体"/>
          <w:i w:val="0"/>
          <w:iCs w:val="0"/>
          <w:color w:val="auto"/>
          <w:sz w:val="21"/>
          <w:szCs w:val="21"/>
          <w:highlight w:val="none"/>
        </w:rPr>
      </w:pPr>
      <w:r>
        <w:rPr>
          <w:rFonts w:hint="eastAsia" w:ascii="宋体" w:hAnsi="宋体" w:eastAsia="宋体" w:cs="宋体"/>
          <w:i w:val="0"/>
          <w:iCs w:val="0"/>
          <w:color w:val="auto"/>
          <w:sz w:val="21"/>
          <w:szCs w:val="21"/>
          <w:highlight w:val="none"/>
        </w:rPr>
        <w:t>2.</w:t>
      </w:r>
      <w:r>
        <w:rPr>
          <w:rStyle w:val="42"/>
          <w:rFonts w:hint="eastAsia" w:ascii="宋体" w:hAnsi="宋体" w:eastAsia="宋体" w:cs="宋体"/>
          <w:i w:val="0"/>
          <w:iCs w:val="0"/>
          <w:color w:val="auto"/>
          <w:sz w:val="21"/>
          <w:szCs w:val="21"/>
          <w:highlight w:val="none"/>
          <w:u w:val="single"/>
        </w:rPr>
        <w:t>（产品名称2）</w:t>
      </w:r>
      <w:r>
        <w:rPr>
          <w:rFonts w:hint="eastAsia" w:ascii="宋体" w:hAnsi="宋体" w:eastAsia="宋体" w:cs="宋体"/>
          <w:i w:val="0"/>
          <w:iCs w:val="0"/>
          <w:color w:val="auto"/>
          <w:sz w:val="21"/>
          <w:szCs w:val="21"/>
          <w:highlight w:val="none"/>
        </w:rPr>
        <w:t>，生产厂为</w:t>
      </w:r>
      <w:r>
        <w:rPr>
          <w:rStyle w:val="42"/>
          <w:rFonts w:hint="eastAsia" w:ascii="宋体" w:hAnsi="宋体" w:eastAsia="宋体" w:cs="宋体"/>
          <w:i w:val="0"/>
          <w:iCs w:val="0"/>
          <w:color w:val="auto"/>
          <w:sz w:val="21"/>
          <w:szCs w:val="21"/>
          <w:highlight w:val="none"/>
          <w:u w:val="single"/>
        </w:rPr>
        <w:t>（厂名）</w:t>
      </w:r>
      <w:r>
        <w:rPr>
          <w:rFonts w:hint="eastAsia" w:ascii="宋体" w:hAnsi="宋体" w:eastAsia="宋体" w:cs="宋体"/>
          <w:i w:val="0"/>
          <w:iCs w:val="0"/>
          <w:color w:val="auto"/>
          <w:sz w:val="21"/>
          <w:szCs w:val="21"/>
          <w:highlight w:val="none"/>
        </w:rPr>
        <w:t>，厂址为</w:t>
      </w:r>
      <w:r>
        <w:rPr>
          <w:rStyle w:val="42"/>
          <w:rFonts w:hint="eastAsia" w:ascii="宋体" w:hAnsi="宋体" w:eastAsia="宋体" w:cs="宋体"/>
          <w:i w:val="0"/>
          <w:iCs w:val="0"/>
          <w:color w:val="auto"/>
          <w:sz w:val="21"/>
          <w:szCs w:val="21"/>
          <w:highlight w:val="none"/>
          <w:u w:val="single"/>
        </w:rPr>
        <w:t>（生产厂址）</w:t>
      </w:r>
      <w:r>
        <w:rPr>
          <w:rFonts w:hint="eastAsia" w:ascii="宋体" w:hAnsi="宋体" w:eastAsia="宋体" w:cs="宋体"/>
          <w:i w:val="0"/>
          <w:iCs w:val="0"/>
          <w:color w:val="auto"/>
          <w:sz w:val="21"/>
          <w:szCs w:val="21"/>
          <w:highlight w:val="none"/>
        </w:rPr>
        <w:t>。</w:t>
      </w:r>
      <w:r>
        <w:rPr>
          <w:rStyle w:val="42"/>
          <w:rFonts w:hint="eastAsia" w:ascii="宋体" w:hAnsi="宋体" w:eastAsia="宋体" w:cs="宋体"/>
          <w:i w:val="0"/>
          <w:iCs w:val="0"/>
          <w:color w:val="auto"/>
          <w:sz w:val="21"/>
          <w:szCs w:val="21"/>
          <w:highlight w:val="none"/>
          <w:u w:val="single"/>
        </w:rPr>
        <w:t>（产品名称2）</w:t>
      </w:r>
      <w:r>
        <w:rPr>
          <w:rFonts w:hint="eastAsia" w:ascii="宋体" w:hAnsi="宋体" w:eastAsia="宋体" w:cs="宋体"/>
          <w:i w:val="0"/>
          <w:iCs w:val="0"/>
          <w:color w:val="auto"/>
          <w:sz w:val="21"/>
          <w:szCs w:val="21"/>
          <w:highlight w:val="none"/>
        </w:rPr>
        <w:t>的中国境内生产的组件成本占比≥</w:t>
      </w:r>
      <w:r>
        <w:rPr>
          <w:rStyle w:val="42"/>
          <w:rFonts w:hint="eastAsia" w:ascii="宋体" w:hAnsi="宋体" w:eastAsia="宋体" w:cs="宋体"/>
          <w:i w:val="0"/>
          <w:iCs w:val="0"/>
          <w:color w:val="auto"/>
          <w:sz w:val="21"/>
          <w:szCs w:val="21"/>
          <w:highlight w:val="none"/>
          <w:u w:val="single"/>
        </w:rPr>
        <w:t>（规定比例）</w:t>
      </w:r>
      <w:r>
        <w:rPr>
          <w:rFonts w:hint="eastAsia" w:ascii="宋体" w:hAnsi="宋体" w:eastAsia="宋体" w:cs="宋体"/>
          <w:i w:val="0"/>
          <w:iCs w:val="0"/>
          <w:color w:val="auto"/>
          <w:sz w:val="21"/>
          <w:szCs w:val="21"/>
          <w:highlight w:val="none"/>
        </w:rPr>
        <w:t>。</w:t>
      </w:r>
      <w:r>
        <w:rPr>
          <w:rStyle w:val="42"/>
          <w:rFonts w:hint="eastAsia" w:ascii="宋体" w:hAnsi="宋体" w:eastAsia="宋体" w:cs="宋体"/>
          <w:i w:val="0"/>
          <w:iCs w:val="0"/>
          <w:color w:val="auto"/>
          <w:sz w:val="21"/>
          <w:szCs w:val="21"/>
          <w:highlight w:val="none"/>
          <w:u w:val="single"/>
        </w:rPr>
        <w:t>（产品名称2）</w:t>
      </w:r>
      <w:r>
        <w:rPr>
          <w:rFonts w:hint="eastAsia" w:ascii="宋体" w:hAnsi="宋体" w:eastAsia="宋体" w:cs="宋体"/>
          <w:i w:val="0"/>
          <w:iCs w:val="0"/>
          <w:color w:val="auto"/>
          <w:sz w:val="21"/>
          <w:szCs w:val="21"/>
          <w:highlight w:val="none"/>
        </w:rPr>
        <w:t>的</w:t>
      </w:r>
      <w:r>
        <w:rPr>
          <w:rStyle w:val="42"/>
          <w:rFonts w:hint="eastAsia" w:ascii="宋体" w:hAnsi="宋体" w:eastAsia="宋体" w:cs="宋体"/>
          <w:i w:val="0"/>
          <w:iCs w:val="0"/>
          <w:color w:val="auto"/>
          <w:sz w:val="21"/>
          <w:szCs w:val="21"/>
          <w:highlight w:val="none"/>
          <w:u w:val="single"/>
        </w:rPr>
        <w:t>（关键组件）</w:t>
      </w:r>
      <w:r>
        <w:rPr>
          <w:rFonts w:hint="eastAsia" w:ascii="宋体" w:hAnsi="宋体" w:eastAsia="宋体" w:cs="宋体"/>
          <w:i w:val="0"/>
          <w:iCs w:val="0"/>
          <w:color w:val="auto"/>
          <w:sz w:val="21"/>
          <w:szCs w:val="21"/>
          <w:highlight w:val="none"/>
        </w:rPr>
        <w:t>在中国境内生产。</w:t>
      </w:r>
      <w:r>
        <w:rPr>
          <w:rStyle w:val="42"/>
          <w:rFonts w:hint="eastAsia" w:ascii="宋体" w:hAnsi="宋体" w:eastAsia="宋体" w:cs="宋体"/>
          <w:i w:val="0"/>
          <w:iCs w:val="0"/>
          <w:color w:val="auto"/>
          <w:sz w:val="21"/>
          <w:szCs w:val="21"/>
          <w:highlight w:val="none"/>
          <w:u w:val="single"/>
        </w:rPr>
        <w:t>（产品名称2）</w:t>
      </w:r>
      <w:r>
        <w:rPr>
          <w:rFonts w:hint="eastAsia" w:ascii="宋体" w:hAnsi="宋体" w:eastAsia="宋体" w:cs="宋体"/>
          <w:i w:val="0"/>
          <w:iCs w:val="0"/>
          <w:color w:val="auto"/>
          <w:sz w:val="21"/>
          <w:szCs w:val="21"/>
          <w:highlight w:val="none"/>
        </w:rPr>
        <w:t>的</w:t>
      </w:r>
      <w:r>
        <w:rPr>
          <w:rStyle w:val="42"/>
          <w:rFonts w:hint="eastAsia" w:ascii="宋体" w:hAnsi="宋体" w:eastAsia="宋体" w:cs="宋体"/>
          <w:i w:val="0"/>
          <w:iCs w:val="0"/>
          <w:color w:val="auto"/>
          <w:sz w:val="21"/>
          <w:szCs w:val="21"/>
          <w:highlight w:val="none"/>
          <w:u w:val="single"/>
        </w:rPr>
        <w:t>（关键工序）</w:t>
      </w:r>
      <w:r>
        <w:rPr>
          <w:rFonts w:hint="eastAsia" w:ascii="宋体" w:hAnsi="宋体" w:eastAsia="宋体" w:cs="宋体"/>
          <w:i w:val="0"/>
          <w:iCs w:val="0"/>
          <w:color w:val="auto"/>
          <w:sz w:val="21"/>
          <w:szCs w:val="21"/>
          <w:highlight w:val="none"/>
        </w:rPr>
        <w:t>在中国境内完成。</w:t>
      </w:r>
    </w:p>
    <w:p w14:paraId="00ABCD92">
      <w:pPr>
        <w:pStyle w:val="3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30" w:beforeAutospacing="0" w:after="30" w:afterAutospacing="0" w:line="360" w:lineRule="auto"/>
        <w:ind w:left="0" w:right="0" w:firstLine="420"/>
        <w:textAlignment w:val="auto"/>
        <w:rPr>
          <w:rFonts w:hint="eastAsia" w:ascii="宋体" w:hAnsi="宋体" w:eastAsia="宋体" w:cs="宋体"/>
          <w:i w:val="0"/>
          <w:iCs w:val="0"/>
          <w:color w:val="auto"/>
          <w:sz w:val="21"/>
          <w:szCs w:val="21"/>
          <w:highlight w:val="none"/>
        </w:rPr>
      </w:pPr>
      <w:r>
        <w:rPr>
          <w:rFonts w:hint="eastAsia" w:ascii="宋体" w:hAnsi="宋体" w:eastAsia="宋体" w:cs="宋体"/>
          <w:i w:val="0"/>
          <w:iCs w:val="0"/>
          <w:color w:val="auto"/>
          <w:sz w:val="21"/>
          <w:szCs w:val="21"/>
          <w:highlight w:val="none"/>
        </w:rPr>
        <w:t>……</w:t>
      </w:r>
    </w:p>
    <w:p w14:paraId="438498A5">
      <w:pPr>
        <w:pStyle w:val="3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30" w:beforeAutospacing="0" w:after="30" w:afterAutospacing="0" w:line="360" w:lineRule="auto"/>
        <w:ind w:left="0" w:right="0" w:firstLine="420"/>
        <w:textAlignment w:val="auto"/>
        <w:rPr>
          <w:rFonts w:hint="eastAsia" w:ascii="宋体" w:hAnsi="宋体" w:eastAsia="宋体" w:cs="宋体"/>
          <w:i w:val="0"/>
          <w:iCs w:val="0"/>
          <w:color w:val="auto"/>
          <w:sz w:val="21"/>
          <w:szCs w:val="21"/>
          <w:highlight w:val="none"/>
        </w:rPr>
      </w:pPr>
      <w:r>
        <w:rPr>
          <w:rFonts w:hint="eastAsia" w:ascii="宋体" w:hAnsi="宋体" w:eastAsia="宋体" w:cs="宋体"/>
          <w:i w:val="0"/>
          <w:iCs w:val="0"/>
          <w:color w:val="auto"/>
          <w:sz w:val="21"/>
          <w:szCs w:val="21"/>
          <w:highlight w:val="none"/>
        </w:rPr>
        <w:t>本公司（单位）对上述声明内容的真实性负责。如有虚假，愿承担相应法律责任。</w:t>
      </w:r>
    </w:p>
    <w:p w14:paraId="5F933CED">
      <w:pPr>
        <w:pStyle w:val="3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30" w:beforeAutospacing="0" w:after="30" w:afterAutospacing="0" w:line="360" w:lineRule="auto"/>
        <w:ind w:left="0" w:right="0" w:firstLine="0"/>
        <w:jc w:val="right"/>
        <w:textAlignment w:val="auto"/>
        <w:rPr>
          <w:rFonts w:hint="eastAsia" w:ascii="宋体" w:hAnsi="宋体" w:eastAsia="宋体" w:cs="宋体"/>
          <w:i w:val="0"/>
          <w:iCs w:val="0"/>
          <w:color w:val="auto"/>
          <w:sz w:val="21"/>
          <w:szCs w:val="21"/>
          <w:highlight w:val="none"/>
        </w:rPr>
      </w:pPr>
      <w:r>
        <w:rPr>
          <w:rFonts w:hint="eastAsia" w:ascii="宋体" w:hAnsi="宋体" w:eastAsia="宋体" w:cs="宋体"/>
          <w:i w:val="0"/>
          <w:iCs w:val="0"/>
          <w:color w:val="auto"/>
          <w:sz w:val="21"/>
          <w:szCs w:val="21"/>
          <w:highlight w:val="none"/>
        </w:rPr>
        <w:t>公司（单位）名称（盖章）：　        </w:t>
      </w:r>
    </w:p>
    <w:p w14:paraId="76D9EDA4">
      <w:pPr>
        <w:pStyle w:val="3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30" w:beforeAutospacing="0" w:after="30" w:afterAutospacing="0" w:line="360" w:lineRule="auto"/>
        <w:ind w:left="0" w:right="0" w:firstLine="0"/>
        <w:jc w:val="righ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sz w:val="21"/>
          <w:szCs w:val="21"/>
          <w:highlight w:val="none"/>
        </w:rPr>
        <w:t>日期：　     年　  月　  日      </w:t>
      </w:r>
      <w:r>
        <w:rPr>
          <w:rFonts w:hint="eastAsia" w:ascii="宋体" w:hAnsi="宋体" w:eastAsia="宋体" w:cs="宋体"/>
          <w:color w:val="auto"/>
          <w:sz w:val="21"/>
          <w:szCs w:val="21"/>
          <w:highlight w:val="none"/>
        </w:rPr>
        <w:t>   </w:t>
      </w:r>
    </w:p>
    <w:p w14:paraId="1ED7BDA0">
      <w:pPr>
        <w:pStyle w:val="3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30" w:beforeAutospacing="0" w:after="30" w:afterAutospacing="0" w:line="360" w:lineRule="auto"/>
        <w:ind w:left="0" w:right="0" w:firstLine="420"/>
        <w:textAlignment w:val="auto"/>
        <w:rPr>
          <w:rFonts w:hint="eastAsia" w:ascii="宋体" w:hAnsi="宋体" w:eastAsia="宋体" w:cs="宋体"/>
          <w:color w:val="auto"/>
          <w:sz w:val="21"/>
          <w:szCs w:val="21"/>
          <w:highlight w:val="none"/>
        </w:rPr>
      </w:pPr>
    </w:p>
    <w:p w14:paraId="26C73DCE">
      <w:pPr>
        <w:pStyle w:val="3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30" w:beforeAutospacing="0" w:after="30" w:afterAutospacing="0" w:line="360" w:lineRule="auto"/>
        <w:ind w:left="0" w:right="0" w:firstLine="42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1.产品如有型号，请在“产品名称”栏一并填写。</w:t>
      </w:r>
    </w:p>
    <w:p w14:paraId="4CA0CC5C">
      <w:pPr>
        <w:pStyle w:val="3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30" w:beforeAutospacing="0" w:after="30" w:afterAutospacing="0" w:line="360" w:lineRule="auto"/>
        <w:ind w:left="0" w:right="0" w:firstLine="42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2.生产厂名与厂址应与生产厂营业执照载明的相关信息保持一致。</w:t>
      </w:r>
    </w:p>
    <w:p w14:paraId="37DEB73A">
      <w:pPr>
        <w:pStyle w:val="3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30" w:beforeAutospacing="0" w:after="30" w:afterAutospacing="0" w:line="360" w:lineRule="auto"/>
        <w:ind w:left="0" w:right="0" w:firstLine="42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3.该产品的中国境内生产的组件成本占比相关要求实施前，“规定比例”栏可不填，下同。</w:t>
      </w:r>
    </w:p>
    <w:p w14:paraId="3EFD19FD">
      <w:pPr>
        <w:pStyle w:val="3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30" w:beforeAutospacing="0" w:after="30" w:afterAutospacing="0" w:line="360" w:lineRule="auto"/>
        <w:ind w:left="0" w:right="0" w:firstLine="42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4.该产品的关键组件要求实施前，“关键组件”栏可不填，下同。</w:t>
      </w:r>
    </w:p>
    <w:p w14:paraId="0CD5F886">
      <w:pPr>
        <w:pStyle w:val="3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30" w:beforeAutospacing="0" w:after="30" w:afterAutospacing="0" w:line="360" w:lineRule="auto"/>
        <w:ind w:left="0" w:right="0" w:firstLine="42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5.该产品的关键工序要求实施前，“关键工序”栏可不填，下同。</w:t>
      </w:r>
    </w:p>
    <w:p w14:paraId="3D5D3073">
      <w:pPr>
        <w:pStyle w:val="5"/>
        <w:pageBreakBefore w:val="0"/>
        <w:numPr>
          <w:ilvl w:val="0"/>
          <w:numId w:val="35"/>
        </w:numPr>
        <w:tabs>
          <w:tab w:val="left" w:pos="840"/>
        </w:tabs>
        <w:kinsoku/>
        <w:overflowPunct/>
        <w:bidi w:val="0"/>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br w:type="page"/>
      </w:r>
      <w:bookmarkStart w:id="781" w:name="_Toc4351"/>
      <w:bookmarkStart w:id="782" w:name="_Toc27857"/>
      <w:r>
        <w:rPr>
          <w:rFonts w:hint="eastAsia" w:ascii="宋体" w:hAnsi="宋体" w:eastAsia="宋体" w:cs="宋体"/>
          <w:color w:val="auto"/>
          <w:sz w:val="24"/>
          <w:szCs w:val="24"/>
          <w:highlight w:val="none"/>
          <w:lang w:val="en-US" w:eastAsia="zh-CN"/>
        </w:rPr>
        <w:t>残疾人福利性单位声明函（如有）</w:t>
      </w:r>
      <w:bookmarkEnd w:id="781"/>
      <w:bookmarkEnd w:id="782"/>
    </w:p>
    <w:bookmarkEnd w:id="778"/>
    <w:bookmarkEnd w:id="779"/>
    <w:p w14:paraId="453BA160">
      <w:pPr>
        <w:pageBreakBefore w:val="0"/>
        <w:kinsoku/>
        <w:overflowPunct/>
        <w:bidi w:val="0"/>
        <w:spacing w:line="360" w:lineRule="auto"/>
        <w:ind w:firstLine="444" w:firstLineChars="200"/>
        <w:rPr>
          <w:rFonts w:hint="eastAsia" w:ascii="宋体" w:hAnsi="宋体" w:eastAsia="宋体" w:cs="宋体"/>
          <w:color w:val="auto"/>
          <w:spacing w:val="6"/>
          <w:szCs w:val="21"/>
          <w:highlight w:val="none"/>
        </w:rPr>
      </w:pPr>
      <w:r>
        <w:rPr>
          <w:rFonts w:hint="eastAsia" w:ascii="宋体" w:hAnsi="宋体" w:eastAsia="宋体" w:cs="宋体"/>
          <w:color w:val="auto"/>
          <w:spacing w:val="6"/>
          <w:szCs w:val="21"/>
          <w:highlight w:val="none"/>
        </w:rPr>
        <w:t>本单位郑重声明，根据《财政部 民政部 中国残疾人联合会关于促进残疾人就业政府采购政策的通知》（财库</w:t>
      </w:r>
      <w:r>
        <w:rPr>
          <w:rFonts w:hint="eastAsia" w:ascii="宋体" w:hAnsi="宋体" w:eastAsia="宋体" w:cs="宋体"/>
          <w:color w:val="auto"/>
          <w:szCs w:val="21"/>
          <w:highlight w:val="none"/>
        </w:rPr>
        <w:t>〔2017〕 141</w:t>
      </w:r>
      <w:r>
        <w:rPr>
          <w:rFonts w:hint="eastAsia" w:ascii="宋体" w:hAnsi="宋体" w:eastAsia="宋体" w:cs="宋体"/>
          <w:color w:val="auto"/>
          <w:spacing w:val="6"/>
          <w:szCs w:val="21"/>
          <w:highlight w:val="none"/>
        </w:rPr>
        <w:t>号）的规定，本单位为符合条件的残疾人福利性单位，且本单位参加</w:t>
      </w:r>
      <w:r>
        <w:rPr>
          <w:rFonts w:hint="eastAsia" w:ascii="宋体" w:hAnsi="宋体" w:eastAsia="宋体" w:cs="宋体"/>
          <w:color w:val="auto"/>
          <w:spacing w:val="6"/>
          <w:szCs w:val="21"/>
          <w:highlight w:val="none"/>
          <w:u w:val="single"/>
        </w:rPr>
        <w:t xml:space="preserve">       </w:t>
      </w:r>
      <w:r>
        <w:rPr>
          <w:rFonts w:hint="eastAsia" w:ascii="宋体" w:hAnsi="宋体" w:eastAsia="宋体" w:cs="宋体"/>
          <w:color w:val="auto"/>
          <w:spacing w:val="6"/>
          <w:szCs w:val="21"/>
          <w:highlight w:val="none"/>
        </w:rPr>
        <w:t>单位的</w:t>
      </w:r>
      <w:r>
        <w:rPr>
          <w:rFonts w:hint="eastAsia" w:ascii="宋体" w:hAnsi="宋体" w:eastAsia="宋体" w:cs="宋体"/>
          <w:color w:val="auto"/>
          <w:spacing w:val="6"/>
          <w:szCs w:val="21"/>
          <w:highlight w:val="none"/>
          <w:u w:val="single"/>
        </w:rPr>
        <w:t xml:space="preserve">      </w:t>
      </w:r>
      <w:r>
        <w:rPr>
          <w:rFonts w:hint="eastAsia" w:ascii="宋体" w:hAnsi="宋体" w:eastAsia="宋体" w:cs="宋体"/>
          <w:color w:val="auto"/>
          <w:spacing w:val="6"/>
          <w:szCs w:val="21"/>
          <w:highlight w:val="none"/>
        </w:rPr>
        <w:t>项目采购活动提供本单位制造的货物（由本单位承担工程/提供服务），或者提供其他残疾人福利性单位制造的货物（不包括使用非残疾人福利性单位注册商标的货物）。</w:t>
      </w:r>
    </w:p>
    <w:p w14:paraId="5DA4F5A3">
      <w:pPr>
        <w:pageBreakBefore w:val="0"/>
        <w:kinsoku/>
        <w:overflowPunct/>
        <w:bidi w:val="0"/>
        <w:spacing w:line="360" w:lineRule="auto"/>
        <w:ind w:firstLine="444" w:firstLineChars="200"/>
        <w:rPr>
          <w:rFonts w:hint="eastAsia" w:ascii="宋体" w:hAnsi="宋体" w:eastAsia="宋体" w:cs="宋体"/>
          <w:color w:val="auto"/>
          <w:spacing w:val="6"/>
          <w:szCs w:val="21"/>
          <w:highlight w:val="none"/>
        </w:rPr>
      </w:pPr>
      <w:r>
        <w:rPr>
          <w:rFonts w:hint="eastAsia" w:ascii="宋体" w:hAnsi="宋体" w:eastAsia="宋体" w:cs="宋体"/>
          <w:color w:val="auto"/>
          <w:spacing w:val="6"/>
          <w:szCs w:val="21"/>
          <w:highlight w:val="none"/>
        </w:rPr>
        <w:t>本单位对上述声明的真实性负责。如有虚假，将依法承担相应责任。</w:t>
      </w:r>
    </w:p>
    <w:p w14:paraId="3C1F087A">
      <w:pPr>
        <w:pageBreakBefore w:val="0"/>
        <w:kinsoku/>
        <w:overflowPunct/>
        <w:bidi w:val="0"/>
        <w:spacing w:line="360" w:lineRule="auto"/>
        <w:ind w:firstLine="444" w:firstLineChars="200"/>
        <w:rPr>
          <w:rFonts w:hint="eastAsia" w:ascii="宋体" w:hAnsi="宋体" w:eastAsia="宋体" w:cs="宋体"/>
          <w:color w:val="auto"/>
          <w:spacing w:val="6"/>
          <w:szCs w:val="21"/>
          <w:highlight w:val="none"/>
        </w:rPr>
      </w:pPr>
    </w:p>
    <w:p w14:paraId="329224B2">
      <w:pPr>
        <w:pageBreakBefore w:val="0"/>
        <w:kinsoku/>
        <w:overflowPunct/>
        <w:bidi w:val="0"/>
        <w:spacing w:line="360" w:lineRule="auto"/>
        <w:ind w:firstLine="444" w:firstLineChars="200"/>
        <w:rPr>
          <w:rFonts w:hint="eastAsia" w:ascii="宋体" w:hAnsi="宋体" w:eastAsia="宋体" w:cs="宋体"/>
          <w:color w:val="auto"/>
          <w:spacing w:val="6"/>
          <w:szCs w:val="21"/>
          <w:highlight w:val="none"/>
        </w:rPr>
      </w:pPr>
    </w:p>
    <w:p w14:paraId="794E46A6">
      <w:pPr>
        <w:pageBreakBefore w:val="0"/>
        <w:tabs>
          <w:tab w:val="left" w:pos="4860"/>
        </w:tabs>
        <w:kinsoku/>
        <w:overflowPunct/>
        <w:bidi w:val="0"/>
        <w:spacing w:line="360" w:lineRule="auto"/>
        <w:ind w:right="1560" w:firstLine="444" w:firstLineChars="200"/>
        <w:jc w:val="center"/>
        <w:rPr>
          <w:rFonts w:hint="eastAsia" w:ascii="宋体" w:hAnsi="宋体" w:eastAsia="宋体" w:cs="宋体"/>
          <w:color w:val="auto"/>
          <w:spacing w:val="6"/>
          <w:szCs w:val="21"/>
          <w:highlight w:val="none"/>
        </w:rPr>
      </w:pPr>
      <w:r>
        <w:rPr>
          <w:rFonts w:hint="eastAsia" w:ascii="宋体" w:hAnsi="宋体" w:eastAsia="宋体" w:cs="宋体"/>
          <w:color w:val="auto"/>
          <w:spacing w:val="6"/>
          <w:szCs w:val="21"/>
          <w:highlight w:val="none"/>
        </w:rPr>
        <w:t xml:space="preserve">               单位名称（盖章）：</w:t>
      </w:r>
    </w:p>
    <w:p w14:paraId="39B43F9E">
      <w:pPr>
        <w:pageBreakBefore w:val="0"/>
        <w:tabs>
          <w:tab w:val="left" w:pos="5380"/>
          <w:tab w:val="left" w:pos="6520"/>
          <w:tab w:val="left" w:pos="7680"/>
        </w:tabs>
        <w:kinsoku/>
        <w:overflowPunct/>
        <w:autoSpaceDE w:val="0"/>
        <w:autoSpaceDN w:val="0"/>
        <w:bidi w:val="0"/>
        <w:adjustRightInd w:val="0"/>
        <w:spacing w:line="360" w:lineRule="auto"/>
        <w:ind w:right="-20" w:firstLine="3780" w:firstLineChars="180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u w:val="single"/>
        </w:rPr>
        <w:t xml:space="preserve">     </w:t>
      </w:r>
      <w:r>
        <w:rPr>
          <w:rFonts w:hint="eastAsia" w:ascii="宋体" w:hAnsi="宋体" w:eastAsia="宋体" w:cs="宋体"/>
          <w:color w:val="auto"/>
          <w:spacing w:val="43"/>
          <w:kern w:val="0"/>
          <w:szCs w:val="21"/>
          <w:highlight w:val="none"/>
          <w:u w:val="single"/>
        </w:rPr>
        <w:t xml:space="preserve"> </w:t>
      </w:r>
      <w:r>
        <w:rPr>
          <w:rFonts w:hint="eastAsia" w:ascii="宋体" w:hAnsi="宋体" w:eastAsia="宋体" w:cs="宋体"/>
          <w:color w:val="auto"/>
          <w:kern w:val="0"/>
          <w:szCs w:val="21"/>
          <w:highlight w:val="none"/>
        </w:rPr>
        <w:t>年</w:t>
      </w:r>
      <w:r>
        <w:rPr>
          <w:rFonts w:hint="eastAsia" w:ascii="宋体" w:hAnsi="宋体" w:eastAsia="宋体" w:cs="宋体"/>
          <w:color w:val="auto"/>
          <w:kern w:val="0"/>
          <w:szCs w:val="21"/>
          <w:highlight w:val="none"/>
          <w:u w:val="single"/>
        </w:rPr>
        <w:t xml:space="preserve">       </w:t>
      </w:r>
      <w:r>
        <w:rPr>
          <w:rFonts w:hint="eastAsia" w:ascii="宋体" w:hAnsi="宋体" w:eastAsia="宋体" w:cs="宋体"/>
          <w:color w:val="auto"/>
          <w:kern w:val="0"/>
          <w:szCs w:val="21"/>
          <w:highlight w:val="none"/>
        </w:rPr>
        <w:t>月</w:t>
      </w:r>
      <w:r>
        <w:rPr>
          <w:rFonts w:hint="eastAsia" w:ascii="宋体" w:hAnsi="宋体" w:eastAsia="宋体" w:cs="宋体"/>
          <w:color w:val="auto"/>
          <w:kern w:val="0"/>
          <w:szCs w:val="21"/>
          <w:highlight w:val="none"/>
          <w:u w:val="single"/>
        </w:rPr>
        <w:t xml:space="preserve">      </w:t>
      </w:r>
      <w:r>
        <w:rPr>
          <w:rFonts w:hint="eastAsia" w:ascii="宋体" w:hAnsi="宋体" w:eastAsia="宋体" w:cs="宋体"/>
          <w:color w:val="auto"/>
          <w:kern w:val="0"/>
          <w:szCs w:val="21"/>
          <w:highlight w:val="none"/>
        </w:rPr>
        <w:t>日</w:t>
      </w:r>
    </w:p>
    <w:p w14:paraId="3857289C">
      <w:pPr>
        <w:pageBreakBefore w:val="0"/>
        <w:widowControl/>
        <w:kinsoku/>
        <w:overflowPunct/>
        <w:bidi w:val="0"/>
        <w:spacing w:line="360" w:lineRule="auto"/>
        <w:rPr>
          <w:rFonts w:hint="eastAsia" w:ascii="宋体" w:hAnsi="宋体" w:eastAsia="宋体" w:cs="宋体"/>
          <w:b/>
          <w:color w:val="auto"/>
          <w:szCs w:val="21"/>
          <w:highlight w:val="none"/>
        </w:rPr>
      </w:pPr>
    </w:p>
    <w:p w14:paraId="4AFA1F30">
      <w:pPr>
        <w:pageBreakBefore w:val="0"/>
        <w:tabs>
          <w:tab w:val="left" w:pos="840"/>
        </w:tabs>
        <w:kinsoku/>
        <w:overflowPunct/>
        <w:autoSpaceDE w:val="0"/>
        <w:autoSpaceDN w:val="0"/>
        <w:bidi w:val="0"/>
        <w:adjustRightInd w:val="0"/>
        <w:spacing w:line="360" w:lineRule="auto"/>
        <w:jc w:val="both"/>
        <w:rPr>
          <w:rFonts w:hint="eastAsia" w:ascii="宋体" w:hAnsi="宋体" w:eastAsia="宋体" w:cs="宋体"/>
          <w:b/>
          <w:color w:val="auto"/>
          <w:sz w:val="24"/>
          <w:highlight w:val="none"/>
        </w:rPr>
      </w:pPr>
    </w:p>
    <w:p w14:paraId="4EC04B6A">
      <w:pPr>
        <w:pageBreakBefore w:val="0"/>
        <w:kinsoku/>
        <w:overflowPunct/>
        <w:bidi w:val="0"/>
        <w:spacing w:line="360" w:lineRule="auto"/>
        <w:rPr>
          <w:rFonts w:hint="eastAsia" w:ascii="宋体" w:hAnsi="宋体" w:eastAsia="宋体" w:cs="宋体"/>
          <w:color w:val="auto"/>
          <w:highlight w:val="none"/>
        </w:rPr>
      </w:pPr>
      <w:r>
        <w:rPr>
          <w:rFonts w:hint="eastAsia" w:ascii="宋体" w:hAnsi="宋体" w:eastAsia="宋体" w:cs="宋体"/>
          <w:color w:val="auto"/>
          <w:highlight w:val="none"/>
          <w:lang w:eastAsia="zh-CN"/>
        </w:rPr>
        <w:t>注：</w:t>
      </w:r>
      <w:r>
        <w:rPr>
          <w:rFonts w:hint="eastAsia" w:ascii="宋体" w:hAnsi="宋体" w:eastAsia="宋体" w:cs="宋体"/>
          <w:color w:val="auto"/>
          <w:highlight w:val="none"/>
        </w:rPr>
        <w:t>《财政部民政部中国残疾人联合会关于促进残疾人就业政府采购政策的通知》（财库〔2017〕141号）的规定：</w:t>
      </w:r>
    </w:p>
    <w:p w14:paraId="1E2EF7FA">
      <w:pPr>
        <w:pageBreakBefore w:val="0"/>
        <w:kinsoku/>
        <w:overflowPunct/>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 享受政府采购支持政策的残疾人福利性单位应当同时满足以下条件：</w:t>
      </w:r>
    </w:p>
    <w:p w14:paraId="5F2C9382">
      <w:pPr>
        <w:pageBreakBefore w:val="0"/>
        <w:kinsoku/>
        <w:overflowPunct/>
        <w:bidi w:val="0"/>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（1）安置的残疾人占本单位在职职工人数的比例不低于25%（含25%），并且安置的残疾人人数不少于10人（含10人）；</w:t>
      </w:r>
    </w:p>
    <w:p w14:paraId="6728EDE8">
      <w:pPr>
        <w:pageBreakBefore w:val="0"/>
        <w:kinsoku/>
        <w:overflowPunct/>
        <w:bidi w:val="0"/>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（2）依法与安置的每位残疾人签订了一年以上（含一年）的劳动合同或服务协议；</w:t>
      </w:r>
    </w:p>
    <w:p w14:paraId="22831559">
      <w:pPr>
        <w:pageBreakBefore w:val="0"/>
        <w:kinsoku/>
        <w:overflowPunct/>
        <w:bidi w:val="0"/>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（3）为安置的每位残疾人按月足额缴纳了基本养老保险、基本医疗保险、失业保险、工伤保险和生育保险等社会保险费；</w:t>
      </w:r>
    </w:p>
    <w:p w14:paraId="79295B8A">
      <w:pPr>
        <w:pageBreakBefore w:val="0"/>
        <w:kinsoku/>
        <w:overflowPunct/>
        <w:bidi w:val="0"/>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（4）通过银行等金融机构向安置的每位残疾人，按月支付了不低于单位所在区县适用的经省级人民政府批准的月最低工资标准的工资；</w:t>
      </w:r>
    </w:p>
    <w:p w14:paraId="7C19A2DB">
      <w:pPr>
        <w:pageBreakBefore w:val="0"/>
        <w:kinsoku/>
        <w:overflowPunct/>
        <w:bidi w:val="0"/>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（5）提供本单位制造的货物、承担的工程或者服务（以下简称产品），或者提供其他残疾人福利性单位制造的货物（不包括使用非残疾人福利性单位注册商标的货物）。</w:t>
      </w:r>
    </w:p>
    <w:p w14:paraId="71241D3F">
      <w:pPr>
        <w:pageBreakBefore w:val="0"/>
        <w:kinsoku/>
        <w:overflowPunct/>
        <w:bidi w:val="0"/>
        <w:spacing w:line="360" w:lineRule="auto"/>
        <w:ind w:firstLine="420" w:firstLineChars="200"/>
        <w:rPr>
          <w:rFonts w:hint="eastAsia" w:ascii="宋体" w:hAnsi="宋体" w:eastAsia="宋体" w:cs="宋体"/>
          <w:b/>
          <w:color w:val="auto"/>
          <w:sz w:val="24"/>
          <w:highlight w:val="none"/>
        </w:rPr>
      </w:pPr>
      <w:r>
        <w:rPr>
          <w:rFonts w:hint="eastAsia" w:ascii="宋体" w:hAnsi="宋体" w:eastAsia="宋体" w:cs="宋体"/>
          <w:color w:val="auto"/>
          <w:szCs w:val="21"/>
          <w:highlight w:val="none"/>
        </w:rPr>
        <w:t>2. 中标</w:t>
      </w:r>
      <w:r>
        <w:rPr>
          <w:rFonts w:hint="eastAsia" w:ascii="宋体" w:hAnsi="宋体" w:eastAsia="宋体" w:cs="宋体"/>
          <w:color w:val="auto"/>
          <w:szCs w:val="21"/>
          <w:highlight w:val="none"/>
          <w:lang w:eastAsia="zh-CN"/>
        </w:rPr>
        <w:t>人</w:t>
      </w:r>
      <w:r>
        <w:rPr>
          <w:rFonts w:hint="eastAsia" w:ascii="宋体" w:hAnsi="宋体" w:eastAsia="宋体" w:cs="宋体"/>
          <w:color w:val="auto"/>
          <w:szCs w:val="21"/>
          <w:highlight w:val="none"/>
        </w:rPr>
        <w:t>为残疾人福利性单位的，采购人或者其委托的采购代理机构应当随中标、成交结果同时公告其《残疾人福利性单位声明函》，接受社会监督。</w:t>
      </w:r>
    </w:p>
    <w:p w14:paraId="38CF0C86">
      <w:pPr>
        <w:pStyle w:val="5"/>
        <w:pageBreakBefore w:val="0"/>
        <w:numPr>
          <w:ilvl w:val="0"/>
          <w:numId w:val="35"/>
        </w:numPr>
        <w:tabs>
          <w:tab w:val="left" w:pos="840"/>
        </w:tabs>
        <w:kinsoku/>
        <w:overflowPunct/>
        <w:bidi w:val="0"/>
        <w:spacing w:line="360" w:lineRule="auto"/>
        <w:jc w:val="center"/>
        <w:rPr>
          <w:rFonts w:hint="eastAsia" w:ascii="宋体" w:hAnsi="宋体" w:eastAsia="宋体" w:cs="宋体"/>
          <w:color w:val="auto"/>
          <w:sz w:val="24"/>
          <w:szCs w:val="24"/>
          <w:highlight w:val="none"/>
          <w:lang w:val="en-GB" w:eastAsia="zh-CN"/>
        </w:rPr>
      </w:pPr>
      <w:bookmarkStart w:id="783" w:name="_Toc15599"/>
      <w:r>
        <w:rPr>
          <w:rFonts w:hint="eastAsia" w:ascii="宋体" w:hAnsi="宋体" w:eastAsia="宋体" w:cs="宋体"/>
          <w:color w:val="auto"/>
          <w:sz w:val="24"/>
          <w:szCs w:val="24"/>
          <w:highlight w:val="none"/>
          <w:lang w:val="en-GB" w:eastAsia="zh-CN"/>
        </w:rPr>
        <w:br w:type="page"/>
      </w:r>
      <w:bookmarkStart w:id="784" w:name="_Toc6059"/>
      <w:r>
        <w:rPr>
          <w:rFonts w:hint="eastAsia" w:ascii="宋体" w:hAnsi="宋体" w:eastAsia="宋体" w:cs="宋体"/>
          <w:color w:val="auto"/>
          <w:sz w:val="24"/>
          <w:szCs w:val="24"/>
          <w:highlight w:val="none"/>
          <w:lang w:val="en-GB" w:eastAsia="zh-CN"/>
        </w:rPr>
        <w:t>监狱企业证明材料</w:t>
      </w:r>
      <w:r>
        <w:rPr>
          <w:rFonts w:hint="eastAsia" w:ascii="宋体" w:hAnsi="宋体" w:eastAsia="宋体" w:cs="宋体"/>
          <w:color w:val="auto"/>
          <w:sz w:val="24"/>
          <w:szCs w:val="24"/>
          <w:highlight w:val="none"/>
          <w:lang w:val="en-US" w:eastAsia="zh-CN"/>
        </w:rPr>
        <w:t>（如有）</w:t>
      </w:r>
      <w:bookmarkEnd w:id="783"/>
      <w:bookmarkEnd w:id="784"/>
    </w:p>
    <w:p w14:paraId="24AED74E">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highlight w:val="none"/>
          <w:lang w:val="en-GB" w:eastAsia="zh-CN"/>
        </w:rPr>
      </w:pPr>
      <w:r>
        <w:rPr>
          <w:rFonts w:hint="eastAsia" w:ascii="宋体" w:hAnsi="宋体" w:eastAsia="宋体" w:cs="宋体"/>
          <w:color w:val="auto"/>
          <w:highlight w:val="none"/>
          <w:lang w:val="en-GB" w:eastAsia="zh-CN"/>
        </w:rPr>
        <w:t>监狱企业参加政府采购活动时，应当提供由省级以上监狱管理局、戒毒管理局（含新疆生产建设兵团）出具的属于监狱企业的证明文件。</w:t>
      </w:r>
    </w:p>
    <w:p w14:paraId="18859961">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highlight w:val="none"/>
          <w:lang w:val="en-GB" w:eastAsia="zh-CN"/>
        </w:rPr>
      </w:pPr>
    </w:p>
    <w:p w14:paraId="1B753F85">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highlight w:val="none"/>
          <w:lang w:val="en-GB" w:eastAsia="zh-CN"/>
        </w:rPr>
      </w:pPr>
    </w:p>
    <w:p w14:paraId="38AE90E9">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highlight w:val="none"/>
          <w:lang w:val="en-US" w:eastAsia="zh-CN"/>
        </w:rPr>
      </w:pPr>
    </w:p>
    <w:p w14:paraId="6D81345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注：监狱企业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w:t>
      </w:r>
    </w:p>
    <w:p w14:paraId="5948ECC7">
      <w:pPr>
        <w:pStyle w:val="5"/>
        <w:pageBreakBefore w:val="0"/>
        <w:numPr>
          <w:ilvl w:val="0"/>
          <w:numId w:val="35"/>
        </w:numPr>
        <w:tabs>
          <w:tab w:val="left" w:pos="840"/>
        </w:tabs>
        <w:kinsoku/>
        <w:overflowPunct/>
        <w:bidi w:val="0"/>
        <w:spacing w:line="360" w:lineRule="auto"/>
        <w:jc w:val="center"/>
        <w:rPr>
          <w:rFonts w:hint="eastAsia" w:ascii="宋体" w:hAnsi="宋体" w:eastAsia="宋体" w:cs="宋体"/>
          <w:color w:val="auto"/>
          <w:szCs w:val="24"/>
          <w:highlight w:val="none"/>
          <w:lang w:val="en-GB"/>
        </w:rPr>
      </w:pPr>
      <w:r>
        <w:rPr>
          <w:rFonts w:hint="eastAsia" w:ascii="宋体" w:hAnsi="宋体" w:eastAsia="宋体" w:cs="宋体"/>
          <w:color w:val="auto"/>
          <w:highlight w:val="none"/>
          <w:lang w:val="en-GB" w:eastAsia="zh-CN"/>
        </w:rPr>
        <w:br w:type="page"/>
      </w:r>
      <w:bookmarkStart w:id="785" w:name="_Toc12685"/>
      <w:bookmarkStart w:id="786" w:name="_Toc6270"/>
      <w:r>
        <w:rPr>
          <w:rFonts w:hint="eastAsia" w:ascii="宋体" w:hAnsi="宋体" w:eastAsia="宋体" w:cs="宋体"/>
          <w:color w:val="auto"/>
          <w:sz w:val="24"/>
          <w:szCs w:val="24"/>
          <w:highlight w:val="none"/>
          <w:lang w:val="en-GB" w:eastAsia="zh-CN"/>
        </w:rPr>
        <w:t>节能产品、环境标志产品明细表</w:t>
      </w:r>
      <w:r>
        <w:rPr>
          <w:rFonts w:hint="eastAsia" w:ascii="宋体" w:hAnsi="宋体" w:eastAsia="宋体" w:cs="宋体"/>
          <w:color w:val="auto"/>
          <w:sz w:val="24"/>
          <w:szCs w:val="24"/>
          <w:highlight w:val="none"/>
          <w:lang w:val="en-US" w:eastAsia="zh-CN"/>
        </w:rPr>
        <w:t>（如有）</w:t>
      </w:r>
      <w:bookmarkEnd w:id="785"/>
      <w:bookmarkEnd w:id="786"/>
    </w:p>
    <w:p w14:paraId="0F46257E">
      <w:pPr>
        <w:widowControl w:val="0"/>
        <w:spacing w:line="360" w:lineRule="auto"/>
        <w:ind w:firstLine="0"/>
        <w:jc w:val="center"/>
        <w:rPr>
          <w:rFonts w:hint="eastAsia" w:ascii="宋体" w:hAnsi="宋体" w:eastAsia="宋体" w:cs="宋体"/>
          <w:b/>
          <w:color w:val="auto"/>
          <w:kern w:val="2"/>
          <w:sz w:val="24"/>
          <w:szCs w:val="24"/>
          <w:highlight w:val="none"/>
          <w:lang w:val="en-GB" w:eastAsia="zh-CN" w:bidi="ar-SA"/>
        </w:rPr>
      </w:pPr>
      <w:r>
        <w:rPr>
          <w:rFonts w:hint="eastAsia" w:ascii="宋体" w:hAnsi="宋体" w:eastAsia="宋体" w:cs="宋体"/>
          <w:b/>
          <w:color w:val="auto"/>
          <w:kern w:val="2"/>
          <w:sz w:val="24"/>
          <w:szCs w:val="24"/>
          <w:highlight w:val="none"/>
          <w:lang w:val="en-GB" w:eastAsia="zh-CN" w:bidi="ar-SA"/>
        </w:rPr>
        <w:t>节能产品明细表</w:t>
      </w:r>
    </w:p>
    <w:tbl>
      <w:tblPr>
        <w:tblStyle w:val="3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6"/>
        <w:gridCol w:w="916"/>
        <w:gridCol w:w="916"/>
        <w:gridCol w:w="916"/>
        <w:gridCol w:w="917"/>
        <w:gridCol w:w="917"/>
        <w:gridCol w:w="917"/>
        <w:gridCol w:w="917"/>
        <w:gridCol w:w="917"/>
      </w:tblGrid>
      <w:tr w14:paraId="2D326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6" w:type="dxa"/>
            <w:noWrap w:val="0"/>
            <w:vAlign w:val="center"/>
          </w:tcPr>
          <w:p w14:paraId="31B2D536">
            <w:pPr>
              <w:adjustRightInd w:val="0"/>
              <w:snapToGrid w:val="0"/>
              <w:spacing w:line="360" w:lineRule="auto"/>
              <w:jc w:val="center"/>
              <w:rPr>
                <w:rFonts w:hint="eastAsia" w:ascii="宋体" w:hAnsi="宋体" w:eastAsia="宋体" w:cs="宋体"/>
                <w:b/>
                <w:color w:val="auto"/>
                <w:szCs w:val="21"/>
                <w:highlight w:val="none"/>
                <w:lang w:val="en-GB"/>
              </w:rPr>
            </w:pPr>
            <w:r>
              <w:rPr>
                <w:rFonts w:hint="eastAsia" w:ascii="宋体" w:hAnsi="宋体" w:eastAsia="宋体" w:cs="宋体"/>
                <w:color w:val="auto"/>
                <w:szCs w:val="21"/>
                <w:highlight w:val="none"/>
              </w:rPr>
              <w:t>序号</w:t>
            </w:r>
          </w:p>
        </w:tc>
        <w:tc>
          <w:tcPr>
            <w:tcW w:w="916" w:type="dxa"/>
            <w:noWrap w:val="0"/>
            <w:vAlign w:val="center"/>
          </w:tcPr>
          <w:p w14:paraId="30864167">
            <w:pPr>
              <w:adjustRightInd w:val="0"/>
              <w:snapToGrid w:val="0"/>
              <w:spacing w:line="360" w:lineRule="auto"/>
              <w:jc w:val="center"/>
              <w:rPr>
                <w:rFonts w:hint="eastAsia" w:ascii="宋体" w:hAnsi="宋体" w:eastAsia="宋体" w:cs="宋体"/>
                <w:b/>
                <w:color w:val="auto"/>
                <w:szCs w:val="21"/>
                <w:highlight w:val="none"/>
                <w:lang w:val="en-GB"/>
              </w:rPr>
            </w:pPr>
            <w:r>
              <w:rPr>
                <w:rFonts w:hint="eastAsia" w:ascii="宋体" w:hAnsi="宋体" w:eastAsia="宋体" w:cs="宋体"/>
                <w:color w:val="auto"/>
                <w:szCs w:val="21"/>
                <w:highlight w:val="none"/>
              </w:rPr>
              <w:t>设备名称</w:t>
            </w:r>
          </w:p>
        </w:tc>
        <w:tc>
          <w:tcPr>
            <w:tcW w:w="916" w:type="dxa"/>
            <w:noWrap w:val="0"/>
            <w:vAlign w:val="center"/>
          </w:tcPr>
          <w:p w14:paraId="162736E6">
            <w:pPr>
              <w:adjustRightInd w:val="0"/>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品牌</w:t>
            </w:r>
          </w:p>
          <w:p w14:paraId="0F630193">
            <w:pPr>
              <w:adjustRightInd w:val="0"/>
              <w:snapToGrid w:val="0"/>
              <w:spacing w:line="360" w:lineRule="auto"/>
              <w:jc w:val="center"/>
              <w:rPr>
                <w:rFonts w:hint="eastAsia" w:ascii="宋体" w:hAnsi="宋体" w:eastAsia="宋体" w:cs="宋体"/>
                <w:b/>
                <w:color w:val="auto"/>
                <w:szCs w:val="21"/>
                <w:highlight w:val="none"/>
                <w:lang w:val="en-GB"/>
              </w:rPr>
            </w:pPr>
            <w:r>
              <w:rPr>
                <w:rFonts w:hint="eastAsia" w:ascii="宋体" w:hAnsi="宋体" w:eastAsia="宋体" w:cs="宋体"/>
                <w:color w:val="auto"/>
                <w:szCs w:val="21"/>
                <w:highlight w:val="none"/>
              </w:rPr>
              <w:t>型号</w:t>
            </w:r>
          </w:p>
        </w:tc>
        <w:tc>
          <w:tcPr>
            <w:tcW w:w="916" w:type="dxa"/>
            <w:noWrap w:val="0"/>
            <w:vAlign w:val="center"/>
          </w:tcPr>
          <w:p w14:paraId="31007669">
            <w:pPr>
              <w:adjustRightInd w:val="0"/>
              <w:snapToGrid w:val="0"/>
              <w:spacing w:line="360" w:lineRule="auto"/>
              <w:jc w:val="center"/>
              <w:rPr>
                <w:rFonts w:hint="eastAsia" w:ascii="宋体" w:hAnsi="宋体" w:eastAsia="宋体" w:cs="宋体"/>
                <w:b/>
                <w:color w:val="auto"/>
                <w:szCs w:val="21"/>
                <w:highlight w:val="none"/>
                <w:lang w:val="en-GB"/>
              </w:rPr>
            </w:pPr>
            <w:r>
              <w:rPr>
                <w:rFonts w:hint="eastAsia" w:ascii="宋体" w:hAnsi="宋体" w:eastAsia="宋体" w:cs="宋体"/>
                <w:color w:val="auto"/>
                <w:szCs w:val="21"/>
                <w:highlight w:val="none"/>
              </w:rPr>
              <w:t>制造商名称</w:t>
            </w:r>
          </w:p>
        </w:tc>
        <w:tc>
          <w:tcPr>
            <w:tcW w:w="917" w:type="dxa"/>
            <w:noWrap w:val="0"/>
            <w:vAlign w:val="center"/>
          </w:tcPr>
          <w:p w14:paraId="269AB3D1">
            <w:pPr>
              <w:adjustRightInd w:val="0"/>
              <w:snapToGrid w:val="0"/>
              <w:spacing w:line="360" w:lineRule="auto"/>
              <w:jc w:val="center"/>
              <w:rPr>
                <w:rFonts w:hint="eastAsia" w:ascii="宋体" w:hAnsi="宋体" w:eastAsia="宋体" w:cs="宋体"/>
                <w:b/>
                <w:color w:val="auto"/>
                <w:szCs w:val="21"/>
                <w:highlight w:val="none"/>
                <w:lang w:val="en-GB"/>
              </w:rPr>
            </w:pPr>
            <w:r>
              <w:rPr>
                <w:rFonts w:hint="eastAsia" w:ascii="宋体" w:hAnsi="宋体" w:eastAsia="宋体" w:cs="宋体"/>
                <w:color w:val="auto"/>
                <w:szCs w:val="21"/>
                <w:highlight w:val="none"/>
              </w:rPr>
              <w:t>节字标志认证证书号</w:t>
            </w:r>
          </w:p>
        </w:tc>
        <w:tc>
          <w:tcPr>
            <w:tcW w:w="917" w:type="dxa"/>
            <w:noWrap w:val="0"/>
            <w:vAlign w:val="center"/>
          </w:tcPr>
          <w:p w14:paraId="5F841973">
            <w:pPr>
              <w:adjustRightInd w:val="0"/>
              <w:snapToGrid w:val="0"/>
              <w:spacing w:line="360" w:lineRule="auto"/>
              <w:jc w:val="center"/>
              <w:rPr>
                <w:rFonts w:hint="eastAsia" w:ascii="宋体" w:hAnsi="宋体" w:eastAsia="宋体" w:cs="宋体"/>
                <w:b/>
                <w:color w:val="auto"/>
                <w:szCs w:val="21"/>
                <w:highlight w:val="none"/>
                <w:lang w:val="en-GB"/>
              </w:rPr>
            </w:pPr>
            <w:r>
              <w:rPr>
                <w:rFonts w:hint="eastAsia" w:ascii="宋体" w:hAnsi="宋体" w:eastAsia="宋体" w:cs="宋体"/>
                <w:color w:val="auto"/>
                <w:szCs w:val="21"/>
                <w:highlight w:val="none"/>
              </w:rPr>
              <w:t>国家节能产品认证证书有效截止日期</w:t>
            </w:r>
          </w:p>
        </w:tc>
        <w:tc>
          <w:tcPr>
            <w:tcW w:w="917" w:type="dxa"/>
            <w:noWrap w:val="0"/>
            <w:vAlign w:val="center"/>
          </w:tcPr>
          <w:p w14:paraId="30076BE9">
            <w:pPr>
              <w:adjustRightInd w:val="0"/>
              <w:snapToGrid w:val="0"/>
              <w:spacing w:line="360" w:lineRule="auto"/>
              <w:jc w:val="center"/>
              <w:rPr>
                <w:rFonts w:hint="eastAsia" w:ascii="宋体" w:hAnsi="宋体" w:eastAsia="宋体" w:cs="宋体"/>
                <w:b/>
                <w:color w:val="auto"/>
                <w:szCs w:val="21"/>
                <w:highlight w:val="none"/>
                <w:lang w:val="en-GB"/>
              </w:rPr>
            </w:pPr>
            <w:r>
              <w:rPr>
                <w:rFonts w:hint="eastAsia" w:ascii="宋体" w:hAnsi="宋体" w:eastAsia="宋体" w:cs="宋体"/>
                <w:color w:val="auto"/>
                <w:szCs w:val="21"/>
                <w:highlight w:val="none"/>
              </w:rPr>
              <w:t>数量</w:t>
            </w:r>
          </w:p>
        </w:tc>
        <w:tc>
          <w:tcPr>
            <w:tcW w:w="917" w:type="dxa"/>
            <w:noWrap w:val="0"/>
            <w:vAlign w:val="center"/>
          </w:tcPr>
          <w:p w14:paraId="3C81FC81">
            <w:pPr>
              <w:adjustRightInd w:val="0"/>
              <w:snapToGrid w:val="0"/>
              <w:spacing w:line="360" w:lineRule="auto"/>
              <w:jc w:val="center"/>
              <w:rPr>
                <w:rFonts w:hint="eastAsia" w:ascii="宋体" w:hAnsi="宋体" w:eastAsia="宋体" w:cs="宋体"/>
                <w:b/>
                <w:color w:val="auto"/>
                <w:szCs w:val="21"/>
                <w:highlight w:val="none"/>
                <w:lang w:val="en-GB"/>
              </w:rPr>
            </w:pPr>
            <w:r>
              <w:rPr>
                <w:rFonts w:hint="eastAsia" w:ascii="宋体" w:hAnsi="宋体" w:eastAsia="宋体" w:cs="宋体"/>
                <w:color w:val="auto"/>
                <w:szCs w:val="21"/>
                <w:highlight w:val="none"/>
              </w:rPr>
              <w:t>单价</w:t>
            </w:r>
          </w:p>
        </w:tc>
        <w:tc>
          <w:tcPr>
            <w:tcW w:w="917" w:type="dxa"/>
            <w:noWrap w:val="0"/>
            <w:vAlign w:val="center"/>
          </w:tcPr>
          <w:p w14:paraId="727DED7D">
            <w:pPr>
              <w:adjustRightInd w:val="0"/>
              <w:snapToGrid w:val="0"/>
              <w:spacing w:line="360" w:lineRule="auto"/>
              <w:jc w:val="center"/>
              <w:rPr>
                <w:rFonts w:hint="eastAsia" w:ascii="宋体" w:hAnsi="宋体" w:eastAsia="宋体" w:cs="宋体"/>
                <w:b/>
                <w:color w:val="auto"/>
                <w:szCs w:val="21"/>
                <w:highlight w:val="none"/>
                <w:lang w:val="en-GB"/>
              </w:rPr>
            </w:pPr>
            <w:r>
              <w:rPr>
                <w:rFonts w:hint="eastAsia" w:ascii="宋体" w:hAnsi="宋体" w:eastAsia="宋体" w:cs="宋体"/>
                <w:color w:val="auto"/>
                <w:szCs w:val="21"/>
                <w:highlight w:val="none"/>
              </w:rPr>
              <w:t>总价</w:t>
            </w:r>
          </w:p>
        </w:tc>
      </w:tr>
      <w:tr w14:paraId="19F8AC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6" w:type="dxa"/>
            <w:noWrap w:val="0"/>
            <w:vAlign w:val="top"/>
          </w:tcPr>
          <w:p w14:paraId="7FAFFE62">
            <w:pPr>
              <w:tabs>
                <w:tab w:val="left" w:pos="840"/>
              </w:tabs>
              <w:autoSpaceDE w:val="0"/>
              <w:autoSpaceDN w:val="0"/>
              <w:adjustRightInd w:val="0"/>
              <w:spacing w:line="360" w:lineRule="auto"/>
              <w:rPr>
                <w:rFonts w:hint="eastAsia" w:ascii="宋体" w:hAnsi="宋体" w:eastAsia="宋体" w:cs="宋体"/>
                <w:b/>
                <w:color w:val="auto"/>
                <w:szCs w:val="21"/>
                <w:highlight w:val="none"/>
                <w:lang w:val="en-GB"/>
              </w:rPr>
            </w:pPr>
          </w:p>
        </w:tc>
        <w:tc>
          <w:tcPr>
            <w:tcW w:w="916" w:type="dxa"/>
            <w:noWrap w:val="0"/>
            <w:vAlign w:val="top"/>
          </w:tcPr>
          <w:p w14:paraId="463B1786">
            <w:pPr>
              <w:tabs>
                <w:tab w:val="left" w:pos="840"/>
              </w:tabs>
              <w:autoSpaceDE w:val="0"/>
              <w:autoSpaceDN w:val="0"/>
              <w:adjustRightInd w:val="0"/>
              <w:spacing w:line="360" w:lineRule="auto"/>
              <w:rPr>
                <w:rFonts w:hint="eastAsia" w:ascii="宋体" w:hAnsi="宋体" w:eastAsia="宋体" w:cs="宋体"/>
                <w:b/>
                <w:color w:val="auto"/>
                <w:szCs w:val="21"/>
                <w:highlight w:val="none"/>
                <w:lang w:val="en-GB"/>
              </w:rPr>
            </w:pPr>
          </w:p>
        </w:tc>
        <w:tc>
          <w:tcPr>
            <w:tcW w:w="916" w:type="dxa"/>
            <w:noWrap w:val="0"/>
            <w:vAlign w:val="top"/>
          </w:tcPr>
          <w:p w14:paraId="3A7A5B93">
            <w:pPr>
              <w:tabs>
                <w:tab w:val="left" w:pos="840"/>
              </w:tabs>
              <w:autoSpaceDE w:val="0"/>
              <w:autoSpaceDN w:val="0"/>
              <w:adjustRightInd w:val="0"/>
              <w:spacing w:line="360" w:lineRule="auto"/>
              <w:rPr>
                <w:rFonts w:hint="eastAsia" w:ascii="宋体" w:hAnsi="宋体" w:eastAsia="宋体" w:cs="宋体"/>
                <w:b/>
                <w:color w:val="auto"/>
                <w:szCs w:val="21"/>
                <w:highlight w:val="none"/>
                <w:lang w:val="en-GB"/>
              </w:rPr>
            </w:pPr>
          </w:p>
        </w:tc>
        <w:tc>
          <w:tcPr>
            <w:tcW w:w="916" w:type="dxa"/>
            <w:noWrap w:val="0"/>
            <w:vAlign w:val="top"/>
          </w:tcPr>
          <w:p w14:paraId="41FC5A57">
            <w:pPr>
              <w:tabs>
                <w:tab w:val="left" w:pos="840"/>
              </w:tabs>
              <w:autoSpaceDE w:val="0"/>
              <w:autoSpaceDN w:val="0"/>
              <w:adjustRightInd w:val="0"/>
              <w:spacing w:line="360" w:lineRule="auto"/>
              <w:rPr>
                <w:rFonts w:hint="eastAsia" w:ascii="宋体" w:hAnsi="宋体" w:eastAsia="宋体" w:cs="宋体"/>
                <w:b/>
                <w:color w:val="auto"/>
                <w:szCs w:val="21"/>
                <w:highlight w:val="none"/>
                <w:lang w:val="en-GB"/>
              </w:rPr>
            </w:pPr>
          </w:p>
        </w:tc>
        <w:tc>
          <w:tcPr>
            <w:tcW w:w="917" w:type="dxa"/>
            <w:noWrap w:val="0"/>
            <w:vAlign w:val="top"/>
          </w:tcPr>
          <w:p w14:paraId="41074E72">
            <w:pPr>
              <w:tabs>
                <w:tab w:val="left" w:pos="840"/>
              </w:tabs>
              <w:autoSpaceDE w:val="0"/>
              <w:autoSpaceDN w:val="0"/>
              <w:adjustRightInd w:val="0"/>
              <w:spacing w:line="360" w:lineRule="auto"/>
              <w:rPr>
                <w:rFonts w:hint="eastAsia" w:ascii="宋体" w:hAnsi="宋体" w:eastAsia="宋体" w:cs="宋体"/>
                <w:b/>
                <w:color w:val="auto"/>
                <w:szCs w:val="21"/>
                <w:highlight w:val="none"/>
                <w:lang w:val="en-GB"/>
              </w:rPr>
            </w:pPr>
          </w:p>
        </w:tc>
        <w:tc>
          <w:tcPr>
            <w:tcW w:w="917" w:type="dxa"/>
            <w:noWrap w:val="0"/>
            <w:vAlign w:val="top"/>
          </w:tcPr>
          <w:p w14:paraId="471F8472">
            <w:pPr>
              <w:tabs>
                <w:tab w:val="left" w:pos="840"/>
              </w:tabs>
              <w:autoSpaceDE w:val="0"/>
              <w:autoSpaceDN w:val="0"/>
              <w:adjustRightInd w:val="0"/>
              <w:spacing w:line="360" w:lineRule="auto"/>
              <w:rPr>
                <w:rFonts w:hint="eastAsia" w:ascii="宋体" w:hAnsi="宋体" w:eastAsia="宋体" w:cs="宋体"/>
                <w:b/>
                <w:color w:val="auto"/>
                <w:szCs w:val="21"/>
                <w:highlight w:val="none"/>
                <w:lang w:val="en-GB"/>
              </w:rPr>
            </w:pPr>
          </w:p>
        </w:tc>
        <w:tc>
          <w:tcPr>
            <w:tcW w:w="917" w:type="dxa"/>
            <w:noWrap w:val="0"/>
            <w:vAlign w:val="top"/>
          </w:tcPr>
          <w:p w14:paraId="10D93384">
            <w:pPr>
              <w:tabs>
                <w:tab w:val="left" w:pos="840"/>
              </w:tabs>
              <w:autoSpaceDE w:val="0"/>
              <w:autoSpaceDN w:val="0"/>
              <w:adjustRightInd w:val="0"/>
              <w:spacing w:line="360" w:lineRule="auto"/>
              <w:rPr>
                <w:rFonts w:hint="eastAsia" w:ascii="宋体" w:hAnsi="宋体" w:eastAsia="宋体" w:cs="宋体"/>
                <w:b/>
                <w:color w:val="auto"/>
                <w:szCs w:val="21"/>
                <w:highlight w:val="none"/>
                <w:lang w:val="en-GB"/>
              </w:rPr>
            </w:pPr>
          </w:p>
        </w:tc>
        <w:tc>
          <w:tcPr>
            <w:tcW w:w="917" w:type="dxa"/>
            <w:noWrap w:val="0"/>
            <w:vAlign w:val="top"/>
          </w:tcPr>
          <w:p w14:paraId="5B9CB735">
            <w:pPr>
              <w:tabs>
                <w:tab w:val="left" w:pos="840"/>
              </w:tabs>
              <w:autoSpaceDE w:val="0"/>
              <w:autoSpaceDN w:val="0"/>
              <w:adjustRightInd w:val="0"/>
              <w:spacing w:line="360" w:lineRule="auto"/>
              <w:rPr>
                <w:rFonts w:hint="eastAsia" w:ascii="宋体" w:hAnsi="宋体" w:eastAsia="宋体" w:cs="宋体"/>
                <w:b/>
                <w:color w:val="auto"/>
                <w:szCs w:val="21"/>
                <w:highlight w:val="none"/>
                <w:lang w:val="en-GB"/>
              </w:rPr>
            </w:pPr>
          </w:p>
        </w:tc>
        <w:tc>
          <w:tcPr>
            <w:tcW w:w="917" w:type="dxa"/>
            <w:noWrap w:val="0"/>
            <w:vAlign w:val="top"/>
          </w:tcPr>
          <w:p w14:paraId="61341D0E">
            <w:pPr>
              <w:tabs>
                <w:tab w:val="left" w:pos="840"/>
              </w:tabs>
              <w:autoSpaceDE w:val="0"/>
              <w:autoSpaceDN w:val="0"/>
              <w:adjustRightInd w:val="0"/>
              <w:spacing w:line="360" w:lineRule="auto"/>
              <w:rPr>
                <w:rFonts w:hint="eastAsia" w:ascii="宋体" w:hAnsi="宋体" w:eastAsia="宋体" w:cs="宋体"/>
                <w:b/>
                <w:color w:val="auto"/>
                <w:szCs w:val="21"/>
                <w:highlight w:val="none"/>
                <w:lang w:val="en-GB"/>
              </w:rPr>
            </w:pPr>
          </w:p>
        </w:tc>
      </w:tr>
      <w:tr w14:paraId="4E3130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6" w:type="dxa"/>
            <w:noWrap w:val="0"/>
            <w:vAlign w:val="top"/>
          </w:tcPr>
          <w:p w14:paraId="2B299278">
            <w:pPr>
              <w:tabs>
                <w:tab w:val="left" w:pos="840"/>
              </w:tabs>
              <w:autoSpaceDE w:val="0"/>
              <w:autoSpaceDN w:val="0"/>
              <w:adjustRightInd w:val="0"/>
              <w:spacing w:line="360" w:lineRule="auto"/>
              <w:rPr>
                <w:rFonts w:hint="eastAsia" w:ascii="宋体" w:hAnsi="宋体" w:eastAsia="宋体" w:cs="宋体"/>
                <w:b/>
                <w:color w:val="auto"/>
                <w:szCs w:val="21"/>
                <w:highlight w:val="none"/>
                <w:lang w:val="en-GB"/>
              </w:rPr>
            </w:pPr>
          </w:p>
        </w:tc>
        <w:tc>
          <w:tcPr>
            <w:tcW w:w="916" w:type="dxa"/>
            <w:noWrap w:val="0"/>
            <w:vAlign w:val="top"/>
          </w:tcPr>
          <w:p w14:paraId="2E00176D">
            <w:pPr>
              <w:tabs>
                <w:tab w:val="left" w:pos="840"/>
              </w:tabs>
              <w:autoSpaceDE w:val="0"/>
              <w:autoSpaceDN w:val="0"/>
              <w:adjustRightInd w:val="0"/>
              <w:spacing w:line="360" w:lineRule="auto"/>
              <w:rPr>
                <w:rFonts w:hint="eastAsia" w:ascii="宋体" w:hAnsi="宋体" w:eastAsia="宋体" w:cs="宋体"/>
                <w:b/>
                <w:color w:val="auto"/>
                <w:szCs w:val="21"/>
                <w:highlight w:val="none"/>
                <w:lang w:val="en-GB"/>
              </w:rPr>
            </w:pPr>
          </w:p>
        </w:tc>
        <w:tc>
          <w:tcPr>
            <w:tcW w:w="916" w:type="dxa"/>
            <w:noWrap w:val="0"/>
            <w:vAlign w:val="top"/>
          </w:tcPr>
          <w:p w14:paraId="03596D9F">
            <w:pPr>
              <w:tabs>
                <w:tab w:val="left" w:pos="840"/>
              </w:tabs>
              <w:autoSpaceDE w:val="0"/>
              <w:autoSpaceDN w:val="0"/>
              <w:adjustRightInd w:val="0"/>
              <w:spacing w:line="360" w:lineRule="auto"/>
              <w:rPr>
                <w:rFonts w:hint="eastAsia" w:ascii="宋体" w:hAnsi="宋体" w:eastAsia="宋体" w:cs="宋体"/>
                <w:b/>
                <w:color w:val="auto"/>
                <w:szCs w:val="21"/>
                <w:highlight w:val="none"/>
                <w:lang w:val="en-GB"/>
              </w:rPr>
            </w:pPr>
          </w:p>
        </w:tc>
        <w:tc>
          <w:tcPr>
            <w:tcW w:w="916" w:type="dxa"/>
            <w:noWrap w:val="0"/>
            <w:vAlign w:val="top"/>
          </w:tcPr>
          <w:p w14:paraId="4FEE7F6B">
            <w:pPr>
              <w:tabs>
                <w:tab w:val="left" w:pos="840"/>
              </w:tabs>
              <w:autoSpaceDE w:val="0"/>
              <w:autoSpaceDN w:val="0"/>
              <w:adjustRightInd w:val="0"/>
              <w:spacing w:line="360" w:lineRule="auto"/>
              <w:rPr>
                <w:rFonts w:hint="eastAsia" w:ascii="宋体" w:hAnsi="宋体" w:eastAsia="宋体" w:cs="宋体"/>
                <w:b/>
                <w:color w:val="auto"/>
                <w:szCs w:val="21"/>
                <w:highlight w:val="none"/>
                <w:lang w:val="en-GB"/>
              </w:rPr>
            </w:pPr>
          </w:p>
        </w:tc>
        <w:tc>
          <w:tcPr>
            <w:tcW w:w="917" w:type="dxa"/>
            <w:noWrap w:val="0"/>
            <w:vAlign w:val="top"/>
          </w:tcPr>
          <w:p w14:paraId="023270E7">
            <w:pPr>
              <w:tabs>
                <w:tab w:val="left" w:pos="840"/>
              </w:tabs>
              <w:autoSpaceDE w:val="0"/>
              <w:autoSpaceDN w:val="0"/>
              <w:adjustRightInd w:val="0"/>
              <w:spacing w:line="360" w:lineRule="auto"/>
              <w:rPr>
                <w:rFonts w:hint="eastAsia" w:ascii="宋体" w:hAnsi="宋体" w:eastAsia="宋体" w:cs="宋体"/>
                <w:b/>
                <w:color w:val="auto"/>
                <w:szCs w:val="21"/>
                <w:highlight w:val="none"/>
                <w:lang w:val="en-GB"/>
              </w:rPr>
            </w:pPr>
          </w:p>
        </w:tc>
        <w:tc>
          <w:tcPr>
            <w:tcW w:w="917" w:type="dxa"/>
            <w:noWrap w:val="0"/>
            <w:vAlign w:val="top"/>
          </w:tcPr>
          <w:p w14:paraId="7E744DB7">
            <w:pPr>
              <w:tabs>
                <w:tab w:val="left" w:pos="840"/>
              </w:tabs>
              <w:autoSpaceDE w:val="0"/>
              <w:autoSpaceDN w:val="0"/>
              <w:adjustRightInd w:val="0"/>
              <w:spacing w:line="360" w:lineRule="auto"/>
              <w:rPr>
                <w:rFonts w:hint="eastAsia" w:ascii="宋体" w:hAnsi="宋体" w:eastAsia="宋体" w:cs="宋体"/>
                <w:b/>
                <w:color w:val="auto"/>
                <w:szCs w:val="21"/>
                <w:highlight w:val="none"/>
                <w:lang w:val="en-GB"/>
              </w:rPr>
            </w:pPr>
          </w:p>
        </w:tc>
        <w:tc>
          <w:tcPr>
            <w:tcW w:w="917" w:type="dxa"/>
            <w:noWrap w:val="0"/>
            <w:vAlign w:val="top"/>
          </w:tcPr>
          <w:p w14:paraId="2EC2156A">
            <w:pPr>
              <w:tabs>
                <w:tab w:val="left" w:pos="840"/>
              </w:tabs>
              <w:autoSpaceDE w:val="0"/>
              <w:autoSpaceDN w:val="0"/>
              <w:adjustRightInd w:val="0"/>
              <w:spacing w:line="360" w:lineRule="auto"/>
              <w:rPr>
                <w:rFonts w:hint="eastAsia" w:ascii="宋体" w:hAnsi="宋体" w:eastAsia="宋体" w:cs="宋体"/>
                <w:b/>
                <w:color w:val="auto"/>
                <w:szCs w:val="21"/>
                <w:highlight w:val="none"/>
                <w:lang w:val="en-GB"/>
              </w:rPr>
            </w:pPr>
          </w:p>
        </w:tc>
        <w:tc>
          <w:tcPr>
            <w:tcW w:w="917" w:type="dxa"/>
            <w:noWrap w:val="0"/>
            <w:vAlign w:val="top"/>
          </w:tcPr>
          <w:p w14:paraId="24F30371">
            <w:pPr>
              <w:tabs>
                <w:tab w:val="left" w:pos="840"/>
              </w:tabs>
              <w:autoSpaceDE w:val="0"/>
              <w:autoSpaceDN w:val="0"/>
              <w:adjustRightInd w:val="0"/>
              <w:spacing w:line="360" w:lineRule="auto"/>
              <w:rPr>
                <w:rFonts w:hint="eastAsia" w:ascii="宋体" w:hAnsi="宋体" w:eastAsia="宋体" w:cs="宋体"/>
                <w:b/>
                <w:color w:val="auto"/>
                <w:szCs w:val="21"/>
                <w:highlight w:val="none"/>
                <w:lang w:val="en-GB"/>
              </w:rPr>
            </w:pPr>
          </w:p>
        </w:tc>
        <w:tc>
          <w:tcPr>
            <w:tcW w:w="917" w:type="dxa"/>
            <w:noWrap w:val="0"/>
            <w:vAlign w:val="top"/>
          </w:tcPr>
          <w:p w14:paraId="7B0EA45E">
            <w:pPr>
              <w:tabs>
                <w:tab w:val="left" w:pos="840"/>
              </w:tabs>
              <w:autoSpaceDE w:val="0"/>
              <w:autoSpaceDN w:val="0"/>
              <w:adjustRightInd w:val="0"/>
              <w:spacing w:line="360" w:lineRule="auto"/>
              <w:rPr>
                <w:rFonts w:hint="eastAsia" w:ascii="宋体" w:hAnsi="宋体" w:eastAsia="宋体" w:cs="宋体"/>
                <w:b/>
                <w:color w:val="auto"/>
                <w:szCs w:val="21"/>
                <w:highlight w:val="none"/>
                <w:lang w:val="en-GB"/>
              </w:rPr>
            </w:pPr>
          </w:p>
        </w:tc>
      </w:tr>
      <w:tr w14:paraId="1D03EC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6" w:type="dxa"/>
            <w:noWrap w:val="0"/>
            <w:vAlign w:val="top"/>
          </w:tcPr>
          <w:p w14:paraId="5C8D5082">
            <w:pPr>
              <w:tabs>
                <w:tab w:val="left" w:pos="840"/>
              </w:tabs>
              <w:autoSpaceDE w:val="0"/>
              <w:autoSpaceDN w:val="0"/>
              <w:adjustRightInd w:val="0"/>
              <w:spacing w:line="360" w:lineRule="auto"/>
              <w:rPr>
                <w:rFonts w:hint="eastAsia" w:ascii="宋体" w:hAnsi="宋体" w:eastAsia="宋体" w:cs="宋体"/>
                <w:b/>
                <w:color w:val="auto"/>
                <w:szCs w:val="21"/>
                <w:highlight w:val="none"/>
                <w:lang w:val="en-GB"/>
              </w:rPr>
            </w:pPr>
          </w:p>
        </w:tc>
        <w:tc>
          <w:tcPr>
            <w:tcW w:w="916" w:type="dxa"/>
            <w:noWrap w:val="0"/>
            <w:vAlign w:val="top"/>
          </w:tcPr>
          <w:p w14:paraId="0681557A">
            <w:pPr>
              <w:tabs>
                <w:tab w:val="left" w:pos="840"/>
              </w:tabs>
              <w:autoSpaceDE w:val="0"/>
              <w:autoSpaceDN w:val="0"/>
              <w:adjustRightInd w:val="0"/>
              <w:spacing w:line="360" w:lineRule="auto"/>
              <w:rPr>
                <w:rFonts w:hint="eastAsia" w:ascii="宋体" w:hAnsi="宋体" w:eastAsia="宋体" w:cs="宋体"/>
                <w:b/>
                <w:color w:val="auto"/>
                <w:szCs w:val="21"/>
                <w:highlight w:val="none"/>
                <w:lang w:val="en-GB"/>
              </w:rPr>
            </w:pPr>
          </w:p>
        </w:tc>
        <w:tc>
          <w:tcPr>
            <w:tcW w:w="916" w:type="dxa"/>
            <w:noWrap w:val="0"/>
            <w:vAlign w:val="top"/>
          </w:tcPr>
          <w:p w14:paraId="4917A715">
            <w:pPr>
              <w:tabs>
                <w:tab w:val="left" w:pos="840"/>
              </w:tabs>
              <w:autoSpaceDE w:val="0"/>
              <w:autoSpaceDN w:val="0"/>
              <w:adjustRightInd w:val="0"/>
              <w:spacing w:line="360" w:lineRule="auto"/>
              <w:rPr>
                <w:rFonts w:hint="eastAsia" w:ascii="宋体" w:hAnsi="宋体" w:eastAsia="宋体" w:cs="宋体"/>
                <w:b/>
                <w:color w:val="auto"/>
                <w:szCs w:val="21"/>
                <w:highlight w:val="none"/>
                <w:lang w:val="en-GB"/>
              </w:rPr>
            </w:pPr>
          </w:p>
        </w:tc>
        <w:tc>
          <w:tcPr>
            <w:tcW w:w="916" w:type="dxa"/>
            <w:noWrap w:val="0"/>
            <w:vAlign w:val="top"/>
          </w:tcPr>
          <w:p w14:paraId="22C1CEF8">
            <w:pPr>
              <w:tabs>
                <w:tab w:val="left" w:pos="840"/>
              </w:tabs>
              <w:autoSpaceDE w:val="0"/>
              <w:autoSpaceDN w:val="0"/>
              <w:adjustRightInd w:val="0"/>
              <w:spacing w:line="360" w:lineRule="auto"/>
              <w:rPr>
                <w:rFonts w:hint="eastAsia" w:ascii="宋体" w:hAnsi="宋体" w:eastAsia="宋体" w:cs="宋体"/>
                <w:b/>
                <w:color w:val="auto"/>
                <w:szCs w:val="21"/>
                <w:highlight w:val="none"/>
                <w:lang w:val="en-GB"/>
              </w:rPr>
            </w:pPr>
          </w:p>
        </w:tc>
        <w:tc>
          <w:tcPr>
            <w:tcW w:w="917" w:type="dxa"/>
            <w:noWrap w:val="0"/>
            <w:vAlign w:val="top"/>
          </w:tcPr>
          <w:p w14:paraId="042C942B">
            <w:pPr>
              <w:tabs>
                <w:tab w:val="left" w:pos="840"/>
              </w:tabs>
              <w:autoSpaceDE w:val="0"/>
              <w:autoSpaceDN w:val="0"/>
              <w:adjustRightInd w:val="0"/>
              <w:spacing w:line="360" w:lineRule="auto"/>
              <w:rPr>
                <w:rFonts w:hint="eastAsia" w:ascii="宋体" w:hAnsi="宋体" w:eastAsia="宋体" w:cs="宋体"/>
                <w:b/>
                <w:color w:val="auto"/>
                <w:szCs w:val="21"/>
                <w:highlight w:val="none"/>
                <w:lang w:val="en-GB"/>
              </w:rPr>
            </w:pPr>
          </w:p>
        </w:tc>
        <w:tc>
          <w:tcPr>
            <w:tcW w:w="917" w:type="dxa"/>
            <w:noWrap w:val="0"/>
            <w:vAlign w:val="top"/>
          </w:tcPr>
          <w:p w14:paraId="3436C45B">
            <w:pPr>
              <w:tabs>
                <w:tab w:val="left" w:pos="840"/>
              </w:tabs>
              <w:autoSpaceDE w:val="0"/>
              <w:autoSpaceDN w:val="0"/>
              <w:adjustRightInd w:val="0"/>
              <w:spacing w:line="360" w:lineRule="auto"/>
              <w:rPr>
                <w:rFonts w:hint="eastAsia" w:ascii="宋体" w:hAnsi="宋体" w:eastAsia="宋体" w:cs="宋体"/>
                <w:b/>
                <w:color w:val="auto"/>
                <w:szCs w:val="21"/>
                <w:highlight w:val="none"/>
                <w:lang w:val="en-GB"/>
              </w:rPr>
            </w:pPr>
          </w:p>
        </w:tc>
        <w:tc>
          <w:tcPr>
            <w:tcW w:w="917" w:type="dxa"/>
            <w:noWrap w:val="0"/>
            <w:vAlign w:val="top"/>
          </w:tcPr>
          <w:p w14:paraId="010FCEA2">
            <w:pPr>
              <w:tabs>
                <w:tab w:val="left" w:pos="840"/>
              </w:tabs>
              <w:autoSpaceDE w:val="0"/>
              <w:autoSpaceDN w:val="0"/>
              <w:adjustRightInd w:val="0"/>
              <w:spacing w:line="360" w:lineRule="auto"/>
              <w:rPr>
                <w:rFonts w:hint="eastAsia" w:ascii="宋体" w:hAnsi="宋体" w:eastAsia="宋体" w:cs="宋体"/>
                <w:b/>
                <w:color w:val="auto"/>
                <w:szCs w:val="21"/>
                <w:highlight w:val="none"/>
                <w:lang w:val="en-GB"/>
              </w:rPr>
            </w:pPr>
          </w:p>
        </w:tc>
        <w:tc>
          <w:tcPr>
            <w:tcW w:w="917" w:type="dxa"/>
            <w:noWrap w:val="0"/>
            <w:vAlign w:val="top"/>
          </w:tcPr>
          <w:p w14:paraId="02199678">
            <w:pPr>
              <w:tabs>
                <w:tab w:val="left" w:pos="840"/>
              </w:tabs>
              <w:autoSpaceDE w:val="0"/>
              <w:autoSpaceDN w:val="0"/>
              <w:adjustRightInd w:val="0"/>
              <w:spacing w:line="360" w:lineRule="auto"/>
              <w:rPr>
                <w:rFonts w:hint="eastAsia" w:ascii="宋体" w:hAnsi="宋体" w:eastAsia="宋体" w:cs="宋体"/>
                <w:b/>
                <w:color w:val="auto"/>
                <w:szCs w:val="21"/>
                <w:highlight w:val="none"/>
                <w:lang w:val="en-GB"/>
              </w:rPr>
            </w:pPr>
          </w:p>
        </w:tc>
        <w:tc>
          <w:tcPr>
            <w:tcW w:w="917" w:type="dxa"/>
            <w:noWrap w:val="0"/>
            <w:vAlign w:val="top"/>
          </w:tcPr>
          <w:p w14:paraId="4F9E03FC">
            <w:pPr>
              <w:tabs>
                <w:tab w:val="left" w:pos="840"/>
              </w:tabs>
              <w:autoSpaceDE w:val="0"/>
              <w:autoSpaceDN w:val="0"/>
              <w:adjustRightInd w:val="0"/>
              <w:spacing w:line="360" w:lineRule="auto"/>
              <w:rPr>
                <w:rFonts w:hint="eastAsia" w:ascii="宋体" w:hAnsi="宋体" w:eastAsia="宋体" w:cs="宋体"/>
                <w:b/>
                <w:color w:val="auto"/>
                <w:szCs w:val="21"/>
                <w:highlight w:val="none"/>
                <w:lang w:val="en-GB"/>
              </w:rPr>
            </w:pPr>
          </w:p>
        </w:tc>
      </w:tr>
      <w:tr w14:paraId="0016D0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6" w:type="dxa"/>
            <w:noWrap w:val="0"/>
            <w:vAlign w:val="top"/>
          </w:tcPr>
          <w:p w14:paraId="29022364">
            <w:pPr>
              <w:tabs>
                <w:tab w:val="left" w:pos="840"/>
              </w:tabs>
              <w:autoSpaceDE w:val="0"/>
              <w:autoSpaceDN w:val="0"/>
              <w:adjustRightInd w:val="0"/>
              <w:spacing w:line="360" w:lineRule="auto"/>
              <w:rPr>
                <w:rFonts w:hint="eastAsia" w:ascii="宋体" w:hAnsi="宋体" w:eastAsia="宋体" w:cs="宋体"/>
                <w:b/>
                <w:color w:val="auto"/>
                <w:szCs w:val="21"/>
                <w:highlight w:val="none"/>
                <w:lang w:val="en-GB"/>
              </w:rPr>
            </w:pPr>
          </w:p>
        </w:tc>
        <w:tc>
          <w:tcPr>
            <w:tcW w:w="916" w:type="dxa"/>
            <w:noWrap w:val="0"/>
            <w:vAlign w:val="top"/>
          </w:tcPr>
          <w:p w14:paraId="07D50B37">
            <w:pPr>
              <w:tabs>
                <w:tab w:val="left" w:pos="840"/>
              </w:tabs>
              <w:autoSpaceDE w:val="0"/>
              <w:autoSpaceDN w:val="0"/>
              <w:adjustRightInd w:val="0"/>
              <w:spacing w:line="360" w:lineRule="auto"/>
              <w:rPr>
                <w:rFonts w:hint="eastAsia" w:ascii="宋体" w:hAnsi="宋体" w:eastAsia="宋体" w:cs="宋体"/>
                <w:b/>
                <w:color w:val="auto"/>
                <w:szCs w:val="21"/>
                <w:highlight w:val="none"/>
                <w:lang w:val="en-GB"/>
              </w:rPr>
            </w:pPr>
          </w:p>
        </w:tc>
        <w:tc>
          <w:tcPr>
            <w:tcW w:w="916" w:type="dxa"/>
            <w:noWrap w:val="0"/>
            <w:vAlign w:val="top"/>
          </w:tcPr>
          <w:p w14:paraId="2F8D9F9B">
            <w:pPr>
              <w:tabs>
                <w:tab w:val="left" w:pos="840"/>
              </w:tabs>
              <w:autoSpaceDE w:val="0"/>
              <w:autoSpaceDN w:val="0"/>
              <w:adjustRightInd w:val="0"/>
              <w:spacing w:line="360" w:lineRule="auto"/>
              <w:rPr>
                <w:rFonts w:hint="eastAsia" w:ascii="宋体" w:hAnsi="宋体" w:eastAsia="宋体" w:cs="宋体"/>
                <w:b/>
                <w:color w:val="auto"/>
                <w:szCs w:val="21"/>
                <w:highlight w:val="none"/>
                <w:lang w:val="en-GB"/>
              </w:rPr>
            </w:pPr>
          </w:p>
        </w:tc>
        <w:tc>
          <w:tcPr>
            <w:tcW w:w="916" w:type="dxa"/>
            <w:noWrap w:val="0"/>
            <w:vAlign w:val="top"/>
          </w:tcPr>
          <w:p w14:paraId="794CCC05">
            <w:pPr>
              <w:tabs>
                <w:tab w:val="left" w:pos="840"/>
              </w:tabs>
              <w:autoSpaceDE w:val="0"/>
              <w:autoSpaceDN w:val="0"/>
              <w:adjustRightInd w:val="0"/>
              <w:spacing w:line="360" w:lineRule="auto"/>
              <w:rPr>
                <w:rFonts w:hint="eastAsia" w:ascii="宋体" w:hAnsi="宋体" w:eastAsia="宋体" w:cs="宋体"/>
                <w:b/>
                <w:color w:val="auto"/>
                <w:szCs w:val="21"/>
                <w:highlight w:val="none"/>
                <w:lang w:val="en-GB"/>
              </w:rPr>
            </w:pPr>
          </w:p>
        </w:tc>
        <w:tc>
          <w:tcPr>
            <w:tcW w:w="917" w:type="dxa"/>
            <w:noWrap w:val="0"/>
            <w:vAlign w:val="top"/>
          </w:tcPr>
          <w:p w14:paraId="0C7AEBA0">
            <w:pPr>
              <w:tabs>
                <w:tab w:val="left" w:pos="840"/>
              </w:tabs>
              <w:autoSpaceDE w:val="0"/>
              <w:autoSpaceDN w:val="0"/>
              <w:adjustRightInd w:val="0"/>
              <w:spacing w:line="360" w:lineRule="auto"/>
              <w:rPr>
                <w:rFonts w:hint="eastAsia" w:ascii="宋体" w:hAnsi="宋体" w:eastAsia="宋体" w:cs="宋体"/>
                <w:b/>
                <w:color w:val="auto"/>
                <w:szCs w:val="21"/>
                <w:highlight w:val="none"/>
                <w:lang w:val="en-GB"/>
              </w:rPr>
            </w:pPr>
          </w:p>
        </w:tc>
        <w:tc>
          <w:tcPr>
            <w:tcW w:w="917" w:type="dxa"/>
            <w:noWrap w:val="0"/>
            <w:vAlign w:val="top"/>
          </w:tcPr>
          <w:p w14:paraId="0A49634A">
            <w:pPr>
              <w:tabs>
                <w:tab w:val="left" w:pos="840"/>
              </w:tabs>
              <w:autoSpaceDE w:val="0"/>
              <w:autoSpaceDN w:val="0"/>
              <w:adjustRightInd w:val="0"/>
              <w:spacing w:line="360" w:lineRule="auto"/>
              <w:rPr>
                <w:rFonts w:hint="eastAsia" w:ascii="宋体" w:hAnsi="宋体" w:eastAsia="宋体" w:cs="宋体"/>
                <w:b/>
                <w:color w:val="auto"/>
                <w:szCs w:val="21"/>
                <w:highlight w:val="none"/>
                <w:lang w:val="en-GB"/>
              </w:rPr>
            </w:pPr>
          </w:p>
        </w:tc>
        <w:tc>
          <w:tcPr>
            <w:tcW w:w="917" w:type="dxa"/>
            <w:noWrap w:val="0"/>
            <w:vAlign w:val="top"/>
          </w:tcPr>
          <w:p w14:paraId="3487306F">
            <w:pPr>
              <w:tabs>
                <w:tab w:val="left" w:pos="840"/>
              </w:tabs>
              <w:autoSpaceDE w:val="0"/>
              <w:autoSpaceDN w:val="0"/>
              <w:adjustRightInd w:val="0"/>
              <w:spacing w:line="360" w:lineRule="auto"/>
              <w:rPr>
                <w:rFonts w:hint="eastAsia" w:ascii="宋体" w:hAnsi="宋体" w:eastAsia="宋体" w:cs="宋体"/>
                <w:b/>
                <w:color w:val="auto"/>
                <w:szCs w:val="21"/>
                <w:highlight w:val="none"/>
                <w:lang w:val="en-GB"/>
              </w:rPr>
            </w:pPr>
          </w:p>
        </w:tc>
        <w:tc>
          <w:tcPr>
            <w:tcW w:w="917" w:type="dxa"/>
            <w:noWrap w:val="0"/>
            <w:vAlign w:val="top"/>
          </w:tcPr>
          <w:p w14:paraId="258F3900">
            <w:pPr>
              <w:tabs>
                <w:tab w:val="left" w:pos="840"/>
              </w:tabs>
              <w:autoSpaceDE w:val="0"/>
              <w:autoSpaceDN w:val="0"/>
              <w:adjustRightInd w:val="0"/>
              <w:spacing w:line="360" w:lineRule="auto"/>
              <w:rPr>
                <w:rFonts w:hint="eastAsia" w:ascii="宋体" w:hAnsi="宋体" w:eastAsia="宋体" w:cs="宋体"/>
                <w:b/>
                <w:color w:val="auto"/>
                <w:szCs w:val="21"/>
                <w:highlight w:val="none"/>
                <w:lang w:val="en-GB"/>
              </w:rPr>
            </w:pPr>
          </w:p>
        </w:tc>
        <w:tc>
          <w:tcPr>
            <w:tcW w:w="917" w:type="dxa"/>
            <w:noWrap w:val="0"/>
            <w:vAlign w:val="top"/>
          </w:tcPr>
          <w:p w14:paraId="7C67C50E">
            <w:pPr>
              <w:tabs>
                <w:tab w:val="left" w:pos="840"/>
              </w:tabs>
              <w:autoSpaceDE w:val="0"/>
              <w:autoSpaceDN w:val="0"/>
              <w:adjustRightInd w:val="0"/>
              <w:spacing w:line="360" w:lineRule="auto"/>
              <w:rPr>
                <w:rFonts w:hint="eastAsia" w:ascii="宋体" w:hAnsi="宋体" w:eastAsia="宋体" w:cs="宋体"/>
                <w:b/>
                <w:color w:val="auto"/>
                <w:szCs w:val="21"/>
                <w:highlight w:val="none"/>
                <w:lang w:val="en-GB"/>
              </w:rPr>
            </w:pPr>
          </w:p>
        </w:tc>
      </w:tr>
    </w:tbl>
    <w:p w14:paraId="505717A2">
      <w:pPr>
        <w:spacing w:line="360" w:lineRule="auto"/>
        <w:rPr>
          <w:rFonts w:hint="eastAsia" w:ascii="宋体" w:hAnsi="宋体" w:eastAsia="宋体" w:cs="宋体"/>
          <w:color w:val="auto"/>
          <w:szCs w:val="21"/>
          <w:highlight w:val="none"/>
        </w:rPr>
      </w:pPr>
    </w:p>
    <w:p w14:paraId="0D791968">
      <w:pPr>
        <w:spacing w:line="360" w:lineRule="auto"/>
        <w:ind w:firstLine="3360" w:firstLineChars="1600"/>
        <w:rPr>
          <w:rFonts w:hint="eastAsia" w:ascii="宋体" w:hAnsi="宋体" w:eastAsia="宋体" w:cs="宋体"/>
          <w:bCs/>
          <w:color w:val="auto"/>
          <w:szCs w:val="21"/>
          <w:highlight w:val="none"/>
        </w:rPr>
      </w:pPr>
      <w:r>
        <w:rPr>
          <w:rFonts w:hint="eastAsia" w:ascii="宋体" w:hAnsi="宋体" w:eastAsia="宋体" w:cs="宋体"/>
          <w:color w:val="auto"/>
          <w:kern w:val="0"/>
          <w:szCs w:val="21"/>
          <w:highlight w:val="none"/>
        </w:rPr>
        <w:t>投 标 人</w:t>
      </w:r>
      <w:r>
        <w:rPr>
          <w:rFonts w:hint="eastAsia" w:ascii="宋体" w:hAnsi="宋体" w:eastAsia="宋体" w:cs="宋体"/>
          <w:bCs/>
          <w:color w:val="auto"/>
          <w:szCs w:val="21"/>
          <w:highlight w:val="none"/>
        </w:rPr>
        <w:t>：</w:t>
      </w:r>
      <w:r>
        <w:rPr>
          <w:rFonts w:hint="eastAsia" w:ascii="宋体" w:hAnsi="宋体" w:eastAsia="宋体" w:cs="宋体"/>
          <w:bCs/>
          <w:color w:val="auto"/>
          <w:szCs w:val="21"/>
          <w:highlight w:val="none"/>
          <w:u w:val="single"/>
        </w:rPr>
        <w:t xml:space="preserve">                      </w:t>
      </w:r>
      <w:r>
        <w:rPr>
          <w:rFonts w:hint="eastAsia" w:ascii="宋体" w:hAnsi="宋体" w:eastAsia="宋体" w:cs="宋体"/>
          <w:bCs/>
          <w:color w:val="auto"/>
          <w:szCs w:val="21"/>
          <w:highlight w:val="none"/>
        </w:rPr>
        <w:t>（盖章）</w:t>
      </w:r>
    </w:p>
    <w:p w14:paraId="274152DF">
      <w:pPr>
        <w:spacing w:line="360" w:lineRule="auto"/>
        <w:ind w:firstLine="3360" w:firstLineChars="16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法定代表人或其委托代理人：</w:t>
      </w:r>
      <w:r>
        <w:rPr>
          <w:rFonts w:hint="eastAsia" w:ascii="宋体" w:hAnsi="宋体" w:eastAsia="宋体" w:cs="宋体"/>
          <w:bCs/>
          <w:color w:val="auto"/>
          <w:szCs w:val="21"/>
          <w:highlight w:val="none"/>
          <w:u w:val="single"/>
        </w:rPr>
        <w:t xml:space="preserve">        </w:t>
      </w:r>
      <w:r>
        <w:rPr>
          <w:rFonts w:hint="eastAsia" w:ascii="宋体" w:hAnsi="宋体" w:eastAsia="宋体" w:cs="宋体"/>
          <w:bCs/>
          <w:color w:val="auto"/>
          <w:szCs w:val="21"/>
          <w:highlight w:val="none"/>
        </w:rPr>
        <w:t>（</w:t>
      </w:r>
      <w:r>
        <w:rPr>
          <w:rFonts w:hint="eastAsia" w:ascii="宋体" w:hAnsi="宋体" w:eastAsia="宋体" w:cs="宋体"/>
          <w:color w:val="auto"/>
          <w:szCs w:val="21"/>
          <w:highlight w:val="none"/>
        </w:rPr>
        <w:t>签字或盖章</w:t>
      </w:r>
      <w:r>
        <w:rPr>
          <w:rFonts w:hint="eastAsia" w:ascii="宋体" w:hAnsi="宋体" w:eastAsia="宋体" w:cs="宋体"/>
          <w:bCs/>
          <w:color w:val="auto"/>
          <w:szCs w:val="21"/>
          <w:highlight w:val="none"/>
        </w:rPr>
        <w:t>）</w:t>
      </w:r>
    </w:p>
    <w:p w14:paraId="6D5B5FD6">
      <w:pPr>
        <w:tabs>
          <w:tab w:val="left" w:pos="5380"/>
          <w:tab w:val="left" w:pos="6520"/>
          <w:tab w:val="left" w:pos="7680"/>
        </w:tabs>
        <w:autoSpaceDE w:val="0"/>
        <w:autoSpaceDN w:val="0"/>
        <w:adjustRightInd w:val="0"/>
        <w:spacing w:line="360" w:lineRule="auto"/>
        <w:ind w:right="-23" w:firstLine="4620" w:firstLineChars="2200"/>
        <w:jc w:val="left"/>
        <w:rPr>
          <w:rFonts w:hint="eastAsia" w:ascii="宋体" w:hAnsi="宋体" w:eastAsia="宋体" w:cs="宋体"/>
          <w:bCs/>
          <w:color w:val="auto"/>
          <w:kern w:val="0"/>
          <w:szCs w:val="21"/>
          <w:highlight w:val="none"/>
        </w:rPr>
      </w:pPr>
      <w:r>
        <w:rPr>
          <w:rFonts w:hint="eastAsia" w:ascii="宋体" w:hAnsi="宋体" w:eastAsia="宋体" w:cs="宋体"/>
          <w:bCs/>
          <w:color w:val="auto"/>
          <w:kern w:val="0"/>
          <w:szCs w:val="21"/>
          <w:highlight w:val="none"/>
          <w:u w:val="single"/>
        </w:rPr>
        <w:t xml:space="preserve">     </w:t>
      </w:r>
      <w:r>
        <w:rPr>
          <w:rFonts w:hint="eastAsia" w:ascii="宋体" w:hAnsi="宋体" w:eastAsia="宋体" w:cs="宋体"/>
          <w:bCs/>
          <w:color w:val="auto"/>
          <w:spacing w:val="43"/>
          <w:kern w:val="0"/>
          <w:szCs w:val="21"/>
          <w:highlight w:val="none"/>
          <w:u w:val="single"/>
        </w:rPr>
        <w:t xml:space="preserve"> </w:t>
      </w:r>
      <w:r>
        <w:rPr>
          <w:rFonts w:hint="eastAsia" w:ascii="宋体" w:hAnsi="宋体" w:eastAsia="宋体" w:cs="宋体"/>
          <w:bCs/>
          <w:color w:val="auto"/>
          <w:kern w:val="0"/>
          <w:szCs w:val="21"/>
          <w:highlight w:val="none"/>
        </w:rPr>
        <w:t>年</w:t>
      </w:r>
      <w:r>
        <w:rPr>
          <w:rFonts w:hint="eastAsia" w:ascii="宋体" w:hAnsi="宋体" w:eastAsia="宋体" w:cs="宋体"/>
          <w:bCs/>
          <w:color w:val="auto"/>
          <w:kern w:val="0"/>
          <w:szCs w:val="21"/>
          <w:highlight w:val="none"/>
          <w:u w:val="single"/>
        </w:rPr>
        <w:t xml:space="preserve">       </w:t>
      </w:r>
      <w:r>
        <w:rPr>
          <w:rFonts w:hint="eastAsia" w:ascii="宋体" w:hAnsi="宋体" w:eastAsia="宋体" w:cs="宋体"/>
          <w:bCs/>
          <w:color w:val="auto"/>
          <w:kern w:val="0"/>
          <w:szCs w:val="21"/>
          <w:highlight w:val="none"/>
        </w:rPr>
        <w:t>月</w:t>
      </w:r>
      <w:r>
        <w:rPr>
          <w:rFonts w:hint="eastAsia" w:ascii="宋体" w:hAnsi="宋体" w:eastAsia="宋体" w:cs="宋体"/>
          <w:bCs/>
          <w:color w:val="auto"/>
          <w:kern w:val="0"/>
          <w:szCs w:val="21"/>
          <w:highlight w:val="none"/>
          <w:u w:val="single"/>
        </w:rPr>
        <w:t xml:space="preserve">      </w:t>
      </w:r>
      <w:r>
        <w:rPr>
          <w:rFonts w:hint="eastAsia" w:ascii="宋体" w:hAnsi="宋体" w:eastAsia="宋体" w:cs="宋体"/>
          <w:bCs/>
          <w:color w:val="auto"/>
          <w:kern w:val="0"/>
          <w:szCs w:val="21"/>
          <w:highlight w:val="none"/>
        </w:rPr>
        <w:t>日</w:t>
      </w:r>
    </w:p>
    <w:p w14:paraId="52053E10">
      <w:pPr>
        <w:widowControl w:val="0"/>
        <w:spacing w:line="360" w:lineRule="auto"/>
        <w:jc w:val="both"/>
        <w:rPr>
          <w:rFonts w:hint="eastAsia" w:ascii="宋体" w:hAnsi="宋体" w:eastAsia="宋体" w:cs="宋体"/>
          <w:color w:val="auto"/>
          <w:kern w:val="2"/>
          <w:sz w:val="24"/>
          <w:szCs w:val="24"/>
          <w:highlight w:val="none"/>
          <w:lang w:val="en-US" w:eastAsia="zh-CN" w:bidi="ar-SA"/>
        </w:rPr>
      </w:pPr>
    </w:p>
    <w:p w14:paraId="46626AC2">
      <w:pPr>
        <w:tabs>
          <w:tab w:val="left" w:pos="840"/>
        </w:tabs>
        <w:autoSpaceDE w:val="0"/>
        <w:autoSpaceDN w:val="0"/>
        <w:adjustRightInd w:val="0"/>
        <w:spacing w:line="360" w:lineRule="auto"/>
        <w:jc w:val="center"/>
        <w:rPr>
          <w:rFonts w:hint="eastAsia" w:ascii="宋体" w:hAnsi="宋体" w:eastAsia="宋体" w:cs="宋体"/>
          <w:b/>
          <w:color w:val="auto"/>
          <w:szCs w:val="21"/>
          <w:highlight w:val="none"/>
          <w:lang w:val="en-GB"/>
        </w:rPr>
      </w:pPr>
      <w:r>
        <w:rPr>
          <w:rFonts w:hint="eastAsia" w:ascii="宋体" w:hAnsi="宋体" w:eastAsia="宋体" w:cs="宋体"/>
          <w:b/>
          <w:color w:val="auto"/>
          <w:sz w:val="24"/>
          <w:highlight w:val="none"/>
          <w:lang w:val="en-GB"/>
        </w:rPr>
        <w:t>环境标志产品明细表</w:t>
      </w:r>
    </w:p>
    <w:tbl>
      <w:tblPr>
        <w:tblStyle w:val="3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6"/>
        <w:gridCol w:w="916"/>
        <w:gridCol w:w="916"/>
        <w:gridCol w:w="916"/>
        <w:gridCol w:w="917"/>
        <w:gridCol w:w="917"/>
        <w:gridCol w:w="917"/>
        <w:gridCol w:w="917"/>
        <w:gridCol w:w="917"/>
      </w:tblGrid>
      <w:tr w14:paraId="4E33A0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6" w:type="dxa"/>
            <w:noWrap w:val="0"/>
            <w:vAlign w:val="center"/>
          </w:tcPr>
          <w:p w14:paraId="30879016">
            <w:pPr>
              <w:adjustRightInd w:val="0"/>
              <w:snapToGrid w:val="0"/>
              <w:spacing w:line="360" w:lineRule="auto"/>
              <w:jc w:val="center"/>
              <w:rPr>
                <w:rFonts w:hint="eastAsia" w:ascii="宋体" w:hAnsi="宋体" w:eastAsia="宋体" w:cs="宋体"/>
                <w:b/>
                <w:color w:val="auto"/>
                <w:szCs w:val="21"/>
                <w:highlight w:val="none"/>
                <w:lang w:val="en-GB"/>
              </w:rPr>
            </w:pPr>
            <w:r>
              <w:rPr>
                <w:rFonts w:hint="eastAsia" w:ascii="宋体" w:hAnsi="宋体" w:eastAsia="宋体" w:cs="宋体"/>
                <w:color w:val="auto"/>
                <w:szCs w:val="21"/>
                <w:highlight w:val="none"/>
              </w:rPr>
              <w:t>序号</w:t>
            </w:r>
          </w:p>
        </w:tc>
        <w:tc>
          <w:tcPr>
            <w:tcW w:w="916" w:type="dxa"/>
            <w:noWrap w:val="0"/>
            <w:vAlign w:val="center"/>
          </w:tcPr>
          <w:p w14:paraId="3CAE6898">
            <w:pPr>
              <w:adjustRightInd w:val="0"/>
              <w:snapToGrid w:val="0"/>
              <w:spacing w:line="360" w:lineRule="auto"/>
              <w:jc w:val="center"/>
              <w:rPr>
                <w:rFonts w:hint="eastAsia" w:ascii="宋体" w:hAnsi="宋体" w:eastAsia="宋体" w:cs="宋体"/>
                <w:b/>
                <w:color w:val="auto"/>
                <w:szCs w:val="21"/>
                <w:highlight w:val="none"/>
                <w:lang w:val="en-GB"/>
              </w:rPr>
            </w:pPr>
            <w:r>
              <w:rPr>
                <w:rFonts w:hint="eastAsia" w:ascii="宋体" w:hAnsi="宋体" w:eastAsia="宋体" w:cs="宋体"/>
                <w:color w:val="auto"/>
                <w:szCs w:val="21"/>
                <w:highlight w:val="none"/>
              </w:rPr>
              <w:t>设备名称</w:t>
            </w:r>
          </w:p>
        </w:tc>
        <w:tc>
          <w:tcPr>
            <w:tcW w:w="916" w:type="dxa"/>
            <w:noWrap w:val="0"/>
            <w:vAlign w:val="center"/>
          </w:tcPr>
          <w:p w14:paraId="7D5D6060">
            <w:pPr>
              <w:adjustRightInd w:val="0"/>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品牌</w:t>
            </w:r>
          </w:p>
          <w:p w14:paraId="4B7FCA79">
            <w:pPr>
              <w:adjustRightInd w:val="0"/>
              <w:snapToGrid w:val="0"/>
              <w:spacing w:line="360" w:lineRule="auto"/>
              <w:jc w:val="center"/>
              <w:rPr>
                <w:rFonts w:hint="eastAsia" w:ascii="宋体" w:hAnsi="宋体" w:eastAsia="宋体" w:cs="宋体"/>
                <w:b/>
                <w:color w:val="auto"/>
                <w:szCs w:val="21"/>
                <w:highlight w:val="none"/>
                <w:lang w:val="en-GB"/>
              </w:rPr>
            </w:pPr>
            <w:r>
              <w:rPr>
                <w:rFonts w:hint="eastAsia" w:ascii="宋体" w:hAnsi="宋体" w:eastAsia="宋体" w:cs="宋体"/>
                <w:color w:val="auto"/>
                <w:szCs w:val="21"/>
                <w:highlight w:val="none"/>
              </w:rPr>
              <w:t>型号</w:t>
            </w:r>
          </w:p>
        </w:tc>
        <w:tc>
          <w:tcPr>
            <w:tcW w:w="916" w:type="dxa"/>
            <w:noWrap w:val="0"/>
            <w:vAlign w:val="center"/>
          </w:tcPr>
          <w:p w14:paraId="70EFE04D">
            <w:pPr>
              <w:adjustRightInd w:val="0"/>
              <w:snapToGrid w:val="0"/>
              <w:spacing w:line="360" w:lineRule="auto"/>
              <w:jc w:val="center"/>
              <w:rPr>
                <w:rFonts w:hint="eastAsia" w:ascii="宋体" w:hAnsi="宋体" w:eastAsia="宋体" w:cs="宋体"/>
                <w:b/>
                <w:color w:val="auto"/>
                <w:szCs w:val="21"/>
                <w:highlight w:val="none"/>
                <w:lang w:val="en-GB"/>
              </w:rPr>
            </w:pPr>
            <w:r>
              <w:rPr>
                <w:rFonts w:hint="eastAsia" w:ascii="宋体" w:hAnsi="宋体" w:eastAsia="宋体" w:cs="宋体"/>
                <w:color w:val="auto"/>
                <w:szCs w:val="21"/>
                <w:highlight w:val="none"/>
              </w:rPr>
              <w:t>制造商名称</w:t>
            </w:r>
          </w:p>
        </w:tc>
        <w:tc>
          <w:tcPr>
            <w:tcW w:w="917" w:type="dxa"/>
            <w:noWrap w:val="0"/>
            <w:vAlign w:val="center"/>
          </w:tcPr>
          <w:p w14:paraId="02AC5E4B">
            <w:pPr>
              <w:adjustRightInd w:val="0"/>
              <w:snapToGrid w:val="0"/>
              <w:spacing w:line="360" w:lineRule="auto"/>
              <w:jc w:val="center"/>
              <w:rPr>
                <w:rFonts w:hint="eastAsia" w:ascii="宋体" w:hAnsi="宋体" w:eastAsia="宋体" w:cs="宋体"/>
                <w:b/>
                <w:color w:val="auto"/>
                <w:szCs w:val="21"/>
                <w:highlight w:val="none"/>
                <w:lang w:val="en-GB"/>
              </w:rPr>
            </w:pPr>
            <w:r>
              <w:rPr>
                <w:rFonts w:hint="eastAsia" w:ascii="宋体" w:hAnsi="宋体" w:eastAsia="宋体" w:cs="宋体"/>
                <w:color w:val="auto"/>
                <w:szCs w:val="21"/>
                <w:highlight w:val="none"/>
              </w:rPr>
              <w:t>中国环境标志认证证书编号</w:t>
            </w:r>
          </w:p>
        </w:tc>
        <w:tc>
          <w:tcPr>
            <w:tcW w:w="917" w:type="dxa"/>
            <w:noWrap w:val="0"/>
            <w:vAlign w:val="center"/>
          </w:tcPr>
          <w:p w14:paraId="09C1F665">
            <w:pPr>
              <w:adjustRightInd w:val="0"/>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认证证书有效</w:t>
            </w:r>
          </w:p>
          <w:p w14:paraId="170EC0AC">
            <w:pPr>
              <w:adjustRightInd w:val="0"/>
              <w:snapToGrid w:val="0"/>
              <w:spacing w:line="360" w:lineRule="auto"/>
              <w:jc w:val="center"/>
              <w:rPr>
                <w:rFonts w:hint="eastAsia" w:ascii="宋体" w:hAnsi="宋体" w:eastAsia="宋体" w:cs="宋体"/>
                <w:b/>
                <w:color w:val="auto"/>
                <w:szCs w:val="21"/>
                <w:highlight w:val="none"/>
                <w:lang w:val="en-GB"/>
              </w:rPr>
            </w:pPr>
            <w:r>
              <w:rPr>
                <w:rFonts w:hint="eastAsia" w:ascii="宋体" w:hAnsi="宋体" w:eastAsia="宋体" w:cs="宋体"/>
                <w:color w:val="auto"/>
                <w:szCs w:val="21"/>
                <w:highlight w:val="none"/>
              </w:rPr>
              <w:t>截止日期</w:t>
            </w:r>
          </w:p>
        </w:tc>
        <w:tc>
          <w:tcPr>
            <w:tcW w:w="917" w:type="dxa"/>
            <w:noWrap w:val="0"/>
            <w:vAlign w:val="center"/>
          </w:tcPr>
          <w:p w14:paraId="2F3975F4">
            <w:pPr>
              <w:adjustRightInd w:val="0"/>
              <w:snapToGrid w:val="0"/>
              <w:spacing w:line="360" w:lineRule="auto"/>
              <w:jc w:val="center"/>
              <w:rPr>
                <w:rFonts w:hint="eastAsia" w:ascii="宋体" w:hAnsi="宋体" w:eastAsia="宋体" w:cs="宋体"/>
                <w:b/>
                <w:color w:val="auto"/>
                <w:szCs w:val="21"/>
                <w:highlight w:val="none"/>
                <w:lang w:val="en-GB"/>
              </w:rPr>
            </w:pPr>
            <w:r>
              <w:rPr>
                <w:rFonts w:hint="eastAsia" w:ascii="宋体" w:hAnsi="宋体" w:eastAsia="宋体" w:cs="宋体"/>
                <w:color w:val="auto"/>
                <w:szCs w:val="21"/>
                <w:highlight w:val="none"/>
              </w:rPr>
              <w:t>数量</w:t>
            </w:r>
          </w:p>
        </w:tc>
        <w:tc>
          <w:tcPr>
            <w:tcW w:w="917" w:type="dxa"/>
            <w:noWrap w:val="0"/>
            <w:vAlign w:val="center"/>
          </w:tcPr>
          <w:p w14:paraId="66615A06">
            <w:pPr>
              <w:adjustRightInd w:val="0"/>
              <w:snapToGrid w:val="0"/>
              <w:spacing w:line="360" w:lineRule="auto"/>
              <w:jc w:val="center"/>
              <w:rPr>
                <w:rFonts w:hint="eastAsia" w:ascii="宋体" w:hAnsi="宋体" w:eastAsia="宋体" w:cs="宋体"/>
                <w:b/>
                <w:color w:val="auto"/>
                <w:szCs w:val="21"/>
                <w:highlight w:val="none"/>
                <w:lang w:val="en-GB"/>
              </w:rPr>
            </w:pPr>
            <w:r>
              <w:rPr>
                <w:rFonts w:hint="eastAsia" w:ascii="宋体" w:hAnsi="宋体" w:eastAsia="宋体" w:cs="宋体"/>
                <w:color w:val="auto"/>
                <w:szCs w:val="21"/>
                <w:highlight w:val="none"/>
              </w:rPr>
              <w:t>单价</w:t>
            </w:r>
          </w:p>
        </w:tc>
        <w:tc>
          <w:tcPr>
            <w:tcW w:w="917" w:type="dxa"/>
            <w:noWrap w:val="0"/>
            <w:vAlign w:val="center"/>
          </w:tcPr>
          <w:p w14:paraId="331F999C">
            <w:pPr>
              <w:adjustRightInd w:val="0"/>
              <w:snapToGrid w:val="0"/>
              <w:spacing w:line="360" w:lineRule="auto"/>
              <w:jc w:val="center"/>
              <w:rPr>
                <w:rFonts w:hint="eastAsia" w:ascii="宋体" w:hAnsi="宋体" w:eastAsia="宋体" w:cs="宋体"/>
                <w:b/>
                <w:color w:val="auto"/>
                <w:szCs w:val="21"/>
                <w:highlight w:val="none"/>
                <w:lang w:val="en-GB"/>
              </w:rPr>
            </w:pPr>
            <w:r>
              <w:rPr>
                <w:rFonts w:hint="eastAsia" w:ascii="宋体" w:hAnsi="宋体" w:eastAsia="宋体" w:cs="宋体"/>
                <w:color w:val="auto"/>
                <w:szCs w:val="21"/>
                <w:highlight w:val="none"/>
              </w:rPr>
              <w:t>总价</w:t>
            </w:r>
          </w:p>
        </w:tc>
      </w:tr>
      <w:tr w14:paraId="6BBD87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6" w:type="dxa"/>
            <w:noWrap w:val="0"/>
            <w:vAlign w:val="top"/>
          </w:tcPr>
          <w:p w14:paraId="325433AC">
            <w:pPr>
              <w:tabs>
                <w:tab w:val="left" w:pos="840"/>
              </w:tabs>
              <w:autoSpaceDE w:val="0"/>
              <w:autoSpaceDN w:val="0"/>
              <w:adjustRightInd w:val="0"/>
              <w:spacing w:line="360" w:lineRule="auto"/>
              <w:rPr>
                <w:rFonts w:hint="eastAsia" w:ascii="宋体" w:hAnsi="宋体" w:eastAsia="宋体" w:cs="宋体"/>
                <w:b/>
                <w:color w:val="auto"/>
                <w:szCs w:val="21"/>
                <w:highlight w:val="none"/>
                <w:lang w:val="en-GB"/>
              </w:rPr>
            </w:pPr>
          </w:p>
        </w:tc>
        <w:tc>
          <w:tcPr>
            <w:tcW w:w="916" w:type="dxa"/>
            <w:noWrap w:val="0"/>
            <w:vAlign w:val="top"/>
          </w:tcPr>
          <w:p w14:paraId="7E13A94C">
            <w:pPr>
              <w:tabs>
                <w:tab w:val="left" w:pos="840"/>
              </w:tabs>
              <w:autoSpaceDE w:val="0"/>
              <w:autoSpaceDN w:val="0"/>
              <w:adjustRightInd w:val="0"/>
              <w:spacing w:line="360" w:lineRule="auto"/>
              <w:rPr>
                <w:rFonts w:hint="eastAsia" w:ascii="宋体" w:hAnsi="宋体" w:eastAsia="宋体" w:cs="宋体"/>
                <w:b/>
                <w:color w:val="auto"/>
                <w:szCs w:val="21"/>
                <w:highlight w:val="none"/>
                <w:lang w:val="en-GB"/>
              </w:rPr>
            </w:pPr>
          </w:p>
        </w:tc>
        <w:tc>
          <w:tcPr>
            <w:tcW w:w="916" w:type="dxa"/>
            <w:noWrap w:val="0"/>
            <w:vAlign w:val="top"/>
          </w:tcPr>
          <w:p w14:paraId="1C59F028">
            <w:pPr>
              <w:tabs>
                <w:tab w:val="left" w:pos="840"/>
              </w:tabs>
              <w:autoSpaceDE w:val="0"/>
              <w:autoSpaceDN w:val="0"/>
              <w:adjustRightInd w:val="0"/>
              <w:spacing w:line="360" w:lineRule="auto"/>
              <w:rPr>
                <w:rFonts w:hint="eastAsia" w:ascii="宋体" w:hAnsi="宋体" w:eastAsia="宋体" w:cs="宋体"/>
                <w:b/>
                <w:color w:val="auto"/>
                <w:szCs w:val="21"/>
                <w:highlight w:val="none"/>
                <w:lang w:val="en-GB"/>
              </w:rPr>
            </w:pPr>
          </w:p>
        </w:tc>
        <w:tc>
          <w:tcPr>
            <w:tcW w:w="916" w:type="dxa"/>
            <w:noWrap w:val="0"/>
            <w:vAlign w:val="top"/>
          </w:tcPr>
          <w:p w14:paraId="4ED2BF2B">
            <w:pPr>
              <w:tabs>
                <w:tab w:val="left" w:pos="840"/>
              </w:tabs>
              <w:autoSpaceDE w:val="0"/>
              <w:autoSpaceDN w:val="0"/>
              <w:adjustRightInd w:val="0"/>
              <w:spacing w:line="360" w:lineRule="auto"/>
              <w:rPr>
                <w:rFonts w:hint="eastAsia" w:ascii="宋体" w:hAnsi="宋体" w:eastAsia="宋体" w:cs="宋体"/>
                <w:b/>
                <w:color w:val="auto"/>
                <w:szCs w:val="21"/>
                <w:highlight w:val="none"/>
                <w:lang w:val="en-GB"/>
              </w:rPr>
            </w:pPr>
          </w:p>
        </w:tc>
        <w:tc>
          <w:tcPr>
            <w:tcW w:w="917" w:type="dxa"/>
            <w:noWrap w:val="0"/>
            <w:vAlign w:val="top"/>
          </w:tcPr>
          <w:p w14:paraId="51DB11E4">
            <w:pPr>
              <w:tabs>
                <w:tab w:val="left" w:pos="840"/>
              </w:tabs>
              <w:autoSpaceDE w:val="0"/>
              <w:autoSpaceDN w:val="0"/>
              <w:adjustRightInd w:val="0"/>
              <w:spacing w:line="360" w:lineRule="auto"/>
              <w:rPr>
                <w:rFonts w:hint="eastAsia" w:ascii="宋体" w:hAnsi="宋体" w:eastAsia="宋体" w:cs="宋体"/>
                <w:b/>
                <w:color w:val="auto"/>
                <w:szCs w:val="21"/>
                <w:highlight w:val="none"/>
                <w:lang w:val="en-GB"/>
              </w:rPr>
            </w:pPr>
          </w:p>
        </w:tc>
        <w:tc>
          <w:tcPr>
            <w:tcW w:w="917" w:type="dxa"/>
            <w:noWrap w:val="0"/>
            <w:vAlign w:val="top"/>
          </w:tcPr>
          <w:p w14:paraId="2439874B">
            <w:pPr>
              <w:tabs>
                <w:tab w:val="left" w:pos="840"/>
              </w:tabs>
              <w:autoSpaceDE w:val="0"/>
              <w:autoSpaceDN w:val="0"/>
              <w:adjustRightInd w:val="0"/>
              <w:spacing w:line="360" w:lineRule="auto"/>
              <w:rPr>
                <w:rFonts w:hint="eastAsia" w:ascii="宋体" w:hAnsi="宋体" w:eastAsia="宋体" w:cs="宋体"/>
                <w:b/>
                <w:color w:val="auto"/>
                <w:szCs w:val="21"/>
                <w:highlight w:val="none"/>
                <w:lang w:val="en-GB"/>
              </w:rPr>
            </w:pPr>
          </w:p>
        </w:tc>
        <w:tc>
          <w:tcPr>
            <w:tcW w:w="917" w:type="dxa"/>
            <w:noWrap w:val="0"/>
            <w:vAlign w:val="top"/>
          </w:tcPr>
          <w:p w14:paraId="6996177D">
            <w:pPr>
              <w:tabs>
                <w:tab w:val="left" w:pos="840"/>
              </w:tabs>
              <w:autoSpaceDE w:val="0"/>
              <w:autoSpaceDN w:val="0"/>
              <w:adjustRightInd w:val="0"/>
              <w:spacing w:line="360" w:lineRule="auto"/>
              <w:rPr>
                <w:rFonts w:hint="eastAsia" w:ascii="宋体" w:hAnsi="宋体" w:eastAsia="宋体" w:cs="宋体"/>
                <w:b/>
                <w:color w:val="auto"/>
                <w:szCs w:val="21"/>
                <w:highlight w:val="none"/>
                <w:lang w:val="en-GB"/>
              </w:rPr>
            </w:pPr>
          </w:p>
        </w:tc>
        <w:tc>
          <w:tcPr>
            <w:tcW w:w="917" w:type="dxa"/>
            <w:noWrap w:val="0"/>
            <w:vAlign w:val="top"/>
          </w:tcPr>
          <w:p w14:paraId="003ABB67">
            <w:pPr>
              <w:tabs>
                <w:tab w:val="left" w:pos="840"/>
              </w:tabs>
              <w:autoSpaceDE w:val="0"/>
              <w:autoSpaceDN w:val="0"/>
              <w:adjustRightInd w:val="0"/>
              <w:spacing w:line="360" w:lineRule="auto"/>
              <w:rPr>
                <w:rFonts w:hint="eastAsia" w:ascii="宋体" w:hAnsi="宋体" w:eastAsia="宋体" w:cs="宋体"/>
                <w:b/>
                <w:color w:val="auto"/>
                <w:szCs w:val="21"/>
                <w:highlight w:val="none"/>
                <w:lang w:val="en-GB"/>
              </w:rPr>
            </w:pPr>
          </w:p>
        </w:tc>
        <w:tc>
          <w:tcPr>
            <w:tcW w:w="917" w:type="dxa"/>
            <w:noWrap w:val="0"/>
            <w:vAlign w:val="top"/>
          </w:tcPr>
          <w:p w14:paraId="10C49F98">
            <w:pPr>
              <w:tabs>
                <w:tab w:val="left" w:pos="840"/>
              </w:tabs>
              <w:autoSpaceDE w:val="0"/>
              <w:autoSpaceDN w:val="0"/>
              <w:adjustRightInd w:val="0"/>
              <w:spacing w:line="360" w:lineRule="auto"/>
              <w:rPr>
                <w:rFonts w:hint="eastAsia" w:ascii="宋体" w:hAnsi="宋体" w:eastAsia="宋体" w:cs="宋体"/>
                <w:b/>
                <w:color w:val="auto"/>
                <w:szCs w:val="21"/>
                <w:highlight w:val="none"/>
                <w:lang w:val="en-GB"/>
              </w:rPr>
            </w:pPr>
          </w:p>
        </w:tc>
      </w:tr>
      <w:tr w14:paraId="263DBC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6" w:type="dxa"/>
            <w:noWrap w:val="0"/>
            <w:vAlign w:val="top"/>
          </w:tcPr>
          <w:p w14:paraId="1F9DC5E5">
            <w:pPr>
              <w:tabs>
                <w:tab w:val="left" w:pos="840"/>
              </w:tabs>
              <w:autoSpaceDE w:val="0"/>
              <w:autoSpaceDN w:val="0"/>
              <w:adjustRightInd w:val="0"/>
              <w:spacing w:line="360" w:lineRule="auto"/>
              <w:rPr>
                <w:rFonts w:hint="eastAsia" w:ascii="宋体" w:hAnsi="宋体" w:eastAsia="宋体" w:cs="宋体"/>
                <w:b/>
                <w:color w:val="auto"/>
                <w:szCs w:val="21"/>
                <w:highlight w:val="none"/>
                <w:lang w:val="en-GB"/>
              </w:rPr>
            </w:pPr>
          </w:p>
        </w:tc>
        <w:tc>
          <w:tcPr>
            <w:tcW w:w="916" w:type="dxa"/>
            <w:noWrap w:val="0"/>
            <w:vAlign w:val="top"/>
          </w:tcPr>
          <w:p w14:paraId="254601A3">
            <w:pPr>
              <w:tabs>
                <w:tab w:val="left" w:pos="840"/>
              </w:tabs>
              <w:autoSpaceDE w:val="0"/>
              <w:autoSpaceDN w:val="0"/>
              <w:adjustRightInd w:val="0"/>
              <w:spacing w:line="360" w:lineRule="auto"/>
              <w:rPr>
                <w:rFonts w:hint="eastAsia" w:ascii="宋体" w:hAnsi="宋体" w:eastAsia="宋体" w:cs="宋体"/>
                <w:b/>
                <w:color w:val="auto"/>
                <w:szCs w:val="21"/>
                <w:highlight w:val="none"/>
                <w:lang w:val="en-GB"/>
              </w:rPr>
            </w:pPr>
          </w:p>
        </w:tc>
        <w:tc>
          <w:tcPr>
            <w:tcW w:w="916" w:type="dxa"/>
            <w:noWrap w:val="0"/>
            <w:vAlign w:val="top"/>
          </w:tcPr>
          <w:p w14:paraId="6B13BAE9">
            <w:pPr>
              <w:tabs>
                <w:tab w:val="left" w:pos="840"/>
              </w:tabs>
              <w:autoSpaceDE w:val="0"/>
              <w:autoSpaceDN w:val="0"/>
              <w:adjustRightInd w:val="0"/>
              <w:spacing w:line="360" w:lineRule="auto"/>
              <w:rPr>
                <w:rFonts w:hint="eastAsia" w:ascii="宋体" w:hAnsi="宋体" w:eastAsia="宋体" w:cs="宋体"/>
                <w:b/>
                <w:color w:val="auto"/>
                <w:szCs w:val="21"/>
                <w:highlight w:val="none"/>
                <w:lang w:val="en-GB"/>
              </w:rPr>
            </w:pPr>
          </w:p>
        </w:tc>
        <w:tc>
          <w:tcPr>
            <w:tcW w:w="916" w:type="dxa"/>
            <w:noWrap w:val="0"/>
            <w:vAlign w:val="top"/>
          </w:tcPr>
          <w:p w14:paraId="4F34716A">
            <w:pPr>
              <w:tabs>
                <w:tab w:val="left" w:pos="840"/>
              </w:tabs>
              <w:autoSpaceDE w:val="0"/>
              <w:autoSpaceDN w:val="0"/>
              <w:adjustRightInd w:val="0"/>
              <w:spacing w:line="360" w:lineRule="auto"/>
              <w:rPr>
                <w:rFonts w:hint="eastAsia" w:ascii="宋体" w:hAnsi="宋体" w:eastAsia="宋体" w:cs="宋体"/>
                <w:b/>
                <w:color w:val="auto"/>
                <w:szCs w:val="21"/>
                <w:highlight w:val="none"/>
                <w:lang w:val="en-GB"/>
              </w:rPr>
            </w:pPr>
          </w:p>
        </w:tc>
        <w:tc>
          <w:tcPr>
            <w:tcW w:w="917" w:type="dxa"/>
            <w:noWrap w:val="0"/>
            <w:vAlign w:val="top"/>
          </w:tcPr>
          <w:p w14:paraId="12E13239">
            <w:pPr>
              <w:tabs>
                <w:tab w:val="left" w:pos="840"/>
              </w:tabs>
              <w:autoSpaceDE w:val="0"/>
              <w:autoSpaceDN w:val="0"/>
              <w:adjustRightInd w:val="0"/>
              <w:spacing w:line="360" w:lineRule="auto"/>
              <w:rPr>
                <w:rFonts w:hint="eastAsia" w:ascii="宋体" w:hAnsi="宋体" w:eastAsia="宋体" w:cs="宋体"/>
                <w:b/>
                <w:color w:val="auto"/>
                <w:szCs w:val="21"/>
                <w:highlight w:val="none"/>
                <w:lang w:val="en-GB"/>
              </w:rPr>
            </w:pPr>
          </w:p>
        </w:tc>
        <w:tc>
          <w:tcPr>
            <w:tcW w:w="917" w:type="dxa"/>
            <w:noWrap w:val="0"/>
            <w:vAlign w:val="top"/>
          </w:tcPr>
          <w:p w14:paraId="429148B6">
            <w:pPr>
              <w:tabs>
                <w:tab w:val="left" w:pos="840"/>
              </w:tabs>
              <w:autoSpaceDE w:val="0"/>
              <w:autoSpaceDN w:val="0"/>
              <w:adjustRightInd w:val="0"/>
              <w:spacing w:line="360" w:lineRule="auto"/>
              <w:rPr>
                <w:rFonts w:hint="eastAsia" w:ascii="宋体" w:hAnsi="宋体" w:eastAsia="宋体" w:cs="宋体"/>
                <w:b/>
                <w:color w:val="auto"/>
                <w:szCs w:val="21"/>
                <w:highlight w:val="none"/>
                <w:lang w:val="en-GB"/>
              </w:rPr>
            </w:pPr>
          </w:p>
        </w:tc>
        <w:tc>
          <w:tcPr>
            <w:tcW w:w="917" w:type="dxa"/>
            <w:noWrap w:val="0"/>
            <w:vAlign w:val="top"/>
          </w:tcPr>
          <w:p w14:paraId="199937B4">
            <w:pPr>
              <w:tabs>
                <w:tab w:val="left" w:pos="840"/>
              </w:tabs>
              <w:autoSpaceDE w:val="0"/>
              <w:autoSpaceDN w:val="0"/>
              <w:adjustRightInd w:val="0"/>
              <w:spacing w:line="360" w:lineRule="auto"/>
              <w:rPr>
                <w:rFonts w:hint="eastAsia" w:ascii="宋体" w:hAnsi="宋体" w:eastAsia="宋体" w:cs="宋体"/>
                <w:b/>
                <w:color w:val="auto"/>
                <w:szCs w:val="21"/>
                <w:highlight w:val="none"/>
                <w:lang w:val="en-GB"/>
              </w:rPr>
            </w:pPr>
          </w:p>
        </w:tc>
        <w:tc>
          <w:tcPr>
            <w:tcW w:w="917" w:type="dxa"/>
            <w:noWrap w:val="0"/>
            <w:vAlign w:val="top"/>
          </w:tcPr>
          <w:p w14:paraId="4EF0580B">
            <w:pPr>
              <w:tabs>
                <w:tab w:val="left" w:pos="840"/>
              </w:tabs>
              <w:autoSpaceDE w:val="0"/>
              <w:autoSpaceDN w:val="0"/>
              <w:adjustRightInd w:val="0"/>
              <w:spacing w:line="360" w:lineRule="auto"/>
              <w:rPr>
                <w:rFonts w:hint="eastAsia" w:ascii="宋体" w:hAnsi="宋体" w:eastAsia="宋体" w:cs="宋体"/>
                <w:b/>
                <w:color w:val="auto"/>
                <w:szCs w:val="21"/>
                <w:highlight w:val="none"/>
                <w:lang w:val="en-GB"/>
              </w:rPr>
            </w:pPr>
          </w:p>
        </w:tc>
        <w:tc>
          <w:tcPr>
            <w:tcW w:w="917" w:type="dxa"/>
            <w:noWrap w:val="0"/>
            <w:vAlign w:val="top"/>
          </w:tcPr>
          <w:p w14:paraId="66C34B50">
            <w:pPr>
              <w:tabs>
                <w:tab w:val="left" w:pos="840"/>
              </w:tabs>
              <w:autoSpaceDE w:val="0"/>
              <w:autoSpaceDN w:val="0"/>
              <w:adjustRightInd w:val="0"/>
              <w:spacing w:line="360" w:lineRule="auto"/>
              <w:rPr>
                <w:rFonts w:hint="eastAsia" w:ascii="宋体" w:hAnsi="宋体" w:eastAsia="宋体" w:cs="宋体"/>
                <w:b/>
                <w:color w:val="auto"/>
                <w:szCs w:val="21"/>
                <w:highlight w:val="none"/>
                <w:lang w:val="en-GB"/>
              </w:rPr>
            </w:pPr>
          </w:p>
        </w:tc>
      </w:tr>
      <w:tr w14:paraId="5058A6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6" w:type="dxa"/>
            <w:noWrap w:val="0"/>
            <w:vAlign w:val="top"/>
          </w:tcPr>
          <w:p w14:paraId="6C8CF164">
            <w:pPr>
              <w:tabs>
                <w:tab w:val="left" w:pos="840"/>
              </w:tabs>
              <w:autoSpaceDE w:val="0"/>
              <w:autoSpaceDN w:val="0"/>
              <w:adjustRightInd w:val="0"/>
              <w:spacing w:line="360" w:lineRule="auto"/>
              <w:rPr>
                <w:rFonts w:hint="eastAsia" w:ascii="宋体" w:hAnsi="宋体" w:eastAsia="宋体" w:cs="宋体"/>
                <w:b/>
                <w:color w:val="auto"/>
                <w:szCs w:val="21"/>
                <w:highlight w:val="none"/>
                <w:lang w:val="en-GB"/>
              </w:rPr>
            </w:pPr>
          </w:p>
        </w:tc>
        <w:tc>
          <w:tcPr>
            <w:tcW w:w="916" w:type="dxa"/>
            <w:noWrap w:val="0"/>
            <w:vAlign w:val="top"/>
          </w:tcPr>
          <w:p w14:paraId="20544DBB">
            <w:pPr>
              <w:tabs>
                <w:tab w:val="left" w:pos="840"/>
              </w:tabs>
              <w:autoSpaceDE w:val="0"/>
              <w:autoSpaceDN w:val="0"/>
              <w:adjustRightInd w:val="0"/>
              <w:spacing w:line="360" w:lineRule="auto"/>
              <w:rPr>
                <w:rFonts w:hint="eastAsia" w:ascii="宋体" w:hAnsi="宋体" w:eastAsia="宋体" w:cs="宋体"/>
                <w:b/>
                <w:color w:val="auto"/>
                <w:szCs w:val="21"/>
                <w:highlight w:val="none"/>
                <w:lang w:val="en-GB"/>
              </w:rPr>
            </w:pPr>
          </w:p>
        </w:tc>
        <w:tc>
          <w:tcPr>
            <w:tcW w:w="916" w:type="dxa"/>
            <w:noWrap w:val="0"/>
            <w:vAlign w:val="top"/>
          </w:tcPr>
          <w:p w14:paraId="5B3C6D70">
            <w:pPr>
              <w:tabs>
                <w:tab w:val="left" w:pos="840"/>
              </w:tabs>
              <w:autoSpaceDE w:val="0"/>
              <w:autoSpaceDN w:val="0"/>
              <w:adjustRightInd w:val="0"/>
              <w:spacing w:line="360" w:lineRule="auto"/>
              <w:rPr>
                <w:rFonts w:hint="eastAsia" w:ascii="宋体" w:hAnsi="宋体" w:eastAsia="宋体" w:cs="宋体"/>
                <w:b/>
                <w:color w:val="auto"/>
                <w:szCs w:val="21"/>
                <w:highlight w:val="none"/>
                <w:lang w:val="en-GB"/>
              </w:rPr>
            </w:pPr>
          </w:p>
        </w:tc>
        <w:tc>
          <w:tcPr>
            <w:tcW w:w="916" w:type="dxa"/>
            <w:noWrap w:val="0"/>
            <w:vAlign w:val="top"/>
          </w:tcPr>
          <w:p w14:paraId="116A919B">
            <w:pPr>
              <w:tabs>
                <w:tab w:val="left" w:pos="840"/>
              </w:tabs>
              <w:autoSpaceDE w:val="0"/>
              <w:autoSpaceDN w:val="0"/>
              <w:adjustRightInd w:val="0"/>
              <w:spacing w:line="360" w:lineRule="auto"/>
              <w:rPr>
                <w:rFonts w:hint="eastAsia" w:ascii="宋体" w:hAnsi="宋体" w:eastAsia="宋体" w:cs="宋体"/>
                <w:b/>
                <w:color w:val="auto"/>
                <w:szCs w:val="21"/>
                <w:highlight w:val="none"/>
                <w:lang w:val="en-GB"/>
              </w:rPr>
            </w:pPr>
          </w:p>
        </w:tc>
        <w:tc>
          <w:tcPr>
            <w:tcW w:w="917" w:type="dxa"/>
            <w:noWrap w:val="0"/>
            <w:vAlign w:val="top"/>
          </w:tcPr>
          <w:p w14:paraId="4E5AC0BF">
            <w:pPr>
              <w:tabs>
                <w:tab w:val="left" w:pos="840"/>
              </w:tabs>
              <w:autoSpaceDE w:val="0"/>
              <w:autoSpaceDN w:val="0"/>
              <w:adjustRightInd w:val="0"/>
              <w:spacing w:line="360" w:lineRule="auto"/>
              <w:rPr>
                <w:rFonts w:hint="eastAsia" w:ascii="宋体" w:hAnsi="宋体" w:eastAsia="宋体" w:cs="宋体"/>
                <w:b/>
                <w:color w:val="auto"/>
                <w:szCs w:val="21"/>
                <w:highlight w:val="none"/>
                <w:lang w:val="en-GB"/>
              </w:rPr>
            </w:pPr>
          </w:p>
        </w:tc>
        <w:tc>
          <w:tcPr>
            <w:tcW w:w="917" w:type="dxa"/>
            <w:noWrap w:val="0"/>
            <w:vAlign w:val="top"/>
          </w:tcPr>
          <w:p w14:paraId="6BE87B4F">
            <w:pPr>
              <w:tabs>
                <w:tab w:val="left" w:pos="840"/>
              </w:tabs>
              <w:autoSpaceDE w:val="0"/>
              <w:autoSpaceDN w:val="0"/>
              <w:adjustRightInd w:val="0"/>
              <w:spacing w:line="360" w:lineRule="auto"/>
              <w:rPr>
                <w:rFonts w:hint="eastAsia" w:ascii="宋体" w:hAnsi="宋体" w:eastAsia="宋体" w:cs="宋体"/>
                <w:b/>
                <w:color w:val="auto"/>
                <w:szCs w:val="21"/>
                <w:highlight w:val="none"/>
                <w:lang w:val="en-GB"/>
              </w:rPr>
            </w:pPr>
          </w:p>
        </w:tc>
        <w:tc>
          <w:tcPr>
            <w:tcW w:w="917" w:type="dxa"/>
            <w:noWrap w:val="0"/>
            <w:vAlign w:val="top"/>
          </w:tcPr>
          <w:p w14:paraId="61C1E10B">
            <w:pPr>
              <w:tabs>
                <w:tab w:val="left" w:pos="840"/>
              </w:tabs>
              <w:autoSpaceDE w:val="0"/>
              <w:autoSpaceDN w:val="0"/>
              <w:adjustRightInd w:val="0"/>
              <w:spacing w:line="360" w:lineRule="auto"/>
              <w:rPr>
                <w:rFonts w:hint="eastAsia" w:ascii="宋体" w:hAnsi="宋体" w:eastAsia="宋体" w:cs="宋体"/>
                <w:b/>
                <w:color w:val="auto"/>
                <w:szCs w:val="21"/>
                <w:highlight w:val="none"/>
                <w:lang w:val="en-GB"/>
              </w:rPr>
            </w:pPr>
          </w:p>
        </w:tc>
        <w:tc>
          <w:tcPr>
            <w:tcW w:w="917" w:type="dxa"/>
            <w:noWrap w:val="0"/>
            <w:vAlign w:val="top"/>
          </w:tcPr>
          <w:p w14:paraId="2857950A">
            <w:pPr>
              <w:tabs>
                <w:tab w:val="left" w:pos="840"/>
              </w:tabs>
              <w:autoSpaceDE w:val="0"/>
              <w:autoSpaceDN w:val="0"/>
              <w:adjustRightInd w:val="0"/>
              <w:spacing w:line="360" w:lineRule="auto"/>
              <w:rPr>
                <w:rFonts w:hint="eastAsia" w:ascii="宋体" w:hAnsi="宋体" w:eastAsia="宋体" w:cs="宋体"/>
                <w:b/>
                <w:color w:val="auto"/>
                <w:szCs w:val="21"/>
                <w:highlight w:val="none"/>
                <w:lang w:val="en-GB"/>
              </w:rPr>
            </w:pPr>
          </w:p>
        </w:tc>
        <w:tc>
          <w:tcPr>
            <w:tcW w:w="917" w:type="dxa"/>
            <w:noWrap w:val="0"/>
            <w:vAlign w:val="top"/>
          </w:tcPr>
          <w:p w14:paraId="7FE9E0AF">
            <w:pPr>
              <w:tabs>
                <w:tab w:val="left" w:pos="840"/>
              </w:tabs>
              <w:autoSpaceDE w:val="0"/>
              <w:autoSpaceDN w:val="0"/>
              <w:adjustRightInd w:val="0"/>
              <w:spacing w:line="360" w:lineRule="auto"/>
              <w:rPr>
                <w:rFonts w:hint="eastAsia" w:ascii="宋体" w:hAnsi="宋体" w:eastAsia="宋体" w:cs="宋体"/>
                <w:b/>
                <w:color w:val="auto"/>
                <w:szCs w:val="21"/>
                <w:highlight w:val="none"/>
                <w:lang w:val="en-GB"/>
              </w:rPr>
            </w:pPr>
          </w:p>
        </w:tc>
      </w:tr>
    </w:tbl>
    <w:p w14:paraId="657B3938">
      <w:pPr>
        <w:tabs>
          <w:tab w:val="left" w:pos="840"/>
        </w:tabs>
        <w:autoSpaceDE w:val="0"/>
        <w:autoSpaceDN w:val="0"/>
        <w:adjustRightInd w:val="0"/>
        <w:spacing w:line="360" w:lineRule="auto"/>
        <w:rPr>
          <w:rFonts w:hint="eastAsia" w:ascii="宋体" w:hAnsi="宋体" w:eastAsia="宋体" w:cs="宋体"/>
          <w:b/>
          <w:color w:val="auto"/>
          <w:szCs w:val="21"/>
          <w:highlight w:val="none"/>
          <w:lang w:val="en-GB"/>
        </w:rPr>
      </w:pPr>
    </w:p>
    <w:p w14:paraId="2BA0284A">
      <w:pPr>
        <w:spacing w:line="360" w:lineRule="auto"/>
        <w:ind w:firstLine="3360" w:firstLineChars="1600"/>
        <w:rPr>
          <w:rFonts w:hint="eastAsia" w:ascii="宋体" w:hAnsi="宋体" w:eastAsia="宋体" w:cs="宋体"/>
          <w:bCs/>
          <w:color w:val="auto"/>
          <w:szCs w:val="21"/>
          <w:highlight w:val="none"/>
        </w:rPr>
      </w:pPr>
      <w:r>
        <w:rPr>
          <w:rFonts w:hint="eastAsia" w:ascii="宋体" w:hAnsi="宋体" w:eastAsia="宋体" w:cs="宋体"/>
          <w:color w:val="auto"/>
          <w:kern w:val="0"/>
          <w:szCs w:val="21"/>
          <w:highlight w:val="none"/>
        </w:rPr>
        <w:t>投 标 人</w:t>
      </w:r>
      <w:r>
        <w:rPr>
          <w:rFonts w:hint="eastAsia" w:ascii="宋体" w:hAnsi="宋体" w:eastAsia="宋体" w:cs="宋体"/>
          <w:bCs/>
          <w:color w:val="auto"/>
          <w:szCs w:val="21"/>
          <w:highlight w:val="none"/>
        </w:rPr>
        <w:t>：</w:t>
      </w:r>
      <w:r>
        <w:rPr>
          <w:rFonts w:hint="eastAsia" w:ascii="宋体" w:hAnsi="宋体" w:eastAsia="宋体" w:cs="宋体"/>
          <w:bCs/>
          <w:color w:val="auto"/>
          <w:szCs w:val="21"/>
          <w:highlight w:val="none"/>
          <w:u w:val="single"/>
        </w:rPr>
        <w:t xml:space="preserve">                      </w:t>
      </w:r>
      <w:r>
        <w:rPr>
          <w:rFonts w:hint="eastAsia" w:ascii="宋体" w:hAnsi="宋体" w:eastAsia="宋体" w:cs="宋体"/>
          <w:bCs/>
          <w:color w:val="auto"/>
          <w:szCs w:val="21"/>
          <w:highlight w:val="none"/>
        </w:rPr>
        <w:t>（盖章）</w:t>
      </w:r>
    </w:p>
    <w:p w14:paraId="6CE4A93E">
      <w:pPr>
        <w:spacing w:line="360" w:lineRule="auto"/>
        <w:ind w:firstLine="3360" w:firstLineChars="16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法定代表人或其委托代理人：</w:t>
      </w:r>
      <w:r>
        <w:rPr>
          <w:rFonts w:hint="eastAsia" w:ascii="宋体" w:hAnsi="宋体" w:eastAsia="宋体" w:cs="宋体"/>
          <w:bCs/>
          <w:color w:val="auto"/>
          <w:szCs w:val="21"/>
          <w:highlight w:val="none"/>
          <w:u w:val="single"/>
        </w:rPr>
        <w:t xml:space="preserve">        </w:t>
      </w:r>
      <w:r>
        <w:rPr>
          <w:rFonts w:hint="eastAsia" w:ascii="宋体" w:hAnsi="宋体" w:eastAsia="宋体" w:cs="宋体"/>
          <w:bCs/>
          <w:color w:val="auto"/>
          <w:szCs w:val="21"/>
          <w:highlight w:val="none"/>
        </w:rPr>
        <w:t>（</w:t>
      </w:r>
      <w:r>
        <w:rPr>
          <w:rFonts w:hint="eastAsia" w:ascii="宋体" w:hAnsi="宋体" w:eastAsia="宋体" w:cs="宋体"/>
          <w:color w:val="auto"/>
          <w:szCs w:val="21"/>
          <w:highlight w:val="none"/>
        </w:rPr>
        <w:t>签字或盖章</w:t>
      </w:r>
      <w:r>
        <w:rPr>
          <w:rFonts w:hint="eastAsia" w:ascii="宋体" w:hAnsi="宋体" w:eastAsia="宋体" w:cs="宋体"/>
          <w:bCs/>
          <w:color w:val="auto"/>
          <w:szCs w:val="21"/>
          <w:highlight w:val="none"/>
        </w:rPr>
        <w:t>）</w:t>
      </w:r>
    </w:p>
    <w:p w14:paraId="70FA3DC0">
      <w:pPr>
        <w:tabs>
          <w:tab w:val="left" w:pos="5380"/>
          <w:tab w:val="left" w:pos="6520"/>
          <w:tab w:val="left" w:pos="7680"/>
        </w:tabs>
        <w:autoSpaceDE w:val="0"/>
        <w:autoSpaceDN w:val="0"/>
        <w:adjustRightInd w:val="0"/>
        <w:spacing w:line="360" w:lineRule="auto"/>
        <w:ind w:right="-23" w:firstLine="4620" w:firstLineChars="2200"/>
        <w:jc w:val="left"/>
        <w:rPr>
          <w:rFonts w:hint="eastAsia" w:ascii="宋体" w:hAnsi="宋体" w:eastAsia="宋体" w:cs="宋体"/>
          <w:bCs/>
          <w:color w:val="auto"/>
          <w:kern w:val="0"/>
          <w:szCs w:val="21"/>
          <w:highlight w:val="none"/>
        </w:rPr>
      </w:pPr>
      <w:r>
        <w:rPr>
          <w:rFonts w:hint="eastAsia" w:ascii="宋体" w:hAnsi="宋体" w:eastAsia="宋体" w:cs="宋体"/>
          <w:bCs/>
          <w:color w:val="auto"/>
          <w:kern w:val="0"/>
          <w:szCs w:val="21"/>
          <w:highlight w:val="none"/>
          <w:u w:val="single"/>
        </w:rPr>
        <w:t xml:space="preserve">     </w:t>
      </w:r>
      <w:r>
        <w:rPr>
          <w:rFonts w:hint="eastAsia" w:ascii="宋体" w:hAnsi="宋体" w:eastAsia="宋体" w:cs="宋体"/>
          <w:bCs/>
          <w:color w:val="auto"/>
          <w:spacing w:val="43"/>
          <w:kern w:val="0"/>
          <w:szCs w:val="21"/>
          <w:highlight w:val="none"/>
          <w:u w:val="single"/>
        </w:rPr>
        <w:t xml:space="preserve"> </w:t>
      </w:r>
      <w:r>
        <w:rPr>
          <w:rFonts w:hint="eastAsia" w:ascii="宋体" w:hAnsi="宋体" w:eastAsia="宋体" w:cs="宋体"/>
          <w:bCs/>
          <w:color w:val="auto"/>
          <w:kern w:val="0"/>
          <w:szCs w:val="21"/>
          <w:highlight w:val="none"/>
        </w:rPr>
        <w:t>年</w:t>
      </w:r>
      <w:r>
        <w:rPr>
          <w:rFonts w:hint="eastAsia" w:ascii="宋体" w:hAnsi="宋体" w:eastAsia="宋体" w:cs="宋体"/>
          <w:bCs/>
          <w:color w:val="auto"/>
          <w:kern w:val="0"/>
          <w:szCs w:val="21"/>
          <w:highlight w:val="none"/>
          <w:u w:val="single"/>
        </w:rPr>
        <w:t xml:space="preserve">       </w:t>
      </w:r>
      <w:r>
        <w:rPr>
          <w:rFonts w:hint="eastAsia" w:ascii="宋体" w:hAnsi="宋体" w:eastAsia="宋体" w:cs="宋体"/>
          <w:bCs/>
          <w:color w:val="auto"/>
          <w:kern w:val="0"/>
          <w:szCs w:val="21"/>
          <w:highlight w:val="none"/>
        </w:rPr>
        <w:t>月</w:t>
      </w:r>
      <w:r>
        <w:rPr>
          <w:rFonts w:hint="eastAsia" w:ascii="宋体" w:hAnsi="宋体" w:eastAsia="宋体" w:cs="宋体"/>
          <w:bCs/>
          <w:color w:val="auto"/>
          <w:kern w:val="0"/>
          <w:szCs w:val="21"/>
          <w:highlight w:val="none"/>
          <w:u w:val="single"/>
        </w:rPr>
        <w:t xml:space="preserve">      </w:t>
      </w:r>
      <w:r>
        <w:rPr>
          <w:rFonts w:hint="eastAsia" w:ascii="宋体" w:hAnsi="宋体" w:eastAsia="宋体" w:cs="宋体"/>
          <w:bCs/>
          <w:color w:val="auto"/>
          <w:kern w:val="0"/>
          <w:szCs w:val="21"/>
          <w:highlight w:val="none"/>
        </w:rPr>
        <w:t>日</w:t>
      </w:r>
    </w:p>
    <w:p w14:paraId="1AC3EDDF">
      <w:pPr>
        <w:pStyle w:val="92"/>
        <w:spacing w:line="360" w:lineRule="auto"/>
        <w:ind w:left="718" w:hanging="718" w:hangingChars="342"/>
        <w:rPr>
          <w:rFonts w:hint="eastAsia" w:ascii="宋体" w:hAnsi="宋体" w:eastAsia="宋体" w:cs="宋体"/>
          <w:color w:val="auto"/>
          <w:szCs w:val="21"/>
          <w:highlight w:val="none"/>
          <w:lang w:val="en-GB"/>
        </w:rPr>
      </w:pPr>
    </w:p>
    <w:p w14:paraId="04B4E29A">
      <w:pPr>
        <w:pStyle w:val="92"/>
        <w:spacing w:line="360" w:lineRule="auto"/>
        <w:ind w:left="721" w:hanging="718" w:hangingChars="342"/>
        <w:rPr>
          <w:rFonts w:hint="eastAsia" w:ascii="宋体" w:hAnsi="宋体" w:eastAsia="宋体" w:cs="宋体"/>
          <w:b/>
          <w:bCs/>
          <w:color w:val="auto"/>
          <w:szCs w:val="21"/>
          <w:highlight w:val="none"/>
          <w:lang w:val="en-GB"/>
        </w:rPr>
      </w:pPr>
      <w:r>
        <w:rPr>
          <w:rFonts w:hint="eastAsia" w:ascii="宋体" w:hAnsi="宋体" w:eastAsia="宋体" w:cs="宋体"/>
          <w:b/>
          <w:bCs/>
          <w:color w:val="auto"/>
          <w:szCs w:val="21"/>
          <w:highlight w:val="none"/>
          <w:lang w:val="en-GB"/>
        </w:rPr>
        <w:t>填报要求：</w:t>
      </w:r>
    </w:p>
    <w:p w14:paraId="1E4B321F">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 本表的设备名称、品牌型号、金额应与</w:t>
      </w:r>
      <w:r>
        <w:rPr>
          <w:rFonts w:hint="eastAsia" w:ascii="宋体" w:hAnsi="宋体" w:eastAsia="宋体" w:cs="宋体"/>
          <w:bCs/>
          <w:color w:val="auto"/>
          <w:szCs w:val="21"/>
          <w:highlight w:val="none"/>
        </w:rPr>
        <w:t>货物分项报价一览表</w:t>
      </w:r>
      <w:r>
        <w:rPr>
          <w:rFonts w:hint="eastAsia" w:ascii="宋体" w:hAnsi="宋体" w:eastAsia="宋体" w:cs="宋体"/>
          <w:color w:val="auto"/>
          <w:szCs w:val="21"/>
          <w:highlight w:val="none"/>
        </w:rPr>
        <w:t>一致。</w:t>
      </w:r>
    </w:p>
    <w:p w14:paraId="797FEDDA">
      <w:pPr>
        <w:spacing w:line="360" w:lineRule="auto"/>
        <w:ind w:firstLine="420" w:firstLineChars="200"/>
        <w:rPr>
          <w:rFonts w:hint="eastAsia" w:ascii="宋体" w:hAnsi="宋体" w:eastAsia="宋体" w:cs="宋体"/>
          <w:b/>
          <w:color w:val="auto"/>
          <w:szCs w:val="21"/>
          <w:highlight w:val="none"/>
        </w:rPr>
      </w:pPr>
      <w:r>
        <w:rPr>
          <w:rFonts w:hint="eastAsia" w:ascii="宋体" w:hAnsi="宋体" w:eastAsia="宋体" w:cs="宋体"/>
          <w:color w:val="auto"/>
          <w:szCs w:val="21"/>
          <w:highlight w:val="none"/>
        </w:rPr>
        <w:t>2. 节能产品是指财政部和国家发展改革委员会公布的《节能产品政府采购品目清单》中的产品，可在中华人民共和国财政部网站（http://www.mof.gov.cn）、中国政府采购网（http://www.ccgp.gov.cn/）查阅。</w:t>
      </w:r>
      <w:r>
        <w:rPr>
          <w:rFonts w:hint="eastAsia" w:ascii="宋体" w:hAnsi="宋体" w:eastAsia="宋体" w:cs="宋体"/>
          <w:b/>
          <w:color w:val="auto"/>
          <w:szCs w:val="21"/>
          <w:highlight w:val="none"/>
        </w:rPr>
        <w:t>投标人须在投标文件中附该产品经国家确定的认证机构出具的、处于有效期之内的《国家节能产品认证证书》复印件或扫描件，否则评标委员会有权不予认可。</w:t>
      </w:r>
    </w:p>
    <w:p w14:paraId="5E1D4062">
      <w:pPr>
        <w:spacing w:line="360" w:lineRule="auto"/>
        <w:ind w:firstLine="420" w:firstLineChars="200"/>
        <w:rPr>
          <w:rFonts w:hint="eastAsia" w:ascii="宋体" w:hAnsi="宋体" w:eastAsia="宋体" w:cs="宋体"/>
          <w:b/>
          <w:color w:val="auto"/>
          <w:szCs w:val="21"/>
          <w:highlight w:val="none"/>
        </w:rPr>
      </w:pPr>
      <w:r>
        <w:rPr>
          <w:rFonts w:hint="eastAsia" w:ascii="宋体" w:hAnsi="宋体" w:eastAsia="宋体" w:cs="宋体"/>
          <w:color w:val="auto"/>
          <w:szCs w:val="21"/>
          <w:highlight w:val="none"/>
        </w:rPr>
        <w:t>3. 环境标志产品是指财政部、环境保护部发布的《环境标志产品政府采购品目清单》中的产品，可在中华人民共和国财政部网站（http://www.mof.gov.cn）、中国政府采购网（http://www.ccgp.gov.cn/）查阅。</w:t>
      </w:r>
      <w:r>
        <w:rPr>
          <w:rFonts w:hint="eastAsia" w:ascii="宋体" w:hAnsi="宋体" w:eastAsia="宋体" w:cs="宋体"/>
          <w:b/>
          <w:color w:val="auto"/>
          <w:szCs w:val="21"/>
          <w:highlight w:val="none"/>
        </w:rPr>
        <w:t>投标人须在投标文件中附该产品经国家确定的认证机构出具的、处于有效期之内的《中国环境标志产品认证证书》复印件或扫描件，否则评审委员会有权不予认可。</w:t>
      </w:r>
    </w:p>
    <w:p w14:paraId="4C090EE8">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 请投标人正确填写本表，所填内容将作为评审的依据。其内容或数据应与对应的证明资料相符。</w:t>
      </w:r>
    </w:p>
    <w:p w14:paraId="78A9B637">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 没有相关产品可不提供本表。</w:t>
      </w:r>
    </w:p>
    <w:p w14:paraId="70D6EE2E">
      <w:pPr>
        <w:bidi w:val="0"/>
        <w:rPr>
          <w:rFonts w:hint="eastAsia" w:ascii="宋体" w:hAnsi="宋体" w:eastAsia="宋体" w:cs="宋体"/>
          <w:color w:val="auto"/>
          <w:highlight w:val="none"/>
          <w:lang w:val="en-GB" w:eastAsia="zh-CN"/>
        </w:rPr>
      </w:pPr>
      <w:r>
        <w:rPr>
          <w:rFonts w:hint="eastAsia" w:ascii="宋体" w:hAnsi="宋体" w:eastAsia="宋体" w:cs="宋体"/>
          <w:color w:val="auto"/>
          <w:highlight w:val="none"/>
          <w:lang w:val="en-GB" w:eastAsia="zh-CN"/>
        </w:rPr>
        <w:br w:type="page"/>
      </w:r>
    </w:p>
    <w:p w14:paraId="1EF8EBDC">
      <w:pPr>
        <w:pStyle w:val="5"/>
        <w:pageBreakBefore w:val="0"/>
        <w:numPr>
          <w:ilvl w:val="0"/>
          <w:numId w:val="35"/>
        </w:numPr>
        <w:tabs>
          <w:tab w:val="left" w:pos="840"/>
        </w:tabs>
        <w:kinsoku/>
        <w:overflowPunct/>
        <w:bidi w:val="0"/>
        <w:spacing w:line="360" w:lineRule="auto"/>
        <w:jc w:val="center"/>
        <w:rPr>
          <w:rFonts w:hint="eastAsia" w:ascii="宋体" w:hAnsi="宋体" w:eastAsia="宋体" w:cs="宋体"/>
          <w:color w:val="auto"/>
          <w:highlight w:val="none"/>
          <w:lang w:val="en-US" w:eastAsia="zh-CN"/>
        </w:rPr>
      </w:pPr>
      <w:bookmarkStart w:id="787" w:name="_Toc26793"/>
      <w:bookmarkStart w:id="788" w:name="_Toc20684"/>
      <w:r>
        <w:rPr>
          <w:rFonts w:hint="eastAsia" w:ascii="宋体" w:hAnsi="宋体" w:eastAsia="宋体" w:cs="宋体"/>
          <w:color w:val="auto"/>
          <w:sz w:val="24"/>
          <w:szCs w:val="24"/>
          <w:highlight w:val="none"/>
          <w:lang w:val="en-US" w:eastAsia="zh-CN"/>
        </w:rPr>
        <w:t>其他资料</w:t>
      </w:r>
      <w:bookmarkEnd w:id="787"/>
      <w:bookmarkEnd w:id="788"/>
    </w:p>
    <w:p w14:paraId="70180672">
      <w:pPr>
        <w:pStyle w:val="6"/>
        <w:pageBreakBefore w:val="0"/>
        <w:numPr>
          <w:ilvl w:val="0"/>
          <w:numId w:val="0"/>
        </w:numPr>
        <w:kinsoku/>
        <w:overflowPunct/>
        <w:bidi w:val="0"/>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b/>
          <w:color w:val="auto"/>
          <w:kern w:val="2"/>
          <w:sz w:val="24"/>
          <w:szCs w:val="24"/>
          <w:highlight w:val="none"/>
          <w:lang w:val="en-US" w:eastAsia="zh-CN" w:bidi="ar-SA"/>
        </w:rPr>
        <w:t>（一）</w:t>
      </w:r>
      <w:r>
        <w:rPr>
          <w:rFonts w:hint="eastAsia" w:ascii="宋体" w:hAnsi="宋体" w:eastAsia="宋体" w:cs="宋体"/>
          <w:color w:val="auto"/>
          <w:sz w:val="24"/>
          <w:szCs w:val="24"/>
          <w:highlight w:val="none"/>
          <w:lang w:val="en-US" w:eastAsia="zh-CN"/>
        </w:rPr>
        <w:t>关于符合本国产品标准的成本占比的承诺函（如有）</w:t>
      </w:r>
    </w:p>
    <w:p w14:paraId="26DB67B1">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i w:val="0"/>
          <w:iCs w:val="0"/>
          <w:color w:val="auto"/>
          <w:kern w:val="0"/>
          <w:sz w:val="21"/>
          <w:szCs w:val="21"/>
          <w:highlight w:val="none"/>
          <w:lang w:val="en-US" w:eastAsia="zh-CN" w:bidi="ar"/>
        </w:rPr>
      </w:pPr>
      <w:r>
        <w:rPr>
          <w:rFonts w:hint="eastAsia" w:ascii="宋体" w:hAnsi="宋体" w:eastAsia="宋体" w:cs="宋体"/>
          <w:i w:val="0"/>
          <w:iCs w:val="0"/>
          <w:color w:val="auto"/>
          <w:kern w:val="0"/>
          <w:sz w:val="21"/>
          <w:szCs w:val="21"/>
          <w:highlight w:val="none"/>
          <w:lang w:val="en-US" w:eastAsia="zh-CN" w:bidi="ar"/>
        </w:rPr>
        <w:t>我单位为该采购项目或者采购包提供的符合本国产品标准的产品成本之和(</w:t>
      </w:r>
      <w:r>
        <w:rPr>
          <w:rFonts w:hint="eastAsia" w:ascii="宋体" w:hAnsi="宋体" w:eastAsia="宋体" w:cs="宋体"/>
          <w:i w:val="0"/>
          <w:iCs w:val="0"/>
          <w:color w:val="auto"/>
          <w:kern w:val="0"/>
          <w:sz w:val="21"/>
          <w:szCs w:val="21"/>
          <w:highlight w:val="none"/>
          <w:u w:val="single"/>
          <w:lang w:val="en-US" w:eastAsia="zh-CN" w:bidi="ar"/>
        </w:rPr>
        <w:t xml:space="preserve">      </w:t>
      </w:r>
      <w:r>
        <w:rPr>
          <w:rFonts w:hint="eastAsia" w:ascii="宋体" w:hAnsi="宋体" w:eastAsia="宋体" w:cs="宋体"/>
          <w:i w:val="0"/>
          <w:iCs w:val="0"/>
          <w:color w:val="auto"/>
          <w:kern w:val="0"/>
          <w:sz w:val="21"/>
          <w:szCs w:val="21"/>
          <w:highlight w:val="none"/>
          <w:lang w:val="en-US" w:eastAsia="zh-CN" w:bidi="ar"/>
        </w:rPr>
        <w:t>元)占我单位提供的全部产品成本之和(</w:t>
      </w:r>
      <w:r>
        <w:rPr>
          <w:rFonts w:hint="eastAsia" w:ascii="宋体" w:hAnsi="宋体" w:eastAsia="宋体" w:cs="宋体"/>
          <w:i w:val="0"/>
          <w:iCs w:val="0"/>
          <w:color w:val="auto"/>
          <w:kern w:val="0"/>
          <w:sz w:val="21"/>
          <w:szCs w:val="21"/>
          <w:highlight w:val="none"/>
          <w:u w:val="single"/>
          <w:lang w:val="en-US" w:eastAsia="zh-CN" w:bidi="ar"/>
        </w:rPr>
        <w:t xml:space="preserve">       </w:t>
      </w:r>
      <w:r>
        <w:rPr>
          <w:rFonts w:hint="eastAsia" w:ascii="宋体" w:hAnsi="宋体" w:eastAsia="宋体" w:cs="宋体"/>
          <w:i w:val="0"/>
          <w:iCs w:val="0"/>
          <w:color w:val="auto"/>
          <w:kern w:val="0"/>
          <w:sz w:val="21"/>
          <w:szCs w:val="21"/>
          <w:highlight w:val="none"/>
          <w:lang w:val="en-US" w:eastAsia="zh-CN" w:bidi="ar"/>
        </w:rPr>
        <w:t>元)的比例为</w:t>
      </w:r>
      <w:r>
        <w:rPr>
          <w:rFonts w:hint="eastAsia" w:ascii="宋体" w:hAnsi="宋体" w:eastAsia="宋体" w:cs="宋体"/>
          <w:i w:val="0"/>
          <w:iCs w:val="0"/>
          <w:color w:val="auto"/>
          <w:kern w:val="0"/>
          <w:sz w:val="21"/>
          <w:szCs w:val="21"/>
          <w:highlight w:val="none"/>
          <w:u w:val="single"/>
          <w:lang w:val="en-US" w:eastAsia="zh-CN" w:bidi="ar"/>
        </w:rPr>
        <w:t xml:space="preserve">      </w:t>
      </w:r>
      <w:r>
        <w:rPr>
          <w:rFonts w:hint="eastAsia" w:ascii="宋体" w:hAnsi="宋体" w:eastAsia="宋体" w:cs="宋体"/>
          <w:i w:val="0"/>
          <w:iCs w:val="0"/>
          <w:color w:val="auto"/>
          <w:kern w:val="0"/>
          <w:sz w:val="21"/>
          <w:szCs w:val="21"/>
          <w:highlight w:val="none"/>
          <w:lang w:val="en-US" w:eastAsia="zh-CN" w:bidi="ar"/>
        </w:rPr>
        <w:t>%。</w:t>
      </w:r>
    </w:p>
    <w:p w14:paraId="018F1552">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i w:val="0"/>
          <w:iCs w:val="0"/>
          <w:color w:val="auto"/>
          <w:kern w:val="0"/>
          <w:sz w:val="21"/>
          <w:szCs w:val="21"/>
          <w:highlight w:val="none"/>
          <w:lang w:val="en-US" w:eastAsia="zh-CN" w:bidi="ar"/>
        </w:rPr>
      </w:pPr>
      <w:r>
        <w:rPr>
          <w:rFonts w:hint="eastAsia" w:ascii="宋体" w:hAnsi="宋体" w:eastAsia="宋体" w:cs="宋体"/>
          <w:i w:val="0"/>
          <w:iCs w:val="0"/>
          <w:color w:val="auto"/>
          <w:kern w:val="0"/>
          <w:sz w:val="21"/>
          <w:szCs w:val="21"/>
          <w:highlight w:val="none"/>
          <w:lang w:val="en-US" w:eastAsia="zh-CN" w:bidi="ar"/>
        </w:rPr>
        <w:t>特此承诺!</w:t>
      </w:r>
    </w:p>
    <w:p w14:paraId="2FAC6FEE">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i w:val="0"/>
          <w:iCs w:val="0"/>
          <w:color w:val="auto"/>
          <w:kern w:val="0"/>
          <w:sz w:val="21"/>
          <w:szCs w:val="21"/>
          <w:highlight w:val="none"/>
          <w:lang w:val="en-US" w:eastAsia="zh-CN" w:bidi="ar"/>
        </w:rPr>
      </w:pPr>
      <w:r>
        <w:rPr>
          <w:rFonts w:hint="eastAsia" w:ascii="宋体" w:hAnsi="宋体" w:eastAsia="宋体" w:cs="宋体"/>
          <w:i w:val="0"/>
          <w:iCs w:val="0"/>
          <w:color w:val="auto"/>
          <w:kern w:val="0"/>
          <w:sz w:val="21"/>
          <w:szCs w:val="21"/>
          <w:highlight w:val="none"/>
          <w:lang w:val="en-US" w:eastAsia="zh-CN" w:bidi="ar"/>
        </w:rPr>
        <w:t>本公司(单位)对上述声明内容的真实性负责。如有虚假，愿承担相应法律责任。</w:t>
      </w:r>
    </w:p>
    <w:p w14:paraId="1CCF81C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30" w:beforeAutospacing="0" w:after="30" w:afterAutospacing="0" w:line="360" w:lineRule="auto"/>
        <w:ind w:left="0" w:right="0" w:firstLine="0"/>
        <w:jc w:val="right"/>
        <w:textAlignment w:val="auto"/>
        <w:rPr>
          <w:rFonts w:hint="eastAsia" w:ascii="宋体" w:hAnsi="宋体" w:eastAsia="宋体" w:cs="宋体"/>
          <w:i w:val="0"/>
          <w:iCs w:val="0"/>
          <w:color w:val="auto"/>
          <w:kern w:val="0"/>
          <w:sz w:val="21"/>
          <w:szCs w:val="21"/>
          <w:highlight w:val="none"/>
          <w:lang w:val="en-US" w:eastAsia="zh-CN" w:bidi="ar"/>
        </w:rPr>
      </w:pPr>
    </w:p>
    <w:p w14:paraId="3EFF9F3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30" w:beforeAutospacing="0" w:after="30" w:afterAutospacing="0" w:line="360" w:lineRule="auto"/>
        <w:ind w:left="0" w:right="0" w:firstLine="0"/>
        <w:jc w:val="right"/>
        <w:textAlignment w:val="auto"/>
        <w:rPr>
          <w:rFonts w:hint="eastAsia" w:ascii="宋体" w:hAnsi="宋体" w:eastAsia="宋体" w:cs="宋体"/>
          <w:i w:val="0"/>
          <w:iCs w:val="0"/>
          <w:color w:val="auto"/>
          <w:kern w:val="0"/>
          <w:sz w:val="21"/>
          <w:szCs w:val="21"/>
          <w:highlight w:val="none"/>
          <w:lang w:val="en-US" w:eastAsia="zh-CN" w:bidi="ar"/>
        </w:rPr>
      </w:pPr>
    </w:p>
    <w:p w14:paraId="256656B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30" w:beforeAutospacing="0" w:after="30" w:afterAutospacing="0" w:line="360" w:lineRule="auto"/>
        <w:ind w:left="0" w:right="0" w:firstLine="0"/>
        <w:jc w:val="right"/>
        <w:textAlignment w:val="auto"/>
        <w:rPr>
          <w:rFonts w:hint="eastAsia" w:ascii="宋体" w:hAnsi="宋体" w:eastAsia="宋体" w:cs="宋体"/>
          <w:i w:val="0"/>
          <w:iCs w:val="0"/>
          <w:color w:val="auto"/>
          <w:kern w:val="0"/>
          <w:sz w:val="21"/>
          <w:szCs w:val="21"/>
          <w:highlight w:val="none"/>
          <w:lang w:val="en-US" w:eastAsia="zh-CN" w:bidi="ar"/>
        </w:rPr>
      </w:pPr>
      <w:r>
        <w:rPr>
          <w:rFonts w:hint="eastAsia" w:ascii="宋体" w:hAnsi="宋体" w:eastAsia="宋体" w:cs="宋体"/>
          <w:i w:val="0"/>
          <w:iCs w:val="0"/>
          <w:color w:val="auto"/>
          <w:kern w:val="0"/>
          <w:sz w:val="21"/>
          <w:szCs w:val="21"/>
          <w:highlight w:val="none"/>
          <w:lang w:val="en-US" w:eastAsia="zh-CN" w:bidi="ar"/>
        </w:rPr>
        <w:t xml:space="preserve">  公司（单位）名称（盖章）：　        </w:t>
      </w:r>
    </w:p>
    <w:p w14:paraId="03CEA0B1">
      <w:pPr>
        <w:bidi w:val="0"/>
        <w:jc w:val="right"/>
        <w:rPr>
          <w:rFonts w:hint="eastAsia" w:ascii="宋体" w:hAnsi="宋体" w:eastAsia="宋体" w:cs="宋体"/>
          <w:b/>
          <w:color w:val="auto"/>
          <w:kern w:val="2"/>
          <w:sz w:val="21"/>
          <w:szCs w:val="21"/>
          <w:highlight w:val="none"/>
          <w:lang w:val="en-US" w:eastAsia="zh-CN" w:bidi="ar-SA"/>
        </w:rPr>
      </w:pPr>
      <w:r>
        <w:rPr>
          <w:rFonts w:hint="eastAsia" w:ascii="宋体" w:hAnsi="宋体" w:eastAsia="宋体" w:cs="宋体"/>
          <w:i w:val="0"/>
          <w:iCs w:val="0"/>
          <w:color w:val="auto"/>
          <w:kern w:val="0"/>
          <w:sz w:val="21"/>
          <w:szCs w:val="21"/>
          <w:highlight w:val="none"/>
          <w:lang w:val="en-US" w:eastAsia="zh-CN" w:bidi="ar"/>
        </w:rPr>
        <w:t>日期：　     年　  月　  日      </w:t>
      </w:r>
      <w:r>
        <w:rPr>
          <w:rFonts w:hint="eastAsia" w:ascii="宋体" w:hAnsi="宋体" w:eastAsia="宋体" w:cs="宋体"/>
          <w:b/>
          <w:color w:val="auto"/>
          <w:kern w:val="2"/>
          <w:sz w:val="21"/>
          <w:szCs w:val="21"/>
          <w:highlight w:val="none"/>
          <w:lang w:val="en-US" w:eastAsia="zh-CN" w:bidi="ar-SA"/>
        </w:rPr>
        <w:br w:type="page"/>
      </w:r>
    </w:p>
    <w:p w14:paraId="70AEC626">
      <w:pPr>
        <w:pStyle w:val="6"/>
        <w:pageBreakBefore w:val="0"/>
        <w:numPr>
          <w:ilvl w:val="0"/>
          <w:numId w:val="0"/>
        </w:numPr>
        <w:kinsoku/>
        <w:overflowPunct/>
        <w:bidi w:val="0"/>
        <w:spacing w:line="360" w:lineRule="auto"/>
        <w:jc w:val="center"/>
        <w:rPr>
          <w:rFonts w:hint="eastAsia" w:ascii="宋体" w:hAnsi="宋体" w:eastAsia="宋体" w:cs="宋体"/>
          <w:b/>
          <w:color w:val="auto"/>
          <w:kern w:val="2"/>
          <w:sz w:val="24"/>
          <w:szCs w:val="24"/>
          <w:highlight w:val="none"/>
          <w:lang w:val="en-US" w:eastAsia="zh-CN" w:bidi="ar-SA"/>
        </w:rPr>
      </w:pPr>
      <w:r>
        <w:rPr>
          <w:rFonts w:hint="eastAsia" w:ascii="宋体" w:hAnsi="宋体" w:eastAsia="宋体" w:cs="宋体"/>
          <w:b/>
          <w:color w:val="auto"/>
          <w:kern w:val="2"/>
          <w:sz w:val="24"/>
          <w:szCs w:val="24"/>
          <w:highlight w:val="none"/>
          <w:lang w:val="en-US" w:eastAsia="zh-CN" w:bidi="ar-SA"/>
        </w:rPr>
        <w:t>（二）其他资料</w:t>
      </w:r>
    </w:p>
    <w:p w14:paraId="69E83B8B">
      <w:pPr>
        <w:bidi w:val="0"/>
        <w:rPr>
          <w:rFonts w:hint="eastAsia" w:ascii="宋体" w:hAnsi="宋体" w:eastAsia="宋体" w:cs="宋体"/>
          <w:color w:val="auto"/>
          <w:highlight w:val="none"/>
          <w:lang w:val="en-US" w:eastAsia="zh-CN"/>
        </w:rPr>
      </w:pPr>
    </w:p>
    <w:p w14:paraId="437BA378">
      <w:pPr>
        <w:bidi w:val="0"/>
        <w:rPr>
          <w:rFonts w:hint="eastAsia" w:ascii="宋体" w:hAnsi="宋体" w:eastAsia="宋体" w:cs="宋体"/>
          <w:color w:val="auto"/>
          <w:highlight w:val="none"/>
          <w:lang w:val="en-US" w:eastAsia="zh-CN"/>
        </w:rPr>
      </w:pPr>
    </w:p>
    <w:p w14:paraId="12745AC2">
      <w:pPr>
        <w:bidi w:val="0"/>
        <w:rPr>
          <w:rFonts w:hint="eastAsia" w:ascii="宋体" w:hAnsi="宋体" w:eastAsia="宋体" w:cs="宋体"/>
          <w:color w:val="auto"/>
          <w:highlight w:val="none"/>
        </w:rPr>
      </w:pPr>
    </w:p>
    <w:sectPr>
      <w:headerReference r:id="rId17" w:type="default"/>
      <w:pgSz w:w="11906" w:h="16838"/>
      <w:pgMar w:top="1440" w:right="1489" w:bottom="1247" w:left="1797" w:header="851" w:footer="992" w:gutter="0"/>
      <w:pgNumType w:fmt="decimal"/>
      <w:cols w:space="720"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63"/>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monospace">
    <w:altName w:val="Segoe Print"/>
    <w:panose1 w:val="00000000000000000000"/>
    <w:charset w:val="00"/>
    <w:family w:val="auto"/>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 w:name="_x000B__x000C_">
    <w:altName w:val="Times New Roman"/>
    <w:panose1 w:val="00000000000000000000"/>
    <w:charset w:val="00"/>
    <w:family w:val="roman"/>
    <w:pitch w:val="default"/>
    <w:sig w:usb0="00000000" w:usb1="00000000" w:usb2="00000000" w:usb3="00000000" w:csb0="00040001" w:csb1="00000000"/>
  </w:font>
  <w:font w:name="FZSSK--GBK1-0">
    <w:altName w:val="Segoe Print"/>
    <w:panose1 w:val="00000000000000000000"/>
    <w:charset w:val="00"/>
    <w:family w:val="auto"/>
    <w:pitch w:val="default"/>
    <w:sig w:usb0="00000000" w:usb1="00000000" w:usb2="00000000" w:usb3="00000000" w:csb0="00040001" w:csb1="00000000"/>
  </w:font>
  <w:font w:name="E-BZ">
    <w:altName w:val="Segoe Print"/>
    <w:panose1 w:val="00000000000000000000"/>
    <w:charset w:val="00"/>
    <w:family w:val="auto"/>
    <w:pitch w:val="default"/>
    <w:sig w:usb0="00000000" w:usb1="00000000" w:usb2="00000000"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华文中宋">
    <w:altName w:val="宋体"/>
    <w:panose1 w:val="02010600040101010101"/>
    <w:charset w:val="86"/>
    <w:family w:val="auto"/>
    <w:pitch w:val="default"/>
    <w:sig w:usb0="00000000" w:usb1="00000000" w:usb2="00000000" w:usb3="00000000" w:csb0="0004009F" w:csb1="DFD70000"/>
  </w:font>
  <w:font w:name="汉仪书宋二S">
    <w:altName w:val="宋体"/>
    <w:panose1 w:val="00000000000000000000"/>
    <w:charset w:val="00"/>
    <w:family w:val="auto"/>
    <w:pitch w:val="default"/>
    <w:sig w:usb0="00000000" w:usb1="00000000" w:usb2="00000000" w:usb3="00000000" w:csb0="00000000" w:csb1="00000000"/>
  </w:font>
  <w:font w:name="华文楷体">
    <w:altName w:val="宋体"/>
    <w:panose1 w:val="02010600040101010101"/>
    <w:charset w:val="86"/>
    <w:family w:val="auto"/>
    <w:pitch w:val="default"/>
    <w:sig w:usb0="00000000" w:usb1="00000000" w:usb2="00000010" w:usb3="00000000" w:csb0="0004009F" w:csb1="00000000"/>
  </w:font>
  <w:font w:name="KSOFE44F9426">
    <w:panose1 w:val="02010609060101010101"/>
    <w:charset w:val="86"/>
    <w:family w:val="auto"/>
    <w:pitch w:val="default"/>
    <w:sig w:usb0="00000001"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B8C925">
    <w:pPr>
      <w:pStyle w:val="21"/>
      <w:pBdr>
        <w:top w:val="single" w:color="auto" w:sz="4" w:space="0"/>
        <w:left w:val="none" w:color="auto" w:sz="0" w:space="0"/>
        <w:bottom w:val="none" w:color="auto" w:sz="0" w:space="0"/>
        <w:right w:val="none" w:color="auto" w:sz="0" w:space="0"/>
        <w:between w:val="none" w:color="auto" w:sz="0" w:space="0"/>
      </w:pBdr>
    </w:pPr>
    <w:r>
      <w:rPr>
        <w:rFonts w:hint="eastAsia"/>
      </w:rPr>
      <w:drawing>
        <wp:anchor distT="0" distB="0" distL="114300" distR="114300" simplePos="0" relativeHeight="251659264" behindDoc="0" locked="0" layoutInCell="1" allowOverlap="1">
          <wp:simplePos x="0" y="0"/>
          <wp:positionH relativeFrom="column">
            <wp:posOffset>-368300</wp:posOffset>
          </wp:positionH>
          <wp:positionV relativeFrom="paragraph">
            <wp:posOffset>-44450</wp:posOffset>
          </wp:positionV>
          <wp:extent cx="339725" cy="254635"/>
          <wp:effectExtent l="0" t="0" r="3175" b="12065"/>
          <wp:wrapNone/>
          <wp:docPr id="2" name="图片 5" descr="file:///C:\Program%20Files\Tencent\QQ\Users\763502907\Image\0254824F-E245-4015-824E-9E252A54E1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5" descr="file:///C:\Program%20Files\Tencent\QQ\Users\763502907\Image\0254824F-E245-4015-824E-9E252A54E140.jpg"/>
                  <pic:cNvPicPr>
                    <a:picLocks noChangeAspect="1"/>
                  </pic:cNvPicPr>
                </pic:nvPicPr>
                <pic:blipFill>
                  <a:blip r:embed="rId1" r:link="rId2"/>
                  <a:stretch>
                    <a:fillRect/>
                  </a:stretch>
                </pic:blipFill>
                <pic:spPr>
                  <a:xfrm>
                    <a:off x="0" y="0"/>
                    <a:ext cx="339725" cy="254635"/>
                  </a:xfrm>
                  <a:prstGeom prst="rect">
                    <a:avLst/>
                  </a:prstGeom>
                  <a:noFill/>
                  <a:ln>
                    <a:noFill/>
                  </a:ln>
                </pic:spPr>
              </pic:pic>
            </a:graphicData>
          </a:graphic>
        </wp:anchor>
      </w:drawing>
    </w:r>
    <w:r>
      <w:rPr>
        <w:rStyle w:val="40"/>
        <w:rFonts w:hint="eastAsia"/>
        <w:lang w:eastAsia="zh-CN"/>
      </w:rPr>
      <w:t>建基工程咨询有限公司</w:t>
    </w:r>
    <w:r>
      <w:rPr>
        <w:rStyle w:val="40"/>
        <w:rFonts w:hint="eastAsia"/>
      </w:rPr>
      <w:t xml:space="preserve">      </w:t>
    </w:r>
    <w:r>
      <w:rPr>
        <w:rFonts w:hint="eastAsia" w:ascii="宋体" w:hAnsi="宋体"/>
        <w:lang w:eastAsia="zh-CN"/>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BCB0F6">
    <w:pPr>
      <w:pStyle w:val="21"/>
      <w:pBdr>
        <w:top w:val="none" w:color="auto" w:sz="0" w:space="0"/>
        <w:left w:val="none" w:color="auto" w:sz="0" w:space="0"/>
        <w:bottom w:val="none" w:color="auto" w:sz="0" w:space="0"/>
        <w:right w:val="none" w:color="auto" w:sz="0" w:space="0"/>
        <w:between w:val="none" w:color="auto" w:sz="0" w:space="0"/>
      </w:pBd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686BA2">
    <w:pPr>
      <w:widowControl w:val="0"/>
      <w:pBdr>
        <w:bottom w:val="thickThinMediumGap" w:color="800000" w:sz="18" w:space="1"/>
      </w:pBdr>
      <w:snapToGrid w:val="0"/>
      <w:jc w:val="both"/>
      <w:rPr>
        <w:rFonts w:hint="default" w:ascii="仿宋_GB2312" w:hAnsi="Calibri" w:eastAsia="仿宋_GB2312" w:cs="Times New Roman"/>
        <w:kern w:val="2"/>
        <w:sz w:val="18"/>
        <w:szCs w:val="18"/>
        <w:lang w:val="en-US" w:eastAsia="zh-CN" w:bidi="ar-SA"/>
      </w:rPr>
    </w:pPr>
    <w:r>
      <w:rPr>
        <w:rFonts w:ascii="仿宋_GB2312" w:hAnsi="Calibri" w:eastAsia="仿宋_GB2312" w:cs="Times New Roman"/>
        <w:kern w:val="2"/>
        <w:sz w:val="18"/>
        <w:szCs w:val="18"/>
        <w:lang w:val="en-US" w:eastAsia="zh-CN" w:bidi="ar-SA"/>
      </w:rPr>
      <mc:AlternateContent>
        <mc:Choice Requires="wps">
          <w:drawing>
            <wp:anchor distT="0" distB="0" distL="114300" distR="114300" simplePos="0" relativeHeight="251660288" behindDoc="0" locked="0" layoutInCell="1" allowOverlap="1">
              <wp:simplePos x="0" y="0"/>
              <wp:positionH relativeFrom="margin">
                <wp:posOffset>2905125</wp:posOffset>
              </wp:positionH>
              <wp:positionV relativeFrom="paragraph">
                <wp:posOffset>0</wp:posOffset>
              </wp:positionV>
              <wp:extent cx="1828800" cy="1828800"/>
              <wp:effectExtent l="0" t="0" r="0" b="0"/>
              <wp:wrapNone/>
              <wp:docPr id="3" name="文本框 105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53CF13CE">
                          <w:pPr>
                            <w:widowControl w:val="0"/>
                            <w:snapToGrid w:val="0"/>
                            <w:jc w:val="left"/>
                            <w:rPr>
                              <w:rFonts w:ascii="仿宋_GB2312" w:hAnsi="Calibri" w:eastAsia="仿宋_GB2312" w:cs="Times New Roman"/>
                              <w:kern w:val="2"/>
                              <w:sz w:val="18"/>
                              <w:szCs w:val="18"/>
                              <w:lang w:val="en-US" w:eastAsia="zh-CN" w:bidi="ar-SA"/>
                            </w:rPr>
                          </w:pPr>
                          <w:r>
                            <w:rPr>
                              <w:rFonts w:ascii="仿宋_GB2312" w:hAnsi="Calibri" w:eastAsia="仿宋_GB2312" w:cs="Times New Roman"/>
                              <w:kern w:val="2"/>
                              <w:sz w:val="18"/>
                              <w:szCs w:val="18"/>
                              <w:lang w:val="en-US" w:eastAsia="zh-CN" w:bidi="ar-SA"/>
                            </w:rPr>
                            <w:fldChar w:fldCharType="begin"/>
                          </w:r>
                          <w:r>
                            <w:rPr>
                              <w:rFonts w:ascii="仿宋_GB2312" w:hAnsi="Calibri" w:eastAsia="仿宋_GB2312" w:cs="Times New Roman"/>
                              <w:kern w:val="2"/>
                              <w:sz w:val="18"/>
                              <w:szCs w:val="18"/>
                              <w:lang w:val="en-US" w:eastAsia="zh-CN" w:bidi="ar-SA"/>
                            </w:rPr>
                            <w:instrText xml:space="preserve"> PAGE  \* MERGEFORMAT </w:instrText>
                          </w:r>
                          <w:r>
                            <w:rPr>
                              <w:rFonts w:ascii="仿宋_GB2312" w:hAnsi="Calibri" w:eastAsia="仿宋_GB2312" w:cs="Times New Roman"/>
                              <w:kern w:val="2"/>
                              <w:sz w:val="18"/>
                              <w:szCs w:val="18"/>
                              <w:lang w:val="en-US" w:eastAsia="zh-CN" w:bidi="ar-SA"/>
                            </w:rPr>
                            <w:fldChar w:fldCharType="separate"/>
                          </w:r>
                          <w:r>
                            <w:rPr>
                              <w:rFonts w:ascii="仿宋_GB2312" w:hAnsi="Calibri" w:eastAsia="仿宋_GB2312" w:cs="Times New Roman"/>
                              <w:kern w:val="2"/>
                              <w:sz w:val="18"/>
                              <w:szCs w:val="18"/>
                              <w:lang w:val="en-US" w:eastAsia="zh-CN" w:bidi="ar-SA"/>
                            </w:rPr>
                            <w:t>37</w:t>
                          </w:r>
                          <w:r>
                            <w:rPr>
                              <w:rFonts w:ascii="仿宋_GB2312" w:hAnsi="Calibri" w:eastAsia="仿宋_GB2312" w:cs="Times New Roman"/>
                              <w:kern w:val="2"/>
                              <w:sz w:val="18"/>
                              <w:szCs w:val="18"/>
                              <w:lang w:val="en-US" w:eastAsia="zh-CN" w:bidi="ar-SA"/>
                            </w:rPr>
                            <w:fldChar w:fldCharType="end"/>
                          </w:r>
                        </w:p>
                      </w:txbxContent>
                    </wps:txbx>
                    <wps:bodyPr wrap="none" lIns="0" tIns="0" rIns="0" bIns="0" upright="0">
                      <a:spAutoFit/>
                    </wps:bodyPr>
                  </wps:wsp>
                </a:graphicData>
              </a:graphic>
            </wp:anchor>
          </w:drawing>
        </mc:Choice>
        <mc:Fallback>
          <w:pict>
            <v:shape id="文本框 1057" o:spid="_x0000_s1026" o:spt="202" type="#_x0000_t202" style="position:absolute;left:0pt;margin-left:228.75pt;margin-top:0pt;height:144pt;width:144pt;mso-position-horizontal-relative:margin;mso-wrap-style:none;z-index:251660288;mso-width-relative:page;mso-height-relative:page;" filled="f" stroked="f" coordsize="21600,21600" o:gfxdata="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">
              <v:fill on="f" focussize="0,0"/>
              <v:stroke on="f" weight="1.25pt"/>
              <v:imagedata o:title=""/>
              <o:lock v:ext="edit" aspectratio="f"/>
              <v:textbox inset="0mm,0mm,0mm,0mm" style="mso-fit-shape-to-text:t;">
                <w:txbxContent>
                  <w:p w14:paraId="53CF13CE">
                    <w:pPr>
                      <w:widowControl w:val="0"/>
                      <w:snapToGrid w:val="0"/>
                      <w:jc w:val="left"/>
                      <w:rPr>
                        <w:rFonts w:ascii="仿宋_GB2312" w:hAnsi="Calibri" w:eastAsia="仿宋_GB2312" w:cs="Times New Roman"/>
                        <w:kern w:val="2"/>
                        <w:sz w:val="18"/>
                        <w:szCs w:val="18"/>
                        <w:lang w:val="en-US" w:eastAsia="zh-CN" w:bidi="ar-SA"/>
                      </w:rPr>
                    </w:pPr>
                    <w:r>
                      <w:rPr>
                        <w:rFonts w:ascii="仿宋_GB2312" w:hAnsi="Calibri" w:eastAsia="仿宋_GB2312" w:cs="Times New Roman"/>
                        <w:kern w:val="2"/>
                        <w:sz w:val="18"/>
                        <w:szCs w:val="18"/>
                        <w:lang w:val="en-US" w:eastAsia="zh-CN" w:bidi="ar-SA"/>
                      </w:rPr>
                      <w:fldChar w:fldCharType="begin"/>
                    </w:r>
                    <w:r>
                      <w:rPr>
                        <w:rFonts w:ascii="仿宋_GB2312" w:hAnsi="Calibri" w:eastAsia="仿宋_GB2312" w:cs="Times New Roman"/>
                        <w:kern w:val="2"/>
                        <w:sz w:val="18"/>
                        <w:szCs w:val="18"/>
                        <w:lang w:val="en-US" w:eastAsia="zh-CN" w:bidi="ar-SA"/>
                      </w:rPr>
                      <w:instrText xml:space="preserve"> PAGE  \* MERGEFORMAT </w:instrText>
                    </w:r>
                    <w:r>
                      <w:rPr>
                        <w:rFonts w:ascii="仿宋_GB2312" w:hAnsi="Calibri" w:eastAsia="仿宋_GB2312" w:cs="Times New Roman"/>
                        <w:kern w:val="2"/>
                        <w:sz w:val="18"/>
                        <w:szCs w:val="18"/>
                        <w:lang w:val="en-US" w:eastAsia="zh-CN" w:bidi="ar-SA"/>
                      </w:rPr>
                      <w:fldChar w:fldCharType="separate"/>
                    </w:r>
                    <w:r>
                      <w:rPr>
                        <w:rFonts w:ascii="仿宋_GB2312" w:hAnsi="Calibri" w:eastAsia="仿宋_GB2312" w:cs="Times New Roman"/>
                        <w:kern w:val="2"/>
                        <w:sz w:val="18"/>
                        <w:szCs w:val="18"/>
                        <w:lang w:val="en-US" w:eastAsia="zh-CN" w:bidi="ar-SA"/>
                      </w:rPr>
                      <w:t>37</w:t>
                    </w:r>
                    <w:r>
                      <w:rPr>
                        <w:rFonts w:ascii="仿宋_GB2312" w:hAnsi="Calibri" w:eastAsia="仿宋_GB2312" w:cs="Times New Roman"/>
                        <w:kern w:val="2"/>
                        <w:sz w:val="18"/>
                        <w:szCs w:val="18"/>
                        <w:lang w:val="en-US" w:eastAsia="zh-CN" w:bidi="ar-SA"/>
                      </w:rPr>
                      <w:fldChar w:fldCharType="end"/>
                    </w:r>
                  </w:p>
                </w:txbxContent>
              </v:textbox>
            </v:shape>
          </w:pict>
        </mc:Fallback>
      </mc:AlternateContent>
    </w:r>
  </w:p>
  <w:p w14:paraId="44FE217A">
    <w:pPr>
      <w:widowControl w:val="0"/>
      <w:snapToGrid w:val="0"/>
      <w:jc w:val="left"/>
    </w:pPr>
    <w:r>
      <w:rPr>
        <w:rFonts w:hint="eastAsia" w:ascii="黑体" w:hAnsi="宋体" w:eastAsia="黑体" w:cs="Times New Roman"/>
        <w:b/>
        <w:kern w:val="2"/>
        <w:sz w:val="18"/>
        <w:szCs w:val="21"/>
        <w:lang w:val="en-US" w:eastAsia="zh-CN" w:bidi="ar-SA"/>
      </w:rPr>
      <w:t>全国百强企业                  电话：0371-55238190                         传真：0371-55238193</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53CF69">
    <w:pPr>
      <w:framePr w:wrap="around" w:vAnchor="text" w:hAnchor="margin" w:xAlign="right" w:y="1"/>
      <w:widowControl/>
      <w:spacing w:before="100" w:beforeAutospacing="1" w:after="100" w:afterAutospacing="1"/>
      <w:jc w:val="left"/>
      <w:rPr>
        <w:rFonts w:hint="eastAsia" w:ascii="仿宋_GB2312" w:hAnsi="宋体" w:eastAsia="仿宋_GB2312" w:cs="宋体"/>
        <w:kern w:val="0"/>
        <w:sz w:val="32"/>
        <w:szCs w:val="32"/>
        <w:lang w:val="en-US" w:eastAsia="zh-CN" w:bidi="ar-SA"/>
      </w:rPr>
    </w:pPr>
    <w:r>
      <w:rPr>
        <w:rFonts w:hint="eastAsia" w:ascii="仿宋_GB2312" w:hAnsi="宋体" w:eastAsia="仿宋_GB2312" w:cs="宋体"/>
        <w:kern w:val="0"/>
        <w:sz w:val="32"/>
        <w:szCs w:val="32"/>
        <w:lang w:val="en-US" w:eastAsia="zh-CN" w:bidi="ar-SA"/>
      </w:rPr>
      <w:fldChar w:fldCharType="begin"/>
    </w:r>
    <w:r>
      <w:rPr>
        <w:rFonts w:hint="eastAsia" w:ascii="仿宋_GB2312" w:hAnsi="宋体" w:eastAsia="仿宋_GB2312" w:cs="宋体"/>
        <w:kern w:val="0"/>
        <w:sz w:val="32"/>
        <w:szCs w:val="32"/>
        <w:lang w:val="en-US" w:eastAsia="zh-CN" w:bidi="ar-SA"/>
      </w:rPr>
      <w:instrText xml:space="preserve">PAGE  </w:instrText>
    </w:r>
    <w:r>
      <w:rPr>
        <w:rFonts w:hint="eastAsia" w:ascii="仿宋_GB2312" w:hAnsi="宋体" w:eastAsia="仿宋_GB2312" w:cs="宋体"/>
        <w:kern w:val="0"/>
        <w:sz w:val="32"/>
        <w:szCs w:val="32"/>
        <w:lang w:val="en-US" w:eastAsia="zh-CN" w:bidi="ar-SA"/>
      </w:rPr>
      <w:fldChar w:fldCharType="end"/>
    </w:r>
  </w:p>
  <w:p w14:paraId="39B4DF29">
    <w:pPr>
      <w:widowControl/>
      <w:spacing w:before="100" w:beforeAutospacing="1" w:after="100" w:afterAutospacing="1"/>
      <w:ind w:right="360"/>
      <w:jc w:val="left"/>
      <w:rPr>
        <w:rFonts w:hint="eastAsia" w:ascii="仿宋_GB2312" w:hAnsi="宋体" w:eastAsia="仿宋_GB2312" w:cs="宋体"/>
        <w:kern w:val="0"/>
        <w:sz w:val="32"/>
        <w:szCs w:val="32"/>
        <w:lang w:val="en-US" w:eastAsia="zh-CN" w:bidi="ar-SA"/>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B6CEFC">
    <w:pPr>
      <w:widowControl w:val="0"/>
      <w:snapToGrid w:val="0"/>
      <w:jc w:val="center"/>
      <w:rPr>
        <w:rFonts w:ascii="宋体" w:hAnsi="宋体" w:eastAsia="宋体" w:cs="宋体"/>
        <w:kern w:val="2"/>
        <w:sz w:val="18"/>
        <w:szCs w:val="18"/>
        <w:lang w:val="en-US" w:eastAsia="zh-CN" w:bidi="ar-SA"/>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9A6174">
    <w:pPr>
      <w:widowControl w:val="0"/>
      <w:pBdr>
        <w:bottom w:val="thickThinMediumGap" w:color="800000" w:sz="18" w:space="1"/>
      </w:pBdr>
      <w:snapToGrid w:val="0"/>
      <w:jc w:val="both"/>
      <w:rPr>
        <w:rFonts w:hint="default" w:ascii="仿宋_GB2312" w:hAnsi="Calibri" w:eastAsia="仿宋_GB2312" w:cs="Times New Roman"/>
        <w:kern w:val="2"/>
        <w:sz w:val="18"/>
        <w:szCs w:val="18"/>
        <w:lang w:val="en-US" w:eastAsia="zh-CN" w:bidi="ar-SA"/>
      </w:rPr>
    </w:pPr>
    <w:r>
      <w:rPr>
        <w:rFonts w:ascii="仿宋_GB2312" w:hAnsi="Calibri" w:eastAsia="仿宋_GB2312" w:cs="Times New Roman"/>
        <w:kern w:val="2"/>
        <w:sz w:val="18"/>
        <w:szCs w:val="18"/>
        <w:lang w:val="en-US" w:eastAsia="zh-CN" w:bidi="ar-SA"/>
      </w:rPr>
      <mc:AlternateContent>
        <mc:Choice Requires="wps">
          <w:drawing>
            <wp:anchor distT="0" distB="0" distL="114300" distR="114300" simplePos="0" relativeHeight="251661312" behindDoc="0" locked="0" layoutInCell="1" allowOverlap="1">
              <wp:simplePos x="0" y="0"/>
              <wp:positionH relativeFrom="margin">
                <wp:posOffset>2905125</wp:posOffset>
              </wp:positionH>
              <wp:positionV relativeFrom="paragraph">
                <wp:posOffset>0</wp:posOffset>
              </wp:positionV>
              <wp:extent cx="1828800" cy="1828800"/>
              <wp:effectExtent l="0" t="0" r="0" b="0"/>
              <wp:wrapNone/>
              <wp:docPr id="4" name="文本框 105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549957D3">
                          <w:pPr>
                            <w:widowControl w:val="0"/>
                            <w:snapToGrid w:val="0"/>
                            <w:jc w:val="left"/>
                            <w:rPr>
                              <w:rFonts w:ascii="仿宋_GB2312" w:hAnsi="Calibri" w:eastAsia="仿宋_GB2312" w:cs="Times New Roman"/>
                              <w:kern w:val="2"/>
                              <w:sz w:val="18"/>
                              <w:szCs w:val="18"/>
                              <w:lang w:val="en-US" w:eastAsia="zh-CN" w:bidi="ar-SA"/>
                            </w:rPr>
                          </w:pPr>
                          <w:r>
                            <w:rPr>
                              <w:rFonts w:ascii="仿宋_GB2312" w:hAnsi="Calibri" w:eastAsia="仿宋_GB2312" w:cs="Times New Roman"/>
                              <w:kern w:val="2"/>
                              <w:sz w:val="18"/>
                              <w:szCs w:val="18"/>
                              <w:lang w:val="en-US" w:eastAsia="zh-CN" w:bidi="ar-SA"/>
                            </w:rPr>
                            <w:fldChar w:fldCharType="begin"/>
                          </w:r>
                          <w:r>
                            <w:rPr>
                              <w:rFonts w:ascii="仿宋_GB2312" w:hAnsi="Calibri" w:eastAsia="仿宋_GB2312" w:cs="Times New Roman"/>
                              <w:kern w:val="2"/>
                              <w:sz w:val="18"/>
                              <w:szCs w:val="18"/>
                              <w:lang w:val="en-US" w:eastAsia="zh-CN" w:bidi="ar-SA"/>
                            </w:rPr>
                            <w:instrText xml:space="preserve"> PAGE  \* MERGEFORMAT </w:instrText>
                          </w:r>
                          <w:r>
                            <w:rPr>
                              <w:rFonts w:ascii="仿宋_GB2312" w:hAnsi="Calibri" w:eastAsia="仿宋_GB2312" w:cs="Times New Roman"/>
                              <w:kern w:val="2"/>
                              <w:sz w:val="18"/>
                              <w:szCs w:val="18"/>
                              <w:lang w:val="en-US" w:eastAsia="zh-CN" w:bidi="ar-SA"/>
                            </w:rPr>
                            <w:fldChar w:fldCharType="separate"/>
                          </w:r>
                          <w:r>
                            <w:rPr>
                              <w:rFonts w:ascii="仿宋_GB2312" w:hAnsi="Calibri" w:eastAsia="仿宋_GB2312" w:cs="Times New Roman"/>
                              <w:kern w:val="2"/>
                              <w:sz w:val="18"/>
                              <w:szCs w:val="18"/>
                              <w:lang w:val="en-US" w:eastAsia="zh-CN" w:bidi="ar-SA"/>
                            </w:rPr>
                            <w:t>37</w:t>
                          </w:r>
                          <w:r>
                            <w:rPr>
                              <w:rFonts w:ascii="仿宋_GB2312" w:hAnsi="Calibri" w:eastAsia="仿宋_GB2312" w:cs="Times New Roman"/>
                              <w:kern w:val="2"/>
                              <w:sz w:val="18"/>
                              <w:szCs w:val="18"/>
                              <w:lang w:val="en-US" w:eastAsia="zh-CN" w:bidi="ar-SA"/>
                            </w:rPr>
                            <w:fldChar w:fldCharType="end"/>
                          </w:r>
                        </w:p>
                      </w:txbxContent>
                    </wps:txbx>
                    <wps:bodyPr wrap="none" lIns="0" tIns="0" rIns="0" bIns="0" upright="0">
                      <a:spAutoFit/>
                    </wps:bodyPr>
                  </wps:wsp>
                </a:graphicData>
              </a:graphic>
            </wp:anchor>
          </w:drawing>
        </mc:Choice>
        <mc:Fallback>
          <w:pict>
            <v:shape id="文本框 1057" o:spid="_x0000_s1026" o:spt="202" type="#_x0000_t202" style="position:absolute;left:0pt;margin-left:228.75pt;margin-top:0pt;height:144pt;width:144pt;mso-position-horizontal-relative:margin;mso-wrap-style:none;z-index:251661312;mso-width-relative:page;mso-height-relative:page;" filled="f" stroked="f" coordsize="21600,21600" o:gfxdata="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">
              <v:fill on="f" focussize="0,0"/>
              <v:stroke on="f" weight="1.25pt"/>
              <v:imagedata o:title=""/>
              <o:lock v:ext="edit" aspectratio="f"/>
              <v:textbox inset="0mm,0mm,0mm,0mm" style="mso-fit-shape-to-text:t;">
                <w:txbxContent>
                  <w:p w14:paraId="549957D3">
                    <w:pPr>
                      <w:widowControl w:val="0"/>
                      <w:snapToGrid w:val="0"/>
                      <w:jc w:val="left"/>
                      <w:rPr>
                        <w:rFonts w:ascii="仿宋_GB2312" w:hAnsi="Calibri" w:eastAsia="仿宋_GB2312" w:cs="Times New Roman"/>
                        <w:kern w:val="2"/>
                        <w:sz w:val="18"/>
                        <w:szCs w:val="18"/>
                        <w:lang w:val="en-US" w:eastAsia="zh-CN" w:bidi="ar-SA"/>
                      </w:rPr>
                    </w:pPr>
                    <w:r>
                      <w:rPr>
                        <w:rFonts w:ascii="仿宋_GB2312" w:hAnsi="Calibri" w:eastAsia="仿宋_GB2312" w:cs="Times New Roman"/>
                        <w:kern w:val="2"/>
                        <w:sz w:val="18"/>
                        <w:szCs w:val="18"/>
                        <w:lang w:val="en-US" w:eastAsia="zh-CN" w:bidi="ar-SA"/>
                      </w:rPr>
                      <w:fldChar w:fldCharType="begin"/>
                    </w:r>
                    <w:r>
                      <w:rPr>
                        <w:rFonts w:ascii="仿宋_GB2312" w:hAnsi="Calibri" w:eastAsia="仿宋_GB2312" w:cs="Times New Roman"/>
                        <w:kern w:val="2"/>
                        <w:sz w:val="18"/>
                        <w:szCs w:val="18"/>
                        <w:lang w:val="en-US" w:eastAsia="zh-CN" w:bidi="ar-SA"/>
                      </w:rPr>
                      <w:instrText xml:space="preserve"> PAGE  \* MERGEFORMAT </w:instrText>
                    </w:r>
                    <w:r>
                      <w:rPr>
                        <w:rFonts w:ascii="仿宋_GB2312" w:hAnsi="Calibri" w:eastAsia="仿宋_GB2312" w:cs="Times New Roman"/>
                        <w:kern w:val="2"/>
                        <w:sz w:val="18"/>
                        <w:szCs w:val="18"/>
                        <w:lang w:val="en-US" w:eastAsia="zh-CN" w:bidi="ar-SA"/>
                      </w:rPr>
                      <w:fldChar w:fldCharType="separate"/>
                    </w:r>
                    <w:r>
                      <w:rPr>
                        <w:rFonts w:ascii="仿宋_GB2312" w:hAnsi="Calibri" w:eastAsia="仿宋_GB2312" w:cs="Times New Roman"/>
                        <w:kern w:val="2"/>
                        <w:sz w:val="18"/>
                        <w:szCs w:val="18"/>
                        <w:lang w:val="en-US" w:eastAsia="zh-CN" w:bidi="ar-SA"/>
                      </w:rPr>
                      <w:t>37</w:t>
                    </w:r>
                    <w:r>
                      <w:rPr>
                        <w:rFonts w:ascii="仿宋_GB2312" w:hAnsi="Calibri" w:eastAsia="仿宋_GB2312" w:cs="Times New Roman"/>
                        <w:kern w:val="2"/>
                        <w:sz w:val="18"/>
                        <w:szCs w:val="18"/>
                        <w:lang w:val="en-US" w:eastAsia="zh-CN" w:bidi="ar-SA"/>
                      </w:rPr>
                      <w:fldChar w:fldCharType="end"/>
                    </w:r>
                  </w:p>
                </w:txbxContent>
              </v:textbox>
            </v:shape>
          </w:pict>
        </mc:Fallback>
      </mc:AlternateContent>
    </w:r>
  </w:p>
  <w:p w14:paraId="5692BD4B">
    <w:pPr>
      <w:widowControl w:val="0"/>
      <w:snapToGrid w:val="0"/>
      <w:jc w:val="left"/>
      <w:rPr>
        <w:lang w:val="en-US" w:eastAsia="zh-CN"/>
      </w:rPr>
    </w:pPr>
    <w:r>
      <w:rPr>
        <w:rFonts w:hint="eastAsia" w:ascii="黑体" w:hAnsi="宋体" w:eastAsia="黑体" w:cs="Times New Roman"/>
        <w:b/>
        <w:kern w:val="2"/>
        <w:sz w:val="18"/>
        <w:szCs w:val="21"/>
        <w:lang w:val="en-US" w:eastAsia="zh-CN" w:bidi="ar-SA"/>
      </w:rPr>
      <w:t>全国百强企业                  电话：0371-55238190                              传真：0371-55238193</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7D79BB">
    <w:pPr>
      <w:framePr w:wrap="around" w:vAnchor="text" w:hAnchor="margin" w:xAlign="right" w:y="1"/>
      <w:widowControl/>
      <w:spacing w:before="100" w:beforeAutospacing="1" w:after="100" w:afterAutospacing="1"/>
      <w:jc w:val="left"/>
      <w:rPr>
        <w:rFonts w:hint="eastAsia" w:ascii="仿宋_GB2312" w:hAnsi="宋体" w:eastAsia="仿宋_GB2312" w:cs="Times New Roman"/>
        <w:kern w:val="0"/>
        <w:sz w:val="32"/>
        <w:szCs w:val="32"/>
        <w:lang w:val="en-US" w:eastAsia="zh-CN" w:bidi="ar-SA"/>
      </w:rPr>
    </w:pPr>
    <w:r>
      <w:rPr>
        <w:rFonts w:hint="eastAsia" w:ascii="仿宋_GB2312" w:hAnsi="宋体" w:eastAsia="仿宋_GB2312" w:cs="Times New Roman"/>
        <w:kern w:val="0"/>
        <w:sz w:val="32"/>
        <w:szCs w:val="32"/>
        <w:lang w:val="en-US" w:eastAsia="zh-CN" w:bidi="ar-SA"/>
      </w:rPr>
      <w:fldChar w:fldCharType="begin"/>
    </w:r>
    <w:r>
      <w:rPr>
        <w:rFonts w:hint="eastAsia" w:ascii="仿宋_GB2312" w:hAnsi="宋体" w:eastAsia="仿宋_GB2312" w:cs="Times New Roman"/>
        <w:kern w:val="0"/>
        <w:sz w:val="32"/>
        <w:szCs w:val="32"/>
        <w:lang w:val="en-US" w:eastAsia="zh-CN" w:bidi="ar-SA"/>
      </w:rPr>
      <w:instrText xml:space="preserve">PAGE  </w:instrText>
    </w:r>
    <w:r>
      <w:rPr>
        <w:rFonts w:hint="eastAsia" w:ascii="仿宋_GB2312" w:hAnsi="宋体" w:eastAsia="仿宋_GB2312" w:cs="Times New Roman"/>
        <w:kern w:val="0"/>
        <w:sz w:val="32"/>
        <w:szCs w:val="32"/>
        <w:lang w:val="en-US" w:eastAsia="zh-CN" w:bidi="ar-SA"/>
      </w:rPr>
      <w:fldChar w:fldCharType="end"/>
    </w:r>
  </w:p>
  <w:p w14:paraId="6E4BA6DE">
    <w:pPr>
      <w:widowControl/>
      <w:spacing w:before="100" w:beforeAutospacing="1" w:after="100" w:afterAutospacing="1"/>
      <w:ind w:right="360"/>
      <w:jc w:val="left"/>
      <w:rPr>
        <w:rFonts w:hint="eastAsia" w:ascii="仿宋_GB2312" w:hAnsi="宋体" w:eastAsia="仿宋_GB2312" w:cs="Times New Roman"/>
        <w:kern w:val="0"/>
        <w:sz w:val="32"/>
        <w:szCs w:val="32"/>
        <w:lang w:val="en-US" w:eastAsia="zh-CN" w:bidi="ar-SA"/>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96E966">
    <w:pPr>
      <w:widowControl w:val="0"/>
      <w:snapToGrid w:val="0"/>
      <w:jc w:val="center"/>
      <w:rPr>
        <w:rFonts w:ascii="Times New Roman" w:hAnsi="Times New Roman" w:eastAsia="宋体" w:cs="Times New Roman"/>
        <w:kern w:val="2"/>
        <w:sz w:val="18"/>
        <w:szCs w:val="18"/>
        <w:lang w:val="en-US" w:eastAsia="zh-CN" w:bidi="ar-SA"/>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176E93">
    <w:pPr>
      <w:widowControl w:val="0"/>
      <w:pBdr>
        <w:bottom w:val="thickThinMediumGap" w:color="800000" w:sz="18" w:space="1"/>
      </w:pBdr>
      <w:snapToGrid w:val="0"/>
      <w:jc w:val="both"/>
      <w:rPr>
        <w:rFonts w:hint="default" w:ascii="仿宋_GB2312" w:hAnsi="Calibri" w:eastAsia="仿宋_GB2312" w:cs="Times New Roman"/>
        <w:kern w:val="2"/>
        <w:sz w:val="18"/>
        <w:szCs w:val="18"/>
        <w:lang w:val="en-US" w:eastAsia="zh-CN" w:bidi="ar-SA"/>
      </w:rPr>
    </w:pPr>
    <w:r>
      <w:rPr>
        <w:rFonts w:ascii="仿宋_GB2312" w:hAnsi="Calibri" w:eastAsia="仿宋_GB2312" w:cs="Times New Roman"/>
        <w:kern w:val="2"/>
        <w:sz w:val="18"/>
        <w:szCs w:val="18"/>
        <w:lang w:val="en-US" w:eastAsia="zh-CN" w:bidi="ar-SA"/>
      </w:rPr>
      <mc:AlternateContent>
        <mc:Choice Requires="wps">
          <w:drawing>
            <wp:anchor distT="0" distB="0" distL="114300" distR="114300" simplePos="0" relativeHeight="251662336" behindDoc="0" locked="0" layoutInCell="1" allowOverlap="1">
              <wp:simplePos x="0" y="0"/>
              <wp:positionH relativeFrom="margin">
                <wp:posOffset>2905125</wp:posOffset>
              </wp:positionH>
              <wp:positionV relativeFrom="paragraph">
                <wp:posOffset>0</wp:posOffset>
              </wp:positionV>
              <wp:extent cx="1828800" cy="1828800"/>
              <wp:effectExtent l="0" t="0" r="0" b="0"/>
              <wp:wrapNone/>
              <wp:docPr id="5" name="文本框 105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4280262B">
                          <w:pPr>
                            <w:widowControl w:val="0"/>
                            <w:snapToGrid w:val="0"/>
                            <w:jc w:val="left"/>
                            <w:rPr>
                              <w:rFonts w:ascii="仿宋_GB2312" w:hAnsi="Calibri" w:eastAsia="仿宋_GB2312" w:cs="Times New Roman"/>
                              <w:kern w:val="2"/>
                              <w:sz w:val="18"/>
                              <w:szCs w:val="18"/>
                              <w:lang w:val="en-US" w:eastAsia="zh-CN" w:bidi="ar-SA"/>
                            </w:rPr>
                          </w:pPr>
                          <w:r>
                            <w:rPr>
                              <w:rFonts w:ascii="仿宋_GB2312" w:hAnsi="Calibri" w:eastAsia="仿宋_GB2312" w:cs="Times New Roman"/>
                              <w:kern w:val="2"/>
                              <w:sz w:val="18"/>
                              <w:szCs w:val="18"/>
                              <w:lang w:val="en-US" w:eastAsia="zh-CN" w:bidi="ar-SA"/>
                            </w:rPr>
                            <w:fldChar w:fldCharType="begin"/>
                          </w:r>
                          <w:r>
                            <w:rPr>
                              <w:rFonts w:ascii="仿宋_GB2312" w:hAnsi="Calibri" w:eastAsia="仿宋_GB2312" w:cs="Times New Roman"/>
                              <w:kern w:val="2"/>
                              <w:sz w:val="18"/>
                              <w:szCs w:val="18"/>
                              <w:lang w:val="en-US" w:eastAsia="zh-CN" w:bidi="ar-SA"/>
                            </w:rPr>
                            <w:instrText xml:space="preserve"> PAGE  \* MERGEFORMAT </w:instrText>
                          </w:r>
                          <w:r>
                            <w:rPr>
                              <w:rFonts w:ascii="仿宋_GB2312" w:hAnsi="Calibri" w:eastAsia="仿宋_GB2312" w:cs="Times New Roman"/>
                              <w:kern w:val="2"/>
                              <w:sz w:val="18"/>
                              <w:szCs w:val="18"/>
                              <w:lang w:val="en-US" w:eastAsia="zh-CN" w:bidi="ar-SA"/>
                            </w:rPr>
                            <w:fldChar w:fldCharType="separate"/>
                          </w:r>
                          <w:r>
                            <w:rPr>
                              <w:rFonts w:ascii="仿宋_GB2312" w:hAnsi="Calibri" w:eastAsia="仿宋_GB2312" w:cs="Times New Roman"/>
                              <w:kern w:val="2"/>
                              <w:sz w:val="18"/>
                              <w:szCs w:val="18"/>
                              <w:lang w:val="en-US" w:eastAsia="zh-CN" w:bidi="ar-SA"/>
                            </w:rPr>
                            <w:t>37</w:t>
                          </w:r>
                          <w:r>
                            <w:rPr>
                              <w:rFonts w:ascii="仿宋_GB2312" w:hAnsi="Calibri" w:eastAsia="仿宋_GB2312" w:cs="Times New Roman"/>
                              <w:kern w:val="2"/>
                              <w:sz w:val="18"/>
                              <w:szCs w:val="18"/>
                              <w:lang w:val="en-US" w:eastAsia="zh-CN" w:bidi="ar-SA"/>
                            </w:rPr>
                            <w:fldChar w:fldCharType="end"/>
                          </w:r>
                        </w:p>
                      </w:txbxContent>
                    </wps:txbx>
                    <wps:bodyPr wrap="none" lIns="0" tIns="0" rIns="0" bIns="0" upright="0">
                      <a:spAutoFit/>
                    </wps:bodyPr>
                  </wps:wsp>
                </a:graphicData>
              </a:graphic>
            </wp:anchor>
          </w:drawing>
        </mc:Choice>
        <mc:Fallback>
          <w:pict>
            <v:shape id="文本框 1057" o:spid="_x0000_s1026" o:spt="202" type="#_x0000_t202" style="position:absolute;left:0pt;margin-left:228.75pt;margin-top:0pt;height:144pt;width:144pt;mso-position-horizontal-relative:margin;mso-wrap-style:none;z-index:251662336;mso-width-relative:page;mso-height-relative:page;" filled="f" stroked="f" coordsize="21600,21600" o:gfxdata="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">
              <v:fill on="f" focussize="0,0"/>
              <v:stroke on="f" weight="1.25pt"/>
              <v:imagedata o:title=""/>
              <o:lock v:ext="edit" aspectratio="f"/>
              <v:textbox inset="0mm,0mm,0mm,0mm" style="mso-fit-shape-to-text:t;">
                <w:txbxContent>
                  <w:p w14:paraId="4280262B">
                    <w:pPr>
                      <w:widowControl w:val="0"/>
                      <w:snapToGrid w:val="0"/>
                      <w:jc w:val="left"/>
                      <w:rPr>
                        <w:rFonts w:ascii="仿宋_GB2312" w:hAnsi="Calibri" w:eastAsia="仿宋_GB2312" w:cs="Times New Roman"/>
                        <w:kern w:val="2"/>
                        <w:sz w:val="18"/>
                        <w:szCs w:val="18"/>
                        <w:lang w:val="en-US" w:eastAsia="zh-CN" w:bidi="ar-SA"/>
                      </w:rPr>
                    </w:pPr>
                    <w:r>
                      <w:rPr>
                        <w:rFonts w:ascii="仿宋_GB2312" w:hAnsi="Calibri" w:eastAsia="仿宋_GB2312" w:cs="Times New Roman"/>
                        <w:kern w:val="2"/>
                        <w:sz w:val="18"/>
                        <w:szCs w:val="18"/>
                        <w:lang w:val="en-US" w:eastAsia="zh-CN" w:bidi="ar-SA"/>
                      </w:rPr>
                      <w:fldChar w:fldCharType="begin"/>
                    </w:r>
                    <w:r>
                      <w:rPr>
                        <w:rFonts w:ascii="仿宋_GB2312" w:hAnsi="Calibri" w:eastAsia="仿宋_GB2312" w:cs="Times New Roman"/>
                        <w:kern w:val="2"/>
                        <w:sz w:val="18"/>
                        <w:szCs w:val="18"/>
                        <w:lang w:val="en-US" w:eastAsia="zh-CN" w:bidi="ar-SA"/>
                      </w:rPr>
                      <w:instrText xml:space="preserve"> PAGE  \* MERGEFORMAT </w:instrText>
                    </w:r>
                    <w:r>
                      <w:rPr>
                        <w:rFonts w:ascii="仿宋_GB2312" w:hAnsi="Calibri" w:eastAsia="仿宋_GB2312" w:cs="Times New Roman"/>
                        <w:kern w:val="2"/>
                        <w:sz w:val="18"/>
                        <w:szCs w:val="18"/>
                        <w:lang w:val="en-US" w:eastAsia="zh-CN" w:bidi="ar-SA"/>
                      </w:rPr>
                      <w:fldChar w:fldCharType="separate"/>
                    </w:r>
                    <w:r>
                      <w:rPr>
                        <w:rFonts w:ascii="仿宋_GB2312" w:hAnsi="Calibri" w:eastAsia="仿宋_GB2312" w:cs="Times New Roman"/>
                        <w:kern w:val="2"/>
                        <w:sz w:val="18"/>
                        <w:szCs w:val="18"/>
                        <w:lang w:val="en-US" w:eastAsia="zh-CN" w:bidi="ar-SA"/>
                      </w:rPr>
                      <w:t>37</w:t>
                    </w:r>
                    <w:r>
                      <w:rPr>
                        <w:rFonts w:ascii="仿宋_GB2312" w:hAnsi="Calibri" w:eastAsia="仿宋_GB2312" w:cs="Times New Roman"/>
                        <w:kern w:val="2"/>
                        <w:sz w:val="18"/>
                        <w:szCs w:val="18"/>
                        <w:lang w:val="en-US" w:eastAsia="zh-CN" w:bidi="ar-SA"/>
                      </w:rPr>
                      <w:fldChar w:fldCharType="end"/>
                    </w:r>
                  </w:p>
                </w:txbxContent>
              </v:textbox>
            </v:shape>
          </w:pict>
        </mc:Fallback>
      </mc:AlternateContent>
    </w:r>
  </w:p>
  <w:p w14:paraId="35B02457">
    <w:pPr>
      <w:widowControl w:val="0"/>
      <w:snapToGrid w:val="0"/>
      <w:jc w:val="left"/>
    </w:pPr>
    <w:r>
      <w:rPr>
        <w:rFonts w:hint="eastAsia" w:ascii="黑体" w:hAnsi="宋体" w:eastAsia="黑体" w:cs="Times New Roman"/>
        <w:b/>
        <w:kern w:val="2"/>
        <w:sz w:val="18"/>
        <w:szCs w:val="21"/>
        <w:lang w:val="en-US" w:eastAsia="zh-CN" w:bidi="ar-SA"/>
      </w:rPr>
      <w:t>全国百强企业                  电话：0371-55238190                        传真：0371-55238193</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DCB152">
    <w:pPr>
      <w:pBdr>
        <w:bottom w:val="single" w:color="auto" w:sz="4" w:space="1"/>
      </w:pBdr>
      <w:jc w:val="right"/>
    </w:pPr>
    <w:r>
      <w:rPr>
        <w:rFonts w:hint="eastAsia"/>
      </w:rPr>
      <w:t xml:space="preserve">  </w:t>
    </w:r>
    <w:r>
      <w:rPr>
        <w:rFonts w:hint="eastAsia"/>
        <w:sz w:val="18"/>
        <w:szCs w:val="18"/>
      </w:rPr>
      <w:t xml:space="preserve">    </w:t>
    </w:r>
    <w:r>
      <w:rPr>
        <w:rFonts w:hint="eastAsia"/>
        <w:sz w:val="18"/>
        <w:szCs w:val="18"/>
        <w:lang w:eastAsia="zh-CN"/>
      </w:rPr>
      <w:t>河南省周口生态环境监测中心2026年监测能力建设项目                               招标文件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DB4CF9">
    <w:pPr>
      <w:pStyle w:val="22"/>
      <w:pBdr>
        <w:top w:val="none" w:color="auto" w:sz="0" w:space="0"/>
        <w:left w:val="none" w:color="auto" w:sz="0" w:space="0"/>
        <w:bottom w:val="none" w:color="auto" w:sz="0" w:space="1"/>
        <w:right w:val="none" w:color="auto" w:sz="0" w:space="0"/>
        <w:between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3E50A8">
    <w:pPr>
      <w:widowControl w:val="0"/>
      <w:pBdr>
        <w:bottom w:val="thickThinMediumGap" w:color="800000" w:sz="18" w:space="1"/>
      </w:pBdr>
      <w:snapToGrid w:val="0"/>
      <w:jc w:val="both"/>
      <w:rPr>
        <w:rFonts w:hint="eastAsia" w:ascii="宋体" w:hAnsi="宋体" w:eastAsia="宋体" w:cs="宋体"/>
        <w:kern w:val="2"/>
        <w:sz w:val="18"/>
        <w:szCs w:val="18"/>
        <w:lang w:val="en-US" w:eastAsia="zh-CN" w:bidi="ar-SA"/>
      </w:rPr>
    </w:pPr>
    <w:r>
      <w:rPr>
        <w:rFonts w:hint="eastAsia" w:ascii="黑体" w:hAnsi="黑体" w:eastAsia="黑体" w:cs="黑体"/>
        <w:color w:val="auto"/>
        <w:kern w:val="2"/>
        <w:sz w:val="18"/>
        <w:szCs w:val="18"/>
        <w:highlight w:val="none"/>
        <w:lang w:val="en-US" w:eastAsia="zh-CN" w:bidi="ar-SA"/>
      </w:rPr>
      <w:t>河南省周口生态环境监测中心2026年监测能力建设项目                                  招标文件</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66B104">
    <w:pPr>
      <w:widowControl w:val="0"/>
      <w:pBdr>
        <w:bottom w:val="thickThinMediumGap" w:color="800000" w:sz="18" w:space="1"/>
      </w:pBdr>
      <w:snapToGrid w:val="0"/>
      <w:jc w:val="both"/>
      <w:rPr>
        <w:rFonts w:hint="eastAsia" w:ascii="仿宋_GB2312" w:hAnsi="Calibri" w:eastAsia="仿宋_GB2312" w:cs="Times New Roman"/>
        <w:kern w:val="2"/>
        <w:sz w:val="18"/>
        <w:szCs w:val="18"/>
        <w:lang w:val="en-US" w:eastAsia="zh-CN" w:bidi="ar-SA"/>
      </w:rPr>
    </w:pPr>
    <w:r>
      <w:rPr>
        <w:rFonts w:hint="eastAsia" w:ascii="宋体" w:hAnsi="宋体" w:eastAsia="宋体" w:cs="宋体"/>
        <w:sz w:val="18"/>
        <w:szCs w:val="18"/>
      </w:rPr>
      <w:t xml:space="preserve"> </w:t>
    </w:r>
    <w:r>
      <w:rPr>
        <w:rFonts w:hint="eastAsia" w:ascii="黑体" w:hAnsi="黑体" w:eastAsia="黑体" w:cs="黑体"/>
        <w:color w:val="auto"/>
        <w:kern w:val="2"/>
        <w:sz w:val="18"/>
        <w:szCs w:val="18"/>
        <w:highlight w:val="none"/>
        <w:lang w:val="en-US" w:eastAsia="zh-CN" w:bidi="ar-SA"/>
      </w:rPr>
      <w:t>河南省周口生态环境监测中心2026年监测能力建设项目                                  招标文件</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7DBF7F">
    <w:pPr>
      <w:rPr>
        <w:rFonts w:hint="eastAsia"/>
        <w:u w:val="single"/>
      </w:rPr>
    </w:pPr>
  </w:p>
  <w:p w14:paraId="39BBB1C9">
    <w:pPr>
      <w:widowControl w:val="0"/>
      <w:pBdr>
        <w:bottom w:val="thickThinMediumGap" w:color="800000" w:sz="18" w:space="1"/>
      </w:pBdr>
      <w:snapToGrid w:val="0"/>
      <w:jc w:val="both"/>
      <w:rPr>
        <w:rFonts w:hint="eastAsia" w:ascii="宋体" w:hAnsi="宋体"/>
        <w:b/>
        <w:sz w:val="18"/>
        <w:szCs w:val="18"/>
      </w:rPr>
    </w:pPr>
    <w:r>
      <w:rPr>
        <w:rFonts w:hint="eastAsia"/>
      </w:rPr>
      <w:t xml:space="preserve">          </w:t>
    </w:r>
    <w:r>
      <w:rPr>
        <w:rFonts w:hint="eastAsia" w:ascii="仿宋" w:hAnsi="仿宋" w:eastAsia="仿宋" w:cs="仿宋"/>
        <w:color w:val="auto"/>
        <w:kern w:val="2"/>
        <w:sz w:val="18"/>
        <w:szCs w:val="18"/>
        <w:highlight w:val="none"/>
        <w:lang w:val="en-US" w:eastAsia="zh-CN" w:bidi="ar-SA"/>
      </w:rPr>
      <w:t xml:space="preserve">河南省周口生态环境监测中心2026年监测能力建设项目   </w:t>
    </w:r>
    <w:r>
      <w:rPr>
        <w:rFonts w:hint="eastAsia" w:ascii="仿宋_GB2312" w:hAnsi="宋体" w:eastAsia="宋体" w:cs="宋体"/>
        <w:color w:val="auto"/>
        <w:kern w:val="2"/>
        <w:sz w:val="18"/>
        <w:szCs w:val="18"/>
        <w:highlight w:val="none"/>
        <w:lang w:val="en-US" w:eastAsia="zh-CN" w:bidi="ar-SA"/>
      </w:rPr>
      <w:t xml:space="preserve">                                        </w:t>
    </w:r>
    <w:r>
      <w:rPr>
        <w:rFonts w:hint="eastAsia" w:ascii="宋体" w:hAnsi="宋体" w:eastAsia="仿宋_GB2312" w:cs="宋体"/>
        <w:color w:val="auto"/>
        <w:kern w:val="2"/>
        <w:sz w:val="18"/>
        <w:szCs w:val="18"/>
        <w:highlight w:val="none"/>
        <w:lang w:val="en-US" w:eastAsia="zh-CN" w:bidi="ar-SA"/>
      </w:rPr>
      <w:t>招标文件</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EFF564">
    <w:pPr>
      <w:widowControl w:val="0"/>
      <w:pBdr>
        <w:bottom w:val="thickThinMediumGap" w:color="800000" w:sz="18" w:space="1"/>
      </w:pBdr>
      <w:snapToGrid w:val="0"/>
      <w:jc w:val="both"/>
      <w:rPr>
        <w:rFonts w:hint="eastAsia" w:ascii="黑体" w:hAnsi="黑体" w:eastAsia="黑体" w:cs="黑体"/>
      </w:rPr>
    </w:pPr>
    <w:r>
      <w:rPr>
        <w:rFonts w:hint="eastAsia" w:ascii="黑体" w:hAnsi="黑体" w:eastAsia="黑体" w:cs="黑体"/>
        <w:color w:val="auto"/>
        <w:kern w:val="2"/>
        <w:sz w:val="18"/>
        <w:szCs w:val="18"/>
        <w:highlight w:val="none"/>
        <w:lang w:val="en-US" w:eastAsia="zh-CN" w:bidi="ar-SA"/>
      </w:rPr>
      <w:t>河南省周口生态环境监测中心2026年监测能力建设项目                               招标文件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A275EEB"/>
    <w:multiLevelType w:val="singleLevel"/>
    <w:tmpl w:val="8A275EEB"/>
    <w:lvl w:ilvl="0" w:tentative="0">
      <w:start w:val="1"/>
      <w:numFmt w:val="decimal"/>
      <w:lvlText w:val="(%1)"/>
      <w:lvlJc w:val="left"/>
      <w:pPr>
        <w:ind w:left="425" w:hanging="425"/>
      </w:pPr>
      <w:rPr>
        <w:rFonts w:hint="default" w:ascii="宋体" w:hAnsi="宋体" w:eastAsia="宋体" w:cs="宋体"/>
        <w:sz w:val="21"/>
        <w:szCs w:val="21"/>
      </w:rPr>
    </w:lvl>
  </w:abstractNum>
  <w:abstractNum w:abstractNumId="1">
    <w:nsid w:val="8E242CD3"/>
    <w:multiLevelType w:val="singleLevel"/>
    <w:tmpl w:val="8E242CD3"/>
    <w:lvl w:ilvl="0" w:tentative="0">
      <w:start w:val="1"/>
      <w:numFmt w:val="chineseCountingThousand"/>
      <w:suff w:val="space"/>
      <w:lvlText w:val="%1、"/>
      <w:lvlJc w:val="left"/>
      <w:pPr>
        <w:ind w:left="420" w:hanging="420"/>
      </w:pPr>
      <w:rPr>
        <w:rFonts w:hint="eastAsia" w:ascii="宋体" w:hAnsi="宋体" w:eastAsia="宋体" w:cs="宋体"/>
        <w:color w:val="auto"/>
        <w:sz w:val="21"/>
        <w:szCs w:val="21"/>
      </w:rPr>
    </w:lvl>
  </w:abstractNum>
  <w:abstractNum w:abstractNumId="2">
    <w:nsid w:val="92FEED52"/>
    <w:multiLevelType w:val="singleLevel"/>
    <w:tmpl w:val="92FEED52"/>
    <w:lvl w:ilvl="0" w:tentative="0">
      <w:start w:val="1"/>
      <w:numFmt w:val="decimal"/>
      <w:lvlText w:val="(%1)"/>
      <w:lvlJc w:val="left"/>
      <w:pPr>
        <w:ind w:left="425" w:hanging="425"/>
      </w:pPr>
      <w:rPr>
        <w:rFonts w:hint="default"/>
      </w:rPr>
    </w:lvl>
  </w:abstractNum>
  <w:abstractNum w:abstractNumId="3">
    <w:nsid w:val="973DD820"/>
    <w:multiLevelType w:val="multilevel"/>
    <w:tmpl w:val="973DD820"/>
    <w:lvl w:ilvl="0" w:tentative="0">
      <w:start w:val="1"/>
      <w:numFmt w:val="decimal"/>
      <w:suff w:val="space"/>
      <w:lvlText w:val="%1."/>
      <w:lvlJc w:val="left"/>
    </w:lvl>
    <w:lvl w:ilvl="1" w:tentative="0">
      <w:start w:val="1"/>
      <w:numFmt w:val="decimal"/>
      <w:suff w:val="space"/>
      <w:lvlText w:val="%1.%2"/>
      <w:lvlJc w:val="left"/>
      <w:pPr>
        <w:ind w:left="0" w:firstLine="0"/>
      </w:pPr>
      <w:rPr>
        <w:rFonts w:hint="default"/>
      </w:rPr>
    </w:lvl>
    <w:lvl w:ilvl="2" w:tentative="0">
      <w:start w:val="1"/>
      <w:numFmt w:val="decimal"/>
      <w:suff w:val="space"/>
      <w:lvlText w:val="%1.%2.%3"/>
      <w:lvlJc w:val="left"/>
      <w:pPr>
        <w:ind w:left="0" w:firstLine="0"/>
      </w:pPr>
      <w:rPr>
        <w:rFonts w:hint="default"/>
      </w:rPr>
    </w:lvl>
    <w:lvl w:ilvl="3" w:tentative="0">
      <w:start w:val="1"/>
      <w:numFmt w:val="decimal"/>
      <w:suff w:val="space"/>
      <w:lvlText w:val="%1.%2.%3.%4"/>
      <w:lvlJc w:val="left"/>
      <w:pPr>
        <w:ind w:left="0" w:firstLine="0"/>
      </w:pPr>
      <w:rPr>
        <w:rFonts w:hint="default"/>
      </w:rPr>
    </w:lvl>
    <w:lvl w:ilvl="4" w:tentative="0">
      <w:start w:val="1"/>
      <w:numFmt w:val="decimal"/>
      <w:suff w:val="space"/>
      <w:lvlText w:val="%1.%2.%3.%4.%5"/>
      <w:lvlJc w:val="left"/>
      <w:pPr>
        <w:ind w:left="0" w:firstLine="0"/>
      </w:pPr>
      <w:rPr>
        <w:rFonts w:hint="default"/>
      </w:rPr>
    </w:lvl>
    <w:lvl w:ilvl="5" w:tentative="0">
      <w:start w:val="1"/>
      <w:numFmt w:val="decimal"/>
      <w:suff w:val="space"/>
      <w:lvlText w:val="%1.%2.%3.%4.%5.%6"/>
      <w:lvlJc w:val="left"/>
      <w:pPr>
        <w:ind w:left="0" w:firstLine="0"/>
      </w:pPr>
      <w:rPr>
        <w:rFonts w:hint="default"/>
      </w:rPr>
    </w:lvl>
    <w:lvl w:ilvl="6" w:tentative="0">
      <w:start w:val="1"/>
      <w:numFmt w:val="decimal"/>
      <w:suff w:val="space"/>
      <w:lvlText w:val="%1.%2.%3.%4.%5.%6.%7"/>
      <w:lvlJc w:val="left"/>
      <w:pPr>
        <w:ind w:left="0" w:firstLine="0"/>
      </w:pPr>
      <w:rPr>
        <w:rFonts w:hint="default"/>
      </w:rPr>
    </w:lvl>
    <w:lvl w:ilvl="7" w:tentative="0">
      <w:start w:val="1"/>
      <w:numFmt w:val="decimal"/>
      <w:suff w:val="space"/>
      <w:lvlText w:val="%1.%2.%3.%4.%5.%6.%7.%8"/>
      <w:lvlJc w:val="left"/>
      <w:pPr>
        <w:ind w:left="0" w:firstLine="0"/>
      </w:pPr>
      <w:rPr>
        <w:rFonts w:hint="default"/>
      </w:rPr>
    </w:lvl>
    <w:lvl w:ilvl="8" w:tentative="0">
      <w:start w:val="1"/>
      <w:numFmt w:val="decimal"/>
      <w:suff w:val="space"/>
      <w:lvlText w:val="%1.%2.%3.%4.%5.%6.%7.%8.%9"/>
      <w:lvlJc w:val="left"/>
      <w:pPr>
        <w:ind w:left="0" w:firstLine="0"/>
      </w:pPr>
      <w:rPr>
        <w:rFonts w:hint="default"/>
      </w:rPr>
    </w:lvl>
  </w:abstractNum>
  <w:abstractNum w:abstractNumId="4">
    <w:nsid w:val="9D42052D"/>
    <w:multiLevelType w:val="singleLevel"/>
    <w:tmpl w:val="9D42052D"/>
    <w:lvl w:ilvl="0" w:tentative="0">
      <w:start w:val="3"/>
      <w:numFmt w:val="chineseCounting"/>
      <w:suff w:val="space"/>
      <w:lvlText w:val="%1、"/>
      <w:lvlJc w:val="left"/>
      <w:pPr>
        <w:tabs>
          <w:tab w:val="left" w:pos="0"/>
        </w:tabs>
        <w:ind w:left="420" w:hanging="420"/>
      </w:pPr>
      <w:rPr>
        <w:rFonts w:hint="eastAsia" w:ascii="宋体" w:hAnsi="宋体" w:eastAsia="宋体" w:cs="宋体"/>
        <w:color w:val="auto"/>
        <w:sz w:val="21"/>
        <w:szCs w:val="21"/>
      </w:rPr>
    </w:lvl>
  </w:abstractNum>
  <w:abstractNum w:abstractNumId="5">
    <w:nsid w:val="A0647C4F"/>
    <w:multiLevelType w:val="multilevel"/>
    <w:tmpl w:val="A0647C4F"/>
    <w:lvl w:ilvl="0" w:tentative="0">
      <w:start w:val="1"/>
      <w:numFmt w:val="decimal"/>
      <w:suff w:val="space"/>
      <w:lvlText w:val="%1"/>
      <w:lvlJc w:val="left"/>
      <w:pPr>
        <w:ind w:left="0" w:firstLine="0"/>
      </w:pPr>
      <w:rPr>
        <w:rFonts w:hint="default"/>
      </w:rPr>
    </w:lvl>
    <w:lvl w:ilvl="1" w:tentative="0">
      <w:start w:val="1"/>
      <w:numFmt w:val="decimal"/>
      <w:suff w:val="space"/>
      <w:lvlText w:val="%1.%2"/>
      <w:lvlJc w:val="left"/>
      <w:pPr>
        <w:ind w:left="0" w:firstLine="0"/>
      </w:pPr>
      <w:rPr>
        <w:rFonts w:hint="default"/>
      </w:rPr>
    </w:lvl>
    <w:lvl w:ilvl="2" w:tentative="0">
      <w:start w:val="1"/>
      <w:numFmt w:val="decimal"/>
      <w:suff w:val="space"/>
      <w:lvlText w:val="%1.%2.%3"/>
      <w:lvlJc w:val="left"/>
      <w:pPr>
        <w:ind w:left="0" w:firstLine="0"/>
      </w:pPr>
      <w:rPr>
        <w:rFonts w:hint="default" w:ascii="宋体" w:hAnsi="宋体" w:eastAsia="宋体" w:cs="宋体"/>
        <w:sz w:val="21"/>
        <w:szCs w:val="21"/>
      </w:rPr>
    </w:lvl>
    <w:lvl w:ilvl="3" w:tentative="0">
      <w:start w:val="1"/>
      <w:numFmt w:val="decimal"/>
      <w:suff w:val="space"/>
      <w:lvlText w:val="%1.%2.%3.%4"/>
      <w:lvlJc w:val="left"/>
      <w:pPr>
        <w:ind w:left="0" w:firstLine="0"/>
      </w:pPr>
      <w:rPr>
        <w:rFonts w:hint="default"/>
      </w:rPr>
    </w:lvl>
    <w:lvl w:ilvl="4" w:tentative="0">
      <w:start w:val="1"/>
      <w:numFmt w:val="decimal"/>
      <w:suff w:val="space"/>
      <w:lvlText w:val="%1.%2.%3.%4.%5"/>
      <w:lvlJc w:val="left"/>
      <w:pPr>
        <w:ind w:left="0" w:firstLine="0"/>
      </w:pPr>
      <w:rPr>
        <w:rFonts w:hint="default"/>
      </w:rPr>
    </w:lvl>
    <w:lvl w:ilvl="5" w:tentative="0">
      <w:start w:val="1"/>
      <w:numFmt w:val="decimal"/>
      <w:suff w:val="space"/>
      <w:lvlText w:val="%1.%2.%3.%4.%5.%6"/>
      <w:lvlJc w:val="left"/>
      <w:pPr>
        <w:ind w:left="0" w:firstLine="0"/>
      </w:pPr>
      <w:rPr>
        <w:rFonts w:hint="default"/>
      </w:rPr>
    </w:lvl>
    <w:lvl w:ilvl="6" w:tentative="0">
      <w:start w:val="1"/>
      <w:numFmt w:val="decimal"/>
      <w:suff w:val="space"/>
      <w:lvlText w:val="%1.%2.%3.%4.%5.%6.%7"/>
      <w:lvlJc w:val="left"/>
      <w:pPr>
        <w:ind w:left="0" w:firstLine="0"/>
      </w:pPr>
      <w:rPr>
        <w:rFonts w:hint="default"/>
      </w:rPr>
    </w:lvl>
    <w:lvl w:ilvl="7" w:tentative="0">
      <w:start w:val="1"/>
      <w:numFmt w:val="decimal"/>
      <w:suff w:val="space"/>
      <w:lvlText w:val="%1.%2.%3.%4.%5.%6.%7.%8"/>
      <w:lvlJc w:val="left"/>
      <w:pPr>
        <w:ind w:left="0" w:firstLine="0"/>
      </w:pPr>
      <w:rPr>
        <w:rFonts w:hint="default"/>
      </w:rPr>
    </w:lvl>
    <w:lvl w:ilvl="8" w:tentative="0">
      <w:start w:val="1"/>
      <w:numFmt w:val="decimal"/>
      <w:suff w:val="space"/>
      <w:lvlText w:val="%1.%2.%3.%4.%5.%6.%7.%8.%9"/>
      <w:lvlJc w:val="left"/>
      <w:pPr>
        <w:ind w:left="0" w:firstLine="0"/>
      </w:pPr>
      <w:rPr>
        <w:rFonts w:hint="default"/>
      </w:rPr>
    </w:lvl>
  </w:abstractNum>
  <w:abstractNum w:abstractNumId="6">
    <w:nsid w:val="A2C959E2"/>
    <w:multiLevelType w:val="multilevel"/>
    <w:tmpl w:val="A2C959E2"/>
    <w:lvl w:ilvl="0" w:tentative="0">
      <w:start w:val="1"/>
      <w:numFmt w:val="decimal"/>
      <w:suff w:val="space"/>
      <w:lvlText w:val="%1."/>
      <w:lvlJc w:val="left"/>
    </w:lvl>
    <w:lvl w:ilvl="1" w:tentative="0">
      <w:start w:val="1"/>
      <w:numFmt w:val="decimal"/>
      <w:suff w:val="space"/>
      <w:lvlText w:val="%1.%2"/>
      <w:lvlJc w:val="left"/>
      <w:pPr>
        <w:ind w:left="0" w:firstLine="0"/>
      </w:pPr>
      <w:rPr>
        <w:rFonts w:hint="default" w:ascii="宋体" w:hAnsi="宋体" w:eastAsia="宋体" w:cs="宋体"/>
        <w:b w:val="0"/>
        <w:bCs w:val="0"/>
      </w:rPr>
    </w:lvl>
    <w:lvl w:ilvl="2" w:tentative="0">
      <w:start w:val="1"/>
      <w:numFmt w:val="decimal"/>
      <w:suff w:val="space"/>
      <w:lvlText w:val="%1.%2.%3"/>
      <w:lvlJc w:val="left"/>
      <w:pPr>
        <w:ind w:left="0" w:firstLine="0"/>
      </w:pPr>
      <w:rPr>
        <w:rFonts w:hint="default" w:ascii="宋体" w:hAnsi="宋体" w:eastAsia="宋体" w:cs="宋体"/>
        <w:b w:val="0"/>
        <w:bCs w:val="0"/>
        <w:sz w:val="21"/>
        <w:szCs w:val="21"/>
      </w:rPr>
    </w:lvl>
    <w:lvl w:ilvl="3" w:tentative="0">
      <w:start w:val="1"/>
      <w:numFmt w:val="decimal"/>
      <w:suff w:val="space"/>
      <w:lvlText w:val="%1.%2.%3.%4"/>
      <w:lvlJc w:val="left"/>
      <w:pPr>
        <w:ind w:left="0" w:firstLine="0"/>
      </w:pPr>
      <w:rPr>
        <w:rFonts w:hint="default"/>
      </w:rPr>
    </w:lvl>
    <w:lvl w:ilvl="4" w:tentative="0">
      <w:start w:val="1"/>
      <w:numFmt w:val="decimal"/>
      <w:suff w:val="space"/>
      <w:lvlText w:val="%1.%2.%3.%4.%5"/>
      <w:lvlJc w:val="left"/>
      <w:pPr>
        <w:ind w:left="0" w:firstLine="0"/>
      </w:pPr>
      <w:rPr>
        <w:rFonts w:hint="default"/>
      </w:rPr>
    </w:lvl>
    <w:lvl w:ilvl="5" w:tentative="0">
      <w:start w:val="1"/>
      <w:numFmt w:val="decimal"/>
      <w:suff w:val="space"/>
      <w:lvlText w:val="%1.%2.%3.%4.%5.%6"/>
      <w:lvlJc w:val="left"/>
      <w:pPr>
        <w:ind w:left="0" w:firstLine="0"/>
      </w:pPr>
      <w:rPr>
        <w:rFonts w:hint="default"/>
      </w:rPr>
    </w:lvl>
    <w:lvl w:ilvl="6" w:tentative="0">
      <w:start w:val="1"/>
      <w:numFmt w:val="decimal"/>
      <w:suff w:val="space"/>
      <w:lvlText w:val="%1.%2.%3.%4.%5.%6.%7"/>
      <w:lvlJc w:val="left"/>
      <w:pPr>
        <w:ind w:left="0" w:firstLine="0"/>
      </w:pPr>
      <w:rPr>
        <w:rFonts w:hint="default"/>
      </w:rPr>
    </w:lvl>
    <w:lvl w:ilvl="7" w:tentative="0">
      <w:start w:val="1"/>
      <w:numFmt w:val="decimal"/>
      <w:suff w:val="space"/>
      <w:lvlText w:val="%1.%2.%3.%4.%5.%6.%7.%8"/>
      <w:lvlJc w:val="left"/>
      <w:pPr>
        <w:ind w:left="0" w:firstLine="0"/>
      </w:pPr>
      <w:rPr>
        <w:rFonts w:hint="default"/>
      </w:rPr>
    </w:lvl>
    <w:lvl w:ilvl="8" w:tentative="0">
      <w:start w:val="1"/>
      <w:numFmt w:val="decimal"/>
      <w:suff w:val="space"/>
      <w:lvlText w:val="%1.%2.%3.%4.%5.%6.%7.%8.%9"/>
      <w:lvlJc w:val="left"/>
      <w:pPr>
        <w:ind w:left="0" w:firstLine="0"/>
      </w:pPr>
      <w:rPr>
        <w:rFonts w:hint="default"/>
      </w:rPr>
    </w:lvl>
  </w:abstractNum>
  <w:abstractNum w:abstractNumId="7">
    <w:nsid w:val="A67714E4"/>
    <w:multiLevelType w:val="singleLevel"/>
    <w:tmpl w:val="A67714E4"/>
    <w:lvl w:ilvl="0" w:tentative="0">
      <w:start w:val="1"/>
      <w:numFmt w:val="decimal"/>
      <w:suff w:val="space"/>
      <w:lvlText w:val="(%1)"/>
      <w:lvlJc w:val="left"/>
      <w:pPr>
        <w:ind w:left="425" w:hanging="425"/>
      </w:pPr>
      <w:rPr>
        <w:rFonts w:hint="default" w:ascii="宋体" w:hAnsi="宋体" w:eastAsia="宋体" w:cs="宋体"/>
        <w:sz w:val="21"/>
        <w:szCs w:val="21"/>
      </w:rPr>
    </w:lvl>
  </w:abstractNum>
  <w:abstractNum w:abstractNumId="8">
    <w:nsid w:val="A6AEA3E7"/>
    <w:multiLevelType w:val="multilevel"/>
    <w:tmpl w:val="A6AEA3E7"/>
    <w:lvl w:ilvl="0" w:tentative="0">
      <w:start w:val="1"/>
      <w:numFmt w:val="japaneseCounting"/>
      <w:suff w:val="space"/>
      <w:lvlText w:val="第%1章"/>
      <w:lvlJc w:val="left"/>
      <w:pPr>
        <w:ind w:left="1980" w:hanging="1260"/>
      </w:pPr>
      <w:rPr>
        <w:rFonts w:hint="eastAsia"/>
      </w:rPr>
    </w:lvl>
    <w:lvl w:ilvl="1" w:tentative="0">
      <w:start w:val="1"/>
      <w:numFmt w:val="decimal"/>
      <w:lvlText w:val="(%2)"/>
      <w:lvlJc w:val="left"/>
      <w:pPr>
        <w:tabs>
          <w:tab w:val="left" w:pos="1500"/>
        </w:tabs>
        <w:ind w:left="1500" w:hanging="360"/>
      </w:pPr>
      <w:rPr>
        <w:rFonts w:hint="eastAsia"/>
      </w:rPr>
    </w:lvl>
    <w:lvl w:ilvl="2" w:tentative="0">
      <w:start w:val="1"/>
      <w:numFmt w:val="decimal"/>
      <w:lvlText w:val="%3)"/>
      <w:lvlJc w:val="left"/>
      <w:pPr>
        <w:tabs>
          <w:tab w:val="left" w:pos="1980"/>
        </w:tabs>
        <w:ind w:left="1980" w:hanging="420"/>
      </w:pPr>
      <w:rPr>
        <w:rFonts w:hint="eastAsia"/>
      </w:rPr>
    </w:lvl>
    <w:lvl w:ilvl="3" w:tentative="0">
      <w:start w:val="4"/>
      <w:numFmt w:val="japaneseCounting"/>
      <w:lvlText w:val="%4、"/>
      <w:lvlJc w:val="left"/>
      <w:pPr>
        <w:tabs>
          <w:tab w:val="left" w:pos="2700"/>
        </w:tabs>
        <w:ind w:left="2700" w:hanging="720"/>
      </w:pPr>
      <w:rPr>
        <w:rFonts w:hint="eastAsia"/>
      </w:rPr>
    </w:lvl>
    <w:lvl w:ilvl="4" w:tentative="0">
      <w:start w:val="1"/>
      <w:numFmt w:val="decimal"/>
      <w:lvlText w:val="%5）"/>
      <w:lvlJc w:val="left"/>
      <w:pPr>
        <w:tabs>
          <w:tab w:val="left" w:pos="3120"/>
        </w:tabs>
        <w:ind w:left="3120" w:hanging="720"/>
      </w:pPr>
      <w:rPr>
        <w:rFonts w:hint="eastAsia"/>
        <w:b w:val="0"/>
      </w:rPr>
    </w:lvl>
    <w:lvl w:ilvl="5" w:tentative="0">
      <w:start w:val="1"/>
      <w:numFmt w:val="lowerRoman"/>
      <w:lvlText w:val="%6."/>
      <w:lvlJc w:val="right"/>
      <w:pPr>
        <w:tabs>
          <w:tab w:val="left" w:pos="3240"/>
        </w:tabs>
        <w:ind w:left="3240" w:hanging="420"/>
      </w:pPr>
      <w:rPr>
        <w:rFonts w:hint="eastAsia"/>
      </w:rPr>
    </w:lvl>
    <w:lvl w:ilvl="6" w:tentative="0">
      <w:start w:val="1"/>
      <w:numFmt w:val="decimal"/>
      <w:lvlText w:val="%7."/>
      <w:lvlJc w:val="left"/>
      <w:pPr>
        <w:tabs>
          <w:tab w:val="left" w:pos="3660"/>
        </w:tabs>
        <w:ind w:left="3660" w:hanging="420"/>
      </w:pPr>
      <w:rPr>
        <w:rFonts w:hint="eastAsia"/>
      </w:rPr>
    </w:lvl>
    <w:lvl w:ilvl="7" w:tentative="0">
      <w:start w:val="1"/>
      <w:numFmt w:val="lowerLetter"/>
      <w:lvlText w:val="%8)"/>
      <w:lvlJc w:val="left"/>
      <w:pPr>
        <w:tabs>
          <w:tab w:val="left" w:pos="4080"/>
        </w:tabs>
        <w:ind w:left="4080" w:hanging="420"/>
      </w:pPr>
      <w:rPr>
        <w:rFonts w:hint="eastAsia"/>
      </w:rPr>
    </w:lvl>
    <w:lvl w:ilvl="8" w:tentative="0">
      <w:start w:val="1"/>
      <w:numFmt w:val="lowerRoman"/>
      <w:lvlText w:val="%9."/>
      <w:lvlJc w:val="right"/>
      <w:pPr>
        <w:tabs>
          <w:tab w:val="left" w:pos="4500"/>
        </w:tabs>
        <w:ind w:left="4500" w:hanging="420"/>
      </w:pPr>
      <w:rPr>
        <w:rFonts w:hint="eastAsia"/>
      </w:rPr>
    </w:lvl>
  </w:abstractNum>
  <w:abstractNum w:abstractNumId="9">
    <w:nsid w:val="AF4B525F"/>
    <w:multiLevelType w:val="singleLevel"/>
    <w:tmpl w:val="AF4B525F"/>
    <w:lvl w:ilvl="0" w:tentative="0">
      <w:start w:val="1"/>
      <w:numFmt w:val="decimal"/>
      <w:lvlText w:val="(%1)"/>
      <w:lvlJc w:val="left"/>
      <w:pPr>
        <w:ind w:left="425" w:hanging="425"/>
      </w:pPr>
      <w:rPr>
        <w:rFonts w:hint="default" w:ascii="宋体" w:hAnsi="宋体" w:eastAsia="宋体" w:cs="宋体"/>
        <w:sz w:val="21"/>
        <w:szCs w:val="21"/>
      </w:rPr>
    </w:lvl>
  </w:abstractNum>
  <w:abstractNum w:abstractNumId="10">
    <w:nsid w:val="BF6BC116"/>
    <w:multiLevelType w:val="singleLevel"/>
    <w:tmpl w:val="BF6BC116"/>
    <w:lvl w:ilvl="0" w:tentative="0">
      <w:start w:val="16"/>
      <w:numFmt w:val="decimal"/>
      <w:suff w:val="space"/>
      <w:lvlText w:val="%1."/>
      <w:lvlJc w:val="left"/>
    </w:lvl>
  </w:abstractNum>
  <w:abstractNum w:abstractNumId="11">
    <w:nsid w:val="C7E48960"/>
    <w:multiLevelType w:val="multilevel"/>
    <w:tmpl w:val="C7E48960"/>
    <w:lvl w:ilvl="0" w:tentative="0">
      <w:start w:val="1"/>
      <w:numFmt w:val="decimal"/>
      <w:suff w:val="space"/>
      <w:lvlText w:val="%1."/>
      <w:lvlJc w:val="left"/>
      <w:pPr>
        <w:ind w:left="420" w:hanging="420"/>
      </w:pPr>
      <w:rPr>
        <w:rFonts w:hint="default" w:ascii="宋体" w:hAnsi="宋体" w:eastAsia="宋体" w:cs="宋体"/>
        <w:sz w:val="21"/>
        <w:szCs w:val="21"/>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2">
    <w:nsid w:val="CB9A4024"/>
    <w:multiLevelType w:val="singleLevel"/>
    <w:tmpl w:val="CB9A4024"/>
    <w:lvl w:ilvl="0" w:tentative="0">
      <w:start w:val="1"/>
      <w:numFmt w:val="decimal"/>
      <w:suff w:val="space"/>
      <w:lvlText w:val="(%1)"/>
      <w:lvlJc w:val="left"/>
      <w:pPr>
        <w:ind w:left="425" w:hanging="425"/>
      </w:pPr>
      <w:rPr>
        <w:rFonts w:hint="default" w:ascii="宋体" w:hAnsi="宋体" w:eastAsia="宋体" w:cs="宋体"/>
        <w:sz w:val="21"/>
        <w:szCs w:val="21"/>
      </w:rPr>
    </w:lvl>
  </w:abstractNum>
  <w:abstractNum w:abstractNumId="13">
    <w:nsid w:val="CD806B66"/>
    <w:multiLevelType w:val="singleLevel"/>
    <w:tmpl w:val="CD806B66"/>
    <w:lvl w:ilvl="0" w:tentative="0">
      <w:start w:val="1"/>
      <w:numFmt w:val="decimal"/>
      <w:lvlText w:val="(%1)"/>
      <w:lvlJc w:val="left"/>
      <w:pPr>
        <w:ind w:left="425" w:hanging="425"/>
      </w:pPr>
      <w:rPr>
        <w:rFonts w:hint="default"/>
      </w:rPr>
    </w:lvl>
  </w:abstractNum>
  <w:abstractNum w:abstractNumId="14">
    <w:nsid w:val="CE0DCF50"/>
    <w:multiLevelType w:val="singleLevel"/>
    <w:tmpl w:val="CE0DCF50"/>
    <w:lvl w:ilvl="0" w:tentative="0">
      <w:start w:val="5"/>
      <w:numFmt w:val="decimal"/>
      <w:lvlText w:val="(%1)"/>
      <w:lvlJc w:val="left"/>
      <w:pPr>
        <w:tabs>
          <w:tab w:val="left" w:pos="420"/>
        </w:tabs>
        <w:ind w:left="425" w:hanging="425"/>
      </w:pPr>
      <w:rPr>
        <w:rFonts w:hint="default"/>
        <w:color w:val="auto"/>
      </w:rPr>
    </w:lvl>
  </w:abstractNum>
  <w:abstractNum w:abstractNumId="15">
    <w:nsid w:val="CFE7C3F8"/>
    <w:multiLevelType w:val="singleLevel"/>
    <w:tmpl w:val="CFE7C3F8"/>
    <w:lvl w:ilvl="0" w:tentative="0">
      <w:start w:val="1"/>
      <w:numFmt w:val="decimal"/>
      <w:suff w:val="nothing"/>
      <w:lvlText w:val="（%1）"/>
      <w:lvlJc w:val="left"/>
    </w:lvl>
  </w:abstractNum>
  <w:abstractNum w:abstractNumId="16">
    <w:nsid w:val="D7F52C59"/>
    <w:multiLevelType w:val="singleLevel"/>
    <w:tmpl w:val="D7F52C59"/>
    <w:lvl w:ilvl="0" w:tentative="0">
      <w:start w:val="1"/>
      <w:numFmt w:val="decimal"/>
      <w:lvlText w:val="(%1)"/>
      <w:lvlJc w:val="left"/>
      <w:pPr>
        <w:ind w:left="425" w:hanging="425"/>
      </w:pPr>
      <w:rPr>
        <w:rFonts w:hint="default" w:ascii="宋体" w:hAnsi="宋体" w:eastAsia="宋体" w:cs="宋体"/>
        <w:sz w:val="21"/>
        <w:szCs w:val="21"/>
      </w:rPr>
    </w:lvl>
  </w:abstractNum>
  <w:abstractNum w:abstractNumId="17">
    <w:nsid w:val="DDECD3BC"/>
    <w:multiLevelType w:val="singleLevel"/>
    <w:tmpl w:val="DDECD3BC"/>
    <w:lvl w:ilvl="0" w:tentative="0">
      <w:start w:val="6"/>
      <w:numFmt w:val="decimal"/>
      <w:suff w:val="space"/>
      <w:lvlText w:val="%1."/>
      <w:lvlJc w:val="left"/>
    </w:lvl>
  </w:abstractNum>
  <w:abstractNum w:abstractNumId="18">
    <w:nsid w:val="DE759F4B"/>
    <w:multiLevelType w:val="singleLevel"/>
    <w:tmpl w:val="DE759F4B"/>
    <w:lvl w:ilvl="0" w:tentative="0">
      <w:start w:val="2"/>
      <w:numFmt w:val="decimal"/>
      <w:suff w:val="space"/>
      <w:lvlText w:val="%1."/>
      <w:lvlJc w:val="left"/>
    </w:lvl>
  </w:abstractNum>
  <w:abstractNum w:abstractNumId="19">
    <w:nsid w:val="DEABE1DB"/>
    <w:multiLevelType w:val="singleLevel"/>
    <w:tmpl w:val="DEABE1DB"/>
    <w:lvl w:ilvl="0" w:tentative="0">
      <w:start w:val="23"/>
      <w:numFmt w:val="decimal"/>
      <w:suff w:val="space"/>
      <w:lvlText w:val="%1."/>
      <w:lvlJc w:val="left"/>
    </w:lvl>
  </w:abstractNum>
  <w:abstractNum w:abstractNumId="20">
    <w:nsid w:val="EEDDE438"/>
    <w:multiLevelType w:val="multilevel"/>
    <w:tmpl w:val="EEDDE438"/>
    <w:lvl w:ilvl="0" w:tentative="0">
      <w:start w:val="1"/>
      <w:numFmt w:val="chineseCountingThousand"/>
      <w:suff w:val="space"/>
      <w:lvlText w:val="%1、"/>
      <w:lvlJc w:val="left"/>
      <w:pPr>
        <w:ind w:left="420" w:hanging="420"/>
      </w:pPr>
      <w:rPr>
        <w:rFonts w:hint="eastAsia" w:ascii="宋体" w:hAnsi="宋体" w:eastAsia="宋体" w:cs="宋体"/>
        <w:sz w:val="24"/>
        <w:szCs w:val="24"/>
      </w:rPr>
    </w:lvl>
    <w:lvl w:ilvl="1" w:tentative="0">
      <w:start w:val="1"/>
      <w:numFmt w:val="lowerLetter"/>
      <w:lvlText w:val="%2)"/>
      <w:lvlJc w:val="left"/>
      <w:pPr>
        <w:tabs>
          <w:tab w:val="left" w:pos="840"/>
        </w:tabs>
        <w:ind w:left="840" w:hanging="420"/>
      </w:pPr>
      <w:rPr>
        <w:rFonts w:hint="eastAsia"/>
      </w:rPr>
    </w:lvl>
    <w:lvl w:ilvl="2" w:tentative="0">
      <w:start w:val="1"/>
      <w:numFmt w:val="lowerRoman"/>
      <w:lvlText w:val="%3."/>
      <w:lvlJc w:val="right"/>
      <w:pPr>
        <w:tabs>
          <w:tab w:val="left" w:pos="1260"/>
        </w:tabs>
        <w:ind w:left="1260" w:hanging="420"/>
      </w:pPr>
      <w:rPr>
        <w:rFonts w:hint="eastAsia"/>
      </w:rPr>
    </w:lvl>
    <w:lvl w:ilvl="3" w:tentative="0">
      <w:start w:val="1"/>
      <w:numFmt w:val="decimal"/>
      <w:lvlText w:val="%4."/>
      <w:lvlJc w:val="left"/>
      <w:pPr>
        <w:tabs>
          <w:tab w:val="left" w:pos="1680"/>
        </w:tabs>
        <w:ind w:left="1680" w:hanging="420"/>
      </w:pPr>
      <w:rPr>
        <w:rFonts w:hint="eastAsia"/>
      </w:rPr>
    </w:lvl>
    <w:lvl w:ilvl="4" w:tentative="0">
      <w:start w:val="1"/>
      <w:numFmt w:val="lowerLetter"/>
      <w:lvlText w:val="%5)"/>
      <w:lvlJc w:val="left"/>
      <w:pPr>
        <w:tabs>
          <w:tab w:val="left" w:pos="2100"/>
        </w:tabs>
        <w:ind w:left="2100" w:hanging="420"/>
      </w:pPr>
      <w:rPr>
        <w:rFonts w:hint="eastAsia"/>
      </w:rPr>
    </w:lvl>
    <w:lvl w:ilvl="5" w:tentative="0">
      <w:start w:val="1"/>
      <w:numFmt w:val="lowerRoman"/>
      <w:lvlText w:val="%6."/>
      <w:lvlJc w:val="right"/>
      <w:pPr>
        <w:tabs>
          <w:tab w:val="left" w:pos="2520"/>
        </w:tabs>
        <w:ind w:left="2520" w:hanging="420"/>
      </w:pPr>
      <w:rPr>
        <w:rFonts w:hint="eastAsia"/>
      </w:rPr>
    </w:lvl>
    <w:lvl w:ilvl="6" w:tentative="0">
      <w:start w:val="1"/>
      <w:numFmt w:val="decimal"/>
      <w:lvlText w:val="%7."/>
      <w:lvlJc w:val="left"/>
      <w:pPr>
        <w:tabs>
          <w:tab w:val="left" w:pos="2940"/>
        </w:tabs>
        <w:ind w:left="2940" w:hanging="420"/>
      </w:pPr>
      <w:rPr>
        <w:rFonts w:hint="eastAsia"/>
      </w:rPr>
    </w:lvl>
    <w:lvl w:ilvl="7" w:tentative="0">
      <w:start w:val="1"/>
      <w:numFmt w:val="lowerLetter"/>
      <w:lvlText w:val="%8)"/>
      <w:lvlJc w:val="left"/>
      <w:pPr>
        <w:tabs>
          <w:tab w:val="left" w:pos="3360"/>
        </w:tabs>
        <w:ind w:left="3360" w:hanging="420"/>
      </w:pPr>
      <w:rPr>
        <w:rFonts w:hint="eastAsia"/>
      </w:rPr>
    </w:lvl>
    <w:lvl w:ilvl="8" w:tentative="0">
      <w:start w:val="1"/>
      <w:numFmt w:val="lowerRoman"/>
      <w:lvlText w:val="%9."/>
      <w:lvlJc w:val="right"/>
      <w:pPr>
        <w:tabs>
          <w:tab w:val="left" w:pos="3780"/>
        </w:tabs>
        <w:ind w:left="3780" w:hanging="420"/>
      </w:pPr>
      <w:rPr>
        <w:rFonts w:hint="eastAsia"/>
      </w:rPr>
    </w:lvl>
  </w:abstractNum>
  <w:abstractNum w:abstractNumId="21">
    <w:nsid w:val="1068C811"/>
    <w:multiLevelType w:val="singleLevel"/>
    <w:tmpl w:val="1068C811"/>
    <w:lvl w:ilvl="0" w:tentative="0">
      <w:start w:val="1"/>
      <w:numFmt w:val="decimal"/>
      <w:suff w:val="space"/>
      <w:lvlText w:val="%1."/>
      <w:lvlJc w:val="left"/>
    </w:lvl>
  </w:abstractNum>
  <w:abstractNum w:abstractNumId="22">
    <w:nsid w:val="19D0706F"/>
    <w:multiLevelType w:val="singleLevel"/>
    <w:tmpl w:val="19D0706F"/>
    <w:lvl w:ilvl="0" w:tentative="0">
      <w:start w:val="1"/>
      <w:numFmt w:val="decimal"/>
      <w:suff w:val="space"/>
      <w:lvlText w:val="%1."/>
      <w:lvlJc w:val="left"/>
      <w:rPr>
        <w:rFonts w:hint="default"/>
        <w:b w:val="0"/>
        <w:bCs w:val="0"/>
        <w:color w:val="auto"/>
      </w:rPr>
    </w:lvl>
  </w:abstractNum>
  <w:abstractNum w:abstractNumId="23">
    <w:nsid w:val="2B15AD7D"/>
    <w:multiLevelType w:val="singleLevel"/>
    <w:tmpl w:val="2B15AD7D"/>
    <w:lvl w:ilvl="0" w:tentative="0">
      <w:start w:val="1"/>
      <w:numFmt w:val="decimal"/>
      <w:lvlText w:val="(%1)"/>
      <w:lvlJc w:val="left"/>
      <w:pPr>
        <w:tabs>
          <w:tab w:val="left" w:pos="312"/>
        </w:tabs>
      </w:pPr>
    </w:lvl>
  </w:abstractNum>
  <w:abstractNum w:abstractNumId="24">
    <w:nsid w:val="2D6A2507"/>
    <w:multiLevelType w:val="singleLevel"/>
    <w:tmpl w:val="2D6A2507"/>
    <w:lvl w:ilvl="0" w:tentative="0">
      <w:start w:val="1"/>
      <w:numFmt w:val="decimal"/>
      <w:lvlText w:val="(%1)"/>
      <w:lvlJc w:val="left"/>
      <w:pPr>
        <w:ind w:left="425" w:hanging="425"/>
      </w:pPr>
      <w:rPr>
        <w:rFonts w:hint="default"/>
      </w:rPr>
    </w:lvl>
  </w:abstractNum>
  <w:abstractNum w:abstractNumId="25">
    <w:nsid w:val="4F3FF634"/>
    <w:multiLevelType w:val="singleLevel"/>
    <w:tmpl w:val="4F3FF634"/>
    <w:lvl w:ilvl="0" w:tentative="0">
      <w:start w:val="2"/>
      <w:numFmt w:val="decimal"/>
      <w:lvlText w:val="%1."/>
      <w:lvlJc w:val="left"/>
      <w:pPr>
        <w:tabs>
          <w:tab w:val="left" w:pos="312"/>
        </w:tabs>
      </w:pPr>
    </w:lvl>
  </w:abstractNum>
  <w:abstractNum w:abstractNumId="26">
    <w:nsid w:val="52E129BB"/>
    <w:multiLevelType w:val="singleLevel"/>
    <w:tmpl w:val="52E129BB"/>
    <w:lvl w:ilvl="0" w:tentative="0">
      <w:start w:val="1"/>
      <w:numFmt w:val="decimal"/>
      <w:lvlText w:val="(%1)"/>
      <w:lvlJc w:val="left"/>
      <w:pPr>
        <w:ind w:left="425" w:hanging="425"/>
      </w:pPr>
      <w:rPr>
        <w:rFonts w:hint="default" w:ascii="宋体" w:hAnsi="宋体" w:eastAsia="宋体" w:cs="宋体"/>
        <w:sz w:val="21"/>
        <w:szCs w:val="21"/>
      </w:rPr>
    </w:lvl>
  </w:abstractNum>
  <w:abstractNum w:abstractNumId="27">
    <w:nsid w:val="59CF4B5C"/>
    <w:multiLevelType w:val="singleLevel"/>
    <w:tmpl w:val="59CF4B5C"/>
    <w:lvl w:ilvl="0" w:tentative="0">
      <w:start w:val="1"/>
      <w:numFmt w:val="chineseCounting"/>
      <w:suff w:val="nothing"/>
      <w:lvlText w:val="%1、"/>
      <w:lvlJc w:val="left"/>
    </w:lvl>
  </w:abstractNum>
  <w:abstractNum w:abstractNumId="28">
    <w:nsid w:val="677E0E1F"/>
    <w:multiLevelType w:val="multilevel"/>
    <w:tmpl w:val="677E0E1F"/>
    <w:lvl w:ilvl="0" w:tentative="0">
      <w:start w:val="1"/>
      <w:numFmt w:val="chineseCountingThousand"/>
      <w:lvlText w:val="%1、"/>
      <w:lvlJc w:val="left"/>
      <w:pPr>
        <w:tabs>
          <w:tab w:val="left" w:pos="420"/>
        </w:tabs>
        <w:ind w:left="420" w:hanging="420"/>
      </w:pPr>
      <w:rPr>
        <w:rFonts w:hint="eastAsia"/>
        <w:color w:val="auto"/>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9">
    <w:nsid w:val="6BDA4796"/>
    <w:multiLevelType w:val="singleLevel"/>
    <w:tmpl w:val="6BDA4796"/>
    <w:lvl w:ilvl="0" w:tentative="0">
      <w:start w:val="1"/>
      <w:numFmt w:val="decimal"/>
      <w:lvlText w:val="(%1)"/>
      <w:lvlJc w:val="left"/>
      <w:pPr>
        <w:ind w:left="425" w:hanging="425"/>
      </w:pPr>
      <w:rPr>
        <w:rFonts w:hint="default" w:ascii="宋体" w:hAnsi="宋体" w:eastAsia="宋体" w:cs="宋体"/>
        <w:sz w:val="21"/>
        <w:szCs w:val="21"/>
      </w:rPr>
    </w:lvl>
  </w:abstractNum>
  <w:abstractNum w:abstractNumId="30">
    <w:nsid w:val="70310A14"/>
    <w:multiLevelType w:val="singleLevel"/>
    <w:tmpl w:val="70310A14"/>
    <w:lvl w:ilvl="0" w:tentative="0">
      <w:start w:val="3"/>
      <w:numFmt w:val="decimal"/>
      <w:lvlText w:val="(%1)"/>
      <w:lvlJc w:val="left"/>
      <w:pPr>
        <w:tabs>
          <w:tab w:val="left" w:pos="420"/>
        </w:tabs>
        <w:ind w:left="425" w:hanging="425"/>
      </w:pPr>
      <w:rPr>
        <w:rFonts w:hint="default" w:ascii="宋体" w:hAnsi="宋体" w:eastAsia="宋体" w:cs="宋体"/>
        <w:color w:val="auto"/>
        <w:sz w:val="21"/>
        <w:szCs w:val="21"/>
      </w:rPr>
    </w:lvl>
  </w:abstractNum>
  <w:abstractNum w:abstractNumId="31">
    <w:nsid w:val="75BB5789"/>
    <w:multiLevelType w:val="singleLevel"/>
    <w:tmpl w:val="75BB5789"/>
    <w:lvl w:ilvl="0" w:tentative="0">
      <w:start w:val="1"/>
      <w:numFmt w:val="decimal"/>
      <w:lvlText w:val="(%1)"/>
      <w:lvlJc w:val="left"/>
      <w:pPr>
        <w:ind w:left="425" w:hanging="425"/>
      </w:pPr>
      <w:rPr>
        <w:rFonts w:hint="default" w:ascii="宋体" w:hAnsi="宋体" w:eastAsia="宋体" w:cs="宋体"/>
        <w:sz w:val="21"/>
        <w:szCs w:val="21"/>
      </w:rPr>
    </w:lvl>
  </w:abstractNum>
  <w:abstractNum w:abstractNumId="32">
    <w:nsid w:val="75FCE177"/>
    <w:multiLevelType w:val="singleLevel"/>
    <w:tmpl w:val="75FCE177"/>
    <w:lvl w:ilvl="0" w:tentative="0">
      <w:start w:val="1"/>
      <w:numFmt w:val="chineseCountingThousand"/>
      <w:suff w:val="space"/>
      <w:lvlText w:val="%1、"/>
      <w:lvlJc w:val="left"/>
      <w:pPr>
        <w:ind w:left="420" w:hanging="420"/>
      </w:pPr>
      <w:rPr>
        <w:rFonts w:hint="eastAsia"/>
      </w:rPr>
    </w:lvl>
  </w:abstractNum>
  <w:abstractNum w:abstractNumId="33">
    <w:nsid w:val="7755585C"/>
    <w:multiLevelType w:val="multilevel"/>
    <w:tmpl w:val="7755585C"/>
    <w:lvl w:ilvl="0" w:tentative="0">
      <w:start w:val="1"/>
      <w:numFmt w:val="bullet"/>
      <w:pStyle w:val="85"/>
      <w:lvlText w:val=""/>
      <w:lvlJc w:val="left"/>
      <w:pPr>
        <w:tabs>
          <w:tab w:val="left" w:pos="284"/>
        </w:tabs>
        <w:ind w:left="284" w:hanging="284"/>
      </w:pPr>
      <w:rPr>
        <w:rFonts w:hint="default" w:ascii="Wingdings" w:hAnsi="Wingdings"/>
        <w:color w:val="auto"/>
        <w:sz w:val="13"/>
        <w:u w:val="none"/>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34">
    <w:nsid w:val="77A3072A"/>
    <w:multiLevelType w:val="singleLevel"/>
    <w:tmpl w:val="77A3072A"/>
    <w:lvl w:ilvl="0" w:tentative="0">
      <w:start w:val="1"/>
      <w:numFmt w:val="decimal"/>
      <w:lvlText w:val="(%1)"/>
      <w:lvlJc w:val="left"/>
      <w:pPr>
        <w:ind w:left="425" w:hanging="425"/>
      </w:pPr>
      <w:rPr>
        <w:rFonts w:hint="default"/>
      </w:rPr>
    </w:lvl>
  </w:abstractNum>
  <w:abstractNum w:abstractNumId="35">
    <w:nsid w:val="7A0F6431"/>
    <w:multiLevelType w:val="singleLevel"/>
    <w:tmpl w:val="7A0F6431"/>
    <w:lvl w:ilvl="0" w:tentative="0">
      <w:start w:val="1"/>
      <w:numFmt w:val="decimal"/>
      <w:suff w:val="space"/>
      <w:lvlText w:val="%1."/>
      <w:lvlJc w:val="left"/>
    </w:lvl>
  </w:abstractNum>
  <w:abstractNum w:abstractNumId="36">
    <w:nsid w:val="7D82545E"/>
    <w:multiLevelType w:val="singleLevel"/>
    <w:tmpl w:val="7D82545E"/>
    <w:lvl w:ilvl="0" w:tentative="0">
      <w:start w:val="1"/>
      <w:numFmt w:val="decimal"/>
      <w:lvlText w:val="(%1)"/>
      <w:lvlJc w:val="left"/>
      <w:pPr>
        <w:ind w:left="425" w:hanging="425"/>
      </w:pPr>
      <w:rPr>
        <w:rFonts w:hint="default" w:ascii="宋体" w:hAnsi="宋体" w:eastAsia="宋体" w:cs="宋体"/>
        <w:sz w:val="21"/>
        <w:szCs w:val="21"/>
      </w:rPr>
    </w:lvl>
  </w:abstractNum>
  <w:num w:numId="1">
    <w:abstractNumId w:val="33"/>
  </w:num>
  <w:num w:numId="2">
    <w:abstractNumId w:val="22"/>
  </w:num>
  <w:num w:numId="3">
    <w:abstractNumId w:val="6"/>
  </w:num>
  <w:num w:numId="4">
    <w:abstractNumId w:val="5"/>
  </w:num>
  <w:num w:numId="5">
    <w:abstractNumId w:val="7"/>
  </w:num>
  <w:num w:numId="6">
    <w:abstractNumId w:val="31"/>
  </w:num>
  <w:num w:numId="7">
    <w:abstractNumId w:val="12"/>
  </w:num>
  <w:num w:numId="8">
    <w:abstractNumId w:val="8"/>
  </w:num>
  <w:num w:numId="9">
    <w:abstractNumId w:val="29"/>
  </w:num>
  <w:num w:numId="10">
    <w:abstractNumId w:val="9"/>
  </w:num>
  <w:num w:numId="11">
    <w:abstractNumId w:val="26"/>
  </w:num>
  <w:num w:numId="12">
    <w:abstractNumId w:val="30"/>
  </w:num>
  <w:num w:numId="13">
    <w:abstractNumId w:val="14"/>
  </w:num>
  <w:num w:numId="14">
    <w:abstractNumId w:val="0"/>
  </w:num>
  <w:num w:numId="15">
    <w:abstractNumId w:val="16"/>
  </w:num>
  <w:num w:numId="16">
    <w:abstractNumId w:val="36"/>
  </w:num>
  <w:num w:numId="17">
    <w:abstractNumId w:val="25"/>
  </w:num>
  <w:num w:numId="18">
    <w:abstractNumId w:val="21"/>
  </w:num>
  <w:num w:numId="19">
    <w:abstractNumId w:val="3"/>
  </w:num>
  <w:num w:numId="20">
    <w:abstractNumId w:val="24"/>
  </w:num>
  <w:num w:numId="21">
    <w:abstractNumId w:val="13"/>
  </w:num>
  <w:num w:numId="22">
    <w:abstractNumId w:val="34"/>
  </w:num>
  <w:num w:numId="23">
    <w:abstractNumId w:val="2"/>
  </w:num>
  <w:num w:numId="24">
    <w:abstractNumId w:val="35"/>
  </w:num>
  <w:num w:numId="25">
    <w:abstractNumId w:val="15"/>
  </w:num>
  <w:num w:numId="26">
    <w:abstractNumId w:val="18"/>
  </w:num>
  <w:num w:numId="27">
    <w:abstractNumId w:val="17"/>
  </w:num>
  <w:num w:numId="28">
    <w:abstractNumId w:val="10"/>
  </w:num>
  <w:num w:numId="29">
    <w:abstractNumId w:val="19"/>
  </w:num>
  <w:num w:numId="30">
    <w:abstractNumId w:val="27"/>
  </w:num>
  <w:num w:numId="31">
    <w:abstractNumId w:val="28"/>
  </w:num>
  <w:num w:numId="32">
    <w:abstractNumId w:val="1"/>
  </w:num>
  <w:num w:numId="33">
    <w:abstractNumId w:val="32"/>
  </w:num>
  <w:num w:numId="34">
    <w:abstractNumId w:val="4"/>
  </w:num>
  <w:num w:numId="35">
    <w:abstractNumId w:val="20"/>
  </w:num>
  <w:num w:numId="36">
    <w:abstractNumId w:val="11"/>
  </w:num>
  <w:num w:numId="37">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105"/>
  <w:drawingGridVerticalSpacing w:val="159"/>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c3ZmMzODVhZTUwMGNkMGJjYWViZmY3ODllOTFjMWEifQ=="/>
  </w:docVars>
  <w:rsids>
    <w:rsidRoot w:val="00F83532"/>
    <w:rsid w:val="000029BA"/>
    <w:rsid w:val="00003D75"/>
    <w:rsid w:val="00004158"/>
    <w:rsid w:val="000047F5"/>
    <w:rsid w:val="000061C4"/>
    <w:rsid w:val="00006F6B"/>
    <w:rsid w:val="00020245"/>
    <w:rsid w:val="00020554"/>
    <w:rsid w:val="00021A8A"/>
    <w:rsid w:val="00021BF2"/>
    <w:rsid w:val="000245D8"/>
    <w:rsid w:val="000247D7"/>
    <w:rsid w:val="00025569"/>
    <w:rsid w:val="000258B6"/>
    <w:rsid w:val="00025B7B"/>
    <w:rsid w:val="00025E7D"/>
    <w:rsid w:val="00027B5B"/>
    <w:rsid w:val="00027C9F"/>
    <w:rsid w:val="00030D44"/>
    <w:rsid w:val="00031170"/>
    <w:rsid w:val="000323EE"/>
    <w:rsid w:val="00032C86"/>
    <w:rsid w:val="00032ECB"/>
    <w:rsid w:val="00033193"/>
    <w:rsid w:val="00033259"/>
    <w:rsid w:val="000400D8"/>
    <w:rsid w:val="00041229"/>
    <w:rsid w:val="000413F5"/>
    <w:rsid w:val="00043874"/>
    <w:rsid w:val="00044E70"/>
    <w:rsid w:val="0004534E"/>
    <w:rsid w:val="00045B39"/>
    <w:rsid w:val="00046087"/>
    <w:rsid w:val="000469A5"/>
    <w:rsid w:val="00046C65"/>
    <w:rsid w:val="00047880"/>
    <w:rsid w:val="000478D4"/>
    <w:rsid w:val="00051922"/>
    <w:rsid w:val="00053296"/>
    <w:rsid w:val="00054B92"/>
    <w:rsid w:val="00055664"/>
    <w:rsid w:val="00055C61"/>
    <w:rsid w:val="0005651F"/>
    <w:rsid w:val="00056F69"/>
    <w:rsid w:val="000578E9"/>
    <w:rsid w:val="00062A63"/>
    <w:rsid w:val="00064D6F"/>
    <w:rsid w:val="0006507F"/>
    <w:rsid w:val="00065361"/>
    <w:rsid w:val="0006621E"/>
    <w:rsid w:val="0006656B"/>
    <w:rsid w:val="000672AD"/>
    <w:rsid w:val="000672D6"/>
    <w:rsid w:val="00067710"/>
    <w:rsid w:val="00070189"/>
    <w:rsid w:val="00070342"/>
    <w:rsid w:val="0007071D"/>
    <w:rsid w:val="0007144E"/>
    <w:rsid w:val="00071BA7"/>
    <w:rsid w:val="00073716"/>
    <w:rsid w:val="00074050"/>
    <w:rsid w:val="0008004D"/>
    <w:rsid w:val="00080C64"/>
    <w:rsid w:val="00083B3C"/>
    <w:rsid w:val="00084D85"/>
    <w:rsid w:val="0008534A"/>
    <w:rsid w:val="00086C92"/>
    <w:rsid w:val="00087738"/>
    <w:rsid w:val="000909F5"/>
    <w:rsid w:val="000920D5"/>
    <w:rsid w:val="000970EA"/>
    <w:rsid w:val="0009785D"/>
    <w:rsid w:val="000A047C"/>
    <w:rsid w:val="000A0786"/>
    <w:rsid w:val="000A3946"/>
    <w:rsid w:val="000A46CE"/>
    <w:rsid w:val="000A58F8"/>
    <w:rsid w:val="000A5AE2"/>
    <w:rsid w:val="000A6D95"/>
    <w:rsid w:val="000B045B"/>
    <w:rsid w:val="000B0A5F"/>
    <w:rsid w:val="000B0E6A"/>
    <w:rsid w:val="000B108C"/>
    <w:rsid w:val="000B162C"/>
    <w:rsid w:val="000B16D0"/>
    <w:rsid w:val="000B1BC6"/>
    <w:rsid w:val="000B2E23"/>
    <w:rsid w:val="000B3B6B"/>
    <w:rsid w:val="000B4447"/>
    <w:rsid w:val="000B446B"/>
    <w:rsid w:val="000B544E"/>
    <w:rsid w:val="000B66C1"/>
    <w:rsid w:val="000B7B1E"/>
    <w:rsid w:val="000C1A6A"/>
    <w:rsid w:val="000C2929"/>
    <w:rsid w:val="000C2E27"/>
    <w:rsid w:val="000C38F8"/>
    <w:rsid w:val="000C4471"/>
    <w:rsid w:val="000C47CB"/>
    <w:rsid w:val="000C4896"/>
    <w:rsid w:val="000C6037"/>
    <w:rsid w:val="000D00E2"/>
    <w:rsid w:val="000D0B24"/>
    <w:rsid w:val="000D0CD3"/>
    <w:rsid w:val="000D18A7"/>
    <w:rsid w:val="000D1A07"/>
    <w:rsid w:val="000D1F60"/>
    <w:rsid w:val="000D2F9C"/>
    <w:rsid w:val="000D5A3E"/>
    <w:rsid w:val="000D60B0"/>
    <w:rsid w:val="000D7537"/>
    <w:rsid w:val="000E0098"/>
    <w:rsid w:val="000E03F5"/>
    <w:rsid w:val="000E0C38"/>
    <w:rsid w:val="000E2FBF"/>
    <w:rsid w:val="000E35C6"/>
    <w:rsid w:val="000E384F"/>
    <w:rsid w:val="000E3A24"/>
    <w:rsid w:val="000E5F73"/>
    <w:rsid w:val="000E66FB"/>
    <w:rsid w:val="000E6C3D"/>
    <w:rsid w:val="000E75FA"/>
    <w:rsid w:val="000F01CD"/>
    <w:rsid w:val="000F1B6D"/>
    <w:rsid w:val="000F2100"/>
    <w:rsid w:val="000F26AB"/>
    <w:rsid w:val="000F2F12"/>
    <w:rsid w:val="000F31F7"/>
    <w:rsid w:val="000F3851"/>
    <w:rsid w:val="000F4117"/>
    <w:rsid w:val="000F4407"/>
    <w:rsid w:val="000F53A5"/>
    <w:rsid w:val="000F54B7"/>
    <w:rsid w:val="000F765B"/>
    <w:rsid w:val="00101CB4"/>
    <w:rsid w:val="00102DDC"/>
    <w:rsid w:val="00102F7C"/>
    <w:rsid w:val="00103189"/>
    <w:rsid w:val="0010345F"/>
    <w:rsid w:val="00103F0C"/>
    <w:rsid w:val="00104C4D"/>
    <w:rsid w:val="00106EF0"/>
    <w:rsid w:val="00107628"/>
    <w:rsid w:val="00110008"/>
    <w:rsid w:val="0011061F"/>
    <w:rsid w:val="00110A0B"/>
    <w:rsid w:val="00110D5D"/>
    <w:rsid w:val="00110EA4"/>
    <w:rsid w:val="00111116"/>
    <w:rsid w:val="00112B0D"/>
    <w:rsid w:val="00112BA5"/>
    <w:rsid w:val="00113D35"/>
    <w:rsid w:val="001204F3"/>
    <w:rsid w:val="00120A4A"/>
    <w:rsid w:val="00120B69"/>
    <w:rsid w:val="00121B2E"/>
    <w:rsid w:val="00121F02"/>
    <w:rsid w:val="00122CAB"/>
    <w:rsid w:val="00123108"/>
    <w:rsid w:val="0012464A"/>
    <w:rsid w:val="00125FA2"/>
    <w:rsid w:val="00126261"/>
    <w:rsid w:val="001263EB"/>
    <w:rsid w:val="0012677A"/>
    <w:rsid w:val="00127041"/>
    <w:rsid w:val="00131299"/>
    <w:rsid w:val="00132F16"/>
    <w:rsid w:val="00133A2F"/>
    <w:rsid w:val="00134D12"/>
    <w:rsid w:val="00135135"/>
    <w:rsid w:val="0013540D"/>
    <w:rsid w:val="00135DAF"/>
    <w:rsid w:val="00136891"/>
    <w:rsid w:val="001400A0"/>
    <w:rsid w:val="00141601"/>
    <w:rsid w:val="00141C08"/>
    <w:rsid w:val="0014239D"/>
    <w:rsid w:val="00142523"/>
    <w:rsid w:val="00143314"/>
    <w:rsid w:val="001434BD"/>
    <w:rsid w:val="00144609"/>
    <w:rsid w:val="001449FE"/>
    <w:rsid w:val="001470AF"/>
    <w:rsid w:val="00147146"/>
    <w:rsid w:val="0014751D"/>
    <w:rsid w:val="001515B6"/>
    <w:rsid w:val="00151FF2"/>
    <w:rsid w:val="00155CE3"/>
    <w:rsid w:val="00156941"/>
    <w:rsid w:val="001613E5"/>
    <w:rsid w:val="0016142B"/>
    <w:rsid w:val="001615B4"/>
    <w:rsid w:val="00161EF9"/>
    <w:rsid w:val="00163B2C"/>
    <w:rsid w:val="00163EE2"/>
    <w:rsid w:val="00164C26"/>
    <w:rsid w:val="001655A7"/>
    <w:rsid w:val="0016680A"/>
    <w:rsid w:val="00167D0D"/>
    <w:rsid w:val="0017030E"/>
    <w:rsid w:val="00170718"/>
    <w:rsid w:val="0017099D"/>
    <w:rsid w:val="00173302"/>
    <w:rsid w:val="00174A7F"/>
    <w:rsid w:val="0018079A"/>
    <w:rsid w:val="0018099E"/>
    <w:rsid w:val="0018149E"/>
    <w:rsid w:val="001824B0"/>
    <w:rsid w:val="00182581"/>
    <w:rsid w:val="00182C68"/>
    <w:rsid w:val="00184442"/>
    <w:rsid w:val="00184869"/>
    <w:rsid w:val="00184AC3"/>
    <w:rsid w:val="001874C9"/>
    <w:rsid w:val="00187BC7"/>
    <w:rsid w:val="00190643"/>
    <w:rsid w:val="001911E4"/>
    <w:rsid w:val="00192EF8"/>
    <w:rsid w:val="001933FC"/>
    <w:rsid w:val="0019375D"/>
    <w:rsid w:val="0019451B"/>
    <w:rsid w:val="001A33AE"/>
    <w:rsid w:val="001A4A49"/>
    <w:rsid w:val="001A61A0"/>
    <w:rsid w:val="001A72AC"/>
    <w:rsid w:val="001A7FF9"/>
    <w:rsid w:val="001B0577"/>
    <w:rsid w:val="001B158C"/>
    <w:rsid w:val="001B223C"/>
    <w:rsid w:val="001B2563"/>
    <w:rsid w:val="001B3D5C"/>
    <w:rsid w:val="001B43E6"/>
    <w:rsid w:val="001B4D80"/>
    <w:rsid w:val="001B5D80"/>
    <w:rsid w:val="001B7DAD"/>
    <w:rsid w:val="001C046D"/>
    <w:rsid w:val="001C0CBA"/>
    <w:rsid w:val="001C0F6E"/>
    <w:rsid w:val="001C1414"/>
    <w:rsid w:val="001C283D"/>
    <w:rsid w:val="001C3ABB"/>
    <w:rsid w:val="001C49A0"/>
    <w:rsid w:val="001C5009"/>
    <w:rsid w:val="001C55F2"/>
    <w:rsid w:val="001C735D"/>
    <w:rsid w:val="001C74C9"/>
    <w:rsid w:val="001C755D"/>
    <w:rsid w:val="001D0462"/>
    <w:rsid w:val="001D0B6E"/>
    <w:rsid w:val="001D21E2"/>
    <w:rsid w:val="001D43D3"/>
    <w:rsid w:val="001D4AF1"/>
    <w:rsid w:val="001D707C"/>
    <w:rsid w:val="001D7DB7"/>
    <w:rsid w:val="001E1D67"/>
    <w:rsid w:val="001E287B"/>
    <w:rsid w:val="001E2C4F"/>
    <w:rsid w:val="001E2CFE"/>
    <w:rsid w:val="001E38D0"/>
    <w:rsid w:val="001E44CF"/>
    <w:rsid w:val="001E5A5A"/>
    <w:rsid w:val="001E6976"/>
    <w:rsid w:val="001F0A1C"/>
    <w:rsid w:val="001F244B"/>
    <w:rsid w:val="001F40C7"/>
    <w:rsid w:val="001F5CDD"/>
    <w:rsid w:val="001F6923"/>
    <w:rsid w:val="001F6D80"/>
    <w:rsid w:val="001F7B05"/>
    <w:rsid w:val="001F7E91"/>
    <w:rsid w:val="00200650"/>
    <w:rsid w:val="002008A8"/>
    <w:rsid w:val="0020134D"/>
    <w:rsid w:val="002033F4"/>
    <w:rsid w:val="00203497"/>
    <w:rsid w:val="002037C5"/>
    <w:rsid w:val="00206DBB"/>
    <w:rsid w:val="00206DC3"/>
    <w:rsid w:val="00207D64"/>
    <w:rsid w:val="002104A6"/>
    <w:rsid w:val="00210C5C"/>
    <w:rsid w:val="00210FB5"/>
    <w:rsid w:val="00211C1F"/>
    <w:rsid w:val="00211EA1"/>
    <w:rsid w:val="00213722"/>
    <w:rsid w:val="00213956"/>
    <w:rsid w:val="00214B94"/>
    <w:rsid w:val="00214C49"/>
    <w:rsid w:val="0021519C"/>
    <w:rsid w:val="00215270"/>
    <w:rsid w:val="00216178"/>
    <w:rsid w:val="002167A2"/>
    <w:rsid w:val="00216CDE"/>
    <w:rsid w:val="00217D5B"/>
    <w:rsid w:val="00220FD2"/>
    <w:rsid w:val="0022286A"/>
    <w:rsid w:val="00223304"/>
    <w:rsid w:val="00223A9C"/>
    <w:rsid w:val="00224B8C"/>
    <w:rsid w:val="00224D8E"/>
    <w:rsid w:val="00225CBC"/>
    <w:rsid w:val="00226FB3"/>
    <w:rsid w:val="00230109"/>
    <w:rsid w:val="0023080E"/>
    <w:rsid w:val="00230F4D"/>
    <w:rsid w:val="00231474"/>
    <w:rsid w:val="002320CA"/>
    <w:rsid w:val="0023284E"/>
    <w:rsid w:val="00232D2F"/>
    <w:rsid w:val="00233086"/>
    <w:rsid w:val="00233BD0"/>
    <w:rsid w:val="00233DD1"/>
    <w:rsid w:val="00233EA5"/>
    <w:rsid w:val="0023453A"/>
    <w:rsid w:val="00234C1F"/>
    <w:rsid w:val="00234C73"/>
    <w:rsid w:val="00235117"/>
    <w:rsid w:val="00235ABD"/>
    <w:rsid w:val="00235E1C"/>
    <w:rsid w:val="00236A87"/>
    <w:rsid w:val="002400CE"/>
    <w:rsid w:val="00242DD5"/>
    <w:rsid w:val="002441D1"/>
    <w:rsid w:val="002442B1"/>
    <w:rsid w:val="00244707"/>
    <w:rsid w:val="00247771"/>
    <w:rsid w:val="00251B11"/>
    <w:rsid w:val="00251DC2"/>
    <w:rsid w:val="00251F88"/>
    <w:rsid w:val="00253F1D"/>
    <w:rsid w:val="002540A1"/>
    <w:rsid w:val="00256B3D"/>
    <w:rsid w:val="00257405"/>
    <w:rsid w:val="00257619"/>
    <w:rsid w:val="00257F5F"/>
    <w:rsid w:val="0026082F"/>
    <w:rsid w:val="00263A3C"/>
    <w:rsid w:val="00263C22"/>
    <w:rsid w:val="00265E76"/>
    <w:rsid w:val="002662E6"/>
    <w:rsid w:val="00267294"/>
    <w:rsid w:val="00271F06"/>
    <w:rsid w:val="00272596"/>
    <w:rsid w:val="00273613"/>
    <w:rsid w:val="002747C6"/>
    <w:rsid w:val="002747FF"/>
    <w:rsid w:val="00275B63"/>
    <w:rsid w:val="00276117"/>
    <w:rsid w:val="002768F6"/>
    <w:rsid w:val="002815A3"/>
    <w:rsid w:val="00281E12"/>
    <w:rsid w:val="002860E9"/>
    <w:rsid w:val="00286A24"/>
    <w:rsid w:val="0028744A"/>
    <w:rsid w:val="00290290"/>
    <w:rsid w:val="00293D49"/>
    <w:rsid w:val="00295140"/>
    <w:rsid w:val="00296D56"/>
    <w:rsid w:val="0029725D"/>
    <w:rsid w:val="00297A49"/>
    <w:rsid w:val="002A06FF"/>
    <w:rsid w:val="002A0D1E"/>
    <w:rsid w:val="002A231B"/>
    <w:rsid w:val="002A37DF"/>
    <w:rsid w:val="002A38B8"/>
    <w:rsid w:val="002A6CE1"/>
    <w:rsid w:val="002A78B0"/>
    <w:rsid w:val="002A7ECF"/>
    <w:rsid w:val="002B157E"/>
    <w:rsid w:val="002B1B7F"/>
    <w:rsid w:val="002B1BC1"/>
    <w:rsid w:val="002B449C"/>
    <w:rsid w:val="002B4FBD"/>
    <w:rsid w:val="002B611E"/>
    <w:rsid w:val="002B6EB5"/>
    <w:rsid w:val="002B7347"/>
    <w:rsid w:val="002B79C4"/>
    <w:rsid w:val="002C061F"/>
    <w:rsid w:val="002C0EC7"/>
    <w:rsid w:val="002C2697"/>
    <w:rsid w:val="002C363F"/>
    <w:rsid w:val="002C40C6"/>
    <w:rsid w:val="002C4A28"/>
    <w:rsid w:val="002C6303"/>
    <w:rsid w:val="002C670D"/>
    <w:rsid w:val="002C6934"/>
    <w:rsid w:val="002C7EB8"/>
    <w:rsid w:val="002D0FB4"/>
    <w:rsid w:val="002D460E"/>
    <w:rsid w:val="002D6124"/>
    <w:rsid w:val="002D7A71"/>
    <w:rsid w:val="002E005B"/>
    <w:rsid w:val="002E00EA"/>
    <w:rsid w:val="002E115E"/>
    <w:rsid w:val="002E1A04"/>
    <w:rsid w:val="002E2345"/>
    <w:rsid w:val="002E34D0"/>
    <w:rsid w:val="002E471E"/>
    <w:rsid w:val="002E53D8"/>
    <w:rsid w:val="002E6AB9"/>
    <w:rsid w:val="002E7962"/>
    <w:rsid w:val="002F1864"/>
    <w:rsid w:val="002F565E"/>
    <w:rsid w:val="002F67D7"/>
    <w:rsid w:val="002F6B50"/>
    <w:rsid w:val="002F6CFA"/>
    <w:rsid w:val="00300C16"/>
    <w:rsid w:val="00302DE7"/>
    <w:rsid w:val="003039D0"/>
    <w:rsid w:val="00303B45"/>
    <w:rsid w:val="00304181"/>
    <w:rsid w:val="00304470"/>
    <w:rsid w:val="00306597"/>
    <w:rsid w:val="0030728D"/>
    <w:rsid w:val="003129DC"/>
    <w:rsid w:val="00313A31"/>
    <w:rsid w:val="003140C0"/>
    <w:rsid w:val="003141C8"/>
    <w:rsid w:val="00315DA9"/>
    <w:rsid w:val="00316734"/>
    <w:rsid w:val="003176EC"/>
    <w:rsid w:val="00321283"/>
    <w:rsid w:val="00321299"/>
    <w:rsid w:val="00321C28"/>
    <w:rsid w:val="0032258C"/>
    <w:rsid w:val="00323258"/>
    <w:rsid w:val="003246CB"/>
    <w:rsid w:val="00326075"/>
    <w:rsid w:val="003269B3"/>
    <w:rsid w:val="00327B81"/>
    <w:rsid w:val="00327FEC"/>
    <w:rsid w:val="003312B3"/>
    <w:rsid w:val="00331521"/>
    <w:rsid w:val="003315E9"/>
    <w:rsid w:val="0033191C"/>
    <w:rsid w:val="00331F52"/>
    <w:rsid w:val="0033235F"/>
    <w:rsid w:val="00332FA6"/>
    <w:rsid w:val="003356BD"/>
    <w:rsid w:val="003366C3"/>
    <w:rsid w:val="00337A95"/>
    <w:rsid w:val="0034223E"/>
    <w:rsid w:val="00343477"/>
    <w:rsid w:val="00343A86"/>
    <w:rsid w:val="00344B9D"/>
    <w:rsid w:val="00345B7A"/>
    <w:rsid w:val="003462C8"/>
    <w:rsid w:val="003466F5"/>
    <w:rsid w:val="00347FA2"/>
    <w:rsid w:val="00351550"/>
    <w:rsid w:val="00352A4A"/>
    <w:rsid w:val="00354DEA"/>
    <w:rsid w:val="00356EBC"/>
    <w:rsid w:val="00356FC5"/>
    <w:rsid w:val="003603FE"/>
    <w:rsid w:val="003620E6"/>
    <w:rsid w:val="00362301"/>
    <w:rsid w:val="003628DB"/>
    <w:rsid w:val="00362CA8"/>
    <w:rsid w:val="00365B44"/>
    <w:rsid w:val="003664C2"/>
    <w:rsid w:val="00370059"/>
    <w:rsid w:val="00370193"/>
    <w:rsid w:val="003714BA"/>
    <w:rsid w:val="00372F63"/>
    <w:rsid w:val="003731A5"/>
    <w:rsid w:val="003733C2"/>
    <w:rsid w:val="00373F3E"/>
    <w:rsid w:val="0037446B"/>
    <w:rsid w:val="0037642D"/>
    <w:rsid w:val="003767A4"/>
    <w:rsid w:val="00377B9B"/>
    <w:rsid w:val="00380D2A"/>
    <w:rsid w:val="00381726"/>
    <w:rsid w:val="00381875"/>
    <w:rsid w:val="00381D07"/>
    <w:rsid w:val="0038241F"/>
    <w:rsid w:val="003828C2"/>
    <w:rsid w:val="0038362C"/>
    <w:rsid w:val="00383688"/>
    <w:rsid w:val="003842B1"/>
    <w:rsid w:val="0038496D"/>
    <w:rsid w:val="00384A6C"/>
    <w:rsid w:val="00384D29"/>
    <w:rsid w:val="00386732"/>
    <w:rsid w:val="00387227"/>
    <w:rsid w:val="003872AF"/>
    <w:rsid w:val="00387B46"/>
    <w:rsid w:val="00390F94"/>
    <w:rsid w:val="0039300F"/>
    <w:rsid w:val="00394386"/>
    <w:rsid w:val="00394BF3"/>
    <w:rsid w:val="00396B17"/>
    <w:rsid w:val="00397209"/>
    <w:rsid w:val="0039745C"/>
    <w:rsid w:val="00397663"/>
    <w:rsid w:val="00397FFB"/>
    <w:rsid w:val="003A2219"/>
    <w:rsid w:val="003A3E35"/>
    <w:rsid w:val="003A578E"/>
    <w:rsid w:val="003A6CA9"/>
    <w:rsid w:val="003A7457"/>
    <w:rsid w:val="003A788D"/>
    <w:rsid w:val="003A7CAC"/>
    <w:rsid w:val="003B1D76"/>
    <w:rsid w:val="003B3ABA"/>
    <w:rsid w:val="003B3AC4"/>
    <w:rsid w:val="003B3DBF"/>
    <w:rsid w:val="003B3E10"/>
    <w:rsid w:val="003B5CCC"/>
    <w:rsid w:val="003B5D60"/>
    <w:rsid w:val="003B646F"/>
    <w:rsid w:val="003B6DA9"/>
    <w:rsid w:val="003B6DDE"/>
    <w:rsid w:val="003C2223"/>
    <w:rsid w:val="003C2CD1"/>
    <w:rsid w:val="003C30DA"/>
    <w:rsid w:val="003C3195"/>
    <w:rsid w:val="003C4640"/>
    <w:rsid w:val="003C48E0"/>
    <w:rsid w:val="003C4C90"/>
    <w:rsid w:val="003C6A41"/>
    <w:rsid w:val="003C77CD"/>
    <w:rsid w:val="003C78BA"/>
    <w:rsid w:val="003D0404"/>
    <w:rsid w:val="003D1652"/>
    <w:rsid w:val="003D31FF"/>
    <w:rsid w:val="003D3F64"/>
    <w:rsid w:val="003D5807"/>
    <w:rsid w:val="003D5A6B"/>
    <w:rsid w:val="003D7E0F"/>
    <w:rsid w:val="003E0607"/>
    <w:rsid w:val="003E410D"/>
    <w:rsid w:val="003E4164"/>
    <w:rsid w:val="003E41FE"/>
    <w:rsid w:val="003E6EE0"/>
    <w:rsid w:val="003F0A27"/>
    <w:rsid w:val="003F2E7B"/>
    <w:rsid w:val="003F3817"/>
    <w:rsid w:val="003F3B79"/>
    <w:rsid w:val="003F68FE"/>
    <w:rsid w:val="003F6BA2"/>
    <w:rsid w:val="003F7BB2"/>
    <w:rsid w:val="003F7CAC"/>
    <w:rsid w:val="0040009B"/>
    <w:rsid w:val="00400574"/>
    <w:rsid w:val="00401819"/>
    <w:rsid w:val="004020DB"/>
    <w:rsid w:val="00404BD7"/>
    <w:rsid w:val="00407779"/>
    <w:rsid w:val="00411FEA"/>
    <w:rsid w:val="004123E2"/>
    <w:rsid w:val="00412A6B"/>
    <w:rsid w:val="00414E32"/>
    <w:rsid w:val="00415A35"/>
    <w:rsid w:val="00415FBF"/>
    <w:rsid w:val="00416438"/>
    <w:rsid w:val="00420553"/>
    <w:rsid w:val="00421ECA"/>
    <w:rsid w:val="00422A04"/>
    <w:rsid w:val="00423C45"/>
    <w:rsid w:val="004242CA"/>
    <w:rsid w:val="00425AE0"/>
    <w:rsid w:val="00425C74"/>
    <w:rsid w:val="00426E64"/>
    <w:rsid w:val="004279F5"/>
    <w:rsid w:val="00431ED7"/>
    <w:rsid w:val="00433026"/>
    <w:rsid w:val="004338DB"/>
    <w:rsid w:val="0043390B"/>
    <w:rsid w:val="00433DA2"/>
    <w:rsid w:val="0043488C"/>
    <w:rsid w:val="00435B6F"/>
    <w:rsid w:val="00437D2E"/>
    <w:rsid w:val="00437EF6"/>
    <w:rsid w:val="00441A46"/>
    <w:rsid w:val="0044302D"/>
    <w:rsid w:val="004436D1"/>
    <w:rsid w:val="00443F03"/>
    <w:rsid w:val="004445CB"/>
    <w:rsid w:val="0044566B"/>
    <w:rsid w:val="0044697C"/>
    <w:rsid w:val="00450688"/>
    <w:rsid w:val="00450E49"/>
    <w:rsid w:val="00451261"/>
    <w:rsid w:val="00451BC5"/>
    <w:rsid w:val="00453755"/>
    <w:rsid w:val="004538BA"/>
    <w:rsid w:val="00453A7A"/>
    <w:rsid w:val="00453A83"/>
    <w:rsid w:val="00453F2C"/>
    <w:rsid w:val="00455E7A"/>
    <w:rsid w:val="00455F42"/>
    <w:rsid w:val="0045660F"/>
    <w:rsid w:val="004566A7"/>
    <w:rsid w:val="00456D60"/>
    <w:rsid w:val="00464D2A"/>
    <w:rsid w:val="004669C2"/>
    <w:rsid w:val="00467A4A"/>
    <w:rsid w:val="00470B08"/>
    <w:rsid w:val="00470BB1"/>
    <w:rsid w:val="00471313"/>
    <w:rsid w:val="00471387"/>
    <w:rsid w:val="00471D36"/>
    <w:rsid w:val="0047254D"/>
    <w:rsid w:val="0047347C"/>
    <w:rsid w:val="0047519C"/>
    <w:rsid w:val="00475F48"/>
    <w:rsid w:val="00477137"/>
    <w:rsid w:val="0047746B"/>
    <w:rsid w:val="004779E4"/>
    <w:rsid w:val="0048078C"/>
    <w:rsid w:val="0048111A"/>
    <w:rsid w:val="00481632"/>
    <w:rsid w:val="00483007"/>
    <w:rsid w:val="004850F3"/>
    <w:rsid w:val="00485AC6"/>
    <w:rsid w:val="0048614C"/>
    <w:rsid w:val="00486DC8"/>
    <w:rsid w:val="0048797C"/>
    <w:rsid w:val="00487F16"/>
    <w:rsid w:val="004917EC"/>
    <w:rsid w:val="00494AA6"/>
    <w:rsid w:val="0049597F"/>
    <w:rsid w:val="00495A95"/>
    <w:rsid w:val="00495ED8"/>
    <w:rsid w:val="00497A3A"/>
    <w:rsid w:val="00497C78"/>
    <w:rsid w:val="004A12A8"/>
    <w:rsid w:val="004A29B9"/>
    <w:rsid w:val="004A4E64"/>
    <w:rsid w:val="004A536F"/>
    <w:rsid w:val="004A7484"/>
    <w:rsid w:val="004B055C"/>
    <w:rsid w:val="004B3589"/>
    <w:rsid w:val="004B3DE8"/>
    <w:rsid w:val="004B6593"/>
    <w:rsid w:val="004B7E71"/>
    <w:rsid w:val="004C0912"/>
    <w:rsid w:val="004C3422"/>
    <w:rsid w:val="004C3861"/>
    <w:rsid w:val="004C3DE8"/>
    <w:rsid w:val="004C4BA3"/>
    <w:rsid w:val="004C4CBC"/>
    <w:rsid w:val="004C6011"/>
    <w:rsid w:val="004C6EBF"/>
    <w:rsid w:val="004C7BDA"/>
    <w:rsid w:val="004C7EBE"/>
    <w:rsid w:val="004D03CF"/>
    <w:rsid w:val="004D0A25"/>
    <w:rsid w:val="004D0E0F"/>
    <w:rsid w:val="004D195B"/>
    <w:rsid w:val="004D319A"/>
    <w:rsid w:val="004D39B9"/>
    <w:rsid w:val="004D591D"/>
    <w:rsid w:val="004D6ACA"/>
    <w:rsid w:val="004D6CE6"/>
    <w:rsid w:val="004D7A34"/>
    <w:rsid w:val="004E0B61"/>
    <w:rsid w:val="004E35E9"/>
    <w:rsid w:val="004E3696"/>
    <w:rsid w:val="004E5742"/>
    <w:rsid w:val="004E7C6C"/>
    <w:rsid w:val="004F0915"/>
    <w:rsid w:val="004F3427"/>
    <w:rsid w:val="004F3955"/>
    <w:rsid w:val="004F767F"/>
    <w:rsid w:val="005008D3"/>
    <w:rsid w:val="00500F19"/>
    <w:rsid w:val="00501068"/>
    <w:rsid w:val="00503237"/>
    <w:rsid w:val="00504A95"/>
    <w:rsid w:val="00504AFA"/>
    <w:rsid w:val="00504BB1"/>
    <w:rsid w:val="005059B5"/>
    <w:rsid w:val="00507097"/>
    <w:rsid w:val="00507B93"/>
    <w:rsid w:val="005101AF"/>
    <w:rsid w:val="005105D9"/>
    <w:rsid w:val="005118C2"/>
    <w:rsid w:val="00511A83"/>
    <w:rsid w:val="005120FC"/>
    <w:rsid w:val="0051301E"/>
    <w:rsid w:val="00513A22"/>
    <w:rsid w:val="005143EC"/>
    <w:rsid w:val="00517722"/>
    <w:rsid w:val="00520A44"/>
    <w:rsid w:val="00521A45"/>
    <w:rsid w:val="00522A18"/>
    <w:rsid w:val="00524004"/>
    <w:rsid w:val="005256C8"/>
    <w:rsid w:val="00526287"/>
    <w:rsid w:val="005275CB"/>
    <w:rsid w:val="00527BCE"/>
    <w:rsid w:val="0053052D"/>
    <w:rsid w:val="005305B3"/>
    <w:rsid w:val="00531283"/>
    <w:rsid w:val="005313C4"/>
    <w:rsid w:val="005329BD"/>
    <w:rsid w:val="00532EC0"/>
    <w:rsid w:val="00533EF0"/>
    <w:rsid w:val="0053429C"/>
    <w:rsid w:val="0053538C"/>
    <w:rsid w:val="00536269"/>
    <w:rsid w:val="0054054C"/>
    <w:rsid w:val="005409D0"/>
    <w:rsid w:val="00540B28"/>
    <w:rsid w:val="00540D29"/>
    <w:rsid w:val="00541567"/>
    <w:rsid w:val="00541E46"/>
    <w:rsid w:val="00545E21"/>
    <w:rsid w:val="00545F0A"/>
    <w:rsid w:val="00546EBF"/>
    <w:rsid w:val="005471BD"/>
    <w:rsid w:val="0055115D"/>
    <w:rsid w:val="0055118D"/>
    <w:rsid w:val="00551644"/>
    <w:rsid w:val="00552411"/>
    <w:rsid w:val="00552F9B"/>
    <w:rsid w:val="00553D02"/>
    <w:rsid w:val="0055414A"/>
    <w:rsid w:val="005544BA"/>
    <w:rsid w:val="00555599"/>
    <w:rsid w:val="00555730"/>
    <w:rsid w:val="00555C37"/>
    <w:rsid w:val="00556672"/>
    <w:rsid w:val="00556EC4"/>
    <w:rsid w:val="00556F6D"/>
    <w:rsid w:val="00557B6D"/>
    <w:rsid w:val="00560F25"/>
    <w:rsid w:val="00561004"/>
    <w:rsid w:val="005616E3"/>
    <w:rsid w:val="00561A83"/>
    <w:rsid w:val="005631C0"/>
    <w:rsid w:val="00563B17"/>
    <w:rsid w:val="0056515E"/>
    <w:rsid w:val="0056544A"/>
    <w:rsid w:val="00566B13"/>
    <w:rsid w:val="00567FBE"/>
    <w:rsid w:val="00571C04"/>
    <w:rsid w:val="005729F6"/>
    <w:rsid w:val="00574A0A"/>
    <w:rsid w:val="00575403"/>
    <w:rsid w:val="00575571"/>
    <w:rsid w:val="00575882"/>
    <w:rsid w:val="00575B6A"/>
    <w:rsid w:val="00576276"/>
    <w:rsid w:val="00577D26"/>
    <w:rsid w:val="00577D9A"/>
    <w:rsid w:val="00581DCA"/>
    <w:rsid w:val="00581E24"/>
    <w:rsid w:val="0058490C"/>
    <w:rsid w:val="00584F6A"/>
    <w:rsid w:val="005855EC"/>
    <w:rsid w:val="00585949"/>
    <w:rsid w:val="0058666B"/>
    <w:rsid w:val="00586B78"/>
    <w:rsid w:val="00586DCD"/>
    <w:rsid w:val="005904F3"/>
    <w:rsid w:val="0059240F"/>
    <w:rsid w:val="00592985"/>
    <w:rsid w:val="00593C25"/>
    <w:rsid w:val="005977A9"/>
    <w:rsid w:val="005A122A"/>
    <w:rsid w:val="005A135B"/>
    <w:rsid w:val="005A15D8"/>
    <w:rsid w:val="005A6E85"/>
    <w:rsid w:val="005A76DF"/>
    <w:rsid w:val="005B0182"/>
    <w:rsid w:val="005B0FFF"/>
    <w:rsid w:val="005B1370"/>
    <w:rsid w:val="005B2AFC"/>
    <w:rsid w:val="005B3DBE"/>
    <w:rsid w:val="005B4F38"/>
    <w:rsid w:val="005B635D"/>
    <w:rsid w:val="005B6724"/>
    <w:rsid w:val="005C0B83"/>
    <w:rsid w:val="005C2865"/>
    <w:rsid w:val="005C3F2D"/>
    <w:rsid w:val="005C6B6C"/>
    <w:rsid w:val="005D1260"/>
    <w:rsid w:val="005D2578"/>
    <w:rsid w:val="005D289D"/>
    <w:rsid w:val="005D34BE"/>
    <w:rsid w:val="005D3CE3"/>
    <w:rsid w:val="005D5E49"/>
    <w:rsid w:val="005D67C5"/>
    <w:rsid w:val="005D7589"/>
    <w:rsid w:val="005D7D0F"/>
    <w:rsid w:val="005E1062"/>
    <w:rsid w:val="005E10E1"/>
    <w:rsid w:val="005E1486"/>
    <w:rsid w:val="005E1F02"/>
    <w:rsid w:val="005E2728"/>
    <w:rsid w:val="005E27CF"/>
    <w:rsid w:val="005E309E"/>
    <w:rsid w:val="005E337B"/>
    <w:rsid w:val="005E5800"/>
    <w:rsid w:val="005E6E0E"/>
    <w:rsid w:val="005E7697"/>
    <w:rsid w:val="005E793C"/>
    <w:rsid w:val="005F03F3"/>
    <w:rsid w:val="005F0E75"/>
    <w:rsid w:val="005F12D3"/>
    <w:rsid w:val="005F2C35"/>
    <w:rsid w:val="005F2F3F"/>
    <w:rsid w:val="005F5AD7"/>
    <w:rsid w:val="005F5C41"/>
    <w:rsid w:val="005F682A"/>
    <w:rsid w:val="006037EC"/>
    <w:rsid w:val="00604AEA"/>
    <w:rsid w:val="006110E8"/>
    <w:rsid w:val="006122B5"/>
    <w:rsid w:val="00612685"/>
    <w:rsid w:val="006136FA"/>
    <w:rsid w:val="00613FDA"/>
    <w:rsid w:val="006142B2"/>
    <w:rsid w:val="00615BB9"/>
    <w:rsid w:val="0061687B"/>
    <w:rsid w:val="00617D32"/>
    <w:rsid w:val="00617E30"/>
    <w:rsid w:val="006202A9"/>
    <w:rsid w:val="00621521"/>
    <w:rsid w:val="00621C19"/>
    <w:rsid w:val="00621D59"/>
    <w:rsid w:val="00622122"/>
    <w:rsid w:val="00622708"/>
    <w:rsid w:val="00623A35"/>
    <w:rsid w:val="006241F5"/>
    <w:rsid w:val="006245AE"/>
    <w:rsid w:val="00625398"/>
    <w:rsid w:val="006262BC"/>
    <w:rsid w:val="00630AFF"/>
    <w:rsid w:val="006324C2"/>
    <w:rsid w:val="00632F56"/>
    <w:rsid w:val="006341E4"/>
    <w:rsid w:val="00634D4C"/>
    <w:rsid w:val="00635903"/>
    <w:rsid w:val="00636553"/>
    <w:rsid w:val="00640479"/>
    <w:rsid w:val="00642157"/>
    <w:rsid w:val="006421AE"/>
    <w:rsid w:val="006427B0"/>
    <w:rsid w:val="0064399A"/>
    <w:rsid w:val="00645E46"/>
    <w:rsid w:val="00647200"/>
    <w:rsid w:val="006506FF"/>
    <w:rsid w:val="006525C5"/>
    <w:rsid w:val="006537A6"/>
    <w:rsid w:val="00656EC1"/>
    <w:rsid w:val="0066261C"/>
    <w:rsid w:val="00664787"/>
    <w:rsid w:val="00664BFB"/>
    <w:rsid w:val="00665474"/>
    <w:rsid w:val="006676D0"/>
    <w:rsid w:val="0066795B"/>
    <w:rsid w:val="00667D93"/>
    <w:rsid w:val="0067092A"/>
    <w:rsid w:val="006722E9"/>
    <w:rsid w:val="006726BB"/>
    <w:rsid w:val="00673442"/>
    <w:rsid w:val="00673CA1"/>
    <w:rsid w:val="00674FF5"/>
    <w:rsid w:val="0067764F"/>
    <w:rsid w:val="006809F0"/>
    <w:rsid w:val="00681148"/>
    <w:rsid w:val="00682057"/>
    <w:rsid w:val="00683D5D"/>
    <w:rsid w:val="006852CC"/>
    <w:rsid w:val="00686273"/>
    <w:rsid w:val="00690B73"/>
    <w:rsid w:val="00690D5D"/>
    <w:rsid w:val="006936DC"/>
    <w:rsid w:val="006958E0"/>
    <w:rsid w:val="0069655B"/>
    <w:rsid w:val="00696B00"/>
    <w:rsid w:val="00696EA6"/>
    <w:rsid w:val="00696F45"/>
    <w:rsid w:val="006A0A3B"/>
    <w:rsid w:val="006A251F"/>
    <w:rsid w:val="006A4506"/>
    <w:rsid w:val="006A543E"/>
    <w:rsid w:val="006A5608"/>
    <w:rsid w:val="006A59EC"/>
    <w:rsid w:val="006A6020"/>
    <w:rsid w:val="006A7A07"/>
    <w:rsid w:val="006B1233"/>
    <w:rsid w:val="006B1597"/>
    <w:rsid w:val="006B1DF4"/>
    <w:rsid w:val="006B2847"/>
    <w:rsid w:val="006B472C"/>
    <w:rsid w:val="006B4933"/>
    <w:rsid w:val="006B53F7"/>
    <w:rsid w:val="006B5F63"/>
    <w:rsid w:val="006B76AD"/>
    <w:rsid w:val="006C07FD"/>
    <w:rsid w:val="006C2A6E"/>
    <w:rsid w:val="006C3DE9"/>
    <w:rsid w:val="006C4D40"/>
    <w:rsid w:val="006C592F"/>
    <w:rsid w:val="006C5C40"/>
    <w:rsid w:val="006C677D"/>
    <w:rsid w:val="006C69F3"/>
    <w:rsid w:val="006D1804"/>
    <w:rsid w:val="006D1F5B"/>
    <w:rsid w:val="006D2066"/>
    <w:rsid w:val="006D2C80"/>
    <w:rsid w:val="006D3AF9"/>
    <w:rsid w:val="006D557A"/>
    <w:rsid w:val="006D706E"/>
    <w:rsid w:val="006E4079"/>
    <w:rsid w:val="006E56D7"/>
    <w:rsid w:val="006E6B99"/>
    <w:rsid w:val="006E7B4C"/>
    <w:rsid w:val="006F3DD8"/>
    <w:rsid w:val="006F4F80"/>
    <w:rsid w:val="006F546F"/>
    <w:rsid w:val="006F68FF"/>
    <w:rsid w:val="006F728D"/>
    <w:rsid w:val="006F7A9B"/>
    <w:rsid w:val="007007DA"/>
    <w:rsid w:val="007011BA"/>
    <w:rsid w:val="00701797"/>
    <w:rsid w:val="00703876"/>
    <w:rsid w:val="007042B0"/>
    <w:rsid w:val="0070498B"/>
    <w:rsid w:val="00704E67"/>
    <w:rsid w:val="00705A98"/>
    <w:rsid w:val="00705DB1"/>
    <w:rsid w:val="007151F1"/>
    <w:rsid w:val="00715462"/>
    <w:rsid w:val="00715DE8"/>
    <w:rsid w:val="00715EB6"/>
    <w:rsid w:val="00716B98"/>
    <w:rsid w:val="00717A77"/>
    <w:rsid w:val="0072046D"/>
    <w:rsid w:val="0072109E"/>
    <w:rsid w:val="00722D90"/>
    <w:rsid w:val="007232A3"/>
    <w:rsid w:val="00723793"/>
    <w:rsid w:val="007250C5"/>
    <w:rsid w:val="00727080"/>
    <w:rsid w:val="007321C2"/>
    <w:rsid w:val="007332F1"/>
    <w:rsid w:val="0073342A"/>
    <w:rsid w:val="00734065"/>
    <w:rsid w:val="00734B23"/>
    <w:rsid w:val="00737A66"/>
    <w:rsid w:val="00737AEC"/>
    <w:rsid w:val="00737B60"/>
    <w:rsid w:val="007411AD"/>
    <w:rsid w:val="00741783"/>
    <w:rsid w:val="00741E98"/>
    <w:rsid w:val="007421F9"/>
    <w:rsid w:val="007423D1"/>
    <w:rsid w:val="00742AEA"/>
    <w:rsid w:val="007442CD"/>
    <w:rsid w:val="00744662"/>
    <w:rsid w:val="00745E44"/>
    <w:rsid w:val="00745E92"/>
    <w:rsid w:val="007464BA"/>
    <w:rsid w:val="00746BC7"/>
    <w:rsid w:val="00747410"/>
    <w:rsid w:val="00750840"/>
    <w:rsid w:val="00751103"/>
    <w:rsid w:val="00751BB6"/>
    <w:rsid w:val="0075242D"/>
    <w:rsid w:val="007525A9"/>
    <w:rsid w:val="00752820"/>
    <w:rsid w:val="0075391C"/>
    <w:rsid w:val="007551F1"/>
    <w:rsid w:val="007560C5"/>
    <w:rsid w:val="0075636F"/>
    <w:rsid w:val="00756E15"/>
    <w:rsid w:val="007606C7"/>
    <w:rsid w:val="00760815"/>
    <w:rsid w:val="00760A14"/>
    <w:rsid w:val="0076217A"/>
    <w:rsid w:val="007642B7"/>
    <w:rsid w:val="00765B1E"/>
    <w:rsid w:val="007667D5"/>
    <w:rsid w:val="00767A52"/>
    <w:rsid w:val="00771602"/>
    <w:rsid w:val="007730BD"/>
    <w:rsid w:val="00773686"/>
    <w:rsid w:val="0077540B"/>
    <w:rsid w:val="0077572A"/>
    <w:rsid w:val="007767AF"/>
    <w:rsid w:val="007774C1"/>
    <w:rsid w:val="007776AF"/>
    <w:rsid w:val="007809C3"/>
    <w:rsid w:val="00782E1F"/>
    <w:rsid w:val="007841D7"/>
    <w:rsid w:val="007869AA"/>
    <w:rsid w:val="00790492"/>
    <w:rsid w:val="00790719"/>
    <w:rsid w:val="00791418"/>
    <w:rsid w:val="007918E2"/>
    <w:rsid w:val="00792480"/>
    <w:rsid w:val="00792E59"/>
    <w:rsid w:val="00792FDE"/>
    <w:rsid w:val="00794933"/>
    <w:rsid w:val="00794DDE"/>
    <w:rsid w:val="00795AAA"/>
    <w:rsid w:val="00796C0A"/>
    <w:rsid w:val="007A0CA6"/>
    <w:rsid w:val="007A128C"/>
    <w:rsid w:val="007A3624"/>
    <w:rsid w:val="007A4A1D"/>
    <w:rsid w:val="007A5672"/>
    <w:rsid w:val="007B0740"/>
    <w:rsid w:val="007B38E5"/>
    <w:rsid w:val="007B3904"/>
    <w:rsid w:val="007B3934"/>
    <w:rsid w:val="007B4D77"/>
    <w:rsid w:val="007B52B7"/>
    <w:rsid w:val="007B5739"/>
    <w:rsid w:val="007B618A"/>
    <w:rsid w:val="007C389A"/>
    <w:rsid w:val="007C480A"/>
    <w:rsid w:val="007C57B1"/>
    <w:rsid w:val="007C58EB"/>
    <w:rsid w:val="007C5AEE"/>
    <w:rsid w:val="007C5DAB"/>
    <w:rsid w:val="007D0223"/>
    <w:rsid w:val="007D0F21"/>
    <w:rsid w:val="007D108C"/>
    <w:rsid w:val="007D1B4A"/>
    <w:rsid w:val="007D2D74"/>
    <w:rsid w:val="007D2E72"/>
    <w:rsid w:val="007D4218"/>
    <w:rsid w:val="007D53A5"/>
    <w:rsid w:val="007D5D1E"/>
    <w:rsid w:val="007E0ABA"/>
    <w:rsid w:val="007E1555"/>
    <w:rsid w:val="007E18BA"/>
    <w:rsid w:val="007E1F11"/>
    <w:rsid w:val="007E426D"/>
    <w:rsid w:val="007E49B0"/>
    <w:rsid w:val="007E5835"/>
    <w:rsid w:val="007E7A6B"/>
    <w:rsid w:val="007F0109"/>
    <w:rsid w:val="007F102D"/>
    <w:rsid w:val="007F1063"/>
    <w:rsid w:val="007F2D7B"/>
    <w:rsid w:val="007F4593"/>
    <w:rsid w:val="007F513D"/>
    <w:rsid w:val="007F54F4"/>
    <w:rsid w:val="007F64BE"/>
    <w:rsid w:val="007F6540"/>
    <w:rsid w:val="007F732D"/>
    <w:rsid w:val="007F7389"/>
    <w:rsid w:val="00801298"/>
    <w:rsid w:val="008014C2"/>
    <w:rsid w:val="00802075"/>
    <w:rsid w:val="00802EDA"/>
    <w:rsid w:val="00803A1D"/>
    <w:rsid w:val="008041FB"/>
    <w:rsid w:val="008103A6"/>
    <w:rsid w:val="00811578"/>
    <w:rsid w:val="00814973"/>
    <w:rsid w:val="00817357"/>
    <w:rsid w:val="00817844"/>
    <w:rsid w:val="00820160"/>
    <w:rsid w:val="0082071D"/>
    <w:rsid w:val="008216C4"/>
    <w:rsid w:val="008226C2"/>
    <w:rsid w:val="008226D6"/>
    <w:rsid w:val="00823136"/>
    <w:rsid w:val="00823B09"/>
    <w:rsid w:val="0082502D"/>
    <w:rsid w:val="00825051"/>
    <w:rsid w:val="008256F2"/>
    <w:rsid w:val="008276E4"/>
    <w:rsid w:val="00830910"/>
    <w:rsid w:val="008311A0"/>
    <w:rsid w:val="008311C2"/>
    <w:rsid w:val="00831A4E"/>
    <w:rsid w:val="0083245C"/>
    <w:rsid w:val="00832ACC"/>
    <w:rsid w:val="00833127"/>
    <w:rsid w:val="008339F0"/>
    <w:rsid w:val="0083524A"/>
    <w:rsid w:val="008355B5"/>
    <w:rsid w:val="00835ADF"/>
    <w:rsid w:val="00836255"/>
    <w:rsid w:val="00840784"/>
    <w:rsid w:val="0084188F"/>
    <w:rsid w:val="00842A66"/>
    <w:rsid w:val="00843462"/>
    <w:rsid w:val="00844B25"/>
    <w:rsid w:val="00844CC6"/>
    <w:rsid w:val="008457D2"/>
    <w:rsid w:val="00846697"/>
    <w:rsid w:val="00846CE4"/>
    <w:rsid w:val="008472C0"/>
    <w:rsid w:val="008474DE"/>
    <w:rsid w:val="00847F71"/>
    <w:rsid w:val="00850A94"/>
    <w:rsid w:val="00850F02"/>
    <w:rsid w:val="008510BC"/>
    <w:rsid w:val="008525C0"/>
    <w:rsid w:val="00852CD4"/>
    <w:rsid w:val="0085309C"/>
    <w:rsid w:val="00853213"/>
    <w:rsid w:val="00854365"/>
    <w:rsid w:val="008564F6"/>
    <w:rsid w:val="00857209"/>
    <w:rsid w:val="008620B1"/>
    <w:rsid w:val="00863F62"/>
    <w:rsid w:val="00864AF9"/>
    <w:rsid w:val="00866749"/>
    <w:rsid w:val="008677FE"/>
    <w:rsid w:val="00871984"/>
    <w:rsid w:val="0087492C"/>
    <w:rsid w:val="008755CB"/>
    <w:rsid w:val="008758F3"/>
    <w:rsid w:val="00875F64"/>
    <w:rsid w:val="00876FC9"/>
    <w:rsid w:val="008901FC"/>
    <w:rsid w:val="008905E5"/>
    <w:rsid w:val="00890FFD"/>
    <w:rsid w:val="00891396"/>
    <w:rsid w:val="00891687"/>
    <w:rsid w:val="00896AAE"/>
    <w:rsid w:val="008A0DC4"/>
    <w:rsid w:val="008A2792"/>
    <w:rsid w:val="008A5C24"/>
    <w:rsid w:val="008A65A3"/>
    <w:rsid w:val="008A6A15"/>
    <w:rsid w:val="008A743C"/>
    <w:rsid w:val="008A76D1"/>
    <w:rsid w:val="008A7FC1"/>
    <w:rsid w:val="008B119B"/>
    <w:rsid w:val="008B2343"/>
    <w:rsid w:val="008B2ADE"/>
    <w:rsid w:val="008B2EB6"/>
    <w:rsid w:val="008B35ED"/>
    <w:rsid w:val="008B48BA"/>
    <w:rsid w:val="008B4AF1"/>
    <w:rsid w:val="008B6E7F"/>
    <w:rsid w:val="008C05A9"/>
    <w:rsid w:val="008C2264"/>
    <w:rsid w:val="008C56E1"/>
    <w:rsid w:val="008C6BC0"/>
    <w:rsid w:val="008D2AB0"/>
    <w:rsid w:val="008D4751"/>
    <w:rsid w:val="008D4A74"/>
    <w:rsid w:val="008D75F3"/>
    <w:rsid w:val="008D7C87"/>
    <w:rsid w:val="008D7F33"/>
    <w:rsid w:val="008E0CF1"/>
    <w:rsid w:val="008E15F8"/>
    <w:rsid w:val="008E1F05"/>
    <w:rsid w:val="008E2B33"/>
    <w:rsid w:val="008E52CE"/>
    <w:rsid w:val="008E5623"/>
    <w:rsid w:val="008E71F6"/>
    <w:rsid w:val="008F0BB0"/>
    <w:rsid w:val="008F1387"/>
    <w:rsid w:val="008F2003"/>
    <w:rsid w:val="008F39E9"/>
    <w:rsid w:val="008F4019"/>
    <w:rsid w:val="008F5149"/>
    <w:rsid w:val="008F5353"/>
    <w:rsid w:val="008F5B16"/>
    <w:rsid w:val="008F6F3D"/>
    <w:rsid w:val="008F717A"/>
    <w:rsid w:val="00900B3A"/>
    <w:rsid w:val="00900C3F"/>
    <w:rsid w:val="009031C6"/>
    <w:rsid w:val="00906A49"/>
    <w:rsid w:val="00910AA8"/>
    <w:rsid w:val="00911C0F"/>
    <w:rsid w:val="00912C48"/>
    <w:rsid w:val="0091549A"/>
    <w:rsid w:val="009159CF"/>
    <w:rsid w:val="009164E8"/>
    <w:rsid w:val="00916B05"/>
    <w:rsid w:val="00917217"/>
    <w:rsid w:val="00920750"/>
    <w:rsid w:val="009207D5"/>
    <w:rsid w:val="00920DF3"/>
    <w:rsid w:val="009213BC"/>
    <w:rsid w:val="00923CB3"/>
    <w:rsid w:val="00924CD7"/>
    <w:rsid w:val="00926028"/>
    <w:rsid w:val="009274AE"/>
    <w:rsid w:val="009275AB"/>
    <w:rsid w:val="009308F9"/>
    <w:rsid w:val="00930A43"/>
    <w:rsid w:val="0093273A"/>
    <w:rsid w:val="00933660"/>
    <w:rsid w:val="00933B1F"/>
    <w:rsid w:val="009351FB"/>
    <w:rsid w:val="009369C4"/>
    <w:rsid w:val="00937850"/>
    <w:rsid w:val="00940352"/>
    <w:rsid w:val="00940805"/>
    <w:rsid w:val="00942D53"/>
    <w:rsid w:val="00942EDA"/>
    <w:rsid w:val="0094669A"/>
    <w:rsid w:val="00946EB1"/>
    <w:rsid w:val="0094707E"/>
    <w:rsid w:val="00947D20"/>
    <w:rsid w:val="00950FCB"/>
    <w:rsid w:val="009528AE"/>
    <w:rsid w:val="00953145"/>
    <w:rsid w:val="0095423D"/>
    <w:rsid w:val="00954E05"/>
    <w:rsid w:val="009554CA"/>
    <w:rsid w:val="0095566B"/>
    <w:rsid w:val="00955DB9"/>
    <w:rsid w:val="00957040"/>
    <w:rsid w:val="009571BD"/>
    <w:rsid w:val="0096015B"/>
    <w:rsid w:val="00960A8D"/>
    <w:rsid w:val="0096150B"/>
    <w:rsid w:val="00961D0A"/>
    <w:rsid w:val="0096219E"/>
    <w:rsid w:val="00962858"/>
    <w:rsid w:val="009636B2"/>
    <w:rsid w:val="00963B9B"/>
    <w:rsid w:val="009679A9"/>
    <w:rsid w:val="00971846"/>
    <w:rsid w:val="00972974"/>
    <w:rsid w:val="00973249"/>
    <w:rsid w:val="009733D6"/>
    <w:rsid w:val="00973D9B"/>
    <w:rsid w:val="009744EA"/>
    <w:rsid w:val="00975370"/>
    <w:rsid w:val="009771B6"/>
    <w:rsid w:val="0098094C"/>
    <w:rsid w:val="009809B0"/>
    <w:rsid w:val="009825CE"/>
    <w:rsid w:val="00982EF8"/>
    <w:rsid w:val="009843F8"/>
    <w:rsid w:val="0098484F"/>
    <w:rsid w:val="00984B7B"/>
    <w:rsid w:val="00986B1B"/>
    <w:rsid w:val="00987732"/>
    <w:rsid w:val="00987973"/>
    <w:rsid w:val="00990AE8"/>
    <w:rsid w:val="009926BC"/>
    <w:rsid w:val="00992A9A"/>
    <w:rsid w:val="00993A80"/>
    <w:rsid w:val="00995C71"/>
    <w:rsid w:val="00995EB6"/>
    <w:rsid w:val="009975FE"/>
    <w:rsid w:val="009A1FB7"/>
    <w:rsid w:val="009A3B47"/>
    <w:rsid w:val="009A3E3E"/>
    <w:rsid w:val="009A3F4C"/>
    <w:rsid w:val="009A5717"/>
    <w:rsid w:val="009A6BBF"/>
    <w:rsid w:val="009A782B"/>
    <w:rsid w:val="009A7E76"/>
    <w:rsid w:val="009B06D9"/>
    <w:rsid w:val="009B2D84"/>
    <w:rsid w:val="009B3F7F"/>
    <w:rsid w:val="009B70CB"/>
    <w:rsid w:val="009C064E"/>
    <w:rsid w:val="009C0DD8"/>
    <w:rsid w:val="009C29C8"/>
    <w:rsid w:val="009C2E8A"/>
    <w:rsid w:val="009C5021"/>
    <w:rsid w:val="009C714F"/>
    <w:rsid w:val="009D062C"/>
    <w:rsid w:val="009D07C4"/>
    <w:rsid w:val="009D1124"/>
    <w:rsid w:val="009D2F74"/>
    <w:rsid w:val="009D30F0"/>
    <w:rsid w:val="009D328D"/>
    <w:rsid w:val="009D3BFC"/>
    <w:rsid w:val="009D3F02"/>
    <w:rsid w:val="009D57D6"/>
    <w:rsid w:val="009D5863"/>
    <w:rsid w:val="009D788E"/>
    <w:rsid w:val="009D7E20"/>
    <w:rsid w:val="009E0E1F"/>
    <w:rsid w:val="009E15F3"/>
    <w:rsid w:val="009E1820"/>
    <w:rsid w:val="009E30A6"/>
    <w:rsid w:val="009E35EF"/>
    <w:rsid w:val="009E36A7"/>
    <w:rsid w:val="009E3E25"/>
    <w:rsid w:val="009E51BB"/>
    <w:rsid w:val="009E5347"/>
    <w:rsid w:val="009E6D5F"/>
    <w:rsid w:val="009E70D2"/>
    <w:rsid w:val="009E794B"/>
    <w:rsid w:val="009F061F"/>
    <w:rsid w:val="009F2A5E"/>
    <w:rsid w:val="009F2BB5"/>
    <w:rsid w:val="009F2C9D"/>
    <w:rsid w:val="009F3853"/>
    <w:rsid w:val="009F3A02"/>
    <w:rsid w:val="009F4407"/>
    <w:rsid w:val="009F4969"/>
    <w:rsid w:val="009F5F68"/>
    <w:rsid w:val="009F617B"/>
    <w:rsid w:val="00A001C8"/>
    <w:rsid w:val="00A008F6"/>
    <w:rsid w:val="00A00D7B"/>
    <w:rsid w:val="00A00DE3"/>
    <w:rsid w:val="00A01014"/>
    <w:rsid w:val="00A01BC8"/>
    <w:rsid w:val="00A0298D"/>
    <w:rsid w:val="00A03452"/>
    <w:rsid w:val="00A03DF8"/>
    <w:rsid w:val="00A04216"/>
    <w:rsid w:val="00A0476D"/>
    <w:rsid w:val="00A059D1"/>
    <w:rsid w:val="00A05D18"/>
    <w:rsid w:val="00A0640B"/>
    <w:rsid w:val="00A064C3"/>
    <w:rsid w:val="00A06D8A"/>
    <w:rsid w:val="00A06D98"/>
    <w:rsid w:val="00A07EBD"/>
    <w:rsid w:val="00A11BDE"/>
    <w:rsid w:val="00A11FFD"/>
    <w:rsid w:val="00A13188"/>
    <w:rsid w:val="00A15C81"/>
    <w:rsid w:val="00A16084"/>
    <w:rsid w:val="00A16530"/>
    <w:rsid w:val="00A2003D"/>
    <w:rsid w:val="00A22115"/>
    <w:rsid w:val="00A2468A"/>
    <w:rsid w:val="00A24B45"/>
    <w:rsid w:val="00A24BC1"/>
    <w:rsid w:val="00A255DF"/>
    <w:rsid w:val="00A257DA"/>
    <w:rsid w:val="00A27140"/>
    <w:rsid w:val="00A27180"/>
    <w:rsid w:val="00A274EB"/>
    <w:rsid w:val="00A27532"/>
    <w:rsid w:val="00A31742"/>
    <w:rsid w:val="00A31E5C"/>
    <w:rsid w:val="00A32264"/>
    <w:rsid w:val="00A35132"/>
    <w:rsid w:val="00A356CF"/>
    <w:rsid w:val="00A35F73"/>
    <w:rsid w:val="00A3726B"/>
    <w:rsid w:val="00A37707"/>
    <w:rsid w:val="00A37BBC"/>
    <w:rsid w:val="00A40825"/>
    <w:rsid w:val="00A44024"/>
    <w:rsid w:val="00A4486C"/>
    <w:rsid w:val="00A44B5C"/>
    <w:rsid w:val="00A4531C"/>
    <w:rsid w:val="00A463DB"/>
    <w:rsid w:val="00A46DBE"/>
    <w:rsid w:val="00A47413"/>
    <w:rsid w:val="00A47D15"/>
    <w:rsid w:val="00A50959"/>
    <w:rsid w:val="00A52C5B"/>
    <w:rsid w:val="00A543E6"/>
    <w:rsid w:val="00A557F4"/>
    <w:rsid w:val="00A56DAE"/>
    <w:rsid w:val="00A61489"/>
    <w:rsid w:val="00A61CF1"/>
    <w:rsid w:val="00A61FB9"/>
    <w:rsid w:val="00A624A0"/>
    <w:rsid w:val="00A624F6"/>
    <w:rsid w:val="00A64203"/>
    <w:rsid w:val="00A657CE"/>
    <w:rsid w:val="00A66418"/>
    <w:rsid w:val="00A717E0"/>
    <w:rsid w:val="00A71BB1"/>
    <w:rsid w:val="00A73117"/>
    <w:rsid w:val="00A731C0"/>
    <w:rsid w:val="00A74838"/>
    <w:rsid w:val="00A74D19"/>
    <w:rsid w:val="00A74E66"/>
    <w:rsid w:val="00A76BA4"/>
    <w:rsid w:val="00A77758"/>
    <w:rsid w:val="00A8036D"/>
    <w:rsid w:val="00A8294C"/>
    <w:rsid w:val="00A82C86"/>
    <w:rsid w:val="00A82D3C"/>
    <w:rsid w:val="00A82E27"/>
    <w:rsid w:val="00A834DC"/>
    <w:rsid w:val="00A848A3"/>
    <w:rsid w:val="00A84CA7"/>
    <w:rsid w:val="00A8517A"/>
    <w:rsid w:val="00A8587F"/>
    <w:rsid w:val="00A86A28"/>
    <w:rsid w:val="00A86FB9"/>
    <w:rsid w:val="00A87EF3"/>
    <w:rsid w:val="00A90712"/>
    <w:rsid w:val="00A91773"/>
    <w:rsid w:val="00A92612"/>
    <w:rsid w:val="00A92983"/>
    <w:rsid w:val="00A94425"/>
    <w:rsid w:val="00A9734D"/>
    <w:rsid w:val="00A97ED1"/>
    <w:rsid w:val="00AA0834"/>
    <w:rsid w:val="00AA0979"/>
    <w:rsid w:val="00AA09C9"/>
    <w:rsid w:val="00AA0E49"/>
    <w:rsid w:val="00AA19B5"/>
    <w:rsid w:val="00AA2037"/>
    <w:rsid w:val="00AA29AF"/>
    <w:rsid w:val="00AA35A5"/>
    <w:rsid w:val="00AA7886"/>
    <w:rsid w:val="00AB09D9"/>
    <w:rsid w:val="00AB1376"/>
    <w:rsid w:val="00AB1700"/>
    <w:rsid w:val="00AB1C9A"/>
    <w:rsid w:val="00AB22B6"/>
    <w:rsid w:val="00AB279F"/>
    <w:rsid w:val="00AB3067"/>
    <w:rsid w:val="00AB3FB4"/>
    <w:rsid w:val="00AB43BC"/>
    <w:rsid w:val="00AB58B1"/>
    <w:rsid w:val="00AB6A12"/>
    <w:rsid w:val="00AB7B01"/>
    <w:rsid w:val="00AB7CBF"/>
    <w:rsid w:val="00AC1E70"/>
    <w:rsid w:val="00AC3004"/>
    <w:rsid w:val="00AC310A"/>
    <w:rsid w:val="00AC4DC5"/>
    <w:rsid w:val="00AC4E53"/>
    <w:rsid w:val="00AC6169"/>
    <w:rsid w:val="00AC667E"/>
    <w:rsid w:val="00AD1138"/>
    <w:rsid w:val="00AD19D9"/>
    <w:rsid w:val="00AD4480"/>
    <w:rsid w:val="00AD4A7C"/>
    <w:rsid w:val="00AD5015"/>
    <w:rsid w:val="00AD5825"/>
    <w:rsid w:val="00AD7E56"/>
    <w:rsid w:val="00AD7EAF"/>
    <w:rsid w:val="00AE0518"/>
    <w:rsid w:val="00AE070E"/>
    <w:rsid w:val="00AE1DD7"/>
    <w:rsid w:val="00AE24E2"/>
    <w:rsid w:val="00AE2843"/>
    <w:rsid w:val="00AE3C4B"/>
    <w:rsid w:val="00AE50B1"/>
    <w:rsid w:val="00AE76E6"/>
    <w:rsid w:val="00AF0968"/>
    <w:rsid w:val="00AF231A"/>
    <w:rsid w:val="00AF235B"/>
    <w:rsid w:val="00AF270F"/>
    <w:rsid w:val="00AF3463"/>
    <w:rsid w:val="00AF35AC"/>
    <w:rsid w:val="00AF3DC0"/>
    <w:rsid w:val="00AF4282"/>
    <w:rsid w:val="00AF5035"/>
    <w:rsid w:val="00AF5B22"/>
    <w:rsid w:val="00AF65F2"/>
    <w:rsid w:val="00AF7508"/>
    <w:rsid w:val="00AF7568"/>
    <w:rsid w:val="00AF75CB"/>
    <w:rsid w:val="00B046A4"/>
    <w:rsid w:val="00B05332"/>
    <w:rsid w:val="00B0650F"/>
    <w:rsid w:val="00B103FC"/>
    <w:rsid w:val="00B118CE"/>
    <w:rsid w:val="00B12DC0"/>
    <w:rsid w:val="00B1442F"/>
    <w:rsid w:val="00B1473E"/>
    <w:rsid w:val="00B15EA5"/>
    <w:rsid w:val="00B16010"/>
    <w:rsid w:val="00B17859"/>
    <w:rsid w:val="00B21A7C"/>
    <w:rsid w:val="00B2216D"/>
    <w:rsid w:val="00B22229"/>
    <w:rsid w:val="00B245B4"/>
    <w:rsid w:val="00B2556D"/>
    <w:rsid w:val="00B2657D"/>
    <w:rsid w:val="00B269CA"/>
    <w:rsid w:val="00B26B25"/>
    <w:rsid w:val="00B26D76"/>
    <w:rsid w:val="00B307C4"/>
    <w:rsid w:val="00B30806"/>
    <w:rsid w:val="00B30A32"/>
    <w:rsid w:val="00B3103A"/>
    <w:rsid w:val="00B31304"/>
    <w:rsid w:val="00B329BC"/>
    <w:rsid w:val="00B33856"/>
    <w:rsid w:val="00B35204"/>
    <w:rsid w:val="00B3642A"/>
    <w:rsid w:val="00B3657B"/>
    <w:rsid w:val="00B41274"/>
    <w:rsid w:val="00B43979"/>
    <w:rsid w:val="00B454B9"/>
    <w:rsid w:val="00B46ED6"/>
    <w:rsid w:val="00B47913"/>
    <w:rsid w:val="00B47BE6"/>
    <w:rsid w:val="00B52AE9"/>
    <w:rsid w:val="00B54599"/>
    <w:rsid w:val="00B5664D"/>
    <w:rsid w:val="00B5741A"/>
    <w:rsid w:val="00B612B8"/>
    <w:rsid w:val="00B61681"/>
    <w:rsid w:val="00B631EB"/>
    <w:rsid w:val="00B63FCD"/>
    <w:rsid w:val="00B64806"/>
    <w:rsid w:val="00B6565F"/>
    <w:rsid w:val="00B66B5F"/>
    <w:rsid w:val="00B70625"/>
    <w:rsid w:val="00B70671"/>
    <w:rsid w:val="00B70696"/>
    <w:rsid w:val="00B70DBA"/>
    <w:rsid w:val="00B71C26"/>
    <w:rsid w:val="00B72F54"/>
    <w:rsid w:val="00B7473C"/>
    <w:rsid w:val="00B74F9B"/>
    <w:rsid w:val="00B7540C"/>
    <w:rsid w:val="00B761CC"/>
    <w:rsid w:val="00B765E8"/>
    <w:rsid w:val="00B76D8E"/>
    <w:rsid w:val="00B77A18"/>
    <w:rsid w:val="00B81EF8"/>
    <w:rsid w:val="00B82668"/>
    <w:rsid w:val="00B84ABD"/>
    <w:rsid w:val="00B851B7"/>
    <w:rsid w:val="00B86142"/>
    <w:rsid w:val="00B8752C"/>
    <w:rsid w:val="00B9042D"/>
    <w:rsid w:val="00B9184B"/>
    <w:rsid w:val="00B934EB"/>
    <w:rsid w:val="00B93DDE"/>
    <w:rsid w:val="00B94A0F"/>
    <w:rsid w:val="00B94C07"/>
    <w:rsid w:val="00B973B8"/>
    <w:rsid w:val="00B97503"/>
    <w:rsid w:val="00BA0FF4"/>
    <w:rsid w:val="00BA1238"/>
    <w:rsid w:val="00BA1A17"/>
    <w:rsid w:val="00BA1D8B"/>
    <w:rsid w:val="00BA266C"/>
    <w:rsid w:val="00BA3F7F"/>
    <w:rsid w:val="00BA486C"/>
    <w:rsid w:val="00BA64D9"/>
    <w:rsid w:val="00BA669E"/>
    <w:rsid w:val="00BA6849"/>
    <w:rsid w:val="00BA6897"/>
    <w:rsid w:val="00BB0ACF"/>
    <w:rsid w:val="00BB0F36"/>
    <w:rsid w:val="00BB137C"/>
    <w:rsid w:val="00BB15E3"/>
    <w:rsid w:val="00BB198F"/>
    <w:rsid w:val="00BB362E"/>
    <w:rsid w:val="00BB48A5"/>
    <w:rsid w:val="00BB4A5F"/>
    <w:rsid w:val="00BB55A7"/>
    <w:rsid w:val="00BB57BE"/>
    <w:rsid w:val="00BB6C7A"/>
    <w:rsid w:val="00BB7486"/>
    <w:rsid w:val="00BB7598"/>
    <w:rsid w:val="00BB783A"/>
    <w:rsid w:val="00BC10FC"/>
    <w:rsid w:val="00BC134E"/>
    <w:rsid w:val="00BC1965"/>
    <w:rsid w:val="00BC2CFC"/>
    <w:rsid w:val="00BC3060"/>
    <w:rsid w:val="00BC3A1F"/>
    <w:rsid w:val="00BC3BC6"/>
    <w:rsid w:val="00BC4C3D"/>
    <w:rsid w:val="00BC5A07"/>
    <w:rsid w:val="00BC6D83"/>
    <w:rsid w:val="00BC6D97"/>
    <w:rsid w:val="00BD21AC"/>
    <w:rsid w:val="00BD52FA"/>
    <w:rsid w:val="00BD698D"/>
    <w:rsid w:val="00BD7D24"/>
    <w:rsid w:val="00BE06EE"/>
    <w:rsid w:val="00BE10FF"/>
    <w:rsid w:val="00BE1543"/>
    <w:rsid w:val="00BE2473"/>
    <w:rsid w:val="00BE412B"/>
    <w:rsid w:val="00BE4F3C"/>
    <w:rsid w:val="00BE5216"/>
    <w:rsid w:val="00BE675B"/>
    <w:rsid w:val="00BE6CB5"/>
    <w:rsid w:val="00BE7142"/>
    <w:rsid w:val="00BE7DE0"/>
    <w:rsid w:val="00BF2749"/>
    <w:rsid w:val="00BF2CC7"/>
    <w:rsid w:val="00BF3380"/>
    <w:rsid w:val="00BF39E0"/>
    <w:rsid w:val="00BF3A60"/>
    <w:rsid w:val="00BF3FB0"/>
    <w:rsid w:val="00BF651F"/>
    <w:rsid w:val="00BF6D5C"/>
    <w:rsid w:val="00BF722E"/>
    <w:rsid w:val="00BF762A"/>
    <w:rsid w:val="00BF7707"/>
    <w:rsid w:val="00C005FC"/>
    <w:rsid w:val="00C00BEF"/>
    <w:rsid w:val="00C01574"/>
    <w:rsid w:val="00C01BE5"/>
    <w:rsid w:val="00C02C4F"/>
    <w:rsid w:val="00C03A36"/>
    <w:rsid w:val="00C0407B"/>
    <w:rsid w:val="00C042F9"/>
    <w:rsid w:val="00C04B26"/>
    <w:rsid w:val="00C06160"/>
    <w:rsid w:val="00C06178"/>
    <w:rsid w:val="00C063A7"/>
    <w:rsid w:val="00C11035"/>
    <w:rsid w:val="00C121F0"/>
    <w:rsid w:val="00C16442"/>
    <w:rsid w:val="00C1653B"/>
    <w:rsid w:val="00C20BB5"/>
    <w:rsid w:val="00C21989"/>
    <w:rsid w:val="00C221FA"/>
    <w:rsid w:val="00C226E3"/>
    <w:rsid w:val="00C22DC5"/>
    <w:rsid w:val="00C23BA2"/>
    <w:rsid w:val="00C23C1C"/>
    <w:rsid w:val="00C243CC"/>
    <w:rsid w:val="00C24936"/>
    <w:rsid w:val="00C254A5"/>
    <w:rsid w:val="00C25910"/>
    <w:rsid w:val="00C25C84"/>
    <w:rsid w:val="00C26B25"/>
    <w:rsid w:val="00C26D2F"/>
    <w:rsid w:val="00C301C5"/>
    <w:rsid w:val="00C3151A"/>
    <w:rsid w:val="00C32842"/>
    <w:rsid w:val="00C33F5B"/>
    <w:rsid w:val="00C363B4"/>
    <w:rsid w:val="00C3660A"/>
    <w:rsid w:val="00C37743"/>
    <w:rsid w:val="00C412A2"/>
    <w:rsid w:val="00C41AE9"/>
    <w:rsid w:val="00C43BF3"/>
    <w:rsid w:val="00C43FFB"/>
    <w:rsid w:val="00C45B26"/>
    <w:rsid w:val="00C46021"/>
    <w:rsid w:val="00C46286"/>
    <w:rsid w:val="00C46A89"/>
    <w:rsid w:val="00C46ED1"/>
    <w:rsid w:val="00C47CE7"/>
    <w:rsid w:val="00C50A13"/>
    <w:rsid w:val="00C50BF9"/>
    <w:rsid w:val="00C539C7"/>
    <w:rsid w:val="00C57235"/>
    <w:rsid w:val="00C57C3C"/>
    <w:rsid w:val="00C61236"/>
    <w:rsid w:val="00C61F62"/>
    <w:rsid w:val="00C6201C"/>
    <w:rsid w:val="00C63E0B"/>
    <w:rsid w:val="00C643DA"/>
    <w:rsid w:val="00C706B4"/>
    <w:rsid w:val="00C73785"/>
    <w:rsid w:val="00C74BE6"/>
    <w:rsid w:val="00C751B8"/>
    <w:rsid w:val="00C75A1E"/>
    <w:rsid w:val="00C765DF"/>
    <w:rsid w:val="00C77C11"/>
    <w:rsid w:val="00C8147F"/>
    <w:rsid w:val="00C82A43"/>
    <w:rsid w:val="00C82FB6"/>
    <w:rsid w:val="00C83E95"/>
    <w:rsid w:val="00C8406F"/>
    <w:rsid w:val="00C84BAF"/>
    <w:rsid w:val="00C851DC"/>
    <w:rsid w:val="00C8597E"/>
    <w:rsid w:val="00C86193"/>
    <w:rsid w:val="00C86419"/>
    <w:rsid w:val="00C900B0"/>
    <w:rsid w:val="00C90909"/>
    <w:rsid w:val="00C90C75"/>
    <w:rsid w:val="00C91521"/>
    <w:rsid w:val="00C958EC"/>
    <w:rsid w:val="00C95CC6"/>
    <w:rsid w:val="00C95FE1"/>
    <w:rsid w:val="00C975CF"/>
    <w:rsid w:val="00CA05AE"/>
    <w:rsid w:val="00CA14B5"/>
    <w:rsid w:val="00CA1904"/>
    <w:rsid w:val="00CA4880"/>
    <w:rsid w:val="00CA4DC4"/>
    <w:rsid w:val="00CA6617"/>
    <w:rsid w:val="00CA671D"/>
    <w:rsid w:val="00CA689D"/>
    <w:rsid w:val="00CA6C74"/>
    <w:rsid w:val="00CB0064"/>
    <w:rsid w:val="00CB020F"/>
    <w:rsid w:val="00CB03C6"/>
    <w:rsid w:val="00CB1320"/>
    <w:rsid w:val="00CB4E23"/>
    <w:rsid w:val="00CB551A"/>
    <w:rsid w:val="00CB56A1"/>
    <w:rsid w:val="00CB5921"/>
    <w:rsid w:val="00CC19B9"/>
    <w:rsid w:val="00CC21A3"/>
    <w:rsid w:val="00CC4D8B"/>
    <w:rsid w:val="00CC7490"/>
    <w:rsid w:val="00CC76B1"/>
    <w:rsid w:val="00CD0F45"/>
    <w:rsid w:val="00CD15E2"/>
    <w:rsid w:val="00CD1DB4"/>
    <w:rsid w:val="00CD286C"/>
    <w:rsid w:val="00CD36CF"/>
    <w:rsid w:val="00CD46CB"/>
    <w:rsid w:val="00CD5ED6"/>
    <w:rsid w:val="00CD6311"/>
    <w:rsid w:val="00CD786B"/>
    <w:rsid w:val="00CE2008"/>
    <w:rsid w:val="00CE5C28"/>
    <w:rsid w:val="00CE71F4"/>
    <w:rsid w:val="00CE78CE"/>
    <w:rsid w:val="00CE7979"/>
    <w:rsid w:val="00CF083C"/>
    <w:rsid w:val="00CF0EC5"/>
    <w:rsid w:val="00CF2880"/>
    <w:rsid w:val="00CF4B81"/>
    <w:rsid w:val="00CF5609"/>
    <w:rsid w:val="00CF5BFD"/>
    <w:rsid w:val="00CF6A7F"/>
    <w:rsid w:val="00CF6C93"/>
    <w:rsid w:val="00D004EC"/>
    <w:rsid w:val="00D01999"/>
    <w:rsid w:val="00D02243"/>
    <w:rsid w:val="00D03D35"/>
    <w:rsid w:val="00D03EBB"/>
    <w:rsid w:val="00D04793"/>
    <w:rsid w:val="00D06095"/>
    <w:rsid w:val="00D06F18"/>
    <w:rsid w:val="00D07648"/>
    <w:rsid w:val="00D07795"/>
    <w:rsid w:val="00D10C0B"/>
    <w:rsid w:val="00D128C3"/>
    <w:rsid w:val="00D14357"/>
    <w:rsid w:val="00D155A8"/>
    <w:rsid w:val="00D1624C"/>
    <w:rsid w:val="00D16D19"/>
    <w:rsid w:val="00D20CBD"/>
    <w:rsid w:val="00D2171C"/>
    <w:rsid w:val="00D21A68"/>
    <w:rsid w:val="00D2331A"/>
    <w:rsid w:val="00D2401A"/>
    <w:rsid w:val="00D262C5"/>
    <w:rsid w:val="00D26741"/>
    <w:rsid w:val="00D26D9F"/>
    <w:rsid w:val="00D27B02"/>
    <w:rsid w:val="00D30248"/>
    <w:rsid w:val="00D31083"/>
    <w:rsid w:val="00D340EA"/>
    <w:rsid w:val="00D345F5"/>
    <w:rsid w:val="00D34B5C"/>
    <w:rsid w:val="00D35840"/>
    <w:rsid w:val="00D36241"/>
    <w:rsid w:val="00D3641A"/>
    <w:rsid w:val="00D36766"/>
    <w:rsid w:val="00D36B7B"/>
    <w:rsid w:val="00D37156"/>
    <w:rsid w:val="00D37F8E"/>
    <w:rsid w:val="00D402ED"/>
    <w:rsid w:val="00D431A6"/>
    <w:rsid w:val="00D43315"/>
    <w:rsid w:val="00D461EF"/>
    <w:rsid w:val="00D46E17"/>
    <w:rsid w:val="00D50FB4"/>
    <w:rsid w:val="00D529D5"/>
    <w:rsid w:val="00D53810"/>
    <w:rsid w:val="00D5547F"/>
    <w:rsid w:val="00D55576"/>
    <w:rsid w:val="00D568A4"/>
    <w:rsid w:val="00D56D3E"/>
    <w:rsid w:val="00D56DF3"/>
    <w:rsid w:val="00D577AB"/>
    <w:rsid w:val="00D57B8F"/>
    <w:rsid w:val="00D57C06"/>
    <w:rsid w:val="00D6021C"/>
    <w:rsid w:val="00D60732"/>
    <w:rsid w:val="00D629EB"/>
    <w:rsid w:val="00D6347F"/>
    <w:rsid w:val="00D65241"/>
    <w:rsid w:val="00D663B7"/>
    <w:rsid w:val="00D66AE3"/>
    <w:rsid w:val="00D705BD"/>
    <w:rsid w:val="00D70897"/>
    <w:rsid w:val="00D70DF5"/>
    <w:rsid w:val="00D70F1B"/>
    <w:rsid w:val="00D7199D"/>
    <w:rsid w:val="00D72791"/>
    <w:rsid w:val="00D7360B"/>
    <w:rsid w:val="00D73768"/>
    <w:rsid w:val="00D74605"/>
    <w:rsid w:val="00D74778"/>
    <w:rsid w:val="00D748EC"/>
    <w:rsid w:val="00D7553D"/>
    <w:rsid w:val="00D76E32"/>
    <w:rsid w:val="00D7701C"/>
    <w:rsid w:val="00D806D4"/>
    <w:rsid w:val="00D82195"/>
    <w:rsid w:val="00D83ACC"/>
    <w:rsid w:val="00D90E4B"/>
    <w:rsid w:val="00D91F8A"/>
    <w:rsid w:val="00D97297"/>
    <w:rsid w:val="00D973F7"/>
    <w:rsid w:val="00D9754A"/>
    <w:rsid w:val="00D979F8"/>
    <w:rsid w:val="00DA391C"/>
    <w:rsid w:val="00DA3E86"/>
    <w:rsid w:val="00DA56AA"/>
    <w:rsid w:val="00DA633F"/>
    <w:rsid w:val="00DA72B5"/>
    <w:rsid w:val="00DA74DC"/>
    <w:rsid w:val="00DB1D68"/>
    <w:rsid w:val="00DB292D"/>
    <w:rsid w:val="00DB2F00"/>
    <w:rsid w:val="00DB3A85"/>
    <w:rsid w:val="00DB45D9"/>
    <w:rsid w:val="00DB530A"/>
    <w:rsid w:val="00DB5B66"/>
    <w:rsid w:val="00DB6921"/>
    <w:rsid w:val="00DB6AC5"/>
    <w:rsid w:val="00DB7961"/>
    <w:rsid w:val="00DC20C6"/>
    <w:rsid w:val="00DC370D"/>
    <w:rsid w:val="00DC5211"/>
    <w:rsid w:val="00DC6282"/>
    <w:rsid w:val="00DC6D0E"/>
    <w:rsid w:val="00DD3456"/>
    <w:rsid w:val="00DD5926"/>
    <w:rsid w:val="00DD5934"/>
    <w:rsid w:val="00DD6A07"/>
    <w:rsid w:val="00DD6C58"/>
    <w:rsid w:val="00DD6DD4"/>
    <w:rsid w:val="00DD771E"/>
    <w:rsid w:val="00DE099E"/>
    <w:rsid w:val="00DE126E"/>
    <w:rsid w:val="00DE3401"/>
    <w:rsid w:val="00DE56A1"/>
    <w:rsid w:val="00DE60DD"/>
    <w:rsid w:val="00DE6D90"/>
    <w:rsid w:val="00DE7203"/>
    <w:rsid w:val="00DE7FAC"/>
    <w:rsid w:val="00DE7FDF"/>
    <w:rsid w:val="00DF1091"/>
    <w:rsid w:val="00DF1CE1"/>
    <w:rsid w:val="00DF2024"/>
    <w:rsid w:val="00DF356C"/>
    <w:rsid w:val="00DF4CC8"/>
    <w:rsid w:val="00DF6543"/>
    <w:rsid w:val="00E00802"/>
    <w:rsid w:val="00E00A3B"/>
    <w:rsid w:val="00E01F86"/>
    <w:rsid w:val="00E02FE7"/>
    <w:rsid w:val="00E07495"/>
    <w:rsid w:val="00E111EA"/>
    <w:rsid w:val="00E119B0"/>
    <w:rsid w:val="00E1591D"/>
    <w:rsid w:val="00E173C3"/>
    <w:rsid w:val="00E229AA"/>
    <w:rsid w:val="00E234ED"/>
    <w:rsid w:val="00E235BC"/>
    <w:rsid w:val="00E238E3"/>
    <w:rsid w:val="00E250EA"/>
    <w:rsid w:val="00E260C2"/>
    <w:rsid w:val="00E26F5B"/>
    <w:rsid w:val="00E27911"/>
    <w:rsid w:val="00E323BA"/>
    <w:rsid w:val="00E3293A"/>
    <w:rsid w:val="00E3452C"/>
    <w:rsid w:val="00E34699"/>
    <w:rsid w:val="00E35742"/>
    <w:rsid w:val="00E367D8"/>
    <w:rsid w:val="00E36B15"/>
    <w:rsid w:val="00E36B77"/>
    <w:rsid w:val="00E401F2"/>
    <w:rsid w:val="00E42094"/>
    <w:rsid w:val="00E42FCC"/>
    <w:rsid w:val="00E437CF"/>
    <w:rsid w:val="00E4387C"/>
    <w:rsid w:val="00E45287"/>
    <w:rsid w:val="00E46138"/>
    <w:rsid w:val="00E46235"/>
    <w:rsid w:val="00E466FD"/>
    <w:rsid w:val="00E47073"/>
    <w:rsid w:val="00E51C9A"/>
    <w:rsid w:val="00E52BCC"/>
    <w:rsid w:val="00E53835"/>
    <w:rsid w:val="00E559B3"/>
    <w:rsid w:val="00E55C5C"/>
    <w:rsid w:val="00E55F8A"/>
    <w:rsid w:val="00E5605A"/>
    <w:rsid w:val="00E565AA"/>
    <w:rsid w:val="00E56A3D"/>
    <w:rsid w:val="00E575CC"/>
    <w:rsid w:val="00E61B0A"/>
    <w:rsid w:val="00E641D0"/>
    <w:rsid w:val="00E64518"/>
    <w:rsid w:val="00E6668F"/>
    <w:rsid w:val="00E67CC9"/>
    <w:rsid w:val="00E67F2F"/>
    <w:rsid w:val="00E70523"/>
    <w:rsid w:val="00E7268E"/>
    <w:rsid w:val="00E72F38"/>
    <w:rsid w:val="00E7408F"/>
    <w:rsid w:val="00E77079"/>
    <w:rsid w:val="00E77957"/>
    <w:rsid w:val="00E77C19"/>
    <w:rsid w:val="00E77E9A"/>
    <w:rsid w:val="00E80392"/>
    <w:rsid w:val="00E80448"/>
    <w:rsid w:val="00E80EF8"/>
    <w:rsid w:val="00E81CDF"/>
    <w:rsid w:val="00E81F85"/>
    <w:rsid w:val="00E838E4"/>
    <w:rsid w:val="00E8414F"/>
    <w:rsid w:val="00E84D63"/>
    <w:rsid w:val="00E86793"/>
    <w:rsid w:val="00E87EC0"/>
    <w:rsid w:val="00E91012"/>
    <w:rsid w:val="00E912D3"/>
    <w:rsid w:val="00E91539"/>
    <w:rsid w:val="00E92599"/>
    <w:rsid w:val="00E92670"/>
    <w:rsid w:val="00E926F4"/>
    <w:rsid w:val="00E92D23"/>
    <w:rsid w:val="00E97610"/>
    <w:rsid w:val="00EA1547"/>
    <w:rsid w:val="00EA1A20"/>
    <w:rsid w:val="00EA31E6"/>
    <w:rsid w:val="00EA3AE1"/>
    <w:rsid w:val="00EA4E8C"/>
    <w:rsid w:val="00EA514A"/>
    <w:rsid w:val="00EA5319"/>
    <w:rsid w:val="00EA62FF"/>
    <w:rsid w:val="00EA64F7"/>
    <w:rsid w:val="00EB0F37"/>
    <w:rsid w:val="00EB1FD0"/>
    <w:rsid w:val="00EB2BD5"/>
    <w:rsid w:val="00EB48F2"/>
    <w:rsid w:val="00EB5E28"/>
    <w:rsid w:val="00EB6075"/>
    <w:rsid w:val="00EB616F"/>
    <w:rsid w:val="00EC0C1F"/>
    <w:rsid w:val="00EC2DD6"/>
    <w:rsid w:val="00EC2F66"/>
    <w:rsid w:val="00EC3034"/>
    <w:rsid w:val="00EC58F5"/>
    <w:rsid w:val="00EC5B9A"/>
    <w:rsid w:val="00EC66AD"/>
    <w:rsid w:val="00EC767E"/>
    <w:rsid w:val="00ED0AB2"/>
    <w:rsid w:val="00ED0AD8"/>
    <w:rsid w:val="00ED1143"/>
    <w:rsid w:val="00ED1C26"/>
    <w:rsid w:val="00ED3555"/>
    <w:rsid w:val="00ED3DAA"/>
    <w:rsid w:val="00ED4C04"/>
    <w:rsid w:val="00ED4EE6"/>
    <w:rsid w:val="00ED63CD"/>
    <w:rsid w:val="00ED76F7"/>
    <w:rsid w:val="00EE0536"/>
    <w:rsid w:val="00EE1C20"/>
    <w:rsid w:val="00EE2035"/>
    <w:rsid w:val="00EE262B"/>
    <w:rsid w:val="00EE2778"/>
    <w:rsid w:val="00EE2ECE"/>
    <w:rsid w:val="00EE3F60"/>
    <w:rsid w:val="00EE43DE"/>
    <w:rsid w:val="00EE52C7"/>
    <w:rsid w:val="00EE64B3"/>
    <w:rsid w:val="00EE7F70"/>
    <w:rsid w:val="00EF0788"/>
    <w:rsid w:val="00EF08C1"/>
    <w:rsid w:val="00EF13B6"/>
    <w:rsid w:val="00EF17EA"/>
    <w:rsid w:val="00EF1BB1"/>
    <w:rsid w:val="00EF2C07"/>
    <w:rsid w:val="00EF6141"/>
    <w:rsid w:val="00EF7196"/>
    <w:rsid w:val="00EF7202"/>
    <w:rsid w:val="00EF7989"/>
    <w:rsid w:val="00EF79A7"/>
    <w:rsid w:val="00F0074D"/>
    <w:rsid w:val="00F011CC"/>
    <w:rsid w:val="00F039FA"/>
    <w:rsid w:val="00F04DA1"/>
    <w:rsid w:val="00F06222"/>
    <w:rsid w:val="00F100AB"/>
    <w:rsid w:val="00F12017"/>
    <w:rsid w:val="00F129AC"/>
    <w:rsid w:val="00F14424"/>
    <w:rsid w:val="00F16F85"/>
    <w:rsid w:val="00F17B9F"/>
    <w:rsid w:val="00F21A4D"/>
    <w:rsid w:val="00F22395"/>
    <w:rsid w:val="00F22440"/>
    <w:rsid w:val="00F25328"/>
    <w:rsid w:val="00F263A9"/>
    <w:rsid w:val="00F2704D"/>
    <w:rsid w:val="00F27EAD"/>
    <w:rsid w:val="00F30437"/>
    <w:rsid w:val="00F30A60"/>
    <w:rsid w:val="00F3186A"/>
    <w:rsid w:val="00F31884"/>
    <w:rsid w:val="00F31E52"/>
    <w:rsid w:val="00F31F8C"/>
    <w:rsid w:val="00F327D5"/>
    <w:rsid w:val="00F32CF1"/>
    <w:rsid w:val="00F34B62"/>
    <w:rsid w:val="00F356E3"/>
    <w:rsid w:val="00F36031"/>
    <w:rsid w:val="00F3753A"/>
    <w:rsid w:val="00F40B93"/>
    <w:rsid w:val="00F40C30"/>
    <w:rsid w:val="00F40D06"/>
    <w:rsid w:val="00F437B3"/>
    <w:rsid w:val="00F43F0F"/>
    <w:rsid w:val="00F45333"/>
    <w:rsid w:val="00F45CA2"/>
    <w:rsid w:val="00F46CBC"/>
    <w:rsid w:val="00F47589"/>
    <w:rsid w:val="00F47CB8"/>
    <w:rsid w:val="00F503D6"/>
    <w:rsid w:val="00F506DE"/>
    <w:rsid w:val="00F50CDF"/>
    <w:rsid w:val="00F5175E"/>
    <w:rsid w:val="00F519B5"/>
    <w:rsid w:val="00F52352"/>
    <w:rsid w:val="00F535AE"/>
    <w:rsid w:val="00F5640C"/>
    <w:rsid w:val="00F57842"/>
    <w:rsid w:val="00F60F99"/>
    <w:rsid w:val="00F62309"/>
    <w:rsid w:val="00F63D78"/>
    <w:rsid w:val="00F63EAF"/>
    <w:rsid w:val="00F652DD"/>
    <w:rsid w:val="00F656B1"/>
    <w:rsid w:val="00F66156"/>
    <w:rsid w:val="00F665A6"/>
    <w:rsid w:val="00F67D6A"/>
    <w:rsid w:val="00F74D6E"/>
    <w:rsid w:val="00F764DE"/>
    <w:rsid w:val="00F76B55"/>
    <w:rsid w:val="00F76EE8"/>
    <w:rsid w:val="00F80A05"/>
    <w:rsid w:val="00F811D8"/>
    <w:rsid w:val="00F8349C"/>
    <w:rsid w:val="00F83532"/>
    <w:rsid w:val="00F8365B"/>
    <w:rsid w:val="00F83CFB"/>
    <w:rsid w:val="00F84C7F"/>
    <w:rsid w:val="00F84F9F"/>
    <w:rsid w:val="00F8669D"/>
    <w:rsid w:val="00F87A0F"/>
    <w:rsid w:val="00F90AD5"/>
    <w:rsid w:val="00F91377"/>
    <w:rsid w:val="00F92B5F"/>
    <w:rsid w:val="00F95439"/>
    <w:rsid w:val="00F95771"/>
    <w:rsid w:val="00F95A20"/>
    <w:rsid w:val="00F95D3D"/>
    <w:rsid w:val="00F97562"/>
    <w:rsid w:val="00FA0B4A"/>
    <w:rsid w:val="00FA1F3D"/>
    <w:rsid w:val="00FA202D"/>
    <w:rsid w:val="00FA2AC0"/>
    <w:rsid w:val="00FA36C7"/>
    <w:rsid w:val="00FA3DED"/>
    <w:rsid w:val="00FA75BD"/>
    <w:rsid w:val="00FA7C08"/>
    <w:rsid w:val="00FA7DF4"/>
    <w:rsid w:val="00FB2E55"/>
    <w:rsid w:val="00FB2E5C"/>
    <w:rsid w:val="00FB38F7"/>
    <w:rsid w:val="00FB3CA7"/>
    <w:rsid w:val="00FB3DF0"/>
    <w:rsid w:val="00FB4106"/>
    <w:rsid w:val="00FB5D4A"/>
    <w:rsid w:val="00FB6E64"/>
    <w:rsid w:val="00FC00DA"/>
    <w:rsid w:val="00FC0764"/>
    <w:rsid w:val="00FC11B8"/>
    <w:rsid w:val="00FC27C8"/>
    <w:rsid w:val="00FC3BEF"/>
    <w:rsid w:val="00FC3E98"/>
    <w:rsid w:val="00FC5BB6"/>
    <w:rsid w:val="00FC7BAB"/>
    <w:rsid w:val="00FD234B"/>
    <w:rsid w:val="00FD295F"/>
    <w:rsid w:val="00FD2FBD"/>
    <w:rsid w:val="00FD3CA4"/>
    <w:rsid w:val="00FD547E"/>
    <w:rsid w:val="00FD63A2"/>
    <w:rsid w:val="00FD70C3"/>
    <w:rsid w:val="00FD7D09"/>
    <w:rsid w:val="00FE076A"/>
    <w:rsid w:val="00FE165F"/>
    <w:rsid w:val="00FE1CFD"/>
    <w:rsid w:val="00FE24D5"/>
    <w:rsid w:val="00FE4EF2"/>
    <w:rsid w:val="00FE6ABB"/>
    <w:rsid w:val="00FE6B63"/>
    <w:rsid w:val="00FE7640"/>
    <w:rsid w:val="00FE7D1D"/>
    <w:rsid w:val="00FE7F68"/>
    <w:rsid w:val="00FF10C3"/>
    <w:rsid w:val="00FF19B3"/>
    <w:rsid w:val="00FF217F"/>
    <w:rsid w:val="00FF25F1"/>
    <w:rsid w:val="00FF3549"/>
    <w:rsid w:val="00FF394F"/>
    <w:rsid w:val="00FF4888"/>
    <w:rsid w:val="00FF5155"/>
    <w:rsid w:val="01057174"/>
    <w:rsid w:val="01066A48"/>
    <w:rsid w:val="01067C6D"/>
    <w:rsid w:val="013637D1"/>
    <w:rsid w:val="013F153F"/>
    <w:rsid w:val="014F15F4"/>
    <w:rsid w:val="0170404F"/>
    <w:rsid w:val="01750BE4"/>
    <w:rsid w:val="01A54983"/>
    <w:rsid w:val="01A6752C"/>
    <w:rsid w:val="01B06FD9"/>
    <w:rsid w:val="01B16C90"/>
    <w:rsid w:val="01BD686F"/>
    <w:rsid w:val="01C37C7A"/>
    <w:rsid w:val="01D63A4C"/>
    <w:rsid w:val="01E8048B"/>
    <w:rsid w:val="01F21292"/>
    <w:rsid w:val="01FA47FF"/>
    <w:rsid w:val="01FF0067"/>
    <w:rsid w:val="020411DA"/>
    <w:rsid w:val="020C4532"/>
    <w:rsid w:val="02117D9A"/>
    <w:rsid w:val="02131C18"/>
    <w:rsid w:val="022635D3"/>
    <w:rsid w:val="0234118D"/>
    <w:rsid w:val="023B6BC5"/>
    <w:rsid w:val="02491AB4"/>
    <w:rsid w:val="02535CBD"/>
    <w:rsid w:val="02563BEC"/>
    <w:rsid w:val="025C75C4"/>
    <w:rsid w:val="02605377"/>
    <w:rsid w:val="02673E61"/>
    <w:rsid w:val="026B1259"/>
    <w:rsid w:val="026F058F"/>
    <w:rsid w:val="02725CAB"/>
    <w:rsid w:val="027553C9"/>
    <w:rsid w:val="02785724"/>
    <w:rsid w:val="027D18EE"/>
    <w:rsid w:val="0288383F"/>
    <w:rsid w:val="028C11CF"/>
    <w:rsid w:val="02900CBF"/>
    <w:rsid w:val="02914A04"/>
    <w:rsid w:val="02935A19"/>
    <w:rsid w:val="02C054E1"/>
    <w:rsid w:val="02C60B85"/>
    <w:rsid w:val="02CD3CC1"/>
    <w:rsid w:val="02E10301"/>
    <w:rsid w:val="02FC0103"/>
    <w:rsid w:val="02FE3E7B"/>
    <w:rsid w:val="02FF5E45"/>
    <w:rsid w:val="030376E3"/>
    <w:rsid w:val="03195159"/>
    <w:rsid w:val="031C5C78"/>
    <w:rsid w:val="03280EF8"/>
    <w:rsid w:val="0328714A"/>
    <w:rsid w:val="033C2BF5"/>
    <w:rsid w:val="034026E5"/>
    <w:rsid w:val="03411FB9"/>
    <w:rsid w:val="034D095E"/>
    <w:rsid w:val="035717DD"/>
    <w:rsid w:val="0360556D"/>
    <w:rsid w:val="03702324"/>
    <w:rsid w:val="0383240D"/>
    <w:rsid w:val="038E1915"/>
    <w:rsid w:val="038F6C8C"/>
    <w:rsid w:val="03A04F32"/>
    <w:rsid w:val="03AC2AD6"/>
    <w:rsid w:val="03AD764F"/>
    <w:rsid w:val="03B86720"/>
    <w:rsid w:val="03BE7AAE"/>
    <w:rsid w:val="03C03826"/>
    <w:rsid w:val="03C4621C"/>
    <w:rsid w:val="03CB1081"/>
    <w:rsid w:val="03E2554B"/>
    <w:rsid w:val="03F31D20"/>
    <w:rsid w:val="04005FE3"/>
    <w:rsid w:val="040354C1"/>
    <w:rsid w:val="040613E8"/>
    <w:rsid w:val="040F20B8"/>
    <w:rsid w:val="042E7B48"/>
    <w:rsid w:val="0430275A"/>
    <w:rsid w:val="043B7F39"/>
    <w:rsid w:val="043C6D95"/>
    <w:rsid w:val="043F08EC"/>
    <w:rsid w:val="0443358A"/>
    <w:rsid w:val="044E101C"/>
    <w:rsid w:val="04545D1C"/>
    <w:rsid w:val="04584026"/>
    <w:rsid w:val="045A7F8C"/>
    <w:rsid w:val="04657F2A"/>
    <w:rsid w:val="046B19E4"/>
    <w:rsid w:val="0482288A"/>
    <w:rsid w:val="048B3E34"/>
    <w:rsid w:val="048C5A1D"/>
    <w:rsid w:val="04AC5B58"/>
    <w:rsid w:val="04B35139"/>
    <w:rsid w:val="04BD1B14"/>
    <w:rsid w:val="04C107A4"/>
    <w:rsid w:val="04D774AC"/>
    <w:rsid w:val="04DB1902"/>
    <w:rsid w:val="04EA11FD"/>
    <w:rsid w:val="04ED064B"/>
    <w:rsid w:val="04FD04E8"/>
    <w:rsid w:val="050B287F"/>
    <w:rsid w:val="050E015C"/>
    <w:rsid w:val="050E411D"/>
    <w:rsid w:val="05124E4C"/>
    <w:rsid w:val="05134BBC"/>
    <w:rsid w:val="051E25B2"/>
    <w:rsid w:val="05237BC9"/>
    <w:rsid w:val="052C7F9A"/>
    <w:rsid w:val="053B7608"/>
    <w:rsid w:val="05534E10"/>
    <w:rsid w:val="055B4129"/>
    <w:rsid w:val="055D3A3F"/>
    <w:rsid w:val="056B77C2"/>
    <w:rsid w:val="05863958"/>
    <w:rsid w:val="05882122"/>
    <w:rsid w:val="058C1C12"/>
    <w:rsid w:val="059D3E1F"/>
    <w:rsid w:val="05B34780"/>
    <w:rsid w:val="05B62F19"/>
    <w:rsid w:val="05C27EAF"/>
    <w:rsid w:val="05CA273A"/>
    <w:rsid w:val="05E87A57"/>
    <w:rsid w:val="05EC0902"/>
    <w:rsid w:val="05EE467B"/>
    <w:rsid w:val="05F23A3F"/>
    <w:rsid w:val="060D533B"/>
    <w:rsid w:val="060E4E71"/>
    <w:rsid w:val="06210E27"/>
    <w:rsid w:val="0624009C"/>
    <w:rsid w:val="062A2ACB"/>
    <w:rsid w:val="06340CEF"/>
    <w:rsid w:val="063F22EF"/>
    <w:rsid w:val="064F49ED"/>
    <w:rsid w:val="06500E91"/>
    <w:rsid w:val="065169B7"/>
    <w:rsid w:val="0655602B"/>
    <w:rsid w:val="06691F53"/>
    <w:rsid w:val="066B1D62"/>
    <w:rsid w:val="068E1DFA"/>
    <w:rsid w:val="068E3768"/>
    <w:rsid w:val="06952D48"/>
    <w:rsid w:val="069A7F6E"/>
    <w:rsid w:val="069C40D7"/>
    <w:rsid w:val="06AC0092"/>
    <w:rsid w:val="06B451EE"/>
    <w:rsid w:val="06C675DB"/>
    <w:rsid w:val="06DA0B31"/>
    <w:rsid w:val="0701218C"/>
    <w:rsid w:val="07125927"/>
    <w:rsid w:val="07195727"/>
    <w:rsid w:val="07302A71"/>
    <w:rsid w:val="07351E35"/>
    <w:rsid w:val="07391925"/>
    <w:rsid w:val="07506C6F"/>
    <w:rsid w:val="07553C2F"/>
    <w:rsid w:val="076215C9"/>
    <w:rsid w:val="0768044E"/>
    <w:rsid w:val="07694519"/>
    <w:rsid w:val="07782CB2"/>
    <w:rsid w:val="077E1E05"/>
    <w:rsid w:val="07830DF3"/>
    <w:rsid w:val="079216F8"/>
    <w:rsid w:val="07B471FE"/>
    <w:rsid w:val="07C05BA3"/>
    <w:rsid w:val="07CB4FD6"/>
    <w:rsid w:val="07D16002"/>
    <w:rsid w:val="07D969CB"/>
    <w:rsid w:val="07E32B27"/>
    <w:rsid w:val="07E55972"/>
    <w:rsid w:val="07EA0309"/>
    <w:rsid w:val="07EB4075"/>
    <w:rsid w:val="07FD4C28"/>
    <w:rsid w:val="08111BA2"/>
    <w:rsid w:val="08147C9D"/>
    <w:rsid w:val="08204893"/>
    <w:rsid w:val="082A5712"/>
    <w:rsid w:val="082C148A"/>
    <w:rsid w:val="083F0C97"/>
    <w:rsid w:val="08515AD6"/>
    <w:rsid w:val="085207C5"/>
    <w:rsid w:val="086230FE"/>
    <w:rsid w:val="08674449"/>
    <w:rsid w:val="086A3A96"/>
    <w:rsid w:val="08852948"/>
    <w:rsid w:val="0892144A"/>
    <w:rsid w:val="08A80FAA"/>
    <w:rsid w:val="08B172EF"/>
    <w:rsid w:val="08B66FA6"/>
    <w:rsid w:val="08D43172"/>
    <w:rsid w:val="08D86F1C"/>
    <w:rsid w:val="08DD6D78"/>
    <w:rsid w:val="08E84CD2"/>
    <w:rsid w:val="08E86271"/>
    <w:rsid w:val="08F16351"/>
    <w:rsid w:val="091B1F90"/>
    <w:rsid w:val="091E0C8A"/>
    <w:rsid w:val="09243E4C"/>
    <w:rsid w:val="0926237D"/>
    <w:rsid w:val="092B1819"/>
    <w:rsid w:val="0941024B"/>
    <w:rsid w:val="09453417"/>
    <w:rsid w:val="094B6716"/>
    <w:rsid w:val="095F1D10"/>
    <w:rsid w:val="096609CC"/>
    <w:rsid w:val="098826F0"/>
    <w:rsid w:val="098C72A4"/>
    <w:rsid w:val="09913200"/>
    <w:rsid w:val="09936D78"/>
    <w:rsid w:val="09970B85"/>
    <w:rsid w:val="099D3DC6"/>
    <w:rsid w:val="099F1CAE"/>
    <w:rsid w:val="09A82D92"/>
    <w:rsid w:val="09AA03D6"/>
    <w:rsid w:val="09AA6B0A"/>
    <w:rsid w:val="09B05932"/>
    <w:rsid w:val="09B40AAA"/>
    <w:rsid w:val="09B41999"/>
    <w:rsid w:val="09B51B61"/>
    <w:rsid w:val="09BE6112"/>
    <w:rsid w:val="09D557E1"/>
    <w:rsid w:val="09F14739"/>
    <w:rsid w:val="09F64F74"/>
    <w:rsid w:val="0A06409E"/>
    <w:rsid w:val="0A1026E6"/>
    <w:rsid w:val="0A1B4835"/>
    <w:rsid w:val="0A2C5771"/>
    <w:rsid w:val="0A3D71F3"/>
    <w:rsid w:val="0A4505E1"/>
    <w:rsid w:val="0A514034"/>
    <w:rsid w:val="0A5847B8"/>
    <w:rsid w:val="0A621193"/>
    <w:rsid w:val="0A623B32"/>
    <w:rsid w:val="0A631B68"/>
    <w:rsid w:val="0A645EC2"/>
    <w:rsid w:val="0A6C0264"/>
    <w:rsid w:val="0A7A60D5"/>
    <w:rsid w:val="0A7C485C"/>
    <w:rsid w:val="0A8037FE"/>
    <w:rsid w:val="0A86321F"/>
    <w:rsid w:val="0A8729A8"/>
    <w:rsid w:val="0A8B1561"/>
    <w:rsid w:val="0A9652E1"/>
    <w:rsid w:val="0A981059"/>
    <w:rsid w:val="0A9B6453"/>
    <w:rsid w:val="0AA03A6A"/>
    <w:rsid w:val="0AAF13ED"/>
    <w:rsid w:val="0AB87005"/>
    <w:rsid w:val="0AB94B2B"/>
    <w:rsid w:val="0ABB07E2"/>
    <w:rsid w:val="0AC742FB"/>
    <w:rsid w:val="0AD55E09"/>
    <w:rsid w:val="0AD6514D"/>
    <w:rsid w:val="0ADD3F63"/>
    <w:rsid w:val="0AE41600"/>
    <w:rsid w:val="0AF35E52"/>
    <w:rsid w:val="0AF60FB6"/>
    <w:rsid w:val="0B096735"/>
    <w:rsid w:val="0B1160B5"/>
    <w:rsid w:val="0B1340F4"/>
    <w:rsid w:val="0B187AA4"/>
    <w:rsid w:val="0B1B7594"/>
    <w:rsid w:val="0B1F0E32"/>
    <w:rsid w:val="0B1F378A"/>
    <w:rsid w:val="0B224D72"/>
    <w:rsid w:val="0B275F39"/>
    <w:rsid w:val="0B2C354F"/>
    <w:rsid w:val="0B354AFA"/>
    <w:rsid w:val="0B61769D"/>
    <w:rsid w:val="0B64718D"/>
    <w:rsid w:val="0B680A2B"/>
    <w:rsid w:val="0B6B051B"/>
    <w:rsid w:val="0B770C6E"/>
    <w:rsid w:val="0B795D43"/>
    <w:rsid w:val="0B867103"/>
    <w:rsid w:val="0B9178BD"/>
    <w:rsid w:val="0B995089"/>
    <w:rsid w:val="0B9D6F40"/>
    <w:rsid w:val="0B9E1E32"/>
    <w:rsid w:val="0BA17A99"/>
    <w:rsid w:val="0BA2385A"/>
    <w:rsid w:val="0BAB0715"/>
    <w:rsid w:val="0BC419DA"/>
    <w:rsid w:val="0BD936D7"/>
    <w:rsid w:val="0BE34556"/>
    <w:rsid w:val="0BE51A12"/>
    <w:rsid w:val="0BE65DF4"/>
    <w:rsid w:val="0BEB1753"/>
    <w:rsid w:val="0BFA364D"/>
    <w:rsid w:val="0C087B18"/>
    <w:rsid w:val="0C0A3890"/>
    <w:rsid w:val="0C0B13B7"/>
    <w:rsid w:val="0C1240DD"/>
    <w:rsid w:val="0C1F4E62"/>
    <w:rsid w:val="0C293400"/>
    <w:rsid w:val="0C430B50"/>
    <w:rsid w:val="0C4548C9"/>
    <w:rsid w:val="0C4F5747"/>
    <w:rsid w:val="0C5322A7"/>
    <w:rsid w:val="0C5A77D4"/>
    <w:rsid w:val="0C5F669B"/>
    <w:rsid w:val="0C6565D2"/>
    <w:rsid w:val="0C67733B"/>
    <w:rsid w:val="0C757885"/>
    <w:rsid w:val="0C7711FF"/>
    <w:rsid w:val="0C7A3073"/>
    <w:rsid w:val="0C7E7DDA"/>
    <w:rsid w:val="0C865C16"/>
    <w:rsid w:val="0C871385"/>
    <w:rsid w:val="0C9149E6"/>
    <w:rsid w:val="0C931FC6"/>
    <w:rsid w:val="0CA72637"/>
    <w:rsid w:val="0CE265BB"/>
    <w:rsid w:val="0CEF0CD8"/>
    <w:rsid w:val="0CF54541"/>
    <w:rsid w:val="0D1C5FB0"/>
    <w:rsid w:val="0D26294C"/>
    <w:rsid w:val="0D305579"/>
    <w:rsid w:val="0D41736C"/>
    <w:rsid w:val="0D4B3448"/>
    <w:rsid w:val="0D4B4161"/>
    <w:rsid w:val="0D914897"/>
    <w:rsid w:val="0D9553DC"/>
    <w:rsid w:val="0D9A4DC4"/>
    <w:rsid w:val="0D9B6D57"/>
    <w:rsid w:val="0DA52D0D"/>
    <w:rsid w:val="0DAB3889"/>
    <w:rsid w:val="0DB937C0"/>
    <w:rsid w:val="0DBE5370"/>
    <w:rsid w:val="0DC07312"/>
    <w:rsid w:val="0DE819AF"/>
    <w:rsid w:val="0DF540CC"/>
    <w:rsid w:val="0DF90060"/>
    <w:rsid w:val="0E2844A2"/>
    <w:rsid w:val="0E2F5830"/>
    <w:rsid w:val="0E417312"/>
    <w:rsid w:val="0E46673E"/>
    <w:rsid w:val="0E4A1DAC"/>
    <w:rsid w:val="0E52151F"/>
    <w:rsid w:val="0E6838E6"/>
    <w:rsid w:val="0E6B438E"/>
    <w:rsid w:val="0E72396F"/>
    <w:rsid w:val="0E98447E"/>
    <w:rsid w:val="0EC74F70"/>
    <w:rsid w:val="0ECC5CD4"/>
    <w:rsid w:val="0ED168E7"/>
    <w:rsid w:val="0EE7610B"/>
    <w:rsid w:val="0EEC5A45"/>
    <w:rsid w:val="0EF425D6"/>
    <w:rsid w:val="0F040A6B"/>
    <w:rsid w:val="0F072001"/>
    <w:rsid w:val="0F0942D3"/>
    <w:rsid w:val="0F1D38DB"/>
    <w:rsid w:val="0F20161D"/>
    <w:rsid w:val="0F2A424A"/>
    <w:rsid w:val="0F2C7899"/>
    <w:rsid w:val="0F3B1FB3"/>
    <w:rsid w:val="0F4470B9"/>
    <w:rsid w:val="0F4C2412"/>
    <w:rsid w:val="0F4E618A"/>
    <w:rsid w:val="0F587009"/>
    <w:rsid w:val="0F5E1D86"/>
    <w:rsid w:val="0F5E3F69"/>
    <w:rsid w:val="0F5F2145"/>
    <w:rsid w:val="0F5F3EF3"/>
    <w:rsid w:val="0F60300B"/>
    <w:rsid w:val="0F6239E3"/>
    <w:rsid w:val="0F661726"/>
    <w:rsid w:val="0F890A4B"/>
    <w:rsid w:val="0F8E45E4"/>
    <w:rsid w:val="0F9811B3"/>
    <w:rsid w:val="0FAE09D7"/>
    <w:rsid w:val="0FB3423F"/>
    <w:rsid w:val="0FC24482"/>
    <w:rsid w:val="0FCD3553"/>
    <w:rsid w:val="0FD03043"/>
    <w:rsid w:val="0FD7749C"/>
    <w:rsid w:val="0FF359FF"/>
    <w:rsid w:val="10086339"/>
    <w:rsid w:val="100A4157"/>
    <w:rsid w:val="100E0ADE"/>
    <w:rsid w:val="101702C9"/>
    <w:rsid w:val="10196955"/>
    <w:rsid w:val="102D13CE"/>
    <w:rsid w:val="10352221"/>
    <w:rsid w:val="10354C54"/>
    <w:rsid w:val="103A04C3"/>
    <w:rsid w:val="1040267F"/>
    <w:rsid w:val="104A4BA3"/>
    <w:rsid w:val="104A6F90"/>
    <w:rsid w:val="104E0F19"/>
    <w:rsid w:val="107512DB"/>
    <w:rsid w:val="107B4D5D"/>
    <w:rsid w:val="107D1AA2"/>
    <w:rsid w:val="107E1CEE"/>
    <w:rsid w:val="108B0D18"/>
    <w:rsid w:val="10A01480"/>
    <w:rsid w:val="10B33F30"/>
    <w:rsid w:val="10B71B0D"/>
    <w:rsid w:val="10BB33AB"/>
    <w:rsid w:val="10BC5375"/>
    <w:rsid w:val="10D25671"/>
    <w:rsid w:val="10E50428"/>
    <w:rsid w:val="10EE74A4"/>
    <w:rsid w:val="11036B00"/>
    <w:rsid w:val="111B6540"/>
    <w:rsid w:val="111D5135"/>
    <w:rsid w:val="112F5B47"/>
    <w:rsid w:val="11356F38"/>
    <w:rsid w:val="113849FC"/>
    <w:rsid w:val="11477335"/>
    <w:rsid w:val="11593D0E"/>
    <w:rsid w:val="11673533"/>
    <w:rsid w:val="1170063A"/>
    <w:rsid w:val="117619C8"/>
    <w:rsid w:val="11782C78"/>
    <w:rsid w:val="117874EE"/>
    <w:rsid w:val="118B4873"/>
    <w:rsid w:val="118D3C11"/>
    <w:rsid w:val="118E0AC0"/>
    <w:rsid w:val="11915461"/>
    <w:rsid w:val="11953C4B"/>
    <w:rsid w:val="11A64242"/>
    <w:rsid w:val="11A90729"/>
    <w:rsid w:val="11A976A8"/>
    <w:rsid w:val="11AB761C"/>
    <w:rsid w:val="11E06779"/>
    <w:rsid w:val="11E302D6"/>
    <w:rsid w:val="11E61731"/>
    <w:rsid w:val="11E93F48"/>
    <w:rsid w:val="11F03528"/>
    <w:rsid w:val="11F36B75"/>
    <w:rsid w:val="11FA7F03"/>
    <w:rsid w:val="1200766C"/>
    <w:rsid w:val="120314AE"/>
    <w:rsid w:val="120C3966"/>
    <w:rsid w:val="120C50A7"/>
    <w:rsid w:val="12136058"/>
    <w:rsid w:val="12170AB5"/>
    <w:rsid w:val="121C256F"/>
    <w:rsid w:val="121D7F24"/>
    <w:rsid w:val="121E5F18"/>
    <w:rsid w:val="12227CBE"/>
    <w:rsid w:val="12335617"/>
    <w:rsid w:val="12353631"/>
    <w:rsid w:val="123D337B"/>
    <w:rsid w:val="123E4294"/>
    <w:rsid w:val="12411633"/>
    <w:rsid w:val="125735A8"/>
    <w:rsid w:val="127C4DBC"/>
    <w:rsid w:val="127D4511"/>
    <w:rsid w:val="128309D9"/>
    <w:rsid w:val="12872167"/>
    <w:rsid w:val="128F4AEF"/>
    <w:rsid w:val="128F634E"/>
    <w:rsid w:val="12A23051"/>
    <w:rsid w:val="12A5482A"/>
    <w:rsid w:val="12A714B7"/>
    <w:rsid w:val="12B12137"/>
    <w:rsid w:val="12BE157D"/>
    <w:rsid w:val="12C10A21"/>
    <w:rsid w:val="12C67871"/>
    <w:rsid w:val="12CA3D79"/>
    <w:rsid w:val="12DE5A77"/>
    <w:rsid w:val="12FB3F33"/>
    <w:rsid w:val="12FE7EC7"/>
    <w:rsid w:val="130F3E82"/>
    <w:rsid w:val="1312127D"/>
    <w:rsid w:val="131A74E6"/>
    <w:rsid w:val="132D1C3B"/>
    <w:rsid w:val="133403D5"/>
    <w:rsid w:val="1335013A"/>
    <w:rsid w:val="1336163B"/>
    <w:rsid w:val="133B07D3"/>
    <w:rsid w:val="13511AEE"/>
    <w:rsid w:val="135217AB"/>
    <w:rsid w:val="13531FC1"/>
    <w:rsid w:val="135D59D1"/>
    <w:rsid w:val="13631AD8"/>
    <w:rsid w:val="1376180B"/>
    <w:rsid w:val="13854144"/>
    <w:rsid w:val="13855EF2"/>
    <w:rsid w:val="139B3968"/>
    <w:rsid w:val="139D423C"/>
    <w:rsid w:val="139D4FEA"/>
    <w:rsid w:val="139F5206"/>
    <w:rsid w:val="13A40AB1"/>
    <w:rsid w:val="13A5260B"/>
    <w:rsid w:val="13A61088"/>
    <w:rsid w:val="13C75B83"/>
    <w:rsid w:val="13DD188A"/>
    <w:rsid w:val="13F37300"/>
    <w:rsid w:val="14071F8B"/>
    <w:rsid w:val="14157276"/>
    <w:rsid w:val="141C0605"/>
    <w:rsid w:val="142A3B2F"/>
    <w:rsid w:val="14350C7C"/>
    <w:rsid w:val="14445DAD"/>
    <w:rsid w:val="14467AF4"/>
    <w:rsid w:val="14515DD5"/>
    <w:rsid w:val="14691370"/>
    <w:rsid w:val="146B48C5"/>
    <w:rsid w:val="147246C9"/>
    <w:rsid w:val="14726477"/>
    <w:rsid w:val="14774C4C"/>
    <w:rsid w:val="147F6DE6"/>
    <w:rsid w:val="1488269A"/>
    <w:rsid w:val="1494463F"/>
    <w:rsid w:val="14A469A9"/>
    <w:rsid w:val="14AC4982"/>
    <w:rsid w:val="14C224FA"/>
    <w:rsid w:val="14C60571"/>
    <w:rsid w:val="14D25167"/>
    <w:rsid w:val="14D26F15"/>
    <w:rsid w:val="14E60C13"/>
    <w:rsid w:val="14E629C1"/>
    <w:rsid w:val="14EB7B14"/>
    <w:rsid w:val="14F776E1"/>
    <w:rsid w:val="15015A4D"/>
    <w:rsid w:val="15064E11"/>
    <w:rsid w:val="15070492"/>
    <w:rsid w:val="15192D96"/>
    <w:rsid w:val="15210A86"/>
    <w:rsid w:val="153B1DB4"/>
    <w:rsid w:val="153E45AB"/>
    <w:rsid w:val="154C4F1A"/>
    <w:rsid w:val="15545B7C"/>
    <w:rsid w:val="15545C5B"/>
    <w:rsid w:val="156C736A"/>
    <w:rsid w:val="158D4F61"/>
    <w:rsid w:val="15940436"/>
    <w:rsid w:val="159F1222"/>
    <w:rsid w:val="15A24B3A"/>
    <w:rsid w:val="15A72150"/>
    <w:rsid w:val="15B939DD"/>
    <w:rsid w:val="15C727F2"/>
    <w:rsid w:val="15C745A0"/>
    <w:rsid w:val="15CE3B81"/>
    <w:rsid w:val="15DD5291"/>
    <w:rsid w:val="15E038B4"/>
    <w:rsid w:val="15EA028F"/>
    <w:rsid w:val="15EC4007"/>
    <w:rsid w:val="15F80BFE"/>
    <w:rsid w:val="16013F56"/>
    <w:rsid w:val="161377E5"/>
    <w:rsid w:val="161D0664"/>
    <w:rsid w:val="16234248"/>
    <w:rsid w:val="162C3A1E"/>
    <w:rsid w:val="162E25C4"/>
    <w:rsid w:val="163222C1"/>
    <w:rsid w:val="163360DA"/>
    <w:rsid w:val="16495F41"/>
    <w:rsid w:val="164B51D1"/>
    <w:rsid w:val="16532632"/>
    <w:rsid w:val="165F077A"/>
    <w:rsid w:val="16604466"/>
    <w:rsid w:val="166817B1"/>
    <w:rsid w:val="166D15EC"/>
    <w:rsid w:val="16722A60"/>
    <w:rsid w:val="167C0930"/>
    <w:rsid w:val="167C182F"/>
    <w:rsid w:val="16923870"/>
    <w:rsid w:val="16A42B33"/>
    <w:rsid w:val="16AB5220"/>
    <w:rsid w:val="16B32D77"/>
    <w:rsid w:val="16E026EA"/>
    <w:rsid w:val="16E3365C"/>
    <w:rsid w:val="16EA49EA"/>
    <w:rsid w:val="16F26181"/>
    <w:rsid w:val="16F271C0"/>
    <w:rsid w:val="16F56322"/>
    <w:rsid w:val="16FC471D"/>
    <w:rsid w:val="170B7443"/>
    <w:rsid w:val="170D06D9"/>
    <w:rsid w:val="171165D8"/>
    <w:rsid w:val="17160A11"/>
    <w:rsid w:val="171750B3"/>
    <w:rsid w:val="17176E19"/>
    <w:rsid w:val="171A3E41"/>
    <w:rsid w:val="1730632B"/>
    <w:rsid w:val="17347869"/>
    <w:rsid w:val="174A43B0"/>
    <w:rsid w:val="174D3905"/>
    <w:rsid w:val="17502005"/>
    <w:rsid w:val="175B0069"/>
    <w:rsid w:val="176522C3"/>
    <w:rsid w:val="1776627E"/>
    <w:rsid w:val="17780974"/>
    <w:rsid w:val="179D4D07"/>
    <w:rsid w:val="17A12797"/>
    <w:rsid w:val="17AE2E42"/>
    <w:rsid w:val="17BB0135"/>
    <w:rsid w:val="17BE67A2"/>
    <w:rsid w:val="17C50FB3"/>
    <w:rsid w:val="17C90B58"/>
    <w:rsid w:val="17D9680D"/>
    <w:rsid w:val="17DD454F"/>
    <w:rsid w:val="17EA0A1A"/>
    <w:rsid w:val="17EC4792"/>
    <w:rsid w:val="17F378CF"/>
    <w:rsid w:val="17F74B00"/>
    <w:rsid w:val="17FB4D47"/>
    <w:rsid w:val="180C35FF"/>
    <w:rsid w:val="18182EEA"/>
    <w:rsid w:val="181D4793"/>
    <w:rsid w:val="18300B23"/>
    <w:rsid w:val="18365B35"/>
    <w:rsid w:val="18383533"/>
    <w:rsid w:val="183C74C7"/>
    <w:rsid w:val="18510A99"/>
    <w:rsid w:val="18542DF3"/>
    <w:rsid w:val="185F6D12"/>
    <w:rsid w:val="18673625"/>
    <w:rsid w:val="187C3D68"/>
    <w:rsid w:val="18885359"/>
    <w:rsid w:val="188B3FAB"/>
    <w:rsid w:val="18925443"/>
    <w:rsid w:val="18954E2A"/>
    <w:rsid w:val="18A05273"/>
    <w:rsid w:val="18A43242"/>
    <w:rsid w:val="18A46E1B"/>
    <w:rsid w:val="18AF5EEB"/>
    <w:rsid w:val="18BA663E"/>
    <w:rsid w:val="18BE1E07"/>
    <w:rsid w:val="18D70F9E"/>
    <w:rsid w:val="18E53E06"/>
    <w:rsid w:val="18F16C54"/>
    <w:rsid w:val="18F338FE"/>
    <w:rsid w:val="18F54517"/>
    <w:rsid w:val="18FC4E47"/>
    <w:rsid w:val="18FE4B7F"/>
    <w:rsid w:val="1901426D"/>
    <w:rsid w:val="190653E0"/>
    <w:rsid w:val="190E24E6"/>
    <w:rsid w:val="190F2B7A"/>
    <w:rsid w:val="19236FA8"/>
    <w:rsid w:val="192E77AB"/>
    <w:rsid w:val="193D4507"/>
    <w:rsid w:val="194255A6"/>
    <w:rsid w:val="19445F08"/>
    <w:rsid w:val="194523AC"/>
    <w:rsid w:val="194B7B52"/>
    <w:rsid w:val="194E3A44"/>
    <w:rsid w:val="195A572B"/>
    <w:rsid w:val="19616ABA"/>
    <w:rsid w:val="19622BC3"/>
    <w:rsid w:val="196F789E"/>
    <w:rsid w:val="197113F3"/>
    <w:rsid w:val="1977452F"/>
    <w:rsid w:val="199D2E61"/>
    <w:rsid w:val="19A87759"/>
    <w:rsid w:val="19AA220F"/>
    <w:rsid w:val="19E33973"/>
    <w:rsid w:val="19E82D37"/>
    <w:rsid w:val="19EB0A7A"/>
    <w:rsid w:val="19F60A96"/>
    <w:rsid w:val="1A0B75BF"/>
    <w:rsid w:val="1A1B135F"/>
    <w:rsid w:val="1A2008D9"/>
    <w:rsid w:val="1A2A15A2"/>
    <w:rsid w:val="1A366198"/>
    <w:rsid w:val="1A3A7A37"/>
    <w:rsid w:val="1A3B730B"/>
    <w:rsid w:val="1A3D12D5"/>
    <w:rsid w:val="1A42440D"/>
    <w:rsid w:val="1A444595"/>
    <w:rsid w:val="1A4B1C44"/>
    <w:rsid w:val="1A4B1C64"/>
    <w:rsid w:val="1A5F3D37"/>
    <w:rsid w:val="1A620757"/>
    <w:rsid w:val="1A6E5932"/>
    <w:rsid w:val="1A74210C"/>
    <w:rsid w:val="1A850142"/>
    <w:rsid w:val="1A9B5929"/>
    <w:rsid w:val="1A9C249F"/>
    <w:rsid w:val="1A9E27D1"/>
    <w:rsid w:val="1AA9305D"/>
    <w:rsid w:val="1ABC664C"/>
    <w:rsid w:val="1AC63078"/>
    <w:rsid w:val="1AC92B69"/>
    <w:rsid w:val="1ACE15F7"/>
    <w:rsid w:val="1AE6371B"/>
    <w:rsid w:val="1AEB2ADF"/>
    <w:rsid w:val="1AEF6A73"/>
    <w:rsid w:val="1AF16BF5"/>
    <w:rsid w:val="1AFA71FA"/>
    <w:rsid w:val="1B0E2C71"/>
    <w:rsid w:val="1B1262BE"/>
    <w:rsid w:val="1B18764C"/>
    <w:rsid w:val="1B2A7AAB"/>
    <w:rsid w:val="1B2D0405"/>
    <w:rsid w:val="1B3A3A66"/>
    <w:rsid w:val="1B3A728B"/>
    <w:rsid w:val="1B494662"/>
    <w:rsid w:val="1B4F12C0"/>
    <w:rsid w:val="1B5F791C"/>
    <w:rsid w:val="1B6467B1"/>
    <w:rsid w:val="1B6D5A93"/>
    <w:rsid w:val="1B6F7443"/>
    <w:rsid w:val="1B710E65"/>
    <w:rsid w:val="1B811695"/>
    <w:rsid w:val="1B8E3619"/>
    <w:rsid w:val="1B9B4480"/>
    <w:rsid w:val="1BAD5FE6"/>
    <w:rsid w:val="1BAF5230"/>
    <w:rsid w:val="1BB2184F"/>
    <w:rsid w:val="1BB320DF"/>
    <w:rsid w:val="1BB43819"/>
    <w:rsid w:val="1BB6015A"/>
    <w:rsid w:val="1BC577D4"/>
    <w:rsid w:val="1BD01CD5"/>
    <w:rsid w:val="1BD47BA0"/>
    <w:rsid w:val="1BD9502D"/>
    <w:rsid w:val="1BE43404"/>
    <w:rsid w:val="1BEF349B"/>
    <w:rsid w:val="1BEF4DD2"/>
    <w:rsid w:val="1BF172C8"/>
    <w:rsid w:val="1C006A5E"/>
    <w:rsid w:val="1C073948"/>
    <w:rsid w:val="1C085913"/>
    <w:rsid w:val="1C1471EE"/>
    <w:rsid w:val="1C25458B"/>
    <w:rsid w:val="1C3B1844"/>
    <w:rsid w:val="1C466C24"/>
    <w:rsid w:val="1C567F41"/>
    <w:rsid w:val="1C580648"/>
    <w:rsid w:val="1C5B1EE6"/>
    <w:rsid w:val="1C60574F"/>
    <w:rsid w:val="1C6A567F"/>
    <w:rsid w:val="1C7B24E2"/>
    <w:rsid w:val="1C7B7E93"/>
    <w:rsid w:val="1C8431EB"/>
    <w:rsid w:val="1C8A66C6"/>
    <w:rsid w:val="1C913B5A"/>
    <w:rsid w:val="1C915908"/>
    <w:rsid w:val="1C99078D"/>
    <w:rsid w:val="1C9B0535"/>
    <w:rsid w:val="1C9B44DF"/>
    <w:rsid w:val="1CB33A9D"/>
    <w:rsid w:val="1CC56BA8"/>
    <w:rsid w:val="1CE830E8"/>
    <w:rsid w:val="1CF41996"/>
    <w:rsid w:val="1CFC0FD3"/>
    <w:rsid w:val="1D0600A4"/>
    <w:rsid w:val="1D0A4513"/>
    <w:rsid w:val="1D202C3D"/>
    <w:rsid w:val="1D37200B"/>
    <w:rsid w:val="1D3A7D4E"/>
    <w:rsid w:val="1D3B7BAB"/>
    <w:rsid w:val="1D4961E3"/>
    <w:rsid w:val="1D497F91"/>
    <w:rsid w:val="1D4E5555"/>
    <w:rsid w:val="1D5A3F4C"/>
    <w:rsid w:val="1D5F77B4"/>
    <w:rsid w:val="1D6133EA"/>
    <w:rsid w:val="1D707149"/>
    <w:rsid w:val="1D886D0B"/>
    <w:rsid w:val="1D974B4F"/>
    <w:rsid w:val="1D9A7753"/>
    <w:rsid w:val="1D9C6312"/>
    <w:rsid w:val="1DBA2C3C"/>
    <w:rsid w:val="1DC76EA5"/>
    <w:rsid w:val="1DCF218F"/>
    <w:rsid w:val="1DDC5AED"/>
    <w:rsid w:val="1DDE2DCF"/>
    <w:rsid w:val="1DF054A4"/>
    <w:rsid w:val="1DF61EC7"/>
    <w:rsid w:val="1E066729"/>
    <w:rsid w:val="1E135EC4"/>
    <w:rsid w:val="1E1E141D"/>
    <w:rsid w:val="1E251AEF"/>
    <w:rsid w:val="1E2C58E8"/>
    <w:rsid w:val="1E3173A3"/>
    <w:rsid w:val="1E3E73CA"/>
    <w:rsid w:val="1E51534F"/>
    <w:rsid w:val="1E5906A7"/>
    <w:rsid w:val="1E5C2E36"/>
    <w:rsid w:val="1E5D1F46"/>
    <w:rsid w:val="1E6246C9"/>
    <w:rsid w:val="1E65704C"/>
    <w:rsid w:val="1E682B71"/>
    <w:rsid w:val="1E6A2BB9"/>
    <w:rsid w:val="1E7828DC"/>
    <w:rsid w:val="1E7D5D04"/>
    <w:rsid w:val="1E7E1EBC"/>
    <w:rsid w:val="1E832C89"/>
    <w:rsid w:val="1E915BF5"/>
    <w:rsid w:val="1E9268FB"/>
    <w:rsid w:val="1E960FB4"/>
    <w:rsid w:val="1E965458"/>
    <w:rsid w:val="1E967206"/>
    <w:rsid w:val="1E9B0CC0"/>
    <w:rsid w:val="1E9F430C"/>
    <w:rsid w:val="1EA44B74"/>
    <w:rsid w:val="1EA71413"/>
    <w:rsid w:val="1EB12291"/>
    <w:rsid w:val="1EDA05E9"/>
    <w:rsid w:val="1EE241F9"/>
    <w:rsid w:val="1EE45B5C"/>
    <w:rsid w:val="1EF53DF7"/>
    <w:rsid w:val="1F06438B"/>
    <w:rsid w:val="1F0E3D0A"/>
    <w:rsid w:val="1F0F2CD5"/>
    <w:rsid w:val="1F220A99"/>
    <w:rsid w:val="1F2955B8"/>
    <w:rsid w:val="1F2E11D5"/>
    <w:rsid w:val="1F30765A"/>
    <w:rsid w:val="1F3A78D9"/>
    <w:rsid w:val="1F5A0233"/>
    <w:rsid w:val="1F6B68E4"/>
    <w:rsid w:val="1F6D2AA3"/>
    <w:rsid w:val="1F7F7583"/>
    <w:rsid w:val="1F8578F7"/>
    <w:rsid w:val="1F8F25D3"/>
    <w:rsid w:val="1F9E434E"/>
    <w:rsid w:val="1F9F20EA"/>
    <w:rsid w:val="1FA5199D"/>
    <w:rsid w:val="1FA87F4E"/>
    <w:rsid w:val="1FB05EDC"/>
    <w:rsid w:val="1FB12D69"/>
    <w:rsid w:val="1FB223E3"/>
    <w:rsid w:val="1FB57614"/>
    <w:rsid w:val="1FB750D0"/>
    <w:rsid w:val="1FD75D28"/>
    <w:rsid w:val="1FE32951"/>
    <w:rsid w:val="1FE457F0"/>
    <w:rsid w:val="1FEC3E85"/>
    <w:rsid w:val="1FEF1CA8"/>
    <w:rsid w:val="200A1C59"/>
    <w:rsid w:val="200A4B94"/>
    <w:rsid w:val="2012137F"/>
    <w:rsid w:val="20165509"/>
    <w:rsid w:val="201725C8"/>
    <w:rsid w:val="20230F6D"/>
    <w:rsid w:val="202C4612"/>
    <w:rsid w:val="20424711"/>
    <w:rsid w:val="20424D52"/>
    <w:rsid w:val="20550C2C"/>
    <w:rsid w:val="206155F1"/>
    <w:rsid w:val="207B66B3"/>
    <w:rsid w:val="207F2647"/>
    <w:rsid w:val="20850F5E"/>
    <w:rsid w:val="20895274"/>
    <w:rsid w:val="20931C4F"/>
    <w:rsid w:val="209D487B"/>
    <w:rsid w:val="20A200E4"/>
    <w:rsid w:val="20AF2801"/>
    <w:rsid w:val="20BA4148"/>
    <w:rsid w:val="20BE05A6"/>
    <w:rsid w:val="20CC33B3"/>
    <w:rsid w:val="20DD111C"/>
    <w:rsid w:val="20E05897"/>
    <w:rsid w:val="20E51AC6"/>
    <w:rsid w:val="20EB1A8B"/>
    <w:rsid w:val="20EE433F"/>
    <w:rsid w:val="20F747FD"/>
    <w:rsid w:val="20F87D04"/>
    <w:rsid w:val="20FA6B9C"/>
    <w:rsid w:val="21004E0A"/>
    <w:rsid w:val="210A48A6"/>
    <w:rsid w:val="21130B20"/>
    <w:rsid w:val="211D15C9"/>
    <w:rsid w:val="212D0CFA"/>
    <w:rsid w:val="2136082C"/>
    <w:rsid w:val="213A039E"/>
    <w:rsid w:val="214271D1"/>
    <w:rsid w:val="21503644"/>
    <w:rsid w:val="21556FDA"/>
    <w:rsid w:val="215A451A"/>
    <w:rsid w:val="21665046"/>
    <w:rsid w:val="21690C01"/>
    <w:rsid w:val="218925D5"/>
    <w:rsid w:val="21A5209B"/>
    <w:rsid w:val="21B93937"/>
    <w:rsid w:val="21D249F9"/>
    <w:rsid w:val="21DA565B"/>
    <w:rsid w:val="21EC1864"/>
    <w:rsid w:val="21F04E7F"/>
    <w:rsid w:val="21F13065"/>
    <w:rsid w:val="21F20BF7"/>
    <w:rsid w:val="220152DE"/>
    <w:rsid w:val="22140B6D"/>
    <w:rsid w:val="22161544"/>
    <w:rsid w:val="221C2118"/>
    <w:rsid w:val="2228286B"/>
    <w:rsid w:val="222A288D"/>
    <w:rsid w:val="223A6A8A"/>
    <w:rsid w:val="223E208E"/>
    <w:rsid w:val="223E5F68"/>
    <w:rsid w:val="224209D2"/>
    <w:rsid w:val="2244042B"/>
    <w:rsid w:val="224551CB"/>
    <w:rsid w:val="224F6049"/>
    <w:rsid w:val="225673D8"/>
    <w:rsid w:val="22745AB0"/>
    <w:rsid w:val="22780294"/>
    <w:rsid w:val="22811D26"/>
    <w:rsid w:val="22813D29"/>
    <w:rsid w:val="22833F45"/>
    <w:rsid w:val="228F19D4"/>
    <w:rsid w:val="228F31DD"/>
    <w:rsid w:val="2290670E"/>
    <w:rsid w:val="229D01CA"/>
    <w:rsid w:val="22A94DB1"/>
    <w:rsid w:val="22C02987"/>
    <w:rsid w:val="22D12F02"/>
    <w:rsid w:val="22D1390C"/>
    <w:rsid w:val="22E1742B"/>
    <w:rsid w:val="22F63A00"/>
    <w:rsid w:val="22FD0F3F"/>
    <w:rsid w:val="23137C8F"/>
    <w:rsid w:val="231F3993"/>
    <w:rsid w:val="23203542"/>
    <w:rsid w:val="232474D6"/>
    <w:rsid w:val="23265AD1"/>
    <w:rsid w:val="2331337E"/>
    <w:rsid w:val="233201D1"/>
    <w:rsid w:val="23414136"/>
    <w:rsid w:val="2342189F"/>
    <w:rsid w:val="234E1E7E"/>
    <w:rsid w:val="234E3190"/>
    <w:rsid w:val="234E6301"/>
    <w:rsid w:val="235A6A54"/>
    <w:rsid w:val="23733FB9"/>
    <w:rsid w:val="23737B15"/>
    <w:rsid w:val="237E3B0E"/>
    <w:rsid w:val="239301B8"/>
    <w:rsid w:val="23A46E10"/>
    <w:rsid w:val="23AD200F"/>
    <w:rsid w:val="23B6403B"/>
    <w:rsid w:val="23C02979"/>
    <w:rsid w:val="23C67823"/>
    <w:rsid w:val="23CB7951"/>
    <w:rsid w:val="23CD191B"/>
    <w:rsid w:val="23E9655A"/>
    <w:rsid w:val="23EB3FB0"/>
    <w:rsid w:val="23EE3640"/>
    <w:rsid w:val="23F724F4"/>
    <w:rsid w:val="23FF35EE"/>
    <w:rsid w:val="24015121"/>
    <w:rsid w:val="24092228"/>
    <w:rsid w:val="24130A2C"/>
    <w:rsid w:val="241923D8"/>
    <w:rsid w:val="2423778D"/>
    <w:rsid w:val="24286B52"/>
    <w:rsid w:val="24431BDE"/>
    <w:rsid w:val="244B45EE"/>
    <w:rsid w:val="24575689"/>
    <w:rsid w:val="246102B6"/>
    <w:rsid w:val="246A43B5"/>
    <w:rsid w:val="246F4781"/>
    <w:rsid w:val="247955FF"/>
    <w:rsid w:val="248B0E8F"/>
    <w:rsid w:val="248E681C"/>
    <w:rsid w:val="248F6BD1"/>
    <w:rsid w:val="24903FC8"/>
    <w:rsid w:val="249661B1"/>
    <w:rsid w:val="249A5D26"/>
    <w:rsid w:val="24A21970"/>
    <w:rsid w:val="24AD1521"/>
    <w:rsid w:val="24AF2DCF"/>
    <w:rsid w:val="24C10CB8"/>
    <w:rsid w:val="24CA19B7"/>
    <w:rsid w:val="24CE535D"/>
    <w:rsid w:val="24D46807"/>
    <w:rsid w:val="24E66796"/>
    <w:rsid w:val="24EC7B7F"/>
    <w:rsid w:val="24ED56A6"/>
    <w:rsid w:val="24F44C86"/>
    <w:rsid w:val="24FD3B3B"/>
    <w:rsid w:val="25061B0D"/>
    <w:rsid w:val="250671CD"/>
    <w:rsid w:val="25143CF0"/>
    <w:rsid w:val="252A68FA"/>
    <w:rsid w:val="253F2829"/>
    <w:rsid w:val="254C6870"/>
    <w:rsid w:val="25567AC1"/>
    <w:rsid w:val="25592D3B"/>
    <w:rsid w:val="255D0A7D"/>
    <w:rsid w:val="255D6CCF"/>
    <w:rsid w:val="256A1389"/>
    <w:rsid w:val="256D7129"/>
    <w:rsid w:val="257C0AB4"/>
    <w:rsid w:val="258129BE"/>
    <w:rsid w:val="25832019"/>
    <w:rsid w:val="25B632A2"/>
    <w:rsid w:val="25BD60F8"/>
    <w:rsid w:val="25C64874"/>
    <w:rsid w:val="25CD414C"/>
    <w:rsid w:val="25CE54D7"/>
    <w:rsid w:val="25CE6675"/>
    <w:rsid w:val="25D0724F"/>
    <w:rsid w:val="25D54AB7"/>
    <w:rsid w:val="25DD571A"/>
    <w:rsid w:val="25FB33C0"/>
    <w:rsid w:val="25FD5DBC"/>
    <w:rsid w:val="260B3B66"/>
    <w:rsid w:val="260D2485"/>
    <w:rsid w:val="2619104E"/>
    <w:rsid w:val="261D2218"/>
    <w:rsid w:val="262204BB"/>
    <w:rsid w:val="2624159B"/>
    <w:rsid w:val="26282555"/>
    <w:rsid w:val="26345C82"/>
    <w:rsid w:val="264C3087"/>
    <w:rsid w:val="264E003E"/>
    <w:rsid w:val="2650617A"/>
    <w:rsid w:val="265956E8"/>
    <w:rsid w:val="26663961"/>
    <w:rsid w:val="26785B58"/>
    <w:rsid w:val="26874ADD"/>
    <w:rsid w:val="26883DDF"/>
    <w:rsid w:val="268E39D0"/>
    <w:rsid w:val="26971D6D"/>
    <w:rsid w:val="26B84233"/>
    <w:rsid w:val="26C2682C"/>
    <w:rsid w:val="26C30DB4"/>
    <w:rsid w:val="26C71330"/>
    <w:rsid w:val="26C8394B"/>
    <w:rsid w:val="26DF30C5"/>
    <w:rsid w:val="26F60889"/>
    <w:rsid w:val="26FB0581"/>
    <w:rsid w:val="26FB67A0"/>
    <w:rsid w:val="2701720E"/>
    <w:rsid w:val="270E64D3"/>
    <w:rsid w:val="2724131F"/>
    <w:rsid w:val="272730F1"/>
    <w:rsid w:val="272950BB"/>
    <w:rsid w:val="272F6449"/>
    <w:rsid w:val="273322D8"/>
    <w:rsid w:val="27363334"/>
    <w:rsid w:val="273C0B54"/>
    <w:rsid w:val="273D6BDD"/>
    <w:rsid w:val="274041B2"/>
    <w:rsid w:val="27493F03"/>
    <w:rsid w:val="2751016E"/>
    <w:rsid w:val="27516233"/>
    <w:rsid w:val="27532138"/>
    <w:rsid w:val="275D6038"/>
    <w:rsid w:val="27831501"/>
    <w:rsid w:val="2796419F"/>
    <w:rsid w:val="27994FDC"/>
    <w:rsid w:val="27AC223A"/>
    <w:rsid w:val="27AC5D17"/>
    <w:rsid w:val="27BC5F2F"/>
    <w:rsid w:val="27C13545"/>
    <w:rsid w:val="27C44C6A"/>
    <w:rsid w:val="27C44DE4"/>
    <w:rsid w:val="27D5433F"/>
    <w:rsid w:val="27D8263D"/>
    <w:rsid w:val="27E66C51"/>
    <w:rsid w:val="27E871D8"/>
    <w:rsid w:val="2801136F"/>
    <w:rsid w:val="282615FA"/>
    <w:rsid w:val="282F43ED"/>
    <w:rsid w:val="28341582"/>
    <w:rsid w:val="283A50A6"/>
    <w:rsid w:val="283A73AF"/>
    <w:rsid w:val="28436EE8"/>
    <w:rsid w:val="28577A06"/>
    <w:rsid w:val="285E0D94"/>
    <w:rsid w:val="28616AD6"/>
    <w:rsid w:val="2869212A"/>
    <w:rsid w:val="286B1703"/>
    <w:rsid w:val="286D547B"/>
    <w:rsid w:val="28781153"/>
    <w:rsid w:val="287A36F4"/>
    <w:rsid w:val="288E0F4E"/>
    <w:rsid w:val="28926C90"/>
    <w:rsid w:val="28B22E8E"/>
    <w:rsid w:val="28B23449"/>
    <w:rsid w:val="28C45C28"/>
    <w:rsid w:val="28CA467C"/>
    <w:rsid w:val="28CF57EE"/>
    <w:rsid w:val="28D52F2F"/>
    <w:rsid w:val="28D9041B"/>
    <w:rsid w:val="28DF17A9"/>
    <w:rsid w:val="28E73468"/>
    <w:rsid w:val="28F45255"/>
    <w:rsid w:val="28F90E8E"/>
    <w:rsid w:val="28FB3D1E"/>
    <w:rsid w:val="2903193C"/>
    <w:rsid w:val="290A78CA"/>
    <w:rsid w:val="292A593C"/>
    <w:rsid w:val="29312005"/>
    <w:rsid w:val="29332221"/>
    <w:rsid w:val="293937BE"/>
    <w:rsid w:val="29532E4A"/>
    <w:rsid w:val="295B1778"/>
    <w:rsid w:val="296248B4"/>
    <w:rsid w:val="29695C42"/>
    <w:rsid w:val="296E14AB"/>
    <w:rsid w:val="2973086F"/>
    <w:rsid w:val="29734DED"/>
    <w:rsid w:val="297B7724"/>
    <w:rsid w:val="297E372E"/>
    <w:rsid w:val="298567F4"/>
    <w:rsid w:val="29884C0C"/>
    <w:rsid w:val="298E38FB"/>
    <w:rsid w:val="298E55CE"/>
    <w:rsid w:val="299627B0"/>
    <w:rsid w:val="299B1B74"/>
    <w:rsid w:val="299D779B"/>
    <w:rsid w:val="29A30A29"/>
    <w:rsid w:val="29A63D74"/>
    <w:rsid w:val="29B35110"/>
    <w:rsid w:val="29B570DA"/>
    <w:rsid w:val="29B727FF"/>
    <w:rsid w:val="29CC7F7F"/>
    <w:rsid w:val="29CE03E2"/>
    <w:rsid w:val="29CE557B"/>
    <w:rsid w:val="29D92C5B"/>
    <w:rsid w:val="29DA2F38"/>
    <w:rsid w:val="29E21551"/>
    <w:rsid w:val="29E96D83"/>
    <w:rsid w:val="29EA720F"/>
    <w:rsid w:val="29F17B2D"/>
    <w:rsid w:val="29F67DD8"/>
    <w:rsid w:val="29FB0865"/>
    <w:rsid w:val="2A021BF3"/>
    <w:rsid w:val="2A03505C"/>
    <w:rsid w:val="2A05411D"/>
    <w:rsid w:val="2A07545B"/>
    <w:rsid w:val="2A0C65CE"/>
    <w:rsid w:val="2A135BAE"/>
    <w:rsid w:val="2A2220BD"/>
    <w:rsid w:val="2A2E1D85"/>
    <w:rsid w:val="2A351FC9"/>
    <w:rsid w:val="2A377AEF"/>
    <w:rsid w:val="2A3C1C81"/>
    <w:rsid w:val="2A3F419A"/>
    <w:rsid w:val="2A4677DB"/>
    <w:rsid w:val="2A494F0E"/>
    <w:rsid w:val="2A53244F"/>
    <w:rsid w:val="2A5C1303"/>
    <w:rsid w:val="2A5E151F"/>
    <w:rsid w:val="2A652262"/>
    <w:rsid w:val="2A687324"/>
    <w:rsid w:val="2A6C6F47"/>
    <w:rsid w:val="2A721C0B"/>
    <w:rsid w:val="2A7228D5"/>
    <w:rsid w:val="2A726D79"/>
    <w:rsid w:val="2A7457F2"/>
    <w:rsid w:val="2A781C6B"/>
    <w:rsid w:val="2A7D2C19"/>
    <w:rsid w:val="2A8D5961"/>
    <w:rsid w:val="2A9A1E2C"/>
    <w:rsid w:val="2A9C3DF6"/>
    <w:rsid w:val="2AA60BED"/>
    <w:rsid w:val="2AA84549"/>
    <w:rsid w:val="2AB0164F"/>
    <w:rsid w:val="2AB32EED"/>
    <w:rsid w:val="2AB8137F"/>
    <w:rsid w:val="2ABF0496"/>
    <w:rsid w:val="2AE13D8A"/>
    <w:rsid w:val="2AE44ECD"/>
    <w:rsid w:val="2AEC190C"/>
    <w:rsid w:val="2AFA28CA"/>
    <w:rsid w:val="2B275DB5"/>
    <w:rsid w:val="2B2B6F28"/>
    <w:rsid w:val="2B2F5125"/>
    <w:rsid w:val="2B365FF8"/>
    <w:rsid w:val="2B3B360F"/>
    <w:rsid w:val="2B400C25"/>
    <w:rsid w:val="2B4C1378"/>
    <w:rsid w:val="2B514BE0"/>
    <w:rsid w:val="2B5B60E3"/>
    <w:rsid w:val="2B60606F"/>
    <w:rsid w:val="2B64065D"/>
    <w:rsid w:val="2B687849"/>
    <w:rsid w:val="2B712F9E"/>
    <w:rsid w:val="2B7263DC"/>
    <w:rsid w:val="2B7A4563"/>
    <w:rsid w:val="2B7F17EC"/>
    <w:rsid w:val="2B960845"/>
    <w:rsid w:val="2B9B3F1D"/>
    <w:rsid w:val="2B9D6077"/>
    <w:rsid w:val="2BB015CA"/>
    <w:rsid w:val="2BB86A0D"/>
    <w:rsid w:val="2BBA5F3F"/>
    <w:rsid w:val="2BC018E5"/>
    <w:rsid w:val="2BC25ADE"/>
    <w:rsid w:val="2BC2788C"/>
    <w:rsid w:val="2BC36512"/>
    <w:rsid w:val="2BCA4358"/>
    <w:rsid w:val="2BD06134"/>
    <w:rsid w:val="2BD07226"/>
    <w:rsid w:val="2BDD216F"/>
    <w:rsid w:val="2BDD3CE2"/>
    <w:rsid w:val="2BDF3837"/>
    <w:rsid w:val="2BE70FF2"/>
    <w:rsid w:val="2BFF63EA"/>
    <w:rsid w:val="2C0167A4"/>
    <w:rsid w:val="2C0B1233"/>
    <w:rsid w:val="2C0F0241"/>
    <w:rsid w:val="2C105B04"/>
    <w:rsid w:val="2C244D24"/>
    <w:rsid w:val="2C302C17"/>
    <w:rsid w:val="2C4B7881"/>
    <w:rsid w:val="2C552473"/>
    <w:rsid w:val="2C5B55EB"/>
    <w:rsid w:val="2C624BCB"/>
    <w:rsid w:val="2C637761"/>
    <w:rsid w:val="2C654E9E"/>
    <w:rsid w:val="2C73502A"/>
    <w:rsid w:val="2C820DC9"/>
    <w:rsid w:val="2C866B0B"/>
    <w:rsid w:val="2C8B35E0"/>
    <w:rsid w:val="2C931796"/>
    <w:rsid w:val="2C9E3E55"/>
    <w:rsid w:val="2CB456FF"/>
    <w:rsid w:val="2CB506D9"/>
    <w:rsid w:val="2CCD473A"/>
    <w:rsid w:val="2CDC2BCF"/>
    <w:rsid w:val="2CDE06F5"/>
    <w:rsid w:val="2CE96E96"/>
    <w:rsid w:val="2D055F0E"/>
    <w:rsid w:val="2D077E77"/>
    <w:rsid w:val="2D1259F8"/>
    <w:rsid w:val="2D1E7023"/>
    <w:rsid w:val="2D1F7C98"/>
    <w:rsid w:val="2D26209C"/>
    <w:rsid w:val="2D2C76B3"/>
    <w:rsid w:val="2D2F0F51"/>
    <w:rsid w:val="2D3348B6"/>
    <w:rsid w:val="2D376058"/>
    <w:rsid w:val="2D412A32"/>
    <w:rsid w:val="2D450775"/>
    <w:rsid w:val="2D4A7B39"/>
    <w:rsid w:val="2D4C3D73"/>
    <w:rsid w:val="2D5270C9"/>
    <w:rsid w:val="2D5A2C02"/>
    <w:rsid w:val="2D5C7484"/>
    <w:rsid w:val="2D6667E9"/>
    <w:rsid w:val="2D7023C3"/>
    <w:rsid w:val="2D7352E2"/>
    <w:rsid w:val="2D7745C4"/>
    <w:rsid w:val="2D880661"/>
    <w:rsid w:val="2D937732"/>
    <w:rsid w:val="2DB31B82"/>
    <w:rsid w:val="2DBA21A7"/>
    <w:rsid w:val="2DBA7442"/>
    <w:rsid w:val="2DBA7818"/>
    <w:rsid w:val="2DCC054E"/>
    <w:rsid w:val="2DDE509E"/>
    <w:rsid w:val="2DDE5778"/>
    <w:rsid w:val="2DDF30FF"/>
    <w:rsid w:val="2DDF716B"/>
    <w:rsid w:val="2DF20ACA"/>
    <w:rsid w:val="2DFB7E63"/>
    <w:rsid w:val="2DFE521A"/>
    <w:rsid w:val="2E08177A"/>
    <w:rsid w:val="2E0A2E34"/>
    <w:rsid w:val="2E0F48DF"/>
    <w:rsid w:val="2E110657"/>
    <w:rsid w:val="2E113916"/>
    <w:rsid w:val="2E1343CF"/>
    <w:rsid w:val="2E232817"/>
    <w:rsid w:val="2E2371BA"/>
    <w:rsid w:val="2E29075F"/>
    <w:rsid w:val="2E352597"/>
    <w:rsid w:val="2E4C0EB0"/>
    <w:rsid w:val="2E644C2A"/>
    <w:rsid w:val="2E7330BF"/>
    <w:rsid w:val="2E761B89"/>
    <w:rsid w:val="2E8257F8"/>
    <w:rsid w:val="2E8452CD"/>
    <w:rsid w:val="2E8930AE"/>
    <w:rsid w:val="2E976DAE"/>
    <w:rsid w:val="2EB72FAC"/>
    <w:rsid w:val="2EB82BBE"/>
    <w:rsid w:val="2EC72D54"/>
    <w:rsid w:val="2EDF69A7"/>
    <w:rsid w:val="2EE1543E"/>
    <w:rsid w:val="2EE50403"/>
    <w:rsid w:val="2F0723A0"/>
    <w:rsid w:val="2F2A437C"/>
    <w:rsid w:val="2F2E2CBF"/>
    <w:rsid w:val="2F45680A"/>
    <w:rsid w:val="2F554D7B"/>
    <w:rsid w:val="2F566C69"/>
    <w:rsid w:val="2F620A76"/>
    <w:rsid w:val="2F6E3ADA"/>
    <w:rsid w:val="2F7F135A"/>
    <w:rsid w:val="2F825483"/>
    <w:rsid w:val="2F86329F"/>
    <w:rsid w:val="2F9067EC"/>
    <w:rsid w:val="2F9439FB"/>
    <w:rsid w:val="2F9D357F"/>
    <w:rsid w:val="2FA33530"/>
    <w:rsid w:val="2FC110DA"/>
    <w:rsid w:val="2FC130E0"/>
    <w:rsid w:val="2FC132E8"/>
    <w:rsid w:val="2FC31098"/>
    <w:rsid w:val="2FC33BD3"/>
    <w:rsid w:val="2FCB7306"/>
    <w:rsid w:val="2FD951A4"/>
    <w:rsid w:val="2FDB716E"/>
    <w:rsid w:val="2FE204FD"/>
    <w:rsid w:val="2FFD47F0"/>
    <w:rsid w:val="30004E27"/>
    <w:rsid w:val="30097DB5"/>
    <w:rsid w:val="3011493E"/>
    <w:rsid w:val="30121A9A"/>
    <w:rsid w:val="30202DD3"/>
    <w:rsid w:val="302208F9"/>
    <w:rsid w:val="302C5C1C"/>
    <w:rsid w:val="303801E5"/>
    <w:rsid w:val="303F6E5F"/>
    <w:rsid w:val="30406FD1"/>
    <w:rsid w:val="304765B2"/>
    <w:rsid w:val="306302CC"/>
    <w:rsid w:val="30662EDC"/>
    <w:rsid w:val="306730ED"/>
    <w:rsid w:val="30717AD3"/>
    <w:rsid w:val="3078676B"/>
    <w:rsid w:val="30806CED"/>
    <w:rsid w:val="3090408B"/>
    <w:rsid w:val="309252D4"/>
    <w:rsid w:val="30A532D8"/>
    <w:rsid w:val="30B05B70"/>
    <w:rsid w:val="30B965A7"/>
    <w:rsid w:val="30DA311E"/>
    <w:rsid w:val="30DB6CFA"/>
    <w:rsid w:val="30DC319E"/>
    <w:rsid w:val="30E67C0C"/>
    <w:rsid w:val="31054310"/>
    <w:rsid w:val="3112096E"/>
    <w:rsid w:val="3113309A"/>
    <w:rsid w:val="312468F3"/>
    <w:rsid w:val="31267AB4"/>
    <w:rsid w:val="312C50C1"/>
    <w:rsid w:val="312F7772"/>
    <w:rsid w:val="31336B36"/>
    <w:rsid w:val="313528AE"/>
    <w:rsid w:val="3135769E"/>
    <w:rsid w:val="31401E70"/>
    <w:rsid w:val="31490108"/>
    <w:rsid w:val="31572D53"/>
    <w:rsid w:val="316B4522"/>
    <w:rsid w:val="316D0BE7"/>
    <w:rsid w:val="316D48D6"/>
    <w:rsid w:val="317F3D10"/>
    <w:rsid w:val="31807FCD"/>
    <w:rsid w:val="318765DF"/>
    <w:rsid w:val="318B6972"/>
    <w:rsid w:val="31982634"/>
    <w:rsid w:val="31AA796B"/>
    <w:rsid w:val="31BC6B2B"/>
    <w:rsid w:val="31CF5E3F"/>
    <w:rsid w:val="31D17FAA"/>
    <w:rsid w:val="31E247E4"/>
    <w:rsid w:val="31EF6F01"/>
    <w:rsid w:val="320B15E0"/>
    <w:rsid w:val="320B346C"/>
    <w:rsid w:val="320F7C26"/>
    <w:rsid w:val="3216623C"/>
    <w:rsid w:val="321D64A2"/>
    <w:rsid w:val="32221084"/>
    <w:rsid w:val="32221995"/>
    <w:rsid w:val="32233775"/>
    <w:rsid w:val="322A246F"/>
    <w:rsid w:val="32336E09"/>
    <w:rsid w:val="32366387"/>
    <w:rsid w:val="32430FFB"/>
    <w:rsid w:val="324C70AC"/>
    <w:rsid w:val="326351F9"/>
    <w:rsid w:val="326A2A2B"/>
    <w:rsid w:val="32700042"/>
    <w:rsid w:val="32715B68"/>
    <w:rsid w:val="32741B12"/>
    <w:rsid w:val="32764F2C"/>
    <w:rsid w:val="327D275F"/>
    <w:rsid w:val="328D7E61"/>
    <w:rsid w:val="32B048E2"/>
    <w:rsid w:val="32CE7231"/>
    <w:rsid w:val="32D3237F"/>
    <w:rsid w:val="32EB3B6C"/>
    <w:rsid w:val="32F347CF"/>
    <w:rsid w:val="32FA3DAF"/>
    <w:rsid w:val="32FC7B27"/>
    <w:rsid w:val="32FF3174"/>
    <w:rsid w:val="334212B2"/>
    <w:rsid w:val="33484DB3"/>
    <w:rsid w:val="334F406E"/>
    <w:rsid w:val="33501C21"/>
    <w:rsid w:val="33584C40"/>
    <w:rsid w:val="3359261C"/>
    <w:rsid w:val="33596D28"/>
    <w:rsid w:val="335C6818"/>
    <w:rsid w:val="3379722D"/>
    <w:rsid w:val="33884F17"/>
    <w:rsid w:val="338A5A42"/>
    <w:rsid w:val="338B492A"/>
    <w:rsid w:val="33911059"/>
    <w:rsid w:val="3391314D"/>
    <w:rsid w:val="33AE4708"/>
    <w:rsid w:val="33B072BD"/>
    <w:rsid w:val="33BA52ED"/>
    <w:rsid w:val="33C1667B"/>
    <w:rsid w:val="33C67B7C"/>
    <w:rsid w:val="33D945B4"/>
    <w:rsid w:val="33DF7F28"/>
    <w:rsid w:val="33E848AF"/>
    <w:rsid w:val="33E8522E"/>
    <w:rsid w:val="33EF4F05"/>
    <w:rsid w:val="33FB393B"/>
    <w:rsid w:val="3409152B"/>
    <w:rsid w:val="340A1DD0"/>
    <w:rsid w:val="341669C7"/>
    <w:rsid w:val="341D0DCA"/>
    <w:rsid w:val="342056F3"/>
    <w:rsid w:val="3424709C"/>
    <w:rsid w:val="34247F3E"/>
    <w:rsid w:val="3436661A"/>
    <w:rsid w:val="343E5C47"/>
    <w:rsid w:val="346D3EE7"/>
    <w:rsid w:val="346F60D7"/>
    <w:rsid w:val="34733E19"/>
    <w:rsid w:val="347436ED"/>
    <w:rsid w:val="347B0F20"/>
    <w:rsid w:val="347D483D"/>
    <w:rsid w:val="34870792"/>
    <w:rsid w:val="34951FE2"/>
    <w:rsid w:val="34A22009"/>
    <w:rsid w:val="34AC2E87"/>
    <w:rsid w:val="34AF2198"/>
    <w:rsid w:val="34B61F58"/>
    <w:rsid w:val="34BD6E42"/>
    <w:rsid w:val="34C06933"/>
    <w:rsid w:val="34DE411B"/>
    <w:rsid w:val="34EB1C02"/>
    <w:rsid w:val="34FA3BF3"/>
    <w:rsid w:val="35047AA4"/>
    <w:rsid w:val="35123632"/>
    <w:rsid w:val="352549E8"/>
    <w:rsid w:val="35327830"/>
    <w:rsid w:val="35362C9D"/>
    <w:rsid w:val="35375117"/>
    <w:rsid w:val="35472BB0"/>
    <w:rsid w:val="35491D1C"/>
    <w:rsid w:val="354B46BF"/>
    <w:rsid w:val="355211EB"/>
    <w:rsid w:val="35601075"/>
    <w:rsid w:val="356276A1"/>
    <w:rsid w:val="357E2A76"/>
    <w:rsid w:val="3580579F"/>
    <w:rsid w:val="35856F80"/>
    <w:rsid w:val="3589141A"/>
    <w:rsid w:val="359027A9"/>
    <w:rsid w:val="35974ADB"/>
    <w:rsid w:val="359D59DF"/>
    <w:rsid w:val="35B2271F"/>
    <w:rsid w:val="35B53FBD"/>
    <w:rsid w:val="35C506A4"/>
    <w:rsid w:val="35C717D7"/>
    <w:rsid w:val="35CF32D1"/>
    <w:rsid w:val="35DE3514"/>
    <w:rsid w:val="35E36D7D"/>
    <w:rsid w:val="35F008FA"/>
    <w:rsid w:val="36034D29"/>
    <w:rsid w:val="360E36AB"/>
    <w:rsid w:val="361231BE"/>
    <w:rsid w:val="361F5C65"/>
    <w:rsid w:val="363122F8"/>
    <w:rsid w:val="36315D3A"/>
    <w:rsid w:val="363B2715"/>
    <w:rsid w:val="3660138F"/>
    <w:rsid w:val="366307E3"/>
    <w:rsid w:val="36727B6C"/>
    <w:rsid w:val="367A257F"/>
    <w:rsid w:val="36823509"/>
    <w:rsid w:val="36864176"/>
    <w:rsid w:val="368A3845"/>
    <w:rsid w:val="368A71F8"/>
    <w:rsid w:val="368B585E"/>
    <w:rsid w:val="368B6F9F"/>
    <w:rsid w:val="369F6542"/>
    <w:rsid w:val="36A265AF"/>
    <w:rsid w:val="36A302BA"/>
    <w:rsid w:val="36AE1139"/>
    <w:rsid w:val="36BA5D2F"/>
    <w:rsid w:val="36C143AD"/>
    <w:rsid w:val="36D05553"/>
    <w:rsid w:val="36DD1A1E"/>
    <w:rsid w:val="36E83F1F"/>
    <w:rsid w:val="37135440"/>
    <w:rsid w:val="3718765B"/>
    <w:rsid w:val="37284E0F"/>
    <w:rsid w:val="372B4433"/>
    <w:rsid w:val="37321293"/>
    <w:rsid w:val="37476E97"/>
    <w:rsid w:val="375C7FDA"/>
    <w:rsid w:val="375F19E4"/>
    <w:rsid w:val="375F2433"/>
    <w:rsid w:val="37680536"/>
    <w:rsid w:val="376F4F20"/>
    <w:rsid w:val="37734130"/>
    <w:rsid w:val="37751C56"/>
    <w:rsid w:val="3797463F"/>
    <w:rsid w:val="379E316A"/>
    <w:rsid w:val="379F6CD3"/>
    <w:rsid w:val="37A01DEC"/>
    <w:rsid w:val="37A60062"/>
    <w:rsid w:val="37B02C8E"/>
    <w:rsid w:val="37B502A5"/>
    <w:rsid w:val="37BA1D5F"/>
    <w:rsid w:val="37BF7375"/>
    <w:rsid w:val="37C80C1D"/>
    <w:rsid w:val="37C91FA2"/>
    <w:rsid w:val="37D72911"/>
    <w:rsid w:val="37DA0E54"/>
    <w:rsid w:val="37DA35E7"/>
    <w:rsid w:val="37E2011D"/>
    <w:rsid w:val="37E868CC"/>
    <w:rsid w:val="37FB1DA1"/>
    <w:rsid w:val="37FC6AAD"/>
    <w:rsid w:val="3801173C"/>
    <w:rsid w:val="3810730B"/>
    <w:rsid w:val="382D42DF"/>
    <w:rsid w:val="382D7BA5"/>
    <w:rsid w:val="38367DED"/>
    <w:rsid w:val="3840221A"/>
    <w:rsid w:val="384653A1"/>
    <w:rsid w:val="384E515A"/>
    <w:rsid w:val="384F29D6"/>
    <w:rsid w:val="38563836"/>
    <w:rsid w:val="386E1459"/>
    <w:rsid w:val="3882287D"/>
    <w:rsid w:val="388B5124"/>
    <w:rsid w:val="388C36FB"/>
    <w:rsid w:val="388C754D"/>
    <w:rsid w:val="38A6457C"/>
    <w:rsid w:val="38AF73EA"/>
    <w:rsid w:val="38B7004D"/>
    <w:rsid w:val="38B94CC4"/>
    <w:rsid w:val="38C01154"/>
    <w:rsid w:val="38CA4F45"/>
    <w:rsid w:val="38CC7F9C"/>
    <w:rsid w:val="38D4247D"/>
    <w:rsid w:val="38D922E2"/>
    <w:rsid w:val="38E51B7F"/>
    <w:rsid w:val="39045302"/>
    <w:rsid w:val="39050DB8"/>
    <w:rsid w:val="391727F9"/>
    <w:rsid w:val="39197C25"/>
    <w:rsid w:val="39241B86"/>
    <w:rsid w:val="394144E6"/>
    <w:rsid w:val="3942200C"/>
    <w:rsid w:val="39506014"/>
    <w:rsid w:val="395E6A0F"/>
    <w:rsid w:val="396A50BF"/>
    <w:rsid w:val="39730417"/>
    <w:rsid w:val="39736669"/>
    <w:rsid w:val="397A3554"/>
    <w:rsid w:val="397B0683"/>
    <w:rsid w:val="39874E4E"/>
    <w:rsid w:val="39893797"/>
    <w:rsid w:val="398B39B3"/>
    <w:rsid w:val="39A23BE9"/>
    <w:rsid w:val="39B17D57"/>
    <w:rsid w:val="39B5458C"/>
    <w:rsid w:val="39B8407C"/>
    <w:rsid w:val="39C22BA6"/>
    <w:rsid w:val="39C46145"/>
    <w:rsid w:val="39D215E2"/>
    <w:rsid w:val="39D7543B"/>
    <w:rsid w:val="39D85857"/>
    <w:rsid w:val="39DD4D75"/>
    <w:rsid w:val="39F50028"/>
    <w:rsid w:val="3A0472C2"/>
    <w:rsid w:val="3A086C6B"/>
    <w:rsid w:val="3A0F6392"/>
    <w:rsid w:val="3A2636DC"/>
    <w:rsid w:val="3A2768E4"/>
    <w:rsid w:val="3A2C7011"/>
    <w:rsid w:val="3A3556CD"/>
    <w:rsid w:val="3A4632AA"/>
    <w:rsid w:val="3A4678DA"/>
    <w:rsid w:val="3A487FB1"/>
    <w:rsid w:val="3A573895"/>
    <w:rsid w:val="3A705B70"/>
    <w:rsid w:val="3A7461F5"/>
    <w:rsid w:val="3A780E00"/>
    <w:rsid w:val="3A784B5C"/>
    <w:rsid w:val="3A850402"/>
    <w:rsid w:val="3A8F302F"/>
    <w:rsid w:val="3A970136"/>
    <w:rsid w:val="3A992100"/>
    <w:rsid w:val="3AA57E2C"/>
    <w:rsid w:val="3AA75C3D"/>
    <w:rsid w:val="3AAC5525"/>
    <w:rsid w:val="3AAD2A5C"/>
    <w:rsid w:val="3AC058DE"/>
    <w:rsid w:val="3AC32CD9"/>
    <w:rsid w:val="3AD635B4"/>
    <w:rsid w:val="3AD801D2"/>
    <w:rsid w:val="3B003F2D"/>
    <w:rsid w:val="3B190CF6"/>
    <w:rsid w:val="3B194FEF"/>
    <w:rsid w:val="3B201ED9"/>
    <w:rsid w:val="3B262875"/>
    <w:rsid w:val="3B2A2D58"/>
    <w:rsid w:val="3B3360B0"/>
    <w:rsid w:val="3B3E1AAA"/>
    <w:rsid w:val="3B436E05"/>
    <w:rsid w:val="3B455DE4"/>
    <w:rsid w:val="3B467E8E"/>
    <w:rsid w:val="3B4C379B"/>
    <w:rsid w:val="3B506C62"/>
    <w:rsid w:val="3B627275"/>
    <w:rsid w:val="3B674E03"/>
    <w:rsid w:val="3B7010B2"/>
    <w:rsid w:val="3B7274C2"/>
    <w:rsid w:val="3B750477"/>
    <w:rsid w:val="3B79479E"/>
    <w:rsid w:val="3B801609"/>
    <w:rsid w:val="3B807132"/>
    <w:rsid w:val="3B8E6B45"/>
    <w:rsid w:val="3B914B85"/>
    <w:rsid w:val="3B937808"/>
    <w:rsid w:val="3B985F13"/>
    <w:rsid w:val="3B9E50AD"/>
    <w:rsid w:val="3BAE3989"/>
    <w:rsid w:val="3BBC7A3B"/>
    <w:rsid w:val="3BDB4052"/>
    <w:rsid w:val="3BDD7DCA"/>
    <w:rsid w:val="3BF56022"/>
    <w:rsid w:val="3BF662B7"/>
    <w:rsid w:val="3BF910A8"/>
    <w:rsid w:val="3C145AF1"/>
    <w:rsid w:val="3C2F1FAC"/>
    <w:rsid w:val="3C3136E0"/>
    <w:rsid w:val="3C37572C"/>
    <w:rsid w:val="3C447E49"/>
    <w:rsid w:val="3C5404C1"/>
    <w:rsid w:val="3C55694D"/>
    <w:rsid w:val="3C586ADB"/>
    <w:rsid w:val="3C6329C5"/>
    <w:rsid w:val="3C6B5F0A"/>
    <w:rsid w:val="3C6B7896"/>
    <w:rsid w:val="3C7D5CB7"/>
    <w:rsid w:val="3C8B5A78"/>
    <w:rsid w:val="3C8E5FC9"/>
    <w:rsid w:val="3CA44D64"/>
    <w:rsid w:val="3CA54D8C"/>
    <w:rsid w:val="3CAD5515"/>
    <w:rsid w:val="3CB279BB"/>
    <w:rsid w:val="3CB87F80"/>
    <w:rsid w:val="3CC66AB0"/>
    <w:rsid w:val="3CC82828"/>
    <w:rsid w:val="3CCB0EE2"/>
    <w:rsid w:val="3CDF5B46"/>
    <w:rsid w:val="3CEB6517"/>
    <w:rsid w:val="3CF33D49"/>
    <w:rsid w:val="3D046583"/>
    <w:rsid w:val="3D0715A3"/>
    <w:rsid w:val="3D0E7579"/>
    <w:rsid w:val="3D0F0457"/>
    <w:rsid w:val="3D1134CB"/>
    <w:rsid w:val="3D202664"/>
    <w:rsid w:val="3D2F75E1"/>
    <w:rsid w:val="3D32231E"/>
    <w:rsid w:val="3D3D5EA8"/>
    <w:rsid w:val="3D540560"/>
    <w:rsid w:val="3D6407A3"/>
    <w:rsid w:val="3D6A7D83"/>
    <w:rsid w:val="3D6C7658"/>
    <w:rsid w:val="3D712EC0"/>
    <w:rsid w:val="3D743DFA"/>
    <w:rsid w:val="3D794335"/>
    <w:rsid w:val="3D7B0D83"/>
    <w:rsid w:val="3D826E7B"/>
    <w:rsid w:val="3D8418FA"/>
    <w:rsid w:val="3D954E00"/>
    <w:rsid w:val="3D996252"/>
    <w:rsid w:val="3D9B65E3"/>
    <w:rsid w:val="3DA51C2D"/>
    <w:rsid w:val="3DA5668B"/>
    <w:rsid w:val="3DAA0180"/>
    <w:rsid w:val="3DAF5796"/>
    <w:rsid w:val="3DBD7EB3"/>
    <w:rsid w:val="3DC225DB"/>
    <w:rsid w:val="3DCE20C0"/>
    <w:rsid w:val="3DD07BE6"/>
    <w:rsid w:val="3DD11700"/>
    <w:rsid w:val="3DD86EA7"/>
    <w:rsid w:val="3DDC2A2F"/>
    <w:rsid w:val="3DE7202B"/>
    <w:rsid w:val="3DEC2546"/>
    <w:rsid w:val="3DED6027"/>
    <w:rsid w:val="3E09756E"/>
    <w:rsid w:val="3E160F33"/>
    <w:rsid w:val="3E2972F7"/>
    <w:rsid w:val="3E2E2B5F"/>
    <w:rsid w:val="3E345210"/>
    <w:rsid w:val="3E3B2E1D"/>
    <w:rsid w:val="3E4A66E2"/>
    <w:rsid w:val="3E506F79"/>
    <w:rsid w:val="3E52684D"/>
    <w:rsid w:val="3E5F0F6A"/>
    <w:rsid w:val="3E693B97"/>
    <w:rsid w:val="3E6D0578"/>
    <w:rsid w:val="3E6E73FF"/>
    <w:rsid w:val="3E7A3FF6"/>
    <w:rsid w:val="3E7A5DA4"/>
    <w:rsid w:val="3E7E3AE6"/>
    <w:rsid w:val="3E815608"/>
    <w:rsid w:val="3E88517E"/>
    <w:rsid w:val="3E8D5AD7"/>
    <w:rsid w:val="3E9171EE"/>
    <w:rsid w:val="3EA437B1"/>
    <w:rsid w:val="3EA50BA8"/>
    <w:rsid w:val="3EA5570C"/>
    <w:rsid w:val="3EB70D64"/>
    <w:rsid w:val="3EBC0B5B"/>
    <w:rsid w:val="3EF92B0D"/>
    <w:rsid w:val="3F0312DA"/>
    <w:rsid w:val="3F136AFC"/>
    <w:rsid w:val="3F143D5A"/>
    <w:rsid w:val="3F1623FD"/>
    <w:rsid w:val="3F1717B3"/>
    <w:rsid w:val="3F1B1335"/>
    <w:rsid w:val="3F2301EA"/>
    <w:rsid w:val="3F274C7E"/>
    <w:rsid w:val="3F2D1EAB"/>
    <w:rsid w:val="3F2D486B"/>
    <w:rsid w:val="3F2F6B8F"/>
    <w:rsid w:val="3F377C66"/>
    <w:rsid w:val="3F3E6DD2"/>
    <w:rsid w:val="3F3E7CD5"/>
    <w:rsid w:val="3F487C50"/>
    <w:rsid w:val="3F4B628F"/>
    <w:rsid w:val="3F551A0B"/>
    <w:rsid w:val="3F5919D3"/>
    <w:rsid w:val="3F7942AE"/>
    <w:rsid w:val="3F7D78FA"/>
    <w:rsid w:val="3F8E1B07"/>
    <w:rsid w:val="3F8E2063"/>
    <w:rsid w:val="3F93536F"/>
    <w:rsid w:val="3F9D1D4A"/>
    <w:rsid w:val="3FA27361"/>
    <w:rsid w:val="3FA62141"/>
    <w:rsid w:val="3FB47094"/>
    <w:rsid w:val="3FB53538"/>
    <w:rsid w:val="3FC15EC8"/>
    <w:rsid w:val="3FC25C55"/>
    <w:rsid w:val="3FC75019"/>
    <w:rsid w:val="3FC92B3F"/>
    <w:rsid w:val="3FD80FD4"/>
    <w:rsid w:val="3FEC4A80"/>
    <w:rsid w:val="3FF327A1"/>
    <w:rsid w:val="3FF516FD"/>
    <w:rsid w:val="3FF862F2"/>
    <w:rsid w:val="4000332E"/>
    <w:rsid w:val="400605D8"/>
    <w:rsid w:val="402204A1"/>
    <w:rsid w:val="40330901"/>
    <w:rsid w:val="403C5A07"/>
    <w:rsid w:val="4044399F"/>
    <w:rsid w:val="40474002"/>
    <w:rsid w:val="404747E5"/>
    <w:rsid w:val="404A155C"/>
    <w:rsid w:val="405D597D"/>
    <w:rsid w:val="405D772B"/>
    <w:rsid w:val="406B4450"/>
    <w:rsid w:val="40786313"/>
    <w:rsid w:val="4084115C"/>
    <w:rsid w:val="408B6047"/>
    <w:rsid w:val="408F1FDB"/>
    <w:rsid w:val="40953369"/>
    <w:rsid w:val="40A05362"/>
    <w:rsid w:val="40A27F80"/>
    <w:rsid w:val="40BC08F6"/>
    <w:rsid w:val="40E165AE"/>
    <w:rsid w:val="40F31CD8"/>
    <w:rsid w:val="40F81988"/>
    <w:rsid w:val="41036525"/>
    <w:rsid w:val="410E722F"/>
    <w:rsid w:val="41116514"/>
    <w:rsid w:val="411B386E"/>
    <w:rsid w:val="41202C33"/>
    <w:rsid w:val="412F1132"/>
    <w:rsid w:val="41347641"/>
    <w:rsid w:val="413556C5"/>
    <w:rsid w:val="4137363C"/>
    <w:rsid w:val="413E3339"/>
    <w:rsid w:val="41405083"/>
    <w:rsid w:val="41586871"/>
    <w:rsid w:val="416238AF"/>
    <w:rsid w:val="41654AEA"/>
    <w:rsid w:val="416A65A4"/>
    <w:rsid w:val="416F3BBA"/>
    <w:rsid w:val="41781FB9"/>
    <w:rsid w:val="418F7DB9"/>
    <w:rsid w:val="419034FD"/>
    <w:rsid w:val="4194717D"/>
    <w:rsid w:val="41984EE2"/>
    <w:rsid w:val="419A2BF8"/>
    <w:rsid w:val="419D0727"/>
    <w:rsid w:val="41A33F03"/>
    <w:rsid w:val="41A43864"/>
    <w:rsid w:val="41A74A53"/>
    <w:rsid w:val="41A85097"/>
    <w:rsid w:val="41AE0A50"/>
    <w:rsid w:val="41C23CEA"/>
    <w:rsid w:val="41CA2B9F"/>
    <w:rsid w:val="41CF4659"/>
    <w:rsid w:val="41D2003F"/>
    <w:rsid w:val="41D8350E"/>
    <w:rsid w:val="41E9571B"/>
    <w:rsid w:val="41EE697E"/>
    <w:rsid w:val="41F83873"/>
    <w:rsid w:val="420B1569"/>
    <w:rsid w:val="42172DBE"/>
    <w:rsid w:val="42350960"/>
    <w:rsid w:val="423A5C51"/>
    <w:rsid w:val="423B16D9"/>
    <w:rsid w:val="424F1061"/>
    <w:rsid w:val="4253528A"/>
    <w:rsid w:val="425828A0"/>
    <w:rsid w:val="426E0BA8"/>
    <w:rsid w:val="4273039A"/>
    <w:rsid w:val="427B5EF5"/>
    <w:rsid w:val="4284574D"/>
    <w:rsid w:val="42854175"/>
    <w:rsid w:val="42884F34"/>
    <w:rsid w:val="428F321C"/>
    <w:rsid w:val="42A96696"/>
    <w:rsid w:val="42AD50EE"/>
    <w:rsid w:val="42BC4BDD"/>
    <w:rsid w:val="42C910A8"/>
    <w:rsid w:val="42CB6BCE"/>
    <w:rsid w:val="42CD2946"/>
    <w:rsid w:val="42CE66BF"/>
    <w:rsid w:val="42E12896"/>
    <w:rsid w:val="42F27629"/>
    <w:rsid w:val="4303280C"/>
    <w:rsid w:val="430A1DED"/>
    <w:rsid w:val="430B53EB"/>
    <w:rsid w:val="431810BA"/>
    <w:rsid w:val="43217136"/>
    <w:rsid w:val="432C269E"/>
    <w:rsid w:val="4339622E"/>
    <w:rsid w:val="433C6F5D"/>
    <w:rsid w:val="434F77FF"/>
    <w:rsid w:val="4350389D"/>
    <w:rsid w:val="43513AA8"/>
    <w:rsid w:val="437454B8"/>
    <w:rsid w:val="437A3C18"/>
    <w:rsid w:val="437A4E2E"/>
    <w:rsid w:val="438A02DB"/>
    <w:rsid w:val="438F5E4E"/>
    <w:rsid w:val="43A95D9D"/>
    <w:rsid w:val="43AA712C"/>
    <w:rsid w:val="43AF64F0"/>
    <w:rsid w:val="43BC29BB"/>
    <w:rsid w:val="43BD6E5F"/>
    <w:rsid w:val="43CA5B33"/>
    <w:rsid w:val="43D06B36"/>
    <w:rsid w:val="43EC2228"/>
    <w:rsid w:val="43ED0DC6"/>
    <w:rsid w:val="43F565F9"/>
    <w:rsid w:val="43F67E99"/>
    <w:rsid w:val="43F72CC5"/>
    <w:rsid w:val="43F94323"/>
    <w:rsid w:val="43FB34E3"/>
    <w:rsid w:val="440525B4"/>
    <w:rsid w:val="44252903"/>
    <w:rsid w:val="442B6EAB"/>
    <w:rsid w:val="44315157"/>
    <w:rsid w:val="44384737"/>
    <w:rsid w:val="44507CD3"/>
    <w:rsid w:val="445157F9"/>
    <w:rsid w:val="4467501D"/>
    <w:rsid w:val="446F072E"/>
    <w:rsid w:val="4472759E"/>
    <w:rsid w:val="4475773A"/>
    <w:rsid w:val="44760DBC"/>
    <w:rsid w:val="4476700E"/>
    <w:rsid w:val="447D039C"/>
    <w:rsid w:val="447D214A"/>
    <w:rsid w:val="447E39EE"/>
    <w:rsid w:val="44890AEF"/>
    <w:rsid w:val="448C6831"/>
    <w:rsid w:val="44A02924"/>
    <w:rsid w:val="44AD23A9"/>
    <w:rsid w:val="44AF4C2F"/>
    <w:rsid w:val="44C02ED6"/>
    <w:rsid w:val="44C31722"/>
    <w:rsid w:val="44C55076"/>
    <w:rsid w:val="44C935E1"/>
    <w:rsid w:val="44CF64AC"/>
    <w:rsid w:val="44D10283"/>
    <w:rsid w:val="44D45F76"/>
    <w:rsid w:val="44DE7E79"/>
    <w:rsid w:val="45154265"/>
    <w:rsid w:val="45187836"/>
    <w:rsid w:val="451B2245"/>
    <w:rsid w:val="452E342B"/>
    <w:rsid w:val="453F5652"/>
    <w:rsid w:val="4546382E"/>
    <w:rsid w:val="454A2974"/>
    <w:rsid w:val="45516873"/>
    <w:rsid w:val="45525385"/>
    <w:rsid w:val="45581B00"/>
    <w:rsid w:val="456A0921"/>
    <w:rsid w:val="457810EA"/>
    <w:rsid w:val="457C68A6"/>
    <w:rsid w:val="458266E5"/>
    <w:rsid w:val="4588349D"/>
    <w:rsid w:val="459875F9"/>
    <w:rsid w:val="45AC667F"/>
    <w:rsid w:val="45C331EE"/>
    <w:rsid w:val="45C96E92"/>
    <w:rsid w:val="45DB181E"/>
    <w:rsid w:val="45E7663E"/>
    <w:rsid w:val="45F34DBA"/>
    <w:rsid w:val="45F40376"/>
    <w:rsid w:val="45FE3F5A"/>
    <w:rsid w:val="46094636"/>
    <w:rsid w:val="461B60BF"/>
    <w:rsid w:val="461D5993"/>
    <w:rsid w:val="46220201"/>
    <w:rsid w:val="4627498A"/>
    <w:rsid w:val="46530576"/>
    <w:rsid w:val="466743A5"/>
    <w:rsid w:val="466B6D95"/>
    <w:rsid w:val="466D0BF9"/>
    <w:rsid w:val="46781EED"/>
    <w:rsid w:val="468241E3"/>
    <w:rsid w:val="468A0B4E"/>
    <w:rsid w:val="46977A3B"/>
    <w:rsid w:val="469C7200"/>
    <w:rsid w:val="46A125B3"/>
    <w:rsid w:val="46A2058E"/>
    <w:rsid w:val="46BA3E23"/>
    <w:rsid w:val="46BB2495"/>
    <w:rsid w:val="46C2653A"/>
    <w:rsid w:val="46C9300C"/>
    <w:rsid w:val="46D57EF5"/>
    <w:rsid w:val="4703102D"/>
    <w:rsid w:val="47040108"/>
    <w:rsid w:val="47121270"/>
    <w:rsid w:val="471843AC"/>
    <w:rsid w:val="471A45C8"/>
    <w:rsid w:val="471E413B"/>
    <w:rsid w:val="472061CA"/>
    <w:rsid w:val="47305DAD"/>
    <w:rsid w:val="474A0418"/>
    <w:rsid w:val="474D674C"/>
    <w:rsid w:val="47583F97"/>
    <w:rsid w:val="47597069"/>
    <w:rsid w:val="47724AA9"/>
    <w:rsid w:val="47737835"/>
    <w:rsid w:val="47777325"/>
    <w:rsid w:val="47813C8D"/>
    <w:rsid w:val="47841A42"/>
    <w:rsid w:val="47857C94"/>
    <w:rsid w:val="478614EA"/>
    <w:rsid w:val="4799373F"/>
    <w:rsid w:val="479C6D8B"/>
    <w:rsid w:val="47A4662D"/>
    <w:rsid w:val="47AD0F98"/>
    <w:rsid w:val="47C54534"/>
    <w:rsid w:val="47CC70B6"/>
    <w:rsid w:val="47CF53B3"/>
    <w:rsid w:val="47CF7161"/>
    <w:rsid w:val="47D40997"/>
    <w:rsid w:val="47D413D8"/>
    <w:rsid w:val="47D429C9"/>
    <w:rsid w:val="47F00E85"/>
    <w:rsid w:val="47F70466"/>
    <w:rsid w:val="480F57AF"/>
    <w:rsid w:val="481619D1"/>
    <w:rsid w:val="4819662E"/>
    <w:rsid w:val="48205A1D"/>
    <w:rsid w:val="48233009"/>
    <w:rsid w:val="48284AC3"/>
    <w:rsid w:val="482E5EBF"/>
    <w:rsid w:val="484568D3"/>
    <w:rsid w:val="48877A3B"/>
    <w:rsid w:val="4891611F"/>
    <w:rsid w:val="48931F3C"/>
    <w:rsid w:val="48CC1253"/>
    <w:rsid w:val="48CE11C6"/>
    <w:rsid w:val="48D640FA"/>
    <w:rsid w:val="48E42798"/>
    <w:rsid w:val="48E94252"/>
    <w:rsid w:val="48F7696F"/>
    <w:rsid w:val="49070198"/>
    <w:rsid w:val="490B241B"/>
    <w:rsid w:val="490C7F41"/>
    <w:rsid w:val="49107A31"/>
    <w:rsid w:val="491312CF"/>
    <w:rsid w:val="491D3EFC"/>
    <w:rsid w:val="491F1A22"/>
    <w:rsid w:val="492D5D6B"/>
    <w:rsid w:val="49373210"/>
    <w:rsid w:val="493A2D00"/>
    <w:rsid w:val="493F0316"/>
    <w:rsid w:val="494B6CBB"/>
    <w:rsid w:val="49551E0D"/>
    <w:rsid w:val="495945D7"/>
    <w:rsid w:val="49635DB3"/>
    <w:rsid w:val="49675177"/>
    <w:rsid w:val="496D143E"/>
    <w:rsid w:val="49731D6E"/>
    <w:rsid w:val="498E0956"/>
    <w:rsid w:val="4990379B"/>
    <w:rsid w:val="499E503D"/>
    <w:rsid w:val="49B7717A"/>
    <w:rsid w:val="49B900C8"/>
    <w:rsid w:val="49D62A28"/>
    <w:rsid w:val="49E60792"/>
    <w:rsid w:val="49EE4458"/>
    <w:rsid w:val="49F315F3"/>
    <w:rsid w:val="4A080F4F"/>
    <w:rsid w:val="4A11580F"/>
    <w:rsid w:val="4A1932A7"/>
    <w:rsid w:val="4A200290"/>
    <w:rsid w:val="4A264CEE"/>
    <w:rsid w:val="4A2B5779"/>
    <w:rsid w:val="4A2D4613"/>
    <w:rsid w:val="4A2F7792"/>
    <w:rsid w:val="4A3634C7"/>
    <w:rsid w:val="4A3B792B"/>
    <w:rsid w:val="4A437992"/>
    <w:rsid w:val="4A4A4B11"/>
    <w:rsid w:val="4A616A9E"/>
    <w:rsid w:val="4A6242BC"/>
    <w:rsid w:val="4A6C6EE9"/>
    <w:rsid w:val="4A6D7A87"/>
    <w:rsid w:val="4A722025"/>
    <w:rsid w:val="4A755582"/>
    <w:rsid w:val="4A7933B4"/>
    <w:rsid w:val="4A7C1D53"/>
    <w:rsid w:val="4A91694F"/>
    <w:rsid w:val="4AA04DE4"/>
    <w:rsid w:val="4AA8171D"/>
    <w:rsid w:val="4AAE5753"/>
    <w:rsid w:val="4ABA6CC2"/>
    <w:rsid w:val="4ABD14F2"/>
    <w:rsid w:val="4AC76991"/>
    <w:rsid w:val="4ACB46D0"/>
    <w:rsid w:val="4ACC7988"/>
    <w:rsid w:val="4ACF27E7"/>
    <w:rsid w:val="4AD8457E"/>
    <w:rsid w:val="4ADE1BE6"/>
    <w:rsid w:val="4AE01685"/>
    <w:rsid w:val="4AF3760A"/>
    <w:rsid w:val="4AF83C73"/>
    <w:rsid w:val="4AFC64BF"/>
    <w:rsid w:val="4B1B26BD"/>
    <w:rsid w:val="4B2A4224"/>
    <w:rsid w:val="4B3B5A5E"/>
    <w:rsid w:val="4B3D2633"/>
    <w:rsid w:val="4B3F45FD"/>
    <w:rsid w:val="4B446F88"/>
    <w:rsid w:val="4B49547C"/>
    <w:rsid w:val="4B4B4017"/>
    <w:rsid w:val="4B4D3745"/>
    <w:rsid w:val="4B553AA1"/>
    <w:rsid w:val="4B62516E"/>
    <w:rsid w:val="4B6F13A9"/>
    <w:rsid w:val="4B792795"/>
    <w:rsid w:val="4B7F0E9E"/>
    <w:rsid w:val="4B7F2C4C"/>
    <w:rsid w:val="4B816407"/>
    <w:rsid w:val="4B842010"/>
    <w:rsid w:val="4B876A3E"/>
    <w:rsid w:val="4B8B339F"/>
    <w:rsid w:val="4B8E52B1"/>
    <w:rsid w:val="4B9C37FE"/>
    <w:rsid w:val="4B9C55AC"/>
    <w:rsid w:val="4BA426B2"/>
    <w:rsid w:val="4BA836A0"/>
    <w:rsid w:val="4BB24DCF"/>
    <w:rsid w:val="4BBA5564"/>
    <w:rsid w:val="4BCF755C"/>
    <w:rsid w:val="4BD27602"/>
    <w:rsid w:val="4BD73978"/>
    <w:rsid w:val="4BE35ECE"/>
    <w:rsid w:val="4BF70A34"/>
    <w:rsid w:val="4C2F1A2A"/>
    <w:rsid w:val="4C3752D5"/>
    <w:rsid w:val="4C375FAC"/>
    <w:rsid w:val="4C3C15FA"/>
    <w:rsid w:val="4C417F01"/>
    <w:rsid w:val="4C433C79"/>
    <w:rsid w:val="4C4579F1"/>
    <w:rsid w:val="4C4F0825"/>
    <w:rsid w:val="4C502D1B"/>
    <w:rsid w:val="4C5145E8"/>
    <w:rsid w:val="4C5C4D3B"/>
    <w:rsid w:val="4C6205A3"/>
    <w:rsid w:val="4C6836E0"/>
    <w:rsid w:val="4C7622A1"/>
    <w:rsid w:val="4C883D82"/>
    <w:rsid w:val="4C9C083E"/>
    <w:rsid w:val="4C9D782D"/>
    <w:rsid w:val="4CA54934"/>
    <w:rsid w:val="4CAA1C5A"/>
    <w:rsid w:val="4CAC5CC3"/>
    <w:rsid w:val="4CB30916"/>
    <w:rsid w:val="4CB86415"/>
    <w:rsid w:val="4CC50B32"/>
    <w:rsid w:val="4CCC0113"/>
    <w:rsid w:val="4CD90FCB"/>
    <w:rsid w:val="4CE74FE6"/>
    <w:rsid w:val="4CF06EAB"/>
    <w:rsid w:val="4CF136D5"/>
    <w:rsid w:val="4CFC0E0E"/>
    <w:rsid w:val="4CFC257F"/>
    <w:rsid w:val="4CFD02CC"/>
    <w:rsid w:val="4CFD6DD6"/>
    <w:rsid w:val="4D115B26"/>
    <w:rsid w:val="4D1473C4"/>
    <w:rsid w:val="4D225F85"/>
    <w:rsid w:val="4D250C04"/>
    <w:rsid w:val="4D2515D1"/>
    <w:rsid w:val="4D294817"/>
    <w:rsid w:val="4D35082F"/>
    <w:rsid w:val="4D4C3002"/>
    <w:rsid w:val="4D5F2D35"/>
    <w:rsid w:val="4D6E2F78"/>
    <w:rsid w:val="4D6E5923"/>
    <w:rsid w:val="4D8C0AAB"/>
    <w:rsid w:val="4D8E53C8"/>
    <w:rsid w:val="4D9F3131"/>
    <w:rsid w:val="4DAE7818"/>
    <w:rsid w:val="4DB316D4"/>
    <w:rsid w:val="4DB90697"/>
    <w:rsid w:val="4DBC5DD5"/>
    <w:rsid w:val="4DBD0F93"/>
    <w:rsid w:val="4DBF5582"/>
    <w:rsid w:val="4DC46FB2"/>
    <w:rsid w:val="4DCA605D"/>
    <w:rsid w:val="4DF427AC"/>
    <w:rsid w:val="4E0839A2"/>
    <w:rsid w:val="4E173610"/>
    <w:rsid w:val="4E1A72DF"/>
    <w:rsid w:val="4E1B3100"/>
    <w:rsid w:val="4E340E42"/>
    <w:rsid w:val="4E437F61"/>
    <w:rsid w:val="4E465964"/>
    <w:rsid w:val="4E516B22"/>
    <w:rsid w:val="4E5C6617"/>
    <w:rsid w:val="4E6879C7"/>
    <w:rsid w:val="4E773219"/>
    <w:rsid w:val="4E7B543E"/>
    <w:rsid w:val="4E7E0EFC"/>
    <w:rsid w:val="4E8D0AC3"/>
    <w:rsid w:val="4E8F7E90"/>
    <w:rsid w:val="4E92756B"/>
    <w:rsid w:val="4E973AFB"/>
    <w:rsid w:val="4EA053B3"/>
    <w:rsid w:val="4EA2112B"/>
    <w:rsid w:val="4EA2688E"/>
    <w:rsid w:val="4EAD187E"/>
    <w:rsid w:val="4EAF3848"/>
    <w:rsid w:val="4EB175C0"/>
    <w:rsid w:val="4EB90223"/>
    <w:rsid w:val="4EC015B1"/>
    <w:rsid w:val="4EC56BC8"/>
    <w:rsid w:val="4ECF5C98"/>
    <w:rsid w:val="4ED33CE1"/>
    <w:rsid w:val="4ED82D9F"/>
    <w:rsid w:val="4EE5747E"/>
    <w:rsid w:val="4EF676C9"/>
    <w:rsid w:val="4F10078B"/>
    <w:rsid w:val="4F1135A7"/>
    <w:rsid w:val="4F143D33"/>
    <w:rsid w:val="4F284BD5"/>
    <w:rsid w:val="4F3501F1"/>
    <w:rsid w:val="4F4421E2"/>
    <w:rsid w:val="4F473A81"/>
    <w:rsid w:val="4F552641"/>
    <w:rsid w:val="4F6D4B0D"/>
    <w:rsid w:val="4F6E54B1"/>
    <w:rsid w:val="4F9714EA"/>
    <w:rsid w:val="4F9B5B7A"/>
    <w:rsid w:val="4F9E16F6"/>
    <w:rsid w:val="4FA113E3"/>
    <w:rsid w:val="4FA233AD"/>
    <w:rsid w:val="4FA535FE"/>
    <w:rsid w:val="4FB56C3C"/>
    <w:rsid w:val="4FC7696F"/>
    <w:rsid w:val="4FCC3F86"/>
    <w:rsid w:val="4FD33566"/>
    <w:rsid w:val="4FDA66A3"/>
    <w:rsid w:val="4FDC066D"/>
    <w:rsid w:val="4FE61337"/>
    <w:rsid w:val="4FE61D11"/>
    <w:rsid w:val="50055E16"/>
    <w:rsid w:val="5019366F"/>
    <w:rsid w:val="5019632E"/>
    <w:rsid w:val="502344B9"/>
    <w:rsid w:val="502E68E8"/>
    <w:rsid w:val="50306C0B"/>
    <w:rsid w:val="50342257"/>
    <w:rsid w:val="50347AD3"/>
    <w:rsid w:val="504F52E3"/>
    <w:rsid w:val="5058246A"/>
    <w:rsid w:val="50583834"/>
    <w:rsid w:val="505843D2"/>
    <w:rsid w:val="50643B30"/>
    <w:rsid w:val="506863A4"/>
    <w:rsid w:val="508F1B83"/>
    <w:rsid w:val="50971D5D"/>
    <w:rsid w:val="50C03AEB"/>
    <w:rsid w:val="50C35389"/>
    <w:rsid w:val="50CE0A1D"/>
    <w:rsid w:val="50D55A40"/>
    <w:rsid w:val="50D852D8"/>
    <w:rsid w:val="50E53551"/>
    <w:rsid w:val="50E61077"/>
    <w:rsid w:val="50E9359B"/>
    <w:rsid w:val="50F25C6E"/>
    <w:rsid w:val="50FC5779"/>
    <w:rsid w:val="511931FB"/>
    <w:rsid w:val="513123C4"/>
    <w:rsid w:val="51346287"/>
    <w:rsid w:val="51445DFE"/>
    <w:rsid w:val="51493AE0"/>
    <w:rsid w:val="514E10F6"/>
    <w:rsid w:val="51506997"/>
    <w:rsid w:val="51514940"/>
    <w:rsid w:val="515C74C0"/>
    <w:rsid w:val="516E081B"/>
    <w:rsid w:val="51730B5D"/>
    <w:rsid w:val="518B6549"/>
    <w:rsid w:val="5196484B"/>
    <w:rsid w:val="519B00B4"/>
    <w:rsid w:val="519F7BA4"/>
    <w:rsid w:val="51A21442"/>
    <w:rsid w:val="51A32FA8"/>
    <w:rsid w:val="51AF590D"/>
    <w:rsid w:val="51BB5312"/>
    <w:rsid w:val="51C71A20"/>
    <w:rsid w:val="51C94C21"/>
    <w:rsid w:val="51CE2237"/>
    <w:rsid w:val="51D157DF"/>
    <w:rsid w:val="51DA0BDC"/>
    <w:rsid w:val="51DD691E"/>
    <w:rsid w:val="520270E8"/>
    <w:rsid w:val="520D0FB1"/>
    <w:rsid w:val="520E6AD8"/>
    <w:rsid w:val="52170FF6"/>
    <w:rsid w:val="52186FA4"/>
    <w:rsid w:val="52374280"/>
    <w:rsid w:val="524F4416"/>
    <w:rsid w:val="528154FB"/>
    <w:rsid w:val="52927E28"/>
    <w:rsid w:val="529B480F"/>
    <w:rsid w:val="529E3592"/>
    <w:rsid w:val="52A01E26"/>
    <w:rsid w:val="52A66D10"/>
    <w:rsid w:val="52A86F2C"/>
    <w:rsid w:val="52AD009F"/>
    <w:rsid w:val="52AD01E4"/>
    <w:rsid w:val="52AF1549"/>
    <w:rsid w:val="52C46381"/>
    <w:rsid w:val="52C5188C"/>
    <w:rsid w:val="52C75604"/>
    <w:rsid w:val="52C8312A"/>
    <w:rsid w:val="52DA3D53"/>
    <w:rsid w:val="52DA4E6B"/>
    <w:rsid w:val="52DC2732"/>
    <w:rsid w:val="52DC7DB4"/>
    <w:rsid w:val="52E422EB"/>
    <w:rsid w:val="52E42453"/>
    <w:rsid w:val="52E77A54"/>
    <w:rsid w:val="52EC6DE2"/>
    <w:rsid w:val="52EF487C"/>
    <w:rsid w:val="52F43FFD"/>
    <w:rsid w:val="5306439D"/>
    <w:rsid w:val="53096DD1"/>
    <w:rsid w:val="53110920"/>
    <w:rsid w:val="53130849"/>
    <w:rsid w:val="53181F32"/>
    <w:rsid w:val="531F59DC"/>
    <w:rsid w:val="532248FE"/>
    <w:rsid w:val="53341343"/>
    <w:rsid w:val="5334431C"/>
    <w:rsid w:val="533802B0"/>
    <w:rsid w:val="534361E7"/>
    <w:rsid w:val="5345477B"/>
    <w:rsid w:val="535F3A8F"/>
    <w:rsid w:val="536746F1"/>
    <w:rsid w:val="5372373B"/>
    <w:rsid w:val="53740BBC"/>
    <w:rsid w:val="53755060"/>
    <w:rsid w:val="53764014"/>
    <w:rsid w:val="538E1C7E"/>
    <w:rsid w:val="53937294"/>
    <w:rsid w:val="5394300C"/>
    <w:rsid w:val="539574B0"/>
    <w:rsid w:val="53A5521A"/>
    <w:rsid w:val="53B168B0"/>
    <w:rsid w:val="53C03E02"/>
    <w:rsid w:val="53DB0C3B"/>
    <w:rsid w:val="53DF697E"/>
    <w:rsid w:val="53E421E6"/>
    <w:rsid w:val="53F46106"/>
    <w:rsid w:val="53F51CFD"/>
    <w:rsid w:val="54183C3E"/>
    <w:rsid w:val="541F4FCC"/>
    <w:rsid w:val="54267933"/>
    <w:rsid w:val="544E58B1"/>
    <w:rsid w:val="54520EFE"/>
    <w:rsid w:val="545D43BB"/>
    <w:rsid w:val="545F7ABE"/>
    <w:rsid w:val="54661945"/>
    <w:rsid w:val="546D5D37"/>
    <w:rsid w:val="54A11E85"/>
    <w:rsid w:val="54A2075F"/>
    <w:rsid w:val="54AD3CB4"/>
    <w:rsid w:val="54B35714"/>
    <w:rsid w:val="54B94783"/>
    <w:rsid w:val="54D014C0"/>
    <w:rsid w:val="54D73AF9"/>
    <w:rsid w:val="54D76BBD"/>
    <w:rsid w:val="54D77837"/>
    <w:rsid w:val="54EA55DA"/>
    <w:rsid w:val="54EA7388"/>
    <w:rsid w:val="54F12136"/>
    <w:rsid w:val="54F53A38"/>
    <w:rsid w:val="54F7763E"/>
    <w:rsid w:val="54FB77E7"/>
    <w:rsid w:val="54FE4BE1"/>
    <w:rsid w:val="550429B6"/>
    <w:rsid w:val="55076885"/>
    <w:rsid w:val="55085A60"/>
    <w:rsid w:val="550A22E3"/>
    <w:rsid w:val="55222FC6"/>
    <w:rsid w:val="552503C0"/>
    <w:rsid w:val="554051FA"/>
    <w:rsid w:val="554A09E5"/>
    <w:rsid w:val="55545149"/>
    <w:rsid w:val="55566ECB"/>
    <w:rsid w:val="55587413"/>
    <w:rsid w:val="55597412"/>
    <w:rsid w:val="5563539C"/>
    <w:rsid w:val="55800080"/>
    <w:rsid w:val="55801A9A"/>
    <w:rsid w:val="558903AA"/>
    <w:rsid w:val="558C18DF"/>
    <w:rsid w:val="559C40DA"/>
    <w:rsid w:val="55A0213D"/>
    <w:rsid w:val="55A41882"/>
    <w:rsid w:val="55AA156D"/>
    <w:rsid w:val="55CA5144"/>
    <w:rsid w:val="55DD5F31"/>
    <w:rsid w:val="56097CE2"/>
    <w:rsid w:val="561F7505"/>
    <w:rsid w:val="56244B1C"/>
    <w:rsid w:val="56276FA3"/>
    <w:rsid w:val="563B3C13"/>
    <w:rsid w:val="5645536C"/>
    <w:rsid w:val="564A35A9"/>
    <w:rsid w:val="565A05B9"/>
    <w:rsid w:val="566969D2"/>
    <w:rsid w:val="566D0271"/>
    <w:rsid w:val="56721153"/>
    <w:rsid w:val="567779F3"/>
    <w:rsid w:val="56786C15"/>
    <w:rsid w:val="567E219F"/>
    <w:rsid w:val="567E247E"/>
    <w:rsid w:val="5684380C"/>
    <w:rsid w:val="568E6439"/>
    <w:rsid w:val="56AD58DD"/>
    <w:rsid w:val="56C63E25"/>
    <w:rsid w:val="56D77DE0"/>
    <w:rsid w:val="56DD0123"/>
    <w:rsid w:val="56E30533"/>
    <w:rsid w:val="56E542AB"/>
    <w:rsid w:val="56EB388B"/>
    <w:rsid w:val="56EB73E7"/>
    <w:rsid w:val="56ED13B1"/>
    <w:rsid w:val="56EE0C86"/>
    <w:rsid w:val="56F24C1A"/>
    <w:rsid w:val="56FC33A3"/>
    <w:rsid w:val="57014E5D"/>
    <w:rsid w:val="571903F8"/>
    <w:rsid w:val="571A1A7B"/>
    <w:rsid w:val="57250B4B"/>
    <w:rsid w:val="57363121"/>
    <w:rsid w:val="573F0AC3"/>
    <w:rsid w:val="574D23FA"/>
    <w:rsid w:val="576158FB"/>
    <w:rsid w:val="57623B4D"/>
    <w:rsid w:val="576553EC"/>
    <w:rsid w:val="57686087"/>
    <w:rsid w:val="576D24F2"/>
    <w:rsid w:val="578C0BCA"/>
    <w:rsid w:val="5798756F"/>
    <w:rsid w:val="579B705F"/>
    <w:rsid w:val="57A646D9"/>
    <w:rsid w:val="57B95737"/>
    <w:rsid w:val="57CD65E5"/>
    <w:rsid w:val="57DC4038"/>
    <w:rsid w:val="57E37B56"/>
    <w:rsid w:val="57FB365A"/>
    <w:rsid w:val="580839DD"/>
    <w:rsid w:val="5822508B"/>
    <w:rsid w:val="58261C04"/>
    <w:rsid w:val="583A6878"/>
    <w:rsid w:val="583E189B"/>
    <w:rsid w:val="583F79EB"/>
    <w:rsid w:val="58490869"/>
    <w:rsid w:val="584C2108"/>
    <w:rsid w:val="5854400C"/>
    <w:rsid w:val="585616E4"/>
    <w:rsid w:val="585B059D"/>
    <w:rsid w:val="5866141B"/>
    <w:rsid w:val="58781E83"/>
    <w:rsid w:val="58794897"/>
    <w:rsid w:val="587D0EB9"/>
    <w:rsid w:val="587F4F93"/>
    <w:rsid w:val="5893004F"/>
    <w:rsid w:val="58977827"/>
    <w:rsid w:val="589A10C5"/>
    <w:rsid w:val="589A3892"/>
    <w:rsid w:val="589C4E3D"/>
    <w:rsid w:val="58A20EFD"/>
    <w:rsid w:val="58A34D7E"/>
    <w:rsid w:val="58B24661"/>
    <w:rsid w:val="58C9350D"/>
    <w:rsid w:val="58CB6281"/>
    <w:rsid w:val="58CE4B63"/>
    <w:rsid w:val="58D23BBA"/>
    <w:rsid w:val="58EA6F6E"/>
    <w:rsid w:val="58F67021"/>
    <w:rsid w:val="58F77E45"/>
    <w:rsid w:val="592B4413"/>
    <w:rsid w:val="592C715C"/>
    <w:rsid w:val="59505A7A"/>
    <w:rsid w:val="595079D6"/>
    <w:rsid w:val="59683AFA"/>
    <w:rsid w:val="596C7E82"/>
    <w:rsid w:val="596D4A2C"/>
    <w:rsid w:val="59843EC7"/>
    <w:rsid w:val="598A2EE8"/>
    <w:rsid w:val="599650D5"/>
    <w:rsid w:val="599A123D"/>
    <w:rsid w:val="599E6993"/>
    <w:rsid w:val="59A815C0"/>
    <w:rsid w:val="59B27F13"/>
    <w:rsid w:val="59C55518"/>
    <w:rsid w:val="59C63A19"/>
    <w:rsid w:val="59CA2265"/>
    <w:rsid w:val="59CC3500"/>
    <w:rsid w:val="59CF1242"/>
    <w:rsid w:val="59D24C8D"/>
    <w:rsid w:val="59D95C1D"/>
    <w:rsid w:val="59DC185C"/>
    <w:rsid w:val="59E44380"/>
    <w:rsid w:val="59E92810"/>
    <w:rsid w:val="59F355A3"/>
    <w:rsid w:val="59F760A3"/>
    <w:rsid w:val="5A00764E"/>
    <w:rsid w:val="5A0B4668"/>
    <w:rsid w:val="5A1E534A"/>
    <w:rsid w:val="5A307F33"/>
    <w:rsid w:val="5A315A59"/>
    <w:rsid w:val="5A3D03BD"/>
    <w:rsid w:val="5A44578C"/>
    <w:rsid w:val="5A4B3F32"/>
    <w:rsid w:val="5A517EA9"/>
    <w:rsid w:val="5A53777D"/>
    <w:rsid w:val="5A551748"/>
    <w:rsid w:val="5A673229"/>
    <w:rsid w:val="5A851901"/>
    <w:rsid w:val="5A9658BC"/>
    <w:rsid w:val="5A993069"/>
    <w:rsid w:val="5A9D6556"/>
    <w:rsid w:val="5AA61FA3"/>
    <w:rsid w:val="5AA93841"/>
    <w:rsid w:val="5AC40EF1"/>
    <w:rsid w:val="5AC643F3"/>
    <w:rsid w:val="5AC95C92"/>
    <w:rsid w:val="5ACD00B5"/>
    <w:rsid w:val="5AEB2391"/>
    <w:rsid w:val="5AEC372E"/>
    <w:rsid w:val="5AF2343A"/>
    <w:rsid w:val="5AF61262"/>
    <w:rsid w:val="5AF70A51"/>
    <w:rsid w:val="5B084A0C"/>
    <w:rsid w:val="5B1956B3"/>
    <w:rsid w:val="5B201C2D"/>
    <w:rsid w:val="5B2353A2"/>
    <w:rsid w:val="5B245CE6"/>
    <w:rsid w:val="5B2479CD"/>
    <w:rsid w:val="5B4028C3"/>
    <w:rsid w:val="5B437B30"/>
    <w:rsid w:val="5B484E08"/>
    <w:rsid w:val="5B4F43E9"/>
    <w:rsid w:val="5B721E85"/>
    <w:rsid w:val="5B7756EE"/>
    <w:rsid w:val="5B871DD5"/>
    <w:rsid w:val="5B9067AF"/>
    <w:rsid w:val="5B9938B6"/>
    <w:rsid w:val="5BA51BC1"/>
    <w:rsid w:val="5BA54F84"/>
    <w:rsid w:val="5BA67D81"/>
    <w:rsid w:val="5BAB1CB4"/>
    <w:rsid w:val="5BAD7361"/>
    <w:rsid w:val="5BC56459"/>
    <w:rsid w:val="5BC8419B"/>
    <w:rsid w:val="5BCF552A"/>
    <w:rsid w:val="5BD06B9D"/>
    <w:rsid w:val="5BE45D68"/>
    <w:rsid w:val="5BFD264B"/>
    <w:rsid w:val="5C084598"/>
    <w:rsid w:val="5C1271C4"/>
    <w:rsid w:val="5C1960BE"/>
    <w:rsid w:val="5C420791"/>
    <w:rsid w:val="5C4C6B7A"/>
    <w:rsid w:val="5C6043D4"/>
    <w:rsid w:val="5C6A5951"/>
    <w:rsid w:val="5C740DEC"/>
    <w:rsid w:val="5C7D0255"/>
    <w:rsid w:val="5C855BE8"/>
    <w:rsid w:val="5C8A0B74"/>
    <w:rsid w:val="5C8A4483"/>
    <w:rsid w:val="5C961BA3"/>
    <w:rsid w:val="5CA73DB1"/>
    <w:rsid w:val="5CB02CB9"/>
    <w:rsid w:val="5CB36BF9"/>
    <w:rsid w:val="5CCF4AAA"/>
    <w:rsid w:val="5CD54DC2"/>
    <w:rsid w:val="5CDB673E"/>
    <w:rsid w:val="5CF03AEF"/>
    <w:rsid w:val="5CF214D0"/>
    <w:rsid w:val="5CF2283D"/>
    <w:rsid w:val="5CFF599B"/>
    <w:rsid w:val="5D0336DD"/>
    <w:rsid w:val="5D1538E2"/>
    <w:rsid w:val="5D1C02FB"/>
    <w:rsid w:val="5D2D69AC"/>
    <w:rsid w:val="5D4133FD"/>
    <w:rsid w:val="5D5C103F"/>
    <w:rsid w:val="5D622861"/>
    <w:rsid w:val="5D71235A"/>
    <w:rsid w:val="5D83481E"/>
    <w:rsid w:val="5D8D11F8"/>
    <w:rsid w:val="5D994612"/>
    <w:rsid w:val="5D9F0831"/>
    <w:rsid w:val="5DAD3649"/>
    <w:rsid w:val="5DCD661A"/>
    <w:rsid w:val="5DD00B34"/>
    <w:rsid w:val="5DEC23C3"/>
    <w:rsid w:val="5DF42656"/>
    <w:rsid w:val="5DF753A9"/>
    <w:rsid w:val="5DF80072"/>
    <w:rsid w:val="5DF9063C"/>
    <w:rsid w:val="5DFD7355"/>
    <w:rsid w:val="5E033729"/>
    <w:rsid w:val="5E053485"/>
    <w:rsid w:val="5E176D14"/>
    <w:rsid w:val="5E1E1460"/>
    <w:rsid w:val="5E227B93"/>
    <w:rsid w:val="5E2B4296"/>
    <w:rsid w:val="5E2B5FA2"/>
    <w:rsid w:val="5E2F405E"/>
    <w:rsid w:val="5E3248D0"/>
    <w:rsid w:val="5E3873B6"/>
    <w:rsid w:val="5E390C84"/>
    <w:rsid w:val="5E39694E"/>
    <w:rsid w:val="5E4C32CD"/>
    <w:rsid w:val="5E540064"/>
    <w:rsid w:val="5E546DD1"/>
    <w:rsid w:val="5E580E61"/>
    <w:rsid w:val="5E8F0FA0"/>
    <w:rsid w:val="5E970E40"/>
    <w:rsid w:val="5E987E55"/>
    <w:rsid w:val="5EA76C03"/>
    <w:rsid w:val="5EB50A07"/>
    <w:rsid w:val="5EB84DA7"/>
    <w:rsid w:val="5EC073AC"/>
    <w:rsid w:val="5EC4414D"/>
    <w:rsid w:val="5ECA49D3"/>
    <w:rsid w:val="5EE25574"/>
    <w:rsid w:val="5F0636BF"/>
    <w:rsid w:val="5F090D52"/>
    <w:rsid w:val="5F114B55"/>
    <w:rsid w:val="5F1871E8"/>
    <w:rsid w:val="5F21609C"/>
    <w:rsid w:val="5F24793A"/>
    <w:rsid w:val="5F475839"/>
    <w:rsid w:val="5F4A0C6E"/>
    <w:rsid w:val="5F553F98"/>
    <w:rsid w:val="5F5875E4"/>
    <w:rsid w:val="5F6D4912"/>
    <w:rsid w:val="5F702FF9"/>
    <w:rsid w:val="5F7408C2"/>
    <w:rsid w:val="5F81207B"/>
    <w:rsid w:val="5F83664B"/>
    <w:rsid w:val="5F8D3732"/>
    <w:rsid w:val="5F8F6D88"/>
    <w:rsid w:val="5F942D12"/>
    <w:rsid w:val="5F993701"/>
    <w:rsid w:val="5F9A1BE7"/>
    <w:rsid w:val="5FA169F3"/>
    <w:rsid w:val="5FC62757"/>
    <w:rsid w:val="5FCB65D1"/>
    <w:rsid w:val="5FCD3422"/>
    <w:rsid w:val="5FCD3B2E"/>
    <w:rsid w:val="5FCD6983"/>
    <w:rsid w:val="5FCF78A6"/>
    <w:rsid w:val="5FD96977"/>
    <w:rsid w:val="5FD9740D"/>
    <w:rsid w:val="5FE1582B"/>
    <w:rsid w:val="5FF41083"/>
    <w:rsid w:val="5FFB4B3F"/>
    <w:rsid w:val="60010F8B"/>
    <w:rsid w:val="600B3FA8"/>
    <w:rsid w:val="600F4147"/>
    <w:rsid w:val="601E7018"/>
    <w:rsid w:val="601F7C49"/>
    <w:rsid w:val="602F2A3B"/>
    <w:rsid w:val="60360599"/>
    <w:rsid w:val="603718EF"/>
    <w:rsid w:val="60375C04"/>
    <w:rsid w:val="60477D84"/>
    <w:rsid w:val="60487659"/>
    <w:rsid w:val="604B5C6A"/>
    <w:rsid w:val="605162FE"/>
    <w:rsid w:val="60680A3A"/>
    <w:rsid w:val="606F72DB"/>
    <w:rsid w:val="60716BAF"/>
    <w:rsid w:val="607448F1"/>
    <w:rsid w:val="60852D39"/>
    <w:rsid w:val="608E3BBA"/>
    <w:rsid w:val="609B59DA"/>
    <w:rsid w:val="609D6656"/>
    <w:rsid w:val="60A864A6"/>
    <w:rsid w:val="60AE7E03"/>
    <w:rsid w:val="60B943AA"/>
    <w:rsid w:val="60BD125B"/>
    <w:rsid w:val="60BF4491"/>
    <w:rsid w:val="60C44A1B"/>
    <w:rsid w:val="60CB30A1"/>
    <w:rsid w:val="60D05B60"/>
    <w:rsid w:val="60D31618"/>
    <w:rsid w:val="60D61108"/>
    <w:rsid w:val="60DA0809"/>
    <w:rsid w:val="60DD2497"/>
    <w:rsid w:val="60E62632"/>
    <w:rsid w:val="60F2357F"/>
    <w:rsid w:val="60FC3D67"/>
    <w:rsid w:val="60FF240D"/>
    <w:rsid w:val="61096DE8"/>
    <w:rsid w:val="610E2987"/>
    <w:rsid w:val="61100C48"/>
    <w:rsid w:val="61125143"/>
    <w:rsid w:val="6115578D"/>
    <w:rsid w:val="61243C22"/>
    <w:rsid w:val="61442516"/>
    <w:rsid w:val="614A6502"/>
    <w:rsid w:val="614B7400"/>
    <w:rsid w:val="614C4F26"/>
    <w:rsid w:val="61504A17"/>
    <w:rsid w:val="6171498D"/>
    <w:rsid w:val="617701F5"/>
    <w:rsid w:val="61866A88"/>
    <w:rsid w:val="618D7A19"/>
    <w:rsid w:val="61905107"/>
    <w:rsid w:val="61944750"/>
    <w:rsid w:val="6198016C"/>
    <w:rsid w:val="61A628E6"/>
    <w:rsid w:val="61A813C7"/>
    <w:rsid w:val="61CE060A"/>
    <w:rsid w:val="61D03DA9"/>
    <w:rsid w:val="61D3043D"/>
    <w:rsid w:val="61D513C0"/>
    <w:rsid w:val="61D93B16"/>
    <w:rsid w:val="61DF27EB"/>
    <w:rsid w:val="61E41603"/>
    <w:rsid w:val="61EA6C19"/>
    <w:rsid w:val="61F45CEA"/>
    <w:rsid w:val="61F71336"/>
    <w:rsid w:val="62023A59"/>
    <w:rsid w:val="620361E6"/>
    <w:rsid w:val="62233ED9"/>
    <w:rsid w:val="62380807"/>
    <w:rsid w:val="6239194F"/>
    <w:rsid w:val="623F6839"/>
    <w:rsid w:val="62476747"/>
    <w:rsid w:val="6248393C"/>
    <w:rsid w:val="624F0412"/>
    <w:rsid w:val="62500A46"/>
    <w:rsid w:val="62586279"/>
    <w:rsid w:val="62685D39"/>
    <w:rsid w:val="627C183B"/>
    <w:rsid w:val="627E0221"/>
    <w:rsid w:val="627E58D1"/>
    <w:rsid w:val="62906DF2"/>
    <w:rsid w:val="629372B1"/>
    <w:rsid w:val="62A3326C"/>
    <w:rsid w:val="62A432B2"/>
    <w:rsid w:val="62A64C83"/>
    <w:rsid w:val="62AD7C47"/>
    <w:rsid w:val="62AF7E63"/>
    <w:rsid w:val="62B334AF"/>
    <w:rsid w:val="62B405F4"/>
    <w:rsid w:val="62C81D9D"/>
    <w:rsid w:val="62F13FD7"/>
    <w:rsid w:val="62F37D50"/>
    <w:rsid w:val="62F53AC8"/>
    <w:rsid w:val="62F91598"/>
    <w:rsid w:val="63112D6F"/>
    <w:rsid w:val="631F10F1"/>
    <w:rsid w:val="632919C3"/>
    <w:rsid w:val="63293771"/>
    <w:rsid w:val="63304C32"/>
    <w:rsid w:val="633B389C"/>
    <w:rsid w:val="633F2F95"/>
    <w:rsid w:val="63414F5F"/>
    <w:rsid w:val="63615846"/>
    <w:rsid w:val="63624ED5"/>
    <w:rsid w:val="63732C3E"/>
    <w:rsid w:val="6382143C"/>
    <w:rsid w:val="638304BF"/>
    <w:rsid w:val="638D21B6"/>
    <w:rsid w:val="63AF0C1D"/>
    <w:rsid w:val="63B212A3"/>
    <w:rsid w:val="63B81EA3"/>
    <w:rsid w:val="63CD67F3"/>
    <w:rsid w:val="63D57455"/>
    <w:rsid w:val="63DF2082"/>
    <w:rsid w:val="63E1229E"/>
    <w:rsid w:val="63E91153"/>
    <w:rsid w:val="63EB53B8"/>
    <w:rsid w:val="63FB2F12"/>
    <w:rsid w:val="64030466"/>
    <w:rsid w:val="64065DAD"/>
    <w:rsid w:val="64144421"/>
    <w:rsid w:val="641E2BAA"/>
    <w:rsid w:val="641F2BD9"/>
    <w:rsid w:val="642215E4"/>
    <w:rsid w:val="642A6EA0"/>
    <w:rsid w:val="643D394E"/>
    <w:rsid w:val="64497D26"/>
    <w:rsid w:val="644E46BB"/>
    <w:rsid w:val="644F5459"/>
    <w:rsid w:val="6470717E"/>
    <w:rsid w:val="6477050C"/>
    <w:rsid w:val="64843DBE"/>
    <w:rsid w:val="648A5A02"/>
    <w:rsid w:val="64990483"/>
    <w:rsid w:val="649B41FB"/>
    <w:rsid w:val="64AA73FA"/>
    <w:rsid w:val="64AE1BE5"/>
    <w:rsid w:val="64C25C2B"/>
    <w:rsid w:val="64C319A4"/>
    <w:rsid w:val="64CD4A1B"/>
    <w:rsid w:val="64CF20F6"/>
    <w:rsid w:val="64D616D7"/>
    <w:rsid w:val="64D911C7"/>
    <w:rsid w:val="64E2007C"/>
    <w:rsid w:val="64EF09EB"/>
    <w:rsid w:val="65094348"/>
    <w:rsid w:val="650F4BE9"/>
    <w:rsid w:val="650F5365"/>
    <w:rsid w:val="652561BA"/>
    <w:rsid w:val="654E74BF"/>
    <w:rsid w:val="65526CAC"/>
    <w:rsid w:val="65556AA0"/>
    <w:rsid w:val="65576420"/>
    <w:rsid w:val="65646CE3"/>
    <w:rsid w:val="656A1E1F"/>
    <w:rsid w:val="656E5554"/>
    <w:rsid w:val="656E5DB3"/>
    <w:rsid w:val="657F6EA6"/>
    <w:rsid w:val="6587477F"/>
    <w:rsid w:val="6588652E"/>
    <w:rsid w:val="659375C8"/>
    <w:rsid w:val="65A45FAB"/>
    <w:rsid w:val="65B53D05"/>
    <w:rsid w:val="65D11090"/>
    <w:rsid w:val="65D11E9E"/>
    <w:rsid w:val="65DD14E3"/>
    <w:rsid w:val="65EA165F"/>
    <w:rsid w:val="65EB2F60"/>
    <w:rsid w:val="65F56D4E"/>
    <w:rsid w:val="660109D5"/>
    <w:rsid w:val="66127EE8"/>
    <w:rsid w:val="66171FA7"/>
    <w:rsid w:val="661C136B"/>
    <w:rsid w:val="66216982"/>
    <w:rsid w:val="663D46DE"/>
    <w:rsid w:val="664E34EF"/>
    <w:rsid w:val="665054B9"/>
    <w:rsid w:val="665B7AF0"/>
    <w:rsid w:val="665D1B75"/>
    <w:rsid w:val="665E7BD6"/>
    <w:rsid w:val="66611474"/>
    <w:rsid w:val="6662369D"/>
    <w:rsid w:val="666F0644"/>
    <w:rsid w:val="66707909"/>
    <w:rsid w:val="66744448"/>
    <w:rsid w:val="667D0EC2"/>
    <w:rsid w:val="6683763C"/>
    <w:rsid w:val="668D3ADB"/>
    <w:rsid w:val="66951D35"/>
    <w:rsid w:val="66A163D8"/>
    <w:rsid w:val="66B43C9A"/>
    <w:rsid w:val="66B71CED"/>
    <w:rsid w:val="66BB6DD6"/>
    <w:rsid w:val="66C35C8B"/>
    <w:rsid w:val="66C8504F"/>
    <w:rsid w:val="66CA526B"/>
    <w:rsid w:val="66DB7CDB"/>
    <w:rsid w:val="66F9345B"/>
    <w:rsid w:val="66FB3677"/>
    <w:rsid w:val="66FD5A65"/>
    <w:rsid w:val="67003B54"/>
    <w:rsid w:val="670818F0"/>
    <w:rsid w:val="67121EF7"/>
    <w:rsid w:val="671604B0"/>
    <w:rsid w:val="67206C39"/>
    <w:rsid w:val="672E3820"/>
    <w:rsid w:val="673746D4"/>
    <w:rsid w:val="67380DB8"/>
    <w:rsid w:val="675C6581"/>
    <w:rsid w:val="675D60DF"/>
    <w:rsid w:val="676F31A3"/>
    <w:rsid w:val="67713939"/>
    <w:rsid w:val="6777620D"/>
    <w:rsid w:val="678278F4"/>
    <w:rsid w:val="67905EA8"/>
    <w:rsid w:val="679F6D89"/>
    <w:rsid w:val="67A61834"/>
    <w:rsid w:val="67A71109"/>
    <w:rsid w:val="67AE06E9"/>
    <w:rsid w:val="67B42289"/>
    <w:rsid w:val="67C03F80"/>
    <w:rsid w:val="67C717AB"/>
    <w:rsid w:val="67CE0D8B"/>
    <w:rsid w:val="67D2796C"/>
    <w:rsid w:val="67E40578"/>
    <w:rsid w:val="67E55BD4"/>
    <w:rsid w:val="67E67E83"/>
    <w:rsid w:val="67F03181"/>
    <w:rsid w:val="67FC4329"/>
    <w:rsid w:val="68062CE5"/>
    <w:rsid w:val="680E2BE4"/>
    <w:rsid w:val="68120C78"/>
    <w:rsid w:val="681D13CB"/>
    <w:rsid w:val="68324E76"/>
    <w:rsid w:val="683A3D2B"/>
    <w:rsid w:val="68560735"/>
    <w:rsid w:val="685867F1"/>
    <w:rsid w:val="686139AD"/>
    <w:rsid w:val="68680898"/>
    <w:rsid w:val="686A4E5E"/>
    <w:rsid w:val="686F60CA"/>
    <w:rsid w:val="6873660F"/>
    <w:rsid w:val="687A4A6F"/>
    <w:rsid w:val="687E4556"/>
    <w:rsid w:val="688A4CB2"/>
    <w:rsid w:val="688D02FE"/>
    <w:rsid w:val="688D0E96"/>
    <w:rsid w:val="689A7743"/>
    <w:rsid w:val="68AF64C7"/>
    <w:rsid w:val="68B95597"/>
    <w:rsid w:val="68BB7BDF"/>
    <w:rsid w:val="68BB7BE4"/>
    <w:rsid w:val="68C161FA"/>
    <w:rsid w:val="68C53F3C"/>
    <w:rsid w:val="68CD10C6"/>
    <w:rsid w:val="68D44E3A"/>
    <w:rsid w:val="68E41A1C"/>
    <w:rsid w:val="68ED3979"/>
    <w:rsid w:val="68F0163A"/>
    <w:rsid w:val="68F24190"/>
    <w:rsid w:val="68F465CF"/>
    <w:rsid w:val="69077CA0"/>
    <w:rsid w:val="690F3409"/>
    <w:rsid w:val="691F2F2C"/>
    <w:rsid w:val="692549DB"/>
    <w:rsid w:val="69256789"/>
    <w:rsid w:val="69272501"/>
    <w:rsid w:val="69290C44"/>
    <w:rsid w:val="693115D2"/>
    <w:rsid w:val="69347E90"/>
    <w:rsid w:val="693E784B"/>
    <w:rsid w:val="69450BD9"/>
    <w:rsid w:val="694C6293"/>
    <w:rsid w:val="69581327"/>
    <w:rsid w:val="69602F2B"/>
    <w:rsid w:val="69605A13"/>
    <w:rsid w:val="696324F7"/>
    <w:rsid w:val="6974326C"/>
    <w:rsid w:val="69746085"/>
    <w:rsid w:val="69777AD4"/>
    <w:rsid w:val="697B2A2E"/>
    <w:rsid w:val="697F6718"/>
    <w:rsid w:val="69945B39"/>
    <w:rsid w:val="699658D9"/>
    <w:rsid w:val="69A051AF"/>
    <w:rsid w:val="69B3632C"/>
    <w:rsid w:val="69BB0E9B"/>
    <w:rsid w:val="69BD5301"/>
    <w:rsid w:val="69CC30A8"/>
    <w:rsid w:val="69DE06F9"/>
    <w:rsid w:val="69DF2DDC"/>
    <w:rsid w:val="69DF4464"/>
    <w:rsid w:val="69E64C01"/>
    <w:rsid w:val="69F30635"/>
    <w:rsid w:val="69F61ED3"/>
    <w:rsid w:val="6A0960AB"/>
    <w:rsid w:val="6A136F29"/>
    <w:rsid w:val="6A162576"/>
    <w:rsid w:val="6A243740"/>
    <w:rsid w:val="6A243F95"/>
    <w:rsid w:val="6A2D4E44"/>
    <w:rsid w:val="6A425119"/>
    <w:rsid w:val="6A4C059E"/>
    <w:rsid w:val="6A521800"/>
    <w:rsid w:val="6A575068"/>
    <w:rsid w:val="6A631842"/>
    <w:rsid w:val="6A682DD1"/>
    <w:rsid w:val="6A7E184D"/>
    <w:rsid w:val="6A863137"/>
    <w:rsid w:val="6A8E338E"/>
    <w:rsid w:val="6AAB1C27"/>
    <w:rsid w:val="6ABC311D"/>
    <w:rsid w:val="6AC124E1"/>
    <w:rsid w:val="6AC16985"/>
    <w:rsid w:val="6AC83870"/>
    <w:rsid w:val="6ACA3AA9"/>
    <w:rsid w:val="6ADD27AC"/>
    <w:rsid w:val="6AEB3408"/>
    <w:rsid w:val="6AF677AE"/>
    <w:rsid w:val="6B0B19AE"/>
    <w:rsid w:val="6B286A04"/>
    <w:rsid w:val="6B43739A"/>
    <w:rsid w:val="6B4A7CBE"/>
    <w:rsid w:val="6B5949F9"/>
    <w:rsid w:val="6B80239C"/>
    <w:rsid w:val="6B8C5A35"/>
    <w:rsid w:val="6B9A5EED"/>
    <w:rsid w:val="6BA50055"/>
    <w:rsid w:val="6BA7549A"/>
    <w:rsid w:val="6BAD2A66"/>
    <w:rsid w:val="6BB65DBE"/>
    <w:rsid w:val="6BB87D88"/>
    <w:rsid w:val="6BB93723"/>
    <w:rsid w:val="6BCE55A5"/>
    <w:rsid w:val="6BFB7C75"/>
    <w:rsid w:val="6C1B20C5"/>
    <w:rsid w:val="6C2076DB"/>
    <w:rsid w:val="6C276CBC"/>
    <w:rsid w:val="6C295773"/>
    <w:rsid w:val="6C2B055A"/>
    <w:rsid w:val="6C355FC2"/>
    <w:rsid w:val="6C4B29AA"/>
    <w:rsid w:val="6C612740"/>
    <w:rsid w:val="6C621FDF"/>
    <w:rsid w:val="6C643328"/>
    <w:rsid w:val="6C6770B8"/>
    <w:rsid w:val="6C92309E"/>
    <w:rsid w:val="6C96076E"/>
    <w:rsid w:val="6CB0280D"/>
    <w:rsid w:val="6CCD7CDC"/>
    <w:rsid w:val="6CD429A0"/>
    <w:rsid w:val="6CDC7AA6"/>
    <w:rsid w:val="6CE0012B"/>
    <w:rsid w:val="6CE13030"/>
    <w:rsid w:val="6CE81FA7"/>
    <w:rsid w:val="6CEA21C3"/>
    <w:rsid w:val="6D051DCD"/>
    <w:rsid w:val="6D1A237D"/>
    <w:rsid w:val="6D3276C6"/>
    <w:rsid w:val="6D3451EC"/>
    <w:rsid w:val="6D3671B7"/>
    <w:rsid w:val="6D377E87"/>
    <w:rsid w:val="6D436027"/>
    <w:rsid w:val="6D597A48"/>
    <w:rsid w:val="6D6C0E2A"/>
    <w:rsid w:val="6D872C29"/>
    <w:rsid w:val="6D8817BB"/>
    <w:rsid w:val="6D97577B"/>
    <w:rsid w:val="6DA034D0"/>
    <w:rsid w:val="6DA93E2C"/>
    <w:rsid w:val="6DAC7479"/>
    <w:rsid w:val="6DE20975"/>
    <w:rsid w:val="6DE94229"/>
    <w:rsid w:val="6DF3151E"/>
    <w:rsid w:val="6E09799D"/>
    <w:rsid w:val="6E0B0643"/>
    <w:rsid w:val="6E1119D2"/>
    <w:rsid w:val="6E1135D0"/>
    <w:rsid w:val="6E1D3ED3"/>
    <w:rsid w:val="6E3631E6"/>
    <w:rsid w:val="6E3A4A84"/>
    <w:rsid w:val="6E3D27C7"/>
    <w:rsid w:val="6E46167B"/>
    <w:rsid w:val="6E492F1A"/>
    <w:rsid w:val="6E4B4EE4"/>
    <w:rsid w:val="6E5C0E9F"/>
    <w:rsid w:val="6E661D1D"/>
    <w:rsid w:val="6E6F2DDF"/>
    <w:rsid w:val="6E755ABD"/>
    <w:rsid w:val="6E804461"/>
    <w:rsid w:val="6E8201DA"/>
    <w:rsid w:val="6E8E6B7E"/>
    <w:rsid w:val="6E922B12"/>
    <w:rsid w:val="6E97429C"/>
    <w:rsid w:val="6E985C4F"/>
    <w:rsid w:val="6E991F9F"/>
    <w:rsid w:val="6EAF13F1"/>
    <w:rsid w:val="6EB32A89"/>
    <w:rsid w:val="6EB42D97"/>
    <w:rsid w:val="6EBB317A"/>
    <w:rsid w:val="6ED7428C"/>
    <w:rsid w:val="6EDF387E"/>
    <w:rsid w:val="6EE36ECA"/>
    <w:rsid w:val="6EE45E2F"/>
    <w:rsid w:val="6EF4232C"/>
    <w:rsid w:val="6EFB6F35"/>
    <w:rsid w:val="6F094457"/>
    <w:rsid w:val="6F0D3F9D"/>
    <w:rsid w:val="6F131548"/>
    <w:rsid w:val="6F1A5B44"/>
    <w:rsid w:val="6F2B0871"/>
    <w:rsid w:val="6F2D45E9"/>
    <w:rsid w:val="6F31130E"/>
    <w:rsid w:val="6F321C00"/>
    <w:rsid w:val="6F3D1B3D"/>
    <w:rsid w:val="6F423BD4"/>
    <w:rsid w:val="6F543924"/>
    <w:rsid w:val="6F5E47A3"/>
    <w:rsid w:val="6F675D4D"/>
    <w:rsid w:val="6F6F5585"/>
    <w:rsid w:val="6F742218"/>
    <w:rsid w:val="6F7D3720"/>
    <w:rsid w:val="6F7F29CE"/>
    <w:rsid w:val="6F8C7562"/>
    <w:rsid w:val="6F946416"/>
    <w:rsid w:val="6F9D65B5"/>
    <w:rsid w:val="6FA81EC2"/>
    <w:rsid w:val="6FA82F0C"/>
    <w:rsid w:val="6FAA5C3A"/>
    <w:rsid w:val="6FAC4AE7"/>
    <w:rsid w:val="6FAD7866"/>
    <w:rsid w:val="6FAF19A5"/>
    <w:rsid w:val="6FB46AB9"/>
    <w:rsid w:val="6FC36CFC"/>
    <w:rsid w:val="6FC87D72"/>
    <w:rsid w:val="6FCE1C7C"/>
    <w:rsid w:val="6FD74555"/>
    <w:rsid w:val="6FE13550"/>
    <w:rsid w:val="6FE949B4"/>
    <w:rsid w:val="6FED1970"/>
    <w:rsid w:val="6FEE04AD"/>
    <w:rsid w:val="6FFE7D34"/>
    <w:rsid w:val="700618B7"/>
    <w:rsid w:val="701E15E0"/>
    <w:rsid w:val="70294DB1"/>
    <w:rsid w:val="702E4EC4"/>
    <w:rsid w:val="70390390"/>
    <w:rsid w:val="704143DA"/>
    <w:rsid w:val="704D24DE"/>
    <w:rsid w:val="705838E8"/>
    <w:rsid w:val="705A7660"/>
    <w:rsid w:val="705B4B57"/>
    <w:rsid w:val="70626515"/>
    <w:rsid w:val="70670F67"/>
    <w:rsid w:val="706F478E"/>
    <w:rsid w:val="707A0C11"/>
    <w:rsid w:val="707C55FA"/>
    <w:rsid w:val="707E3A8B"/>
    <w:rsid w:val="70853FB1"/>
    <w:rsid w:val="708A27DA"/>
    <w:rsid w:val="709541F4"/>
    <w:rsid w:val="70A40B05"/>
    <w:rsid w:val="70BB3A5A"/>
    <w:rsid w:val="70D171F6"/>
    <w:rsid w:val="70E92792"/>
    <w:rsid w:val="70EB1802"/>
    <w:rsid w:val="70F25AEA"/>
    <w:rsid w:val="70F353BF"/>
    <w:rsid w:val="71055060"/>
    <w:rsid w:val="71066EA0"/>
    <w:rsid w:val="710F7167"/>
    <w:rsid w:val="71240B99"/>
    <w:rsid w:val="712541F9"/>
    <w:rsid w:val="71280A92"/>
    <w:rsid w:val="713A123F"/>
    <w:rsid w:val="7148570A"/>
    <w:rsid w:val="714F6012"/>
    <w:rsid w:val="71520337"/>
    <w:rsid w:val="715D30C9"/>
    <w:rsid w:val="716408AF"/>
    <w:rsid w:val="716F0EE9"/>
    <w:rsid w:val="71791D68"/>
    <w:rsid w:val="719721EE"/>
    <w:rsid w:val="719B1CDE"/>
    <w:rsid w:val="719C7804"/>
    <w:rsid w:val="71A60683"/>
    <w:rsid w:val="71AB6D53"/>
    <w:rsid w:val="71AC3558"/>
    <w:rsid w:val="71AD1A11"/>
    <w:rsid w:val="71CF615B"/>
    <w:rsid w:val="71DE7A31"/>
    <w:rsid w:val="71E52F59"/>
    <w:rsid w:val="71FB425F"/>
    <w:rsid w:val="72121874"/>
    <w:rsid w:val="722F3F82"/>
    <w:rsid w:val="723D56CC"/>
    <w:rsid w:val="72415A14"/>
    <w:rsid w:val="72485159"/>
    <w:rsid w:val="724D6043"/>
    <w:rsid w:val="72541E8D"/>
    <w:rsid w:val="725A344F"/>
    <w:rsid w:val="72604CD6"/>
    <w:rsid w:val="72730565"/>
    <w:rsid w:val="727662A7"/>
    <w:rsid w:val="729055BB"/>
    <w:rsid w:val="7295002F"/>
    <w:rsid w:val="72952BD1"/>
    <w:rsid w:val="72987FCC"/>
    <w:rsid w:val="729A0541"/>
    <w:rsid w:val="72A5093A"/>
    <w:rsid w:val="72AE7D4E"/>
    <w:rsid w:val="72B160BD"/>
    <w:rsid w:val="72BF7C4E"/>
    <w:rsid w:val="72C67139"/>
    <w:rsid w:val="72CA42B1"/>
    <w:rsid w:val="72CD11DC"/>
    <w:rsid w:val="72D51220"/>
    <w:rsid w:val="72DB26CC"/>
    <w:rsid w:val="72DC25AE"/>
    <w:rsid w:val="72E256EB"/>
    <w:rsid w:val="72EC141F"/>
    <w:rsid w:val="72EF522E"/>
    <w:rsid w:val="72F07E08"/>
    <w:rsid w:val="72F62F44"/>
    <w:rsid w:val="72FF4921"/>
    <w:rsid w:val="73025D8D"/>
    <w:rsid w:val="73171838"/>
    <w:rsid w:val="732D105C"/>
    <w:rsid w:val="732D2E0A"/>
    <w:rsid w:val="733D0B73"/>
    <w:rsid w:val="734939BC"/>
    <w:rsid w:val="734A7519"/>
    <w:rsid w:val="734D5991"/>
    <w:rsid w:val="734E051D"/>
    <w:rsid w:val="734F2506"/>
    <w:rsid w:val="735754B8"/>
    <w:rsid w:val="73644352"/>
    <w:rsid w:val="73691968"/>
    <w:rsid w:val="736F3422"/>
    <w:rsid w:val="737F7E2B"/>
    <w:rsid w:val="73800FFA"/>
    <w:rsid w:val="739F3AF2"/>
    <w:rsid w:val="73A31E32"/>
    <w:rsid w:val="73AF1A71"/>
    <w:rsid w:val="73B9054F"/>
    <w:rsid w:val="73BC5F3C"/>
    <w:rsid w:val="73C179F6"/>
    <w:rsid w:val="73CF5C6F"/>
    <w:rsid w:val="73E01C2A"/>
    <w:rsid w:val="73E444BF"/>
    <w:rsid w:val="73E5717F"/>
    <w:rsid w:val="73F41B79"/>
    <w:rsid w:val="74082F2F"/>
    <w:rsid w:val="74152900"/>
    <w:rsid w:val="74300102"/>
    <w:rsid w:val="74344F85"/>
    <w:rsid w:val="7436513C"/>
    <w:rsid w:val="74381E70"/>
    <w:rsid w:val="744D4DE6"/>
    <w:rsid w:val="746C0E4C"/>
    <w:rsid w:val="74746816"/>
    <w:rsid w:val="747B0028"/>
    <w:rsid w:val="74806F69"/>
    <w:rsid w:val="748979DC"/>
    <w:rsid w:val="748F53FE"/>
    <w:rsid w:val="74A60DD6"/>
    <w:rsid w:val="74A67D0F"/>
    <w:rsid w:val="74AB105C"/>
    <w:rsid w:val="74AB66DC"/>
    <w:rsid w:val="74AE3AD6"/>
    <w:rsid w:val="74AF784E"/>
    <w:rsid w:val="74B9247B"/>
    <w:rsid w:val="74BA5640"/>
    <w:rsid w:val="74E10411"/>
    <w:rsid w:val="74F3598D"/>
    <w:rsid w:val="74F963F6"/>
    <w:rsid w:val="74FE524A"/>
    <w:rsid w:val="750477ED"/>
    <w:rsid w:val="750E27C7"/>
    <w:rsid w:val="751002ED"/>
    <w:rsid w:val="751148E0"/>
    <w:rsid w:val="75124817"/>
    <w:rsid w:val="751678CE"/>
    <w:rsid w:val="75202800"/>
    <w:rsid w:val="75220020"/>
    <w:rsid w:val="75237113"/>
    <w:rsid w:val="75271ADB"/>
    <w:rsid w:val="752E193A"/>
    <w:rsid w:val="753162C4"/>
    <w:rsid w:val="754937FF"/>
    <w:rsid w:val="7555324A"/>
    <w:rsid w:val="75637383"/>
    <w:rsid w:val="75840CDB"/>
    <w:rsid w:val="758D5DE2"/>
    <w:rsid w:val="759058D2"/>
    <w:rsid w:val="759E0F0F"/>
    <w:rsid w:val="759E1D9D"/>
    <w:rsid w:val="75A34979"/>
    <w:rsid w:val="75C116C2"/>
    <w:rsid w:val="75C3416E"/>
    <w:rsid w:val="75C35E7A"/>
    <w:rsid w:val="75C8506C"/>
    <w:rsid w:val="75D94B83"/>
    <w:rsid w:val="75E24302"/>
    <w:rsid w:val="75E55C1E"/>
    <w:rsid w:val="75EF43A6"/>
    <w:rsid w:val="75FE0A8D"/>
    <w:rsid w:val="75FF646C"/>
    <w:rsid w:val="76045978"/>
    <w:rsid w:val="760C31EA"/>
    <w:rsid w:val="761E6E1B"/>
    <w:rsid w:val="76245223"/>
    <w:rsid w:val="76297D24"/>
    <w:rsid w:val="762E2C52"/>
    <w:rsid w:val="763149BF"/>
    <w:rsid w:val="76345587"/>
    <w:rsid w:val="76422F15"/>
    <w:rsid w:val="7675496D"/>
    <w:rsid w:val="767945B8"/>
    <w:rsid w:val="767B6800"/>
    <w:rsid w:val="76830F93"/>
    <w:rsid w:val="768676A8"/>
    <w:rsid w:val="7687280F"/>
    <w:rsid w:val="76872E8E"/>
    <w:rsid w:val="76897ADF"/>
    <w:rsid w:val="76911902"/>
    <w:rsid w:val="76942E60"/>
    <w:rsid w:val="76A2766B"/>
    <w:rsid w:val="76A35191"/>
    <w:rsid w:val="76A553AD"/>
    <w:rsid w:val="76B9692E"/>
    <w:rsid w:val="76C83D53"/>
    <w:rsid w:val="76C96D7D"/>
    <w:rsid w:val="76CF41D8"/>
    <w:rsid w:val="76DC1B20"/>
    <w:rsid w:val="76DE41F1"/>
    <w:rsid w:val="76EF7C2E"/>
    <w:rsid w:val="76F55C40"/>
    <w:rsid w:val="770C71DA"/>
    <w:rsid w:val="77167266"/>
    <w:rsid w:val="77185B7F"/>
    <w:rsid w:val="77205ABA"/>
    <w:rsid w:val="77246743"/>
    <w:rsid w:val="772B7660"/>
    <w:rsid w:val="77304C77"/>
    <w:rsid w:val="774249AA"/>
    <w:rsid w:val="77495D38"/>
    <w:rsid w:val="774C5829"/>
    <w:rsid w:val="7750356B"/>
    <w:rsid w:val="7750578C"/>
    <w:rsid w:val="7751255B"/>
    <w:rsid w:val="775841CD"/>
    <w:rsid w:val="77731007"/>
    <w:rsid w:val="777A2396"/>
    <w:rsid w:val="777D4A5A"/>
    <w:rsid w:val="7782124A"/>
    <w:rsid w:val="77860D3A"/>
    <w:rsid w:val="778B6351"/>
    <w:rsid w:val="77933457"/>
    <w:rsid w:val="77935205"/>
    <w:rsid w:val="77953D6F"/>
    <w:rsid w:val="77AF64E3"/>
    <w:rsid w:val="77C875A5"/>
    <w:rsid w:val="77D57729"/>
    <w:rsid w:val="77E3618D"/>
    <w:rsid w:val="77E912C9"/>
    <w:rsid w:val="77EB3293"/>
    <w:rsid w:val="77F24A45"/>
    <w:rsid w:val="77F263D0"/>
    <w:rsid w:val="77FE2FC7"/>
    <w:rsid w:val="780B56E4"/>
    <w:rsid w:val="780C513D"/>
    <w:rsid w:val="781475F6"/>
    <w:rsid w:val="783148D8"/>
    <w:rsid w:val="78362761"/>
    <w:rsid w:val="783B3C00"/>
    <w:rsid w:val="784800F1"/>
    <w:rsid w:val="786C6EBD"/>
    <w:rsid w:val="78727511"/>
    <w:rsid w:val="787D3D29"/>
    <w:rsid w:val="78852CD7"/>
    <w:rsid w:val="78874D6A"/>
    <w:rsid w:val="78AF70A8"/>
    <w:rsid w:val="78B0328F"/>
    <w:rsid w:val="78CD31AA"/>
    <w:rsid w:val="78D855C6"/>
    <w:rsid w:val="78DE2D56"/>
    <w:rsid w:val="790F6B0E"/>
    <w:rsid w:val="79132AA2"/>
    <w:rsid w:val="79183C14"/>
    <w:rsid w:val="791E4FA3"/>
    <w:rsid w:val="79226841"/>
    <w:rsid w:val="7923202E"/>
    <w:rsid w:val="79256331"/>
    <w:rsid w:val="79326929"/>
    <w:rsid w:val="79330A4E"/>
    <w:rsid w:val="79332946"/>
    <w:rsid w:val="79490272"/>
    <w:rsid w:val="794B3FEA"/>
    <w:rsid w:val="794C38BE"/>
    <w:rsid w:val="795207AB"/>
    <w:rsid w:val="795C00BD"/>
    <w:rsid w:val="795D3D1D"/>
    <w:rsid w:val="795F4FDA"/>
    <w:rsid w:val="796414CB"/>
    <w:rsid w:val="797F31EC"/>
    <w:rsid w:val="7982496F"/>
    <w:rsid w:val="798D23B3"/>
    <w:rsid w:val="79907C4E"/>
    <w:rsid w:val="79986942"/>
    <w:rsid w:val="799A0ACD"/>
    <w:rsid w:val="799C4845"/>
    <w:rsid w:val="799F7E92"/>
    <w:rsid w:val="79A8143C"/>
    <w:rsid w:val="79A90D10"/>
    <w:rsid w:val="79ED75C8"/>
    <w:rsid w:val="79F75F20"/>
    <w:rsid w:val="79FD2E0A"/>
    <w:rsid w:val="7A0D5743"/>
    <w:rsid w:val="7A1E7A96"/>
    <w:rsid w:val="7A291E51"/>
    <w:rsid w:val="7A2B3E1B"/>
    <w:rsid w:val="7A351AB3"/>
    <w:rsid w:val="7A416F62"/>
    <w:rsid w:val="7A431D3E"/>
    <w:rsid w:val="7A5073DE"/>
    <w:rsid w:val="7A523156"/>
    <w:rsid w:val="7A5B2288"/>
    <w:rsid w:val="7A65732D"/>
    <w:rsid w:val="7A665D15"/>
    <w:rsid w:val="7A68367E"/>
    <w:rsid w:val="7A780D5D"/>
    <w:rsid w:val="7A8772A3"/>
    <w:rsid w:val="7AA54C5F"/>
    <w:rsid w:val="7AA634A2"/>
    <w:rsid w:val="7AB46BDC"/>
    <w:rsid w:val="7ABB2C05"/>
    <w:rsid w:val="7ABD2CC5"/>
    <w:rsid w:val="7ABE349D"/>
    <w:rsid w:val="7AC202DC"/>
    <w:rsid w:val="7AC801D7"/>
    <w:rsid w:val="7ACC0CD4"/>
    <w:rsid w:val="7AD1051F"/>
    <w:rsid w:val="7AD16935"/>
    <w:rsid w:val="7ADB1E82"/>
    <w:rsid w:val="7AF75AAB"/>
    <w:rsid w:val="7AF83CFD"/>
    <w:rsid w:val="7AFC7F7A"/>
    <w:rsid w:val="7AFE32DE"/>
    <w:rsid w:val="7B0408F4"/>
    <w:rsid w:val="7B0A2658"/>
    <w:rsid w:val="7B0D16A6"/>
    <w:rsid w:val="7B2A40D3"/>
    <w:rsid w:val="7B334D35"/>
    <w:rsid w:val="7B391059"/>
    <w:rsid w:val="7B4C5DF7"/>
    <w:rsid w:val="7B503B39"/>
    <w:rsid w:val="7B567A6A"/>
    <w:rsid w:val="7B5E3B44"/>
    <w:rsid w:val="7B63258C"/>
    <w:rsid w:val="7B6E0463"/>
    <w:rsid w:val="7B737828"/>
    <w:rsid w:val="7B7E2F31"/>
    <w:rsid w:val="7B902188"/>
    <w:rsid w:val="7B913163"/>
    <w:rsid w:val="7B9461AA"/>
    <w:rsid w:val="7B9F686F"/>
    <w:rsid w:val="7BB82CB9"/>
    <w:rsid w:val="7BBB4D2B"/>
    <w:rsid w:val="7BBC11CF"/>
    <w:rsid w:val="7BBD4F47"/>
    <w:rsid w:val="7BE904EF"/>
    <w:rsid w:val="7BEA5AB0"/>
    <w:rsid w:val="7BF42EE8"/>
    <w:rsid w:val="7C02295A"/>
    <w:rsid w:val="7C0251C7"/>
    <w:rsid w:val="7C077F70"/>
    <w:rsid w:val="7C0A75AC"/>
    <w:rsid w:val="7C0E2397"/>
    <w:rsid w:val="7C16387B"/>
    <w:rsid w:val="7C1A7CA3"/>
    <w:rsid w:val="7C1F52BA"/>
    <w:rsid w:val="7C2D0723"/>
    <w:rsid w:val="7C336FB7"/>
    <w:rsid w:val="7C3F3BAE"/>
    <w:rsid w:val="7C3F595C"/>
    <w:rsid w:val="7C407C76"/>
    <w:rsid w:val="7C492337"/>
    <w:rsid w:val="7C6B6751"/>
    <w:rsid w:val="7C7901E8"/>
    <w:rsid w:val="7C7970C0"/>
    <w:rsid w:val="7C825028"/>
    <w:rsid w:val="7C864E16"/>
    <w:rsid w:val="7C8A32C0"/>
    <w:rsid w:val="7C8B6DF3"/>
    <w:rsid w:val="7C947A56"/>
    <w:rsid w:val="7CB1685A"/>
    <w:rsid w:val="7CBC0DF1"/>
    <w:rsid w:val="7CBC5A04"/>
    <w:rsid w:val="7CCD4D16"/>
    <w:rsid w:val="7CDC31AB"/>
    <w:rsid w:val="7CE64029"/>
    <w:rsid w:val="7CE856D2"/>
    <w:rsid w:val="7D030CD1"/>
    <w:rsid w:val="7D0B583E"/>
    <w:rsid w:val="7D0D15B6"/>
    <w:rsid w:val="7D123FEA"/>
    <w:rsid w:val="7D1312C2"/>
    <w:rsid w:val="7D1666BD"/>
    <w:rsid w:val="7D1E092C"/>
    <w:rsid w:val="7D217A42"/>
    <w:rsid w:val="7D240E28"/>
    <w:rsid w:val="7D254B52"/>
    <w:rsid w:val="7D2A1961"/>
    <w:rsid w:val="7D2C77F0"/>
    <w:rsid w:val="7D33726F"/>
    <w:rsid w:val="7D376633"/>
    <w:rsid w:val="7D39684F"/>
    <w:rsid w:val="7D3A189F"/>
    <w:rsid w:val="7D4C5A01"/>
    <w:rsid w:val="7D4D1A81"/>
    <w:rsid w:val="7D4F0A19"/>
    <w:rsid w:val="7D584EB5"/>
    <w:rsid w:val="7D624662"/>
    <w:rsid w:val="7D6E0B58"/>
    <w:rsid w:val="7D7533C5"/>
    <w:rsid w:val="7D763BC4"/>
    <w:rsid w:val="7D787377"/>
    <w:rsid w:val="7D8822C0"/>
    <w:rsid w:val="7DB3215D"/>
    <w:rsid w:val="7DBB1012"/>
    <w:rsid w:val="7DBD122E"/>
    <w:rsid w:val="7DC57B72"/>
    <w:rsid w:val="7DCD2744"/>
    <w:rsid w:val="7DD726A0"/>
    <w:rsid w:val="7DE06CCB"/>
    <w:rsid w:val="7DED6109"/>
    <w:rsid w:val="7DF369FE"/>
    <w:rsid w:val="7DF90C0B"/>
    <w:rsid w:val="7E085123"/>
    <w:rsid w:val="7E0B1F99"/>
    <w:rsid w:val="7E130E4E"/>
    <w:rsid w:val="7E1916B1"/>
    <w:rsid w:val="7E1A042F"/>
    <w:rsid w:val="7E1B4BBF"/>
    <w:rsid w:val="7E1B6D74"/>
    <w:rsid w:val="7E3077EA"/>
    <w:rsid w:val="7E3A287F"/>
    <w:rsid w:val="7E421F1F"/>
    <w:rsid w:val="7E4B05E8"/>
    <w:rsid w:val="7E61605D"/>
    <w:rsid w:val="7E6873EC"/>
    <w:rsid w:val="7E6C2A49"/>
    <w:rsid w:val="7E8A3E00"/>
    <w:rsid w:val="7E9006F1"/>
    <w:rsid w:val="7EBB6A76"/>
    <w:rsid w:val="7EBC3219"/>
    <w:rsid w:val="7EC05C72"/>
    <w:rsid w:val="7EC34622"/>
    <w:rsid w:val="7EC5039A"/>
    <w:rsid w:val="7EE862A2"/>
    <w:rsid w:val="7EF10E69"/>
    <w:rsid w:val="7EF649F8"/>
    <w:rsid w:val="7EFE38AC"/>
    <w:rsid w:val="7F016EF9"/>
    <w:rsid w:val="7F037115"/>
    <w:rsid w:val="7F101EAE"/>
    <w:rsid w:val="7F2344A4"/>
    <w:rsid w:val="7F2F7F0A"/>
    <w:rsid w:val="7F3B162A"/>
    <w:rsid w:val="7F3E370A"/>
    <w:rsid w:val="7F4C3B7C"/>
    <w:rsid w:val="7F565496"/>
    <w:rsid w:val="7F634B75"/>
    <w:rsid w:val="7F6B78B1"/>
    <w:rsid w:val="7F6C6A68"/>
    <w:rsid w:val="7F770FF3"/>
    <w:rsid w:val="7F8A3392"/>
    <w:rsid w:val="7F8E3FB5"/>
    <w:rsid w:val="7F9D1317"/>
    <w:rsid w:val="7FA546E5"/>
    <w:rsid w:val="7FB328E9"/>
    <w:rsid w:val="7FB34697"/>
    <w:rsid w:val="7FBE053E"/>
    <w:rsid w:val="7FBE0A00"/>
    <w:rsid w:val="7FCB7C32"/>
    <w:rsid w:val="7FCD41AB"/>
    <w:rsid w:val="7FD10FC1"/>
    <w:rsid w:val="7FD22190"/>
    <w:rsid w:val="7FE518E6"/>
    <w:rsid w:val="7FE707E4"/>
    <w:rsid w:val="7FE728A3"/>
    <w:rsid w:val="7FF33FBC"/>
    <w:rsid w:val="7FF37189"/>
    <w:rsid w:val="7FFB7050"/>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9" w:semiHidden="0" w:name="heading 2"/>
    <w:lsdException w:qFormat="1" w:unhideWhenUsed="0" w:uiPriority="99" w:semiHidden="0" w:name="heading 3"/>
    <w:lsdException w:qFormat="1" w:unhideWhenUsed="0" w:uiPriority="9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qFormat="1" w:unhideWhenUsed="0" w:uiPriority="99" w:semiHidden="0" w:name="footnote text"/>
    <w:lsdException w:qFormat="1" w:unhideWhenUsed="0" w:uiPriority="99"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qFormat="1" w:unhideWhenUsed="0" w:uiPriority="0" w:semiHidden="0" w:name="List 2"/>
    <w:lsdException w:unhideWhenUsed="0" w:uiPriority="0" w:semiHidden="0" w:name="List 3"/>
    <w:lsdException w:qFormat="1" w:unhideWhenUsed="0" w:uiPriority="0" w:semiHidden="0" w:name="List 4"/>
    <w:lsdException w:qFormat="1"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qFormat="1" w:unhideWhenUsed="0" w:uiPriority="0" w:semiHidden="0" w:name="Plain Text"/>
    <w:lsdException w:unhideWhenUsed="0" w:uiPriority="0" w:semiHidden="0" w:name="E-mail Signature"/>
    <w:lsdException w:qFormat="1" w:unhideWhenUsed="0" w:uiPriority="0"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nhideWhenUsed="0" w:uiPriority="0" w:name="Normal Table"/>
    <w:lsdException w:qFormat="1" w:unhideWhenUsed="0" w:uiPriority="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99" w:name="Balloon Text"/>
    <w:lsdException w:qFormat="1" w:unhideWhenUsed="0" w:uiPriority="0" w:semiHidden="0" w:name="Table Grid"/>
    <w:lsdException w:unhideWhenUsed="0" w:uiPriority="0" w:semiHidden="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宋体" w:hAnsi="宋体" w:eastAsia="宋体" w:cs="宋体"/>
      <w:kern w:val="2"/>
      <w:sz w:val="21"/>
      <w:szCs w:val="24"/>
      <w:lang w:val="en-US" w:eastAsia="zh-CN" w:bidi="ar-SA"/>
    </w:rPr>
  </w:style>
  <w:style w:type="paragraph" w:styleId="4">
    <w:name w:val="heading 1"/>
    <w:basedOn w:val="1"/>
    <w:next w:val="1"/>
    <w:link w:val="52"/>
    <w:qFormat/>
    <w:uiPriority w:val="0"/>
    <w:pPr>
      <w:keepNext/>
      <w:keepLines/>
      <w:spacing w:line="360" w:lineRule="auto"/>
      <w:jc w:val="center"/>
      <w:outlineLvl w:val="0"/>
    </w:pPr>
    <w:rPr>
      <w:rFonts w:ascii="Times New Roman" w:hAnsi="Times New Roman" w:eastAsia="宋体"/>
      <w:b/>
      <w:kern w:val="44"/>
      <w:sz w:val="32"/>
      <w:szCs w:val="20"/>
    </w:rPr>
  </w:style>
  <w:style w:type="paragraph" w:styleId="5">
    <w:name w:val="heading 2"/>
    <w:basedOn w:val="1"/>
    <w:next w:val="1"/>
    <w:link w:val="53"/>
    <w:qFormat/>
    <w:uiPriority w:val="99"/>
    <w:pPr>
      <w:keepNext/>
      <w:keepLines/>
      <w:numPr>
        <w:ilvl w:val="1"/>
        <w:numId w:val="0"/>
      </w:numPr>
      <w:spacing w:line="360" w:lineRule="auto"/>
      <w:ind w:left="0" w:firstLine="0"/>
      <w:jc w:val="left"/>
      <w:outlineLvl w:val="1"/>
    </w:pPr>
    <w:rPr>
      <w:rFonts w:ascii="Arial" w:hAnsi="Arial" w:eastAsia="宋体"/>
      <w:b/>
      <w:sz w:val="24"/>
      <w:szCs w:val="20"/>
    </w:rPr>
  </w:style>
  <w:style w:type="paragraph" w:styleId="6">
    <w:name w:val="heading 3"/>
    <w:basedOn w:val="1"/>
    <w:next w:val="1"/>
    <w:link w:val="54"/>
    <w:qFormat/>
    <w:uiPriority w:val="99"/>
    <w:pPr>
      <w:keepNext/>
      <w:keepLines/>
      <w:spacing w:line="360" w:lineRule="auto"/>
      <w:jc w:val="left"/>
      <w:outlineLvl w:val="2"/>
    </w:pPr>
    <w:rPr>
      <w:rFonts w:ascii="宋体" w:hAnsi="宋体" w:cs="宋体"/>
      <w:b/>
      <w:szCs w:val="21"/>
    </w:rPr>
  </w:style>
  <w:style w:type="paragraph" w:styleId="7">
    <w:name w:val="heading 4"/>
    <w:basedOn w:val="1"/>
    <w:next w:val="1"/>
    <w:link w:val="55"/>
    <w:qFormat/>
    <w:uiPriority w:val="99"/>
    <w:pPr>
      <w:keepNext/>
      <w:outlineLvl w:val="3"/>
    </w:pPr>
    <w:rPr>
      <w:sz w:val="32"/>
      <w:szCs w:val="20"/>
    </w:rPr>
  </w:style>
  <w:style w:type="character" w:default="1" w:styleId="38">
    <w:name w:val="Default Paragraph Font"/>
    <w:semiHidden/>
    <w:qFormat/>
    <w:uiPriority w:val="0"/>
  </w:style>
  <w:style w:type="table" w:default="1" w:styleId="36">
    <w:name w:val="Normal Table"/>
    <w:semiHidden/>
    <w:qFormat/>
    <w:uiPriority w:val="0"/>
    <w:tblPr>
      <w:tblCellMar>
        <w:top w:w="0" w:type="dxa"/>
        <w:left w:w="108" w:type="dxa"/>
        <w:bottom w:w="0" w:type="dxa"/>
        <w:right w:w="108" w:type="dxa"/>
      </w:tblCellMar>
    </w:tblPr>
  </w:style>
  <w:style w:type="paragraph" w:styleId="2">
    <w:name w:val="Body Text First Indent"/>
    <w:basedOn w:val="3"/>
    <w:next w:val="1"/>
    <w:link w:val="67"/>
    <w:qFormat/>
    <w:uiPriority w:val="0"/>
    <w:pPr>
      <w:ind w:firstLine="420"/>
    </w:pPr>
    <w:rPr>
      <w:rFonts w:eastAsia="楷体_GB2312"/>
      <w:sz w:val="32"/>
      <w:szCs w:val="20"/>
    </w:rPr>
  </w:style>
  <w:style w:type="paragraph" w:styleId="3">
    <w:name w:val="Body Text"/>
    <w:basedOn w:val="1"/>
    <w:next w:val="1"/>
    <w:link w:val="57"/>
    <w:qFormat/>
    <w:uiPriority w:val="0"/>
    <w:pPr>
      <w:spacing w:after="120"/>
    </w:pPr>
  </w:style>
  <w:style w:type="paragraph" w:styleId="8">
    <w:name w:val="Normal Indent"/>
    <w:basedOn w:val="1"/>
    <w:qFormat/>
    <w:uiPriority w:val="0"/>
    <w:pPr>
      <w:ind w:firstLine="420"/>
    </w:pPr>
    <w:rPr>
      <w:szCs w:val="20"/>
    </w:rPr>
  </w:style>
  <w:style w:type="paragraph" w:styleId="9">
    <w:name w:val="caption"/>
    <w:basedOn w:val="1"/>
    <w:next w:val="1"/>
    <w:qFormat/>
    <w:uiPriority w:val="0"/>
    <w:rPr>
      <w:rFonts w:ascii="Cambria" w:hAnsi="Cambria" w:eastAsia="黑体"/>
      <w:sz w:val="20"/>
      <w:szCs w:val="20"/>
    </w:rPr>
  </w:style>
  <w:style w:type="paragraph" w:styleId="10">
    <w:name w:val="Document Map"/>
    <w:basedOn w:val="1"/>
    <w:semiHidden/>
    <w:qFormat/>
    <w:uiPriority w:val="0"/>
    <w:pPr>
      <w:shd w:val="clear" w:color="auto" w:fill="000080"/>
    </w:pPr>
  </w:style>
  <w:style w:type="paragraph" w:styleId="11">
    <w:name w:val="annotation text"/>
    <w:basedOn w:val="1"/>
    <w:link w:val="56"/>
    <w:semiHidden/>
    <w:qFormat/>
    <w:uiPriority w:val="99"/>
    <w:pPr>
      <w:jc w:val="left"/>
    </w:pPr>
  </w:style>
  <w:style w:type="paragraph" w:styleId="12">
    <w:name w:val="Body Text 3"/>
    <w:basedOn w:val="1"/>
    <w:qFormat/>
    <w:uiPriority w:val="0"/>
    <w:pPr>
      <w:spacing w:after="120"/>
    </w:pPr>
    <w:rPr>
      <w:sz w:val="16"/>
      <w:szCs w:val="16"/>
    </w:rPr>
  </w:style>
  <w:style w:type="paragraph" w:styleId="13">
    <w:name w:val="Body Text Indent"/>
    <w:basedOn w:val="1"/>
    <w:next w:val="1"/>
    <w:link w:val="59"/>
    <w:qFormat/>
    <w:uiPriority w:val="0"/>
    <w:pPr>
      <w:spacing w:after="120"/>
      <w:ind w:left="420" w:leftChars="200"/>
    </w:pPr>
  </w:style>
  <w:style w:type="paragraph" w:styleId="14">
    <w:name w:val="List 2"/>
    <w:basedOn w:val="1"/>
    <w:qFormat/>
    <w:uiPriority w:val="0"/>
    <w:pPr>
      <w:ind w:left="100" w:leftChars="200" w:hanging="200" w:hangingChars="200"/>
    </w:pPr>
  </w:style>
  <w:style w:type="paragraph" w:styleId="15">
    <w:name w:val="List Continue"/>
    <w:basedOn w:val="1"/>
    <w:qFormat/>
    <w:uiPriority w:val="0"/>
    <w:pPr>
      <w:spacing w:after="120"/>
      <w:ind w:left="420"/>
    </w:pPr>
    <w:rPr>
      <w:rFonts w:eastAsia="楷体_GB2312"/>
      <w:sz w:val="32"/>
      <w:szCs w:val="20"/>
    </w:rPr>
  </w:style>
  <w:style w:type="paragraph" w:styleId="16">
    <w:name w:val="toc 3"/>
    <w:basedOn w:val="1"/>
    <w:next w:val="1"/>
    <w:qFormat/>
    <w:uiPriority w:val="39"/>
    <w:pPr>
      <w:ind w:left="840" w:leftChars="400"/>
    </w:pPr>
  </w:style>
  <w:style w:type="paragraph" w:styleId="17">
    <w:name w:val="Plain Text"/>
    <w:basedOn w:val="1"/>
    <w:link w:val="60"/>
    <w:qFormat/>
    <w:uiPriority w:val="0"/>
    <w:rPr>
      <w:rFonts w:ascii="宋体" w:hAnsi="Courier New" w:cs="Courier New"/>
      <w:szCs w:val="21"/>
    </w:rPr>
  </w:style>
  <w:style w:type="paragraph" w:styleId="18">
    <w:name w:val="Date"/>
    <w:basedOn w:val="1"/>
    <w:next w:val="1"/>
    <w:link w:val="61"/>
    <w:qFormat/>
    <w:uiPriority w:val="0"/>
    <w:pPr>
      <w:adjustRightInd w:val="0"/>
      <w:spacing w:line="360" w:lineRule="atLeast"/>
      <w:textAlignment w:val="baseline"/>
    </w:pPr>
    <w:rPr>
      <w:kern w:val="0"/>
      <w:sz w:val="28"/>
      <w:szCs w:val="20"/>
    </w:rPr>
  </w:style>
  <w:style w:type="paragraph" w:styleId="19">
    <w:name w:val="Body Text Indent 2"/>
    <w:basedOn w:val="1"/>
    <w:link w:val="62"/>
    <w:qFormat/>
    <w:uiPriority w:val="0"/>
    <w:pPr>
      <w:spacing w:after="120" w:line="480" w:lineRule="auto"/>
      <w:ind w:left="420" w:leftChars="200"/>
    </w:pPr>
  </w:style>
  <w:style w:type="paragraph" w:styleId="20">
    <w:name w:val="Balloon Text"/>
    <w:basedOn w:val="1"/>
    <w:link w:val="63"/>
    <w:semiHidden/>
    <w:qFormat/>
    <w:uiPriority w:val="99"/>
    <w:rPr>
      <w:sz w:val="18"/>
      <w:szCs w:val="18"/>
    </w:rPr>
  </w:style>
  <w:style w:type="paragraph" w:styleId="21">
    <w:name w:val="footer"/>
    <w:basedOn w:val="1"/>
    <w:link w:val="64"/>
    <w:qFormat/>
    <w:uiPriority w:val="99"/>
    <w:pPr>
      <w:tabs>
        <w:tab w:val="center" w:pos="4153"/>
        <w:tab w:val="right" w:pos="8306"/>
      </w:tabs>
      <w:snapToGrid w:val="0"/>
      <w:jc w:val="left"/>
    </w:pPr>
    <w:rPr>
      <w:sz w:val="18"/>
      <w:szCs w:val="18"/>
    </w:rPr>
  </w:style>
  <w:style w:type="paragraph" w:styleId="22">
    <w:name w:val="header"/>
    <w:basedOn w:val="1"/>
    <w:link w:val="65"/>
    <w:qFormat/>
    <w:uiPriority w:val="99"/>
    <w:pPr>
      <w:pBdr>
        <w:bottom w:val="single" w:color="auto" w:sz="6" w:space="1"/>
      </w:pBdr>
      <w:tabs>
        <w:tab w:val="center" w:pos="4153"/>
        <w:tab w:val="right" w:pos="8306"/>
      </w:tabs>
      <w:snapToGrid w:val="0"/>
      <w:jc w:val="center"/>
    </w:pPr>
    <w:rPr>
      <w:sz w:val="18"/>
      <w:szCs w:val="18"/>
    </w:rPr>
  </w:style>
  <w:style w:type="paragraph" w:styleId="23">
    <w:name w:val="toc 1"/>
    <w:basedOn w:val="1"/>
    <w:next w:val="1"/>
    <w:qFormat/>
    <w:uiPriority w:val="39"/>
    <w:pPr>
      <w:tabs>
        <w:tab w:val="right" w:leader="dot" w:pos="8460"/>
      </w:tabs>
      <w:spacing w:line="360" w:lineRule="auto"/>
    </w:pPr>
    <w:rPr>
      <w:rFonts w:ascii="宋体" w:hAnsi="宋体" w:cs="宋体"/>
      <w:b/>
    </w:rPr>
  </w:style>
  <w:style w:type="paragraph" w:styleId="24">
    <w:name w:val="List"/>
    <w:basedOn w:val="1"/>
    <w:qFormat/>
    <w:uiPriority w:val="0"/>
    <w:pPr>
      <w:ind w:left="420" w:hanging="420"/>
    </w:pPr>
    <w:rPr>
      <w:rFonts w:eastAsia="楷体_GB2312"/>
      <w:sz w:val="32"/>
      <w:szCs w:val="20"/>
    </w:rPr>
  </w:style>
  <w:style w:type="paragraph" w:styleId="25">
    <w:name w:val="footnote text"/>
    <w:basedOn w:val="1"/>
    <w:qFormat/>
    <w:uiPriority w:val="99"/>
    <w:rPr>
      <w:sz w:val="20"/>
      <w:szCs w:val="20"/>
    </w:rPr>
  </w:style>
  <w:style w:type="paragraph" w:styleId="26">
    <w:name w:val="List 5"/>
    <w:basedOn w:val="1"/>
    <w:qFormat/>
    <w:uiPriority w:val="0"/>
    <w:pPr>
      <w:ind w:left="2100" w:hanging="420"/>
    </w:pPr>
    <w:rPr>
      <w:rFonts w:eastAsia="楷体_GB2312"/>
      <w:sz w:val="32"/>
      <w:szCs w:val="20"/>
    </w:rPr>
  </w:style>
  <w:style w:type="paragraph" w:styleId="27">
    <w:name w:val="Body Text Indent 3"/>
    <w:basedOn w:val="1"/>
    <w:link w:val="66"/>
    <w:qFormat/>
    <w:uiPriority w:val="0"/>
    <w:pPr>
      <w:spacing w:after="120"/>
      <w:ind w:left="420" w:leftChars="200"/>
    </w:pPr>
    <w:rPr>
      <w:sz w:val="16"/>
      <w:szCs w:val="16"/>
    </w:rPr>
  </w:style>
  <w:style w:type="paragraph" w:styleId="28">
    <w:name w:val="table of figures"/>
    <w:next w:val="1"/>
    <w:qFormat/>
    <w:uiPriority w:val="0"/>
    <w:pPr>
      <w:widowControl w:val="0"/>
      <w:ind w:left="200" w:leftChars="200" w:hanging="200" w:hangingChars="200"/>
      <w:jc w:val="both"/>
    </w:pPr>
    <w:rPr>
      <w:rFonts w:ascii="Times New Roman" w:hAnsi="Times New Roman" w:eastAsia="宋体" w:cs="Times New Roman"/>
      <w:kern w:val="2"/>
      <w:sz w:val="21"/>
      <w:szCs w:val="24"/>
      <w:lang w:val="en-US" w:eastAsia="zh-CN" w:bidi="ar-SA"/>
    </w:rPr>
  </w:style>
  <w:style w:type="paragraph" w:styleId="29">
    <w:name w:val="toc 2"/>
    <w:basedOn w:val="1"/>
    <w:next w:val="1"/>
    <w:qFormat/>
    <w:uiPriority w:val="39"/>
    <w:pPr>
      <w:spacing w:line="360" w:lineRule="auto"/>
      <w:ind w:left="420" w:leftChars="200"/>
    </w:pPr>
    <w:rPr>
      <w:rFonts w:ascii="宋体" w:hAnsi="宋体" w:cs="宋体"/>
    </w:rPr>
  </w:style>
  <w:style w:type="paragraph" w:styleId="30">
    <w:name w:val="Body Text 2"/>
    <w:basedOn w:val="1"/>
    <w:link w:val="58"/>
    <w:qFormat/>
    <w:uiPriority w:val="0"/>
    <w:pPr>
      <w:spacing w:after="120" w:line="480" w:lineRule="auto"/>
    </w:pPr>
  </w:style>
  <w:style w:type="paragraph" w:styleId="31">
    <w:name w:val="List 4"/>
    <w:basedOn w:val="1"/>
    <w:qFormat/>
    <w:uiPriority w:val="0"/>
    <w:pPr>
      <w:ind w:left="1680" w:hanging="420"/>
    </w:pPr>
    <w:rPr>
      <w:rFonts w:eastAsia="楷体_GB2312"/>
      <w:sz w:val="32"/>
      <w:szCs w:val="20"/>
    </w:rPr>
  </w:style>
  <w:style w:type="paragraph" w:styleId="32">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w:hAnsi="Arial" w:cs="Arial"/>
      <w:kern w:val="0"/>
      <w:sz w:val="24"/>
    </w:rPr>
  </w:style>
  <w:style w:type="paragraph" w:styleId="33">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34">
    <w:name w:val="annotation subject"/>
    <w:basedOn w:val="11"/>
    <w:next w:val="11"/>
    <w:semiHidden/>
    <w:qFormat/>
    <w:uiPriority w:val="0"/>
    <w:rPr>
      <w:b/>
      <w:bCs/>
    </w:rPr>
  </w:style>
  <w:style w:type="paragraph" w:styleId="35">
    <w:name w:val="Body Text First Indent 2"/>
    <w:basedOn w:val="13"/>
    <w:next w:val="1"/>
    <w:qFormat/>
    <w:uiPriority w:val="0"/>
    <w:pPr>
      <w:ind w:firstLine="420" w:firstLineChars="200"/>
    </w:pPr>
    <w:rPr>
      <w:rFonts w:eastAsia="宋体"/>
    </w:rPr>
  </w:style>
  <w:style w:type="table" w:styleId="37">
    <w:name w:val="Table Grid"/>
    <w:basedOn w:val="3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9">
    <w:name w:val="Strong"/>
    <w:basedOn w:val="38"/>
    <w:qFormat/>
    <w:uiPriority w:val="0"/>
    <w:rPr>
      <w:b/>
      <w:bCs/>
    </w:rPr>
  </w:style>
  <w:style w:type="character" w:styleId="40">
    <w:name w:val="page number"/>
    <w:basedOn w:val="38"/>
    <w:qFormat/>
    <w:uiPriority w:val="0"/>
  </w:style>
  <w:style w:type="character" w:styleId="41">
    <w:name w:val="FollowedHyperlink"/>
    <w:basedOn w:val="38"/>
    <w:qFormat/>
    <w:uiPriority w:val="99"/>
    <w:rPr>
      <w:color w:val="444444"/>
      <w:sz w:val="21"/>
      <w:szCs w:val="21"/>
      <w:u w:val="none"/>
    </w:rPr>
  </w:style>
  <w:style w:type="character" w:styleId="42">
    <w:name w:val="Emphasis"/>
    <w:basedOn w:val="38"/>
    <w:qFormat/>
    <w:uiPriority w:val="0"/>
    <w:rPr>
      <w:i/>
    </w:rPr>
  </w:style>
  <w:style w:type="character" w:styleId="43">
    <w:name w:val="HTML Definition"/>
    <w:basedOn w:val="38"/>
    <w:qFormat/>
    <w:uiPriority w:val="0"/>
  </w:style>
  <w:style w:type="character" w:styleId="44">
    <w:name w:val="HTML Typewriter"/>
    <w:basedOn w:val="38"/>
    <w:qFormat/>
    <w:uiPriority w:val="0"/>
    <w:rPr>
      <w:rFonts w:hint="default" w:ascii="monospace" w:hAnsi="monospace" w:eastAsia="monospace" w:cs="monospace"/>
      <w:sz w:val="20"/>
    </w:rPr>
  </w:style>
  <w:style w:type="character" w:styleId="45">
    <w:name w:val="HTML Acronym"/>
    <w:basedOn w:val="38"/>
    <w:qFormat/>
    <w:uiPriority w:val="0"/>
  </w:style>
  <w:style w:type="character" w:styleId="46">
    <w:name w:val="HTML Variable"/>
    <w:basedOn w:val="38"/>
    <w:qFormat/>
    <w:uiPriority w:val="0"/>
  </w:style>
  <w:style w:type="character" w:styleId="47">
    <w:name w:val="Hyperlink"/>
    <w:basedOn w:val="38"/>
    <w:qFormat/>
    <w:uiPriority w:val="99"/>
    <w:rPr>
      <w:color w:val="444444"/>
      <w:sz w:val="21"/>
      <w:szCs w:val="21"/>
      <w:u w:val="none"/>
    </w:rPr>
  </w:style>
  <w:style w:type="character" w:styleId="48">
    <w:name w:val="HTML Code"/>
    <w:basedOn w:val="38"/>
    <w:qFormat/>
    <w:uiPriority w:val="0"/>
    <w:rPr>
      <w:rFonts w:hint="default" w:ascii="monospace" w:hAnsi="monospace" w:eastAsia="monospace" w:cs="monospace"/>
      <w:sz w:val="20"/>
    </w:rPr>
  </w:style>
  <w:style w:type="character" w:styleId="49">
    <w:name w:val="HTML Cite"/>
    <w:basedOn w:val="38"/>
    <w:qFormat/>
    <w:uiPriority w:val="0"/>
  </w:style>
  <w:style w:type="character" w:styleId="50">
    <w:name w:val="HTML Keyboard"/>
    <w:basedOn w:val="38"/>
    <w:qFormat/>
    <w:uiPriority w:val="0"/>
    <w:rPr>
      <w:rFonts w:ascii="monospace" w:hAnsi="monospace" w:eastAsia="monospace" w:cs="monospace"/>
      <w:sz w:val="20"/>
    </w:rPr>
  </w:style>
  <w:style w:type="character" w:styleId="51">
    <w:name w:val="HTML Sample"/>
    <w:basedOn w:val="38"/>
    <w:qFormat/>
    <w:uiPriority w:val="0"/>
    <w:rPr>
      <w:rFonts w:hint="default" w:ascii="monospace" w:hAnsi="monospace" w:eastAsia="monospace" w:cs="monospace"/>
    </w:rPr>
  </w:style>
  <w:style w:type="character" w:customStyle="1" w:styleId="52">
    <w:name w:val="标题 1 Char"/>
    <w:link w:val="4"/>
    <w:qFormat/>
    <w:locked/>
    <w:uiPriority w:val="0"/>
    <w:rPr>
      <w:rFonts w:ascii="Times New Roman" w:hAnsi="Times New Roman" w:eastAsia="宋体"/>
      <w:b/>
      <w:kern w:val="44"/>
      <w:sz w:val="32"/>
    </w:rPr>
  </w:style>
  <w:style w:type="character" w:customStyle="1" w:styleId="53">
    <w:name w:val="标题 2 Char"/>
    <w:basedOn w:val="38"/>
    <w:link w:val="5"/>
    <w:qFormat/>
    <w:locked/>
    <w:uiPriority w:val="99"/>
    <w:rPr>
      <w:rFonts w:ascii="Arial" w:hAnsi="Arial" w:eastAsia="宋体"/>
      <w:b/>
      <w:kern w:val="2"/>
      <w:sz w:val="24"/>
    </w:rPr>
  </w:style>
  <w:style w:type="character" w:customStyle="1" w:styleId="54">
    <w:name w:val="标题 3 Char"/>
    <w:link w:val="6"/>
    <w:qFormat/>
    <w:locked/>
    <w:uiPriority w:val="99"/>
    <w:rPr>
      <w:rFonts w:ascii="宋体" w:hAnsi="宋体" w:eastAsia="宋体" w:cs="宋体"/>
      <w:b/>
      <w:kern w:val="2"/>
      <w:sz w:val="21"/>
      <w:szCs w:val="21"/>
    </w:rPr>
  </w:style>
  <w:style w:type="character" w:customStyle="1" w:styleId="55">
    <w:name w:val="标题 4 Char"/>
    <w:link w:val="7"/>
    <w:qFormat/>
    <w:locked/>
    <w:uiPriority w:val="99"/>
    <w:rPr>
      <w:kern w:val="2"/>
      <w:sz w:val="32"/>
    </w:rPr>
  </w:style>
  <w:style w:type="character" w:customStyle="1" w:styleId="56">
    <w:name w:val="批注文字 Char"/>
    <w:link w:val="11"/>
    <w:semiHidden/>
    <w:qFormat/>
    <w:locked/>
    <w:uiPriority w:val="99"/>
    <w:rPr>
      <w:kern w:val="2"/>
      <w:sz w:val="21"/>
      <w:szCs w:val="24"/>
    </w:rPr>
  </w:style>
  <w:style w:type="character" w:customStyle="1" w:styleId="57">
    <w:name w:val="正文文本 Char"/>
    <w:link w:val="3"/>
    <w:qFormat/>
    <w:uiPriority w:val="0"/>
    <w:rPr>
      <w:rFonts w:eastAsia="宋体"/>
      <w:kern w:val="2"/>
      <w:sz w:val="21"/>
      <w:szCs w:val="24"/>
      <w:lang w:val="en-US" w:eastAsia="zh-CN" w:bidi="ar-SA"/>
    </w:rPr>
  </w:style>
  <w:style w:type="character" w:customStyle="1" w:styleId="58">
    <w:name w:val="正文文本 2 Char"/>
    <w:link w:val="30"/>
    <w:qFormat/>
    <w:uiPriority w:val="0"/>
    <w:rPr>
      <w:rFonts w:eastAsia="宋体"/>
      <w:kern w:val="2"/>
      <w:sz w:val="21"/>
      <w:szCs w:val="24"/>
      <w:lang w:val="en-US" w:eastAsia="zh-CN" w:bidi="ar-SA"/>
    </w:rPr>
  </w:style>
  <w:style w:type="character" w:customStyle="1" w:styleId="59">
    <w:name w:val="正文文本缩进 Char"/>
    <w:link w:val="13"/>
    <w:qFormat/>
    <w:uiPriority w:val="0"/>
    <w:rPr>
      <w:rFonts w:eastAsia="宋体"/>
      <w:kern w:val="2"/>
      <w:sz w:val="21"/>
      <w:szCs w:val="24"/>
      <w:lang w:val="en-US" w:eastAsia="zh-CN" w:bidi="ar-SA"/>
    </w:rPr>
  </w:style>
  <w:style w:type="character" w:customStyle="1" w:styleId="60">
    <w:name w:val="纯文本 Char"/>
    <w:link w:val="17"/>
    <w:qFormat/>
    <w:uiPriority w:val="0"/>
    <w:rPr>
      <w:rFonts w:ascii="宋体" w:hAnsi="Courier New" w:eastAsia="宋体" w:cs="Courier New"/>
      <w:kern w:val="2"/>
      <w:sz w:val="21"/>
      <w:szCs w:val="21"/>
      <w:lang w:val="en-US" w:eastAsia="zh-CN" w:bidi="ar-SA"/>
    </w:rPr>
  </w:style>
  <w:style w:type="character" w:customStyle="1" w:styleId="61">
    <w:name w:val="日期 Char"/>
    <w:link w:val="18"/>
    <w:qFormat/>
    <w:uiPriority w:val="0"/>
    <w:rPr>
      <w:rFonts w:eastAsia="宋体"/>
      <w:sz w:val="28"/>
      <w:lang w:val="en-US" w:eastAsia="zh-CN" w:bidi="ar-SA"/>
    </w:rPr>
  </w:style>
  <w:style w:type="character" w:customStyle="1" w:styleId="62">
    <w:name w:val="正文文本缩进 2 Char"/>
    <w:link w:val="19"/>
    <w:qFormat/>
    <w:uiPriority w:val="0"/>
    <w:rPr>
      <w:rFonts w:eastAsia="宋体"/>
      <w:kern w:val="2"/>
      <w:sz w:val="21"/>
      <w:szCs w:val="24"/>
      <w:lang w:val="en-US" w:eastAsia="zh-CN" w:bidi="ar-SA"/>
    </w:rPr>
  </w:style>
  <w:style w:type="character" w:customStyle="1" w:styleId="63">
    <w:name w:val="批注框文本 Char"/>
    <w:link w:val="20"/>
    <w:semiHidden/>
    <w:qFormat/>
    <w:locked/>
    <w:uiPriority w:val="99"/>
    <w:rPr>
      <w:kern w:val="2"/>
      <w:sz w:val="18"/>
      <w:szCs w:val="18"/>
    </w:rPr>
  </w:style>
  <w:style w:type="character" w:customStyle="1" w:styleId="64">
    <w:name w:val="页脚 Char"/>
    <w:link w:val="21"/>
    <w:qFormat/>
    <w:locked/>
    <w:uiPriority w:val="99"/>
    <w:rPr>
      <w:kern w:val="2"/>
      <w:sz w:val="18"/>
      <w:szCs w:val="18"/>
    </w:rPr>
  </w:style>
  <w:style w:type="character" w:customStyle="1" w:styleId="65">
    <w:name w:val="页眉 Char"/>
    <w:link w:val="22"/>
    <w:qFormat/>
    <w:locked/>
    <w:uiPriority w:val="99"/>
    <w:rPr>
      <w:kern w:val="2"/>
      <w:sz w:val="18"/>
      <w:szCs w:val="18"/>
    </w:rPr>
  </w:style>
  <w:style w:type="character" w:customStyle="1" w:styleId="66">
    <w:name w:val="正文文本缩进 3 Char"/>
    <w:link w:val="27"/>
    <w:qFormat/>
    <w:uiPriority w:val="0"/>
    <w:rPr>
      <w:rFonts w:eastAsia="宋体"/>
      <w:kern w:val="2"/>
      <w:sz w:val="16"/>
      <w:szCs w:val="16"/>
      <w:lang w:val="en-US" w:eastAsia="zh-CN" w:bidi="ar-SA"/>
    </w:rPr>
  </w:style>
  <w:style w:type="character" w:customStyle="1" w:styleId="67">
    <w:name w:val="正文首行缩进 Char"/>
    <w:link w:val="2"/>
    <w:qFormat/>
    <w:uiPriority w:val="0"/>
    <w:rPr>
      <w:rFonts w:eastAsia="楷体_GB2312"/>
      <w:kern w:val="2"/>
      <w:sz w:val="32"/>
      <w:lang w:val="en-US" w:eastAsia="zh-CN" w:bidi="ar-SA"/>
    </w:rPr>
  </w:style>
  <w:style w:type="paragraph" w:customStyle="1" w:styleId="68">
    <w:name w:val="无间隔1"/>
    <w:basedOn w:val="69"/>
    <w:next w:val="9"/>
    <w:qFormat/>
    <w:uiPriority w:val="1"/>
    <w:pPr>
      <w:spacing w:line="400" w:lineRule="exact"/>
    </w:pPr>
    <w:rPr>
      <w:sz w:val="24"/>
    </w:rPr>
  </w:style>
  <w:style w:type="paragraph" w:customStyle="1" w:styleId="69">
    <w:name w:val="正文_1"/>
    <w:next w:val="1"/>
    <w:qFormat/>
    <w:uiPriority w:val="0"/>
    <w:pPr>
      <w:widowControl w:val="0"/>
      <w:jc w:val="both"/>
    </w:pPr>
    <w:rPr>
      <w:rFonts w:ascii="Calibri" w:hAnsi="Calibri" w:eastAsia="宋体" w:cs="Times New Roman"/>
      <w:kern w:val="2"/>
      <w:sz w:val="21"/>
      <w:szCs w:val="24"/>
      <w:lang w:val="en-US" w:eastAsia="zh-CN" w:bidi="ar-SA"/>
    </w:rPr>
  </w:style>
  <w:style w:type="paragraph" w:customStyle="1" w:styleId="70">
    <w:name w:val="Default"/>
    <w:qFormat/>
    <w:uiPriority w:val="0"/>
    <w:pPr>
      <w:widowControl w:val="0"/>
      <w:autoSpaceDE w:val="0"/>
      <w:autoSpaceDN w:val="0"/>
      <w:adjustRightInd w:val="0"/>
    </w:pPr>
    <w:rPr>
      <w:rFonts w:ascii="宋体" w:hAnsi="宋体" w:eastAsia="宋体" w:cs="宋体"/>
      <w:color w:val="000000"/>
      <w:sz w:val="24"/>
      <w:szCs w:val="24"/>
      <w:lang w:val="en-US" w:eastAsia="zh-CN" w:bidi="ar-SA"/>
    </w:rPr>
  </w:style>
  <w:style w:type="paragraph" w:customStyle="1" w:styleId="71">
    <w:name w:val="样式 正文首行缩进 2 + Arial"/>
    <w:basedOn w:val="1"/>
    <w:next w:val="1"/>
    <w:qFormat/>
    <w:uiPriority w:val="0"/>
    <w:pPr>
      <w:spacing w:after="120" w:line="320" w:lineRule="atLeast"/>
      <w:ind w:firstLine="200" w:firstLineChars="200"/>
    </w:pPr>
    <w:rPr>
      <w:rFonts w:ascii="Arial" w:hAnsi="Arial"/>
      <w:kern w:val="0"/>
    </w:rPr>
  </w:style>
  <w:style w:type="character" w:customStyle="1" w:styleId="72">
    <w:name w:val="gpa"/>
    <w:basedOn w:val="38"/>
    <w:qFormat/>
    <w:uiPriority w:val="0"/>
    <w:rPr>
      <w:rFonts w:ascii="Arial" w:hAnsi="Arial" w:cs="Arial"/>
      <w:sz w:val="15"/>
      <w:szCs w:val="15"/>
    </w:rPr>
  </w:style>
  <w:style w:type="character" w:customStyle="1" w:styleId="73">
    <w:name w:val=" Char Char17"/>
    <w:qFormat/>
    <w:uiPriority w:val="0"/>
    <w:rPr>
      <w:rFonts w:eastAsia="楷体_GB2312"/>
      <w:b/>
      <w:kern w:val="44"/>
      <w:sz w:val="44"/>
    </w:rPr>
  </w:style>
  <w:style w:type="character" w:customStyle="1" w:styleId="74">
    <w:name w:val="p12h15"/>
    <w:basedOn w:val="38"/>
    <w:qFormat/>
    <w:uiPriority w:val="0"/>
  </w:style>
  <w:style w:type="character" w:customStyle="1" w:styleId="75">
    <w:name w:val="Balloon Text Char"/>
    <w:semiHidden/>
    <w:qFormat/>
    <w:locked/>
    <w:uiPriority w:val="99"/>
    <w:rPr>
      <w:sz w:val="18"/>
    </w:rPr>
  </w:style>
  <w:style w:type="character" w:customStyle="1" w:styleId="76">
    <w:name w:val="Comment Text Char"/>
    <w:semiHidden/>
    <w:qFormat/>
    <w:locked/>
    <w:uiPriority w:val="99"/>
    <w:rPr>
      <w:rFonts w:ascii="Times New Roman" w:hAnsi="Times New Roman" w:eastAsia="宋体"/>
      <w:sz w:val="24"/>
    </w:rPr>
  </w:style>
  <w:style w:type="character" w:customStyle="1" w:styleId="77">
    <w:name w:val="pt91"/>
    <w:qFormat/>
    <w:uiPriority w:val="0"/>
    <w:rPr>
      <w:rFonts w:hint="default" w:ascii="_x000B__x000C_" w:hAnsi="_x000B__x000C_"/>
      <w:color w:val="333333"/>
      <w:sz w:val="18"/>
      <w:szCs w:val="18"/>
    </w:rPr>
  </w:style>
  <w:style w:type="character" w:customStyle="1" w:styleId="78">
    <w:name w:val="selected"/>
    <w:basedOn w:val="38"/>
    <w:qFormat/>
    <w:uiPriority w:val="0"/>
    <w:rPr>
      <w:shd w:val="clear" w:color="auto" w:fill="B00006"/>
    </w:rPr>
  </w:style>
  <w:style w:type="character" w:customStyle="1" w:styleId="79">
    <w:name w:val=" Char Char11"/>
    <w:qFormat/>
    <w:uiPriority w:val="0"/>
    <w:rPr>
      <w:kern w:val="2"/>
      <w:sz w:val="18"/>
      <w:szCs w:val="18"/>
    </w:rPr>
  </w:style>
  <w:style w:type="character" w:customStyle="1" w:styleId="80">
    <w:name w:val=" Char Char16"/>
    <w:qFormat/>
    <w:uiPriority w:val="0"/>
    <w:rPr>
      <w:b/>
      <w:kern w:val="2"/>
      <w:sz w:val="32"/>
    </w:rPr>
  </w:style>
  <w:style w:type="character" w:customStyle="1" w:styleId="81">
    <w:name w:val="Table Text Char1"/>
    <w:link w:val="82"/>
    <w:qFormat/>
    <w:locked/>
    <w:uiPriority w:val="99"/>
    <w:rPr>
      <w:rFonts w:ascii="Arial" w:hAnsi="Arial"/>
      <w:kern w:val="2"/>
      <w:sz w:val="18"/>
      <w:szCs w:val="24"/>
    </w:rPr>
  </w:style>
  <w:style w:type="paragraph" w:customStyle="1" w:styleId="82">
    <w:name w:val="Table Text"/>
    <w:basedOn w:val="1"/>
    <w:link w:val="81"/>
    <w:qFormat/>
    <w:uiPriority w:val="99"/>
    <w:pPr>
      <w:widowControl/>
      <w:tabs>
        <w:tab w:val="decimal" w:pos="0"/>
      </w:tabs>
      <w:autoSpaceDE w:val="0"/>
      <w:autoSpaceDN w:val="0"/>
      <w:adjustRightInd w:val="0"/>
      <w:spacing w:before="80" w:after="80"/>
    </w:pPr>
    <w:rPr>
      <w:rFonts w:ascii="Arial" w:hAnsi="Arial"/>
      <w:sz w:val="18"/>
    </w:rPr>
  </w:style>
  <w:style w:type="character" w:customStyle="1" w:styleId="83">
    <w:name w:val="fontstyle01"/>
    <w:basedOn w:val="38"/>
    <w:qFormat/>
    <w:uiPriority w:val="0"/>
    <w:rPr>
      <w:rFonts w:ascii="FZSSK--GBK1-0" w:hAnsi="FZSSK--GBK1-0" w:eastAsia="FZSSK--GBK1-0" w:cs="FZSSK--GBK1-0"/>
      <w:color w:val="000000"/>
      <w:sz w:val="20"/>
      <w:szCs w:val="20"/>
    </w:rPr>
  </w:style>
  <w:style w:type="character" w:customStyle="1" w:styleId="84">
    <w:name w:val="Item List in Table Char Char"/>
    <w:link w:val="85"/>
    <w:qFormat/>
    <w:locked/>
    <w:uiPriority w:val="99"/>
    <w:rPr>
      <w:rFonts w:ascii="Arial" w:hAnsi="Arial"/>
      <w:sz w:val="18"/>
      <w:szCs w:val="18"/>
      <w:lang w:val="en-US" w:eastAsia="zh-CN" w:bidi="ar-SA"/>
    </w:rPr>
  </w:style>
  <w:style w:type="paragraph" w:customStyle="1" w:styleId="85">
    <w:name w:val="Item List in Table"/>
    <w:link w:val="84"/>
    <w:qFormat/>
    <w:uiPriority w:val="99"/>
    <w:pPr>
      <w:numPr>
        <w:ilvl w:val="0"/>
        <w:numId w:val="1"/>
      </w:numPr>
      <w:spacing w:before="40" w:after="40"/>
      <w:jc w:val="both"/>
    </w:pPr>
    <w:rPr>
      <w:rFonts w:ascii="Arial" w:hAnsi="Arial" w:eastAsia="宋体" w:cs="Times New Roman"/>
      <w:sz w:val="18"/>
      <w:szCs w:val="18"/>
      <w:lang w:val="en-US" w:eastAsia="zh-CN" w:bidi="ar-SA"/>
    </w:rPr>
  </w:style>
  <w:style w:type="character" w:customStyle="1" w:styleId="86">
    <w:name w:val="displayarti"/>
    <w:basedOn w:val="38"/>
    <w:qFormat/>
    <w:uiPriority w:val="0"/>
    <w:rPr>
      <w:color w:val="FFFFFF"/>
      <w:shd w:val="clear" w:color="auto" w:fill="A00000"/>
    </w:rPr>
  </w:style>
  <w:style w:type="character" w:customStyle="1" w:styleId="87">
    <w:name w:val="wen11"/>
    <w:qFormat/>
    <w:uiPriority w:val="0"/>
    <w:rPr>
      <w:color w:val="000000"/>
      <w:sz w:val="21"/>
      <w:szCs w:val="21"/>
    </w:rPr>
  </w:style>
  <w:style w:type="character" w:customStyle="1" w:styleId="88">
    <w:name w:val=" Char Char15"/>
    <w:qFormat/>
    <w:uiPriority w:val="0"/>
    <w:rPr>
      <w:kern w:val="2"/>
      <w:sz w:val="32"/>
    </w:rPr>
  </w:style>
  <w:style w:type="character" w:customStyle="1" w:styleId="89">
    <w:name w:val="fontstyle11"/>
    <w:basedOn w:val="38"/>
    <w:qFormat/>
    <w:uiPriority w:val="0"/>
    <w:rPr>
      <w:rFonts w:ascii="E-BZ" w:hAnsi="E-BZ" w:eastAsia="E-BZ" w:cs="E-BZ"/>
      <w:color w:val="000000"/>
      <w:sz w:val="20"/>
      <w:szCs w:val="20"/>
    </w:rPr>
  </w:style>
  <w:style w:type="paragraph" w:customStyle="1" w:styleId="90">
    <w:name w:val="xl26"/>
    <w:basedOn w:val="1"/>
    <w:qFormat/>
    <w:uiPriority w:val="0"/>
    <w:pPr>
      <w:widowControl/>
      <w:spacing w:before="100" w:beforeAutospacing="1" w:after="100" w:afterAutospacing="1"/>
      <w:jc w:val="left"/>
    </w:pPr>
    <w:rPr>
      <w:rFonts w:hint="eastAsia" w:ascii="仿宋_GB2312" w:hAnsi="宋体" w:eastAsia="仿宋_GB2312"/>
      <w:kern w:val="0"/>
      <w:sz w:val="32"/>
      <w:szCs w:val="32"/>
    </w:rPr>
  </w:style>
  <w:style w:type="paragraph" w:customStyle="1" w:styleId="91">
    <w:name w:val="xl75"/>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92">
    <w:name w:val="正文_13_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3">
    <w:name w:val="xl63"/>
    <w:basedOn w:val="1"/>
    <w:qFormat/>
    <w:uiPriority w:val="99"/>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textAlignment w:val="center"/>
    </w:pPr>
    <w:rPr>
      <w:rFonts w:ascii="宋体" w:hAnsi="宋体" w:cs="宋体"/>
      <w:kern w:val="0"/>
      <w:sz w:val="24"/>
    </w:rPr>
  </w:style>
  <w:style w:type="paragraph" w:customStyle="1" w:styleId="94">
    <w:name w:val="font6"/>
    <w:basedOn w:val="1"/>
    <w:qFormat/>
    <w:uiPriority w:val="99"/>
    <w:pPr>
      <w:widowControl/>
      <w:spacing w:before="100" w:beforeAutospacing="1" w:after="100" w:afterAutospacing="1"/>
      <w:jc w:val="left"/>
    </w:pPr>
    <w:rPr>
      <w:rFonts w:ascii="宋体" w:hAnsi="宋体" w:cs="宋体"/>
      <w:kern w:val="0"/>
      <w:sz w:val="24"/>
    </w:rPr>
  </w:style>
  <w:style w:type="paragraph" w:styleId="95">
    <w:name w:val="No Spacing"/>
    <w:qFormat/>
    <w:uiPriority w:val="1"/>
    <w:pPr>
      <w:widowControl w:val="0"/>
      <w:jc w:val="both"/>
    </w:pPr>
    <w:rPr>
      <w:rFonts w:ascii="Calibri" w:hAnsi="Calibri" w:eastAsia="宋体" w:cs="Times New Roman"/>
      <w:kern w:val="2"/>
      <w:sz w:val="21"/>
      <w:szCs w:val="22"/>
      <w:lang w:val="en-US" w:eastAsia="zh-CN" w:bidi="ar-SA"/>
    </w:rPr>
  </w:style>
  <w:style w:type="paragraph" w:customStyle="1" w:styleId="96">
    <w:name w:val="xl87"/>
    <w:basedOn w:val="1"/>
    <w:qFormat/>
    <w:uiPriority w:val="99"/>
    <w:pPr>
      <w:widowControl/>
      <w:pBdr>
        <w:top w:val="single" w:color="auto" w:sz="4" w:space="0"/>
        <w:left w:val="single" w:color="auto" w:sz="4" w:space="0"/>
        <w:bottom w:val="single" w:color="auto" w:sz="4" w:space="0"/>
      </w:pBdr>
      <w:shd w:val="clear" w:color="000000" w:fill="FFFFFF"/>
      <w:spacing w:before="100" w:beforeAutospacing="1" w:after="100" w:afterAutospacing="1"/>
      <w:jc w:val="center"/>
      <w:textAlignment w:val="center"/>
    </w:pPr>
    <w:rPr>
      <w:rFonts w:ascii="宋体" w:hAnsi="宋体" w:cs="宋体"/>
      <w:kern w:val="0"/>
      <w:sz w:val="24"/>
    </w:rPr>
  </w:style>
  <w:style w:type="paragraph" w:customStyle="1" w:styleId="97">
    <w:name w:val="xl73"/>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98">
    <w:name w:val="xl78"/>
    <w:basedOn w:val="1"/>
    <w:qFormat/>
    <w:uiPriority w:val="99"/>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99">
    <w:name w:val="font10"/>
    <w:basedOn w:val="1"/>
    <w:qFormat/>
    <w:uiPriority w:val="99"/>
    <w:pPr>
      <w:widowControl/>
      <w:spacing w:before="100" w:beforeAutospacing="1" w:after="100" w:afterAutospacing="1"/>
      <w:jc w:val="left"/>
    </w:pPr>
    <w:rPr>
      <w:rFonts w:ascii="Calibri" w:hAnsi="Calibri" w:cs="Calibri"/>
      <w:kern w:val="0"/>
      <w:sz w:val="24"/>
    </w:rPr>
  </w:style>
  <w:style w:type="paragraph" w:customStyle="1" w:styleId="100">
    <w:name w:val="xl67"/>
    <w:basedOn w:val="1"/>
    <w:qFormat/>
    <w:uiPriority w:val="99"/>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textAlignment w:val="center"/>
    </w:pPr>
    <w:rPr>
      <w:rFonts w:ascii="宋体" w:hAnsi="宋体" w:cs="宋体"/>
      <w:kern w:val="0"/>
      <w:sz w:val="24"/>
    </w:rPr>
  </w:style>
  <w:style w:type="paragraph" w:customStyle="1" w:styleId="101">
    <w:name w:val="xl77"/>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102">
    <w:name w:val="xl83"/>
    <w:basedOn w:val="1"/>
    <w:qFormat/>
    <w:uiPriority w:val="99"/>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color w:val="000000"/>
      <w:kern w:val="0"/>
      <w:sz w:val="24"/>
    </w:rPr>
  </w:style>
  <w:style w:type="paragraph" w:customStyle="1" w:styleId="103">
    <w:name w:val="xl72"/>
    <w:basedOn w:val="1"/>
    <w:qFormat/>
    <w:uiPriority w:val="99"/>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textAlignment w:val="center"/>
    </w:pPr>
    <w:rPr>
      <w:rFonts w:ascii="宋体" w:hAnsi="宋体" w:cs="宋体"/>
      <w:kern w:val="0"/>
      <w:sz w:val="24"/>
    </w:rPr>
  </w:style>
  <w:style w:type="paragraph" w:customStyle="1" w:styleId="104">
    <w:name w:val="font9"/>
    <w:basedOn w:val="1"/>
    <w:qFormat/>
    <w:uiPriority w:val="99"/>
    <w:pPr>
      <w:widowControl/>
      <w:spacing w:before="100" w:beforeAutospacing="1" w:after="100" w:afterAutospacing="1"/>
      <w:jc w:val="left"/>
    </w:pPr>
    <w:rPr>
      <w:b/>
      <w:bCs/>
      <w:kern w:val="0"/>
      <w:sz w:val="24"/>
    </w:rPr>
  </w:style>
  <w:style w:type="paragraph" w:customStyle="1" w:styleId="105">
    <w:name w:val="正文_6_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6">
    <w:name w:val="xl84"/>
    <w:basedOn w:val="1"/>
    <w:qFormat/>
    <w:uiPriority w:val="99"/>
    <w:pPr>
      <w:widowControl/>
      <w:pBdr>
        <w:top w:val="single" w:color="auto" w:sz="4" w:space="0"/>
        <w:left w:val="single" w:color="auto" w:sz="4" w:space="0"/>
        <w:bottom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107">
    <w:name w:val="xl74"/>
    <w:basedOn w:val="1"/>
    <w:qFormat/>
    <w:uiPriority w:val="99"/>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108">
    <w:name w:val="font5"/>
    <w:basedOn w:val="1"/>
    <w:qFormat/>
    <w:uiPriority w:val="99"/>
    <w:pPr>
      <w:widowControl/>
      <w:spacing w:before="100" w:beforeAutospacing="1" w:after="100" w:afterAutospacing="1"/>
      <w:jc w:val="left"/>
    </w:pPr>
    <w:rPr>
      <w:rFonts w:ascii="宋体" w:hAnsi="宋体" w:cs="宋体"/>
      <w:kern w:val="0"/>
      <w:sz w:val="18"/>
      <w:szCs w:val="18"/>
    </w:rPr>
  </w:style>
  <w:style w:type="paragraph" w:customStyle="1" w:styleId="109">
    <w:name w:val="xl86"/>
    <w:basedOn w:val="1"/>
    <w:qFormat/>
    <w:uiPriority w:val="99"/>
    <w:pPr>
      <w:widowControl/>
      <w:pBdr>
        <w:left w:val="single" w:color="auto" w:sz="4" w:space="0"/>
        <w:right w:val="single" w:color="auto" w:sz="4" w:space="0"/>
      </w:pBdr>
      <w:spacing w:before="100" w:beforeAutospacing="1" w:after="100" w:afterAutospacing="1"/>
      <w:jc w:val="center"/>
      <w:textAlignment w:val="center"/>
    </w:pPr>
    <w:rPr>
      <w:rFonts w:ascii="宋体" w:hAnsi="宋体" w:cs="宋体"/>
      <w:color w:val="000000"/>
      <w:kern w:val="0"/>
      <w:sz w:val="24"/>
    </w:rPr>
  </w:style>
  <w:style w:type="paragraph" w:customStyle="1" w:styleId="110">
    <w:name w:val="font8"/>
    <w:basedOn w:val="1"/>
    <w:qFormat/>
    <w:uiPriority w:val="99"/>
    <w:pPr>
      <w:widowControl/>
      <w:spacing w:before="100" w:beforeAutospacing="1" w:after="100" w:afterAutospacing="1"/>
      <w:jc w:val="left"/>
    </w:pPr>
    <w:rPr>
      <w:rFonts w:ascii="宋体" w:hAnsi="宋体" w:cs="宋体"/>
      <w:b/>
      <w:bCs/>
      <w:kern w:val="0"/>
      <w:sz w:val="24"/>
    </w:rPr>
  </w:style>
  <w:style w:type="paragraph" w:styleId="111">
    <w:name w:val="List Paragraph"/>
    <w:basedOn w:val="1"/>
    <w:qFormat/>
    <w:uiPriority w:val="99"/>
    <w:pPr>
      <w:ind w:firstLine="420" w:firstLineChars="200"/>
    </w:pPr>
    <w:rPr>
      <w:rFonts w:ascii="Calibri" w:hAnsi="Calibri"/>
      <w:szCs w:val="22"/>
    </w:rPr>
  </w:style>
  <w:style w:type="paragraph" w:customStyle="1" w:styleId="112">
    <w:name w:val="xl70"/>
    <w:basedOn w:val="1"/>
    <w:qFormat/>
    <w:uiPriority w:val="99"/>
    <w:pPr>
      <w:widowControl/>
      <w:spacing w:before="100" w:beforeAutospacing="1" w:after="100" w:afterAutospacing="1"/>
      <w:jc w:val="left"/>
    </w:pPr>
    <w:rPr>
      <w:rFonts w:ascii="宋体" w:hAnsi="宋体" w:cs="宋体"/>
      <w:kern w:val="0"/>
      <w:sz w:val="24"/>
    </w:rPr>
  </w:style>
  <w:style w:type="paragraph" w:customStyle="1" w:styleId="113">
    <w:name w:val="a2"/>
    <w:basedOn w:val="1"/>
    <w:qFormat/>
    <w:uiPriority w:val="99"/>
    <w:pPr>
      <w:widowControl/>
      <w:spacing w:before="100" w:beforeAutospacing="1" w:after="100" w:afterAutospacing="1"/>
      <w:jc w:val="left"/>
    </w:pPr>
    <w:rPr>
      <w:rFonts w:ascii="宋体" w:hAnsi="宋体" w:cs="宋体"/>
      <w:kern w:val="0"/>
      <w:sz w:val="24"/>
    </w:rPr>
  </w:style>
  <w:style w:type="paragraph" w:customStyle="1" w:styleId="114">
    <w:name w:val="List Paragraph1"/>
    <w:basedOn w:val="1"/>
    <w:qFormat/>
    <w:uiPriority w:val="34"/>
    <w:pPr>
      <w:ind w:firstLine="420" w:firstLineChars="200"/>
    </w:pPr>
  </w:style>
  <w:style w:type="paragraph" w:customStyle="1" w:styleId="115">
    <w:name w:val="xl68"/>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116">
    <w:name w:val="xl80"/>
    <w:basedOn w:val="1"/>
    <w:qFormat/>
    <w:uiPriority w:val="99"/>
    <w:pPr>
      <w:widowControl/>
      <w:pBdr>
        <w:left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117">
    <w:name w:val="xl65"/>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118">
    <w:name w:val="xl69"/>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color w:val="000000"/>
      <w:kern w:val="0"/>
      <w:sz w:val="24"/>
    </w:rPr>
  </w:style>
  <w:style w:type="paragraph" w:customStyle="1" w:styleId="119">
    <w:name w:val="xl64"/>
    <w:basedOn w:val="1"/>
    <w:qFormat/>
    <w:uiPriority w:val="99"/>
    <w:pPr>
      <w:widowControl/>
      <w:pBdr>
        <w:top w:val="single" w:color="auto" w:sz="4" w:space="0"/>
        <w:left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120">
    <w:name w:val="xl79"/>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rPr>
  </w:style>
  <w:style w:type="paragraph" w:customStyle="1" w:styleId="121">
    <w:name w:val="xl81"/>
    <w:basedOn w:val="1"/>
    <w:qFormat/>
    <w:uiPriority w:val="99"/>
    <w:pPr>
      <w:widowControl/>
      <w:pBdr>
        <w:top w:val="single" w:color="auto" w:sz="4" w:space="0"/>
        <w:left w:val="single" w:color="auto" w:sz="4" w:space="0"/>
        <w:bottom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122">
    <w:name w:val="xl76"/>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123">
    <w:name w:val="xl66"/>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124">
    <w:name w:val="xl85"/>
    <w:basedOn w:val="1"/>
    <w:qFormat/>
    <w:uiPriority w:val="99"/>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color w:val="000000"/>
      <w:kern w:val="0"/>
      <w:sz w:val="24"/>
    </w:rPr>
  </w:style>
  <w:style w:type="paragraph" w:customStyle="1" w:styleId="125">
    <w:name w:val="tableheading"/>
    <w:basedOn w:val="1"/>
    <w:qFormat/>
    <w:uiPriority w:val="99"/>
    <w:pPr>
      <w:widowControl/>
      <w:spacing w:before="100" w:beforeAutospacing="1" w:after="100" w:afterAutospacing="1"/>
      <w:jc w:val="left"/>
    </w:pPr>
    <w:rPr>
      <w:rFonts w:ascii="宋体" w:hAnsi="宋体" w:cs="宋体"/>
      <w:kern w:val="0"/>
      <w:sz w:val="24"/>
    </w:rPr>
  </w:style>
  <w:style w:type="paragraph" w:customStyle="1" w:styleId="126">
    <w:name w:val="xl82"/>
    <w:basedOn w:val="1"/>
    <w:qFormat/>
    <w:uiPriority w:val="99"/>
    <w:pPr>
      <w:widowControl/>
      <w:pBdr>
        <w:top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127">
    <w:name w:val="xl88"/>
    <w:basedOn w:val="1"/>
    <w:qFormat/>
    <w:uiPriority w:val="99"/>
    <w:pPr>
      <w:widowControl/>
      <w:pBdr>
        <w:top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kern w:val="0"/>
      <w:sz w:val="24"/>
    </w:rPr>
  </w:style>
  <w:style w:type="paragraph" w:customStyle="1" w:styleId="128">
    <w:name w:val="_Style 127"/>
    <w:basedOn w:val="4"/>
    <w:next w:val="1"/>
    <w:qFormat/>
    <w:uiPriority w:val="99"/>
    <w:pPr>
      <w:widowControl/>
      <w:spacing w:before="480" w:after="0" w:line="276" w:lineRule="auto"/>
      <w:jc w:val="left"/>
      <w:outlineLvl w:val="9"/>
    </w:pPr>
    <w:rPr>
      <w:rFonts w:ascii="Cambria" w:hAnsi="Cambria" w:eastAsia="宋体"/>
      <w:bCs/>
      <w:color w:val="365F91"/>
      <w:kern w:val="0"/>
      <w:sz w:val="28"/>
      <w:szCs w:val="28"/>
    </w:rPr>
  </w:style>
  <w:style w:type="paragraph" w:customStyle="1" w:styleId="129">
    <w:name w:val="xl71"/>
    <w:basedOn w:val="1"/>
    <w:qFormat/>
    <w:uiPriority w:val="99"/>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textAlignment w:val="center"/>
    </w:pPr>
    <w:rPr>
      <w:rFonts w:ascii="宋体" w:hAnsi="宋体" w:cs="宋体"/>
      <w:kern w:val="0"/>
      <w:sz w:val="24"/>
    </w:rPr>
  </w:style>
  <w:style w:type="paragraph" w:customStyle="1" w:styleId="130">
    <w:name w:val="font7"/>
    <w:basedOn w:val="1"/>
    <w:qFormat/>
    <w:uiPriority w:val="99"/>
    <w:pPr>
      <w:widowControl/>
      <w:spacing w:before="100" w:beforeAutospacing="1" w:after="100" w:afterAutospacing="1"/>
      <w:jc w:val="left"/>
    </w:pPr>
    <w:rPr>
      <w:kern w:val="0"/>
      <w:sz w:val="24"/>
    </w:rPr>
  </w:style>
  <w:style w:type="paragraph" w:customStyle="1" w:styleId="131">
    <w:name w:val="图文"/>
    <w:basedOn w:val="1"/>
    <w:qFormat/>
    <w:uiPriority w:val="0"/>
    <w:pPr>
      <w:adjustRightInd w:val="0"/>
      <w:snapToGrid w:val="0"/>
      <w:spacing w:after="50" w:afterLines="0" w:line="360" w:lineRule="auto"/>
    </w:pPr>
    <w:rPr>
      <w:sz w:val="24"/>
    </w:rPr>
  </w:style>
  <w:style w:type="paragraph" w:customStyle="1" w:styleId="132">
    <w:name w:val="表格字体-靠左"/>
    <w:basedOn w:val="133"/>
    <w:next w:val="1"/>
    <w:qFormat/>
    <w:uiPriority w:val="0"/>
    <w:pPr>
      <w:ind w:firstLine="280" w:firstLineChars="100"/>
      <w:jc w:val="left"/>
    </w:pPr>
  </w:style>
  <w:style w:type="paragraph" w:customStyle="1" w:styleId="133">
    <w:name w:val="表格字体-居中"/>
    <w:basedOn w:val="1"/>
    <w:next w:val="1"/>
    <w:qFormat/>
    <w:uiPriority w:val="0"/>
    <w:pPr>
      <w:spacing w:line="240" w:lineRule="auto"/>
      <w:ind w:firstLine="0" w:firstLineChars="0"/>
      <w:jc w:val="center"/>
    </w:pPr>
  </w:style>
  <w:style w:type="character" w:customStyle="1" w:styleId="134">
    <w:name w:val="hover17"/>
    <w:basedOn w:val="38"/>
    <w:qFormat/>
    <w:uiPriority w:val="0"/>
  </w:style>
  <w:style w:type="character" w:customStyle="1" w:styleId="135">
    <w:name w:val="hover16"/>
    <w:basedOn w:val="38"/>
    <w:qFormat/>
    <w:uiPriority w:val="0"/>
  </w:style>
  <w:style w:type="character" w:customStyle="1" w:styleId="136">
    <w:name w:val="hover18"/>
    <w:basedOn w:val="38"/>
    <w:qFormat/>
    <w:uiPriority w:val="0"/>
  </w:style>
  <w:style w:type="character" w:customStyle="1" w:styleId="137">
    <w:name w:val="hover"/>
    <w:basedOn w:val="38"/>
    <w:qFormat/>
    <w:uiPriority w:val="0"/>
  </w:style>
  <w:style w:type="character" w:customStyle="1" w:styleId="138">
    <w:name w:val="a_p_2"/>
    <w:basedOn w:val="38"/>
    <w:qFormat/>
    <w:uiPriority w:val="0"/>
  </w:style>
  <w:style w:type="character" w:customStyle="1" w:styleId="139">
    <w:name w:val="a_p_21"/>
    <w:basedOn w:val="38"/>
    <w:qFormat/>
    <w:uiPriority w:val="0"/>
    <w:rPr>
      <w:sz w:val="27"/>
      <w:szCs w:val="27"/>
    </w:rPr>
  </w:style>
  <w:style w:type="character" w:customStyle="1" w:styleId="140">
    <w:name w:val="ul_li_a_1"/>
    <w:basedOn w:val="38"/>
    <w:qFormat/>
    <w:uiPriority w:val="0"/>
    <w:rPr>
      <w:b/>
      <w:bCs/>
      <w:color w:val="FFFFFF"/>
    </w:rPr>
  </w:style>
  <w:style w:type="character" w:customStyle="1" w:styleId="141">
    <w:name w:val="exap"/>
    <w:basedOn w:val="38"/>
    <w:qFormat/>
    <w:uiPriority w:val="0"/>
    <w:rPr>
      <w:sz w:val="27"/>
      <w:szCs w:val="27"/>
    </w:rPr>
  </w:style>
  <w:style w:type="character" w:customStyle="1" w:styleId="142">
    <w:name w:val="nth-child(3)"/>
    <w:basedOn w:val="38"/>
    <w:qFormat/>
    <w:uiPriority w:val="0"/>
  </w:style>
  <w:style w:type="character" w:customStyle="1" w:styleId="143">
    <w:name w:val="nth-child(2)"/>
    <w:basedOn w:val="38"/>
    <w:qFormat/>
    <w:uiPriority w:val="0"/>
  </w:style>
  <w:style w:type="character" w:customStyle="1" w:styleId="144">
    <w:name w:val="layui-layer-tabnow"/>
    <w:basedOn w:val="38"/>
    <w:qFormat/>
    <w:uiPriority w:val="0"/>
    <w:rPr>
      <w:bdr w:val="single" w:color="CCCCCC" w:sz="6" w:space="0"/>
      <w:shd w:val="clear" w:color="auto" w:fill="FFFFFF"/>
    </w:rPr>
  </w:style>
  <w:style w:type="character" w:customStyle="1" w:styleId="145">
    <w:name w:val="first-child"/>
    <w:basedOn w:val="38"/>
    <w:qFormat/>
    <w:uiPriority w:val="0"/>
  </w:style>
  <w:style w:type="character" w:customStyle="1" w:styleId="146">
    <w:name w:val="a_p_1"/>
    <w:basedOn w:val="38"/>
    <w:qFormat/>
    <w:uiPriority w:val="0"/>
    <w:rPr>
      <w:sz w:val="27"/>
      <w:szCs w:val="27"/>
    </w:rPr>
  </w:style>
  <w:style w:type="character" w:customStyle="1" w:styleId="147">
    <w:name w:val="a_p_3"/>
    <w:basedOn w:val="38"/>
    <w:qFormat/>
    <w:uiPriority w:val="0"/>
    <w:rPr>
      <w:sz w:val="27"/>
      <w:szCs w:val="27"/>
    </w:rPr>
  </w:style>
  <w:style w:type="table" w:customStyle="1" w:styleId="148">
    <w:name w:val="Table Normal"/>
    <w:unhideWhenUsed/>
    <w:qFormat/>
    <w:uiPriority w:val="0"/>
    <w:tblPr>
      <w:tblCellMar>
        <w:top w:w="0" w:type="dxa"/>
        <w:left w:w="0" w:type="dxa"/>
        <w:bottom w:w="0" w:type="dxa"/>
        <w:right w:w="0" w:type="dxa"/>
      </w:tblCellMar>
    </w:tblPr>
  </w:style>
  <w:style w:type="table" w:customStyle="1" w:styleId="149">
    <w:name w:val="网格型1"/>
    <w:qFormat/>
    <w:uiPriority w:val="39"/>
    <w:rPr>
      <w:rFonts w:ascii="等线" w:hAnsi="等线" w:eastAsia="等线"/>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50">
    <w:name w:val="样式1"/>
    <w:qFormat/>
    <w:uiPriority w:val="0"/>
    <w:pPr>
      <w:widowControl w:val="0"/>
      <w:adjustRightInd w:val="0"/>
      <w:spacing w:line="240" w:lineRule="auto"/>
      <w:jc w:val="both"/>
      <w:textAlignment w:val="baseline"/>
    </w:pPr>
    <w:rPr>
      <w:rFonts w:ascii="宋体" w:hAnsi="Times New Roman" w:eastAsia="宋体" w:cs="Times New Roman"/>
      <w:sz w:val="21"/>
      <w:szCs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2" Type="http://schemas.openxmlformats.org/officeDocument/2006/relationships/fontTable" Target="fontTable.xml"/><Relationship Id="rId21" Type="http://schemas.openxmlformats.org/officeDocument/2006/relationships/numbering" Target="numbering.xml"/><Relationship Id="rId20" Type="http://schemas.openxmlformats.org/officeDocument/2006/relationships/customXml" Target="../customXml/item1.xml"/><Relationship Id="rId2" Type="http://schemas.openxmlformats.org/officeDocument/2006/relationships/settings" Target="settings.xml"/><Relationship Id="rId19" Type="http://schemas.openxmlformats.org/officeDocument/2006/relationships/image" Target="media/image2.png"/><Relationship Id="rId18" Type="http://schemas.openxmlformats.org/officeDocument/2006/relationships/theme" Target="theme/theme1.xml"/><Relationship Id="rId17" Type="http://schemas.openxmlformats.org/officeDocument/2006/relationships/header" Target="header6.xml"/><Relationship Id="rId16" Type="http://schemas.openxmlformats.org/officeDocument/2006/relationships/footer" Target="footer9.xml"/><Relationship Id="rId15" Type="http://schemas.openxmlformats.org/officeDocument/2006/relationships/header" Target="header5.xml"/><Relationship Id="rId14" Type="http://schemas.openxmlformats.org/officeDocument/2006/relationships/footer" Target="footer8.xml"/><Relationship Id="rId13" Type="http://schemas.openxmlformats.org/officeDocument/2006/relationships/footer" Target="footer7.xml"/><Relationship Id="rId12" Type="http://schemas.openxmlformats.org/officeDocument/2006/relationships/footer" Target="footer6.xml"/><Relationship Id="rId11" Type="http://schemas.openxmlformats.org/officeDocument/2006/relationships/footer" Target="footer5.xml"/><Relationship Id="rId10" Type="http://schemas.openxmlformats.org/officeDocument/2006/relationships/footer" Target="footer4.xml"/><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2" Type="http://schemas.openxmlformats.org/officeDocument/2006/relationships/image" Target="file:///C:\Program%252525252525252525252520Files\Tencent\QQ\Users\763502907\Image\0254824F-E245-4015-824E-9E252A54E140.jpg" TargetMode="External"/><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http:/sdwm.org</Company>
  <Pages>116</Pages>
  <Words>16257</Words>
  <Characters>17255</Characters>
  <Lines>322</Lines>
  <Paragraphs>90</Paragraphs>
  <TotalTime>0</TotalTime>
  <ScaleCrop>false</ScaleCrop>
  <LinksUpToDate>false</LinksUpToDate>
  <CharactersWithSpaces>17392</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2015-08-31T06:45:00Z</dcterms:created>
  <dc:creator>微软用户</dc:creator>
  <cp:lastModifiedBy>admin</cp:lastModifiedBy>
  <cp:lastPrinted>2026-04-07T00:38:00Z</cp:lastPrinted>
  <dcterms:modified xsi:type="dcterms:W3CDTF">2026-04-07T05:07:46Z</dcterms:modified>
  <dc:title>河南省乡镇卫生院设备</dc:title>
  <cp:revision>86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A8F6572846474ACCAAAB1274A444462D_13</vt:lpwstr>
  </property>
  <property fmtid="{D5CDD505-2E9C-101B-9397-08002B2CF9AE}" pid="4" name="KSOTemplateDocerSaveRecord">
    <vt:lpwstr>eyJoZGlkIjoiMzg1NWUyNDY2ZTY0MzlkNDg3OTFlNDQ3MTY4MmE5YTQiLCJ1c2VySWQiOiIzODM5NjAxNjIifQ==</vt:lpwstr>
  </property>
</Properties>
</file>