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3E5B9">
      <w:pPr>
        <w:jc w:val="center"/>
        <w:rPr>
          <w:rFonts w:hint="eastAsia" w:ascii="宋体" w:hAnsi="宋体" w:eastAsia="宋体" w:cs="宋体"/>
          <w:b/>
          <w:color w:val="auto"/>
          <w:sz w:val="44"/>
          <w:szCs w:val="44"/>
          <w:highlight w:val="none"/>
          <w:lang w:val="en-US" w:eastAsia="zh-CN"/>
        </w:rPr>
      </w:pPr>
    </w:p>
    <w:p w14:paraId="13B710E8">
      <w:pPr>
        <w:spacing w:line="360" w:lineRule="auto"/>
        <w:ind w:firstLine="0" w:firstLineChars="0"/>
        <w:jc w:val="center"/>
        <w:rPr>
          <w:rFonts w:hint="eastAsia" w:ascii="宋体" w:hAnsi="宋体" w:eastAsia="宋体" w:cs="宋体"/>
          <w:b/>
          <w:bCs/>
          <w:color w:val="auto"/>
          <w:spacing w:val="12"/>
          <w:sz w:val="44"/>
          <w:szCs w:val="44"/>
          <w:highlight w:val="none"/>
          <w:lang w:val="en-US" w:eastAsia="zh-CN"/>
        </w:rPr>
      </w:pPr>
      <w:r>
        <w:rPr>
          <w:rFonts w:hint="eastAsia" w:ascii="宋体" w:hAnsi="宋体" w:eastAsia="宋体" w:cs="宋体"/>
          <w:b/>
          <w:bCs/>
          <w:color w:val="auto"/>
          <w:spacing w:val="12"/>
          <w:sz w:val="44"/>
          <w:szCs w:val="44"/>
          <w:highlight w:val="none"/>
          <w:lang w:val="en-US" w:eastAsia="zh-CN"/>
        </w:rPr>
        <w:t>河南省周口生态环境监测中心2026年监测能力建设项目</w:t>
      </w:r>
    </w:p>
    <w:p w14:paraId="566F0791">
      <w:pPr>
        <w:spacing w:line="360" w:lineRule="auto"/>
        <w:ind w:firstLine="0" w:firstLineChars="0"/>
        <w:jc w:val="both"/>
        <w:rPr>
          <w:rFonts w:hint="eastAsia" w:ascii="宋体" w:hAnsi="宋体" w:eastAsia="宋体" w:cs="宋体"/>
          <w:b/>
          <w:color w:val="auto"/>
          <w:spacing w:val="12"/>
          <w:sz w:val="48"/>
          <w:highlight w:val="none"/>
        </w:rPr>
      </w:pPr>
    </w:p>
    <w:p w14:paraId="7346970C">
      <w:pPr>
        <w:spacing w:line="360" w:lineRule="auto"/>
        <w:ind w:firstLine="0" w:firstLineChars="0"/>
        <w:jc w:val="center"/>
        <w:rPr>
          <w:rFonts w:hint="eastAsia" w:ascii="宋体" w:hAnsi="宋体" w:eastAsia="宋体" w:cs="宋体"/>
          <w:b/>
          <w:bCs/>
          <w:color w:val="auto"/>
          <w:spacing w:val="12"/>
          <w:sz w:val="84"/>
          <w:highlight w:val="none"/>
        </w:rPr>
      </w:pPr>
      <w:r>
        <w:rPr>
          <w:rFonts w:hint="eastAsia" w:ascii="宋体" w:hAnsi="宋体" w:eastAsia="宋体" w:cs="宋体"/>
          <w:b/>
          <w:bCs/>
          <w:color w:val="auto"/>
          <w:spacing w:val="12"/>
          <w:sz w:val="84"/>
          <w:highlight w:val="none"/>
          <w:lang w:val="en-US" w:eastAsia="zh-CN"/>
        </w:rPr>
        <w:t>招标</w:t>
      </w:r>
      <w:r>
        <w:rPr>
          <w:rFonts w:hint="eastAsia" w:ascii="宋体" w:hAnsi="宋体" w:eastAsia="宋体" w:cs="宋体"/>
          <w:b/>
          <w:bCs/>
          <w:color w:val="auto"/>
          <w:spacing w:val="12"/>
          <w:sz w:val="84"/>
          <w:highlight w:val="none"/>
        </w:rPr>
        <w:t>文件</w:t>
      </w:r>
    </w:p>
    <w:p w14:paraId="068BE908">
      <w:pPr>
        <w:spacing w:line="360" w:lineRule="auto"/>
        <w:ind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项目编号：豫财招标采购-2026-</w:t>
      </w:r>
      <w:r>
        <w:rPr>
          <w:rFonts w:hint="eastAsia" w:cs="宋体"/>
          <w:color w:val="auto"/>
          <w:sz w:val="24"/>
          <w:highlight w:val="none"/>
          <w:lang w:val="en-US" w:eastAsia="zh-CN"/>
        </w:rPr>
        <w:t>297</w:t>
      </w:r>
    </w:p>
    <w:p w14:paraId="127F0C43">
      <w:pPr>
        <w:spacing w:line="360" w:lineRule="auto"/>
        <w:ind w:firstLine="0" w:firstLineChars="0"/>
        <w:jc w:val="center"/>
        <w:rPr>
          <w:rFonts w:hint="eastAsia" w:ascii="宋体" w:hAnsi="宋体" w:eastAsia="宋体" w:cs="宋体"/>
          <w:color w:val="auto"/>
          <w:sz w:val="24"/>
          <w:highlight w:val="none"/>
        </w:rPr>
      </w:pPr>
    </w:p>
    <w:p w14:paraId="7C6BCB2E">
      <w:pPr>
        <w:spacing w:line="360" w:lineRule="auto"/>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highlight w:val="none"/>
        </w:rPr>
        <w:drawing>
          <wp:inline distT="0" distB="0" distL="114300" distR="114300">
            <wp:extent cx="2221230" cy="2006600"/>
            <wp:effectExtent l="0" t="0" r="0" b="12700"/>
            <wp:docPr id="1" name="图片 2" descr="8f562f5910b6a12fd0b867dca8916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f562f5910b6a12fd0b867dca89168f"/>
                    <pic:cNvPicPr>
                      <a:picLocks noChangeAspect="1"/>
                    </pic:cNvPicPr>
                  </pic:nvPicPr>
                  <pic:blipFill>
                    <a:blip r:embed="rId19"/>
                    <a:srcRect r="69313"/>
                    <a:stretch>
                      <a:fillRect/>
                    </a:stretch>
                  </pic:blipFill>
                  <pic:spPr>
                    <a:xfrm>
                      <a:off x="0" y="0"/>
                      <a:ext cx="2221230" cy="2006600"/>
                    </a:xfrm>
                    <a:prstGeom prst="rect">
                      <a:avLst/>
                    </a:prstGeom>
                    <a:noFill/>
                    <a:ln>
                      <a:noFill/>
                    </a:ln>
                  </pic:spPr>
                </pic:pic>
              </a:graphicData>
            </a:graphic>
          </wp:inline>
        </w:drawing>
      </w:r>
    </w:p>
    <w:p w14:paraId="4AD986C7">
      <w:pPr>
        <w:spacing w:line="360" w:lineRule="auto"/>
        <w:ind w:firstLine="0" w:firstLineChars="0"/>
        <w:jc w:val="center"/>
        <w:rPr>
          <w:rFonts w:hint="eastAsia" w:ascii="宋体" w:hAnsi="宋体" w:eastAsia="宋体" w:cs="宋体"/>
          <w:color w:val="auto"/>
          <w:sz w:val="24"/>
          <w:highlight w:val="none"/>
        </w:rPr>
      </w:pPr>
    </w:p>
    <w:p w14:paraId="6CF6362E">
      <w:pPr>
        <w:tabs>
          <w:tab w:val="left" w:pos="840"/>
        </w:tabs>
        <w:spacing w:line="360" w:lineRule="auto"/>
        <w:ind w:firstLine="0" w:firstLineChars="0"/>
        <w:jc w:val="center"/>
        <w:rPr>
          <w:rFonts w:hint="eastAsia" w:ascii="宋体" w:hAnsi="宋体" w:eastAsia="宋体" w:cs="宋体"/>
          <w:b/>
          <w:color w:val="auto"/>
          <w:sz w:val="32"/>
          <w:szCs w:val="32"/>
          <w:highlight w:val="none"/>
        </w:rPr>
      </w:pPr>
    </w:p>
    <w:p w14:paraId="2E907EA7">
      <w:pPr>
        <w:widowControl w:val="0"/>
        <w:spacing w:after="120" w:line="360" w:lineRule="auto"/>
        <w:jc w:val="both"/>
        <w:rPr>
          <w:rFonts w:hint="eastAsia" w:ascii="宋体" w:hAnsi="宋体" w:eastAsia="宋体" w:cs="宋体"/>
          <w:color w:val="auto"/>
          <w:kern w:val="2"/>
          <w:sz w:val="24"/>
          <w:szCs w:val="24"/>
          <w:highlight w:val="none"/>
          <w:lang w:val="en-US" w:eastAsia="zh-CN" w:bidi="ar-SA"/>
        </w:rPr>
      </w:pPr>
    </w:p>
    <w:p w14:paraId="462E85FF">
      <w:pPr>
        <w:tabs>
          <w:tab w:val="left" w:pos="840"/>
        </w:tabs>
        <w:spacing w:line="360" w:lineRule="auto"/>
        <w:ind w:firstLine="0" w:firstLineChars="0"/>
        <w:jc w:val="center"/>
        <w:rPr>
          <w:rFonts w:hint="eastAsia" w:ascii="宋体" w:hAnsi="宋体" w:eastAsia="宋体" w:cs="宋体"/>
          <w:b/>
          <w:color w:val="auto"/>
          <w:sz w:val="32"/>
          <w:szCs w:val="32"/>
          <w:highlight w:val="none"/>
        </w:rPr>
      </w:pPr>
    </w:p>
    <w:p w14:paraId="3D6DE775">
      <w:pPr>
        <w:tabs>
          <w:tab w:val="left" w:pos="840"/>
        </w:tabs>
        <w:spacing w:line="360" w:lineRule="auto"/>
        <w:ind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采购人：河南省周口生态环境监测中心</w:t>
      </w:r>
    </w:p>
    <w:p w14:paraId="444B6DDB">
      <w:pPr>
        <w:spacing w:line="360" w:lineRule="auto"/>
        <w:ind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采购代理机构：建基工程咨询有限公司</w:t>
      </w:r>
    </w:p>
    <w:p w14:paraId="71130E3A">
      <w:pPr>
        <w:spacing w:line="360" w:lineRule="auto"/>
        <w:ind w:firstLine="0" w:firstLineChars="0"/>
        <w:jc w:val="center"/>
        <w:rPr>
          <w:rFonts w:hint="eastAsia" w:ascii="宋体" w:hAnsi="宋体" w:eastAsia="宋体" w:cs="宋体"/>
          <w:color w:val="auto"/>
          <w:sz w:val="24"/>
          <w:highlight w:val="none"/>
        </w:rPr>
      </w:pPr>
      <w:r>
        <w:rPr>
          <w:rFonts w:hint="eastAsia" w:ascii="宋体" w:hAnsi="宋体" w:eastAsia="宋体" w:cs="宋体"/>
          <w:b/>
          <w:color w:val="auto"/>
          <w:sz w:val="30"/>
          <w:szCs w:val="30"/>
          <w:highlight w:val="none"/>
        </w:rPr>
        <w:t>二〇二</w:t>
      </w:r>
      <w:r>
        <w:rPr>
          <w:rFonts w:hint="eastAsia" w:ascii="宋体" w:hAnsi="宋体" w:eastAsia="宋体" w:cs="宋体"/>
          <w:b/>
          <w:color w:val="auto"/>
          <w:sz w:val="30"/>
          <w:szCs w:val="30"/>
          <w:highlight w:val="none"/>
          <w:lang w:val="en-US" w:eastAsia="zh-CN"/>
        </w:rPr>
        <w:t>六</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月</w:t>
      </w:r>
    </w:p>
    <w:p w14:paraId="6E8A346F">
      <w:pPr>
        <w:spacing w:line="800" w:lineRule="exact"/>
        <w:jc w:val="both"/>
        <w:rPr>
          <w:rFonts w:hint="eastAsia" w:ascii="宋体" w:hAnsi="宋体" w:eastAsia="宋体" w:cs="宋体"/>
          <w:b/>
          <w:bCs/>
          <w:color w:val="auto"/>
          <w:sz w:val="36"/>
          <w:szCs w:val="36"/>
          <w:highlight w:val="none"/>
        </w:rPr>
        <w:sectPr>
          <w:headerReference r:id="rId4" w:type="first"/>
          <w:footerReference r:id="rId6" w:type="first"/>
          <w:headerReference r:id="rId3" w:type="default"/>
          <w:footerReference r:id="rId5" w:type="default"/>
          <w:pgSz w:w="12240" w:h="15840"/>
          <w:pgMar w:top="1304" w:right="1797" w:bottom="1304" w:left="1797" w:header="850" w:footer="720" w:gutter="0"/>
          <w:pgNumType w:fmt="decimal"/>
          <w:cols w:space="720" w:num="1"/>
          <w:titlePg/>
          <w:rtlGutter w:val="0"/>
          <w:docGrid w:linePitch="0" w:charSpace="0"/>
        </w:sectPr>
      </w:pPr>
      <w:bookmarkStart w:id="0" w:name="_Toc22804073"/>
      <w:bookmarkEnd w:id="0"/>
      <w:bookmarkStart w:id="1" w:name="_Toc22953395"/>
      <w:bookmarkEnd w:id="1"/>
    </w:p>
    <w:p w14:paraId="3C44224F">
      <w:pPr>
        <w:pageBreakBefore w:val="0"/>
        <w:kinsoku/>
        <w:overflowPunct/>
        <w:bidi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5D619473">
      <w:pPr>
        <w:pStyle w:val="23"/>
        <w:tabs>
          <w:tab w:val="right" w:leader="dot" w:pos="9072"/>
          <w:tab w:val="clear" w:pos="8460"/>
        </w:tabs>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"1-2"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_Toc31096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第</w:t>
      </w:r>
      <w:r>
        <w:rPr>
          <w:rFonts w:hint="eastAsia" w:ascii="宋体" w:hAnsi="宋体" w:eastAsia="宋体" w:cs="宋体"/>
          <w:color w:val="auto"/>
          <w:szCs w:val="32"/>
          <w:highlight w:val="none"/>
          <w:lang w:eastAsia="zh-CN"/>
        </w:rPr>
        <w:t>一</w:t>
      </w:r>
      <w:r>
        <w:rPr>
          <w:rFonts w:hint="eastAsia" w:ascii="宋体" w:hAnsi="宋体" w:eastAsia="宋体" w:cs="宋体"/>
          <w:color w:val="auto"/>
          <w:szCs w:val="32"/>
          <w:highlight w:val="none"/>
        </w:rPr>
        <w:t xml:space="preserve">章 </w:t>
      </w:r>
      <w:r>
        <w:rPr>
          <w:rFonts w:hint="eastAsia" w:ascii="宋体" w:hAnsi="宋体" w:eastAsia="宋体" w:cs="宋体"/>
          <w:color w:val="auto"/>
          <w:szCs w:val="32"/>
          <w:highlight w:val="none"/>
          <w:lang w:eastAsia="zh-CN"/>
        </w:rPr>
        <w:t>投标邀请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50FE0FA">
      <w:pPr>
        <w:pStyle w:val="23"/>
        <w:tabs>
          <w:tab w:val="right" w:leader="dot" w:pos="9072"/>
          <w:tab w:val="clear" w:pos="8460"/>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_Toc21010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lang w:val="en-US" w:eastAsia="zh-CN"/>
        </w:rPr>
        <w:t xml:space="preserve">第二章 </w:t>
      </w: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22995E4">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_Toc15783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投标人须知前附表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_Toc15783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C251EB0">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_Toc12865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 xml:space="preserve">1. </w:t>
      </w:r>
      <w:r>
        <w:rPr>
          <w:rFonts w:hint="eastAsia" w:ascii="宋体" w:hAnsi="宋体" w:eastAsia="宋体" w:cs="宋体"/>
          <w:color w:val="auto"/>
          <w:szCs w:val="24"/>
          <w:highlight w:val="none"/>
          <w:lang w:val="en-US" w:eastAsia="zh-CN"/>
        </w:rPr>
        <w:t>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_Toc12865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14CDA01">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_Toc31128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2. 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_Toc31128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C9DBA61">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_Toc4756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3. 投标文件的编写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_Toc4756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16839E0">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_Toc8011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4. 投标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3FB406E">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_Toc17426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5. 开标、资格审查与评标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_Toc17426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C4204C8">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_Toc16167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6. 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A44ECA5">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_Toc29466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7. 政府采购政策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_Toc29466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517EE9F">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_Toc856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8. 询问、质疑和投诉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BEE5700">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_Toc15178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9. 需要补充的其他内容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_Toc15178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F317C86">
      <w:pPr>
        <w:pStyle w:val="23"/>
        <w:tabs>
          <w:tab w:val="right" w:leader="dot" w:pos="9072"/>
          <w:tab w:val="clear" w:pos="8460"/>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_Toc21151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2"/>
          <w:highlight w:val="none"/>
          <w:lang w:val="en-US" w:eastAsia="zh-CN" w:bidi="ar-SA"/>
        </w:rPr>
        <w:t>第三章 资格审查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_Toc21151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923F6EF">
      <w:pPr>
        <w:pStyle w:val="23"/>
        <w:tabs>
          <w:tab w:val="right" w:leader="dot" w:pos="9072"/>
          <w:tab w:val="clear" w:pos="8460"/>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_Toc9104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lang w:eastAsia="zh-CN"/>
        </w:rPr>
        <w:t>第四章</w:t>
      </w:r>
      <w:r>
        <w:rPr>
          <w:rFonts w:hint="eastAsia" w:ascii="宋体" w:hAnsi="宋体" w:eastAsia="宋体" w:cs="宋体"/>
          <w:color w:val="auto"/>
          <w:szCs w:val="32"/>
          <w:highlight w:val="none"/>
          <w:lang w:val="en-US" w:eastAsia="zh-CN"/>
        </w:rPr>
        <w:t xml:space="preserve"> 评标办法（综合评分法）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_Toc9104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11CD54F">
      <w:pPr>
        <w:pStyle w:val="23"/>
        <w:tabs>
          <w:tab w:val="right" w:leader="dot" w:pos="9072"/>
          <w:tab w:val="clear" w:pos="8460"/>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_Toc11931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lang w:val="en-US" w:eastAsia="zh-CN"/>
        </w:rPr>
        <w:t xml:space="preserve">第五章 </w:t>
      </w:r>
      <w:r>
        <w:rPr>
          <w:rFonts w:hint="eastAsia" w:ascii="宋体" w:hAnsi="宋体" w:eastAsia="宋体" w:cs="宋体"/>
          <w:color w:val="auto"/>
          <w:szCs w:val="32"/>
          <w:highlight w:val="none"/>
          <w:lang w:eastAsia="zh-CN"/>
        </w:rPr>
        <w:t>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F2ED436">
      <w:pPr>
        <w:pStyle w:val="23"/>
        <w:tabs>
          <w:tab w:val="right" w:leader="dot" w:pos="9072"/>
          <w:tab w:val="clear" w:pos="8460"/>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_Toc3028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lang w:val="en-US" w:eastAsia="zh-CN"/>
        </w:rPr>
        <w:t xml:space="preserve">第六章 </w:t>
      </w:r>
      <w:r>
        <w:rPr>
          <w:rFonts w:hint="eastAsia" w:ascii="宋体" w:hAnsi="宋体" w:eastAsia="宋体" w:cs="宋体"/>
          <w:color w:val="auto"/>
          <w:szCs w:val="32"/>
          <w:highlight w:val="none"/>
          <w:lang w:eastAsia="zh-CN"/>
        </w:rPr>
        <w:t>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3F80BCF">
      <w:pPr>
        <w:pStyle w:val="23"/>
        <w:tabs>
          <w:tab w:val="right" w:leader="dot" w:pos="9072"/>
          <w:tab w:val="clear" w:pos="8460"/>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_Toc20815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lang w:val="en-US" w:eastAsia="zh-CN"/>
        </w:rPr>
        <w:t>第七章 投标文件</w:t>
      </w:r>
      <w:r>
        <w:rPr>
          <w:rFonts w:hint="eastAsia" w:ascii="宋体" w:hAnsi="宋体" w:eastAsia="宋体" w:cs="宋体"/>
          <w:color w:val="auto"/>
          <w:szCs w:val="32"/>
          <w:highlight w:val="none"/>
          <w:lang w:eastAsia="zh-CN"/>
        </w:rPr>
        <w:t>资格审查文件册通用格式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80</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AFA6817">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_Toc8410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一、 投标人资格声明函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_Toc8410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C0390FF">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_Toc27640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二、 投标人基本情况</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_Toc27640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511A237">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_Toc20556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三、 </w:t>
      </w:r>
      <w:r>
        <w:rPr>
          <w:rFonts w:hint="eastAsia" w:ascii="宋体" w:hAnsi="宋体" w:eastAsia="宋体" w:cs="宋体"/>
          <w:color w:val="auto"/>
          <w:szCs w:val="24"/>
          <w:highlight w:val="none"/>
          <w:lang w:val="en-US" w:eastAsia="zh-CN"/>
        </w:rPr>
        <w:t>投标人资格证明文件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6D3894C">
      <w:pPr>
        <w:pStyle w:val="23"/>
        <w:tabs>
          <w:tab w:val="right" w:leader="dot" w:pos="9072"/>
          <w:tab w:val="clear" w:pos="8460"/>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_Toc14704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44"/>
          <w:szCs w:val="32"/>
          <w:highlight w:val="none"/>
          <w:lang w:val="en-US" w:eastAsia="zh-CN" w:bidi="ar-SA"/>
        </w:rPr>
        <w:t xml:space="preserve">第八章 </w:t>
      </w:r>
      <w:r>
        <w:rPr>
          <w:rFonts w:hint="eastAsia" w:ascii="宋体" w:hAnsi="宋体" w:eastAsia="宋体" w:cs="宋体"/>
          <w:color w:val="auto"/>
          <w:szCs w:val="32"/>
          <w:highlight w:val="none"/>
          <w:lang w:eastAsia="zh-CN"/>
        </w:rPr>
        <w:t>投标文件通用格式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50B9F3A">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_Toc17941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一、</w:t>
      </w:r>
      <w:r>
        <w:rPr>
          <w:rFonts w:hint="eastAsia" w:ascii="宋体" w:hAnsi="宋体" w:eastAsia="宋体" w:cs="宋体"/>
          <w:color w:val="auto"/>
          <w:szCs w:val="24"/>
          <w:highlight w:val="none"/>
        </w:rPr>
        <w:t>法定代表人身份证明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_Toc17941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2EECF74">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_Toc26791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Cs w:val="24"/>
          <w:highlight w:val="none"/>
        </w:rPr>
        <w:t xml:space="preserve">一、 </w:t>
      </w:r>
      <w:r>
        <w:rPr>
          <w:rFonts w:hint="eastAsia" w:ascii="宋体" w:hAnsi="宋体" w:eastAsia="宋体" w:cs="宋体"/>
          <w:color w:val="auto"/>
          <w:szCs w:val="24"/>
          <w:highlight w:val="none"/>
        </w:rPr>
        <w:t>法定代表人授权</w:t>
      </w:r>
      <w:r>
        <w:rPr>
          <w:rFonts w:hint="eastAsia" w:ascii="宋体" w:hAnsi="宋体" w:eastAsia="宋体" w:cs="宋体"/>
          <w:color w:val="auto"/>
          <w:szCs w:val="24"/>
          <w:highlight w:val="none"/>
          <w:lang w:eastAsia="zh-CN"/>
        </w:rPr>
        <w:t>委托</w:t>
      </w:r>
      <w:r>
        <w:rPr>
          <w:rFonts w:hint="eastAsia" w:ascii="宋体" w:hAnsi="宋体" w:eastAsia="宋体" w:cs="宋体"/>
          <w:color w:val="auto"/>
          <w:szCs w:val="24"/>
          <w:highlight w:val="none"/>
        </w:rPr>
        <w:t>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_Toc26791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0FB32AE">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_Toc1380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二、 投标书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CD93ED1">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_Toc18432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 xml:space="preserve">三、 </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lang w:val="en-US" w:eastAsia="zh-CN"/>
        </w:rPr>
        <w:t>承诺函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6137818">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_Toc799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四、 投标报价表格</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F81ADC3">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_Toc8349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 xml:space="preserve">五、 </w:t>
      </w:r>
      <w:r>
        <w:rPr>
          <w:rFonts w:hint="eastAsia" w:ascii="宋体" w:hAnsi="宋体" w:eastAsia="宋体" w:cs="宋体"/>
          <w:color w:val="auto"/>
          <w:szCs w:val="24"/>
          <w:highlight w:val="none"/>
          <w:lang w:eastAsia="zh-CN"/>
        </w:rPr>
        <w:t>商务技术偏差表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_Toc8349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FFCA128">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_Toc5255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 xml:space="preserve">六、 </w:t>
      </w:r>
      <w:r>
        <w:rPr>
          <w:rFonts w:hint="eastAsia" w:ascii="宋体" w:hAnsi="宋体" w:eastAsia="宋体" w:cs="宋体"/>
          <w:color w:val="auto"/>
          <w:szCs w:val="24"/>
          <w:highlight w:val="none"/>
          <w:lang w:val="en-US" w:eastAsia="zh-CN"/>
        </w:rPr>
        <w:t>技术部分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408B5E8">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_Toc26830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 xml:space="preserve">七、 </w:t>
      </w:r>
      <w:r>
        <w:rPr>
          <w:rFonts w:hint="eastAsia" w:ascii="宋体" w:hAnsi="宋体" w:eastAsia="宋体" w:cs="宋体"/>
          <w:color w:val="auto"/>
          <w:szCs w:val="24"/>
          <w:highlight w:val="none"/>
          <w:lang w:eastAsia="zh-CN"/>
        </w:rPr>
        <w:t>反商业贿赂承诺书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_Toc26830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84C6B52">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_Toc23641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八、 售后服务方案及其他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_Toc23641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4C10D8A">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_Toc28487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九、 中小企业声明函（如有）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_Toc28487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AE79E03">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_Toc29116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Cs w:val="24"/>
          <w:highlight w:val="none"/>
          <w:lang w:val="en-US" w:eastAsia="zh-CN" w:bidi="ar"/>
        </w:rPr>
        <w:t xml:space="preserve">十、 </w:t>
      </w:r>
      <w:r>
        <w:rPr>
          <w:rFonts w:hint="eastAsia" w:ascii="宋体" w:hAnsi="宋体" w:eastAsia="宋体" w:cs="宋体"/>
          <w:color w:val="auto"/>
          <w:szCs w:val="24"/>
          <w:highlight w:val="none"/>
          <w:lang w:val="en-US" w:eastAsia="zh-CN"/>
        </w:rPr>
        <w:t>关于符合本国产品标准的声明函（如有）或财政部会同有关部门规定的有关证明文件（如有）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_Toc29116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3D9DA03">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_Toc27857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十一、 残疾人福利性单位声明函（如有）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_Toc27857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110</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2DB2513">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_Toc6059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GB" w:eastAsia="zh-CN"/>
        </w:rPr>
        <w:t>十二、 监狱企业证明材料</w:t>
      </w:r>
      <w:r>
        <w:rPr>
          <w:rFonts w:hint="eastAsia" w:ascii="宋体" w:hAnsi="宋体" w:eastAsia="宋体" w:cs="宋体"/>
          <w:color w:val="auto"/>
          <w:szCs w:val="24"/>
          <w:highlight w:val="none"/>
          <w:lang w:val="en-US" w:eastAsia="zh-CN"/>
        </w:rPr>
        <w:t>（如有）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BD7C57F">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_Toc6270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GB"/>
        </w:rPr>
        <w:t xml:space="preserve">十三、 </w:t>
      </w:r>
      <w:r>
        <w:rPr>
          <w:rFonts w:hint="eastAsia" w:ascii="宋体" w:hAnsi="宋体" w:eastAsia="宋体" w:cs="宋体"/>
          <w:color w:val="auto"/>
          <w:szCs w:val="24"/>
          <w:highlight w:val="none"/>
          <w:lang w:val="en-GB" w:eastAsia="zh-CN"/>
        </w:rPr>
        <w:t>节能产品、环境标志产品明细表</w:t>
      </w:r>
      <w:r>
        <w:rPr>
          <w:rFonts w:hint="eastAsia" w:ascii="宋体" w:hAnsi="宋体" w:eastAsia="宋体" w:cs="宋体"/>
          <w:color w:val="auto"/>
          <w:szCs w:val="24"/>
          <w:highlight w:val="none"/>
          <w:lang w:val="en-US" w:eastAsia="zh-CN"/>
        </w:rPr>
        <w:t>（如有）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48BD193">
      <w:pPr>
        <w:pStyle w:val="29"/>
        <w:tabs>
          <w:tab w:val="right" w:leader="dot" w:pos="9072"/>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_Toc20684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十四、 其他资料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_Toc20684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702771D">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fldChar w:fldCharType="end"/>
      </w:r>
    </w:p>
    <w:p w14:paraId="6C9D72AB">
      <w:pPr>
        <w:pStyle w:val="4"/>
        <w:pageBreakBefore w:val="0"/>
        <w:kinsoku/>
        <w:overflowPunct/>
        <w:bidi w:val="0"/>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br w:type="page"/>
      </w:r>
      <w:bookmarkStart w:id="2" w:name="_Toc31096"/>
      <w:bookmarkStart w:id="3" w:name="_Toc10455"/>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一</w:t>
      </w:r>
      <w:r>
        <w:rPr>
          <w:rFonts w:hint="eastAsia" w:ascii="宋体" w:hAnsi="宋体" w:eastAsia="宋体" w:cs="宋体"/>
          <w:color w:val="auto"/>
          <w:sz w:val="32"/>
          <w:szCs w:val="32"/>
          <w:highlight w:val="none"/>
        </w:rPr>
        <w:t xml:space="preserve">章 </w:t>
      </w:r>
      <w:r>
        <w:rPr>
          <w:rFonts w:hint="eastAsia" w:ascii="宋体" w:hAnsi="宋体" w:eastAsia="宋体" w:cs="宋体"/>
          <w:color w:val="auto"/>
          <w:sz w:val="32"/>
          <w:szCs w:val="32"/>
          <w:highlight w:val="none"/>
          <w:lang w:eastAsia="zh-CN"/>
        </w:rPr>
        <w:t>投标邀请</w:t>
      </w:r>
      <w:bookmarkEnd w:id="2"/>
      <w:bookmarkEnd w:id="3"/>
    </w:p>
    <w:p w14:paraId="2ADD2089">
      <w:pPr>
        <w:keepNext w:val="0"/>
        <w:keepLines w:val="0"/>
        <w:pageBreakBefore w:val="0"/>
        <w:widowControl/>
        <w:kinsoku/>
        <w:overflowPunct/>
        <w:topLinePunct w:val="0"/>
        <w:bidi w:val="0"/>
        <w:adjustRightInd w:val="0"/>
        <w:snapToGrid w:val="0"/>
        <w:spacing w:line="360" w:lineRule="auto"/>
        <w:jc w:val="center"/>
        <w:textAlignment w:val="auto"/>
        <w:rPr>
          <w:rFonts w:hint="eastAsia" w:ascii="宋体" w:hAnsi="宋体" w:eastAsia="宋体" w:cs="宋体"/>
          <w:b/>
          <w:bCs w:val="0"/>
          <w:color w:val="auto"/>
          <w:kern w:val="0"/>
          <w:sz w:val="28"/>
          <w:szCs w:val="28"/>
          <w:highlight w:val="none"/>
        </w:rPr>
      </w:pPr>
      <w:bookmarkStart w:id="4" w:name="_Toc312133603"/>
      <w:r>
        <w:rPr>
          <w:rFonts w:hint="eastAsia" w:ascii="宋体" w:hAnsi="宋体" w:eastAsia="宋体" w:cs="宋体"/>
          <w:b/>
          <w:bCs w:val="0"/>
          <w:color w:val="auto"/>
          <w:kern w:val="0"/>
          <w:sz w:val="28"/>
          <w:szCs w:val="28"/>
          <w:highlight w:val="none"/>
          <w:lang w:val="en-US" w:eastAsia="zh-CN"/>
        </w:rPr>
        <w:t>河南省周口生态环境监测中心2026年监测能力建设项目-</w:t>
      </w:r>
      <w:r>
        <w:rPr>
          <w:rFonts w:hint="eastAsia" w:ascii="宋体" w:hAnsi="宋体" w:eastAsia="宋体" w:cs="宋体"/>
          <w:b/>
          <w:bCs w:val="0"/>
          <w:color w:val="auto"/>
          <w:kern w:val="0"/>
          <w:sz w:val="28"/>
          <w:szCs w:val="28"/>
          <w:highlight w:val="none"/>
        </w:rPr>
        <w:t>公开招标公告</w:t>
      </w:r>
    </w:p>
    <w:p w14:paraId="2CD4E045">
      <w:pPr>
        <w:pStyle w:val="5"/>
        <w:keepNext w:val="0"/>
        <w:keepLines w:val="0"/>
        <w:pageBreakBefore w:val="0"/>
        <w:widowControl/>
        <w:numPr>
          <w:ilvl w:val="0"/>
          <w:numId w:val="0"/>
        </w:numPr>
        <w:kinsoku/>
        <w:overflowPunct/>
        <w:topLinePunct w:val="0"/>
        <w:bidi w:val="0"/>
        <w:spacing w:before="0" w:after="0" w:line="360" w:lineRule="auto"/>
        <w:ind w:firstLine="422" w:firstLineChars="200"/>
        <w:jc w:val="left"/>
        <w:textAlignment w:val="auto"/>
        <w:rPr>
          <w:rFonts w:hint="eastAsia" w:ascii="宋体" w:hAnsi="宋体" w:eastAsia="宋体" w:cs="宋体"/>
          <w:bCs/>
          <w:color w:val="auto"/>
          <w:sz w:val="21"/>
          <w:szCs w:val="21"/>
          <w:highlight w:val="none"/>
          <w:shd w:val="clear" w:color="auto" w:fill="FFFFFF"/>
          <w:lang w:eastAsia="zh-CN"/>
        </w:rPr>
      </w:pPr>
      <w:bookmarkStart w:id="5" w:name="_Toc5687"/>
      <w:bookmarkStart w:id="6" w:name="_Toc6549"/>
      <w:bookmarkStart w:id="7" w:name="_Toc3676"/>
      <w:bookmarkStart w:id="8" w:name="_Toc22719"/>
      <w:bookmarkStart w:id="9" w:name="_Toc12701"/>
      <w:bookmarkStart w:id="10" w:name="_Toc14822"/>
      <w:bookmarkStart w:id="11" w:name="_Toc13979"/>
      <w:bookmarkStart w:id="12" w:name="_Toc22853"/>
      <w:bookmarkStart w:id="13" w:name="_Toc14490"/>
      <w:r>
        <w:rPr>
          <w:rFonts w:hint="eastAsia" w:ascii="宋体" w:hAnsi="宋体" w:eastAsia="宋体" w:cs="宋体"/>
          <w:bCs/>
          <w:color w:val="auto"/>
          <w:sz w:val="21"/>
          <w:szCs w:val="21"/>
          <w:highlight w:val="none"/>
          <w:shd w:val="clear" w:color="auto" w:fill="FFFFFF"/>
          <w:lang w:eastAsia="zh-CN"/>
        </w:rPr>
        <w:t>项目概况</w:t>
      </w:r>
      <w:bookmarkEnd w:id="5"/>
      <w:bookmarkEnd w:id="6"/>
      <w:bookmarkEnd w:id="7"/>
      <w:bookmarkEnd w:id="8"/>
      <w:bookmarkEnd w:id="9"/>
      <w:bookmarkEnd w:id="10"/>
      <w:bookmarkEnd w:id="11"/>
      <w:bookmarkEnd w:id="12"/>
      <w:bookmarkEnd w:id="13"/>
    </w:p>
    <w:p w14:paraId="2ED351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河南省周口生态环境监测中心2026年监测能力建设项目招标项目的潜在投标人应在河南省公共资源交易中心（https://hnsggzyjy.henan.gov.cn/）获取招标文件，并于2026年04月28日09时00分（北京时间）前递交投标文件。</w:t>
      </w:r>
    </w:p>
    <w:p w14:paraId="214A2E5A">
      <w:pPr>
        <w:pStyle w:val="5"/>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shd w:val="clear" w:color="auto" w:fill="FFFFFF"/>
          <w:lang w:eastAsia="zh-CN"/>
        </w:rPr>
      </w:pPr>
      <w:bookmarkStart w:id="14" w:name="_Toc23003"/>
      <w:bookmarkStart w:id="15" w:name="_Toc31249"/>
      <w:bookmarkStart w:id="16" w:name="_Toc26789"/>
      <w:bookmarkStart w:id="17" w:name="_Toc21078"/>
      <w:bookmarkStart w:id="18" w:name="_Toc14093"/>
      <w:bookmarkStart w:id="19" w:name="_Toc12664"/>
      <w:bookmarkStart w:id="20" w:name="_Toc18407"/>
      <w:bookmarkStart w:id="21" w:name="_Toc25507"/>
      <w:bookmarkStart w:id="22" w:name="_Toc12691"/>
      <w:bookmarkStart w:id="23" w:name="_Toc22447"/>
      <w:bookmarkStart w:id="24" w:name="_Toc16825"/>
      <w:r>
        <w:rPr>
          <w:rFonts w:hint="eastAsia" w:ascii="宋体" w:hAnsi="宋体" w:eastAsia="宋体" w:cs="宋体"/>
          <w:bCs/>
          <w:color w:val="auto"/>
          <w:sz w:val="21"/>
          <w:szCs w:val="21"/>
          <w:highlight w:val="none"/>
          <w:shd w:val="clear" w:color="auto" w:fill="FFFFFF"/>
          <w:lang w:eastAsia="zh-CN"/>
        </w:rPr>
        <w:t>一、项目基本情况</w:t>
      </w:r>
      <w:bookmarkEnd w:id="14"/>
      <w:bookmarkEnd w:id="15"/>
      <w:bookmarkEnd w:id="16"/>
      <w:bookmarkEnd w:id="17"/>
      <w:bookmarkEnd w:id="18"/>
      <w:bookmarkEnd w:id="19"/>
      <w:bookmarkEnd w:id="20"/>
      <w:bookmarkEnd w:id="21"/>
      <w:bookmarkEnd w:id="22"/>
      <w:bookmarkEnd w:id="23"/>
      <w:bookmarkEnd w:id="24"/>
    </w:p>
    <w:p w14:paraId="0C91F1C9">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项目编号：豫财招标采购-2026-297</w:t>
      </w:r>
    </w:p>
    <w:p w14:paraId="23B1312C">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rPr>
        <w:t>项目名称</w:t>
      </w:r>
      <w:r>
        <w:rPr>
          <w:rFonts w:hint="eastAsia" w:ascii="宋体" w:hAnsi="宋体" w:eastAsia="宋体" w:cs="宋体"/>
          <w:b w:val="0"/>
          <w:bCs w:val="0"/>
          <w:color w:val="auto"/>
          <w:sz w:val="21"/>
          <w:szCs w:val="21"/>
          <w:highlight w:val="none"/>
          <w:shd w:val="clear" w:color="auto" w:fill="FFFFFF"/>
          <w:lang w:eastAsia="zh-CN"/>
        </w:rPr>
        <w:t>：河南省周口生态环境监测中心2026年监测能力建设项目</w:t>
      </w:r>
    </w:p>
    <w:p w14:paraId="3ACBA521">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w:t>
      </w:r>
      <w:bookmarkStart w:id="25" w:name="_Toc26725"/>
      <w:r>
        <w:rPr>
          <w:rFonts w:hint="eastAsia" w:ascii="宋体" w:hAnsi="宋体" w:eastAsia="宋体" w:cs="宋体"/>
          <w:b w:val="0"/>
          <w:bCs w:val="0"/>
          <w:color w:val="auto"/>
          <w:sz w:val="21"/>
          <w:szCs w:val="21"/>
          <w:highlight w:val="none"/>
          <w:shd w:val="clear" w:color="auto" w:fill="FFFFFF"/>
          <w:lang w:val="en-US" w:eastAsia="zh-CN"/>
        </w:rPr>
        <w:t>、</w:t>
      </w:r>
      <w:r>
        <w:rPr>
          <w:rFonts w:hint="eastAsia" w:ascii="宋体" w:hAnsi="宋体" w:eastAsia="宋体" w:cs="宋体"/>
          <w:b w:val="0"/>
          <w:bCs w:val="0"/>
          <w:color w:val="auto"/>
          <w:sz w:val="21"/>
          <w:szCs w:val="21"/>
          <w:highlight w:val="none"/>
          <w:shd w:val="clear" w:color="auto" w:fill="FFFFFF"/>
          <w:lang w:eastAsia="zh-CN"/>
        </w:rPr>
        <w:t>采购方式</w:t>
      </w:r>
      <w:r>
        <w:rPr>
          <w:rFonts w:hint="eastAsia" w:ascii="宋体" w:hAnsi="宋体" w:eastAsia="宋体" w:cs="宋体"/>
          <w:b w:val="0"/>
          <w:bCs w:val="0"/>
          <w:color w:val="auto"/>
          <w:sz w:val="21"/>
          <w:szCs w:val="21"/>
          <w:highlight w:val="none"/>
          <w:shd w:val="clear" w:color="auto" w:fill="FFFFFF"/>
          <w:lang w:val="en-US" w:eastAsia="zh-CN"/>
        </w:rPr>
        <w:t>：</w:t>
      </w:r>
      <w:r>
        <w:rPr>
          <w:rFonts w:hint="eastAsia" w:ascii="宋体" w:hAnsi="宋体" w:eastAsia="宋体" w:cs="宋体"/>
          <w:b w:val="0"/>
          <w:bCs w:val="0"/>
          <w:color w:val="auto"/>
          <w:sz w:val="21"/>
          <w:szCs w:val="21"/>
          <w:highlight w:val="none"/>
          <w:shd w:val="clear" w:color="auto" w:fill="FFFFFF"/>
          <w:lang w:eastAsia="zh-CN"/>
        </w:rPr>
        <w:t>公开招标</w:t>
      </w:r>
    </w:p>
    <w:p w14:paraId="7A9FDBB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预算金额</w:t>
      </w:r>
      <w:r>
        <w:rPr>
          <w:rFonts w:hint="eastAsia" w:ascii="宋体" w:hAnsi="宋体" w:eastAsia="宋体" w:cs="宋体"/>
          <w:b w:val="0"/>
          <w:bCs w:val="0"/>
          <w:color w:val="auto"/>
          <w:sz w:val="21"/>
          <w:szCs w:val="21"/>
          <w:highlight w:val="none"/>
          <w:shd w:val="clear" w:color="auto" w:fill="FFFFFF"/>
          <w:lang w:val="en-US" w:eastAsia="zh-CN"/>
        </w:rPr>
        <w:t>：1662000.00元</w:t>
      </w:r>
    </w:p>
    <w:p w14:paraId="4501048F">
      <w:pPr>
        <w:pStyle w:val="70"/>
        <w:keepNext w:val="0"/>
        <w:keepLines w:val="0"/>
        <w:pageBreakBefore w:val="0"/>
        <w:kinsoku/>
        <w:wordWrap/>
        <w:overflowPunct/>
        <w:topLinePunct w:val="0"/>
        <w:bidi w:val="0"/>
        <w:spacing w:line="360" w:lineRule="auto"/>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 xml:space="preserve">       最高限价：1662000.00元</w:t>
      </w:r>
    </w:p>
    <w:tbl>
      <w:tblPr>
        <w:tblStyle w:val="37"/>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25"/>
        <w:gridCol w:w="3413"/>
        <w:gridCol w:w="1475"/>
        <w:gridCol w:w="1394"/>
      </w:tblGrid>
      <w:tr w14:paraId="76A5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96" w:type="dxa"/>
            <w:noWrap w:val="0"/>
            <w:vAlign w:val="center"/>
          </w:tcPr>
          <w:p w14:paraId="602F6D85">
            <w:pPr>
              <w:pStyle w:val="70"/>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序号</w:t>
            </w:r>
          </w:p>
        </w:tc>
        <w:tc>
          <w:tcPr>
            <w:tcW w:w="1625" w:type="dxa"/>
            <w:noWrap w:val="0"/>
            <w:vAlign w:val="center"/>
          </w:tcPr>
          <w:p w14:paraId="15B96441">
            <w:pPr>
              <w:pStyle w:val="70"/>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包号</w:t>
            </w:r>
          </w:p>
        </w:tc>
        <w:tc>
          <w:tcPr>
            <w:tcW w:w="3413" w:type="dxa"/>
            <w:noWrap w:val="0"/>
            <w:vAlign w:val="center"/>
          </w:tcPr>
          <w:p w14:paraId="002F33B3">
            <w:pPr>
              <w:pStyle w:val="70"/>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包名称</w:t>
            </w:r>
          </w:p>
        </w:tc>
        <w:tc>
          <w:tcPr>
            <w:tcW w:w="1475" w:type="dxa"/>
            <w:noWrap w:val="0"/>
            <w:vAlign w:val="center"/>
          </w:tcPr>
          <w:p w14:paraId="3B1BF8A1">
            <w:pPr>
              <w:pStyle w:val="70"/>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包预算（元）</w:t>
            </w:r>
          </w:p>
        </w:tc>
        <w:tc>
          <w:tcPr>
            <w:tcW w:w="1394" w:type="dxa"/>
            <w:noWrap w:val="0"/>
            <w:vAlign w:val="center"/>
          </w:tcPr>
          <w:p w14:paraId="7E87228A">
            <w:pPr>
              <w:pStyle w:val="70"/>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包最高限价（元）</w:t>
            </w:r>
          </w:p>
        </w:tc>
      </w:tr>
      <w:tr w14:paraId="0012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dxa"/>
            <w:noWrap w:val="0"/>
            <w:vAlign w:val="center"/>
          </w:tcPr>
          <w:p w14:paraId="7872448F">
            <w:pPr>
              <w:pStyle w:val="70"/>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1</w:t>
            </w:r>
          </w:p>
        </w:tc>
        <w:tc>
          <w:tcPr>
            <w:tcW w:w="1625" w:type="dxa"/>
            <w:noWrap w:val="0"/>
            <w:vAlign w:val="center"/>
          </w:tcPr>
          <w:p w14:paraId="3B657ED2">
            <w:pPr>
              <w:pStyle w:val="70"/>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豫政采(2)20260348-1</w:t>
            </w:r>
          </w:p>
        </w:tc>
        <w:tc>
          <w:tcPr>
            <w:tcW w:w="3413" w:type="dxa"/>
            <w:noWrap w:val="0"/>
            <w:vAlign w:val="center"/>
          </w:tcPr>
          <w:p w14:paraId="0AFEFC69">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lang w:eastAsia="zh-CN"/>
              </w:rPr>
              <w:t>河南省周口生态环境监测中心2026年监测能力建设项目</w:t>
            </w:r>
          </w:p>
        </w:tc>
        <w:tc>
          <w:tcPr>
            <w:tcW w:w="1475" w:type="dxa"/>
            <w:noWrap w:val="0"/>
            <w:vAlign w:val="center"/>
          </w:tcPr>
          <w:p w14:paraId="64B5CD8D">
            <w:pPr>
              <w:pStyle w:val="70"/>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lang w:val="en-US" w:eastAsia="zh-CN"/>
              </w:rPr>
              <w:t>1662000.00</w:t>
            </w:r>
          </w:p>
        </w:tc>
        <w:tc>
          <w:tcPr>
            <w:tcW w:w="1394" w:type="dxa"/>
            <w:noWrap w:val="0"/>
            <w:vAlign w:val="center"/>
          </w:tcPr>
          <w:p w14:paraId="38D817ED">
            <w:pPr>
              <w:pStyle w:val="70"/>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lang w:val="en-US" w:eastAsia="zh-CN"/>
              </w:rPr>
              <w:t>1662000.00</w:t>
            </w:r>
          </w:p>
        </w:tc>
      </w:tr>
    </w:tbl>
    <w:p w14:paraId="4642A0EF">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bookmarkStart w:id="26" w:name="_Toc24040"/>
      <w:bookmarkStart w:id="27" w:name="_Toc27913"/>
      <w:bookmarkStart w:id="28" w:name="_Toc19521"/>
      <w:bookmarkStart w:id="29" w:name="_Toc26079"/>
      <w:bookmarkStart w:id="30" w:name="_Toc21071"/>
      <w:r>
        <w:rPr>
          <w:rFonts w:hint="eastAsia" w:ascii="宋体" w:hAnsi="宋体" w:eastAsia="宋体" w:cs="宋体"/>
          <w:b w:val="0"/>
          <w:bCs w:val="0"/>
          <w:color w:val="auto"/>
          <w:sz w:val="21"/>
          <w:szCs w:val="21"/>
          <w:highlight w:val="none"/>
          <w:shd w:val="clear" w:color="auto" w:fill="FFFFFF"/>
          <w:lang w:val="en-US" w:eastAsia="zh-CN"/>
        </w:rPr>
        <w:t>5、</w:t>
      </w:r>
      <w:r>
        <w:rPr>
          <w:rFonts w:hint="eastAsia" w:ascii="宋体" w:hAnsi="宋体" w:eastAsia="宋体" w:cs="宋体"/>
          <w:b w:val="0"/>
          <w:bCs w:val="0"/>
          <w:color w:val="auto"/>
          <w:sz w:val="21"/>
          <w:szCs w:val="21"/>
          <w:highlight w:val="none"/>
          <w:shd w:val="clear" w:color="auto" w:fill="FFFFFF"/>
        </w:rPr>
        <w:t>采购需求</w:t>
      </w:r>
      <w:bookmarkEnd w:id="26"/>
      <w:bookmarkEnd w:id="27"/>
      <w:bookmarkEnd w:id="28"/>
      <w:bookmarkEnd w:id="29"/>
      <w:bookmarkEnd w:id="30"/>
      <w:r>
        <w:rPr>
          <w:rFonts w:hint="eastAsia" w:ascii="宋体" w:hAnsi="宋体" w:eastAsia="宋体" w:cs="宋体"/>
          <w:b w:val="0"/>
          <w:bCs w:val="0"/>
          <w:color w:val="auto"/>
          <w:sz w:val="21"/>
          <w:szCs w:val="21"/>
          <w:highlight w:val="none"/>
          <w:shd w:val="clear" w:color="auto" w:fill="FFFFFF"/>
          <w:lang w:val="en-US" w:eastAsia="zh-CN"/>
        </w:rPr>
        <w:t>：</w:t>
      </w:r>
      <w:r>
        <w:rPr>
          <w:rFonts w:hint="eastAsia" w:ascii="宋体" w:hAnsi="宋体" w:eastAsia="宋体" w:cs="宋体"/>
          <w:i w:val="0"/>
          <w:caps w:val="0"/>
          <w:color w:val="auto"/>
          <w:spacing w:val="0"/>
          <w:sz w:val="21"/>
          <w:szCs w:val="21"/>
          <w:highlight w:val="none"/>
          <w:shd w:val="clear" w:color="auto" w:fill="FFFFFF"/>
        </w:rPr>
        <w:t>（包括但不限于标的的名称、数量、简要技术需求或服务要求等）</w:t>
      </w:r>
    </w:p>
    <w:p w14:paraId="30B1E2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kern w:val="2"/>
          <w:sz w:val="21"/>
          <w:szCs w:val="21"/>
          <w:highlight w:val="none"/>
          <w:lang w:val="en-US" w:eastAsia="zh-CN" w:bidi="ar-SA"/>
        </w:rPr>
        <w:t>5.1 采购内容：河南省周口生态环境监测中心2026年监测能力建设项目采购内容主要包括：离子色谱仪（1套）、全自动红外测油仪（1套）、便携式气相分子吸收光谱仪（1套）、双光束紫外可见分光光度计（1套）、紫外可见分光光度计（1套）、干燥箱（1套）、便携式抽滤装置（1套）、氟离子计（1套）、立式高压蒸汽灭菌器（2套）、CODcr回流消解仪（2套）、便携式浊度计（2套）、便携式pH测定仪（2套）、便携式溶解氧测定仪（2套）、便携式电导率测定仪（2套），</w:t>
      </w:r>
      <w:r>
        <w:rPr>
          <w:rFonts w:hint="eastAsia" w:ascii="宋体" w:hAnsi="宋体" w:eastAsia="宋体" w:cs="宋体"/>
          <w:color w:val="auto"/>
          <w:kern w:val="0"/>
          <w:sz w:val="21"/>
          <w:szCs w:val="21"/>
          <w:highlight w:val="none"/>
        </w:rPr>
        <w:t>包含设备</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采购、安装、调试、试运行及相关服务等</w:t>
      </w:r>
      <w:r>
        <w:rPr>
          <w:rFonts w:hint="eastAsia" w:ascii="宋体" w:hAnsi="宋体" w:eastAsia="宋体" w:cs="宋体"/>
          <w:color w:val="auto"/>
          <w:kern w:val="0"/>
          <w:sz w:val="21"/>
          <w:szCs w:val="21"/>
          <w:highlight w:val="none"/>
          <w:lang w:val="en-US" w:eastAsia="zh-CN"/>
        </w:rPr>
        <w:t>全部内容</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shd w:val="clear" w:color="auto" w:fill="FFFFFF"/>
          <w:lang w:val="en-US" w:eastAsia="zh-CN"/>
        </w:rPr>
        <w:t>具体采购内容详见《河南省政府采购网》附件。</w:t>
      </w:r>
    </w:p>
    <w:p w14:paraId="7AC8A2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质量标准：合格并验收通过。</w:t>
      </w:r>
    </w:p>
    <w:p w14:paraId="4D061F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交货</w:t>
      </w:r>
      <w:r>
        <w:rPr>
          <w:rFonts w:hint="eastAsia" w:ascii="宋体" w:hAnsi="宋体" w:eastAsia="宋体" w:cs="宋体"/>
          <w:color w:val="auto"/>
          <w:szCs w:val="21"/>
          <w:highlight w:val="none"/>
          <w:lang w:val="en-US" w:eastAsia="zh-CN"/>
        </w:rPr>
        <w:t>及安装调试</w:t>
      </w:r>
      <w:r>
        <w:rPr>
          <w:rFonts w:hint="eastAsia" w:ascii="宋体" w:hAnsi="宋体" w:eastAsia="宋体" w:cs="宋体"/>
          <w:color w:val="auto"/>
          <w:szCs w:val="21"/>
          <w:highlight w:val="none"/>
        </w:rPr>
        <w:t>期：合同签订生效后</w:t>
      </w:r>
      <w:r>
        <w:rPr>
          <w:rFonts w:hint="eastAsia" w:cs="宋体"/>
          <w:color w:val="auto"/>
          <w:szCs w:val="21"/>
          <w:highlight w:val="none"/>
          <w:lang w:val="en-US" w:eastAsia="zh-CN"/>
        </w:rPr>
        <w:t>60</w:t>
      </w:r>
      <w:r>
        <w:rPr>
          <w:rFonts w:hint="eastAsia" w:ascii="宋体" w:hAnsi="宋体" w:eastAsia="宋体" w:cs="宋体"/>
          <w:color w:val="auto"/>
          <w:szCs w:val="21"/>
          <w:highlight w:val="none"/>
          <w:lang w:val="en-US" w:eastAsia="zh-CN"/>
        </w:rPr>
        <w:t>日历天</w:t>
      </w:r>
      <w:r>
        <w:rPr>
          <w:rFonts w:hint="eastAsia" w:ascii="宋体" w:hAnsi="宋体" w:eastAsia="宋体" w:cs="宋体"/>
          <w:color w:val="auto"/>
          <w:szCs w:val="21"/>
          <w:highlight w:val="none"/>
        </w:rPr>
        <w:t>内</w:t>
      </w:r>
      <w:r>
        <w:rPr>
          <w:rFonts w:hint="eastAsia" w:ascii="宋体" w:hAnsi="宋体" w:eastAsia="宋体" w:cs="宋体"/>
          <w:color w:val="auto"/>
          <w:szCs w:val="21"/>
          <w:highlight w:val="none"/>
          <w:lang w:val="en-US" w:eastAsia="zh-CN"/>
        </w:rPr>
        <w:t>交货并</w:t>
      </w:r>
      <w:r>
        <w:rPr>
          <w:rFonts w:hint="eastAsia" w:ascii="宋体" w:hAnsi="宋体" w:eastAsia="宋体" w:cs="宋体"/>
          <w:color w:val="auto"/>
          <w:szCs w:val="21"/>
          <w:highlight w:val="none"/>
        </w:rPr>
        <w:t>安装调试完毕。</w:t>
      </w:r>
    </w:p>
    <w:p w14:paraId="5263236A">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5.4 交货地点：河南省周口生态环境监测中心指定地点。</w:t>
      </w:r>
    </w:p>
    <w:p w14:paraId="4B5B5B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rPr>
        <w:t>5.5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质量保证期：设备验收合格后，整机质保</w:t>
      </w:r>
      <w:r>
        <w:rPr>
          <w:rFonts w:hint="eastAsia" w:ascii="宋体" w:hAnsi="宋体" w:eastAsia="宋体" w:cs="宋体"/>
          <w:color w:val="auto"/>
          <w:szCs w:val="21"/>
          <w:highlight w:val="none"/>
          <w:lang w:val="en-US" w:eastAsia="zh-CN"/>
        </w:rPr>
        <w:t>24个月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其中</w:t>
      </w:r>
      <w:r>
        <w:rPr>
          <w:rFonts w:hint="eastAsia" w:ascii="宋体" w:hAnsi="宋体" w:eastAsia="宋体" w:cs="宋体"/>
          <w:color w:val="auto"/>
          <w:szCs w:val="21"/>
          <w:highlight w:val="none"/>
          <w:lang w:eastAsia="zh-CN"/>
        </w:rPr>
        <w:t>离子色谱仪整机质保60个月）。</w:t>
      </w:r>
    </w:p>
    <w:p w14:paraId="2BDF02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5.6</w:t>
      </w:r>
      <w:r>
        <w:rPr>
          <w:rFonts w:hint="eastAsia" w:ascii="宋体" w:hAnsi="宋体" w:eastAsia="宋体" w:cs="宋体"/>
          <w:color w:val="auto"/>
          <w:szCs w:val="21"/>
          <w:highlight w:val="none"/>
          <w:lang w:val="en-US" w:eastAsia="zh-CN"/>
        </w:rPr>
        <w:t xml:space="preserve"> 包号</w:t>
      </w:r>
      <w:r>
        <w:rPr>
          <w:rFonts w:hint="eastAsia" w:ascii="宋体" w:hAnsi="宋体" w:eastAsia="宋体" w:cs="宋体"/>
          <w:color w:val="auto"/>
          <w:szCs w:val="21"/>
          <w:highlight w:val="none"/>
        </w:rPr>
        <w:t>划分：本项目分为1个标包</w:t>
      </w:r>
      <w:r>
        <w:rPr>
          <w:rFonts w:hint="eastAsia" w:ascii="宋体" w:hAnsi="宋体" w:eastAsia="宋体" w:cs="宋体"/>
          <w:color w:val="auto"/>
          <w:szCs w:val="21"/>
          <w:highlight w:val="none"/>
          <w:lang w:eastAsia="zh-CN"/>
        </w:rPr>
        <w:t>。</w:t>
      </w:r>
    </w:p>
    <w:p w14:paraId="2522300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6、合同履行期限：合同生效至质量保证期结束。</w:t>
      </w:r>
    </w:p>
    <w:p w14:paraId="0220B56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7、本项目是否接受联合体投标：否。</w:t>
      </w:r>
    </w:p>
    <w:p w14:paraId="19C2E0E9">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8、是否接受进口产品：否。</w:t>
      </w:r>
    </w:p>
    <w:p w14:paraId="33699C3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9、是否专门面向中小企业：否。</w:t>
      </w:r>
    </w:p>
    <w:p w14:paraId="0BDC6D7D">
      <w:pPr>
        <w:pStyle w:val="5"/>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shd w:val="clear" w:color="auto" w:fill="FFFFFF"/>
        </w:rPr>
      </w:pPr>
      <w:bookmarkStart w:id="31" w:name="_Toc18607"/>
      <w:bookmarkStart w:id="32" w:name="_Toc16639"/>
      <w:bookmarkStart w:id="33" w:name="_Toc23626"/>
      <w:bookmarkStart w:id="34" w:name="_Toc27704"/>
      <w:bookmarkStart w:id="35" w:name="_Toc9383"/>
      <w:bookmarkStart w:id="36" w:name="_Toc21997"/>
      <w:bookmarkStart w:id="37" w:name="_Toc29800"/>
      <w:bookmarkStart w:id="38" w:name="_Toc24570"/>
      <w:bookmarkStart w:id="39" w:name="_Toc8922"/>
      <w:bookmarkStart w:id="40" w:name="_Toc5353"/>
      <w:bookmarkStart w:id="41" w:name="_Toc613"/>
      <w:bookmarkStart w:id="42" w:name="_Toc18664"/>
      <w:bookmarkStart w:id="43" w:name="_Toc9330"/>
      <w:bookmarkStart w:id="44" w:name="_Toc17467"/>
      <w:bookmarkStart w:id="45" w:name="_Toc30066"/>
      <w:r>
        <w:rPr>
          <w:rFonts w:hint="eastAsia" w:ascii="宋体" w:hAnsi="宋体" w:eastAsia="宋体" w:cs="宋体"/>
          <w:bCs/>
          <w:color w:val="auto"/>
          <w:sz w:val="21"/>
          <w:szCs w:val="21"/>
          <w:highlight w:val="none"/>
          <w:shd w:val="clear" w:color="auto" w:fill="FFFFFF"/>
          <w:lang w:eastAsia="zh-CN"/>
        </w:rPr>
        <w:t>二</w:t>
      </w:r>
      <w:r>
        <w:rPr>
          <w:rFonts w:hint="eastAsia" w:ascii="宋体" w:hAnsi="宋体" w:eastAsia="宋体" w:cs="宋体"/>
          <w:bCs/>
          <w:color w:val="auto"/>
          <w:sz w:val="21"/>
          <w:szCs w:val="21"/>
          <w:highlight w:val="none"/>
          <w:shd w:val="clear" w:color="auto" w:fill="FFFFFF"/>
        </w:rPr>
        <w:t>、</w:t>
      </w:r>
      <w:bookmarkEnd w:id="25"/>
      <w:bookmarkEnd w:id="31"/>
      <w:bookmarkEnd w:id="32"/>
      <w:bookmarkEnd w:id="33"/>
      <w:bookmarkEnd w:id="34"/>
      <w:r>
        <w:rPr>
          <w:rFonts w:hint="eastAsia" w:ascii="宋体" w:hAnsi="宋体" w:eastAsia="宋体" w:cs="宋体"/>
          <w:bCs/>
          <w:color w:val="auto"/>
          <w:sz w:val="21"/>
          <w:szCs w:val="21"/>
          <w:highlight w:val="none"/>
          <w:shd w:val="clear" w:color="auto" w:fill="FFFFFF"/>
        </w:rPr>
        <w:t>申请人资格要求：</w:t>
      </w:r>
      <w:bookmarkEnd w:id="35"/>
      <w:bookmarkEnd w:id="36"/>
      <w:bookmarkEnd w:id="37"/>
      <w:bookmarkEnd w:id="38"/>
      <w:bookmarkEnd w:id="39"/>
      <w:bookmarkEnd w:id="40"/>
      <w:bookmarkEnd w:id="41"/>
      <w:bookmarkEnd w:id="42"/>
      <w:bookmarkEnd w:id="43"/>
      <w:bookmarkEnd w:id="44"/>
      <w:bookmarkEnd w:id="45"/>
    </w:p>
    <w:p w14:paraId="38492B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1、满足《中华人民共和国政府采购法》第二十二条规定；</w:t>
      </w:r>
    </w:p>
    <w:p w14:paraId="2E6436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2、落实政府采购政策满足的资格要求：无。</w:t>
      </w:r>
    </w:p>
    <w:p w14:paraId="22FCDB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p>
    <w:p w14:paraId="32A82C2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46" w:name="_Toc30643"/>
      <w:bookmarkStart w:id="47" w:name="_Toc9562"/>
      <w:bookmarkStart w:id="48" w:name="_Toc23395"/>
      <w:bookmarkStart w:id="49" w:name="_Toc9226"/>
      <w:bookmarkStart w:id="50" w:name="_Toc1430"/>
      <w:bookmarkStart w:id="51" w:name="_Toc30971"/>
      <w:bookmarkStart w:id="52" w:name="_Toc7823"/>
      <w:bookmarkStart w:id="53" w:name="_Toc17576"/>
      <w:r>
        <w:rPr>
          <w:rFonts w:hint="eastAsia" w:ascii="宋体" w:hAnsi="宋体" w:eastAsia="宋体" w:cs="宋体"/>
          <w:color w:val="auto"/>
          <w:sz w:val="21"/>
          <w:szCs w:val="21"/>
          <w:highlight w:val="none"/>
          <w:lang w:val="en-US" w:eastAsia="zh-CN"/>
        </w:rPr>
        <w:t>3.1 根据《关于在政府采购活动中查询及使用信用记录有关问题的通知》（财库[2016]125号）的规定，采购人或采购代理机构将通过“中国执行信息公开网”网站（https://zxgk.court.gov.cn/）、“信用中国”网站（https://www.creditchina.gov.cn/）、中国政府采购网（http://www.ccgp.gov.cn/）、国家企业信用信息公示系统（http://www.gsxt.gov.cn）等渠道查询投标人信用记录，被列入失信被执行人、重大税收违法失信主体、政府采购严重违法失信行为记录名单、严重违法失信名单的投标人将被拒绝参与本项目政府采购活动（截止时点：投标截止时间）。在规定的查询时间之后，网站信息发生的任何变更均不再作为评审依据。投标人自行提供的与网站信息不一致的其他证明材料亦不作为资格审查的依据。信用信息查询记录和证据将同采购文件等资料一同归档保存。</w:t>
      </w:r>
    </w:p>
    <w:p w14:paraId="604BDD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3.2单位负责人为同一人或者存在直接控股、管理关系的不同投标人，不得参加同一合同项下的政府采购活动。</w:t>
      </w:r>
    </w:p>
    <w:p w14:paraId="66E3C080">
      <w:pPr>
        <w:pStyle w:val="5"/>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54" w:name="_Toc5519"/>
      <w:bookmarkStart w:id="55" w:name="_Toc25665"/>
      <w:bookmarkStart w:id="56" w:name="_Toc5893"/>
      <w:bookmarkStart w:id="57" w:name="_Toc28569"/>
      <w:bookmarkStart w:id="58" w:name="_Toc21268"/>
      <w:bookmarkStart w:id="59" w:name="_Toc12041"/>
      <w:bookmarkStart w:id="60" w:name="_Toc23730"/>
      <w:bookmarkStart w:id="61" w:name="_Toc29346"/>
      <w:r>
        <w:rPr>
          <w:rFonts w:hint="eastAsia" w:ascii="宋体" w:hAnsi="宋体" w:eastAsia="宋体" w:cs="宋体"/>
          <w:bCs/>
          <w:color w:val="auto"/>
          <w:sz w:val="21"/>
          <w:szCs w:val="21"/>
          <w:highlight w:val="none"/>
          <w:shd w:val="clear" w:color="auto" w:fill="FFFFFF"/>
          <w:lang w:eastAsia="zh-CN"/>
        </w:rPr>
        <w:t>三</w:t>
      </w:r>
      <w:r>
        <w:rPr>
          <w:rFonts w:hint="eastAsia" w:ascii="宋体" w:hAnsi="宋体" w:eastAsia="宋体" w:cs="宋体"/>
          <w:bCs/>
          <w:color w:val="auto"/>
          <w:sz w:val="21"/>
          <w:szCs w:val="21"/>
          <w:highlight w:val="none"/>
          <w:shd w:val="clear" w:color="auto" w:fill="FFFFFF"/>
        </w:rPr>
        <w:t>、获取招标文件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708F295">
      <w:pPr>
        <w:keepNext w:val="0"/>
        <w:keepLines w:val="0"/>
        <w:pageBreakBefore w:val="0"/>
        <w:widowControl/>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 w:val="21"/>
          <w:szCs w:val="21"/>
          <w:highlight w:val="none"/>
          <w:shd w:val="clear" w:color="auto" w:fill="FFFFFF"/>
          <w:lang w:val="en-US" w:eastAsia="zh-CN"/>
        </w:rPr>
        <w:t>2026</w:t>
      </w:r>
      <w:r>
        <w:rPr>
          <w:rFonts w:hint="eastAsia" w:ascii="宋体" w:hAnsi="宋体" w:eastAsia="宋体" w:cs="宋体"/>
          <w:color w:val="auto"/>
          <w:kern w:val="0"/>
          <w:sz w:val="21"/>
          <w:szCs w:val="21"/>
          <w:highlight w:val="none"/>
        </w:rPr>
        <w:t>年</w:t>
      </w:r>
      <w:r>
        <w:rPr>
          <w:rFonts w:hint="eastAsia" w:cs="宋体"/>
          <w:color w:val="auto"/>
          <w:kern w:val="0"/>
          <w:sz w:val="21"/>
          <w:szCs w:val="21"/>
          <w:highlight w:val="none"/>
          <w:lang w:val="en-US" w:eastAsia="zh-CN"/>
        </w:rPr>
        <w:t>04</w:t>
      </w:r>
      <w:r>
        <w:rPr>
          <w:rFonts w:hint="eastAsia" w:ascii="宋体" w:hAnsi="宋体" w:eastAsia="宋体" w:cs="宋体"/>
          <w:color w:val="auto"/>
          <w:kern w:val="0"/>
          <w:sz w:val="21"/>
          <w:szCs w:val="21"/>
          <w:highlight w:val="none"/>
        </w:rPr>
        <w:t>月</w:t>
      </w:r>
      <w:r>
        <w:rPr>
          <w:rFonts w:hint="eastAsia" w:cs="宋体"/>
          <w:color w:val="auto"/>
          <w:kern w:val="0"/>
          <w:sz w:val="21"/>
          <w:szCs w:val="21"/>
          <w:highlight w:val="none"/>
          <w:lang w:val="en-US" w:eastAsia="zh-CN"/>
        </w:rPr>
        <w:t>08</w:t>
      </w:r>
      <w:r>
        <w:rPr>
          <w:rFonts w:hint="eastAsia" w:ascii="宋体" w:hAnsi="宋体" w:eastAsia="宋体" w:cs="宋体"/>
          <w:color w:val="auto"/>
          <w:kern w:val="0"/>
          <w:sz w:val="21"/>
          <w:szCs w:val="21"/>
          <w:highlight w:val="none"/>
        </w:rPr>
        <w:t>日</w:t>
      </w:r>
      <w:r>
        <w:rPr>
          <w:rFonts w:hint="eastAsia" w:ascii="宋体" w:hAnsi="宋体" w:eastAsia="宋体" w:cs="宋体"/>
          <w:color w:val="auto"/>
          <w:sz w:val="21"/>
          <w:szCs w:val="21"/>
          <w:highlight w:val="none"/>
          <w:shd w:val="clear" w:color="auto" w:fill="FFFFFF"/>
        </w:rPr>
        <w:t>至</w:t>
      </w:r>
      <w:r>
        <w:rPr>
          <w:rFonts w:hint="eastAsia" w:ascii="宋体" w:hAnsi="宋体" w:eastAsia="宋体" w:cs="宋体"/>
          <w:color w:val="auto"/>
          <w:sz w:val="21"/>
          <w:szCs w:val="21"/>
          <w:highlight w:val="none"/>
          <w:shd w:val="clear" w:color="auto" w:fill="FFFFFF"/>
          <w:lang w:val="en-US" w:eastAsia="zh-CN"/>
        </w:rPr>
        <w:t>2026</w:t>
      </w:r>
      <w:r>
        <w:rPr>
          <w:rFonts w:hint="eastAsia" w:ascii="宋体" w:hAnsi="宋体" w:eastAsia="宋体" w:cs="宋体"/>
          <w:color w:val="auto"/>
          <w:kern w:val="0"/>
          <w:sz w:val="21"/>
          <w:szCs w:val="21"/>
          <w:highlight w:val="none"/>
        </w:rPr>
        <w:t>年</w:t>
      </w:r>
      <w:r>
        <w:rPr>
          <w:rFonts w:hint="eastAsia" w:cs="宋体"/>
          <w:color w:val="auto"/>
          <w:kern w:val="0"/>
          <w:sz w:val="21"/>
          <w:szCs w:val="21"/>
          <w:highlight w:val="none"/>
          <w:lang w:val="en-US" w:eastAsia="zh-CN"/>
        </w:rPr>
        <w:t>04</w:t>
      </w:r>
      <w:r>
        <w:rPr>
          <w:rFonts w:hint="eastAsia" w:ascii="宋体" w:hAnsi="宋体" w:eastAsia="宋体" w:cs="宋体"/>
          <w:color w:val="auto"/>
          <w:kern w:val="0"/>
          <w:sz w:val="21"/>
          <w:szCs w:val="21"/>
          <w:highlight w:val="none"/>
        </w:rPr>
        <w:t>月</w:t>
      </w:r>
      <w:r>
        <w:rPr>
          <w:rFonts w:hint="eastAsia"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lang w:eastAsia="zh-CN"/>
        </w:rPr>
        <w:t>，每天上午00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00至12：00</w:t>
      </w:r>
      <w:r>
        <w:rPr>
          <w:rFonts w:hint="eastAsia" w:ascii="宋体" w:hAnsi="宋体" w:eastAsia="宋体" w:cs="宋体"/>
          <w:color w:val="auto"/>
          <w:kern w:val="0"/>
          <w:sz w:val="21"/>
          <w:szCs w:val="21"/>
          <w:highlight w:val="none"/>
          <w:lang w:val="en-US" w:eastAsia="zh-CN"/>
        </w:rPr>
        <w:t>，下午12：00至23：59（北京时间，法定节假日除外。</w:t>
      </w:r>
      <w:r>
        <w:rPr>
          <w:rFonts w:hint="eastAsia" w:ascii="宋体" w:hAnsi="宋体" w:eastAsia="宋体" w:cs="宋体"/>
          <w:color w:val="auto"/>
          <w:sz w:val="21"/>
          <w:szCs w:val="21"/>
          <w:highlight w:val="none"/>
          <w:shd w:val="clear" w:color="auto" w:fill="FFFFFF"/>
          <w:lang w:val="en-US" w:eastAsia="zh-CN"/>
        </w:rPr>
        <w:t>）</w:t>
      </w:r>
    </w:p>
    <w:p w14:paraId="74061E4F">
      <w:pPr>
        <w:pStyle w:val="3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2.地点：</w:t>
      </w:r>
      <w:r>
        <w:rPr>
          <w:rFonts w:hint="eastAsia" w:ascii="宋体" w:hAnsi="宋体" w:eastAsia="宋体" w:cs="宋体"/>
          <w:b w:val="0"/>
          <w:bCs w:val="0"/>
          <w:color w:val="auto"/>
          <w:kern w:val="0"/>
          <w:sz w:val="21"/>
          <w:szCs w:val="21"/>
          <w:highlight w:val="none"/>
          <w:u w:val="none" w:color="auto"/>
          <w:lang w:val="en-US" w:eastAsia="zh-CN"/>
        </w:rPr>
        <w:t>河南省公共资源交易中心（https://hnsggzyjy.henan.gov.cn/）</w:t>
      </w:r>
    </w:p>
    <w:p w14:paraId="13770361">
      <w:pPr>
        <w:pStyle w:val="3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3.方式：市场主体需要完成 CA 数字证书办理，凭 CA 密钥登陆河南省公共资源交易中心系统并在规定时间内按网上提示下载招标文件，获取招标文件后，</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b w:val="0"/>
          <w:bCs w:val="0"/>
          <w:color w:val="auto"/>
          <w:sz w:val="21"/>
          <w:szCs w:val="21"/>
          <w:highlight w:val="none"/>
          <w:shd w:val="clear" w:color="auto" w:fill="FFFFFF"/>
          <w:lang w:val="en-US" w:eastAsia="zh-CN"/>
        </w:rPr>
        <w:t>请到河南省公共资源交易中心网站下载最新版本的投标文件制作工具安装包，并使用安装后的最新版本投标文件制作工具制作电子投标文件。</w:t>
      </w:r>
    </w:p>
    <w:p w14:paraId="65478DDC">
      <w:pPr>
        <w:pStyle w:val="3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4.售价：0元</w:t>
      </w:r>
    </w:p>
    <w:p w14:paraId="27AB68F3">
      <w:pPr>
        <w:pStyle w:val="5"/>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62" w:name="_Toc27480"/>
      <w:bookmarkStart w:id="63" w:name="_Toc178"/>
      <w:bookmarkStart w:id="64" w:name="_Toc23864"/>
      <w:bookmarkStart w:id="65" w:name="_Toc2743"/>
      <w:bookmarkStart w:id="66" w:name="_Toc24254"/>
      <w:bookmarkStart w:id="67" w:name="_Toc17064"/>
      <w:bookmarkStart w:id="68" w:name="_Toc22481"/>
      <w:bookmarkStart w:id="69" w:name="_Toc25869"/>
      <w:bookmarkStart w:id="70" w:name="_Toc761"/>
      <w:bookmarkStart w:id="71" w:name="_Toc25136"/>
      <w:bookmarkStart w:id="72" w:name="_Toc10738"/>
      <w:bookmarkStart w:id="73" w:name="_Toc13403"/>
      <w:bookmarkStart w:id="74" w:name="_Toc22374"/>
      <w:bookmarkStart w:id="75" w:name="_Toc27293"/>
      <w:bookmarkStart w:id="76" w:name="_Toc15111"/>
      <w:bookmarkStart w:id="77" w:name="_Toc15135"/>
      <w:r>
        <w:rPr>
          <w:rFonts w:hint="eastAsia" w:ascii="宋体" w:hAnsi="宋体" w:eastAsia="宋体" w:cs="宋体"/>
          <w:bCs/>
          <w:color w:val="auto"/>
          <w:sz w:val="21"/>
          <w:szCs w:val="21"/>
          <w:highlight w:val="none"/>
          <w:shd w:val="clear" w:color="auto" w:fill="FFFFFF"/>
          <w:lang w:eastAsia="zh-CN"/>
        </w:rPr>
        <w:t>四</w:t>
      </w:r>
      <w:r>
        <w:rPr>
          <w:rFonts w:hint="eastAsia" w:ascii="宋体" w:hAnsi="宋体" w:eastAsia="宋体" w:cs="宋体"/>
          <w:bCs/>
          <w:color w:val="auto"/>
          <w:sz w:val="21"/>
          <w:szCs w:val="21"/>
          <w:highlight w:val="none"/>
          <w:shd w:val="clear" w:color="auto" w:fill="FFFFFF"/>
        </w:rPr>
        <w:t>、投标截止时间及地点</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32E8387B">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kern w:val="0"/>
          <w:sz w:val="21"/>
          <w:szCs w:val="21"/>
          <w:highlight w:val="none"/>
        </w:rPr>
        <w:t>年</w:t>
      </w:r>
      <w:r>
        <w:rPr>
          <w:rFonts w:hint="eastAsia" w:cs="宋体"/>
          <w:color w:val="auto"/>
          <w:kern w:val="0"/>
          <w:sz w:val="21"/>
          <w:szCs w:val="21"/>
          <w:highlight w:val="none"/>
          <w:lang w:val="en-US" w:eastAsia="zh-CN"/>
        </w:rPr>
        <w:t>04</w:t>
      </w:r>
      <w:r>
        <w:rPr>
          <w:rFonts w:hint="eastAsia" w:ascii="宋体" w:hAnsi="宋体" w:eastAsia="宋体" w:cs="宋体"/>
          <w:color w:val="auto"/>
          <w:kern w:val="0"/>
          <w:sz w:val="21"/>
          <w:szCs w:val="21"/>
          <w:highlight w:val="none"/>
        </w:rPr>
        <w:t>月</w:t>
      </w:r>
      <w:r>
        <w:rPr>
          <w:rFonts w:hint="eastAsia" w:cs="宋体"/>
          <w:color w:val="auto"/>
          <w:kern w:val="0"/>
          <w:sz w:val="21"/>
          <w:szCs w:val="21"/>
          <w:highlight w:val="none"/>
          <w:lang w:val="en-US" w:eastAsia="zh-CN"/>
        </w:rPr>
        <w:t>28</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lang w:val="en-US" w:eastAsia="zh-CN"/>
        </w:rPr>
        <w:t>09</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lang w:val="en-US" w:eastAsia="zh-CN"/>
        </w:rPr>
        <w:t>00</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shd w:val="clear" w:color="auto" w:fill="FFFFFF"/>
        </w:rPr>
        <w:t>（北京时间）</w:t>
      </w:r>
    </w:p>
    <w:p w14:paraId="6DBCE1A5">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地点：</w:t>
      </w:r>
      <w:r>
        <w:rPr>
          <w:rFonts w:hint="eastAsia" w:ascii="宋体" w:hAnsi="宋体" w:eastAsia="宋体" w:cs="宋体"/>
          <w:color w:val="auto"/>
          <w:sz w:val="21"/>
          <w:szCs w:val="21"/>
          <w:highlight w:val="none"/>
          <w:shd w:val="clear" w:color="auto" w:fill="auto"/>
          <w:lang w:val="en-US" w:eastAsia="zh-CN"/>
        </w:rPr>
        <w:t>电子投标文件应于投标文件提交截止时间前在河南省公共资源交易中心交易系统中加密上传成功</w:t>
      </w:r>
      <w:r>
        <w:rPr>
          <w:rFonts w:hint="eastAsia" w:ascii="宋体" w:hAnsi="宋体" w:eastAsia="宋体" w:cs="宋体"/>
          <w:color w:val="auto"/>
          <w:sz w:val="21"/>
          <w:szCs w:val="21"/>
          <w:highlight w:val="none"/>
          <w:shd w:val="clear" w:color="auto" w:fill="FFFFFF"/>
          <w:lang w:val="en-US" w:eastAsia="zh-CN"/>
        </w:rPr>
        <w:t>（逾期未上传或上传不成功采购人将不予受理）。</w:t>
      </w:r>
    </w:p>
    <w:p w14:paraId="302A575A">
      <w:pPr>
        <w:pStyle w:val="5"/>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78" w:name="_Toc31799"/>
      <w:bookmarkStart w:id="79" w:name="_Toc20992"/>
      <w:bookmarkStart w:id="80" w:name="_Toc12179"/>
      <w:bookmarkStart w:id="81" w:name="_Toc13279"/>
      <w:bookmarkStart w:id="82" w:name="_Toc13997"/>
      <w:bookmarkStart w:id="83" w:name="_Toc25928"/>
      <w:bookmarkStart w:id="84" w:name="_Toc19424"/>
      <w:bookmarkStart w:id="85" w:name="_Toc10652"/>
      <w:bookmarkStart w:id="86" w:name="_Toc32183"/>
      <w:bookmarkStart w:id="87" w:name="_Toc27882"/>
      <w:bookmarkStart w:id="88" w:name="_Toc23175"/>
      <w:bookmarkStart w:id="89" w:name="_Toc20438"/>
      <w:bookmarkStart w:id="90" w:name="_Toc21063"/>
      <w:bookmarkStart w:id="91" w:name="_Toc21301"/>
      <w:bookmarkStart w:id="92" w:name="_Toc32411"/>
      <w:bookmarkStart w:id="93" w:name="_Toc18536"/>
      <w:r>
        <w:rPr>
          <w:rFonts w:hint="eastAsia" w:ascii="宋体" w:hAnsi="宋体" w:eastAsia="宋体" w:cs="宋体"/>
          <w:bCs/>
          <w:color w:val="auto"/>
          <w:sz w:val="21"/>
          <w:szCs w:val="21"/>
          <w:highlight w:val="none"/>
          <w:shd w:val="clear" w:color="auto" w:fill="FFFFFF"/>
          <w:lang w:eastAsia="zh-CN"/>
        </w:rPr>
        <w:t>五</w:t>
      </w:r>
      <w:r>
        <w:rPr>
          <w:rFonts w:hint="eastAsia" w:ascii="宋体" w:hAnsi="宋体" w:eastAsia="宋体" w:cs="宋体"/>
          <w:bCs/>
          <w:color w:val="auto"/>
          <w:sz w:val="21"/>
          <w:szCs w:val="21"/>
          <w:highlight w:val="none"/>
          <w:shd w:val="clear" w:color="auto" w:fill="FFFFFF"/>
        </w:rPr>
        <w:t>、开标时间及地点</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5D638CE">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kern w:val="0"/>
          <w:sz w:val="21"/>
          <w:szCs w:val="21"/>
          <w:highlight w:val="none"/>
        </w:rPr>
        <w:t>年</w:t>
      </w:r>
      <w:r>
        <w:rPr>
          <w:rFonts w:hint="eastAsia" w:cs="宋体"/>
          <w:color w:val="auto"/>
          <w:kern w:val="0"/>
          <w:sz w:val="21"/>
          <w:szCs w:val="21"/>
          <w:highlight w:val="none"/>
          <w:lang w:val="en-US" w:eastAsia="zh-CN"/>
        </w:rPr>
        <w:t>04</w:t>
      </w:r>
      <w:r>
        <w:rPr>
          <w:rFonts w:hint="eastAsia" w:ascii="宋体" w:hAnsi="宋体" w:eastAsia="宋体" w:cs="宋体"/>
          <w:color w:val="auto"/>
          <w:kern w:val="0"/>
          <w:sz w:val="21"/>
          <w:szCs w:val="21"/>
          <w:highlight w:val="none"/>
        </w:rPr>
        <w:t>月</w:t>
      </w:r>
      <w:r>
        <w:rPr>
          <w:rFonts w:hint="eastAsia" w:cs="宋体"/>
          <w:color w:val="auto"/>
          <w:kern w:val="0"/>
          <w:sz w:val="21"/>
          <w:szCs w:val="21"/>
          <w:highlight w:val="none"/>
          <w:lang w:val="en-US" w:eastAsia="zh-CN"/>
        </w:rPr>
        <w:t>28</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lang w:val="en-US" w:eastAsia="zh-CN"/>
        </w:rPr>
        <w:t>09</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lang w:val="en-US" w:eastAsia="zh-CN"/>
        </w:rPr>
        <w:t>00</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shd w:val="clear" w:color="auto" w:fill="FFFFFF"/>
        </w:rPr>
        <w:t>（北京时间）</w:t>
      </w:r>
    </w:p>
    <w:p w14:paraId="79842935">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地点：</w:t>
      </w:r>
      <w:r>
        <w:rPr>
          <w:rFonts w:hint="eastAsia" w:ascii="宋体" w:hAnsi="宋体" w:eastAsia="宋体" w:cs="宋体"/>
          <w:color w:val="auto"/>
          <w:sz w:val="21"/>
          <w:szCs w:val="21"/>
          <w:highlight w:val="none"/>
          <w:shd w:val="clear" w:color="auto" w:fill="auto"/>
        </w:rPr>
        <w:t>河南省公共资源交易中心远程开标室(</w:t>
      </w:r>
      <w:r>
        <w:rPr>
          <w:rFonts w:hint="eastAsia" w:cs="宋体"/>
          <w:color w:val="auto"/>
          <w:sz w:val="21"/>
          <w:szCs w:val="21"/>
          <w:highlight w:val="none"/>
          <w:shd w:val="clear" w:color="auto" w:fill="auto"/>
          <w:lang w:val="en-US" w:eastAsia="zh-CN"/>
        </w:rPr>
        <w:t>二</w:t>
      </w:r>
      <w:r>
        <w:rPr>
          <w:rFonts w:hint="eastAsia" w:ascii="宋体" w:hAnsi="宋体" w:eastAsia="宋体" w:cs="宋体"/>
          <w:color w:val="auto"/>
          <w:sz w:val="21"/>
          <w:szCs w:val="21"/>
          <w:highlight w:val="none"/>
          <w:shd w:val="clear" w:color="auto" w:fill="auto"/>
        </w:rPr>
        <w:t>)-</w:t>
      </w: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（郑州市经二路与纬四路交叉口向南50米路西）</w:t>
      </w:r>
      <w:r>
        <w:rPr>
          <w:rFonts w:hint="eastAsia" w:ascii="宋体" w:hAnsi="宋体" w:eastAsia="宋体" w:cs="宋体"/>
          <w:color w:val="auto"/>
          <w:sz w:val="21"/>
          <w:szCs w:val="21"/>
          <w:highlight w:val="none"/>
          <w:shd w:val="clear" w:color="auto" w:fill="FFFFFF"/>
          <w:lang w:val="en-US" w:eastAsia="zh-CN"/>
        </w:rPr>
        <w:t>。</w:t>
      </w:r>
    </w:p>
    <w:p w14:paraId="73E767B4">
      <w:pPr>
        <w:pStyle w:val="5"/>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94" w:name="_Toc20287"/>
      <w:bookmarkStart w:id="95" w:name="_Toc29784"/>
      <w:bookmarkStart w:id="96" w:name="_Toc5039"/>
      <w:bookmarkStart w:id="97" w:name="_Toc7516"/>
      <w:bookmarkStart w:id="98" w:name="_Toc30073"/>
      <w:bookmarkStart w:id="99" w:name="_Toc14225"/>
      <w:bookmarkStart w:id="100" w:name="_Toc6523"/>
      <w:bookmarkStart w:id="101" w:name="_Toc30918"/>
      <w:bookmarkStart w:id="102" w:name="_Toc5627"/>
      <w:bookmarkStart w:id="103" w:name="_Toc16030"/>
      <w:bookmarkStart w:id="104" w:name="_Toc8965"/>
      <w:bookmarkStart w:id="105" w:name="_Toc1538"/>
      <w:bookmarkStart w:id="106" w:name="_Toc16669"/>
      <w:bookmarkStart w:id="107" w:name="_Toc5075"/>
      <w:bookmarkStart w:id="108" w:name="_Toc32709"/>
      <w:bookmarkStart w:id="109" w:name="_Toc27544"/>
      <w:r>
        <w:rPr>
          <w:rFonts w:hint="eastAsia" w:ascii="宋体" w:hAnsi="宋体" w:eastAsia="宋体" w:cs="宋体"/>
          <w:bCs/>
          <w:color w:val="auto"/>
          <w:sz w:val="21"/>
          <w:szCs w:val="21"/>
          <w:highlight w:val="none"/>
          <w:shd w:val="clear" w:color="auto" w:fill="FFFFFF"/>
          <w:lang w:eastAsia="zh-CN"/>
        </w:rPr>
        <w:t>六</w:t>
      </w:r>
      <w:r>
        <w:rPr>
          <w:rFonts w:hint="eastAsia" w:ascii="宋体" w:hAnsi="宋体" w:eastAsia="宋体" w:cs="宋体"/>
          <w:bCs/>
          <w:color w:val="auto"/>
          <w:sz w:val="21"/>
          <w:szCs w:val="21"/>
          <w:highlight w:val="none"/>
          <w:shd w:val="clear" w:color="auto" w:fill="FFFFFF"/>
        </w:rPr>
        <w:t>、发布公告的媒介及招标公告期限</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6D34934">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本次招标公告在</w:t>
      </w:r>
      <w:r>
        <w:rPr>
          <w:rFonts w:hint="eastAsia" w:ascii="宋体" w:hAnsi="宋体" w:eastAsia="宋体" w:cs="宋体"/>
          <w:color w:val="auto"/>
          <w:sz w:val="21"/>
          <w:szCs w:val="21"/>
          <w:highlight w:val="none"/>
          <w:shd w:val="clear" w:color="auto" w:fill="FFFFFF"/>
          <w:lang w:val="en-US" w:eastAsia="zh-CN"/>
        </w:rPr>
        <w:t>《河南省政府采购网》、《河南省公共资源交易中心》、</w:t>
      </w:r>
      <w:r>
        <w:rPr>
          <w:rFonts w:hint="eastAsia" w:ascii="宋体" w:hAnsi="宋体" w:eastAsia="宋体" w:cs="宋体"/>
          <w:color w:val="auto"/>
          <w:sz w:val="21"/>
          <w:szCs w:val="21"/>
          <w:highlight w:val="none"/>
        </w:rPr>
        <w:t>《中国招标投标公共服务平台》</w:t>
      </w:r>
      <w:r>
        <w:rPr>
          <w:rFonts w:hint="eastAsia" w:ascii="宋体" w:hAnsi="宋体" w:eastAsia="宋体" w:cs="宋体"/>
          <w:color w:val="auto"/>
          <w:sz w:val="21"/>
          <w:szCs w:val="21"/>
          <w:highlight w:val="none"/>
          <w:shd w:val="clear" w:color="auto" w:fill="FFFFFF"/>
        </w:rPr>
        <w:t>上发布</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招标公告期限为五个工作日</w:t>
      </w:r>
      <w:bookmarkStart w:id="110" w:name="_Toc35393626"/>
      <w:bookmarkStart w:id="111" w:name="_Toc35393795"/>
      <w:r>
        <w:rPr>
          <w:rFonts w:hint="eastAsia" w:ascii="宋体" w:hAnsi="宋体" w:eastAsia="宋体" w:cs="宋体"/>
          <w:color w:val="auto"/>
          <w:sz w:val="21"/>
          <w:szCs w:val="21"/>
          <w:highlight w:val="none"/>
          <w:shd w:val="clear" w:color="auto" w:fill="FFFFFF"/>
          <w:lang w:eastAsia="zh-CN"/>
        </w:rPr>
        <w:t>。</w:t>
      </w:r>
    </w:p>
    <w:p w14:paraId="6719DEC6">
      <w:pPr>
        <w:pStyle w:val="5"/>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shd w:val="clear" w:color="auto" w:fill="FFFFFF"/>
          <w:lang w:val="en-US" w:eastAsia="zh-CN"/>
        </w:rPr>
      </w:pPr>
      <w:bookmarkStart w:id="112" w:name="_Toc24476"/>
      <w:bookmarkStart w:id="113" w:name="_Toc15404"/>
      <w:bookmarkStart w:id="114" w:name="_Toc23412"/>
      <w:bookmarkStart w:id="115" w:name="_Toc18552"/>
      <w:bookmarkStart w:id="116" w:name="_Toc20291"/>
      <w:bookmarkStart w:id="117" w:name="_Toc11979"/>
      <w:bookmarkStart w:id="118" w:name="_Toc5182"/>
      <w:bookmarkStart w:id="119" w:name="_Toc14866"/>
      <w:bookmarkStart w:id="120" w:name="_Toc11145"/>
      <w:bookmarkStart w:id="121" w:name="_Toc20903"/>
      <w:bookmarkStart w:id="122" w:name="_Toc2338"/>
      <w:r>
        <w:rPr>
          <w:rFonts w:hint="eastAsia" w:ascii="宋体" w:hAnsi="宋体" w:eastAsia="宋体" w:cs="宋体"/>
          <w:bCs/>
          <w:color w:val="auto"/>
          <w:sz w:val="21"/>
          <w:szCs w:val="21"/>
          <w:highlight w:val="none"/>
          <w:shd w:val="clear" w:color="auto" w:fill="FFFFFF"/>
          <w:lang w:val="en-US" w:eastAsia="zh-CN"/>
        </w:rPr>
        <w:t>七、其他补充事宜</w:t>
      </w:r>
      <w:bookmarkEnd w:id="110"/>
      <w:bookmarkEnd w:id="111"/>
      <w:bookmarkEnd w:id="112"/>
      <w:bookmarkEnd w:id="113"/>
      <w:bookmarkEnd w:id="114"/>
      <w:bookmarkEnd w:id="115"/>
      <w:bookmarkEnd w:id="116"/>
      <w:bookmarkEnd w:id="117"/>
      <w:bookmarkEnd w:id="118"/>
      <w:bookmarkEnd w:id="119"/>
      <w:bookmarkEnd w:id="120"/>
      <w:bookmarkEnd w:id="121"/>
      <w:bookmarkEnd w:id="122"/>
    </w:p>
    <w:p w14:paraId="7F43C8E9">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1.代理服务费用收取方式及标准：本项目以中标金额为计费基数，具体按照河南省招标投标协会关于印发《河南省招标代理服务收费指导意见》（豫招协【2023】002号）中的招标收费标准，由中标人一次性支付给采购代理机构代理服务费用。</w:t>
      </w:r>
    </w:p>
    <w:p w14:paraId="624C8B99">
      <w:pPr>
        <w:keepNext w:val="0"/>
        <w:keepLines w:val="0"/>
        <w:pageBreakBefore w:val="0"/>
        <w:widowControl/>
        <w:numPr>
          <w:ilvl w:val="0"/>
          <w:numId w:val="0"/>
        </w:numPr>
        <w:tabs>
          <w:tab w:val="left" w:pos="840"/>
        </w:tabs>
        <w:kinsoku/>
        <w:wordWrap w:val="0"/>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2"/>
          <w:sz w:val="21"/>
          <w:szCs w:val="21"/>
          <w:highlight w:val="none"/>
          <w:shd w:val="clear" w:color="auto" w:fill="FFFFFF"/>
          <w:lang w:val="en-US" w:eastAsia="zh-CN" w:bidi="ar-SA"/>
        </w:rPr>
        <w:t>2.本项目采用“远程不见面”开标方式，投标人应当在招标（采购）文件确定的投标截止时间前，登录远程开标大厅，在线准时参加开标活动并进行文件解密、答疑澄清等，投标人无需到开标现场开标解密（投标人如在交易平台系统规定时间内没有解密成功的，视为放弃投标）。</w:t>
      </w:r>
    </w:p>
    <w:p w14:paraId="08FA0CC4">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3.“远程不见面”具体事宜请查阅河南省公共资源交易中心网站“办事指南”专区的《河南省公共资源交易平台不见面服务系统使用指南》。</w:t>
      </w:r>
    </w:p>
    <w:p w14:paraId="7641285F">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4.本项目执行促进中小型企业发展政策（监狱企业、残疾人福利性企业视同小微企业），优先采购节能环保产品，政府强制采购节能产品，本国产品标准及相关政策等。本项目支持河南省政府采购合同融资政策。</w:t>
      </w:r>
    </w:p>
    <w:p w14:paraId="6D0C275F">
      <w:pPr>
        <w:pStyle w:val="5"/>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lang w:eastAsia="zh-CN"/>
        </w:rPr>
      </w:pPr>
      <w:bookmarkStart w:id="123" w:name="_Toc16291"/>
      <w:bookmarkStart w:id="124" w:name="_Toc24274"/>
      <w:bookmarkStart w:id="125" w:name="_Toc31928"/>
      <w:bookmarkStart w:id="126" w:name="_Toc3604"/>
      <w:bookmarkStart w:id="127" w:name="_Toc27370"/>
      <w:bookmarkStart w:id="128" w:name="_Toc15907"/>
      <w:bookmarkStart w:id="129" w:name="_Toc10704"/>
      <w:bookmarkStart w:id="130" w:name="_Toc30094"/>
      <w:bookmarkStart w:id="131" w:name="_Toc274"/>
      <w:bookmarkStart w:id="132" w:name="_Toc5637"/>
      <w:bookmarkStart w:id="133" w:name="_Toc27693"/>
      <w:bookmarkStart w:id="134" w:name="_Toc30731"/>
      <w:bookmarkStart w:id="135" w:name="_Toc22171"/>
      <w:bookmarkStart w:id="136" w:name="_Toc22219"/>
      <w:bookmarkStart w:id="137" w:name="_Toc13754"/>
      <w:bookmarkStart w:id="138" w:name="_Toc1530"/>
      <w:r>
        <w:rPr>
          <w:rFonts w:hint="eastAsia" w:ascii="宋体" w:hAnsi="宋体" w:eastAsia="宋体" w:cs="宋体"/>
          <w:bCs/>
          <w:color w:val="auto"/>
          <w:sz w:val="21"/>
          <w:szCs w:val="21"/>
          <w:highlight w:val="none"/>
          <w:shd w:val="clear" w:color="auto" w:fill="FFFFFF"/>
          <w:lang w:eastAsia="zh-CN"/>
        </w:rPr>
        <w:t>八</w:t>
      </w:r>
      <w:r>
        <w:rPr>
          <w:rFonts w:hint="eastAsia" w:ascii="宋体" w:hAnsi="宋体" w:eastAsia="宋体" w:cs="宋体"/>
          <w:bCs/>
          <w:color w:val="auto"/>
          <w:sz w:val="21"/>
          <w:szCs w:val="21"/>
          <w:highlight w:val="none"/>
          <w:shd w:val="clear" w:color="auto" w:fill="FFFFFF"/>
        </w:rPr>
        <w:t>、</w:t>
      </w:r>
      <w:bookmarkEnd w:id="123"/>
      <w:bookmarkEnd w:id="124"/>
      <w:bookmarkEnd w:id="125"/>
      <w:bookmarkEnd w:id="126"/>
      <w:bookmarkEnd w:id="127"/>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bookmarkEnd w:id="128"/>
      <w:bookmarkEnd w:id="129"/>
      <w:bookmarkEnd w:id="130"/>
      <w:bookmarkEnd w:id="131"/>
      <w:bookmarkEnd w:id="132"/>
      <w:bookmarkEnd w:id="133"/>
      <w:bookmarkEnd w:id="134"/>
      <w:bookmarkEnd w:id="135"/>
      <w:bookmarkEnd w:id="136"/>
      <w:bookmarkEnd w:id="137"/>
      <w:bookmarkEnd w:id="138"/>
    </w:p>
    <w:p w14:paraId="2E3C8916">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1. 采购人信息</w:t>
      </w:r>
    </w:p>
    <w:p w14:paraId="0CBB62A5">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名称：河南省周口生态环境监测中心　　</w:t>
      </w:r>
    </w:p>
    <w:p w14:paraId="36063E9D">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地址：</w:t>
      </w:r>
      <w:r>
        <w:rPr>
          <w:rFonts w:hint="eastAsia" w:ascii="宋体" w:hAnsi="宋体" w:eastAsia="宋体" w:cs="宋体"/>
          <w:color w:val="auto"/>
          <w:sz w:val="21"/>
          <w:szCs w:val="21"/>
          <w:highlight w:val="none"/>
        </w:rPr>
        <w:t xml:space="preserve">周口市大庆路中段路西 </w:t>
      </w:r>
    </w:p>
    <w:p w14:paraId="77D9612F">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联系人：</w:t>
      </w:r>
      <w:r>
        <w:rPr>
          <w:rFonts w:hint="eastAsia" w:ascii="宋体" w:hAnsi="宋体" w:eastAsia="宋体" w:cs="宋体"/>
          <w:color w:val="auto"/>
          <w:sz w:val="21"/>
          <w:szCs w:val="21"/>
          <w:highlight w:val="none"/>
        </w:rPr>
        <w:t>黄涛</w:t>
      </w:r>
    </w:p>
    <w:p w14:paraId="53E9C64B">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联系方式：</w:t>
      </w:r>
      <w:r>
        <w:rPr>
          <w:rFonts w:hint="eastAsia" w:ascii="宋体" w:hAnsi="宋体" w:eastAsia="宋体" w:cs="宋体"/>
          <w:color w:val="auto"/>
          <w:sz w:val="21"/>
          <w:szCs w:val="21"/>
          <w:highlight w:val="none"/>
        </w:rPr>
        <w:t>0394-8686675</w:t>
      </w:r>
    </w:p>
    <w:p w14:paraId="7DC244BA">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2.采购代理机构信息（如有）</w:t>
      </w:r>
    </w:p>
    <w:p w14:paraId="38A6E340">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名称：</w:t>
      </w:r>
      <w:r>
        <w:rPr>
          <w:rFonts w:hint="eastAsia" w:ascii="宋体" w:hAnsi="宋体" w:eastAsia="宋体" w:cs="宋体"/>
          <w:color w:val="auto"/>
          <w:sz w:val="21"/>
          <w:szCs w:val="21"/>
          <w:highlight w:val="none"/>
        </w:rPr>
        <w:t>建基工程咨询有限公司</w:t>
      </w:r>
    </w:p>
    <w:p w14:paraId="095B9D46">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地址：</w:t>
      </w:r>
      <w:r>
        <w:rPr>
          <w:rFonts w:hint="eastAsia" w:ascii="宋体" w:hAnsi="宋体" w:eastAsia="宋体" w:cs="宋体"/>
          <w:color w:val="auto"/>
          <w:sz w:val="21"/>
          <w:szCs w:val="21"/>
          <w:highlight w:val="none"/>
        </w:rPr>
        <w:t>河南省郑州市管城回族区城东路100号1号楼1单元14层1401号</w:t>
      </w:r>
    </w:p>
    <w:p w14:paraId="6B2A0EB2">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default"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联系人：苏菲芳</w:t>
      </w:r>
      <w:r>
        <w:rPr>
          <w:rFonts w:hint="eastAsia" w:cs="宋体"/>
          <w:b w:val="0"/>
          <w:bCs w:val="0"/>
          <w:color w:val="auto"/>
          <w:kern w:val="2"/>
          <w:sz w:val="21"/>
          <w:szCs w:val="21"/>
          <w:highlight w:val="none"/>
          <w:shd w:val="clear" w:color="auto" w:fill="FFFFFF"/>
          <w:lang w:val="en-US" w:eastAsia="zh-CN" w:bidi="ar-SA"/>
        </w:rPr>
        <w:t>、王志超、何佳丽</w:t>
      </w:r>
    </w:p>
    <w:p w14:paraId="5A25FFDC">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联系方式：0371-55238190　</w:t>
      </w:r>
    </w:p>
    <w:p w14:paraId="17987813">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3.项目联系方式</w:t>
      </w:r>
    </w:p>
    <w:p w14:paraId="39DB55D9">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项目联系人：苏菲芳</w:t>
      </w:r>
      <w:r>
        <w:rPr>
          <w:rFonts w:hint="eastAsia" w:cs="宋体"/>
          <w:b w:val="0"/>
          <w:bCs w:val="0"/>
          <w:color w:val="auto"/>
          <w:kern w:val="2"/>
          <w:sz w:val="21"/>
          <w:szCs w:val="21"/>
          <w:highlight w:val="none"/>
          <w:shd w:val="clear" w:color="auto" w:fill="FFFFFF"/>
          <w:lang w:val="en-US" w:eastAsia="zh-CN" w:bidi="ar-SA"/>
        </w:rPr>
        <w:t>、王志超、何佳丽</w:t>
      </w:r>
    </w:p>
    <w:p w14:paraId="0ACB0A16">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联系方式：0371-55238190　</w:t>
      </w:r>
    </w:p>
    <w:p w14:paraId="24E66B8E">
      <w:pPr>
        <w:pStyle w:val="3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single"/>
          <w:shd w:val="clear" w:color="auto" w:fill="FFFFFF"/>
          <w:lang w:val="en-US" w:eastAsia="zh-CN"/>
        </w:rPr>
      </w:pPr>
    </w:p>
    <w:p w14:paraId="02C422D3">
      <w:pPr>
        <w:pageBreakBefore w:val="0"/>
        <w:kinsoku/>
        <w:overflowPunct/>
        <w:bidi w:val="0"/>
        <w:spacing w:line="360" w:lineRule="auto"/>
        <w:rPr>
          <w:rFonts w:hint="eastAsia" w:ascii="宋体" w:hAnsi="宋体" w:eastAsia="宋体" w:cs="宋体"/>
          <w:color w:val="auto"/>
          <w:highlight w:val="none"/>
        </w:rPr>
      </w:pPr>
    </w:p>
    <w:p w14:paraId="2AE7A96F">
      <w:pPr>
        <w:pageBreakBefore w:val="0"/>
        <w:kinsoku/>
        <w:overflowPunct/>
        <w:bidi w:val="0"/>
        <w:spacing w:line="360" w:lineRule="auto"/>
        <w:rPr>
          <w:rFonts w:hint="eastAsia" w:ascii="宋体" w:hAnsi="宋体" w:eastAsia="宋体" w:cs="宋体"/>
          <w:color w:val="auto"/>
          <w:highlight w:val="none"/>
        </w:rPr>
      </w:pPr>
    </w:p>
    <w:bookmarkEnd w:id="4"/>
    <w:p w14:paraId="01DB02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auto"/>
        <w:outlineLvl w:val="0"/>
        <w:rPr>
          <w:rStyle w:val="52"/>
          <w:rFonts w:hint="eastAsia" w:ascii="宋体" w:hAnsi="宋体" w:eastAsia="宋体" w:cs="宋体"/>
          <w:color w:val="auto"/>
          <w:highlight w:val="none"/>
          <w:lang w:eastAsia="zh-CN"/>
        </w:rPr>
      </w:pPr>
      <w:bookmarkStart w:id="139" w:name="_Toc25086"/>
      <w:bookmarkStart w:id="140" w:name="_Toc32570"/>
      <w:r>
        <w:rPr>
          <w:rStyle w:val="52"/>
          <w:rFonts w:hint="eastAsia" w:ascii="宋体" w:hAnsi="宋体" w:eastAsia="宋体" w:cs="宋体"/>
          <w:color w:val="auto"/>
          <w:highlight w:val="none"/>
          <w:lang w:eastAsia="zh-CN"/>
        </w:rPr>
        <w:br w:type="page"/>
      </w:r>
      <w:bookmarkStart w:id="141" w:name="_Toc21010"/>
      <w:r>
        <w:rPr>
          <w:rStyle w:val="52"/>
          <w:rFonts w:hint="eastAsia" w:ascii="宋体" w:hAnsi="宋体" w:eastAsia="宋体" w:cs="宋体"/>
          <w:color w:val="auto"/>
          <w:highlight w:val="none"/>
          <w:lang w:val="en-US" w:eastAsia="zh-CN"/>
        </w:rPr>
        <w:t xml:space="preserve">第二章 </w:t>
      </w:r>
      <w:r>
        <w:rPr>
          <w:rStyle w:val="52"/>
          <w:rFonts w:hint="eastAsia" w:ascii="宋体" w:hAnsi="宋体" w:eastAsia="宋体" w:cs="宋体"/>
          <w:color w:val="auto"/>
          <w:highlight w:val="none"/>
          <w:lang w:eastAsia="zh-CN"/>
        </w:rPr>
        <w:t>投标人须知</w:t>
      </w:r>
      <w:bookmarkEnd w:id="139"/>
      <w:bookmarkEnd w:id="140"/>
      <w:bookmarkEnd w:id="141"/>
    </w:p>
    <w:p w14:paraId="7337F5C3">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420" w:leftChars="0"/>
        <w:jc w:val="center"/>
        <w:textAlignment w:val="auto"/>
        <w:outlineLvl w:val="1"/>
        <w:rPr>
          <w:rStyle w:val="52"/>
          <w:rFonts w:hint="eastAsia" w:ascii="宋体" w:hAnsi="宋体" w:eastAsia="宋体" w:cs="宋体"/>
          <w:b/>
          <w:color w:val="auto"/>
          <w:sz w:val="24"/>
          <w:szCs w:val="24"/>
          <w:highlight w:val="none"/>
          <w:lang w:eastAsia="zh-CN"/>
        </w:rPr>
      </w:pPr>
      <w:bookmarkStart w:id="142" w:name="_Toc2805"/>
      <w:bookmarkStart w:id="143" w:name="_Toc12544"/>
      <w:bookmarkStart w:id="144" w:name="_Toc15783"/>
      <w:r>
        <w:rPr>
          <w:rStyle w:val="52"/>
          <w:rFonts w:hint="eastAsia" w:ascii="宋体" w:hAnsi="宋体" w:eastAsia="宋体" w:cs="宋体"/>
          <w:b/>
          <w:color w:val="auto"/>
          <w:sz w:val="24"/>
          <w:szCs w:val="24"/>
          <w:highlight w:val="none"/>
          <w:lang w:eastAsia="zh-CN"/>
        </w:rPr>
        <w:t>投标人须知前附表</w:t>
      </w:r>
      <w:bookmarkEnd w:id="142"/>
      <w:bookmarkEnd w:id="143"/>
      <w:bookmarkEnd w:id="144"/>
    </w:p>
    <w:p w14:paraId="6BE017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本表关于采购的货物</w:t>
      </w:r>
      <w:r>
        <w:rPr>
          <w:rFonts w:hint="eastAsia" w:ascii="宋体" w:hAnsi="宋体" w:eastAsia="宋体" w:cs="宋体"/>
          <w:color w:val="auto"/>
          <w:szCs w:val="21"/>
          <w:highlight w:val="none"/>
          <w:lang w:eastAsia="zh-CN"/>
        </w:rPr>
        <w:t>及其伴随服务</w:t>
      </w:r>
      <w:r>
        <w:rPr>
          <w:rFonts w:hint="eastAsia" w:ascii="宋体" w:hAnsi="宋体" w:eastAsia="宋体" w:cs="宋体"/>
          <w:color w:val="auto"/>
          <w:szCs w:val="21"/>
          <w:highlight w:val="none"/>
        </w:rPr>
        <w:t>的具体资料是对投标人须知的补充，</w:t>
      </w:r>
      <w:r>
        <w:rPr>
          <w:rFonts w:hint="eastAsia" w:ascii="宋体" w:hAnsi="宋体" w:eastAsia="宋体" w:cs="宋体"/>
          <w:color w:val="auto"/>
          <w:highlight w:val="none"/>
          <w:lang w:eastAsia="zh-CN"/>
        </w:rPr>
        <w:t>如有矛盾，应以本表为准，此表中“</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”为投标人必须满足的条件，如不满足，可能导致</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lang w:eastAsia="zh-CN"/>
        </w:rPr>
        <w:t>。</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634"/>
        <w:gridCol w:w="6655"/>
      </w:tblGrid>
      <w:tr w14:paraId="17F3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4030270F">
            <w:pPr>
              <w:pageBreakBefore w:val="0"/>
              <w:kinsoku/>
              <w:overflowPunct/>
              <w:bidi w:val="0"/>
              <w:spacing w:line="360" w:lineRule="auto"/>
              <w:ind w:left="38" w:leftChars="1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1634" w:type="dxa"/>
            <w:noWrap w:val="0"/>
            <w:vAlign w:val="center"/>
          </w:tcPr>
          <w:p w14:paraId="1CCCDCC7">
            <w:pPr>
              <w:pageBreakBefore w:val="0"/>
              <w:kinsoku/>
              <w:overflowPunct/>
              <w:bidi w:val="0"/>
              <w:spacing w:line="360" w:lineRule="auto"/>
              <w:ind w:left="38" w:leftChars="1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条款名称</w:t>
            </w:r>
          </w:p>
        </w:tc>
        <w:tc>
          <w:tcPr>
            <w:tcW w:w="6655" w:type="dxa"/>
            <w:noWrap w:val="0"/>
            <w:vAlign w:val="center"/>
          </w:tcPr>
          <w:p w14:paraId="570A8F32">
            <w:pPr>
              <w:pageBreakBefore w:val="0"/>
              <w:kinsoku/>
              <w:overflowPunct/>
              <w:bidi w:val="0"/>
              <w:spacing w:line="360" w:lineRule="auto"/>
              <w:ind w:left="38" w:leftChars="1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编列内容</w:t>
            </w:r>
          </w:p>
        </w:tc>
      </w:tr>
      <w:tr w14:paraId="2983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1662464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w:t>
            </w:r>
          </w:p>
        </w:tc>
        <w:tc>
          <w:tcPr>
            <w:tcW w:w="1634" w:type="dxa"/>
            <w:noWrap w:val="0"/>
            <w:vAlign w:val="center"/>
          </w:tcPr>
          <w:p w14:paraId="3E2A6D66">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p>
        </w:tc>
        <w:tc>
          <w:tcPr>
            <w:tcW w:w="6655" w:type="dxa"/>
            <w:noWrap w:val="0"/>
            <w:vAlign w:val="center"/>
          </w:tcPr>
          <w:p w14:paraId="3221CB76">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名称：河南省周口生态环境监测中心　　</w:t>
            </w:r>
          </w:p>
          <w:p w14:paraId="59EF771C">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地址：周口市大庆路中段路西 </w:t>
            </w:r>
          </w:p>
          <w:p w14:paraId="6452A8C2">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联系人：黄涛</w:t>
            </w:r>
          </w:p>
          <w:p w14:paraId="34F16FAF">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联系方式：0394-8686675</w:t>
            </w:r>
          </w:p>
        </w:tc>
      </w:tr>
      <w:tr w14:paraId="2A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39633BD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w:t>
            </w:r>
          </w:p>
        </w:tc>
        <w:tc>
          <w:tcPr>
            <w:tcW w:w="1634" w:type="dxa"/>
            <w:noWrap w:val="0"/>
            <w:vAlign w:val="center"/>
          </w:tcPr>
          <w:p w14:paraId="1D46918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w:t>
            </w:r>
          </w:p>
        </w:tc>
        <w:tc>
          <w:tcPr>
            <w:tcW w:w="6655" w:type="dxa"/>
            <w:noWrap w:val="0"/>
            <w:vAlign w:val="center"/>
          </w:tcPr>
          <w:p w14:paraId="2598EF52">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名称：建基工程咨询有限公司</w:t>
            </w:r>
          </w:p>
          <w:p w14:paraId="5EBEF131">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地址：河南省郑州市管城回族区城东路100号1号楼1单元14层1401号</w:t>
            </w:r>
          </w:p>
          <w:p w14:paraId="6CEB8D25">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b w:val="0"/>
                <w:bCs w:val="0"/>
                <w:color w:val="auto"/>
                <w:kern w:val="2"/>
                <w:sz w:val="21"/>
                <w:szCs w:val="21"/>
                <w:highlight w:val="none"/>
                <w:shd w:val="clear" w:color="auto" w:fill="FFFFFF"/>
                <w:lang w:val="en-US" w:eastAsia="zh-CN" w:bidi="ar-SA"/>
              </w:rPr>
              <w:t>苏菲芳</w:t>
            </w:r>
            <w:r>
              <w:rPr>
                <w:rFonts w:hint="eastAsia" w:cs="宋体"/>
                <w:b w:val="0"/>
                <w:bCs w:val="0"/>
                <w:color w:val="auto"/>
                <w:kern w:val="2"/>
                <w:sz w:val="21"/>
                <w:szCs w:val="21"/>
                <w:highlight w:val="none"/>
                <w:shd w:val="clear" w:color="auto" w:fill="FFFFFF"/>
                <w:lang w:val="en-US" w:eastAsia="zh-CN" w:bidi="ar-SA"/>
              </w:rPr>
              <w:t>、王志超、何佳丽</w:t>
            </w:r>
            <w:bookmarkStart w:id="789" w:name="_GoBack"/>
            <w:bookmarkEnd w:id="789"/>
          </w:p>
          <w:p w14:paraId="591DCE12">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联系方式：0371-55238190　</w:t>
            </w:r>
          </w:p>
        </w:tc>
      </w:tr>
      <w:tr w14:paraId="174D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99" w:type="dxa"/>
            <w:noWrap w:val="0"/>
            <w:vAlign w:val="center"/>
          </w:tcPr>
          <w:p w14:paraId="67F8472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w:t>
            </w:r>
          </w:p>
        </w:tc>
        <w:tc>
          <w:tcPr>
            <w:tcW w:w="1634" w:type="dxa"/>
            <w:noWrap w:val="0"/>
            <w:vAlign w:val="center"/>
          </w:tcPr>
          <w:p w14:paraId="4C5A660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项目名称及</w:t>
            </w:r>
            <w:r>
              <w:rPr>
                <w:rFonts w:hint="eastAsia" w:ascii="宋体" w:hAnsi="宋体" w:eastAsia="宋体" w:cs="宋体"/>
                <w:color w:val="auto"/>
                <w:sz w:val="21"/>
                <w:szCs w:val="21"/>
                <w:highlight w:val="none"/>
                <w:lang w:eastAsia="zh-CN"/>
              </w:rPr>
              <w:t>项目编号</w:t>
            </w:r>
          </w:p>
        </w:tc>
        <w:tc>
          <w:tcPr>
            <w:tcW w:w="6655" w:type="dxa"/>
            <w:noWrap w:val="0"/>
            <w:vAlign w:val="center"/>
          </w:tcPr>
          <w:p w14:paraId="7EB5AE5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项目名称：河南省周口生态环境监测中心2026年监测能力建设项目</w:t>
            </w:r>
          </w:p>
          <w:p w14:paraId="3E4940D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lang w:eastAsia="zh-CN"/>
              </w:rPr>
              <w:t>项目编号</w:t>
            </w:r>
            <w:r>
              <w:rPr>
                <w:rFonts w:hint="eastAsia" w:ascii="宋体" w:hAnsi="宋体" w:eastAsia="宋体" w:cs="宋体"/>
                <w:color w:val="auto"/>
                <w:sz w:val="21"/>
                <w:szCs w:val="21"/>
                <w:highlight w:val="none"/>
                <w:shd w:val="clear" w:color="auto" w:fill="auto"/>
              </w:rPr>
              <w:t>：豫财招标采购-2026-297</w:t>
            </w:r>
          </w:p>
        </w:tc>
      </w:tr>
      <w:tr w14:paraId="6ED6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026E80FE">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1.2.4</w:t>
            </w:r>
          </w:p>
        </w:tc>
        <w:tc>
          <w:tcPr>
            <w:tcW w:w="1634" w:type="dxa"/>
            <w:noWrap w:val="0"/>
            <w:vAlign w:val="center"/>
          </w:tcPr>
          <w:p w14:paraId="535675FF">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采购范围</w:t>
            </w:r>
          </w:p>
        </w:tc>
        <w:tc>
          <w:tcPr>
            <w:tcW w:w="6655" w:type="dxa"/>
            <w:noWrap w:val="0"/>
            <w:vAlign w:val="center"/>
          </w:tcPr>
          <w:p w14:paraId="1421F9D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b/>
                <w:color w:val="auto"/>
                <w:szCs w:val="21"/>
                <w:highlight w:val="none"/>
              </w:rPr>
              <w:t>※</w:t>
            </w:r>
            <w:r>
              <w:rPr>
                <w:rFonts w:hint="eastAsia" w:ascii="宋体" w:hAnsi="宋体" w:eastAsia="宋体" w:cs="宋体"/>
                <w:color w:val="auto"/>
                <w:kern w:val="2"/>
                <w:sz w:val="21"/>
                <w:szCs w:val="21"/>
                <w:highlight w:val="none"/>
                <w:lang w:val="en-US" w:eastAsia="zh-CN" w:bidi="ar-SA"/>
              </w:rPr>
              <w:t>采购内容：河南省周口生态环境监测中心2026年监测能力建设项目采购内容主要包括：离子色谱仪（1套）、全自动红外测油仪（1套）、便携式气相分子吸收光谱仪（1套）、双光束紫外可见分光光度计（1套）、紫外可见分光光度计（1套）、干燥箱（1套）、便携式抽滤装置（1套）、氟离子计（1套）、立式高压蒸汽灭菌器（2套）、CODcr回流消解仪（2套）、便携式浊度计（2套）、便携式pH测定仪（2套）、便携式溶解氧测定仪（2套）、便携式电导率测定仪（2套），</w:t>
            </w:r>
            <w:r>
              <w:rPr>
                <w:rFonts w:hint="eastAsia" w:ascii="宋体" w:hAnsi="宋体" w:eastAsia="宋体" w:cs="宋体"/>
                <w:color w:val="auto"/>
                <w:kern w:val="0"/>
                <w:sz w:val="21"/>
                <w:szCs w:val="21"/>
                <w:highlight w:val="none"/>
              </w:rPr>
              <w:t>包含设备</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采购、安装、调试、试运行及相关服务等</w:t>
            </w:r>
            <w:r>
              <w:rPr>
                <w:rFonts w:hint="eastAsia" w:ascii="宋体" w:hAnsi="宋体" w:eastAsia="宋体" w:cs="宋体"/>
                <w:color w:val="auto"/>
                <w:kern w:val="0"/>
                <w:sz w:val="21"/>
                <w:szCs w:val="21"/>
                <w:highlight w:val="none"/>
                <w:lang w:val="en-US" w:eastAsia="zh-CN"/>
              </w:rPr>
              <w:t>全部内容</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shd w:val="clear" w:color="auto" w:fill="FFFFFF"/>
                <w:lang w:val="en-US" w:eastAsia="zh-CN"/>
              </w:rPr>
              <w:t>具体采购内容详见第六章“采购需求”。</w:t>
            </w:r>
          </w:p>
        </w:tc>
      </w:tr>
      <w:tr w14:paraId="57F5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999" w:type="dxa"/>
            <w:noWrap w:val="0"/>
            <w:vAlign w:val="center"/>
          </w:tcPr>
          <w:p w14:paraId="434ACEE8">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1.2.5</w:t>
            </w:r>
          </w:p>
        </w:tc>
        <w:tc>
          <w:tcPr>
            <w:tcW w:w="1634" w:type="dxa"/>
            <w:noWrap w:val="0"/>
            <w:vAlign w:val="center"/>
          </w:tcPr>
          <w:p w14:paraId="6CD753B5">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color="auto" w:fill="auto"/>
                <w:lang w:eastAsia="zh-CN"/>
              </w:rPr>
              <w:t>资金来源及</w:t>
            </w:r>
            <w:r>
              <w:rPr>
                <w:rFonts w:hint="eastAsia" w:ascii="宋体" w:hAnsi="宋体" w:eastAsia="宋体" w:cs="宋体"/>
                <w:color w:val="auto"/>
                <w:sz w:val="21"/>
                <w:szCs w:val="21"/>
                <w:highlight w:val="none"/>
                <w:shd w:val="clear" w:color="auto" w:fill="auto"/>
              </w:rPr>
              <w:t>预算</w:t>
            </w:r>
            <w:r>
              <w:rPr>
                <w:rFonts w:hint="eastAsia" w:ascii="宋体" w:hAnsi="宋体" w:eastAsia="宋体" w:cs="宋体"/>
                <w:color w:val="auto"/>
                <w:sz w:val="21"/>
                <w:szCs w:val="21"/>
                <w:highlight w:val="none"/>
                <w:shd w:val="clear" w:color="auto" w:fill="auto"/>
                <w:lang w:eastAsia="zh-CN"/>
              </w:rPr>
              <w:t>金额</w:t>
            </w:r>
          </w:p>
        </w:tc>
        <w:tc>
          <w:tcPr>
            <w:tcW w:w="6655" w:type="dxa"/>
            <w:noWrap w:val="0"/>
            <w:vAlign w:val="center"/>
          </w:tcPr>
          <w:p w14:paraId="3F3B3D5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eastAsia="zh-CN"/>
              </w:rPr>
              <w:t>资金来源：</w:t>
            </w:r>
            <w:r>
              <w:rPr>
                <w:rFonts w:hint="eastAsia" w:ascii="宋体" w:hAnsi="宋体" w:eastAsia="宋体" w:cs="宋体"/>
                <w:color w:val="auto"/>
                <w:sz w:val="21"/>
                <w:szCs w:val="21"/>
                <w:highlight w:val="none"/>
                <w:shd w:val="clear" w:color="auto" w:fill="auto"/>
                <w:lang w:val="en-US" w:eastAsia="zh-CN"/>
              </w:rPr>
              <w:t>财政资金</w:t>
            </w:r>
          </w:p>
          <w:p w14:paraId="720E8A34">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rPr>
              <w:t>预算金额</w:t>
            </w:r>
            <w:r>
              <w:rPr>
                <w:rFonts w:hint="eastAsia" w:ascii="宋体" w:hAnsi="宋体" w:eastAsia="宋体" w:cs="宋体"/>
                <w:b w:val="0"/>
                <w:bCs w:val="0"/>
                <w:color w:val="auto"/>
                <w:sz w:val="21"/>
                <w:szCs w:val="21"/>
                <w:highlight w:val="none"/>
                <w:shd w:val="clear" w:color="auto" w:fill="FFFFFF"/>
                <w:lang w:val="en-US" w:eastAsia="zh-CN"/>
              </w:rPr>
              <w:t>：1662000.00元</w:t>
            </w:r>
          </w:p>
          <w:p w14:paraId="028A6321">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shd w:val="clear" w:color="auto" w:fill="FFFFFF"/>
                <w:lang w:val="en-US" w:eastAsia="zh-CN" w:bidi="ar-SA"/>
              </w:rPr>
              <w:t>最高限价：</w:t>
            </w:r>
            <w:r>
              <w:rPr>
                <w:rFonts w:hint="eastAsia" w:ascii="宋体" w:hAnsi="宋体" w:eastAsia="宋体" w:cs="宋体"/>
                <w:b w:val="0"/>
                <w:bCs w:val="0"/>
                <w:color w:val="auto"/>
                <w:sz w:val="21"/>
                <w:szCs w:val="21"/>
                <w:highlight w:val="none"/>
                <w:shd w:val="clear" w:color="auto" w:fill="FFFFFF"/>
                <w:lang w:val="en-US" w:eastAsia="zh-CN"/>
              </w:rPr>
              <w:t>1662000.00</w:t>
            </w:r>
            <w:r>
              <w:rPr>
                <w:rFonts w:hint="eastAsia" w:ascii="宋体" w:hAnsi="宋体" w:eastAsia="宋体" w:cs="宋体"/>
                <w:b w:val="0"/>
                <w:bCs w:val="0"/>
                <w:color w:val="auto"/>
                <w:sz w:val="21"/>
                <w:szCs w:val="21"/>
                <w:highlight w:val="none"/>
                <w:shd w:val="clear" w:color="auto" w:fill="FFFFFF"/>
                <w:lang w:val="en-US" w:eastAsia="zh-CN" w:bidi="ar-SA"/>
              </w:rPr>
              <w:t>元</w:t>
            </w:r>
          </w:p>
          <w:p w14:paraId="0263DCE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rPr>
              <w:t>注：投标人报价不得高于预算金额</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否则其投标无效</w:t>
            </w:r>
            <w:r>
              <w:rPr>
                <w:rFonts w:hint="eastAsia" w:ascii="宋体" w:hAnsi="宋体" w:eastAsia="宋体" w:cs="宋体"/>
                <w:b/>
                <w:bCs/>
                <w:color w:val="auto"/>
                <w:sz w:val="21"/>
                <w:szCs w:val="21"/>
                <w:highlight w:val="none"/>
              </w:rPr>
              <w:t>。</w:t>
            </w:r>
          </w:p>
        </w:tc>
      </w:tr>
      <w:tr w14:paraId="72F7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097346E7">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1.2.6</w:t>
            </w:r>
          </w:p>
        </w:tc>
        <w:tc>
          <w:tcPr>
            <w:tcW w:w="1634" w:type="dxa"/>
            <w:noWrap w:val="0"/>
            <w:vAlign w:val="center"/>
          </w:tcPr>
          <w:p w14:paraId="0712C215">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交货及安装调试期</w:t>
            </w:r>
          </w:p>
        </w:tc>
        <w:tc>
          <w:tcPr>
            <w:tcW w:w="6655" w:type="dxa"/>
            <w:noWrap w:val="0"/>
            <w:vAlign w:val="center"/>
          </w:tcPr>
          <w:p w14:paraId="1368D0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Cs w:val="21"/>
                <w:highlight w:val="none"/>
              </w:rPr>
              <w:t>合同签订生效后</w:t>
            </w:r>
            <w:r>
              <w:rPr>
                <w:rFonts w:hint="eastAsia" w:cs="宋体"/>
                <w:color w:val="auto"/>
                <w:szCs w:val="21"/>
                <w:highlight w:val="none"/>
                <w:lang w:val="en-US" w:eastAsia="zh-CN"/>
              </w:rPr>
              <w:t>60</w:t>
            </w:r>
            <w:r>
              <w:rPr>
                <w:rFonts w:hint="eastAsia" w:ascii="宋体" w:hAnsi="宋体" w:eastAsia="宋体" w:cs="宋体"/>
                <w:color w:val="auto"/>
                <w:szCs w:val="21"/>
                <w:highlight w:val="none"/>
                <w:lang w:val="en-US" w:eastAsia="zh-CN"/>
              </w:rPr>
              <w:t>日历天</w:t>
            </w:r>
            <w:r>
              <w:rPr>
                <w:rFonts w:hint="eastAsia" w:ascii="宋体" w:hAnsi="宋体" w:eastAsia="宋体" w:cs="宋体"/>
                <w:color w:val="auto"/>
                <w:szCs w:val="21"/>
                <w:highlight w:val="none"/>
              </w:rPr>
              <w:t>内</w:t>
            </w:r>
            <w:r>
              <w:rPr>
                <w:rFonts w:hint="eastAsia" w:ascii="宋体" w:hAnsi="宋体" w:eastAsia="宋体" w:cs="宋体"/>
                <w:color w:val="auto"/>
                <w:szCs w:val="21"/>
                <w:highlight w:val="none"/>
                <w:lang w:val="en-US" w:eastAsia="zh-CN"/>
              </w:rPr>
              <w:t>交货并</w:t>
            </w:r>
            <w:r>
              <w:rPr>
                <w:rFonts w:hint="eastAsia" w:ascii="宋体" w:hAnsi="宋体" w:eastAsia="宋体" w:cs="宋体"/>
                <w:color w:val="auto"/>
                <w:szCs w:val="21"/>
                <w:highlight w:val="none"/>
              </w:rPr>
              <w:t>安装调试完毕</w:t>
            </w:r>
          </w:p>
        </w:tc>
      </w:tr>
      <w:tr w14:paraId="38C8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03179905">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1.2.7</w:t>
            </w:r>
          </w:p>
        </w:tc>
        <w:tc>
          <w:tcPr>
            <w:tcW w:w="1634" w:type="dxa"/>
            <w:noWrap w:val="0"/>
            <w:vAlign w:val="center"/>
          </w:tcPr>
          <w:p w14:paraId="50EB20F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lang w:eastAsia="zh-CN"/>
              </w:rPr>
              <w:t>交货</w:t>
            </w:r>
            <w:r>
              <w:rPr>
                <w:rFonts w:hint="eastAsia" w:ascii="宋体" w:hAnsi="宋体" w:eastAsia="宋体" w:cs="宋体"/>
                <w:color w:val="auto"/>
                <w:sz w:val="21"/>
                <w:szCs w:val="21"/>
                <w:highlight w:val="none"/>
                <w:shd w:val="clear" w:color="auto" w:fill="auto"/>
              </w:rPr>
              <w:t>地点</w:t>
            </w:r>
          </w:p>
        </w:tc>
        <w:tc>
          <w:tcPr>
            <w:tcW w:w="6655" w:type="dxa"/>
            <w:noWrap w:val="0"/>
            <w:vAlign w:val="center"/>
          </w:tcPr>
          <w:p w14:paraId="59803AA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※河南省周口生态环境监测中心指定地点</w:t>
            </w:r>
          </w:p>
        </w:tc>
      </w:tr>
      <w:tr w14:paraId="4831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99" w:type="dxa"/>
            <w:noWrap w:val="0"/>
            <w:vAlign w:val="center"/>
          </w:tcPr>
          <w:p w14:paraId="1895A1E7">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1.2.8</w:t>
            </w:r>
          </w:p>
        </w:tc>
        <w:tc>
          <w:tcPr>
            <w:tcW w:w="1634" w:type="dxa"/>
            <w:noWrap w:val="0"/>
            <w:vAlign w:val="center"/>
          </w:tcPr>
          <w:p w14:paraId="42242790">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质量标准</w:t>
            </w:r>
          </w:p>
        </w:tc>
        <w:tc>
          <w:tcPr>
            <w:tcW w:w="6655" w:type="dxa"/>
            <w:noWrap w:val="0"/>
            <w:vAlign w:val="center"/>
          </w:tcPr>
          <w:p w14:paraId="24595C7B">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合格并验收通过</w:t>
            </w:r>
          </w:p>
        </w:tc>
      </w:tr>
      <w:tr w14:paraId="33B4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78F51BD7">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1.2.9</w:t>
            </w:r>
          </w:p>
        </w:tc>
        <w:tc>
          <w:tcPr>
            <w:tcW w:w="1634" w:type="dxa"/>
            <w:noWrap w:val="0"/>
            <w:vAlign w:val="center"/>
          </w:tcPr>
          <w:p w14:paraId="5EEA87FA">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质量保证期</w:t>
            </w:r>
          </w:p>
        </w:tc>
        <w:tc>
          <w:tcPr>
            <w:tcW w:w="6655" w:type="dxa"/>
            <w:noWrap w:val="0"/>
            <w:vAlign w:val="center"/>
          </w:tcPr>
          <w:p w14:paraId="5E7F9E4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※设备验收合格后，整机质保24个月（其中离子色谱仪整机质保60个月）</w:t>
            </w:r>
          </w:p>
        </w:tc>
      </w:tr>
      <w:tr w14:paraId="6FC2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706C68B6">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1.2.10</w:t>
            </w:r>
          </w:p>
        </w:tc>
        <w:tc>
          <w:tcPr>
            <w:tcW w:w="1634" w:type="dxa"/>
            <w:noWrap w:val="0"/>
            <w:vAlign w:val="center"/>
          </w:tcPr>
          <w:p w14:paraId="5E39101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投标人资格要求</w:t>
            </w:r>
          </w:p>
        </w:tc>
        <w:tc>
          <w:tcPr>
            <w:tcW w:w="6655" w:type="dxa"/>
            <w:noWrap w:val="0"/>
            <w:vAlign w:val="center"/>
          </w:tcPr>
          <w:p w14:paraId="7083DBAF">
            <w:pPr>
              <w:spacing w:line="360" w:lineRule="auto"/>
              <w:rPr>
                <w:rFonts w:hint="eastAsia" w:ascii="宋体" w:hAnsi="宋体" w:eastAsia="宋体" w:cs="宋体"/>
                <w:color w:val="auto"/>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1. 符合《中华人民共和国政府采购法》第二十二条及《中华人民共和国政府采购法实施条例》第十七条条件，并提供下列材料：</w:t>
            </w:r>
          </w:p>
          <w:p w14:paraId="3B5CDB48">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1.1</w:t>
            </w:r>
            <w:r>
              <w:rPr>
                <w:rFonts w:hint="eastAsia" w:ascii="宋体" w:hAnsi="宋体" w:eastAsia="宋体" w:cs="宋体"/>
                <w:color w:val="auto"/>
                <w:kern w:val="0"/>
                <w:szCs w:val="21"/>
                <w:highlight w:val="none"/>
              </w:rPr>
              <w:t>具有独立承担民事责任的能力的证明材料：</w:t>
            </w:r>
          </w:p>
          <w:p w14:paraId="5F17A60E">
            <w:pPr>
              <w:widowControl w:val="0"/>
              <w:spacing w:after="0" w:line="360" w:lineRule="auto"/>
              <w:ind w:left="0" w:leftChars="0" w:firstLine="0" w:firstLineChars="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投标人为企业（包括合伙企业）的，应提供有效的“营业执照”；</w:t>
            </w:r>
          </w:p>
          <w:p w14:paraId="2A0602ED">
            <w:pPr>
              <w:widowControl w:val="0"/>
              <w:spacing w:after="0" w:line="360" w:lineRule="auto"/>
              <w:ind w:left="0" w:leftChars="0" w:firstLine="0" w:firstLineChars="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投标人为事业单位的，应提供有效的“事业单位法人证书”；</w:t>
            </w:r>
          </w:p>
          <w:p w14:paraId="59B50A85">
            <w:pPr>
              <w:widowControl w:val="0"/>
              <w:spacing w:after="0" w:line="360" w:lineRule="auto"/>
              <w:ind w:left="0" w:leftChars="0" w:firstLine="0" w:firstLineChars="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投标人是非企业机构的，应提供有效的“执业许可证”“登记证书”等证明文件；</w:t>
            </w:r>
          </w:p>
          <w:p w14:paraId="153DA77D">
            <w:pPr>
              <w:widowControl w:val="0"/>
              <w:spacing w:after="0" w:line="360" w:lineRule="auto"/>
              <w:ind w:left="0" w:leftChars="0" w:firstLine="0" w:firstLineChars="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投标人是个体工商户的，应提供有效的“个体工商户营业执照”；</w:t>
            </w:r>
          </w:p>
          <w:p w14:paraId="73C6344A">
            <w:pPr>
              <w:widowControl w:val="0"/>
              <w:spacing w:after="0" w:line="360" w:lineRule="auto"/>
              <w:ind w:left="0" w:leftChars="0" w:firstLine="0" w:firstLineChars="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投标人是自然人的，应提供有效的自然人身份证明。</w:t>
            </w:r>
          </w:p>
          <w:p w14:paraId="1401E7A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1.2 投标人是企业法人的，应提供2024年度</w:t>
            </w:r>
            <w:r>
              <w:rPr>
                <w:rFonts w:hint="eastAsia" w:ascii="宋体" w:hAnsi="宋体" w:eastAsia="宋体" w:cs="宋体"/>
                <w:color w:val="auto"/>
                <w:highlight w:val="none"/>
                <w:lang w:val="en-US" w:eastAsia="zh-CN"/>
              </w:rPr>
              <w:t>或2025年度</w:t>
            </w:r>
            <w:r>
              <w:rPr>
                <w:rFonts w:hint="eastAsia" w:ascii="宋体" w:hAnsi="宋体" w:eastAsia="宋体" w:cs="宋体"/>
                <w:color w:val="auto"/>
                <w:highlight w:val="none"/>
              </w:rPr>
              <w:t>经审计的财务报告，包括“四表一注或三表一注”，即资产负债表、利润表（损益表）、现金流量表、所有者权益变动表（所有者权益变动表如无，可不提供）及其附注或基本开户银行出具的资信证明。部分其他组织和自然人，没有经审计的财务报告，可以提供银行出具的资信证明。投标人为事业单位的，至少应提供近一年的资产负债表。</w:t>
            </w:r>
            <w:r>
              <w:rPr>
                <w:rFonts w:hint="eastAsia" w:ascii="宋体" w:hAnsi="宋体" w:eastAsia="宋体" w:cs="宋体"/>
                <w:b/>
                <w:bCs/>
                <w:color w:val="auto"/>
                <w:kern w:val="0"/>
                <w:highlight w:val="none"/>
              </w:rPr>
              <w:t>（根据《关于加强审计报告查验工作的通知》，审计报告须具有注册会计师行业统一监管平台赋予的验证码）</w:t>
            </w:r>
          </w:p>
          <w:p w14:paraId="62737FD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1.3 具有履行合同所必需的设备和专业技术能力书面声明函。</w:t>
            </w:r>
          </w:p>
          <w:p w14:paraId="00FA590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1.4 投标人缴纳税收证明材料：202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1日</w:t>
            </w:r>
            <w:r>
              <w:rPr>
                <w:rFonts w:hint="eastAsia" w:ascii="宋体" w:hAnsi="宋体" w:eastAsia="宋体" w:cs="宋体"/>
                <w:color w:val="auto"/>
                <w:highlight w:val="none"/>
              </w:rPr>
              <w:t>以来任意</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个月缴纳的相关税收凭据（主管行政部门或银行出具）。其他组织和自然人也需要提供缴纳税收的凭证（新成立企业从成立之日起计算，依法免税的投标人，应提供相应行政部门出具的证明文件，证明其依法免税）。</w:t>
            </w:r>
          </w:p>
          <w:p w14:paraId="4E82A80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1.5 投标人缴纳社会保障资金证明材料：202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1日</w:t>
            </w:r>
            <w:r>
              <w:rPr>
                <w:rFonts w:hint="eastAsia" w:ascii="宋体" w:hAnsi="宋体" w:eastAsia="宋体" w:cs="宋体"/>
                <w:color w:val="auto"/>
                <w:highlight w:val="none"/>
              </w:rPr>
              <w:t>以来任意</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个月缴纳社会保险凭据（专用收据或社会保险缴纳清单）。其他组织和自然人也需要提供缴纳社会保险的凭证（新成立企业从成立之日起计算，依法不需要缴纳社会保障资金的投标人，应提供相应行政部门出具的证明文件，证明其依法不需要缴纳社会保障资金）。</w:t>
            </w:r>
          </w:p>
          <w:p w14:paraId="295B262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1.6 投标人参与采购活动前三年内在经营活动中没有重大违法记录的书面声明函。</w:t>
            </w:r>
          </w:p>
          <w:p w14:paraId="27AC13E9">
            <w:pPr>
              <w:widowControl/>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2. 落实政府采购政策满足的资格要求：无</w:t>
            </w:r>
            <w:r>
              <w:rPr>
                <w:rFonts w:hint="eastAsia" w:ascii="宋体" w:hAnsi="宋体" w:eastAsia="宋体" w:cs="宋体"/>
                <w:bCs/>
                <w:color w:val="auto"/>
                <w:kern w:val="2"/>
                <w:sz w:val="21"/>
                <w:szCs w:val="21"/>
                <w:highlight w:val="none"/>
                <w:lang w:val="en-US" w:eastAsia="zh-CN" w:bidi="ar"/>
              </w:rPr>
              <w:t>。</w:t>
            </w:r>
          </w:p>
          <w:p w14:paraId="7AAE9FEA">
            <w:pPr>
              <w:spacing w:line="360" w:lineRule="auto"/>
              <w:rPr>
                <w:rFonts w:hint="eastAsia" w:ascii="宋体" w:hAnsi="宋体" w:eastAsia="宋体" w:cs="宋体"/>
                <w:color w:val="auto"/>
                <w:highlight w:val="none"/>
                <w:shd w:val="clear" w:color="auto" w:fill="FFFFFF"/>
                <w:lang w:eastAsia="zh-CN"/>
              </w:rPr>
            </w:pPr>
            <w:r>
              <w:rPr>
                <w:rFonts w:hint="eastAsia" w:ascii="宋体" w:hAnsi="宋体" w:eastAsia="宋体" w:cs="宋体"/>
                <w:b/>
                <w:bCs/>
                <w:color w:val="auto"/>
                <w:szCs w:val="21"/>
                <w:highlight w:val="none"/>
              </w:rPr>
              <w:t>※</w:t>
            </w:r>
            <w:r>
              <w:rPr>
                <w:rFonts w:hint="eastAsia" w:ascii="宋体" w:hAnsi="宋体" w:eastAsia="宋体" w:cs="宋体"/>
                <w:color w:val="auto"/>
                <w:highlight w:val="none"/>
              </w:rPr>
              <w:t>3.根据《中华人民共和国政府采购法》第二十二条第二款和项目特点规定的其他资质条件：</w:t>
            </w:r>
            <w:r>
              <w:rPr>
                <w:rFonts w:hint="eastAsia" w:ascii="宋体" w:hAnsi="宋体" w:eastAsia="宋体" w:cs="宋体"/>
                <w:color w:val="auto"/>
                <w:highlight w:val="none"/>
                <w:shd w:val="clear" w:color="auto" w:fill="FFFFFF"/>
                <w:lang w:eastAsia="zh-CN"/>
              </w:rPr>
              <w:t xml:space="preserve"> </w:t>
            </w:r>
          </w:p>
          <w:p w14:paraId="658CE6E6">
            <w:pPr>
              <w:keepNext w:val="0"/>
              <w:keepLines w:val="0"/>
              <w:pageBreakBefore w:val="0"/>
              <w:widowControl w:val="0"/>
              <w:tabs>
                <w:tab w:val="left" w:pos="630"/>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FFFFFF"/>
                <w:lang w:eastAsia="zh-CN"/>
              </w:rPr>
            </w:pPr>
            <w:r>
              <w:rPr>
                <w:rFonts w:hint="eastAsia" w:ascii="宋体" w:hAnsi="宋体" w:eastAsia="宋体" w:cs="宋体"/>
                <w:color w:val="auto"/>
                <w:highlight w:val="none"/>
                <w:shd w:val="clear" w:color="auto" w:fill="FFFFFF"/>
                <w:lang w:eastAsia="zh-CN"/>
              </w:rPr>
              <w:t>3.</w:t>
            </w:r>
            <w:r>
              <w:rPr>
                <w:rFonts w:hint="eastAsia" w:ascii="宋体" w:hAnsi="宋体" w:eastAsia="宋体" w:cs="宋体"/>
                <w:color w:val="auto"/>
                <w:highlight w:val="none"/>
                <w:shd w:val="clear" w:color="auto" w:fill="FFFFFF"/>
                <w:lang w:val="en-US" w:eastAsia="zh-CN"/>
              </w:rPr>
              <w:t>1</w:t>
            </w:r>
            <w:r>
              <w:rPr>
                <w:rFonts w:hint="eastAsia" w:ascii="宋体" w:hAnsi="宋体" w:eastAsia="宋体" w:cs="宋体"/>
                <w:color w:val="auto"/>
                <w:highlight w:val="none"/>
                <w:shd w:val="clear" w:color="auto" w:fill="FFFFFF"/>
                <w:lang w:eastAsia="zh-CN"/>
              </w:rPr>
              <w:t xml:space="preserve"> </w:t>
            </w:r>
            <w:r>
              <w:rPr>
                <w:rFonts w:hint="eastAsia" w:ascii="宋体" w:hAnsi="宋体" w:eastAsia="宋体" w:cs="宋体"/>
                <w:color w:val="auto"/>
                <w:sz w:val="21"/>
                <w:szCs w:val="21"/>
                <w:highlight w:val="none"/>
                <w:lang w:val="en-US" w:eastAsia="zh-CN"/>
              </w:rPr>
              <w:t>根据《关于在政府采购活动中查询及使用信用记录有关问题的通知》（财库[2016]125号）的规定，采购人或采购代理机构将通过“中国执行信息公开网”网站（https://zxgk.court.gov.cn/）、“信用中国”网站（https://www.creditchina.gov.cn/）、中国政府采购网（http://www.ccgp.gov.cn/）、国家企业信用信息公示系统（http://www.gsxt.gov.cn）等渠道查询投标人信用记录，被列入失信被执行人、重大税收违法失信主体、政府采购严重违法失信行为记录名单、严重违法失信名单的投标人将被拒绝参与本项目政府采购活动（截止时点：投标截止时间）。在规定的查询时间之后，网站信息发生的任何变更均不再作为评审依据。投标人自行提供的与网站信息不一致的其他证明材料亦不作为资格审查的依据。信用信息查询记录和证据将同采购文件等资料一同归档保存</w:t>
            </w:r>
            <w:r>
              <w:rPr>
                <w:rFonts w:hint="eastAsia" w:ascii="宋体" w:hAnsi="宋体" w:eastAsia="宋体" w:cs="宋体"/>
                <w:color w:val="auto"/>
                <w:highlight w:val="none"/>
                <w:shd w:val="clear" w:color="auto" w:fill="FFFFFF"/>
                <w:lang w:eastAsia="zh-CN"/>
              </w:rPr>
              <w:t>。【具体以采购人或采购代理机构查询为准】</w:t>
            </w:r>
          </w:p>
          <w:p w14:paraId="7391E21B">
            <w:pPr>
              <w:keepNext w:val="0"/>
              <w:keepLines w:val="0"/>
              <w:pageBreakBefore w:val="0"/>
              <w:widowControl w:val="0"/>
              <w:tabs>
                <w:tab w:val="left" w:pos="630"/>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shd w:val="clear" w:color="auto" w:fill="FFFFFF"/>
                <w:lang w:eastAsia="zh-CN"/>
              </w:rPr>
              <w:t>3.</w:t>
            </w:r>
            <w:r>
              <w:rPr>
                <w:rFonts w:hint="eastAsia" w:ascii="宋体" w:hAnsi="宋体" w:eastAsia="宋体" w:cs="宋体"/>
                <w:color w:val="auto"/>
                <w:highlight w:val="none"/>
                <w:shd w:val="clear" w:color="auto" w:fill="FFFFFF"/>
                <w:lang w:val="en-US" w:eastAsia="zh-CN"/>
              </w:rPr>
              <w:t>2</w:t>
            </w:r>
            <w:r>
              <w:rPr>
                <w:rFonts w:hint="eastAsia" w:ascii="宋体" w:hAnsi="宋体" w:eastAsia="宋体" w:cs="宋体"/>
                <w:color w:val="auto"/>
                <w:highlight w:val="none"/>
                <w:shd w:val="clear" w:color="auto" w:fill="FFFFFF"/>
                <w:lang w:eastAsia="zh-CN"/>
              </w:rPr>
              <w:t>单位负责人为同一人或者存在直接控股、管理关系的不同</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highlight w:val="none"/>
                <w:shd w:val="clear" w:color="auto" w:fill="FFFFFF"/>
                <w:lang w:eastAsia="zh-CN"/>
              </w:rPr>
              <w:t>，不得参加同一合同项下的政府采购活动。【</w:t>
            </w:r>
            <w:r>
              <w:rPr>
                <w:rFonts w:hint="eastAsia" w:ascii="宋体" w:hAnsi="宋体" w:eastAsia="宋体" w:cs="宋体"/>
                <w:color w:val="auto"/>
                <w:highlight w:val="none"/>
                <w:shd w:val="clear" w:color="auto" w:fill="FFFFFF"/>
                <w:lang w:val="en-US" w:eastAsia="zh-CN"/>
              </w:rPr>
              <w:t>建议投标人提供</w:t>
            </w:r>
            <w:r>
              <w:rPr>
                <w:rFonts w:hint="eastAsia" w:ascii="宋体" w:hAnsi="宋体" w:eastAsia="宋体" w:cs="宋体"/>
                <w:color w:val="auto"/>
                <w:highlight w:val="none"/>
              </w:rPr>
              <w:t>“国家企业信用信息公示系统”中公示的公司信息、股东（或投资人）信息网站查询页</w:t>
            </w:r>
            <w:r>
              <w:rPr>
                <w:rFonts w:hint="eastAsia" w:ascii="宋体" w:hAnsi="宋体" w:eastAsia="宋体" w:cs="宋体"/>
                <w:color w:val="auto"/>
                <w:highlight w:val="none"/>
                <w:lang w:val="en-US" w:eastAsia="zh-CN"/>
              </w:rPr>
              <w:t>或承诺函，格式自拟，具体以采购人或采购代理机构查询为准</w:t>
            </w:r>
            <w:r>
              <w:rPr>
                <w:rFonts w:hint="eastAsia" w:ascii="宋体" w:hAnsi="宋体" w:eastAsia="宋体" w:cs="宋体"/>
                <w:color w:val="auto"/>
                <w:highlight w:val="none"/>
                <w:shd w:val="clear" w:color="auto" w:fill="FFFFFF"/>
                <w:lang w:eastAsia="zh-CN"/>
              </w:rPr>
              <w:t>】</w:t>
            </w:r>
          </w:p>
        </w:tc>
      </w:tr>
      <w:tr w14:paraId="45F8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3A2BF00F">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1.2.10</w:t>
            </w:r>
          </w:p>
        </w:tc>
        <w:tc>
          <w:tcPr>
            <w:tcW w:w="1634" w:type="dxa"/>
            <w:noWrap w:val="0"/>
            <w:vAlign w:val="center"/>
          </w:tcPr>
          <w:p w14:paraId="5BF7A4C5">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是否接受联合体</w:t>
            </w:r>
          </w:p>
        </w:tc>
        <w:tc>
          <w:tcPr>
            <w:tcW w:w="6655" w:type="dxa"/>
            <w:noWrap w:val="0"/>
            <w:vAlign w:val="center"/>
          </w:tcPr>
          <w:p w14:paraId="7BB9E93E">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☑不接受</w:t>
            </w:r>
          </w:p>
        </w:tc>
      </w:tr>
      <w:tr w14:paraId="433C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4857EEEE">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w:t>
            </w:r>
          </w:p>
        </w:tc>
        <w:tc>
          <w:tcPr>
            <w:tcW w:w="1634" w:type="dxa"/>
            <w:noWrap w:val="0"/>
            <w:vAlign w:val="center"/>
          </w:tcPr>
          <w:p w14:paraId="44BE42B4">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现场考察</w:t>
            </w:r>
          </w:p>
        </w:tc>
        <w:tc>
          <w:tcPr>
            <w:tcW w:w="6655" w:type="dxa"/>
            <w:noWrap w:val="0"/>
            <w:vAlign w:val="center"/>
          </w:tcPr>
          <w:p w14:paraId="76FF5DA6">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不组织</w:t>
            </w:r>
          </w:p>
        </w:tc>
      </w:tr>
      <w:tr w14:paraId="30C0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1CBE404E">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1.4.5</w:t>
            </w:r>
          </w:p>
        </w:tc>
        <w:tc>
          <w:tcPr>
            <w:tcW w:w="1634" w:type="dxa"/>
            <w:noWrap w:val="0"/>
            <w:vAlign w:val="center"/>
          </w:tcPr>
          <w:p w14:paraId="2B4C206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答 疑 会</w:t>
            </w:r>
          </w:p>
        </w:tc>
        <w:tc>
          <w:tcPr>
            <w:tcW w:w="6655" w:type="dxa"/>
            <w:noWrap w:val="0"/>
            <w:vAlign w:val="center"/>
          </w:tcPr>
          <w:p w14:paraId="18CC2557">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不召开</w:t>
            </w:r>
          </w:p>
        </w:tc>
      </w:tr>
      <w:tr w14:paraId="7BC1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5A351E1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634" w:type="dxa"/>
            <w:noWrap w:val="0"/>
            <w:vAlign w:val="center"/>
          </w:tcPr>
          <w:p w14:paraId="508A105F">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分包</w:t>
            </w:r>
          </w:p>
        </w:tc>
        <w:tc>
          <w:tcPr>
            <w:tcW w:w="6655" w:type="dxa"/>
            <w:noWrap w:val="0"/>
            <w:vAlign w:val="center"/>
          </w:tcPr>
          <w:p w14:paraId="7916DF85">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不允许</w:t>
            </w:r>
          </w:p>
        </w:tc>
      </w:tr>
      <w:tr w14:paraId="589F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61BC62FA">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634" w:type="dxa"/>
            <w:noWrap w:val="0"/>
            <w:vAlign w:val="center"/>
          </w:tcPr>
          <w:p w14:paraId="3B859AD8">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样品</w:t>
            </w:r>
          </w:p>
        </w:tc>
        <w:tc>
          <w:tcPr>
            <w:tcW w:w="6655" w:type="dxa"/>
            <w:noWrap w:val="0"/>
            <w:vAlign w:val="center"/>
          </w:tcPr>
          <w:p w14:paraId="7ACEC1F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否</w:t>
            </w:r>
          </w:p>
        </w:tc>
      </w:tr>
      <w:tr w14:paraId="0559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2391625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1.11.2</w:t>
            </w:r>
          </w:p>
        </w:tc>
        <w:tc>
          <w:tcPr>
            <w:tcW w:w="1634" w:type="dxa"/>
            <w:noWrap w:val="0"/>
            <w:vAlign w:val="center"/>
          </w:tcPr>
          <w:p w14:paraId="1D73BDE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偏差</w:t>
            </w:r>
          </w:p>
        </w:tc>
        <w:tc>
          <w:tcPr>
            <w:tcW w:w="6655" w:type="dxa"/>
            <w:noWrap w:val="0"/>
            <w:vAlign w:val="center"/>
          </w:tcPr>
          <w:p w14:paraId="3C949E42">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eastAsia="zh-CN"/>
              </w:rPr>
              <w:t>☑实质性</w:t>
            </w:r>
            <w:r>
              <w:rPr>
                <w:rFonts w:hint="eastAsia" w:ascii="宋体" w:hAnsi="宋体" w:eastAsia="宋体" w:cs="宋体"/>
                <w:color w:val="auto"/>
                <w:sz w:val="21"/>
                <w:szCs w:val="21"/>
                <w:highlight w:val="none"/>
                <w:shd w:val="clear" w:color="auto" w:fill="auto"/>
                <w:lang w:val="en-US" w:eastAsia="zh-CN"/>
              </w:rPr>
              <w:t>偏差</w:t>
            </w:r>
            <w:r>
              <w:rPr>
                <w:rFonts w:hint="eastAsia" w:ascii="宋体" w:hAnsi="宋体" w:eastAsia="宋体" w:cs="宋体"/>
                <w:color w:val="auto"/>
                <w:sz w:val="21"/>
                <w:szCs w:val="21"/>
                <w:highlight w:val="none"/>
                <w:shd w:val="clear" w:color="auto" w:fill="auto"/>
              </w:rPr>
              <w:t>不允许</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实质性要求和条件指</w:t>
            </w:r>
            <w:r>
              <w:rPr>
                <w:rFonts w:hint="eastAsia" w:ascii="宋体" w:hAnsi="宋体" w:eastAsia="宋体" w:cs="宋体"/>
                <w:color w:val="auto"/>
                <w:sz w:val="21"/>
                <w:szCs w:val="21"/>
                <w:highlight w:val="none"/>
                <w:lang w:val="en-US" w:eastAsia="zh-CN"/>
              </w:rPr>
              <w:t>采购范围、交货及安装调试期、交货地点、质量标准、质量保证期、投标有效期、付款方式</w:t>
            </w:r>
            <w:r>
              <w:rPr>
                <w:rFonts w:hint="eastAsia" w:ascii="宋体" w:hAnsi="宋体" w:eastAsia="宋体" w:cs="宋体"/>
                <w:color w:val="auto"/>
                <w:sz w:val="21"/>
                <w:szCs w:val="21"/>
                <w:highlight w:val="none"/>
                <w:shd w:val="clear" w:color="auto" w:fill="auto"/>
                <w:lang w:val="en-US" w:eastAsia="zh-CN"/>
              </w:rPr>
              <w:t>。</w:t>
            </w:r>
          </w:p>
        </w:tc>
      </w:tr>
      <w:tr w14:paraId="4336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77B35BD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2.2.</w:t>
            </w:r>
            <w:r>
              <w:rPr>
                <w:rFonts w:hint="eastAsia" w:ascii="宋体" w:hAnsi="宋体" w:eastAsia="宋体" w:cs="宋体"/>
                <w:color w:val="auto"/>
                <w:kern w:val="0"/>
                <w:sz w:val="21"/>
                <w:szCs w:val="21"/>
                <w:highlight w:val="none"/>
                <w:lang w:val="en-US" w:eastAsia="zh-CN"/>
              </w:rPr>
              <w:t>2</w:t>
            </w:r>
          </w:p>
        </w:tc>
        <w:tc>
          <w:tcPr>
            <w:tcW w:w="1634" w:type="dxa"/>
            <w:noWrap w:val="0"/>
            <w:vAlign w:val="center"/>
          </w:tcPr>
          <w:p w14:paraId="0F367DDE">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招标文件澄清发出的形式</w:t>
            </w:r>
          </w:p>
        </w:tc>
        <w:tc>
          <w:tcPr>
            <w:tcW w:w="6655" w:type="dxa"/>
            <w:noWrap w:val="0"/>
            <w:vAlign w:val="center"/>
          </w:tcPr>
          <w:p w14:paraId="7FFDEC83">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通过公共电子交易平台发布</w:t>
            </w:r>
            <w:r>
              <w:rPr>
                <w:rFonts w:hint="eastAsia" w:ascii="宋体" w:hAnsi="宋体" w:eastAsia="宋体" w:cs="宋体"/>
                <w:color w:val="auto"/>
                <w:kern w:val="0"/>
                <w:sz w:val="21"/>
                <w:szCs w:val="21"/>
                <w:highlight w:val="none"/>
                <w:lang w:eastAsia="zh-CN"/>
              </w:rPr>
              <w:t>且同时在原公告媒体发布澄清公告</w:t>
            </w:r>
          </w:p>
        </w:tc>
      </w:tr>
      <w:tr w14:paraId="5DF9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vMerge w:val="restart"/>
            <w:noWrap w:val="0"/>
            <w:vAlign w:val="center"/>
          </w:tcPr>
          <w:p w14:paraId="7F8166BF">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2.2.</w:t>
            </w:r>
            <w:r>
              <w:rPr>
                <w:rFonts w:hint="eastAsia" w:ascii="宋体" w:hAnsi="宋体" w:eastAsia="宋体" w:cs="宋体"/>
                <w:color w:val="auto"/>
                <w:kern w:val="0"/>
                <w:sz w:val="21"/>
                <w:szCs w:val="21"/>
                <w:highlight w:val="none"/>
                <w:lang w:val="en-US" w:eastAsia="zh-CN"/>
              </w:rPr>
              <w:t>3</w:t>
            </w:r>
          </w:p>
        </w:tc>
        <w:tc>
          <w:tcPr>
            <w:tcW w:w="1634" w:type="dxa"/>
            <w:vMerge w:val="restart"/>
            <w:noWrap w:val="0"/>
            <w:vAlign w:val="center"/>
          </w:tcPr>
          <w:p w14:paraId="0FAE338F">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投标人确认收到招标文件澄清</w:t>
            </w:r>
          </w:p>
        </w:tc>
        <w:tc>
          <w:tcPr>
            <w:tcW w:w="6655" w:type="dxa"/>
            <w:noWrap w:val="0"/>
            <w:vAlign w:val="center"/>
          </w:tcPr>
          <w:p w14:paraId="71524F82">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时间：</w:t>
            </w:r>
            <w:r>
              <w:rPr>
                <w:rFonts w:hint="eastAsia" w:ascii="宋体" w:hAnsi="宋体" w:eastAsia="宋体" w:cs="宋体"/>
                <w:color w:val="auto"/>
                <w:sz w:val="21"/>
                <w:szCs w:val="21"/>
                <w:highlight w:val="none"/>
              </w:rPr>
              <w:t>在收到相应澄清文件后</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小时内</w:t>
            </w:r>
          </w:p>
        </w:tc>
      </w:tr>
      <w:tr w14:paraId="5E10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vMerge w:val="continue"/>
            <w:noWrap w:val="0"/>
            <w:vAlign w:val="center"/>
          </w:tcPr>
          <w:p w14:paraId="0F6F708A">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p>
        </w:tc>
        <w:tc>
          <w:tcPr>
            <w:tcW w:w="1634" w:type="dxa"/>
            <w:vMerge w:val="continue"/>
            <w:noWrap w:val="0"/>
            <w:vAlign w:val="center"/>
          </w:tcPr>
          <w:p w14:paraId="08330AB1">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p>
        </w:tc>
        <w:tc>
          <w:tcPr>
            <w:tcW w:w="6655" w:type="dxa"/>
            <w:noWrap w:val="0"/>
            <w:vAlign w:val="center"/>
          </w:tcPr>
          <w:p w14:paraId="6703365D">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b w:val="0"/>
                <w:bCs w:val="0"/>
                <w:color w:val="auto"/>
                <w:sz w:val="21"/>
                <w:szCs w:val="21"/>
                <w:highlight w:val="none"/>
                <w:shd w:val="clear" w:color="auto" w:fill="auto"/>
                <w:lang w:eastAsia="zh-CN"/>
              </w:rPr>
            </w:pPr>
            <w:r>
              <w:rPr>
                <w:rFonts w:hint="eastAsia" w:ascii="宋体" w:hAnsi="宋体" w:eastAsia="宋体" w:cs="宋体"/>
                <w:color w:val="auto"/>
                <w:kern w:val="0"/>
                <w:sz w:val="21"/>
                <w:szCs w:val="21"/>
                <w:highlight w:val="none"/>
              </w:rPr>
              <w:t>形式：</w:t>
            </w:r>
            <w:r>
              <w:rPr>
                <w:rFonts w:hint="eastAsia" w:ascii="宋体" w:hAnsi="宋体" w:eastAsia="宋体" w:cs="宋体"/>
                <w:b w:val="0"/>
                <w:bCs w:val="0"/>
                <w:color w:val="auto"/>
                <w:kern w:val="10"/>
                <w:sz w:val="21"/>
                <w:szCs w:val="21"/>
                <w:highlight w:val="none"/>
                <w:lang w:val="en-US" w:eastAsia="zh-CN"/>
              </w:rPr>
              <w:t>投标人自行在河南省公共资源交易中心平台交易平台系统查看，无需确认。</w:t>
            </w:r>
          </w:p>
        </w:tc>
      </w:tr>
      <w:tr w14:paraId="6344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2D7CA0E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2.3.</w:t>
            </w:r>
            <w:r>
              <w:rPr>
                <w:rFonts w:hint="eastAsia" w:ascii="宋体" w:hAnsi="宋体" w:eastAsia="宋体" w:cs="宋体"/>
                <w:color w:val="auto"/>
                <w:kern w:val="0"/>
                <w:sz w:val="21"/>
                <w:szCs w:val="21"/>
                <w:highlight w:val="none"/>
                <w:lang w:val="en-US" w:eastAsia="zh-CN"/>
              </w:rPr>
              <w:t>2</w:t>
            </w:r>
          </w:p>
        </w:tc>
        <w:tc>
          <w:tcPr>
            <w:tcW w:w="1634" w:type="dxa"/>
            <w:noWrap w:val="0"/>
            <w:vAlign w:val="center"/>
          </w:tcPr>
          <w:p w14:paraId="6E9986C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招标文件修改发出的形式</w:t>
            </w:r>
          </w:p>
        </w:tc>
        <w:tc>
          <w:tcPr>
            <w:tcW w:w="6655" w:type="dxa"/>
            <w:noWrap w:val="0"/>
            <w:vAlign w:val="center"/>
          </w:tcPr>
          <w:p w14:paraId="1E551476">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b w:val="0"/>
                <w:bCs w:val="0"/>
                <w:color w:val="auto"/>
                <w:sz w:val="21"/>
                <w:szCs w:val="21"/>
                <w:highlight w:val="none"/>
                <w:shd w:val="clear" w:color="auto" w:fill="auto"/>
                <w:lang w:eastAsia="zh-CN"/>
              </w:rPr>
            </w:pPr>
            <w:r>
              <w:rPr>
                <w:rFonts w:hint="eastAsia" w:ascii="宋体" w:hAnsi="宋体" w:eastAsia="宋体" w:cs="宋体"/>
                <w:b w:val="0"/>
                <w:bCs w:val="0"/>
                <w:color w:val="auto"/>
                <w:sz w:val="21"/>
                <w:szCs w:val="21"/>
                <w:highlight w:val="none"/>
                <w:lang w:eastAsia="zh-CN"/>
              </w:rPr>
              <w:t>通过公共电子交易平台发布</w:t>
            </w:r>
            <w:r>
              <w:rPr>
                <w:rFonts w:hint="eastAsia" w:ascii="宋体" w:hAnsi="宋体" w:eastAsia="宋体" w:cs="宋体"/>
                <w:color w:val="auto"/>
                <w:kern w:val="0"/>
                <w:sz w:val="21"/>
                <w:szCs w:val="21"/>
                <w:highlight w:val="none"/>
                <w:lang w:eastAsia="zh-CN"/>
              </w:rPr>
              <w:t>且同时在原公告媒体发布变更公告。</w:t>
            </w:r>
          </w:p>
        </w:tc>
      </w:tr>
      <w:tr w14:paraId="193A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vMerge w:val="restart"/>
            <w:noWrap w:val="0"/>
            <w:vAlign w:val="center"/>
          </w:tcPr>
          <w:p w14:paraId="3FE4A29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2.3.</w:t>
            </w:r>
            <w:r>
              <w:rPr>
                <w:rFonts w:hint="eastAsia" w:ascii="宋体" w:hAnsi="宋体" w:eastAsia="宋体" w:cs="宋体"/>
                <w:color w:val="auto"/>
                <w:kern w:val="0"/>
                <w:sz w:val="21"/>
                <w:szCs w:val="21"/>
                <w:highlight w:val="none"/>
                <w:lang w:val="en-US" w:eastAsia="zh-CN"/>
              </w:rPr>
              <w:t>3</w:t>
            </w:r>
          </w:p>
        </w:tc>
        <w:tc>
          <w:tcPr>
            <w:tcW w:w="1634" w:type="dxa"/>
            <w:vMerge w:val="restart"/>
            <w:noWrap w:val="0"/>
            <w:vAlign w:val="center"/>
          </w:tcPr>
          <w:p w14:paraId="6A4DE1DA">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投标人确认收到招标文件修改</w:t>
            </w:r>
          </w:p>
        </w:tc>
        <w:tc>
          <w:tcPr>
            <w:tcW w:w="6655" w:type="dxa"/>
            <w:noWrap w:val="0"/>
            <w:vAlign w:val="center"/>
          </w:tcPr>
          <w:p w14:paraId="431FCB0D">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kern w:val="0"/>
                <w:sz w:val="21"/>
                <w:szCs w:val="21"/>
                <w:highlight w:val="none"/>
              </w:rPr>
              <w:t>时间：在收到相应修改文件后</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kern w:val="0"/>
                <w:sz w:val="21"/>
                <w:szCs w:val="21"/>
                <w:highlight w:val="none"/>
              </w:rPr>
              <w:t>小时内</w:t>
            </w:r>
          </w:p>
        </w:tc>
      </w:tr>
      <w:tr w14:paraId="6427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vMerge w:val="continue"/>
            <w:noWrap w:val="0"/>
            <w:vAlign w:val="center"/>
          </w:tcPr>
          <w:p w14:paraId="1DC8496A">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p>
        </w:tc>
        <w:tc>
          <w:tcPr>
            <w:tcW w:w="1634" w:type="dxa"/>
            <w:vMerge w:val="continue"/>
            <w:noWrap w:val="0"/>
            <w:vAlign w:val="center"/>
          </w:tcPr>
          <w:p w14:paraId="2C875B41">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p>
        </w:tc>
        <w:tc>
          <w:tcPr>
            <w:tcW w:w="6655" w:type="dxa"/>
            <w:noWrap w:val="0"/>
            <w:vAlign w:val="center"/>
          </w:tcPr>
          <w:p w14:paraId="4D0177CA">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形式：</w:t>
            </w:r>
            <w:r>
              <w:rPr>
                <w:rFonts w:hint="eastAsia" w:ascii="宋体" w:hAnsi="宋体" w:eastAsia="宋体" w:cs="宋体"/>
                <w:b w:val="0"/>
                <w:bCs w:val="0"/>
                <w:color w:val="auto"/>
                <w:kern w:val="10"/>
                <w:sz w:val="21"/>
                <w:szCs w:val="21"/>
                <w:highlight w:val="none"/>
                <w:lang w:val="en-US" w:eastAsia="zh-CN"/>
              </w:rPr>
              <w:t>投标人自行在河南省公共资源交易中心平台交易平台系统查看，无需确认。</w:t>
            </w:r>
          </w:p>
        </w:tc>
      </w:tr>
      <w:tr w14:paraId="22B5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10571A6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p>
        </w:tc>
        <w:tc>
          <w:tcPr>
            <w:tcW w:w="1634" w:type="dxa"/>
            <w:noWrap w:val="0"/>
            <w:vAlign w:val="center"/>
          </w:tcPr>
          <w:p w14:paraId="0309D53A">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投标保证金</w:t>
            </w:r>
          </w:p>
        </w:tc>
        <w:tc>
          <w:tcPr>
            <w:tcW w:w="6655" w:type="dxa"/>
            <w:noWrap w:val="0"/>
            <w:vAlign w:val="center"/>
          </w:tcPr>
          <w:p w14:paraId="0DFFB55D">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kern w:val="0"/>
                <w:sz w:val="21"/>
                <w:szCs w:val="21"/>
                <w:highlight w:val="none"/>
                <w:lang w:eastAsia="zh-CN"/>
              </w:rPr>
              <w:t>不要求，根据豫财购</w:t>
            </w:r>
            <w:r>
              <w:rPr>
                <w:rFonts w:hint="eastAsia" w:ascii="宋体" w:hAnsi="宋体" w:eastAsia="宋体" w:cs="宋体"/>
                <w:color w:val="auto"/>
                <w:kern w:val="0"/>
                <w:sz w:val="21"/>
                <w:szCs w:val="21"/>
                <w:highlight w:val="none"/>
                <w:lang w:val="en-US" w:eastAsia="zh-CN"/>
              </w:rPr>
              <w:t>[2019]4号文件的相关规定，</w:t>
            </w:r>
            <w:r>
              <w:rPr>
                <w:rFonts w:hint="eastAsia" w:ascii="宋体" w:hAnsi="宋体" w:eastAsia="宋体" w:cs="宋体"/>
                <w:color w:val="auto"/>
                <w:sz w:val="21"/>
                <w:szCs w:val="21"/>
                <w:highlight w:val="none"/>
                <w:lang w:val="en-US" w:eastAsia="zh-CN"/>
              </w:rPr>
              <w:t>本次招标</w:t>
            </w:r>
            <w:r>
              <w:rPr>
                <w:rFonts w:hint="eastAsia" w:ascii="宋体" w:hAnsi="宋体" w:eastAsia="宋体" w:cs="宋体"/>
                <w:color w:val="auto"/>
                <w:kern w:val="0"/>
                <w:sz w:val="21"/>
                <w:szCs w:val="21"/>
                <w:highlight w:val="none"/>
                <w:lang w:val="en-US" w:eastAsia="zh-CN"/>
              </w:rPr>
              <w:t>不收取投标保证金，需提供投标承诺函。</w:t>
            </w:r>
          </w:p>
        </w:tc>
      </w:tr>
      <w:tr w14:paraId="6B54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0B2F327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3.5.1</w:t>
            </w:r>
          </w:p>
        </w:tc>
        <w:tc>
          <w:tcPr>
            <w:tcW w:w="1634" w:type="dxa"/>
            <w:noWrap w:val="0"/>
            <w:vAlign w:val="center"/>
          </w:tcPr>
          <w:p w14:paraId="587E35A8">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rPr>
              <w:t>投标有效期</w:t>
            </w:r>
          </w:p>
        </w:tc>
        <w:tc>
          <w:tcPr>
            <w:tcW w:w="6655" w:type="dxa"/>
            <w:noWrap w:val="0"/>
            <w:vAlign w:val="center"/>
          </w:tcPr>
          <w:p w14:paraId="73180BC8">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b/>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eastAsia="zh-CN"/>
              </w:rPr>
              <w:t>递交</w:t>
            </w:r>
            <w:r>
              <w:rPr>
                <w:rFonts w:hint="eastAsia" w:ascii="宋体" w:hAnsi="宋体" w:eastAsia="宋体" w:cs="宋体"/>
                <w:color w:val="auto"/>
                <w:sz w:val="21"/>
                <w:szCs w:val="21"/>
                <w:highlight w:val="none"/>
                <w:shd w:val="clear" w:color="auto" w:fill="auto"/>
              </w:rPr>
              <w:t xml:space="preserve">投标文件的截止之日起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90</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日历天</w:t>
            </w:r>
            <w:r>
              <w:rPr>
                <w:rFonts w:hint="eastAsia" w:ascii="宋体" w:hAnsi="宋体" w:eastAsia="宋体" w:cs="宋体"/>
                <w:color w:val="auto"/>
                <w:sz w:val="21"/>
                <w:szCs w:val="21"/>
                <w:highlight w:val="none"/>
                <w:lang w:eastAsia="zh-CN"/>
              </w:rPr>
              <w:t>。</w:t>
            </w:r>
          </w:p>
        </w:tc>
      </w:tr>
      <w:tr w14:paraId="6F85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3F6375F0">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p>
        </w:tc>
        <w:tc>
          <w:tcPr>
            <w:tcW w:w="1634" w:type="dxa"/>
            <w:noWrap w:val="0"/>
            <w:vAlign w:val="center"/>
          </w:tcPr>
          <w:p w14:paraId="12A56D6C">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签字盖章要求</w:t>
            </w:r>
          </w:p>
        </w:tc>
        <w:tc>
          <w:tcPr>
            <w:tcW w:w="6655" w:type="dxa"/>
            <w:noWrap w:val="0"/>
            <w:vAlign w:val="center"/>
          </w:tcPr>
          <w:p w14:paraId="527A5C8C">
            <w:pPr>
              <w:pStyle w:val="13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（1）所有要求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加盖公章的地方</w:t>
            </w:r>
            <w:r>
              <w:rPr>
                <w:rFonts w:hint="eastAsia" w:ascii="宋体" w:hAnsi="宋体" w:eastAsia="宋体" w:cs="宋体"/>
                <w:color w:val="auto"/>
                <w:sz w:val="21"/>
                <w:szCs w:val="21"/>
                <w:highlight w:val="none"/>
                <w:lang w:eastAsia="zh-CN"/>
              </w:rPr>
              <w:t>均用投标人</w:t>
            </w:r>
            <w:r>
              <w:rPr>
                <w:rFonts w:hint="eastAsia" w:ascii="宋体" w:hAnsi="宋体" w:eastAsia="宋体" w:cs="宋体"/>
                <w:color w:val="auto"/>
                <w:sz w:val="21"/>
                <w:szCs w:val="21"/>
                <w:highlight w:val="none"/>
              </w:rPr>
              <w:t>的CA</w:t>
            </w:r>
            <w:r>
              <w:rPr>
                <w:rFonts w:hint="eastAsia" w:ascii="宋体" w:hAnsi="宋体" w:eastAsia="宋体" w:cs="宋体"/>
                <w:color w:val="auto"/>
                <w:sz w:val="21"/>
                <w:szCs w:val="21"/>
                <w:highlight w:val="none"/>
                <w:lang w:eastAsia="zh-CN"/>
              </w:rPr>
              <w:t>锁进行电子签章</w:t>
            </w:r>
            <w:r>
              <w:rPr>
                <w:rFonts w:hint="eastAsia" w:ascii="宋体" w:hAnsi="宋体" w:eastAsia="宋体" w:cs="宋体"/>
                <w:color w:val="auto"/>
                <w:sz w:val="21"/>
                <w:szCs w:val="21"/>
                <w:highlight w:val="none"/>
              </w:rPr>
              <w:t>。</w:t>
            </w:r>
          </w:p>
          <w:p w14:paraId="52118EA3">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rPr>
              <w:t>（2）所有要求法定代表人签字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rPr>
              <w:t>的地方</w:t>
            </w:r>
            <w:r>
              <w:rPr>
                <w:rFonts w:hint="eastAsia" w:ascii="宋体" w:hAnsi="宋体" w:eastAsia="宋体" w:cs="宋体"/>
                <w:color w:val="auto"/>
                <w:sz w:val="21"/>
                <w:szCs w:val="21"/>
                <w:highlight w:val="none"/>
                <w:lang w:eastAsia="zh-CN"/>
              </w:rPr>
              <w:t>均用</w:t>
            </w:r>
            <w:r>
              <w:rPr>
                <w:rFonts w:hint="eastAsia" w:ascii="宋体" w:hAnsi="宋体" w:eastAsia="宋体" w:cs="宋体"/>
                <w:color w:val="auto"/>
                <w:sz w:val="21"/>
                <w:szCs w:val="21"/>
                <w:highlight w:val="none"/>
              </w:rPr>
              <w:t>法定代表人的CA</w:t>
            </w:r>
            <w:r>
              <w:rPr>
                <w:rFonts w:hint="eastAsia" w:ascii="宋体" w:hAnsi="宋体" w:eastAsia="宋体" w:cs="宋体"/>
                <w:color w:val="auto"/>
                <w:sz w:val="21"/>
                <w:szCs w:val="21"/>
                <w:highlight w:val="none"/>
                <w:lang w:eastAsia="zh-CN"/>
              </w:rPr>
              <w:t>锁进行电子签章</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签字或盖章</w:t>
            </w:r>
            <w:r>
              <w:rPr>
                <w:rFonts w:hint="eastAsia" w:ascii="宋体" w:hAnsi="宋体" w:eastAsia="宋体" w:cs="宋体"/>
                <w:color w:val="auto"/>
                <w:sz w:val="21"/>
                <w:szCs w:val="21"/>
                <w:highlight w:val="none"/>
              </w:rPr>
              <w:t>，且委托代理人没有CA锁</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，则</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需上传有委托代理人手写签名的扫描件。</w:t>
            </w:r>
          </w:p>
        </w:tc>
      </w:tr>
      <w:tr w14:paraId="2AA3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697F49AE">
            <w:pPr>
              <w:pageBreakBefore w:val="0"/>
              <w:kinsoku/>
              <w:overflowPunct/>
              <w:bidi w:val="0"/>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4.1.1</w:t>
            </w:r>
          </w:p>
        </w:tc>
        <w:tc>
          <w:tcPr>
            <w:tcW w:w="1634" w:type="dxa"/>
            <w:noWrap w:val="0"/>
            <w:vAlign w:val="center"/>
          </w:tcPr>
          <w:p w14:paraId="54D0D450">
            <w:pPr>
              <w:pageBreakBefore w:val="0"/>
              <w:kinsoku/>
              <w:overflowPunct/>
              <w:bidi w:val="0"/>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投标文件加密要求</w:t>
            </w:r>
          </w:p>
        </w:tc>
        <w:tc>
          <w:tcPr>
            <w:tcW w:w="6655" w:type="dxa"/>
            <w:noWrap w:val="0"/>
            <w:vAlign w:val="center"/>
          </w:tcPr>
          <w:p w14:paraId="5479451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按照河南省交易中心系统要求进行加密。</w:t>
            </w:r>
          </w:p>
        </w:tc>
      </w:tr>
      <w:tr w14:paraId="78A4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115BF165">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4.2.1</w:t>
            </w:r>
          </w:p>
        </w:tc>
        <w:tc>
          <w:tcPr>
            <w:tcW w:w="1634" w:type="dxa"/>
            <w:noWrap w:val="0"/>
            <w:vAlign w:val="center"/>
          </w:tcPr>
          <w:p w14:paraId="495165C5">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投标</w:t>
            </w:r>
            <w:r>
              <w:rPr>
                <w:rFonts w:hint="eastAsia" w:ascii="宋体" w:hAnsi="宋体" w:eastAsia="宋体" w:cs="宋体"/>
                <w:color w:val="auto"/>
                <w:spacing w:val="-2"/>
                <w:kern w:val="0"/>
                <w:sz w:val="21"/>
                <w:szCs w:val="21"/>
                <w:highlight w:val="none"/>
              </w:rPr>
              <w:t>截</w:t>
            </w:r>
            <w:r>
              <w:rPr>
                <w:rFonts w:hint="eastAsia" w:ascii="宋体" w:hAnsi="宋体" w:eastAsia="宋体" w:cs="宋体"/>
                <w:color w:val="auto"/>
                <w:kern w:val="0"/>
                <w:sz w:val="21"/>
                <w:szCs w:val="21"/>
                <w:highlight w:val="none"/>
              </w:rPr>
              <w:t>止</w:t>
            </w:r>
            <w:r>
              <w:rPr>
                <w:rFonts w:hint="eastAsia" w:ascii="宋体" w:hAnsi="宋体" w:eastAsia="宋体" w:cs="宋体"/>
                <w:color w:val="auto"/>
                <w:spacing w:val="-2"/>
                <w:kern w:val="0"/>
                <w:sz w:val="21"/>
                <w:szCs w:val="21"/>
                <w:highlight w:val="none"/>
              </w:rPr>
              <w:t>时</w:t>
            </w:r>
            <w:r>
              <w:rPr>
                <w:rFonts w:hint="eastAsia" w:ascii="宋体" w:hAnsi="宋体" w:eastAsia="宋体" w:cs="宋体"/>
                <w:color w:val="auto"/>
                <w:kern w:val="0"/>
                <w:sz w:val="21"/>
                <w:szCs w:val="21"/>
                <w:highlight w:val="none"/>
              </w:rPr>
              <w:t>间</w:t>
            </w:r>
          </w:p>
        </w:tc>
        <w:tc>
          <w:tcPr>
            <w:tcW w:w="6655" w:type="dxa"/>
            <w:noWrap w:val="0"/>
            <w:vAlign w:val="center"/>
          </w:tcPr>
          <w:p w14:paraId="0A66DCF6">
            <w:pPr>
              <w:pStyle w:val="33"/>
              <w:keepNext w:val="0"/>
              <w:keepLines w:val="0"/>
              <w:pageBreakBefore w:val="0"/>
              <w:widowControl/>
              <w:kinsoku/>
              <w:overflowPunct/>
              <w:topLinePunct w:val="0"/>
              <w:bidi w:val="0"/>
              <w:spacing w:before="0" w:beforeAutospacing="0" w:after="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kern w:val="0"/>
                <w:sz w:val="21"/>
                <w:szCs w:val="21"/>
                <w:highlight w:val="none"/>
              </w:rPr>
              <w:t>年</w:t>
            </w:r>
            <w:r>
              <w:rPr>
                <w:rFonts w:hint="eastAsia" w:cs="宋体"/>
                <w:color w:val="auto"/>
                <w:kern w:val="0"/>
                <w:sz w:val="21"/>
                <w:szCs w:val="21"/>
                <w:highlight w:val="none"/>
                <w:lang w:val="en-US" w:eastAsia="zh-CN"/>
              </w:rPr>
              <w:t>04</w:t>
            </w:r>
            <w:r>
              <w:rPr>
                <w:rFonts w:hint="eastAsia" w:ascii="宋体" w:hAnsi="宋体" w:eastAsia="宋体" w:cs="宋体"/>
                <w:color w:val="auto"/>
                <w:kern w:val="0"/>
                <w:sz w:val="21"/>
                <w:szCs w:val="21"/>
                <w:highlight w:val="none"/>
              </w:rPr>
              <w:t>月</w:t>
            </w:r>
            <w:r>
              <w:rPr>
                <w:rFonts w:hint="eastAsia" w:cs="宋体"/>
                <w:color w:val="auto"/>
                <w:kern w:val="0"/>
                <w:sz w:val="21"/>
                <w:szCs w:val="21"/>
                <w:highlight w:val="none"/>
                <w:lang w:val="en-US" w:eastAsia="zh-CN"/>
              </w:rPr>
              <w:t>28</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lang w:val="en-US" w:eastAsia="zh-CN"/>
              </w:rPr>
              <w:t>09</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lang w:val="en-US" w:eastAsia="zh-CN"/>
              </w:rPr>
              <w:t>00</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shd w:val="clear" w:color="auto" w:fill="FFFFFF"/>
              </w:rPr>
              <w:t>（北京时间）</w:t>
            </w:r>
          </w:p>
        </w:tc>
      </w:tr>
      <w:tr w14:paraId="6281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6D9BF037">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4.2.2</w:t>
            </w:r>
          </w:p>
        </w:tc>
        <w:tc>
          <w:tcPr>
            <w:tcW w:w="1634" w:type="dxa"/>
            <w:noWrap w:val="0"/>
            <w:vAlign w:val="center"/>
          </w:tcPr>
          <w:p w14:paraId="3E01F068">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递交投标文件地点及方式</w:t>
            </w:r>
          </w:p>
        </w:tc>
        <w:tc>
          <w:tcPr>
            <w:tcW w:w="6655" w:type="dxa"/>
            <w:noWrap w:val="0"/>
            <w:vAlign w:val="center"/>
          </w:tcPr>
          <w:p w14:paraId="062C5B5E">
            <w:pPr>
              <w:pStyle w:val="11"/>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地点：电子投标文件应于投标文件提交截止时间前在河南省公共资源交易中心交易系统中加密上传成功。</w:t>
            </w:r>
          </w:p>
          <w:p w14:paraId="23835C25">
            <w:pPr>
              <w:pStyle w:val="11"/>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方式：（1）各投标人应在投标截止时间前上传加密的电子投标文件（*.hntf）到会员系统的指定位置。上传时必须得到电脑“上传成功”的确认回复。请投标人在上传时认真检查上传投标文件是否完整、正确。</w:t>
            </w:r>
          </w:p>
          <w:p w14:paraId="66E4E4E0">
            <w:pPr>
              <w:pStyle w:val="11"/>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（2）投标人因交易中心投标系统问题无法上传电子投标文件时，请在工作时间与河南省公共资源交易中心联系，联系电话：0371-86095925。</w:t>
            </w:r>
          </w:p>
        </w:tc>
      </w:tr>
      <w:tr w14:paraId="543A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56BB3D7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5.1.1</w:t>
            </w:r>
          </w:p>
        </w:tc>
        <w:tc>
          <w:tcPr>
            <w:tcW w:w="1634" w:type="dxa"/>
            <w:noWrap w:val="0"/>
            <w:vAlign w:val="center"/>
          </w:tcPr>
          <w:p w14:paraId="0429E23C">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开标时间和开标地点</w:t>
            </w:r>
          </w:p>
        </w:tc>
        <w:tc>
          <w:tcPr>
            <w:tcW w:w="6655" w:type="dxa"/>
            <w:noWrap w:val="0"/>
            <w:vAlign w:val="center"/>
          </w:tcPr>
          <w:p w14:paraId="77DA318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开标时间：</w:t>
            </w:r>
            <w:r>
              <w:rPr>
                <w:rFonts w:hint="eastAsia" w:ascii="宋体" w:hAnsi="宋体" w:eastAsia="宋体" w:cs="宋体"/>
                <w:color w:val="auto"/>
                <w:sz w:val="21"/>
                <w:szCs w:val="21"/>
                <w:highlight w:val="none"/>
                <w:shd w:val="clear" w:color="auto" w:fill="auto"/>
                <w:lang w:eastAsia="zh-CN"/>
              </w:rPr>
              <w:t>同投标截止时间</w:t>
            </w:r>
          </w:p>
          <w:p w14:paraId="6A33624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开标地点：河南省公共资源交易中心远程开标室(</w:t>
            </w:r>
            <w:r>
              <w:rPr>
                <w:rFonts w:hint="eastAsia" w:cs="宋体"/>
                <w:color w:val="auto"/>
                <w:sz w:val="21"/>
                <w:szCs w:val="21"/>
                <w:highlight w:val="none"/>
                <w:shd w:val="clear" w:color="auto" w:fill="auto"/>
                <w:lang w:val="en-US" w:eastAsia="zh-CN"/>
              </w:rPr>
              <w:t>二</w:t>
            </w:r>
            <w:r>
              <w:rPr>
                <w:rFonts w:hint="eastAsia" w:ascii="宋体" w:hAnsi="宋体" w:eastAsia="宋体" w:cs="宋体"/>
                <w:color w:val="auto"/>
                <w:sz w:val="21"/>
                <w:szCs w:val="21"/>
                <w:highlight w:val="none"/>
                <w:shd w:val="clear" w:color="auto" w:fill="auto"/>
              </w:rPr>
              <w:t>)-</w:t>
            </w: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（郑州市经二路与纬四路交叉口向南50米路西）</w:t>
            </w:r>
          </w:p>
        </w:tc>
      </w:tr>
      <w:tr w14:paraId="0DBA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2BDA0356">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5.2.1</w:t>
            </w:r>
          </w:p>
        </w:tc>
        <w:tc>
          <w:tcPr>
            <w:tcW w:w="1634" w:type="dxa"/>
            <w:noWrap w:val="0"/>
            <w:vAlign w:val="center"/>
          </w:tcPr>
          <w:p w14:paraId="1BB61AAE">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资格审查</w:t>
            </w:r>
          </w:p>
        </w:tc>
        <w:tc>
          <w:tcPr>
            <w:tcW w:w="6655" w:type="dxa"/>
            <w:noWrap w:val="0"/>
            <w:vAlign w:val="center"/>
          </w:tcPr>
          <w:p w14:paraId="52C07523">
            <w:pPr>
              <w:keepNext w:val="0"/>
              <w:keepLines w:val="0"/>
              <w:pageBreakBefore w:val="0"/>
              <w:widowControl w:val="0"/>
              <w:kinsoku/>
              <w:wordWrap/>
              <w:overflowPunct/>
              <w:topLinePunct w:val="0"/>
              <w:autoSpaceDE/>
              <w:autoSpaceDN/>
              <w:bidi w:val="0"/>
              <w:adjustRightInd/>
              <w:snapToGrid/>
              <w:spacing w:line="360" w:lineRule="auto"/>
              <w:ind w:left="38" w:leftChars="18"/>
              <w:jc w:val="left"/>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lang w:eastAsia="zh-CN"/>
              </w:rPr>
              <w:t>由采购人或采购代理机构对投标人的资格进行审查，资格审查人员由采购人或采购代理机构人员共</w:t>
            </w:r>
            <w:r>
              <w:rPr>
                <w:rFonts w:hint="eastAsia" w:ascii="宋体" w:hAnsi="宋体" w:eastAsia="宋体" w:cs="宋体"/>
                <w:color w:val="auto"/>
                <w:sz w:val="21"/>
                <w:szCs w:val="21"/>
                <w:highlight w:val="none"/>
                <w:u w:val="single"/>
                <w:lang w:val="en-US" w:eastAsia="zh-CN"/>
              </w:rPr>
              <w:t xml:space="preserve"> 1 </w:t>
            </w:r>
            <w:r>
              <w:rPr>
                <w:rFonts w:hint="eastAsia" w:ascii="宋体" w:hAnsi="宋体" w:eastAsia="宋体" w:cs="宋体"/>
                <w:color w:val="auto"/>
                <w:sz w:val="21"/>
                <w:szCs w:val="21"/>
                <w:highlight w:val="none"/>
                <w:lang w:eastAsia="zh-CN"/>
              </w:rPr>
              <w:t>人组成。</w:t>
            </w:r>
          </w:p>
        </w:tc>
      </w:tr>
      <w:tr w14:paraId="3594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2A6EE90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5.3.1</w:t>
            </w:r>
          </w:p>
        </w:tc>
        <w:tc>
          <w:tcPr>
            <w:tcW w:w="1634" w:type="dxa"/>
            <w:noWrap w:val="0"/>
            <w:vAlign w:val="center"/>
          </w:tcPr>
          <w:p w14:paraId="1120EB5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评标委员会组成</w:t>
            </w:r>
          </w:p>
        </w:tc>
        <w:tc>
          <w:tcPr>
            <w:tcW w:w="6655" w:type="dxa"/>
            <w:noWrap w:val="0"/>
            <w:vAlign w:val="center"/>
          </w:tcPr>
          <w:p w14:paraId="579541C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评标委员会由采购人代表和评审专家组成，成员人数为 5人，其中评审专家不得少于成员总数的三分之二，从省级以上财政部门设立的政府采购评审专家库中，通过随机方式抽取。</w:t>
            </w:r>
          </w:p>
        </w:tc>
      </w:tr>
      <w:tr w14:paraId="1A01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35DE6C8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5.3.4</w:t>
            </w:r>
          </w:p>
        </w:tc>
        <w:tc>
          <w:tcPr>
            <w:tcW w:w="1634" w:type="dxa"/>
            <w:noWrap w:val="0"/>
            <w:vAlign w:val="center"/>
          </w:tcPr>
          <w:p w14:paraId="4570B1E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评标委员会推荐中标候选人的人数</w:t>
            </w:r>
          </w:p>
        </w:tc>
        <w:tc>
          <w:tcPr>
            <w:tcW w:w="6655" w:type="dxa"/>
            <w:noWrap w:val="0"/>
            <w:vAlign w:val="center"/>
          </w:tcPr>
          <w:p w14:paraId="159A4D8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评标委员会推荐中标候选人的人数：按综合评分由高到低的顺序推荐3名</w:t>
            </w:r>
          </w:p>
        </w:tc>
      </w:tr>
      <w:tr w14:paraId="5E49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noWrap w:val="0"/>
            <w:vAlign w:val="center"/>
          </w:tcPr>
          <w:p w14:paraId="0863997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6.4.1</w:t>
            </w:r>
          </w:p>
        </w:tc>
        <w:tc>
          <w:tcPr>
            <w:tcW w:w="1634" w:type="dxa"/>
            <w:noWrap w:val="0"/>
            <w:vAlign w:val="center"/>
          </w:tcPr>
          <w:p w14:paraId="0AF16F8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w:t>
            </w:r>
          </w:p>
        </w:tc>
        <w:tc>
          <w:tcPr>
            <w:tcW w:w="6655" w:type="dxa"/>
            <w:noWrap w:val="0"/>
            <w:vAlign w:val="center"/>
          </w:tcPr>
          <w:p w14:paraId="57CA2262">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color="auto" w:fill="auto"/>
                <w:lang w:val="en-US" w:eastAsia="zh-CN"/>
              </w:rPr>
              <w:t>不</w:t>
            </w:r>
            <w:r>
              <w:rPr>
                <w:rFonts w:hint="eastAsia" w:ascii="宋体" w:hAnsi="宋体" w:eastAsia="宋体" w:cs="宋体"/>
                <w:color w:val="auto"/>
                <w:sz w:val="21"/>
                <w:szCs w:val="21"/>
                <w:highlight w:val="none"/>
                <w:shd w:val="clear" w:color="auto" w:fill="auto"/>
                <w:lang w:eastAsia="zh-CN"/>
              </w:rPr>
              <w:t>要求</w:t>
            </w:r>
          </w:p>
        </w:tc>
      </w:tr>
      <w:tr w14:paraId="6259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noWrap w:val="0"/>
            <w:vAlign w:val="center"/>
          </w:tcPr>
          <w:p w14:paraId="0BD55232">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w:t>
            </w:r>
          </w:p>
        </w:tc>
        <w:tc>
          <w:tcPr>
            <w:tcW w:w="1634" w:type="dxa"/>
            <w:noWrap w:val="0"/>
            <w:vAlign w:val="center"/>
          </w:tcPr>
          <w:p w14:paraId="2AD809CC">
            <w:pPr>
              <w:wordWrap/>
              <w:topLinePunct w:val="0"/>
              <w:spacing w:line="400" w:lineRule="exact"/>
              <w:ind w:left="38" w:leftChars="1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是否涉及政府强制采购节能产品</w:t>
            </w:r>
          </w:p>
        </w:tc>
        <w:tc>
          <w:tcPr>
            <w:tcW w:w="6655" w:type="dxa"/>
            <w:noWrap w:val="0"/>
            <w:vAlign w:val="center"/>
          </w:tcPr>
          <w:p w14:paraId="1AA0A936">
            <w:pPr>
              <w:spacing w:line="400" w:lineRule="exact"/>
              <w:ind w:left="38" w:leftChars="18"/>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highlight w:val="none"/>
                <w:lang w:val="en-US" w:eastAsia="zh-CN"/>
              </w:rPr>
              <w:t>无</w:t>
            </w:r>
          </w:p>
        </w:tc>
      </w:tr>
      <w:tr w14:paraId="3E87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noWrap w:val="0"/>
            <w:vAlign w:val="center"/>
          </w:tcPr>
          <w:p w14:paraId="2ED7B1F2">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w:t>
            </w:r>
          </w:p>
        </w:tc>
        <w:tc>
          <w:tcPr>
            <w:tcW w:w="1634" w:type="dxa"/>
            <w:noWrap w:val="0"/>
            <w:vAlign w:val="center"/>
          </w:tcPr>
          <w:p w14:paraId="17A579C7">
            <w:pPr>
              <w:wordWrap/>
              <w:topLinePunct w:val="0"/>
              <w:spacing w:line="400" w:lineRule="exact"/>
              <w:ind w:left="38" w:leftChars="1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highlight w:val="none"/>
                <w:lang w:bidi="ar"/>
              </w:rPr>
              <w:t>是否属于中国强制性认证（CCC）产品</w:t>
            </w:r>
          </w:p>
        </w:tc>
        <w:tc>
          <w:tcPr>
            <w:tcW w:w="6655" w:type="dxa"/>
            <w:noWrap w:val="0"/>
            <w:vAlign w:val="center"/>
          </w:tcPr>
          <w:p w14:paraId="3F5A3ADE">
            <w:pPr>
              <w:spacing w:line="400" w:lineRule="exact"/>
              <w:ind w:left="38" w:leftChars="18"/>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val="en-US" w:eastAsia="zh-CN"/>
              </w:rPr>
              <w:t>无</w:t>
            </w:r>
          </w:p>
        </w:tc>
      </w:tr>
      <w:tr w14:paraId="6EB3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noWrap w:val="0"/>
            <w:vAlign w:val="center"/>
          </w:tcPr>
          <w:p w14:paraId="4C748320">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w:t>
            </w:r>
          </w:p>
        </w:tc>
        <w:tc>
          <w:tcPr>
            <w:tcW w:w="1634" w:type="dxa"/>
            <w:noWrap w:val="0"/>
            <w:vAlign w:val="center"/>
          </w:tcPr>
          <w:p w14:paraId="217C1077">
            <w:pPr>
              <w:wordWrap/>
              <w:topLinePunct w:val="0"/>
              <w:spacing w:line="400" w:lineRule="exact"/>
              <w:ind w:left="38" w:leftChars="1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highlight w:val="none"/>
                <w:lang w:bidi="ar"/>
              </w:rPr>
              <w:t>是否涉及信息安全产品</w:t>
            </w:r>
          </w:p>
        </w:tc>
        <w:tc>
          <w:tcPr>
            <w:tcW w:w="6655" w:type="dxa"/>
            <w:noWrap w:val="0"/>
            <w:vAlign w:val="center"/>
          </w:tcPr>
          <w:p w14:paraId="3EEC0A45">
            <w:pPr>
              <w:spacing w:line="400" w:lineRule="exact"/>
              <w:ind w:left="38" w:leftChars="18"/>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highlight w:val="none"/>
              </w:rPr>
              <w:t>根据《财政部、工业和信息化部、质检总局、认监委关于信息安全产品实施政府采购的通知》（财库[2010]48号）文件要求，各潜在</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在本次</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活动中投标货物中，如有涉信息安全产品</w:t>
            </w:r>
            <w:r>
              <w:rPr>
                <w:rFonts w:hint="eastAsia" w:ascii="宋体" w:hAnsi="宋体" w:eastAsia="宋体" w:cs="宋体"/>
                <w:color w:val="auto"/>
                <w:highlight w:val="none"/>
                <w:lang w:eastAsia="zh-CN"/>
              </w:rPr>
              <w:t>，应当符合《信息安全技术网络安全专用产品安全技术要求》等相关国家标准的强制性要求，由具备资格的机构安全认证合格或者安全检测符合要求，否则认定其</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eastAsia="zh-CN"/>
              </w:rPr>
              <w:t>文件无效。</w:t>
            </w:r>
          </w:p>
        </w:tc>
      </w:tr>
      <w:tr w14:paraId="2AB6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999" w:type="dxa"/>
            <w:noWrap w:val="0"/>
            <w:vAlign w:val="center"/>
          </w:tcPr>
          <w:p w14:paraId="39076FB7">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7.7</w:t>
            </w:r>
          </w:p>
        </w:tc>
        <w:tc>
          <w:tcPr>
            <w:tcW w:w="1634" w:type="dxa"/>
            <w:noWrap w:val="0"/>
            <w:vAlign w:val="center"/>
          </w:tcPr>
          <w:p w14:paraId="464AD845">
            <w:pPr>
              <w:wordWrap/>
              <w:topLinePunct w:val="0"/>
              <w:spacing w:line="400" w:lineRule="exact"/>
              <w:ind w:left="38" w:leftChars="18"/>
              <w:jc w:val="center"/>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是否执行对本国产品报价扣除政策</w:t>
            </w:r>
          </w:p>
          <w:p w14:paraId="255464DB">
            <w:pPr>
              <w:wordWrap/>
              <w:topLinePunct w:val="0"/>
              <w:spacing w:line="400" w:lineRule="exact"/>
              <w:ind w:left="38" w:leftChars="18"/>
              <w:jc w:val="center"/>
              <w:rPr>
                <w:rFonts w:hint="eastAsia" w:ascii="宋体" w:hAnsi="宋体" w:eastAsia="宋体" w:cs="宋体"/>
                <w:color w:val="auto"/>
                <w:kern w:val="0"/>
                <w:highlight w:val="none"/>
                <w:lang w:bidi="ar"/>
              </w:rPr>
            </w:pPr>
          </w:p>
        </w:tc>
        <w:tc>
          <w:tcPr>
            <w:tcW w:w="6655" w:type="dxa"/>
            <w:noWrap w:val="0"/>
            <w:vAlign w:val="center"/>
          </w:tcPr>
          <w:p w14:paraId="1581BA27">
            <w:pPr>
              <w:wordWrap/>
              <w:topLinePunct w:val="0"/>
              <w:spacing w:line="400" w:lineRule="exact"/>
              <w:ind w:left="38" w:leftChars="18"/>
              <w:jc w:val="left"/>
              <w:rPr>
                <w:rFonts w:hint="eastAsia" w:ascii="宋体" w:hAnsi="宋体" w:eastAsia="宋体" w:cs="宋体"/>
                <w:color w:val="auto"/>
                <w:highlight w:val="none"/>
              </w:rPr>
            </w:pPr>
            <w:r>
              <w:rPr>
                <w:rFonts w:hint="eastAsia" w:ascii="宋体" w:hAnsi="宋体" w:eastAsia="宋体" w:cs="宋体"/>
                <w:color w:val="auto"/>
                <w:kern w:val="0"/>
                <w:highlight w:val="none"/>
                <w:lang w:val="en-US" w:eastAsia="zh-CN" w:bidi="ar"/>
              </w:rPr>
              <w:t>是，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5D79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2DDC7981">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w:t>
            </w:r>
          </w:p>
        </w:tc>
        <w:tc>
          <w:tcPr>
            <w:tcW w:w="1634" w:type="dxa"/>
            <w:noWrap w:val="0"/>
            <w:vAlign w:val="center"/>
          </w:tcPr>
          <w:p w14:paraId="5B923B54">
            <w:pPr>
              <w:pageBreakBefore w:val="0"/>
              <w:kinsoku/>
              <w:overflowPunct/>
              <w:bidi w:val="0"/>
              <w:spacing w:line="360" w:lineRule="auto"/>
              <w:ind w:left="38" w:leftChars="1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是否采用电子招标投标</w:t>
            </w:r>
          </w:p>
        </w:tc>
        <w:tc>
          <w:tcPr>
            <w:tcW w:w="6655" w:type="dxa"/>
            <w:noWrap w:val="0"/>
            <w:vAlign w:val="center"/>
          </w:tcPr>
          <w:p w14:paraId="555A9F2C">
            <w:pPr>
              <w:pageBreakBefore w:val="0"/>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w:t>
            </w:r>
          </w:p>
          <w:p w14:paraId="27B468D9">
            <w:pPr>
              <w:pStyle w:val="7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1.市场主体需要完成信息登记及CA数字证书办理后，登录“河南省公共资源交易中心（</w:t>
            </w:r>
            <w:r>
              <w:rPr>
                <w:rFonts w:hint="eastAsia" w:ascii="宋体" w:hAnsi="宋体" w:eastAsia="宋体" w:cs="宋体"/>
                <w:b w:val="0"/>
                <w:bCs w:val="0"/>
                <w:color w:val="auto"/>
                <w:kern w:val="0"/>
                <w:sz w:val="21"/>
                <w:szCs w:val="21"/>
                <w:highlight w:val="none"/>
                <w:u w:val="none" w:color="auto"/>
                <w:lang w:val="en-US" w:eastAsia="zh-CN"/>
              </w:rPr>
              <w:t>https://hnsggzyjy.henan.gov.cn/</w:t>
            </w:r>
            <w:r>
              <w:rPr>
                <w:rFonts w:hint="eastAsia" w:ascii="宋体" w:hAnsi="宋体" w:eastAsia="宋体" w:cs="宋体"/>
                <w:color w:val="auto"/>
                <w:sz w:val="21"/>
                <w:szCs w:val="21"/>
                <w:highlight w:val="none"/>
                <w:lang w:val="en-US" w:eastAsia="zh-CN"/>
              </w:rPr>
              <w:t>）”网，凭领取的企业身份认证锁（CA密钥）进行网上登记。</w:t>
            </w:r>
          </w:p>
          <w:p w14:paraId="221C0DAC">
            <w:pPr>
              <w:pStyle w:val="7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2.开标时，投标人必须使用企业 CA 密钥对本单位的加密电子投标文件进行解密。投标人解密的企业CA锁应与制作本项目电子投标文件时所用的CA锁为同一把锁，否则由此造成的无法解密或解密失败等问题由投标人自行承担。</w:t>
            </w:r>
          </w:p>
          <w:p w14:paraId="37E5769F">
            <w:pPr>
              <w:pStyle w:val="7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3.投标人如因未详细阅读“新点投标文件制作软件（河南版）”</w:t>
            </w:r>
          </w:p>
          <w:p w14:paraId="40157EEE">
            <w:pPr>
              <w:pStyle w:val="7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及“河南省公共资源交易中心操作手册-投标文件制作手册”等自身原因造成的废标行为，投标人自行负责。</w:t>
            </w:r>
          </w:p>
          <w:p w14:paraId="76171512">
            <w:pPr>
              <w:pStyle w:val="7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4.评标时，评标委员会成员通过电子交易系统，根据招标文件规定的评标标准和方法进行独立评审。</w:t>
            </w:r>
          </w:p>
          <w:p w14:paraId="1100EE02">
            <w:pPr>
              <w:pStyle w:val="7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5.投标人应持本单位CA锁及时更新、维护本企业的交易主体数据库信息，并确保其信息的真实性、准确性、完整性。否则，由此导致的投标失败，由企业自行承担责任。</w:t>
            </w:r>
          </w:p>
          <w:p w14:paraId="66CE69F2">
            <w:pPr>
              <w:pStyle w:val="7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6.投标人在制作电子标书过程中，如遇到电子交易系统的软件操作问题时，可通过热线电话（4009980000）进行咨询。</w:t>
            </w:r>
          </w:p>
        </w:tc>
      </w:tr>
      <w:tr w14:paraId="4E77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14:paraId="15B51B2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9.2</w:t>
            </w:r>
          </w:p>
        </w:tc>
        <w:tc>
          <w:tcPr>
            <w:tcW w:w="1634" w:type="dxa"/>
            <w:noWrap w:val="0"/>
            <w:vAlign w:val="center"/>
          </w:tcPr>
          <w:p w14:paraId="5649422F">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w:t>
            </w:r>
          </w:p>
        </w:tc>
        <w:tc>
          <w:tcPr>
            <w:tcW w:w="6655" w:type="dxa"/>
            <w:noWrap w:val="0"/>
            <w:vAlign w:val="center"/>
          </w:tcPr>
          <w:p w14:paraId="1D95141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38" w:leftChars="18"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费用收取方式及标准：本项目以中标金额为计费基数，具体按照河南省招标投标协会关于印发《河南省招标代理服务收费指导意见》（豫招协【2023】002号）中的招标收费标准，由中标人一次性支付给采购代理机构代理服务费用。</w:t>
            </w:r>
          </w:p>
          <w:p w14:paraId="2196990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38" w:leftChars="18" w:firstLine="0" w:firstLineChars="0"/>
              <w:jc w:val="both"/>
              <w:textAlignment w:val="auto"/>
              <w:outlineLvl w:val="9"/>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采购资金的支付方式、时间（付款方式）：合同签订后，采购人向中标人支付合同金额的30%；全部设备到达采购人指定的交货地点且验收合格后，采购人向中标人支付合同金额的40%；全部设备安装调试完毕且验收合格后，采购人向中标人支付合同金额的30%。</w:t>
            </w:r>
          </w:p>
          <w:p w14:paraId="08DB876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38" w:leftChars="18"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SA"/>
              </w:rPr>
              <w:t>履约验收要求：详见第六章“采购需求”</w:t>
            </w:r>
            <w:r>
              <w:rPr>
                <w:rFonts w:hint="eastAsia" w:ascii="宋体" w:hAnsi="宋体" w:eastAsia="宋体" w:cs="宋体"/>
                <w:color w:val="auto"/>
                <w:sz w:val="21"/>
                <w:szCs w:val="21"/>
                <w:highlight w:val="none"/>
                <w:lang w:val="en-US" w:eastAsia="zh-CN"/>
              </w:rPr>
              <w:t>。</w:t>
            </w:r>
          </w:p>
          <w:p w14:paraId="4DEFF3B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38" w:leftChars="18"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本项目中标公告将</w:t>
            </w:r>
            <w:r>
              <w:rPr>
                <w:rFonts w:hint="eastAsia" w:ascii="宋体" w:hAnsi="宋体" w:eastAsia="宋体" w:cs="宋体"/>
                <w:color w:val="auto"/>
                <w:sz w:val="21"/>
                <w:szCs w:val="21"/>
                <w:highlight w:val="none"/>
              </w:rPr>
              <w:t>同时在</w:t>
            </w:r>
            <w:r>
              <w:rPr>
                <w:rFonts w:hint="eastAsia" w:ascii="宋体" w:hAnsi="宋体" w:eastAsia="宋体" w:cs="宋体"/>
                <w:color w:val="auto"/>
                <w:sz w:val="21"/>
                <w:szCs w:val="21"/>
                <w:highlight w:val="none"/>
                <w:shd w:val="clear" w:color="auto" w:fill="FFFFFF"/>
                <w:lang w:val="en-US" w:eastAsia="zh-CN"/>
              </w:rPr>
              <w:t>《河南省政府采购网》、《河南省公共资源交易中心》、</w:t>
            </w:r>
            <w:r>
              <w:rPr>
                <w:rFonts w:hint="eastAsia" w:ascii="宋体" w:hAnsi="宋体" w:eastAsia="宋体" w:cs="宋体"/>
                <w:color w:val="auto"/>
                <w:sz w:val="21"/>
                <w:szCs w:val="21"/>
                <w:highlight w:val="none"/>
              </w:rPr>
              <w:t>《中国招标投标公共服务平台》上发布</w:t>
            </w:r>
            <w:r>
              <w:rPr>
                <w:rFonts w:hint="eastAsia" w:ascii="宋体" w:hAnsi="宋体" w:eastAsia="宋体" w:cs="宋体"/>
                <w:color w:val="auto"/>
                <w:sz w:val="21"/>
                <w:szCs w:val="21"/>
                <w:highlight w:val="none"/>
                <w:lang w:eastAsia="zh-CN"/>
              </w:rPr>
              <w:t>。</w:t>
            </w:r>
          </w:p>
          <w:p w14:paraId="43E040B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38" w:leftChars="18"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采购人或采购代理机构应当自政府采购合同签订之日起2个工作日内，将政府采购合同在省级以上人民政府财政部门指定的媒体上公告，但政府采购合同中涉及国家秘密、商业秘密的内容除外。</w:t>
            </w:r>
          </w:p>
          <w:p w14:paraId="689E2B5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38" w:leftChars="18" w:firstLine="0" w:firstLineChars="0"/>
              <w:jc w:val="both"/>
              <w:textAlignment w:val="auto"/>
              <w:outlineLvl w:val="9"/>
              <w:rPr>
                <w:rFonts w:hint="eastAsia" w:ascii="宋体" w:hAnsi="宋体" w:eastAsia="宋体" w:cs="宋体"/>
                <w:color w:val="auto"/>
                <w:highlight w:val="none"/>
                <w:lang w:val="en-US"/>
              </w:rPr>
            </w:pPr>
            <w:r>
              <w:rPr>
                <w:rFonts w:hint="eastAsia" w:ascii="宋体" w:hAnsi="宋体" w:eastAsia="宋体" w:cs="宋体"/>
                <w:b/>
                <w:bCs/>
                <w:color w:val="auto"/>
                <w:sz w:val="21"/>
                <w:szCs w:val="21"/>
                <w:highlight w:val="none"/>
              </w:rPr>
              <w:t>本项目采购标的离子色谱仪（1套）、全自动红外测油仪（1套）、便携式气相分子吸收光谱仪（1套）、双光束紫外可见分光光度计（1套）、紫外可见分光光度计（1套）、干燥箱（1套）、便携式抽滤装置（1套）、氟离子计（1套）、立式高压蒸汽灭菌器（2套）、CODcr回流消解仪（2套）、便携式浊度计（2套）、便携式pH测定仪（2套）、便携式溶解氧测定仪（2套）、便携式电导率测定仪（2套）</w:t>
            </w:r>
            <w:r>
              <w:rPr>
                <w:rFonts w:hint="eastAsia" w:ascii="宋体" w:hAnsi="宋体" w:eastAsia="宋体" w:cs="宋体"/>
                <w:b/>
                <w:bCs/>
                <w:color w:val="auto"/>
                <w:sz w:val="21"/>
                <w:szCs w:val="21"/>
                <w:highlight w:val="none"/>
                <w:lang w:val="en-US" w:eastAsia="zh-CN"/>
              </w:rPr>
              <w:t>均</w:t>
            </w:r>
            <w:r>
              <w:rPr>
                <w:rFonts w:hint="eastAsia" w:ascii="宋体" w:hAnsi="宋体" w:eastAsia="宋体" w:cs="宋体"/>
                <w:b/>
                <w:bCs/>
                <w:color w:val="auto"/>
                <w:sz w:val="21"/>
                <w:szCs w:val="21"/>
                <w:highlight w:val="none"/>
              </w:rPr>
              <w:t>属于工业行业</w:t>
            </w:r>
            <w:r>
              <w:rPr>
                <w:rFonts w:hint="eastAsia" w:ascii="宋体" w:hAnsi="宋体" w:eastAsia="宋体" w:cs="宋体"/>
                <w:b/>
                <w:bCs/>
                <w:color w:val="auto"/>
                <w:sz w:val="21"/>
                <w:szCs w:val="21"/>
                <w:highlight w:val="none"/>
                <w:lang w:eastAsia="zh-CN"/>
              </w:rPr>
              <w:t>。</w:t>
            </w:r>
          </w:p>
        </w:tc>
      </w:tr>
    </w:tbl>
    <w:p w14:paraId="46CAC84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highlight w:val="none"/>
          <w:lang w:val="en-US" w:eastAsia="zh-CN"/>
        </w:rPr>
      </w:pPr>
    </w:p>
    <w:p w14:paraId="486E589F">
      <w:pPr>
        <w:pStyle w:val="5"/>
        <w:keepNext/>
        <w:keepLines/>
        <w:pageBreakBefore w:val="0"/>
        <w:widowControl w:val="0"/>
        <w:numPr>
          <w:ilvl w:val="0"/>
          <w:numId w:val="3"/>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color w:val="auto"/>
          <w:sz w:val="24"/>
          <w:szCs w:val="24"/>
          <w:highlight w:val="none"/>
        </w:rPr>
      </w:pPr>
      <w:bookmarkStart w:id="145" w:name="_Toc12329"/>
      <w:bookmarkStart w:id="146" w:name="_Toc312133543"/>
      <w:r>
        <w:rPr>
          <w:rFonts w:hint="eastAsia" w:ascii="宋体" w:hAnsi="宋体" w:eastAsia="宋体" w:cs="宋体"/>
          <w:color w:val="auto"/>
          <w:sz w:val="24"/>
          <w:szCs w:val="24"/>
          <w:highlight w:val="none"/>
          <w:lang w:val="en-US" w:eastAsia="zh-CN"/>
        </w:rPr>
        <w:br w:type="page"/>
      </w:r>
      <w:r>
        <w:rPr>
          <w:rFonts w:hint="eastAsia" w:ascii="宋体" w:hAnsi="宋体" w:eastAsia="宋体" w:cs="宋体"/>
          <w:color w:val="auto"/>
          <w:sz w:val="24"/>
          <w:szCs w:val="24"/>
          <w:highlight w:val="none"/>
          <w:lang w:val="en-US" w:eastAsia="zh-CN"/>
        </w:rPr>
        <w:t xml:space="preserve"> </w:t>
      </w:r>
      <w:bookmarkStart w:id="147" w:name="_Toc12865"/>
      <w:bookmarkStart w:id="148" w:name="_Toc20"/>
      <w:r>
        <w:rPr>
          <w:rFonts w:hint="eastAsia" w:ascii="宋体" w:hAnsi="宋体" w:eastAsia="宋体" w:cs="宋体"/>
          <w:color w:val="auto"/>
          <w:sz w:val="24"/>
          <w:szCs w:val="24"/>
          <w:highlight w:val="none"/>
          <w:lang w:val="en-US" w:eastAsia="zh-CN"/>
        </w:rPr>
        <w:t>总则</w:t>
      </w:r>
      <w:bookmarkEnd w:id="145"/>
      <w:bookmarkEnd w:id="146"/>
      <w:bookmarkEnd w:id="147"/>
      <w:bookmarkEnd w:id="148"/>
    </w:p>
    <w:p w14:paraId="2D89F923">
      <w:pPr>
        <w:pStyle w:val="6"/>
        <w:pageBreakBefore w:val="0"/>
        <w:numPr>
          <w:ilvl w:val="1"/>
          <w:numId w:val="4"/>
        </w:numPr>
        <w:kinsoku/>
        <w:overflowPunct/>
        <w:bidi w:val="0"/>
        <w:spacing w:line="360" w:lineRule="auto"/>
        <w:rPr>
          <w:rFonts w:hint="eastAsia" w:ascii="宋体" w:hAnsi="宋体" w:eastAsia="宋体" w:cs="宋体"/>
          <w:color w:val="auto"/>
          <w:highlight w:val="none"/>
        </w:rPr>
      </w:pPr>
      <w:bookmarkStart w:id="149" w:name="_Toc30432"/>
      <w:bookmarkStart w:id="150" w:name="_Toc28377"/>
      <w:bookmarkStart w:id="151" w:name="_Toc5358"/>
      <w:bookmarkStart w:id="152" w:name="_Toc14496"/>
      <w:bookmarkStart w:id="153" w:name="_Toc4828"/>
      <w:bookmarkStart w:id="154" w:name="_Toc2572"/>
      <w:bookmarkStart w:id="155" w:name="_Toc28200"/>
      <w:bookmarkStart w:id="156" w:name="_Toc30513"/>
      <w:bookmarkStart w:id="157" w:name="_Toc20743"/>
      <w:bookmarkStart w:id="158" w:name="_Toc2081"/>
      <w:bookmarkStart w:id="159" w:name="_Toc15062"/>
      <w:bookmarkStart w:id="160" w:name="_Toc2427"/>
      <w:bookmarkStart w:id="161" w:name="_Toc27597"/>
      <w:r>
        <w:rPr>
          <w:rFonts w:hint="eastAsia" w:ascii="宋体" w:hAnsi="宋体" w:eastAsia="宋体" w:cs="宋体"/>
          <w:color w:val="auto"/>
          <w:highlight w:val="none"/>
        </w:rPr>
        <w:t>适用范围</w:t>
      </w:r>
      <w:bookmarkEnd w:id="149"/>
      <w:bookmarkEnd w:id="150"/>
      <w:bookmarkEnd w:id="151"/>
      <w:bookmarkEnd w:id="152"/>
      <w:bookmarkEnd w:id="153"/>
      <w:bookmarkEnd w:id="154"/>
      <w:bookmarkEnd w:id="155"/>
      <w:bookmarkEnd w:id="156"/>
      <w:bookmarkEnd w:id="157"/>
      <w:bookmarkEnd w:id="158"/>
      <w:bookmarkEnd w:id="159"/>
      <w:bookmarkEnd w:id="160"/>
      <w:bookmarkEnd w:id="161"/>
    </w:p>
    <w:p w14:paraId="550288D5">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根据《中华人民共和国政府采购法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中华人民共和国政府采购法</w:t>
      </w:r>
      <w:r>
        <w:rPr>
          <w:rFonts w:hint="eastAsia" w:ascii="宋体" w:hAnsi="宋体" w:eastAsia="宋体" w:cs="宋体"/>
          <w:color w:val="auto"/>
          <w:kern w:val="0"/>
          <w:szCs w:val="21"/>
          <w:highlight w:val="none"/>
          <w:lang w:eastAsia="zh-CN"/>
        </w:rPr>
        <w:t>实施条例</w:t>
      </w:r>
      <w:r>
        <w:rPr>
          <w:rFonts w:hint="eastAsia" w:ascii="宋体" w:hAnsi="宋体" w:eastAsia="宋体" w:cs="宋体"/>
          <w:color w:val="auto"/>
          <w:kern w:val="0"/>
          <w:szCs w:val="21"/>
          <w:highlight w:val="none"/>
        </w:rPr>
        <w:t>》等有关法律、法规和规章的规定，本项目已具备</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条件，现对本项目</w:t>
      </w:r>
      <w:r>
        <w:rPr>
          <w:rFonts w:hint="eastAsia" w:ascii="宋体" w:hAnsi="宋体" w:eastAsia="宋体" w:cs="宋体"/>
          <w:color w:val="auto"/>
          <w:kern w:val="0"/>
          <w:szCs w:val="21"/>
          <w:highlight w:val="none"/>
          <w:lang w:eastAsia="zh-CN"/>
        </w:rPr>
        <w:t>进行公开招标，</w:t>
      </w: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文件仅适用于本次</w:t>
      </w:r>
      <w:r>
        <w:rPr>
          <w:rFonts w:hint="eastAsia" w:ascii="宋体" w:hAnsi="宋体" w:eastAsia="宋体" w:cs="宋体"/>
          <w:color w:val="auto"/>
          <w:szCs w:val="21"/>
          <w:highlight w:val="none"/>
          <w:lang w:eastAsia="zh-CN"/>
        </w:rPr>
        <w:t>招标文件中</w:t>
      </w:r>
      <w:r>
        <w:rPr>
          <w:rFonts w:hint="eastAsia" w:ascii="宋体" w:hAnsi="宋体" w:eastAsia="宋体" w:cs="宋体"/>
          <w:color w:val="auto"/>
          <w:szCs w:val="21"/>
          <w:highlight w:val="none"/>
        </w:rPr>
        <w:t>所述的货物</w:t>
      </w:r>
      <w:r>
        <w:rPr>
          <w:rFonts w:hint="eastAsia" w:ascii="宋体" w:hAnsi="宋体" w:eastAsia="宋体" w:cs="宋体"/>
          <w:color w:val="auto"/>
          <w:szCs w:val="21"/>
          <w:highlight w:val="none"/>
          <w:lang w:eastAsia="zh-CN"/>
        </w:rPr>
        <w:t>及其伴随的服务</w:t>
      </w:r>
      <w:r>
        <w:rPr>
          <w:rFonts w:hint="eastAsia" w:ascii="宋体" w:hAnsi="宋体" w:eastAsia="宋体" w:cs="宋体"/>
          <w:color w:val="auto"/>
          <w:szCs w:val="21"/>
          <w:highlight w:val="none"/>
        </w:rPr>
        <w:t>。</w:t>
      </w:r>
    </w:p>
    <w:p w14:paraId="0DD05767">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文件的解释权归采购人所有。</w:t>
      </w:r>
    </w:p>
    <w:p w14:paraId="01934F04">
      <w:pPr>
        <w:pStyle w:val="6"/>
        <w:pageBreakBefore w:val="0"/>
        <w:numPr>
          <w:ilvl w:val="1"/>
          <w:numId w:val="4"/>
        </w:numPr>
        <w:kinsoku/>
        <w:overflowPunct/>
        <w:bidi w:val="0"/>
        <w:spacing w:line="360" w:lineRule="auto"/>
        <w:rPr>
          <w:rFonts w:hint="eastAsia" w:ascii="宋体" w:hAnsi="宋体" w:eastAsia="宋体" w:cs="宋体"/>
          <w:color w:val="auto"/>
          <w:highlight w:val="none"/>
          <w:lang w:eastAsia="zh-CN"/>
        </w:rPr>
      </w:pPr>
      <w:bookmarkStart w:id="162" w:name="_Toc16716"/>
      <w:bookmarkStart w:id="163" w:name="_Toc6443"/>
      <w:bookmarkStart w:id="164" w:name="_Toc29424"/>
      <w:bookmarkStart w:id="165" w:name="_Toc19192"/>
      <w:bookmarkStart w:id="166" w:name="_Toc18955"/>
      <w:bookmarkStart w:id="167" w:name="_Toc13654"/>
      <w:r>
        <w:rPr>
          <w:rFonts w:hint="eastAsia" w:ascii="宋体" w:hAnsi="宋体" w:eastAsia="宋体" w:cs="宋体"/>
          <w:color w:val="auto"/>
          <w:highlight w:val="none"/>
          <w:lang w:eastAsia="zh-CN"/>
        </w:rPr>
        <w:t>招标项目概况</w:t>
      </w:r>
      <w:bookmarkEnd w:id="162"/>
      <w:bookmarkEnd w:id="163"/>
      <w:bookmarkEnd w:id="164"/>
      <w:bookmarkEnd w:id="165"/>
      <w:bookmarkEnd w:id="166"/>
      <w:bookmarkEnd w:id="167"/>
    </w:p>
    <w:p w14:paraId="09A3B86E">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中所述的、依法进行政府采购的国家机关、事业单位、团体组织。</w:t>
      </w:r>
    </w:p>
    <w:p w14:paraId="6283C98B">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采购代理机构：受采购人委托组织招标活动，在招标过程中负有相应责任的社会中介组织。</w:t>
      </w:r>
    </w:p>
    <w:p w14:paraId="39D70E87">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w:t>
      </w:r>
      <w:r>
        <w:rPr>
          <w:rFonts w:hint="eastAsia" w:ascii="宋体" w:hAnsi="宋体" w:eastAsia="宋体" w:cs="宋体"/>
          <w:color w:val="auto"/>
          <w:szCs w:val="21"/>
          <w:highlight w:val="none"/>
          <w:lang w:eastAsia="zh-CN"/>
        </w:rPr>
        <w:t>项目编号</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1C2D87D2">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采购范围：</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23EF6333">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资金来源及</w:t>
      </w: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eastAsia="zh-CN"/>
        </w:rPr>
        <w:t>金额</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5CDD6481">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交货及安装调试期：见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6E69D07E">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346964AA">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0BDE58AC">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质量保证期：</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0D1BB3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1.2.10</w:t>
      </w:r>
      <w:r>
        <w:rPr>
          <w:rFonts w:hint="eastAsia" w:ascii="宋体" w:hAnsi="宋体" w:eastAsia="宋体" w:cs="宋体"/>
          <w:color w:val="auto"/>
          <w:szCs w:val="21"/>
          <w:highlight w:val="none"/>
        </w:rPr>
        <w:t>合格投标人</w:t>
      </w:r>
    </w:p>
    <w:p w14:paraId="02E23F35">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具有独立承担民事责任能力的法人、其他组织或者自然人；</w:t>
      </w:r>
    </w:p>
    <w:p w14:paraId="10264B70">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具有良好的商业信誉和健全的财务会计制度；</w:t>
      </w:r>
    </w:p>
    <w:p w14:paraId="19B393F2">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具有履行合同所必需的设备和专业技术能力；</w:t>
      </w:r>
    </w:p>
    <w:p w14:paraId="53D53C16">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有依法缴纳税收和社会保障资金的良好记录；</w:t>
      </w:r>
    </w:p>
    <w:p w14:paraId="1E092557">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参加政府采购活动前三年内，在经营活动中没有重大违法记录；</w:t>
      </w:r>
    </w:p>
    <w:p w14:paraId="750AE373">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具有完善的售后服务体系，并能承担招标项目的供货和相关服务的企业；</w:t>
      </w:r>
    </w:p>
    <w:p w14:paraId="549378C9">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已</w:t>
      </w:r>
      <w:r>
        <w:rPr>
          <w:rFonts w:hint="eastAsia" w:ascii="宋体" w:hAnsi="宋体" w:eastAsia="宋体" w:cs="宋体"/>
          <w:color w:val="auto"/>
          <w:kern w:val="0"/>
          <w:szCs w:val="21"/>
          <w:highlight w:val="none"/>
          <w:lang w:eastAsia="zh-CN"/>
        </w:rPr>
        <w:t>通过正规渠道获得本项目的招标文件</w:t>
      </w:r>
      <w:r>
        <w:rPr>
          <w:rFonts w:hint="eastAsia" w:ascii="宋体" w:hAnsi="宋体" w:eastAsia="宋体" w:cs="宋体"/>
          <w:color w:val="auto"/>
          <w:kern w:val="0"/>
          <w:szCs w:val="21"/>
          <w:highlight w:val="none"/>
        </w:rPr>
        <w:t>；</w:t>
      </w:r>
    </w:p>
    <w:p w14:paraId="0BB71667">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未被依法暂停或者取消投标资格；</w:t>
      </w:r>
    </w:p>
    <w:p w14:paraId="52F37C38">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未被责令停产停业、暂扣或者吊销许可证、暂扣或者吊销执照；</w:t>
      </w:r>
    </w:p>
    <w:p w14:paraId="29DC4065">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法律、行政法规规定的其他条件。</w:t>
      </w:r>
    </w:p>
    <w:p w14:paraId="14B2597A">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投标人须知前附表规定的其他条件。</w:t>
      </w:r>
    </w:p>
    <w:p w14:paraId="42D904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1.2.11</w:t>
      </w:r>
      <w:r>
        <w:rPr>
          <w:rFonts w:hint="eastAsia" w:ascii="宋体" w:hAnsi="宋体" w:eastAsia="宋体" w:cs="宋体"/>
          <w:color w:val="auto"/>
          <w:szCs w:val="21"/>
          <w:highlight w:val="none"/>
        </w:rPr>
        <w:t>投标人不得存在下列情形之一：</w:t>
      </w:r>
    </w:p>
    <w:p w14:paraId="286272BD">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与采购人存在利害关系且可能影响招标公正性；</w:t>
      </w:r>
    </w:p>
    <w:p w14:paraId="5B89498D">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与本招标项目的其他投标人为同一个单位负责人；</w:t>
      </w:r>
    </w:p>
    <w:p w14:paraId="4BF0EE06">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与本招标项目的其他投标人存在控股、管理关系；</w:t>
      </w:r>
    </w:p>
    <w:p w14:paraId="135E1695">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为本招标项目提供过</w:t>
      </w:r>
      <w:r>
        <w:rPr>
          <w:rFonts w:hint="eastAsia" w:ascii="宋体" w:hAnsi="宋体" w:eastAsia="宋体" w:cs="宋体"/>
          <w:color w:val="auto"/>
          <w:kern w:val="0"/>
          <w:szCs w:val="21"/>
          <w:highlight w:val="none"/>
          <w:lang w:eastAsia="zh-CN"/>
        </w:rPr>
        <w:t>整体</w:t>
      </w:r>
      <w:r>
        <w:rPr>
          <w:rFonts w:hint="eastAsia" w:ascii="宋体" w:hAnsi="宋体" w:eastAsia="宋体" w:cs="宋体"/>
          <w:color w:val="auto"/>
          <w:kern w:val="0"/>
          <w:szCs w:val="21"/>
          <w:highlight w:val="none"/>
        </w:rPr>
        <w:t>设计、</w:t>
      </w:r>
      <w:r>
        <w:rPr>
          <w:rFonts w:hint="eastAsia" w:ascii="宋体" w:hAnsi="宋体" w:eastAsia="宋体" w:cs="宋体"/>
          <w:color w:val="auto"/>
          <w:kern w:val="0"/>
          <w:szCs w:val="21"/>
          <w:highlight w:val="none"/>
          <w:lang w:eastAsia="zh-CN"/>
        </w:rPr>
        <w:t>规范</w:t>
      </w:r>
      <w:r>
        <w:rPr>
          <w:rFonts w:hint="eastAsia" w:ascii="宋体" w:hAnsi="宋体" w:eastAsia="宋体" w:cs="宋体"/>
          <w:color w:val="auto"/>
          <w:kern w:val="0"/>
          <w:szCs w:val="21"/>
          <w:highlight w:val="none"/>
        </w:rPr>
        <w:t>编制</w:t>
      </w:r>
      <w:r>
        <w:rPr>
          <w:rFonts w:hint="eastAsia" w:ascii="宋体" w:hAnsi="宋体" w:eastAsia="宋体" w:cs="宋体"/>
          <w:color w:val="auto"/>
          <w:kern w:val="0"/>
          <w:szCs w:val="21"/>
          <w:highlight w:val="none"/>
          <w:lang w:eastAsia="zh-CN"/>
        </w:rPr>
        <w:t>或者项目管理、监理、检测等服务</w:t>
      </w:r>
      <w:r>
        <w:rPr>
          <w:rFonts w:hint="eastAsia" w:ascii="宋体" w:hAnsi="宋体" w:eastAsia="宋体" w:cs="宋体"/>
          <w:color w:val="auto"/>
          <w:kern w:val="0"/>
          <w:szCs w:val="21"/>
          <w:highlight w:val="none"/>
        </w:rPr>
        <w:t>；</w:t>
      </w:r>
    </w:p>
    <w:p w14:paraId="3E6DF87D">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为本招标项目的招标代理机构；</w:t>
      </w:r>
    </w:p>
    <w:p w14:paraId="26BEC5A6">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投标人以他人名义投标、串通投标、以行贿手段牟取中标，或在投标中弄虚作假的；</w:t>
      </w:r>
    </w:p>
    <w:p w14:paraId="477AA909">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法律法规规定的其他情形。</w:t>
      </w:r>
    </w:p>
    <w:p w14:paraId="226C4A1D">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360" w:lineRule="auto"/>
        <w:ind w:leftChars="200" w:right="0" w:rightChars="0"/>
        <w:jc w:val="both"/>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1.2.12有下列情形之一的，视为投标人串通投标，其投标文件无效：</w:t>
      </w:r>
    </w:p>
    <w:p w14:paraId="4CF8D7BB">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不同投标人的投标文件由同一单位或者个人编制；</w:t>
      </w:r>
    </w:p>
    <w:p w14:paraId="5A164784">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不同投标人委托同一单位或者个人办理投标事宜；</w:t>
      </w:r>
    </w:p>
    <w:p w14:paraId="1785182D">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不同投标人的投标文件载明的项目管理成员或者联系人员为同一人；</w:t>
      </w:r>
    </w:p>
    <w:p w14:paraId="49A909D9">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不同投标人的投标文件异常一致或者响应报价呈规律性差异；</w:t>
      </w:r>
    </w:p>
    <w:p w14:paraId="3F454CB7">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不同投标人的投标文件相互混装；</w:t>
      </w:r>
    </w:p>
    <w:p w14:paraId="0678E4DF">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不同投标人的入围保证金从同一单位或者个人的账户转出；</w:t>
      </w:r>
    </w:p>
    <w:p w14:paraId="38B5B336">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不同投标人的电子投标文件上传计算机的网卡MAC地址、CPU序列号和硬盘序列号等硬件信息相同的；</w:t>
      </w:r>
    </w:p>
    <w:p w14:paraId="184333D0">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不同投标人的投标文件由同一电子设备编制、打印加密或者上传；</w:t>
      </w:r>
    </w:p>
    <w:p w14:paraId="6FBF054E">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不同投标人的投标文件由同一电子设备打印、复印；</w:t>
      </w:r>
    </w:p>
    <w:p w14:paraId="74CAAF31">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不同投标人的投标文件由同一人送达或者分发，或者不同投标人联系人为同一人或不同联系人的联系电话一致的；</w:t>
      </w:r>
    </w:p>
    <w:p w14:paraId="7E647DA2">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不同投标人的投标文件的内容存在两处以上细节错误一致；</w:t>
      </w:r>
    </w:p>
    <w:p w14:paraId="761CCC69">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不同投标人的法定代表人、委托代理人、项目经理、项目负责人等由同一个单位缴纳社会保险或者领取报酬的；</w:t>
      </w:r>
    </w:p>
    <w:p w14:paraId="1726162C">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不同投标人投标文件中法定代表人或者负责人签字出自同一人之手；</w:t>
      </w:r>
    </w:p>
    <w:p w14:paraId="0EB7A6CA">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其它涉嫌串通的情形。</w:t>
      </w:r>
    </w:p>
    <w:p w14:paraId="73B150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1.2.13</w:t>
      </w:r>
      <w:r>
        <w:rPr>
          <w:rFonts w:hint="eastAsia" w:ascii="宋体" w:hAnsi="宋体" w:eastAsia="宋体" w:cs="宋体"/>
          <w:color w:val="auto"/>
          <w:szCs w:val="21"/>
          <w:highlight w:val="none"/>
        </w:rPr>
        <w:t>中标人：接到并接受中标通知，最终被授予合同的投标人。</w:t>
      </w:r>
    </w:p>
    <w:p w14:paraId="5549FA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1.2.14</w:t>
      </w:r>
      <w:r>
        <w:rPr>
          <w:rFonts w:hint="eastAsia" w:ascii="宋体" w:hAnsi="宋体" w:eastAsia="宋体" w:cs="宋体"/>
          <w:color w:val="auto"/>
          <w:szCs w:val="21"/>
          <w:highlight w:val="none"/>
        </w:rPr>
        <w:t>投标文件：指投标人根据招标文件提交的所有文件。</w:t>
      </w:r>
    </w:p>
    <w:p w14:paraId="01E59024">
      <w:pPr>
        <w:pStyle w:val="6"/>
        <w:pageBreakBefore w:val="0"/>
        <w:numPr>
          <w:ilvl w:val="1"/>
          <w:numId w:val="4"/>
        </w:numPr>
        <w:kinsoku/>
        <w:overflowPunct/>
        <w:bidi w:val="0"/>
        <w:spacing w:line="360" w:lineRule="auto"/>
        <w:rPr>
          <w:rFonts w:hint="eastAsia" w:ascii="宋体" w:hAnsi="宋体" w:eastAsia="宋体" w:cs="宋体"/>
          <w:color w:val="auto"/>
          <w:highlight w:val="none"/>
          <w:lang w:eastAsia="zh-CN"/>
        </w:rPr>
      </w:pPr>
      <w:bookmarkStart w:id="168" w:name="_Toc8166"/>
      <w:bookmarkStart w:id="169" w:name="_Toc29288"/>
      <w:bookmarkStart w:id="170" w:name="_Toc25850"/>
      <w:bookmarkStart w:id="171" w:name="_Toc31273"/>
      <w:bookmarkStart w:id="172" w:name="_Toc4927"/>
      <w:bookmarkStart w:id="173" w:name="_Toc9501"/>
      <w:r>
        <w:rPr>
          <w:rFonts w:hint="eastAsia" w:ascii="宋体" w:hAnsi="宋体" w:eastAsia="宋体" w:cs="宋体"/>
          <w:color w:val="auto"/>
          <w:highlight w:val="none"/>
          <w:lang w:eastAsia="zh-CN"/>
        </w:rPr>
        <w:t>投标费用</w:t>
      </w:r>
      <w:bookmarkEnd w:id="168"/>
      <w:bookmarkEnd w:id="169"/>
      <w:bookmarkEnd w:id="170"/>
      <w:bookmarkEnd w:id="171"/>
      <w:bookmarkEnd w:id="172"/>
      <w:bookmarkEnd w:id="173"/>
    </w:p>
    <w:p w14:paraId="485416B3">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bookmarkStart w:id="174" w:name="_Toc22953398"/>
      <w:bookmarkEnd w:id="174"/>
      <w:bookmarkStart w:id="175" w:name="_Toc312133544"/>
      <w:r>
        <w:rPr>
          <w:rFonts w:hint="eastAsia" w:ascii="宋体" w:hAnsi="宋体" w:eastAsia="宋体" w:cs="宋体"/>
          <w:color w:val="auto"/>
          <w:szCs w:val="21"/>
          <w:highlight w:val="none"/>
        </w:rPr>
        <w:t>投标人准备和参加投标活动发生的费用自理。</w:t>
      </w:r>
    </w:p>
    <w:p w14:paraId="52574B10">
      <w:pPr>
        <w:pStyle w:val="6"/>
        <w:pageBreakBefore w:val="0"/>
        <w:numPr>
          <w:ilvl w:val="1"/>
          <w:numId w:val="4"/>
        </w:numPr>
        <w:kinsoku/>
        <w:overflowPunct/>
        <w:bidi w:val="0"/>
        <w:spacing w:line="360" w:lineRule="auto"/>
        <w:rPr>
          <w:rFonts w:hint="eastAsia" w:ascii="宋体" w:hAnsi="宋体" w:eastAsia="宋体" w:cs="宋体"/>
          <w:color w:val="auto"/>
          <w:highlight w:val="none"/>
        </w:rPr>
      </w:pPr>
      <w:bookmarkStart w:id="176" w:name="_Toc1130"/>
      <w:bookmarkStart w:id="177" w:name="_Toc13179"/>
      <w:bookmarkStart w:id="178" w:name="_Toc28829"/>
      <w:bookmarkStart w:id="179" w:name="_Toc30990"/>
      <w:bookmarkStart w:id="180" w:name="_Toc27093"/>
      <w:bookmarkStart w:id="181" w:name="_Toc12301"/>
      <w:bookmarkStart w:id="182" w:name="_Toc28577"/>
      <w:bookmarkStart w:id="183" w:name="_Toc27047"/>
      <w:bookmarkStart w:id="184" w:name="_Toc13660"/>
      <w:bookmarkStart w:id="185" w:name="_Toc7192"/>
      <w:bookmarkStart w:id="186" w:name="_Toc31440"/>
      <w:bookmarkStart w:id="187" w:name="_Toc23865"/>
      <w:bookmarkStart w:id="188" w:name="_Toc18613"/>
      <w:r>
        <w:rPr>
          <w:rFonts w:hint="eastAsia" w:ascii="宋体" w:hAnsi="宋体" w:eastAsia="宋体" w:cs="宋体"/>
          <w:color w:val="auto"/>
          <w:highlight w:val="none"/>
        </w:rPr>
        <w:t>现场考察或答疑会</w:t>
      </w:r>
      <w:bookmarkEnd w:id="176"/>
      <w:bookmarkEnd w:id="177"/>
      <w:bookmarkEnd w:id="178"/>
      <w:bookmarkEnd w:id="179"/>
      <w:bookmarkEnd w:id="180"/>
      <w:bookmarkEnd w:id="181"/>
      <w:bookmarkEnd w:id="182"/>
      <w:bookmarkEnd w:id="183"/>
      <w:bookmarkEnd w:id="184"/>
      <w:bookmarkEnd w:id="185"/>
      <w:bookmarkEnd w:id="186"/>
      <w:bookmarkEnd w:id="187"/>
      <w:bookmarkEnd w:id="188"/>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不适用</w:t>
      </w:r>
      <w:r>
        <w:rPr>
          <w:rFonts w:hint="eastAsia" w:ascii="宋体" w:hAnsi="宋体" w:eastAsia="宋体" w:cs="宋体"/>
          <w:color w:val="auto"/>
          <w:highlight w:val="none"/>
          <w:lang w:eastAsia="zh-CN"/>
        </w:rPr>
        <w:t>）</w:t>
      </w:r>
    </w:p>
    <w:p w14:paraId="4E293839">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现场考察：投标人须知前附表规定组织现场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按投标人须知前附表规定的时间、地点组织投标人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项目现场。部分投标人未按时参加现场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的，不影响现场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的正常进行。</w:t>
      </w:r>
    </w:p>
    <w:p w14:paraId="105E603D">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发生的费用自理。</w:t>
      </w:r>
    </w:p>
    <w:p w14:paraId="264F5AAC">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的原因外，投标人自行负责在现场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中所发生的人员伤亡和财产损失。</w:t>
      </w:r>
    </w:p>
    <w:p w14:paraId="1A385AF9">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中介绍的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场地和相关的周边环境情况，供投标人在编制投标文件时参考，</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不对投标人据此作出的判断和决策负责。</w:t>
      </w:r>
    </w:p>
    <w:p w14:paraId="120AABC9">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答疑会：见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21BA1B7B">
      <w:pPr>
        <w:pStyle w:val="6"/>
        <w:pageBreakBefore w:val="0"/>
        <w:numPr>
          <w:ilvl w:val="1"/>
          <w:numId w:val="4"/>
        </w:numPr>
        <w:kinsoku/>
        <w:overflowPunct/>
        <w:bidi w:val="0"/>
        <w:spacing w:line="360" w:lineRule="auto"/>
        <w:rPr>
          <w:rFonts w:hint="eastAsia" w:ascii="宋体" w:hAnsi="宋体" w:eastAsia="宋体" w:cs="宋体"/>
          <w:color w:val="auto"/>
          <w:highlight w:val="none"/>
        </w:rPr>
      </w:pPr>
      <w:bookmarkStart w:id="189" w:name="_Toc11040"/>
      <w:bookmarkStart w:id="190" w:name="_Toc9110"/>
      <w:bookmarkStart w:id="191" w:name="_Toc9561"/>
      <w:bookmarkStart w:id="192" w:name="_Toc7448"/>
      <w:bookmarkStart w:id="193" w:name="_Toc20467"/>
      <w:bookmarkStart w:id="194" w:name="_Toc30032"/>
      <w:bookmarkStart w:id="195" w:name="_Toc6051"/>
      <w:bookmarkStart w:id="196" w:name="_Toc27635"/>
      <w:bookmarkStart w:id="197" w:name="_Toc10737"/>
      <w:bookmarkStart w:id="198" w:name="_Toc28493"/>
      <w:bookmarkStart w:id="199" w:name="_Toc26711"/>
      <w:bookmarkStart w:id="200" w:name="_Toc8265"/>
      <w:bookmarkStart w:id="201" w:name="_Toc9989"/>
      <w:r>
        <w:rPr>
          <w:rFonts w:hint="eastAsia" w:ascii="宋体" w:hAnsi="宋体" w:eastAsia="宋体" w:cs="宋体"/>
          <w:color w:val="auto"/>
          <w:highlight w:val="none"/>
        </w:rPr>
        <w:t>分包</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406488F4">
      <w:pPr>
        <w:pStyle w:val="70"/>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eastAsia" w:ascii="宋体" w:hAnsi="宋体" w:eastAsia="宋体" w:cs="宋体"/>
          <w:color w:val="auto"/>
          <w:kern w:val="0"/>
          <w:sz w:val="21"/>
          <w:szCs w:val="21"/>
          <w:highlight w:val="none"/>
          <w:lang w:val="en-US" w:eastAsia="zh-CN" w:bidi="ar-SA"/>
        </w:rPr>
      </w:pPr>
      <w:bookmarkStart w:id="202" w:name="_Toc28651"/>
      <w:bookmarkStart w:id="203" w:name="_Toc20874"/>
      <w:r>
        <w:rPr>
          <w:rFonts w:hint="eastAsia" w:ascii="宋体" w:hAnsi="宋体" w:eastAsia="宋体" w:cs="宋体"/>
          <w:color w:val="auto"/>
          <w:kern w:val="0"/>
          <w:sz w:val="21"/>
          <w:szCs w:val="21"/>
          <w:highlight w:val="none"/>
          <w:lang w:val="en-US" w:eastAsia="zh-CN" w:bidi="ar-SA"/>
        </w:rPr>
        <w:t>不允许</w:t>
      </w:r>
    </w:p>
    <w:bookmarkEnd w:id="202"/>
    <w:bookmarkEnd w:id="203"/>
    <w:p w14:paraId="2B03E043">
      <w:pPr>
        <w:pStyle w:val="6"/>
        <w:pageBreakBefore w:val="0"/>
        <w:numPr>
          <w:ilvl w:val="1"/>
          <w:numId w:val="4"/>
        </w:numPr>
        <w:kinsoku/>
        <w:overflowPunct/>
        <w:bidi w:val="0"/>
        <w:spacing w:line="360" w:lineRule="auto"/>
        <w:rPr>
          <w:rFonts w:hint="eastAsia" w:ascii="宋体" w:hAnsi="宋体" w:eastAsia="宋体" w:cs="宋体"/>
          <w:color w:val="auto"/>
          <w:highlight w:val="none"/>
        </w:rPr>
      </w:pPr>
      <w:bookmarkStart w:id="204" w:name="_Toc10772"/>
      <w:bookmarkStart w:id="205" w:name="_Toc20927"/>
      <w:bookmarkStart w:id="206" w:name="_Toc1044"/>
      <w:bookmarkStart w:id="207" w:name="_Toc11842"/>
      <w:bookmarkStart w:id="208" w:name="_Toc19467"/>
      <w:bookmarkStart w:id="209" w:name="_Toc21622"/>
      <w:r>
        <w:rPr>
          <w:rFonts w:hint="eastAsia" w:ascii="宋体" w:hAnsi="宋体" w:eastAsia="宋体" w:cs="宋体"/>
          <w:color w:val="auto"/>
          <w:highlight w:val="none"/>
        </w:rPr>
        <w:t>样品</w:t>
      </w:r>
      <w:bookmarkEnd w:id="204"/>
      <w:bookmarkEnd w:id="205"/>
      <w:bookmarkEnd w:id="206"/>
      <w:bookmarkEnd w:id="207"/>
      <w:bookmarkEnd w:id="208"/>
      <w:bookmarkEnd w:id="209"/>
    </w:p>
    <w:p w14:paraId="5A047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不提供</w:t>
      </w:r>
    </w:p>
    <w:p w14:paraId="69EE3913">
      <w:pPr>
        <w:pStyle w:val="6"/>
        <w:pageBreakBefore w:val="0"/>
        <w:numPr>
          <w:ilvl w:val="1"/>
          <w:numId w:val="4"/>
        </w:numPr>
        <w:kinsoku/>
        <w:overflowPunct/>
        <w:bidi w:val="0"/>
        <w:spacing w:line="360" w:lineRule="auto"/>
        <w:rPr>
          <w:rFonts w:hint="eastAsia" w:ascii="宋体" w:hAnsi="宋体" w:eastAsia="宋体" w:cs="宋体"/>
          <w:color w:val="auto"/>
          <w:highlight w:val="none"/>
        </w:rPr>
      </w:pPr>
      <w:bookmarkStart w:id="210" w:name="_Toc5477"/>
      <w:bookmarkStart w:id="211" w:name="_Toc16595"/>
      <w:bookmarkStart w:id="212" w:name="_Toc29202"/>
      <w:bookmarkStart w:id="213" w:name="_Toc14740"/>
      <w:bookmarkStart w:id="214" w:name="_Toc15630"/>
      <w:bookmarkStart w:id="215" w:name="_Toc12548"/>
      <w:bookmarkStart w:id="216" w:name="_Toc12963"/>
      <w:bookmarkStart w:id="217" w:name="_Toc29163"/>
      <w:bookmarkStart w:id="218" w:name="_Toc29855"/>
      <w:bookmarkStart w:id="219" w:name="_Toc11845"/>
      <w:bookmarkStart w:id="220" w:name="_Toc9588"/>
      <w:bookmarkStart w:id="221" w:name="_Toc9147"/>
      <w:bookmarkStart w:id="222" w:name="_Toc25924"/>
      <w:r>
        <w:rPr>
          <w:rFonts w:hint="eastAsia" w:ascii="宋体" w:hAnsi="宋体" w:eastAsia="宋体" w:cs="宋体"/>
          <w:color w:val="auto"/>
          <w:highlight w:val="none"/>
        </w:rPr>
        <w:t>投标语言</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6BE300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招标</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r>
        <w:rPr>
          <w:rFonts w:hint="eastAsia" w:ascii="宋体" w:hAnsi="宋体" w:eastAsia="宋体" w:cs="宋体"/>
          <w:color w:val="auto"/>
          <w:spacing w:val="-2"/>
          <w:kern w:val="0"/>
          <w:szCs w:val="21"/>
          <w:highlight w:val="none"/>
        </w:rPr>
        <w:t>使</w:t>
      </w:r>
      <w:r>
        <w:rPr>
          <w:rFonts w:hint="eastAsia" w:ascii="宋体" w:hAnsi="宋体" w:eastAsia="宋体" w:cs="宋体"/>
          <w:color w:val="auto"/>
          <w:kern w:val="0"/>
          <w:szCs w:val="21"/>
          <w:highlight w:val="none"/>
        </w:rPr>
        <w:t>用</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语</w:t>
      </w:r>
      <w:r>
        <w:rPr>
          <w:rFonts w:hint="eastAsia" w:ascii="宋体" w:hAnsi="宋体" w:eastAsia="宋体" w:cs="宋体"/>
          <w:color w:val="auto"/>
          <w:spacing w:val="-2"/>
          <w:kern w:val="0"/>
          <w:szCs w:val="21"/>
          <w:highlight w:val="none"/>
        </w:rPr>
        <w:t>言</w:t>
      </w:r>
      <w:r>
        <w:rPr>
          <w:rFonts w:hint="eastAsia" w:ascii="宋体" w:hAnsi="宋体" w:eastAsia="宋体" w:cs="宋体"/>
          <w:color w:val="auto"/>
          <w:kern w:val="0"/>
          <w:szCs w:val="21"/>
          <w:highlight w:val="none"/>
        </w:rPr>
        <w:t>文字</w:t>
      </w:r>
      <w:r>
        <w:rPr>
          <w:rFonts w:hint="eastAsia" w:ascii="宋体" w:hAnsi="宋体" w:eastAsia="宋体" w:cs="宋体"/>
          <w:color w:val="auto"/>
          <w:spacing w:val="-2"/>
          <w:kern w:val="0"/>
          <w:szCs w:val="21"/>
          <w:highlight w:val="none"/>
        </w:rPr>
        <w:t>为</w:t>
      </w:r>
      <w:r>
        <w:rPr>
          <w:rFonts w:hint="eastAsia" w:ascii="宋体" w:hAnsi="宋体" w:eastAsia="宋体" w:cs="宋体"/>
          <w:color w:val="auto"/>
          <w:kern w:val="0"/>
          <w:szCs w:val="21"/>
          <w:highlight w:val="none"/>
        </w:rPr>
        <w:t>中</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专</w:t>
      </w:r>
      <w:r>
        <w:rPr>
          <w:rFonts w:hint="eastAsia" w:ascii="宋体" w:hAnsi="宋体" w:eastAsia="宋体" w:cs="宋体"/>
          <w:color w:val="auto"/>
          <w:kern w:val="0"/>
          <w:szCs w:val="21"/>
          <w:highlight w:val="none"/>
        </w:rPr>
        <w:t>用</w:t>
      </w:r>
      <w:r>
        <w:rPr>
          <w:rFonts w:hint="eastAsia" w:ascii="宋体" w:hAnsi="宋体" w:eastAsia="宋体" w:cs="宋体"/>
          <w:color w:val="auto"/>
          <w:spacing w:val="-2"/>
          <w:kern w:val="0"/>
          <w:szCs w:val="21"/>
          <w:highlight w:val="none"/>
        </w:rPr>
        <w:t>术</w:t>
      </w:r>
      <w:r>
        <w:rPr>
          <w:rFonts w:hint="eastAsia" w:ascii="宋体" w:hAnsi="宋体" w:eastAsia="宋体" w:cs="宋体"/>
          <w:color w:val="auto"/>
          <w:kern w:val="0"/>
          <w:szCs w:val="21"/>
          <w:highlight w:val="none"/>
        </w:rPr>
        <w:t>语</w:t>
      </w:r>
      <w:r>
        <w:rPr>
          <w:rFonts w:hint="eastAsia" w:ascii="宋体" w:hAnsi="宋体" w:eastAsia="宋体" w:cs="宋体"/>
          <w:color w:val="auto"/>
          <w:spacing w:val="-2"/>
          <w:kern w:val="0"/>
          <w:szCs w:val="21"/>
          <w:highlight w:val="none"/>
        </w:rPr>
        <w:t>使</w:t>
      </w:r>
      <w:r>
        <w:rPr>
          <w:rFonts w:hint="eastAsia" w:ascii="宋体" w:hAnsi="宋体" w:eastAsia="宋体" w:cs="宋体"/>
          <w:color w:val="auto"/>
          <w:kern w:val="0"/>
          <w:szCs w:val="21"/>
          <w:highlight w:val="none"/>
        </w:rPr>
        <w:t>用外</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应</w:t>
      </w:r>
      <w:r>
        <w:rPr>
          <w:rFonts w:hint="eastAsia" w:ascii="宋体" w:hAnsi="宋体" w:eastAsia="宋体" w:cs="宋体"/>
          <w:color w:val="auto"/>
          <w:spacing w:val="-2"/>
          <w:kern w:val="0"/>
          <w:szCs w:val="21"/>
          <w:highlight w:val="none"/>
        </w:rPr>
        <w:t>附</w:t>
      </w:r>
      <w:r>
        <w:rPr>
          <w:rFonts w:hint="eastAsia" w:ascii="宋体" w:hAnsi="宋体" w:eastAsia="宋体" w:cs="宋体"/>
          <w:color w:val="auto"/>
          <w:kern w:val="0"/>
          <w:szCs w:val="21"/>
          <w:highlight w:val="none"/>
        </w:rPr>
        <w:t>有</w:t>
      </w:r>
      <w:r>
        <w:rPr>
          <w:rFonts w:hint="eastAsia" w:ascii="宋体" w:hAnsi="宋体" w:eastAsia="宋体" w:cs="宋体"/>
          <w:color w:val="auto"/>
          <w:spacing w:val="-2"/>
          <w:kern w:val="0"/>
          <w:szCs w:val="21"/>
          <w:highlight w:val="none"/>
        </w:rPr>
        <w:t>中</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注</w:t>
      </w:r>
      <w:r>
        <w:rPr>
          <w:rFonts w:hint="eastAsia" w:ascii="宋体" w:hAnsi="宋体" w:eastAsia="宋体" w:cs="宋体"/>
          <w:color w:val="auto"/>
          <w:kern w:val="0"/>
          <w:szCs w:val="21"/>
          <w:highlight w:val="none"/>
        </w:rPr>
        <w:t>释</w:t>
      </w:r>
      <w:r>
        <w:rPr>
          <w:rFonts w:hint="eastAsia" w:ascii="宋体" w:hAnsi="宋体" w:eastAsia="宋体" w:cs="宋体"/>
          <w:color w:val="auto"/>
          <w:szCs w:val="21"/>
          <w:highlight w:val="none"/>
        </w:rPr>
        <w:t>。</w:t>
      </w:r>
    </w:p>
    <w:p w14:paraId="35EB571E">
      <w:pPr>
        <w:pStyle w:val="6"/>
        <w:pageBreakBefore w:val="0"/>
        <w:numPr>
          <w:ilvl w:val="1"/>
          <w:numId w:val="4"/>
        </w:numPr>
        <w:kinsoku/>
        <w:overflowPunct/>
        <w:bidi w:val="0"/>
        <w:spacing w:line="360" w:lineRule="auto"/>
        <w:rPr>
          <w:rFonts w:hint="eastAsia" w:ascii="宋体" w:hAnsi="宋体" w:eastAsia="宋体" w:cs="宋体"/>
          <w:color w:val="auto"/>
          <w:highlight w:val="none"/>
        </w:rPr>
      </w:pPr>
      <w:bookmarkStart w:id="223" w:name="_Toc7785"/>
      <w:bookmarkStart w:id="224" w:name="_Toc19599"/>
      <w:bookmarkStart w:id="225" w:name="_Toc30395"/>
      <w:bookmarkStart w:id="226" w:name="_Toc5019"/>
      <w:bookmarkStart w:id="227" w:name="_Toc26242"/>
      <w:bookmarkStart w:id="228" w:name="_Toc20418"/>
      <w:bookmarkStart w:id="229" w:name="_Toc9167"/>
      <w:bookmarkStart w:id="230" w:name="_Toc2194"/>
      <w:bookmarkStart w:id="231" w:name="_Toc14186"/>
      <w:bookmarkStart w:id="232" w:name="_Toc21374"/>
      <w:bookmarkStart w:id="233" w:name="_Toc22466"/>
      <w:bookmarkStart w:id="234" w:name="_Toc22605"/>
      <w:bookmarkStart w:id="235" w:name="_Toc14812"/>
      <w:r>
        <w:rPr>
          <w:rFonts w:hint="eastAsia" w:ascii="宋体" w:hAnsi="宋体" w:eastAsia="宋体" w:cs="宋体"/>
          <w:color w:val="auto"/>
          <w:highlight w:val="none"/>
        </w:rPr>
        <w:t>投标文件计量单位</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660805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除在招标文件的技术文件中另有规定外，计量单位均使用中华人民共和国法定计量标准单位。</w:t>
      </w:r>
    </w:p>
    <w:p w14:paraId="5392B0E6">
      <w:pPr>
        <w:pStyle w:val="6"/>
        <w:pageBreakBefore w:val="0"/>
        <w:numPr>
          <w:ilvl w:val="1"/>
          <w:numId w:val="4"/>
        </w:numPr>
        <w:kinsoku/>
        <w:overflowPunct/>
        <w:bidi w:val="0"/>
        <w:spacing w:line="360" w:lineRule="auto"/>
        <w:rPr>
          <w:rFonts w:hint="eastAsia" w:ascii="宋体" w:hAnsi="宋体" w:eastAsia="宋体" w:cs="宋体"/>
          <w:color w:val="auto"/>
          <w:highlight w:val="none"/>
        </w:rPr>
      </w:pPr>
      <w:bookmarkStart w:id="236" w:name="_Toc9975"/>
      <w:bookmarkStart w:id="237" w:name="_Toc19923"/>
      <w:bookmarkStart w:id="238" w:name="_Toc26769"/>
      <w:bookmarkStart w:id="239" w:name="_Toc23957"/>
      <w:bookmarkStart w:id="240" w:name="_Toc24747"/>
      <w:bookmarkStart w:id="241" w:name="_Toc16602"/>
      <w:bookmarkStart w:id="242" w:name="_Toc26796"/>
      <w:bookmarkStart w:id="243" w:name="_Toc10045"/>
      <w:bookmarkStart w:id="244" w:name="_Toc2806"/>
      <w:bookmarkStart w:id="245" w:name="_Toc4326"/>
      <w:bookmarkStart w:id="246" w:name="_Toc12071"/>
      <w:bookmarkStart w:id="247" w:name="_Toc15754"/>
      <w:bookmarkStart w:id="248" w:name="_Toc23880"/>
      <w:r>
        <w:rPr>
          <w:rFonts w:hint="eastAsia" w:ascii="宋体" w:hAnsi="宋体" w:eastAsia="宋体" w:cs="宋体"/>
          <w:color w:val="auto"/>
          <w:highlight w:val="none"/>
        </w:rPr>
        <w:t>投标货币</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395686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除非另有规定，投标人提供的所有</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用</w:t>
      </w:r>
      <w:r>
        <w:rPr>
          <w:rFonts w:hint="eastAsia" w:ascii="宋体" w:hAnsi="宋体" w:eastAsia="宋体" w:cs="宋体"/>
          <w:color w:val="auto"/>
          <w:szCs w:val="21"/>
          <w:highlight w:val="none"/>
          <w:lang w:val="en-US" w:eastAsia="zh-CN"/>
        </w:rPr>
        <w:t>人民币</w:t>
      </w:r>
      <w:r>
        <w:rPr>
          <w:rFonts w:hint="eastAsia" w:ascii="宋体" w:hAnsi="宋体" w:eastAsia="宋体" w:cs="宋体"/>
          <w:color w:val="auto"/>
          <w:szCs w:val="21"/>
          <w:highlight w:val="none"/>
        </w:rPr>
        <w:t>报价。</w:t>
      </w:r>
    </w:p>
    <w:p w14:paraId="2422E7E7">
      <w:pPr>
        <w:pStyle w:val="6"/>
        <w:pageBreakBefore w:val="0"/>
        <w:numPr>
          <w:ilvl w:val="1"/>
          <w:numId w:val="4"/>
        </w:numPr>
        <w:kinsoku/>
        <w:overflowPunct/>
        <w:bidi w:val="0"/>
        <w:spacing w:line="360" w:lineRule="auto"/>
        <w:rPr>
          <w:rFonts w:hint="eastAsia" w:ascii="宋体" w:hAnsi="宋体" w:eastAsia="宋体" w:cs="宋体"/>
          <w:color w:val="auto"/>
          <w:highlight w:val="none"/>
        </w:rPr>
      </w:pPr>
      <w:bookmarkStart w:id="249" w:name="_Toc16853"/>
      <w:bookmarkStart w:id="250" w:name="_Toc24561"/>
      <w:bookmarkStart w:id="251" w:name="_Toc29095"/>
      <w:bookmarkStart w:id="252" w:name="_Toc4030"/>
      <w:bookmarkStart w:id="253" w:name="_Toc13340"/>
      <w:bookmarkStart w:id="254" w:name="_Toc12030"/>
      <w:bookmarkStart w:id="255" w:name="_Toc32032"/>
      <w:bookmarkStart w:id="256" w:name="_Toc25980"/>
      <w:bookmarkStart w:id="257" w:name="_Toc19335"/>
      <w:bookmarkStart w:id="258" w:name="_Toc141"/>
      <w:bookmarkStart w:id="259" w:name="_Toc28184"/>
      <w:bookmarkStart w:id="260" w:name="_Toc14764"/>
      <w:bookmarkStart w:id="261" w:name="_Toc26021"/>
      <w:bookmarkStart w:id="262" w:name="_Toc11598"/>
      <w:bookmarkStart w:id="263" w:name="_Toc31058"/>
      <w:r>
        <w:rPr>
          <w:rFonts w:hint="eastAsia" w:ascii="宋体" w:hAnsi="宋体" w:eastAsia="宋体" w:cs="宋体"/>
          <w:color w:val="auto"/>
          <w:highlight w:val="none"/>
        </w:rPr>
        <w:t>保密</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2A9B47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参与招标投标活动的各方应对招标文件和投标文件中的商业和技术等秘密保密，否则应承担相应的法律责任。</w:t>
      </w:r>
    </w:p>
    <w:p w14:paraId="5964493D">
      <w:pPr>
        <w:pStyle w:val="6"/>
        <w:pageBreakBefore w:val="0"/>
        <w:numPr>
          <w:ilvl w:val="1"/>
          <w:numId w:val="4"/>
        </w:numPr>
        <w:kinsoku/>
        <w:overflowPunct/>
        <w:bidi w:val="0"/>
        <w:spacing w:line="360" w:lineRule="auto"/>
        <w:rPr>
          <w:rFonts w:hint="eastAsia" w:ascii="宋体" w:hAnsi="宋体" w:eastAsia="宋体" w:cs="宋体"/>
          <w:color w:val="auto"/>
          <w:highlight w:val="none"/>
        </w:rPr>
      </w:pPr>
      <w:bookmarkStart w:id="264" w:name="_Toc6725"/>
      <w:bookmarkStart w:id="265" w:name="_Toc9963"/>
      <w:bookmarkStart w:id="266" w:name="_Toc6977"/>
      <w:bookmarkStart w:id="267" w:name="_Toc11954"/>
      <w:bookmarkStart w:id="268" w:name="_Toc26753"/>
      <w:bookmarkStart w:id="269" w:name="_Toc31207"/>
      <w:bookmarkStart w:id="270" w:name="_Toc25440"/>
      <w:bookmarkStart w:id="271" w:name="_Toc18743"/>
      <w:bookmarkStart w:id="272" w:name="_Toc25995"/>
      <w:bookmarkStart w:id="273" w:name="_Toc26863"/>
      <w:bookmarkStart w:id="274" w:name="_Toc21582"/>
      <w:bookmarkStart w:id="275" w:name="_Toc10914"/>
      <w:bookmarkStart w:id="276" w:name="_Toc2167"/>
      <w:r>
        <w:rPr>
          <w:rFonts w:hint="eastAsia" w:ascii="宋体" w:hAnsi="宋体" w:eastAsia="宋体" w:cs="宋体"/>
          <w:color w:val="auto"/>
          <w:highlight w:val="none"/>
        </w:rPr>
        <w:t>响应和偏差</w:t>
      </w:r>
      <w:bookmarkEnd w:id="264"/>
      <w:bookmarkEnd w:id="265"/>
      <w:bookmarkEnd w:id="266"/>
      <w:bookmarkEnd w:id="267"/>
      <w:bookmarkEnd w:id="268"/>
      <w:bookmarkEnd w:id="269"/>
      <w:bookmarkEnd w:id="270"/>
      <w:bookmarkEnd w:id="271"/>
      <w:bookmarkEnd w:id="272"/>
      <w:bookmarkEnd w:id="273"/>
      <w:bookmarkEnd w:id="274"/>
      <w:bookmarkEnd w:id="275"/>
      <w:bookmarkEnd w:id="276"/>
    </w:p>
    <w:p w14:paraId="486148E0">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投标文件应当对招标文件的实质性要求和条件作出满足性或更有利于</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的响应，否则，投标人的投标将被否决。</w:t>
      </w:r>
    </w:p>
    <w:p w14:paraId="2F9984D1">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允许投标文件偏离招标文件某些要求的，偏差应当符合招标文件</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规定的偏差范围和幅度。</w:t>
      </w:r>
    </w:p>
    <w:p w14:paraId="6AA01F84">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件对招标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件的全部偏差，均应在</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标文件</w:t>
      </w:r>
      <w:r>
        <w:rPr>
          <w:rFonts w:hint="eastAsia" w:ascii="宋体" w:hAnsi="宋体" w:eastAsia="宋体" w:cs="宋体"/>
          <w:color w:val="auto"/>
          <w:spacing w:val="1"/>
          <w:kern w:val="0"/>
          <w:szCs w:val="21"/>
          <w:highlight w:val="none"/>
        </w:rPr>
        <w:t>的</w:t>
      </w:r>
      <w:r>
        <w:rPr>
          <w:rFonts w:hint="eastAsia" w:ascii="宋体" w:hAnsi="宋体" w:eastAsia="宋体" w:cs="宋体"/>
          <w:color w:val="auto"/>
          <w:kern w:val="0"/>
          <w:szCs w:val="21"/>
          <w:highlight w:val="none"/>
          <w:lang w:eastAsia="zh-CN"/>
        </w:rPr>
        <w:t>商务技术偏差表</w:t>
      </w:r>
      <w:r>
        <w:rPr>
          <w:rFonts w:hint="eastAsia" w:ascii="宋体" w:hAnsi="宋体" w:eastAsia="宋体" w:cs="宋体"/>
          <w:color w:val="auto"/>
          <w:kern w:val="0"/>
          <w:szCs w:val="21"/>
          <w:highlight w:val="none"/>
        </w:rPr>
        <w:t>中列明，除列明</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内</w:t>
      </w:r>
      <w:r>
        <w:rPr>
          <w:rFonts w:hint="eastAsia" w:ascii="宋体" w:hAnsi="宋体" w:eastAsia="宋体" w:cs="宋体"/>
          <w:color w:val="auto"/>
          <w:spacing w:val="-2"/>
          <w:kern w:val="0"/>
          <w:szCs w:val="21"/>
          <w:highlight w:val="none"/>
        </w:rPr>
        <w:t>容</w:t>
      </w:r>
      <w:r>
        <w:rPr>
          <w:rFonts w:hint="eastAsia" w:ascii="宋体" w:hAnsi="宋体" w:eastAsia="宋体" w:cs="宋体"/>
          <w:color w:val="auto"/>
          <w:kern w:val="0"/>
          <w:szCs w:val="21"/>
          <w:highlight w:val="none"/>
        </w:rPr>
        <w:t>外</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视</w:t>
      </w:r>
      <w:r>
        <w:rPr>
          <w:rFonts w:hint="eastAsia" w:ascii="宋体" w:hAnsi="宋体" w:eastAsia="宋体" w:cs="宋体"/>
          <w:color w:val="auto"/>
          <w:spacing w:val="-2"/>
          <w:kern w:val="0"/>
          <w:szCs w:val="21"/>
          <w:highlight w:val="none"/>
        </w:rPr>
        <w:t>为</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人响</w:t>
      </w:r>
      <w:r>
        <w:rPr>
          <w:rFonts w:hint="eastAsia" w:ascii="宋体" w:hAnsi="宋体" w:eastAsia="宋体" w:cs="宋体"/>
          <w:color w:val="auto"/>
          <w:spacing w:val="-2"/>
          <w:kern w:val="0"/>
          <w:szCs w:val="21"/>
          <w:highlight w:val="none"/>
        </w:rPr>
        <w:t>应</w:t>
      </w:r>
      <w:r>
        <w:rPr>
          <w:rFonts w:hint="eastAsia" w:ascii="宋体" w:hAnsi="宋体" w:eastAsia="宋体" w:cs="宋体"/>
          <w:color w:val="auto"/>
          <w:kern w:val="0"/>
          <w:szCs w:val="21"/>
          <w:highlight w:val="none"/>
        </w:rPr>
        <w:t>招</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全</w:t>
      </w:r>
      <w:r>
        <w:rPr>
          <w:rFonts w:hint="eastAsia" w:ascii="宋体" w:hAnsi="宋体" w:eastAsia="宋体" w:cs="宋体"/>
          <w:color w:val="auto"/>
          <w:kern w:val="0"/>
          <w:szCs w:val="21"/>
          <w:highlight w:val="none"/>
        </w:rPr>
        <w:t>部</w:t>
      </w:r>
      <w:r>
        <w:rPr>
          <w:rFonts w:hint="eastAsia" w:ascii="宋体" w:hAnsi="宋体" w:eastAsia="宋体" w:cs="宋体"/>
          <w:color w:val="auto"/>
          <w:spacing w:val="-2"/>
          <w:kern w:val="0"/>
          <w:szCs w:val="21"/>
          <w:highlight w:val="none"/>
        </w:rPr>
        <w:t>要</w:t>
      </w:r>
      <w:r>
        <w:rPr>
          <w:rFonts w:hint="eastAsia" w:ascii="宋体" w:hAnsi="宋体" w:eastAsia="宋体" w:cs="宋体"/>
          <w:color w:val="auto"/>
          <w:kern w:val="0"/>
          <w:szCs w:val="21"/>
          <w:highlight w:val="none"/>
        </w:rPr>
        <w:t>求。</w:t>
      </w:r>
    </w:p>
    <w:p w14:paraId="6891DDEC">
      <w:pPr>
        <w:pStyle w:val="5"/>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color w:val="auto"/>
          <w:sz w:val="24"/>
          <w:szCs w:val="24"/>
          <w:highlight w:val="none"/>
          <w:lang w:val="en-US" w:eastAsia="zh-CN"/>
        </w:rPr>
      </w:pPr>
      <w:bookmarkStart w:id="277" w:name="_Toc31128"/>
      <w:bookmarkStart w:id="278" w:name="_Toc27053"/>
      <w:r>
        <w:rPr>
          <w:rFonts w:hint="eastAsia" w:ascii="宋体" w:hAnsi="宋体" w:eastAsia="宋体" w:cs="宋体"/>
          <w:color w:val="auto"/>
          <w:sz w:val="24"/>
          <w:szCs w:val="24"/>
          <w:highlight w:val="none"/>
          <w:lang w:val="en-US" w:eastAsia="zh-CN"/>
        </w:rPr>
        <w:t>招标文件</w:t>
      </w:r>
      <w:bookmarkEnd w:id="175"/>
      <w:bookmarkEnd w:id="277"/>
      <w:bookmarkEnd w:id="278"/>
    </w:p>
    <w:p w14:paraId="5FE36B0C">
      <w:pPr>
        <w:pStyle w:val="6"/>
        <w:pageBreakBefore w:val="0"/>
        <w:numPr>
          <w:ilvl w:val="1"/>
          <w:numId w:val="3"/>
        </w:numPr>
        <w:kinsoku/>
        <w:overflowPunct/>
        <w:bidi w:val="0"/>
        <w:spacing w:before="140" w:after="140" w:line="360" w:lineRule="auto"/>
        <w:rPr>
          <w:rFonts w:hint="eastAsia" w:ascii="宋体" w:hAnsi="宋体" w:eastAsia="宋体" w:cs="宋体"/>
          <w:color w:val="auto"/>
          <w:highlight w:val="none"/>
        </w:rPr>
      </w:pPr>
      <w:bookmarkStart w:id="279" w:name="_Toc28051"/>
      <w:bookmarkStart w:id="280" w:name="_Toc8008"/>
      <w:bookmarkStart w:id="281" w:name="_Toc11"/>
      <w:bookmarkStart w:id="282" w:name="_Toc20524"/>
      <w:bookmarkStart w:id="283" w:name="_Toc3764"/>
      <w:bookmarkStart w:id="284" w:name="_Toc14801"/>
      <w:r>
        <w:rPr>
          <w:rFonts w:hint="eastAsia" w:ascii="宋体" w:hAnsi="宋体" w:eastAsia="宋体" w:cs="宋体"/>
          <w:color w:val="auto"/>
          <w:highlight w:val="none"/>
        </w:rPr>
        <w:t>招标文件的构成</w:t>
      </w:r>
      <w:bookmarkEnd w:id="279"/>
      <w:bookmarkEnd w:id="280"/>
      <w:bookmarkEnd w:id="281"/>
      <w:bookmarkEnd w:id="282"/>
      <w:bookmarkEnd w:id="283"/>
      <w:bookmarkEnd w:id="284"/>
    </w:p>
    <w:p w14:paraId="3FC0B7E5">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招标文件用以阐明本次招标的货物</w:t>
      </w:r>
      <w:r>
        <w:rPr>
          <w:rFonts w:hint="eastAsia" w:ascii="宋体" w:hAnsi="宋体" w:eastAsia="宋体" w:cs="宋体"/>
          <w:color w:val="auto"/>
          <w:szCs w:val="21"/>
          <w:highlight w:val="none"/>
          <w:lang w:eastAsia="zh-CN"/>
        </w:rPr>
        <w:t>及其伴随的服务</w:t>
      </w:r>
      <w:r>
        <w:rPr>
          <w:rFonts w:hint="eastAsia" w:ascii="宋体" w:hAnsi="宋体" w:eastAsia="宋体" w:cs="宋体"/>
          <w:color w:val="auto"/>
          <w:szCs w:val="21"/>
          <w:highlight w:val="none"/>
        </w:rPr>
        <w:t>要求、招标投标程序和合同条件。</w:t>
      </w:r>
    </w:p>
    <w:p w14:paraId="4EBD57F4">
      <w:pPr>
        <w:pStyle w:val="26"/>
        <w:pageBreakBefore w:val="0"/>
        <w:tabs>
          <w:tab w:val="left" w:pos="720"/>
          <w:tab w:val="left" w:pos="1080"/>
        </w:tabs>
        <w:kinsoku/>
        <w:overflowPunct/>
        <w:bidi w:val="0"/>
        <w:spacing w:line="360" w:lineRule="auto"/>
        <w:ind w:left="72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招标文件由下述部分组成： </w:t>
      </w:r>
    </w:p>
    <w:p w14:paraId="1CDA265D">
      <w:pPr>
        <w:pStyle w:val="18"/>
        <w:pageBreakBefore w:val="0"/>
        <w:numPr>
          <w:ilvl w:val="0"/>
          <w:numId w:val="8"/>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投标邀请</w:t>
      </w:r>
    </w:p>
    <w:p w14:paraId="1BD8AB65">
      <w:pPr>
        <w:pStyle w:val="18"/>
        <w:pageBreakBefore w:val="0"/>
        <w:numPr>
          <w:ilvl w:val="0"/>
          <w:numId w:val="8"/>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w:t>
      </w:r>
    </w:p>
    <w:p w14:paraId="15DA0F02">
      <w:pPr>
        <w:pStyle w:val="18"/>
        <w:pageBreakBefore w:val="0"/>
        <w:numPr>
          <w:ilvl w:val="0"/>
          <w:numId w:val="8"/>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资格审查</w:t>
      </w:r>
    </w:p>
    <w:p w14:paraId="3FD3B203">
      <w:pPr>
        <w:pStyle w:val="18"/>
        <w:pageBreakBefore w:val="0"/>
        <w:numPr>
          <w:ilvl w:val="0"/>
          <w:numId w:val="8"/>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p w14:paraId="06161285">
      <w:pPr>
        <w:pStyle w:val="18"/>
        <w:pageBreakBefore w:val="0"/>
        <w:numPr>
          <w:ilvl w:val="0"/>
          <w:numId w:val="8"/>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"_合同条款"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rPr>
        <w:fldChar w:fldCharType="end"/>
      </w:r>
    </w:p>
    <w:p w14:paraId="55055A16">
      <w:pPr>
        <w:pStyle w:val="18"/>
        <w:pageBreakBefore w:val="0"/>
        <w:numPr>
          <w:ilvl w:val="0"/>
          <w:numId w:val="8"/>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采购需求</w:t>
      </w:r>
    </w:p>
    <w:p w14:paraId="79700ECB">
      <w:pPr>
        <w:pStyle w:val="18"/>
        <w:pageBreakBefore w:val="0"/>
        <w:numPr>
          <w:ilvl w:val="0"/>
          <w:numId w:val="8"/>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资格审查文件</w:t>
      </w:r>
      <w:r>
        <w:rPr>
          <w:rFonts w:hint="eastAsia" w:ascii="宋体" w:hAnsi="宋体" w:eastAsia="宋体" w:cs="宋体"/>
          <w:color w:val="auto"/>
          <w:sz w:val="21"/>
          <w:szCs w:val="21"/>
          <w:highlight w:val="none"/>
          <w:lang w:eastAsia="zh-CN"/>
        </w:rPr>
        <w:t>册</w:t>
      </w:r>
      <w:r>
        <w:rPr>
          <w:rFonts w:hint="eastAsia" w:ascii="宋体" w:hAnsi="宋体" w:eastAsia="宋体" w:cs="宋体"/>
          <w:color w:val="auto"/>
          <w:sz w:val="21"/>
          <w:szCs w:val="21"/>
          <w:highlight w:val="none"/>
        </w:rPr>
        <w:t>通用格式</w:t>
      </w:r>
    </w:p>
    <w:p w14:paraId="0159A0A0">
      <w:pPr>
        <w:pStyle w:val="18"/>
        <w:pageBreakBefore w:val="0"/>
        <w:numPr>
          <w:ilvl w:val="0"/>
          <w:numId w:val="8"/>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投标文件通用格式</w:t>
      </w:r>
    </w:p>
    <w:p w14:paraId="2D83CB02">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投标人应仔细阅读招标文件中投标人须知、合同条款的所有事项、格式要求和技术规范，按招标文件的要求提供投标文件，并保证所提供的全部资料的真实性，以使其投标对招标文件</w:t>
      </w:r>
      <w:r>
        <w:rPr>
          <w:rFonts w:hint="eastAsia" w:ascii="宋体" w:hAnsi="宋体" w:eastAsia="宋体" w:cs="宋体"/>
          <w:color w:val="auto"/>
          <w:szCs w:val="21"/>
          <w:highlight w:val="none"/>
          <w:lang w:eastAsia="zh-CN"/>
        </w:rPr>
        <w:t>作出</w:t>
      </w:r>
      <w:r>
        <w:rPr>
          <w:rFonts w:hint="eastAsia" w:ascii="宋体" w:hAnsi="宋体" w:eastAsia="宋体" w:cs="宋体"/>
          <w:color w:val="auto"/>
          <w:szCs w:val="21"/>
          <w:highlight w:val="none"/>
        </w:rPr>
        <w:t>实质性响应，否则，将承担其</w:t>
      </w:r>
      <w:r>
        <w:rPr>
          <w:rFonts w:hint="eastAsia" w:ascii="宋体" w:hAnsi="宋体" w:eastAsia="宋体" w:cs="宋体"/>
          <w:b/>
          <w:bCs/>
          <w:color w:val="auto"/>
          <w:szCs w:val="21"/>
          <w:highlight w:val="none"/>
        </w:rPr>
        <w:t>投标被拒绝或认定为投标无效的风险</w:t>
      </w:r>
      <w:r>
        <w:rPr>
          <w:rFonts w:hint="eastAsia" w:ascii="宋体" w:hAnsi="宋体" w:eastAsia="宋体" w:cs="宋体"/>
          <w:color w:val="auto"/>
          <w:szCs w:val="21"/>
          <w:highlight w:val="none"/>
        </w:rPr>
        <w:t>。</w:t>
      </w:r>
    </w:p>
    <w:p w14:paraId="0F8C5998">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投标人制作投标文件时应充分完整理解招标文件的整体要求。</w:t>
      </w:r>
    </w:p>
    <w:p w14:paraId="23A2D237">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根据本章第</w:t>
      </w:r>
      <w:r>
        <w:rPr>
          <w:rFonts w:hint="eastAsia" w:ascii="宋体" w:hAnsi="宋体" w:eastAsia="宋体" w:cs="宋体"/>
          <w:color w:val="auto"/>
          <w:szCs w:val="21"/>
          <w:highlight w:val="none"/>
          <w:lang w:val="en-US" w:eastAsia="zh-CN"/>
        </w:rPr>
        <w:t>1.4款、第2.2款和第2.3款对招标文件所做的澄清和修改，构成招标文件的组成部分。</w:t>
      </w:r>
    </w:p>
    <w:p w14:paraId="63906A0D">
      <w:pPr>
        <w:pStyle w:val="6"/>
        <w:pageBreakBefore w:val="0"/>
        <w:numPr>
          <w:ilvl w:val="1"/>
          <w:numId w:val="3"/>
        </w:numPr>
        <w:kinsoku/>
        <w:overflowPunct/>
        <w:bidi w:val="0"/>
        <w:spacing w:before="140" w:after="140" w:line="360" w:lineRule="auto"/>
        <w:rPr>
          <w:rFonts w:hint="eastAsia" w:ascii="宋体" w:hAnsi="宋体" w:eastAsia="宋体" w:cs="宋体"/>
          <w:color w:val="auto"/>
          <w:highlight w:val="none"/>
        </w:rPr>
      </w:pPr>
      <w:bookmarkStart w:id="285" w:name="_Toc23431"/>
      <w:bookmarkStart w:id="286" w:name="_Toc6978"/>
      <w:bookmarkStart w:id="287" w:name="_Toc18984"/>
      <w:bookmarkStart w:id="288" w:name="_Toc3408"/>
      <w:bookmarkStart w:id="289" w:name="_Toc1423"/>
      <w:bookmarkStart w:id="290" w:name="_Toc7923"/>
      <w:r>
        <w:rPr>
          <w:rFonts w:hint="eastAsia" w:ascii="宋体" w:hAnsi="宋体" w:eastAsia="宋体" w:cs="宋体"/>
          <w:color w:val="auto"/>
          <w:highlight w:val="none"/>
        </w:rPr>
        <w:t>招标文件的澄清</w:t>
      </w:r>
      <w:bookmarkEnd w:id="285"/>
      <w:bookmarkEnd w:id="286"/>
      <w:bookmarkEnd w:id="287"/>
      <w:bookmarkEnd w:id="288"/>
      <w:bookmarkEnd w:id="289"/>
      <w:bookmarkEnd w:id="290"/>
    </w:p>
    <w:p w14:paraId="6F05B0A1">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投标人应仔细阅读和检查招标文件的全部内容。如发现缺页或附件不全，应及时向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提出，以便补齐。</w:t>
      </w:r>
    </w:p>
    <w:p w14:paraId="0179AE01">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招标文件的澄清以投标人须知前附表规定的形式发给所有</w:t>
      </w:r>
      <w:r>
        <w:rPr>
          <w:rFonts w:hint="eastAsia" w:ascii="宋体" w:hAnsi="宋体" w:eastAsia="宋体" w:cs="宋体"/>
          <w:color w:val="auto"/>
          <w:szCs w:val="21"/>
          <w:highlight w:val="none"/>
          <w:lang w:eastAsia="zh-CN"/>
        </w:rPr>
        <w:t>获取</w:t>
      </w:r>
      <w:r>
        <w:rPr>
          <w:rFonts w:hint="eastAsia" w:ascii="宋体" w:hAnsi="宋体" w:eastAsia="宋体" w:cs="宋体"/>
          <w:color w:val="auto"/>
          <w:szCs w:val="21"/>
          <w:highlight w:val="none"/>
        </w:rPr>
        <w:t>招标文件的投标人，</w:t>
      </w:r>
      <w:r>
        <w:rPr>
          <w:rFonts w:hint="eastAsia" w:ascii="宋体" w:hAnsi="宋体" w:eastAsia="宋体" w:cs="宋体"/>
          <w:color w:val="auto"/>
          <w:szCs w:val="21"/>
          <w:highlight w:val="none"/>
          <w:lang w:eastAsia="zh-CN"/>
        </w:rPr>
        <w:t>同时在原公告媒体发布澄清公告，</w:t>
      </w:r>
      <w:r>
        <w:rPr>
          <w:rFonts w:hint="eastAsia" w:ascii="宋体" w:hAnsi="宋体" w:eastAsia="宋体" w:cs="宋体"/>
          <w:color w:val="auto"/>
          <w:szCs w:val="21"/>
          <w:highlight w:val="none"/>
        </w:rPr>
        <w:t>但不指明澄清问题的来源。澄清发出的时间距本章第4.2.1项规定的投标截止时间不足15日的，并且澄清内容可能影响投标文件编制的，将相应延长投标截止时间。</w:t>
      </w:r>
    </w:p>
    <w:p w14:paraId="411A9C05">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投标人在收到澄清后，应按投标人须知前附表规定的时间和形式通知</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，确认已收到该澄清。</w:t>
      </w:r>
    </w:p>
    <w:p w14:paraId="3D81D726">
      <w:pPr>
        <w:pStyle w:val="6"/>
        <w:pageBreakBefore w:val="0"/>
        <w:numPr>
          <w:ilvl w:val="1"/>
          <w:numId w:val="3"/>
        </w:numPr>
        <w:kinsoku/>
        <w:overflowPunct/>
        <w:bidi w:val="0"/>
        <w:spacing w:before="140" w:after="140" w:line="360" w:lineRule="auto"/>
        <w:rPr>
          <w:rFonts w:hint="eastAsia" w:ascii="宋体" w:hAnsi="宋体" w:eastAsia="宋体" w:cs="宋体"/>
          <w:color w:val="auto"/>
          <w:highlight w:val="none"/>
        </w:rPr>
      </w:pPr>
      <w:bookmarkStart w:id="291" w:name="_Toc12162"/>
      <w:bookmarkStart w:id="292" w:name="_Toc25801"/>
      <w:bookmarkStart w:id="293" w:name="_Toc28742"/>
      <w:bookmarkStart w:id="294" w:name="_Toc3549"/>
      <w:bookmarkStart w:id="295" w:name="_Toc28686"/>
      <w:bookmarkStart w:id="296" w:name="_Toc32510"/>
      <w:r>
        <w:rPr>
          <w:rFonts w:hint="eastAsia" w:ascii="宋体" w:hAnsi="宋体" w:eastAsia="宋体" w:cs="宋体"/>
          <w:color w:val="auto"/>
          <w:highlight w:val="none"/>
        </w:rPr>
        <w:t>招标文件的修改</w:t>
      </w:r>
      <w:bookmarkEnd w:id="291"/>
      <w:bookmarkEnd w:id="292"/>
      <w:bookmarkEnd w:id="293"/>
      <w:bookmarkEnd w:id="294"/>
      <w:bookmarkEnd w:id="295"/>
      <w:bookmarkEnd w:id="296"/>
    </w:p>
    <w:p w14:paraId="622FA16F">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采购人或者采购代理机构可以对已发出的招标文件进行必要的修改，但不得改变采购标的和资格条件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修改的内容为招标文件的组成部分</w:t>
      </w:r>
      <w:r>
        <w:rPr>
          <w:rFonts w:hint="eastAsia" w:ascii="宋体" w:hAnsi="宋体" w:eastAsia="宋体" w:cs="宋体"/>
          <w:color w:val="auto"/>
          <w:szCs w:val="21"/>
          <w:highlight w:val="none"/>
          <w:lang w:eastAsia="zh-CN"/>
        </w:rPr>
        <w:t>。</w:t>
      </w:r>
    </w:p>
    <w:p w14:paraId="719CB253">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采购人或采购代理机构</w:t>
      </w:r>
      <w:r>
        <w:rPr>
          <w:rFonts w:hint="eastAsia" w:ascii="宋体" w:hAnsi="宋体" w:eastAsia="宋体" w:cs="宋体"/>
          <w:b w:val="0"/>
          <w:bCs w:val="0"/>
          <w:color w:val="auto"/>
          <w:szCs w:val="21"/>
          <w:highlight w:val="none"/>
        </w:rPr>
        <w:t>以投标人须知前附表规定的形式修改招标文件，并通知所有已</w:t>
      </w:r>
      <w:r>
        <w:rPr>
          <w:rFonts w:hint="eastAsia" w:ascii="宋体" w:hAnsi="宋体" w:eastAsia="宋体" w:cs="宋体"/>
          <w:color w:val="auto"/>
          <w:szCs w:val="21"/>
          <w:highlight w:val="none"/>
          <w:lang w:eastAsia="zh-CN"/>
        </w:rPr>
        <w:t>获取</w:t>
      </w:r>
      <w:r>
        <w:rPr>
          <w:rFonts w:hint="eastAsia" w:ascii="宋体" w:hAnsi="宋体" w:eastAsia="宋体" w:cs="宋体"/>
          <w:b w:val="0"/>
          <w:bCs w:val="0"/>
          <w:color w:val="auto"/>
          <w:szCs w:val="21"/>
          <w:highlight w:val="none"/>
        </w:rPr>
        <w:t>招标文件的投标人</w:t>
      </w:r>
      <w:r>
        <w:rPr>
          <w:rFonts w:hint="eastAsia" w:ascii="宋体" w:hAnsi="宋体" w:eastAsia="宋体" w:cs="宋体"/>
          <w:b w:val="0"/>
          <w:bCs w:val="0"/>
          <w:color w:val="auto"/>
          <w:szCs w:val="21"/>
          <w:highlight w:val="none"/>
          <w:lang w:eastAsia="zh-CN"/>
        </w:rPr>
        <w:t>，</w:t>
      </w:r>
      <w:r>
        <w:rPr>
          <w:rFonts w:hint="eastAsia" w:ascii="宋体" w:hAnsi="宋体" w:eastAsia="宋体" w:cs="宋体"/>
          <w:color w:val="auto"/>
          <w:szCs w:val="21"/>
          <w:highlight w:val="none"/>
          <w:lang w:eastAsia="zh-CN"/>
        </w:rPr>
        <w:t>同时在原公告媒体发布变更公告</w:t>
      </w:r>
      <w:r>
        <w:rPr>
          <w:rFonts w:hint="eastAsia" w:ascii="宋体" w:hAnsi="宋体" w:eastAsia="宋体" w:cs="宋体"/>
          <w:b w:val="0"/>
          <w:bCs w:val="0"/>
          <w:color w:val="auto"/>
          <w:szCs w:val="21"/>
          <w:highlight w:val="none"/>
        </w:rPr>
        <w:t>。修改招标文件的时间距本章第4.2.1项规定的投标截止时间不足15日的，并且修改内容可能影响投标文件编制的，将相应延长投标截止时间。</w:t>
      </w:r>
    </w:p>
    <w:p w14:paraId="1688FE54">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投标人收到修改内容后，应按投标人须知前附表规定的时间和形式通知</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val="0"/>
          <w:bCs w:val="0"/>
          <w:color w:val="auto"/>
          <w:szCs w:val="21"/>
          <w:highlight w:val="none"/>
        </w:rPr>
        <w:t>，确认已收到该修改。</w:t>
      </w:r>
    </w:p>
    <w:p w14:paraId="31C2AA06">
      <w:pPr>
        <w:pStyle w:val="5"/>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color w:val="auto"/>
          <w:sz w:val="24"/>
          <w:szCs w:val="24"/>
          <w:highlight w:val="none"/>
          <w:lang w:val="en-US" w:eastAsia="zh-CN"/>
        </w:rPr>
      </w:pPr>
      <w:bookmarkStart w:id="297" w:name="_Toc4694"/>
      <w:bookmarkStart w:id="298" w:name="_Toc312133545"/>
      <w:bookmarkStart w:id="299" w:name="_Toc4756"/>
      <w:r>
        <w:rPr>
          <w:rFonts w:hint="eastAsia" w:ascii="宋体" w:hAnsi="宋体" w:eastAsia="宋体" w:cs="宋体"/>
          <w:color w:val="auto"/>
          <w:sz w:val="24"/>
          <w:szCs w:val="24"/>
          <w:highlight w:val="none"/>
          <w:lang w:val="en-US" w:eastAsia="zh-CN"/>
        </w:rPr>
        <w:t>投标文件的编写</w:t>
      </w:r>
      <w:bookmarkEnd w:id="297"/>
      <w:bookmarkEnd w:id="298"/>
      <w:bookmarkEnd w:id="299"/>
    </w:p>
    <w:p w14:paraId="77FA2FF7">
      <w:pPr>
        <w:pStyle w:val="6"/>
        <w:pageBreakBefore w:val="0"/>
        <w:numPr>
          <w:ilvl w:val="1"/>
          <w:numId w:val="3"/>
        </w:numPr>
        <w:kinsoku/>
        <w:overflowPunct/>
        <w:bidi w:val="0"/>
        <w:spacing w:before="140" w:after="140" w:line="360" w:lineRule="auto"/>
        <w:rPr>
          <w:rFonts w:hint="eastAsia" w:ascii="宋体" w:hAnsi="宋体" w:eastAsia="宋体" w:cs="宋体"/>
          <w:color w:val="auto"/>
          <w:highlight w:val="none"/>
        </w:rPr>
      </w:pPr>
      <w:bookmarkStart w:id="300" w:name="_Toc13551"/>
      <w:bookmarkStart w:id="301" w:name="_Toc27498"/>
      <w:bookmarkStart w:id="302" w:name="_Toc17436"/>
      <w:bookmarkStart w:id="303" w:name="_Toc9605"/>
      <w:bookmarkStart w:id="304" w:name="_Toc21879"/>
      <w:bookmarkStart w:id="305" w:name="_Toc17591"/>
      <w:r>
        <w:rPr>
          <w:rFonts w:hint="eastAsia" w:ascii="宋体" w:hAnsi="宋体" w:eastAsia="宋体" w:cs="宋体"/>
          <w:color w:val="auto"/>
          <w:highlight w:val="none"/>
        </w:rPr>
        <w:t>投标文件的组成</w:t>
      </w:r>
      <w:bookmarkEnd w:id="300"/>
      <w:bookmarkEnd w:id="301"/>
      <w:bookmarkEnd w:id="302"/>
      <w:bookmarkEnd w:id="303"/>
      <w:bookmarkEnd w:id="304"/>
      <w:bookmarkEnd w:id="305"/>
    </w:p>
    <w:p w14:paraId="5A08C922">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投标文件包括下列部分：</w:t>
      </w:r>
    </w:p>
    <w:p w14:paraId="2889CB43">
      <w:pPr>
        <w:pageBreakBefore w:val="0"/>
        <w:tabs>
          <w:tab w:val="left" w:pos="720"/>
        </w:tabs>
        <w:kinsoku/>
        <w:overflowPunct/>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投标文件资格审查文件</w:t>
      </w:r>
      <w:r>
        <w:rPr>
          <w:rFonts w:hint="eastAsia" w:ascii="宋体" w:hAnsi="宋体" w:eastAsia="宋体" w:cs="宋体"/>
          <w:b/>
          <w:bCs/>
          <w:color w:val="auto"/>
          <w:szCs w:val="21"/>
          <w:highlight w:val="none"/>
          <w:lang w:eastAsia="zh-CN"/>
        </w:rPr>
        <w:t>册</w:t>
      </w:r>
      <w:r>
        <w:rPr>
          <w:rFonts w:hint="eastAsia" w:ascii="宋体" w:hAnsi="宋体" w:eastAsia="宋体" w:cs="宋体"/>
          <w:b/>
          <w:bCs/>
          <w:color w:val="auto"/>
          <w:szCs w:val="21"/>
          <w:highlight w:val="none"/>
        </w:rPr>
        <w:t>组成</w:t>
      </w:r>
    </w:p>
    <w:p w14:paraId="527B9404">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参考招标文件第七章“投标文件资格审查册通用格式”。</w:t>
      </w:r>
    </w:p>
    <w:p w14:paraId="074C3418">
      <w:pPr>
        <w:keepNext w:val="0"/>
        <w:keepLines w:val="0"/>
        <w:pageBreakBefore w:val="0"/>
        <w:widowControl w:val="0"/>
        <w:numPr>
          <w:ilvl w:val="0"/>
          <w:numId w:val="0"/>
        </w:numPr>
        <w:tabs>
          <w:tab w:val="left" w:pos="720"/>
        </w:tabs>
        <w:kinsoku/>
        <w:wordWrap/>
        <w:overflowPunct/>
        <w:topLinePunct w:val="0"/>
        <w:bidi w:val="0"/>
        <w:snapToGrid/>
        <w:spacing w:line="360" w:lineRule="auto"/>
        <w:ind w:left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投标文件组成</w:t>
      </w:r>
    </w:p>
    <w:p w14:paraId="0E73D731">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参考招标文件第八章“投标文件通用格式”。</w:t>
      </w:r>
    </w:p>
    <w:p w14:paraId="418BEBF7">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投标文件应与招标文件的投标文件格式次序一一对应。</w:t>
      </w:r>
    </w:p>
    <w:p w14:paraId="7357C37D">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招标文件中的每个分包，是项目招标不可拆分的最小投标单元，投标人必须按此分包编制投标文件，提交相应的文件资料，拆包投标将视为漏项或非实质性响应予以认定为</w:t>
      </w:r>
      <w:r>
        <w:rPr>
          <w:rFonts w:hint="eastAsia" w:ascii="宋体" w:hAnsi="宋体" w:eastAsia="宋体" w:cs="宋体"/>
          <w:b/>
          <w:bCs/>
          <w:color w:val="auto"/>
          <w:szCs w:val="21"/>
          <w:highlight w:val="none"/>
        </w:rPr>
        <w:t>投标无效</w:t>
      </w:r>
      <w:r>
        <w:rPr>
          <w:rFonts w:hint="eastAsia" w:ascii="宋体" w:hAnsi="宋体" w:eastAsia="宋体" w:cs="宋体"/>
          <w:b w:val="0"/>
          <w:bCs w:val="0"/>
          <w:color w:val="auto"/>
          <w:szCs w:val="21"/>
          <w:highlight w:val="none"/>
        </w:rPr>
        <w:t>。</w:t>
      </w:r>
    </w:p>
    <w:p w14:paraId="5E1C21C5">
      <w:pPr>
        <w:pStyle w:val="6"/>
        <w:pageBreakBefore w:val="0"/>
        <w:numPr>
          <w:ilvl w:val="1"/>
          <w:numId w:val="3"/>
        </w:numPr>
        <w:kinsoku/>
        <w:overflowPunct/>
        <w:bidi w:val="0"/>
        <w:spacing w:before="140" w:after="140" w:line="360" w:lineRule="auto"/>
        <w:rPr>
          <w:rFonts w:hint="eastAsia" w:ascii="宋体" w:hAnsi="宋体" w:eastAsia="宋体" w:cs="宋体"/>
          <w:color w:val="auto"/>
          <w:highlight w:val="none"/>
        </w:rPr>
      </w:pPr>
      <w:bookmarkStart w:id="306" w:name="_Toc2826"/>
      <w:bookmarkStart w:id="307" w:name="_Toc32754"/>
      <w:bookmarkStart w:id="308" w:name="_Toc28885"/>
      <w:bookmarkStart w:id="309" w:name="_Toc4941"/>
      <w:bookmarkStart w:id="310" w:name="_Toc1833"/>
      <w:bookmarkStart w:id="311" w:name="_Toc25737"/>
      <w:r>
        <w:rPr>
          <w:rFonts w:hint="eastAsia" w:ascii="宋体" w:hAnsi="宋体" w:eastAsia="宋体" w:cs="宋体"/>
          <w:color w:val="auto"/>
          <w:highlight w:val="none"/>
        </w:rPr>
        <w:t>投标报价</w:t>
      </w:r>
      <w:bookmarkEnd w:id="306"/>
      <w:bookmarkEnd w:id="307"/>
      <w:bookmarkEnd w:id="308"/>
      <w:bookmarkEnd w:id="309"/>
      <w:bookmarkEnd w:id="310"/>
      <w:bookmarkEnd w:id="311"/>
    </w:p>
    <w:p w14:paraId="5290C3CD">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color w:val="auto"/>
          <w:highlight w:val="none"/>
          <w:shd w:val="clear" w:color="auto" w:fill="auto"/>
        </w:rPr>
        <w:t>投标报价为目的地交货价</w:t>
      </w:r>
      <w:r>
        <w:rPr>
          <w:rFonts w:hint="eastAsia" w:ascii="宋体" w:hAnsi="宋体" w:eastAsia="宋体" w:cs="宋体"/>
          <w:color w:val="auto"/>
          <w:highlight w:val="none"/>
          <w:shd w:val="clear" w:color="auto" w:fill="auto"/>
          <w:lang w:eastAsia="zh-CN"/>
        </w:rPr>
        <w:t>。</w:t>
      </w:r>
      <w:r>
        <w:rPr>
          <w:rFonts w:hint="eastAsia" w:ascii="宋体" w:hAnsi="宋体" w:eastAsia="宋体" w:cs="宋体"/>
          <w:b w:val="0"/>
          <w:bCs w:val="0"/>
          <w:color w:val="auto"/>
          <w:szCs w:val="21"/>
          <w:highlight w:val="none"/>
        </w:rPr>
        <w:t>投标人应按照招标文件提供的投标报价表格式填写提供各项货物及服务的单价、分项总价和总投标价。</w:t>
      </w:r>
    </w:p>
    <w:p w14:paraId="5CDF8C5F">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b w:val="0"/>
          <w:bCs w:val="0"/>
          <w:color w:val="auto"/>
          <w:szCs w:val="21"/>
          <w:highlight w:val="none"/>
        </w:rPr>
        <w:t>投标总报价应是采购人指定地点交货的，包括基于交货或提供服务前发生的</w:t>
      </w:r>
      <w:r>
        <w:rPr>
          <w:rFonts w:hint="eastAsia" w:ascii="宋体" w:hAnsi="宋体" w:eastAsia="宋体" w:cs="宋体"/>
          <w:b w:val="0"/>
          <w:bCs w:val="0"/>
          <w:color w:val="auto"/>
          <w:szCs w:val="21"/>
          <w:highlight w:val="none"/>
          <w:lang w:val="en-US" w:eastAsia="zh-CN"/>
        </w:rPr>
        <w:t>设备费、</w:t>
      </w:r>
      <w:r>
        <w:rPr>
          <w:rFonts w:hint="eastAsia" w:ascii="宋体" w:hAnsi="宋体" w:eastAsia="宋体" w:cs="宋体"/>
          <w:b w:val="0"/>
          <w:bCs w:val="0"/>
          <w:color w:val="auto"/>
          <w:szCs w:val="21"/>
          <w:highlight w:val="none"/>
        </w:rPr>
        <w:t>运费</w:t>
      </w:r>
      <w:r>
        <w:rPr>
          <w:rFonts w:hint="eastAsia" w:ascii="宋体" w:hAnsi="宋体" w:eastAsia="宋体" w:cs="宋体"/>
          <w:b w:val="0"/>
          <w:bCs w:val="0"/>
          <w:color w:val="auto"/>
          <w:szCs w:val="21"/>
          <w:highlight w:val="none"/>
          <w:lang w:val="en-US" w:eastAsia="zh-CN"/>
        </w:rPr>
        <w:t>和</w:t>
      </w:r>
      <w:r>
        <w:rPr>
          <w:rFonts w:hint="eastAsia" w:ascii="宋体" w:hAnsi="宋体" w:eastAsia="宋体" w:cs="宋体"/>
          <w:b w:val="0"/>
          <w:bCs w:val="0"/>
          <w:color w:val="auto"/>
          <w:szCs w:val="21"/>
          <w:highlight w:val="none"/>
        </w:rPr>
        <w:t>保险费、技术服务</w:t>
      </w:r>
      <w:r>
        <w:rPr>
          <w:rFonts w:hint="eastAsia" w:ascii="宋体" w:hAnsi="宋体" w:eastAsia="宋体" w:cs="宋体"/>
          <w:b w:val="0"/>
          <w:bCs w:val="0"/>
          <w:color w:val="auto"/>
          <w:szCs w:val="21"/>
          <w:highlight w:val="none"/>
          <w:lang w:val="en-US" w:eastAsia="zh-CN"/>
        </w:rPr>
        <w:t>费</w:t>
      </w:r>
      <w:r>
        <w:rPr>
          <w:rFonts w:hint="eastAsia" w:ascii="宋体" w:hAnsi="宋体" w:eastAsia="宋体" w:cs="宋体"/>
          <w:b w:val="0"/>
          <w:bCs w:val="0"/>
          <w:color w:val="auto"/>
          <w:szCs w:val="21"/>
          <w:highlight w:val="none"/>
          <w:lang w:eastAsia="zh-CN"/>
        </w:rPr>
        <w:t>（安装、调试、试车、运行</w:t>
      </w:r>
      <w:r>
        <w:rPr>
          <w:rFonts w:hint="eastAsia" w:ascii="宋体" w:hAnsi="宋体" w:eastAsia="宋体" w:cs="宋体"/>
          <w:b w:val="0"/>
          <w:bCs w:val="0"/>
          <w:color w:val="auto"/>
          <w:szCs w:val="21"/>
          <w:highlight w:val="none"/>
          <w:lang w:val="en-US" w:eastAsia="zh-CN"/>
        </w:rPr>
        <w:t>等</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、检验费及伴随的消耗材料</w:t>
      </w:r>
      <w:r>
        <w:rPr>
          <w:rFonts w:hint="eastAsia" w:ascii="宋体" w:hAnsi="宋体" w:eastAsia="宋体" w:cs="宋体"/>
          <w:b w:val="0"/>
          <w:bCs w:val="0"/>
          <w:color w:val="auto"/>
          <w:szCs w:val="21"/>
          <w:highlight w:val="none"/>
          <w:lang w:val="en-US" w:eastAsia="zh-CN"/>
        </w:rPr>
        <w:t>费</w:t>
      </w:r>
      <w:r>
        <w:rPr>
          <w:rFonts w:hint="eastAsia" w:ascii="宋体" w:hAnsi="宋体" w:eastAsia="宋体" w:cs="宋体"/>
          <w:b w:val="0"/>
          <w:bCs w:val="0"/>
          <w:color w:val="auto"/>
          <w:szCs w:val="21"/>
          <w:highlight w:val="none"/>
        </w:rPr>
        <w:t>、备品备件</w:t>
      </w:r>
      <w:r>
        <w:rPr>
          <w:rFonts w:hint="eastAsia" w:ascii="宋体" w:hAnsi="宋体" w:eastAsia="宋体" w:cs="宋体"/>
          <w:b w:val="0"/>
          <w:bCs w:val="0"/>
          <w:color w:val="auto"/>
          <w:szCs w:val="21"/>
          <w:highlight w:val="none"/>
          <w:lang w:val="en-US" w:eastAsia="zh-CN"/>
        </w:rPr>
        <w:t>和</w:t>
      </w:r>
      <w:r>
        <w:rPr>
          <w:rFonts w:hint="eastAsia" w:ascii="宋体" w:hAnsi="宋体" w:eastAsia="宋体" w:cs="宋体"/>
          <w:b w:val="0"/>
          <w:bCs w:val="0"/>
          <w:color w:val="auto"/>
          <w:szCs w:val="21"/>
          <w:highlight w:val="none"/>
        </w:rPr>
        <w:t>专用工具</w:t>
      </w:r>
      <w:r>
        <w:rPr>
          <w:rFonts w:hint="eastAsia" w:ascii="宋体" w:hAnsi="宋体" w:eastAsia="宋体" w:cs="宋体"/>
          <w:b w:val="0"/>
          <w:bCs w:val="0"/>
          <w:color w:val="auto"/>
          <w:szCs w:val="21"/>
          <w:highlight w:val="none"/>
          <w:lang w:val="en-US" w:eastAsia="zh-CN"/>
        </w:rPr>
        <w:t>费</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培训费、</w:t>
      </w:r>
      <w:r>
        <w:rPr>
          <w:rFonts w:hint="eastAsia" w:ascii="宋体" w:hAnsi="宋体" w:eastAsia="宋体" w:cs="宋体"/>
          <w:b w:val="0"/>
          <w:bCs w:val="0"/>
          <w:color w:val="auto"/>
          <w:szCs w:val="21"/>
          <w:highlight w:val="none"/>
        </w:rPr>
        <w:t>各种税费</w:t>
      </w:r>
      <w:r>
        <w:rPr>
          <w:rFonts w:hint="eastAsia" w:ascii="宋体" w:hAnsi="宋体" w:eastAsia="宋体" w:cs="宋体"/>
          <w:b w:val="0"/>
          <w:bCs w:val="0"/>
          <w:color w:val="auto"/>
          <w:szCs w:val="21"/>
          <w:highlight w:val="none"/>
          <w:lang w:eastAsia="zh-CN"/>
        </w:rPr>
        <w:t>和其他</w:t>
      </w:r>
      <w:r>
        <w:rPr>
          <w:rFonts w:hint="eastAsia" w:ascii="宋体" w:hAnsi="宋体" w:eastAsia="宋体" w:cs="宋体"/>
          <w:b w:val="0"/>
          <w:bCs w:val="0"/>
          <w:color w:val="auto"/>
          <w:szCs w:val="21"/>
          <w:highlight w:val="none"/>
          <w:lang w:val="en-US" w:eastAsia="zh-CN"/>
        </w:rPr>
        <w:t>相关</w:t>
      </w:r>
      <w:r>
        <w:rPr>
          <w:rFonts w:hint="eastAsia" w:ascii="宋体" w:hAnsi="宋体" w:eastAsia="宋体" w:cs="宋体"/>
          <w:b w:val="0"/>
          <w:bCs w:val="0"/>
          <w:color w:val="auto"/>
          <w:szCs w:val="21"/>
          <w:highlight w:val="none"/>
        </w:rPr>
        <w:t>服务</w:t>
      </w:r>
      <w:r>
        <w:rPr>
          <w:rFonts w:hint="eastAsia" w:ascii="宋体" w:hAnsi="宋体" w:eastAsia="宋体" w:cs="宋体"/>
          <w:b w:val="0"/>
          <w:bCs w:val="0"/>
          <w:color w:val="auto"/>
          <w:szCs w:val="21"/>
          <w:highlight w:val="none"/>
          <w:lang w:val="en-US" w:eastAsia="zh-CN"/>
        </w:rPr>
        <w:t>费等全部费用</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eastAsia="zh-CN"/>
        </w:rPr>
        <w:t>投标报价一览表是将总报价进行分解，</w:t>
      </w:r>
      <w:r>
        <w:rPr>
          <w:rFonts w:hint="eastAsia" w:ascii="宋体" w:hAnsi="宋体" w:eastAsia="宋体" w:cs="宋体"/>
          <w:b w:val="0"/>
          <w:bCs w:val="0"/>
          <w:color w:val="auto"/>
          <w:szCs w:val="21"/>
          <w:highlight w:val="none"/>
        </w:rPr>
        <w:t>各项报价应准确填入投标报价</w:t>
      </w:r>
      <w:r>
        <w:rPr>
          <w:rFonts w:hint="eastAsia" w:ascii="宋体" w:hAnsi="宋体" w:eastAsia="宋体" w:cs="宋体"/>
          <w:b w:val="0"/>
          <w:bCs w:val="0"/>
          <w:color w:val="auto"/>
          <w:szCs w:val="21"/>
          <w:highlight w:val="none"/>
          <w:lang w:eastAsia="zh-CN"/>
        </w:rPr>
        <w:t>一览</w:t>
      </w:r>
      <w:r>
        <w:rPr>
          <w:rFonts w:hint="eastAsia" w:ascii="宋体" w:hAnsi="宋体" w:eastAsia="宋体" w:cs="宋体"/>
          <w:b w:val="0"/>
          <w:bCs w:val="0"/>
          <w:color w:val="auto"/>
          <w:szCs w:val="21"/>
          <w:highlight w:val="none"/>
        </w:rPr>
        <w:t>表相应栏内。未填入报价项目评标委员会可以认定为已包含在总报价，也可能做出对投标人不利的判断，后果由投标人自行承担。</w:t>
      </w:r>
    </w:p>
    <w:p w14:paraId="28374866">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投标人根据上述规定所作分项报价的目的只是为了评标时对投标文件进行比较的方便，但并不限制采购人订立合同的权力。</w:t>
      </w:r>
    </w:p>
    <w:p w14:paraId="7CC85E6D">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投标报价应完全包括招标文件规定的全部货物</w:t>
      </w:r>
      <w:r>
        <w:rPr>
          <w:rFonts w:hint="eastAsia" w:ascii="宋体" w:hAnsi="宋体" w:eastAsia="宋体" w:cs="宋体"/>
          <w:b w:val="0"/>
          <w:bCs w:val="0"/>
          <w:color w:val="auto"/>
          <w:szCs w:val="21"/>
          <w:highlight w:val="none"/>
          <w:lang w:eastAsia="zh-CN"/>
        </w:rPr>
        <w:t>及其伴随的</w:t>
      </w:r>
      <w:r>
        <w:rPr>
          <w:rFonts w:hint="eastAsia" w:ascii="宋体" w:hAnsi="宋体" w:eastAsia="宋体" w:cs="宋体"/>
          <w:b w:val="0"/>
          <w:bCs w:val="0"/>
          <w:color w:val="auto"/>
          <w:szCs w:val="21"/>
          <w:highlight w:val="none"/>
        </w:rPr>
        <w:t>服务范围，不得任意分割或合并所规定的货物</w:t>
      </w:r>
      <w:r>
        <w:rPr>
          <w:rFonts w:hint="eastAsia" w:ascii="宋体" w:hAnsi="宋体" w:eastAsia="宋体" w:cs="宋体"/>
          <w:b w:val="0"/>
          <w:bCs w:val="0"/>
          <w:color w:val="auto"/>
          <w:szCs w:val="21"/>
          <w:highlight w:val="none"/>
          <w:lang w:eastAsia="zh-CN"/>
        </w:rPr>
        <w:t>及其伴随的</w:t>
      </w:r>
      <w:r>
        <w:rPr>
          <w:rFonts w:hint="eastAsia" w:ascii="宋体" w:hAnsi="宋体" w:eastAsia="宋体" w:cs="宋体"/>
          <w:b w:val="0"/>
          <w:bCs w:val="0"/>
          <w:color w:val="auto"/>
          <w:szCs w:val="21"/>
          <w:highlight w:val="none"/>
        </w:rPr>
        <w:t>服务分项。</w:t>
      </w:r>
    </w:p>
    <w:p w14:paraId="2A058EE6">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投标人对每种货物只允许有一个报价，采购人和采购代理机构不接受有任何选择报价的投标。</w:t>
      </w:r>
    </w:p>
    <w:p w14:paraId="50F8C797">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b w:val="0"/>
          <w:bCs w:val="0"/>
          <w:color w:val="auto"/>
          <w:szCs w:val="21"/>
          <w:highlight w:val="none"/>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14:paraId="0B8335BC">
      <w:pPr>
        <w:pStyle w:val="6"/>
        <w:pageBreakBefore w:val="0"/>
        <w:numPr>
          <w:ilvl w:val="1"/>
          <w:numId w:val="3"/>
        </w:numPr>
        <w:kinsoku/>
        <w:overflowPunct/>
        <w:bidi w:val="0"/>
        <w:spacing w:before="140" w:after="140" w:line="360" w:lineRule="auto"/>
        <w:rPr>
          <w:rFonts w:hint="eastAsia" w:ascii="宋体" w:hAnsi="宋体" w:eastAsia="宋体" w:cs="宋体"/>
          <w:color w:val="auto"/>
          <w:highlight w:val="none"/>
        </w:rPr>
      </w:pPr>
      <w:bookmarkStart w:id="312" w:name="_Toc13817"/>
      <w:bookmarkStart w:id="313" w:name="_Toc25999"/>
      <w:bookmarkStart w:id="314" w:name="_Toc26916"/>
      <w:bookmarkStart w:id="315" w:name="_Toc31023"/>
      <w:bookmarkStart w:id="316" w:name="_Toc28543"/>
      <w:bookmarkStart w:id="317" w:name="_Toc22838"/>
      <w:r>
        <w:rPr>
          <w:rFonts w:hint="eastAsia" w:ascii="宋体" w:hAnsi="宋体" w:eastAsia="宋体" w:cs="宋体"/>
          <w:color w:val="auto"/>
          <w:highlight w:val="none"/>
        </w:rPr>
        <w:t>投标人资格的证明文件</w:t>
      </w:r>
      <w:bookmarkEnd w:id="312"/>
      <w:bookmarkEnd w:id="313"/>
      <w:bookmarkEnd w:id="314"/>
      <w:bookmarkEnd w:id="315"/>
      <w:bookmarkEnd w:id="316"/>
      <w:bookmarkEnd w:id="317"/>
    </w:p>
    <w:p w14:paraId="07C622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bookmarkStart w:id="318" w:name="_Toc30002"/>
      <w:bookmarkStart w:id="319" w:name="_Toc28461"/>
      <w:r>
        <w:rPr>
          <w:rFonts w:hint="eastAsia" w:ascii="宋体" w:hAnsi="宋体" w:eastAsia="宋体" w:cs="宋体"/>
          <w:color w:val="auto"/>
          <w:szCs w:val="21"/>
          <w:highlight w:val="none"/>
        </w:rPr>
        <w:t>依据</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中的要求提交相应的资格证明文件，作为投标文件资格审查册的一部分，以证明其有资格进行投标和有能力履行合同。</w:t>
      </w:r>
    </w:p>
    <w:bookmarkEnd w:id="318"/>
    <w:bookmarkEnd w:id="319"/>
    <w:p w14:paraId="07C4B39E">
      <w:pPr>
        <w:pStyle w:val="6"/>
        <w:pageBreakBefore w:val="0"/>
        <w:numPr>
          <w:ilvl w:val="1"/>
          <w:numId w:val="3"/>
        </w:numPr>
        <w:kinsoku/>
        <w:overflowPunct/>
        <w:bidi w:val="0"/>
        <w:spacing w:before="140" w:after="140" w:line="360" w:lineRule="auto"/>
        <w:rPr>
          <w:rFonts w:hint="eastAsia" w:ascii="宋体" w:hAnsi="宋体" w:eastAsia="宋体" w:cs="宋体"/>
          <w:color w:val="auto"/>
          <w:highlight w:val="none"/>
        </w:rPr>
      </w:pPr>
      <w:bookmarkStart w:id="320" w:name="_Toc23963"/>
      <w:bookmarkStart w:id="321" w:name="_Toc14418"/>
      <w:bookmarkStart w:id="322" w:name="_Toc29192"/>
      <w:bookmarkStart w:id="323" w:name="_Toc26473"/>
      <w:bookmarkStart w:id="324" w:name="_Toc26009"/>
      <w:bookmarkStart w:id="325" w:name="_Toc20716"/>
      <w:r>
        <w:rPr>
          <w:rFonts w:hint="eastAsia" w:ascii="宋体" w:hAnsi="宋体" w:eastAsia="宋体" w:cs="宋体"/>
          <w:color w:val="auto"/>
          <w:highlight w:val="none"/>
        </w:rPr>
        <w:t>投标保证金</w:t>
      </w:r>
      <w:bookmarkEnd w:id="320"/>
      <w:bookmarkEnd w:id="321"/>
      <w:bookmarkEnd w:id="322"/>
      <w:bookmarkEnd w:id="323"/>
      <w:bookmarkEnd w:id="324"/>
      <w:bookmarkEnd w:id="325"/>
    </w:p>
    <w:p w14:paraId="461AD8E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right="40" w:right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不要求</w:t>
      </w:r>
    </w:p>
    <w:p w14:paraId="5DD94D4E">
      <w:pPr>
        <w:pStyle w:val="6"/>
        <w:pageBreakBefore w:val="0"/>
        <w:numPr>
          <w:ilvl w:val="1"/>
          <w:numId w:val="3"/>
        </w:numPr>
        <w:kinsoku/>
        <w:overflowPunct/>
        <w:bidi w:val="0"/>
        <w:spacing w:before="140" w:after="140" w:line="360" w:lineRule="auto"/>
        <w:rPr>
          <w:rFonts w:hint="eastAsia" w:ascii="宋体" w:hAnsi="宋体" w:eastAsia="宋体" w:cs="宋体"/>
          <w:color w:val="auto"/>
          <w:highlight w:val="none"/>
        </w:rPr>
      </w:pPr>
      <w:bookmarkStart w:id="326" w:name="_Toc11525"/>
      <w:bookmarkStart w:id="327" w:name="_Toc22418"/>
      <w:bookmarkStart w:id="328" w:name="_Toc29010"/>
      <w:bookmarkStart w:id="329" w:name="_Toc878"/>
      <w:bookmarkStart w:id="330" w:name="_Toc26671"/>
      <w:bookmarkStart w:id="331" w:name="_Toc11749"/>
      <w:r>
        <w:rPr>
          <w:rFonts w:hint="eastAsia" w:ascii="宋体" w:hAnsi="宋体" w:eastAsia="宋体" w:cs="宋体"/>
          <w:color w:val="auto"/>
          <w:highlight w:val="none"/>
        </w:rPr>
        <w:t>投标有效期</w:t>
      </w:r>
      <w:bookmarkEnd w:id="326"/>
      <w:bookmarkEnd w:id="327"/>
      <w:bookmarkEnd w:id="328"/>
      <w:bookmarkEnd w:id="329"/>
      <w:bookmarkEnd w:id="330"/>
      <w:bookmarkEnd w:id="331"/>
    </w:p>
    <w:p w14:paraId="7F5A9BAC">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投标有效期</w:t>
      </w:r>
      <w:r>
        <w:rPr>
          <w:rFonts w:hint="eastAsia" w:ascii="宋体" w:hAnsi="宋体" w:eastAsia="宋体" w:cs="宋体"/>
          <w:color w:val="auto"/>
          <w:szCs w:val="21"/>
          <w:highlight w:val="none"/>
          <w:lang w:eastAsia="zh-CN"/>
        </w:rPr>
        <w:t>见投标人须知前附表，</w:t>
      </w:r>
      <w:r>
        <w:rPr>
          <w:rFonts w:hint="eastAsia" w:ascii="宋体" w:hAnsi="宋体" w:eastAsia="宋体" w:cs="宋体"/>
          <w:color w:val="auto"/>
          <w:szCs w:val="21"/>
          <w:highlight w:val="none"/>
        </w:rPr>
        <w:t>从</w:t>
      </w:r>
      <w:r>
        <w:rPr>
          <w:rFonts w:hint="eastAsia" w:ascii="宋体" w:hAnsi="宋体" w:eastAsia="宋体" w:cs="宋体"/>
          <w:color w:val="auto"/>
          <w:szCs w:val="21"/>
          <w:highlight w:val="none"/>
          <w:lang w:eastAsia="zh-CN"/>
        </w:rPr>
        <w:t>递交</w:t>
      </w:r>
      <w:r>
        <w:rPr>
          <w:rFonts w:hint="eastAsia" w:ascii="宋体" w:hAnsi="宋体" w:eastAsia="宋体" w:cs="宋体"/>
          <w:color w:val="auto"/>
          <w:szCs w:val="21"/>
          <w:highlight w:val="none"/>
        </w:rPr>
        <w:t>投标文件的截止之日起算</w:t>
      </w:r>
      <w:r>
        <w:rPr>
          <w:rFonts w:hint="eastAsia" w:ascii="宋体" w:hAnsi="宋体" w:eastAsia="宋体" w:cs="宋体"/>
          <w:color w:val="auto"/>
          <w:szCs w:val="21"/>
          <w:highlight w:val="none"/>
          <w:lang w:eastAsia="zh-CN"/>
        </w:rPr>
        <w:t>。</w:t>
      </w:r>
    </w:p>
    <w:p w14:paraId="1B672F04">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投标文件应自</w:t>
      </w:r>
      <w:r>
        <w:rPr>
          <w:rFonts w:hint="eastAsia" w:ascii="宋体" w:hAnsi="宋体" w:eastAsia="宋体" w:cs="宋体"/>
          <w:color w:val="auto"/>
          <w:szCs w:val="21"/>
          <w:highlight w:val="none"/>
          <w:lang w:eastAsia="zh-CN"/>
        </w:rPr>
        <w:t>递交</w:t>
      </w:r>
      <w:r>
        <w:rPr>
          <w:rFonts w:hint="eastAsia" w:ascii="宋体" w:hAnsi="宋体" w:eastAsia="宋体" w:cs="宋体"/>
          <w:color w:val="auto"/>
          <w:szCs w:val="21"/>
          <w:highlight w:val="none"/>
        </w:rPr>
        <w:t>投标文件的截止之日起，在</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规定的时间内保持有效。投标有效期不足的将被视为非响应投标而予以拒绝。</w:t>
      </w:r>
    </w:p>
    <w:p w14:paraId="397ADA6B">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特殊情况下，在原投标有效期截止之前，采购人和采购代理机构可征求投标人同意延长投标有效期。这种要求与答复均应以书面形式提交。投标人可以拒绝这种要求。同意延期的投标人将不会被要求也不允许修改其投标。</w:t>
      </w:r>
    </w:p>
    <w:p w14:paraId="210AC976">
      <w:pPr>
        <w:pStyle w:val="6"/>
        <w:pageBreakBefore w:val="0"/>
        <w:numPr>
          <w:ilvl w:val="1"/>
          <w:numId w:val="3"/>
        </w:numPr>
        <w:kinsoku/>
        <w:overflowPunct/>
        <w:bidi w:val="0"/>
        <w:spacing w:before="140" w:after="140" w:line="360" w:lineRule="auto"/>
        <w:rPr>
          <w:rFonts w:hint="eastAsia" w:ascii="宋体" w:hAnsi="宋体" w:eastAsia="宋体" w:cs="宋体"/>
          <w:color w:val="auto"/>
          <w:highlight w:val="none"/>
        </w:rPr>
      </w:pPr>
      <w:bookmarkStart w:id="332" w:name="_Toc10777"/>
      <w:bookmarkStart w:id="333" w:name="_Toc9753"/>
      <w:bookmarkStart w:id="334" w:name="_Toc8140"/>
      <w:bookmarkStart w:id="335" w:name="_Toc25268"/>
      <w:bookmarkStart w:id="336" w:name="_Toc5773"/>
      <w:bookmarkStart w:id="337" w:name="_Toc25251"/>
      <w:r>
        <w:rPr>
          <w:rFonts w:hint="eastAsia" w:ascii="宋体" w:hAnsi="宋体" w:eastAsia="宋体" w:cs="宋体"/>
          <w:color w:val="auto"/>
          <w:highlight w:val="none"/>
        </w:rPr>
        <w:t>投标文件</w:t>
      </w:r>
      <w:r>
        <w:rPr>
          <w:rFonts w:hint="eastAsia" w:ascii="宋体" w:hAnsi="宋体" w:eastAsia="宋体" w:cs="宋体"/>
          <w:color w:val="auto"/>
          <w:highlight w:val="none"/>
          <w:lang w:eastAsia="zh-CN"/>
        </w:rPr>
        <w:t>编制</w:t>
      </w:r>
      <w:bookmarkEnd w:id="332"/>
      <w:bookmarkEnd w:id="333"/>
      <w:bookmarkEnd w:id="334"/>
      <w:bookmarkEnd w:id="335"/>
      <w:bookmarkEnd w:id="336"/>
      <w:bookmarkEnd w:id="337"/>
    </w:p>
    <w:p w14:paraId="75BED224">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bookmarkStart w:id="338" w:name="_Toc312133546"/>
      <w:r>
        <w:rPr>
          <w:rFonts w:hint="eastAsia" w:ascii="宋体" w:hAnsi="宋体" w:eastAsia="宋体" w:cs="宋体"/>
          <w:color w:val="auto"/>
          <w:szCs w:val="21"/>
          <w:highlight w:val="none"/>
        </w:rPr>
        <w:t>投标文件应按</w:t>
      </w:r>
      <w:r>
        <w:rPr>
          <w:rFonts w:hint="eastAsia" w:ascii="宋体" w:hAnsi="宋体" w:eastAsia="宋体" w:cs="宋体"/>
          <w:color w:val="auto"/>
          <w:szCs w:val="21"/>
          <w:highlight w:val="none"/>
          <w:lang w:eastAsia="zh-CN"/>
        </w:rPr>
        <w:t>“投标文件资格审查册通用格式”“</w:t>
      </w: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eastAsia="zh-CN"/>
        </w:rPr>
        <w:t>通用</w:t>
      </w:r>
      <w:r>
        <w:rPr>
          <w:rFonts w:hint="eastAsia" w:ascii="宋体" w:hAnsi="宋体" w:eastAsia="宋体" w:cs="宋体"/>
          <w:color w:val="auto"/>
          <w:szCs w:val="21"/>
          <w:highlight w:val="none"/>
        </w:rPr>
        <w:t>格式”进行编写，如有必要，可以增加附页，作为投标文件的组成部分。</w:t>
      </w:r>
      <w:r>
        <w:rPr>
          <w:rFonts w:hint="eastAsia" w:ascii="宋体" w:hAnsi="宋体" w:eastAsia="宋体" w:cs="宋体"/>
          <w:color w:val="auto"/>
          <w:szCs w:val="21"/>
          <w:highlight w:val="none"/>
          <w:lang w:eastAsia="zh-CN"/>
        </w:rPr>
        <w:t>其中，开标一览表（</w:t>
      </w:r>
      <w:r>
        <w:rPr>
          <w:rFonts w:hint="eastAsia" w:ascii="宋体" w:hAnsi="宋体" w:eastAsia="宋体" w:cs="宋体"/>
          <w:color w:val="auto"/>
          <w:szCs w:val="21"/>
          <w:highlight w:val="none"/>
          <w:lang w:val="en-US" w:eastAsia="zh-CN"/>
        </w:rPr>
        <w:t>投标报价表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在满足招标文件实质性要求的基础上，可以提出比招标文件要求更有利于</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的承诺。</w:t>
      </w:r>
    </w:p>
    <w:p w14:paraId="28F5332A">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投标文件应当对招标文件有关投标有效期、</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范围等实质性内容作出响应。</w:t>
      </w:r>
    </w:p>
    <w:p w14:paraId="203D5425">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法定代表人授权委托书。签字或盖章的具体要求见投标人须知前附表。</w:t>
      </w:r>
    </w:p>
    <w:p w14:paraId="61F6C57B">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电报、电传和传真投标文件一律不接受。</w:t>
      </w:r>
    </w:p>
    <w:p w14:paraId="032D09F9">
      <w:pPr>
        <w:pStyle w:val="5"/>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color w:val="auto"/>
          <w:sz w:val="24"/>
          <w:szCs w:val="24"/>
          <w:highlight w:val="none"/>
          <w:lang w:val="en-US" w:eastAsia="zh-CN"/>
        </w:rPr>
      </w:pPr>
      <w:bookmarkStart w:id="339" w:name="_Toc8011"/>
      <w:bookmarkStart w:id="340" w:name="_Toc10788"/>
      <w:r>
        <w:rPr>
          <w:rFonts w:hint="eastAsia" w:ascii="宋体" w:hAnsi="宋体" w:eastAsia="宋体" w:cs="宋体"/>
          <w:color w:val="auto"/>
          <w:sz w:val="24"/>
          <w:szCs w:val="24"/>
          <w:highlight w:val="none"/>
          <w:lang w:val="en-US" w:eastAsia="zh-CN"/>
        </w:rPr>
        <w:t>投标</w:t>
      </w:r>
      <w:bookmarkEnd w:id="338"/>
      <w:bookmarkEnd w:id="339"/>
      <w:bookmarkEnd w:id="340"/>
    </w:p>
    <w:p w14:paraId="52BBC3D0">
      <w:pPr>
        <w:pStyle w:val="6"/>
        <w:pageBreakBefore w:val="0"/>
        <w:numPr>
          <w:ilvl w:val="1"/>
          <w:numId w:val="3"/>
        </w:numPr>
        <w:kinsoku/>
        <w:overflowPunct/>
        <w:bidi w:val="0"/>
        <w:spacing w:line="360" w:lineRule="auto"/>
        <w:rPr>
          <w:rFonts w:hint="eastAsia" w:ascii="宋体" w:hAnsi="宋体" w:eastAsia="宋体" w:cs="宋体"/>
          <w:color w:val="auto"/>
          <w:highlight w:val="none"/>
        </w:rPr>
      </w:pPr>
      <w:bookmarkStart w:id="341" w:name="_Toc23777"/>
      <w:bookmarkStart w:id="342" w:name="_Toc25740"/>
      <w:bookmarkStart w:id="343" w:name="_Toc15515"/>
      <w:bookmarkStart w:id="344" w:name="_Toc7201"/>
      <w:bookmarkStart w:id="345" w:name="_Toc9486"/>
      <w:bookmarkStart w:id="346" w:name="_Toc1285"/>
      <w:bookmarkStart w:id="347" w:name="_Toc24089"/>
      <w:bookmarkStart w:id="348" w:name="_Toc2541"/>
      <w:bookmarkStart w:id="349" w:name="_Toc7004"/>
      <w:bookmarkStart w:id="350" w:name="_Toc24770"/>
      <w:bookmarkStart w:id="351" w:name="_Toc17190"/>
      <w:bookmarkStart w:id="352" w:name="_Toc22690"/>
      <w:bookmarkStart w:id="353" w:name="_Toc32620"/>
      <w:bookmarkStart w:id="354" w:name="_Toc312133547"/>
      <w:r>
        <w:rPr>
          <w:rFonts w:hint="eastAsia" w:ascii="宋体" w:hAnsi="宋体" w:eastAsia="宋体" w:cs="宋体"/>
          <w:color w:val="auto"/>
          <w:highlight w:val="none"/>
        </w:rPr>
        <w:t>投标文件的密封</w:t>
      </w:r>
      <w:bookmarkEnd w:id="341"/>
      <w:bookmarkEnd w:id="342"/>
      <w:bookmarkEnd w:id="343"/>
      <w:bookmarkEnd w:id="344"/>
      <w:bookmarkEnd w:id="345"/>
      <w:bookmarkEnd w:id="346"/>
      <w:bookmarkEnd w:id="347"/>
      <w:bookmarkEnd w:id="348"/>
      <w:bookmarkEnd w:id="349"/>
      <w:bookmarkEnd w:id="350"/>
      <w:bookmarkEnd w:id="351"/>
      <w:bookmarkEnd w:id="352"/>
      <w:bookmarkEnd w:id="353"/>
      <w:r>
        <w:rPr>
          <w:rFonts w:hint="eastAsia" w:ascii="宋体" w:hAnsi="宋体" w:eastAsia="宋体" w:cs="宋体"/>
          <w:color w:val="auto"/>
          <w:highlight w:val="none"/>
          <w:lang w:eastAsia="zh-CN"/>
        </w:rPr>
        <w:t>和标记</w:t>
      </w:r>
    </w:p>
    <w:p w14:paraId="1F4E520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right="0" w:rightChars="0"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4.1.1 投标人应当按照招标文件和电子招标投标交易平台的要求加密投标文件，具体要求见投标人须知前附表。</w:t>
      </w:r>
    </w:p>
    <w:p w14:paraId="0A44FD6E">
      <w:pPr>
        <w:pStyle w:val="6"/>
        <w:pageBreakBefore w:val="0"/>
        <w:numPr>
          <w:ilvl w:val="1"/>
          <w:numId w:val="3"/>
        </w:numPr>
        <w:kinsoku/>
        <w:overflowPunct/>
        <w:bidi w:val="0"/>
        <w:spacing w:line="360" w:lineRule="auto"/>
        <w:rPr>
          <w:rFonts w:hint="eastAsia" w:ascii="宋体" w:hAnsi="宋体" w:eastAsia="宋体" w:cs="宋体"/>
          <w:color w:val="auto"/>
          <w:highlight w:val="none"/>
        </w:rPr>
      </w:pPr>
      <w:bookmarkStart w:id="355" w:name="_Toc25206"/>
      <w:bookmarkStart w:id="356" w:name="_Toc2882"/>
      <w:bookmarkStart w:id="357" w:name="_Toc20161"/>
      <w:bookmarkStart w:id="358" w:name="_Toc27859"/>
      <w:bookmarkStart w:id="359" w:name="_Toc7745"/>
      <w:bookmarkStart w:id="360" w:name="_Toc17234"/>
      <w:bookmarkStart w:id="361" w:name="_Toc24802"/>
      <w:bookmarkStart w:id="362" w:name="_Toc8642"/>
      <w:bookmarkStart w:id="363" w:name="_Toc17164"/>
      <w:bookmarkStart w:id="364" w:name="_Toc10849"/>
      <w:bookmarkStart w:id="365" w:name="_Toc27621"/>
      <w:bookmarkStart w:id="366" w:name="_Toc28937"/>
      <w:bookmarkStart w:id="367" w:name="_Toc14647"/>
      <w:r>
        <w:rPr>
          <w:rFonts w:hint="eastAsia" w:ascii="宋体" w:hAnsi="宋体" w:eastAsia="宋体" w:cs="宋体"/>
          <w:color w:val="auto"/>
          <w:highlight w:val="none"/>
          <w:lang w:eastAsia="zh-CN"/>
        </w:rPr>
        <w:t>投标文件的递交</w:t>
      </w:r>
      <w:bookmarkEnd w:id="355"/>
      <w:bookmarkEnd w:id="356"/>
      <w:bookmarkEnd w:id="357"/>
      <w:bookmarkEnd w:id="358"/>
      <w:bookmarkEnd w:id="359"/>
      <w:bookmarkEnd w:id="360"/>
      <w:bookmarkEnd w:id="361"/>
      <w:bookmarkEnd w:id="362"/>
      <w:bookmarkEnd w:id="363"/>
      <w:bookmarkEnd w:id="364"/>
      <w:bookmarkEnd w:id="365"/>
      <w:bookmarkEnd w:id="366"/>
      <w:bookmarkEnd w:id="367"/>
    </w:p>
    <w:p w14:paraId="45F34553">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人</w:t>
      </w:r>
      <w:r>
        <w:rPr>
          <w:rFonts w:hint="eastAsia" w:ascii="宋体" w:hAnsi="宋体" w:eastAsia="宋体" w:cs="宋体"/>
          <w:color w:val="auto"/>
          <w:spacing w:val="-2"/>
          <w:kern w:val="0"/>
          <w:szCs w:val="21"/>
          <w:highlight w:val="none"/>
        </w:rPr>
        <w:t>应</w:t>
      </w:r>
      <w:r>
        <w:rPr>
          <w:rFonts w:hint="eastAsia" w:ascii="宋体" w:hAnsi="宋体" w:eastAsia="宋体" w:cs="宋体"/>
          <w:color w:val="auto"/>
          <w:kern w:val="0"/>
          <w:szCs w:val="21"/>
          <w:highlight w:val="none"/>
        </w:rPr>
        <w:t>在</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人须</w:t>
      </w:r>
      <w:r>
        <w:rPr>
          <w:rFonts w:hint="eastAsia" w:ascii="宋体" w:hAnsi="宋体" w:eastAsia="宋体" w:cs="宋体"/>
          <w:color w:val="auto"/>
          <w:kern w:val="0"/>
          <w:szCs w:val="21"/>
          <w:highlight w:val="none"/>
        </w:rPr>
        <w:t>知前</w:t>
      </w:r>
      <w:r>
        <w:rPr>
          <w:rFonts w:hint="eastAsia" w:ascii="宋体" w:hAnsi="宋体" w:eastAsia="宋体" w:cs="宋体"/>
          <w:color w:val="auto"/>
          <w:spacing w:val="-2"/>
          <w:kern w:val="0"/>
          <w:szCs w:val="21"/>
          <w:highlight w:val="none"/>
        </w:rPr>
        <w:t>附</w:t>
      </w:r>
      <w:r>
        <w:rPr>
          <w:rFonts w:hint="eastAsia" w:ascii="宋体" w:hAnsi="宋体" w:eastAsia="宋体" w:cs="宋体"/>
          <w:color w:val="auto"/>
          <w:kern w:val="0"/>
          <w:szCs w:val="21"/>
          <w:highlight w:val="none"/>
        </w:rPr>
        <w:t>表</w:t>
      </w:r>
      <w:r>
        <w:rPr>
          <w:rFonts w:hint="eastAsia" w:ascii="宋体" w:hAnsi="宋体" w:eastAsia="宋体" w:cs="宋体"/>
          <w:color w:val="auto"/>
          <w:spacing w:val="-2"/>
          <w:kern w:val="0"/>
          <w:szCs w:val="21"/>
          <w:highlight w:val="none"/>
        </w:rPr>
        <w:t>规</w:t>
      </w:r>
      <w:r>
        <w:rPr>
          <w:rFonts w:hint="eastAsia" w:ascii="宋体" w:hAnsi="宋体" w:eastAsia="宋体" w:cs="宋体"/>
          <w:color w:val="auto"/>
          <w:kern w:val="0"/>
          <w:szCs w:val="21"/>
          <w:highlight w:val="none"/>
        </w:rPr>
        <w:t>定</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截</w:t>
      </w:r>
      <w:r>
        <w:rPr>
          <w:rFonts w:hint="eastAsia" w:ascii="宋体" w:hAnsi="宋体" w:eastAsia="宋体" w:cs="宋体"/>
          <w:color w:val="auto"/>
          <w:spacing w:val="-2"/>
          <w:kern w:val="0"/>
          <w:szCs w:val="21"/>
          <w:highlight w:val="none"/>
        </w:rPr>
        <w:t>止</w:t>
      </w:r>
      <w:r>
        <w:rPr>
          <w:rFonts w:hint="eastAsia" w:ascii="宋体" w:hAnsi="宋体" w:eastAsia="宋体" w:cs="宋体"/>
          <w:color w:val="auto"/>
          <w:kern w:val="0"/>
          <w:szCs w:val="21"/>
          <w:highlight w:val="none"/>
        </w:rPr>
        <w:t>时间</w:t>
      </w:r>
      <w:r>
        <w:rPr>
          <w:rFonts w:hint="eastAsia" w:ascii="宋体" w:hAnsi="宋体" w:eastAsia="宋体" w:cs="宋体"/>
          <w:color w:val="auto"/>
          <w:spacing w:val="-2"/>
          <w:kern w:val="0"/>
          <w:szCs w:val="21"/>
          <w:highlight w:val="none"/>
        </w:rPr>
        <w:t>前</w:t>
      </w:r>
      <w:r>
        <w:rPr>
          <w:rFonts w:hint="eastAsia" w:ascii="宋体" w:hAnsi="宋体" w:eastAsia="宋体" w:cs="宋体"/>
          <w:color w:val="auto"/>
          <w:kern w:val="0"/>
          <w:szCs w:val="21"/>
          <w:highlight w:val="none"/>
        </w:rPr>
        <w:t>递</w:t>
      </w:r>
      <w:r>
        <w:rPr>
          <w:rFonts w:hint="eastAsia" w:ascii="宋体" w:hAnsi="宋体" w:eastAsia="宋体" w:cs="宋体"/>
          <w:color w:val="auto"/>
          <w:spacing w:val="-2"/>
          <w:kern w:val="0"/>
          <w:szCs w:val="21"/>
          <w:highlight w:val="none"/>
        </w:rPr>
        <w:t>交</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w:t>
      </w:r>
      <w:r>
        <w:rPr>
          <w:rFonts w:hint="eastAsia" w:ascii="宋体" w:hAnsi="宋体" w:eastAsia="宋体" w:cs="宋体"/>
          <w:color w:val="auto"/>
          <w:kern w:val="0"/>
          <w:szCs w:val="21"/>
          <w:highlight w:val="none"/>
        </w:rPr>
        <w:t>。</w:t>
      </w:r>
    </w:p>
    <w:p w14:paraId="45DC97A6">
      <w:pPr>
        <w:pageBreakBefore w:val="0"/>
        <w:kinsoku/>
        <w:overflowPunct/>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4.2.2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投标人通过下载招标文件的电子招标投标交易平台递交电子投标文件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具体要求见投标人须知前附表。</w:t>
      </w:r>
    </w:p>
    <w:p w14:paraId="65D0A2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投标人完成电子投标文件上传后，电子招标投标交易平台即时向投标人发出递交回执通知。递交时间以递交回执通知载明的传输完成时间为准。</w:t>
      </w:r>
    </w:p>
    <w:p w14:paraId="1A3D0C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 xml:space="preserve">4.2.4 </w:t>
      </w:r>
      <w:r>
        <w:rPr>
          <w:rFonts w:hint="eastAsia" w:ascii="宋体" w:hAnsi="宋体" w:eastAsia="宋体" w:cs="宋体"/>
          <w:color w:val="auto"/>
          <w:sz w:val="21"/>
          <w:szCs w:val="21"/>
          <w:highlight w:val="none"/>
        </w:rPr>
        <w:t>逾期送达的投标文件</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未按规定加密的投标文件</w:t>
      </w:r>
      <w:r>
        <w:rPr>
          <w:rFonts w:hint="eastAsia" w:ascii="宋体" w:hAnsi="宋体" w:eastAsia="宋体" w:cs="宋体"/>
          <w:color w:val="auto"/>
          <w:sz w:val="21"/>
          <w:szCs w:val="21"/>
          <w:highlight w:val="none"/>
        </w:rPr>
        <w:t>，电子招标投标交易平台将予以拒收。</w:t>
      </w:r>
    </w:p>
    <w:p w14:paraId="29E2C998">
      <w:pPr>
        <w:pStyle w:val="6"/>
        <w:pageBreakBefore w:val="0"/>
        <w:numPr>
          <w:ilvl w:val="1"/>
          <w:numId w:val="3"/>
        </w:numPr>
        <w:kinsoku/>
        <w:overflowPunct/>
        <w:bidi w:val="0"/>
        <w:spacing w:line="360" w:lineRule="auto"/>
        <w:rPr>
          <w:rFonts w:hint="eastAsia" w:ascii="宋体" w:hAnsi="宋体" w:eastAsia="宋体" w:cs="宋体"/>
          <w:color w:val="auto"/>
          <w:highlight w:val="none"/>
        </w:rPr>
      </w:pPr>
      <w:bookmarkStart w:id="368" w:name="_Toc13886"/>
      <w:bookmarkStart w:id="369" w:name="_Toc8025"/>
      <w:bookmarkStart w:id="370" w:name="_Toc23125"/>
      <w:bookmarkStart w:id="371" w:name="_Toc27084"/>
      <w:bookmarkStart w:id="372" w:name="_Toc32365"/>
      <w:bookmarkStart w:id="373" w:name="_Toc22212"/>
      <w:bookmarkStart w:id="374" w:name="_Toc19554"/>
      <w:bookmarkStart w:id="375" w:name="_Toc7628"/>
      <w:bookmarkStart w:id="376" w:name="_Toc3471"/>
      <w:bookmarkStart w:id="377" w:name="_Toc27900"/>
      <w:bookmarkStart w:id="378" w:name="_Toc7423"/>
      <w:bookmarkStart w:id="379" w:name="_Toc31018"/>
      <w:bookmarkStart w:id="380" w:name="_Toc23714"/>
      <w:r>
        <w:rPr>
          <w:rFonts w:hint="eastAsia" w:ascii="宋体" w:hAnsi="宋体" w:eastAsia="宋体" w:cs="宋体"/>
          <w:color w:val="auto"/>
          <w:highlight w:val="none"/>
        </w:rPr>
        <w:t>投标文件的修改和撤回</w:t>
      </w:r>
      <w:bookmarkEnd w:id="368"/>
      <w:bookmarkEnd w:id="369"/>
      <w:bookmarkEnd w:id="370"/>
      <w:bookmarkEnd w:id="371"/>
      <w:bookmarkEnd w:id="372"/>
      <w:bookmarkEnd w:id="373"/>
      <w:bookmarkEnd w:id="374"/>
      <w:bookmarkEnd w:id="375"/>
      <w:bookmarkEnd w:id="376"/>
      <w:bookmarkEnd w:id="377"/>
      <w:bookmarkEnd w:id="378"/>
      <w:bookmarkEnd w:id="379"/>
      <w:bookmarkEnd w:id="380"/>
    </w:p>
    <w:p w14:paraId="359A583E">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递交投标文件以后，如果投标人进行修改或撤回投标</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rPr>
        <w:t>，须提出书面申请并在投标截止时间前送达</w:t>
      </w:r>
      <w:r>
        <w:rPr>
          <w:rFonts w:hint="eastAsia" w:ascii="宋体" w:hAnsi="宋体" w:eastAsia="宋体" w:cs="宋体"/>
          <w:color w:val="auto"/>
          <w:kern w:val="0"/>
          <w:szCs w:val="21"/>
          <w:highlight w:val="none"/>
          <w:lang w:val="en-US" w:eastAsia="zh-CN"/>
        </w:rPr>
        <w:t>开标</w:t>
      </w:r>
      <w:r>
        <w:rPr>
          <w:rFonts w:hint="eastAsia" w:ascii="宋体" w:hAnsi="宋体" w:eastAsia="宋体" w:cs="宋体"/>
          <w:color w:val="auto"/>
          <w:kern w:val="0"/>
          <w:szCs w:val="21"/>
          <w:highlight w:val="none"/>
        </w:rPr>
        <w:t>地点，提出的书面申请应按照本章第</w:t>
      </w: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kern w:val="0"/>
          <w:szCs w:val="21"/>
          <w:highlight w:val="none"/>
        </w:rPr>
        <w:t>项的要求签字或盖章。修改内容为投标文件的组成部分，投标人对投标文件的修改应按本须知规定编制、</w:t>
      </w:r>
      <w:r>
        <w:rPr>
          <w:rFonts w:hint="eastAsia" w:ascii="宋体" w:hAnsi="宋体" w:eastAsia="宋体" w:cs="宋体"/>
          <w:color w:val="auto"/>
          <w:kern w:val="0"/>
          <w:szCs w:val="21"/>
          <w:highlight w:val="none"/>
          <w:lang w:val="en-US" w:eastAsia="zh-CN"/>
        </w:rPr>
        <w:t>加密</w:t>
      </w:r>
      <w:r>
        <w:rPr>
          <w:rFonts w:hint="eastAsia" w:ascii="宋体" w:hAnsi="宋体" w:eastAsia="宋体" w:cs="宋体"/>
          <w:color w:val="auto"/>
          <w:kern w:val="0"/>
          <w:szCs w:val="21"/>
          <w:highlight w:val="none"/>
        </w:rPr>
        <w:t>、标记，并标明“修改”字样。</w:t>
      </w:r>
    </w:p>
    <w:p w14:paraId="3BA249C1">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在投标截止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之后，投标人不得对其投标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做任何修改。</w:t>
      </w:r>
    </w:p>
    <w:p w14:paraId="57A2C320">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从投标截止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至投标人在投标文件中载明的投标有效期满期间，投标人不得撤回其投标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w:t>
      </w:r>
    </w:p>
    <w:p w14:paraId="41C641D9">
      <w:pPr>
        <w:pStyle w:val="5"/>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color w:val="auto"/>
          <w:sz w:val="24"/>
          <w:szCs w:val="24"/>
          <w:highlight w:val="none"/>
          <w:lang w:val="en-US" w:eastAsia="zh-CN"/>
        </w:rPr>
      </w:pPr>
      <w:bookmarkStart w:id="381" w:name="_Toc11311"/>
      <w:bookmarkStart w:id="382" w:name="_Toc17426"/>
      <w:r>
        <w:rPr>
          <w:rFonts w:hint="eastAsia" w:ascii="宋体" w:hAnsi="宋体" w:eastAsia="宋体" w:cs="宋体"/>
          <w:color w:val="auto"/>
          <w:sz w:val="24"/>
          <w:szCs w:val="24"/>
          <w:highlight w:val="none"/>
          <w:lang w:val="en-US" w:eastAsia="zh-CN"/>
        </w:rPr>
        <w:t>开标、资格审查与评标</w:t>
      </w:r>
      <w:bookmarkEnd w:id="354"/>
      <w:bookmarkEnd w:id="381"/>
      <w:bookmarkEnd w:id="382"/>
    </w:p>
    <w:p w14:paraId="5063439B">
      <w:pPr>
        <w:pStyle w:val="6"/>
        <w:pageBreakBefore w:val="0"/>
        <w:numPr>
          <w:ilvl w:val="1"/>
          <w:numId w:val="3"/>
        </w:numPr>
        <w:kinsoku/>
        <w:overflowPunct/>
        <w:bidi w:val="0"/>
        <w:spacing w:line="360" w:lineRule="auto"/>
        <w:rPr>
          <w:rFonts w:hint="eastAsia" w:ascii="宋体" w:hAnsi="宋体" w:eastAsia="宋体" w:cs="宋体"/>
          <w:color w:val="auto"/>
          <w:highlight w:val="none"/>
        </w:rPr>
      </w:pPr>
      <w:bookmarkStart w:id="383" w:name="_Toc3802"/>
      <w:bookmarkStart w:id="384" w:name="_Toc24837"/>
      <w:bookmarkStart w:id="385" w:name="_Toc10372"/>
      <w:bookmarkStart w:id="386" w:name="_Toc18834"/>
      <w:bookmarkStart w:id="387" w:name="_Toc22058"/>
      <w:bookmarkStart w:id="388" w:name="_Toc28821"/>
      <w:bookmarkStart w:id="389" w:name="_Toc21689"/>
      <w:bookmarkStart w:id="390" w:name="_Toc30917"/>
      <w:bookmarkStart w:id="391" w:name="_Toc10066"/>
      <w:bookmarkStart w:id="392" w:name="_Toc3484"/>
      <w:bookmarkStart w:id="393" w:name="_Toc2359"/>
      <w:bookmarkStart w:id="394" w:name="_Toc1051"/>
      <w:bookmarkStart w:id="395" w:name="_Toc25258"/>
      <w:bookmarkStart w:id="396" w:name="_Toc312133548"/>
      <w:r>
        <w:rPr>
          <w:rFonts w:hint="eastAsia" w:ascii="宋体" w:hAnsi="宋体" w:eastAsia="宋体" w:cs="宋体"/>
          <w:color w:val="auto"/>
          <w:highlight w:val="none"/>
        </w:rPr>
        <w:t>开标</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7BBABD60">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采购代理机构在</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中规定的时间和地点组织公开开标。投标人不足3家的，不得开标。开标由采购人或者采购代理机构主持，邀请</w:t>
      </w:r>
      <w:r>
        <w:rPr>
          <w:rFonts w:hint="eastAsia" w:ascii="宋体" w:hAnsi="宋体" w:eastAsia="宋体" w:cs="宋体"/>
          <w:color w:val="auto"/>
          <w:szCs w:val="21"/>
          <w:highlight w:val="none"/>
          <w:lang w:eastAsia="zh-CN"/>
        </w:rPr>
        <w:t>所有</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的法定代表人或委托代理人</w:t>
      </w:r>
      <w:r>
        <w:rPr>
          <w:rFonts w:hint="eastAsia" w:ascii="宋体" w:hAnsi="宋体" w:eastAsia="宋体" w:cs="宋体"/>
          <w:color w:val="auto"/>
          <w:szCs w:val="21"/>
          <w:highlight w:val="none"/>
        </w:rPr>
        <w:t>参加。</w:t>
      </w:r>
    </w:p>
    <w:p w14:paraId="2C3007DF">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p w14:paraId="643A75E0">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宣布开标纪律；</w:t>
      </w:r>
    </w:p>
    <w:p w14:paraId="6BCE19B8">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公布在投标截止时间前递交投标文件的投标人名称；</w:t>
      </w:r>
    </w:p>
    <w:p w14:paraId="162098BB">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投标人通过电子招标投标交易平台对已递交的电子投标文件进行解密；</w:t>
      </w:r>
    </w:p>
    <w:p w14:paraId="575DF799">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由采购人或者采购代理机构工作人员</w:t>
      </w:r>
      <w:r>
        <w:rPr>
          <w:rFonts w:hint="eastAsia" w:ascii="宋体" w:hAnsi="宋体" w:eastAsia="宋体" w:cs="宋体"/>
          <w:color w:val="auto"/>
          <w:kern w:val="0"/>
          <w:szCs w:val="21"/>
          <w:highlight w:val="none"/>
          <w:lang w:eastAsia="zh-CN"/>
        </w:rPr>
        <w:t>按</w:t>
      </w:r>
      <w:r>
        <w:rPr>
          <w:rFonts w:hint="eastAsia" w:ascii="宋体" w:hAnsi="宋体" w:eastAsia="宋体" w:cs="宋体"/>
          <w:color w:val="auto"/>
          <w:kern w:val="0"/>
          <w:szCs w:val="21"/>
          <w:highlight w:val="none"/>
          <w:lang w:val="en-US" w:eastAsia="zh-CN"/>
        </w:rPr>
        <w:t>河南省公共资源交易中心平台交易平台系统默认</w:t>
      </w:r>
      <w:r>
        <w:rPr>
          <w:rFonts w:hint="eastAsia" w:ascii="宋体" w:hAnsi="宋体" w:eastAsia="宋体" w:cs="宋体"/>
          <w:color w:val="auto"/>
          <w:kern w:val="0"/>
          <w:szCs w:val="21"/>
          <w:highlight w:val="none"/>
        </w:rPr>
        <w:t>顺序</w:t>
      </w:r>
      <w:r>
        <w:rPr>
          <w:rFonts w:hint="eastAsia" w:ascii="宋体" w:hAnsi="宋体" w:eastAsia="宋体" w:cs="宋体"/>
          <w:color w:val="auto"/>
          <w:kern w:val="0"/>
          <w:szCs w:val="21"/>
          <w:highlight w:val="none"/>
          <w:lang w:val="en-US" w:eastAsia="zh-CN"/>
        </w:rPr>
        <w:t>解密</w:t>
      </w:r>
      <w:r>
        <w:rPr>
          <w:rFonts w:hint="eastAsia" w:ascii="宋体" w:hAnsi="宋体" w:eastAsia="宋体" w:cs="宋体"/>
          <w:color w:val="auto"/>
          <w:kern w:val="0"/>
          <w:szCs w:val="21"/>
          <w:highlight w:val="none"/>
        </w:rPr>
        <w:t>投标文件，宣布投标人名称、投标价格以及其他采购人和采购代理机构认为必要的内容，并记录在案；</w:t>
      </w:r>
    </w:p>
    <w:p w14:paraId="1F9858A0">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参加开标的各投标人代表和相关工作人员</w:t>
      </w:r>
      <w:r>
        <w:rPr>
          <w:rFonts w:hint="eastAsia" w:ascii="宋体" w:hAnsi="宋体" w:eastAsia="宋体" w:cs="宋体"/>
          <w:color w:val="auto"/>
          <w:kern w:val="0"/>
          <w:sz w:val="21"/>
          <w:szCs w:val="21"/>
          <w:highlight w:val="none"/>
          <w:lang w:val="en-US" w:eastAsia="zh-CN" w:bidi="ar-SA"/>
        </w:rPr>
        <w:t>使用本人的电子印章在开标记录上签字确认</w:t>
      </w:r>
      <w:r>
        <w:rPr>
          <w:rFonts w:hint="eastAsia" w:ascii="宋体" w:hAnsi="宋体" w:eastAsia="宋体" w:cs="宋体"/>
          <w:b w:val="0"/>
          <w:bCs w:val="0"/>
          <w:color w:val="auto"/>
          <w:kern w:val="0"/>
          <w:sz w:val="21"/>
          <w:szCs w:val="21"/>
          <w:highlight w:val="none"/>
          <w:lang w:val="en-US" w:eastAsia="zh-CN" w:bidi="ar-SA"/>
        </w:rPr>
        <w:t>；</w:t>
      </w:r>
    </w:p>
    <w:p w14:paraId="1F793DC4">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开标结束。</w:t>
      </w:r>
    </w:p>
    <w:p w14:paraId="1FC412FE">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并制作记录。</w:t>
      </w:r>
    </w:p>
    <w:p w14:paraId="440B74FF">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投标人未参加开标的，视同认可开标结果。</w:t>
      </w:r>
    </w:p>
    <w:p w14:paraId="1D3F79E7">
      <w:pPr>
        <w:pStyle w:val="6"/>
        <w:pageBreakBefore w:val="0"/>
        <w:numPr>
          <w:ilvl w:val="1"/>
          <w:numId w:val="3"/>
        </w:numPr>
        <w:kinsoku/>
        <w:overflowPunct/>
        <w:bidi w:val="0"/>
        <w:spacing w:line="360" w:lineRule="auto"/>
        <w:rPr>
          <w:rFonts w:hint="eastAsia" w:ascii="宋体" w:hAnsi="宋体" w:eastAsia="宋体" w:cs="宋体"/>
          <w:color w:val="auto"/>
          <w:highlight w:val="none"/>
        </w:rPr>
      </w:pPr>
      <w:bookmarkStart w:id="397" w:name="_Toc29315"/>
      <w:bookmarkStart w:id="398" w:name="_Toc22209"/>
      <w:bookmarkStart w:id="399" w:name="_Toc3031"/>
      <w:bookmarkStart w:id="400" w:name="_Toc29588"/>
      <w:bookmarkStart w:id="401" w:name="_Toc16453"/>
      <w:bookmarkStart w:id="402" w:name="_Toc18862"/>
      <w:bookmarkStart w:id="403" w:name="_Toc29637"/>
      <w:bookmarkStart w:id="404" w:name="_Toc24277"/>
      <w:bookmarkStart w:id="405" w:name="_Toc22131"/>
      <w:bookmarkStart w:id="406" w:name="_Toc29955"/>
      <w:bookmarkStart w:id="407" w:name="_Toc13168"/>
      <w:bookmarkStart w:id="408" w:name="_Toc11192"/>
      <w:bookmarkStart w:id="409" w:name="_Toc11443"/>
      <w:r>
        <w:rPr>
          <w:rFonts w:hint="eastAsia" w:ascii="宋体" w:hAnsi="宋体" w:eastAsia="宋体" w:cs="宋体"/>
          <w:color w:val="auto"/>
          <w:highlight w:val="none"/>
        </w:rPr>
        <w:t>资格审查工作</w:t>
      </w:r>
      <w:bookmarkEnd w:id="397"/>
      <w:bookmarkEnd w:id="398"/>
      <w:bookmarkEnd w:id="399"/>
      <w:bookmarkEnd w:id="400"/>
      <w:bookmarkEnd w:id="401"/>
      <w:bookmarkEnd w:id="402"/>
      <w:bookmarkEnd w:id="403"/>
      <w:bookmarkEnd w:id="404"/>
      <w:bookmarkEnd w:id="405"/>
      <w:bookmarkEnd w:id="406"/>
      <w:bookmarkEnd w:id="407"/>
      <w:bookmarkEnd w:id="408"/>
      <w:bookmarkEnd w:id="409"/>
    </w:p>
    <w:p w14:paraId="02DD469C">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开标结束后，采购人或者采购代理机构应当依法对投标人的资格进行审查。合格投标人不足3家的，不得评标。</w:t>
      </w:r>
    </w:p>
    <w:p w14:paraId="3770A234">
      <w:pPr>
        <w:pStyle w:val="6"/>
        <w:pageBreakBefore w:val="0"/>
        <w:numPr>
          <w:ilvl w:val="1"/>
          <w:numId w:val="3"/>
        </w:numPr>
        <w:kinsoku/>
        <w:overflowPunct/>
        <w:bidi w:val="0"/>
        <w:spacing w:line="360" w:lineRule="auto"/>
        <w:rPr>
          <w:rFonts w:hint="eastAsia" w:ascii="宋体" w:hAnsi="宋体" w:eastAsia="宋体" w:cs="宋体"/>
          <w:color w:val="auto"/>
          <w:highlight w:val="none"/>
        </w:rPr>
      </w:pPr>
      <w:bookmarkStart w:id="410" w:name="_Toc32305"/>
      <w:bookmarkStart w:id="411" w:name="_Toc8092"/>
      <w:bookmarkStart w:id="412" w:name="_Toc22105"/>
      <w:bookmarkStart w:id="413" w:name="_Toc19513"/>
      <w:bookmarkStart w:id="414" w:name="_Toc16180"/>
      <w:bookmarkStart w:id="415" w:name="_Toc2042"/>
      <w:bookmarkStart w:id="416" w:name="_Toc22789"/>
      <w:bookmarkStart w:id="417" w:name="_Toc31474"/>
      <w:bookmarkStart w:id="418" w:name="_Toc12598"/>
      <w:bookmarkStart w:id="419" w:name="_Toc26746"/>
      <w:bookmarkStart w:id="420" w:name="_Toc24379"/>
      <w:bookmarkStart w:id="421" w:name="_Toc31129"/>
      <w:bookmarkStart w:id="422" w:name="_Toc4865"/>
      <w:r>
        <w:rPr>
          <w:rFonts w:hint="eastAsia" w:ascii="宋体" w:hAnsi="宋体" w:eastAsia="宋体" w:cs="宋体"/>
          <w:color w:val="auto"/>
          <w:highlight w:val="none"/>
        </w:rPr>
        <w:t>评标工作</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5C4BFD43">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w:t>
      </w:r>
    </w:p>
    <w:p w14:paraId="1AFE7E5C">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评标工作由</w:t>
      </w:r>
      <w:r>
        <w:rPr>
          <w:rFonts w:hint="eastAsia" w:ascii="宋体" w:hAnsi="宋体" w:eastAsia="宋体" w:cs="宋体"/>
          <w:color w:val="auto"/>
          <w:kern w:val="0"/>
          <w:szCs w:val="21"/>
          <w:highlight w:val="none"/>
          <w:lang w:eastAsia="zh-CN"/>
        </w:rPr>
        <w:t>采购人依法组建的</w:t>
      </w:r>
      <w:r>
        <w:rPr>
          <w:rFonts w:hint="eastAsia" w:ascii="宋体" w:hAnsi="宋体" w:eastAsia="宋体" w:cs="宋体"/>
          <w:color w:val="auto"/>
          <w:kern w:val="0"/>
          <w:szCs w:val="21"/>
          <w:highlight w:val="none"/>
        </w:rPr>
        <w:t>评标委员会</w:t>
      </w:r>
      <w:r>
        <w:rPr>
          <w:rFonts w:hint="eastAsia" w:ascii="宋体" w:hAnsi="宋体" w:eastAsia="宋体" w:cs="宋体"/>
          <w:color w:val="auto"/>
          <w:kern w:val="0"/>
          <w:szCs w:val="21"/>
          <w:highlight w:val="none"/>
          <w:lang w:eastAsia="zh-CN"/>
        </w:rPr>
        <w:t>负责，</w:t>
      </w:r>
      <w:r>
        <w:rPr>
          <w:rFonts w:hint="eastAsia" w:ascii="宋体" w:hAnsi="宋体" w:eastAsia="宋体" w:cs="宋体"/>
          <w:color w:val="auto"/>
          <w:kern w:val="0"/>
          <w:szCs w:val="21"/>
          <w:highlight w:val="none"/>
        </w:rPr>
        <w:t>对所有投标人的投标文件进行审评，并按</w:t>
      </w:r>
      <w:r>
        <w:rPr>
          <w:rFonts w:hint="eastAsia" w:ascii="宋体" w:hAnsi="宋体" w:eastAsia="宋体" w:cs="宋体"/>
          <w:color w:val="auto"/>
          <w:kern w:val="0"/>
          <w:szCs w:val="21"/>
          <w:highlight w:val="none"/>
          <w:lang w:eastAsia="zh-CN"/>
        </w:rPr>
        <w:t>评标办法规定的方式</w:t>
      </w:r>
      <w:r>
        <w:rPr>
          <w:rFonts w:hint="eastAsia" w:ascii="宋体" w:hAnsi="宋体" w:eastAsia="宋体" w:cs="宋体"/>
          <w:color w:val="auto"/>
          <w:kern w:val="0"/>
          <w:szCs w:val="21"/>
          <w:highlight w:val="none"/>
        </w:rPr>
        <w:t>推荐出</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中载明数量的中标候选人。</w:t>
      </w:r>
    </w:p>
    <w:p w14:paraId="1A68D580">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由采购人代表和评审专家组成，成员人数为5人，其中评审专家不得少于成员总数的三分之二。对采购预算金额在1000万元以上或技术复杂或社会影响较大的采购项目，评标委员会成员人数应当为7人以上单数。</w:t>
      </w:r>
    </w:p>
    <w:p w14:paraId="4473CE45">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评审专家对本单位的采购项目只能作为采购人代表参与评标，对技术复杂、专业性强的采购项目，通过随机方式难以确定合适评审专家的情形除外。</w:t>
      </w:r>
    </w:p>
    <w:p w14:paraId="18526E11">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采购代理机构工作人员不得参加由本机构代理的政府采购项目的评标。</w:t>
      </w:r>
    </w:p>
    <w:p w14:paraId="2F4D4DB1">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评标委员会成员名单在评标结果公告前应当保密。</w:t>
      </w:r>
    </w:p>
    <w:p w14:paraId="2327E096">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评标委员会及其成员不得有下列行为：</w:t>
      </w:r>
    </w:p>
    <w:p w14:paraId="2FABCA9F">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确定参与评标至评标结束前私自接触投标人；</w:t>
      </w:r>
    </w:p>
    <w:p w14:paraId="2B6281F4">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接受投标人提出的与投标文件不一致的澄清或者说明（对于投标文件中含义不明确、同类问题表述不一致或者有明显文字和计算错误的内容，评标委员会以书面形式要求投标人作出必要的澄清、说明或者补正的除外）</w:t>
      </w:r>
      <w:r>
        <w:rPr>
          <w:rFonts w:hint="eastAsia" w:ascii="宋体" w:hAnsi="宋体" w:eastAsia="宋体" w:cs="宋体"/>
          <w:color w:val="auto"/>
          <w:kern w:val="0"/>
          <w:szCs w:val="21"/>
          <w:highlight w:val="none"/>
          <w:lang w:eastAsia="zh-CN"/>
        </w:rPr>
        <w:t>；</w:t>
      </w:r>
    </w:p>
    <w:p w14:paraId="183AD72E">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违反评标纪律发表倾向性意见或者征询采购人的倾向性意见；</w:t>
      </w:r>
    </w:p>
    <w:p w14:paraId="2E22B754">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对需要专业判断的主观评审因素协商评分；</w:t>
      </w:r>
    </w:p>
    <w:p w14:paraId="3C01C3BA">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在评标过程中擅离职守，影响评标程序正常进行的；</w:t>
      </w:r>
    </w:p>
    <w:p w14:paraId="52C6C70F">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记录、复制或者带走任何评标资料；</w:t>
      </w:r>
    </w:p>
    <w:p w14:paraId="29E7418E">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其他不遵守评标纪律的行为。</w:t>
      </w:r>
    </w:p>
    <w:p w14:paraId="01171D12">
      <w:pPr>
        <w:pageBreakBefore w:val="0"/>
        <w:tabs>
          <w:tab w:val="left" w:pos="720"/>
        </w:tabs>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评标委员会成员有</w:t>
      </w:r>
      <w:r>
        <w:rPr>
          <w:rFonts w:hint="eastAsia" w:ascii="宋体" w:hAnsi="宋体" w:eastAsia="宋体" w:cs="宋体"/>
          <w:color w:val="auto"/>
          <w:szCs w:val="21"/>
          <w:highlight w:val="none"/>
          <w:lang w:eastAsia="zh-CN"/>
        </w:rPr>
        <w:t>本章第</w:t>
      </w:r>
      <w:r>
        <w:rPr>
          <w:rFonts w:hint="eastAsia" w:ascii="宋体" w:hAnsi="宋体" w:eastAsia="宋体" w:cs="宋体"/>
          <w:color w:val="auto"/>
          <w:szCs w:val="21"/>
          <w:highlight w:val="none"/>
          <w:lang w:val="en-US" w:eastAsia="zh-CN"/>
        </w:rPr>
        <w:t>5.3.2项</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）目</w:t>
      </w:r>
      <w:r>
        <w:rPr>
          <w:rFonts w:hint="eastAsia" w:ascii="宋体" w:hAnsi="宋体" w:eastAsia="宋体" w:cs="宋体"/>
          <w:color w:val="auto"/>
          <w:szCs w:val="21"/>
          <w:highlight w:val="none"/>
        </w:rPr>
        <w:t>行为之一的，其评审意见无效，并不得获取评审劳务报酬和报销异地评审差旅费。</w:t>
      </w:r>
    </w:p>
    <w:p w14:paraId="1313F95A">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480E0A12">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w:t>
      </w:r>
    </w:p>
    <w:p w14:paraId="728123FC">
      <w:pPr>
        <w:keepNext w:val="0"/>
        <w:keepLines w:val="0"/>
        <w:pageBreakBefore w:val="0"/>
        <w:widowControl w:val="0"/>
        <w:numPr>
          <w:ilvl w:val="0"/>
          <w:numId w:val="1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评标委员会按照</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评标办法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规定的方法、评审因素、标准和程序对投标文件进行评审。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评标办法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没有规定的方法、评审因素和标准，不作为评标依据。</w:t>
      </w:r>
    </w:p>
    <w:p w14:paraId="7BD82C21">
      <w:pPr>
        <w:keepNext w:val="0"/>
        <w:keepLines w:val="0"/>
        <w:pageBreakBefore w:val="0"/>
        <w:widowControl w:val="0"/>
        <w:numPr>
          <w:ilvl w:val="0"/>
          <w:numId w:val="1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评标完成后，评标委员会应当向采购人提交书面评标报告和中标候选人名单。评标委员会推荐中标候选人的人数见</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w:t>
      </w:r>
    </w:p>
    <w:p w14:paraId="57DF4F12">
      <w:pPr>
        <w:pStyle w:val="6"/>
        <w:pageBreakBefore w:val="0"/>
        <w:numPr>
          <w:ilvl w:val="1"/>
          <w:numId w:val="3"/>
        </w:numPr>
        <w:kinsoku/>
        <w:overflowPunct/>
        <w:bidi w:val="0"/>
        <w:spacing w:line="360" w:lineRule="auto"/>
        <w:rPr>
          <w:rFonts w:hint="eastAsia" w:ascii="宋体" w:hAnsi="宋体" w:eastAsia="宋体" w:cs="宋体"/>
          <w:color w:val="auto"/>
          <w:highlight w:val="none"/>
        </w:rPr>
      </w:pPr>
      <w:bookmarkStart w:id="423" w:name="_Toc12131"/>
      <w:bookmarkStart w:id="424" w:name="_Toc12609"/>
      <w:bookmarkStart w:id="425" w:name="_Toc25530"/>
      <w:bookmarkStart w:id="426" w:name="_Toc7396"/>
      <w:bookmarkStart w:id="427" w:name="_Toc25509"/>
      <w:bookmarkStart w:id="428" w:name="_Toc5830"/>
      <w:bookmarkStart w:id="429" w:name="_Toc10927"/>
      <w:bookmarkStart w:id="430" w:name="_Toc19479"/>
      <w:bookmarkStart w:id="431" w:name="_Toc8996"/>
      <w:bookmarkStart w:id="432" w:name="_Toc25755"/>
      <w:bookmarkStart w:id="433" w:name="_Toc5485"/>
      <w:bookmarkStart w:id="434" w:name="_Toc608"/>
      <w:bookmarkStart w:id="435" w:name="_Toc22420"/>
      <w:r>
        <w:rPr>
          <w:rFonts w:hint="eastAsia" w:ascii="宋体" w:hAnsi="宋体" w:eastAsia="宋体" w:cs="宋体"/>
          <w:color w:val="auto"/>
          <w:highlight w:val="none"/>
        </w:rPr>
        <w:t>保密</w:t>
      </w:r>
      <w:r>
        <w:rPr>
          <w:rFonts w:hint="eastAsia" w:ascii="宋体" w:hAnsi="宋体" w:eastAsia="宋体" w:cs="宋体"/>
          <w:color w:val="auto"/>
          <w:highlight w:val="none"/>
          <w:lang w:eastAsia="zh-CN"/>
        </w:rPr>
        <w:t>及其他</w:t>
      </w:r>
      <w:r>
        <w:rPr>
          <w:rFonts w:hint="eastAsia" w:ascii="宋体" w:hAnsi="宋体" w:eastAsia="宋体" w:cs="宋体"/>
          <w:color w:val="auto"/>
          <w:highlight w:val="none"/>
        </w:rPr>
        <w:t>注意事项</w:t>
      </w:r>
      <w:bookmarkEnd w:id="423"/>
      <w:bookmarkEnd w:id="424"/>
      <w:bookmarkEnd w:id="425"/>
      <w:bookmarkEnd w:id="426"/>
      <w:bookmarkEnd w:id="427"/>
      <w:bookmarkEnd w:id="428"/>
      <w:bookmarkEnd w:id="429"/>
      <w:bookmarkEnd w:id="430"/>
      <w:bookmarkEnd w:id="431"/>
      <w:bookmarkEnd w:id="432"/>
      <w:bookmarkEnd w:id="433"/>
      <w:bookmarkEnd w:id="434"/>
      <w:bookmarkEnd w:id="435"/>
    </w:p>
    <w:p w14:paraId="1D492D5E">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评标是招标工作的重要环节，评标工作在</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内独立进行。</w:t>
      </w:r>
    </w:p>
    <w:p w14:paraId="3081CC75">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将遵照规定的评标方法，公正、平等地对待所有投标人。</w:t>
      </w:r>
    </w:p>
    <w:p w14:paraId="56A0D66C">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在开标、评标期间，投标人不得向评委询问评标情况，不得进行旨在影响评标结果的活动。否则其投标可能被拒绝。</w:t>
      </w:r>
    </w:p>
    <w:p w14:paraId="4A59FD3A">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为保证评标的公正性，开标后直至授予投标人合同，评委不得与投标人私下交换意见。</w:t>
      </w:r>
    </w:p>
    <w:p w14:paraId="205D25FF">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在评标工作结束后，凡与评标情况有接触的任何人不得擅自将评标情况扩散出评标人员之外。</w:t>
      </w:r>
    </w:p>
    <w:p w14:paraId="45F64B5B">
      <w:pPr>
        <w:pStyle w:val="5"/>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color w:val="auto"/>
          <w:sz w:val="24"/>
          <w:szCs w:val="24"/>
          <w:highlight w:val="none"/>
          <w:lang w:val="en-US" w:eastAsia="zh-CN"/>
        </w:rPr>
      </w:pPr>
      <w:bookmarkStart w:id="436" w:name="_Toc16167"/>
      <w:bookmarkStart w:id="437" w:name="_Toc28963"/>
      <w:r>
        <w:rPr>
          <w:rFonts w:hint="eastAsia" w:ascii="宋体" w:hAnsi="宋体" w:eastAsia="宋体" w:cs="宋体"/>
          <w:color w:val="auto"/>
          <w:sz w:val="24"/>
          <w:szCs w:val="24"/>
          <w:highlight w:val="none"/>
          <w:lang w:val="en-US" w:eastAsia="zh-CN"/>
        </w:rPr>
        <w:t>授予合同</w:t>
      </w:r>
      <w:bookmarkEnd w:id="396"/>
      <w:bookmarkEnd w:id="436"/>
      <w:bookmarkEnd w:id="437"/>
    </w:p>
    <w:p w14:paraId="36D23B3C">
      <w:pPr>
        <w:pStyle w:val="6"/>
        <w:pageBreakBefore w:val="0"/>
        <w:numPr>
          <w:ilvl w:val="1"/>
          <w:numId w:val="3"/>
        </w:numPr>
        <w:kinsoku/>
        <w:overflowPunct/>
        <w:bidi w:val="0"/>
        <w:spacing w:line="360" w:lineRule="auto"/>
        <w:rPr>
          <w:rFonts w:hint="eastAsia" w:ascii="宋体" w:hAnsi="宋体" w:eastAsia="宋体" w:cs="宋体"/>
          <w:color w:val="auto"/>
          <w:highlight w:val="none"/>
        </w:rPr>
      </w:pPr>
      <w:bookmarkStart w:id="438" w:name="_Toc16230"/>
      <w:bookmarkStart w:id="439" w:name="_Toc21756"/>
      <w:bookmarkStart w:id="440" w:name="_Toc32241"/>
      <w:bookmarkStart w:id="441" w:name="_Toc9349"/>
      <w:bookmarkStart w:id="442" w:name="_Toc22971"/>
      <w:bookmarkStart w:id="443" w:name="_Toc6320"/>
      <w:bookmarkStart w:id="444" w:name="_Toc15637"/>
      <w:bookmarkStart w:id="445" w:name="_Toc7898"/>
      <w:bookmarkStart w:id="446" w:name="_Toc7404"/>
      <w:bookmarkStart w:id="447" w:name="_Toc22245"/>
      <w:bookmarkStart w:id="448" w:name="_Toc27126"/>
      <w:bookmarkStart w:id="449" w:name="_Toc3574"/>
      <w:bookmarkStart w:id="450" w:name="_Toc13599"/>
      <w:bookmarkStart w:id="451" w:name="_Toc22088"/>
      <w:bookmarkStart w:id="452" w:name="_Toc23900"/>
      <w:bookmarkStart w:id="453" w:name="_Toc17818"/>
      <w:bookmarkStart w:id="454" w:name="_Toc26604"/>
      <w:bookmarkStart w:id="455" w:name="_Toc30644"/>
      <w:bookmarkStart w:id="456" w:name="_Toc22457"/>
      <w:r>
        <w:rPr>
          <w:rFonts w:hint="eastAsia" w:ascii="宋体" w:hAnsi="宋体" w:eastAsia="宋体" w:cs="宋体"/>
          <w:color w:val="auto"/>
          <w:highlight w:val="none"/>
          <w:lang w:eastAsia="zh-CN"/>
        </w:rPr>
        <w:t>中标</w:t>
      </w:r>
      <w:r>
        <w:rPr>
          <w:rFonts w:hint="eastAsia" w:ascii="宋体" w:hAnsi="宋体" w:eastAsia="宋体" w:cs="宋体"/>
          <w:color w:val="auto"/>
          <w:highlight w:val="none"/>
        </w:rPr>
        <w:t>公告</w:t>
      </w:r>
      <w:bookmarkEnd w:id="438"/>
      <w:bookmarkEnd w:id="439"/>
      <w:bookmarkEnd w:id="440"/>
      <w:bookmarkEnd w:id="441"/>
      <w:bookmarkEnd w:id="442"/>
      <w:bookmarkEnd w:id="443"/>
      <w:bookmarkEnd w:id="444"/>
      <w:bookmarkEnd w:id="445"/>
      <w:bookmarkEnd w:id="446"/>
      <w:bookmarkEnd w:id="447"/>
      <w:bookmarkEnd w:id="448"/>
      <w:bookmarkEnd w:id="449"/>
      <w:bookmarkEnd w:id="450"/>
    </w:p>
    <w:p w14:paraId="15707BA5">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采购代理机构应当在评标结束后2个工作日内将评标报告送采购人。采购人应</w:t>
      </w:r>
      <w:r>
        <w:rPr>
          <w:rFonts w:hint="eastAsia" w:ascii="宋体" w:hAnsi="宋体" w:eastAsia="宋体" w:cs="宋体"/>
          <w:color w:val="auto"/>
          <w:sz w:val="21"/>
          <w:szCs w:val="21"/>
          <w:highlight w:val="none"/>
          <w:lang w:eastAsia="zh-CN"/>
        </w:rPr>
        <w:t>自</w:t>
      </w:r>
      <w:r>
        <w:rPr>
          <w:rFonts w:hint="eastAsia" w:ascii="宋体" w:hAnsi="宋体" w:eastAsia="宋体" w:cs="宋体"/>
          <w:color w:val="auto"/>
          <w:sz w:val="21"/>
          <w:szCs w:val="21"/>
          <w:highlight w:val="none"/>
        </w:rPr>
        <w:t>收到评标报告</w:t>
      </w:r>
      <w:r>
        <w:rPr>
          <w:rFonts w:hint="eastAsia" w:ascii="宋体" w:hAnsi="宋体" w:eastAsia="宋体" w:cs="宋体"/>
          <w:color w:val="auto"/>
          <w:sz w:val="21"/>
          <w:szCs w:val="21"/>
          <w:highlight w:val="none"/>
          <w:lang w:eastAsia="zh-CN"/>
        </w:rPr>
        <w:t>之日起</w:t>
      </w:r>
      <w:r>
        <w:rPr>
          <w:rFonts w:hint="eastAsia" w:ascii="宋体" w:hAnsi="宋体" w:eastAsia="宋体" w:cs="宋体"/>
          <w:color w:val="auto"/>
          <w:sz w:val="21"/>
          <w:szCs w:val="21"/>
          <w:highlight w:val="none"/>
        </w:rPr>
        <w:t>5个工作日内，在评标报告确定的中标候选人名单中按顺序确定中标人。中标候选人并列的，由采购人采取随机抽取的方式确定中标人。</w:t>
      </w:r>
    </w:p>
    <w:p w14:paraId="211FE124">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采购代理机构应当自中标人确定之日起2个工作日内，在省级以上财政部门指定的媒体上公告中标结果，招标文件应当随中标结果同时公告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公告期限为1个工作日。</w:t>
      </w:r>
    </w:p>
    <w:p w14:paraId="27B79F48">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中标通知书发出后，采购人不得违法改变中标结果，中标人无正当理由不得放弃中标。</w:t>
      </w:r>
    </w:p>
    <w:p w14:paraId="06C0AC8E">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中标人为残疾人福利性单位的，采购代理机构将随中标结果同时公告其《残疾人福利性单位声明函》，接受社会监督。</w:t>
      </w:r>
      <w:r>
        <w:rPr>
          <w:rFonts w:hint="eastAsia" w:ascii="宋体" w:hAnsi="宋体" w:eastAsia="宋体" w:cs="宋体"/>
          <w:color w:val="auto"/>
          <w:szCs w:val="21"/>
          <w:highlight w:val="none"/>
          <w:lang w:val="en-US" w:eastAsia="zh-CN"/>
        </w:rPr>
        <w:t>中标人享受《政府采购促进中小企业发展管理办法》规定的中小企业扶持政策的，采购人、采购代理机构应当随中标结果公开中标人的《中小企业声明函》，中标人对本国产品给予价格评审优惠的，采购代理机构将随中标结果同时公告其提供的《关于符合本国产品标准的声明函》或有关证明文件。</w:t>
      </w:r>
    </w:p>
    <w:p w14:paraId="2B1F2438">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各有关当事人对中标结果有异议的，可以在</w:t>
      </w:r>
      <w:r>
        <w:rPr>
          <w:rFonts w:hint="eastAsia" w:ascii="宋体" w:hAnsi="宋体" w:eastAsia="宋体" w:cs="宋体"/>
          <w:color w:val="auto"/>
          <w:szCs w:val="21"/>
          <w:highlight w:val="none"/>
          <w:lang w:eastAsia="zh-CN"/>
        </w:rPr>
        <w:t>中标结果</w:t>
      </w:r>
      <w:r>
        <w:rPr>
          <w:rFonts w:hint="eastAsia" w:ascii="宋体" w:hAnsi="宋体" w:eastAsia="宋体" w:cs="宋体"/>
          <w:color w:val="auto"/>
          <w:szCs w:val="21"/>
          <w:highlight w:val="none"/>
        </w:rPr>
        <w:t>公告期限届满之日起七个工作日内，</w:t>
      </w:r>
      <w:r>
        <w:rPr>
          <w:rFonts w:hint="eastAsia" w:ascii="宋体" w:hAnsi="宋体" w:eastAsia="宋体" w:cs="宋体"/>
          <w:color w:val="auto"/>
          <w:szCs w:val="21"/>
          <w:highlight w:val="none"/>
          <w:lang w:eastAsia="zh-CN"/>
        </w:rPr>
        <w:t>按《政府采购质疑和投诉办法》（中华人民共和国财政部令第</w:t>
      </w:r>
      <w:r>
        <w:rPr>
          <w:rFonts w:hint="eastAsia" w:ascii="宋体" w:hAnsi="宋体" w:eastAsia="宋体" w:cs="宋体"/>
          <w:color w:val="auto"/>
          <w:szCs w:val="21"/>
          <w:highlight w:val="none"/>
          <w:lang w:val="en-US" w:eastAsia="zh-CN"/>
        </w:rPr>
        <w:t>94号</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以书面形式向采购人和采购代理机构提出质疑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逾期提交或未按照要求提交的质疑函将不予受理。</w:t>
      </w:r>
    </w:p>
    <w:bookmarkEnd w:id="451"/>
    <w:bookmarkEnd w:id="452"/>
    <w:bookmarkEnd w:id="453"/>
    <w:bookmarkEnd w:id="454"/>
    <w:bookmarkEnd w:id="455"/>
    <w:bookmarkEnd w:id="456"/>
    <w:p w14:paraId="73462EC9">
      <w:pPr>
        <w:pStyle w:val="6"/>
        <w:pageBreakBefore w:val="0"/>
        <w:numPr>
          <w:ilvl w:val="1"/>
          <w:numId w:val="3"/>
        </w:numPr>
        <w:kinsoku/>
        <w:overflowPunct/>
        <w:bidi w:val="0"/>
        <w:spacing w:line="360" w:lineRule="auto"/>
        <w:rPr>
          <w:rFonts w:hint="eastAsia" w:ascii="宋体" w:hAnsi="宋体" w:eastAsia="宋体" w:cs="宋体"/>
          <w:color w:val="auto"/>
          <w:highlight w:val="none"/>
        </w:rPr>
      </w:pPr>
      <w:bookmarkStart w:id="457" w:name="_Toc30096"/>
      <w:bookmarkStart w:id="458" w:name="_Toc10365"/>
      <w:bookmarkStart w:id="459" w:name="_Toc7497"/>
      <w:r>
        <w:rPr>
          <w:rFonts w:hint="eastAsia" w:ascii="宋体" w:hAnsi="宋体" w:eastAsia="宋体" w:cs="宋体"/>
          <w:color w:val="auto"/>
          <w:highlight w:val="none"/>
        </w:rPr>
        <w:t>采购任务取消</w:t>
      </w:r>
      <w:bookmarkEnd w:id="457"/>
      <w:bookmarkEnd w:id="458"/>
      <w:bookmarkEnd w:id="459"/>
    </w:p>
    <w:p w14:paraId="1812EA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因重大变故采购任务取消时，采购人有权拒绝任何投标人中标，且对受影响的投标人不承担任何责任。</w:t>
      </w:r>
    </w:p>
    <w:p w14:paraId="2034F309">
      <w:pPr>
        <w:pStyle w:val="6"/>
        <w:pageBreakBefore w:val="0"/>
        <w:numPr>
          <w:ilvl w:val="1"/>
          <w:numId w:val="3"/>
        </w:numPr>
        <w:kinsoku/>
        <w:overflowPunct/>
        <w:bidi w:val="0"/>
        <w:spacing w:line="360" w:lineRule="auto"/>
        <w:rPr>
          <w:rFonts w:hint="eastAsia" w:ascii="宋体" w:hAnsi="宋体" w:eastAsia="宋体" w:cs="宋体"/>
          <w:color w:val="auto"/>
          <w:highlight w:val="none"/>
        </w:rPr>
      </w:pPr>
      <w:bookmarkStart w:id="460" w:name="_Toc12305"/>
      <w:bookmarkStart w:id="461" w:name="_Toc28970"/>
      <w:bookmarkStart w:id="462" w:name="_Toc21282"/>
      <w:bookmarkStart w:id="463" w:name="_Toc12174"/>
      <w:bookmarkStart w:id="464" w:name="_Toc3846"/>
      <w:bookmarkStart w:id="465" w:name="_Toc19825"/>
      <w:bookmarkStart w:id="466" w:name="_Toc23214"/>
      <w:bookmarkStart w:id="467" w:name="_Toc14610"/>
      <w:bookmarkStart w:id="468" w:name="_Toc29785"/>
      <w:bookmarkStart w:id="469" w:name="_Toc5799"/>
      <w:bookmarkStart w:id="470" w:name="_Toc25326"/>
      <w:bookmarkStart w:id="471" w:name="_Toc24223"/>
      <w:bookmarkStart w:id="472" w:name="_Toc1468"/>
      <w:r>
        <w:rPr>
          <w:rFonts w:hint="eastAsia" w:ascii="宋体" w:hAnsi="宋体" w:eastAsia="宋体" w:cs="宋体"/>
          <w:color w:val="auto"/>
          <w:highlight w:val="none"/>
        </w:rPr>
        <w:t>中标通知书</w:t>
      </w:r>
      <w:bookmarkEnd w:id="460"/>
      <w:bookmarkEnd w:id="461"/>
      <w:bookmarkEnd w:id="462"/>
      <w:bookmarkEnd w:id="463"/>
      <w:bookmarkEnd w:id="464"/>
      <w:bookmarkEnd w:id="465"/>
      <w:bookmarkEnd w:id="466"/>
      <w:bookmarkEnd w:id="467"/>
      <w:bookmarkEnd w:id="468"/>
      <w:bookmarkEnd w:id="469"/>
      <w:bookmarkEnd w:id="470"/>
      <w:bookmarkEnd w:id="471"/>
      <w:bookmarkEnd w:id="472"/>
    </w:p>
    <w:p w14:paraId="2202B6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在公告中标结果的同时，采购人或者采购代理机构应当向中标人发出中标通知书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中标通知书将作为进行合同谈判和签订合同的依据。</w:t>
      </w:r>
    </w:p>
    <w:p w14:paraId="61E545BE">
      <w:pPr>
        <w:pStyle w:val="6"/>
        <w:pageBreakBefore w:val="0"/>
        <w:numPr>
          <w:ilvl w:val="1"/>
          <w:numId w:val="3"/>
        </w:numPr>
        <w:kinsoku/>
        <w:overflowPunct/>
        <w:bidi w:val="0"/>
        <w:spacing w:line="360" w:lineRule="auto"/>
        <w:rPr>
          <w:rFonts w:hint="eastAsia" w:ascii="宋体" w:hAnsi="宋体" w:eastAsia="宋体" w:cs="宋体"/>
          <w:color w:val="auto"/>
          <w:highlight w:val="none"/>
        </w:rPr>
      </w:pPr>
      <w:bookmarkStart w:id="473" w:name="_Toc25686"/>
      <w:bookmarkStart w:id="474" w:name="_Toc9865"/>
      <w:bookmarkStart w:id="475" w:name="_Toc19608"/>
      <w:bookmarkStart w:id="476" w:name="_Toc9428"/>
      <w:bookmarkStart w:id="477" w:name="_Toc20517"/>
      <w:bookmarkStart w:id="478" w:name="_Toc15209"/>
      <w:bookmarkStart w:id="479" w:name="_Toc11448"/>
      <w:bookmarkStart w:id="480" w:name="_Toc14397"/>
      <w:bookmarkStart w:id="481" w:name="_Toc26111"/>
      <w:bookmarkStart w:id="482" w:name="_Toc3979"/>
      <w:bookmarkStart w:id="483" w:name="_Toc31317"/>
      <w:bookmarkStart w:id="484" w:name="_Toc25990"/>
      <w:bookmarkStart w:id="485" w:name="_Toc21924"/>
      <w:bookmarkStart w:id="486" w:name="_Toc11221"/>
      <w:bookmarkStart w:id="487" w:name="_Toc12530"/>
      <w:bookmarkStart w:id="488" w:name="_Toc3376"/>
      <w:bookmarkStart w:id="489" w:name="_Toc1226"/>
      <w:bookmarkStart w:id="490" w:name="_Toc26471"/>
      <w:bookmarkStart w:id="491" w:name="_Toc15061"/>
      <w:r>
        <w:rPr>
          <w:rFonts w:hint="eastAsia" w:ascii="宋体" w:hAnsi="宋体" w:eastAsia="宋体" w:cs="宋体"/>
          <w:color w:val="auto"/>
          <w:highlight w:val="none"/>
        </w:rPr>
        <w:t>履约保证金</w:t>
      </w:r>
      <w:bookmarkEnd w:id="473"/>
      <w:bookmarkEnd w:id="474"/>
      <w:bookmarkEnd w:id="475"/>
      <w:bookmarkEnd w:id="476"/>
      <w:bookmarkEnd w:id="477"/>
      <w:bookmarkEnd w:id="478"/>
      <w:bookmarkEnd w:id="479"/>
      <w:bookmarkEnd w:id="480"/>
      <w:bookmarkEnd w:id="481"/>
      <w:bookmarkEnd w:id="482"/>
      <w:bookmarkEnd w:id="483"/>
      <w:bookmarkEnd w:id="484"/>
      <w:bookmarkEnd w:id="485"/>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不适用</w:t>
      </w:r>
      <w:r>
        <w:rPr>
          <w:rFonts w:hint="eastAsia" w:ascii="宋体" w:hAnsi="宋体" w:eastAsia="宋体" w:cs="宋体"/>
          <w:color w:val="auto"/>
          <w:highlight w:val="none"/>
          <w:lang w:eastAsia="zh-CN"/>
        </w:rPr>
        <w:t>）</w:t>
      </w:r>
    </w:p>
    <w:p w14:paraId="11BBEE3F">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bookmarkStart w:id="492" w:name="_Toc20184"/>
      <w:bookmarkStart w:id="493" w:name="_Toc13295"/>
      <w:bookmarkStart w:id="494" w:name="_Toc24299"/>
      <w:bookmarkStart w:id="495" w:name="_Toc1508"/>
      <w:bookmarkStart w:id="496" w:name="_Toc22384"/>
      <w:r>
        <w:rPr>
          <w:rFonts w:hint="eastAsia" w:ascii="宋体" w:hAnsi="宋体" w:eastAsia="宋体" w:cs="宋体"/>
          <w:color w:val="auto"/>
          <w:szCs w:val="21"/>
          <w:highlight w:val="none"/>
        </w:rPr>
        <w:t>中标人应按投标人须知前附表规定的形式、金额向招标人提交履约保证金。</w:t>
      </w:r>
    </w:p>
    <w:p w14:paraId="735D61F9">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中标人不能按本章第</w:t>
      </w:r>
      <w:r>
        <w:rPr>
          <w:rFonts w:hint="eastAsia" w:ascii="宋体" w:hAnsi="宋体" w:eastAsia="宋体" w:cs="宋体"/>
          <w:color w:val="auto"/>
          <w:szCs w:val="21"/>
          <w:highlight w:val="none"/>
          <w:lang w:val="en-US" w:eastAsia="zh-CN"/>
        </w:rPr>
        <w:t>6.4.1</w:t>
      </w:r>
      <w:r>
        <w:rPr>
          <w:rFonts w:hint="eastAsia" w:ascii="宋体" w:hAnsi="宋体" w:eastAsia="宋体" w:cs="宋体"/>
          <w:color w:val="auto"/>
          <w:szCs w:val="21"/>
          <w:highlight w:val="none"/>
        </w:rPr>
        <w:t>项要求提交履约保证金的，视为放弃中标，给招标人造成损失的，中标人应当予以赔偿。</w:t>
      </w:r>
    </w:p>
    <w:p w14:paraId="786E9E25">
      <w:pPr>
        <w:pStyle w:val="6"/>
        <w:pageBreakBefore w:val="0"/>
        <w:numPr>
          <w:ilvl w:val="1"/>
          <w:numId w:val="3"/>
        </w:numPr>
        <w:kinsoku/>
        <w:overflowPunct/>
        <w:bidi w:val="0"/>
        <w:spacing w:line="360" w:lineRule="auto"/>
        <w:rPr>
          <w:rFonts w:hint="eastAsia" w:ascii="宋体" w:hAnsi="宋体" w:eastAsia="宋体" w:cs="宋体"/>
          <w:color w:val="auto"/>
          <w:highlight w:val="none"/>
        </w:rPr>
      </w:pPr>
      <w:bookmarkStart w:id="497" w:name="_Toc2117"/>
      <w:bookmarkStart w:id="498" w:name="_Toc16475"/>
      <w:r>
        <w:rPr>
          <w:rFonts w:hint="eastAsia" w:ascii="宋体" w:hAnsi="宋体" w:eastAsia="宋体" w:cs="宋体"/>
          <w:color w:val="auto"/>
          <w:highlight w:val="none"/>
        </w:rPr>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p>
    <w:p w14:paraId="544EB4D3">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采购人应当自中标通知书发出之日起</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内，按照招标文件和中标人投标文件的规定，与中标人签订书面合同。所签订的合同不得对招标文件确定的事项和中标人投标文件作实质性修改。采购人因不可抗力原因迟延签订合同的，应当自不可抗力事由消除之日起7日内完成合同签订事宜。</w:t>
      </w:r>
    </w:p>
    <w:p w14:paraId="56C5C7C3">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中标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en-US"/>
        </w:rPr>
        <w:t>拒绝与采购人签订合同的，采购人可以按照评审报告推荐的中标或者成交候选人名单排序，确定下一候选人为中标或者成交</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en-US"/>
        </w:rPr>
        <w:t>，也可以重新开展政府采购活动。</w:t>
      </w:r>
    </w:p>
    <w:p w14:paraId="6577A82F">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招标文件、中标人的投标文件和澄清文件等，均应作为签约的合同文本的基础。</w:t>
      </w:r>
    </w:p>
    <w:p w14:paraId="003C7FB6">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如采购人或中标人拒签合同，则按违约处理。</w:t>
      </w:r>
    </w:p>
    <w:p w14:paraId="04B519C2">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政府采购合同应当包括采购人与中标人的名称和住所、标的、数量、质量、价款或者报酬、履行期限及地点和方式、验收要求、违约责任、解决争议的方法等内容。</w:t>
      </w:r>
    </w:p>
    <w:p w14:paraId="5FD9F913">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如中标人不按</w:t>
      </w:r>
      <w:r>
        <w:rPr>
          <w:rFonts w:hint="eastAsia" w:ascii="宋体" w:hAnsi="宋体" w:eastAsia="宋体" w:cs="宋体"/>
          <w:color w:val="auto"/>
          <w:szCs w:val="21"/>
          <w:highlight w:val="none"/>
          <w:lang w:eastAsia="zh-CN"/>
        </w:rPr>
        <w:t>本章</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6.5.1项</w:t>
      </w:r>
      <w:r>
        <w:rPr>
          <w:rFonts w:hint="eastAsia" w:ascii="宋体" w:hAnsi="宋体" w:eastAsia="宋体" w:cs="宋体"/>
          <w:color w:val="auto"/>
          <w:szCs w:val="21"/>
          <w:highlight w:val="none"/>
        </w:rPr>
        <w:t>约定签订合同，采购人将报请取消其中标决定。采购人可在中标候选人中重新选定</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或者重新招标。</w:t>
      </w:r>
    </w:p>
    <w:p w14:paraId="29F89884">
      <w:pPr>
        <w:pStyle w:val="5"/>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color w:val="auto"/>
          <w:sz w:val="24"/>
          <w:szCs w:val="24"/>
          <w:highlight w:val="none"/>
          <w:lang w:val="en-US" w:eastAsia="zh-CN"/>
        </w:rPr>
      </w:pPr>
      <w:bookmarkStart w:id="499" w:name="_Toc11291"/>
      <w:bookmarkStart w:id="500" w:name="_Toc29466"/>
      <w:r>
        <w:rPr>
          <w:rFonts w:hint="eastAsia" w:ascii="宋体" w:hAnsi="宋体" w:eastAsia="宋体" w:cs="宋体"/>
          <w:color w:val="auto"/>
          <w:sz w:val="24"/>
          <w:szCs w:val="24"/>
          <w:highlight w:val="none"/>
          <w:lang w:val="en-US" w:eastAsia="zh-CN"/>
        </w:rPr>
        <w:t>政府采购政策</w:t>
      </w:r>
      <w:bookmarkEnd w:id="499"/>
      <w:bookmarkEnd w:id="500"/>
    </w:p>
    <w:p w14:paraId="558DB5D4">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bookmarkStart w:id="501" w:name="_Toc16339"/>
      <w:r>
        <w:rPr>
          <w:rFonts w:hint="eastAsia" w:ascii="宋体" w:hAnsi="宋体" w:eastAsia="宋体" w:cs="宋体"/>
          <w:color w:val="auto"/>
          <w:szCs w:val="21"/>
          <w:highlight w:val="none"/>
        </w:rPr>
        <w:t>投标产品符合国家环保、节能标准，并载入财政部、</w:t>
      </w:r>
      <w:r>
        <w:rPr>
          <w:rFonts w:hint="eastAsia" w:ascii="宋体" w:hAnsi="宋体" w:eastAsia="宋体" w:cs="宋体"/>
          <w:color w:val="auto"/>
          <w:szCs w:val="21"/>
          <w:highlight w:val="none"/>
          <w:lang w:eastAsia="zh-CN"/>
        </w:rPr>
        <w:t>国家发改委、国家环保总局</w:t>
      </w:r>
      <w:r>
        <w:rPr>
          <w:rFonts w:hint="eastAsia" w:ascii="宋体" w:hAnsi="宋体" w:eastAsia="宋体" w:cs="宋体"/>
          <w:color w:val="auto"/>
          <w:szCs w:val="21"/>
          <w:highlight w:val="none"/>
        </w:rPr>
        <w:t>发布的《环境标志产品政府采购品目清单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节能产品政府采购品目清单》内，且具</w:t>
      </w:r>
      <w:r>
        <w:rPr>
          <w:rFonts w:hint="eastAsia" w:ascii="宋体" w:hAnsi="宋体" w:eastAsia="宋体" w:cs="宋体"/>
          <w:color w:val="auto"/>
          <w:szCs w:val="21"/>
          <w:highlight w:val="none"/>
          <w:lang w:eastAsia="zh-CN"/>
        </w:rPr>
        <w:t>有</w:t>
      </w:r>
      <w:r>
        <w:rPr>
          <w:rFonts w:hint="eastAsia" w:ascii="宋体" w:hAnsi="宋体" w:eastAsia="宋体" w:cs="宋体"/>
          <w:color w:val="auto"/>
          <w:szCs w:val="21"/>
          <w:highlight w:val="none"/>
        </w:rPr>
        <w:t>国家确定的认证机构出具的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处于有效期之内的《国家节能产品认证证书》或《中国环境标志产品认证证书》（投标人必须提供有关证明材料和文件等），将分别给予投标人在评标办法中规定的标准分值进行</w:t>
      </w:r>
      <w:r>
        <w:rPr>
          <w:rFonts w:hint="eastAsia" w:ascii="宋体" w:hAnsi="宋体" w:eastAsia="宋体" w:cs="宋体"/>
          <w:color w:val="auto"/>
          <w:szCs w:val="21"/>
          <w:highlight w:val="none"/>
          <w:lang w:eastAsia="zh-CN"/>
        </w:rPr>
        <w:t>加分</w:t>
      </w:r>
      <w:r>
        <w:rPr>
          <w:rFonts w:hint="eastAsia" w:ascii="宋体" w:hAnsi="宋体" w:eastAsia="宋体" w:cs="宋体"/>
          <w:color w:val="auto"/>
          <w:szCs w:val="21"/>
          <w:highlight w:val="none"/>
        </w:rPr>
        <w:t>评审。</w:t>
      </w:r>
    </w:p>
    <w:p w14:paraId="2E2879CE">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如投标产品属于财政部和国家发展改革委发布的《节能产品政府采购品目清单》中要求的</w:t>
      </w:r>
      <w:r>
        <w:rPr>
          <w:rFonts w:hint="eastAsia" w:ascii="宋体" w:hAnsi="宋体" w:eastAsia="宋体" w:cs="宋体"/>
          <w:color w:val="auto"/>
          <w:szCs w:val="21"/>
          <w:highlight w:val="none"/>
          <w:lang w:eastAsia="zh-CN"/>
        </w:rPr>
        <w:t>政府强制采购节能</w:t>
      </w:r>
      <w:r>
        <w:rPr>
          <w:rFonts w:hint="eastAsia" w:ascii="宋体" w:hAnsi="宋体" w:eastAsia="宋体" w:cs="宋体"/>
          <w:color w:val="auto"/>
          <w:szCs w:val="21"/>
          <w:highlight w:val="none"/>
        </w:rPr>
        <w:t>产品的，投标人必须提供所投产品</w:t>
      </w:r>
      <w:r>
        <w:rPr>
          <w:rFonts w:hint="eastAsia" w:ascii="宋体" w:hAnsi="宋体" w:eastAsia="宋体" w:cs="宋体"/>
          <w:color w:val="auto"/>
          <w:szCs w:val="21"/>
          <w:highlight w:val="none"/>
          <w:lang w:eastAsia="zh-CN"/>
        </w:rPr>
        <w:t>经</w:t>
      </w:r>
      <w:r>
        <w:rPr>
          <w:rFonts w:hint="eastAsia" w:ascii="宋体" w:hAnsi="宋体" w:eastAsia="宋体" w:cs="宋体"/>
          <w:color w:val="auto"/>
          <w:szCs w:val="21"/>
          <w:highlight w:val="none"/>
        </w:rPr>
        <w:t>国家确定的认证机构出具的、处于有效期之内的《国家节能产品认证证书》</w:t>
      </w:r>
      <w:r>
        <w:rPr>
          <w:rFonts w:hint="eastAsia" w:ascii="宋体" w:hAnsi="宋体" w:eastAsia="宋体" w:cs="宋体"/>
          <w:color w:val="auto"/>
          <w:szCs w:val="21"/>
          <w:highlight w:val="none"/>
          <w:lang w:eastAsia="zh-CN"/>
        </w:rPr>
        <w:t>复印件或扫描件</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eastAsia="zh-CN"/>
        </w:rPr>
        <w:t>未提供</w:t>
      </w:r>
      <w:r>
        <w:rPr>
          <w:rFonts w:hint="eastAsia" w:ascii="宋体" w:hAnsi="宋体" w:eastAsia="宋体" w:cs="宋体"/>
          <w:color w:val="auto"/>
          <w:szCs w:val="21"/>
          <w:highlight w:val="none"/>
        </w:rPr>
        <w:t>《节能产品政府采购品目清单》中要求的政府强制采购</w:t>
      </w:r>
      <w:r>
        <w:rPr>
          <w:rFonts w:hint="eastAsia" w:ascii="宋体" w:hAnsi="宋体" w:eastAsia="宋体" w:cs="宋体"/>
          <w:color w:val="auto"/>
          <w:szCs w:val="21"/>
          <w:highlight w:val="none"/>
          <w:lang w:eastAsia="zh-CN"/>
        </w:rPr>
        <w:t>节能</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及认证证书</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则认定其</w:t>
      </w:r>
      <w:r>
        <w:rPr>
          <w:rFonts w:hint="eastAsia" w:ascii="宋体" w:hAnsi="宋体" w:eastAsia="宋体" w:cs="宋体"/>
          <w:b/>
          <w:bCs/>
          <w:color w:val="auto"/>
          <w:szCs w:val="21"/>
          <w:highlight w:val="none"/>
        </w:rPr>
        <w:t>投标文件无效</w:t>
      </w:r>
      <w:r>
        <w:rPr>
          <w:rFonts w:hint="eastAsia" w:ascii="宋体" w:hAnsi="宋体" w:eastAsia="宋体" w:cs="宋体"/>
          <w:color w:val="auto"/>
          <w:szCs w:val="21"/>
          <w:highlight w:val="none"/>
        </w:rPr>
        <w:t>。</w:t>
      </w:r>
    </w:p>
    <w:p w14:paraId="326F6B9A">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关于计算机办公设备，必须执行国家版权局、信息产业部、财政部等部门规定，投标人所投货物必须是国家信息部、版权局、商务部等部门认可的预装正版操作系统软件的计算机产品。</w:t>
      </w:r>
    </w:p>
    <w:p w14:paraId="3EB7B2B6">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采购货物为国家强制性认证产品的，必须符合强制性标准</w:t>
      </w:r>
      <w:r>
        <w:rPr>
          <w:rFonts w:hint="eastAsia" w:ascii="宋体" w:hAnsi="宋体" w:eastAsia="宋体" w:cs="宋体"/>
          <w:color w:val="auto"/>
          <w:szCs w:val="21"/>
          <w:highlight w:val="none"/>
          <w:lang w:eastAsia="zh-CN"/>
        </w:rPr>
        <w:t>，并提供相关证明材料，否则认定其</w:t>
      </w:r>
      <w:r>
        <w:rPr>
          <w:rFonts w:hint="eastAsia" w:ascii="宋体" w:hAnsi="宋体" w:eastAsia="宋体" w:cs="宋体"/>
          <w:b/>
          <w:bCs/>
          <w:color w:val="auto"/>
          <w:szCs w:val="21"/>
          <w:highlight w:val="none"/>
          <w:lang w:eastAsia="zh-CN"/>
        </w:rPr>
        <w:t>投标文件无效</w:t>
      </w:r>
      <w:r>
        <w:rPr>
          <w:rFonts w:hint="eastAsia" w:ascii="宋体" w:hAnsi="宋体" w:eastAsia="宋体" w:cs="宋体"/>
          <w:color w:val="auto"/>
          <w:szCs w:val="21"/>
          <w:highlight w:val="none"/>
        </w:rPr>
        <w:t>。</w:t>
      </w:r>
    </w:p>
    <w:p w14:paraId="24F07DC9">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color w:val="auto"/>
          <w:highlight w:val="none"/>
          <w:lang w:val="en-US" w:eastAsia="zh-CN"/>
        </w:rPr>
        <w:t>采购信息安全产品的，应当符合《信息安全技术网络安全专用产品安全技术要求》等相关国家标准的强制性要求，由具备资格的机构安全认证合格或者安全检测符合要求，否则认定其投标无效。</w:t>
      </w:r>
    </w:p>
    <w:p w14:paraId="4B293652">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促进中小型企业发展，必须执行财政部、工信部印发的《</w:t>
      </w:r>
      <w:r>
        <w:rPr>
          <w:rFonts w:hint="eastAsia" w:ascii="宋体" w:hAnsi="宋体" w:eastAsia="宋体" w:cs="宋体"/>
          <w:color w:val="auto"/>
          <w:szCs w:val="21"/>
          <w:highlight w:val="none"/>
          <w:lang w:val="en-US" w:eastAsia="zh-CN"/>
        </w:rPr>
        <w:t>政府采购促进中小企业发展管理办法</w:t>
      </w:r>
      <w:r>
        <w:rPr>
          <w:rFonts w:hint="eastAsia" w:ascii="宋体" w:hAnsi="宋体" w:eastAsia="宋体" w:cs="宋体"/>
          <w:color w:val="auto"/>
          <w:szCs w:val="21"/>
          <w:highlight w:val="none"/>
        </w:rPr>
        <w:t>》及《财政部关于进一步加大政府采购支持中小企业力度的通知》（财库〔2022〕19号），</w:t>
      </w:r>
      <w:r>
        <w:rPr>
          <w:rFonts w:hint="eastAsia" w:ascii="宋体" w:hAnsi="宋体" w:eastAsia="宋体" w:cs="宋体"/>
          <w:color w:val="auto"/>
          <w:szCs w:val="21"/>
          <w:highlight w:val="none"/>
          <w:lang w:val="en-US" w:eastAsia="zh-CN"/>
        </w:rPr>
        <w:t>对于经主管预算单位统筹后未预留份额专门面向中小企业采购的采购项目，以及预留份额项目中的非预留部分采购包，应当对货物由小微企业制造（即货物由小微企业生产且使用该小微企业商号或者注册商标）的投标报价给予10%的扣除，用扣除后的价格参加评审</w:t>
      </w:r>
      <w:r>
        <w:rPr>
          <w:rFonts w:hint="eastAsia" w:ascii="宋体" w:hAnsi="宋体" w:eastAsia="宋体" w:cs="宋体"/>
          <w:color w:val="auto"/>
          <w:szCs w:val="21"/>
          <w:highlight w:val="none"/>
        </w:rPr>
        <w:t>（监狱企业</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残疾人福利</w:t>
      </w:r>
      <w:r>
        <w:rPr>
          <w:rFonts w:hint="eastAsia" w:ascii="宋体" w:hAnsi="宋体" w:eastAsia="宋体" w:cs="宋体"/>
          <w:color w:val="auto"/>
          <w:szCs w:val="21"/>
          <w:highlight w:val="none"/>
          <w:lang w:eastAsia="zh-CN"/>
        </w:rPr>
        <w:t>性</w:t>
      </w:r>
      <w:r>
        <w:rPr>
          <w:rFonts w:hint="eastAsia" w:ascii="宋体" w:hAnsi="宋体" w:eastAsia="宋体" w:cs="宋体"/>
          <w:color w:val="auto"/>
          <w:szCs w:val="21"/>
          <w:highlight w:val="none"/>
        </w:rPr>
        <w:t>企业视同小型、微型企业）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参加政府采购活动的中小企业应当提供《中小企业声明函》，未填写中小企业声明函的在评标过程中不予认可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参加政府采购活动的</w:t>
      </w:r>
      <w:r>
        <w:rPr>
          <w:rFonts w:hint="eastAsia" w:ascii="宋体" w:hAnsi="宋体" w:eastAsia="宋体" w:cs="宋体"/>
          <w:color w:val="auto"/>
          <w:szCs w:val="21"/>
          <w:highlight w:val="none"/>
          <w:lang w:eastAsia="zh-CN"/>
        </w:rPr>
        <w:t>残疾人福利性单位</w:t>
      </w:r>
      <w:r>
        <w:rPr>
          <w:rFonts w:hint="eastAsia" w:ascii="宋体" w:hAnsi="宋体" w:eastAsia="宋体" w:cs="宋体"/>
          <w:color w:val="auto"/>
          <w:szCs w:val="21"/>
          <w:highlight w:val="none"/>
        </w:rPr>
        <w:t>应当提供《</w:t>
      </w:r>
      <w:r>
        <w:rPr>
          <w:rFonts w:hint="eastAsia" w:ascii="宋体" w:hAnsi="宋体" w:eastAsia="宋体" w:cs="宋体"/>
          <w:color w:val="auto"/>
          <w:szCs w:val="21"/>
          <w:highlight w:val="none"/>
          <w:lang w:eastAsia="zh-CN"/>
        </w:rPr>
        <w:t>残疾人福利性单位</w:t>
      </w:r>
      <w:r>
        <w:rPr>
          <w:rFonts w:hint="eastAsia" w:ascii="宋体" w:hAnsi="宋体" w:eastAsia="宋体" w:cs="宋体"/>
          <w:color w:val="auto"/>
          <w:szCs w:val="21"/>
          <w:highlight w:val="none"/>
        </w:rPr>
        <w:t>声明函》，未填写</w:t>
      </w:r>
      <w:r>
        <w:rPr>
          <w:rFonts w:hint="eastAsia" w:ascii="宋体" w:hAnsi="宋体" w:eastAsia="宋体" w:cs="宋体"/>
          <w:color w:val="auto"/>
          <w:szCs w:val="21"/>
          <w:highlight w:val="none"/>
          <w:lang w:eastAsia="zh-CN"/>
        </w:rPr>
        <w:t>残疾人福利性单位</w:t>
      </w:r>
      <w:r>
        <w:rPr>
          <w:rFonts w:hint="eastAsia" w:ascii="宋体" w:hAnsi="宋体" w:eastAsia="宋体" w:cs="宋体"/>
          <w:color w:val="auto"/>
          <w:szCs w:val="21"/>
          <w:highlight w:val="none"/>
        </w:rPr>
        <w:t>声明函的在评标过程中不予认可</w:t>
      </w:r>
      <w:r>
        <w:rPr>
          <w:rFonts w:hint="eastAsia" w:ascii="宋体" w:hAnsi="宋体" w:eastAsia="宋体" w:cs="宋体"/>
          <w:color w:val="auto"/>
          <w:szCs w:val="21"/>
          <w:highlight w:val="none"/>
          <w:lang w:eastAsia="zh-CN"/>
        </w:rPr>
        <w:t>；参加政府采购活动的</w:t>
      </w:r>
      <w:r>
        <w:rPr>
          <w:rFonts w:hint="eastAsia" w:ascii="宋体" w:hAnsi="宋体" w:eastAsia="宋体" w:cs="宋体"/>
          <w:color w:val="auto"/>
          <w:szCs w:val="21"/>
          <w:highlight w:val="none"/>
        </w:rPr>
        <w:t>监狱企业，</w:t>
      </w:r>
      <w:r>
        <w:rPr>
          <w:rFonts w:hint="eastAsia" w:ascii="宋体" w:hAnsi="宋体" w:eastAsia="宋体" w:cs="宋体"/>
          <w:color w:val="auto"/>
          <w:szCs w:val="21"/>
          <w:highlight w:val="none"/>
          <w:lang w:eastAsia="zh-CN"/>
        </w:rPr>
        <w:t>未提供</w:t>
      </w:r>
      <w:r>
        <w:rPr>
          <w:rFonts w:hint="eastAsia" w:ascii="宋体" w:hAnsi="宋体" w:eastAsia="宋体" w:cs="宋体"/>
          <w:color w:val="auto"/>
          <w:szCs w:val="21"/>
          <w:highlight w:val="none"/>
        </w:rPr>
        <w:t>由省级以上监狱管理局、戒毒管理局（含新疆生产建设兵团）出具的属于监狱企业的证明文件</w:t>
      </w:r>
      <w:r>
        <w:rPr>
          <w:rFonts w:hint="eastAsia" w:ascii="宋体" w:hAnsi="宋体" w:eastAsia="宋体" w:cs="宋体"/>
          <w:color w:val="auto"/>
          <w:szCs w:val="21"/>
          <w:highlight w:val="none"/>
          <w:lang w:eastAsia="zh-CN"/>
        </w:rPr>
        <w:t>的不予认可</w:t>
      </w:r>
      <w:r>
        <w:rPr>
          <w:rFonts w:hint="eastAsia" w:ascii="宋体" w:hAnsi="宋体" w:eastAsia="宋体" w:cs="宋体"/>
          <w:color w:val="auto"/>
          <w:szCs w:val="21"/>
          <w:highlight w:val="none"/>
        </w:rPr>
        <w:t>。</w:t>
      </w:r>
    </w:p>
    <w:p w14:paraId="27B9DE36">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对本国产品的支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本国产品应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为确保产品在运输或者储存期间保持某种状态而进行的操作；为产品运输或者销售进行的包装或者展示；在产品或者其包装上粘贴或者印刷品牌、标志、标识以及其他用于区别的标记；简单的上漆、磨光和分装；其他不属于属性改变的情形。</w:t>
      </w:r>
    </w:p>
    <w:p w14:paraId="29A4A1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sz w:val="21"/>
          <w:szCs w:val="21"/>
          <w:highlight w:val="none"/>
          <w:lang w:val="en-US" w:eastAsia="zh-CN"/>
        </w:rPr>
      </w:pPr>
      <w:r>
        <w:rPr>
          <w:rFonts w:hint="eastAsia" w:ascii="宋体" w:hAnsi="宋体" w:eastAsia="宋体" w:cs="宋体"/>
          <w:color w:val="auto"/>
          <w:spacing w:val="15"/>
          <w:sz w:val="21"/>
          <w:szCs w:val="21"/>
          <w:highlight w:val="none"/>
          <w:lang w:val="en-US" w:eastAsia="zh-CN"/>
        </w:rPr>
        <w:t>在分产品的中国境内生产组件成本占比要求，以及对特定产品关键组件、关键工序的相关要求实施前，只要是符合在中国境内生产要求的产品，在政府采购活动中即视同本国产品。</w:t>
      </w:r>
    </w:p>
    <w:p w14:paraId="050F03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提供的产品出具《关于符合本国产品标准的声明函》或财政部会同有关部门规定的有关证明文件，符合要求的，该产品视为本国产品</w:t>
      </w:r>
      <w:r>
        <w:rPr>
          <w:rFonts w:hint="eastAsia" w:ascii="宋体" w:hAnsi="宋体" w:eastAsia="宋体" w:cs="宋体"/>
          <w:color w:val="auto"/>
          <w:sz w:val="21"/>
          <w:szCs w:val="21"/>
          <w:highlight w:val="none"/>
        </w:rPr>
        <w:t>。</w:t>
      </w:r>
    </w:p>
    <w:p w14:paraId="6D121D62">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开源节流，执行低价优先的采购政策规定。</w:t>
      </w:r>
    </w:p>
    <w:p w14:paraId="2ECDF50D">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商品包装和快递包装应符合《商品包装政府采购需求标准（试行）》和《快递包装政府采购需求标准（试行）》规定。</w:t>
      </w:r>
    </w:p>
    <w:p w14:paraId="1447ABE1">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为加快数据中心绿色转型，根据财政部、生态环境部、工业和信息化部关于印发《绿色数据中心政府采购需求标准（试行）》的通知（财库〔2023〕7 号），本项目如涉及绿色数据中心，则具体要求见《采购需求》。</w:t>
      </w:r>
    </w:p>
    <w:p w14:paraId="29988124">
      <w:pPr>
        <w:pStyle w:val="5"/>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color w:val="auto"/>
          <w:sz w:val="24"/>
          <w:szCs w:val="24"/>
          <w:highlight w:val="none"/>
          <w:lang w:val="en-US" w:eastAsia="zh-CN"/>
        </w:rPr>
      </w:pPr>
      <w:bookmarkStart w:id="502" w:name="_Toc30131"/>
      <w:bookmarkStart w:id="503" w:name="_Toc29089"/>
      <w:bookmarkStart w:id="504" w:name="_Toc270604842"/>
      <w:bookmarkStart w:id="505" w:name="_Toc277149403"/>
      <w:bookmarkStart w:id="506" w:name="_Toc856"/>
      <w:bookmarkStart w:id="507" w:name="_Toc428276610"/>
      <w:bookmarkStart w:id="508" w:name="_Toc270604615"/>
      <w:bookmarkStart w:id="509" w:name="_Toc428351670"/>
      <w:bookmarkStart w:id="510" w:name="_Toc269470343"/>
      <w:bookmarkStart w:id="511" w:name="_Toc454788050"/>
      <w:r>
        <w:rPr>
          <w:rFonts w:hint="eastAsia" w:ascii="宋体" w:hAnsi="宋体" w:eastAsia="宋体" w:cs="宋体"/>
          <w:color w:val="auto"/>
          <w:sz w:val="24"/>
          <w:szCs w:val="24"/>
          <w:highlight w:val="none"/>
          <w:lang w:val="en-US" w:eastAsia="zh-CN"/>
        </w:rPr>
        <w:t>询问、质疑和投诉</w:t>
      </w:r>
      <w:bookmarkEnd w:id="502"/>
      <w:bookmarkEnd w:id="503"/>
      <w:bookmarkEnd w:id="504"/>
      <w:bookmarkEnd w:id="505"/>
      <w:bookmarkEnd w:id="506"/>
      <w:bookmarkEnd w:id="507"/>
      <w:bookmarkEnd w:id="508"/>
      <w:bookmarkEnd w:id="509"/>
      <w:bookmarkEnd w:id="510"/>
      <w:bookmarkEnd w:id="511"/>
    </w:p>
    <w:p w14:paraId="598CBB8B">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lang w:eastAsia="zh-CN"/>
        </w:rPr>
      </w:pPr>
      <w:bookmarkStart w:id="512" w:name="_Toc17445"/>
      <w:bookmarkStart w:id="513" w:name="_Toc455678154"/>
      <w:bookmarkStart w:id="514" w:name="_Toc462934328"/>
      <w:bookmarkStart w:id="515" w:name="_Toc463011307"/>
      <w:r>
        <w:rPr>
          <w:rFonts w:hint="eastAsia" w:ascii="宋体" w:hAnsi="宋体" w:eastAsia="宋体" w:cs="宋体"/>
          <w:color w:val="auto"/>
          <w:szCs w:val="21"/>
          <w:highlight w:val="none"/>
          <w:lang w:eastAsia="zh-CN"/>
        </w:rPr>
        <w:t>投标人或有关当事人对采购过程、中标结果有异议的，可以向采购人或者采购代理机构提出询问。</w:t>
      </w:r>
      <w:bookmarkEnd w:id="512"/>
      <w:bookmarkEnd w:id="513"/>
      <w:bookmarkEnd w:id="514"/>
      <w:bookmarkEnd w:id="515"/>
    </w:p>
    <w:p w14:paraId="3BA54B2F">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lang w:eastAsia="zh-CN"/>
        </w:rPr>
      </w:pPr>
      <w:bookmarkStart w:id="516" w:name="_Toc463011308"/>
      <w:bookmarkStart w:id="517" w:name="_Toc455678155"/>
      <w:bookmarkStart w:id="518" w:name="_Toc462934329"/>
      <w:bookmarkStart w:id="519" w:name="_Toc27421"/>
      <w:bookmarkStart w:id="520" w:name="_Toc24621"/>
      <w:r>
        <w:rPr>
          <w:rFonts w:hint="eastAsia" w:ascii="宋体" w:hAnsi="宋体" w:eastAsia="宋体" w:cs="宋体"/>
          <w:color w:val="auto"/>
          <w:szCs w:val="21"/>
          <w:highlight w:val="none"/>
          <w:lang w:eastAsia="zh-CN"/>
        </w:rPr>
        <w:t>采购人或者采购代理机构应当在三个工作日内对投标人依法提出的询问作出答复。</w:t>
      </w:r>
      <w:bookmarkEnd w:id="516"/>
      <w:bookmarkEnd w:id="517"/>
      <w:bookmarkEnd w:id="518"/>
      <w:bookmarkEnd w:id="519"/>
      <w:bookmarkEnd w:id="520"/>
    </w:p>
    <w:p w14:paraId="12A12435">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lang w:eastAsia="zh-CN"/>
        </w:rPr>
      </w:pPr>
      <w:bookmarkStart w:id="521" w:name="_Toc28381"/>
      <w:bookmarkStart w:id="522" w:name="_Toc455678156"/>
      <w:bookmarkStart w:id="523" w:name="_Toc462934330"/>
      <w:bookmarkStart w:id="524" w:name="_Toc463011309"/>
      <w:bookmarkStart w:id="525" w:name="_Toc30298"/>
      <w:r>
        <w:rPr>
          <w:rFonts w:hint="eastAsia" w:ascii="宋体" w:hAnsi="宋体" w:eastAsia="宋体" w:cs="宋体"/>
          <w:color w:val="auto"/>
          <w:szCs w:val="21"/>
          <w:highlight w:val="none"/>
          <w:lang w:eastAsia="zh-CN"/>
        </w:rPr>
        <w:t>投标人认为招标文件、采购过程使自己的权益受到损害的，可以在知道或者应知其权益受到损害之日起七个工作日内，以书面形式向采购人</w:t>
      </w:r>
      <w:r>
        <w:rPr>
          <w:rFonts w:hint="eastAsia" w:ascii="宋体" w:hAnsi="宋体" w:eastAsia="宋体" w:cs="宋体"/>
          <w:color w:val="auto"/>
          <w:kern w:val="2"/>
          <w:sz w:val="21"/>
          <w:szCs w:val="21"/>
          <w:highlight w:val="none"/>
        </w:rPr>
        <w:t>或者采购代理机构</w:t>
      </w:r>
      <w:r>
        <w:rPr>
          <w:rFonts w:hint="eastAsia" w:ascii="宋体" w:hAnsi="宋体" w:eastAsia="宋体" w:cs="宋体"/>
          <w:color w:val="auto"/>
          <w:szCs w:val="21"/>
          <w:highlight w:val="none"/>
          <w:lang w:eastAsia="zh-CN"/>
        </w:rPr>
        <w:t>提出质疑。</w:t>
      </w:r>
      <w:bookmarkEnd w:id="521"/>
      <w:bookmarkEnd w:id="522"/>
      <w:bookmarkEnd w:id="523"/>
      <w:bookmarkEnd w:id="524"/>
      <w:bookmarkEnd w:id="525"/>
    </w:p>
    <w:p w14:paraId="1137BF37">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lang w:eastAsia="zh-CN"/>
        </w:rPr>
      </w:pPr>
      <w:bookmarkStart w:id="526" w:name="_Toc463011310"/>
      <w:bookmarkStart w:id="527" w:name="_Toc462934331"/>
      <w:bookmarkStart w:id="528" w:name="_Toc288"/>
      <w:bookmarkStart w:id="529" w:name="_Toc16614"/>
      <w:r>
        <w:rPr>
          <w:rFonts w:hint="eastAsia" w:ascii="宋体" w:hAnsi="宋体" w:eastAsia="宋体" w:cs="宋体"/>
          <w:color w:val="auto"/>
          <w:szCs w:val="21"/>
          <w:highlight w:val="none"/>
          <w:lang w:eastAsia="zh-CN"/>
        </w:rPr>
        <w:t>投标人认为中标结果使自己的权益受到损害的，可以在中标结果公告期限届满之日起七个工作日内，以书面形式向采购人</w:t>
      </w:r>
      <w:r>
        <w:rPr>
          <w:rFonts w:hint="eastAsia" w:ascii="宋体" w:hAnsi="宋体" w:eastAsia="宋体" w:cs="宋体"/>
          <w:color w:val="auto"/>
          <w:kern w:val="2"/>
          <w:sz w:val="21"/>
          <w:szCs w:val="21"/>
          <w:highlight w:val="none"/>
        </w:rPr>
        <w:t>或者采购代理机构</w:t>
      </w:r>
      <w:r>
        <w:rPr>
          <w:rFonts w:hint="eastAsia" w:ascii="宋体" w:hAnsi="宋体" w:eastAsia="宋体" w:cs="宋体"/>
          <w:color w:val="auto"/>
          <w:szCs w:val="21"/>
          <w:highlight w:val="none"/>
          <w:lang w:eastAsia="zh-CN"/>
        </w:rPr>
        <w:t>提出质疑，接收质疑函</w:t>
      </w:r>
      <w:r>
        <w:rPr>
          <w:rFonts w:hint="eastAsia" w:ascii="宋体" w:hAnsi="宋体" w:eastAsia="宋体" w:cs="宋体"/>
          <w:color w:val="auto"/>
          <w:szCs w:val="21"/>
          <w:highlight w:val="none"/>
          <w:lang w:val="en-US" w:eastAsia="zh-CN"/>
        </w:rPr>
        <w:t>联系部门、电话及地址详见招标公告</w:t>
      </w:r>
      <w:r>
        <w:rPr>
          <w:rFonts w:hint="eastAsia" w:ascii="宋体" w:hAnsi="宋体" w:eastAsia="宋体" w:cs="宋体"/>
          <w:color w:val="auto"/>
          <w:szCs w:val="21"/>
          <w:highlight w:val="none"/>
          <w:lang w:eastAsia="zh-CN"/>
        </w:rPr>
        <w:t>。</w:t>
      </w:r>
      <w:bookmarkEnd w:id="526"/>
      <w:bookmarkEnd w:id="527"/>
      <w:bookmarkEnd w:id="528"/>
      <w:bookmarkEnd w:id="529"/>
      <w:r>
        <w:rPr>
          <w:rFonts w:hint="eastAsia" w:ascii="宋体" w:hAnsi="宋体" w:eastAsia="宋体" w:cs="宋体"/>
          <w:color w:val="auto"/>
          <w:szCs w:val="21"/>
          <w:highlight w:val="none"/>
          <w:lang w:eastAsia="zh-CN"/>
        </w:rPr>
        <w:t>在法定质疑期内投标人针对同一采购程序环节的质疑应当一次性提出。</w:t>
      </w:r>
    </w:p>
    <w:p w14:paraId="0DD27291">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lang w:eastAsia="zh-CN"/>
        </w:rPr>
      </w:pPr>
      <w:bookmarkStart w:id="530" w:name="_Toc5258"/>
      <w:bookmarkStart w:id="531" w:name="_Toc455678157"/>
      <w:bookmarkStart w:id="532" w:name="_Toc463011311"/>
      <w:bookmarkStart w:id="533" w:name="_Toc462934332"/>
      <w:bookmarkStart w:id="534" w:name="_Toc18478"/>
      <w:r>
        <w:rPr>
          <w:rFonts w:hint="eastAsia" w:ascii="宋体" w:hAnsi="宋体" w:eastAsia="宋体" w:cs="宋体"/>
          <w:color w:val="auto"/>
          <w:szCs w:val="21"/>
          <w:highlight w:val="none"/>
          <w:lang w:eastAsia="zh-CN"/>
        </w:rPr>
        <w:t>采购人或者采购代理机构应当在收到投标人的书面质疑后七个工作日内作出答复，并以书面形式通知质疑投标人和其他有关投标人，但答复的内容不得涉及商业秘密。</w:t>
      </w:r>
      <w:bookmarkEnd w:id="530"/>
      <w:bookmarkEnd w:id="531"/>
      <w:bookmarkEnd w:id="532"/>
      <w:bookmarkEnd w:id="533"/>
      <w:bookmarkEnd w:id="534"/>
    </w:p>
    <w:p w14:paraId="5C220B49">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lang w:eastAsia="zh-CN"/>
        </w:rPr>
      </w:pPr>
      <w:bookmarkStart w:id="535" w:name="_Toc4898"/>
      <w:bookmarkStart w:id="536" w:name="_Toc21390"/>
      <w:bookmarkStart w:id="537" w:name="_Toc463011312"/>
      <w:bookmarkStart w:id="538" w:name="_Toc462934333"/>
      <w:bookmarkStart w:id="539" w:name="_Toc455678158"/>
      <w:r>
        <w:rPr>
          <w:rFonts w:hint="eastAsia" w:ascii="宋体" w:hAnsi="宋体" w:eastAsia="宋体" w:cs="宋体"/>
          <w:color w:val="auto"/>
          <w:szCs w:val="21"/>
          <w:highlight w:val="none"/>
          <w:lang w:eastAsia="zh-CN"/>
        </w:rPr>
        <w:t>质疑投标人对采购人、采购代理机构的答复不满意或者采购人、采购代理机构未在规定的时间内作出答复的，可以在答复期满后十五个工作日内向同级政府采购监督管理部门投诉。</w:t>
      </w:r>
      <w:bookmarkEnd w:id="535"/>
      <w:bookmarkEnd w:id="536"/>
      <w:bookmarkEnd w:id="537"/>
      <w:bookmarkEnd w:id="538"/>
      <w:bookmarkEnd w:id="539"/>
    </w:p>
    <w:p w14:paraId="5446B6A1">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lang w:eastAsia="zh-CN"/>
        </w:rPr>
      </w:pPr>
      <w:bookmarkStart w:id="540" w:name="_Toc17682"/>
      <w:bookmarkStart w:id="541" w:name="_Toc463011313"/>
      <w:bookmarkStart w:id="542" w:name="_Toc455678159"/>
      <w:bookmarkStart w:id="543" w:name="_Toc11631"/>
      <w:bookmarkStart w:id="544" w:name="_Toc462934334"/>
      <w:r>
        <w:rPr>
          <w:rFonts w:hint="eastAsia" w:ascii="宋体" w:hAnsi="宋体" w:eastAsia="宋体" w:cs="宋体"/>
          <w:color w:val="auto"/>
          <w:szCs w:val="21"/>
          <w:highlight w:val="none"/>
          <w:lang w:eastAsia="zh-CN"/>
        </w:rPr>
        <w:t>投标人质疑、投诉应当有明确的请求和必要的证明材料。投标人投诉的事项不得超出已质疑事项的范围。</w:t>
      </w:r>
      <w:bookmarkEnd w:id="540"/>
      <w:bookmarkEnd w:id="541"/>
      <w:bookmarkEnd w:id="542"/>
      <w:bookmarkEnd w:id="543"/>
      <w:bookmarkEnd w:id="544"/>
    </w:p>
    <w:p w14:paraId="1A29E8FA">
      <w:pPr>
        <w:pStyle w:val="5"/>
        <w:keepNext/>
        <w:keepLines/>
        <w:pageBreakBefore w:val="0"/>
        <w:widowControl w:val="0"/>
        <w:numPr>
          <w:ilvl w:val="0"/>
          <w:numId w:val="3"/>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color w:val="auto"/>
          <w:sz w:val="24"/>
          <w:szCs w:val="24"/>
          <w:highlight w:val="none"/>
          <w:lang w:val="en-US" w:eastAsia="zh-CN"/>
        </w:rPr>
      </w:pPr>
      <w:bookmarkStart w:id="545" w:name="_Toc15178"/>
      <w:bookmarkStart w:id="546" w:name="_Toc18765"/>
      <w:r>
        <w:rPr>
          <w:rFonts w:hint="eastAsia" w:ascii="宋体" w:hAnsi="宋体" w:eastAsia="宋体" w:cs="宋体"/>
          <w:b/>
          <w:color w:val="auto"/>
          <w:sz w:val="24"/>
          <w:szCs w:val="24"/>
          <w:highlight w:val="none"/>
          <w:lang w:val="en-US" w:eastAsia="zh-CN"/>
        </w:rPr>
        <w:t>需要补充的其他内容</w:t>
      </w:r>
      <w:bookmarkEnd w:id="545"/>
      <w:bookmarkEnd w:id="546"/>
    </w:p>
    <w:p w14:paraId="76859E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需要补充的其他内容：见投标人须知前附表。</w:t>
      </w:r>
      <w:bookmarkEnd w:id="501"/>
      <w:r>
        <w:rPr>
          <w:rFonts w:hint="eastAsia" w:ascii="宋体" w:hAnsi="宋体" w:eastAsia="宋体" w:cs="宋体"/>
          <w:color w:val="auto"/>
          <w:szCs w:val="21"/>
          <w:highlight w:val="none"/>
          <w:lang w:val="en-US" w:eastAsia="zh-CN"/>
        </w:rPr>
        <w:t xml:space="preserve"> </w:t>
      </w:r>
    </w:p>
    <w:p w14:paraId="12D334C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bidi w:val="0"/>
        <w:spacing w:before="0" w:beforeAutospacing="0" w:after="0" w:afterAutospacing="0" w:line="360" w:lineRule="auto"/>
        <w:ind w:left="0" w:right="0" w:firstLine="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br w:type="page"/>
      </w: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lang w:eastAsia="zh-CN"/>
        </w:rPr>
        <w:t>：</w:t>
      </w:r>
    </w:p>
    <w:p w14:paraId="34B526C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bidi w:val="0"/>
        <w:spacing w:before="0" w:beforeAutospacing="0" w:after="0" w:afterAutospacing="0" w:line="360" w:lineRule="auto"/>
        <w:ind w:left="0" w:right="0" w:firstLine="0"/>
        <w:jc w:val="center"/>
        <w:rPr>
          <w:rFonts w:hint="eastAsia" w:ascii="宋体" w:hAnsi="宋体" w:eastAsia="宋体" w:cs="宋体"/>
          <w:b/>
          <w:bCs/>
          <w:i w:val="0"/>
          <w:caps w:val="0"/>
          <w:color w:val="auto"/>
          <w:spacing w:val="8"/>
          <w:sz w:val="28"/>
          <w:szCs w:val="28"/>
          <w:highlight w:val="none"/>
          <w:shd w:val="clear" w:color="auto" w:fill="FFFFFF"/>
        </w:rPr>
      </w:pPr>
      <w:r>
        <w:rPr>
          <w:rFonts w:hint="eastAsia" w:ascii="宋体" w:hAnsi="宋体" w:eastAsia="宋体" w:cs="宋体"/>
          <w:b/>
          <w:bCs/>
          <w:i w:val="0"/>
          <w:caps w:val="0"/>
          <w:color w:val="auto"/>
          <w:spacing w:val="8"/>
          <w:sz w:val="28"/>
          <w:szCs w:val="28"/>
          <w:highlight w:val="none"/>
          <w:shd w:val="clear" w:color="auto" w:fill="FFFFFF"/>
        </w:rPr>
        <w:t>统计上大中小微型企业划分标准</w:t>
      </w:r>
    </w:p>
    <w:p w14:paraId="1A60202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bidi w:val="0"/>
        <w:spacing w:before="0" w:beforeAutospacing="0" w:after="0" w:afterAutospacing="0" w:line="360" w:lineRule="auto"/>
        <w:ind w:left="0" w:right="0" w:firstLine="0"/>
        <w:jc w:val="center"/>
        <w:rPr>
          <w:rFonts w:hint="eastAsia" w:ascii="宋体" w:hAnsi="宋体" w:eastAsia="宋体" w:cs="宋体"/>
          <w:b/>
          <w:bCs/>
          <w:i w:val="0"/>
          <w:caps w:val="0"/>
          <w:color w:val="auto"/>
          <w:spacing w:val="8"/>
          <w:sz w:val="28"/>
          <w:szCs w:val="28"/>
          <w:highlight w:val="none"/>
          <w:shd w:val="clear" w:color="auto" w:fill="FFFFFF"/>
        </w:rPr>
      </w:pPr>
    </w:p>
    <w:tbl>
      <w:tblPr>
        <w:tblStyle w:val="36"/>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80"/>
        <w:gridCol w:w="1472"/>
        <w:gridCol w:w="760"/>
        <w:gridCol w:w="1213"/>
        <w:gridCol w:w="1827"/>
        <w:gridCol w:w="1536"/>
        <w:gridCol w:w="1067"/>
      </w:tblGrid>
      <w:tr w14:paraId="5D02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jc w:val="center"/>
        </w:trPr>
        <w:tc>
          <w:tcPr>
            <w:tcW w:w="2115"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5F36A1D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39"/>
                <w:rFonts w:hint="eastAsia" w:ascii="宋体" w:hAnsi="宋体" w:eastAsia="宋体" w:cs="宋体"/>
                <w:i w:val="0"/>
                <w:caps w:val="0"/>
                <w:color w:val="auto"/>
                <w:spacing w:val="8"/>
                <w:sz w:val="21"/>
                <w:szCs w:val="21"/>
                <w:highlight w:val="none"/>
              </w:rPr>
              <w:t>行业名称</w:t>
            </w:r>
          </w:p>
        </w:tc>
        <w:tc>
          <w:tcPr>
            <w:tcW w:w="136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3DA3E6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39"/>
                <w:rFonts w:hint="eastAsia" w:ascii="宋体" w:hAnsi="宋体" w:eastAsia="宋体" w:cs="宋体"/>
                <w:i w:val="0"/>
                <w:caps w:val="0"/>
                <w:color w:val="auto"/>
                <w:spacing w:val="8"/>
                <w:sz w:val="21"/>
                <w:szCs w:val="21"/>
                <w:highlight w:val="none"/>
              </w:rPr>
              <w:t>指标名称</w:t>
            </w:r>
          </w:p>
        </w:tc>
        <w:tc>
          <w:tcPr>
            <w:tcW w:w="70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FA8233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39"/>
                <w:rFonts w:hint="eastAsia" w:ascii="宋体" w:hAnsi="宋体" w:eastAsia="宋体" w:cs="宋体"/>
                <w:i w:val="0"/>
                <w:caps w:val="0"/>
                <w:color w:val="auto"/>
                <w:spacing w:val="8"/>
                <w:sz w:val="21"/>
                <w:szCs w:val="21"/>
                <w:highlight w:val="none"/>
              </w:rPr>
              <w:t>计量单位</w:t>
            </w:r>
          </w:p>
        </w:tc>
        <w:tc>
          <w:tcPr>
            <w:tcW w:w="112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584D4A0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39"/>
                <w:rFonts w:hint="eastAsia" w:ascii="宋体" w:hAnsi="宋体" w:eastAsia="宋体" w:cs="宋体"/>
                <w:i w:val="0"/>
                <w:caps w:val="0"/>
                <w:color w:val="auto"/>
                <w:spacing w:val="8"/>
                <w:sz w:val="21"/>
                <w:szCs w:val="21"/>
                <w:highlight w:val="none"/>
              </w:rPr>
              <w:t>大型</w:t>
            </w:r>
          </w:p>
        </w:tc>
        <w:tc>
          <w:tcPr>
            <w:tcW w:w="169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09F898A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39"/>
                <w:rFonts w:hint="eastAsia" w:ascii="宋体" w:hAnsi="宋体" w:eastAsia="宋体" w:cs="宋体"/>
                <w:i w:val="0"/>
                <w:caps w:val="0"/>
                <w:color w:val="auto"/>
                <w:spacing w:val="8"/>
                <w:sz w:val="21"/>
                <w:szCs w:val="21"/>
                <w:highlight w:val="none"/>
              </w:rPr>
              <w:t>中型</w:t>
            </w:r>
          </w:p>
        </w:tc>
        <w:tc>
          <w:tcPr>
            <w:tcW w:w="142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052FB8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39"/>
                <w:rFonts w:hint="eastAsia" w:ascii="宋体" w:hAnsi="宋体" w:eastAsia="宋体" w:cs="宋体"/>
                <w:i w:val="0"/>
                <w:caps w:val="0"/>
                <w:color w:val="auto"/>
                <w:spacing w:val="8"/>
                <w:sz w:val="21"/>
                <w:szCs w:val="21"/>
                <w:highlight w:val="none"/>
              </w:rPr>
              <w:t>小型</w:t>
            </w:r>
          </w:p>
        </w:tc>
        <w:tc>
          <w:tcPr>
            <w:tcW w:w="990"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6D4597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39"/>
                <w:rFonts w:hint="eastAsia" w:ascii="宋体" w:hAnsi="宋体" w:eastAsia="宋体" w:cs="宋体"/>
                <w:i w:val="0"/>
                <w:caps w:val="0"/>
                <w:color w:val="auto"/>
                <w:spacing w:val="8"/>
                <w:sz w:val="21"/>
                <w:szCs w:val="21"/>
                <w:highlight w:val="none"/>
              </w:rPr>
              <w:t>微型</w:t>
            </w:r>
          </w:p>
        </w:tc>
      </w:tr>
      <w:tr w14:paraId="128E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0DE5518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农、林、牧、渔业</w:t>
            </w: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748E7B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539603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AD0DFB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Y≥20000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1912D4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500≤Y＜20000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979E97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50≤Y＜500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AA1A59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Y＜50</w:t>
            </w:r>
          </w:p>
        </w:tc>
      </w:tr>
      <w:tr w14:paraId="1DBD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8F158A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工业 *</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34EC5E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761545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A90F2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56DD9C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300≤X＜1000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0171B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20≤X＜300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EC5E9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w:t>
            </w:r>
          </w:p>
        </w:tc>
      </w:tr>
      <w:tr w14:paraId="74EC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7215F2D">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93BDAD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D0A3E3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EBEB0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Y≥40000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F585CA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2000≤Y＜40000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ACEDBD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300≤Y＜2000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91247E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Y＜300</w:t>
            </w:r>
          </w:p>
        </w:tc>
      </w:tr>
      <w:tr w14:paraId="11E3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DD6412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建筑业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8798E4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763F40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B10A2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Y≥80000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3C4B93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6000≤Y＜80000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C33DF4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300≤Y＜6000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3A368E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Y＜300</w:t>
            </w:r>
          </w:p>
        </w:tc>
      </w:tr>
      <w:tr w14:paraId="734C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AF4CA93">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3EEB9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资产总额</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Z</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07175F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47206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Z≥80000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BD75E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5000≤Z＜80000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1AFE22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300≤Z＜5000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111659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Z＜300</w:t>
            </w:r>
          </w:p>
        </w:tc>
      </w:tr>
      <w:tr w14:paraId="4163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F06B6F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批发业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53466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DBAE33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BAE6CC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2C884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20≤X＜200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2465C1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5≤X＜20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89C9CE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X＜5</w:t>
            </w:r>
          </w:p>
        </w:tc>
      </w:tr>
      <w:tr w14:paraId="2D48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EC06A69">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AD9FE2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EEABE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F0524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Y≥40000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DCEA1D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5000≤Y＜40000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3FCD9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1000≤Y＜5000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9C64F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Y＜1000</w:t>
            </w:r>
          </w:p>
        </w:tc>
      </w:tr>
      <w:tr w14:paraId="72D1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443EF5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零售业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FBCC3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5E4FA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72BA69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CC120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50≤X＜300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DA8E0D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10≤X＜50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B85AC5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7F27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1A498C">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EB259E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1B64C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78F660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Y≥20000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A7CEC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500≤Y＜20000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6C1F5A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100≤Y＜500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BC83E8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6829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CE4320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交通运输业 *</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43695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29138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12C3F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D03BB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300≤X＜1000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4A6135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20≤X＜300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41E5E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w:t>
            </w:r>
          </w:p>
        </w:tc>
      </w:tr>
      <w:tr w14:paraId="6A3C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B3C0B20">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B67FBA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7CB4B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0194F3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Y≥30000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DB3CC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3000≤Y＜30000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12A6F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200≤Y＜3000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64606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Y＜200</w:t>
            </w:r>
          </w:p>
        </w:tc>
      </w:tr>
      <w:tr w14:paraId="7644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838D18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仓储业*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3CC916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DF3DBE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3D1506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019DDC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100≤X＜200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F2414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20≤X＜100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3618CA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w:t>
            </w:r>
          </w:p>
        </w:tc>
      </w:tr>
      <w:tr w14:paraId="1340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E456B32">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98F416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094FC0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AB07D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Y≥30000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0739CD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1000≤Y＜30000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5824E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100≤Y＜1000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84097B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0B10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1F4D8F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邮政业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2FCC3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086960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51FC4F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778B5A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300≤X＜1000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6A3BF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20≤X＜300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BCF65D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w:t>
            </w:r>
          </w:p>
        </w:tc>
      </w:tr>
      <w:tr w14:paraId="2694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02EA66C">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27CB7D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4D8D45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0FFFF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Y≥30000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8345A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2000≤Y＜30000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6194B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100≤Y＜2000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B35F8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6A945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980738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住宿业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053E1B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9FCD4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533CD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C567D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5C822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683A2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25DE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F0DD21C">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35FA12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0A4D6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95E50E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BBA05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2000≤Y＜10000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4BC7E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100≤Y＜2000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397BF6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0407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3EBED4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餐饮业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751C9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E2795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65FB74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EE884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B69A9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C1E16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1700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726463">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FB6ECD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4FFCAC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54444C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F997B9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2000≤Y＜10000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579F7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100≤Y＜2000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2439A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5DDE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2E0D5F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信息传输业 *</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2ACBB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03F4A0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5E90C5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2ADFCA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100≤X＜2000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50746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CA5C7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5FBB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CA73BEF">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8502E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FA4112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E5BE4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D4118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1000≤Y＜100000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62DAB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100≤Y＜1000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1AEADB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2F5C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930C75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15"/>
                <w:sz w:val="21"/>
                <w:szCs w:val="21"/>
                <w:highlight w:val="none"/>
              </w:rPr>
              <w:t>软件和信息技术服</w:t>
            </w:r>
            <w:r>
              <w:rPr>
                <w:rFonts w:hint="eastAsia" w:ascii="宋体" w:hAnsi="宋体" w:eastAsia="宋体" w:cs="宋体"/>
                <w:b w:val="0"/>
                <w:i w:val="0"/>
                <w:caps w:val="0"/>
                <w:color w:val="auto"/>
                <w:spacing w:val="8"/>
                <w:sz w:val="21"/>
                <w:szCs w:val="21"/>
                <w:highlight w:val="none"/>
              </w:rPr>
              <w:t>务业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DB5C7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F2A004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FE882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E0338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211EA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24C36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0F8F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71CED0C">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220C2F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0BEC2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5F67B7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811924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1000≤Y＜10000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30972A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50≤Y＜1000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B72BB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Y＜50</w:t>
            </w:r>
          </w:p>
        </w:tc>
      </w:tr>
      <w:tr w14:paraId="5B13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64EBAD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房地产开发经营</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F800E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0186F8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0AB185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Y≥200000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E7372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1000≤Y＜200000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63F1ED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100≤Y＜1000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A05FEE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036C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434A6ED">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59E3E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资产总额</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Z</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27216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A788BF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Z≥10000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B3A385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5000≤Z＜10000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AC53D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2000≤Z＜5000   </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7AF35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Z＜2000</w:t>
            </w:r>
          </w:p>
        </w:tc>
      </w:tr>
      <w:tr w14:paraId="69B1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2EC102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物业管理</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B9F67C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D4645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E494E5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16BCD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300≤X＜1000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F2F914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C199C4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X＜100</w:t>
            </w:r>
          </w:p>
        </w:tc>
      </w:tr>
      <w:tr w14:paraId="205F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213C51A">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350F5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5FFFB2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B21023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Y≥5000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D8E688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1000≤Y＜5000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39D7EE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500≤Y＜1000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FEAA47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Y＜500</w:t>
            </w:r>
          </w:p>
        </w:tc>
      </w:tr>
      <w:tr w14:paraId="7BB0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6FBFD2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租赁和商务服务业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12C01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45D95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BC7A3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31681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2B2EE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E9092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3DAC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6372C7E">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19227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资产总额</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Z</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1C056B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A3E79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Z≥120000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B379D6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8000≤Z＜120000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15E7E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100≤Z＜8000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76596F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Z＜100</w:t>
            </w:r>
          </w:p>
        </w:tc>
      </w:tr>
      <w:tr w14:paraId="722F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115"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DB795B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其他未列明行业 *</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27DF7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ascii="宋体" w:hAnsi="宋体" w:eastAsia="宋体"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ascii="宋体" w:hAnsi="宋体" w:eastAsia="宋体" w:cs="宋体"/>
                <w:b w:val="0"/>
                <w:i w:val="0"/>
                <w:caps w:val="0"/>
                <w:color w:val="auto"/>
                <w:spacing w:val="8"/>
                <w:sz w:val="21"/>
                <w:szCs w:val="21"/>
                <w:highlight w:val="none"/>
                <w:lang w:eastAsia="zh-CN"/>
              </w:rPr>
              <w:t>）</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F94D5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028435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6ED32C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85F507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F54939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bl>
    <w:p w14:paraId="1025693C">
      <w:pPr>
        <w:pageBreakBefore w:val="0"/>
        <w:kinsoku/>
        <w:overflowPunct/>
        <w:bidi w:val="0"/>
        <w:spacing w:line="360" w:lineRule="auto"/>
        <w:rPr>
          <w:rFonts w:hint="eastAsia" w:ascii="宋体" w:hAnsi="宋体" w:eastAsia="宋体" w:cs="宋体"/>
          <w:color w:val="auto"/>
          <w:spacing w:val="15"/>
          <w:sz w:val="21"/>
          <w:szCs w:val="21"/>
          <w:highlight w:val="none"/>
        </w:rPr>
      </w:pPr>
    </w:p>
    <w:p w14:paraId="3C27B0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说明：1</w:t>
      </w:r>
      <w:r>
        <w:rPr>
          <w:rFonts w:hint="eastAsia" w:ascii="宋体" w:hAnsi="宋体" w:eastAsia="宋体" w:cs="宋体"/>
          <w:b/>
          <w:bCs/>
          <w:color w:val="auto"/>
          <w:spacing w:val="15"/>
          <w:sz w:val="21"/>
          <w:szCs w:val="21"/>
          <w:highlight w:val="none"/>
        </w:rPr>
        <w:t>.大型、中型和小型企业须同时满足所列指标的下限，否则下划一档；微型企业只须满足所列指标中的一项即可。</w:t>
      </w:r>
    </w:p>
    <w:p w14:paraId="23E3476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pacing w:val="15"/>
          <w:sz w:val="21"/>
          <w:szCs w:val="21"/>
          <w:highlight w:val="none"/>
        </w:rPr>
      </w:pPr>
      <w:r>
        <w:rPr>
          <w:rFonts w:hint="eastAsia" w:ascii="宋体" w:hAnsi="宋体" w:eastAsia="宋体" w:cs="宋体"/>
          <w:color w:val="auto"/>
          <w:spacing w:val="15"/>
          <w:sz w:val="21"/>
          <w:szCs w:val="21"/>
          <w:highlight w:val="none"/>
        </w:rPr>
        <w:t>附表中各行业的范围以《国民经济行业分类》（GB/T4754-2017）为准。</w:t>
      </w:r>
      <w:r>
        <w:rPr>
          <w:rFonts w:hint="eastAsia" w:ascii="宋体" w:hAnsi="宋体" w:eastAsia="宋体" w:cs="宋体"/>
          <w:b/>
          <w:bCs/>
          <w:color w:val="auto"/>
          <w:spacing w:val="15"/>
          <w:sz w:val="21"/>
          <w:szCs w:val="21"/>
          <w:highlight w:val="none"/>
        </w:rPr>
        <w:t>带*的项为行业组合类别</w:t>
      </w:r>
      <w:r>
        <w:rPr>
          <w:rFonts w:hint="eastAsia" w:ascii="宋体" w:hAnsi="宋体" w:eastAsia="宋体" w:cs="宋体"/>
          <w:color w:val="auto"/>
          <w:spacing w:val="15"/>
          <w:sz w:val="21"/>
          <w:szCs w:val="21"/>
          <w:highlight w:val="none"/>
        </w:rPr>
        <w:t>，其中，</w:t>
      </w:r>
      <w:r>
        <w:rPr>
          <w:rFonts w:hint="eastAsia" w:ascii="宋体" w:hAnsi="宋体" w:eastAsia="宋体" w:cs="宋体"/>
          <w:b w:val="0"/>
          <w:bCs w:val="0"/>
          <w:color w:val="auto"/>
          <w:spacing w:val="15"/>
          <w:sz w:val="21"/>
          <w:szCs w:val="21"/>
          <w:highlight w:val="none"/>
        </w:rPr>
        <w:t>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b w:val="0"/>
          <w:bCs w:val="0"/>
          <w:color w:val="auto"/>
          <w:spacing w:val="15"/>
          <w:sz w:val="21"/>
          <w:szCs w:val="21"/>
          <w:highlight w:val="none"/>
          <w:lang w:eastAsia="zh-CN"/>
        </w:rPr>
        <w:t>；</w:t>
      </w:r>
      <w:r>
        <w:rPr>
          <w:rFonts w:hint="eastAsia" w:ascii="宋体" w:hAnsi="宋体" w:eastAsia="宋体" w:cs="宋体"/>
          <w:b w:val="0"/>
          <w:bCs w:val="0"/>
          <w:color w:val="auto"/>
          <w:spacing w:val="15"/>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FBFD26C">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企业划分指标以现行统计制度为准。</w:t>
      </w:r>
    </w:p>
    <w:p w14:paraId="44E61A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lang w:eastAsia="zh-CN"/>
        </w:rPr>
        <w:t>（</w:t>
      </w:r>
      <w:r>
        <w:rPr>
          <w:rFonts w:hint="eastAsia" w:ascii="宋体" w:hAnsi="宋体" w:eastAsia="宋体" w:cs="宋体"/>
          <w:color w:val="auto"/>
          <w:spacing w:val="15"/>
          <w:sz w:val="21"/>
          <w:szCs w:val="21"/>
          <w:highlight w:val="none"/>
          <w:lang w:val="en-US" w:eastAsia="zh-CN"/>
        </w:rPr>
        <w:t>1</w:t>
      </w:r>
      <w:r>
        <w:rPr>
          <w:rFonts w:hint="eastAsia" w:ascii="宋体" w:hAnsi="宋体" w:eastAsia="宋体" w:cs="宋体"/>
          <w:color w:val="auto"/>
          <w:spacing w:val="15"/>
          <w:sz w:val="21"/>
          <w:szCs w:val="21"/>
          <w:highlight w:val="none"/>
          <w:lang w:eastAsia="zh-CN"/>
        </w:rPr>
        <w:t>）</w:t>
      </w:r>
      <w:r>
        <w:rPr>
          <w:rFonts w:hint="eastAsia" w:ascii="宋体" w:hAnsi="宋体" w:eastAsia="宋体" w:cs="宋体"/>
          <w:color w:val="auto"/>
          <w:spacing w:val="15"/>
          <w:sz w:val="21"/>
          <w:szCs w:val="21"/>
          <w:highlight w:val="none"/>
        </w:rPr>
        <w:t>从业人员，是指期末从业人员数，没有期末从业人员数的，采用全年平均人员数代替。</w:t>
      </w:r>
    </w:p>
    <w:p w14:paraId="2DFF94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lang w:eastAsia="zh-CN"/>
        </w:rPr>
        <w:t>（</w:t>
      </w:r>
      <w:r>
        <w:rPr>
          <w:rFonts w:hint="eastAsia" w:ascii="宋体" w:hAnsi="宋体" w:eastAsia="宋体" w:cs="宋体"/>
          <w:color w:val="auto"/>
          <w:spacing w:val="15"/>
          <w:sz w:val="21"/>
          <w:szCs w:val="21"/>
          <w:highlight w:val="none"/>
          <w:lang w:val="en-US" w:eastAsia="zh-CN"/>
        </w:rPr>
        <w:t>2</w:t>
      </w:r>
      <w:r>
        <w:rPr>
          <w:rFonts w:hint="eastAsia" w:ascii="宋体" w:hAnsi="宋体" w:eastAsia="宋体" w:cs="宋体"/>
          <w:color w:val="auto"/>
          <w:spacing w:val="15"/>
          <w:sz w:val="21"/>
          <w:szCs w:val="21"/>
          <w:highlight w:val="none"/>
          <w:lang w:eastAsia="zh-CN"/>
        </w:rPr>
        <w:t>）</w:t>
      </w:r>
      <w:r>
        <w:rPr>
          <w:rFonts w:hint="eastAsia" w:ascii="宋体" w:hAnsi="宋体" w:eastAsia="宋体" w:cs="宋体"/>
          <w:color w:val="auto"/>
          <w:spacing w:val="15"/>
          <w:sz w:val="21"/>
          <w:szCs w:val="21"/>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24AB84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（3）资产总额，采用资产总计代替。</w:t>
      </w:r>
    </w:p>
    <w:p w14:paraId="2C54DDFC">
      <w:pPr>
        <w:pageBreakBefore w:val="0"/>
        <w:kinsoku/>
        <w:overflowPunct/>
        <w:autoSpaceDE w:val="0"/>
        <w:autoSpaceDN w:val="0"/>
        <w:bidi w:val="0"/>
        <w:adjustRightInd w:val="0"/>
        <w:spacing w:line="360" w:lineRule="auto"/>
        <w:ind w:firstLine="64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sz w:val="32"/>
          <w:szCs w:val="32"/>
          <w:highlight w:val="none"/>
          <w:lang w:eastAsia="zh-CN"/>
        </w:rPr>
        <w:br w:type="page"/>
      </w: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lang w:eastAsia="zh-CN"/>
        </w:rPr>
        <w:t>：</w:t>
      </w:r>
    </w:p>
    <w:p w14:paraId="0A8C6E02">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p>
    <w:p w14:paraId="71B43042">
      <w:pPr>
        <w:pageBreakBefore w:val="0"/>
        <w:kinsoku/>
        <w:overflowPunct/>
        <w:autoSpaceDE w:val="0"/>
        <w:autoSpaceDN w:val="0"/>
        <w:bidi w:val="0"/>
        <w:adjustRightInd w:val="0"/>
        <w:spacing w:line="360" w:lineRule="auto"/>
        <w:ind w:firstLine="562" w:firstLineChars="200"/>
        <w:jc w:val="center"/>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val="en-US" w:eastAsia="zh-CN"/>
        </w:rPr>
        <w:t>河南省政府采购合同融资政策告知函</w:t>
      </w:r>
    </w:p>
    <w:p w14:paraId="4B8F9219">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各投标人：</w:t>
      </w:r>
    </w:p>
    <w:p w14:paraId="70E638E5">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欢迎贵公司参与河南省政府采购活动！</w:t>
      </w:r>
    </w:p>
    <w:p w14:paraId="3BC43D16">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619BEA68">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贷款渠道和提供贷款的金融机构，可在河南省政府采购网“河南省政府采购合同融资平台”查询联系。</w:t>
      </w:r>
    </w:p>
    <w:p w14:paraId="314C7C0B">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br w:type="page"/>
      </w:r>
    </w:p>
    <w:p w14:paraId="231D8C6F">
      <w:pPr>
        <w:pageBreakBefore w:val="0"/>
        <w:kinsoku/>
        <w:overflowPunct/>
        <w:autoSpaceDE w:val="0"/>
        <w:autoSpaceDN w:val="0"/>
        <w:bidi w:val="0"/>
        <w:adjustRightIn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附件3</w:t>
      </w:r>
    </w:p>
    <w:p w14:paraId="739694A6">
      <w:pPr>
        <w:pageBreakBefore w:val="0"/>
        <w:kinsoku/>
        <w:overflowPunct/>
        <w:autoSpaceDE w:val="0"/>
        <w:autoSpaceDN w:val="0"/>
        <w:bidi w:val="0"/>
        <w:adjustRightInd w:val="0"/>
        <w:spacing w:line="360" w:lineRule="auto"/>
        <w:ind w:firstLine="562" w:firstLineChars="200"/>
        <w:jc w:val="center"/>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中国境内生产的组件成本核算基本规则</w:t>
      </w:r>
    </w:p>
    <w:p w14:paraId="4F3E7040">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486184B">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一、产品的一级组件是指直接组成产品的组件。产品的二级组件是指直接组成产品一级组件的组件。一级组件不可分解的，视同二级组件。</w:t>
      </w:r>
    </w:p>
    <w:p w14:paraId="12E76AAA">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二、二级组件在中国境内生产的，其全部成本计入中国境内生产的组件成本；二级组件不在中国境内生产的，其成本不计入中国境内生产的组件成本。</w:t>
      </w:r>
    </w:p>
    <w:p w14:paraId="258E7152">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三、产品总成本和组件成本以相关会计核算数据、采购合同、进货记录等为基础进行计算。</w:t>
      </w:r>
    </w:p>
    <w:p w14:paraId="6AC61324">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四、需要对成本核算规则予以进一步明确的其他有关事项，由财政部会同有关部门另行规定。</w:t>
      </w:r>
    </w:p>
    <w:p w14:paraId="0FDE80B2">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rPr>
      </w:pPr>
    </w:p>
    <w:p w14:paraId="4BC8238A">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p>
    <w:p w14:paraId="1198EC14">
      <w:pPr>
        <w:pStyle w:val="2"/>
        <w:pageBreakBefore w:val="0"/>
        <w:kinsoku/>
        <w:overflowPunct/>
        <w:bidi w:val="0"/>
        <w:spacing w:line="360" w:lineRule="auto"/>
        <w:rPr>
          <w:rFonts w:hint="eastAsia" w:ascii="宋体" w:hAnsi="宋体" w:eastAsia="宋体" w:cs="宋体"/>
          <w:color w:val="auto"/>
          <w:kern w:val="0"/>
          <w:szCs w:val="21"/>
          <w:highlight w:val="none"/>
          <w:lang w:eastAsia="zh-CN"/>
        </w:rPr>
      </w:pPr>
    </w:p>
    <w:p w14:paraId="0EC5E461">
      <w:pPr>
        <w:pStyle w:val="4"/>
        <w:pageBreakBefore w:val="0"/>
        <w:numPr>
          <w:ilvl w:val="0"/>
          <w:numId w:val="0"/>
        </w:numPr>
        <w:kinsoku/>
        <w:overflowPunct/>
        <w:bidi w:val="0"/>
        <w:spacing w:line="360" w:lineRule="auto"/>
        <w:ind w:leftChars="0"/>
        <w:jc w:val="center"/>
        <w:rPr>
          <w:rFonts w:hint="eastAsia" w:ascii="宋体" w:hAnsi="宋体" w:eastAsia="宋体" w:cs="宋体"/>
          <w:color w:val="auto"/>
          <w:highlight w:val="none"/>
          <w:lang w:val="en-US" w:eastAsia="zh-CN"/>
        </w:rPr>
      </w:pPr>
      <w:r>
        <w:rPr>
          <w:rFonts w:hint="eastAsia" w:ascii="宋体" w:hAnsi="宋体" w:eastAsia="宋体" w:cs="宋体"/>
          <w:color w:val="auto"/>
          <w:sz w:val="32"/>
          <w:szCs w:val="32"/>
          <w:highlight w:val="none"/>
          <w:lang w:eastAsia="zh-CN"/>
        </w:rPr>
        <w:br w:type="page"/>
      </w:r>
      <w:bookmarkStart w:id="547" w:name="_Toc19667"/>
      <w:bookmarkStart w:id="548" w:name="_Toc20081"/>
      <w:bookmarkStart w:id="549" w:name="_Toc21151"/>
      <w:r>
        <w:rPr>
          <w:rStyle w:val="52"/>
          <w:rFonts w:hint="eastAsia" w:ascii="宋体" w:hAnsi="宋体" w:eastAsia="宋体" w:cs="宋体"/>
          <w:b/>
          <w:color w:val="auto"/>
          <w:szCs w:val="22"/>
          <w:highlight w:val="none"/>
          <w:lang w:val="en-US" w:eastAsia="zh-CN" w:bidi="ar-SA"/>
        </w:rPr>
        <w:t>第三章 资格审查</w:t>
      </w:r>
      <w:bookmarkEnd w:id="547"/>
      <w:bookmarkEnd w:id="548"/>
      <w:bookmarkEnd w:id="549"/>
    </w:p>
    <w:p w14:paraId="2D0EDD27">
      <w:pPr>
        <w:pStyle w:val="6"/>
        <w:pageBreakBefore w:val="0"/>
        <w:numPr>
          <w:ilvl w:val="0"/>
          <w:numId w:val="0"/>
        </w:numPr>
        <w:kinsoku/>
        <w:overflowPunct/>
        <w:bidi w:val="0"/>
        <w:spacing w:line="360" w:lineRule="auto"/>
        <w:ind w:left="482" w:leftChars="0"/>
        <w:jc w:val="center"/>
        <w:rPr>
          <w:rFonts w:hint="eastAsia" w:ascii="宋体" w:hAnsi="宋体" w:eastAsia="宋体" w:cs="宋体"/>
          <w:b/>
          <w:color w:val="auto"/>
          <w:sz w:val="24"/>
          <w:highlight w:val="none"/>
        </w:rPr>
      </w:pPr>
      <w:bookmarkStart w:id="550" w:name="_Toc11714"/>
      <w:bookmarkStart w:id="551" w:name="_Toc12421"/>
      <w:bookmarkStart w:id="552" w:name="_Toc16729"/>
      <w:bookmarkStart w:id="553" w:name="_Toc6735"/>
      <w:bookmarkStart w:id="554" w:name="_Toc13197"/>
      <w:bookmarkStart w:id="555" w:name="_Toc27033"/>
      <w:bookmarkStart w:id="556" w:name="_Toc21173"/>
      <w:bookmarkStart w:id="557" w:name="_Toc28519"/>
      <w:bookmarkStart w:id="558" w:name="_Toc32604"/>
      <w:bookmarkStart w:id="559" w:name="_Toc27205"/>
      <w:bookmarkStart w:id="560" w:name="_Toc30398"/>
      <w:r>
        <w:rPr>
          <w:rFonts w:hint="eastAsia" w:ascii="宋体" w:hAnsi="宋体" w:eastAsia="宋体" w:cs="宋体"/>
          <w:color w:val="auto"/>
          <w:sz w:val="24"/>
          <w:szCs w:val="24"/>
          <w:highlight w:val="none"/>
        </w:rPr>
        <w:t>资格审查</w:t>
      </w:r>
      <w:r>
        <w:rPr>
          <w:rFonts w:hint="eastAsia" w:ascii="宋体" w:hAnsi="宋体" w:eastAsia="宋体" w:cs="宋体"/>
          <w:color w:val="auto"/>
          <w:sz w:val="24"/>
          <w:szCs w:val="24"/>
          <w:highlight w:val="none"/>
          <w:lang w:eastAsia="zh-CN"/>
        </w:rPr>
        <w:t>前附</w:t>
      </w:r>
      <w:r>
        <w:rPr>
          <w:rFonts w:hint="eastAsia" w:ascii="宋体" w:hAnsi="宋体" w:eastAsia="宋体" w:cs="宋体"/>
          <w:color w:val="auto"/>
          <w:sz w:val="24"/>
          <w:szCs w:val="24"/>
          <w:highlight w:val="none"/>
        </w:rPr>
        <w:t>表</w:t>
      </w:r>
      <w:bookmarkEnd w:id="550"/>
      <w:bookmarkEnd w:id="551"/>
      <w:bookmarkEnd w:id="552"/>
      <w:bookmarkEnd w:id="553"/>
      <w:bookmarkEnd w:id="554"/>
      <w:bookmarkEnd w:id="555"/>
      <w:bookmarkEnd w:id="556"/>
      <w:bookmarkEnd w:id="557"/>
      <w:bookmarkEnd w:id="558"/>
      <w:bookmarkEnd w:id="559"/>
      <w:bookmarkEnd w:id="560"/>
    </w:p>
    <w:tbl>
      <w:tblPr>
        <w:tblStyle w:val="3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431"/>
        <w:gridCol w:w="5997"/>
      </w:tblGrid>
      <w:tr w14:paraId="189C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2" w:type="dxa"/>
            <w:noWrap w:val="0"/>
            <w:vAlign w:val="center"/>
          </w:tcPr>
          <w:p w14:paraId="11D63D83">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w:t>
            </w:r>
          </w:p>
        </w:tc>
        <w:tc>
          <w:tcPr>
            <w:tcW w:w="2431" w:type="dxa"/>
            <w:noWrap w:val="0"/>
            <w:vAlign w:val="center"/>
          </w:tcPr>
          <w:p w14:paraId="2ED965F4">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评审因素</w:t>
            </w:r>
          </w:p>
        </w:tc>
        <w:tc>
          <w:tcPr>
            <w:tcW w:w="5997" w:type="dxa"/>
            <w:noWrap w:val="0"/>
            <w:vAlign w:val="center"/>
          </w:tcPr>
          <w:p w14:paraId="6403EB92">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评审标准</w:t>
            </w:r>
          </w:p>
        </w:tc>
      </w:tr>
      <w:tr w14:paraId="0E52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2" w:type="dxa"/>
            <w:vMerge w:val="restart"/>
            <w:noWrap w:val="0"/>
            <w:vAlign w:val="center"/>
          </w:tcPr>
          <w:p w14:paraId="2669ED01">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资格审查</w:t>
            </w:r>
            <w:r>
              <w:rPr>
                <w:rFonts w:hint="eastAsia" w:ascii="宋体" w:hAnsi="宋体" w:eastAsia="宋体" w:cs="宋体"/>
                <w:color w:val="auto"/>
                <w:kern w:val="0"/>
                <w:szCs w:val="21"/>
                <w:highlight w:val="none"/>
              </w:rPr>
              <w:t>标准</w:t>
            </w:r>
          </w:p>
        </w:tc>
        <w:tc>
          <w:tcPr>
            <w:tcW w:w="2431" w:type="dxa"/>
            <w:noWrap w:val="0"/>
            <w:vAlign w:val="center"/>
          </w:tcPr>
          <w:p w14:paraId="5568F33C">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p>
        </w:tc>
        <w:tc>
          <w:tcPr>
            <w:tcW w:w="5997" w:type="dxa"/>
            <w:noWrap w:val="0"/>
            <w:vAlign w:val="center"/>
          </w:tcPr>
          <w:p w14:paraId="0E256A31">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与营业执照</w:t>
            </w:r>
            <w:r>
              <w:rPr>
                <w:rFonts w:hint="eastAsia" w:ascii="宋体" w:hAnsi="宋体" w:eastAsia="宋体" w:cs="宋体"/>
                <w:color w:val="auto"/>
                <w:kern w:val="0"/>
                <w:szCs w:val="21"/>
                <w:highlight w:val="none"/>
                <w:lang w:eastAsia="zh-CN"/>
              </w:rPr>
              <w:t>（如有）</w:t>
            </w:r>
            <w:r>
              <w:rPr>
                <w:rFonts w:hint="eastAsia" w:ascii="宋体" w:hAnsi="宋体" w:eastAsia="宋体" w:cs="宋体"/>
                <w:color w:val="auto"/>
                <w:kern w:val="0"/>
                <w:szCs w:val="21"/>
                <w:highlight w:val="none"/>
              </w:rPr>
              <w:t>一致</w:t>
            </w:r>
          </w:p>
        </w:tc>
      </w:tr>
      <w:tr w14:paraId="4B97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2" w:type="dxa"/>
            <w:vMerge w:val="continue"/>
            <w:noWrap w:val="0"/>
            <w:vAlign w:val="center"/>
          </w:tcPr>
          <w:p w14:paraId="619B6A2B">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31" w:type="dxa"/>
            <w:noWrap w:val="0"/>
            <w:vAlign w:val="center"/>
          </w:tcPr>
          <w:p w14:paraId="6302DD87">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营业执照</w:t>
            </w:r>
            <w:r>
              <w:rPr>
                <w:rFonts w:hint="eastAsia" w:ascii="宋体" w:hAnsi="宋体" w:eastAsia="宋体" w:cs="宋体"/>
                <w:color w:val="auto"/>
                <w:kern w:val="0"/>
                <w:szCs w:val="21"/>
                <w:highlight w:val="none"/>
                <w:lang w:eastAsia="zh-CN"/>
              </w:rPr>
              <w:t>或其他证明材料</w:t>
            </w:r>
          </w:p>
        </w:tc>
        <w:tc>
          <w:tcPr>
            <w:tcW w:w="5997" w:type="dxa"/>
            <w:noWrap w:val="0"/>
            <w:vAlign w:val="center"/>
          </w:tcPr>
          <w:p w14:paraId="117C3A6A">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投标人为企业（包括合伙企业）的，应提供有效的“营业执照”；</w:t>
            </w:r>
          </w:p>
          <w:p w14:paraId="3284676F">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投标人为事业单位的，应提供有效的“事业单位法人证书”；</w:t>
            </w:r>
          </w:p>
          <w:p w14:paraId="18B7AD59">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投标人是非企业机构的，应提供有效的“执业许可证”“登记证书”等证明文件；</w:t>
            </w:r>
          </w:p>
          <w:p w14:paraId="647C5919">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投标人是个体工商户的，应提供有效的“个体工商户营业执照”；</w:t>
            </w:r>
          </w:p>
          <w:p w14:paraId="4E905FE1">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投标人是自然人的，应提供有效的自然人身份证明。</w:t>
            </w:r>
          </w:p>
        </w:tc>
      </w:tr>
      <w:tr w14:paraId="2611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2" w:type="dxa"/>
            <w:vMerge w:val="continue"/>
            <w:noWrap w:val="0"/>
            <w:vAlign w:val="center"/>
          </w:tcPr>
          <w:p w14:paraId="2FAB7AC5">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31" w:type="dxa"/>
            <w:noWrap w:val="0"/>
            <w:vAlign w:val="center"/>
          </w:tcPr>
          <w:p w14:paraId="046FEA1E">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信用记录</w:t>
            </w:r>
          </w:p>
        </w:tc>
        <w:tc>
          <w:tcPr>
            <w:tcW w:w="5997" w:type="dxa"/>
            <w:noWrap w:val="0"/>
            <w:vAlign w:val="center"/>
          </w:tcPr>
          <w:p w14:paraId="3A669EE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w:t>
            </w:r>
            <w:r>
              <w:rPr>
                <w:rFonts w:hint="eastAsia" w:ascii="宋体" w:hAnsi="宋体" w:eastAsia="宋体" w:cs="宋体"/>
                <w:color w:val="auto"/>
                <w:kern w:val="0"/>
                <w:szCs w:val="21"/>
                <w:highlight w:val="none"/>
                <w:lang w:eastAsia="zh-CN"/>
              </w:rPr>
              <w:t>二</w:t>
            </w:r>
            <w:r>
              <w:rPr>
                <w:rFonts w:hint="eastAsia" w:ascii="宋体" w:hAnsi="宋体" w:eastAsia="宋体" w:cs="宋体"/>
                <w:color w:val="auto"/>
                <w:kern w:val="0"/>
                <w:szCs w:val="21"/>
                <w:highlight w:val="none"/>
              </w:rPr>
              <w:t>章“投标人须知</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1.2.10</w:t>
            </w:r>
            <w:r>
              <w:rPr>
                <w:rFonts w:hint="eastAsia" w:ascii="宋体" w:hAnsi="宋体" w:eastAsia="宋体" w:cs="宋体"/>
                <w:color w:val="auto"/>
                <w:kern w:val="0"/>
                <w:szCs w:val="21"/>
                <w:highlight w:val="none"/>
              </w:rPr>
              <w:t>项规定</w:t>
            </w:r>
          </w:p>
          <w:p w14:paraId="70A7623E">
            <w:pPr>
              <w:pStyle w:val="68"/>
              <w:pageBreakBefore w:val="0"/>
              <w:kinsoku/>
              <w:overflowPunct/>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lang w:val="en-US" w:eastAsia="zh-CN"/>
              </w:rPr>
              <w:t>以采购人或采购代理机构查询为准</w:t>
            </w:r>
          </w:p>
        </w:tc>
      </w:tr>
      <w:tr w14:paraId="650B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2" w:type="dxa"/>
            <w:vMerge w:val="continue"/>
            <w:noWrap w:val="0"/>
            <w:vAlign w:val="center"/>
          </w:tcPr>
          <w:p w14:paraId="07E7223D">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31" w:type="dxa"/>
            <w:noWrap w:val="0"/>
            <w:vAlign w:val="center"/>
          </w:tcPr>
          <w:p w14:paraId="0DD46FE4">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财务</w:t>
            </w:r>
            <w:r>
              <w:rPr>
                <w:rFonts w:hint="eastAsia" w:ascii="宋体" w:hAnsi="宋体" w:eastAsia="宋体" w:cs="宋体"/>
                <w:color w:val="auto"/>
                <w:kern w:val="0"/>
                <w:szCs w:val="21"/>
                <w:highlight w:val="none"/>
                <w:lang w:val="en-US" w:eastAsia="zh-CN"/>
              </w:rPr>
              <w:t>状况</w:t>
            </w:r>
          </w:p>
        </w:tc>
        <w:tc>
          <w:tcPr>
            <w:tcW w:w="5997" w:type="dxa"/>
            <w:noWrap w:val="0"/>
            <w:vAlign w:val="center"/>
          </w:tcPr>
          <w:p w14:paraId="48F677E5">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1.2.10</w:t>
            </w:r>
            <w:r>
              <w:rPr>
                <w:rFonts w:hint="eastAsia" w:ascii="宋体" w:hAnsi="宋体" w:eastAsia="宋体" w:cs="宋体"/>
                <w:color w:val="auto"/>
                <w:kern w:val="0"/>
                <w:szCs w:val="21"/>
                <w:highlight w:val="none"/>
              </w:rPr>
              <w:t>项规定</w:t>
            </w:r>
          </w:p>
        </w:tc>
      </w:tr>
      <w:tr w14:paraId="1723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2" w:type="dxa"/>
            <w:vMerge w:val="continue"/>
            <w:noWrap w:val="0"/>
            <w:vAlign w:val="center"/>
          </w:tcPr>
          <w:p w14:paraId="3381051D">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31" w:type="dxa"/>
            <w:noWrap w:val="0"/>
            <w:vAlign w:val="center"/>
          </w:tcPr>
          <w:p w14:paraId="2D91A79B">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纳税要求</w:t>
            </w:r>
          </w:p>
        </w:tc>
        <w:tc>
          <w:tcPr>
            <w:tcW w:w="5997" w:type="dxa"/>
            <w:noWrap w:val="0"/>
            <w:vAlign w:val="center"/>
          </w:tcPr>
          <w:p w14:paraId="05D29C2B">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1.2.10</w:t>
            </w:r>
            <w:r>
              <w:rPr>
                <w:rFonts w:hint="eastAsia" w:ascii="宋体" w:hAnsi="宋体" w:eastAsia="宋体" w:cs="宋体"/>
                <w:color w:val="auto"/>
                <w:kern w:val="0"/>
                <w:szCs w:val="21"/>
                <w:highlight w:val="none"/>
              </w:rPr>
              <w:t>项规定</w:t>
            </w:r>
          </w:p>
        </w:tc>
      </w:tr>
      <w:tr w14:paraId="53A8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2" w:type="dxa"/>
            <w:vMerge w:val="continue"/>
            <w:noWrap w:val="0"/>
            <w:vAlign w:val="center"/>
          </w:tcPr>
          <w:p w14:paraId="6388D4A7">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31" w:type="dxa"/>
            <w:noWrap w:val="0"/>
            <w:vAlign w:val="center"/>
          </w:tcPr>
          <w:p w14:paraId="353BD5B5">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社会保障资金</w:t>
            </w:r>
            <w:r>
              <w:rPr>
                <w:rFonts w:hint="eastAsia" w:ascii="宋体" w:hAnsi="宋体" w:eastAsia="宋体" w:cs="宋体"/>
                <w:color w:val="auto"/>
                <w:kern w:val="0"/>
                <w:szCs w:val="21"/>
                <w:highlight w:val="none"/>
              </w:rPr>
              <w:t>要求</w:t>
            </w:r>
          </w:p>
        </w:tc>
        <w:tc>
          <w:tcPr>
            <w:tcW w:w="5997" w:type="dxa"/>
            <w:noWrap w:val="0"/>
            <w:vAlign w:val="center"/>
          </w:tcPr>
          <w:p w14:paraId="2A97BC54">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1.2.10</w:t>
            </w:r>
            <w:r>
              <w:rPr>
                <w:rFonts w:hint="eastAsia" w:ascii="宋体" w:hAnsi="宋体" w:eastAsia="宋体" w:cs="宋体"/>
                <w:color w:val="auto"/>
                <w:kern w:val="0"/>
                <w:szCs w:val="21"/>
                <w:highlight w:val="none"/>
              </w:rPr>
              <w:t>项规定</w:t>
            </w:r>
          </w:p>
        </w:tc>
      </w:tr>
      <w:tr w14:paraId="2D25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2" w:type="dxa"/>
            <w:vMerge w:val="continue"/>
            <w:noWrap w:val="0"/>
            <w:vAlign w:val="center"/>
          </w:tcPr>
          <w:p w14:paraId="6BF4A941">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31" w:type="dxa"/>
            <w:noWrap w:val="0"/>
            <w:vAlign w:val="center"/>
          </w:tcPr>
          <w:p w14:paraId="3684E674">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具有履行合同所必需的设备和专业技术能力</w:t>
            </w:r>
          </w:p>
        </w:tc>
        <w:tc>
          <w:tcPr>
            <w:tcW w:w="5997" w:type="dxa"/>
            <w:noWrap w:val="0"/>
            <w:vAlign w:val="center"/>
          </w:tcPr>
          <w:p w14:paraId="4A35E499">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1.2.10</w:t>
            </w:r>
            <w:r>
              <w:rPr>
                <w:rFonts w:hint="eastAsia" w:ascii="宋体" w:hAnsi="宋体" w:eastAsia="宋体" w:cs="宋体"/>
                <w:color w:val="auto"/>
                <w:kern w:val="0"/>
                <w:szCs w:val="21"/>
                <w:highlight w:val="none"/>
              </w:rPr>
              <w:t>项规定</w:t>
            </w:r>
          </w:p>
        </w:tc>
      </w:tr>
      <w:tr w14:paraId="5D90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2" w:type="dxa"/>
            <w:vMerge w:val="continue"/>
            <w:noWrap w:val="0"/>
            <w:vAlign w:val="center"/>
          </w:tcPr>
          <w:p w14:paraId="53CFCDF5">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31" w:type="dxa"/>
            <w:noWrap w:val="0"/>
            <w:vAlign w:val="center"/>
          </w:tcPr>
          <w:p w14:paraId="1103523E">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参加政府采购活动前三年内，在经营活动中没有重大违法记录</w:t>
            </w:r>
          </w:p>
        </w:tc>
        <w:tc>
          <w:tcPr>
            <w:tcW w:w="5997" w:type="dxa"/>
            <w:noWrap w:val="0"/>
            <w:vAlign w:val="center"/>
          </w:tcPr>
          <w:p w14:paraId="16652BE2">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1.2.10</w:t>
            </w:r>
            <w:r>
              <w:rPr>
                <w:rFonts w:hint="eastAsia" w:ascii="宋体" w:hAnsi="宋体" w:eastAsia="宋体" w:cs="宋体"/>
                <w:color w:val="auto"/>
                <w:kern w:val="0"/>
                <w:szCs w:val="21"/>
                <w:highlight w:val="none"/>
              </w:rPr>
              <w:t>项规定</w:t>
            </w:r>
          </w:p>
        </w:tc>
      </w:tr>
      <w:tr w14:paraId="466F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2" w:type="dxa"/>
            <w:vMerge w:val="continue"/>
            <w:noWrap w:val="0"/>
            <w:vAlign w:val="center"/>
          </w:tcPr>
          <w:p w14:paraId="41DF5614">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31" w:type="dxa"/>
            <w:noWrap w:val="0"/>
            <w:vAlign w:val="center"/>
          </w:tcPr>
          <w:p w14:paraId="1F739D0E">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特定资格条件</w:t>
            </w:r>
          </w:p>
        </w:tc>
        <w:tc>
          <w:tcPr>
            <w:tcW w:w="5997" w:type="dxa"/>
            <w:noWrap w:val="0"/>
            <w:vAlign w:val="center"/>
          </w:tcPr>
          <w:p w14:paraId="6EC90EEA">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1.2.10</w:t>
            </w:r>
            <w:r>
              <w:rPr>
                <w:rFonts w:hint="eastAsia" w:ascii="宋体" w:hAnsi="宋体" w:eastAsia="宋体" w:cs="宋体"/>
                <w:color w:val="auto"/>
                <w:kern w:val="0"/>
                <w:szCs w:val="21"/>
                <w:highlight w:val="none"/>
              </w:rPr>
              <w:t>项规定</w:t>
            </w:r>
          </w:p>
        </w:tc>
      </w:tr>
      <w:tr w14:paraId="16DC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2" w:type="dxa"/>
            <w:vMerge w:val="continue"/>
            <w:noWrap w:val="0"/>
            <w:vAlign w:val="center"/>
          </w:tcPr>
          <w:p w14:paraId="6C44745F">
            <w:pPr>
              <w:pageBreakBefore w:val="0"/>
              <w:widowControl/>
              <w:kinsoku/>
              <w:overflowPunct/>
              <w:bidi w:val="0"/>
              <w:spacing w:line="360" w:lineRule="auto"/>
              <w:jc w:val="center"/>
              <w:rPr>
                <w:rFonts w:hint="eastAsia" w:ascii="宋体" w:hAnsi="宋体" w:eastAsia="宋体" w:cs="宋体"/>
                <w:color w:val="auto"/>
                <w:kern w:val="0"/>
                <w:szCs w:val="21"/>
                <w:highlight w:val="none"/>
              </w:rPr>
            </w:pPr>
            <w:bookmarkStart w:id="561" w:name="_Toc16266"/>
            <w:bookmarkStart w:id="562" w:name="_Toc2378"/>
            <w:bookmarkStart w:id="563" w:name="_Toc25514"/>
            <w:bookmarkStart w:id="564" w:name="_Toc16293"/>
            <w:bookmarkStart w:id="565" w:name="_Toc16607"/>
            <w:bookmarkStart w:id="566" w:name="_Toc465"/>
            <w:bookmarkStart w:id="567" w:name="_Toc19241"/>
            <w:bookmarkStart w:id="568" w:name="_Toc21337"/>
            <w:bookmarkStart w:id="569" w:name="_Toc23399"/>
            <w:bookmarkStart w:id="570" w:name="_Toc1301"/>
          </w:p>
        </w:tc>
        <w:tc>
          <w:tcPr>
            <w:tcW w:w="2431" w:type="dxa"/>
            <w:noWrap w:val="0"/>
            <w:vAlign w:val="center"/>
          </w:tcPr>
          <w:p w14:paraId="1EB5E02C">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其他要求</w:t>
            </w:r>
          </w:p>
        </w:tc>
        <w:tc>
          <w:tcPr>
            <w:tcW w:w="5997" w:type="dxa"/>
            <w:noWrap w:val="0"/>
            <w:vAlign w:val="center"/>
          </w:tcPr>
          <w:p w14:paraId="7E89D8A2">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1.2.10</w:t>
            </w:r>
            <w:r>
              <w:rPr>
                <w:rFonts w:hint="eastAsia" w:ascii="宋体" w:hAnsi="宋体" w:eastAsia="宋体" w:cs="宋体"/>
                <w:color w:val="auto"/>
                <w:kern w:val="0"/>
                <w:szCs w:val="21"/>
                <w:highlight w:val="none"/>
              </w:rPr>
              <w:t>项规定</w:t>
            </w:r>
          </w:p>
        </w:tc>
      </w:tr>
    </w:tbl>
    <w:p w14:paraId="0F9A1CA0">
      <w:pPr>
        <w:pStyle w:val="6"/>
        <w:pageBreakBefore w:val="0"/>
        <w:numPr>
          <w:ilvl w:val="0"/>
          <w:numId w:val="18"/>
        </w:numPr>
        <w:kinsoku/>
        <w:overflowPunct/>
        <w:bidi w:val="0"/>
        <w:spacing w:line="360" w:lineRule="auto"/>
        <w:rPr>
          <w:rFonts w:hint="eastAsia" w:ascii="宋体" w:hAnsi="宋体" w:eastAsia="宋体" w:cs="宋体"/>
          <w:color w:val="auto"/>
          <w:highlight w:val="none"/>
          <w:lang w:val="en-US" w:eastAsia="zh-CN"/>
        </w:rPr>
      </w:pPr>
      <w:bookmarkStart w:id="571" w:name="_Toc11008"/>
      <w:bookmarkStart w:id="572" w:name="_Toc15430"/>
      <w:r>
        <w:rPr>
          <w:rFonts w:hint="eastAsia" w:ascii="宋体" w:hAnsi="宋体" w:eastAsia="宋体" w:cs="宋体"/>
          <w:b/>
          <w:bCs w:val="0"/>
          <w:color w:val="auto"/>
          <w:kern w:val="2"/>
          <w:sz w:val="24"/>
          <w:szCs w:val="24"/>
          <w:highlight w:val="none"/>
          <w:lang w:val="en-US" w:eastAsia="zh-CN" w:bidi="ar-SA"/>
        </w:rPr>
        <w:t>资格审查</w:t>
      </w:r>
      <w:bookmarkEnd w:id="561"/>
      <w:bookmarkEnd w:id="562"/>
      <w:bookmarkEnd w:id="563"/>
      <w:bookmarkEnd w:id="564"/>
      <w:bookmarkEnd w:id="565"/>
      <w:bookmarkEnd w:id="566"/>
      <w:bookmarkEnd w:id="567"/>
      <w:bookmarkEnd w:id="568"/>
      <w:bookmarkEnd w:id="569"/>
      <w:bookmarkEnd w:id="570"/>
      <w:bookmarkEnd w:id="571"/>
      <w:bookmarkEnd w:id="572"/>
    </w:p>
    <w:p w14:paraId="203FA4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开标结束后</w:t>
      </w:r>
      <w:r>
        <w:rPr>
          <w:rFonts w:hint="eastAsia" w:ascii="宋体" w:hAnsi="宋体" w:eastAsia="宋体" w:cs="宋体"/>
          <w:color w:val="auto"/>
          <w:highlight w:val="none"/>
          <w:lang w:eastAsia="zh-CN"/>
        </w:rPr>
        <w:t>，采购人或者采购代理机构应当依法对投标人的资格进行审查。</w:t>
      </w:r>
    </w:p>
    <w:p w14:paraId="33572F85">
      <w:pPr>
        <w:pStyle w:val="6"/>
        <w:pageBreakBefore w:val="0"/>
        <w:numPr>
          <w:ilvl w:val="0"/>
          <w:numId w:val="18"/>
        </w:numPr>
        <w:kinsoku/>
        <w:overflowPunct/>
        <w:bidi w:val="0"/>
        <w:spacing w:line="360" w:lineRule="auto"/>
        <w:rPr>
          <w:rFonts w:hint="eastAsia" w:ascii="宋体" w:hAnsi="宋体" w:eastAsia="宋体" w:cs="宋体"/>
          <w:color w:val="auto"/>
          <w:highlight w:val="none"/>
          <w:lang w:val="en-US" w:eastAsia="zh-CN"/>
        </w:rPr>
      </w:pPr>
      <w:bookmarkStart w:id="573" w:name="_Toc11928"/>
      <w:r>
        <w:rPr>
          <w:rFonts w:hint="eastAsia" w:ascii="宋体" w:hAnsi="宋体" w:eastAsia="宋体" w:cs="宋体"/>
          <w:color w:val="auto"/>
          <w:highlight w:val="none"/>
          <w:lang w:val="en-US" w:eastAsia="zh-CN"/>
        </w:rPr>
        <w:t>资格审查标准</w:t>
      </w:r>
      <w:bookmarkEnd w:id="573"/>
    </w:p>
    <w:p w14:paraId="4DE19442">
      <w:pPr>
        <w:pageBreakBefore w:val="0"/>
        <w:kinsoku/>
        <w:overflowPunct/>
        <w:autoSpaceDE w:val="0"/>
        <w:autoSpaceDN w:val="0"/>
        <w:bidi w:val="0"/>
        <w:adjustRightInd w:val="0"/>
        <w:spacing w:line="360" w:lineRule="auto"/>
        <w:ind w:right="-2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资格审查标准：见资格审查</w:t>
      </w:r>
      <w:r>
        <w:rPr>
          <w:rFonts w:hint="eastAsia" w:ascii="宋体" w:hAnsi="宋体" w:eastAsia="宋体" w:cs="宋体"/>
          <w:color w:val="auto"/>
          <w:kern w:val="0"/>
          <w:szCs w:val="21"/>
          <w:highlight w:val="none"/>
          <w:lang w:eastAsia="zh-CN"/>
        </w:rPr>
        <w:t>前附</w:t>
      </w:r>
      <w:r>
        <w:rPr>
          <w:rFonts w:hint="eastAsia" w:ascii="宋体" w:hAnsi="宋体" w:eastAsia="宋体" w:cs="宋体"/>
          <w:color w:val="auto"/>
          <w:kern w:val="0"/>
          <w:szCs w:val="21"/>
          <w:highlight w:val="none"/>
        </w:rPr>
        <w:t>表。</w:t>
      </w:r>
    </w:p>
    <w:p w14:paraId="1720D54C">
      <w:pPr>
        <w:pStyle w:val="6"/>
        <w:pageBreakBefore w:val="0"/>
        <w:numPr>
          <w:ilvl w:val="0"/>
          <w:numId w:val="18"/>
        </w:numPr>
        <w:kinsoku/>
        <w:overflowPunct/>
        <w:bidi w:val="0"/>
        <w:spacing w:line="360" w:lineRule="auto"/>
        <w:rPr>
          <w:rFonts w:hint="eastAsia" w:ascii="宋体" w:hAnsi="宋体" w:eastAsia="宋体" w:cs="宋体"/>
          <w:color w:val="auto"/>
          <w:highlight w:val="none"/>
          <w:lang w:val="en-US" w:eastAsia="zh-CN"/>
        </w:rPr>
      </w:pPr>
      <w:bookmarkStart w:id="574" w:name="_Toc5940"/>
      <w:bookmarkStart w:id="575" w:name="_Toc920"/>
      <w:bookmarkStart w:id="576" w:name="_Toc32375"/>
      <w:bookmarkStart w:id="577" w:name="_Toc19383"/>
      <w:bookmarkStart w:id="578" w:name="_Toc14072"/>
      <w:bookmarkStart w:id="579" w:name="_Toc2874"/>
      <w:bookmarkStart w:id="580" w:name="_Toc18436"/>
      <w:bookmarkStart w:id="581" w:name="_Toc10180"/>
      <w:bookmarkStart w:id="582" w:name="_Toc16031"/>
      <w:bookmarkStart w:id="583" w:name="_Toc2259"/>
      <w:bookmarkStart w:id="584" w:name="_Toc2029"/>
      <w:bookmarkStart w:id="585" w:name="_Toc13549"/>
      <w:r>
        <w:rPr>
          <w:rFonts w:hint="eastAsia" w:ascii="宋体" w:hAnsi="宋体" w:eastAsia="宋体" w:cs="宋体"/>
          <w:color w:val="auto"/>
          <w:highlight w:val="none"/>
          <w:lang w:val="en-US" w:eastAsia="zh-CN"/>
        </w:rPr>
        <w:t>资格审查程序</w:t>
      </w:r>
      <w:bookmarkEnd w:id="574"/>
      <w:bookmarkEnd w:id="575"/>
      <w:bookmarkEnd w:id="576"/>
      <w:bookmarkEnd w:id="577"/>
      <w:bookmarkEnd w:id="578"/>
      <w:bookmarkEnd w:id="579"/>
      <w:bookmarkEnd w:id="580"/>
      <w:bookmarkEnd w:id="581"/>
      <w:bookmarkEnd w:id="582"/>
      <w:bookmarkEnd w:id="583"/>
      <w:bookmarkEnd w:id="584"/>
      <w:bookmarkEnd w:id="585"/>
    </w:p>
    <w:p w14:paraId="00ABF885">
      <w:pPr>
        <w:pageBreakBefore w:val="0"/>
        <w:kinsoku/>
        <w:overflowPunct/>
        <w:autoSpaceDE w:val="0"/>
        <w:autoSpaceDN w:val="0"/>
        <w:bidi w:val="0"/>
        <w:adjustRightInd w:val="0"/>
        <w:spacing w:line="360" w:lineRule="auto"/>
        <w:ind w:right="40" w:firstLine="412"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pacing w:val="-2"/>
          <w:kern w:val="0"/>
          <w:szCs w:val="21"/>
          <w:highlight w:val="none"/>
        </w:rPr>
        <w:t>资格审查</w:t>
      </w:r>
      <w:r>
        <w:rPr>
          <w:rFonts w:hint="eastAsia" w:ascii="宋体" w:hAnsi="宋体" w:eastAsia="宋体" w:cs="宋体"/>
          <w:color w:val="auto"/>
          <w:spacing w:val="-2"/>
          <w:kern w:val="0"/>
          <w:szCs w:val="21"/>
          <w:highlight w:val="none"/>
          <w:lang w:eastAsia="zh-CN"/>
        </w:rPr>
        <w:t>人员</w:t>
      </w:r>
      <w:r>
        <w:rPr>
          <w:rFonts w:hint="eastAsia" w:ascii="宋体" w:hAnsi="宋体" w:eastAsia="宋体" w:cs="宋体"/>
          <w:color w:val="auto"/>
          <w:spacing w:val="-2"/>
          <w:kern w:val="0"/>
          <w:szCs w:val="21"/>
          <w:highlight w:val="none"/>
        </w:rPr>
        <w:t>依</w:t>
      </w:r>
      <w:r>
        <w:rPr>
          <w:rFonts w:hint="eastAsia" w:ascii="宋体" w:hAnsi="宋体" w:eastAsia="宋体" w:cs="宋体"/>
          <w:color w:val="auto"/>
          <w:kern w:val="0"/>
          <w:szCs w:val="21"/>
          <w:highlight w:val="none"/>
        </w:rPr>
        <w:t>据本</w:t>
      </w:r>
      <w:r>
        <w:rPr>
          <w:rFonts w:hint="eastAsia" w:ascii="宋体" w:hAnsi="宋体" w:eastAsia="宋体" w:cs="宋体"/>
          <w:color w:val="auto"/>
          <w:spacing w:val="-2"/>
          <w:kern w:val="0"/>
          <w:szCs w:val="21"/>
          <w:highlight w:val="none"/>
        </w:rPr>
        <w:t>章</w:t>
      </w:r>
      <w:r>
        <w:rPr>
          <w:rFonts w:hint="eastAsia" w:ascii="宋体" w:hAnsi="宋体" w:eastAsia="宋体" w:cs="宋体"/>
          <w:color w:val="auto"/>
          <w:kern w:val="0"/>
          <w:szCs w:val="21"/>
          <w:highlight w:val="none"/>
        </w:rPr>
        <w:t>资格审查</w:t>
      </w:r>
      <w:r>
        <w:rPr>
          <w:rFonts w:hint="eastAsia" w:ascii="宋体" w:hAnsi="宋体" w:eastAsia="宋体" w:cs="宋体"/>
          <w:color w:val="auto"/>
          <w:kern w:val="0"/>
          <w:szCs w:val="21"/>
          <w:highlight w:val="none"/>
          <w:lang w:eastAsia="zh-CN"/>
        </w:rPr>
        <w:t>前附</w:t>
      </w:r>
      <w:r>
        <w:rPr>
          <w:rFonts w:hint="eastAsia" w:ascii="宋体" w:hAnsi="宋体" w:eastAsia="宋体" w:cs="宋体"/>
          <w:color w:val="auto"/>
          <w:kern w:val="0"/>
          <w:szCs w:val="21"/>
          <w:highlight w:val="none"/>
        </w:rPr>
        <w:t>表</w:t>
      </w:r>
      <w:r>
        <w:rPr>
          <w:rFonts w:hint="eastAsia" w:ascii="宋体" w:hAnsi="宋体" w:eastAsia="宋体" w:cs="宋体"/>
          <w:color w:val="auto"/>
          <w:spacing w:val="-2"/>
          <w:kern w:val="0"/>
          <w:szCs w:val="21"/>
          <w:highlight w:val="none"/>
        </w:rPr>
        <w:t>规</w:t>
      </w:r>
      <w:r>
        <w:rPr>
          <w:rFonts w:hint="eastAsia" w:ascii="宋体" w:hAnsi="宋体" w:eastAsia="宋体" w:cs="宋体"/>
          <w:color w:val="auto"/>
          <w:kern w:val="0"/>
          <w:szCs w:val="21"/>
          <w:highlight w:val="none"/>
        </w:rPr>
        <w:t>定</w:t>
      </w:r>
      <w:r>
        <w:rPr>
          <w:rFonts w:hint="eastAsia" w:ascii="宋体" w:hAnsi="宋体" w:eastAsia="宋体" w:cs="宋体"/>
          <w:color w:val="auto"/>
          <w:spacing w:val="-2"/>
          <w:kern w:val="0"/>
          <w:szCs w:val="21"/>
          <w:highlight w:val="none"/>
        </w:rPr>
        <w:t>的标</w:t>
      </w:r>
      <w:r>
        <w:rPr>
          <w:rFonts w:hint="eastAsia" w:ascii="宋体" w:hAnsi="宋体" w:eastAsia="宋体" w:cs="宋体"/>
          <w:color w:val="auto"/>
          <w:kern w:val="0"/>
          <w:szCs w:val="21"/>
          <w:highlight w:val="none"/>
        </w:rPr>
        <w:t>准对</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r>
        <w:rPr>
          <w:rFonts w:hint="eastAsia" w:ascii="宋体" w:hAnsi="宋体" w:eastAsia="宋体" w:cs="宋体"/>
          <w:color w:val="auto"/>
          <w:spacing w:val="-2"/>
          <w:kern w:val="0"/>
          <w:szCs w:val="21"/>
          <w:highlight w:val="none"/>
        </w:rPr>
        <w:t>进</w:t>
      </w:r>
      <w:r>
        <w:rPr>
          <w:rFonts w:hint="eastAsia" w:ascii="宋体" w:hAnsi="宋体" w:eastAsia="宋体" w:cs="宋体"/>
          <w:color w:val="auto"/>
          <w:kern w:val="0"/>
          <w:szCs w:val="21"/>
          <w:highlight w:val="none"/>
        </w:rPr>
        <w:t>行</w:t>
      </w:r>
      <w:r>
        <w:rPr>
          <w:rFonts w:hint="eastAsia" w:ascii="宋体" w:hAnsi="宋体" w:eastAsia="宋体" w:cs="宋体"/>
          <w:color w:val="auto"/>
          <w:spacing w:val="-2"/>
          <w:kern w:val="0"/>
          <w:szCs w:val="21"/>
          <w:highlight w:val="none"/>
        </w:rPr>
        <w:t>资</w:t>
      </w:r>
      <w:r>
        <w:rPr>
          <w:rFonts w:hint="eastAsia" w:ascii="宋体" w:hAnsi="宋体" w:eastAsia="宋体" w:cs="宋体"/>
          <w:color w:val="auto"/>
          <w:kern w:val="0"/>
          <w:szCs w:val="21"/>
          <w:highlight w:val="none"/>
        </w:rPr>
        <w:t>格审查，以确定投标人是否具备投标资格，有一项不符合评审标准的，资格审查</w:t>
      </w:r>
      <w:r>
        <w:rPr>
          <w:rFonts w:hint="eastAsia" w:ascii="宋体" w:hAnsi="宋体" w:eastAsia="宋体" w:cs="宋体"/>
          <w:color w:val="auto"/>
          <w:kern w:val="0"/>
          <w:szCs w:val="21"/>
          <w:highlight w:val="none"/>
          <w:lang w:eastAsia="zh-CN"/>
        </w:rPr>
        <w:t>人员</w:t>
      </w:r>
      <w:r>
        <w:rPr>
          <w:rFonts w:hint="eastAsia" w:ascii="宋体" w:hAnsi="宋体" w:eastAsia="宋体" w:cs="宋体"/>
          <w:color w:val="auto"/>
          <w:kern w:val="0"/>
          <w:szCs w:val="21"/>
          <w:highlight w:val="none"/>
        </w:rPr>
        <w:t>应当认定其</w:t>
      </w:r>
      <w:r>
        <w:rPr>
          <w:rFonts w:hint="eastAsia" w:ascii="宋体" w:hAnsi="宋体" w:eastAsia="宋体" w:cs="宋体"/>
          <w:b/>
          <w:bCs/>
          <w:color w:val="auto"/>
          <w:kern w:val="0"/>
          <w:szCs w:val="21"/>
          <w:highlight w:val="none"/>
        </w:rPr>
        <w:t>投标无效</w:t>
      </w:r>
      <w:r>
        <w:rPr>
          <w:rFonts w:hint="eastAsia" w:ascii="宋体" w:hAnsi="宋体" w:eastAsia="宋体" w:cs="宋体"/>
          <w:color w:val="auto"/>
          <w:kern w:val="0"/>
          <w:szCs w:val="21"/>
          <w:highlight w:val="none"/>
        </w:rPr>
        <w:t>，合格投标人不足3家的，不得评标。</w:t>
      </w:r>
    </w:p>
    <w:p w14:paraId="48D3C2B4">
      <w:pPr>
        <w:pStyle w:val="4"/>
        <w:pageBreakBefore w:val="0"/>
        <w:kinsoku/>
        <w:overflowPunct/>
        <w:bidi w:val="0"/>
        <w:spacing w:line="360" w:lineRule="auto"/>
        <w:rPr>
          <w:rStyle w:val="52"/>
          <w:rFonts w:hint="eastAsia" w:ascii="宋体" w:hAnsi="宋体" w:eastAsia="宋体" w:cs="宋体"/>
          <w:b/>
          <w:color w:val="auto"/>
          <w:szCs w:val="22"/>
          <w:highlight w:val="none"/>
          <w:lang w:val="en-US" w:eastAsia="zh-CN" w:bidi="ar-SA"/>
        </w:rPr>
      </w:pPr>
      <w:bookmarkStart w:id="586" w:name="_Toc23230"/>
      <w:bookmarkStart w:id="587" w:name="_Toc3310"/>
      <w:bookmarkStart w:id="588" w:name="_Toc21593"/>
      <w:bookmarkStart w:id="589" w:name="_Toc29893"/>
      <w:bookmarkStart w:id="590" w:name="_Toc12137"/>
      <w:bookmarkStart w:id="591" w:name="_Toc8280"/>
      <w:bookmarkStart w:id="592" w:name="_Toc11542"/>
      <w:bookmarkStart w:id="593" w:name="_Toc2610"/>
      <w:bookmarkStart w:id="594" w:name="_Toc19252"/>
      <w:bookmarkStart w:id="595" w:name="_Toc8631"/>
      <w:bookmarkStart w:id="596" w:name="_Toc18033"/>
      <w:r>
        <w:rPr>
          <w:rFonts w:hint="eastAsia" w:ascii="宋体" w:hAnsi="宋体" w:eastAsia="宋体" w:cs="宋体"/>
          <w:color w:val="auto"/>
          <w:sz w:val="32"/>
          <w:szCs w:val="32"/>
          <w:highlight w:val="none"/>
          <w:lang w:eastAsia="zh-CN"/>
        </w:rPr>
        <w:br w:type="page"/>
      </w:r>
      <w:bookmarkStart w:id="597" w:name="_Toc3653"/>
      <w:bookmarkStart w:id="598" w:name="_Toc9104"/>
      <w:r>
        <w:rPr>
          <w:rFonts w:hint="eastAsia" w:ascii="宋体" w:hAnsi="宋体" w:eastAsia="宋体" w:cs="宋体"/>
          <w:color w:val="auto"/>
          <w:sz w:val="32"/>
          <w:szCs w:val="32"/>
          <w:highlight w:val="none"/>
          <w:lang w:eastAsia="zh-CN"/>
        </w:rPr>
        <w:t>第四章</w:t>
      </w:r>
      <w:r>
        <w:rPr>
          <w:rFonts w:hint="eastAsia" w:ascii="宋体" w:hAnsi="宋体" w:eastAsia="宋体" w:cs="宋体"/>
          <w:color w:val="auto"/>
          <w:sz w:val="32"/>
          <w:szCs w:val="32"/>
          <w:highlight w:val="none"/>
          <w:lang w:val="en-US" w:eastAsia="zh-CN"/>
        </w:rPr>
        <w:t xml:space="preserve"> 评标办法（综合评分法）</w:t>
      </w:r>
      <w:bookmarkEnd w:id="597"/>
      <w:bookmarkEnd w:id="598"/>
    </w:p>
    <w:p w14:paraId="3F235018">
      <w:pPr>
        <w:pStyle w:val="6"/>
        <w:pageBreakBefore w:val="0"/>
        <w:numPr>
          <w:ilvl w:val="0"/>
          <w:numId w:val="0"/>
        </w:numPr>
        <w:kinsoku/>
        <w:overflowPunct/>
        <w:bidi w:val="0"/>
        <w:spacing w:line="360" w:lineRule="auto"/>
        <w:ind w:left="482" w:leftChars="0"/>
        <w:jc w:val="center"/>
        <w:rPr>
          <w:rFonts w:hint="eastAsia" w:ascii="宋体" w:hAnsi="宋体" w:eastAsia="宋体" w:cs="宋体"/>
          <w:color w:val="auto"/>
          <w:highlight w:val="none"/>
        </w:rPr>
      </w:pPr>
      <w:bookmarkStart w:id="599" w:name="_Toc1534"/>
      <w:bookmarkStart w:id="600" w:name="_Toc6633"/>
      <w:bookmarkStart w:id="601" w:name="_Toc12415"/>
      <w:bookmarkStart w:id="602" w:name="_Toc23659"/>
      <w:bookmarkStart w:id="603" w:name="_Toc22753"/>
      <w:bookmarkStart w:id="604" w:name="_Toc26967"/>
      <w:bookmarkStart w:id="605" w:name="_Toc22649"/>
      <w:bookmarkStart w:id="606" w:name="_Toc16950"/>
      <w:bookmarkStart w:id="607" w:name="_Toc3264"/>
      <w:bookmarkStart w:id="608" w:name="_Toc14114"/>
      <w:bookmarkStart w:id="609" w:name="_Toc4734"/>
      <w:bookmarkStart w:id="610" w:name="_Toc16535"/>
      <w:r>
        <w:rPr>
          <w:rFonts w:hint="eastAsia" w:ascii="宋体" w:hAnsi="宋体" w:eastAsia="宋体" w:cs="宋体"/>
          <w:color w:val="auto"/>
          <w:sz w:val="24"/>
          <w:szCs w:val="24"/>
          <w:highlight w:val="none"/>
          <w:lang w:val="en-US" w:eastAsia="zh-CN"/>
        </w:rPr>
        <w:t>评标办法前附表</w:t>
      </w:r>
      <w:bookmarkEnd w:id="599"/>
      <w:bookmarkEnd w:id="600"/>
      <w:bookmarkEnd w:id="601"/>
      <w:bookmarkEnd w:id="602"/>
      <w:bookmarkEnd w:id="603"/>
      <w:bookmarkEnd w:id="604"/>
      <w:bookmarkEnd w:id="605"/>
      <w:bookmarkEnd w:id="606"/>
      <w:bookmarkEnd w:id="607"/>
      <w:bookmarkEnd w:id="608"/>
      <w:bookmarkEnd w:id="609"/>
      <w:bookmarkEnd w:id="610"/>
    </w:p>
    <w:tbl>
      <w:tblPr>
        <w:tblStyle w:val="3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0"/>
        <w:gridCol w:w="850"/>
        <w:gridCol w:w="2126"/>
        <w:gridCol w:w="5245"/>
      </w:tblGrid>
      <w:tr w14:paraId="76EA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3"/>
            <w:noWrap w:val="0"/>
            <w:vAlign w:val="center"/>
          </w:tcPr>
          <w:p w14:paraId="50D17EBB">
            <w:pPr>
              <w:pageBreakBefore w:val="0"/>
              <w:widowControl/>
              <w:kinsoku/>
              <w:overflowPunct/>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条款号</w:t>
            </w:r>
          </w:p>
        </w:tc>
        <w:tc>
          <w:tcPr>
            <w:tcW w:w="2126" w:type="dxa"/>
            <w:noWrap w:val="0"/>
            <w:vAlign w:val="center"/>
          </w:tcPr>
          <w:p w14:paraId="52A60464">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评审因素</w:t>
            </w:r>
          </w:p>
        </w:tc>
        <w:tc>
          <w:tcPr>
            <w:tcW w:w="5245" w:type="dxa"/>
            <w:noWrap w:val="0"/>
            <w:vAlign w:val="center"/>
          </w:tcPr>
          <w:p w14:paraId="5E736FBA">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评审标准</w:t>
            </w:r>
          </w:p>
        </w:tc>
      </w:tr>
      <w:tr w14:paraId="7999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restart"/>
            <w:noWrap w:val="0"/>
            <w:vAlign w:val="center"/>
          </w:tcPr>
          <w:p w14:paraId="797C5807">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850" w:type="dxa"/>
            <w:vMerge w:val="restart"/>
            <w:noWrap w:val="0"/>
            <w:vAlign w:val="center"/>
          </w:tcPr>
          <w:p w14:paraId="2EE1EFE9">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符合性审查</w:t>
            </w:r>
            <w:r>
              <w:rPr>
                <w:rFonts w:hint="eastAsia" w:ascii="宋体" w:hAnsi="宋体" w:eastAsia="宋体" w:cs="宋体"/>
                <w:color w:val="auto"/>
                <w:kern w:val="0"/>
                <w:szCs w:val="21"/>
                <w:highlight w:val="none"/>
              </w:rPr>
              <w:t>标准</w:t>
            </w:r>
          </w:p>
        </w:tc>
        <w:tc>
          <w:tcPr>
            <w:tcW w:w="2126" w:type="dxa"/>
            <w:noWrap w:val="0"/>
            <w:vAlign w:val="center"/>
          </w:tcPr>
          <w:p w14:paraId="10FE59C5">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w:t>
            </w:r>
            <w:r>
              <w:rPr>
                <w:rFonts w:hint="eastAsia" w:ascii="宋体" w:hAnsi="宋体" w:eastAsia="宋体" w:cs="宋体"/>
                <w:color w:val="auto"/>
                <w:kern w:val="0"/>
                <w:szCs w:val="21"/>
                <w:highlight w:val="none"/>
                <w:lang w:eastAsia="zh-CN"/>
              </w:rPr>
              <w:t>签署、</w:t>
            </w:r>
            <w:r>
              <w:rPr>
                <w:rFonts w:hint="eastAsia" w:ascii="宋体" w:hAnsi="宋体" w:eastAsia="宋体" w:cs="宋体"/>
                <w:color w:val="auto"/>
                <w:kern w:val="0"/>
                <w:szCs w:val="21"/>
                <w:highlight w:val="none"/>
              </w:rPr>
              <w:t>盖章</w:t>
            </w:r>
          </w:p>
        </w:tc>
        <w:tc>
          <w:tcPr>
            <w:tcW w:w="5245" w:type="dxa"/>
            <w:noWrap w:val="0"/>
            <w:vAlign w:val="center"/>
          </w:tcPr>
          <w:p w14:paraId="21A3CA3B">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投标文件按招标文件要求签署、盖章</w:t>
            </w:r>
          </w:p>
        </w:tc>
      </w:tr>
      <w:tr w14:paraId="6FD7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noWrap w:val="0"/>
            <w:vAlign w:val="center"/>
          </w:tcPr>
          <w:p w14:paraId="52BD1E6F">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noWrap w:val="0"/>
            <w:vAlign w:val="center"/>
          </w:tcPr>
          <w:p w14:paraId="2C3BEFBE">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3E1F8E44">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投标文件格式</w:t>
            </w:r>
          </w:p>
        </w:tc>
        <w:tc>
          <w:tcPr>
            <w:tcW w:w="5245" w:type="dxa"/>
            <w:noWrap w:val="0"/>
            <w:vAlign w:val="center"/>
          </w:tcPr>
          <w:p w14:paraId="50EEB413">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符合招标文件中提供的投标文件格式</w:t>
            </w:r>
          </w:p>
        </w:tc>
      </w:tr>
      <w:tr w14:paraId="20C5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noWrap w:val="0"/>
            <w:vAlign w:val="center"/>
          </w:tcPr>
          <w:p w14:paraId="2455B0A2">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noWrap w:val="0"/>
            <w:vAlign w:val="center"/>
          </w:tcPr>
          <w:p w14:paraId="61C4D238">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1454CB34">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投标承诺函</w:t>
            </w:r>
          </w:p>
        </w:tc>
        <w:tc>
          <w:tcPr>
            <w:tcW w:w="5245" w:type="dxa"/>
            <w:noWrap w:val="0"/>
            <w:vAlign w:val="center"/>
          </w:tcPr>
          <w:p w14:paraId="21F9B585">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按照招标文件的规定提交</w:t>
            </w:r>
            <w:r>
              <w:rPr>
                <w:rFonts w:hint="eastAsia" w:ascii="宋体" w:hAnsi="宋体" w:eastAsia="宋体" w:cs="宋体"/>
                <w:color w:val="auto"/>
                <w:kern w:val="0"/>
                <w:szCs w:val="21"/>
                <w:highlight w:val="none"/>
                <w:lang w:val="en-US" w:eastAsia="zh-CN"/>
              </w:rPr>
              <w:t>投标承诺函</w:t>
            </w:r>
          </w:p>
        </w:tc>
      </w:tr>
      <w:tr w14:paraId="16A2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noWrap w:val="0"/>
            <w:vAlign w:val="center"/>
          </w:tcPr>
          <w:p w14:paraId="44710AA2">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noWrap w:val="0"/>
            <w:vAlign w:val="center"/>
          </w:tcPr>
          <w:p w14:paraId="5BF4D8D1">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3FDE2378">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报价唯一</w:t>
            </w:r>
          </w:p>
        </w:tc>
        <w:tc>
          <w:tcPr>
            <w:tcW w:w="5245" w:type="dxa"/>
            <w:noWrap w:val="0"/>
            <w:vAlign w:val="center"/>
          </w:tcPr>
          <w:p w14:paraId="13120FBB">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只能有一个有效报价</w:t>
            </w:r>
          </w:p>
        </w:tc>
      </w:tr>
      <w:tr w14:paraId="3AA9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noWrap w:val="0"/>
            <w:vAlign w:val="center"/>
          </w:tcPr>
          <w:p w14:paraId="236C0EB0">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noWrap w:val="0"/>
            <w:vAlign w:val="center"/>
          </w:tcPr>
          <w:p w14:paraId="6D2D548A">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0ABF001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5245" w:type="dxa"/>
            <w:noWrap w:val="0"/>
            <w:vAlign w:val="center"/>
          </w:tcPr>
          <w:p w14:paraId="3947B725">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报价未超过招标文件中规定的</w:t>
            </w:r>
            <w:r>
              <w:rPr>
                <w:rFonts w:hint="eastAsia" w:ascii="宋体" w:hAnsi="宋体" w:eastAsia="宋体" w:cs="宋体"/>
                <w:color w:val="auto"/>
                <w:kern w:val="0"/>
                <w:szCs w:val="21"/>
                <w:highlight w:val="none"/>
                <w:lang w:val="en-US" w:eastAsia="zh-CN"/>
              </w:rPr>
              <w:t>采购预算或</w:t>
            </w:r>
            <w:r>
              <w:rPr>
                <w:rFonts w:hint="eastAsia" w:ascii="宋体" w:hAnsi="宋体" w:eastAsia="宋体" w:cs="宋体"/>
                <w:color w:val="auto"/>
                <w:kern w:val="0"/>
                <w:szCs w:val="21"/>
                <w:highlight w:val="none"/>
              </w:rPr>
              <w:t>最高限价</w:t>
            </w:r>
          </w:p>
        </w:tc>
      </w:tr>
      <w:tr w14:paraId="2C79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noWrap w:val="0"/>
            <w:vAlign w:val="center"/>
          </w:tcPr>
          <w:p w14:paraId="35A73791">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noWrap w:val="0"/>
            <w:vAlign w:val="center"/>
          </w:tcPr>
          <w:p w14:paraId="2215FCB4">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119DAAF8">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投标内容</w:t>
            </w:r>
          </w:p>
        </w:tc>
        <w:tc>
          <w:tcPr>
            <w:tcW w:w="5245" w:type="dxa"/>
            <w:noWrap w:val="0"/>
            <w:vAlign w:val="center"/>
          </w:tcPr>
          <w:p w14:paraId="2B22483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1.2.4</w:t>
            </w:r>
            <w:r>
              <w:rPr>
                <w:rFonts w:hint="eastAsia" w:ascii="宋体" w:hAnsi="宋体" w:eastAsia="宋体" w:cs="宋体"/>
                <w:color w:val="auto"/>
                <w:kern w:val="0"/>
                <w:szCs w:val="21"/>
                <w:highlight w:val="none"/>
              </w:rPr>
              <w:t>项规定</w:t>
            </w:r>
          </w:p>
        </w:tc>
      </w:tr>
      <w:tr w14:paraId="0E54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noWrap w:val="0"/>
            <w:vAlign w:val="center"/>
          </w:tcPr>
          <w:p w14:paraId="7C4CEE2A">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noWrap w:val="0"/>
            <w:vAlign w:val="center"/>
          </w:tcPr>
          <w:p w14:paraId="32E8CA54">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540DC7E7">
            <w:pPr>
              <w:pageBreakBefore w:val="0"/>
              <w:widowControl/>
              <w:kinsoku/>
              <w:overflowPunct/>
              <w:bidi w:val="0"/>
              <w:spacing w:line="360" w:lineRule="auto"/>
              <w:jc w:val="center"/>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交货及安装调试期</w:t>
            </w:r>
          </w:p>
        </w:tc>
        <w:tc>
          <w:tcPr>
            <w:tcW w:w="5245" w:type="dxa"/>
            <w:noWrap w:val="0"/>
            <w:vAlign w:val="center"/>
          </w:tcPr>
          <w:p w14:paraId="442921AC">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1.2.6</w:t>
            </w:r>
            <w:r>
              <w:rPr>
                <w:rFonts w:hint="eastAsia" w:ascii="宋体" w:hAnsi="宋体" w:eastAsia="宋体" w:cs="宋体"/>
                <w:color w:val="auto"/>
                <w:kern w:val="0"/>
                <w:szCs w:val="21"/>
                <w:highlight w:val="none"/>
              </w:rPr>
              <w:t>项规定</w:t>
            </w:r>
          </w:p>
        </w:tc>
      </w:tr>
      <w:tr w14:paraId="747F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noWrap w:val="0"/>
            <w:vAlign w:val="center"/>
          </w:tcPr>
          <w:p w14:paraId="22C94D5E">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noWrap w:val="0"/>
            <w:vAlign w:val="center"/>
          </w:tcPr>
          <w:p w14:paraId="7F8C60DF">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229A9C3A">
            <w:pPr>
              <w:pageBreakBefore w:val="0"/>
              <w:widowControl/>
              <w:kinsoku/>
              <w:overflowPunct/>
              <w:bidi w:val="0"/>
              <w:spacing w:line="360"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kern w:val="0"/>
                <w:szCs w:val="21"/>
                <w:highlight w:val="none"/>
                <w:shd w:val="clear" w:color="auto" w:fill="auto"/>
                <w:lang w:eastAsia="zh-CN"/>
              </w:rPr>
              <w:t>交货地点</w:t>
            </w:r>
          </w:p>
        </w:tc>
        <w:tc>
          <w:tcPr>
            <w:tcW w:w="5245" w:type="dxa"/>
            <w:noWrap w:val="0"/>
            <w:vAlign w:val="center"/>
          </w:tcPr>
          <w:p w14:paraId="5F58D063">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1.2.7</w:t>
            </w:r>
            <w:r>
              <w:rPr>
                <w:rFonts w:hint="eastAsia" w:ascii="宋体" w:hAnsi="宋体" w:eastAsia="宋体" w:cs="宋体"/>
                <w:color w:val="auto"/>
                <w:kern w:val="0"/>
                <w:szCs w:val="21"/>
                <w:highlight w:val="none"/>
              </w:rPr>
              <w:t>项规定</w:t>
            </w:r>
          </w:p>
        </w:tc>
      </w:tr>
      <w:tr w14:paraId="62E4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gridSpan w:val="2"/>
            <w:vMerge w:val="continue"/>
            <w:noWrap w:val="0"/>
            <w:vAlign w:val="center"/>
          </w:tcPr>
          <w:p w14:paraId="2749508E">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noWrap w:val="0"/>
            <w:vAlign w:val="center"/>
          </w:tcPr>
          <w:p w14:paraId="6B39559A">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3ABE2ECB">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w:t>
            </w:r>
            <w:r>
              <w:rPr>
                <w:rFonts w:hint="eastAsia" w:ascii="宋体" w:hAnsi="宋体" w:eastAsia="宋体" w:cs="宋体"/>
                <w:color w:val="auto"/>
                <w:kern w:val="0"/>
                <w:szCs w:val="21"/>
                <w:highlight w:val="none"/>
                <w:lang w:eastAsia="zh-CN"/>
              </w:rPr>
              <w:t>标准</w:t>
            </w:r>
          </w:p>
        </w:tc>
        <w:tc>
          <w:tcPr>
            <w:tcW w:w="5245" w:type="dxa"/>
            <w:noWrap w:val="0"/>
            <w:vAlign w:val="center"/>
          </w:tcPr>
          <w:p w14:paraId="0278E73C">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1.2.8</w:t>
            </w:r>
            <w:r>
              <w:rPr>
                <w:rFonts w:hint="eastAsia" w:ascii="宋体" w:hAnsi="宋体" w:eastAsia="宋体" w:cs="宋体"/>
                <w:color w:val="auto"/>
                <w:kern w:val="0"/>
                <w:szCs w:val="21"/>
                <w:highlight w:val="none"/>
              </w:rPr>
              <w:t>项规定</w:t>
            </w:r>
          </w:p>
        </w:tc>
      </w:tr>
      <w:tr w14:paraId="0ED7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noWrap w:val="0"/>
            <w:vAlign w:val="center"/>
          </w:tcPr>
          <w:p w14:paraId="2134E79D">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noWrap w:val="0"/>
            <w:vAlign w:val="center"/>
          </w:tcPr>
          <w:p w14:paraId="09222FDE">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66BB5E65">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质量保证期</w:t>
            </w:r>
          </w:p>
        </w:tc>
        <w:tc>
          <w:tcPr>
            <w:tcW w:w="5245" w:type="dxa"/>
            <w:noWrap w:val="0"/>
            <w:vAlign w:val="center"/>
          </w:tcPr>
          <w:p w14:paraId="1AC65F63">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1.2.9</w:t>
            </w:r>
            <w:r>
              <w:rPr>
                <w:rFonts w:hint="eastAsia" w:ascii="宋体" w:hAnsi="宋体" w:eastAsia="宋体" w:cs="宋体"/>
                <w:color w:val="auto"/>
                <w:kern w:val="0"/>
                <w:szCs w:val="21"/>
                <w:highlight w:val="none"/>
              </w:rPr>
              <w:t>项规定</w:t>
            </w:r>
          </w:p>
        </w:tc>
      </w:tr>
      <w:tr w14:paraId="0CBC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0" w:type="dxa"/>
            <w:gridSpan w:val="2"/>
            <w:vMerge w:val="continue"/>
            <w:noWrap w:val="0"/>
            <w:vAlign w:val="center"/>
          </w:tcPr>
          <w:p w14:paraId="78DB6DBA">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noWrap w:val="0"/>
            <w:vAlign w:val="center"/>
          </w:tcPr>
          <w:p w14:paraId="7B5F64E1">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3D6F14D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投标有效期</w:t>
            </w:r>
          </w:p>
        </w:tc>
        <w:tc>
          <w:tcPr>
            <w:tcW w:w="5245" w:type="dxa"/>
            <w:noWrap w:val="0"/>
            <w:vAlign w:val="center"/>
          </w:tcPr>
          <w:p w14:paraId="4AF9EB7F">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3.5.1</w:t>
            </w:r>
            <w:r>
              <w:rPr>
                <w:rFonts w:hint="eastAsia" w:ascii="宋体" w:hAnsi="宋体" w:eastAsia="宋体" w:cs="宋体"/>
                <w:color w:val="auto"/>
                <w:kern w:val="0"/>
                <w:szCs w:val="21"/>
                <w:highlight w:val="none"/>
              </w:rPr>
              <w:t>项规定</w:t>
            </w:r>
          </w:p>
        </w:tc>
      </w:tr>
      <w:tr w14:paraId="572A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noWrap w:val="0"/>
            <w:vAlign w:val="center"/>
          </w:tcPr>
          <w:p w14:paraId="481CB8BD">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noWrap w:val="0"/>
            <w:vAlign w:val="center"/>
          </w:tcPr>
          <w:p w14:paraId="7928ADA7">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3F5B8F10">
            <w:pPr>
              <w:widowControl/>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标书雷同性分析</w:t>
            </w:r>
          </w:p>
        </w:tc>
        <w:tc>
          <w:tcPr>
            <w:tcW w:w="5245" w:type="dxa"/>
            <w:noWrap w:val="0"/>
            <w:vAlign w:val="center"/>
          </w:tcPr>
          <w:p w14:paraId="472A9252">
            <w:pPr>
              <w:widowControl/>
              <w:spacing w:line="360" w:lineRule="auto"/>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投标（响应）文件制作机器码不能一致</w:t>
            </w:r>
          </w:p>
        </w:tc>
      </w:tr>
      <w:tr w14:paraId="7890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3"/>
            <w:noWrap w:val="0"/>
            <w:vAlign w:val="center"/>
          </w:tcPr>
          <w:p w14:paraId="0AEAD5D1">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126" w:type="dxa"/>
            <w:noWrap w:val="0"/>
            <w:vAlign w:val="center"/>
          </w:tcPr>
          <w:p w14:paraId="3C0B0DBA">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条款内容</w:t>
            </w:r>
          </w:p>
        </w:tc>
        <w:tc>
          <w:tcPr>
            <w:tcW w:w="5245" w:type="dxa"/>
            <w:noWrap w:val="0"/>
            <w:vAlign w:val="center"/>
          </w:tcPr>
          <w:p w14:paraId="1B349BD8">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编列内容</w:t>
            </w:r>
          </w:p>
        </w:tc>
      </w:tr>
      <w:tr w14:paraId="7178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3"/>
            <w:noWrap w:val="0"/>
            <w:vAlign w:val="center"/>
          </w:tcPr>
          <w:p w14:paraId="34FA089C">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2.2.1</w:t>
            </w:r>
          </w:p>
        </w:tc>
        <w:tc>
          <w:tcPr>
            <w:tcW w:w="2126" w:type="dxa"/>
            <w:noWrap w:val="0"/>
            <w:vAlign w:val="center"/>
          </w:tcPr>
          <w:p w14:paraId="033E2FF1">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分值构成</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总分100分</w:t>
            </w:r>
            <w:r>
              <w:rPr>
                <w:rFonts w:hint="eastAsia" w:ascii="宋体" w:hAnsi="宋体" w:eastAsia="宋体" w:cs="宋体"/>
                <w:color w:val="auto"/>
                <w:kern w:val="0"/>
                <w:szCs w:val="21"/>
                <w:highlight w:val="none"/>
                <w:lang w:eastAsia="zh-CN"/>
              </w:rPr>
              <w:t>）</w:t>
            </w:r>
          </w:p>
        </w:tc>
        <w:tc>
          <w:tcPr>
            <w:tcW w:w="5245" w:type="dxa"/>
            <w:noWrap w:val="0"/>
            <w:vAlign w:val="center"/>
          </w:tcPr>
          <w:p w14:paraId="1FD1F830">
            <w:pPr>
              <w:pageBreakBefore w:val="0"/>
              <w:kinsoku/>
              <w:overflowPunct/>
              <w:autoSpaceDE w:val="0"/>
              <w:autoSpaceDN w:val="0"/>
              <w:bidi w:val="0"/>
              <w:adjustRightInd w:val="0"/>
              <w:spacing w:line="360" w:lineRule="auto"/>
              <w:ind w:left="38" w:leftChars="18"/>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报价得分：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eastAsia="zh-CN"/>
              </w:rPr>
              <w:t>分</w:t>
            </w:r>
          </w:p>
          <w:p w14:paraId="2D592CB8">
            <w:pPr>
              <w:pageBreakBefore w:val="0"/>
              <w:kinsoku/>
              <w:overflowPunct/>
              <w:autoSpaceDE w:val="0"/>
              <w:autoSpaceDN w:val="0"/>
              <w:bidi w:val="0"/>
              <w:adjustRightInd w:val="0"/>
              <w:spacing w:line="360" w:lineRule="auto"/>
              <w:ind w:left="38" w:leftChars="18"/>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技术部分</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45</w:t>
            </w:r>
            <w:r>
              <w:rPr>
                <w:rFonts w:hint="eastAsia" w:ascii="宋体" w:hAnsi="宋体" w:eastAsia="宋体" w:cs="宋体"/>
                <w:b/>
                <w:color w:val="auto"/>
                <w:szCs w:val="21"/>
                <w:highlight w:val="none"/>
              </w:rPr>
              <w:t>分</w:t>
            </w:r>
          </w:p>
          <w:p w14:paraId="0542384C">
            <w:pPr>
              <w:pageBreakBefore w:val="0"/>
              <w:kinsoku/>
              <w:overflowPunct/>
              <w:autoSpaceDE w:val="0"/>
              <w:autoSpaceDN w:val="0"/>
              <w:bidi w:val="0"/>
              <w:adjustRightInd w:val="0"/>
              <w:spacing w:line="360" w:lineRule="auto"/>
              <w:ind w:left="38" w:leftChars="18"/>
              <w:jc w:val="lef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商务部分</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rPr>
              <w:t>分</w:t>
            </w:r>
          </w:p>
        </w:tc>
      </w:tr>
      <w:tr w14:paraId="3292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3"/>
            <w:noWrap w:val="0"/>
            <w:vAlign w:val="center"/>
          </w:tcPr>
          <w:p w14:paraId="04CACB07">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条款号</w:t>
            </w:r>
          </w:p>
        </w:tc>
        <w:tc>
          <w:tcPr>
            <w:tcW w:w="2126" w:type="dxa"/>
            <w:noWrap w:val="0"/>
            <w:vAlign w:val="center"/>
          </w:tcPr>
          <w:p w14:paraId="02A3BEBE">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评分因素</w:t>
            </w:r>
          </w:p>
        </w:tc>
        <w:tc>
          <w:tcPr>
            <w:tcW w:w="5245" w:type="dxa"/>
            <w:noWrap w:val="0"/>
            <w:vAlign w:val="center"/>
          </w:tcPr>
          <w:p w14:paraId="4662808D">
            <w:pPr>
              <w:pageBreakBefore w:val="0"/>
              <w:kinsoku/>
              <w:overflowPunct/>
              <w:autoSpaceDE w:val="0"/>
              <w:autoSpaceDN w:val="0"/>
              <w:bidi w:val="0"/>
              <w:adjustRightInd w:val="0"/>
              <w:spacing w:line="360" w:lineRule="auto"/>
              <w:ind w:left="38" w:leftChars="18"/>
              <w:jc w:val="center"/>
              <w:rPr>
                <w:rFonts w:hint="eastAsia" w:ascii="宋体" w:hAnsi="宋体" w:eastAsia="宋体" w:cs="宋体"/>
                <w:b/>
                <w:color w:val="auto"/>
                <w:highlight w:val="none"/>
              </w:rPr>
            </w:pPr>
            <w:r>
              <w:rPr>
                <w:rFonts w:hint="eastAsia" w:ascii="宋体" w:hAnsi="宋体" w:eastAsia="宋体" w:cs="宋体"/>
                <w:color w:val="auto"/>
                <w:kern w:val="0"/>
                <w:szCs w:val="21"/>
                <w:highlight w:val="none"/>
              </w:rPr>
              <w:t>评分标准</w:t>
            </w:r>
          </w:p>
        </w:tc>
      </w:tr>
      <w:tr w14:paraId="35F6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noWrap w:val="0"/>
            <w:vAlign w:val="center"/>
          </w:tcPr>
          <w:p w14:paraId="4DB45186">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2.2.2（1）</w:t>
            </w:r>
          </w:p>
        </w:tc>
        <w:tc>
          <w:tcPr>
            <w:tcW w:w="990" w:type="dxa"/>
            <w:gridSpan w:val="2"/>
            <w:noWrap w:val="0"/>
            <w:vAlign w:val="center"/>
          </w:tcPr>
          <w:p w14:paraId="27CF42D8">
            <w:pPr>
              <w:pageBreakBefore w:val="0"/>
              <w:widowControl/>
              <w:kinsoku/>
              <w:overflowPunct/>
              <w:bidi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报价部分30分</w:t>
            </w:r>
          </w:p>
        </w:tc>
        <w:tc>
          <w:tcPr>
            <w:tcW w:w="2126" w:type="dxa"/>
            <w:noWrap w:val="0"/>
            <w:vAlign w:val="center"/>
          </w:tcPr>
          <w:p w14:paraId="63A29BB6">
            <w:pPr>
              <w:pageBreakBefore w:val="0"/>
              <w:widowControl/>
              <w:kinsoku/>
              <w:overflowPunct/>
              <w:bidi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
                <w:color w:val="auto"/>
                <w:szCs w:val="21"/>
                <w:highlight w:val="none"/>
              </w:rPr>
              <w:t>投标报价</w:t>
            </w:r>
            <w:r>
              <w:rPr>
                <w:rFonts w:hint="eastAsia" w:ascii="宋体" w:hAnsi="宋体" w:eastAsia="宋体" w:cs="宋体"/>
                <w:b/>
                <w:color w:val="auto"/>
                <w:szCs w:val="21"/>
                <w:highlight w:val="none"/>
                <w:lang w:eastAsia="zh-CN"/>
              </w:rPr>
              <w:t>评分标准</w:t>
            </w:r>
          </w:p>
        </w:tc>
        <w:tc>
          <w:tcPr>
            <w:tcW w:w="5245" w:type="dxa"/>
            <w:noWrap w:val="0"/>
            <w:vAlign w:val="center"/>
          </w:tcPr>
          <w:p w14:paraId="42F5F5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w:t>
            </w:r>
          </w:p>
          <w:p w14:paraId="49E4AE2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投标人所投标的</w:t>
            </w:r>
            <w:r>
              <w:rPr>
                <w:rFonts w:hint="eastAsia" w:ascii="宋体" w:hAnsi="宋体" w:eastAsia="宋体" w:cs="宋体"/>
                <w:color w:val="auto"/>
                <w:sz w:val="21"/>
                <w:szCs w:val="21"/>
                <w:highlight w:val="none"/>
                <w:lang w:val="en-US" w:eastAsia="zh-CN"/>
              </w:rPr>
              <w:t>货物由小微企业制造（即货物由小微企业生产且使用该小微企业商号或者注册商标）的投标报价给予10%的扣除</w:t>
            </w:r>
            <w:r>
              <w:rPr>
                <w:rFonts w:hint="eastAsia" w:ascii="宋体" w:hAnsi="宋体" w:eastAsia="宋体" w:cs="宋体"/>
                <w:color w:val="auto"/>
                <w:sz w:val="21"/>
                <w:szCs w:val="21"/>
                <w:highlight w:val="none"/>
              </w:rPr>
              <w:t>，用扣除后的价格参与评审。参加投标的小微企业，应当按照《</w:t>
            </w:r>
            <w:r>
              <w:rPr>
                <w:rFonts w:hint="eastAsia" w:ascii="宋体" w:hAnsi="宋体" w:eastAsia="宋体" w:cs="宋体"/>
                <w:color w:val="auto"/>
                <w:sz w:val="21"/>
                <w:szCs w:val="21"/>
                <w:highlight w:val="none"/>
                <w:lang w:eastAsia="zh-CN"/>
              </w:rPr>
              <w:t>政府采购促进中小企业发展管理办法</w:t>
            </w:r>
            <w:r>
              <w:rPr>
                <w:rFonts w:hint="eastAsia" w:ascii="宋体" w:hAnsi="宋体" w:eastAsia="宋体" w:cs="宋体"/>
                <w:color w:val="auto"/>
                <w:sz w:val="21"/>
                <w:szCs w:val="21"/>
                <w:highlight w:val="none"/>
              </w:rPr>
              <w:t>》（财库〔20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号）的规定提供《</w:t>
            </w:r>
            <w:r>
              <w:rPr>
                <w:rFonts w:hint="eastAsia" w:ascii="宋体" w:hAnsi="宋体" w:eastAsia="宋体" w:cs="宋体"/>
                <w:color w:val="auto"/>
                <w:sz w:val="21"/>
                <w:szCs w:val="21"/>
                <w:highlight w:val="none"/>
                <w:lang w:eastAsia="zh-CN"/>
              </w:rPr>
              <w:t>中小企业声明函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中小企业划型标准详见《关于印发中小企业划型标准规定的通知》工信部联企业〔2011〕300号。</w:t>
            </w:r>
          </w:p>
          <w:p w14:paraId="47D14F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根据财政部司法部《关于政府采购支持监狱企业发展有关问题的通知》（财库〔2014〕68号）和财政部民政部中国残疾人联合会《关于促进残疾人就业政府采购政策的通知》（财库〔2017〕141号）规定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监狱企业</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残疾人福利</w:t>
            </w:r>
            <w:r>
              <w:rPr>
                <w:rFonts w:hint="eastAsia" w:ascii="宋体" w:hAnsi="宋体" w:eastAsia="宋体" w:cs="宋体"/>
                <w:color w:val="auto"/>
                <w:szCs w:val="21"/>
                <w:highlight w:val="none"/>
                <w:lang w:eastAsia="zh-CN"/>
              </w:rPr>
              <w:t>性</w:t>
            </w:r>
            <w:r>
              <w:rPr>
                <w:rFonts w:hint="eastAsia" w:ascii="宋体" w:hAnsi="宋体" w:eastAsia="宋体" w:cs="宋体"/>
                <w:color w:val="auto"/>
                <w:szCs w:val="21"/>
                <w:highlight w:val="none"/>
              </w:rPr>
              <w:t>企业视同小型、微型企业</w:t>
            </w:r>
            <w:r>
              <w:rPr>
                <w:rFonts w:hint="eastAsia" w:ascii="宋体" w:hAnsi="宋体" w:eastAsia="宋体" w:cs="宋体"/>
                <w:color w:val="auto"/>
                <w:szCs w:val="21"/>
                <w:highlight w:val="none"/>
                <w:lang w:eastAsia="zh-CN"/>
              </w:rPr>
              <w:t>。</w:t>
            </w:r>
          </w:p>
          <w:p w14:paraId="238162FB">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（2）既有本国产品又有非本国产品参与竞争的，依法对本国产品给予价格评审优惠，对本国产品的报价给予20%的价格扣除，用扣除后的价格参与评审。</w:t>
            </w:r>
          </w:p>
          <w:p w14:paraId="3EB29C50">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1ECF6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评标报价计算公式：</w:t>
            </w:r>
          </w:p>
          <w:p w14:paraId="18B1F4FD">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color w:val="auto"/>
                <w:szCs w:val="21"/>
                <w:highlight w:val="none"/>
                <w:lang w:val="en-US" w:eastAsia="zh-CN"/>
              </w:rPr>
              <w:t>既有本国产品又有非本国产品参与竞争的：</w:t>
            </w:r>
            <w:r>
              <w:rPr>
                <w:rFonts w:hint="eastAsia" w:ascii="宋体" w:hAnsi="宋体" w:eastAsia="宋体" w:cs="宋体"/>
                <w:b w:val="0"/>
                <w:bCs/>
                <w:color w:val="auto"/>
                <w:szCs w:val="21"/>
                <w:highlight w:val="none"/>
              </w:rPr>
              <w:t>评标报价=投标报价-投标报价×10%-本国产品的报价×20%</w:t>
            </w:r>
          </w:p>
          <w:p w14:paraId="29626872">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color w:val="auto"/>
                <w:szCs w:val="21"/>
                <w:highlight w:val="none"/>
              </w:rPr>
              <w:t>符合本国产品标准的产品成本之和占该供应商提供的全部产品成本之和的比例达到80%以上时：</w:t>
            </w:r>
            <w:r>
              <w:rPr>
                <w:rFonts w:hint="eastAsia" w:ascii="宋体" w:hAnsi="宋体" w:eastAsia="宋体" w:cs="宋体"/>
                <w:b w:val="0"/>
                <w:bCs/>
                <w:color w:val="auto"/>
                <w:szCs w:val="21"/>
                <w:highlight w:val="none"/>
              </w:rPr>
              <w:t>评标报价=投标报价-投标报价×10%-</w:t>
            </w:r>
            <w:r>
              <w:rPr>
                <w:rFonts w:hint="eastAsia" w:ascii="宋体" w:hAnsi="宋体" w:eastAsia="宋体" w:cs="宋体"/>
                <w:b/>
                <w:bCs w:val="0"/>
                <w:color w:val="auto"/>
                <w:szCs w:val="21"/>
                <w:highlight w:val="none"/>
              </w:rPr>
              <w:t>全部产品的报价</w:t>
            </w:r>
            <w:r>
              <w:rPr>
                <w:rFonts w:hint="eastAsia" w:ascii="宋体" w:hAnsi="宋体" w:eastAsia="宋体" w:cs="宋体"/>
                <w:b w:val="0"/>
                <w:bCs/>
                <w:color w:val="auto"/>
                <w:szCs w:val="21"/>
                <w:highlight w:val="none"/>
              </w:rPr>
              <w:t>×20%</w:t>
            </w:r>
          </w:p>
          <w:p w14:paraId="09C34BE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备注</w:t>
            </w:r>
            <w:r>
              <w:rPr>
                <w:rFonts w:hint="eastAsia" w:ascii="宋体" w:hAnsi="宋体" w:eastAsia="宋体" w:cs="宋体"/>
                <w:color w:val="auto"/>
                <w:szCs w:val="21"/>
                <w:highlight w:val="none"/>
              </w:rPr>
              <w:t>：以上两个公式中“投标报价×10%”为落实中小企业政策的扣除</w:t>
            </w:r>
            <w:r>
              <w:rPr>
                <w:rFonts w:hint="eastAsia" w:ascii="宋体" w:hAnsi="宋体" w:eastAsia="宋体" w:cs="宋体"/>
                <w:color w:val="auto"/>
                <w:sz w:val="21"/>
                <w:szCs w:val="21"/>
                <w:highlight w:val="none"/>
              </w:rPr>
              <w:t>。</w:t>
            </w:r>
          </w:p>
          <w:p w14:paraId="485F1B8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同一投标人（包括联合体），小微企业、监狱、残疾人福利</w:t>
            </w:r>
            <w:r>
              <w:rPr>
                <w:rFonts w:hint="eastAsia" w:ascii="宋体" w:hAnsi="宋体" w:eastAsia="宋体" w:cs="宋体"/>
                <w:color w:val="auto"/>
                <w:szCs w:val="21"/>
                <w:highlight w:val="none"/>
                <w:lang w:eastAsia="zh-CN"/>
              </w:rPr>
              <w:t>性</w:t>
            </w:r>
            <w:r>
              <w:rPr>
                <w:rFonts w:hint="eastAsia" w:ascii="宋体" w:hAnsi="宋体" w:eastAsia="宋体" w:cs="宋体"/>
                <w:color w:val="auto"/>
                <w:szCs w:val="21"/>
                <w:highlight w:val="none"/>
              </w:rPr>
              <w:t>企业</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价格扣除优惠只享受一次，不得重复享受。</w:t>
            </w:r>
          </w:p>
          <w:p w14:paraId="25C7525C">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价格分采用低价优先法计算，</w:t>
            </w:r>
            <w:r>
              <w:rPr>
                <w:rFonts w:hint="eastAsia" w:ascii="宋体" w:hAnsi="宋体" w:eastAsia="宋体" w:cs="宋体"/>
                <w:color w:val="auto"/>
                <w:szCs w:val="21"/>
                <w:highlight w:val="none"/>
              </w:rPr>
              <w:t>即满足招标文件要求且评标报价最低的评标报价为评标基准价，其价格分为满分。其他投标人的价格分统一按照下列公式计算：</w:t>
            </w:r>
          </w:p>
          <w:p w14:paraId="0BCFFA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color w:val="auto"/>
                <w:kern w:val="0"/>
                <w:sz w:val="21"/>
                <w:szCs w:val="21"/>
                <w:highlight w:val="none"/>
                <w:lang w:val="en-US"/>
              </w:rPr>
            </w:pPr>
            <w:r>
              <w:rPr>
                <w:rFonts w:hint="eastAsia" w:ascii="宋体" w:hAnsi="宋体" w:eastAsia="宋体" w:cs="宋体"/>
                <w:b/>
                <w:color w:val="auto"/>
                <w:szCs w:val="21"/>
                <w:highlight w:val="none"/>
              </w:rPr>
              <w:t>投标报价得分=(评标基准价／评标报价)×</w:t>
            </w:r>
            <w:r>
              <w:rPr>
                <w:rFonts w:hint="eastAsia" w:ascii="宋体" w:hAnsi="宋体" w:eastAsia="宋体" w:cs="宋体"/>
                <w:b/>
                <w:color w:val="auto"/>
                <w:szCs w:val="21"/>
                <w:highlight w:val="none"/>
                <w:lang w:val="en-US" w:eastAsia="zh-CN"/>
              </w:rPr>
              <w:t>30</w:t>
            </w:r>
          </w:p>
        </w:tc>
      </w:tr>
      <w:tr w14:paraId="2172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90" w:type="dxa"/>
            <w:vMerge w:val="restart"/>
            <w:noWrap w:val="0"/>
            <w:vAlign w:val="center"/>
          </w:tcPr>
          <w:p w14:paraId="2CAA66BC">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2.2.2（2）</w:t>
            </w:r>
          </w:p>
        </w:tc>
        <w:tc>
          <w:tcPr>
            <w:tcW w:w="990" w:type="dxa"/>
            <w:gridSpan w:val="2"/>
            <w:vMerge w:val="restart"/>
            <w:noWrap w:val="0"/>
            <w:vAlign w:val="center"/>
          </w:tcPr>
          <w:p w14:paraId="395CC4E2">
            <w:pPr>
              <w:pageBreakBefore w:val="0"/>
              <w:widowControl/>
              <w:kinsoku/>
              <w:overflowPunct/>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highlight w:val="none"/>
              </w:rPr>
              <w:t>技术部分</w:t>
            </w:r>
            <w:r>
              <w:rPr>
                <w:rFonts w:hint="eastAsia" w:ascii="宋体" w:hAnsi="宋体" w:eastAsia="宋体" w:cs="宋体"/>
                <w:b/>
                <w:bCs/>
                <w:color w:val="auto"/>
                <w:highlight w:val="none"/>
                <w:lang w:val="en-US" w:eastAsia="zh-CN"/>
              </w:rPr>
              <w:t>45</w:t>
            </w:r>
            <w:r>
              <w:rPr>
                <w:rFonts w:hint="eastAsia" w:ascii="宋体" w:hAnsi="宋体" w:eastAsia="宋体" w:cs="宋体"/>
                <w:b/>
                <w:bCs/>
                <w:color w:val="auto"/>
                <w:highlight w:val="none"/>
              </w:rPr>
              <w:t>分</w:t>
            </w:r>
          </w:p>
        </w:tc>
        <w:tc>
          <w:tcPr>
            <w:tcW w:w="2126" w:type="dxa"/>
            <w:noWrap w:val="0"/>
            <w:vAlign w:val="center"/>
          </w:tcPr>
          <w:p w14:paraId="6EBF94C5">
            <w:pPr>
              <w:pageBreakBefore w:val="0"/>
              <w:widowControl/>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Cs w:val="21"/>
                <w:highlight w:val="none"/>
              </w:rPr>
              <w:t>技术参数（</w:t>
            </w:r>
            <w:r>
              <w:rPr>
                <w:rFonts w:hint="eastAsia" w:ascii="宋体" w:hAnsi="宋体" w:eastAsia="宋体" w:cs="宋体"/>
                <w:b/>
                <w:color w:val="auto"/>
                <w:szCs w:val="21"/>
                <w:highlight w:val="none"/>
                <w:lang w:val="en-US" w:eastAsia="zh-CN"/>
              </w:rPr>
              <w:t>33</w:t>
            </w:r>
            <w:r>
              <w:rPr>
                <w:rFonts w:hint="eastAsia" w:ascii="宋体" w:hAnsi="宋体" w:eastAsia="宋体" w:cs="宋体"/>
                <w:b/>
                <w:color w:val="auto"/>
                <w:szCs w:val="21"/>
                <w:highlight w:val="none"/>
              </w:rPr>
              <w:t>分）</w:t>
            </w:r>
          </w:p>
        </w:tc>
        <w:tc>
          <w:tcPr>
            <w:tcW w:w="5245" w:type="dxa"/>
            <w:noWrap w:val="0"/>
            <w:vAlign w:val="top"/>
          </w:tcPr>
          <w:p w14:paraId="23C933E1">
            <w:pPr>
              <w:widowControl/>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所投产品技术参数和配置完全满足或优于招标文件要求的，得满分</w:t>
            </w:r>
            <w:r>
              <w:rPr>
                <w:rFonts w:hint="eastAsia" w:ascii="宋体" w:hAnsi="宋体" w:eastAsia="宋体" w:cs="宋体"/>
                <w:color w:val="auto"/>
                <w:szCs w:val="21"/>
                <w:highlight w:val="none"/>
                <w:lang w:val="en-US" w:eastAsia="zh-CN"/>
              </w:rPr>
              <w:t>33</w:t>
            </w:r>
            <w:r>
              <w:rPr>
                <w:rFonts w:hint="eastAsia" w:ascii="宋体" w:hAnsi="宋体" w:eastAsia="宋体" w:cs="宋体"/>
                <w:color w:val="auto"/>
                <w:szCs w:val="21"/>
                <w:highlight w:val="none"/>
              </w:rPr>
              <w:t>分；带“★”号的技术参数及功能要求为重要技术指标，每有一项不满足的扣</w:t>
            </w:r>
            <w:r>
              <w:rPr>
                <w:rFonts w:hint="eastAsia" w:cs="宋体"/>
                <w:color w:val="auto"/>
                <w:szCs w:val="21"/>
                <w:highlight w:val="none"/>
                <w:lang w:val="en-US" w:eastAsia="zh-CN"/>
              </w:rPr>
              <w:t>2</w:t>
            </w:r>
            <w:r>
              <w:rPr>
                <w:rFonts w:hint="eastAsia" w:ascii="宋体" w:hAnsi="宋体" w:eastAsia="宋体" w:cs="宋体"/>
                <w:color w:val="auto"/>
                <w:szCs w:val="21"/>
                <w:highlight w:val="none"/>
              </w:rPr>
              <w:t>分；非带“★”号的技术参数及功能要求为一般性技术指标，每有一项不满足的扣</w:t>
            </w:r>
            <w:r>
              <w:rPr>
                <w:rFonts w:hint="eastAsia" w:cs="宋体"/>
                <w:color w:val="auto"/>
                <w:szCs w:val="21"/>
                <w:highlight w:val="none"/>
                <w:lang w:val="en-US" w:eastAsia="zh-CN"/>
              </w:rPr>
              <w:t>0.5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扣完为止。</w:t>
            </w:r>
          </w:p>
        </w:tc>
      </w:tr>
      <w:tr w14:paraId="6199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90" w:type="dxa"/>
            <w:vMerge w:val="continue"/>
            <w:noWrap w:val="0"/>
            <w:vAlign w:val="center"/>
          </w:tcPr>
          <w:p w14:paraId="161E580F">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p>
        </w:tc>
        <w:tc>
          <w:tcPr>
            <w:tcW w:w="990" w:type="dxa"/>
            <w:gridSpan w:val="2"/>
            <w:vMerge w:val="continue"/>
            <w:noWrap w:val="0"/>
            <w:vAlign w:val="center"/>
          </w:tcPr>
          <w:p w14:paraId="382608EE">
            <w:pPr>
              <w:pageBreakBefore w:val="0"/>
              <w:widowControl/>
              <w:kinsoku/>
              <w:overflowPunct/>
              <w:bidi w:val="0"/>
              <w:spacing w:line="360" w:lineRule="auto"/>
              <w:jc w:val="center"/>
              <w:rPr>
                <w:rFonts w:hint="eastAsia" w:ascii="宋体" w:hAnsi="宋体" w:eastAsia="宋体" w:cs="宋体"/>
                <w:b/>
                <w:bCs/>
                <w:color w:val="auto"/>
                <w:highlight w:val="none"/>
              </w:rPr>
            </w:pPr>
          </w:p>
        </w:tc>
        <w:tc>
          <w:tcPr>
            <w:tcW w:w="2126" w:type="dxa"/>
            <w:noWrap w:val="0"/>
            <w:vAlign w:val="center"/>
          </w:tcPr>
          <w:p w14:paraId="22809A42">
            <w:pPr>
              <w:widowControl/>
              <w:spacing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供货方案（6分）</w:t>
            </w:r>
          </w:p>
        </w:tc>
        <w:tc>
          <w:tcPr>
            <w:tcW w:w="5245" w:type="dxa"/>
            <w:noWrap w:val="0"/>
            <w:vAlign w:val="center"/>
          </w:tcPr>
          <w:p w14:paraId="2EDD568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供货方案从以下3点进行评审（包括但不限于）：</w:t>
            </w:r>
          </w:p>
          <w:p w14:paraId="4D48F69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实施计划</w:t>
            </w:r>
            <w:r>
              <w:rPr>
                <w:rFonts w:hint="eastAsia" w:ascii="宋体" w:hAnsi="宋体" w:eastAsia="宋体" w:cs="宋体"/>
                <w:color w:val="auto"/>
                <w:szCs w:val="21"/>
                <w:highlight w:val="none"/>
              </w:rPr>
              <w:t>；</w:t>
            </w:r>
          </w:p>
          <w:p w14:paraId="5426161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供货</w:t>
            </w:r>
            <w:r>
              <w:rPr>
                <w:rFonts w:hint="eastAsia" w:ascii="宋体" w:hAnsi="宋体" w:eastAsia="宋体" w:cs="宋体"/>
                <w:color w:val="auto"/>
                <w:kern w:val="0"/>
                <w:szCs w:val="21"/>
                <w:highlight w:val="none"/>
              </w:rPr>
              <w:t>流程</w:t>
            </w:r>
            <w:r>
              <w:rPr>
                <w:rFonts w:hint="eastAsia" w:ascii="宋体" w:hAnsi="宋体" w:eastAsia="宋体" w:cs="宋体"/>
                <w:color w:val="auto"/>
                <w:szCs w:val="21"/>
                <w:highlight w:val="none"/>
              </w:rPr>
              <w:t>；</w:t>
            </w:r>
          </w:p>
          <w:p w14:paraId="7A912484">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3.供货</w:t>
            </w:r>
            <w:r>
              <w:rPr>
                <w:rFonts w:hint="eastAsia" w:ascii="宋体" w:hAnsi="宋体" w:eastAsia="宋体" w:cs="宋体"/>
                <w:color w:val="auto"/>
                <w:kern w:val="0"/>
                <w:szCs w:val="21"/>
                <w:highlight w:val="none"/>
              </w:rPr>
              <w:t>措施</w:t>
            </w:r>
            <w:r>
              <w:rPr>
                <w:rFonts w:hint="eastAsia" w:ascii="宋体" w:hAnsi="宋体" w:eastAsia="宋体" w:cs="宋体"/>
                <w:color w:val="auto"/>
                <w:szCs w:val="21"/>
                <w:highlight w:val="none"/>
                <w:lang w:eastAsia="zh-CN"/>
              </w:rPr>
              <w:t>。</w:t>
            </w:r>
          </w:p>
          <w:p w14:paraId="2FEA4C49">
            <w:pPr>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以上供货方案项目每项</w:t>
            </w:r>
            <w:r>
              <w:rPr>
                <w:rFonts w:hint="eastAsia" w:ascii="宋体" w:hAnsi="宋体" w:eastAsia="宋体" w:cs="宋体"/>
                <w:color w:val="auto"/>
                <w:spacing w:val="-2"/>
                <w:szCs w:val="21"/>
                <w:highlight w:val="none"/>
                <w:lang w:val="en-US" w:eastAsia="zh-CN"/>
              </w:rPr>
              <w:t>2</w:t>
            </w:r>
            <w:r>
              <w:rPr>
                <w:rFonts w:hint="eastAsia" w:ascii="宋体" w:hAnsi="宋体" w:eastAsia="宋体" w:cs="宋体"/>
                <w:color w:val="auto"/>
                <w:spacing w:val="-2"/>
                <w:szCs w:val="21"/>
                <w:highlight w:val="none"/>
              </w:rPr>
              <w:t>分。每项方案内容完整、描述详细、完全符合供货需求、可操作性强得</w:t>
            </w:r>
            <w:r>
              <w:rPr>
                <w:rFonts w:hint="eastAsia" w:ascii="宋体" w:hAnsi="宋体" w:eastAsia="宋体" w:cs="宋体"/>
                <w:color w:val="auto"/>
                <w:spacing w:val="-2"/>
                <w:szCs w:val="21"/>
                <w:highlight w:val="none"/>
                <w:lang w:val="en-US" w:eastAsia="zh-CN"/>
              </w:rPr>
              <w:t>2</w:t>
            </w:r>
            <w:r>
              <w:rPr>
                <w:rFonts w:hint="eastAsia" w:ascii="宋体" w:hAnsi="宋体" w:eastAsia="宋体" w:cs="宋体"/>
                <w:color w:val="auto"/>
                <w:spacing w:val="-2"/>
                <w:szCs w:val="21"/>
                <w:highlight w:val="none"/>
              </w:rPr>
              <w:t>分；方案内容较完整、描述较详细、基本符合供货需求、可操作性较强得</w:t>
            </w:r>
            <w:r>
              <w:rPr>
                <w:rFonts w:hint="eastAsia" w:ascii="宋体" w:hAnsi="宋体" w:eastAsia="宋体" w:cs="宋体"/>
                <w:color w:val="auto"/>
                <w:spacing w:val="-2"/>
                <w:szCs w:val="21"/>
                <w:highlight w:val="none"/>
                <w:lang w:val="en-US" w:eastAsia="zh-CN"/>
              </w:rPr>
              <w:t>1</w:t>
            </w:r>
            <w:r>
              <w:rPr>
                <w:rFonts w:hint="eastAsia" w:ascii="宋体" w:hAnsi="宋体" w:eastAsia="宋体" w:cs="宋体"/>
                <w:color w:val="auto"/>
                <w:spacing w:val="-2"/>
                <w:szCs w:val="21"/>
                <w:highlight w:val="none"/>
              </w:rPr>
              <w:t>分；方案内容不完整、描述不详细、符合供货需求低、可操作性一般得</w:t>
            </w:r>
            <w:r>
              <w:rPr>
                <w:rFonts w:hint="eastAsia" w:ascii="宋体" w:hAnsi="宋体" w:eastAsia="宋体" w:cs="宋体"/>
                <w:color w:val="auto"/>
                <w:spacing w:val="-2"/>
                <w:szCs w:val="21"/>
                <w:highlight w:val="none"/>
                <w:lang w:val="en-US" w:eastAsia="zh-CN"/>
              </w:rPr>
              <w:t>0.5</w:t>
            </w:r>
            <w:r>
              <w:rPr>
                <w:rFonts w:hint="eastAsia" w:ascii="宋体" w:hAnsi="宋体" w:eastAsia="宋体" w:cs="宋体"/>
                <w:color w:val="auto"/>
                <w:spacing w:val="-2"/>
                <w:szCs w:val="21"/>
                <w:highlight w:val="none"/>
              </w:rPr>
              <w:t>分；存在严重缺项或无此内容得0分</w:t>
            </w:r>
            <w:r>
              <w:rPr>
                <w:rFonts w:hint="eastAsia" w:ascii="宋体" w:hAnsi="宋体" w:eastAsia="宋体" w:cs="宋体"/>
                <w:color w:val="auto"/>
                <w:spacing w:val="-2"/>
                <w:szCs w:val="21"/>
                <w:highlight w:val="none"/>
                <w:lang w:eastAsia="zh-CN"/>
              </w:rPr>
              <w:t>，</w:t>
            </w:r>
            <w:r>
              <w:rPr>
                <w:rFonts w:hint="eastAsia" w:ascii="宋体" w:hAnsi="宋体" w:eastAsia="宋体" w:cs="宋体"/>
                <w:color w:val="auto"/>
                <w:spacing w:val="-2"/>
                <w:szCs w:val="21"/>
                <w:highlight w:val="none"/>
                <w:lang w:val="en-US" w:eastAsia="zh-CN"/>
              </w:rPr>
              <w:t>本项最多得6分</w:t>
            </w:r>
            <w:r>
              <w:rPr>
                <w:rFonts w:hint="eastAsia" w:ascii="宋体" w:hAnsi="宋体" w:eastAsia="宋体" w:cs="宋体"/>
                <w:color w:val="auto"/>
                <w:spacing w:val="-2"/>
                <w:szCs w:val="21"/>
                <w:highlight w:val="none"/>
              </w:rPr>
              <w:t>。</w:t>
            </w:r>
          </w:p>
        </w:tc>
      </w:tr>
      <w:tr w14:paraId="40E7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990" w:type="dxa"/>
            <w:vMerge w:val="continue"/>
            <w:noWrap w:val="0"/>
            <w:vAlign w:val="center"/>
          </w:tcPr>
          <w:p w14:paraId="58CBD6FB">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990" w:type="dxa"/>
            <w:gridSpan w:val="2"/>
            <w:vMerge w:val="continue"/>
            <w:noWrap w:val="0"/>
            <w:vAlign w:val="center"/>
          </w:tcPr>
          <w:p w14:paraId="6890DCB0">
            <w:pPr>
              <w:pageBreakBefore w:val="0"/>
              <w:widowControl/>
              <w:kinsoku/>
              <w:overflowPunct/>
              <w:bidi w:val="0"/>
              <w:spacing w:line="360" w:lineRule="auto"/>
              <w:jc w:val="center"/>
              <w:rPr>
                <w:rFonts w:hint="eastAsia" w:ascii="宋体" w:hAnsi="宋体" w:eastAsia="宋体" w:cs="宋体"/>
                <w:b/>
                <w:color w:val="auto"/>
                <w:szCs w:val="21"/>
                <w:highlight w:val="none"/>
              </w:rPr>
            </w:pPr>
          </w:p>
        </w:tc>
        <w:tc>
          <w:tcPr>
            <w:tcW w:w="2126" w:type="dxa"/>
            <w:noWrap w:val="0"/>
            <w:vAlign w:val="center"/>
          </w:tcPr>
          <w:p w14:paraId="3BCC3706">
            <w:pPr>
              <w:widowControl/>
              <w:spacing w:before="24" w:beforeLines="10"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项目实施方案</w:t>
            </w:r>
            <w:r>
              <w:rPr>
                <w:rFonts w:hint="eastAsia" w:ascii="宋体" w:hAnsi="宋体" w:eastAsia="宋体" w:cs="宋体"/>
                <w:b/>
                <w:bCs/>
                <w:color w:val="auto"/>
                <w:kern w:val="0"/>
                <w:szCs w:val="21"/>
                <w:highlight w:val="none"/>
                <w:lang w:eastAsia="zh-CN"/>
              </w:rPr>
              <w:t>（6分）</w:t>
            </w:r>
          </w:p>
        </w:tc>
        <w:tc>
          <w:tcPr>
            <w:tcW w:w="5245" w:type="dxa"/>
            <w:noWrap w:val="0"/>
            <w:vAlign w:val="center"/>
          </w:tcPr>
          <w:p w14:paraId="00611094">
            <w:pPr>
              <w:spacing w:line="360" w:lineRule="auto"/>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项目实施方案从以下3点进行评审（包括但不限于）：</w:t>
            </w:r>
          </w:p>
          <w:p w14:paraId="5E5108ED">
            <w:pPr>
              <w:spacing w:line="360" w:lineRule="auto"/>
              <w:ind w:firstLine="412" w:firstLineChars="200"/>
              <w:jc w:val="left"/>
              <w:rPr>
                <w:rFonts w:hint="eastAsia" w:ascii="宋体" w:hAnsi="宋体" w:eastAsia="宋体" w:cs="宋体"/>
                <w:color w:val="auto"/>
                <w:highlight w:val="none"/>
              </w:rPr>
            </w:pPr>
            <w:r>
              <w:rPr>
                <w:rFonts w:hint="eastAsia" w:ascii="宋体" w:hAnsi="宋体" w:eastAsia="宋体" w:cs="宋体"/>
                <w:color w:val="auto"/>
                <w:spacing w:val="-2"/>
                <w:szCs w:val="21"/>
                <w:highlight w:val="none"/>
              </w:rPr>
              <w:t>1.项目实施计划；</w:t>
            </w:r>
          </w:p>
          <w:p w14:paraId="3FB83F61">
            <w:pPr>
              <w:spacing w:line="360" w:lineRule="auto"/>
              <w:ind w:firstLine="412" w:firstLineChars="200"/>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2.项目</w:t>
            </w:r>
            <w:r>
              <w:rPr>
                <w:rFonts w:hint="eastAsia" w:ascii="宋体" w:hAnsi="宋体" w:eastAsia="宋体" w:cs="宋体"/>
                <w:color w:val="auto"/>
                <w:spacing w:val="-2"/>
                <w:szCs w:val="21"/>
                <w:highlight w:val="none"/>
                <w:lang w:val="en-US" w:eastAsia="zh-CN"/>
              </w:rPr>
              <w:t>实施</w:t>
            </w:r>
            <w:r>
              <w:rPr>
                <w:rFonts w:hint="eastAsia" w:ascii="宋体" w:hAnsi="宋体" w:eastAsia="宋体" w:cs="宋体"/>
                <w:color w:val="auto"/>
                <w:spacing w:val="-2"/>
                <w:szCs w:val="21"/>
                <w:highlight w:val="none"/>
              </w:rPr>
              <w:t>管理措施；</w:t>
            </w:r>
          </w:p>
          <w:p w14:paraId="37D2F175">
            <w:pPr>
              <w:spacing w:line="360" w:lineRule="auto"/>
              <w:ind w:firstLine="412" w:firstLineChars="200"/>
              <w:jc w:val="left"/>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3.</w:t>
            </w:r>
            <w:r>
              <w:rPr>
                <w:rFonts w:hint="eastAsia" w:ascii="宋体" w:hAnsi="宋体" w:eastAsia="宋体" w:cs="宋体"/>
                <w:color w:val="auto"/>
                <w:spacing w:val="-2"/>
                <w:szCs w:val="21"/>
                <w:highlight w:val="none"/>
                <w:lang w:val="en-US" w:eastAsia="zh-CN"/>
              </w:rPr>
              <w:t>安装调试方案</w:t>
            </w:r>
            <w:r>
              <w:rPr>
                <w:rFonts w:hint="eastAsia" w:ascii="宋体" w:hAnsi="宋体" w:eastAsia="宋体" w:cs="宋体"/>
                <w:color w:val="auto"/>
                <w:spacing w:val="-2"/>
                <w:szCs w:val="21"/>
                <w:highlight w:val="none"/>
                <w:lang w:eastAsia="zh-CN"/>
              </w:rPr>
              <w:t>。</w:t>
            </w:r>
          </w:p>
          <w:p w14:paraId="48AB90F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pacing w:val="-2"/>
                <w:szCs w:val="21"/>
                <w:highlight w:val="none"/>
              </w:rPr>
              <w:t>以上实施项目每项</w:t>
            </w:r>
            <w:r>
              <w:rPr>
                <w:rFonts w:hint="eastAsia" w:ascii="宋体" w:hAnsi="宋体" w:eastAsia="宋体" w:cs="宋体"/>
                <w:color w:val="auto"/>
                <w:spacing w:val="-2"/>
                <w:szCs w:val="21"/>
                <w:highlight w:val="none"/>
                <w:lang w:val="en-US" w:eastAsia="zh-CN"/>
              </w:rPr>
              <w:t>2</w:t>
            </w:r>
            <w:r>
              <w:rPr>
                <w:rFonts w:hint="eastAsia" w:ascii="宋体" w:hAnsi="宋体" w:eastAsia="宋体" w:cs="宋体"/>
                <w:color w:val="auto"/>
                <w:spacing w:val="-2"/>
                <w:szCs w:val="21"/>
                <w:highlight w:val="none"/>
              </w:rPr>
              <w:t>分。每项方案内容完整、描述详细、完全符合采购需求、可操作性强得</w:t>
            </w:r>
            <w:r>
              <w:rPr>
                <w:rFonts w:hint="eastAsia" w:ascii="宋体" w:hAnsi="宋体" w:eastAsia="宋体" w:cs="宋体"/>
                <w:color w:val="auto"/>
                <w:spacing w:val="-2"/>
                <w:szCs w:val="21"/>
                <w:highlight w:val="none"/>
                <w:lang w:val="en-US" w:eastAsia="zh-CN"/>
              </w:rPr>
              <w:t>2</w:t>
            </w:r>
            <w:r>
              <w:rPr>
                <w:rFonts w:hint="eastAsia" w:ascii="宋体" w:hAnsi="宋体" w:eastAsia="宋体" w:cs="宋体"/>
                <w:color w:val="auto"/>
                <w:spacing w:val="-2"/>
                <w:szCs w:val="21"/>
                <w:highlight w:val="none"/>
              </w:rPr>
              <w:t>分；方案内容较完整、描述较详细、基本符合采购需求、可操作性较强得</w:t>
            </w:r>
            <w:r>
              <w:rPr>
                <w:rFonts w:hint="eastAsia" w:ascii="宋体" w:hAnsi="宋体" w:eastAsia="宋体" w:cs="宋体"/>
                <w:color w:val="auto"/>
                <w:spacing w:val="-2"/>
                <w:szCs w:val="21"/>
                <w:highlight w:val="none"/>
                <w:lang w:val="en-US" w:eastAsia="zh-CN"/>
              </w:rPr>
              <w:t>1</w:t>
            </w:r>
            <w:r>
              <w:rPr>
                <w:rFonts w:hint="eastAsia" w:ascii="宋体" w:hAnsi="宋体" w:eastAsia="宋体" w:cs="宋体"/>
                <w:color w:val="auto"/>
                <w:spacing w:val="-2"/>
                <w:szCs w:val="21"/>
                <w:highlight w:val="none"/>
              </w:rPr>
              <w:t>分；方案内容不完整、描述不详细、符合采购需求低、可操作性一般得</w:t>
            </w:r>
            <w:r>
              <w:rPr>
                <w:rFonts w:hint="eastAsia" w:ascii="宋体" w:hAnsi="宋体" w:eastAsia="宋体" w:cs="宋体"/>
                <w:color w:val="auto"/>
                <w:spacing w:val="-2"/>
                <w:szCs w:val="21"/>
                <w:highlight w:val="none"/>
                <w:lang w:val="en-US" w:eastAsia="zh-CN"/>
              </w:rPr>
              <w:t>0.5</w:t>
            </w:r>
            <w:r>
              <w:rPr>
                <w:rFonts w:hint="eastAsia" w:ascii="宋体" w:hAnsi="宋体" w:eastAsia="宋体" w:cs="宋体"/>
                <w:color w:val="auto"/>
                <w:spacing w:val="-2"/>
                <w:szCs w:val="21"/>
                <w:highlight w:val="none"/>
              </w:rPr>
              <w:t>分；存在严重缺项或无此内容得0分</w:t>
            </w:r>
            <w:r>
              <w:rPr>
                <w:rFonts w:hint="eastAsia" w:ascii="宋体" w:hAnsi="宋体" w:eastAsia="宋体" w:cs="宋体"/>
                <w:color w:val="auto"/>
                <w:spacing w:val="-2"/>
                <w:szCs w:val="21"/>
                <w:highlight w:val="none"/>
                <w:lang w:eastAsia="zh-CN"/>
              </w:rPr>
              <w:t>，</w:t>
            </w:r>
            <w:r>
              <w:rPr>
                <w:rFonts w:hint="eastAsia" w:ascii="宋体" w:hAnsi="宋体" w:eastAsia="宋体" w:cs="宋体"/>
                <w:color w:val="auto"/>
                <w:spacing w:val="-2"/>
                <w:szCs w:val="21"/>
                <w:highlight w:val="none"/>
                <w:lang w:val="en-US" w:eastAsia="zh-CN"/>
              </w:rPr>
              <w:t>本项最多得6分。</w:t>
            </w:r>
          </w:p>
        </w:tc>
      </w:tr>
      <w:tr w14:paraId="65D3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restart"/>
            <w:noWrap w:val="0"/>
            <w:vAlign w:val="center"/>
          </w:tcPr>
          <w:p w14:paraId="3600828B">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2.2.2（3）</w:t>
            </w:r>
          </w:p>
        </w:tc>
        <w:tc>
          <w:tcPr>
            <w:tcW w:w="990" w:type="dxa"/>
            <w:gridSpan w:val="2"/>
            <w:vMerge w:val="restart"/>
            <w:noWrap w:val="0"/>
            <w:vAlign w:val="center"/>
          </w:tcPr>
          <w:p w14:paraId="565F0BA3">
            <w:pPr>
              <w:pageBreakBefore w:val="0"/>
              <w:widowControl/>
              <w:kinsoku/>
              <w:overflowPunct/>
              <w:bidi w:val="0"/>
              <w:spacing w:line="360" w:lineRule="auto"/>
              <w:jc w:val="center"/>
              <w:rPr>
                <w:rFonts w:hint="eastAsia" w:ascii="宋体" w:hAnsi="宋体" w:eastAsia="宋体" w:cs="宋体"/>
                <w:b/>
                <w:color w:val="auto"/>
                <w:highlight w:val="none"/>
              </w:rPr>
            </w:pPr>
            <w:r>
              <w:rPr>
                <w:rFonts w:hint="eastAsia" w:ascii="宋体" w:hAnsi="宋体" w:eastAsia="宋体" w:cs="宋体"/>
                <w:b/>
                <w:bCs/>
                <w:color w:val="auto"/>
                <w:highlight w:val="none"/>
              </w:rPr>
              <w:t>商务部分</w:t>
            </w:r>
            <w:r>
              <w:rPr>
                <w:rFonts w:hint="eastAsia" w:ascii="宋体" w:hAnsi="宋体" w:eastAsia="宋体" w:cs="宋体"/>
                <w:b/>
                <w:bCs/>
                <w:color w:val="auto"/>
                <w:highlight w:val="none"/>
                <w:lang w:val="en-US" w:eastAsia="zh-CN"/>
              </w:rPr>
              <w:t>25</w:t>
            </w:r>
            <w:r>
              <w:rPr>
                <w:rFonts w:hint="eastAsia" w:ascii="宋体" w:hAnsi="宋体" w:eastAsia="宋体" w:cs="宋体"/>
                <w:b/>
                <w:bCs/>
                <w:color w:val="auto"/>
                <w:highlight w:val="none"/>
              </w:rPr>
              <w:t>分</w:t>
            </w:r>
          </w:p>
          <w:p w14:paraId="24F015CF">
            <w:pPr>
              <w:pageBreakBefore w:val="0"/>
              <w:widowControl/>
              <w:kinsoku/>
              <w:overflowPunct/>
              <w:bidi w:val="0"/>
              <w:spacing w:line="360" w:lineRule="auto"/>
              <w:jc w:val="center"/>
              <w:rPr>
                <w:rFonts w:hint="eastAsia" w:ascii="宋体" w:hAnsi="宋体" w:eastAsia="宋体" w:cs="宋体"/>
                <w:b/>
                <w:color w:val="auto"/>
                <w:highlight w:val="none"/>
              </w:rPr>
            </w:pPr>
          </w:p>
        </w:tc>
        <w:tc>
          <w:tcPr>
            <w:tcW w:w="2126" w:type="dxa"/>
            <w:noWrap w:val="0"/>
            <w:vAlign w:val="center"/>
          </w:tcPr>
          <w:p w14:paraId="3D8A4E88">
            <w:pPr>
              <w:pageBreakBefore w:val="0"/>
              <w:widowControl/>
              <w:kinsoku/>
              <w:overflowPunct/>
              <w:bidi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业绩（</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分）</w:t>
            </w:r>
          </w:p>
        </w:tc>
        <w:tc>
          <w:tcPr>
            <w:tcW w:w="5245" w:type="dxa"/>
            <w:noWrap w:val="0"/>
            <w:vAlign w:val="top"/>
          </w:tcPr>
          <w:p w14:paraId="1A3C105B">
            <w:pPr>
              <w:widowControl/>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提供2023年1月1日以来类似业绩，每提供一份得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分，最</w:t>
            </w:r>
            <w:r>
              <w:rPr>
                <w:rFonts w:hint="eastAsia" w:ascii="宋体" w:hAnsi="宋体" w:eastAsia="宋体" w:cs="宋体"/>
                <w:color w:val="auto"/>
                <w:szCs w:val="21"/>
                <w:highlight w:val="none"/>
                <w:lang w:val="en-US" w:eastAsia="zh-CN"/>
              </w:rPr>
              <w:t>高</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分。（注:一份完整业绩包含中标（成交）通知书及合同，缺项不得分，时间以合同签订时间为准）</w:t>
            </w:r>
          </w:p>
        </w:tc>
      </w:tr>
      <w:tr w14:paraId="076A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continue"/>
            <w:noWrap w:val="0"/>
            <w:vAlign w:val="center"/>
          </w:tcPr>
          <w:p w14:paraId="30AE36D2">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p>
        </w:tc>
        <w:tc>
          <w:tcPr>
            <w:tcW w:w="990" w:type="dxa"/>
            <w:gridSpan w:val="2"/>
            <w:vMerge w:val="continue"/>
            <w:noWrap w:val="0"/>
            <w:vAlign w:val="center"/>
          </w:tcPr>
          <w:p w14:paraId="01F9A9A2">
            <w:pPr>
              <w:pageBreakBefore w:val="0"/>
              <w:widowControl/>
              <w:kinsoku/>
              <w:overflowPunct/>
              <w:bidi w:val="0"/>
              <w:spacing w:line="360" w:lineRule="auto"/>
              <w:jc w:val="center"/>
              <w:rPr>
                <w:rFonts w:hint="eastAsia" w:ascii="宋体" w:hAnsi="宋体" w:eastAsia="宋体" w:cs="宋体"/>
                <w:b/>
                <w:color w:val="auto"/>
                <w:highlight w:val="none"/>
              </w:rPr>
            </w:pPr>
          </w:p>
        </w:tc>
        <w:tc>
          <w:tcPr>
            <w:tcW w:w="2126" w:type="dxa"/>
            <w:noWrap w:val="0"/>
            <w:vAlign w:val="center"/>
          </w:tcPr>
          <w:p w14:paraId="42D10EBF">
            <w:pPr>
              <w:pStyle w:val="17"/>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kern w:val="0"/>
                <w:highlight w:val="none"/>
              </w:rPr>
              <w:t>售后服务方案（</w:t>
            </w:r>
            <w:r>
              <w:rPr>
                <w:rFonts w:hint="eastAsia" w:ascii="宋体" w:hAnsi="宋体" w:eastAsia="宋体" w:cs="宋体"/>
                <w:b/>
                <w:color w:val="auto"/>
                <w:kern w:val="0"/>
                <w:highlight w:val="none"/>
                <w:lang w:val="en-US" w:eastAsia="zh-CN"/>
              </w:rPr>
              <w:t>10</w:t>
            </w:r>
            <w:r>
              <w:rPr>
                <w:rFonts w:hint="eastAsia" w:ascii="宋体" w:hAnsi="宋体" w:eastAsia="宋体" w:cs="宋体"/>
                <w:b/>
                <w:color w:val="auto"/>
                <w:kern w:val="0"/>
                <w:highlight w:val="none"/>
              </w:rPr>
              <w:t>分）</w:t>
            </w:r>
          </w:p>
        </w:tc>
        <w:tc>
          <w:tcPr>
            <w:tcW w:w="5245" w:type="dxa"/>
            <w:noWrap w:val="0"/>
            <w:vAlign w:val="center"/>
          </w:tcPr>
          <w:p w14:paraId="288BFCC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售后服务方案从以下5点进行评审（包括但不限于）：</w:t>
            </w:r>
          </w:p>
          <w:p w14:paraId="6F080E2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1.售后服务方案内容；</w:t>
            </w:r>
          </w:p>
          <w:p w14:paraId="76C9F78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2.售后服务人员配备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设备配备</w:t>
            </w:r>
            <w:r>
              <w:rPr>
                <w:rFonts w:hint="eastAsia" w:ascii="宋体" w:hAnsi="宋体" w:eastAsia="宋体" w:cs="宋体"/>
                <w:color w:val="auto"/>
                <w:szCs w:val="21"/>
                <w:highlight w:val="none"/>
              </w:rPr>
              <w:t>；</w:t>
            </w:r>
          </w:p>
          <w:p w14:paraId="5D02207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3.售后服务计划；</w:t>
            </w:r>
          </w:p>
          <w:p w14:paraId="4CE0383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4.故障响应时间；</w:t>
            </w:r>
          </w:p>
          <w:p w14:paraId="43B1A8B5">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按采购需求要求提供操作软件终身升级及版本更新服务</w:t>
            </w:r>
            <w:r>
              <w:rPr>
                <w:rFonts w:hint="eastAsia" w:ascii="宋体" w:hAnsi="宋体" w:eastAsia="宋体" w:cs="宋体"/>
                <w:color w:val="auto"/>
                <w:szCs w:val="21"/>
                <w:highlight w:val="none"/>
                <w:lang w:eastAsia="zh-CN"/>
              </w:rPr>
              <w:t>。</w:t>
            </w:r>
          </w:p>
          <w:p w14:paraId="7460E77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以上售后服务方案每项</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spacing w:val="-2"/>
                <w:szCs w:val="21"/>
                <w:highlight w:val="none"/>
              </w:rPr>
              <w:t>每项方案内容完整、描述详细、完全符合采购需求、可操作性强得</w:t>
            </w:r>
            <w:r>
              <w:rPr>
                <w:rFonts w:hint="eastAsia" w:ascii="宋体" w:hAnsi="宋体" w:eastAsia="宋体" w:cs="宋体"/>
                <w:color w:val="auto"/>
                <w:spacing w:val="-2"/>
                <w:szCs w:val="21"/>
                <w:highlight w:val="none"/>
                <w:lang w:val="en-US" w:eastAsia="zh-CN"/>
              </w:rPr>
              <w:t>2</w:t>
            </w:r>
            <w:r>
              <w:rPr>
                <w:rFonts w:hint="eastAsia" w:ascii="宋体" w:hAnsi="宋体" w:eastAsia="宋体" w:cs="宋体"/>
                <w:color w:val="auto"/>
                <w:spacing w:val="-2"/>
                <w:szCs w:val="21"/>
                <w:highlight w:val="none"/>
              </w:rPr>
              <w:t>分；方案内容较完整、描述较详细、基本符合采购需求、可操作性较强得</w:t>
            </w:r>
            <w:r>
              <w:rPr>
                <w:rFonts w:hint="eastAsia" w:ascii="宋体" w:hAnsi="宋体" w:eastAsia="宋体" w:cs="宋体"/>
                <w:color w:val="auto"/>
                <w:spacing w:val="-2"/>
                <w:szCs w:val="21"/>
                <w:highlight w:val="none"/>
                <w:lang w:val="en-US" w:eastAsia="zh-CN"/>
              </w:rPr>
              <w:t>1</w:t>
            </w:r>
            <w:r>
              <w:rPr>
                <w:rFonts w:hint="eastAsia" w:ascii="宋体" w:hAnsi="宋体" w:eastAsia="宋体" w:cs="宋体"/>
                <w:color w:val="auto"/>
                <w:spacing w:val="-2"/>
                <w:szCs w:val="21"/>
                <w:highlight w:val="none"/>
              </w:rPr>
              <w:t>分；方案内容不完整、描述不详细、符合采购需求低、可操作性一般得</w:t>
            </w:r>
            <w:r>
              <w:rPr>
                <w:rFonts w:hint="eastAsia" w:ascii="宋体" w:hAnsi="宋体" w:eastAsia="宋体" w:cs="宋体"/>
                <w:color w:val="auto"/>
                <w:spacing w:val="-2"/>
                <w:szCs w:val="21"/>
                <w:highlight w:val="none"/>
                <w:lang w:val="en-US" w:eastAsia="zh-CN"/>
              </w:rPr>
              <w:t>0.5</w:t>
            </w:r>
            <w:r>
              <w:rPr>
                <w:rFonts w:hint="eastAsia" w:ascii="宋体" w:hAnsi="宋体" w:eastAsia="宋体" w:cs="宋体"/>
                <w:color w:val="auto"/>
                <w:spacing w:val="-2"/>
                <w:szCs w:val="21"/>
                <w:highlight w:val="none"/>
              </w:rPr>
              <w:t>分；存在严重缺项或无此内容得0分</w:t>
            </w:r>
            <w:r>
              <w:rPr>
                <w:rFonts w:hint="eastAsia" w:ascii="宋体" w:hAnsi="宋体" w:eastAsia="宋体" w:cs="宋体"/>
                <w:color w:val="auto"/>
                <w:spacing w:val="-2"/>
                <w:szCs w:val="21"/>
                <w:highlight w:val="none"/>
                <w:lang w:eastAsia="zh-CN"/>
              </w:rPr>
              <w:t>，</w:t>
            </w:r>
            <w:r>
              <w:rPr>
                <w:rFonts w:hint="eastAsia" w:ascii="宋体" w:hAnsi="宋体" w:eastAsia="宋体" w:cs="宋体"/>
                <w:color w:val="auto"/>
                <w:spacing w:val="-2"/>
                <w:szCs w:val="21"/>
                <w:highlight w:val="none"/>
                <w:lang w:val="en-US" w:eastAsia="zh-CN"/>
              </w:rPr>
              <w:t>本项最多得10分</w:t>
            </w:r>
            <w:r>
              <w:rPr>
                <w:rFonts w:hint="eastAsia" w:ascii="宋体" w:hAnsi="宋体" w:eastAsia="宋体" w:cs="宋体"/>
                <w:color w:val="auto"/>
                <w:spacing w:val="-2"/>
                <w:szCs w:val="21"/>
                <w:highlight w:val="none"/>
              </w:rPr>
              <w:t>。</w:t>
            </w:r>
          </w:p>
        </w:tc>
      </w:tr>
      <w:tr w14:paraId="0F47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noWrap w:val="0"/>
            <w:vAlign w:val="center"/>
          </w:tcPr>
          <w:p w14:paraId="47DB67C3">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990" w:type="dxa"/>
            <w:gridSpan w:val="2"/>
            <w:vMerge w:val="continue"/>
            <w:noWrap w:val="0"/>
            <w:vAlign w:val="center"/>
          </w:tcPr>
          <w:p w14:paraId="1757C17B">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0F67B8FE">
            <w:pP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bCs/>
                <w:color w:val="auto"/>
                <w:kern w:val="0"/>
                <w:szCs w:val="21"/>
                <w:highlight w:val="none"/>
              </w:rPr>
              <w:t>质量保证期内保证措施</w:t>
            </w:r>
            <w:r>
              <w:rPr>
                <w:rFonts w:hint="eastAsia" w:ascii="宋体" w:hAnsi="宋体" w:eastAsia="宋体" w:cs="宋体"/>
                <w:b/>
                <w:color w:val="auto"/>
                <w:kern w:val="0"/>
                <w:highlight w:val="none"/>
              </w:rPr>
              <w:t>（</w:t>
            </w:r>
            <w:r>
              <w:rPr>
                <w:rFonts w:hint="eastAsia" w:ascii="宋体" w:hAnsi="宋体" w:eastAsia="宋体" w:cs="宋体"/>
                <w:b/>
                <w:color w:val="auto"/>
                <w:kern w:val="0"/>
                <w:highlight w:val="none"/>
                <w:lang w:val="en-US" w:eastAsia="zh-CN"/>
              </w:rPr>
              <w:t>4</w:t>
            </w:r>
            <w:r>
              <w:rPr>
                <w:rFonts w:hint="eastAsia" w:ascii="宋体" w:hAnsi="宋体" w:eastAsia="宋体" w:cs="宋体"/>
                <w:b/>
                <w:color w:val="auto"/>
                <w:kern w:val="0"/>
                <w:highlight w:val="none"/>
              </w:rPr>
              <w:t>分）</w:t>
            </w:r>
          </w:p>
        </w:tc>
        <w:tc>
          <w:tcPr>
            <w:tcW w:w="5245" w:type="dxa"/>
            <w:noWrap w:val="0"/>
            <w:vAlign w:val="center"/>
          </w:tcPr>
          <w:p w14:paraId="0FFA906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质量保证期内保证措施从以下2点进行评审（包括但不限于）：</w:t>
            </w:r>
          </w:p>
          <w:p w14:paraId="04B8A82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1.发生质量问题的应对措施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包括</w:t>
            </w:r>
            <w:r>
              <w:rPr>
                <w:rFonts w:hint="eastAsia" w:ascii="宋体" w:hAnsi="宋体" w:eastAsia="宋体" w:cs="宋体"/>
                <w:color w:val="auto"/>
                <w:szCs w:val="21"/>
                <w:highlight w:val="none"/>
                <w:lang w:eastAsia="zh-CN"/>
              </w:rPr>
              <w:t>所有故障提供技术服务和维修）</w:t>
            </w:r>
            <w:r>
              <w:rPr>
                <w:rFonts w:hint="eastAsia" w:ascii="宋体" w:hAnsi="宋体" w:eastAsia="宋体" w:cs="宋体"/>
                <w:color w:val="auto"/>
                <w:szCs w:val="21"/>
                <w:highlight w:val="none"/>
              </w:rPr>
              <w:t>；</w:t>
            </w:r>
          </w:p>
          <w:p w14:paraId="0F439BC5">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pacing w:val="-4"/>
                <w:szCs w:val="21"/>
                <w:highlight w:val="none"/>
              </w:rPr>
              <w:t>突发</w:t>
            </w:r>
            <w:r>
              <w:rPr>
                <w:rFonts w:hint="eastAsia" w:ascii="宋体" w:hAnsi="宋体" w:eastAsia="宋体" w:cs="宋体"/>
                <w:color w:val="auto"/>
                <w:spacing w:val="-4"/>
                <w:szCs w:val="21"/>
                <w:highlight w:val="none"/>
                <w:lang w:val="en-US" w:eastAsia="zh-CN"/>
              </w:rPr>
              <w:t>故障</w:t>
            </w:r>
            <w:r>
              <w:rPr>
                <w:rFonts w:hint="eastAsia" w:ascii="宋体" w:hAnsi="宋体" w:eastAsia="宋体" w:cs="宋体"/>
                <w:color w:val="auto"/>
                <w:spacing w:val="-4"/>
                <w:szCs w:val="21"/>
                <w:highlight w:val="none"/>
              </w:rPr>
              <w:t>发生后的改进措施</w:t>
            </w:r>
            <w:r>
              <w:rPr>
                <w:rFonts w:hint="eastAsia" w:ascii="宋体" w:hAnsi="宋体" w:eastAsia="宋体" w:cs="宋体"/>
                <w:color w:val="auto"/>
                <w:spacing w:val="-4"/>
                <w:szCs w:val="21"/>
                <w:highlight w:val="none"/>
                <w:lang w:eastAsia="zh-CN"/>
              </w:rPr>
              <w:t>。</w:t>
            </w:r>
          </w:p>
          <w:p w14:paraId="3D360CAD">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以上保证措施每项2分。</w:t>
            </w:r>
            <w:r>
              <w:rPr>
                <w:rFonts w:hint="eastAsia" w:ascii="宋体" w:hAnsi="宋体" w:eastAsia="宋体" w:cs="宋体"/>
                <w:color w:val="auto"/>
                <w:spacing w:val="-2"/>
                <w:szCs w:val="21"/>
                <w:highlight w:val="none"/>
              </w:rPr>
              <w:t>每项措施内容完整、描述详细、完全符合采购需求、可操作性强得2分；方案内容较完整、描述较详细、基本符合采购需求、可操作性较强得1分；方案内容不完整、描述不详细、符合采购需求低、可操作性一般得0.5分；存在严重缺项或无此内容得0分</w:t>
            </w:r>
            <w:r>
              <w:rPr>
                <w:rFonts w:hint="eastAsia" w:ascii="宋体" w:hAnsi="宋体" w:eastAsia="宋体" w:cs="宋体"/>
                <w:color w:val="auto"/>
                <w:spacing w:val="-2"/>
                <w:szCs w:val="21"/>
                <w:highlight w:val="none"/>
                <w:lang w:eastAsia="zh-CN"/>
              </w:rPr>
              <w:t>，</w:t>
            </w:r>
            <w:r>
              <w:rPr>
                <w:rFonts w:hint="eastAsia" w:ascii="宋体" w:hAnsi="宋体" w:eastAsia="宋体" w:cs="宋体"/>
                <w:color w:val="auto"/>
                <w:spacing w:val="-2"/>
                <w:szCs w:val="21"/>
                <w:highlight w:val="none"/>
                <w:lang w:val="en-US" w:eastAsia="zh-CN"/>
              </w:rPr>
              <w:t>本项最多得4分。</w:t>
            </w:r>
          </w:p>
        </w:tc>
      </w:tr>
      <w:tr w14:paraId="722D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noWrap w:val="0"/>
            <w:vAlign w:val="center"/>
          </w:tcPr>
          <w:p w14:paraId="63CCFC24">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990" w:type="dxa"/>
            <w:gridSpan w:val="2"/>
            <w:vMerge w:val="continue"/>
            <w:noWrap w:val="0"/>
            <w:vAlign w:val="center"/>
          </w:tcPr>
          <w:p w14:paraId="52C9262E">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751B1903">
            <w:pPr>
              <w:widowControl/>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人员培训方案</w:t>
            </w:r>
            <w:r>
              <w:rPr>
                <w:rFonts w:hint="eastAsia" w:ascii="宋体" w:hAnsi="宋体" w:eastAsia="宋体" w:cs="宋体"/>
                <w:b/>
                <w:color w:val="auto"/>
                <w:kern w:val="0"/>
                <w:highlight w:val="none"/>
              </w:rPr>
              <w:t>（</w:t>
            </w:r>
            <w:r>
              <w:rPr>
                <w:rFonts w:hint="eastAsia" w:ascii="宋体" w:hAnsi="宋体" w:eastAsia="宋体" w:cs="宋体"/>
                <w:b/>
                <w:color w:val="auto"/>
                <w:kern w:val="0"/>
                <w:highlight w:val="none"/>
                <w:lang w:val="en-US" w:eastAsia="zh-CN"/>
              </w:rPr>
              <w:t>4</w:t>
            </w:r>
            <w:r>
              <w:rPr>
                <w:rFonts w:hint="eastAsia" w:ascii="宋体" w:hAnsi="宋体" w:eastAsia="宋体" w:cs="宋体"/>
                <w:b/>
                <w:color w:val="auto"/>
                <w:kern w:val="0"/>
                <w:highlight w:val="none"/>
              </w:rPr>
              <w:t>分）</w:t>
            </w:r>
          </w:p>
        </w:tc>
        <w:tc>
          <w:tcPr>
            <w:tcW w:w="5245" w:type="dxa"/>
            <w:noWrap w:val="0"/>
            <w:vAlign w:val="center"/>
          </w:tcPr>
          <w:p w14:paraId="38D63D7E">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人员培训方案从以下</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点进行评审（包括但不限于）：</w:t>
            </w:r>
          </w:p>
          <w:p w14:paraId="165DBB8C">
            <w:pPr>
              <w:widowControl/>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培训计划</w:t>
            </w:r>
            <w:r>
              <w:rPr>
                <w:rFonts w:hint="eastAsia" w:ascii="宋体" w:hAnsi="宋体" w:eastAsia="宋体" w:cs="宋体"/>
                <w:color w:val="auto"/>
                <w:kern w:val="0"/>
                <w:szCs w:val="21"/>
                <w:highlight w:val="none"/>
              </w:rPr>
              <w:t>；</w:t>
            </w:r>
          </w:p>
          <w:p w14:paraId="4E21BF3F">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培训内容</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含</w:t>
            </w:r>
            <w:r>
              <w:rPr>
                <w:rFonts w:hint="eastAsia" w:ascii="宋体" w:hAnsi="宋体" w:eastAsia="宋体" w:cs="宋体"/>
                <w:color w:val="auto"/>
                <w:kern w:val="0"/>
                <w:szCs w:val="21"/>
                <w:highlight w:val="none"/>
                <w:lang w:eastAsia="zh-CN"/>
              </w:rPr>
              <w:t>技术培训和支持（含现场培训）】</w:t>
            </w:r>
            <w:r>
              <w:rPr>
                <w:rFonts w:hint="eastAsia" w:ascii="宋体" w:hAnsi="宋体" w:eastAsia="宋体" w:cs="宋体"/>
                <w:color w:val="auto"/>
                <w:kern w:val="0"/>
                <w:szCs w:val="21"/>
                <w:highlight w:val="none"/>
              </w:rPr>
              <w:t>；</w:t>
            </w:r>
          </w:p>
          <w:p w14:paraId="1676F086">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.培训形式；</w:t>
            </w:r>
          </w:p>
          <w:p w14:paraId="28EE07A9">
            <w:pPr>
              <w:widowControl/>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.培训人员配置情况</w:t>
            </w:r>
            <w:r>
              <w:rPr>
                <w:rFonts w:hint="eastAsia" w:ascii="宋体" w:hAnsi="宋体" w:eastAsia="宋体" w:cs="宋体"/>
                <w:color w:val="auto"/>
                <w:kern w:val="0"/>
                <w:szCs w:val="21"/>
                <w:highlight w:val="none"/>
                <w:lang w:eastAsia="zh-CN"/>
              </w:rPr>
              <w:t>。</w:t>
            </w:r>
          </w:p>
          <w:p w14:paraId="0DF2D211">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以上培训方案每项1分。</w:t>
            </w:r>
            <w:r>
              <w:rPr>
                <w:rFonts w:hint="eastAsia" w:ascii="宋体" w:hAnsi="宋体" w:eastAsia="宋体" w:cs="宋体"/>
                <w:color w:val="auto"/>
                <w:spacing w:val="-2"/>
                <w:szCs w:val="21"/>
                <w:highlight w:val="none"/>
              </w:rPr>
              <w:t>每项方案内容周到完整、描述详细、完全符合</w:t>
            </w:r>
            <w:r>
              <w:rPr>
                <w:rFonts w:hint="eastAsia" w:ascii="宋体" w:hAnsi="宋体" w:eastAsia="宋体" w:cs="宋体"/>
                <w:color w:val="auto"/>
                <w:spacing w:val="-2"/>
                <w:szCs w:val="21"/>
                <w:highlight w:val="none"/>
                <w:lang w:val="en-US" w:eastAsia="zh-CN"/>
              </w:rPr>
              <w:t>采购</w:t>
            </w:r>
            <w:r>
              <w:rPr>
                <w:rFonts w:hint="eastAsia" w:ascii="宋体" w:hAnsi="宋体" w:eastAsia="宋体" w:cs="宋体"/>
                <w:color w:val="auto"/>
                <w:spacing w:val="-2"/>
                <w:szCs w:val="21"/>
                <w:highlight w:val="none"/>
              </w:rPr>
              <w:t>需求、可操作性强得1分；方案内容较周到完整、描述较详细、基本符合</w:t>
            </w:r>
            <w:r>
              <w:rPr>
                <w:rFonts w:hint="eastAsia" w:ascii="宋体" w:hAnsi="宋体" w:eastAsia="宋体" w:cs="宋体"/>
                <w:color w:val="auto"/>
                <w:spacing w:val="-2"/>
                <w:szCs w:val="21"/>
                <w:highlight w:val="none"/>
                <w:lang w:val="en-US" w:eastAsia="zh-CN"/>
              </w:rPr>
              <w:t>采购</w:t>
            </w:r>
            <w:r>
              <w:rPr>
                <w:rFonts w:hint="eastAsia" w:ascii="宋体" w:hAnsi="宋体" w:eastAsia="宋体" w:cs="宋体"/>
                <w:color w:val="auto"/>
                <w:spacing w:val="-2"/>
                <w:szCs w:val="21"/>
                <w:highlight w:val="none"/>
              </w:rPr>
              <w:t>需求、可操作性较强得0.5分；方案内容不完整、描述不详细、符合</w:t>
            </w:r>
            <w:r>
              <w:rPr>
                <w:rFonts w:hint="eastAsia" w:ascii="宋体" w:hAnsi="宋体" w:eastAsia="宋体" w:cs="宋体"/>
                <w:color w:val="auto"/>
                <w:spacing w:val="-2"/>
                <w:szCs w:val="21"/>
                <w:highlight w:val="none"/>
                <w:lang w:val="en-US" w:eastAsia="zh-CN"/>
              </w:rPr>
              <w:t>采购</w:t>
            </w:r>
            <w:r>
              <w:rPr>
                <w:rFonts w:hint="eastAsia" w:ascii="宋体" w:hAnsi="宋体" w:eastAsia="宋体" w:cs="宋体"/>
                <w:color w:val="auto"/>
                <w:spacing w:val="-2"/>
                <w:szCs w:val="21"/>
                <w:highlight w:val="none"/>
              </w:rPr>
              <w:t>需求低、可操作性一般得0.25分；存在严重缺项或无此内容得0分</w:t>
            </w:r>
            <w:r>
              <w:rPr>
                <w:rFonts w:hint="eastAsia" w:ascii="宋体" w:hAnsi="宋体" w:eastAsia="宋体" w:cs="宋体"/>
                <w:color w:val="auto"/>
                <w:spacing w:val="-2"/>
                <w:szCs w:val="21"/>
                <w:highlight w:val="none"/>
                <w:lang w:eastAsia="zh-CN"/>
              </w:rPr>
              <w:t>，</w:t>
            </w:r>
            <w:r>
              <w:rPr>
                <w:rFonts w:hint="eastAsia" w:ascii="宋体" w:hAnsi="宋体" w:eastAsia="宋体" w:cs="宋体"/>
                <w:color w:val="auto"/>
                <w:spacing w:val="-2"/>
                <w:szCs w:val="21"/>
                <w:highlight w:val="none"/>
                <w:lang w:val="en-US" w:eastAsia="zh-CN"/>
              </w:rPr>
              <w:t>本项最多得4分。</w:t>
            </w:r>
          </w:p>
        </w:tc>
      </w:tr>
      <w:tr w14:paraId="2093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0" w:type="dxa"/>
            <w:vMerge w:val="continue"/>
            <w:noWrap w:val="0"/>
            <w:vAlign w:val="center"/>
          </w:tcPr>
          <w:p w14:paraId="017797A2">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990" w:type="dxa"/>
            <w:gridSpan w:val="2"/>
            <w:vMerge w:val="continue"/>
            <w:noWrap w:val="0"/>
            <w:vAlign w:val="center"/>
          </w:tcPr>
          <w:p w14:paraId="37D03E08">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noWrap w:val="0"/>
            <w:vAlign w:val="center"/>
          </w:tcPr>
          <w:p w14:paraId="74F20F41">
            <w:pPr>
              <w:pageBreakBefore w:val="0"/>
              <w:widowControl/>
              <w:kinsoku/>
              <w:overflowPunct/>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节能</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环保</w:t>
            </w:r>
            <w:r>
              <w:rPr>
                <w:rFonts w:hint="eastAsia" w:ascii="宋体" w:hAnsi="宋体" w:eastAsia="宋体" w:cs="宋体"/>
                <w:b/>
                <w:color w:val="auto"/>
                <w:szCs w:val="21"/>
                <w:highlight w:val="none"/>
              </w:rPr>
              <w:t>清单产品</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分</w:t>
            </w:r>
            <w:r>
              <w:rPr>
                <w:rFonts w:hint="eastAsia" w:ascii="宋体" w:hAnsi="宋体" w:eastAsia="宋体" w:cs="宋体"/>
                <w:b/>
                <w:color w:val="auto"/>
                <w:szCs w:val="21"/>
                <w:highlight w:val="none"/>
                <w:lang w:eastAsia="zh-CN"/>
              </w:rPr>
              <w:t>）</w:t>
            </w:r>
          </w:p>
          <w:p w14:paraId="2D5A10E6">
            <w:pPr>
              <w:pageBreakBefore w:val="0"/>
              <w:widowControl/>
              <w:kinsoku/>
              <w:overflowPunct/>
              <w:bidi w:val="0"/>
              <w:spacing w:line="360" w:lineRule="auto"/>
              <w:jc w:val="center"/>
              <w:rPr>
                <w:rFonts w:hint="eastAsia" w:ascii="宋体" w:hAnsi="宋体" w:eastAsia="宋体" w:cs="宋体"/>
                <w:b/>
                <w:color w:val="auto"/>
                <w:szCs w:val="21"/>
                <w:highlight w:val="none"/>
              </w:rPr>
            </w:pPr>
          </w:p>
        </w:tc>
        <w:tc>
          <w:tcPr>
            <w:tcW w:w="5245" w:type="dxa"/>
            <w:noWrap w:val="0"/>
            <w:vAlign w:val="center"/>
          </w:tcPr>
          <w:p w14:paraId="594D644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所投产品如为节能产品政府采购品目清单内非政府强制采购节能产品的，每有一项加0.5分，最多加0.5分。</w:t>
            </w:r>
          </w:p>
          <w:p w14:paraId="3F0632A8">
            <w:pPr>
              <w:widowControl/>
              <w:spacing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所投产品如为环境标志产品政府采购品目清单内的产品，每有一项加0.5分，最多加0.5分</w:t>
            </w:r>
            <w:r>
              <w:rPr>
                <w:rFonts w:hint="eastAsia" w:ascii="宋体" w:hAnsi="宋体" w:eastAsia="宋体" w:cs="宋体"/>
                <w:color w:val="auto"/>
                <w:kern w:val="0"/>
                <w:szCs w:val="21"/>
                <w:highlight w:val="none"/>
                <w:lang w:eastAsia="zh-CN"/>
              </w:rPr>
              <w:t>。</w:t>
            </w:r>
          </w:p>
          <w:p w14:paraId="0A4E51DD">
            <w:pPr>
              <w:widowControl/>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rPr>
              <w:t>投标人须在投标文件中附该产品经国家确定的认证机构出具的、处于有效期之内的《国家节能产品认证证书》</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《中国环境标志产品认证证书》复印件或扫描件，否则评标委员会有权不予认可。清单可在中华人民共和国财政部网站（http://www.mof.gov.cn）、中国政府采购网（http://www.ccgp.gov.cn/）查阅。</w:t>
            </w:r>
          </w:p>
        </w:tc>
      </w:tr>
      <w:tr w14:paraId="35E0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1" w:type="dxa"/>
            <w:gridSpan w:val="5"/>
            <w:noWrap w:val="0"/>
            <w:vAlign w:val="center"/>
          </w:tcPr>
          <w:p w14:paraId="4A761594">
            <w:pPr>
              <w:pStyle w:val="33"/>
              <w:pageBreakBefore w:val="0"/>
              <w:widowControl/>
              <w:numPr>
                <w:ilvl w:val="0"/>
                <w:numId w:val="0"/>
              </w:numPr>
              <w:kinsoku/>
              <w:overflowPunct/>
              <w:bidi w:val="0"/>
              <w:spacing w:before="0" w:beforeAutospacing="0" w:after="0" w:afterAutospacing="0" w:line="360" w:lineRule="auto"/>
              <w:ind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p w14:paraId="5C502CAB">
            <w:pPr>
              <w:pStyle w:val="33"/>
              <w:pageBreakBefore w:val="0"/>
              <w:widowControl/>
              <w:numPr>
                <w:ilvl w:val="0"/>
                <w:numId w:val="0"/>
              </w:numPr>
              <w:kinsoku/>
              <w:overflowPunct/>
              <w:bidi w:val="0"/>
              <w:spacing w:before="0" w:beforeAutospacing="0" w:after="0" w:afterAutospacing="0" w:line="360" w:lineRule="auto"/>
              <w:ind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1.评标委员会对各投标人的得分进行汇总，评分分值计算保留小数点后两位，小数点后第三位“四舍五入”。以各评标委员会打分的算术平均值作为该投标人的最终得分。</w:t>
            </w:r>
          </w:p>
          <w:p w14:paraId="69272CCF">
            <w:pPr>
              <w:pStyle w:val="33"/>
              <w:pageBreakBefore w:val="0"/>
              <w:widowControl/>
              <w:numPr>
                <w:ilvl w:val="0"/>
                <w:numId w:val="0"/>
              </w:numPr>
              <w:kinsoku/>
              <w:overflowPunct/>
              <w:bidi w:val="0"/>
              <w:spacing w:before="0" w:beforeAutospacing="0" w:after="0" w:afterAutospacing="0" w:line="360" w:lineRule="auto"/>
              <w:ind w:right="0" w:rightChars="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2.非单一产品采购项目，招标文件中在第</w:t>
            </w:r>
            <w:r>
              <w:rPr>
                <w:rFonts w:hint="eastAsia" w:ascii="宋体" w:hAnsi="宋体" w:eastAsia="宋体" w:cs="宋体"/>
                <w:color w:val="auto"/>
                <w:kern w:val="2"/>
                <w:sz w:val="21"/>
                <w:szCs w:val="21"/>
                <w:highlight w:val="none"/>
                <w:u w:val="single"/>
                <w:lang w:val="en-US" w:eastAsia="zh-CN" w:bidi="ar-SA"/>
              </w:rPr>
              <w:t xml:space="preserve"> 六  </w:t>
            </w:r>
            <w:r>
              <w:rPr>
                <w:rFonts w:hint="eastAsia" w:ascii="宋体" w:hAnsi="宋体" w:eastAsia="宋体" w:cs="宋体"/>
                <w:color w:val="auto"/>
                <w:kern w:val="2"/>
                <w:sz w:val="21"/>
                <w:szCs w:val="21"/>
                <w:highlight w:val="none"/>
                <w:lang w:val="en-US" w:eastAsia="zh-CN" w:bidi="ar-SA"/>
              </w:rPr>
              <w:t>章中载明了核心产品，核心产品提供相同品牌产品且通过资格审查、符合性审查的不同投标人参加同一包投标的，按一家投标人计算，评审后得分最高的同品牌投标人获得中标人推荐资格；评审得分相同的，以投标报价低者获得中标人推荐资格，其他同品牌投标人不作为中标候选人。</w:t>
            </w:r>
          </w:p>
        </w:tc>
      </w:tr>
    </w:tbl>
    <w:p w14:paraId="11EA75A5">
      <w:pPr>
        <w:pStyle w:val="6"/>
        <w:pageBreakBefore w:val="0"/>
        <w:numPr>
          <w:ilvl w:val="0"/>
          <w:numId w:val="19"/>
        </w:numPr>
        <w:kinsoku/>
        <w:overflowPunct/>
        <w:bidi w:val="0"/>
        <w:spacing w:line="360" w:lineRule="auto"/>
        <w:rPr>
          <w:rFonts w:hint="eastAsia" w:ascii="宋体" w:hAnsi="宋体" w:eastAsia="宋体" w:cs="宋体"/>
          <w:b/>
          <w:bCs w:val="0"/>
          <w:color w:val="auto"/>
          <w:sz w:val="24"/>
          <w:szCs w:val="24"/>
          <w:highlight w:val="none"/>
          <w:lang w:val="en-US" w:eastAsia="zh-CN"/>
        </w:rPr>
      </w:pPr>
      <w:bookmarkStart w:id="611" w:name="_Toc20167"/>
      <w:bookmarkStart w:id="612" w:name="_Toc13371"/>
      <w:bookmarkStart w:id="613" w:name="_Toc26522"/>
      <w:bookmarkStart w:id="614" w:name="_Toc31999"/>
      <w:bookmarkStart w:id="615" w:name="_Toc9836"/>
      <w:bookmarkStart w:id="616" w:name="_Toc30636"/>
      <w:bookmarkStart w:id="617" w:name="_Toc31078"/>
      <w:bookmarkStart w:id="618" w:name="_Toc17199"/>
      <w:bookmarkStart w:id="619" w:name="_Toc25637"/>
      <w:bookmarkStart w:id="620" w:name="_Toc12476"/>
      <w:bookmarkStart w:id="621" w:name="_Toc3242"/>
      <w:r>
        <w:rPr>
          <w:rFonts w:hint="eastAsia" w:ascii="宋体" w:hAnsi="宋体" w:eastAsia="宋体" w:cs="宋体"/>
          <w:b/>
          <w:bCs w:val="0"/>
          <w:color w:val="auto"/>
          <w:kern w:val="2"/>
          <w:sz w:val="24"/>
          <w:szCs w:val="24"/>
          <w:highlight w:val="none"/>
          <w:lang w:val="en-US" w:eastAsia="zh-CN" w:bidi="ar-SA"/>
        </w:rPr>
        <w:br w:type="page"/>
      </w:r>
      <w:r>
        <w:rPr>
          <w:rFonts w:hint="eastAsia" w:ascii="宋体" w:hAnsi="宋体" w:eastAsia="宋体" w:cs="宋体"/>
          <w:b/>
          <w:bCs w:val="0"/>
          <w:color w:val="auto"/>
          <w:kern w:val="2"/>
          <w:sz w:val="24"/>
          <w:szCs w:val="24"/>
          <w:highlight w:val="none"/>
          <w:lang w:val="en-US" w:eastAsia="zh-CN" w:bidi="ar-SA"/>
        </w:rPr>
        <w:t>评标办法</w:t>
      </w:r>
      <w:bookmarkEnd w:id="611"/>
      <w:bookmarkEnd w:id="612"/>
      <w:bookmarkEnd w:id="613"/>
      <w:bookmarkEnd w:id="614"/>
      <w:bookmarkEnd w:id="615"/>
      <w:bookmarkEnd w:id="616"/>
      <w:bookmarkEnd w:id="617"/>
      <w:bookmarkEnd w:id="618"/>
      <w:bookmarkEnd w:id="619"/>
      <w:bookmarkEnd w:id="620"/>
      <w:bookmarkEnd w:id="621"/>
    </w:p>
    <w:p w14:paraId="79A0BA90">
      <w:pPr>
        <w:keepNext w:val="0"/>
        <w:keepLines w:val="0"/>
        <w:pageBreakBefore w:val="0"/>
        <w:widowControl w:val="0"/>
        <w:kinsoku/>
        <w:wordWrap/>
        <w:overflowPunct/>
        <w:topLinePunct w:val="0"/>
        <w:autoSpaceDE w:val="0"/>
        <w:autoSpaceDN w:val="0"/>
        <w:bidi w:val="0"/>
        <w:adjustRightInd w:val="0"/>
        <w:snapToGrid/>
        <w:spacing w:line="360" w:lineRule="auto"/>
        <w:ind w:right="-23"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本次招标采用综合评分法评标，投标文件满足招标文件全部实质性要求，且按照评审因素的量化指标评审</w:t>
      </w:r>
      <w:r>
        <w:rPr>
          <w:rFonts w:hint="eastAsia" w:ascii="宋体" w:hAnsi="宋体" w:eastAsia="宋体" w:cs="宋体"/>
          <w:color w:val="auto"/>
          <w:kern w:val="0"/>
          <w:szCs w:val="21"/>
          <w:highlight w:val="none"/>
          <w:lang w:eastAsia="zh-CN"/>
        </w:rPr>
        <w:t>综合</w:t>
      </w:r>
      <w:r>
        <w:rPr>
          <w:rFonts w:hint="eastAsia" w:ascii="宋体" w:hAnsi="宋体" w:eastAsia="宋体" w:cs="宋体"/>
          <w:color w:val="auto"/>
          <w:kern w:val="0"/>
          <w:szCs w:val="21"/>
          <w:highlight w:val="none"/>
        </w:rPr>
        <w:t>得分由高到低顺序</w:t>
      </w:r>
      <w:r>
        <w:rPr>
          <w:rFonts w:hint="eastAsia" w:ascii="宋体" w:hAnsi="宋体" w:eastAsia="宋体" w:cs="宋体"/>
          <w:color w:val="auto"/>
          <w:kern w:val="0"/>
          <w:szCs w:val="21"/>
          <w:highlight w:val="none"/>
          <w:lang w:eastAsia="zh-CN"/>
        </w:rPr>
        <w:t>推荐</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中标</w:t>
      </w:r>
      <w:r>
        <w:rPr>
          <w:rFonts w:hint="eastAsia" w:ascii="宋体" w:hAnsi="宋体" w:eastAsia="宋体" w:cs="宋体"/>
          <w:color w:val="auto"/>
          <w:kern w:val="0"/>
          <w:szCs w:val="21"/>
          <w:highlight w:val="none"/>
        </w:rPr>
        <w:t>候选人的</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方法</w:t>
      </w:r>
      <w:r>
        <w:rPr>
          <w:rFonts w:hint="eastAsia" w:ascii="宋体" w:hAnsi="宋体" w:eastAsia="宋体" w:cs="宋体"/>
          <w:color w:val="auto"/>
          <w:kern w:val="0"/>
          <w:szCs w:val="21"/>
          <w:highlight w:val="none"/>
          <w:lang w:eastAsia="zh-CN"/>
        </w:rPr>
        <w:t>。</w:t>
      </w:r>
    </w:p>
    <w:p w14:paraId="3FA31E79">
      <w:pPr>
        <w:pStyle w:val="6"/>
        <w:pageBreakBefore w:val="0"/>
        <w:numPr>
          <w:ilvl w:val="0"/>
          <w:numId w:val="19"/>
        </w:numPr>
        <w:kinsoku/>
        <w:overflowPunct/>
        <w:bidi w:val="0"/>
        <w:spacing w:line="360" w:lineRule="auto"/>
        <w:rPr>
          <w:rFonts w:hint="eastAsia" w:ascii="宋体" w:hAnsi="宋体" w:eastAsia="宋体" w:cs="宋体"/>
          <w:b/>
          <w:bCs w:val="0"/>
          <w:color w:val="auto"/>
          <w:kern w:val="2"/>
          <w:sz w:val="24"/>
          <w:szCs w:val="24"/>
          <w:highlight w:val="none"/>
          <w:lang w:val="en-US" w:eastAsia="zh-CN" w:bidi="ar-SA"/>
        </w:rPr>
      </w:pPr>
      <w:bookmarkStart w:id="622" w:name="_Toc28719"/>
      <w:bookmarkStart w:id="623" w:name="_Toc4003"/>
      <w:bookmarkStart w:id="624" w:name="_Toc26533"/>
      <w:bookmarkStart w:id="625" w:name="_Toc13454"/>
      <w:bookmarkStart w:id="626" w:name="_Toc13023"/>
      <w:bookmarkStart w:id="627" w:name="_Toc30895"/>
      <w:bookmarkStart w:id="628" w:name="_Toc30234"/>
      <w:bookmarkStart w:id="629" w:name="_Toc6135"/>
      <w:bookmarkStart w:id="630" w:name="_Toc17219"/>
      <w:bookmarkStart w:id="631" w:name="_Toc5920"/>
      <w:bookmarkStart w:id="632" w:name="_Toc3406"/>
      <w:r>
        <w:rPr>
          <w:rFonts w:hint="eastAsia" w:ascii="宋体" w:hAnsi="宋体" w:eastAsia="宋体" w:cs="宋体"/>
          <w:b/>
          <w:bCs w:val="0"/>
          <w:color w:val="auto"/>
          <w:kern w:val="2"/>
          <w:sz w:val="24"/>
          <w:szCs w:val="24"/>
          <w:highlight w:val="none"/>
          <w:lang w:val="en-US" w:eastAsia="zh-CN" w:bidi="ar-SA"/>
        </w:rPr>
        <w:t>评审标准</w:t>
      </w:r>
      <w:bookmarkEnd w:id="622"/>
      <w:bookmarkEnd w:id="623"/>
      <w:bookmarkEnd w:id="624"/>
      <w:bookmarkEnd w:id="625"/>
      <w:bookmarkEnd w:id="626"/>
      <w:bookmarkEnd w:id="627"/>
      <w:bookmarkEnd w:id="628"/>
      <w:bookmarkEnd w:id="629"/>
      <w:bookmarkEnd w:id="630"/>
      <w:bookmarkEnd w:id="631"/>
      <w:bookmarkEnd w:id="632"/>
    </w:p>
    <w:p w14:paraId="550503D8">
      <w:pPr>
        <w:pStyle w:val="6"/>
        <w:pageBreakBefore w:val="0"/>
        <w:numPr>
          <w:ilvl w:val="0"/>
          <w:numId w:val="0"/>
        </w:numPr>
        <w:kinsoku/>
        <w:overflowPunct/>
        <w:bidi w:val="0"/>
        <w:spacing w:line="360" w:lineRule="auto"/>
        <w:ind w:leftChars="0"/>
        <w:rPr>
          <w:rFonts w:hint="eastAsia" w:ascii="宋体" w:hAnsi="宋体" w:eastAsia="宋体" w:cs="宋体"/>
          <w:color w:val="auto"/>
          <w:highlight w:val="none"/>
          <w:lang w:val="en-US" w:eastAsia="zh-CN"/>
        </w:rPr>
      </w:pPr>
      <w:bookmarkStart w:id="633" w:name="_Toc4247"/>
      <w:bookmarkStart w:id="634" w:name="_Toc20701"/>
      <w:bookmarkStart w:id="635" w:name="_Toc12847"/>
      <w:bookmarkStart w:id="636" w:name="_Toc12758"/>
      <w:bookmarkStart w:id="637" w:name="_Toc21223"/>
      <w:bookmarkStart w:id="638" w:name="_Toc318"/>
      <w:bookmarkStart w:id="639" w:name="_Toc24699"/>
      <w:bookmarkStart w:id="640" w:name="_Toc14180"/>
      <w:bookmarkStart w:id="641" w:name="_Toc8479"/>
      <w:bookmarkStart w:id="642" w:name="_Toc2477"/>
      <w:bookmarkStart w:id="643" w:name="_Toc21567"/>
      <w:r>
        <w:rPr>
          <w:rFonts w:hint="eastAsia" w:ascii="宋体" w:hAnsi="宋体" w:eastAsia="宋体" w:cs="宋体"/>
          <w:color w:val="auto"/>
          <w:highlight w:val="none"/>
          <w:lang w:val="en-US" w:eastAsia="zh-CN"/>
        </w:rPr>
        <w:t>2.1 符合性评审</w:t>
      </w:r>
      <w:bookmarkEnd w:id="633"/>
      <w:bookmarkEnd w:id="634"/>
      <w:bookmarkEnd w:id="635"/>
      <w:bookmarkEnd w:id="636"/>
      <w:bookmarkEnd w:id="637"/>
      <w:bookmarkEnd w:id="638"/>
      <w:bookmarkEnd w:id="639"/>
      <w:bookmarkEnd w:id="640"/>
      <w:bookmarkEnd w:id="641"/>
      <w:bookmarkEnd w:id="642"/>
      <w:bookmarkEnd w:id="643"/>
    </w:p>
    <w:p w14:paraId="262DEA1D">
      <w:pPr>
        <w:keepNext w:val="0"/>
        <w:keepLines w:val="0"/>
        <w:pageBreakBefore w:val="0"/>
        <w:widowControl w:val="0"/>
        <w:kinsoku/>
        <w:wordWrap/>
        <w:overflowPunct/>
        <w:topLinePunct w:val="0"/>
        <w:autoSpaceDE w:val="0"/>
        <w:autoSpaceDN w:val="0"/>
        <w:bidi w:val="0"/>
        <w:adjustRightInd w:val="0"/>
        <w:snapToGrid/>
        <w:spacing w:line="360" w:lineRule="auto"/>
        <w:ind w:left="522" w:right="-23"/>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符合性审查标准：见</w:t>
      </w:r>
      <w:r>
        <w:rPr>
          <w:rFonts w:hint="eastAsia" w:ascii="宋体" w:hAnsi="宋体" w:eastAsia="宋体" w:cs="宋体"/>
          <w:color w:val="auto"/>
          <w:kern w:val="0"/>
          <w:szCs w:val="21"/>
          <w:highlight w:val="none"/>
          <w:lang w:eastAsia="zh-CN"/>
        </w:rPr>
        <w:t>评标办法前附</w:t>
      </w:r>
      <w:r>
        <w:rPr>
          <w:rFonts w:hint="eastAsia" w:ascii="宋体" w:hAnsi="宋体" w:eastAsia="宋体" w:cs="宋体"/>
          <w:color w:val="auto"/>
          <w:kern w:val="0"/>
          <w:szCs w:val="21"/>
          <w:highlight w:val="none"/>
        </w:rPr>
        <w:t>表。</w:t>
      </w:r>
    </w:p>
    <w:p w14:paraId="4908B3F6">
      <w:pPr>
        <w:pStyle w:val="6"/>
        <w:pageBreakBefore w:val="0"/>
        <w:numPr>
          <w:ilvl w:val="0"/>
          <w:numId w:val="0"/>
        </w:numPr>
        <w:kinsoku/>
        <w:overflowPunct/>
        <w:bidi w:val="0"/>
        <w:spacing w:line="360" w:lineRule="auto"/>
        <w:ind w:leftChars="0"/>
        <w:rPr>
          <w:rFonts w:hint="eastAsia" w:ascii="宋体" w:hAnsi="宋体" w:eastAsia="宋体" w:cs="宋体"/>
          <w:color w:val="auto"/>
          <w:highlight w:val="none"/>
        </w:rPr>
      </w:pPr>
      <w:bookmarkStart w:id="644" w:name="_Toc27094"/>
      <w:bookmarkStart w:id="645" w:name="_Toc6724"/>
      <w:bookmarkStart w:id="646" w:name="_Toc29139"/>
      <w:bookmarkStart w:id="647" w:name="_Toc28336"/>
      <w:bookmarkStart w:id="648" w:name="_Toc17735"/>
      <w:bookmarkStart w:id="649" w:name="_Toc31651"/>
      <w:bookmarkStart w:id="650" w:name="_Toc16256"/>
      <w:bookmarkStart w:id="651" w:name="_Toc7259"/>
      <w:bookmarkStart w:id="652" w:name="_Toc10856"/>
      <w:bookmarkStart w:id="653" w:name="_Toc5467"/>
      <w:bookmarkStart w:id="654" w:name="_Toc22464"/>
      <w:r>
        <w:rPr>
          <w:rFonts w:hint="eastAsia" w:ascii="宋体" w:hAnsi="宋体" w:eastAsia="宋体" w:cs="宋体"/>
          <w:color w:val="auto"/>
          <w:highlight w:val="none"/>
          <w:lang w:val="en-US" w:eastAsia="zh-CN"/>
        </w:rPr>
        <w:t xml:space="preserve">2.2 </w:t>
      </w:r>
      <w:r>
        <w:rPr>
          <w:rFonts w:hint="eastAsia" w:ascii="宋体" w:hAnsi="宋体" w:eastAsia="宋体" w:cs="宋体"/>
          <w:color w:val="auto"/>
          <w:highlight w:val="none"/>
        </w:rPr>
        <w:t>分值构成与评分标准</w:t>
      </w:r>
      <w:bookmarkEnd w:id="644"/>
      <w:bookmarkEnd w:id="645"/>
      <w:bookmarkEnd w:id="646"/>
      <w:bookmarkEnd w:id="647"/>
      <w:bookmarkEnd w:id="648"/>
      <w:bookmarkEnd w:id="649"/>
      <w:bookmarkEnd w:id="650"/>
      <w:bookmarkEnd w:id="651"/>
      <w:bookmarkEnd w:id="652"/>
      <w:bookmarkEnd w:id="653"/>
      <w:bookmarkEnd w:id="654"/>
    </w:p>
    <w:p w14:paraId="6804A949">
      <w:pPr>
        <w:pageBreakBefore w:val="0"/>
        <w:kinsoku/>
        <w:overflowPunct/>
        <w:autoSpaceDE w:val="0"/>
        <w:autoSpaceDN w:val="0"/>
        <w:bidi w:val="0"/>
        <w:adjustRightInd w:val="0"/>
        <w:spacing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分</w:t>
      </w:r>
      <w:r>
        <w:rPr>
          <w:rFonts w:hint="eastAsia" w:ascii="宋体" w:hAnsi="宋体" w:eastAsia="宋体" w:cs="宋体"/>
          <w:color w:val="auto"/>
          <w:spacing w:val="-2"/>
          <w:kern w:val="0"/>
          <w:szCs w:val="21"/>
          <w:highlight w:val="none"/>
        </w:rPr>
        <w:t>值</w:t>
      </w:r>
      <w:r>
        <w:rPr>
          <w:rFonts w:hint="eastAsia" w:ascii="宋体" w:hAnsi="宋体" w:eastAsia="宋体" w:cs="宋体"/>
          <w:color w:val="auto"/>
          <w:kern w:val="0"/>
          <w:szCs w:val="21"/>
          <w:highlight w:val="none"/>
        </w:rPr>
        <w:t>构成</w:t>
      </w:r>
    </w:p>
    <w:p w14:paraId="24E3A084">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投标报价</w:t>
      </w:r>
      <w:r>
        <w:rPr>
          <w:rFonts w:hint="eastAsia" w:ascii="宋体" w:hAnsi="宋体" w:eastAsia="宋体" w:cs="宋体"/>
          <w:color w:val="auto"/>
          <w:kern w:val="0"/>
          <w:szCs w:val="21"/>
          <w:highlight w:val="none"/>
        </w:rPr>
        <w:t>：见评标办法</w:t>
      </w:r>
      <w:r>
        <w:rPr>
          <w:rFonts w:hint="eastAsia" w:ascii="宋体" w:hAnsi="宋体" w:eastAsia="宋体" w:cs="宋体"/>
          <w:color w:val="auto"/>
          <w:kern w:val="0"/>
          <w:szCs w:val="21"/>
          <w:highlight w:val="none"/>
          <w:lang w:eastAsia="zh-CN"/>
        </w:rPr>
        <w:t>前附</w:t>
      </w:r>
      <w:r>
        <w:rPr>
          <w:rFonts w:hint="eastAsia" w:ascii="宋体" w:hAnsi="宋体" w:eastAsia="宋体" w:cs="宋体"/>
          <w:color w:val="auto"/>
          <w:kern w:val="0"/>
          <w:szCs w:val="21"/>
          <w:highlight w:val="none"/>
        </w:rPr>
        <w:t>表；</w:t>
      </w:r>
    </w:p>
    <w:p w14:paraId="2C913270">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技术部分：见评标办法</w:t>
      </w:r>
      <w:r>
        <w:rPr>
          <w:rFonts w:hint="eastAsia" w:ascii="宋体" w:hAnsi="宋体" w:eastAsia="宋体" w:cs="宋体"/>
          <w:color w:val="auto"/>
          <w:kern w:val="0"/>
          <w:szCs w:val="21"/>
          <w:highlight w:val="none"/>
          <w:lang w:eastAsia="zh-CN"/>
        </w:rPr>
        <w:t>前附</w:t>
      </w:r>
      <w:r>
        <w:rPr>
          <w:rFonts w:hint="eastAsia" w:ascii="宋体" w:hAnsi="宋体" w:eastAsia="宋体" w:cs="宋体"/>
          <w:color w:val="auto"/>
          <w:kern w:val="0"/>
          <w:szCs w:val="21"/>
          <w:highlight w:val="none"/>
        </w:rPr>
        <w:t>表；</w:t>
      </w:r>
    </w:p>
    <w:p w14:paraId="4997A248">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商务部分：见评标办法</w:t>
      </w:r>
      <w:r>
        <w:rPr>
          <w:rFonts w:hint="eastAsia" w:ascii="宋体" w:hAnsi="宋体" w:eastAsia="宋体" w:cs="宋体"/>
          <w:color w:val="auto"/>
          <w:kern w:val="0"/>
          <w:szCs w:val="21"/>
          <w:highlight w:val="none"/>
          <w:lang w:eastAsia="zh-CN"/>
        </w:rPr>
        <w:t>前附</w:t>
      </w:r>
      <w:r>
        <w:rPr>
          <w:rFonts w:hint="eastAsia" w:ascii="宋体" w:hAnsi="宋体" w:eastAsia="宋体" w:cs="宋体"/>
          <w:color w:val="auto"/>
          <w:kern w:val="0"/>
          <w:szCs w:val="21"/>
          <w:highlight w:val="none"/>
        </w:rPr>
        <w:t>表；</w:t>
      </w:r>
    </w:p>
    <w:p w14:paraId="4AF07DB5">
      <w:pPr>
        <w:pageBreakBefore w:val="0"/>
        <w:kinsoku/>
        <w:overflowPunct/>
        <w:autoSpaceDE w:val="0"/>
        <w:autoSpaceDN w:val="0"/>
        <w:bidi w:val="0"/>
        <w:adjustRightInd w:val="0"/>
        <w:spacing w:before="7"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 xml:space="preserve">2 </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分</w:t>
      </w:r>
      <w:r>
        <w:rPr>
          <w:rFonts w:hint="eastAsia" w:ascii="宋体" w:hAnsi="宋体" w:eastAsia="宋体" w:cs="宋体"/>
          <w:color w:val="auto"/>
          <w:kern w:val="0"/>
          <w:szCs w:val="21"/>
          <w:highlight w:val="none"/>
        </w:rPr>
        <w:t>标准</w:t>
      </w:r>
    </w:p>
    <w:p w14:paraId="00B3244C">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投标报价</w:t>
      </w:r>
      <w:r>
        <w:rPr>
          <w:rFonts w:hint="eastAsia" w:ascii="宋体" w:hAnsi="宋体" w:eastAsia="宋体" w:cs="宋体"/>
          <w:color w:val="auto"/>
          <w:kern w:val="0"/>
          <w:szCs w:val="21"/>
          <w:highlight w:val="none"/>
        </w:rPr>
        <w:t>评分标准：见评标办法</w:t>
      </w:r>
      <w:r>
        <w:rPr>
          <w:rFonts w:hint="eastAsia" w:ascii="宋体" w:hAnsi="宋体" w:eastAsia="宋体" w:cs="宋体"/>
          <w:color w:val="auto"/>
          <w:kern w:val="0"/>
          <w:szCs w:val="21"/>
          <w:highlight w:val="none"/>
          <w:lang w:eastAsia="zh-CN"/>
        </w:rPr>
        <w:t>前附</w:t>
      </w:r>
      <w:r>
        <w:rPr>
          <w:rFonts w:hint="eastAsia" w:ascii="宋体" w:hAnsi="宋体" w:eastAsia="宋体" w:cs="宋体"/>
          <w:color w:val="auto"/>
          <w:kern w:val="0"/>
          <w:szCs w:val="21"/>
          <w:highlight w:val="none"/>
        </w:rPr>
        <w:t>表；</w:t>
      </w:r>
    </w:p>
    <w:p w14:paraId="76D09ED9">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技术评分标准：见评标办法</w:t>
      </w:r>
      <w:r>
        <w:rPr>
          <w:rFonts w:hint="eastAsia" w:ascii="宋体" w:hAnsi="宋体" w:eastAsia="宋体" w:cs="宋体"/>
          <w:color w:val="auto"/>
          <w:kern w:val="0"/>
          <w:szCs w:val="21"/>
          <w:highlight w:val="none"/>
          <w:lang w:eastAsia="zh-CN"/>
        </w:rPr>
        <w:t>前附</w:t>
      </w:r>
      <w:r>
        <w:rPr>
          <w:rFonts w:hint="eastAsia" w:ascii="宋体" w:hAnsi="宋体" w:eastAsia="宋体" w:cs="宋体"/>
          <w:color w:val="auto"/>
          <w:kern w:val="0"/>
          <w:szCs w:val="21"/>
          <w:highlight w:val="none"/>
        </w:rPr>
        <w:t>表；</w:t>
      </w:r>
    </w:p>
    <w:p w14:paraId="5115A82E">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商务</w:t>
      </w:r>
      <w:r>
        <w:rPr>
          <w:rFonts w:hint="eastAsia" w:ascii="宋体" w:hAnsi="宋体" w:eastAsia="宋体" w:cs="宋体"/>
          <w:color w:val="auto"/>
          <w:kern w:val="0"/>
          <w:szCs w:val="21"/>
          <w:highlight w:val="none"/>
        </w:rPr>
        <w:t>评分标准：见评标办法</w:t>
      </w:r>
      <w:r>
        <w:rPr>
          <w:rFonts w:hint="eastAsia" w:ascii="宋体" w:hAnsi="宋体" w:eastAsia="宋体" w:cs="宋体"/>
          <w:color w:val="auto"/>
          <w:kern w:val="0"/>
          <w:szCs w:val="21"/>
          <w:highlight w:val="none"/>
          <w:lang w:eastAsia="zh-CN"/>
        </w:rPr>
        <w:t>前附</w:t>
      </w:r>
      <w:r>
        <w:rPr>
          <w:rFonts w:hint="eastAsia" w:ascii="宋体" w:hAnsi="宋体" w:eastAsia="宋体" w:cs="宋体"/>
          <w:color w:val="auto"/>
          <w:kern w:val="0"/>
          <w:szCs w:val="21"/>
          <w:highlight w:val="none"/>
        </w:rPr>
        <w:t>表；</w:t>
      </w:r>
    </w:p>
    <w:p w14:paraId="21C04F9E">
      <w:pPr>
        <w:pStyle w:val="6"/>
        <w:pageBreakBefore w:val="0"/>
        <w:numPr>
          <w:ilvl w:val="0"/>
          <w:numId w:val="19"/>
        </w:numPr>
        <w:kinsoku/>
        <w:overflowPunct/>
        <w:bidi w:val="0"/>
        <w:spacing w:line="360" w:lineRule="auto"/>
        <w:rPr>
          <w:rFonts w:hint="eastAsia" w:ascii="宋体" w:hAnsi="宋体" w:eastAsia="宋体" w:cs="宋体"/>
          <w:color w:val="auto"/>
          <w:sz w:val="24"/>
          <w:szCs w:val="24"/>
          <w:highlight w:val="none"/>
          <w:lang w:val="en-US" w:eastAsia="zh-CN"/>
        </w:rPr>
      </w:pPr>
      <w:bookmarkStart w:id="655" w:name="_Toc26726"/>
      <w:bookmarkStart w:id="656" w:name="_Toc16356"/>
      <w:bookmarkStart w:id="657" w:name="_Toc4338"/>
      <w:bookmarkStart w:id="658" w:name="_Toc21732"/>
      <w:bookmarkStart w:id="659" w:name="_Toc3820"/>
      <w:bookmarkStart w:id="660" w:name="_Toc22175"/>
      <w:bookmarkStart w:id="661" w:name="_Toc5149"/>
      <w:bookmarkStart w:id="662" w:name="_Toc5605"/>
      <w:bookmarkStart w:id="663" w:name="_Toc1740"/>
      <w:bookmarkStart w:id="664" w:name="_Toc28724"/>
      <w:bookmarkStart w:id="665" w:name="_Toc16537"/>
      <w:r>
        <w:rPr>
          <w:rFonts w:hint="eastAsia" w:ascii="宋体" w:hAnsi="宋体" w:eastAsia="宋体" w:cs="宋体"/>
          <w:color w:val="auto"/>
          <w:sz w:val="24"/>
          <w:szCs w:val="24"/>
          <w:highlight w:val="none"/>
          <w:lang w:val="en-US" w:eastAsia="zh-CN"/>
        </w:rPr>
        <w:t>评审程序</w:t>
      </w:r>
      <w:bookmarkEnd w:id="655"/>
      <w:bookmarkEnd w:id="656"/>
      <w:bookmarkEnd w:id="657"/>
      <w:bookmarkEnd w:id="658"/>
      <w:bookmarkEnd w:id="659"/>
      <w:bookmarkEnd w:id="660"/>
      <w:bookmarkEnd w:id="661"/>
      <w:bookmarkEnd w:id="662"/>
      <w:bookmarkEnd w:id="663"/>
      <w:bookmarkEnd w:id="664"/>
      <w:bookmarkEnd w:id="665"/>
    </w:p>
    <w:p w14:paraId="1B94CFCD">
      <w:pPr>
        <w:pStyle w:val="6"/>
        <w:pageBreakBefore w:val="0"/>
        <w:numPr>
          <w:ilvl w:val="0"/>
          <w:numId w:val="0"/>
        </w:numPr>
        <w:kinsoku/>
        <w:overflowPunct/>
        <w:bidi w:val="0"/>
        <w:spacing w:line="360" w:lineRule="auto"/>
        <w:ind w:leftChars="0"/>
        <w:rPr>
          <w:rFonts w:hint="eastAsia" w:ascii="宋体" w:hAnsi="宋体" w:eastAsia="宋体" w:cs="宋体"/>
          <w:color w:val="auto"/>
          <w:highlight w:val="none"/>
          <w:lang w:val="en-US" w:eastAsia="zh-CN"/>
        </w:rPr>
      </w:pPr>
      <w:bookmarkStart w:id="666" w:name="_Toc18983"/>
      <w:bookmarkStart w:id="667" w:name="_Toc9443"/>
      <w:bookmarkStart w:id="668" w:name="_Toc1654"/>
      <w:bookmarkStart w:id="669" w:name="_Toc10682"/>
      <w:bookmarkStart w:id="670" w:name="_Toc5708"/>
      <w:bookmarkStart w:id="671" w:name="_Toc32083"/>
      <w:bookmarkStart w:id="672" w:name="_Toc15909"/>
      <w:bookmarkStart w:id="673" w:name="_Toc12080"/>
      <w:bookmarkStart w:id="674" w:name="_Toc7036"/>
      <w:bookmarkStart w:id="675" w:name="_Toc9613"/>
      <w:bookmarkStart w:id="676" w:name="_Toc17957"/>
      <w:r>
        <w:rPr>
          <w:rFonts w:hint="eastAsia" w:ascii="宋体" w:hAnsi="宋体" w:eastAsia="宋体" w:cs="宋体"/>
          <w:color w:val="auto"/>
          <w:highlight w:val="none"/>
          <w:lang w:val="en-US" w:eastAsia="zh-CN"/>
        </w:rPr>
        <w:t>3.1 符合性审查</w:t>
      </w:r>
      <w:bookmarkEnd w:id="666"/>
      <w:bookmarkEnd w:id="667"/>
      <w:bookmarkEnd w:id="668"/>
      <w:bookmarkEnd w:id="669"/>
      <w:bookmarkEnd w:id="670"/>
      <w:bookmarkEnd w:id="671"/>
      <w:bookmarkEnd w:id="672"/>
      <w:bookmarkEnd w:id="673"/>
      <w:bookmarkEnd w:id="674"/>
      <w:bookmarkEnd w:id="675"/>
      <w:bookmarkEnd w:id="676"/>
    </w:p>
    <w:p w14:paraId="51DA65E0">
      <w:pPr>
        <w:pageBreakBefore w:val="0"/>
        <w:kinsoku/>
        <w:overflowPunct/>
        <w:autoSpaceDE w:val="0"/>
        <w:autoSpaceDN w:val="0"/>
        <w:bidi w:val="0"/>
        <w:adjustRightInd w:val="0"/>
        <w:spacing w:line="360" w:lineRule="auto"/>
        <w:ind w:left="100" w:right="40" w:firstLine="420"/>
        <w:jc w:val="left"/>
        <w:rPr>
          <w:rFonts w:hint="eastAsia" w:ascii="宋体" w:hAnsi="宋体" w:eastAsia="宋体" w:cs="宋体"/>
          <w:b/>
          <w:color w:val="auto"/>
          <w:spacing w:val="-2"/>
          <w:kern w:val="0"/>
          <w:szCs w:val="21"/>
          <w:highlight w:val="none"/>
        </w:rPr>
      </w:pP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依</w:t>
      </w:r>
      <w:r>
        <w:rPr>
          <w:rFonts w:hint="eastAsia" w:ascii="宋体" w:hAnsi="宋体" w:eastAsia="宋体" w:cs="宋体"/>
          <w:color w:val="auto"/>
          <w:kern w:val="0"/>
          <w:szCs w:val="21"/>
          <w:highlight w:val="none"/>
        </w:rPr>
        <w:t>据本</w:t>
      </w:r>
      <w:r>
        <w:rPr>
          <w:rFonts w:hint="eastAsia" w:ascii="宋体" w:hAnsi="宋体" w:eastAsia="宋体" w:cs="宋体"/>
          <w:color w:val="auto"/>
          <w:spacing w:val="-2"/>
          <w:kern w:val="0"/>
          <w:szCs w:val="21"/>
          <w:highlight w:val="none"/>
        </w:rPr>
        <w:t>章</w:t>
      </w:r>
      <w:r>
        <w:rPr>
          <w:rFonts w:hint="eastAsia" w:ascii="宋体" w:hAnsi="宋体" w:eastAsia="宋体" w:cs="宋体"/>
          <w:color w:val="auto"/>
          <w:spacing w:val="-2"/>
          <w:kern w:val="0"/>
          <w:szCs w:val="21"/>
          <w:highlight w:val="none"/>
          <w:lang w:eastAsia="zh-CN"/>
        </w:rPr>
        <w:t>评标办法</w:t>
      </w:r>
      <w:r>
        <w:rPr>
          <w:rFonts w:hint="eastAsia" w:ascii="宋体" w:hAnsi="宋体" w:eastAsia="宋体" w:cs="宋体"/>
          <w:color w:val="auto"/>
          <w:kern w:val="0"/>
          <w:szCs w:val="21"/>
          <w:highlight w:val="none"/>
          <w:lang w:eastAsia="zh-CN"/>
        </w:rPr>
        <w:t>前附</w:t>
      </w:r>
      <w:r>
        <w:rPr>
          <w:rFonts w:hint="eastAsia" w:ascii="宋体" w:hAnsi="宋体" w:eastAsia="宋体" w:cs="宋体"/>
          <w:color w:val="auto"/>
          <w:kern w:val="0"/>
          <w:szCs w:val="21"/>
          <w:highlight w:val="none"/>
        </w:rPr>
        <w:t>表</w:t>
      </w:r>
      <w:r>
        <w:rPr>
          <w:rFonts w:hint="eastAsia" w:ascii="宋体" w:hAnsi="宋体" w:eastAsia="宋体" w:cs="宋体"/>
          <w:color w:val="auto"/>
          <w:spacing w:val="-2"/>
          <w:kern w:val="0"/>
          <w:szCs w:val="21"/>
          <w:highlight w:val="none"/>
        </w:rPr>
        <w:t>规</w:t>
      </w:r>
      <w:r>
        <w:rPr>
          <w:rFonts w:hint="eastAsia" w:ascii="宋体" w:hAnsi="宋体" w:eastAsia="宋体" w:cs="宋体"/>
          <w:color w:val="auto"/>
          <w:kern w:val="0"/>
          <w:szCs w:val="21"/>
          <w:highlight w:val="none"/>
        </w:rPr>
        <w:t>定</w:t>
      </w:r>
      <w:r>
        <w:rPr>
          <w:rFonts w:hint="eastAsia" w:ascii="宋体" w:hAnsi="宋体" w:eastAsia="宋体" w:cs="宋体"/>
          <w:color w:val="auto"/>
          <w:spacing w:val="-2"/>
          <w:kern w:val="0"/>
          <w:szCs w:val="21"/>
          <w:highlight w:val="none"/>
        </w:rPr>
        <w:t>的标</w:t>
      </w:r>
      <w:r>
        <w:rPr>
          <w:rFonts w:hint="eastAsia" w:ascii="宋体" w:hAnsi="宋体" w:eastAsia="宋体" w:cs="宋体"/>
          <w:color w:val="auto"/>
          <w:kern w:val="0"/>
          <w:szCs w:val="21"/>
          <w:highlight w:val="none"/>
        </w:rPr>
        <w:t>准，对</w:t>
      </w:r>
      <w:r>
        <w:rPr>
          <w:rFonts w:hint="eastAsia" w:ascii="宋体" w:hAnsi="宋体" w:eastAsia="宋体" w:cs="宋体"/>
          <w:color w:val="auto"/>
          <w:spacing w:val="-2"/>
          <w:kern w:val="0"/>
          <w:szCs w:val="21"/>
          <w:highlight w:val="none"/>
        </w:rPr>
        <w:t>符合资格的投标人的投标文件进行符合性审查，以确定其是否满足招标文件的实质性要求</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有</w:t>
      </w:r>
      <w:r>
        <w:rPr>
          <w:rFonts w:hint="eastAsia" w:ascii="宋体" w:hAnsi="宋体" w:eastAsia="宋体" w:cs="宋体"/>
          <w:color w:val="auto"/>
          <w:kern w:val="0"/>
          <w:szCs w:val="21"/>
          <w:highlight w:val="none"/>
        </w:rPr>
        <w:t>一</w:t>
      </w:r>
      <w:r>
        <w:rPr>
          <w:rFonts w:hint="eastAsia" w:ascii="宋体" w:hAnsi="宋体" w:eastAsia="宋体" w:cs="宋体"/>
          <w:color w:val="auto"/>
          <w:spacing w:val="-2"/>
          <w:kern w:val="0"/>
          <w:szCs w:val="21"/>
          <w:highlight w:val="none"/>
        </w:rPr>
        <w:t>项</w:t>
      </w:r>
      <w:r>
        <w:rPr>
          <w:rFonts w:hint="eastAsia" w:ascii="宋体" w:hAnsi="宋体" w:eastAsia="宋体" w:cs="宋体"/>
          <w:color w:val="auto"/>
          <w:kern w:val="0"/>
          <w:szCs w:val="21"/>
          <w:highlight w:val="none"/>
        </w:rPr>
        <w:t>不</w:t>
      </w:r>
      <w:r>
        <w:rPr>
          <w:rFonts w:hint="eastAsia" w:ascii="宋体" w:hAnsi="宋体" w:eastAsia="宋体" w:cs="宋体"/>
          <w:color w:val="auto"/>
          <w:spacing w:val="-2"/>
          <w:kern w:val="0"/>
          <w:szCs w:val="21"/>
          <w:highlight w:val="none"/>
        </w:rPr>
        <w:t>符</w:t>
      </w:r>
      <w:r>
        <w:rPr>
          <w:rFonts w:hint="eastAsia" w:ascii="宋体" w:hAnsi="宋体" w:eastAsia="宋体" w:cs="宋体"/>
          <w:color w:val="auto"/>
          <w:kern w:val="0"/>
          <w:szCs w:val="21"/>
          <w:highlight w:val="none"/>
        </w:rPr>
        <w:t>合评审</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准</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评</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委</w:t>
      </w:r>
      <w:r>
        <w:rPr>
          <w:rFonts w:hint="eastAsia" w:ascii="宋体" w:hAnsi="宋体" w:eastAsia="宋体" w:cs="宋体"/>
          <w:color w:val="auto"/>
          <w:kern w:val="0"/>
          <w:szCs w:val="21"/>
          <w:highlight w:val="none"/>
        </w:rPr>
        <w:t>员</w:t>
      </w:r>
      <w:r>
        <w:rPr>
          <w:rFonts w:hint="eastAsia" w:ascii="宋体" w:hAnsi="宋体" w:eastAsia="宋体" w:cs="宋体"/>
          <w:color w:val="auto"/>
          <w:spacing w:val="-2"/>
          <w:kern w:val="0"/>
          <w:szCs w:val="21"/>
          <w:highlight w:val="none"/>
        </w:rPr>
        <w:t>会</w:t>
      </w:r>
      <w:r>
        <w:rPr>
          <w:rFonts w:hint="eastAsia" w:ascii="宋体" w:hAnsi="宋体" w:eastAsia="宋体" w:cs="宋体"/>
          <w:color w:val="auto"/>
          <w:kern w:val="0"/>
          <w:szCs w:val="21"/>
          <w:highlight w:val="none"/>
        </w:rPr>
        <w:t>应当</w:t>
      </w:r>
      <w:r>
        <w:rPr>
          <w:rFonts w:hint="eastAsia" w:ascii="宋体" w:hAnsi="宋体" w:eastAsia="宋体" w:cs="宋体"/>
          <w:color w:val="auto"/>
          <w:szCs w:val="21"/>
          <w:highlight w:val="none"/>
        </w:rPr>
        <w:t>认定其</w:t>
      </w:r>
      <w:r>
        <w:rPr>
          <w:rFonts w:hint="eastAsia" w:ascii="宋体" w:hAnsi="宋体" w:eastAsia="宋体" w:cs="宋体"/>
          <w:b/>
          <w:bCs/>
          <w:color w:val="auto"/>
          <w:szCs w:val="21"/>
          <w:highlight w:val="none"/>
        </w:rPr>
        <w:t>投标无效</w:t>
      </w:r>
      <w:r>
        <w:rPr>
          <w:rFonts w:hint="eastAsia" w:ascii="宋体" w:hAnsi="宋体" w:eastAsia="宋体" w:cs="宋体"/>
          <w:color w:val="auto"/>
          <w:spacing w:val="-2"/>
          <w:kern w:val="0"/>
          <w:szCs w:val="21"/>
          <w:highlight w:val="none"/>
        </w:rPr>
        <w:t>。</w:t>
      </w:r>
    </w:p>
    <w:p w14:paraId="5A25E689">
      <w:pPr>
        <w:pageBreakBefore w:val="0"/>
        <w:kinsoku/>
        <w:overflowPunct/>
        <w:autoSpaceDE w:val="0"/>
        <w:autoSpaceDN w:val="0"/>
        <w:bidi w:val="0"/>
        <w:adjustRightInd w:val="0"/>
        <w:spacing w:before="40" w:line="360" w:lineRule="auto"/>
        <w:ind w:left="65" w:leftChars="31" w:right="140" w:firstLine="207" w:firstLineChars="98"/>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 xml:space="preserve">3.1.1 </w:t>
      </w:r>
      <w:r>
        <w:rPr>
          <w:rFonts w:hint="eastAsia" w:ascii="宋体" w:hAnsi="宋体" w:eastAsia="宋体" w:cs="宋体"/>
          <w:b/>
          <w:color w:val="auto"/>
          <w:kern w:val="0"/>
          <w:szCs w:val="21"/>
          <w:highlight w:val="none"/>
        </w:rPr>
        <w:t>投</w:t>
      </w:r>
      <w:r>
        <w:rPr>
          <w:rFonts w:hint="eastAsia" w:ascii="宋体" w:hAnsi="宋体" w:eastAsia="宋体" w:cs="宋体"/>
          <w:b/>
          <w:color w:val="auto"/>
          <w:spacing w:val="-2"/>
          <w:kern w:val="0"/>
          <w:szCs w:val="21"/>
          <w:highlight w:val="none"/>
        </w:rPr>
        <w:t>标</w:t>
      </w:r>
      <w:r>
        <w:rPr>
          <w:rFonts w:hint="eastAsia" w:ascii="宋体" w:hAnsi="宋体" w:eastAsia="宋体" w:cs="宋体"/>
          <w:b/>
          <w:color w:val="auto"/>
          <w:kern w:val="0"/>
          <w:szCs w:val="21"/>
          <w:highlight w:val="none"/>
        </w:rPr>
        <w:t>报</w:t>
      </w:r>
      <w:r>
        <w:rPr>
          <w:rFonts w:hint="eastAsia" w:ascii="宋体" w:hAnsi="宋体" w:eastAsia="宋体" w:cs="宋体"/>
          <w:b/>
          <w:color w:val="auto"/>
          <w:spacing w:val="-2"/>
          <w:kern w:val="0"/>
          <w:szCs w:val="21"/>
          <w:highlight w:val="none"/>
        </w:rPr>
        <w:t>价</w:t>
      </w:r>
      <w:r>
        <w:rPr>
          <w:rFonts w:hint="eastAsia" w:ascii="宋体" w:hAnsi="宋体" w:eastAsia="宋体" w:cs="宋体"/>
          <w:b/>
          <w:color w:val="auto"/>
          <w:kern w:val="0"/>
          <w:szCs w:val="21"/>
          <w:highlight w:val="none"/>
        </w:rPr>
        <w:t>有</w:t>
      </w:r>
      <w:r>
        <w:rPr>
          <w:rFonts w:hint="eastAsia" w:ascii="宋体" w:hAnsi="宋体" w:eastAsia="宋体" w:cs="宋体"/>
          <w:b/>
          <w:color w:val="auto"/>
          <w:spacing w:val="-2"/>
          <w:kern w:val="0"/>
          <w:szCs w:val="21"/>
          <w:highlight w:val="none"/>
        </w:rPr>
        <w:t>算</w:t>
      </w:r>
      <w:r>
        <w:rPr>
          <w:rFonts w:hint="eastAsia" w:ascii="宋体" w:hAnsi="宋体" w:eastAsia="宋体" w:cs="宋体"/>
          <w:b/>
          <w:color w:val="auto"/>
          <w:kern w:val="0"/>
          <w:szCs w:val="21"/>
          <w:highlight w:val="none"/>
        </w:rPr>
        <w:t>术</w:t>
      </w:r>
      <w:r>
        <w:rPr>
          <w:rFonts w:hint="eastAsia" w:ascii="宋体" w:hAnsi="宋体" w:eastAsia="宋体" w:cs="宋体"/>
          <w:b/>
          <w:color w:val="auto"/>
          <w:spacing w:val="-2"/>
          <w:kern w:val="0"/>
          <w:szCs w:val="21"/>
          <w:highlight w:val="none"/>
        </w:rPr>
        <w:t>错误</w:t>
      </w:r>
      <w:r>
        <w:rPr>
          <w:rFonts w:hint="eastAsia" w:ascii="宋体" w:hAnsi="宋体" w:eastAsia="宋体" w:cs="宋体"/>
          <w:b/>
          <w:color w:val="auto"/>
          <w:kern w:val="0"/>
          <w:szCs w:val="21"/>
          <w:highlight w:val="none"/>
        </w:rPr>
        <w:t>及其</w:t>
      </w:r>
      <w:r>
        <w:rPr>
          <w:rFonts w:hint="eastAsia" w:ascii="宋体" w:hAnsi="宋体" w:eastAsia="宋体" w:cs="宋体"/>
          <w:b/>
          <w:color w:val="auto"/>
          <w:spacing w:val="-2"/>
          <w:kern w:val="0"/>
          <w:szCs w:val="21"/>
          <w:highlight w:val="none"/>
        </w:rPr>
        <w:t>他</w:t>
      </w:r>
      <w:r>
        <w:rPr>
          <w:rFonts w:hint="eastAsia" w:ascii="宋体" w:hAnsi="宋体" w:eastAsia="宋体" w:cs="宋体"/>
          <w:b/>
          <w:color w:val="auto"/>
          <w:kern w:val="0"/>
          <w:szCs w:val="21"/>
          <w:highlight w:val="none"/>
        </w:rPr>
        <w:t>错</w:t>
      </w:r>
      <w:r>
        <w:rPr>
          <w:rFonts w:hint="eastAsia" w:ascii="宋体" w:hAnsi="宋体" w:eastAsia="宋体" w:cs="宋体"/>
          <w:b/>
          <w:color w:val="auto"/>
          <w:spacing w:val="-2"/>
          <w:kern w:val="0"/>
          <w:szCs w:val="21"/>
          <w:highlight w:val="none"/>
        </w:rPr>
        <w:t>误的</w:t>
      </w:r>
      <w:r>
        <w:rPr>
          <w:rFonts w:hint="eastAsia" w:ascii="宋体" w:hAnsi="宋体" w:eastAsia="宋体" w:cs="宋体"/>
          <w:b/>
          <w:color w:val="auto"/>
          <w:spacing w:val="-74"/>
          <w:kern w:val="0"/>
          <w:szCs w:val="21"/>
          <w:highlight w:val="none"/>
        </w:rPr>
        <w:t>，</w:t>
      </w:r>
      <w:r>
        <w:rPr>
          <w:rFonts w:hint="eastAsia" w:ascii="宋体" w:hAnsi="宋体" w:eastAsia="宋体" w:cs="宋体"/>
          <w:b/>
          <w:color w:val="auto"/>
          <w:spacing w:val="-2"/>
          <w:kern w:val="0"/>
          <w:szCs w:val="21"/>
          <w:highlight w:val="none"/>
        </w:rPr>
        <w:t>评</w:t>
      </w:r>
      <w:r>
        <w:rPr>
          <w:rFonts w:hint="eastAsia" w:ascii="宋体" w:hAnsi="宋体" w:eastAsia="宋体" w:cs="宋体"/>
          <w:b/>
          <w:color w:val="auto"/>
          <w:kern w:val="0"/>
          <w:szCs w:val="21"/>
          <w:highlight w:val="none"/>
        </w:rPr>
        <w:t>标</w:t>
      </w:r>
      <w:r>
        <w:rPr>
          <w:rFonts w:hint="eastAsia" w:ascii="宋体" w:hAnsi="宋体" w:eastAsia="宋体" w:cs="宋体"/>
          <w:b/>
          <w:color w:val="auto"/>
          <w:spacing w:val="-2"/>
          <w:kern w:val="0"/>
          <w:szCs w:val="21"/>
          <w:highlight w:val="none"/>
        </w:rPr>
        <w:t>委</w:t>
      </w:r>
      <w:r>
        <w:rPr>
          <w:rFonts w:hint="eastAsia" w:ascii="宋体" w:hAnsi="宋体" w:eastAsia="宋体" w:cs="宋体"/>
          <w:b/>
          <w:color w:val="auto"/>
          <w:kern w:val="0"/>
          <w:szCs w:val="21"/>
          <w:highlight w:val="none"/>
        </w:rPr>
        <w:t>员</w:t>
      </w:r>
      <w:r>
        <w:rPr>
          <w:rFonts w:hint="eastAsia" w:ascii="宋体" w:hAnsi="宋体" w:eastAsia="宋体" w:cs="宋体"/>
          <w:b/>
          <w:color w:val="auto"/>
          <w:spacing w:val="-2"/>
          <w:kern w:val="0"/>
          <w:szCs w:val="21"/>
          <w:highlight w:val="none"/>
        </w:rPr>
        <w:t>会</w:t>
      </w:r>
      <w:r>
        <w:rPr>
          <w:rFonts w:hint="eastAsia" w:ascii="宋体" w:hAnsi="宋体" w:eastAsia="宋体" w:cs="宋体"/>
          <w:b/>
          <w:color w:val="auto"/>
          <w:kern w:val="0"/>
          <w:szCs w:val="21"/>
          <w:highlight w:val="none"/>
        </w:rPr>
        <w:t>按以</w:t>
      </w:r>
      <w:r>
        <w:rPr>
          <w:rFonts w:hint="eastAsia" w:ascii="宋体" w:hAnsi="宋体" w:eastAsia="宋体" w:cs="宋体"/>
          <w:b/>
          <w:color w:val="auto"/>
          <w:spacing w:val="-2"/>
          <w:kern w:val="0"/>
          <w:szCs w:val="21"/>
          <w:highlight w:val="none"/>
        </w:rPr>
        <w:t>下</w:t>
      </w:r>
      <w:r>
        <w:rPr>
          <w:rFonts w:hint="eastAsia" w:ascii="宋体" w:hAnsi="宋体" w:eastAsia="宋体" w:cs="宋体"/>
          <w:b/>
          <w:color w:val="auto"/>
          <w:kern w:val="0"/>
          <w:szCs w:val="21"/>
          <w:highlight w:val="none"/>
        </w:rPr>
        <w:t>原</w:t>
      </w:r>
      <w:r>
        <w:rPr>
          <w:rFonts w:hint="eastAsia" w:ascii="宋体" w:hAnsi="宋体" w:eastAsia="宋体" w:cs="宋体"/>
          <w:b/>
          <w:color w:val="auto"/>
          <w:spacing w:val="-2"/>
          <w:kern w:val="0"/>
          <w:szCs w:val="21"/>
          <w:highlight w:val="none"/>
        </w:rPr>
        <w:t>则</w:t>
      </w:r>
      <w:r>
        <w:rPr>
          <w:rFonts w:hint="eastAsia" w:ascii="宋体" w:hAnsi="宋体" w:eastAsia="宋体" w:cs="宋体"/>
          <w:b/>
          <w:color w:val="auto"/>
          <w:kern w:val="0"/>
          <w:szCs w:val="21"/>
          <w:highlight w:val="none"/>
        </w:rPr>
        <w:t>要</w:t>
      </w:r>
      <w:r>
        <w:rPr>
          <w:rFonts w:hint="eastAsia" w:ascii="宋体" w:hAnsi="宋体" w:eastAsia="宋体" w:cs="宋体"/>
          <w:b/>
          <w:color w:val="auto"/>
          <w:spacing w:val="-2"/>
          <w:kern w:val="0"/>
          <w:szCs w:val="21"/>
          <w:highlight w:val="none"/>
        </w:rPr>
        <w:t>求</w:t>
      </w:r>
      <w:r>
        <w:rPr>
          <w:rFonts w:hint="eastAsia" w:ascii="宋体" w:hAnsi="宋体" w:eastAsia="宋体" w:cs="宋体"/>
          <w:b/>
          <w:color w:val="auto"/>
          <w:kern w:val="0"/>
          <w:szCs w:val="21"/>
          <w:highlight w:val="none"/>
        </w:rPr>
        <w:t>投</w:t>
      </w:r>
      <w:r>
        <w:rPr>
          <w:rFonts w:hint="eastAsia" w:ascii="宋体" w:hAnsi="宋体" w:eastAsia="宋体" w:cs="宋体"/>
          <w:b/>
          <w:color w:val="auto"/>
          <w:spacing w:val="-2"/>
          <w:kern w:val="0"/>
          <w:szCs w:val="21"/>
          <w:highlight w:val="none"/>
        </w:rPr>
        <w:t>标</w:t>
      </w:r>
      <w:r>
        <w:rPr>
          <w:rFonts w:hint="eastAsia" w:ascii="宋体" w:hAnsi="宋体" w:eastAsia="宋体" w:cs="宋体"/>
          <w:b/>
          <w:color w:val="auto"/>
          <w:kern w:val="0"/>
          <w:szCs w:val="21"/>
          <w:highlight w:val="none"/>
        </w:rPr>
        <w:t>人</w:t>
      </w:r>
      <w:r>
        <w:rPr>
          <w:rFonts w:hint="eastAsia" w:ascii="宋体" w:hAnsi="宋体" w:eastAsia="宋体" w:cs="宋体"/>
          <w:b/>
          <w:color w:val="auto"/>
          <w:spacing w:val="-2"/>
          <w:kern w:val="0"/>
          <w:szCs w:val="21"/>
          <w:highlight w:val="none"/>
        </w:rPr>
        <w:t>对</w:t>
      </w:r>
      <w:r>
        <w:rPr>
          <w:rFonts w:hint="eastAsia" w:ascii="宋体" w:hAnsi="宋体" w:eastAsia="宋体" w:cs="宋体"/>
          <w:b/>
          <w:color w:val="auto"/>
          <w:kern w:val="0"/>
          <w:szCs w:val="21"/>
          <w:highlight w:val="none"/>
        </w:rPr>
        <w:t>投标</w:t>
      </w:r>
      <w:r>
        <w:rPr>
          <w:rFonts w:hint="eastAsia" w:ascii="宋体" w:hAnsi="宋体" w:eastAsia="宋体" w:cs="宋体"/>
          <w:b/>
          <w:color w:val="auto"/>
          <w:spacing w:val="-2"/>
          <w:kern w:val="0"/>
          <w:szCs w:val="21"/>
          <w:highlight w:val="none"/>
        </w:rPr>
        <w:t>报</w:t>
      </w:r>
      <w:r>
        <w:rPr>
          <w:rFonts w:hint="eastAsia" w:ascii="宋体" w:hAnsi="宋体" w:eastAsia="宋体" w:cs="宋体"/>
          <w:b/>
          <w:color w:val="auto"/>
          <w:kern w:val="0"/>
          <w:szCs w:val="21"/>
          <w:highlight w:val="none"/>
        </w:rPr>
        <w:t>价进行修</w:t>
      </w:r>
      <w:r>
        <w:rPr>
          <w:rFonts w:hint="eastAsia" w:ascii="宋体" w:hAnsi="宋体" w:eastAsia="宋体" w:cs="宋体"/>
          <w:b/>
          <w:color w:val="auto"/>
          <w:spacing w:val="-2"/>
          <w:kern w:val="0"/>
          <w:szCs w:val="21"/>
          <w:highlight w:val="none"/>
        </w:rPr>
        <w:t>正</w:t>
      </w:r>
      <w:r>
        <w:rPr>
          <w:rFonts w:hint="eastAsia" w:ascii="宋体" w:hAnsi="宋体" w:eastAsia="宋体" w:cs="宋体"/>
          <w:b w:val="0"/>
          <w:bCs/>
          <w:color w:val="auto"/>
          <w:sz w:val="21"/>
          <w:szCs w:val="21"/>
          <w:highlight w:val="none"/>
          <w:lang w:val="en-US" w:eastAsia="zh-CN"/>
        </w:rPr>
        <w:t>：</w:t>
      </w:r>
    </w:p>
    <w:p w14:paraId="3F84E0C0">
      <w:pPr>
        <w:keepNext w:val="0"/>
        <w:keepLines w:val="0"/>
        <w:pageBreakBefore w:val="0"/>
        <w:widowControl w:val="0"/>
        <w:numPr>
          <w:ilvl w:val="0"/>
          <w:numId w:val="2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投标文件中开标一览表（</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报价表）内容与投标文件中相应内容不一致的，以开标一览表（</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报价表）为准；</w:t>
      </w:r>
    </w:p>
    <w:p w14:paraId="4F0D63FD">
      <w:pPr>
        <w:keepNext w:val="0"/>
        <w:keepLines w:val="0"/>
        <w:pageBreakBefore w:val="0"/>
        <w:widowControl w:val="0"/>
        <w:numPr>
          <w:ilvl w:val="0"/>
          <w:numId w:val="2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大写金额和小写金额不一致的，以大写金额为准；</w:t>
      </w:r>
    </w:p>
    <w:p w14:paraId="279DB125">
      <w:pPr>
        <w:keepNext w:val="0"/>
        <w:keepLines w:val="0"/>
        <w:pageBreakBefore w:val="0"/>
        <w:widowControl w:val="0"/>
        <w:numPr>
          <w:ilvl w:val="0"/>
          <w:numId w:val="2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单价金额小数点或者百分比有明显错位的，以开标一览表（</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报价表）的总价为准，并修改单价；</w:t>
      </w:r>
    </w:p>
    <w:p w14:paraId="6168DEA3">
      <w:pPr>
        <w:keepNext w:val="0"/>
        <w:keepLines w:val="0"/>
        <w:pageBreakBefore w:val="0"/>
        <w:widowControl w:val="0"/>
        <w:numPr>
          <w:ilvl w:val="0"/>
          <w:numId w:val="2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总价金额与按单价汇总金额不一致的，以单价金额计算结果为准</w:t>
      </w:r>
      <w:r>
        <w:rPr>
          <w:rFonts w:hint="eastAsia" w:ascii="宋体" w:hAnsi="宋体" w:eastAsia="宋体" w:cs="宋体"/>
          <w:color w:val="auto"/>
          <w:kern w:val="0"/>
          <w:szCs w:val="21"/>
          <w:highlight w:val="none"/>
          <w:lang w:eastAsia="zh-CN"/>
        </w:rPr>
        <w:t>；</w:t>
      </w:r>
    </w:p>
    <w:p w14:paraId="248D4BFC">
      <w:pPr>
        <w:keepNext w:val="0"/>
        <w:keepLines w:val="0"/>
        <w:pageBreakBefore w:val="0"/>
        <w:widowControl w:val="0"/>
        <w:numPr>
          <w:ilvl w:val="0"/>
          <w:numId w:val="2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同时出现两种以上不一致的，按照前款规定的顺序修正。修正后的报价应当采用书面形式，并加盖公章，或者由法定代表人或其授权的代表签字，投标人不确认的，其</w:t>
      </w:r>
      <w:r>
        <w:rPr>
          <w:rFonts w:hint="eastAsia" w:ascii="宋体" w:hAnsi="宋体" w:eastAsia="宋体" w:cs="宋体"/>
          <w:b/>
          <w:bCs/>
          <w:color w:val="auto"/>
          <w:kern w:val="0"/>
          <w:szCs w:val="21"/>
          <w:highlight w:val="none"/>
        </w:rPr>
        <w:t>投标无效</w:t>
      </w:r>
      <w:r>
        <w:rPr>
          <w:rFonts w:hint="eastAsia" w:ascii="宋体" w:hAnsi="宋体" w:eastAsia="宋体" w:cs="宋体"/>
          <w:color w:val="auto"/>
          <w:kern w:val="0"/>
          <w:szCs w:val="21"/>
          <w:highlight w:val="none"/>
        </w:rPr>
        <w:t>。</w:t>
      </w:r>
    </w:p>
    <w:p w14:paraId="7D14EAD5">
      <w:pPr>
        <w:pStyle w:val="6"/>
        <w:pageBreakBefore w:val="0"/>
        <w:numPr>
          <w:ilvl w:val="0"/>
          <w:numId w:val="0"/>
        </w:numPr>
        <w:kinsoku/>
        <w:overflowPunct/>
        <w:bidi w:val="0"/>
        <w:spacing w:line="360" w:lineRule="auto"/>
        <w:ind w:leftChars="0"/>
        <w:rPr>
          <w:rFonts w:hint="eastAsia" w:ascii="宋体" w:hAnsi="宋体" w:eastAsia="宋体" w:cs="宋体"/>
          <w:color w:val="auto"/>
          <w:highlight w:val="none"/>
          <w:lang w:val="en-US" w:eastAsia="zh-CN"/>
        </w:rPr>
      </w:pPr>
      <w:bookmarkStart w:id="677" w:name="_Toc14399"/>
      <w:bookmarkStart w:id="678" w:name="_Toc26026"/>
      <w:bookmarkStart w:id="679" w:name="_Toc26213"/>
      <w:bookmarkStart w:id="680" w:name="_Toc18705"/>
      <w:bookmarkStart w:id="681" w:name="_Toc30428"/>
      <w:bookmarkStart w:id="682" w:name="_Toc10132"/>
      <w:bookmarkStart w:id="683" w:name="_Toc24391"/>
      <w:bookmarkStart w:id="684" w:name="_Toc22449"/>
      <w:bookmarkStart w:id="685" w:name="_Toc12089"/>
      <w:bookmarkStart w:id="686" w:name="_Toc13336"/>
      <w:bookmarkStart w:id="687" w:name="_Toc1221"/>
      <w:r>
        <w:rPr>
          <w:rFonts w:hint="eastAsia" w:ascii="宋体" w:hAnsi="宋体" w:eastAsia="宋体" w:cs="宋体"/>
          <w:color w:val="auto"/>
          <w:highlight w:val="none"/>
          <w:lang w:val="en-US" w:eastAsia="zh-CN"/>
        </w:rPr>
        <w:t>3.2 详细评审</w:t>
      </w:r>
      <w:bookmarkEnd w:id="677"/>
      <w:bookmarkEnd w:id="678"/>
      <w:bookmarkEnd w:id="679"/>
      <w:bookmarkEnd w:id="680"/>
      <w:bookmarkEnd w:id="681"/>
      <w:bookmarkEnd w:id="682"/>
      <w:bookmarkEnd w:id="683"/>
      <w:bookmarkEnd w:id="684"/>
      <w:bookmarkEnd w:id="685"/>
      <w:bookmarkEnd w:id="686"/>
      <w:bookmarkEnd w:id="687"/>
    </w:p>
    <w:p w14:paraId="60CDEFCF">
      <w:pPr>
        <w:pageBreakBefore w:val="0"/>
        <w:kinsoku/>
        <w:overflowPunct/>
        <w:autoSpaceDE w:val="0"/>
        <w:autoSpaceDN w:val="0"/>
        <w:bidi w:val="0"/>
        <w:adjustRightInd w:val="0"/>
        <w:spacing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3.2.1 </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按</w:t>
      </w:r>
      <w:r>
        <w:rPr>
          <w:rFonts w:hint="eastAsia" w:ascii="宋体" w:hAnsi="宋体" w:eastAsia="宋体" w:cs="宋体"/>
          <w:color w:val="auto"/>
          <w:kern w:val="0"/>
          <w:szCs w:val="21"/>
          <w:highlight w:val="none"/>
        </w:rPr>
        <w:t>本</w:t>
      </w:r>
      <w:r>
        <w:rPr>
          <w:rFonts w:hint="eastAsia" w:ascii="宋体" w:hAnsi="宋体" w:eastAsia="宋体" w:cs="宋体"/>
          <w:color w:val="auto"/>
          <w:spacing w:val="-2"/>
          <w:kern w:val="0"/>
          <w:szCs w:val="21"/>
          <w:highlight w:val="none"/>
        </w:rPr>
        <w:t>章</w:t>
      </w:r>
      <w:r>
        <w:rPr>
          <w:rFonts w:hint="eastAsia" w:ascii="宋体" w:hAnsi="宋体" w:eastAsia="宋体" w:cs="宋体"/>
          <w:color w:val="auto"/>
          <w:kern w:val="0"/>
          <w:szCs w:val="21"/>
          <w:highlight w:val="none"/>
        </w:rPr>
        <w:t>评标方法规</w:t>
      </w:r>
      <w:r>
        <w:rPr>
          <w:rFonts w:hint="eastAsia" w:ascii="宋体" w:hAnsi="宋体" w:eastAsia="宋体" w:cs="宋体"/>
          <w:color w:val="auto"/>
          <w:spacing w:val="-2"/>
          <w:kern w:val="0"/>
          <w:szCs w:val="21"/>
          <w:highlight w:val="none"/>
        </w:rPr>
        <w:t>定</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量</w:t>
      </w:r>
      <w:r>
        <w:rPr>
          <w:rFonts w:hint="eastAsia" w:ascii="宋体" w:hAnsi="宋体" w:eastAsia="宋体" w:cs="宋体"/>
          <w:color w:val="auto"/>
          <w:kern w:val="0"/>
          <w:szCs w:val="21"/>
          <w:highlight w:val="none"/>
        </w:rPr>
        <w:t>化</w:t>
      </w:r>
      <w:r>
        <w:rPr>
          <w:rFonts w:hint="eastAsia" w:ascii="宋体" w:hAnsi="宋体" w:eastAsia="宋体" w:cs="宋体"/>
          <w:color w:val="auto"/>
          <w:spacing w:val="-2"/>
          <w:kern w:val="0"/>
          <w:szCs w:val="21"/>
          <w:highlight w:val="none"/>
        </w:rPr>
        <w:t>因</w:t>
      </w:r>
      <w:r>
        <w:rPr>
          <w:rFonts w:hint="eastAsia" w:ascii="宋体" w:hAnsi="宋体" w:eastAsia="宋体" w:cs="宋体"/>
          <w:color w:val="auto"/>
          <w:kern w:val="0"/>
          <w:szCs w:val="21"/>
          <w:highlight w:val="none"/>
        </w:rPr>
        <w:t>素</w:t>
      </w:r>
      <w:r>
        <w:rPr>
          <w:rFonts w:hint="eastAsia" w:ascii="宋体" w:hAnsi="宋体" w:eastAsia="宋体" w:cs="宋体"/>
          <w:color w:val="auto"/>
          <w:spacing w:val="-2"/>
          <w:kern w:val="0"/>
          <w:szCs w:val="21"/>
          <w:highlight w:val="none"/>
        </w:rPr>
        <w:t>和</w:t>
      </w:r>
      <w:r>
        <w:rPr>
          <w:rFonts w:hint="eastAsia" w:ascii="宋体" w:hAnsi="宋体" w:eastAsia="宋体" w:cs="宋体"/>
          <w:color w:val="auto"/>
          <w:kern w:val="0"/>
          <w:szCs w:val="21"/>
          <w:highlight w:val="none"/>
        </w:rPr>
        <w:t>分值</w:t>
      </w:r>
      <w:r>
        <w:rPr>
          <w:rFonts w:hint="eastAsia" w:ascii="宋体" w:hAnsi="宋体" w:eastAsia="宋体" w:cs="宋体"/>
          <w:color w:val="auto"/>
          <w:spacing w:val="-2"/>
          <w:kern w:val="0"/>
          <w:szCs w:val="21"/>
          <w:highlight w:val="none"/>
        </w:rPr>
        <w:t>进</w:t>
      </w:r>
      <w:r>
        <w:rPr>
          <w:rFonts w:hint="eastAsia" w:ascii="宋体" w:hAnsi="宋体" w:eastAsia="宋体" w:cs="宋体"/>
          <w:color w:val="auto"/>
          <w:kern w:val="0"/>
          <w:szCs w:val="21"/>
          <w:highlight w:val="none"/>
        </w:rPr>
        <w:t>行</w:t>
      </w:r>
      <w:r>
        <w:rPr>
          <w:rFonts w:hint="eastAsia" w:ascii="宋体" w:hAnsi="宋体" w:eastAsia="宋体" w:cs="宋体"/>
          <w:color w:val="auto"/>
          <w:spacing w:val="-2"/>
          <w:kern w:val="0"/>
          <w:szCs w:val="21"/>
          <w:highlight w:val="none"/>
        </w:rPr>
        <w:t>打</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eastAsia="zh-CN"/>
        </w:rPr>
        <w:t>并</w:t>
      </w:r>
      <w:r>
        <w:rPr>
          <w:rFonts w:hint="eastAsia" w:ascii="宋体" w:hAnsi="宋体" w:eastAsia="宋体" w:cs="宋体"/>
          <w:color w:val="auto"/>
          <w:spacing w:val="-2"/>
          <w:kern w:val="0"/>
          <w:szCs w:val="21"/>
          <w:highlight w:val="none"/>
        </w:rPr>
        <w:t>计</w:t>
      </w:r>
      <w:r>
        <w:rPr>
          <w:rFonts w:hint="eastAsia" w:ascii="宋体" w:hAnsi="宋体" w:eastAsia="宋体" w:cs="宋体"/>
          <w:color w:val="auto"/>
          <w:kern w:val="0"/>
          <w:szCs w:val="21"/>
          <w:highlight w:val="none"/>
        </w:rPr>
        <w:t>算</w:t>
      </w:r>
      <w:r>
        <w:rPr>
          <w:rFonts w:hint="eastAsia" w:ascii="宋体" w:hAnsi="宋体" w:eastAsia="宋体" w:cs="宋体"/>
          <w:color w:val="auto"/>
          <w:spacing w:val="-2"/>
          <w:kern w:val="0"/>
          <w:szCs w:val="21"/>
          <w:highlight w:val="none"/>
        </w:rPr>
        <w:t>出综</w:t>
      </w:r>
      <w:r>
        <w:rPr>
          <w:rFonts w:hint="eastAsia" w:ascii="宋体" w:hAnsi="宋体" w:eastAsia="宋体" w:cs="宋体"/>
          <w:color w:val="auto"/>
          <w:kern w:val="0"/>
          <w:szCs w:val="21"/>
          <w:highlight w:val="none"/>
        </w:rPr>
        <w:t>合得</w:t>
      </w:r>
      <w:r>
        <w:rPr>
          <w:rFonts w:hint="eastAsia" w:ascii="宋体" w:hAnsi="宋体" w:eastAsia="宋体" w:cs="宋体"/>
          <w:color w:val="auto"/>
          <w:spacing w:val="-2"/>
          <w:kern w:val="0"/>
          <w:szCs w:val="21"/>
          <w:highlight w:val="none"/>
        </w:rPr>
        <w:t>分</w:t>
      </w:r>
      <w:r>
        <w:rPr>
          <w:rFonts w:hint="eastAsia" w:ascii="宋体" w:hAnsi="宋体" w:eastAsia="宋体" w:cs="宋体"/>
          <w:color w:val="auto"/>
          <w:kern w:val="0"/>
          <w:szCs w:val="21"/>
          <w:highlight w:val="none"/>
        </w:rPr>
        <w:t>。</w:t>
      </w:r>
    </w:p>
    <w:p w14:paraId="564D17DC">
      <w:pPr>
        <w:keepNext w:val="0"/>
        <w:keepLines w:val="0"/>
        <w:pageBreakBefore w:val="0"/>
        <w:widowControl w:val="0"/>
        <w:numPr>
          <w:ilvl w:val="0"/>
          <w:numId w:val="2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本章</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2.2.2（1）</w:t>
      </w:r>
      <w:r>
        <w:rPr>
          <w:rFonts w:hint="eastAsia" w:ascii="宋体" w:hAnsi="宋体" w:eastAsia="宋体" w:cs="宋体"/>
          <w:color w:val="auto"/>
          <w:kern w:val="0"/>
          <w:szCs w:val="21"/>
          <w:highlight w:val="none"/>
        </w:rPr>
        <w:t>目规定的评审因素和分值对投标报价计算出得分A；</w:t>
      </w:r>
    </w:p>
    <w:p w14:paraId="0663B5CF">
      <w:pPr>
        <w:keepNext w:val="0"/>
        <w:keepLines w:val="0"/>
        <w:pageBreakBefore w:val="0"/>
        <w:widowControl w:val="0"/>
        <w:numPr>
          <w:ilvl w:val="0"/>
          <w:numId w:val="2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本章</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2.2.2（2）</w:t>
      </w:r>
      <w:r>
        <w:rPr>
          <w:rFonts w:hint="eastAsia" w:ascii="宋体" w:hAnsi="宋体" w:eastAsia="宋体" w:cs="宋体"/>
          <w:color w:val="auto"/>
          <w:kern w:val="0"/>
          <w:szCs w:val="21"/>
          <w:highlight w:val="none"/>
        </w:rPr>
        <w:t>目规定的评审因素和分值对技术部分计算出得分B；</w:t>
      </w:r>
    </w:p>
    <w:p w14:paraId="58945B5E">
      <w:pPr>
        <w:keepNext w:val="0"/>
        <w:keepLines w:val="0"/>
        <w:pageBreakBefore w:val="0"/>
        <w:widowControl w:val="0"/>
        <w:numPr>
          <w:ilvl w:val="0"/>
          <w:numId w:val="2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本章</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2.2.2（3）</w:t>
      </w:r>
      <w:r>
        <w:rPr>
          <w:rFonts w:hint="eastAsia" w:ascii="宋体" w:hAnsi="宋体" w:eastAsia="宋体" w:cs="宋体"/>
          <w:color w:val="auto"/>
          <w:kern w:val="0"/>
          <w:szCs w:val="21"/>
          <w:highlight w:val="none"/>
        </w:rPr>
        <w:t>目规定的评审因素和分值对商务部分计算出得分C。</w:t>
      </w:r>
    </w:p>
    <w:p w14:paraId="4F391541">
      <w:pPr>
        <w:pageBreakBefore w:val="0"/>
        <w:kinsoku/>
        <w:overflowPunct/>
        <w:autoSpaceDE w:val="0"/>
        <w:autoSpaceDN w:val="0"/>
        <w:bidi w:val="0"/>
        <w:adjustRightInd w:val="0"/>
        <w:spacing w:before="42"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 评</w:t>
      </w:r>
      <w:r>
        <w:rPr>
          <w:rFonts w:hint="eastAsia" w:ascii="宋体" w:hAnsi="宋体" w:eastAsia="宋体" w:cs="宋体"/>
          <w:color w:val="auto"/>
          <w:spacing w:val="-2"/>
          <w:kern w:val="0"/>
          <w:szCs w:val="21"/>
          <w:highlight w:val="none"/>
        </w:rPr>
        <w:t>分</w:t>
      </w:r>
      <w:r>
        <w:rPr>
          <w:rFonts w:hint="eastAsia" w:ascii="宋体" w:hAnsi="宋体" w:eastAsia="宋体" w:cs="宋体"/>
          <w:color w:val="auto"/>
          <w:kern w:val="0"/>
          <w:szCs w:val="21"/>
          <w:highlight w:val="none"/>
        </w:rPr>
        <w:t>分</w:t>
      </w:r>
      <w:r>
        <w:rPr>
          <w:rFonts w:hint="eastAsia" w:ascii="宋体" w:hAnsi="宋体" w:eastAsia="宋体" w:cs="宋体"/>
          <w:color w:val="auto"/>
          <w:spacing w:val="-2"/>
          <w:kern w:val="0"/>
          <w:szCs w:val="21"/>
          <w:highlight w:val="none"/>
        </w:rPr>
        <w:t>值</w:t>
      </w:r>
      <w:r>
        <w:rPr>
          <w:rFonts w:hint="eastAsia" w:ascii="宋体" w:hAnsi="宋体" w:eastAsia="宋体" w:cs="宋体"/>
          <w:color w:val="auto"/>
          <w:kern w:val="0"/>
          <w:szCs w:val="21"/>
          <w:highlight w:val="none"/>
        </w:rPr>
        <w:t>计</w:t>
      </w:r>
      <w:r>
        <w:rPr>
          <w:rFonts w:hint="eastAsia" w:ascii="宋体" w:hAnsi="宋体" w:eastAsia="宋体" w:cs="宋体"/>
          <w:color w:val="auto"/>
          <w:spacing w:val="-2"/>
          <w:kern w:val="0"/>
          <w:szCs w:val="21"/>
          <w:highlight w:val="none"/>
        </w:rPr>
        <w:t>算</w:t>
      </w:r>
      <w:r>
        <w:rPr>
          <w:rFonts w:hint="eastAsia" w:ascii="宋体" w:hAnsi="宋体" w:eastAsia="宋体" w:cs="宋体"/>
          <w:color w:val="auto"/>
          <w:kern w:val="0"/>
          <w:szCs w:val="21"/>
          <w:highlight w:val="none"/>
        </w:rPr>
        <w:t>保</w:t>
      </w:r>
      <w:r>
        <w:rPr>
          <w:rFonts w:hint="eastAsia" w:ascii="宋体" w:hAnsi="宋体" w:eastAsia="宋体" w:cs="宋体"/>
          <w:color w:val="auto"/>
          <w:spacing w:val="-2"/>
          <w:kern w:val="0"/>
          <w:szCs w:val="21"/>
          <w:highlight w:val="none"/>
        </w:rPr>
        <w:t>留小</w:t>
      </w:r>
      <w:r>
        <w:rPr>
          <w:rFonts w:hint="eastAsia" w:ascii="宋体" w:hAnsi="宋体" w:eastAsia="宋体" w:cs="宋体"/>
          <w:color w:val="auto"/>
          <w:kern w:val="0"/>
          <w:szCs w:val="21"/>
          <w:highlight w:val="none"/>
        </w:rPr>
        <w:t>数点</w:t>
      </w:r>
      <w:r>
        <w:rPr>
          <w:rFonts w:hint="eastAsia" w:ascii="宋体" w:hAnsi="宋体" w:eastAsia="宋体" w:cs="宋体"/>
          <w:color w:val="auto"/>
          <w:spacing w:val="-2"/>
          <w:kern w:val="0"/>
          <w:szCs w:val="21"/>
          <w:highlight w:val="none"/>
        </w:rPr>
        <w:t>后</w:t>
      </w:r>
      <w:r>
        <w:rPr>
          <w:rFonts w:hint="eastAsia" w:ascii="宋体" w:hAnsi="宋体" w:eastAsia="宋体" w:cs="宋体"/>
          <w:color w:val="auto"/>
          <w:kern w:val="0"/>
          <w:szCs w:val="21"/>
          <w:highlight w:val="none"/>
        </w:rPr>
        <w:t>两</w:t>
      </w:r>
      <w:r>
        <w:rPr>
          <w:rFonts w:hint="eastAsia" w:ascii="宋体" w:hAnsi="宋体" w:eastAsia="宋体" w:cs="宋体"/>
          <w:color w:val="auto"/>
          <w:spacing w:val="-2"/>
          <w:kern w:val="0"/>
          <w:szCs w:val="21"/>
          <w:highlight w:val="none"/>
        </w:rPr>
        <w:t>位</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小</w:t>
      </w:r>
      <w:r>
        <w:rPr>
          <w:rFonts w:hint="eastAsia" w:ascii="宋体" w:hAnsi="宋体" w:eastAsia="宋体" w:cs="宋体"/>
          <w:color w:val="auto"/>
          <w:kern w:val="0"/>
          <w:szCs w:val="21"/>
          <w:highlight w:val="none"/>
        </w:rPr>
        <w:t>数</w:t>
      </w:r>
      <w:r>
        <w:rPr>
          <w:rFonts w:hint="eastAsia" w:ascii="宋体" w:hAnsi="宋体" w:eastAsia="宋体" w:cs="宋体"/>
          <w:color w:val="auto"/>
          <w:spacing w:val="-2"/>
          <w:kern w:val="0"/>
          <w:szCs w:val="21"/>
          <w:highlight w:val="none"/>
        </w:rPr>
        <w:t>点</w:t>
      </w:r>
      <w:r>
        <w:rPr>
          <w:rFonts w:hint="eastAsia" w:ascii="宋体" w:hAnsi="宋体" w:eastAsia="宋体" w:cs="宋体"/>
          <w:color w:val="auto"/>
          <w:kern w:val="0"/>
          <w:szCs w:val="21"/>
          <w:highlight w:val="none"/>
        </w:rPr>
        <w:t>后</w:t>
      </w:r>
      <w:r>
        <w:rPr>
          <w:rFonts w:hint="eastAsia" w:ascii="宋体" w:hAnsi="宋体" w:eastAsia="宋体" w:cs="宋体"/>
          <w:color w:val="auto"/>
          <w:spacing w:val="-2"/>
          <w:kern w:val="0"/>
          <w:szCs w:val="21"/>
          <w:highlight w:val="none"/>
        </w:rPr>
        <w:t>第</w:t>
      </w:r>
      <w:r>
        <w:rPr>
          <w:rFonts w:hint="eastAsia" w:ascii="宋体" w:hAnsi="宋体" w:eastAsia="宋体" w:cs="宋体"/>
          <w:color w:val="auto"/>
          <w:kern w:val="0"/>
          <w:szCs w:val="21"/>
          <w:highlight w:val="none"/>
        </w:rPr>
        <w:t>三位</w:t>
      </w:r>
      <w:r>
        <w:rPr>
          <w:rFonts w:hint="eastAsia" w:ascii="宋体" w:hAnsi="宋体" w:eastAsia="宋体" w:cs="宋体"/>
          <w:color w:val="auto"/>
          <w:spacing w:val="-3"/>
          <w:kern w:val="0"/>
          <w:szCs w:val="21"/>
          <w:highlight w:val="none"/>
        </w:rPr>
        <w:t>“</w:t>
      </w:r>
      <w:r>
        <w:rPr>
          <w:rFonts w:hint="eastAsia" w:ascii="宋体" w:hAnsi="宋体" w:eastAsia="宋体" w:cs="宋体"/>
          <w:color w:val="auto"/>
          <w:kern w:val="0"/>
          <w:szCs w:val="21"/>
          <w:highlight w:val="none"/>
        </w:rPr>
        <w:t>四</w:t>
      </w:r>
      <w:r>
        <w:rPr>
          <w:rFonts w:hint="eastAsia" w:ascii="宋体" w:hAnsi="宋体" w:eastAsia="宋体" w:cs="宋体"/>
          <w:color w:val="auto"/>
          <w:spacing w:val="-2"/>
          <w:kern w:val="0"/>
          <w:szCs w:val="21"/>
          <w:highlight w:val="none"/>
        </w:rPr>
        <w:t>舍</w:t>
      </w:r>
      <w:r>
        <w:rPr>
          <w:rFonts w:hint="eastAsia" w:ascii="宋体" w:hAnsi="宋体" w:eastAsia="宋体" w:cs="宋体"/>
          <w:color w:val="auto"/>
          <w:kern w:val="0"/>
          <w:szCs w:val="21"/>
          <w:highlight w:val="none"/>
        </w:rPr>
        <w:t>五入</w:t>
      </w:r>
      <w:r>
        <w:rPr>
          <w:rFonts w:hint="eastAsia" w:ascii="宋体" w:hAnsi="宋体" w:eastAsia="宋体" w:cs="宋体"/>
          <w:color w:val="auto"/>
          <w:spacing w:val="-3"/>
          <w:kern w:val="0"/>
          <w:szCs w:val="21"/>
          <w:highlight w:val="none"/>
        </w:rPr>
        <w:t>”</w:t>
      </w:r>
      <w:r>
        <w:rPr>
          <w:rFonts w:hint="eastAsia" w:ascii="宋体" w:hAnsi="宋体" w:eastAsia="宋体" w:cs="宋体"/>
          <w:color w:val="auto"/>
          <w:kern w:val="0"/>
          <w:szCs w:val="21"/>
          <w:highlight w:val="none"/>
        </w:rPr>
        <w:t>。</w:t>
      </w:r>
    </w:p>
    <w:p w14:paraId="1DBE2581">
      <w:pPr>
        <w:pageBreakBefore w:val="0"/>
        <w:kinsoku/>
        <w:overflowPunct/>
        <w:autoSpaceDE w:val="0"/>
        <w:autoSpaceDN w:val="0"/>
        <w:bidi w:val="0"/>
        <w:adjustRightInd w:val="0"/>
        <w:spacing w:before="42"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人</w:t>
      </w:r>
      <w:r>
        <w:rPr>
          <w:rFonts w:hint="eastAsia" w:ascii="宋体" w:hAnsi="宋体" w:eastAsia="宋体" w:cs="宋体"/>
          <w:color w:val="auto"/>
          <w:spacing w:val="-2"/>
          <w:kern w:val="0"/>
          <w:szCs w:val="21"/>
          <w:highlight w:val="none"/>
        </w:rPr>
        <w:t>得</w:t>
      </w:r>
      <w:r>
        <w:rPr>
          <w:rFonts w:hint="eastAsia" w:ascii="宋体" w:hAnsi="宋体" w:eastAsia="宋体" w:cs="宋体"/>
          <w:color w:val="auto"/>
          <w:kern w:val="0"/>
          <w:szCs w:val="21"/>
          <w:highlight w:val="none"/>
        </w:rPr>
        <w:t>分</w:t>
      </w:r>
      <w:r>
        <w:rPr>
          <w:rFonts w:hint="eastAsia" w:ascii="宋体" w:hAnsi="宋体" w:eastAsia="宋体" w:cs="宋体"/>
          <w:color w:val="auto"/>
          <w:spacing w:val="-1"/>
          <w:kern w:val="0"/>
          <w:szCs w:val="21"/>
          <w:highlight w:val="none"/>
        </w:rPr>
        <w:t>=A</w:t>
      </w:r>
      <w:r>
        <w:rPr>
          <w:rFonts w:hint="eastAsia" w:ascii="宋体" w:hAnsi="宋体" w:eastAsia="宋体" w:cs="宋体"/>
          <w:color w:val="auto"/>
          <w:spacing w:val="1"/>
          <w:kern w:val="0"/>
          <w:szCs w:val="21"/>
          <w:highlight w:val="none"/>
        </w:rPr>
        <w:t>+</w:t>
      </w:r>
      <w:r>
        <w:rPr>
          <w:rFonts w:hint="eastAsia" w:ascii="宋体" w:hAnsi="宋体" w:eastAsia="宋体" w:cs="宋体"/>
          <w:color w:val="auto"/>
          <w:spacing w:val="-2"/>
          <w:kern w:val="0"/>
          <w:szCs w:val="21"/>
          <w:highlight w:val="none"/>
        </w:rPr>
        <w:t>B</w:t>
      </w:r>
      <w:r>
        <w:rPr>
          <w:rFonts w:hint="eastAsia" w:ascii="宋体" w:hAnsi="宋体" w:eastAsia="宋体" w:cs="宋体"/>
          <w:color w:val="auto"/>
          <w:spacing w:val="-1"/>
          <w:kern w:val="0"/>
          <w:szCs w:val="21"/>
          <w:highlight w:val="none"/>
        </w:rPr>
        <w:t>+</w:t>
      </w:r>
      <w:r>
        <w:rPr>
          <w:rFonts w:hint="eastAsia" w:ascii="宋体" w:hAnsi="宋体" w:eastAsia="宋体" w:cs="宋体"/>
          <w:color w:val="auto"/>
          <w:spacing w:val="-2"/>
          <w:kern w:val="0"/>
          <w:szCs w:val="21"/>
          <w:highlight w:val="none"/>
        </w:rPr>
        <w:t>C</w:t>
      </w:r>
      <w:r>
        <w:rPr>
          <w:rFonts w:hint="eastAsia" w:ascii="宋体" w:hAnsi="宋体" w:eastAsia="宋体" w:cs="宋体"/>
          <w:color w:val="auto"/>
          <w:kern w:val="0"/>
          <w:szCs w:val="21"/>
          <w:highlight w:val="none"/>
        </w:rPr>
        <w:t>。</w:t>
      </w:r>
    </w:p>
    <w:p w14:paraId="668B785C">
      <w:pPr>
        <w:pageBreakBefore w:val="0"/>
        <w:kinsoku/>
        <w:overflowPunct/>
        <w:autoSpaceDE w:val="0"/>
        <w:autoSpaceDN w:val="0"/>
        <w:bidi w:val="0"/>
        <w:adjustRightInd w:val="0"/>
        <w:spacing w:before="40" w:line="360" w:lineRule="auto"/>
        <w:ind w:left="100" w:right="140"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eastAsia="宋体" w:cs="宋体"/>
          <w:b/>
          <w:bCs/>
          <w:color w:val="auto"/>
          <w:kern w:val="0"/>
          <w:szCs w:val="21"/>
          <w:highlight w:val="none"/>
        </w:rPr>
        <w:t>无效投标</w:t>
      </w:r>
      <w:r>
        <w:rPr>
          <w:rFonts w:hint="eastAsia" w:ascii="宋体" w:hAnsi="宋体" w:eastAsia="宋体" w:cs="宋体"/>
          <w:color w:val="auto"/>
          <w:kern w:val="0"/>
          <w:szCs w:val="21"/>
          <w:highlight w:val="none"/>
        </w:rPr>
        <w:t>处理。</w:t>
      </w:r>
    </w:p>
    <w:p w14:paraId="799AB4FD">
      <w:pPr>
        <w:pStyle w:val="6"/>
        <w:pageBreakBefore w:val="0"/>
        <w:numPr>
          <w:ilvl w:val="0"/>
          <w:numId w:val="0"/>
        </w:numPr>
        <w:kinsoku/>
        <w:overflowPunct/>
        <w:bidi w:val="0"/>
        <w:spacing w:line="360" w:lineRule="auto"/>
        <w:ind w:leftChars="0"/>
        <w:rPr>
          <w:rFonts w:hint="eastAsia" w:ascii="宋体" w:hAnsi="宋体" w:eastAsia="宋体" w:cs="宋体"/>
          <w:color w:val="auto"/>
          <w:highlight w:val="none"/>
          <w:lang w:val="en-US" w:eastAsia="zh-CN"/>
        </w:rPr>
      </w:pPr>
      <w:bookmarkStart w:id="688" w:name="_Toc24367"/>
      <w:bookmarkStart w:id="689" w:name="_Toc7845"/>
      <w:bookmarkStart w:id="690" w:name="_Toc6048"/>
      <w:bookmarkStart w:id="691" w:name="_Toc9150"/>
      <w:bookmarkStart w:id="692" w:name="_Toc30029"/>
      <w:bookmarkStart w:id="693" w:name="_Toc5640"/>
      <w:bookmarkStart w:id="694" w:name="_Toc18083"/>
      <w:bookmarkStart w:id="695" w:name="_Toc18381"/>
      <w:bookmarkStart w:id="696" w:name="_Toc11785"/>
      <w:bookmarkStart w:id="697" w:name="_Toc11722"/>
      <w:bookmarkStart w:id="698" w:name="_Toc2162"/>
      <w:r>
        <w:rPr>
          <w:rFonts w:hint="eastAsia" w:ascii="宋体" w:hAnsi="宋体" w:eastAsia="宋体" w:cs="宋体"/>
          <w:color w:val="auto"/>
          <w:highlight w:val="none"/>
          <w:lang w:val="en-US" w:eastAsia="zh-CN"/>
        </w:rPr>
        <w:t>3.3 投标文件的澄清</w:t>
      </w:r>
      <w:bookmarkEnd w:id="688"/>
      <w:bookmarkEnd w:id="689"/>
      <w:bookmarkEnd w:id="690"/>
      <w:bookmarkEnd w:id="691"/>
      <w:bookmarkEnd w:id="692"/>
      <w:bookmarkEnd w:id="693"/>
      <w:bookmarkEnd w:id="694"/>
      <w:bookmarkEnd w:id="695"/>
      <w:bookmarkEnd w:id="696"/>
      <w:bookmarkEnd w:id="697"/>
      <w:bookmarkEnd w:id="698"/>
    </w:p>
    <w:p w14:paraId="77D87D3E">
      <w:pPr>
        <w:pageBreakBefore w:val="0"/>
        <w:kinsoku/>
        <w:overflowPunct/>
        <w:autoSpaceDE w:val="0"/>
        <w:autoSpaceDN w:val="0"/>
        <w:bidi w:val="0"/>
        <w:adjustRightInd w:val="0"/>
        <w:spacing w:line="360" w:lineRule="auto"/>
        <w:ind w:left="100" w:right="139"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.1 在</w:t>
      </w:r>
      <w:r>
        <w:rPr>
          <w:rFonts w:hint="eastAsia" w:ascii="宋体" w:hAnsi="宋体" w:eastAsia="宋体" w:cs="宋体"/>
          <w:color w:val="auto"/>
          <w:spacing w:val="-2"/>
          <w:kern w:val="0"/>
          <w:szCs w:val="21"/>
          <w:highlight w:val="none"/>
        </w:rPr>
        <w:t>评</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过</w:t>
      </w:r>
      <w:r>
        <w:rPr>
          <w:rFonts w:hint="eastAsia" w:ascii="宋体" w:hAnsi="宋体" w:eastAsia="宋体" w:cs="宋体"/>
          <w:color w:val="auto"/>
          <w:kern w:val="0"/>
          <w:szCs w:val="21"/>
          <w:highlight w:val="none"/>
        </w:rPr>
        <w:t>程中</w:t>
      </w:r>
      <w:r>
        <w:rPr>
          <w:rFonts w:hint="eastAsia" w:ascii="宋体" w:hAnsi="宋体" w:eastAsia="宋体" w:cs="宋体"/>
          <w:color w:val="auto"/>
          <w:spacing w:val="-41"/>
          <w:kern w:val="0"/>
          <w:szCs w:val="21"/>
          <w:highlight w:val="none"/>
        </w:rPr>
        <w:t>，</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委员</w:t>
      </w:r>
      <w:r>
        <w:rPr>
          <w:rFonts w:hint="eastAsia" w:ascii="宋体" w:hAnsi="宋体" w:eastAsia="宋体" w:cs="宋体"/>
          <w:color w:val="auto"/>
          <w:spacing w:val="-2"/>
          <w:kern w:val="0"/>
          <w:szCs w:val="21"/>
          <w:highlight w:val="none"/>
        </w:rPr>
        <w:t>会</w:t>
      </w:r>
      <w:r>
        <w:rPr>
          <w:rFonts w:hint="eastAsia" w:ascii="宋体" w:hAnsi="宋体" w:eastAsia="宋体" w:cs="宋体"/>
          <w:color w:val="auto"/>
          <w:kern w:val="0"/>
          <w:szCs w:val="21"/>
          <w:highlight w:val="none"/>
        </w:rPr>
        <w:t>可</w:t>
      </w:r>
      <w:r>
        <w:rPr>
          <w:rFonts w:hint="eastAsia" w:ascii="宋体" w:hAnsi="宋体" w:eastAsia="宋体" w:cs="宋体"/>
          <w:color w:val="auto"/>
          <w:spacing w:val="-2"/>
          <w:kern w:val="0"/>
          <w:szCs w:val="21"/>
          <w:highlight w:val="none"/>
        </w:rPr>
        <w:t>以</w:t>
      </w:r>
      <w:r>
        <w:rPr>
          <w:rFonts w:hint="eastAsia" w:ascii="宋体" w:hAnsi="宋体" w:eastAsia="宋体" w:cs="宋体"/>
          <w:color w:val="auto"/>
          <w:kern w:val="0"/>
          <w:szCs w:val="21"/>
          <w:highlight w:val="none"/>
        </w:rPr>
        <w:t>书</w:t>
      </w:r>
      <w:r>
        <w:rPr>
          <w:rFonts w:hint="eastAsia" w:ascii="宋体" w:hAnsi="宋体" w:eastAsia="宋体" w:cs="宋体"/>
          <w:color w:val="auto"/>
          <w:spacing w:val="-2"/>
          <w:kern w:val="0"/>
          <w:szCs w:val="21"/>
          <w:highlight w:val="none"/>
        </w:rPr>
        <w:t>面</w:t>
      </w:r>
      <w:r>
        <w:rPr>
          <w:rFonts w:hint="eastAsia" w:ascii="宋体" w:hAnsi="宋体" w:eastAsia="宋体" w:cs="宋体"/>
          <w:color w:val="auto"/>
          <w:kern w:val="0"/>
          <w:szCs w:val="21"/>
          <w:highlight w:val="none"/>
        </w:rPr>
        <w:t>形</w:t>
      </w:r>
      <w:r>
        <w:rPr>
          <w:rFonts w:hint="eastAsia" w:ascii="宋体" w:hAnsi="宋体" w:eastAsia="宋体" w:cs="宋体"/>
          <w:color w:val="auto"/>
          <w:spacing w:val="-2"/>
          <w:kern w:val="0"/>
          <w:szCs w:val="21"/>
          <w:highlight w:val="none"/>
        </w:rPr>
        <w:t>式</w:t>
      </w:r>
      <w:r>
        <w:rPr>
          <w:rFonts w:hint="eastAsia" w:ascii="宋体" w:hAnsi="宋体" w:eastAsia="宋体" w:cs="宋体"/>
          <w:color w:val="auto"/>
          <w:kern w:val="0"/>
          <w:szCs w:val="21"/>
          <w:highlight w:val="none"/>
        </w:rPr>
        <w:t>要</w:t>
      </w:r>
      <w:r>
        <w:rPr>
          <w:rFonts w:hint="eastAsia" w:ascii="宋体" w:hAnsi="宋体" w:eastAsia="宋体" w:cs="宋体"/>
          <w:color w:val="auto"/>
          <w:spacing w:val="-2"/>
          <w:kern w:val="0"/>
          <w:szCs w:val="21"/>
          <w:highlight w:val="none"/>
        </w:rPr>
        <w:t>求</w:t>
      </w:r>
      <w:r>
        <w:rPr>
          <w:rFonts w:hint="eastAsia" w:ascii="宋体" w:hAnsi="宋体" w:eastAsia="宋体" w:cs="宋体"/>
          <w:color w:val="auto"/>
          <w:kern w:val="0"/>
          <w:szCs w:val="21"/>
          <w:highlight w:val="none"/>
        </w:rPr>
        <w:t>投标</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对</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r>
        <w:rPr>
          <w:rFonts w:hint="eastAsia" w:ascii="宋体" w:hAnsi="宋体" w:eastAsia="宋体" w:cs="宋体"/>
          <w:color w:val="auto"/>
          <w:spacing w:val="-2"/>
          <w:kern w:val="0"/>
          <w:szCs w:val="21"/>
          <w:highlight w:val="none"/>
        </w:rPr>
        <w:t>中</w:t>
      </w:r>
      <w:r>
        <w:rPr>
          <w:rFonts w:hint="eastAsia" w:ascii="宋体" w:hAnsi="宋体" w:eastAsia="宋体" w:cs="宋体"/>
          <w:color w:val="auto"/>
          <w:kern w:val="0"/>
          <w:szCs w:val="21"/>
          <w:highlight w:val="none"/>
        </w:rPr>
        <w:t>含</w:t>
      </w:r>
      <w:r>
        <w:rPr>
          <w:rFonts w:hint="eastAsia" w:ascii="宋体" w:hAnsi="宋体" w:eastAsia="宋体" w:cs="宋体"/>
          <w:color w:val="auto"/>
          <w:spacing w:val="-2"/>
          <w:kern w:val="0"/>
          <w:szCs w:val="21"/>
          <w:highlight w:val="none"/>
        </w:rPr>
        <w:t>义</w:t>
      </w:r>
      <w:r>
        <w:rPr>
          <w:rFonts w:hint="eastAsia" w:ascii="宋体" w:hAnsi="宋体" w:eastAsia="宋体" w:cs="宋体"/>
          <w:color w:val="auto"/>
          <w:kern w:val="0"/>
          <w:szCs w:val="21"/>
          <w:highlight w:val="none"/>
        </w:rPr>
        <w:t>不明</w:t>
      </w:r>
      <w:r>
        <w:rPr>
          <w:rFonts w:hint="eastAsia" w:ascii="宋体" w:hAnsi="宋体" w:eastAsia="宋体" w:cs="宋体"/>
          <w:color w:val="auto"/>
          <w:spacing w:val="-2"/>
          <w:kern w:val="0"/>
          <w:szCs w:val="21"/>
          <w:highlight w:val="none"/>
        </w:rPr>
        <w:t>确</w:t>
      </w:r>
      <w:r>
        <w:rPr>
          <w:rFonts w:hint="eastAsia" w:ascii="宋体" w:hAnsi="宋体" w:eastAsia="宋体" w:cs="宋体"/>
          <w:color w:val="auto"/>
          <w:spacing w:val="-38"/>
          <w:kern w:val="0"/>
          <w:szCs w:val="21"/>
          <w:highlight w:val="none"/>
        </w:rPr>
        <w:t>、</w:t>
      </w:r>
      <w:r>
        <w:rPr>
          <w:rFonts w:hint="eastAsia" w:ascii="宋体" w:hAnsi="宋体" w:eastAsia="宋体" w:cs="宋体"/>
          <w:color w:val="auto"/>
          <w:spacing w:val="-2"/>
          <w:kern w:val="0"/>
          <w:szCs w:val="21"/>
          <w:highlight w:val="none"/>
        </w:rPr>
        <w:t>对</w:t>
      </w:r>
      <w:r>
        <w:rPr>
          <w:rFonts w:hint="eastAsia" w:ascii="宋体" w:hAnsi="宋体" w:eastAsia="宋体" w:cs="宋体"/>
          <w:color w:val="auto"/>
          <w:kern w:val="0"/>
          <w:szCs w:val="21"/>
          <w:highlight w:val="none"/>
        </w:rPr>
        <w:t>同类问题表述不一</w:t>
      </w:r>
      <w:r>
        <w:rPr>
          <w:rFonts w:hint="eastAsia" w:ascii="宋体" w:hAnsi="宋体" w:eastAsia="宋体" w:cs="宋体"/>
          <w:color w:val="auto"/>
          <w:spacing w:val="-2"/>
          <w:kern w:val="0"/>
          <w:szCs w:val="21"/>
          <w:highlight w:val="none"/>
        </w:rPr>
        <w:t>致</w:t>
      </w:r>
      <w:r>
        <w:rPr>
          <w:rFonts w:hint="eastAsia" w:ascii="宋体" w:hAnsi="宋体" w:eastAsia="宋体" w:cs="宋体"/>
          <w:color w:val="auto"/>
          <w:kern w:val="0"/>
          <w:szCs w:val="21"/>
          <w:highlight w:val="none"/>
        </w:rPr>
        <w:t>或者</w:t>
      </w:r>
      <w:r>
        <w:rPr>
          <w:rFonts w:hint="eastAsia" w:ascii="宋体" w:hAnsi="宋体" w:eastAsia="宋体" w:cs="宋体"/>
          <w:color w:val="auto"/>
          <w:spacing w:val="-2"/>
          <w:kern w:val="0"/>
          <w:szCs w:val="21"/>
          <w:highlight w:val="none"/>
        </w:rPr>
        <w:t>有</w:t>
      </w:r>
      <w:r>
        <w:rPr>
          <w:rFonts w:hint="eastAsia" w:ascii="宋体" w:hAnsi="宋体" w:eastAsia="宋体" w:cs="宋体"/>
          <w:color w:val="auto"/>
          <w:kern w:val="0"/>
          <w:szCs w:val="21"/>
          <w:highlight w:val="none"/>
        </w:rPr>
        <w:t>明显文字和计算</w:t>
      </w:r>
      <w:r>
        <w:rPr>
          <w:rFonts w:hint="eastAsia" w:ascii="宋体" w:hAnsi="宋体" w:eastAsia="宋体" w:cs="宋体"/>
          <w:color w:val="auto"/>
          <w:spacing w:val="-2"/>
          <w:kern w:val="0"/>
          <w:szCs w:val="21"/>
          <w:highlight w:val="none"/>
        </w:rPr>
        <w:t>错</w:t>
      </w:r>
      <w:r>
        <w:rPr>
          <w:rFonts w:hint="eastAsia" w:ascii="宋体" w:hAnsi="宋体" w:eastAsia="宋体" w:cs="宋体"/>
          <w:color w:val="auto"/>
          <w:kern w:val="0"/>
          <w:szCs w:val="21"/>
          <w:highlight w:val="none"/>
        </w:rPr>
        <w:t>误的</w:t>
      </w:r>
      <w:r>
        <w:rPr>
          <w:rFonts w:hint="eastAsia" w:ascii="宋体" w:hAnsi="宋体" w:eastAsia="宋体" w:cs="宋体"/>
          <w:color w:val="auto"/>
          <w:spacing w:val="-2"/>
          <w:kern w:val="0"/>
          <w:szCs w:val="21"/>
          <w:highlight w:val="none"/>
        </w:rPr>
        <w:t>内</w:t>
      </w:r>
      <w:r>
        <w:rPr>
          <w:rFonts w:hint="eastAsia" w:ascii="宋体" w:hAnsi="宋体" w:eastAsia="宋体" w:cs="宋体"/>
          <w:color w:val="auto"/>
          <w:kern w:val="0"/>
          <w:szCs w:val="21"/>
          <w:highlight w:val="none"/>
        </w:rPr>
        <w:t>容作必要的澄</w:t>
      </w:r>
      <w:r>
        <w:rPr>
          <w:rFonts w:hint="eastAsia" w:ascii="宋体" w:hAnsi="宋体" w:eastAsia="宋体" w:cs="宋体"/>
          <w:color w:val="auto"/>
          <w:spacing w:val="1"/>
          <w:kern w:val="0"/>
          <w:szCs w:val="21"/>
          <w:highlight w:val="none"/>
        </w:rPr>
        <w:t>清</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说明</w:t>
      </w:r>
      <w:r>
        <w:rPr>
          <w:rFonts w:hint="eastAsia" w:ascii="宋体" w:hAnsi="宋体" w:eastAsia="宋体" w:cs="宋体"/>
          <w:color w:val="auto"/>
          <w:spacing w:val="-2"/>
          <w:kern w:val="0"/>
          <w:szCs w:val="21"/>
          <w:highlight w:val="none"/>
        </w:rPr>
        <w:t>或</w:t>
      </w:r>
      <w:r>
        <w:rPr>
          <w:rFonts w:hint="eastAsia" w:ascii="宋体" w:hAnsi="宋体" w:eastAsia="宋体" w:cs="宋体"/>
          <w:color w:val="auto"/>
          <w:kern w:val="0"/>
          <w:szCs w:val="21"/>
          <w:highlight w:val="none"/>
        </w:rPr>
        <w:t>补正。澄</w:t>
      </w:r>
      <w:r>
        <w:rPr>
          <w:rFonts w:hint="eastAsia" w:ascii="宋体" w:hAnsi="宋体" w:eastAsia="宋体" w:cs="宋体"/>
          <w:color w:val="auto"/>
          <w:spacing w:val="1"/>
          <w:kern w:val="0"/>
          <w:szCs w:val="21"/>
          <w:highlight w:val="none"/>
        </w:rPr>
        <w:t>清</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说</w:t>
      </w:r>
      <w:r>
        <w:rPr>
          <w:rFonts w:hint="eastAsia" w:ascii="宋体" w:hAnsi="宋体" w:eastAsia="宋体" w:cs="宋体"/>
          <w:color w:val="auto"/>
          <w:kern w:val="0"/>
          <w:szCs w:val="21"/>
          <w:highlight w:val="none"/>
        </w:rPr>
        <w:t>明或补</w:t>
      </w:r>
      <w:r>
        <w:rPr>
          <w:rFonts w:hint="eastAsia" w:ascii="宋体" w:hAnsi="宋体" w:eastAsia="宋体" w:cs="宋体"/>
          <w:color w:val="auto"/>
          <w:spacing w:val="-2"/>
          <w:kern w:val="0"/>
          <w:szCs w:val="21"/>
          <w:highlight w:val="none"/>
        </w:rPr>
        <w:t>正</w:t>
      </w:r>
      <w:r>
        <w:rPr>
          <w:rFonts w:hint="eastAsia" w:ascii="宋体" w:hAnsi="宋体" w:eastAsia="宋体" w:cs="宋体"/>
          <w:color w:val="auto"/>
          <w:kern w:val="0"/>
          <w:szCs w:val="21"/>
          <w:highlight w:val="none"/>
        </w:rPr>
        <w:t>应</w:t>
      </w:r>
      <w:r>
        <w:rPr>
          <w:rFonts w:hint="eastAsia" w:ascii="宋体" w:hAnsi="宋体" w:eastAsia="宋体" w:cs="宋体"/>
          <w:color w:val="auto"/>
          <w:spacing w:val="-2"/>
          <w:kern w:val="0"/>
          <w:szCs w:val="21"/>
          <w:highlight w:val="none"/>
        </w:rPr>
        <w:t>以</w:t>
      </w:r>
      <w:r>
        <w:rPr>
          <w:rFonts w:hint="eastAsia" w:ascii="宋体" w:hAnsi="宋体" w:eastAsia="宋体" w:cs="宋体"/>
          <w:color w:val="auto"/>
          <w:kern w:val="0"/>
          <w:szCs w:val="21"/>
          <w:highlight w:val="none"/>
        </w:rPr>
        <w:t>书</w:t>
      </w:r>
      <w:r>
        <w:rPr>
          <w:rFonts w:hint="eastAsia" w:ascii="宋体" w:hAnsi="宋体" w:eastAsia="宋体" w:cs="宋体"/>
          <w:color w:val="auto"/>
          <w:spacing w:val="-2"/>
          <w:kern w:val="0"/>
          <w:szCs w:val="21"/>
          <w:highlight w:val="none"/>
        </w:rPr>
        <w:t>面</w:t>
      </w:r>
      <w:r>
        <w:rPr>
          <w:rFonts w:hint="eastAsia" w:ascii="宋体" w:hAnsi="宋体" w:eastAsia="宋体" w:cs="宋体"/>
          <w:color w:val="auto"/>
          <w:kern w:val="0"/>
          <w:szCs w:val="21"/>
          <w:highlight w:val="none"/>
        </w:rPr>
        <w:t>方</w:t>
      </w:r>
      <w:r>
        <w:rPr>
          <w:rFonts w:hint="eastAsia" w:ascii="宋体" w:hAnsi="宋体" w:eastAsia="宋体" w:cs="宋体"/>
          <w:color w:val="auto"/>
          <w:spacing w:val="-2"/>
          <w:kern w:val="0"/>
          <w:szCs w:val="21"/>
          <w:highlight w:val="none"/>
        </w:rPr>
        <w:t>式</w:t>
      </w:r>
      <w:r>
        <w:rPr>
          <w:rFonts w:hint="eastAsia" w:ascii="宋体" w:hAnsi="宋体" w:eastAsia="宋体" w:cs="宋体"/>
          <w:color w:val="auto"/>
          <w:kern w:val="0"/>
          <w:szCs w:val="21"/>
          <w:highlight w:val="none"/>
        </w:rPr>
        <w:t>进</w:t>
      </w:r>
      <w:r>
        <w:rPr>
          <w:rFonts w:hint="eastAsia" w:ascii="宋体" w:hAnsi="宋体" w:eastAsia="宋体" w:cs="宋体"/>
          <w:color w:val="auto"/>
          <w:spacing w:val="-2"/>
          <w:kern w:val="0"/>
          <w:szCs w:val="21"/>
          <w:highlight w:val="none"/>
        </w:rPr>
        <w:t>行</w:t>
      </w:r>
      <w:r>
        <w:rPr>
          <w:rFonts w:hint="eastAsia" w:ascii="宋体" w:hAnsi="宋体" w:eastAsia="宋体" w:cs="宋体"/>
          <w:color w:val="auto"/>
          <w:szCs w:val="21"/>
          <w:highlight w:val="none"/>
        </w:rPr>
        <w:t>，并加盖公章，或者由法定代表人或其授权的代表签字</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不</w:t>
      </w:r>
      <w:r>
        <w:rPr>
          <w:rFonts w:hint="eastAsia" w:ascii="宋体" w:hAnsi="宋体" w:eastAsia="宋体" w:cs="宋体"/>
          <w:color w:val="auto"/>
          <w:kern w:val="0"/>
          <w:szCs w:val="21"/>
          <w:highlight w:val="none"/>
        </w:rPr>
        <w:t>接</w:t>
      </w:r>
      <w:r>
        <w:rPr>
          <w:rFonts w:hint="eastAsia" w:ascii="宋体" w:hAnsi="宋体" w:eastAsia="宋体" w:cs="宋体"/>
          <w:color w:val="auto"/>
          <w:spacing w:val="-2"/>
          <w:kern w:val="0"/>
          <w:szCs w:val="21"/>
          <w:highlight w:val="none"/>
        </w:rPr>
        <w:t>受</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人主</w:t>
      </w:r>
      <w:r>
        <w:rPr>
          <w:rFonts w:hint="eastAsia" w:ascii="宋体" w:hAnsi="宋体" w:eastAsia="宋体" w:cs="宋体"/>
          <w:color w:val="auto"/>
          <w:spacing w:val="-2"/>
          <w:kern w:val="0"/>
          <w:szCs w:val="21"/>
          <w:highlight w:val="none"/>
        </w:rPr>
        <w:t>动</w:t>
      </w:r>
      <w:r>
        <w:rPr>
          <w:rFonts w:hint="eastAsia" w:ascii="宋体" w:hAnsi="宋体" w:eastAsia="宋体" w:cs="宋体"/>
          <w:color w:val="auto"/>
          <w:kern w:val="0"/>
          <w:szCs w:val="21"/>
          <w:highlight w:val="none"/>
        </w:rPr>
        <w:t>提</w:t>
      </w:r>
      <w:r>
        <w:rPr>
          <w:rFonts w:hint="eastAsia" w:ascii="宋体" w:hAnsi="宋体" w:eastAsia="宋体" w:cs="宋体"/>
          <w:color w:val="auto"/>
          <w:spacing w:val="-2"/>
          <w:kern w:val="0"/>
          <w:szCs w:val="21"/>
          <w:highlight w:val="none"/>
        </w:rPr>
        <w:t>出</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澄</w:t>
      </w:r>
      <w:r>
        <w:rPr>
          <w:rFonts w:hint="eastAsia" w:ascii="宋体" w:hAnsi="宋体" w:eastAsia="宋体" w:cs="宋体"/>
          <w:color w:val="auto"/>
          <w:kern w:val="0"/>
          <w:szCs w:val="21"/>
          <w:highlight w:val="none"/>
        </w:rPr>
        <w:t>清</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说</w:t>
      </w:r>
      <w:r>
        <w:rPr>
          <w:rFonts w:hint="eastAsia" w:ascii="宋体" w:hAnsi="宋体" w:eastAsia="宋体" w:cs="宋体"/>
          <w:color w:val="auto"/>
          <w:spacing w:val="-2"/>
          <w:kern w:val="0"/>
          <w:szCs w:val="21"/>
          <w:highlight w:val="none"/>
        </w:rPr>
        <w:t>明</w:t>
      </w:r>
      <w:r>
        <w:rPr>
          <w:rFonts w:hint="eastAsia" w:ascii="宋体" w:hAnsi="宋体" w:eastAsia="宋体" w:cs="宋体"/>
          <w:color w:val="auto"/>
          <w:kern w:val="0"/>
          <w:szCs w:val="21"/>
          <w:highlight w:val="none"/>
        </w:rPr>
        <w:t>或补</w:t>
      </w:r>
      <w:r>
        <w:rPr>
          <w:rFonts w:hint="eastAsia" w:ascii="宋体" w:hAnsi="宋体" w:eastAsia="宋体" w:cs="宋体"/>
          <w:color w:val="auto"/>
          <w:spacing w:val="-2"/>
          <w:kern w:val="0"/>
          <w:szCs w:val="21"/>
          <w:highlight w:val="none"/>
        </w:rPr>
        <w:t>正</w:t>
      </w:r>
      <w:r>
        <w:rPr>
          <w:rFonts w:hint="eastAsia" w:ascii="宋体" w:hAnsi="宋体" w:eastAsia="宋体" w:cs="宋体"/>
          <w:color w:val="auto"/>
          <w:kern w:val="0"/>
          <w:szCs w:val="21"/>
          <w:highlight w:val="none"/>
        </w:rPr>
        <w:t>。</w:t>
      </w:r>
    </w:p>
    <w:p w14:paraId="2E060167">
      <w:pPr>
        <w:pageBreakBefore w:val="0"/>
        <w:kinsoku/>
        <w:overflowPunct/>
        <w:autoSpaceDE w:val="0"/>
        <w:autoSpaceDN w:val="0"/>
        <w:bidi w:val="0"/>
        <w:adjustRightInd w:val="0"/>
        <w:spacing w:before="10" w:line="360" w:lineRule="auto"/>
        <w:ind w:left="100" w:right="139"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.2 澄清</w:t>
      </w:r>
      <w:r>
        <w:rPr>
          <w:rFonts w:hint="eastAsia" w:ascii="宋体" w:hAnsi="宋体" w:eastAsia="宋体" w:cs="宋体"/>
          <w:color w:val="auto"/>
          <w:spacing w:val="-41"/>
          <w:kern w:val="0"/>
          <w:szCs w:val="21"/>
          <w:highlight w:val="none"/>
        </w:rPr>
        <w:t>、</w:t>
      </w:r>
      <w:r>
        <w:rPr>
          <w:rFonts w:hint="eastAsia" w:ascii="宋体" w:hAnsi="宋体" w:eastAsia="宋体" w:cs="宋体"/>
          <w:color w:val="auto"/>
          <w:kern w:val="0"/>
          <w:szCs w:val="21"/>
          <w:highlight w:val="none"/>
        </w:rPr>
        <w:t>说</w:t>
      </w:r>
      <w:r>
        <w:rPr>
          <w:rFonts w:hint="eastAsia" w:ascii="宋体" w:hAnsi="宋体" w:eastAsia="宋体" w:cs="宋体"/>
          <w:color w:val="auto"/>
          <w:spacing w:val="-2"/>
          <w:kern w:val="0"/>
          <w:szCs w:val="21"/>
          <w:highlight w:val="none"/>
        </w:rPr>
        <w:t>明</w:t>
      </w:r>
      <w:r>
        <w:rPr>
          <w:rFonts w:hint="eastAsia" w:ascii="宋体" w:hAnsi="宋体" w:eastAsia="宋体" w:cs="宋体"/>
          <w:color w:val="auto"/>
          <w:kern w:val="0"/>
          <w:szCs w:val="21"/>
          <w:highlight w:val="none"/>
        </w:rPr>
        <w:t>或</w:t>
      </w:r>
      <w:r>
        <w:rPr>
          <w:rFonts w:hint="eastAsia" w:ascii="宋体" w:hAnsi="宋体" w:eastAsia="宋体" w:cs="宋体"/>
          <w:color w:val="auto"/>
          <w:spacing w:val="-2"/>
          <w:kern w:val="0"/>
          <w:szCs w:val="21"/>
          <w:highlight w:val="none"/>
        </w:rPr>
        <w:t>补</w:t>
      </w:r>
      <w:r>
        <w:rPr>
          <w:rFonts w:hint="eastAsia" w:ascii="宋体" w:hAnsi="宋体" w:eastAsia="宋体" w:cs="宋体"/>
          <w:color w:val="auto"/>
          <w:kern w:val="0"/>
          <w:szCs w:val="21"/>
          <w:highlight w:val="none"/>
        </w:rPr>
        <w:t>正</w:t>
      </w:r>
      <w:r>
        <w:rPr>
          <w:rFonts w:hint="eastAsia" w:ascii="宋体" w:hAnsi="宋体" w:eastAsia="宋体" w:cs="宋体"/>
          <w:color w:val="auto"/>
          <w:spacing w:val="-2"/>
          <w:kern w:val="0"/>
          <w:szCs w:val="21"/>
          <w:highlight w:val="none"/>
        </w:rPr>
        <w:t>不</w:t>
      </w:r>
      <w:r>
        <w:rPr>
          <w:rFonts w:hint="eastAsia" w:ascii="宋体" w:hAnsi="宋体" w:eastAsia="宋体" w:cs="宋体"/>
          <w:color w:val="auto"/>
          <w:kern w:val="0"/>
          <w:szCs w:val="21"/>
          <w:highlight w:val="none"/>
        </w:rPr>
        <w:t>得超</w:t>
      </w:r>
      <w:r>
        <w:rPr>
          <w:rFonts w:hint="eastAsia" w:ascii="宋体" w:hAnsi="宋体" w:eastAsia="宋体" w:cs="宋体"/>
          <w:color w:val="auto"/>
          <w:spacing w:val="-2"/>
          <w:kern w:val="0"/>
          <w:szCs w:val="21"/>
          <w:highlight w:val="none"/>
        </w:rPr>
        <w:t>出</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范</w:t>
      </w:r>
      <w:r>
        <w:rPr>
          <w:rFonts w:hint="eastAsia" w:ascii="宋体" w:hAnsi="宋体" w:eastAsia="宋体" w:cs="宋体"/>
          <w:color w:val="auto"/>
          <w:kern w:val="0"/>
          <w:szCs w:val="21"/>
          <w:highlight w:val="none"/>
        </w:rPr>
        <w:t>围</w:t>
      </w:r>
      <w:r>
        <w:rPr>
          <w:rFonts w:hint="eastAsia" w:ascii="宋体" w:hAnsi="宋体" w:eastAsia="宋体" w:cs="宋体"/>
          <w:color w:val="auto"/>
          <w:spacing w:val="-2"/>
          <w:kern w:val="0"/>
          <w:szCs w:val="21"/>
          <w:highlight w:val="none"/>
        </w:rPr>
        <w:t>且</w:t>
      </w:r>
      <w:r>
        <w:rPr>
          <w:rFonts w:hint="eastAsia" w:ascii="宋体" w:hAnsi="宋体" w:eastAsia="宋体" w:cs="宋体"/>
          <w:color w:val="auto"/>
          <w:kern w:val="0"/>
          <w:szCs w:val="21"/>
          <w:highlight w:val="none"/>
        </w:rPr>
        <w:t>不得</w:t>
      </w:r>
      <w:r>
        <w:rPr>
          <w:rFonts w:hint="eastAsia" w:ascii="宋体" w:hAnsi="宋体" w:eastAsia="宋体" w:cs="宋体"/>
          <w:color w:val="auto"/>
          <w:spacing w:val="-2"/>
          <w:kern w:val="0"/>
          <w:szCs w:val="21"/>
          <w:highlight w:val="none"/>
        </w:rPr>
        <w:t>改</w:t>
      </w:r>
      <w:r>
        <w:rPr>
          <w:rFonts w:hint="eastAsia" w:ascii="宋体" w:hAnsi="宋体" w:eastAsia="宋体" w:cs="宋体"/>
          <w:color w:val="auto"/>
          <w:kern w:val="0"/>
          <w:szCs w:val="21"/>
          <w:highlight w:val="none"/>
        </w:rPr>
        <w:t>变</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实</w:t>
      </w:r>
      <w:r>
        <w:rPr>
          <w:rFonts w:hint="eastAsia" w:ascii="宋体" w:hAnsi="宋体" w:eastAsia="宋体" w:cs="宋体"/>
          <w:color w:val="auto"/>
          <w:spacing w:val="-2"/>
          <w:kern w:val="0"/>
          <w:szCs w:val="21"/>
          <w:highlight w:val="none"/>
        </w:rPr>
        <w:t>质</w:t>
      </w:r>
      <w:r>
        <w:rPr>
          <w:rFonts w:hint="eastAsia" w:ascii="宋体" w:hAnsi="宋体" w:eastAsia="宋体" w:cs="宋体"/>
          <w:color w:val="auto"/>
          <w:kern w:val="0"/>
          <w:szCs w:val="21"/>
          <w:highlight w:val="none"/>
        </w:rPr>
        <w:t>性内</w:t>
      </w:r>
      <w:r>
        <w:rPr>
          <w:rFonts w:hint="eastAsia" w:ascii="宋体" w:hAnsi="宋体" w:eastAsia="宋体" w:cs="宋体"/>
          <w:color w:val="auto"/>
          <w:spacing w:val="-2"/>
          <w:kern w:val="0"/>
          <w:szCs w:val="21"/>
          <w:highlight w:val="none"/>
        </w:rPr>
        <w:t>容</w:t>
      </w:r>
      <w:r>
        <w:rPr>
          <w:rFonts w:hint="eastAsia" w:ascii="宋体" w:hAnsi="宋体" w:eastAsia="宋体" w:cs="宋体"/>
          <w:color w:val="auto"/>
          <w:spacing w:val="-38"/>
          <w:kern w:val="0"/>
          <w:szCs w:val="21"/>
          <w:highlight w:val="none"/>
        </w:rPr>
        <w:t>，</w:t>
      </w:r>
      <w:r>
        <w:rPr>
          <w:rFonts w:hint="eastAsia" w:ascii="宋体" w:hAnsi="宋体" w:eastAsia="宋体" w:cs="宋体"/>
          <w:color w:val="auto"/>
          <w:spacing w:val="-2"/>
          <w:kern w:val="0"/>
          <w:szCs w:val="21"/>
          <w:highlight w:val="none"/>
        </w:rPr>
        <w:t>并</w:t>
      </w:r>
      <w:r>
        <w:rPr>
          <w:rFonts w:hint="eastAsia" w:ascii="宋体" w:hAnsi="宋体" w:eastAsia="宋体" w:cs="宋体"/>
          <w:color w:val="auto"/>
          <w:kern w:val="0"/>
          <w:szCs w:val="21"/>
          <w:highlight w:val="none"/>
        </w:rPr>
        <w:t>构成投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组</w:t>
      </w:r>
      <w:r>
        <w:rPr>
          <w:rFonts w:hint="eastAsia" w:ascii="宋体" w:hAnsi="宋体" w:eastAsia="宋体" w:cs="宋体"/>
          <w:color w:val="auto"/>
          <w:kern w:val="0"/>
          <w:szCs w:val="21"/>
          <w:highlight w:val="none"/>
        </w:rPr>
        <w:t>成</w:t>
      </w:r>
      <w:r>
        <w:rPr>
          <w:rFonts w:hint="eastAsia" w:ascii="宋体" w:hAnsi="宋体" w:eastAsia="宋体" w:cs="宋体"/>
          <w:color w:val="auto"/>
          <w:spacing w:val="-2"/>
          <w:kern w:val="0"/>
          <w:szCs w:val="21"/>
          <w:highlight w:val="none"/>
        </w:rPr>
        <w:t>部</w:t>
      </w:r>
      <w:r>
        <w:rPr>
          <w:rFonts w:hint="eastAsia" w:ascii="宋体" w:hAnsi="宋体" w:eastAsia="宋体" w:cs="宋体"/>
          <w:color w:val="auto"/>
          <w:kern w:val="0"/>
          <w:szCs w:val="21"/>
          <w:highlight w:val="none"/>
        </w:rPr>
        <w:t>分。</w:t>
      </w:r>
    </w:p>
    <w:p w14:paraId="23AF6315">
      <w:pPr>
        <w:pageBreakBefore w:val="0"/>
        <w:kinsoku/>
        <w:overflowPunct/>
        <w:autoSpaceDE w:val="0"/>
        <w:autoSpaceDN w:val="0"/>
        <w:bidi w:val="0"/>
        <w:adjustRightInd w:val="0"/>
        <w:spacing w:before="11" w:line="360" w:lineRule="auto"/>
        <w:ind w:left="100" w:right="34" w:firstLine="42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3.3.3 评标委员会对投标人提交的澄清、说明或补正有疑问的，可以要求投标人进一步澄清、说明或补正，直至满足评标委员会的要求。</w:t>
      </w:r>
    </w:p>
    <w:p w14:paraId="710E1C89">
      <w:pPr>
        <w:pageBreakBefore w:val="0"/>
        <w:kinsoku/>
        <w:overflowPunct/>
        <w:autoSpaceDE w:val="0"/>
        <w:autoSpaceDN w:val="0"/>
        <w:bidi w:val="0"/>
        <w:adjustRightInd w:val="0"/>
        <w:spacing w:before="11" w:line="360" w:lineRule="auto"/>
        <w:ind w:left="100" w:right="34" w:firstLine="42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3.3.4 评标委员会应当认真审查有关证明文件。评标（审）委员会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或证明材料仍然不符合要求的，供应商提供的相关产品视为不符合本国产品标准。</w:t>
      </w:r>
    </w:p>
    <w:p w14:paraId="7CB09674">
      <w:pPr>
        <w:pStyle w:val="15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3.3.5 评审中出现下列情形之一的，评标委员会应当启动异常低价投标审查程序：</w:t>
      </w:r>
    </w:p>
    <w:p w14:paraId="5A78DA46">
      <w:pPr>
        <w:pStyle w:val="15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（1）投标（响应）报价低于全部通过符合性审查供应商投标（响应）报价平均值50%的，即投标（响应）报价&lt;全部通过符合性审查供应商投标（响应）报价平均值×50%； </w:t>
      </w:r>
    </w:p>
    <w:p w14:paraId="649077B4">
      <w:pPr>
        <w:pStyle w:val="15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（2）投标（响应）报价低于通过符合性审查的次低报价供应商投标（响应）报价50%的，即投标（响应）报价&lt;通过符合性审查的次低报价供应商投标（响应）报价×50%； </w:t>
      </w:r>
    </w:p>
    <w:p w14:paraId="57799C1D">
      <w:pPr>
        <w:pStyle w:val="15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（3）投标（响应）报价低于采购项目最高限价45%的，即投标（响应）报价&lt;采购项目最高限价×45%； </w:t>
      </w:r>
    </w:p>
    <w:p w14:paraId="235565C4">
      <w:pPr>
        <w:pStyle w:val="15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（4）评审委员会基于专业判断，认为供应商报价过低，有可能影响产品质量或者不能诚信履约的其他情形。</w:t>
      </w:r>
    </w:p>
    <w:p w14:paraId="07E93A02">
      <w:pPr>
        <w:pStyle w:val="15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3.3.6 评标委员会启动异常低价投标审查后，属于3.3.5 第（1）项至第（4）项情形的，相关供应商应当在评审现场合理的时间内对投标价格作出解释，提供项目具体成本测算等与报价合理性相关的书面说明及必要的证明材料，包括但不限于原材料成本、人工成本、制造费用等，给予相关供应商的合理时间（30分钟内）。其中，属于3.3.5 第（3）项情形，供应商已随投标文件一并提交相关书面说明及必要的证明材料的，在评审现场可不再重复提交。</w:t>
      </w:r>
    </w:p>
    <w:p w14:paraId="40D7BFFA">
      <w:pPr>
        <w:pStyle w:val="15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38C7C2EB">
      <w:pPr>
        <w:pStyle w:val="15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6316332">
      <w:pPr>
        <w:pStyle w:val="15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异常低价投标审查的启动原因、审查意见和审查结果应当在评审报告中记录，并随供应商提供的相关书面说明及证明材料，以及评标委员会有关互联网浏览、查询历史一并归档。</w:t>
      </w:r>
    </w:p>
    <w:p w14:paraId="7348E608">
      <w:pPr>
        <w:pStyle w:val="6"/>
        <w:pageBreakBefore w:val="0"/>
        <w:numPr>
          <w:ilvl w:val="0"/>
          <w:numId w:val="0"/>
        </w:numPr>
        <w:kinsoku/>
        <w:overflowPunct/>
        <w:bidi w:val="0"/>
        <w:spacing w:line="360" w:lineRule="auto"/>
        <w:ind w:leftChars="0"/>
        <w:rPr>
          <w:rFonts w:hint="eastAsia" w:ascii="宋体" w:hAnsi="宋体" w:eastAsia="宋体" w:cs="宋体"/>
          <w:b w:val="0"/>
          <w:color w:val="auto"/>
          <w:spacing w:val="-2"/>
          <w:kern w:val="0"/>
          <w:sz w:val="21"/>
          <w:szCs w:val="21"/>
          <w:highlight w:val="none"/>
          <w:lang w:val="en-US" w:eastAsia="zh-CN" w:bidi="ar-SA"/>
        </w:rPr>
      </w:pPr>
      <w:bookmarkStart w:id="699" w:name="_Toc12060"/>
      <w:bookmarkStart w:id="700" w:name="_Toc10336"/>
      <w:bookmarkStart w:id="701" w:name="_Toc25852"/>
      <w:bookmarkStart w:id="702" w:name="_Toc19756"/>
      <w:bookmarkStart w:id="703" w:name="_Toc28041"/>
      <w:bookmarkStart w:id="704" w:name="_Toc25857"/>
      <w:bookmarkStart w:id="705" w:name="_Toc19426"/>
      <w:bookmarkStart w:id="706" w:name="_Toc27845"/>
      <w:bookmarkStart w:id="707" w:name="_Toc16317"/>
      <w:bookmarkStart w:id="708" w:name="_Toc12108"/>
      <w:bookmarkStart w:id="709" w:name="_Toc7956"/>
      <w:r>
        <w:rPr>
          <w:rFonts w:hint="eastAsia" w:ascii="宋体" w:hAnsi="宋体" w:eastAsia="宋体" w:cs="宋体"/>
          <w:color w:val="auto"/>
          <w:highlight w:val="none"/>
          <w:lang w:val="en-US" w:eastAsia="zh-CN"/>
        </w:rPr>
        <w:t>3.4 评标结果</w:t>
      </w:r>
      <w:bookmarkEnd w:id="699"/>
      <w:bookmarkEnd w:id="700"/>
      <w:bookmarkEnd w:id="701"/>
      <w:bookmarkEnd w:id="702"/>
      <w:bookmarkEnd w:id="703"/>
      <w:bookmarkEnd w:id="704"/>
      <w:bookmarkEnd w:id="705"/>
      <w:bookmarkEnd w:id="706"/>
      <w:bookmarkEnd w:id="707"/>
      <w:bookmarkEnd w:id="708"/>
      <w:bookmarkEnd w:id="709"/>
    </w:p>
    <w:p w14:paraId="2AFEF1D8">
      <w:pPr>
        <w:pageBreakBefore w:val="0"/>
        <w:kinsoku/>
        <w:overflowPunct/>
        <w:autoSpaceDE w:val="0"/>
        <w:autoSpaceDN w:val="0"/>
        <w:bidi w:val="0"/>
        <w:adjustRightInd w:val="0"/>
        <w:spacing w:line="360" w:lineRule="auto"/>
        <w:ind w:left="100" w:right="142" w:firstLine="420"/>
        <w:rPr>
          <w:rFonts w:hint="eastAsia" w:ascii="宋体" w:hAnsi="宋体" w:eastAsia="宋体" w:cs="宋体"/>
          <w:color w:val="auto"/>
          <w:kern w:val="0"/>
          <w:szCs w:val="21"/>
          <w:highlight w:val="none"/>
        </w:rPr>
      </w:pPr>
      <w:r>
        <w:rPr>
          <w:rFonts w:hint="eastAsia" w:ascii="宋体" w:hAnsi="宋体" w:eastAsia="宋体" w:cs="宋体"/>
          <w:b w:val="0"/>
          <w:color w:val="auto"/>
          <w:spacing w:val="-2"/>
          <w:kern w:val="0"/>
          <w:sz w:val="21"/>
          <w:szCs w:val="21"/>
          <w:highlight w:val="none"/>
          <w:lang w:val="en-US" w:eastAsia="zh-CN" w:bidi="ar-SA"/>
        </w:rPr>
        <w:t>3.4.1 除采购人授权直接确定中标人外，评标委员会按照各评委综合评分的算术平均值得分由高到低的顺序推荐3名中标候选人，得分相同的，按投标报价由低到高顺序排列。得分与投标报价均相同的，按技术指标优劣排列。投标文件满足招标文件全部实质性要求，且按照评审因素的量化指标评审得分最高的投标人为排名第一的中标候选人。</w:t>
      </w:r>
    </w:p>
    <w:p w14:paraId="6FDF7EF6">
      <w:pPr>
        <w:pageBreakBefore w:val="0"/>
        <w:kinsoku/>
        <w:overflowPunct/>
        <w:autoSpaceDE w:val="0"/>
        <w:autoSpaceDN w:val="0"/>
        <w:bidi w:val="0"/>
        <w:adjustRightInd w:val="0"/>
        <w:spacing w:before="40" w:line="360" w:lineRule="auto"/>
        <w:ind w:left="100" w:right="140" w:firstLine="420"/>
        <w:rPr>
          <w:rFonts w:hint="eastAsia" w:ascii="宋体" w:hAnsi="宋体" w:eastAsia="宋体" w:cs="宋体"/>
          <w:color w:val="auto"/>
          <w:kern w:val="0"/>
          <w:szCs w:val="21"/>
          <w:highlight w:val="none"/>
          <w:lang w:eastAsia="zh-CN"/>
        </w:rPr>
        <w:sectPr>
          <w:headerReference r:id="rId7" w:type="default"/>
          <w:footerReference r:id="rId8" w:type="default"/>
          <w:pgSz w:w="11906" w:h="16838"/>
          <w:pgMar w:top="1417" w:right="1417" w:bottom="1417" w:left="1417" w:header="777" w:footer="641" w:gutter="0"/>
          <w:pgNumType w:fmt="decimal" w:start="1"/>
          <w:cols w:space="720" w:num="1"/>
          <w:rtlGutter w:val="0"/>
          <w:docGrid w:linePitch="1" w:charSpace="0"/>
        </w:sect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spacing w:val="51"/>
          <w:kern w:val="0"/>
          <w:szCs w:val="21"/>
          <w:highlight w:val="none"/>
        </w:rPr>
        <w:t xml:space="preserve"> </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完</w:t>
      </w:r>
      <w:r>
        <w:rPr>
          <w:rFonts w:hint="eastAsia" w:ascii="宋体" w:hAnsi="宋体" w:eastAsia="宋体" w:cs="宋体"/>
          <w:color w:val="auto"/>
          <w:kern w:val="0"/>
          <w:szCs w:val="21"/>
          <w:highlight w:val="none"/>
        </w:rPr>
        <w:t>成</w:t>
      </w:r>
      <w:r>
        <w:rPr>
          <w:rFonts w:hint="eastAsia" w:ascii="宋体" w:hAnsi="宋体" w:eastAsia="宋体" w:cs="宋体"/>
          <w:color w:val="auto"/>
          <w:spacing w:val="-2"/>
          <w:kern w:val="0"/>
          <w:szCs w:val="21"/>
          <w:highlight w:val="none"/>
        </w:rPr>
        <w:t>评标</w:t>
      </w:r>
      <w:r>
        <w:rPr>
          <w:rFonts w:hint="eastAsia" w:ascii="宋体" w:hAnsi="宋体" w:eastAsia="宋体" w:cs="宋体"/>
          <w:color w:val="auto"/>
          <w:kern w:val="0"/>
          <w:szCs w:val="21"/>
          <w:highlight w:val="none"/>
        </w:rPr>
        <w:t>后，</w:t>
      </w:r>
      <w:r>
        <w:rPr>
          <w:rFonts w:hint="eastAsia" w:ascii="宋体" w:hAnsi="宋体" w:eastAsia="宋体" w:cs="宋体"/>
          <w:color w:val="auto"/>
          <w:spacing w:val="-2"/>
          <w:kern w:val="0"/>
          <w:szCs w:val="21"/>
          <w:highlight w:val="none"/>
        </w:rPr>
        <w:t>应</w:t>
      </w:r>
      <w:r>
        <w:rPr>
          <w:rFonts w:hint="eastAsia" w:ascii="宋体" w:hAnsi="宋体" w:eastAsia="宋体" w:cs="宋体"/>
          <w:color w:val="auto"/>
          <w:kern w:val="0"/>
          <w:szCs w:val="21"/>
          <w:highlight w:val="none"/>
        </w:rPr>
        <w:t>当</w:t>
      </w:r>
      <w:r>
        <w:rPr>
          <w:rFonts w:hint="eastAsia" w:ascii="宋体" w:hAnsi="宋体" w:eastAsia="宋体" w:cs="宋体"/>
          <w:color w:val="auto"/>
          <w:spacing w:val="-2"/>
          <w:kern w:val="0"/>
          <w:szCs w:val="21"/>
          <w:highlight w:val="none"/>
        </w:rPr>
        <w:t>向</w:t>
      </w:r>
      <w:r>
        <w:rPr>
          <w:rFonts w:hint="eastAsia" w:ascii="宋体" w:hAnsi="宋体" w:eastAsia="宋体" w:cs="宋体"/>
          <w:color w:val="auto"/>
          <w:kern w:val="0"/>
          <w:szCs w:val="21"/>
          <w:highlight w:val="none"/>
        </w:rPr>
        <w:t>采购人</w:t>
      </w:r>
      <w:r>
        <w:rPr>
          <w:rFonts w:hint="eastAsia" w:ascii="宋体" w:hAnsi="宋体" w:eastAsia="宋体" w:cs="宋体"/>
          <w:color w:val="auto"/>
          <w:spacing w:val="-2"/>
          <w:kern w:val="0"/>
          <w:szCs w:val="21"/>
          <w:highlight w:val="none"/>
        </w:rPr>
        <w:t>提</w:t>
      </w:r>
      <w:r>
        <w:rPr>
          <w:rFonts w:hint="eastAsia" w:ascii="宋体" w:hAnsi="宋体" w:eastAsia="宋体" w:cs="宋体"/>
          <w:color w:val="auto"/>
          <w:kern w:val="0"/>
          <w:szCs w:val="21"/>
          <w:highlight w:val="none"/>
        </w:rPr>
        <w:t>交</w:t>
      </w:r>
      <w:r>
        <w:rPr>
          <w:rFonts w:hint="eastAsia" w:ascii="宋体" w:hAnsi="宋体" w:eastAsia="宋体" w:cs="宋体"/>
          <w:color w:val="auto"/>
          <w:spacing w:val="-2"/>
          <w:kern w:val="0"/>
          <w:szCs w:val="21"/>
          <w:highlight w:val="none"/>
        </w:rPr>
        <w:t>书</w:t>
      </w:r>
      <w:r>
        <w:rPr>
          <w:rFonts w:hint="eastAsia" w:ascii="宋体" w:hAnsi="宋体" w:eastAsia="宋体" w:cs="宋体"/>
          <w:color w:val="auto"/>
          <w:kern w:val="0"/>
          <w:szCs w:val="21"/>
          <w:highlight w:val="none"/>
        </w:rPr>
        <w:t>面评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报</w:t>
      </w:r>
      <w:r>
        <w:rPr>
          <w:rFonts w:hint="eastAsia" w:ascii="宋体" w:hAnsi="宋体" w:eastAsia="宋体" w:cs="宋体"/>
          <w:color w:val="auto"/>
          <w:spacing w:val="-2"/>
          <w:kern w:val="0"/>
          <w:szCs w:val="21"/>
          <w:highlight w:val="none"/>
        </w:rPr>
        <w:t>告</w:t>
      </w:r>
      <w:r>
        <w:rPr>
          <w:rFonts w:hint="eastAsia" w:ascii="宋体" w:hAnsi="宋体" w:eastAsia="宋体" w:cs="宋体"/>
          <w:color w:val="auto"/>
          <w:kern w:val="0"/>
          <w:szCs w:val="21"/>
          <w:highlight w:val="none"/>
        </w:rPr>
        <w:t>和</w:t>
      </w:r>
      <w:r>
        <w:rPr>
          <w:rFonts w:hint="eastAsia" w:ascii="宋体" w:hAnsi="宋体" w:eastAsia="宋体" w:cs="宋体"/>
          <w:color w:val="auto"/>
          <w:spacing w:val="-2"/>
          <w:kern w:val="0"/>
          <w:szCs w:val="21"/>
          <w:highlight w:val="none"/>
        </w:rPr>
        <w:t>中</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候</w:t>
      </w:r>
      <w:r>
        <w:rPr>
          <w:rFonts w:hint="eastAsia" w:ascii="宋体" w:hAnsi="宋体" w:eastAsia="宋体" w:cs="宋体"/>
          <w:color w:val="auto"/>
          <w:kern w:val="0"/>
          <w:szCs w:val="21"/>
          <w:highlight w:val="none"/>
        </w:rPr>
        <w:t>选</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名单</w:t>
      </w:r>
      <w:r>
        <w:rPr>
          <w:rFonts w:hint="eastAsia" w:ascii="宋体" w:hAnsi="宋体" w:eastAsia="宋体" w:cs="宋体"/>
          <w:color w:val="auto"/>
          <w:kern w:val="0"/>
          <w:szCs w:val="21"/>
          <w:highlight w:val="none"/>
          <w:lang w:eastAsia="zh-CN"/>
        </w:rPr>
        <w:t>。</w:t>
      </w:r>
    </w:p>
    <w:p w14:paraId="6421B3D9">
      <w:pPr>
        <w:pageBreakBefore w:val="0"/>
        <w:kinsoku/>
        <w:overflowPunct/>
        <w:bidi w:val="0"/>
        <w:spacing w:line="360" w:lineRule="auto"/>
        <w:rPr>
          <w:rFonts w:hint="eastAsia" w:ascii="宋体" w:hAnsi="宋体" w:eastAsia="宋体" w:cs="宋体"/>
          <w:color w:val="auto"/>
          <w:highlight w:val="none"/>
          <w:lang w:eastAsia="zh-CN"/>
        </w:rPr>
      </w:pPr>
    </w:p>
    <w:bookmarkEnd w:id="586"/>
    <w:bookmarkEnd w:id="587"/>
    <w:bookmarkEnd w:id="588"/>
    <w:bookmarkEnd w:id="589"/>
    <w:bookmarkEnd w:id="590"/>
    <w:bookmarkEnd w:id="591"/>
    <w:bookmarkEnd w:id="592"/>
    <w:bookmarkEnd w:id="593"/>
    <w:bookmarkEnd w:id="594"/>
    <w:bookmarkEnd w:id="595"/>
    <w:bookmarkEnd w:id="596"/>
    <w:p w14:paraId="71DE7412">
      <w:pPr>
        <w:pStyle w:val="4"/>
        <w:pageBreakBefore w:val="0"/>
        <w:numPr>
          <w:ilvl w:val="0"/>
          <w:numId w:val="0"/>
        </w:numPr>
        <w:kinsoku/>
        <w:overflowPunct/>
        <w:bidi w:val="0"/>
        <w:spacing w:line="360" w:lineRule="auto"/>
        <w:rPr>
          <w:rFonts w:hint="eastAsia" w:ascii="宋体" w:hAnsi="宋体" w:eastAsia="宋体" w:cs="宋体"/>
          <w:color w:val="auto"/>
          <w:sz w:val="32"/>
          <w:szCs w:val="32"/>
          <w:highlight w:val="none"/>
          <w:lang w:eastAsia="zh-CN"/>
        </w:rPr>
      </w:pPr>
      <w:bookmarkStart w:id="710" w:name="_Toc4241"/>
      <w:bookmarkStart w:id="711" w:name="_Toc11931"/>
      <w:bookmarkStart w:id="712" w:name="_Toc312133549"/>
      <w:r>
        <w:rPr>
          <w:rFonts w:hint="eastAsia" w:ascii="宋体" w:hAnsi="宋体" w:eastAsia="宋体" w:cs="宋体"/>
          <w:color w:val="auto"/>
          <w:sz w:val="32"/>
          <w:szCs w:val="32"/>
          <w:highlight w:val="none"/>
          <w:lang w:val="en-US" w:eastAsia="zh-CN"/>
        </w:rPr>
        <w:t xml:space="preserve">第五章 </w:t>
      </w:r>
      <w:r>
        <w:rPr>
          <w:rFonts w:hint="eastAsia" w:ascii="宋体" w:hAnsi="宋体" w:eastAsia="宋体" w:cs="宋体"/>
          <w:color w:val="auto"/>
          <w:sz w:val="32"/>
          <w:szCs w:val="32"/>
          <w:highlight w:val="none"/>
          <w:lang w:eastAsia="zh-CN"/>
        </w:rPr>
        <w:t>合同</w:t>
      </w:r>
      <w:bookmarkEnd w:id="710"/>
      <w:bookmarkEnd w:id="711"/>
    </w:p>
    <w:bookmarkEnd w:id="712"/>
    <w:p w14:paraId="39EB1714">
      <w:pPr>
        <w:keepNext w:val="0"/>
        <w:keepLines w:val="0"/>
        <w:widowControl/>
        <w:suppressLineNumbers w:val="0"/>
        <w:spacing w:line="360" w:lineRule="auto"/>
        <w:jc w:val="left"/>
        <w:rPr>
          <w:rFonts w:hint="eastAsia" w:ascii="宋体" w:hAnsi="宋体" w:eastAsia="宋体" w:cs="宋体"/>
          <w:color w:val="auto"/>
          <w:sz w:val="21"/>
          <w:szCs w:val="21"/>
          <w:highlight w:val="none"/>
        </w:rPr>
      </w:pPr>
      <w:bookmarkStart w:id="713" w:name="_Toc31002"/>
    </w:p>
    <w:p w14:paraId="1CEDE4C5">
      <w:pPr>
        <w:widowControl w:val="0"/>
        <w:spacing w:after="0"/>
        <w:jc w:val="center"/>
        <w:rPr>
          <w:rFonts w:hint="eastAsia" w:ascii="宋体" w:hAnsi="宋体" w:eastAsia="宋体" w:cs="宋体"/>
          <w:b/>
          <w:bCs/>
          <w:color w:val="auto"/>
          <w:spacing w:val="-20"/>
          <w:kern w:val="44"/>
          <w:sz w:val="48"/>
          <w:szCs w:val="48"/>
          <w:highlight w:val="none"/>
          <w:lang w:val="en-US" w:eastAsia="zh-CN" w:bidi="ar-SA"/>
        </w:rPr>
      </w:pPr>
      <w:r>
        <w:rPr>
          <w:rFonts w:hint="eastAsia" w:ascii="宋体" w:hAnsi="宋体" w:eastAsia="宋体" w:cs="宋体"/>
          <w:b/>
          <w:bCs/>
          <w:color w:val="auto"/>
          <w:spacing w:val="-20"/>
          <w:kern w:val="44"/>
          <w:sz w:val="48"/>
          <w:szCs w:val="48"/>
          <w:highlight w:val="none"/>
          <w:lang w:val="en-US" w:eastAsia="zh-CN" w:bidi="ar-SA"/>
        </w:rPr>
        <w:t>政府采购货物买卖合同</w:t>
      </w:r>
    </w:p>
    <w:p w14:paraId="2F745F84">
      <w:pPr>
        <w:widowControl w:val="0"/>
        <w:spacing w:after="0"/>
        <w:jc w:val="center"/>
        <w:rPr>
          <w:rFonts w:hint="eastAsia" w:ascii="宋体" w:hAnsi="宋体" w:eastAsia="宋体" w:cs="宋体"/>
          <w:b/>
          <w:bCs/>
          <w:color w:val="auto"/>
          <w:spacing w:val="-20"/>
          <w:kern w:val="44"/>
          <w:sz w:val="48"/>
          <w:szCs w:val="48"/>
          <w:highlight w:val="none"/>
          <w:lang w:val="en-US" w:eastAsia="zh-CN" w:bidi="ar-SA"/>
        </w:rPr>
      </w:pPr>
      <w:r>
        <w:rPr>
          <w:rFonts w:hint="eastAsia" w:ascii="宋体" w:hAnsi="宋体" w:eastAsia="宋体" w:cs="宋体"/>
          <w:b/>
          <w:bCs/>
          <w:color w:val="auto"/>
          <w:spacing w:val="-20"/>
          <w:kern w:val="44"/>
          <w:sz w:val="48"/>
          <w:szCs w:val="48"/>
          <w:highlight w:val="none"/>
          <w:lang w:val="en-US" w:eastAsia="zh-CN" w:bidi="ar-SA"/>
        </w:rPr>
        <w:t>（试行）</w:t>
      </w:r>
    </w:p>
    <w:p w14:paraId="05911774">
      <w:pPr>
        <w:rPr>
          <w:rFonts w:ascii="宋体" w:hAnsi="宋体" w:eastAsia="宋体" w:cs="宋体"/>
          <w:b/>
          <w:bCs/>
          <w:color w:val="auto"/>
          <w:spacing w:val="-20"/>
          <w:kern w:val="44"/>
          <w:sz w:val="40"/>
          <w:szCs w:val="40"/>
          <w:highlight w:val="none"/>
        </w:rPr>
      </w:pPr>
    </w:p>
    <w:p w14:paraId="07BEFC23">
      <w:pPr>
        <w:rPr>
          <w:rFonts w:ascii="宋体" w:hAnsi="宋体" w:eastAsia="宋体" w:cs="宋体"/>
          <w:b/>
          <w:bCs/>
          <w:color w:val="auto"/>
          <w:spacing w:val="-20"/>
          <w:kern w:val="44"/>
          <w:sz w:val="40"/>
          <w:szCs w:val="40"/>
          <w:highlight w:val="none"/>
        </w:rPr>
      </w:pPr>
    </w:p>
    <w:p w14:paraId="440A84D5">
      <w:pPr>
        <w:pStyle w:val="2"/>
        <w:rPr>
          <w:rFonts w:ascii="宋体" w:hAnsi="宋体" w:eastAsia="宋体" w:cs="宋体"/>
          <w:b/>
          <w:bCs/>
          <w:color w:val="auto"/>
          <w:spacing w:val="-20"/>
          <w:kern w:val="44"/>
          <w:sz w:val="40"/>
          <w:szCs w:val="40"/>
          <w:highlight w:val="none"/>
        </w:rPr>
      </w:pPr>
    </w:p>
    <w:p w14:paraId="05981A49">
      <w:pPr>
        <w:rPr>
          <w:rFonts w:ascii="宋体" w:hAnsi="宋体" w:eastAsia="宋体" w:cs="宋体"/>
          <w:b/>
          <w:bCs/>
          <w:color w:val="auto"/>
          <w:spacing w:val="-20"/>
          <w:kern w:val="44"/>
          <w:sz w:val="40"/>
          <w:szCs w:val="40"/>
          <w:highlight w:val="none"/>
        </w:rPr>
      </w:pPr>
    </w:p>
    <w:p w14:paraId="332439D2">
      <w:pPr>
        <w:pStyle w:val="2"/>
        <w:rPr>
          <w:rFonts w:ascii="宋体" w:hAnsi="宋体" w:eastAsia="宋体" w:cs="宋体"/>
          <w:b/>
          <w:bCs/>
          <w:color w:val="auto"/>
          <w:spacing w:val="-20"/>
          <w:kern w:val="44"/>
          <w:sz w:val="40"/>
          <w:szCs w:val="40"/>
          <w:highlight w:val="none"/>
        </w:rPr>
      </w:pPr>
    </w:p>
    <w:p w14:paraId="795EACFC">
      <w:pPr>
        <w:rPr>
          <w:rFonts w:ascii="宋体" w:hAnsi="宋体" w:eastAsia="宋体" w:cs="宋体"/>
          <w:b/>
          <w:bCs/>
          <w:color w:val="auto"/>
          <w:spacing w:val="-20"/>
          <w:kern w:val="44"/>
          <w:sz w:val="40"/>
          <w:szCs w:val="40"/>
          <w:highlight w:val="none"/>
        </w:rPr>
      </w:pPr>
    </w:p>
    <w:p w14:paraId="4D789089">
      <w:pPr>
        <w:pStyle w:val="2"/>
        <w:rPr>
          <w:color w:val="auto"/>
          <w:highlight w:val="none"/>
        </w:rPr>
      </w:pPr>
    </w:p>
    <w:p w14:paraId="559A6589">
      <w:pPr>
        <w:rPr>
          <w:rFonts w:ascii="宋体" w:hAnsi="宋体" w:eastAsia="宋体" w:cs="宋体"/>
          <w:b/>
          <w:bCs/>
          <w:color w:val="auto"/>
          <w:spacing w:val="-20"/>
          <w:kern w:val="44"/>
          <w:sz w:val="40"/>
          <w:szCs w:val="40"/>
          <w:highlight w:val="none"/>
        </w:rPr>
      </w:pPr>
    </w:p>
    <w:p w14:paraId="4B4505AC">
      <w:pPr>
        <w:spacing w:line="360" w:lineRule="auto"/>
        <w:ind w:left="0" w:leftChars="0" w:firstLine="419" w:firstLineChars="131"/>
        <w:rPr>
          <w:rFonts w:hint="default" w:ascii="Times New Roman" w:hAnsi="Times New Roman" w:eastAsia="宋体" w:cs="Times New Roman"/>
          <w:color w:val="auto"/>
          <w:sz w:val="32"/>
          <w:szCs w:val="32"/>
          <w:highlight w:val="none"/>
          <w:lang w:val="en-US" w:eastAsia="zh-CN"/>
        </w:rPr>
      </w:pPr>
      <w:r>
        <w:rPr>
          <w:rFonts w:hint="eastAsia" w:ascii="宋体" w:hAnsi="宋体" w:eastAsia="宋体" w:cs="宋体"/>
          <w:color w:val="auto"/>
          <w:kern w:val="0"/>
          <w:sz w:val="32"/>
          <w:szCs w:val="32"/>
          <w:highlight w:val="none"/>
        </w:rPr>
        <w:t>项目名称：</w:t>
      </w:r>
      <w:r>
        <w:rPr>
          <w:rFonts w:hint="eastAsia" w:ascii="Times New Roman" w:hAnsi="Times New Roman" w:eastAsia="宋体" w:cs="Times New Roman"/>
          <w:color w:val="auto"/>
          <w:sz w:val="32"/>
          <w:szCs w:val="32"/>
          <w:highlight w:val="none"/>
          <w:u w:val="single"/>
        </w:rPr>
        <w:t xml:space="preserve">                             </w:t>
      </w:r>
    </w:p>
    <w:p w14:paraId="3B3D89C7">
      <w:pPr>
        <w:spacing w:line="360" w:lineRule="auto"/>
        <w:ind w:left="420" w:leftChars="200"/>
        <w:rPr>
          <w:rFonts w:ascii="Times New Roman" w:hAnsi="Times New Roman" w:eastAsia="宋体" w:cs="Times New Roman"/>
          <w:color w:val="auto"/>
          <w:sz w:val="32"/>
          <w:szCs w:val="32"/>
          <w:highlight w:val="none"/>
          <w:u w:val="single"/>
        </w:rPr>
      </w:pPr>
      <w:r>
        <w:rPr>
          <w:rFonts w:hint="eastAsia" w:ascii="Times New Roman" w:hAnsi="Times New Roman" w:eastAsia="宋体" w:cs="Times New Roman"/>
          <w:color w:val="auto"/>
          <w:sz w:val="32"/>
          <w:szCs w:val="32"/>
          <w:highlight w:val="none"/>
        </w:rPr>
        <w:t>合同编号：</w:t>
      </w:r>
      <w:r>
        <w:rPr>
          <w:rFonts w:hint="eastAsia" w:ascii="Times New Roman" w:hAnsi="Times New Roman" w:eastAsia="宋体" w:cs="Times New Roman"/>
          <w:color w:val="auto"/>
          <w:sz w:val="32"/>
          <w:szCs w:val="32"/>
          <w:highlight w:val="none"/>
          <w:u w:val="single"/>
        </w:rPr>
        <w:t xml:space="preserve">                             </w:t>
      </w:r>
    </w:p>
    <w:p w14:paraId="32037A1B">
      <w:pPr>
        <w:spacing w:line="360" w:lineRule="auto"/>
        <w:ind w:left="420" w:leftChars="200"/>
        <w:rPr>
          <w:rFonts w:hint="eastAsia" w:ascii="Times New Roman" w:hAnsi="Times New Roman" w:eastAsia="宋体" w:cs="Times New Roman"/>
          <w:color w:val="auto"/>
          <w:sz w:val="32"/>
          <w:szCs w:val="32"/>
          <w:highlight w:val="none"/>
          <w:u w:val="single"/>
        </w:rPr>
      </w:pPr>
      <w:r>
        <w:rPr>
          <w:rFonts w:hint="eastAsia" w:ascii="Times New Roman" w:hAnsi="Times New Roman" w:eastAsia="宋体" w:cs="Times New Roman"/>
          <w:color w:val="auto"/>
          <w:sz w:val="32"/>
          <w:szCs w:val="32"/>
          <w:highlight w:val="none"/>
        </w:rPr>
        <w:t>甲    方：</w:t>
      </w:r>
      <w:r>
        <w:rPr>
          <w:rFonts w:hint="eastAsia" w:ascii="Times New Roman" w:hAnsi="Times New Roman" w:eastAsia="宋体" w:cs="Times New Roman"/>
          <w:color w:val="auto"/>
          <w:sz w:val="32"/>
          <w:szCs w:val="32"/>
          <w:highlight w:val="none"/>
          <w:u w:val="single"/>
        </w:rPr>
        <w:t xml:space="preserve">                             </w:t>
      </w:r>
    </w:p>
    <w:p w14:paraId="08582A08">
      <w:pPr>
        <w:spacing w:line="360" w:lineRule="auto"/>
        <w:ind w:left="420" w:leftChars="200"/>
        <w:rPr>
          <w:rFonts w:hint="default" w:ascii="Times New Roman" w:hAnsi="Times New Roman" w:eastAsia="宋体" w:cs="Times New Roman"/>
          <w:color w:val="auto"/>
          <w:sz w:val="32"/>
          <w:szCs w:val="32"/>
          <w:highlight w:val="none"/>
          <w:u w:val="single"/>
          <w:lang w:val="en-US"/>
        </w:rPr>
      </w:pPr>
      <w:r>
        <w:rPr>
          <w:rFonts w:hint="eastAsia" w:ascii="Times New Roman" w:hAnsi="Times New Roman" w:eastAsia="宋体" w:cs="Times New Roman"/>
          <w:color w:val="auto"/>
          <w:sz w:val="32"/>
          <w:szCs w:val="32"/>
          <w:highlight w:val="none"/>
        </w:rPr>
        <w:t>乙    方：</w:t>
      </w:r>
      <w:r>
        <w:rPr>
          <w:rFonts w:hint="eastAsia" w:ascii="Times New Roman" w:hAnsi="Times New Roman" w:eastAsia="宋体" w:cs="Times New Roman"/>
          <w:color w:val="auto"/>
          <w:sz w:val="32"/>
          <w:szCs w:val="32"/>
          <w:highlight w:val="none"/>
          <w:u w:val="single"/>
        </w:rPr>
        <w:t xml:space="preserve"> </w:t>
      </w:r>
      <w:r>
        <w:rPr>
          <w:rFonts w:hint="eastAsia" w:ascii="Times New Roman" w:hAnsi="Times New Roman" w:eastAsia="宋体" w:cs="Times New Roman"/>
          <w:color w:val="auto"/>
          <w:sz w:val="32"/>
          <w:szCs w:val="32"/>
          <w:highlight w:val="none"/>
          <w:u w:val="single"/>
          <w:lang w:val="en-US" w:eastAsia="zh-CN"/>
        </w:rPr>
        <w:t xml:space="preserve"> </w:t>
      </w:r>
      <w:r>
        <w:rPr>
          <w:rFonts w:hint="eastAsia" w:ascii="Times New Roman" w:hAnsi="Times New Roman" w:cs="Times New Roman"/>
          <w:color w:val="auto"/>
          <w:sz w:val="32"/>
          <w:szCs w:val="32"/>
          <w:highlight w:val="none"/>
          <w:u w:val="single"/>
          <w:lang w:val="en-US" w:eastAsia="zh-CN"/>
        </w:rPr>
        <w:t xml:space="preserve">                           </w:t>
      </w:r>
    </w:p>
    <w:p w14:paraId="058AFC78">
      <w:pPr>
        <w:spacing w:line="360" w:lineRule="auto"/>
        <w:ind w:left="420" w:leftChars="200"/>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t>签订时间：</w:t>
      </w:r>
      <w:r>
        <w:rPr>
          <w:rFonts w:hint="eastAsia" w:ascii="Times New Roman" w:hAnsi="Times New Roman" w:eastAsia="宋体" w:cs="Times New Roman"/>
          <w:color w:val="auto"/>
          <w:sz w:val="32"/>
          <w:szCs w:val="32"/>
          <w:highlight w:val="none"/>
          <w:u w:val="single"/>
        </w:rPr>
        <w:t xml:space="preserve">      </w:t>
      </w:r>
      <w:r>
        <w:rPr>
          <w:rFonts w:ascii="Times New Roman" w:hAnsi="Times New Roman" w:eastAsia="宋体" w:cs="Times New Roman"/>
          <w:color w:val="auto"/>
          <w:sz w:val="32"/>
          <w:szCs w:val="32"/>
          <w:highlight w:val="none"/>
          <w:u w:val="single"/>
        </w:rPr>
        <w:t xml:space="preserve">           </w:t>
      </w:r>
      <w:r>
        <w:rPr>
          <w:rFonts w:hint="eastAsia" w:ascii="Times New Roman" w:hAnsi="Times New Roman" w:eastAsia="宋体" w:cs="Times New Roman"/>
          <w:color w:val="auto"/>
          <w:sz w:val="32"/>
          <w:szCs w:val="32"/>
          <w:highlight w:val="none"/>
          <w:u w:val="single"/>
        </w:rPr>
        <w:t xml:space="preserve">            </w:t>
      </w:r>
    </w:p>
    <w:p w14:paraId="32B06DB9">
      <w:pPr>
        <w:rPr>
          <w:rFonts w:ascii="Times New Roman" w:hAnsi="Times New Roman" w:eastAsia="宋体" w:cs="Times New Roman"/>
          <w:color w:val="auto"/>
          <w:highlight w:val="none"/>
        </w:rPr>
      </w:pPr>
    </w:p>
    <w:p w14:paraId="49EFA7EB">
      <w:pPr>
        <w:rPr>
          <w:rFonts w:ascii="Times New Roman" w:hAnsi="Times New Roman" w:eastAsia="黑体" w:cs="Times New Roman"/>
          <w:color w:val="auto"/>
          <w:sz w:val="44"/>
          <w:szCs w:val="44"/>
          <w:highlight w:val="none"/>
        </w:rPr>
      </w:pPr>
      <w:r>
        <w:rPr>
          <w:rFonts w:ascii="Times New Roman" w:hAnsi="Times New Roman" w:eastAsia="黑体" w:cs="Times New Roman"/>
          <w:color w:val="auto"/>
          <w:sz w:val="44"/>
          <w:szCs w:val="44"/>
          <w:highlight w:val="none"/>
        </w:rPr>
        <w:br w:type="page"/>
      </w:r>
    </w:p>
    <w:p w14:paraId="3137E8BA">
      <w:pPr>
        <w:rPr>
          <w:rFonts w:ascii="Times New Roman" w:hAnsi="Times New Roman" w:eastAsia="黑体" w:cs="Times New Roman"/>
          <w:color w:val="auto"/>
          <w:sz w:val="44"/>
          <w:szCs w:val="44"/>
          <w:highlight w:val="none"/>
        </w:rPr>
      </w:pPr>
    </w:p>
    <w:p w14:paraId="7F246CE3">
      <w:pPr>
        <w:rPr>
          <w:rFonts w:ascii="Times New Roman" w:hAnsi="Times New Roman" w:eastAsia="黑体" w:cs="Times New Roman"/>
          <w:color w:val="auto"/>
          <w:sz w:val="44"/>
          <w:szCs w:val="44"/>
          <w:highlight w:val="none"/>
        </w:rPr>
      </w:pPr>
    </w:p>
    <w:p w14:paraId="3F100BB4">
      <w:pPr>
        <w:jc w:val="center"/>
        <w:rPr>
          <w:rFonts w:hint="eastAsia" w:ascii="Times New Roman" w:hAnsi="Times New Roman" w:eastAsia="黑体" w:cs="Times New Roman"/>
          <w:color w:val="auto"/>
          <w:sz w:val="44"/>
          <w:szCs w:val="44"/>
          <w:highlight w:val="none"/>
          <w:lang w:eastAsia="zh-CN"/>
        </w:rPr>
      </w:pPr>
      <w:r>
        <w:rPr>
          <w:rFonts w:hint="eastAsia" w:ascii="Times New Roman" w:hAnsi="Times New Roman" w:eastAsia="黑体" w:cs="Times New Roman"/>
          <w:color w:val="auto"/>
          <w:sz w:val="44"/>
          <w:szCs w:val="44"/>
          <w:highlight w:val="none"/>
          <w:lang w:eastAsia="zh-CN"/>
        </w:rPr>
        <w:t>使</w:t>
      </w:r>
      <w:r>
        <w:rPr>
          <w:rFonts w:hint="eastAsia" w:ascii="Times New Roman" w:hAnsi="Times New Roman" w:eastAsia="黑体" w:cs="Times New Roman"/>
          <w:color w:val="auto"/>
          <w:sz w:val="44"/>
          <w:szCs w:val="44"/>
          <w:highlight w:val="none"/>
          <w:lang w:val="en-US" w:eastAsia="zh-CN"/>
        </w:rPr>
        <w:t xml:space="preserve"> </w:t>
      </w:r>
      <w:r>
        <w:rPr>
          <w:rFonts w:hint="eastAsia" w:ascii="Times New Roman" w:hAnsi="Times New Roman" w:eastAsia="黑体" w:cs="Times New Roman"/>
          <w:color w:val="auto"/>
          <w:sz w:val="44"/>
          <w:szCs w:val="44"/>
          <w:highlight w:val="none"/>
          <w:lang w:eastAsia="zh-CN"/>
        </w:rPr>
        <w:t>用</w:t>
      </w:r>
      <w:r>
        <w:rPr>
          <w:rFonts w:hint="eastAsia" w:ascii="Times New Roman" w:hAnsi="Times New Roman" w:eastAsia="黑体" w:cs="Times New Roman"/>
          <w:color w:val="auto"/>
          <w:sz w:val="44"/>
          <w:szCs w:val="44"/>
          <w:highlight w:val="none"/>
          <w:lang w:val="en-US" w:eastAsia="zh-CN"/>
        </w:rPr>
        <w:t xml:space="preserve"> </w:t>
      </w:r>
      <w:r>
        <w:rPr>
          <w:rFonts w:hint="eastAsia" w:ascii="Times New Roman" w:hAnsi="Times New Roman" w:eastAsia="黑体" w:cs="Times New Roman"/>
          <w:color w:val="auto"/>
          <w:sz w:val="44"/>
          <w:szCs w:val="44"/>
          <w:highlight w:val="none"/>
          <w:lang w:eastAsia="zh-CN"/>
        </w:rPr>
        <w:t>说</w:t>
      </w:r>
      <w:r>
        <w:rPr>
          <w:rFonts w:hint="eastAsia" w:ascii="Times New Roman" w:hAnsi="Times New Roman" w:eastAsia="黑体" w:cs="Times New Roman"/>
          <w:color w:val="auto"/>
          <w:sz w:val="44"/>
          <w:szCs w:val="44"/>
          <w:highlight w:val="none"/>
          <w:lang w:val="en-US" w:eastAsia="zh-CN"/>
        </w:rPr>
        <w:t xml:space="preserve"> </w:t>
      </w:r>
      <w:r>
        <w:rPr>
          <w:rFonts w:hint="eastAsia" w:ascii="Times New Roman" w:hAnsi="Times New Roman" w:eastAsia="黑体" w:cs="Times New Roman"/>
          <w:color w:val="auto"/>
          <w:sz w:val="44"/>
          <w:szCs w:val="44"/>
          <w:highlight w:val="none"/>
          <w:lang w:eastAsia="zh-CN"/>
        </w:rPr>
        <w:t>明</w:t>
      </w:r>
    </w:p>
    <w:p w14:paraId="00C23858">
      <w:pPr>
        <w:ind w:firstLine="640" w:firstLineChars="200"/>
        <w:rPr>
          <w:rFonts w:hint="eastAsia" w:ascii="仿宋_GB2312" w:hAnsi="仿宋_GB2312" w:eastAsia="仿宋_GB2312" w:cs="仿宋_GB2312"/>
          <w:color w:val="auto"/>
          <w:sz w:val="32"/>
          <w:szCs w:val="32"/>
          <w:highlight w:val="none"/>
          <w:lang w:val="en-US" w:eastAsia="zh-CN"/>
        </w:rPr>
      </w:pPr>
    </w:p>
    <w:p w14:paraId="4CE049F0">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13382B8E">
      <w:pPr>
        <w:ind w:firstLine="0" w:firstLineChars="0"/>
        <w:rPr>
          <w:rFonts w:hint="default" w:ascii="Times New Roman" w:hAnsi="Times New Roman" w:eastAsia="黑体" w:cs="Times New Roman"/>
          <w:color w:val="auto"/>
          <w:sz w:val="44"/>
          <w:szCs w:val="44"/>
          <w:highlight w:val="none"/>
          <w:lang w:val="en-US" w:eastAsia="zh-CN"/>
        </w:rPr>
      </w:pPr>
      <w:r>
        <w:rPr>
          <w:rFonts w:hint="eastAsia" w:ascii="Times New Roman" w:hAnsi="Times New Roman" w:eastAsia="黑体" w:cs="Times New Roman"/>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5C636830">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07162CCB">
      <w:pPr>
        <w:ind w:firstLine="880" w:firstLineChars="200"/>
        <w:jc w:val="both"/>
        <w:rPr>
          <w:rFonts w:eastAsia="黑体"/>
          <w:color w:val="auto"/>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6FB0BD2">
      <w:pPr>
        <w:bidi w:val="0"/>
        <w:rPr>
          <w:rFonts w:hint="eastAsia"/>
          <w:color w:val="auto"/>
          <w:highlight w:val="none"/>
          <w:lang w:val="en-US" w:eastAsia="zh-CN"/>
        </w:rPr>
      </w:pPr>
    </w:p>
    <w:p w14:paraId="0849A06D">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color w:val="auto"/>
          <w:kern w:val="2"/>
          <w:sz w:val="28"/>
          <w:szCs w:val="28"/>
          <w:highlight w:val="none"/>
          <w:lang w:val="en-US" w:eastAsia="zh-CN" w:bidi="ar-SA"/>
        </w:rPr>
      </w:pPr>
      <w:r>
        <w:rPr>
          <w:rFonts w:hint="eastAsia" w:ascii="黑体" w:hAnsi="黑体" w:eastAsia="黑体" w:cs="Times New Roman"/>
          <w:b w:val="0"/>
          <w:bCs w:val="0"/>
          <w:color w:val="auto"/>
          <w:kern w:val="2"/>
          <w:sz w:val="28"/>
          <w:szCs w:val="28"/>
          <w:highlight w:val="none"/>
          <w:lang w:val="en-US" w:eastAsia="zh-CN" w:bidi="ar-SA"/>
        </w:rPr>
        <w:t xml:space="preserve">第一节 </w:t>
      </w:r>
      <w:r>
        <w:rPr>
          <w:rFonts w:hint="eastAsia" w:ascii="黑体" w:hAnsi="华文中宋" w:eastAsia="黑体" w:cs="Times New Roman"/>
          <w:b w:val="0"/>
          <w:bCs w:val="0"/>
          <w:color w:val="auto"/>
          <w:kern w:val="2"/>
          <w:sz w:val="28"/>
          <w:szCs w:val="28"/>
          <w:highlight w:val="none"/>
          <w:lang w:val="en-US" w:eastAsia="zh-CN" w:bidi="ar-SA"/>
        </w:rPr>
        <w:t>政府采购合同协议书</w:t>
      </w:r>
    </w:p>
    <w:p w14:paraId="0D5A49AC">
      <w:pPr>
        <w:bidi w:val="0"/>
        <w:rPr>
          <w:rFonts w:hint="eastAsia"/>
          <w:color w:val="auto"/>
          <w:highlight w:val="none"/>
          <w:lang w:val="en-US" w:eastAsia="zh-CN"/>
        </w:rPr>
      </w:pPr>
    </w:p>
    <w:p w14:paraId="1B45E302">
      <w:pPr>
        <w:adjustRightInd w:val="0"/>
        <w:snapToGrid w:val="0"/>
        <w:spacing w:before="0" w:beforeLines="0" w:line="400" w:lineRule="exact"/>
        <w:ind w:left="5040" w:hanging="5040" w:hangingChars="24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甲方（全称）：</w:t>
      </w:r>
      <w:r>
        <w:rPr>
          <w:rFonts w:hint="eastAsia" w:ascii="Times New Roman" w:hAnsi="Times New Roman" w:eastAsia="宋体" w:cs="Times New Roman"/>
          <w:color w:val="auto"/>
          <w:sz w:val="32"/>
          <w:szCs w:val="32"/>
          <w:highlight w:val="none"/>
          <w:u w:val="single"/>
        </w:rPr>
        <w:t xml:space="preserve">                       </w:t>
      </w:r>
      <w:r>
        <w:rPr>
          <w:rFonts w:hint="eastAsia" w:ascii="宋体" w:hAnsi="宋体" w:eastAsia="宋体" w:cs="Times New Roman"/>
          <w:color w:val="auto"/>
          <w:szCs w:val="21"/>
          <w:highlight w:val="none"/>
        </w:rPr>
        <w:t>（采购人</w:t>
      </w:r>
      <w:r>
        <w:rPr>
          <w:rFonts w:hint="eastAsia" w:ascii="宋体" w:hAnsi="宋体" w:eastAsia="宋体" w:cs="Times New Roman"/>
          <w:color w:val="auto"/>
          <w:szCs w:val="21"/>
          <w:highlight w:val="none"/>
          <w:lang w:eastAsia="zh-CN"/>
        </w:rPr>
        <w:t>、受采购人委托签订合同的单位</w:t>
      </w:r>
      <w:r>
        <w:rPr>
          <w:rFonts w:hint="eastAsia" w:ascii="宋体" w:hAnsi="宋体" w:eastAsia="宋体" w:cs="Times New Roman"/>
          <w:color w:val="auto"/>
          <w:szCs w:val="21"/>
          <w:highlight w:val="none"/>
        </w:rPr>
        <w:t>或采购文件约定的合同甲方）</w:t>
      </w:r>
    </w:p>
    <w:p w14:paraId="23DAA52A">
      <w:pPr>
        <w:adjustRightInd w:val="0"/>
        <w:snapToGrid w:val="0"/>
        <w:spacing w:before="0" w:beforeLines="0" w:line="4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乙方</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（全称）：</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（供应商）</w:t>
      </w:r>
    </w:p>
    <w:p w14:paraId="49632657">
      <w:pPr>
        <w:spacing w:beforeLines="0" w:line="400" w:lineRule="exact"/>
        <w:rPr>
          <w:rFonts w:hint="default" w:ascii="Times New Roman" w:hAnsi="Times New Roman" w:eastAsia="宋体" w:cs="Times New Roman"/>
          <w:color w:val="auto"/>
          <w:highlight w:val="none"/>
          <w:lang w:val="en-US" w:eastAsia="zh-CN"/>
        </w:rPr>
      </w:pPr>
    </w:p>
    <w:p w14:paraId="497E8B71">
      <w:pPr>
        <w:widowControl w:val="0"/>
        <w:adjustRightInd w:val="0"/>
        <w:snapToGrid w:val="0"/>
        <w:spacing w:before="0" w:beforeLines="0" w:after="0" w:line="400" w:lineRule="exact"/>
        <w:ind w:left="0" w:leftChars="0" w:firstLine="420" w:firstLineChars="20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依据《中华人民共和国民法典》、《中华人民共和国政府采购法》等有关的法律法规，以及</w:t>
      </w:r>
      <w:r>
        <w:rPr>
          <w:rFonts w:hint="eastAsia" w:ascii="宋体" w:hAnsi="宋体" w:eastAsia="宋体" w:cs="Times New Roman"/>
          <w:i w:val="0"/>
          <w:iCs w:val="0"/>
          <w:color w:val="auto"/>
          <w:kern w:val="2"/>
          <w:sz w:val="21"/>
          <w:szCs w:val="21"/>
          <w:highlight w:val="none"/>
          <w:u w:val="none"/>
          <w:lang w:val="en-US" w:eastAsia="zh-CN" w:bidi="ar-SA"/>
        </w:rPr>
        <w:t>本采购项目</w:t>
      </w:r>
      <w:r>
        <w:rPr>
          <w:rFonts w:hint="eastAsia" w:ascii="宋体" w:hAnsi="宋体" w:eastAsia="宋体" w:cs="Times New Roman"/>
          <w:color w:val="auto"/>
          <w:kern w:val="2"/>
          <w:sz w:val="21"/>
          <w:szCs w:val="21"/>
          <w:highlight w:val="none"/>
          <w:lang w:val="en-US" w:eastAsia="zh-CN" w:bidi="ar-SA"/>
        </w:rPr>
        <w:t xml:space="preserve">的招标/谈判文件等采购文件、乙方的《投标（响应）文件》及《中标（成交）通知书》，甲乙双方同意签订本合同。具体情况及要求如下：     </w:t>
      </w:r>
    </w:p>
    <w:p w14:paraId="5D87E4BA">
      <w:pPr>
        <w:numPr>
          <w:ilvl w:val="0"/>
          <w:numId w:val="24"/>
        </w:numPr>
        <w:adjustRightInd w:val="0"/>
        <w:snapToGrid w:val="0"/>
        <w:spacing w:before="0" w:beforeLines="0" w:line="4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项目信息</w:t>
      </w:r>
    </w:p>
    <w:p w14:paraId="1326F1C1">
      <w:pPr>
        <w:widowControl w:val="0"/>
        <w:numPr>
          <w:ilvl w:val="0"/>
          <w:numId w:val="25"/>
        </w:numPr>
        <w:adjustRightInd w:val="0"/>
        <w:snapToGrid w:val="0"/>
        <w:spacing w:before="0" w:beforeLines="0" w:after="0" w:line="400" w:lineRule="exact"/>
        <w:ind w:left="0" w:leftChars="0" w:firstLine="420" w:firstLineChars="200"/>
        <w:jc w:val="both"/>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采购项目名称：</w:t>
      </w:r>
      <w:r>
        <w:rPr>
          <w:rFonts w:hint="eastAsia" w:ascii="Times New Roman" w:hAnsi="Times New Roman" w:eastAsia="宋体" w:cs="Times New Roman"/>
          <w:color w:val="auto"/>
          <w:sz w:val="32"/>
          <w:szCs w:val="32"/>
          <w:highlight w:val="none"/>
          <w:u w:val="single"/>
        </w:rPr>
        <w:t xml:space="preserve">                    </w:t>
      </w:r>
      <w:r>
        <w:rPr>
          <w:rFonts w:hint="eastAsia" w:ascii="Times New Roman" w:hAnsi="Times New Roman" w:cs="Times New Roman"/>
          <w:color w:val="auto"/>
          <w:sz w:val="32"/>
          <w:szCs w:val="32"/>
          <w:highlight w:val="none"/>
          <w:u w:val="single"/>
          <w:lang w:val="en-US" w:eastAsia="zh-CN"/>
        </w:rPr>
        <w:t xml:space="preserve"> </w:t>
      </w:r>
      <w:r>
        <w:rPr>
          <w:rFonts w:hint="eastAsia" w:ascii="Times New Roman" w:hAnsi="Times New Roman" w:eastAsia="宋体" w:cs="Times New Roman"/>
          <w:color w:val="auto"/>
          <w:sz w:val="32"/>
          <w:szCs w:val="32"/>
          <w:highlight w:val="none"/>
          <w:u w:val="single"/>
        </w:rPr>
        <w:t xml:space="preserve">       </w:t>
      </w:r>
    </w:p>
    <w:p w14:paraId="50B7269C">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color w:val="auto"/>
          <w:kern w:val="2"/>
          <w:sz w:val="21"/>
          <w:szCs w:val="21"/>
          <w:highlight w:val="none"/>
          <w:u w:val="none"/>
          <w:lang w:val="en-US" w:eastAsia="zh-CN" w:bidi="ar-SA"/>
        </w:rPr>
      </w:pPr>
      <w:r>
        <w:rPr>
          <w:rFonts w:hint="eastAsia" w:ascii="宋体" w:hAnsi="宋体" w:eastAsia="宋体" w:cs="Times New Roman"/>
          <w:color w:val="auto"/>
          <w:kern w:val="2"/>
          <w:sz w:val="21"/>
          <w:szCs w:val="21"/>
          <w:highlight w:val="none"/>
          <w:u w:val="none"/>
          <w:lang w:val="en-US" w:eastAsia="zh-CN" w:bidi="ar-SA"/>
        </w:rPr>
        <w:t xml:space="preserve">         采购项目编号：</w:t>
      </w:r>
      <w:r>
        <w:rPr>
          <w:rFonts w:ascii="宋体" w:hAnsi="宋体" w:eastAsia="宋体" w:cs="Times New Roman"/>
          <w:color w:val="auto"/>
          <w:kern w:val="2"/>
          <w:sz w:val="21"/>
          <w:szCs w:val="21"/>
          <w:highlight w:val="none"/>
          <w:u w:val="single"/>
          <w:lang w:val="en-US" w:eastAsia="zh-CN" w:bidi="ar-SA"/>
        </w:rPr>
        <w:t xml:space="preserve">                                   </w:t>
      </w:r>
      <w:r>
        <w:rPr>
          <w:rFonts w:hint="eastAsia"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u w:val="single"/>
          <w:lang w:val="en-US" w:eastAsia="zh-CN" w:bidi="ar-SA"/>
        </w:rPr>
        <w:t xml:space="preserve">       </w:t>
      </w:r>
    </w:p>
    <w:p w14:paraId="1D4DD83E">
      <w:pPr>
        <w:widowControl w:val="0"/>
        <w:adjustRightInd w:val="0"/>
        <w:snapToGrid w:val="0"/>
        <w:spacing w:before="0" w:beforeLines="0" w:after="0" w:line="400" w:lineRule="exact"/>
        <w:ind w:left="0" w:leftChars="0" w:firstLine="420" w:firstLineChars="20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（2）采购计划编号：</w:t>
      </w:r>
      <w:r>
        <w:rPr>
          <w:rFonts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lang w:val="en-US" w:eastAsia="zh-CN" w:bidi="ar-SA"/>
        </w:rPr>
        <w:t xml:space="preserve"> </w:t>
      </w:r>
    </w:p>
    <w:p w14:paraId="6E4EEEFC">
      <w:pPr>
        <w:adjustRightInd w:val="0"/>
        <w:snapToGrid w:val="0"/>
        <w:spacing w:before="0" w:beforeLines="0"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（3）项目内容：</w:t>
      </w:r>
    </w:p>
    <w:p w14:paraId="6C35C230">
      <w:pPr>
        <w:adjustRightInd w:val="0"/>
        <w:snapToGrid w:val="0"/>
        <w:spacing w:before="0" w:beforeLines="0"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采购标的及数量</w:t>
      </w:r>
      <w:r>
        <w:rPr>
          <w:rFonts w:hint="eastAsia" w:ascii="宋体" w:hAnsi="宋体" w:eastAsia="宋体" w:cs="Times New Roman"/>
          <w:color w:val="auto"/>
          <w:szCs w:val="21"/>
          <w:highlight w:val="none"/>
          <w:lang w:val="en-US" w:eastAsia="zh-CN"/>
        </w:rPr>
        <w:t>（台/套</w:t>
      </w:r>
      <w:r>
        <w:rPr>
          <w:rFonts w:hint="default" w:ascii="宋体" w:hAnsi="宋体" w:eastAsia="宋体" w:cs="Times New Roman"/>
          <w:color w:val="auto"/>
          <w:szCs w:val="21"/>
          <w:highlight w:val="none"/>
          <w:lang w:val="en" w:eastAsia="zh-CN"/>
        </w:rPr>
        <w:t>/</w:t>
      </w:r>
      <w:r>
        <w:rPr>
          <w:rFonts w:hint="eastAsia" w:ascii="宋体" w:hAnsi="宋体" w:eastAsia="宋体" w:cs="Times New Roman"/>
          <w:color w:val="auto"/>
          <w:szCs w:val="21"/>
          <w:highlight w:val="none"/>
          <w:lang w:val="en" w:eastAsia="zh-CN"/>
        </w:rPr>
        <w:t>个</w:t>
      </w:r>
      <w:r>
        <w:rPr>
          <w:rFonts w:hint="default" w:ascii="宋体" w:hAnsi="宋体" w:eastAsia="宋体" w:cs="Times New Roman"/>
          <w:color w:val="auto"/>
          <w:szCs w:val="21"/>
          <w:highlight w:val="none"/>
          <w:lang w:val="en" w:eastAsia="zh-CN"/>
        </w:rPr>
        <w:t>/</w:t>
      </w:r>
      <w:r>
        <w:rPr>
          <w:rFonts w:hint="eastAsia" w:ascii="宋体" w:hAnsi="宋体" w:eastAsia="宋体" w:cs="Times New Roman"/>
          <w:color w:val="auto"/>
          <w:szCs w:val="21"/>
          <w:highlight w:val="none"/>
          <w:lang w:val="en" w:eastAsia="zh-CN"/>
        </w:rPr>
        <w:t>架</w:t>
      </w:r>
      <w:r>
        <w:rPr>
          <w:rFonts w:hint="default" w:ascii="宋体" w:hAnsi="宋体" w:eastAsia="宋体" w:cs="Times New Roman"/>
          <w:color w:val="auto"/>
          <w:szCs w:val="21"/>
          <w:highlight w:val="none"/>
          <w:lang w:val="en" w:eastAsia="zh-CN"/>
        </w:rPr>
        <w:t>/</w:t>
      </w:r>
      <w:r>
        <w:rPr>
          <w:rFonts w:hint="eastAsia" w:ascii="宋体" w:hAnsi="宋体" w:eastAsia="宋体" w:cs="Times New Roman"/>
          <w:color w:val="auto"/>
          <w:szCs w:val="21"/>
          <w:highlight w:val="none"/>
          <w:lang w:val="en" w:eastAsia="zh-CN"/>
        </w:rPr>
        <w:t>组等</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u w:val="single"/>
          <w:lang w:val="en-US" w:eastAsia="zh-CN"/>
        </w:rPr>
        <w:t xml:space="preserve">              </w:t>
      </w:r>
      <w:r>
        <w:rPr>
          <w:rFonts w:hint="eastAsia"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lang w:val="en-US" w:eastAsia="zh-CN"/>
        </w:rPr>
        <w:t xml:space="preserve"> </w:t>
      </w:r>
    </w:p>
    <w:p w14:paraId="268F6D02">
      <w:pPr>
        <w:numPr>
          <w:ilvl w:val="-1"/>
          <w:numId w:val="0"/>
        </w:numPr>
        <w:adjustRightInd w:val="0"/>
        <w:snapToGrid w:val="0"/>
        <w:spacing w:before="0" w:beforeLines="0" w:line="400" w:lineRule="exact"/>
        <w:ind w:firstLine="420" w:firstLineChars="200"/>
        <w:rPr>
          <w:rFonts w:hint="default" w:ascii="宋体" w:hAnsi="宋体" w:eastAsia="宋体" w:cs="宋体"/>
          <w:color w:val="auto"/>
          <w:szCs w:val="21"/>
          <w:highlight w:val="none"/>
          <w:lang w:val="en" w:eastAsia="zh-CN"/>
        </w:rPr>
      </w:pPr>
      <w:r>
        <w:rPr>
          <w:rFonts w:hint="eastAsia" w:ascii="宋体" w:hAnsi="宋体" w:eastAsia="宋体" w:cs="Times New Roman"/>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none"/>
          <w:lang w:val="en" w:eastAsia="zh-CN"/>
        </w:rPr>
        <w:t xml:space="preserve">     </w:t>
      </w:r>
      <w:r>
        <w:rPr>
          <w:rFonts w:hint="eastAsia" w:ascii="宋体" w:hAnsi="宋体" w:eastAsia="宋体" w:cs="宋体"/>
          <w:color w:val="auto"/>
          <w:szCs w:val="21"/>
          <w:highlight w:val="none"/>
          <w:lang w:val="en-US" w:eastAsia="zh-CN"/>
        </w:rPr>
        <w:t>规格型号：</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single"/>
          <w:lang w:val="en" w:eastAsia="zh-CN"/>
        </w:rPr>
        <w:t xml:space="preserve">  </w:t>
      </w:r>
    </w:p>
    <w:p w14:paraId="364F2AF6">
      <w:pPr>
        <w:adjustRightInd w:val="0"/>
        <w:snapToGrid w:val="0"/>
        <w:spacing w:before="0" w:beforeLines="0" w:line="400" w:lineRule="exact"/>
        <w:ind w:firstLine="945" w:firstLineChars="45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none"/>
          <w:lang w:val="en-US" w:eastAsia="zh-CN"/>
        </w:rPr>
        <w:t>采购标的的技术要求、商务要求具体见附件。</w:t>
      </w:r>
    </w:p>
    <w:p w14:paraId="4B171F70">
      <w:pPr>
        <w:numPr>
          <w:ilvl w:val="-1"/>
          <w:numId w:val="0"/>
        </w:numPr>
        <w:adjustRightInd w:val="0"/>
        <w:snapToGrid w:val="0"/>
        <w:spacing w:before="0" w:beforeLines="0" w:line="400" w:lineRule="exact"/>
        <w:ind w:firstLine="945" w:firstLineChars="450"/>
        <w:rPr>
          <w:rFonts w:hint="eastAsia" w:ascii="宋体" w:hAnsi="宋体" w:eastAsia="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eastAsia="宋体" w:cs="宋体"/>
          <w:color w:val="auto"/>
          <w:szCs w:val="21"/>
          <w:highlight w:val="none"/>
          <w:lang w:val="en-US" w:eastAsia="zh-CN"/>
        </w:rPr>
        <w:t>涉及信息类产品，请填写该产品关键部件的品牌、型号：</w:t>
      </w:r>
    </w:p>
    <w:p w14:paraId="14BF88A1">
      <w:pPr>
        <w:numPr>
          <w:ilvl w:val="-1"/>
          <w:numId w:val="0"/>
        </w:numPr>
        <w:adjustRightInd w:val="0"/>
        <w:snapToGrid w:val="0"/>
        <w:spacing w:before="0" w:beforeLines="0" w:line="400" w:lineRule="exact"/>
        <w:ind w:firstLine="420" w:firstLineChars="200"/>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lang w:val="en-US" w:eastAsia="zh-CN"/>
        </w:rPr>
        <w:t xml:space="preserve">     标的名称：</w:t>
      </w:r>
      <w:r>
        <w:rPr>
          <w:rFonts w:hint="eastAsia" w:ascii="宋体" w:hAnsi="宋体" w:eastAsia="宋体" w:cs="宋体"/>
          <w:color w:val="auto"/>
          <w:kern w:val="0"/>
          <w:szCs w:val="21"/>
          <w:highlight w:val="none"/>
          <w:u w:val="single"/>
          <w:lang w:val="en-US" w:eastAsia="zh-CN"/>
        </w:rPr>
        <w:t xml:space="preserve">      </w:t>
      </w:r>
      <w:r>
        <w:rPr>
          <w:rFonts w:hint="default" w:ascii="宋体" w:hAnsi="宋体" w:eastAsia="宋体" w:cs="宋体"/>
          <w:color w:val="auto"/>
          <w:kern w:val="0"/>
          <w:szCs w:val="21"/>
          <w:highlight w:val="none"/>
          <w:u w:val="single"/>
          <w:lang w:val="en" w:eastAsia="zh-CN"/>
        </w:rPr>
        <w:t xml:space="preserve">               </w:t>
      </w:r>
      <w:r>
        <w:rPr>
          <w:rFonts w:hint="eastAsia" w:ascii="宋体" w:hAnsi="宋体" w:eastAsia="宋体" w:cs="宋体"/>
          <w:color w:val="auto"/>
          <w:kern w:val="0"/>
          <w:szCs w:val="21"/>
          <w:highlight w:val="none"/>
          <w:u w:val="single"/>
          <w:lang w:val="en-US" w:eastAsia="zh-CN"/>
        </w:rPr>
        <w:t xml:space="preserve">    </w:t>
      </w:r>
    </w:p>
    <w:p w14:paraId="7BC5EBE1">
      <w:pPr>
        <w:numPr>
          <w:ilvl w:val="-1"/>
          <w:numId w:val="0"/>
        </w:numPr>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关键部件：</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5EBEF69">
      <w:pPr>
        <w:autoSpaceDE w:val="0"/>
        <w:autoSpaceDN w:val="0"/>
        <w:adjustRightInd w:val="0"/>
        <w:spacing w:beforeLines="0" w:line="40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关键部件</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u w:val="none"/>
          <w:lang w:val="en-US" w:eastAsia="zh-CN" w:bidi="ar-SA"/>
        </w:rPr>
        <w:t xml:space="preserve"> </w:t>
      </w:r>
      <w:r>
        <w:rPr>
          <w:rFonts w:hint="eastAsia" w:ascii="宋体" w:hAnsi="宋体" w:eastAsia="宋体" w:cs="宋体"/>
          <w:color w:val="auto"/>
          <w:sz w:val="21"/>
          <w:szCs w:val="21"/>
          <w:highlight w:val="none"/>
          <w:lang w:val="en-US" w:eastAsia="zh-CN" w:bidi="ar-SA"/>
        </w:rPr>
        <w:t>品牌：</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u w:val="none"/>
          <w:lang w:val="en-US" w:eastAsia="zh-CN" w:bidi="ar-SA"/>
        </w:rPr>
        <w:t xml:space="preserve"> </w:t>
      </w:r>
      <w:r>
        <w:rPr>
          <w:rFonts w:hint="eastAsia" w:ascii="宋体" w:hAnsi="宋体" w:eastAsia="宋体" w:cs="宋体"/>
          <w:color w:val="auto"/>
          <w:sz w:val="21"/>
          <w:szCs w:val="21"/>
          <w:highlight w:val="none"/>
          <w:lang w:val="en-US" w:eastAsia="zh-CN" w:bidi="ar-SA"/>
        </w:rPr>
        <w:t>型号：</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 xml:space="preserve"> </w:t>
      </w:r>
    </w:p>
    <w:p w14:paraId="25AD065E">
      <w:pPr>
        <w:autoSpaceDE w:val="0"/>
        <w:autoSpaceDN w:val="0"/>
        <w:adjustRightInd w:val="0"/>
        <w:spacing w:beforeLines="0" w:line="40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     关键部件：</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u w:val="none"/>
          <w:lang w:val="en-US" w:eastAsia="zh-CN" w:bidi="ar-SA"/>
        </w:rPr>
        <w:t xml:space="preserve"> </w:t>
      </w:r>
      <w:r>
        <w:rPr>
          <w:rFonts w:hint="eastAsia" w:ascii="宋体" w:hAnsi="宋体" w:eastAsia="宋体" w:cs="宋体"/>
          <w:color w:val="auto"/>
          <w:sz w:val="21"/>
          <w:szCs w:val="21"/>
          <w:highlight w:val="none"/>
          <w:lang w:val="en-US" w:eastAsia="zh-CN" w:bidi="ar-SA"/>
        </w:rPr>
        <w:t>品牌：</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u w:val="none"/>
          <w:lang w:val="en-US" w:eastAsia="zh-CN" w:bidi="ar-SA"/>
        </w:rPr>
        <w:t xml:space="preserve"> </w:t>
      </w:r>
      <w:r>
        <w:rPr>
          <w:rFonts w:hint="eastAsia" w:ascii="宋体" w:hAnsi="宋体" w:eastAsia="宋体" w:cs="宋体"/>
          <w:color w:val="auto"/>
          <w:sz w:val="21"/>
          <w:szCs w:val="21"/>
          <w:highlight w:val="none"/>
          <w:lang w:val="en-US" w:eastAsia="zh-CN" w:bidi="ar-SA"/>
        </w:rPr>
        <w:t>型号：</w:t>
      </w:r>
      <w:r>
        <w:rPr>
          <w:rFonts w:hint="eastAsia" w:ascii="宋体" w:hAnsi="宋体" w:eastAsia="宋体" w:cs="宋体"/>
          <w:color w:val="auto"/>
          <w:sz w:val="21"/>
          <w:szCs w:val="21"/>
          <w:highlight w:val="none"/>
          <w:u w:val="single"/>
          <w:lang w:val="en-US" w:eastAsia="zh-CN" w:bidi="ar-SA"/>
        </w:rPr>
        <w:t xml:space="preserve">       </w:t>
      </w:r>
    </w:p>
    <w:p w14:paraId="5B648BBB">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461ADC55">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         </w:t>
      </w:r>
      <w:r>
        <w:rPr>
          <w:rFonts w:hint="eastAsia" w:ascii="汉仪书宋二S" w:hAnsi="汉仪书宋二S" w:eastAsia="汉仪书宋二S" w:cs="汉仪书宋二S"/>
          <w:color w:val="auto"/>
          <w:sz w:val="21"/>
          <w:szCs w:val="21"/>
          <w:highlight w:val="none"/>
          <w:lang w:val="en-US" w:eastAsia="zh-CN" w:bidi="ar-SA"/>
        </w:rPr>
        <w:t>②</w:t>
      </w:r>
      <w:r>
        <w:rPr>
          <w:rFonts w:hint="eastAsia" w:ascii="宋体" w:hAnsi="宋体" w:eastAsia="宋体" w:cs="宋体"/>
          <w:color w:val="auto"/>
          <w:sz w:val="21"/>
          <w:szCs w:val="21"/>
          <w:highlight w:val="none"/>
          <w:lang w:val="en-US" w:eastAsia="zh-CN" w:bidi="ar-SA"/>
        </w:rPr>
        <w:t>涉及车辆采购，请填写是否属于新能源汽车：</w:t>
      </w:r>
    </w:p>
    <w:p w14:paraId="385F81CD">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iCs w:val="0"/>
          <w:color w:val="auto"/>
          <w:sz w:val="21"/>
          <w:szCs w:val="21"/>
          <w:highlight w:val="none"/>
          <w:lang w:val="en-US" w:eastAsia="zh-CN" w:bidi="ar-SA"/>
        </w:rPr>
        <w:sym w:font="Wingdings" w:char="00A8"/>
      </w:r>
      <w:r>
        <w:rPr>
          <w:rFonts w:hint="eastAsia" w:ascii="宋体" w:hAnsi="宋体" w:eastAsia="宋体" w:cs="宋体"/>
          <w:iCs w:val="0"/>
          <w:color w:val="auto"/>
          <w:sz w:val="21"/>
          <w:szCs w:val="21"/>
          <w:highlight w:val="none"/>
          <w:lang w:val="en-US" w:eastAsia="zh-CN" w:bidi="ar-SA"/>
        </w:rPr>
        <w:t>是，《政府采购品目分类目录》底级品目名称</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 xml:space="preserve"> 数量：</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 xml:space="preserve"> 金额：</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iCs w:val="0"/>
          <w:color w:val="auto"/>
          <w:sz w:val="21"/>
          <w:szCs w:val="21"/>
          <w:highlight w:val="none"/>
          <w:lang w:val="en-US" w:eastAsia="zh-CN" w:bidi="ar-SA"/>
        </w:rPr>
        <w:t xml:space="preserve"> </w:t>
      </w:r>
    </w:p>
    <w:p w14:paraId="6E4DDD86">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bidi="ar-SA"/>
        </w:rPr>
      </w:pPr>
      <w:r>
        <w:rPr>
          <w:rFonts w:hint="eastAsia" w:ascii="宋体" w:hAnsi="宋体" w:eastAsia="宋体" w:cs="宋体"/>
          <w:iCs w:val="0"/>
          <w:color w:val="auto"/>
          <w:sz w:val="21"/>
          <w:szCs w:val="21"/>
          <w:highlight w:val="none"/>
          <w:lang w:val="en-US" w:eastAsia="zh-CN" w:bidi="ar-SA"/>
        </w:rPr>
        <w:t xml:space="preserve">         </w:t>
      </w:r>
      <w:r>
        <w:rPr>
          <w:rFonts w:hint="eastAsia" w:ascii="宋体" w:hAnsi="宋体" w:eastAsia="宋体" w:cs="宋体"/>
          <w:iCs w:val="0"/>
          <w:color w:val="auto"/>
          <w:sz w:val="21"/>
          <w:szCs w:val="21"/>
          <w:highlight w:val="none"/>
          <w:lang w:val="en-US" w:eastAsia="zh-CN" w:bidi="ar-SA"/>
        </w:rPr>
        <w:sym w:font="Wingdings" w:char="00A8"/>
      </w:r>
      <w:r>
        <w:rPr>
          <w:rFonts w:hint="eastAsia" w:ascii="宋体" w:hAnsi="宋体" w:eastAsia="宋体" w:cs="宋体"/>
          <w:iCs w:val="0"/>
          <w:color w:val="auto"/>
          <w:sz w:val="21"/>
          <w:szCs w:val="21"/>
          <w:highlight w:val="none"/>
          <w:lang w:val="en-US" w:eastAsia="zh-CN" w:bidi="ar-SA"/>
        </w:rPr>
        <w:t>否</w:t>
      </w:r>
    </w:p>
    <w:p w14:paraId="1199DDEA">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bidi="ar-SA"/>
        </w:rPr>
      </w:pPr>
      <w:r>
        <w:rPr>
          <w:rFonts w:hint="eastAsia" w:ascii="宋体" w:hAnsi="宋体" w:eastAsia="宋体" w:cs="宋体"/>
          <w:iCs w:val="0"/>
          <w:color w:val="auto"/>
          <w:sz w:val="21"/>
          <w:szCs w:val="21"/>
          <w:highlight w:val="none"/>
          <w:lang w:val="en-US" w:eastAsia="zh-CN" w:bidi="ar-SA"/>
        </w:rPr>
        <w:t xml:space="preserve">    （</w:t>
      </w:r>
      <w:r>
        <w:rPr>
          <w:rFonts w:hint="default" w:ascii="宋体" w:hAnsi="宋体" w:eastAsia="宋体" w:cs="宋体"/>
          <w:iCs w:val="0"/>
          <w:color w:val="auto"/>
          <w:sz w:val="21"/>
          <w:szCs w:val="21"/>
          <w:highlight w:val="none"/>
          <w:lang w:val="en" w:eastAsia="zh-CN" w:bidi="ar-SA"/>
        </w:rPr>
        <w:t>4</w:t>
      </w:r>
      <w:r>
        <w:rPr>
          <w:rFonts w:hint="eastAsia" w:ascii="宋体" w:hAnsi="宋体" w:eastAsia="宋体" w:cs="宋体"/>
          <w:iCs w:val="0"/>
          <w:color w:val="auto"/>
          <w:sz w:val="21"/>
          <w:szCs w:val="21"/>
          <w:highlight w:val="none"/>
          <w:lang w:val="en-US" w:eastAsia="zh-CN" w:bidi="ar-SA"/>
        </w:rPr>
        <w:t>）政府采购组织形式：</w:t>
      </w:r>
      <w:r>
        <w:rPr>
          <w:rFonts w:hint="eastAsia" w:ascii="宋体" w:hAnsi="宋体" w:eastAsia="宋体" w:cs="宋体"/>
          <w:iCs w:val="0"/>
          <w:color w:val="auto"/>
          <w:sz w:val="21"/>
          <w:szCs w:val="21"/>
          <w:highlight w:val="none"/>
          <w:lang w:val="en-US" w:eastAsia="zh-CN" w:bidi="ar-SA"/>
        </w:rPr>
        <w:sym w:font="Wingdings" w:char="00A8"/>
      </w:r>
      <w:r>
        <w:rPr>
          <w:rFonts w:hint="eastAsia" w:ascii="宋体" w:hAnsi="宋体" w:eastAsia="宋体" w:cs="宋体"/>
          <w:iCs w:val="0"/>
          <w:color w:val="auto"/>
          <w:sz w:val="21"/>
          <w:szCs w:val="21"/>
          <w:highlight w:val="none"/>
          <w:lang w:val="en-US" w:eastAsia="zh-CN" w:bidi="ar-SA"/>
        </w:rPr>
        <w:t xml:space="preserve">政府集中采购  </w:t>
      </w:r>
      <w:r>
        <w:rPr>
          <w:rFonts w:hint="eastAsia" w:ascii="宋体" w:hAnsi="宋体" w:eastAsia="宋体" w:cs="宋体"/>
          <w:iCs w:val="0"/>
          <w:color w:val="auto"/>
          <w:sz w:val="21"/>
          <w:szCs w:val="21"/>
          <w:highlight w:val="none"/>
          <w:lang w:val="en-US" w:eastAsia="zh-CN" w:bidi="ar-SA"/>
        </w:rPr>
        <w:sym w:font="Wingdings" w:char="00A8"/>
      </w:r>
      <w:r>
        <w:rPr>
          <w:rFonts w:hint="eastAsia" w:ascii="宋体" w:hAnsi="宋体" w:eastAsia="宋体" w:cs="宋体"/>
          <w:iCs w:val="0"/>
          <w:color w:val="auto"/>
          <w:sz w:val="21"/>
          <w:szCs w:val="21"/>
          <w:highlight w:val="none"/>
          <w:lang w:val="en-US" w:eastAsia="zh-CN" w:bidi="ar-SA"/>
        </w:rPr>
        <w:t xml:space="preserve">部门集中采购  </w:t>
      </w:r>
      <w:r>
        <w:rPr>
          <w:rFonts w:hint="eastAsia" w:ascii="宋体" w:hAnsi="宋体" w:eastAsia="宋体" w:cs="宋体"/>
          <w:iCs w:val="0"/>
          <w:color w:val="auto"/>
          <w:sz w:val="21"/>
          <w:szCs w:val="21"/>
          <w:highlight w:val="none"/>
          <w:lang w:val="en-US" w:eastAsia="zh-CN" w:bidi="ar-SA"/>
        </w:rPr>
        <w:sym w:font="Wingdings" w:char="00FE"/>
      </w:r>
      <w:r>
        <w:rPr>
          <w:rFonts w:hint="eastAsia" w:ascii="宋体" w:hAnsi="宋体" w:eastAsia="宋体" w:cs="宋体"/>
          <w:iCs w:val="0"/>
          <w:color w:val="auto"/>
          <w:sz w:val="21"/>
          <w:szCs w:val="21"/>
          <w:highlight w:val="none"/>
          <w:lang w:val="en-US" w:eastAsia="zh-CN" w:bidi="ar-SA"/>
        </w:rPr>
        <w:t>分散采购</w:t>
      </w:r>
    </w:p>
    <w:p w14:paraId="5A9C261F">
      <w:pPr>
        <w:numPr>
          <w:ilvl w:val="-1"/>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val="en-US" w:eastAsia="zh-CN" w:bidi="ar-SA"/>
        </w:rPr>
      </w:pPr>
      <w:r>
        <w:rPr>
          <w:rFonts w:hint="eastAsia" w:ascii="宋体" w:hAnsi="宋体" w:eastAsia="宋体" w:cs="宋体"/>
          <w:iCs w:val="0"/>
          <w:color w:val="auto"/>
          <w:sz w:val="21"/>
          <w:szCs w:val="21"/>
          <w:highlight w:val="none"/>
          <w:lang w:val="en-US" w:eastAsia="zh-CN" w:bidi="ar-SA"/>
        </w:rPr>
        <w:t>（</w:t>
      </w:r>
      <w:r>
        <w:rPr>
          <w:rFonts w:hint="default" w:ascii="宋体" w:hAnsi="宋体" w:eastAsia="宋体" w:cs="宋体"/>
          <w:iCs w:val="0"/>
          <w:color w:val="auto"/>
          <w:sz w:val="21"/>
          <w:szCs w:val="21"/>
          <w:highlight w:val="none"/>
          <w:lang w:val="en" w:eastAsia="zh-CN" w:bidi="ar-SA"/>
        </w:rPr>
        <w:t>5</w:t>
      </w:r>
      <w:r>
        <w:rPr>
          <w:rFonts w:hint="eastAsia" w:ascii="宋体" w:hAnsi="宋体" w:eastAsia="宋体" w:cs="宋体"/>
          <w:iCs w:val="0"/>
          <w:color w:val="auto"/>
          <w:sz w:val="21"/>
          <w:szCs w:val="21"/>
          <w:highlight w:val="none"/>
          <w:lang w:val="en-US" w:eastAsia="zh-CN" w:bidi="ar-SA"/>
        </w:rPr>
        <w:t>）政府采购方式：</w:t>
      </w:r>
      <w:r>
        <w:rPr>
          <w:rFonts w:hint="eastAsia" w:ascii="宋体" w:hAnsi="宋体" w:eastAsia="宋体" w:cs="宋体"/>
          <w:iCs w:val="0"/>
          <w:color w:val="auto"/>
          <w:sz w:val="21"/>
          <w:szCs w:val="21"/>
          <w:highlight w:val="none"/>
          <w:lang w:val="en-US" w:eastAsia="zh-CN" w:bidi="ar-SA"/>
        </w:rPr>
        <w:sym w:font="Wingdings" w:char="00FE"/>
      </w:r>
      <w:r>
        <w:rPr>
          <w:rFonts w:hint="eastAsia" w:ascii="宋体" w:hAnsi="宋体" w:eastAsia="宋体" w:cs="宋体"/>
          <w:iCs w:val="0"/>
          <w:color w:val="auto"/>
          <w:sz w:val="21"/>
          <w:szCs w:val="21"/>
          <w:highlight w:val="none"/>
          <w:lang w:val="en-US" w:eastAsia="zh-CN" w:bidi="ar-SA"/>
        </w:rPr>
        <w:t xml:space="preserve">公开招标 </w:t>
      </w:r>
      <w:r>
        <w:rPr>
          <w:rFonts w:hint="eastAsia" w:ascii="宋体" w:hAnsi="宋体" w:eastAsia="宋体" w:cs="宋体"/>
          <w:iCs w:val="0"/>
          <w:color w:val="auto"/>
          <w:sz w:val="21"/>
          <w:szCs w:val="21"/>
          <w:highlight w:val="none"/>
          <w:lang w:val="en-US" w:eastAsia="zh-CN" w:bidi="ar-SA"/>
        </w:rPr>
        <w:sym w:font="Wingdings" w:char="00A8"/>
      </w:r>
      <w:r>
        <w:rPr>
          <w:rFonts w:hint="eastAsia" w:ascii="宋体" w:hAnsi="宋体" w:eastAsia="宋体" w:cs="宋体"/>
          <w:iCs w:val="0"/>
          <w:color w:val="auto"/>
          <w:sz w:val="21"/>
          <w:szCs w:val="21"/>
          <w:highlight w:val="none"/>
          <w:lang w:val="en-US" w:eastAsia="zh-CN" w:bidi="ar-SA"/>
        </w:rPr>
        <w:t xml:space="preserve">邀请招标 </w:t>
      </w:r>
      <w:r>
        <w:rPr>
          <w:rFonts w:hint="eastAsia" w:ascii="宋体" w:hAnsi="宋体" w:eastAsia="宋体" w:cs="宋体"/>
          <w:iCs w:val="0"/>
          <w:color w:val="auto"/>
          <w:sz w:val="21"/>
          <w:szCs w:val="21"/>
          <w:highlight w:val="none"/>
          <w:lang w:val="en-US" w:eastAsia="zh-CN" w:bidi="ar-SA"/>
        </w:rPr>
        <w:sym w:font="Wingdings" w:char="00A8"/>
      </w:r>
      <w:r>
        <w:rPr>
          <w:rFonts w:hint="eastAsia" w:ascii="宋体" w:hAnsi="宋体" w:eastAsia="宋体" w:cs="宋体"/>
          <w:iCs w:val="0"/>
          <w:color w:val="auto"/>
          <w:sz w:val="21"/>
          <w:szCs w:val="21"/>
          <w:highlight w:val="none"/>
          <w:lang w:val="en-US" w:eastAsia="zh-CN" w:bidi="ar-SA"/>
        </w:rPr>
        <w:t xml:space="preserve">竞争性谈判 </w:t>
      </w:r>
      <w:r>
        <w:rPr>
          <w:rFonts w:hint="eastAsia" w:ascii="宋体" w:hAnsi="宋体" w:eastAsia="宋体" w:cs="宋体"/>
          <w:iCs w:val="0"/>
          <w:color w:val="auto"/>
          <w:sz w:val="21"/>
          <w:szCs w:val="21"/>
          <w:highlight w:val="none"/>
          <w:lang w:val="en-US" w:eastAsia="zh-CN" w:bidi="ar-SA"/>
        </w:rPr>
        <w:sym w:font="Wingdings" w:char="00A8"/>
      </w:r>
      <w:r>
        <w:rPr>
          <w:rFonts w:hint="eastAsia" w:ascii="宋体" w:hAnsi="宋体" w:eastAsia="宋体" w:cs="宋体"/>
          <w:iCs w:val="0"/>
          <w:color w:val="auto"/>
          <w:sz w:val="21"/>
          <w:szCs w:val="21"/>
          <w:highlight w:val="none"/>
          <w:lang w:val="en-US" w:eastAsia="zh-CN" w:bidi="ar-SA"/>
        </w:rPr>
        <w:t>竞争性磋商</w:t>
      </w:r>
    </w:p>
    <w:p w14:paraId="2424AD5C">
      <w:pPr>
        <w:numPr>
          <w:ilvl w:val="-1"/>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bidi="ar-SA"/>
        </w:rPr>
      </w:pPr>
      <w:r>
        <w:rPr>
          <w:rFonts w:hint="eastAsia" w:ascii="宋体" w:hAnsi="宋体" w:eastAsia="华文楷体" w:cs="宋体"/>
          <w:color w:val="auto"/>
          <w:sz w:val="22"/>
          <w:szCs w:val="21"/>
          <w:highlight w:val="none"/>
          <w:u w:val="none"/>
          <w:lang w:val="en-US" w:eastAsia="zh-CN" w:bidi="ar-SA"/>
        </w:rPr>
        <w:t xml:space="preserve">                  </w:t>
      </w:r>
      <w:r>
        <w:rPr>
          <w:rFonts w:hint="eastAsia" w:ascii="宋体" w:hAnsi="宋体" w:eastAsia="宋体" w:cs="宋体"/>
          <w:iCs w:val="0"/>
          <w:color w:val="auto"/>
          <w:sz w:val="21"/>
          <w:szCs w:val="21"/>
          <w:highlight w:val="none"/>
          <w:lang w:val="en-US" w:eastAsia="zh-CN" w:bidi="ar-SA"/>
        </w:rPr>
        <w:sym w:font="Wingdings" w:char="00A8"/>
      </w:r>
      <w:r>
        <w:rPr>
          <w:rFonts w:hint="eastAsia" w:ascii="宋体" w:hAnsi="宋体" w:eastAsia="宋体" w:cs="宋体"/>
          <w:iCs w:val="0"/>
          <w:color w:val="auto"/>
          <w:sz w:val="21"/>
          <w:szCs w:val="21"/>
          <w:highlight w:val="none"/>
          <w:lang w:val="en-US" w:eastAsia="zh-CN" w:bidi="ar-SA"/>
        </w:rPr>
        <w:t xml:space="preserve">询价 </w:t>
      </w:r>
      <w:r>
        <w:rPr>
          <w:rFonts w:hint="eastAsia" w:ascii="宋体" w:hAnsi="宋体" w:eastAsia="宋体" w:cs="宋体"/>
          <w:iCs w:val="0"/>
          <w:color w:val="auto"/>
          <w:sz w:val="21"/>
          <w:szCs w:val="21"/>
          <w:highlight w:val="none"/>
          <w:lang w:val="en-US" w:eastAsia="zh-CN" w:bidi="ar-SA"/>
        </w:rPr>
        <w:sym w:font="Wingdings" w:char="00A8"/>
      </w:r>
      <w:r>
        <w:rPr>
          <w:rFonts w:hint="eastAsia" w:ascii="宋体" w:hAnsi="宋体" w:eastAsia="宋体" w:cs="宋体"/>
          <w:iCs w:val="0"/>
          <w:color w:val="auto"/>
          <w:sz w:val="21"/>
          <w:szCs w:val="21"/>
          <w:highlight w:val="none"/>
          <w:lang w:val="en-US" w:eastAsia="zh-CN" w:bidi="ar-SA"/>
        </w:rPr>
        <w:t xml:space="preserve">单一来源 </w:t>
      </w:r>
      <w:r>
        <w:rPr>
          <w:rFonts w:hint="eastAsia" w:ascii="宋体" w:hAnsi="宋体" w:eastAsia="宋体" w:cs="宋体"/>
          <w:iCs w:val="0"/>
          <w:color w:val="auto"/>
          <w:sz w:val="21"/>
          <w:szCs w:val="21"/>
          <w:highlight w:val="none"/>
          <w:lang w:val="en-US" w:eastAsia="zh-CN" w:bidi="ar-SA"/>
        </w:rPr>
        <w:sym w:font="Wingdings" w:char="00A8"/>
      </w:r>
      <w:r>
        <w:rPr>
          <w:rFonts w:hint="eastAsia" w:ascii="宋体" w:hAnsi="宋体" w:eastAsia="宋体" w:cs="宋体"/>
          <w:iCs w:val="0"/>
          <w:color w:val="auto"/>
          <w:sz w:val="21"/>
          <w:szCs w:val="21"/>
          <w:highlight w:val="none"/>
          <w:lang w:val="en-US" w:eastAsia="zh-CN" w:bidi="ar-SA"/>
        </w:rPr>
        <w:t xml:space="preserve">框架协议 </w:t>
      </w:r>
      <w:r>
        <w:rPr>
          <w:rFonts w:hint="eastAsia" w:ascii="宋体" w:hAnsi="宋体" w:eastAsia="宋体" w:cs="宋体"/>
          <w:iCs w:val="0"/>
          <w:color w:val="auto"/>
          <w:sz w:val="21"/>
          <w:szCs w:val="21"/>
          <w:highlight w:val="none"/>
          <w:lang w:val="en-US" w:eastAsia="zh-CN" w:bidi="ar-SA"/>
        </w:rPr>
        <w:sym w:font="Wingdings" w:char="00A8"/>
      </w:r>
      <w:r>
        <w:rPr>
          <w:rFonts w:hint="eastAsia" w:ascii="宋体" w:hAnsi="宋体" w:eastAsia="宋体" w:cs="宋体"/>
          <w:iCs w:val="0"/>
          <w:color w:val="auto"/>
          <w:sz w:val="21"/>
          <w:szCs w:val="21"/>
          <w:highlight w:val="none"/>
          <w:lang w:val="en-US" w:eastAsia="zh-CN" w:bidi="ar-SA"/>
        </w:rPr>
        <w:t>其他：</w:t>
      </w:r>
      <w:r>
        <w:rPr>
          <w:rFonts w:hint="eastAsia" w:ascii="宋体" w:hAnsi="宋体" w:eastAsia="宋体" w:cs="宋体"/>
          <w:iCs w:val="0"/>
          <w:color w:val="auto"/>
          <w:sz w:val="21"/>
          <w:szCs w:val="21"/>
          <w:highlight w:val="none"/>
          <w:u w:val="single"/>
          <w:lang w:val="en-US" w:eastAsia="zh-CN" w:bidi="ar-SA"/>
        </w:rPr>
        <w:t xml:space="preserve">          </w:t>
      </w:r>
    </w:p>
    <w:p w14:paraId="6D4529A1">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bidi="ar-SA"/>
        </w:rPr>
      </w:pPr>
      <w:r>
        <w:rPr>
          <w:rFonts w:hint="eastAsia" w:ascii="宋体" w:hAnsi="宋体" w:eastAsia="宋体" w:cs="宋体"/>
          <w:iCs w:val="0"/>
          <w:color w:val="auto"/>
          <w:sz w:val="21"/>
          <w:szCs w:val="21"/>
          <w:highlight w:val="none"/>
          <w:u w:val="none"/>
          <w:lang w:val="en-US" w:eastAsia="zh-CN" w:bidi="ar-SA"/>
        </w:rPr>
        <w:t>（注：在框架协议采购的第二阶段，可选择使用该合同文本）</w:t>
      </w:r>
    </w:p>
    <w:p w14:paraId="5814962C">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 （</w:t>
      </w:r>
      <w:r>
        <w:rPr>
          <w:rFonts w:hint="default" w:ascii="宋体" w:hAnsi="宋体" w:eastAsia="华文楷体" w:cs="华文楷体"/>
          <w:color w:val="auto"/>
          <w:sz w:val="22"/>
          <w:szCs w:val="21"/>
          <w:highlight w:val="none"/>
          <w:lang w:val="en" w:eastAsia="zh-CN" w:bidi="ar-SA"/>
        </w:rPr>
        <w:t>6</w:t>
      </w:r>
      <w:r>
        <w:rPr>
          <w:rFonts w:hint="eastAsia" w:ascii="宋体" w:hAnsi="宋体" w:eastAsia="华文楷体" w:cs="华文楷体"/>
          <w:color w:val="auto"/>
          <w:sz w:val="22"/>
          <w:szCs w:val="21"/>
          <w:highlight w:val="none"/>
          <w:lang w:val="en-US" w:eastAsia="zh-CN" w:bidi="ar-SA"/>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42854ECA">
      <w:pPr>
        <w:numPr>
          <w:ilvl w:val="-1"/>
          <w:numId w:val="0"/>
        </w:numPr>
        <w:adjustRightInd w:val="0"/>
        <w:snapToGrid w:val="0"/>
        <w:spacing w:before="0" w:beforeLines="0" w:line="400" w:lineRule="exact"/>
        <w:ind w:left="0" w:leftChars="0" w:firstLine="0" w:firstLineChars="0"/>
        <w:rPr>
          <w:rFonts w:hint="eastAsia" w:ascii="宋体" w:hAnsi="宋体" w:eastAsia="宋体" w:cs="Times New Roman"/>
          <w:iCs/>
          <w:color w:val="auto"/>
          <w:szCs w:val="21"/>
          <w:highlight w:val="none"/>
        </w:rPr>
      </w:pPr>
      <w:r>
        <w:rPr>
          <w:rFonts w:hint="eastAsia" w:ascii="宋体" w:hAnsi="宋体" w:eastAsia="宋体" w:cs="Times New Roman"/>
          <w:color w:val="auto"/>
          <w:w w:val="100"/>
          <w:szCs w:val="21"/>
          <w:highlight w:val="none"/>
          <w:lang w:val="en-US" w:eastAsia="zh-CN"/>
        </w:rPr>
        <w:t xml:space="preserve">         本合同</w:t>
      </w:r>
      <w:r>
        <w:rPr>
          <w:rFonts w:hint="eastAsia" w:ascii="宋体" w:hAnsi="宋体" w:eastAsia="宋体" w:cs="Times New Roman"/>
          <w:color w:val="auto"/>
          <w:w w:val="100"/>
          <w:szCs w:val="21"/>
          <w:highlight w:val="none"/>
        </w:rPr>
        <w:t>是否</w:t>
      </w:r>
      <w:r>
        <w:rPr>
          <w:rFonts w:hint="eastAsia" w:ascii="宋体" w:hAnsi="宋体" w:eastAsia="宋体" w:cs="Times New Roman"/>
          <w:color w:val="auto"/>
          <w:w w:val="100"/>
          <w:szCs w:val="21"/>
          <w:highlight w:val="none"/>
          <w:lang w:eastAsia="zh-CN"/>
        </w:rPr>
        <w:t>为专门面向</w:t>
      </w:r>
      <w:r>
        <w:rPr>
          <w:rFonts w:hint="eastAsia" w:ascii="宋体" w:hAnsi="宋体" w:eastAsia="宋体" w:cs="Times New Roman"/>
          <w:color w:val="auto"/>
          <w:w w:val="100"/>
          <w:szCs w:val="21"/>
          <w:highlight w:val="none"/>
        </w:rPr>
        <w:t>中小企业</w:t>
      </w:r>
      <w:r>
        <w:rPr>
          <w:rFonts w:hint="eastAsia" w:ascii="宋体" w:hAnsi="宋体" w:eastAsia="宋体" w:cs="Times New Roman"/>
          <w:color w:val="auto"/>
          <w:w w:val="100"/>
          <w:szCs w:val="21"/>
          <w:highlight w:val="none"/>
          <w:lang w:eastAsia="zh-CN"/>
        </w:rPr>
        <w:t>的采</w:t>
      </w:r>
      <w:r>
        <w:rPr>
          <w:rFonts w:hint="eastAsia" w:ascii="宋体" w:hAnsi="宋体" w:eastAsia="宋体" w:cs="Times New Roman"/>
          <w:color w:val="auto"/>
          <w:w w:val="100"/>
          <w:szCs w:val="21"/>
          <w:highlight w:val="none"/>
          <w:shd w:val="clear"/>
          <w:lang w:eastAsia="zh-CN"/>
        </w:rPr>
        <w:t>购</w:t>
      </w:r>
      <w:r>
        <w:rPr>
          <w:rFonts w:hint="eastAsia" w:ascii="宋体" w:hAnsi="宋体" w:eastAsia="宋体" w:cs="Times New Roman"/>
          <w:color w:val="auto"/>
          <w:w w:val="100"/>
          <w:szCs w:val="21"/>
          <w:highlight w:val="none"/>
          <w:shd w:val="clear"/>
        </w:rPr>
        <w:t>合同</w:t>
      </w:r>
      <w:r>
        <w:rPr>
          <w:rFonts w:hint="eastAsia" w:ascii="宋体" w:hAnsi="宋体" w:eastAsia="宋体" w:cs="Times New Roman"/>
          <w:color w:val="auto"/>
          <w:w w:val="100"/>
          <w:szCs w:val="21"/>
          <w:highlight w:val="none"/>
          <w:shd w:val="clear"/>
          <w:lang w:eastAsia="zh-CN"/>
        </w:rPr>
        <w:t>（中小企业预留合同）</w:t>
      </w:r>
      <w:r>
        <w:rPr>
          <w:rFonts w:hint="eastAsia" w:ascii="宋体" w:hAnsi="宋体" w:eastAsia="宋体" w:cs="Times New Roman"/>
          <w:color w:val="auto"/>
          <w:szCs w:val="21"/>
          <w:highlight w:val="none"/>
          <w:shd w:val="clear"/>
        </w:rPr>
        <w:t>：</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 xml:space="preserve">是 </w:t>
      </w: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color w:val="auto"/>
          <w:szCs w:val="21"/>
          <w:highlight w:val="none"/>
        </w:rPr>
        <w:t xml:space="preserve">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否</w:t>
      </w:r>
    </w:p>
    <w:p w14:paraId="268F8592">
      <w:pPr>
        <w:numPr>
          <w:ilvl w:val="-1"/>
          <w:numId w:val="0"/>
        </w:numPr>
        <w:adjustRightInd w:val="0"/>
        <w:snapToGrid w:val="0"/>
        <w:spacing w:before="0" w:beforeLines="0" w:line="400" w:lineRule="exact"/>
        <w:ind w:firstLine="0" w:firstLineChars="0"/>
        <w:rPr>
          <w:rFonts w:hint="eastAsia" w:ascii="宋体" w:hAnsi="宋体" w:eastAsia="宋体" w:cs="Times New Roman"/>
          <w:iCs/>
          <w:color w:val="auto"/>
          <w:szCs w:val="21"/>
          <w:highlight w:val="none"/>
        </w:rPr>
      </w:pPr>
      <w:r>
        <w:rPr>
          <w:rFonts w:hint="eastAsia" w:ascii="Times New Roman" w:hAnsi="Times New Roman" w:eastAsia="宋体" w:cs="Times New Roman"/>
          <w:color w:val="auto"/>
          <w:highlight w:val="none"/>
          <w:lang w:val="en-US" w:eastAsia="zh-CN"/>
        </w:rPr>
        <w:t xml:space="preserve">         若本项目不专门面向中小企业采购，是否给予小微企业评审优惠：</w:t>
      </w:r>
      <w:r>
        <w:rPr>
          <w:rFonts w:hint="eastAsia" w:ascii="宋体" w:hAnsi="宋体" w:eastAsia="宋体" w:cs="Times New Roman"/>
          <w:iCs/>
          <w:color w:val="auto"/>
          <w:szCs w:val="21"/>
          <w:highlight w:val="none"/>
        </w:rPr>
        <w:sym w:font="Wingdings" w:char="00FE"/>
      </w:r>
      <w:r>
        <w:rPr>
          <w:rFonts w:hint="eastAsia" w:ascii="宋体" w:hAnsi="宋体" w:eastAsia="宋体" w:cs="Times New Roman"/>
          <w:iCs/>
          <w:color w:val="auto"/>
          <w:szCs w:val="21"/>
          <w:highlight w:val="none"/>
        </w:rPr>
        <w:t xml:space="preserve">是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否</w:t>
      </w:r>
    </w:p>
    <w:p w14:paraId="13F75237">
      <w:pPr>
        <w:numPr>
          <w:ilvl w:val="-1"/>
          <w:numId w:val="0"/>
        </w:numPr>
        <w:adjustRightInd w:val="0"/>
        <w:snapToGrid w:val="0"/>
        <w:spacing w:before="0" w:beforeLines="0" w:line="400" w:lineRule="exact"/>
        <w:ind w:firstLine="0" w:firstLineChars="0"/>
        <w:rPr>
          <w:rFonts w:hint="eastAsia" w:ascii="宋体" w:hAnsi="宋体" w:eastAsia="宋体" w:cs="Times New Roman"/>
          <w:iCs/>
          <w:color w:val="auto"/>
          <w:szCs w:val="21"/>
          <w:highlight w:val="none"/>
        </w:rPr>
      </w:pPr>
      <w:r>
        <w:rPr>
          <w:rFonts w:hint="eastAsia" w:ascii="Times New Roman" w:hAnsi="Times New Roman" w:eastAsia="宋体" w:cs="Times New Roman"/>
          <w:color w:val="auto"/>
          <w:highlight w:val="none"/>
          <w:lang w:val="en-US" w:eastAsia="zh-CN"/>
        </w:rPr>
        <w:t xml:space="preserve">         中标（成交）采购标的制造商是否为残疾人福利性单位：</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 xml:space="preserve">是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否</w:t>
      </w:r>
    </w:p>
    <w:p w14:paraId="61F90611">
      <w:pPr>
        <w:numPr>
          <w:ilvl w:val="0"/>
          <w:numId w:val="0"/>
        </w:numPr>
        <w:snapToGrid w:val="0"/>
        <w:spacing w:beforeLines="0" w:line="400" w:lineRule="exact"/>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 xml:space="preserve">         中标（成交）采购标的制造商是否为监狱企业：</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 xml:space="preserve">是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否</w:t>
      </w:r>
    </w:p>
    <w:p w14:paraId="27D79897">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default" w:ascii="宋体" w:hAnsi="宋体" w:eastAsia="宋体" w:cs="Times New Roman"/>
          <w:color w:val="auto"/>
          <w:szCs w:val="21"/>
          <w:highlight w:val="none"/>
          <w:lang w:val="en" w:eastAsia="zh-CN"/>
        </w:rPr>
        <w:t>7</w:t>
      </w:r>
      <w:r>
        <w:rPr>
          <w:rFonts w:hint="eastAsia" w:ascii="宋体" w:hAnsi="宋体" w:eastAsia="宋体" w:cs="Times New Roman"/>
          <w:color w:val="auto"/>
          <w:szCs w:val="21"/>
          <w:highlight w:val="none"/>
        </w:rPr>
        <w:t>）合同是否分包：</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 xml:space="preserve">是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否</w:t>
      </w:r>
    </w:p>
    <w:p w14:paraId="6DD30A68">
      <w:pPr>
        <w:adjustRightInd w:val="0"/>
        <w:snapToGrid w:val="0"/>
        <w:spacing w:before="0" w:beforeLines="0" w:line="400" w:lineRule="exact"/>
        <w:ind w:firstLine="840" w:firstLineChars="4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分包主要内容：</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p>
    <w:p w14:paraId="7B046E29">
      <w:pPr>
        <w:adjustRightInd w:val="0"/>
        <w:snapToGrid w:val="0"/>
        <w:spacing w:before="0" w:beforeLines="0" w:line="400" w:lineRule="exact"/>
        <w:ind w:firstLine="840" w:firstLineChars="4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u w:val="none"/>
          <w:lang w:val="en-US" w:eastAsia="zh-CN"/>
        </w:rPr>
        <w:t xml:space="preserve"> </w:t>
      </w:r>
      <w:r>
        <w:rPr>
          <w:rFonts w:hint="eastAsia" w:ascii="宋体" w:hAnsi="宋体" w:eastAsia="宋体" w:cs="Times New Roman"/>
          <w:color w:val="auto"/>
          <w:szCs w:val="21"/>
          <w:highlight w:val="none"/>
        </w:rPr>
        <w:t>分包供应商</w:t>
      </w:r>
      <w:r>
        <w:rPr>
          <w:rFonts w:hint="eastAsia" w:ascii="宋体" w:hAnsi="宋体" w:eastAsia="宋体" w:cs="Times New Roman"/>
          <w:color w:val="auto"/>
          <w:szCs w:val="21"/>
          <w:highlight w:val="none"/>
          <w:lang w:eastAsia="zh-CN"/>
        </w:rPr>
        <w:t>/制造商</w:t>
      </w:r>
      <w:r>
        <w:rPr>
          <w:rFonts w:hint="eastAsia" w:ascii="宋体" w:hAnsi="宋体" w:eastAsia="宋体" w:cs="Times New Roman"/>
          <w:color w:val="auto"/>
          <w:szCs w:val="21"/>
          <w:highlight w:val="none"/>
        </w:rPr>
        <w:t>名称</w:t>
      </w:r>
      <w:r>
        <w:rPr>
          <w:rFonts w:hint="eastAsia" w:ascii="宋体" w:hAnsi="宋体" w:eastAsia="宋体" w:cs="Times New Roman"/>
          <w:color w:val="auto"/>
          <w:szCs w:val="21"/>
          <w:highlight w:val="none"/>
          <w:lang w:eastAsia="zh-CN"/>
        </w:rPr>
        <w:t>（如供应商和制造商不同，请分别填写）</w:t>
      </w:r>
      <w:r>
        <w:rPr>
          <w:rFonts w:hint="eastAsia" w:ascii="宋体" w:hAnsi="宋体" w:eastAsia="宋体" w:cs="Times New Roman"/>
          <w:color w:val="auto"/>
          <w:szCs w:val="21"/>
          <w:highlight w:val="none"/>
        </w:rPr>
        <w:t>：</w:t>
      </w:r>
    </w:p>
    <w:p w14:paraId="3F4F2AB3">
      <w:pPr>
        <w:adjustRightInd w:val="0"/>
        <w:snapToGrid w:val="0"/>
        <w:spacing w:before="0" w:beforeLines="0" w:line="400" w:lineRule="exact"/>
        <w:ind w:firstLine="840" w:firstLineChars="4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non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p>
    <w:p w14:paraId="18EC1D44">
      <w:pPr>
        <w:adjustRightInd w:val="0"/>
        <w:snapToGrid w:val="0"/>
        <w:spacing w:before="0" w:beforeLines="0" w:line="400" w:lineRule="exact"/>
        <w:ind w:firstLine="840" w:firstLineChars="4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分包供应商</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制造商</w:t>
      </w:r>
      <w:r>
        <w:rPr>
          <w:rFonts w:hint="eastAsia" w:ascii="宋体" w:hAnsi="宋体" w:eastAsia="宋体" w:cs="Times New Roman"/>
          <w:color w:val="auto"/>
          <w:szCs w:val="21"/>
          <w:highlight w:val="none"/>
        </w:rPr>
        <w:t>类型</w:t>
      </w:r>
      <w:r>
        <w:rPr>
          <w:rFonts w:hint="eastAsia" w:ascii="宋体" w:hAnsi="宋体" w:eastAsia="宋体" w:cs="Times New Roman"/>
          <w:color w:val="auto"/>
          <w:szCs w:val="21"/>
          <w:highlight w:val="none"/>
          <w:lang w:eastAsia="zh-CN"/>
        </w:rPr>
        <w:t>（如果供应商和制造商不同，只填写制造商类型）</w:t>
      </w:r>
      <w:r>
        <w:rPr>
          <w:rFonts w:hint="eastAsia" w:ascii="宋体" w:hAnsi="宋体" w:eastAsia="宋体" w:cs="Times New Roman"/>
          <w:color w:val="auto"/>
          <w:szCs w:val="21"/>
          <w:highlight w:val="none"/>
        </w:rPr>
        <w:t>：</w:t>
      </w:r>
    </w:p>
    <w:p w14:paraId="31835315">
      <w:pPr>
        <w:adjustRightInd w:val="0"/>
        <w:snapToGrid w:val="0"/>
        <w:spacing w:beforeLines="0" w:line="400" w:lineRule="exact"/>
        <w:ind w:firstLine="840" w:firstLineChars="400"/>
        <w:rPr>
          <w:rFonts w:hint="eastAsia" w:ascii="宋体" w:hAnsi="宋体" w:eastAsia="宋体" w:cs="Times New Roman"/>
          <w:iCs/>
          <w:color w:val="auto"/>
          <w:szCs w:val="21"/>
          <w:highlight w:val="none"/>
          <w:lang w:val="en-US" w:eastAsia="zh-CN"/>
        </w:rPr>
      </w:pP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 xml:space="preserve">大型企业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 xml:space="preserve">中型企业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小微型企业</w:t>
      </w:r>
      <w:r>
        <w:rPr>
          <w:rFonts w:hint="eastAsia" w:ascii="宋体" w:hAnsi="宋体" w:eastAsia="宋体" w:cs="Times New Roman"/>
          <w:iCs/>
          <w:color w:val="auto"/>
          <w:szCs w:val="21"/>
          <w:highlight w:val="none"/>
          <w:lang w:val="en-US" w:eastAsia="zh-CN"/>
        </w:rPr>
        <w:t xml:space="preserve">  </w:t>
      </w:r>
    </w:p>
    <w:p w14:paraId="32B14DAA">
      <w:pPr>
        <w:adjustRightInd w:val="0"/>
        <w:snapToGrid w:val="0"/>
        <w:spacing w:beforeLines="0" w:line="400" w:lineRule="exact"/>
        <w:ind w:firstLine="840" w:firstLineChars="400"/>
        <w:rPr>
          <w:rFonts w:hint="default" w:ascii="Times New Roman" w:hAnsi="Times New Roman" w:eastAsia="华文楷体" w:cs="Times New Roman"/>
          <w:color w:val="auto"/>
          <w:highlight w:val="none"/>
          <w:u w:val="none"/>
          <w:lang w:val="en-US" w:eastAsia="zh-CN"/>
        </w:rPr>
      </w:pP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lang w:eastAsia="zh-CN"/>
        </w:rPr>
        <w:t>残疾人福利性单位</w:t>
      </w: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lang w:eastAsia="zh-CN"/>
        </w:rPr>
        <w:t>监狱</w:t>
      </w:r>
      <w:r>
        <w:rPr>
          <w:rFonts w:hint="eastAsia" w:ascii="宋体" w:hAnsi="宋体" w:eastAsia="宋体" w:cs="Times New Roman"/>
          <w:iCs/>
          <w:color w:val="auto"/>
          <w:szCs w:val="21"/>
          <w:highlight w:val="none"/>
        </w:rPr>
        <w:t>企业</w:t>
      </w: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lang w:eastAsia="zh-CN"/>
        </w:rPr>
        <w:t>其他</w:t>
      </w:r>
    </w:p>
    <w:p w14:paraId="5E06162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Times New Roman"/>
          <w:color w:val="auto"/>
          <w:szCs w:val="21"/>
          <w:highlight w:val="none"/>
          <w:u w:val="none"/>
          <w:lang w:val="en-US" w:eastAsia="zh-CN"/>
        </w:rPr>
        <w:t xml:space="preserve">    </w:t>
      </w:r>
      <w:r>
        <w:rPr>
          <w:rFonts w:hint="eastAsia" w:ascii="宋体" w:hAnsi="宋体" w:eastAsia="宋体" w:cs="宋体"/>
          <w:color w:val="auto"/>
          <w:szCs w:val="21"/>
          <w:highlight w:val="none"/>
          <w:u w:val="none"/>
          <w:lang w:val="en-US" w:eastAsia="zh-CN"/>
        </w:rPr>
        <w:t>（</w:t>
      </w:r>
      <w:r>
        <w:rPr>
          <w:rFonts w:hint="default" w:ascii="宋体" w:hAnsi="宋体" w:eastAsia="宋体" w:cs="宋体"/>
          <w:color w:val="auto"/>
          <w:szCs w:val="21"/>
          <w:highlight w:val="none"/>
          <w:u w:val="none"/>
          <w:lang w:val="en" w:eastAsia="zh-CN"/>
        </w:rPr>
        <w:t>8</w:t>
      </w:r>
      <w:r>
        <w:rPr>
          <w:rFonts w:hint="eastAsia" w:ascii="宋体" w:hAnsi="宋体" w:eastAsia="宋体" w:cs="宋体"/>
          <w:color w:val="auto"/>
          <w:szCs w:val="21"/>
          <w:highlight w:val="none"/>
          <w:u w:val="none"/>
          <w:lang w:val="en-US" w:eastAsia="zh-CN"/>
        </w:rPr>
        <w:t>）中标（成交）供应商是否为外商投资企业：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E82DCBD">
      <w:pPr>
        <w:tabs>
          <w:tab w:val="left" w:pos="1340"/>
        </w:tabs>
        <w:autoSpaceDE w:val="0"/>
        <w:autoSpaceDN w:val="0"/>
        <w:adjustRightInd w:val="0"/>
        <w:spacing w:beforeLines="0" w:line="400" w:lineRule="exact"/>
        <w:ind w:firstLine="420" w:firstLineChars="200"/>
        <w:rPr>
          <w:rFonts w:hint="eastAsia"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u w:val="none"/>
          <w:lang w:val="en-US" w:eastAsia="zh-CN" w:bidi="ar-SA"/>
        </w:rPr>
        <w:t xml:space="preserve">     外商投资企业类型：</w:t>
      </w:r>
      <w:r>
        <w:rPr>
          <w:rFonts w:hint="eastAsia" w:ascii="宋体" w:hAnsi="宋体" w:eastAsia="宋体" w:cs="宋体"/>
          <w:iCs/>
          <w:color w:val="auto"/>
          <w:sz w:val="21"/>
          <w:szCs w:val="21"/>
          <w:highlight w:val="none"/>
          <w:lang w:val="en-US" w:eastAsia="zh-CN" w:bidi="ar-SA"/>
        </w:rPr>
        <w:sym w:font="Wingdings" w:char="00A8"/>
      </w:r>
      <w:r>
        <w:rPr>
          <w:rFonts w:hint="eastAsia" w:ascii="宋体" w:hAnsi="宋体" w:eastAsia="宋体" w:cs="宋体"/>
          <w:color w:val="auto"/>
          <w:sz w:val="21"/>
          <w:szCs w:val="21"/>
          <w:highlight w:val="none"/>
          <w:u w:val="none"/>
          <w:lang w:val="en-US" w:eastAsia="zh-CN" w:bidi="ar-SA"/>
        </w:rPr>
        <w:t xml:space="preserve">全部由外国投资者投资  </w:t>
      </w:r>
      <w:r>
        <w:rPr>
          <w:rFonts w:hint="eastAsia" w:ascii="宋体" w:hAnsi="宋体" w:eastAsia="宋体" w:cs="宋体"/>
          <w:iCs/>
          <w:color w:val="auto"/>
          <w:sz w:val="21"/>
          <w:szCs w:val="21"/>
          <w:highlight w:val="none"/>
          <w:lang w:val="en-US" w:eastAsia="zh-CN" w:bidi="ar-SA"/>
        </w:rPr>
        <w:sym w:font="Wingdings" w:char="00A8"/>
      </w:r>
      <w:r>
        <w:rPr>
          <w:rFonts w:hint="eastAsia" w:ascii="宋体" w:hAnsi="宋体" w:eastAsia="宋体" w:cs="宋体"/>
          <w:iCs/>
          <w:color w:val="auto"/>
          <w:sz w:val="21"/>
          <w:szCs w:val="21"/>
          <w:highlight w:val="none"/>
          <w:lang w:val="en-US" w:eastAsia="zh-CN" w:bidi="ar-SA"/>
        </w:rPr>
        <w:t>部分由外国投资者投资</w:t>
      </w:r>
    </w:p>
    <w:p w14:paraId="3DBC401F">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685CE40F">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金额：</w:t>
      </w:r>
      <w:r>
        <w:rPr>
          <w:rFonts w:hint="eastAsia" w:ascii="宋体" w:hAnsi="宋体" w:eastAsia="宋体" w:cs="宋体"/>
          <w:color w:val="auto"/>
          <w:szCs w:val="21"/>
          <w:highlight w:val="none"/>
          <w:u w:val="single"/>
          <w:lang w:val="en-US" w:eastAsia="zh-CN"/>
        </w:rPr>
        <w:t xml:space="preserve">        </w:t>
      </w:r>
    </w:p>
    <w:p w14:paraId="1C963F20">
      <w:pPr>
        <w:numPr>
          <w:ilvl w:val="-1"/>
          <w:numId w:val="0"/>
        </w:numPr>
        <w:adjustRightInd w:val="0"/>
        <w:snapToGrid w:val="0"/>
        <w:spacing w:before="0" w:beforeLines="0" w:line="400" w:lineRule="exact"/>
        <w:ind w:firstLine="840" w:firstLineChars="400"/>
        <w:rPr>
          <w:rFonts w:hint="eastAsia" w:ascii="宋体" w:hAnsi="宋体" w:eastAsia="宋体" w:cs="Times New Roman"/>
          <w:iCs w:val="0"/>
          <w:color w:val="auto"/>
          <w:szCs w:val="21"/>
          <w:highlight w:val="none"/>
        </w:rPr>
      </w:pPr>
      <w:r>
        <w:rPr>
          <w:rFonts w:hint="eastAsia" w:ascii="宋体" w:hAnsi="宋体" w:eastAsia="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Times New Roman"/>
          <w:iCs w:val="0"/>
          <w:color w:val="auto"/>
          <w:szCs w:val="21"/>
          <w:highlight w:val="none"/>
        </w:rPr>
        <w:t xml:space="preserve">      </w:t>
      </w:r>
    </w:p>
    <w:p w14:paraId="43EAAB59">
      <w:pPr>
        <w:adjustRightInd w:val="0"/>
        <w:snapToGrid w:val="0"/>
        <w:spacing w:before="0" w:beforeLines="0" w:line="400" w:lineRule="exact"/>
        <w:ind w:firstLine="840" w:firstLineChars="4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iCs w:val="0"/>
          <w:color w:val="auto"/>
          <w:szCs w:val="21"/>
          <w:highlight w:val="none"/>
          <w:lang w:val="en-US" w:eastAsia="zh-CN"/>
        </w:rPr>
        <w:t xml:space="preserve"> </w:t>
      </w:r>
      <w:r>
        <w:rPr>
          <w:rFonts w:hint="eastAsia" w:ascii="宋体" w:hAnsi="宋体" w:eastAsia="宋体" w:cs="Times New Roman"/>
          <w:iCs w:val="0"/>
          <w:color w:val="auto"/>
          <w:szCs w:val="21"/>
          <w:highlight w:val="none"/>
        </w:rPr>
        <w:sym w:font="Wingdings" w:char="00FE"/>
      </w:r>
      <w:r>
        <w:rPr>
          <w:rFonts w:hint="eastAsia" w:ascii="宋体" w:hAnsi="宋体" w:eastAsia="宋体" w:cs="Times New Roman"/>
          <w:iCs w:val="0"/>
          <w:color w:val="auto"/>
          <w:szCs w:val="21"/>
          <w:highlight w:val="none"/>
          <w:lang w:eastAsia="zh-CN"/>
        </w:rPr>
        <w:t>否</w:t>
      </w:r>
    </w:p>
    <w:p w14:paraId="135110E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color w:val="auto"/>
          <w:sz w:val="21"/>
          <w:szCs w:val="21"/>
          <w:highlight w:val="none"/>
          <w:u w:val="none"/>
          <w:lang w:val="en-US" w:eastAsia="zh-CN"/>
        </w:rPr>
      </w:pPr>
      <w:r>
        <w:rPr>
          <w:rFonts w:hint="eastAsia" w:ascii="宋体" w:hAnsi="宋体" w:eastAsia="宋体" w:cs="Times New Roman"/>
          <w:b w:val="0"/>
          <w:bCs w:val="0"/>
          <w:color w:val="auto"/>
          <w:sz w:val="21"/>
          <w:szCs w:val="21"/>
          <w:highlight w:val="none"/>
          <w:u w:val="none"/>
          <w:lang w:val="en-US" w:eastAsia="zh-CN"/>
        </w:rPr>
        <w:t xml:space="preserve">    （1</w:t>
      </w:r>
      <w:r>
        <w:rPr>
          <w:rFonts w:hint="default" w:ascii="宋体" w:hAnsi="宋体" w:eastAsia="宋体" w:cs="Times New Roman"/>
          <w:b w:val="0"/>
          <w:bCs w:val="0"/>
          <w:color w:val="auto"/>
          <w:sz w:val="21"/>
          <w:szCs w:val="21"/>
          <w:highlight w:val="none"/>
          <w:u w:val="none"/>
          <w:lang w:val="en" w:eastAsia="zh-CN"/>
        </w:rPr>
        <w:t>0</w:t>
      </w:r>
      <w:r>
        <w:rPr>
          <w:rFonts w:hint="eastAsia" w:ascii="宋体" w:hAnsi="宋体" w:eastAsia="宋体" w:cs="Times New Roman"/>
          <w:b w:val="0"/>
          <w:bCs w:val="0"/>
          <w:color w:val="auto"/>
          <w:sz w:val="21"/>
          <w:szCs w:val="21"/>
          <w:highlight w:val="none"/>
          <w:u w:val="none"/>
          <w:lang w:val="en-US" w:eastAsia="zh-CN"/>
        </w:rPr>
        <w:t>）是否涉及节能产品：</w:t>
      </w:r>
    </w:p>
    <w:p w14:paraId="6CA17D0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color w:val="auto"/>
          <w:szCs w:val="21"/>
          <w:highlight w:val="none"/>
          <w:lang w:val="en-US" w:eastAsia="zh-CN"/>
        </w:rPr>
      </w:pPr>
      <w:r>
        <w:rPr>
          <w:rFonts w:hint="eastAsia" w:ascii="宋体" w:hAnsi="宋体" w:eastAsia="宋体" w:cs="Times New Roman"/>
          <w:b w:val="0"/>
          <w:bCs w:val="0"/>
          <w:color w:val="auto"/>
          <w:sz w:val="21"/>
          <w:szCs w:val="21"/>
          <w:highlight w:val="none"/>
          <w:u w:val="none"/>
          <w:lang w:val="en-US" w:eastAsia="zh-CN"/>
        </w:rPr>
        <w:t xml:space="preserve">         </w:t>
      </w:r>
      <w:r>
        <w:rPr>
          <w:rFonts w:hint="eastAsia" w:ascii="宋体" w:hAnsi="宋体" w:eastAsia="宋体" w:cs="Times New Roman"/>
          <w:iCs w:val="0"/>
          <w:color w:val="auto"/>
          <w:szCs w:val="21"/>
          <w:highlight w:val="none"/>
        </w:rPr>
        <w:sym w:font="Wingdings" w:char="00A8"/>
      </w:r>
      <w:r>
        <w:rPr>
          <w:rFonts w:hint="eastAsia" w:ascii="宋体" w:hAnsi="宋体" w:eastAsia="宋体" w:cs="Times New Roman"/>
          <w:iCs w:val="0"/>
          <w:color w:val="auto"/>
          <w:szCs w:val="21"/>
          <w:highlight w:val="none"/>
        </w:rPr>
        <w:t>是</w:t>
      </w:r>
      <w:r>
        <w:rPr>
          <w:rFonts w:hint="eastAsia" w:ascii="宋体" w:hAnsi="宋体" w:eastAsia="宋体" w:cs="Times New Roman"/>
          <w:iCs w:val="0"/>
          <w:color w:val="auto"/>
          <w:szCs w:val="21"/>
          <w:highlight w:val="none"/>
          <w:lang w:eastAsia="zh-CN"/>
        </w:rPr>
        <w:t>，《节能产品政府采购品目清单》的底级品目名称：</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iCs/>
          <w:color w:val="auto"/>
          <w:szCs w:val="21"/>
          <w:highlight w:val="none"/>
          <w:lang w:val="en-US" w:eastAsia="zh-CN"/>
        </w:rPr>
        <w:t xml:space="preserve">     </w:t>
      </w:r>
    </w:p>
    <w:p w14:paraId="44B5F305">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color w:val="auto"/>
          <w:szCs w:val="21"/>
          <w:highlight w:val="none"/>
          <w:lang w:val="en-US" w:eastAsia="zh-CN"/>
        </w:rPr>
      </w:pP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lang w:eastAsia="zh-CN"/>
        </w:rPr>
        <w:t>强制采购</w:t>
      </w: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lang w:eastAsia="zh-CN"/>
        </w:rPr>
        <w:t>优先采购</w:t>
      </w:r>
      <w:r>
        <w:rPr>
          <w:rFonts w:hint="eastAsia" w:ascii="宋体" w:hAnsi="宋体" w:eastAsia="宋体" w:cs="Times New Roman"/>
          <w:iCs/>
          <w:color w:val="auto"/>
          <w:szCs w:val="21"/>
          <w:highlight w:val="none"/>
          <w:lang w:val="en-US" w:eastAsia="zh-CN"/>
        </w:rPr>
        <w:t xml:space="preserve">    </w:t>
      </w:r>
    </w:p>
    <w:p w14:paraId="5816FF2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color w:val="auto"/>
          <w:szCs w:val="21"/>
          <w:highlight w:val="none"/>
        </w:rPr>
      </w:pP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val="0"/>
          <w:color w:val="auto"/>
          <w:szCs w:val="21"/>
          <w:highlight w:val="none"/>
        </w:rPr>
        <w:sym w:font="Wingdings" w:char="00A8"/>
      </w:r>
      <w:r>
        <w:rPr>
          <w:rFonts w:hint="eastAsia" w:ascii="宋体" w:hAnsi="宋体" w:eastAsia="宋体" w:cs="Times New Roman"/>
          <w:iCs w:val="0"/>
          <w:color w:val="auto"/>
          <w:szCs w:val="21"/>
          <w:highlight w:val="none"/>
        </w:rPr>
        <w:t>否</w:t>
      </w:r>
    </w:p>
    <w:p w14:paraId="2045343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color w:val="auto"/>
          <w:sz w:val="21"/>
          <w:szCs w:val="21"/>
          <w:highlight w:val="none"/>
          <w:u w:val="none"/>
          <w:lang w:val="en-US" w:eastAsia="zh-CN"/>
        </w:rPr>
      </w:pPr>
      <w:r>
        <w:rPr>
          <w:rFonts w:hint="eastAsia" w:ascii="宋体" w:hAnsi="宋体" w:eastAsia="宋体" w:cs="Times New Roman"/>
          <w:b w:val="0"/>
          <w:bCs w:val="0"/>
          <w:color w:val="auto"/>
          <w:sz w:val="21"/>
          <w:szCs w:val="21"/>
          <w:highlight w:val="none"/>
          <w:u w:val="none"/>
          <w:lang w:val="en-US" w:eastAsia="zh-CN"/>
        </w:rPr>
        <w:t xml:space="preserve">          是否涉及环境标志产品：</w:t>
      </w:r>
    </w:p>
    <w:p w14:paraId="66EBEA4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color w:val="auto"/>
          <w:szCs w:val="21"/>
          <w:highlight w:val="none"/>
          <w:lang w:eastAsia="zh-CN"/>
        </w:rPr>
      </w:pPr>
      <w:r>
        <w:rPr>
          <w:rFonts w:hint="eastAsia" w:ascii="宋体" w:hAnsi="宋体" w:eastAsia="宋体" w:cs="Times New Roman"/>
          <w:b w:val="0"/>
          <w:bCs w:val="0"/>
          <w:color w:val="auto"/>
          <w:sz w:val="21"/>
          <w:szCs w:val="21"/>
          <w:highlight w:val="none"/>
          <w:u w:val="none"/>
          <w:lang w:val="en-US" w:eastAsia="zh-CN"/>
        </w:rPr>
        <w:t xml:space="preserve">         </w:t>
      </w:r>
      <w:r>
        <w:rPr>
          <w:rFonts w:hint="eastAsia" w:ascii="宋体" w:hAnsi="宋体" w:eastAsia="宋体" w:cs="Times New Roman"/>
          <w:iCs w:val="0"/>
          <w:color w:val="auto"/>
          <w:szCs w:val="21"/>
          <w:highlight w:val="none"/>
        </w:rPr>
        <w:sym w:font="Wingdings" w:char="00A8"/>
      </w:r>
      <w:r>
        <w:rPr>
          <w:rFonts w:hint="eastAsia" w:ascii="宋体" w:hAnsi="宋体" w:eastAsia="宋体" w:cs="Times New Roman"/>
          <w:iCs w:val="0"/>
          <w:color w:val="auto"/>
          <w:szCs w:val="21"/>
          <w:highlight w:val="none"/>
        </w:rPr>
        <w:t>是</w:t>
      </w:r>
      <w:r>
        <w:rPr>
          <w:rFonts w:hint="eastAsia" w:ascii="宋体" w:hAnsi="宋体" w:eastAsia="宋体" w:cs="Times New Roman"/>
          <w:iCs w:val="0"/>
          <w:color w:val="auto"/>
          <w:szCs w:val="21"/>
          <w:highlight w:val="none"/>
          <w:lang w:eastAsia="zh-CN"/>
        </w:rPr>
        <w:t>，《环境标志产品政府采购品目清单》的底级品目名称：</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iCs/>
          <w:color w:val="auto"/>
          <w:szCs w:val="21"/>
          <w:highlight w:val="none"/>
          <w:lang w:val="en-US" w:eastAsia="zh-CN"/>
        </w:rPr>
        <w:t xml:space="preserve"> </w:t>
      </w:r>
    </w:p>
    <w:p w14:paraId="2CFD544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color w:val="auto"/>
          <w:szCs w:val="21"/>
          <w:highlight w:val="none"/>
          <w:lang w:val="en-US" w:eastAsia="zh-CN"/>
        </w:rPr>
      </w:pP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lang w:eastAsia="zh-CN"/>
        </w:rPr>
        <w:t>强制采购</w:t>
      </w: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lang w:eastAsia="zh-CN"/>
        </w:rPr>
        <w:t>优先采购</w:t>
      </w:r>
      <w:r>
        <w:rPr>
          <w:rFonts w:hint="eastAsia" w:ascii="宋体" w:hAnsi="宋体" w:eastAsia="宋体" w:cs="Times New Roman"/>
          <w:iCs/>
          <w:color w:val="auto"/>
          <w:szCs w:val="21"/>
          <w:highlight w:val="none"/>
          <w:lang w:val="en-US" w:eastAsia="zh-CN"/>
        </w:rPr>
        <w:t xml:space="preserve">    </w:t>
      </w:r>
    </w:p>
    <w:p w14:paraId="44B285D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b w:val="0"/>
          <w:bCs w:val="0"/>
          <w:color w:val="auto"/>
          <w:sz w:val="21"/>
          <w:szCs w:val="21"/>
          <w:highlight w:val="none"/>
          <w:u w:val="none"/>
          <w:lang w:val="en-US" w:eastAsia="zh-CN"/>
        </w:rPr>
      </w:pP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val="0"/>
          <w:color w:val="auto"/>
          <w:szCs w:val="21"/>
          <w:highlight w:val="none"/>
        </w:rPr>
        <w:sym w:font="Wingdings" w:char="00A8"/>
      </w:r>
      <w:r>
        <w:rPr>
          <w:rFonts w:hint="eastAsia" w:ascii="宋体" w:hAnsi="宋体" w:eastAsia="宋体" w:cs="Times New Roman"/>
          <w:iCs w:val="0"/>
          <w:color w:val="auto"/>
          <w:szCs w:val="21"/>
          <w:highlight w:val="none"/>
        </w:rPr>
        <w:t>否</w:t>
      </w:r>
    </w:p>
    <w:p w14:paraId="496DB8EB">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bidi="ar-SA"/>
        </w:rPr>
      </w:pPr>
      <w:r>
        <w:rPr>
          <w:rFonts w:hint="eastAsia" w:ascii="宋体" w:hAnsi="宋体" w:eastAsia="华文楷体" w:cs="华文楷体"/>
          <w:b w:val="0"/>
          <w:bCs w:val="0"/>
          <w:color w:val="auto"/>
          <w:sz w:val="21"/>
          <w:szCs w:val="21"/>
          <w:highlight w:val="none"/>
          <w:u w:val="none"/>
          <w:lang w:val="en-US" w:eastAsia="zh-CN" w:bidi="ar-SA"/>
        </w:rPr>
        <w:t xml:space="preserve">          </w:t>
      </w:r>
      <w:r>
        <w:rPr>
          <w:rFonts w:hint="eastAsia" w:ascii="宋体" w:hAnsi="宋体" w:eastAsia="宋体" w:cs="Times New Roman"/>
          <w:b w:val="0"/>
          <w:bCs w:val="0"/>
          <w:color w:val="auto"/>
          <w:kern w:val="2"/>
          <w:sz w:val="21"/>
          <w:szCs w:val="21"/>
          <w:highlight w:val="none"/>
          <w:u w:val="none"/>
          <w:lang w:val="en-US" w:eastAsia="zh-CN" w:bidi="ar-SA"/>
        </w:rPr>
        <w:t>是否涉及绿色产品：</w:t>
      </w:r>
      <w:r>
        <w:rPr>
          <w:rFonts w:hint="eastAsia" w:ascii="宋体" w:hAnsi="宋体" w:eastAsia="宋体" w:cs="Times New Roman"/>
          <w:iCs w:val="0"/>
          <w:color w:val="auto"/>
          <w:kern w:val="2"/>
          <w:sz w:val="21"/>
          <w:szCs w:val="21"/>
          <w:highlight w:val="none"/>
          <w:u w:val="none"/>
          <w:lang w:val="en-US" w:eastAsia="zh-CN" w:bidi="ar-SA"/>
        </w:rPr>
        <w:t xml:space="preserve"> </w:t>
      </w:r>
    </w:p>
    <w:p w14:paraId="0BE0249E">
      <w:pPr>
        <w:autoSpaceDE w:val="0"/>
        <w:autoSpaceDN w:val="0"/>
        <w:adjustRightInd w:val="0"/>
        <w:spacing w:beforeLines="0" w:line="400" w:lineRule="exact"/>
        <w:ind w:firstLine="420" w:firstLineChars="0"/>
        <w:rPr>
          <w:rFonts w:hint="eastAsia" w:ascii="宋体" w:hAnsi="宋体" w:eastAsia="宋体" w:cs="华文楷体"/>
          <w:color w:val="auto"/>
          <w:sz w:val="22"/>
          <w:szCs w:val="21"/>
          <w:highlight w:val="none"/>
          <w:u w:val="single"/>
          <w:lang w:val="en-US" w:eastAsia="zh-CN" w:bidi="ar-SA"/>
        </w:rPr>
      </w:pPr>
      <w:r>
        <w:rPr>
          <w:rFonts w:hint="eastAsia" w:ascii="宋体" w:hAnsi="宋体" w:eastAsia="宋体" w:cs="Times New Roman"/>
          <w:iCs w:val="0"/>
          <w:color w:val="auto"/>
          <w:kern w:val="2"/>
          <w:sz w:val="21"/>
          <w:szCs w:val="21"/>
          <w:highlight w:val="none"/>
          <w:u w:val="none"/>
          <w:lang w:val="en-US" w:eastAsia="zh-CN" w:bidi="ar-SA"/>
        </w:rPr>
        <w:t xml:space="preserve">     </w:t>
      </w:r>
      <w:r>
        <w:rPr>
          <w:rFonts w:hint="eastAsia" w:ascii="宋体" w:hAnsi="宋体" w:eastAsia="宋体" w:cs="Times New Roman"/>
          <w:iCs w:val="0"/>
          <w:color w:val="auto"/>
          <w:kern w:val="2"/>
          <w:sz w:val="21"/>
          <w:szCs w:val="21"/>
          <w:highlight w:val="none"/>
          <w:u w:val="none"/>
          <w:lang w:val="en-US" w:eastAsia="zh-CN" w:bidi="ar-SA"/>
        </w:rPr>
        <w:sym w:font="Wingdings" w:char="00A8"/>
      </w:r>
      <w:r>
        <w:rPr>
          <w:rFonts w:hint="eastAsia" w:ascii="宋体" w:hAnsi="宋体" w:eastAsia="宋体" w:cs="Times New Roman"/>
          <w:iCs w:val="0"/>
          <w:color w:val="auto"/>
          <w:kern w:val="2"/>
          <w:sz w:val="21"/>
          <w:szCs w:val="21"/>
          <w:highlight w:val="none"/>
          <w:u w:val="none"/>
          <w:lang w:val="en-US" w:eastAsia="zh-CN" w:bidi="ar-SA"/>
        </w:rPr>
        <w:t>是，绿色产品政府采购相关政策确定的底级品目名称：</w:t>
      </w:r>
      <w:r>
        <w:rPr>
          <w:rFonts w:hint="eastAsia" w:ascii="宋体" w:hAnsi="宋体" w:eastAsia="宋体" w:cs="华文楷体"/>
          <w:color w:val="auto"/>
          <w:sz w:val="22"/>
          <w:szCs w:val="21"/>
          <w:highlight w:val="none"/>
          <w:u w:val="single"/>
          <w:lang w:val="en-US" w:eastAsia="zh-CN" w:bidi="ar-SA"/>
        </w:rPr>
        <w:t xml:space="preserve">         </w:t>
      </w:r>
    </w:p>
    <w:p w14:paraId="08504209">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color w:val="auto"/>
          <w:szCs w:val="21"/>
          <w:highlight w:val="none"/>
          <w:lang w:val="en-US" w:eastAsia="zh-CN"/>
        </w:rPr>
      </w:pP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lang w:eastAsia="zh-CN"/>
        </w:rPr>
        <w:t>强制采购</w:t>
      </w: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lang w:eastAsia="zh-CN"/>
        </w:rPr>
        <w:t>优先采购</w:t>
      </w:r>
      <w:r>
        <w:rPr>
          <w:rFonts w:hint="eastAsia" w:ascii="宋体" w:hAnsi="宋体" w:eastAsia="宋体" w:cs="Times New Roman"/>
          <w:iCs/>
          <w:color w:val="auto"/>
          <w:szCs w:val="21"/>
          <w:highlight w:val="none"/>
          <w:lang w:val="en-US" w:eastAsia="zh-CN"/>
        </w:rPr>
        <w:t xml:space="preserve">    </w:t>
      </w:r>
    </w:p>
    <w:p w14:paraId="04B9F8BD">
      <w:pPr>
        <w:autoSpaceDE w:val="0"/>
        <w:autoSpaceDN w:val="0"/>
        <w:adjustRightInd w:val="0"/>
        <w:spacing w:beforeLines="0" w:line="400" w:lineRule="exact"/>
        <w:ind w:firstLine="420" w:firstLineChars="0"/>
        <w:rPr>
          <w:rFonts w:hint="eastAsia" w:ascii="宋体" w:hAnsi="宋体" w:eastAsia="华文楷体" w:cs="华文楷体"/>
          <w:b w:val="0"/>
          <w:bCs w:val="0"/>
          <w:color w:val="auto"/>
          <w:sz w:val="21"/>
          <w:szCs w:val="21"/>
          <w:highlight w:val="none"/>
          <w:u w:val="none"/>
          <w:lang w:val="en-US" w:eastAsia="zh-CN" w:bidi="ar-SA"/>
        </w:rPr>
      </w:pPr>
      <w:r>
        <w:rPr>
          <w:rFonts w:hint="eastAsia" w:ascii="宋体" w:hAnsi="宋体" w:eastAsia="宋体" w:cs="Times New Roman"/>
          <w:iCs w:val="0"/>
          <w:color w:val="auto"/>
          <w:kern w:val="2"/>
          <w:sz w:val="21"/>
          <w:szCs w:val="21"/>
          <w:highlight w:val="none"/>
          <w:u w:val="none"/>
          <w:lang w:val="en-US" w:eastAsia="zh-CN" w:bidi="ar-SA"/>
        </w:rPr>
        <w:t xml:space="preserve">     </w:t>
      </w:r>
      <w:r>
        <w:rPr>
          <w:rFonts w:hint="eastAsia" w:ascii="宋体" w:hAnsi="宋体" w:eastAsia="宋体" w:cs="Times New Roman"/>
          <w:iCs w:val="0"/>
          <w:color w:val="auto"/>
          <w:kern w:val="2"/>
          <w:sz w:val="21"/>
          <w:szCs w:val="21"/>
          <w:highlight w:val="none"/>
          <w:u w:val="none"/>
          <w:lang w:val="en-US" w:eastAsia="zh-CN" w:bidi="ar-SA"/>
        </w:rPr>
        <w:sym w:font="Wingdings" w:char="00A8"/>
      </w:r>
      <w:r>
        <w:rPr>
          <w:rFonts w:hint="eastAsia" w:ascii="宋体" w:hAnsi="宋体" w:eastAsia="宋体" w:cs="Times New Roman"/>
          <w:iCs w:val="0"/>
          <w:color w:val="auto"/>
          <w:kern w:val="2"/>
          <w:sz w:val="21"/>
          <w:szCs w:val="21"/>
          <w:highlight w:val="none"/>
          <w:u w:val="none"/>
          <w:lang w:val="en-US" w:eastAsia="zh-CN" w:bidi="ar-SA"/>
        </w:rPr>
        <w:t>否</w:t>
      </w:r>
    </w:p>
    <w:p w14:paraId="2592AE94">
      <w:pPr>
        <w:numPr>
          <w:ilvl w:val="-1"/>
          <w:numId w:val="0"/>
        </w:numPr>
        <w:adjustRightInd w:val="0"/>
        <w:snapToGrid w:val="0"/>
        <w:spacing w:before="0" w:beforeLines="0" w:line="400" w:lineRule="exact"/>
        <w:ind w:firstLine="0" w:firstLineChars="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    （1</w:t>
      </w:r>
      <w:r>
        <w:rPr>
          <w:rFonts w:hint="default" w:ascii="宋体" w:hAnsi="宋体" w:eastAsia="宋体" w:cs="Times New Roman"/>
          <w:color w:val="auto"/>
          <w:szCs w:val="21"/>
          <w:highlight w:val="none"/>
          <w:lang w:val="en" w:eastAsia="zh-CN"/>
        </w:rPr>
        <w:t>1</w:t>
      </w:r>
      <w:r>
        <w:rPr>
          <w:rFonts w:hint="eastAsia" w:ascii="宋体" w:hAnsi="宋体" w:eastAsia="宋体" w:cs="Times New Roman"/>
          <w:color w:val="auto"/>
          <w:szCs w:val="21"/>
          <w:highlight w:val="none"/>
          <w:lang w:val="en-US" w:eastAsia="zh-CN"/>
        </w:rPr>
        <w:t>）涉及商品包装和快递包装的，是否参考</w:t>
      </w:r>
      <w:r>
        <w:rPr>
          <w:rFonts w:hint="eastAsia" w:ascii="宋体" w:hAnsi="宋体" w:eastAsia="宋体" w:cs="Times New Roman"/>
          <w:color w:val="auto"/>
          <w:szCs w:val="21"/>
          <w:highlight w:val="none"/>
        </w:rPr>
        <w:t>《商品包装政府采购需求标准（试行）》、《快递包装政府采购需求标准（试行）》</w:t>
      </w:r>
      <w:r>
        <w:rPr>
          <w:rFonts w:hint="eastAsia" w:ascii="宋体" w:hAnsi="宋体" w:eastAsia="宋体" w:cs="Times New Roman"/>
          <w:color w:val="auto"/>
          <w:szCs w:val="21"/>
          <w:highlight w:val="none"/>
          <w:lang w:eastAsia="zh-CN"/>
        </w:rPr>
        <w:t>明确产品及相关快递服务的具体包装要求：</w:t>
      </w:r>
    </w:p>
    <w:p w14:paraId="70E22853">
      <w:pPr>
        <w:numPr>
          <w:ilvl w:val="-1"/>
          <w:numId w:val="0"/>
        </w:numPr>
        <w:adjustRightInd w:val="0"/>
        <w:snapToGrid w:val="0"/>
        <w:spacing w:before="0" w:beforeLines="0" w:line="400" w:lineRule="exact"/>
        <w:ind w:firstLine="840" w:firstLineChars="400"/>
        <w:rPr>
          <w:rFonts w:hint="eastAsia" w:ascii="宋体" w:hAnsi="宋体" w:eastAsia="宋体" w:cs="Times New Roman"/>
          <w:iCs w:val="0"/>
          <w:color w:val="auto"/>
          <w:szCs w:val="21"/>
          <w:highlight w:val="none"/>
          <w:lang w:val="en-US" w:eastAsia="zh-CN"/>
        </w:rPr>
      </w:pPr>
      <w:r>
        <w:rPr>
          <w:rFonts w:hint="eastAsia" w:ascii="宋体" w:hAnsi="宋体" w:eastAsia="宋体" w:cs="Times New Roman"/>
          <w:iCs w:val="0"/>
          <w:color w:val="auto"/>
          <w:szCs w:val="21"/>
          <w:highlight w:val="none"/>
        </w:rPr>
        <w:sym w:font="Wingdings" w:char="00A8"/>
      </w:r>
      <w:r>
        <w:rPr>
          <w:rFonts w:hint="eastAsia" w:ascii="宋体" w:hAnsi="宋体" w:eastAsia="宋体" w:cs="Times New Roman"/>
          <w:iCs w:val="0"/>
          <w:color w:val="auto"/>
          <w:szCs w:val="21"/>
          <w:highlight w:val="none"/>
        </w:rPr>
        <w:t xml:space="preserve">是       </w:t>
      </w:r>
      <w:r>
        <w:rPr>
          <w:rFonts w:hint="eastAsia" w:ascii="宋体" w:hAnsi="宋体" w:eastAsia="宋体" w:cs="Times New Roman"/>
          <w:iCs w:val="0"/>
          <w:color w:val="auto"/>
          <w:szCs w:val="21"/>
          <w:highlight w:val="none"/>
        </w:rPr>
        <w:sym w:font="Wingdings" w:char="00A8"/>
      </w:r>
      <w:r>
        <w:rPr>
          <w:rFonts w:hint="eastAsia" w:ascii="宋体" w:hAnsi="宋体" w:eastAsia="宋体" w:cs="Times New Roman"/>
          <w:iCs w:val="0"/>
          <w:color w:val="auto"/>
          <w:szCs w:val="21"/>
          <w:highlight w:val="none"/>
        </w:rPr>
        <w:t>否</w:t>
      </w:r>
      <w:r>
        <w:rPr>
          <w:rFonts w:hint="eastAsia" w:ascii="宋体" w:hAnsi="宋体" w:eastAsia="宋体" w:cs="Times New Roman"/>
          <w:iCs w:val="0"/>
          <w:color w:val="auto"/>
          <w:szCs w:val="21"/>
          <w:highlight w:val="none"/>
          <w:lang w:val="en-US" w:eastAsia="zh-CN"/>
        </w:rPr>
        <w:t xml:space="preserve">      </w:t>
      </w:r>
      <w:r>
        <w:rPr>
          <w:rFonts w:hint="eastAsia" w:ascii="宋体" w:hAnsi="宋体" w:eastAsia="宋体" w:cs="Times New Roman"/>
          <w:iCs w:val="0"/>
          <w:color w:val="auto"/>
          <w:szCs w:val="21"/>
          <w:highlight w:val="none"/>
        </w:rPr>
        <w:sym w:font="Wingdings" w:char="00A8"/>
      </w:r>
      <w:r>
        <w:rPr>
          <w:rFonts w:hint="eastAsia" w:ascii="宋体" w:hAnsi="宋体" w:eastAsia="宋体" w:cs="Times New Roman"/>
          <w:iCs w:val="0"/>
          <w:color w:val="auto"/>
          <w:szCs w:val="21"/>
          <w:highlight w:val="none"/>
          <w:lang w:eastAsia="zh-CN"/>
        </w:rPr>
        <w:t>不涉及</w:t>
      </w:r>
    </w:p>
    <w:p w14:paraId="2F9CE51D">
      <w:pPr>
        <w:numPr>
          <w:ilvl w:val="0"/>
          <w:numId w:val="24"/>
        </w:numPr>
        <w:adjustRightInd w:val="0"/>
        <w:snapToGrid w:val="0"/>
        <w:spacing w:before="0" w:beforeLines="0" w:line="4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合同金额</w:t>
      </w:r>
    </w:p>
    <w:p w14:paraId="11971F64">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（1）合同金额小写：</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p>
    <w:p w14:paraId="342A013F">
      <w:pPr>
        <w:adjustRightInd w:val="0"/>
        <w:snapToGrid w:val="0"/>
        <w:spacing w:before="0" w:beforeLines="0" w:line="400" w:lineRule="exact"/>
        <w:ind w:left="0" w:firstLine="0" w:firstLineChars="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大写：</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p>
    <w:p w14:paraId="6709FBE2">
      <w:pPr>
        <w:adjustRightInd w:val="0"/>
        <w:snapToGrid w:val="0"/>
        <w:spacing w:before="0" w:beforeLines="0" w:line="40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分包金额</w:t>
      </w:r>
      <w:r>
        <w:rPr>
          <w:rFonts w:hint="eastAsia" w:ascii="宋体" w:hAnsi="宋体" w:eastAsia="宋体" w:cs="Times New Roman"/>
          <w:color w:val="auto"/>
          <w:szCs w:val="21"/>
          <w:highlight w:val="none"/>
          <w:lang w:eastAsia="zh-CN"/>
        </w:rPr>
        <w:t>（如有）</w:t>
      </w:r>
      <w:r>
        <w:rPr>
          <w:rFonts w:hint="eastAsia" w:ascii="宋体" w:hAnsi="宋体" w:eastAsia="宋体" w:cs="Times New Roman"/>
          <w:color w:val="auto"/>
          <w:szCs w:val="21"/>
          <w:highlight w:val="none"/>
        </w:rPr>
        <w:t>小写：</w:t>
      </w:r>
      <w:r>
        <w:rPr>
          <w:rFonts w:hint="eastAsia" w:ascii="宋体" w:hAnsi="宋体" w:eastAsia="宋体" w:cs="Times New Roman"/>
          <w:color w:val="auto"/>
          <w:szCs w:val="21"/>
          <w:highlight w:val="none"/>
          <w:u w:val="single"/>
        </w:rPr>
        <w:t xml:space="preserve">                   </w:t>
      </w:r>
    </w:p>
    <w:p w14:paraId="0BEED52E">
      <w:pPr>
        <w:adjustRightInd w:val="0"/>
        <w:snapToGrid w:val="0"/>
        <w:spacing w:before="0" w:beforeLines="0" w:line="400" w:lineRule="exact"/>
        <w:ind w:firstLine="0" w:firstLineChars="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大写：</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p>
    <w:p w14:paraId="0A1C8A9C">
      <w:pPr>
        <w:adjustRightInd w:val="0"/>
        <w:snapToGrid w:val="0"/>
        <w:spacing w:before="0" w:beforeLines="0" w:line="400" w:lineRule="exact"/>
        <w:ind w:firstLine="0" w:firstLineChars="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    （注：固定单价合同应填写单价和最高限价）</w:t>
      </w:r>
    </w:p>
    <w:p w14:paraId="6A953BD7">
      <w:pPr>
        <w:numPr>
          <w:ilvl w:val="-1"/>
          <w:numId w:val="0"/>
        </w:numPr>
        <w:adjustRightInd w:val="0"/>
        <w:snapToGrid w:val="0"/>
        <w:spacing w:before="0" w:beforeLines="0" w:line="400" w:lineRule="exact"/>
        <w:ind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合同定价方式</w:t>
      </w:r>
      <w:r>
        <w:rPr>
          <w:rFonts w:hint="eastAsia" w:ascii="宋体" w:hAnsi="宋体" w:eastAsia="宋体" w:cs="Times New Roman"/>
          <w:color w:val="auto"/>
          <w:szCs w:val="21"/>
          <w:highlight w:val="none"/>
          <w:lang w:eastAsia="zh-CN"/>
        </w:rPr>
        <w:t>（采用组合定价方式的，可以勾选多项）</w:t>
      </w:r>
      <w:r>
        <w:rPr>
          <w:rFonts w:hint="eastAsia" w:ascii="宋体" w:hAnsi="宋体" w:eastAsia="宋体" w:cs="Times New Roman"/>
          <w:color w:val="auto"/>
          <w:szCs w:val="21"/>
          <w:highlight w:val="none"/>
        </w:rPr>
        <w:t>：</w:t>
      </w:r>
    </w:p>
    <w:p w14:paraId="44F15E83">
      <w:pPr>
        <w:adjustRightInd w:val="0"/>
        <w:snapToGrid w:val="0"/>
        <w:spacing w:before="0" w:beforeLines="0"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color w:val="auto"/>
          <w:szCs w:val="21"/>
          <w:highlight w:val="none"/>
        </w:rPr>
        <w:sym w:font="Wingdings" w:char="00FE"/>
      </w:r>
      <w:r>
        <w:rPr>
          <w:rFonts w:hint="eastAsia" w:ascii="宋体" w:hAnsi="宋体" w:eastAsia="宋体" w:cs="Times New Roman"/>
          <w:iCs/>
          <w:color w:val="auto"/>
          <w:szCs w:val="21"/>
          <w:highlight w:val="none"/>
        </w:rPr>
        <w:t xml:space="preserve">固定总价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固定单价</w:t>
      </w: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lang w:eastAsia="zh-CN"/>
        </w:rPr>
        <w:t>固定费率</w:t>
      </w:r>
      <w:r>
        <w:rPr>
          <w:rFonts w:hint="eastAsia" w:ascii="宋体" w:hAnsi="宋体" w:eastAsia="宋体" w:cs="Times New Roman"/>
          <w:iCs/>
          <w:color w:val="auto"/>
          <w:szCs w:val="21"/>
          <w:highlight w:val="none"/>
        </w:rPr>
        <w:t xml:space="preserve">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 xml:space="preserve">成本补偿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绩效激励</w:t>
      </w: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lang w:eastAsia="zh-CN"/>
        </w:rPr>
        <w:t>其他</w:t>
      </w:r>
      <w:r>
        <w:rPr>
          <w:rFonts w:hint="eastAsia" w:ascii="宋体" w:hAnsi="宋体" w:eastAsia="宋体" w:cs="Times New Roman"/>
          <w:color w:val="auto"/>
          <w:szCs w:val="21"/>
          <w:highlight w:val="none"/>
          <w:u w:val="single"/>
        </w:rPr>
        <w:t xml:space="preserve">       </w:t>
      </w:r>
    </w:p>
    <w:p w14:paraId="0C3DF4D7">
      <w:pPr>
        <w:widowControl w:val="0"/>
        <w:spacing w:beforeLines="0" w:line="40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（3）付款方式（按项目实际勾选填写）：</w:t>
      </w:r>
    </w:p>
    <w:p w14:paraId="656815AE">
      <w:pPr>
        <w:adjustRightInd w:val="0"/>
        <w:snapToGrid w:val="0"/>
        <w:spacing w:before="0" w:beforeLines="0" w:line="400" w:lineRule="exact"/>
        <w:ind w:firstLine="630" w:firstLineChars="3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sym w:font="Wingdings" w:char="00A8"/>
      </w:r>
      <w:r>
        <w:rPr>
          <w:rFonts w:hint="eastAsia" w:ascii="宋体" w:hAnsi="宋体" w:eastAsia="宋体" w:cs="Times New Roman"/>
          <w:color w:val="auto"/>
          <w:szCs w:val="21"/>
          <w:highlight w:val="none"/>
        </w:rPr>
        <w:t>全额付款：</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p>
    <w:p w14:paraId="1A7B5301">
      <w:pPr>
        <w:snapToGrid w:val="0"/>
        <w:spacing w:beforeLines="0" w:line="400" w:lineRule="exact"/>
        <w:ind w:firstLine="630" w:firstLineChars="300"/>
        <w:rPr>
          <w:rFonts w:hint="default" w:ascii="Times New Roman" w:hAnsi="Times New Roman" w:eastAsia="宋体" w:cs="Times New Roman"/>
          <w:color w:val="auto"/>
          <w:highlight w:val="none"/>
          <w:lang w:val="en-US" w:eastAsia="zh-CN"/>
        </w:rPr>
      </w:pPr>
      <w:r>
        <w:rPr>
          <w:rFonts w:hint="eastAsia" w:ascii="宋体" w:hAnsi="宋体" w:eastAsia="宋体" w:cs="Times New Roman"/>
          <w:color w:val="auto"/>
          <w:szCs w:val="21"/>
          <w:highlight w:val="none"/>
        </w:rPr>
        <w:sym w:font="Wingdings" w:char="00FE"/>
      </w:r>
      <w:r>
        <w:rPr>
          <w:rFonts w:hint="eastAsia" w:ascii="宋体" w:hAnsi="宋体" w:eastAsia="宋体" w:cs="Times New Roman"/>
          <w:color w:val="auto"/>
          <w:szCs w:val="21"/>
          <w:highlight w:val="none"/>
        </w:rPr>
        <w:t>分期付款：</w:t>
      </w:r>
      <w:r>
        <w:rPr>
          <w:rFonts w:hint="eastAsia" w:ascii="宋体" w:hAnsi="宋体" w:eastAsia="宋体" w:cs="Times New Roman"/>
          <w:color w:val="auto"/>
          <w:szCs w:val="21"/>
          <w:highlight w:val="none"/>
          <w:u w:val="single"/>
        </w:rPr>
        <w:t xml:space="preserve"> （应明确分期支付合同款项的各期比例和支付条件</w:t>
      </w:r>
      <w:r>
        <w:rPr>
          <w:rFonts w:hint="eastAsia" w:ascii="宋体" w:hAnsi="宋体" w:eastAsia="宋体" w:cs="Times New Roman"/>
          <w:color w:val="auto"/>
          <w:szCs w:val="21"/>
          <w:highlight w:val="none"/>
          <w:u w:val="single"/>
          <w:lang w:eastAsia="zh-CN"/>
        </w:rPr>
        <w:t>，各期支付条件应与分期履约验收情况挂钩</w:t>
      </w:r>
      <w:r>
        <w:rPr>
          <w:rFonts w:hint="eastAsia" w:ascii="宋体" w:hAnsi="宋体" w:eastAsia="宋体" w:cs="Times New Roman"/>
          <w:color w:val="auto"/>
          <w:szCs w:val="21"/>
          <w:highlight w:val="none"/>
          <w:u w:val="single"/>
        </w:rPr>
        <w:t xml:space="preserve">）合同签订后，采购人向中标人支付合同金额的30%；全部设备到达采购人指定的交货地点且验收合格后，采购人向中标人支付合同金额的40%；全部设备安装调试完毕且验收合格后，采购人向中标人支付合同金额的30% </w:t>
      </w:r>
      <w:r>
        <w:rPr>
          <w:rFonts w:hint="eastAsia" w:ascii="宋体" w:hAnsi="宋体" w:eastAsia="宋体" w:cs="Times New Roman"/>
          <w:color w:val="auto"/>
          <w:szCs w:val="21"/>
          <w:highlight w:val="none"/>
          <w:u w:val="none"/>
          <w:lang w:eastAsia="zh-CN"/>
        </w:rPr>
        <w:t>，</w:t>
      </w:r>
      <w:r>
        <w:rPr>
          <w:rFonts w:hint="eastAsia" w:ascii="宋体" w:hAnsi="宋体" w:eastAsia="宋体" w:cs="Times New Roman"/>
          <w:color w:val="auto"/>
          <w:szCs w:val="21"/>
          <w:highlight w:val="none"/>
          <w:lang w:eastAsia="zh-CN"/>
        </w:rPr>
        <w:t>其中涉及预付款的</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 xml:space="preserve"> （应明确预付款的支付比例和支付条件） </w:t>
      </w:r>
      <w:r>
        <w:rPr>
          <w:rFonts w:hint="eastAsia" w:ascii="宋体" w:hAnsi="宋体" w:eastAsia="宋体" w:cs="Times New Roman"/>
          <w:color w:val="auto"/>
          <w:szCs w:val="21"/>
          <w:highlight w:val="none"/>
          <w:u w:val="single"/>
          <w:lang w:val="en-US" w:eastAsia="zh-CN"/>
        </w:rPr>
        <w:t>。</w:t>
      </w:r>
    </w:p>
    <w:p w14:paraId="003A1558">
      <w:pPr>
        <w:adjustRightInd w:val="0"/>
        <w:snapToGrid w:val="0"/>
        <w:spacing w:before="0" w:beforeLines="0" w:line="400" w:lineRule="exact"/>
        <w:ind w:firstLine="630" w:firstLineChars="3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sym w:font="Wingdings" w:char="00A8"/>
      </w:r>
      <w:r>
        <w:rPr>
          <w:rFonts w:hint="eastAsia" w:ascii="宋体" w:hAnsi="宋体" w:eastAsia="宋体" w:cs="Times New Roman"/>
          <w:color w:val="auto"/>
          <w:szCs w:val="21"/>
          <w:highlight w:val="none"/>
        </w:rPr>
        <w:t>成本补偿：</w:t>
      </w:r>
      <w:r>
        <w:rPr>
          <w:rFonts w:hint="eastAsia" w:ascii="宋体" w:hAnsi="宋体" w:eastAsia="宋体" w:cs="Times New Roman"/>
          <w:color w:val="auto"/>
          <w:szCs w:val="21"/>
          <w:highlight w:val="none"/>
          <w:u w:val="single"/>
        </w:rPr>
        <w:t xml:space="preserve">      （应明确按照成本补偿方式的支付方式和支付条件）   </w:t>
      </w:r>
    </w:p>
    <w:p w14:paraId="738215CA">
      <w:pPr>
        <w:adjustRightInd w:val="0"/>
        <w:snapToGrid w:val="0"/>
        <w:spacing w:before="0" w:beforeLines="0" w:line="400" w:lineRule="exact"/>
        <w:ind w:firstLine="630" w:firstLineChars="3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sym w:font="Wingdings" w:char="00A8"/>
      </w:r>
      <w:r>
        <w:rPr>
          <w:rFonts w:hint="eastAsia" w:ascii="宋体" w:hAnsi="宋体" w:eastAsia="宋体" w:cs="Times New Roman"/>
          <w:color w:val="auto"/>
          <w:szCs w:val="21"/>
          <w:highlight w:val="none"/>
        </w:rPr>
        <w:t>绩效激励：</w:t>
      </w:r>
      <w:r>
        <w:rPr>
          <w:rFonts w:hint="eastAsia" w:ascii="宋体" w:hAnsi="宋体" w:eastAsia="宋体" w:cs="Times New Roman"/>
          <w:color w:val="auto"/>
          <w:szCs w:val="21"/>
          <w:highlight w:val="none"/>
          <w:u w:val="single"/>
        </w:rPr>
        <w:t xml:space="preserve">      （应明确按照绩效激励方式的支付方式和支付条件）   </w:t>
      </w:r>
    </w:p>
    <w:p w14:paraId="76B57418">
      <w:pPr>
        <w:numPr>
          <w:ilvl w:val="0"/>
          <w:numId w:val="24"/>
        </w:numPr>
        <w:adjustRightInd w:val="0"/>
        <w:snapToGrid w:val="0"/>
        <w:spacing w:before="0" w:beforeLines="0" w:line="400" w:lineRule="exact"/>
        <w:ind w:firstLine="422" w:firstLineChars="200"/>
        <w:rPr>
          <w:rFonts w:ascii="宋体" w:hAnsi="宋体" w:eastAsia="宋体" w:cs="Times New Roman"/>
          <w:b/>
          <w:bCs w:val="0"/>
          <w:color w:val="auto"/>
          <w:szCs w:val="21"/>
          <w:highlight w:val="none"/>
          <w:u w:val="single"/>
        </w:rPr>
      </w:pPr>
      <w:r>
        <w:rPr>
          <w:rFonts w:hint="eastAsia" w:ascii="宋体" w:hAnsi="宋体" w:eastAsia="宋体" w:cs="Times New Roman"/>
          <w:b/>
          <w:bCs w:val="0"/>
          <w:color w:val="auto"/>
          <w:szCs w:val="21"/>
          <w:highlight w:val="none"/>
        </w:rPr>
        <w:t>合同履行</w:t>
      </w:r>
    </w:p>
    <w:p w14:paraId="1339F25E">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日，完成日期：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D88B65C">
      <w:pPr>
        <w:adjustRightInd w:val="0"/>
        <w:snapToGrid w:val="0"/>
        <w:spacing w:before="0" w:beforeLines="0" w:line="400" w:lineRule="exact"/>
        <w:ind w:firstLine="420" w:firstLineChars="200"/>
        <w:rPr>
          <w:rFonts w:hint="default" w:ascii="宋体" w:hAnsi="宋体" w:eastAsia="宋体" w:cs="宋体"/>
          <w:color w:val="auto"/>
          <w:szCs w:val="21"/>
          <w:highlight w:val="none"/>
          <w:u w:val="single"/>
          <w:lang w:val="en-US"/>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履约</w:t>
      </w:r>
      <w:r>
        <w:rPr>
          <w:rFonts w:hint="eastAsia" w:ascii="宋体" w:hAnsi="宋体" w:eastAsia="宋体" w:cs="宋体"/>
          <w:color w:val="auto"/>
          <w:szCs w:val="21"/>
          <w:highlight w:val="none"/>
        </w:rPr>
        <w:t>地点</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河南省周口生态环境监测中心指定地点</w:t>
      </w:r>
      <w:r>
        <w:rPr>
          <w:rFonts w:hint="eastAsia" w:ascii="宋体" w:hAnsi="宋体" w:eastAsia="宋体" w:cs="宋体"/>
          <w:color w:val="auto"/>
          <w:sz w:val="21"/>
          <w:szCs w:val="21"/>
          <w:highlight w:val="none"/>
          <w:u w:val="single"/>
          <w:lang w:val="en-US" w:eastAsia="zh-CN"/>
        </w:rPr>
        <w:t xml:space="preserve"> </w:t>
      </w:r>
    </w:p>
    <w:p w14:paraId="1FDAE01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lang w:eastAsia="zh-CN"/>
        </w:rPr>
        <w:t>否</w:t>
      </w:r>
    </w:p>
    <w:p w14:paraId="72D9E1B1">
      <w:pPr>
        <w:autoSpaceDE w:val="0"/>
        <w:autoSpaceDN w:val="0"/>
        <w:adjustRightInd w:val="0"/>
        <w:spacing w:beforeLines="0" w:line="400" w:lineRule="exact"/>
        <w:ind w:firstLine="440" w:firstLineChars="200"/>
        <w:rPr>
          <w:rFonts w:hint="eastAsia" w:ascii="宋体" w:hAnsi="宋体" w:eastAsia="宋体" w:cs="宋体"/>
          <w:color w:val="auto"/>
          <w:sz w:val="21"/>
          <w:szCs w:val="21"/>
          <w:highlight w:val="none"/>
          <w:lang w:val="en-US" w:eastAsia="zh-CN" w:bidi="ar-SA"/>
        </w:rPr>
      </w:pPr>
      <w:r>
        <w:rPr>
          <w:rFonts w:hint="eastAsia" w:ascii="宋体" w:hAnsi="宋体" w:eastAsia="华文楷体" w:cs="宋体"/>
          <w:bCs/>
          <w:color w:val="auto"/>
          <w:sz w:val="22"/>
          <w:szCs w:val="21"/>
          <w:highlight w:val="none"/>
          <w:u w:val="none"/>
          <w:lang w:val="en-US" w:eastAsia="zh-CN" w:bidi="ar-SA"/>
        </w:rPr>
        <w:t xml:space="preserve">  </w:t>
      </w:r>
      <w:r>
        <w:rPr>
          <w:rFonts w:hint="eastAsia" w:ascii="宋体" w:hAnsi="宋体" w:eastAsia="宋体" w:cs="宋体"/>
          <w:color w:val="auto"/>
          <w:sz w:val="21"/>
          <w:szCs w:val="21"/>
          <w:highlight w:val="none"/>
          <w:lang w:val="en-US" w:eastAsia="zh-CN" w:bidi="ar-SA"/>
        </w:rPr>
        <w:t xml:space="preserve">  收取履约保证金形式：</w:t>
      </w:r>
      <w:r>
        <w:rPr>
          <w:rFonts w:hint="eastAsia" w:ascii="宋体" w:hAnsi="宋体" w:eastAsia="宋体" w:cs="宋体"/>
          <w:bCs/>
          <w:color w:val="auto"/>
          <w:sz w:val="21"/>
          <w:szCs w:val="21"/>
          <w:highlight w:val="none"/>
          <w:u w:val="single"/>
          <w:lang w:val="en-US" w:eastAsia="zh-CN" w:bidi="ar-SA"/>
        </w:rPr>
        <w:t xml:space="preserve">           /                  </w:t>
      </w:r>
    </w:p>
    <w:p w14:paraId="1568B243">
      <w:pPr>
        <w:autoSpaceDE w:val="0"/>
        <w:autoSpaceDN w:val="0"/>
        <w:adjustRightInd w:val="0"/>
        <w:spacing w:beforeLines="0" w:line="40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    收取履约保证金金额：</w:t>
      </w:r>
      <w:r>
        <w:rPr>
          <w:rFonts w:hint="eastAsia" w:ascii="宋体" w:hAnsi="宋体" w:eastAsia="宋体" w:cs="宋体"/>
          <w:bCs/>
          <w:color w:val="auto"/>
          <w:sz w:val="21"/>
          <w:szCs w:val="21"/>
          <w:highlight w:val="none"/>
          <w:u w:val="single"/>
          <w:lang w:val="en-US" w:eastAsia="zh-CN" w:bidi="ar-SA"/>
        </w:rPr>
        <w:t xml:space="preserve">           /                   </w:t>
      </w:r>
    </w:p>
    <w:p w14:paraId="2B79054F">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履约担保期限</w:t>
      </w:r>
      <w:r>
        <w:rPr>
          <w:rFonts w:hint="eastAsia" w:ascii="宋体" w:hAnsi="宋体" w:eastAsia="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lang w:val="en-US" w:eastAsia="zh-CN" w:bidi="ar-SA"/>
        </w:rPr>
        <w:t xml:space="preserve"> /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7B45885">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 w:val="21"/>
          <w:szCs w:val="21"/>
          <w:highlight w:val="none"/>
          <w:u w:val="single"/>
          <w:lang w:val="en-US" w:eastAsia="zh-CN" w:bidi="ar-SA"/>
        </w:rPr>
        <w:t xml:space="preserve"> /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p>
    <w:p w14:paraId="33731105">
      <w:pPr>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CN"/>
        </w:rPr>
        <w:t>风险处置措施和替代方案</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A15DFFD">
      <w:pPr>
        <w:numPr>
          <w:ilvl w:val="0"/>
          <w:numId w:val="24"/>
        </w:numPr>
        <w:adjustRightInd w:val="0"/>
        <w:snapToGrid w:val="0"/>
        <w:spacing w:before="0" w:beforeLines="0" w:line="4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合同验收</w:t>
      </w:r>
    </w:p>
    <w:p w14:paraId="38C3453B">
      <w:pPr>
        <w:numPr>
          <w:ilvl w:val="0"/>
          <w:numId w:val="0"/>
        </w:numPr>
        <w:adjustRightInd w:val="0"/>
        <w:snapToGrid w:val="0"/>
        <w:spacing w:before="0" w:beforeLines="0" w:line="40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kern w:val="2"/>
          <w:sz w:val="21"/>
          <w:szCs w:val="21"/>
          <w:highlight w:val="none"/>
          <w:lang w:val="en-US" w:eastAsia="zh-CN" w:bidi="ar-SA"/>
        </w:rPr>
        <w:t>（1）</w:t>
      </w:r>
      <w:r>
        <w:rPr>
          <w:rFonts w:hint="eastAsia" w:ascii="宋体" w:hAnsi="宋体" w:eastAsia="宋体" w:cs="Times New Roman"/>
          <w:bCs/>
          <w:color w:val="auto"/>
          <w:szCs w:val="21"/>
          <w:highlight w:val="none"/>
        </w:rPr>
        <w:t>验收组织方式：</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Times New Roman"/>
          <w:bCs/>
          <w:color w:val="auto"/>
          <w:szCs w:val="21"/>
          <w:highlight w:val="none"/>
        </w:rPr>
        <w:t>委托第三方组织</w:t>
      </w:r>
    </w:p>
    <w:p w14:paraId="27BD9FE0">
      <w:pPr>
        <w:numPr>
          <w:ilvl w:val="0"/>
          <w:numId w:val="0"/>
        </w:numPr>
        <w:adjustRightInd w:val="0"/>
        <w:snapToGrid w:val="0"/>
        <w:spacing w:before="0" w:beforeLines="0" w:line="400" w:lineRule="exac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 xml:space="preserve">        </w:t>
      </w:r>
      <w:r>
        <w:rPr>
          <w:rFonts w:hint="eastAsia" w:ascii="宋体" w:hAnsi="宋体" w:eastAsia="宋体" w:cs="Times New Roman"/>
          <w:bCs/>
          <w:color w:val="auto"/>
          <w:szCs w:val="21"/>
          <w:highlight w:val="none"/>
        </w:rPr>
        <w:t>验收主体：</w:t>
      </w:r>
      <w:r>
        <w:rPr>
          <w:rFonts w:hint="eastAsia" w:ascii="宋体" w:hAnsi="宋体" w:eastAsia="宋体" w:cs="Times New Roman"/>
          <w:bCs/>
          <w:color w:val="auto"/>
          <w:szCs w:val="21"/>
          <w:highlight w:val="none"/>
          <w:u w:val="single"/>
        </w:rPr>
        <w:t xml:space="preserve">  河南省周口生态环境监测中心  </w:t>
      </w:r>
    </w:p>
    <w:p w14:paraId="358DD4A1">
      <w:pPr>
        <w:adjustRightInd w:val="0"/>
        <w:snapToGrid w:val="0"/>
        <w:spacing w:before="0" w:beforeLines="0" w:line="400" w:lineRule="exact"/>
        <w:ind w:firstLine="0" w:firstLineChars="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 xml:space="preserve">        </w:t>
      </w:r>
      <w:r>
        <w:rPr>
          <w:rFonts w:hint="eastAsia" w:ascii="宋体" w:hAnsi="宋体" w:eastAsia="宋体" w:cs="Times New Roman"/>
          <w:bCs/>
          <w:color w:val="auto"/>
          <w:szCs w:val="21"/>
          <w:highlight w:val="none"/>
        </w:rPr>
        <w:t>是否邀请本项目的其他供应商</w:t>
      </w:r>
      <w:r>
        <w:rPr>
          <w:rFonts w:hint="eastAsia" w:ascii="宋体" w:hAnsi="宋体" w:eastAsia="宋体" w:cs="Times New Roman"/>
          <w:bCs/>
          <w:color w:val="auto"/>
          <w:szCs w:val="21"/>
          <w:highlight w:val="none"/>
          <w:lang w:eastAsia="zh-CN"/>
        </w:rPr>
        <w:t>参加验收</w:t>
      </w:r>
      <w:r>
        <w:rPr>
          <w:rFonts w:hint="eastAsia" w:ascii="宋体" w:hAnsi="宋体" w:eastAsia="宋体" w:cs="Times New Roman"/>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Times New Roman"/>
          <w:bCs/>
          <w:color w:val="auto"/>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否</w:t>
      </w:r>
    </w:p>
    <w:p w14:paraId="5430C1D7">
      <w:pPr>
        <w:adjustRightInd w:val="0"/>
        <w:snapToGrid w:val="0"/>
        <w:spacing w:before="0" w:beforeLines="0" w:line="400" w:lineRule="exact"/>
        <w:ind w:firstLine="840" w:firstLineChars="4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是否邀请专家</w:t>
      </w:r>
      <w:r>
        <w:rPr>
          <w:rFonts w:hint="eastAsia" w:ascii="宋体" w:hAnsi="宋体" w:eastAsia="宋体" w:cs="Times New Roman"/>
          <w:bCs/>
          <w:color w:val="auto"/>
          <w:szCs w:val="21"/>
          <w:highlight w:val="none"/>
          <w:lang w:eastAsia="zh-CN"/>
        </w:rPr>
        <w:t>参加验收</w:t>
      </w:r>
      <w:r>
        <w:rPr>
          <w:rFonts w:hint="eastAsia" w:ascii="宋体" w:hAnsi="宋体" w:eastAsia="宋体" w:cs="Times New Roman"/>
          <w:bCs/>
          <w:color w:val="auto"/>
          <w:szCs w:val="21"/>
          <w:highlight w:val="none"/>
        </w:rPr>
        <w:t>：</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Times New Roman"/>
          <w:bCs/>
          <w:color w:val="auto"/>
          <w:szCs w:val="21"/>
          <w:highlight w:val="none"/>
        </w:rPr>
        <w:t>否</w:t>
      </w:r>
    </w:p>
    <w:p w14:paraId="092B38D4">
      <w:pPr>
        <w:adjustRightInd w:val="0"/>
        <w:snapToGrid w:val="0"/>
        <w:spacing w:before="0" w:beforeLines="0" w:line="400" w:lineRule="exact"/>
        <w:ind w:firstLine="840" w:firstLineChars="4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是否邀请服务对象</w:t>
      </w:r>
      <w:r>
        <w:rPr>
          <w:rFonts w:hint="eastAsia" w:ascii="宋体" w:hAnsi="宋体" w:eastAsia="宋体" w:cs="Times New Roman"/>
          <w:bCs/>
          <w:color w:val="auto"/>
          <w:szCs w:val="21"/>
          <w:highlight w:val="none"/>
          <w:lang w:eastAsia="zh-CN"/>
        </w:rPr>
        <w:t>参加验收</w:t>
      </w:r>
      <w:r>
        <w:rPr>
          <w:rFonts w:hint="eastAsia" w:ascii="宋体" w:hAnsi="宋体" w:eastAsia="宋体" w:cs="Times New Roman"/>
          <w:bCs/>
          <w:color w:val="auto"/>
          <w:szCs w:val="21"/>
          <w:highlight w:val="none"/>
        </w:rPr>
        <w:t>：</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否</w:t>
      </w:r>
    </w:p>
    <w:p w14:paraId="5877C64D">
      <w:pPr>
        <w:adjustRightInd w:val="0"/>
        <w:snapToGrid w:val="0"/>
        <w:spacing w:before="0" w:beforeLines="0" w:line="400" w:lineRule="exact"/>
        <w:ind w:firstLine="840" w:firstLineChars="4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是否邀请第三方检测机构</w:t>
      </w:r>
      <w:r>
        <w:rPr>
          <w:rFonts w:hint="eastAsia" w:ascii="宋体" w:hAnsi="宋体" w:eastAsia="宋体" w:cs="Times New Roman"/>
          <w:bCs/>
          <w:color w:val="auto"/>
          <w:szCs w:val="21"/>
          <w:highlight w:val="none"/>
          <w:lang w:eastAsia="zh-CN"/>
        </w:rPr>
        <w:t>参加验收</w:t>
      </w:r>
      <w:r>
        <w:rPr>
          <w:rFonts w:hint="eastAsia" w:ascii="宋体" w:hAnsi="宋体" w:eastAsia="宋体" w:cs="Times New Roman"/>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Times New Roman"/>
          <w:bCs/>
          <w:color w:val="auto"/>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否</w:t>
      </w:r>
    </w:p>
    <w:p w14:paraId="0E865BF8">
      <w:pPr>
        <w:adjustRightInd w:val="0"/>
        <w:snapToGrid w:val="0"/>
        <w:spacing w:before="0" w:beforeLines="0" w:line="400" w:lineRule="exact"/>
        <w:ind w:firstLine="840" w:firstLineChars="4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Times New Roman"/>
          <w:bCs/>
          <w:color w:val="auto"/>
          <w:szCs w:val="21"/>
          <w:highlight w:val="none"/>
        </w:rPr>
        <w:t>是</w:t>
      </w:r>
      <w:r>
        <w:rPr>
          <w:rFonts w:hint="eastAsia" w:ascii="宋体" w:hAnsi="宋体" w:eastAsia="宋体" w:cs="Times New Roman"/>
          <w:bCs/>
          <w:color w:val="auto"/>
          <w:szCs w:val="21"/>
          <w:highlight w:val="none"/>
          <w:lang w:eastAsia="zh-CN"/>
        </w:rPr>
        <w:t>，抽查比例：</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eastAsia="宋体" w:cs="Times New Roman"/>
          <w:bCs/>
          <w:color w:val="auto"/>
          <w:szCs w:val="21"/>
          <w:highlight w:val="none"/>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否</w:t>
      </w:r>
    </w:p>
    <w:p w14:paraId="7E005F16">
      <w:pPr>
        <w:adjustRightInd w:val="0"/>
        <w:snapToGrid w:val="0"/>
        <w:spacing w:before="0" w:beforeLines="0" w:line="400" w:lineRule="exact"/>
        <w:ind w:firstLine="840" w:firstLineChars="400"/>
        <w:rPr>
          <w:rFonts w:hint="eastAsia" w:ascii="宋体" w:hAnsi="宋体" w:eastAsia="宋体" w:cs="Times New Roman"/>
          <w:bCs/>
          <w:color w:val="auto"/>
          <w:szCs w:val="21"/>
          <w:highlight w:val="none"/>
          <w:u w:val="single"/>
          <w:lang w:eastAsia="zh-CN"/>
        </w:rPr>
      </w:pPr>
      <w:r>
        <w:rPr>
          <w:rFonts w:hint="eastAsia" w:ascii="宋体" w:hAnsi="宋体" w:eastAsia="宋体" w:cs="Times New Roman"/>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Times New Roman"/>
          <w:bCs/>
          <w:color w:val="auto"/>
          <w:szCs w:val="21"/>
          <w:highlight w:val="none"/>
        </w:rPr>
        <w:t>是</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u w:val="single"/>
          <w:lang w:eastAsia="zh-CN"/>
        </w:rPr>
        <w:t>（应明确对被破坏的检测产品的处理方式）</w:t>
      </w:r>
    </w:p>
    <w:p w14:paraId="1CB71490">
      <w:pPr>
        <w:adjustRightInd w:val="0"/>
        <w:snapToGrid w:val="0"/>
        <w:spacing w:before="0" w:beforeLines="0" w:line="400" w:lineRule="exact"/>
        <w:ind w:firstLine="840" w:firstLineChars="4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否</w:t>
      </w:r>
    </w:p>
    <w:p w14:paraId="4547C280">
      <w:pPr>
        <w:adjustRightInd w:val="0"/>
        <w:snapToGrid w:val="0"/>
        <w:spacing w:before="0" w:beforeLines="0" w:line="400" w:lineRule="exact"/>
        <w:ind w:firstLine="840" w:firstLineChars="400"/>
        <w:rPr>
          <w:rFonts w:hint="eastAsia" w:ascii="宋体" w:hAnsi="宋体" w:eastAsia="宋体" w:cs="Times New Roman"/>
          <w:bCs/>
          <w:color w:val="auto"/>
          <w:szCs w:val="21"/>
          <w:highlight w:val="none"/>
          <w:u w:val="single"/>
        </w:rPr>
      </w:pPr>
      <w:r>
        <w:rPr>
          <w:rFonts w:hint="eastAsia" w:ascii="宋体" w:hAnsi="宋体" w:eastAsia="宋体" w:cs="Times New Roman"/>
          <w:bCs/>
          <w:color w:val="auto"/>
          <w:szCs w:val="21"/>
          <w:highlight w:val="none"/>
        </w:rPr>
        <w:t>验收组织的其他事项：</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lang w:val="en-US" w:eastAsia="zh-CN"/>
        </w:rPr>
        <w:t>/</w:t>
      </w:r>
      <w:r>
        <w:rPr>
          <w:rFonts w:hint="eastAsia" w:ascii="宋体" w:hAnsi="宋体" w:eastAsia="宋体" w:cs="Times New Roman"/>
          <w:bCs/>
          <w:color w:val="auto"/>
          <w:szCs w:val="21"/>
          <w:highlight w:val="none"/>
          <w:u w:val="single"/>
        </w:rPr>
        <w:t xml:space="preserve">         </w:t>
      </w:r>
    </w:p>
    <w:p w14:paraId="6B29658A">
      <w:pPr>
        <w:adjustRightInd w:val="0"/>
        <w:snapToGrid w:val="0"/>
        <w:spacing w:before="0" w:beforeLines="0" w:line="400" w:lineRule="exact"/>
        <w:ind w:firstLine="420" w:firstLineChars="200"/>
        <w:rPr>
          <w:rFonts w:hint="eastAsia" w:ascii="宋体" w:hAnsi="宋体" w:eastAsia="宋体" w:cs="Times New Roman"/>
          <w:bCs/>
          <w:color w:val="auto"/>
          <w:szCs w:val="21"/>
          <w:highlight w:val="none"/>
          <w:u w:val="single"/>
        </w:rPr>
      </w:pPr>
      <w:r>
        <w:rPr>
          <w:rFonts w:hint="eastAsia" w:ascii="宋体" w:hAnsi="宋体" w:eastAsia="宋体" w:cs="Times New Roman"/>
          <w:bCs/>
          <w:color w:val="auto"/>
          <w:szCs w:val="21"/>
          <w:highlight w:val="none"/>
        </w:rPr>
        <w:t>（2）履约验收时间：</w:t>
      </w:r>
      <w:r>
        <w:rPr>
          <w:rFonts w:hint="eastAsia" w:ascii="宋体" w:hAnsi="宋体" w:eastAsia="宋体" w:cs="Times New Roman"/>
          <w:bCs/>
          <w:color w:val="auto"/>
          <w:szCs w:val="21"/>
          <w:highlight w:val="none"/>
          <w:u w:val="single"/>
        </w:rPr>
        <w:t>（计划于何时验收/供应商提出验收申请之日起</w:t>
      </w:r>
      <w:r>
        <w:rPr>
          <w:rFonts w:hint="eastAsia" w:ascii="宋体" w:hAnsi="宋体" w:eastAsia="宋体" w:cs="Times New Roman"/>
          <w:bCs/>
          <w:color w:val="auto"/>
          <w:szCs w:val="21"/>
          <w:highlight w:val="none"/>
          <w:u w:val="single"/>
          <w:lang w:val="en-US" w:eastAsia="zh-CN"/>
        </w:rPr>
        <w:t>7</w:t>
      </w:r>
      <w:r>
        <w:rPr>
          <w:rFonts w:hint="eastAsia" w:ascii="宋体" w:hAnsi="宋体" w:eastAsia="宋体" w:cs="Times New Roman"/>
          <w:bCs/>
          <w:color w:val="auto"/>
          <w:szCs w:val="21"/>
          <w:highlight w:val="none"/>
          <w:u w:val="single"/>
        </w:rPr>
        <w:t>日内组织验收）</w:t>
      </w:r>
      <w:r>
        <w:rPr>
          <w:rFonts w:hint="eastAsia" w:ascii="宋体" w:hAnsi="宋体" w:eastAsia="宋体" w:cs="Times New Roman"/>
          <w:bCs/>
          <w:color w:val="auto"/>
          <w:szCs w:val="21"/>
          <w:highlight w:val="none"/>
          <w:u w:val="single"/>
          <w:lang w:val="en-US" w:eastAsia="zh-CN"/>
        </w:rPr>
        <w:t xml:space="preserve"> </w:t>
      </w:r>
    </w:p>
    <w:p w14:paraId="0CA9A18D">
      <w:pPr>
        <w:adjustRightInd w:val="0"/>
        <w:snapToGrid w:val="0"/>
        <w:spacing w:before="0" w:beforeLines="0" w:line="40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（3）履约验收方式：</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 xml:space="preserve">一次性验收         </w:t>
      </w:r>
    </w:p>
    <w:p w14:paraId="4E3689A2">
      <w:pPr>
        <w:adjustRightInd w:val="0"/>
        <w:snapToGrid w:val="0"/>
        <w:spacing w:before="0" w:beforeLines="0" w:line="400" w:lineRule="exact"/>
        <w:ind w:firstLine="0" w:firstLineChars="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Times New Roman"/>
          <w:bCs/>
          <w:color w:val="auto"/>
          <w:szCs w:val="21"/>
          <w:highlight w:val="none"/>
        </w:rPr>
        <w:t>分期/分项验收</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lang w:eastAsia="zh-CN"/>
        </w:rPr>
        <w:t>（应明确分期</w:t>
      </w:r>
      <w:r>
        <w:rPr>
          <w:rFonts w:hint="default" w:ascii="宋体" w:hAnsi="宋体" w:eastAsia="宋体" w:cs="Times New Roman"/>
          <w:bCs/>
          <w:color w:val="auto"/>
          <w:szCs w:val="21"/>
          <w:highlight w:val="none"/>
          <w:u w:val="single"/>
          <w:lang w:val="en" w:eastAsia="zh-CN"/>
        </w:rPr>
        <w:t>/</w:t>
      </w:r>
      <w:r>
        <w:rPr>
          <w:rFonts w:hint="eastAsia" w:ascii="宋体" w:hAnsi="宋体" w:eastAsia="宋体" w:cs="Times New Roman"/>
          <w:bCs/>
          <w:color w:val="auto"/>
          <w:szCs w:val="21"/>
          <w:highlight w:val="none"/>
          <w:u w:val="single"/>
          <w:lang w:val="en" w:eastAsia="zh-CN"/>
        </w:rPr>
        <w:t>分项验收的工作安排</w:t>
      </w:r>
      <w:r>
        <w:rPr>
          <w:rFonts w:hint="eastAsia" w:ascii="宋体" w:hAnsi="宋体" w:eastAsia="宋体" w:cs="Times New Roman"/>
          <w:bCs/>
          <w:color w:val="auto"/>
          <w:szCs w:val="21"/>
          <w:highlight w:val="none"/>
          <w:u w:val="single"/>
          <w:lang w:eastAsia="zh-CN"/>
        </w:rPr>
        <w:t>）</w:t>
      </w:r>
      <w:r>
        <w:rPr>
          <w:rFonts w:hint="eastAsia" w:ascii="宋体" w:hAnsi="宋体" w:eastAsia="宋体" w:cs="Times New Roman"/>
          <w:bCs/>
          <w:color w:val="auto"/>
          <w:szCs w:val="21"/>
          <w:highlight w:val="none"/>
          <w:u w:val="single"/>
        </w:rPr>
        <w:t xml:space="preserve"> </w:t>
      </w:r>
    </w:p>
    <w:p w14:paraId="08C18156">
      <w:pPr>
        <w:adjustRightInd w:val="0"/>
        <w:snapToGrid w:val="0"/>
        <w:spacing w:before="0" w:beforeLines="0" w:line="400" w:lineRule="exact"/>
        <w:ind w:firstLine="420" w:firstLineChars="200"/>
        <w:rPr>
          <w:color w:val="auto"/>
          <w:highlight w:val="none"/>
        </w:rPr>
      </w:pPr>
      <w:r>
        <w:rPr>
          <w:rFonts w:hint="eastAsia" w:ascii="宋体" w:hAnsi="宋体" w:eastAsia="宋体" w:cs="Times New Roman"/>
          <w:bCs/>
          <w:color w:val="auto"/>
          <w:szCs w:val="21"/>
          <w:highlight w:val="none"/>
        </w:rPr>
        <w:t>（4）履约验收程序：</w:t>
      </w:r>
      <w:r>
        <w:rPr>
          <w:rFonts w:hint="eastAsia" w:ascii="宋体" w:hAnsi="宋体" w:eastAsia="宋体" w:cs="Times New Roman"/>
          <w:bCs/>
          <w:color w:val="auto"/>
          <w:kern w:val="2"/>
          <w:sz w:val="21"/>
          <w:szCs w:val="21"/>
          <w:highlight w:val="none"/>
          <w:u w:val="single"/>
          <w:lang w:val="en-US" w:eastAsia="zh-CN" w:bidi="ar-SA"/>
        </w:rPr>
        <w:t>全部设备供货齐全、安装调试培训完成后，乙方提出申请，甲方组成验收工作组,由采购人领导牵头,财务、审计、监察、资产管理、技术、专家等组成，组织验收。乙方派代表和设备技术人员共同出席。</w:t>
      </w:r>
    </w:p>
    <w:p w14:paraId="479B514B">
      <w:pPr>
        <w:adjustRightInd w:val="0"/>
        <w:snapToGrid w:val="0"/>
        <w:spacing w:before="0" w:beforeLines="0" w:line="400" w:lineRule="exact"/>
        <w:ind w:firstLine="420" w:firstLineChars="200"/>
        <w:rPr>
          <w:rFonts w:ascii="宋体" w:hAnsi="宋体" w:eastAsia="宋体" w:cs="Times New Roman"/>
          <w:bCs/>
          <w:color w:val="auto"/>
          <w:szCs w:val="21"/>
          <w:highlight w:val="none"/>
          <w:u w:val="single"/>
        </w:rPr>
      </w:pPr>
      <w:r>
        <w:rPr>
          <w:rFonts w:hint="eastAsia" w:ascii="宋体" w:hAnsi="宋体" w:eastAsia="宋体" w:cs="Times New Roman"/>
          <w:bCs/>
          <w:color w:val="auto"/>
          <w:szCs w:val="21"/>
          <w:highlight w:val="none"/>
        </w:rPr>
        <w:t>（5）履约验收的内容：</w:t>
      </w:r>
      <w:r>
        <w:rPr>
          <w:rFonts w:hint="eastAsia" w:ascii="宋体" w:hAnsi="宋体" w:eastAsia="宋体" w:cs="Times New Roman"/>
          <w:bCs/>
          <w:color w:val="auto"/>
          <w:szCs w:val="21"/>
          <w:highlight w:val="none"/>
          <w:u w:val="single"/>
        </w:rPr>
        <w:t xml:space="preserve"> 离子色谱仪（1套）、全自动红外测油仪（1套）、便携式气相分子吸收光谱仪（1套）、双光束紫外可见分光光度计（1套）、紫外可见分光光度计（1套）、干燥箱（1套）、便携式抽滤装置（1套）、氟离子计（1套）、立式高压蒸汽灭菌器（2套）、CODcr回流消解仪（2套）、便携式浊度计（2套）、便携式pH测定仪（2套）、便携式溶解氧测定仪（2套）、便携式电导率测定仪（2套），</w:t>
      </w:r>
      <w:r>
        <w:rPr>
          <w:rFonts w:hint="eastAsia" w:ascii="宋体" w:hAnsi="宋体"/>
          <w:bCs/>
          <w:color w:val="auto"/>
          <w:szCs w:val="21"/>
          <w:highlight w:val="none"/>
          <w:u w:val="single"/>
        </w:rPr>
        <w:t>包含设备品牌、型号、参数、配置、安装、调试、试运行及</w:t>
      </w:r>
      <w:r>
        <w:rPr>
          <w:rFonts w:hint="eastAsia" w:ascii="宋体" w:hAnsi="宋体"/>
          <w:bCs/>
          <w:color w:val="auto"/>
          <w:szCs w:val="21"/>
          <w:highlight w:val="none"/>
          <w:u w:val="single"/>
          <w:lang w:val="en-US" w:eastAsia="zh-CN"/>
        </w:rPr>
        <w:t>售后</w:t>
      </w:r>
      <w:r>
        <w:rPr>
          <w:rFonts w:hint="eastAsia" w:ascii="宋体" w:hAnsi="宋体"/>
          <w:bCs/>
          <w:color w:val="auto"/>
          <w:szCs w:val="21"/>
          <w:highlight w:val="none"/>
          <w:u w:val="single"/>
        </w:rPr>
        <w:t>等</w:t>
      </w:r>
    </w:p>
    <w:p w14:paraId="78CBD28C">
      <w:pPr>
        <w:adjustRightInd w:val="0"/>
        <w:snapToGrid w:val="0"/>
        <w:spacing w:before="0" w:beforeLines="0" w:line="400" w:lineRule="exact"/>
        <w:ind w:firstLine="420" w:firstLineChars="200"/>
        <w:rPr>
          <w:rFonts w:hint="eastAsia" w:ascii="宋体" w:hAnsi="宋体" w:eastAsia="宋体" w:cs="Times New Roman"/>
          <w:bCs/>
          <w:color w:val="auto"/>
          <w:szCs w:val="21"/>
          <w:highlight w:val="none"/>
          <w:u w:val="single"/>
        </w:rPr>
      </w:pPr>
      <w:r>
        <w:rPr>
          <w:rFonts w:hint="eastAsia" w:ascii="宋体" w:hAnsi="宋体" w:eastAsia="宋体" w:cs="Times New Roman"/>
          <w:bCs/>
          <w:color w:val="auto"/>
          <w:szCs w:val="21"/>
          <w:highlight w:val="none"/>
        </w:rPr>
        <w:t>（6）履约验收标准：</w:t>
      </w:r>
      <w:r>
        <w:rPr>
          <w:rFonts w:hint="eastAsia" w:ascii="宋体" w:hAnsi="宋体" w:eastAsia="宋体" w:cs="Times New Roman"/>
          <w:bCs/>
          <w:color w:val="auto"/>
          <w:szCs w:val="21"/>
          <w:highlight w:val="none"/>
          <w:u w:val="single"/>
        </w:rPr>
        <w:t xml:space="preserve"> 按招标文件、投标文件</w:t>
      </w:r>
      <w:r>
        <w:rPr>
          <w:rFonts w:hint="eastAsia" w:ascii="宋体" w:hAnsi="宋体" w:eastAsia="宋体" w:cs="Times New Roman"/>
          <w:bCs/>
          <w:color w:val="auto"/>
          <w:szCs w:val="21"/>
          <w:highlight w:val="none"/>
          <w:u w:val="single"/>
          <w:lang w:eastAsia="zh-CN"/>
        </w:rPr>
        <w:t>、</w:t>
      </w:r>
      <w:r>
        <w:rPr>
          <w:rFonts w:hint="eastAsia" w:ascii="宋体" w:hAnsi="宋体" w:eastAsia="宋体" w:cs="Times New Roman"/>
          <w:bCs/>
          <w:color w:val="auto"/>
          <w:szCs w:val="21"/>
          <w:highlight w:val="none"/>
          <w:u w:val="single"/>
        </w:rPr>
        <w:t>采购合同</w:t>
      </w:r>
      <w:r>
        <w:rPr>
          <w:rFonts w:hint="eastAsia" w:ascii="宋体" w:hAnsi="宋体" w:eastAsia="宋体" w:cs="Times New Roman"/>
          <w:bCs/>
          <w:color w:val="auto"/>
          <w:szCs w:val="21"/>
          <w:highlight w:val="none"/>
          <w:u w:val="single"/>
          <w:lang w:val="en-US" w:eastAsia="zh-CN"/>
        </w:rPr>
        <w:t>约定，以及国家、地方、行业相关标准执行</w:t>
      </w:r>
      <w:r>
        <w:rPr>
          <w:rFonts w:hint="eastAsia" w:ascii="宋体" w:hAnsi="宋体" w:eastAsia="宋体" w:cs="Times New Roman"/>
          <w:bCs/>
          <w:color w:val="auto"/>
          <w:szCs w:val="21"/>
          <w:highlight w:val="none"/>
          <w:u w:val="single"/>
        </w:rPr>
        <w:t xml:space="preserve"> </w:t>
      </w:r>
    </w:p>
    <w:p w14:paraId="2CAEFE81">
      <w:pPr>
        <w:autoSpaceDE w:val="0"/>
        <w:autoSpaceDN w:val="0"/>
        <w:adjustRightInd w:val="0"/>
        <w:spacing w:beforeLines="0" w:line="40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sz w:val="21"/>
          <w:szCs w:val="21"/>
          <w:highlight w:val="none"/>
          <w:u w:val="none"/>
          <w:lang w:val="en-US" w:eastAsia="zh-CN" w:bidi="ar-SA"/>
        </w:rPr>
        <w:t>（7）是否以采购活动中供应商提供的样品作为参考：</w:t>
      </w:r>
      <w:r>
        <w:rPr>
          <w:rFonts w:hint="eastAsia" w:ascii="宋体" w:hAnsi="宋体" w:eastAsia="宋体" w:cs="宋体"/>
          <w:color w:val="auto"/>
          <w:sz w:val="21"/>
          <w:szCs w:val="21"/>
          <w:highlight w:val="none"/>
          <w:lang w:val="en-US" w:eastAsia="zh-CN" w:bidi="ar-SA"/>
        </w:rPr>
        <w:sym w:font="Wingdings" w:char="00A8"/>
      </w:r>
      <w:r>
        <w:rPr>
          <w:rFonts w:hint="eastAsia" w:ascii="宋体" w:hAnsi="宋体" w:eastAsia="宋体" w:cs="宋体"/>
          <w:bCs/>
          <w:color w:val="auto"/>
          <w:sz w:val="21"/>
          <w:szCs w:val="21"/>
          <w:highlight w:val="none"/>
          <w:lang w:val="en-US" w:eastAsia="zh-CN" w:bidi="ar-SA"/>
        </w:rPr>
        <w:t xml:space="preserve">是  </w:t>
      </w:r>
      <w:r>
        <w:rPr>
          <w:rFonts w:hint="eastAsia" w:ascii="宋体" w:hAnsi="宋体" w:eastAsia="宋体" w:cs="宋体"/>
          <w:color w:val="auto"/>
          <w:sz w:val="21"/>
          <w:szCs w:val="21"/>
          <w:highlight w:val="none"/>
          <w:lang w:val="en-US" w:eastAsia="zh-CN" w:bidi="ar-SA"/>
        </w:rPr>
        <w:sym w:font="Wingdings" w:char="00FE"/>
      </w:r>
      <w:r>
        <w:rPr>
          <w:rFonts w:hint="eastAsia" w:ascii="宋体" w:hAnsi="宋体" w:eastAsia="宋体" w:cs="宋体"/>
          <w:bCs/>
          <w:color w:val="auto"/>
          <w:sz w:val="21"/>
          <w:szCs w:val="21"/>
          <w:highlight w:val="none"/>
          <w:lang w:val="en-US" w:eastAsia="zh-CN" w:bidi="ar-SA"/>
        </w:rPr>
        <w:t>否</w:t>
      </w:r>
    </w:p>
    <w:p w14:paraId="67C527B6">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 xml:space="preserve">      </w:t>
      </w:r>
      <w:r>
        <w:rPr>
          <w:rFonts w:hint="eastAsia" w:ascii="宋体" w:hAnsi="宋体" w:eastAsia="宋体" w:cs="宋体"/>
          <w:bCs/>
          <w:i w:val="0"/>
          <w:iCs w:val="0"/>
          <w:color w:val="auto"/>
          <w:szCs w:val="21"/>
          <w:highlight w:val="none"/>
          <w:u w:val="single"/>
        </w:rPr>
        <w:t>（产权过户登记等）</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w:t>
      </w:r>
      <w:r>
        <w:rPr>
          <w:rFonts w:hint="eastAsia" w:ascii="宋体" w:hAnsi="宋体" w:eastAsia="宋体" w:cs="宋体"/>
          <w:bCs/>
          <w:color w:val="auto"/>
          <w:szCs w:val="21"/>
          <w:highlight w:val="none"/>
          <w:u w:val="single"/>
        </w:rPr>
        <w:t xml:space="preserve">         </w:t>
      </w:r>
    </w:p>
    <w:p w14:paraId="40EA4A5B">
      <w:pPr>
        <w:numPr>
          <w:ilvl w:val="0"/>
          <w:numId w:val="24"/>
        </w:numPr>
        <w:adjustRightInd w:val="0"/>
        <w:snapToGrid w:val="0"/>
        <w:spacing w:before="0" w:beforeLines="0" w:line="40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组成合同的文件</w:t>
      </w:r>
    </w:p>
    <w:p w14:paraId="15FBF71E">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1675238C">
      <w:pPr>
        <w:adjustRightInd w:val="0"/>
        <w:snapToGrid w:val="0"/>
        <w:spacing w:before="0" w:beforeLines="0"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政府采购</w:t>
      </w:r>
      <w:r>
        <w:rPr>
          <w:rFonts w:hint="eastAsia" w:ascii="宋体" w:hAnsi="宋体" w:eastAsia="宋体" w:cs="Times New Roman"/>
          <w:color w:val="auto"/>
          <w:szCs w:val="21"/>
          <w:highlight w:val="none"/>
        </w:rPr>
        <w:t>合同协议书及其变更、补充</w:t>
      </w:r>
      <w:r>
        <w:rPr>
          <w:rFonts w:hint="eastAsia" w:ascii="宋体" w:hAnsi="宋体" w:eastAsia="宋体" w:cs="Times New Roman"/>
          <w:color w:val="auto"/>
          <w:szCs w:val="21"/>
          <w:highlight w:val="none"/>
          <w:lang w:eastAsia="zh-CN"/>
        </w:rPr>
        <w:t>协议</w:t>
      </w:r>
    </w:p>
    <w:p w14:paraId="2AC97D94">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）政府采购合同专用条款</w:t>
      </w:r>
    </w:p>
    <w:p w14:paraId="23896E2C">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）政府采购合同通用条款</w:t>
      </w:r>
    </w:p>
    <w:p w14:paraId="597082D5">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）中标</w:t>
      </w:r>
      <w:r>
        <w:rPr>
          <w:rFonts w:hint="eastAsia" w:ascii="宋体" w:hAnsi="宋体" w:eastAsia="宋体" w:cs="Times New Roman"/>
          <w:color w:val="auto"/>
          <w:szCs w:val="21"/>
          <w:highlight w:val="none"/>
          <w:lang w:eastAsia="zh-CN"/>
        </w:rPr>
        <w:t>（成交）</w:t>
      </w:r>
      <w:r>
        <w:rPr>
          <w:rFonts w:hint="eastAsia" w:ascii="宋体" w:hAnsi="宋体" w:eastAsia="宋体" w:cs="Times New Roman"/>
          <w:color w:val="auto"/>
          <w:szCs w:val="21"/>
          <w:highlight w:val="none"/>
        </w:rPr>
        <w:t>通知书</w:t>
      </w:r>
    </w:p>
    <w:p w14:paraId="4473F08C">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）投标（响应）文件</w:t>
      </w:r>
    </w:p>
    <w:p w14:paraId="4B63954A">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（6）采购文件</w:t>
      </w:r>
    </w:p>
    <w:p w14:paraId="41A5C09D">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（7）有关技术文件，图纸</w:t>
      </w:r>
    </w:p>
    <w:p w14:paraId="519423E6">
      <w:pPr>
        <w:autoSpaceDE w:val="0"/>
        <w:autoSpaceDN w:val="0"/>
        <w:adjustRightInd w:val="0"/>
        <w:spacing w:beforeLines="0"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w:t>
      </w:r>
      <w:r>
        <w:rPr>
          <w:rFonts w:hint="eastAsia" w:ascii="宋体" w:hAnsi="宋体" w:eastAsia="宋体" w:cs="宋体"/>
          <w:bCs w:val="0"/>
          <w:color w:val="auto"/>
          <w:kern w:val="2"/>
          <w:sz w:val="21"/>
          <w:szCs w:val="21"/>
          <w:highlight w:val="none"/>
          <w:lang w:val="en-US" w:eastAsia="zh-CN" w:bidi="ar-SA"/>
        </w:rPr>
        <w:t>国家法律、行政法规和规章制度规定或合同约定的作为合同组成部分的其他文件</w:t>
      </w:r>
    </w:p>
    <w:p w14:paraId="06292EBD">
      <w:pPr>
        <w:numPr>
          <w:ilvl w:val="0"/>
          <w:numId w:val="24"/>
        </w:numPr>
        <w:adjustRightInd w:val="0"/>
        <w:snapToGrid w:val="0"/>
        <w:spacing w:before="0" w:beforeLines="0" w:line="40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合同生效</w:t>
      </w:r>
    </w:p>
    <w:p w14:paraId="0F3F9FDE">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本合同自</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生效。</w:t>
      </w:r>
    </w:p>
    <w:p w14:paraId="3C372028">
      <w:pPr>
        <w:numPr>
          <w:ilvl w:val="0"/>
          <w:numId w:val="24"/>
        </w:numPr>
        <w:adjustRightInd w:val="0"/>
        <w:snapToGrid w:val="0"/>
        <w:spacing w:before="0" w:beforeLines="0" w:line="40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合同份数</w:t>
      </w:r>
    </w:p>
    <w:p w14:paraId="57FD16FB">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本合同一式</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陆</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执</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叁</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执</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叁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份，均具有同等法律效力。</w:t>
      </w:r>
    </w:p>
    <w:p w14:paraId="6BAF110A">
      <w:pPr>
        <w:adjustRightInd w:val="0"/>
        <w:snapToGrid w:val="0"/>
        <w:spacing w:before="0" w:beforeLines="0" w:line="400" w:lineRule="exact"/>
        <w:ind w:firstLine="420" w:firstLineChars="200"/>
        <w:rPr>
          <w:rFonts w:hint="eastAsia" w:ascii="宋体" w:hAnsi="宋体" w:eastAsia="宋体" w:cs="Times New Roman"/>
          <w:color w:val="auto"/>
          <w:szCs w:val="21"/>
          <w:highlight w:val="none"/>
        </w:rPr>
      </w:pPr>
    </w:p>
    <w:p w14:paraId="00A46C5E">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合同订立时间：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14:paraId="3F813DCC">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合同订立地点：</w:t>
      </w:r>
      <w:r>
        <w:rPr>
          <w:rFonts w:hint="eastAsia" w:ascii="宋体" w:hAnsi="宋体" w:eastAsia="宋体" w:cs="Times New Roman"/>
          <w:color w:val="auto"/>
          <w:szCs w:val="21"/>
          <w:highlight w:val="none"/>
          <w:u w:val="single"/>
        </w:rPr>
        <w:t xml:space="preserve">                           </w:t>
      </w:r>
    </w:p>
    <w:p w14:paraId="260C2152">
      <w:pPr>
        <w:adjustRightInd w:val="0"/>
        <w:snapToGrid w:val="0"/>
        <w:spacing w:before="0" w:beforeLines="0" w:line="400" w:lineRule="exact"/>
        <w:ind w:firstLine="420" w:firstLineChars="200"/>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附件：具体标</w:t>
      </w:r>
      <w:r>
        <w:rPr>
          <w:rFonts w:hint="eastAsia" w:ascii="宋体" w:hAnsi="宋体" w:eastAsia="宋体" w:cs="Times New Roman"/>
          <w:color w:val="auto"/>
          <w:szCs w:val="21"/>
          <w:highlight w:val="none"/>
          <w:lang w:eastAsia="zh-CN"/>
        </w:rPr>
        <w:t>的及其</w:t>
      </w:r>
      <w:r>
        <w:rPr>
          <w:rFonts w:hint="eastAsia" w:ascii="宋体" w:hAnsi="宋体" w:eastAsia="宋体" w:cs="Times New Roman"/>
          <w:color w:val="auto"/>
          <w:szCs w:val="21"/>
          <w:highlight w:val="none"/>
          <w:u w:val="none"/>
          <w:lang w:val="en-US" w:eastAsia="zh-CN"/>
        </w:rPr>
        <w:t>技术要求和商务要求</w:t>
      </w:r>
      <w:r>
        <w:rPr>
          <w:rFonts w:hint="eastAsia" w:ascii="宋体" w:hAnsi="宋体" w:eastAsia="宋体" w:cs="Times New Roman"/>
          <w:color w:val="auto"/>
          <w:szCs w:val="21"/>
          <w:highlight w:val="none"/>
        </w:rPr>
        <w:t>、联合协议、分包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协议等。</w:t>
      </w:r>
    </w:p>
    <w:p w14:paraId="3653E3E6">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br w:type="page"/>
      </w:r>
    </w:p>
    <w:p w14:paraId="55F74FF2">
      <w:pPr>
        <w:widowControl w:val="0"/>
        <w:ind w:firstLine="420" w:firstLineChars="200"/>
        <w:jc w:val="both"/>
        <w:rPr>
          <w:rFonts w:hint="eastAsia" w:ascii="Times New Roman" w:hAnsi="Times New Roman" w:eastAsia="宋体" w:cs="Times New Roman"/>
          <w:color w:val="auto"/>
          <w:kern w:val="2"/>
          <w:sz w:val="21"/>
          <w:szCs w:val="21"/>
          <w:highlight w:val="none"/>
          <w:lang w:val="en-US" w:eastAsia="zh-CN" w:bidi="ar-SA"/>
        </w:rPr>
      </w:pPr>
    </w:p>
    <w:tbl>
      <w:tblPr>
        <w:tblStyle w:val="3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662575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D7DCB40">
            <w:pPr>
              <w:adjustRightInd w:val="0"/>
              <w:snapToGrid w:val="0"/>
              <w:spacing w:line="30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甲方</w:t>
            </w:r>
            <w:r>
              <w:rPr>
                <w:rFonts w:hint="eastAsia" w:ascii="Times New Roman" w:hAnsi="Times New Roman" w:eastAsia="宋体" w:cs="Times New Roman"/>
                <w:color w:val="auto"/>
                <w:szCs w:val="21"/>
                <w:highlight w:val="none"/>
              </w:rPr>
              <w:t>（采购人</w:t>
            </w:r>
            <w:r>
              <w:rPr>
                <w:rFonts w:hint="eastAsia" w:ascii="宋体" w:hAnsi="宋体" w:eastAsia="宋体" w:cs="Times New Roman"/>
                <w:color w:val="auto"/>
                <w:szCs w:val="21"/>
                <w:highlight w:val="none"/>
                <w:lang w:eastAsia="zh-CN"/>
              </w:rPr>
              <w:t>、受采购人委托签订合同的单位</w:t>
            </w:r>
            <w:r>
              <w:rPr>
                <w:rFonts w:hint="eastAsia" w:ascii="宋体" w:hAnsi="宋体" w:eastAsia="宋体" w:cs="Times New Roman"/>
                <w:color w:val="auto"/>
                <w:szCs w:val="21"/>
                <w:highlight w:val="none"/>
              </w:rPr>
              <w:t>或</w:t>
            </w:r>
            <w:r>
              <w:rPr>
                <w:rFonts w:hint="eastAsia" w:ascii="Times New Roman" w:hAnsi="Times New Roman" w:eastAsia="宋体" w:cs="Times New Roman"/>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4FBD2FFE">
            <w:pPr>
              <w:adjustRightInd w:val="0"/>
              <w:snapToGrid w:val="0"/>
              <w:spacing w:line="30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乙方</w:t>
            </w:r>
            <w:r>
              <w:rPr>
                <w:rFonts w:hint="eastAsia" w:ascii="Times New Roman" w:hAnsi="Times New Roman" w:eastAsia="宋体" w:cs="Times New Roman"/>
                <w:color w:val="auto"/>
                <w:szCs w:val="21"/>
                <w:highlight w:val="none"/>
              </w:rPr>
              <w:t>（供应商）</w:t>
            </w:r>
          </w:p>
        </w:tc>
      </w:tr>
      <w:tr w14:paraId="283A26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F7BF849">
            <w:pPr>
              <w:adjustRightInd w:val="0"/>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单位名称</w:t>
            </w:r>
            <w:r>
              <w:rPr>
                <w:rFonts w:hint="eastAsia" w:ascii="Times New Roman" w:hAnsi="Times New Roman" w:eastAsia="宋体" w:cs="Times New Roman"/>
                <w:color w:val="auto"/>
                <w:szCs w:val="21"/>
                <w:highlight w:val="none"/>
              </w:rPr>
              <w:t>（公章</w:t>
            </w:r>
            <w:r>
              <w:rPr>
                <w:rFonts w:hint="eastAsia" w:ascii="Times New Roman" w:hAnsi="Times New Roman" w:eastAsia="宋体" w:cs="Times New Roman"/>
                <w:color w:val="auto"/>
                <w:szCs w:val="21"/>
                <w:highlight w:val="none"/>
                <w:lang w:eastAsia="zh-CN"/>
              </w:rPr>
              <w:t>或合同章</w:t>
            </w:r>
            <w:r>
              <w:rPr>
                <w:rFonts w:hint="eastAsia" w:ascii="Times New Roman" w:hAnsi="Times New Roman" w:eastAsia="宋体" w:cs="Times New Roman"/>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67EE574">
            <w:pPr>
              <w:adjustRightInd w:val="0"/>
              <w:snapToGrid w:val="0"/>
              <w:spacing w:line="300" w:lineRule="exact"/>
              <w:jc w:val="center"/>
              <w:rPr>
                <w:rFonts w:ascii="Times New Roman" w:hAnsi="Times New Roman" w:eastAsia="宋体" w:cs="Times New Roman"/>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189403">
            <w:pPr>
              <w:adjustRightInd w:val="0"/>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单位名称</w:t>
            </w:r>
            <w:r>
              <w:rPr>
                <w:rFonts w:hint="eastAsia" w:ascii="Times New Roman" w:hAnsi="Times New Roman" w:eastAsia="宋体" w:cs="Times New Roman"/>
                <w:color w:val="auto"/>
                <w:szCs w:val="21"/>
                <w:highlight w:val="none"/>
              </w:rPr>
              <w:t>（公章</w:t>
            </w:r>
            <w:r>
              <w:rPr>
                <w:rFonts w:hint="eastAsia" w:ascii="Times New Roman" w:hAnsi="Times New Roman" w:eastAsia="宋体" w:cs="Times New Roman"/>
                <w:color w:val="auto"/>
                <w:szCs w:val="21"/>
                <w:highlight w:val="none"/>
                <w:lang w:eastAsia="zh-CN"/>
              </w:rPr>
              <w:t>或合同章</w:t>
            </w:r>
            <w:r>
              <w:rPr>
                <w:rFonts w:hint="eastAsia" w:ascii="Times New Roman" w:hAnsi="Times New Roman" w:eastAsia="宋体" w:cs="Times New Roman"/>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5411DC05">
            <w:pPr>
              <w:adjustRightInd w:val="0"/>
              <w:snapToGrid w:val="0"/>
              <w:spacing w:line="300" w:lineRule="exact"/>
              <w:jc w:val="center"/>
              <w:rPr>
                <w:rFonts w:ascii="Times New Roman" w:hAnsi="Times New Roman" w:eastAsia="宋体" w:cs="Times New Roman"/>
                <w:color w:val="auto"/>
                <w:spacing w:val="20"/>
                <w:szCs w:val="21"/>
                <w:highlight w:val="none"/>
              </w:rPr>
            </w:pPr>
          </w:p>
        </w:tc>
      </w:tr>
      <w:tr w14:paraId="5565C3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E7A21C2">
            <w:pPr>
              <w:adjustRightInd w:val="0"/>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p w14:paraId="3980AEC4">
            <w:pPr>
              <w:adjustRightInd w:val="0"/>
              <w:snapToGrid w:val="0"/>
              <w:spacing w:line="300" w:lineRule="exact"/>
              <w:ind w:firstLine="100" w:firstLineChars="48"/>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或其</w:t>
            </w:r>
            <w:r>
              <w:rPr>
                <w:rFonts w:ascii="Times New Roman" w:hAnsi="Times New Roman" w:eastAsia="宋体" w:cs="Times New Roman"/>
                <w:color w:val="auto"/>
                <w:szCs w:val="21"/>
                <w:highlight w:val="none"/>
              </w:rPr>
              <w:t>委托代理人</w:t>
            </w:r>
            <w:r>
              <w:rPr>
                <w:rFonts w:hint="eastAsia" w:ascii="Times New Roman" w:hAnsi="Times New Roman" w:eastAsia="宋体" w:cs="Times New Roman"/>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446F5E83">
            <w:pPr>
              <w:adjustRightInd w:val="0"/>
              <w:snapToGrid w:val="0"/>
              <w:spacing w:line="300" w:lineRule="exact"/>
              <w:jc w:val="center"/>
              <w:rPr>
                <w:rFonts w:ascii="Times New Roman" w:hAnsi="Times New Roman" w:eastAsia="宋体" w:cs="Times New Roman"/>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50A70D1A">
            <w:pPr>
              <w:adjustRightInd w:val="0"/>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p w14:paraId="63CB0E94">
            <w:pPr>
              <w:adjustRightInd w:val="0"/>
              <w:snapToGrid w:val="0"/>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或其</w:t>
            </w:r>
            <w:r>
              <w:rPr>
                <w:rFonts w:ascii="Times New Roman" w:hAnsi="Times New Roman" w:eastAsia="宋体" w:cs="Times New Roman"/>
                <w:color w:val="auto"/>
                <w:szCs w:val="21"/>
                <w:highlight w:val="none"/>
              </w:rPr>
              <w:t>委托代理人</w:t>
            </w:r>
            <w:r>
              <w:rPr>
                <w:rFonts w:hint="eastAsia" w:ascii="Times New Roman" w:hAnsi="Times New Roman" w:eastAsia="宋体" w:cs="Times New Roman"/>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3151883B">
            <w:pPr>
              <w:adjustRightInd w:val="0"/>
              <w:snapToGrid w:val="0"/>
              <w:spacing w:line="300" w:lineRule="exact"/>
              <w:jc w:val="center"/>
              <w:rPr>
                <w:rFonts w:ascii="Times New Roman" w:hAnsi="Times New Roman" w:eastAsia="宋体" w:cs="Times New Roman"/>
                <w:color w:val="auto"/>
                <w:szCs w:val="21"/>
                <w:highlight w:val="none"/>
              </w:rPr>
            </w:pPr>
          </w:p>
        </w:tc>
      </w:tr>
      <w:tr w14:paraId="17AD0E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8F197A6">
            <w:pPr>
              <w:adjustRightInd w:val="0"/>
              <w:snapToGrid w:val="0"/>
              <w:spacing w:line="300" w:lineRule="exact"/>
              <w:jc w:val="center"/>
              <w:rPr>
                <w:rFonts w:ascii="Times New Roman" w:hAnsi="Times New Roman" w:eastAsia="宋体" w:cs="Times New Roman"/>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035FF80E">
            <w:pPr>
              <w:adjustRightInd w:val="0"/>
              <w:snapToGrid w:val="0"/>
              <w:spacing w:line="300" w:lineRule="exact"/>
              <w:jc w:val="center"/>
              <w:rPr>
                <w:rFonts w:ascii="Times New Roman" w:hAnsi="Times New Roman" w:eastAsia="宋体" w:cs="Times New Roman"/>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E0B0E7">
            <w:pPr>
              <w:adjustRightInd w:val="0"/>
              <w:snapToGrid w:val="0"/>
              <w:spacing w:line="300" w:lineRule="exact"/>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22772ABA">
            <w:pPr>
              <w:adjustRightInd w:val="0"/>
              <w:snapToGrid w:val="0"/>
              <w:spacing w:line="300" w:lineRule="exact"/>
              <w:jc w:val="center"/>
              <w:rPr>
                <w:rFonts w:ascii="Times New Roman" w:hAnsi="Times New Roman" w:eastAsia="宋体" w:cs="Times New Roman"/>
                <w:color w:val="auto"/>
                <w:spacing w:val="20"/>
                <w:szCs w:val="21"/>
                <w:highlight w:val="none"/>
              </w:rPr>
            </w:pPr>
          </w:p>
        </w:tc>
      </w:tr>
      <w:tr w14:paraId="11021B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971060">
            <w:pPr>
              <w:adjustRightInd w:val="0"/>
              <w:snapToGrid w:val="0"/>
              <w:spacing w:line="300" w:lineRule="exact"/>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住</w:t>
            </w:r>
            <w:r>
              <w:rPr>
                <w:rFonts w:hint="eastAsia" w:ascii="Times New Roman" w:hAnsi="Times New Roman" w:eastAsia="宋体" w:cs="Times New Roman"/>
                <w:color w:val="auto"/>
                <w:szCs w:val="21"/>
                <w:highlight w:val="none"/>
                <w:lang w:val="en-US" w:eastAsia="zh-CN"/>
              </w:rPr>
              <w:t xml:space="preserve">  </w:t>
            </w:r>
            <w:r>
              <w:rPr>
                <w:rFonts w:hint="eastAsia" w:ascii="Times New Roman" w:hAnsi="Times New Roman" w:eastAsia="宋体" w:cs="Times New Roman"/>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9B1C4FA">
            <w:pPr>
              <w:adjustRightInd w:val="0"/>
              <w:snapToGrid w:val="0"/>
              <w:spacing w:line="300" w:lineRule="exact"/>
              <w:jc w:val="center"/>
              <w:rPr>
                <w:rFonts w:ascii="Times New Roman" w:hAnsi="Times New Roman" w:eastAsia="宋体" w:cs="Times New Roman"/>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9A06407">
            <w:pPr>
              <w:adjustRightInd w:val="0"/>
              <w:snapToGrid w:val="0"/>
              <w:spacing w:line="300" w:lineRule="exact"/>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住</w:t>
            </w:r>
            <w:r>
              <w:rPr>
                <w:rFonts w:hint="eastAsia" w:ascii="Times New Roman" w:hAnsi="Times New Roman" w:eastAsia="宋体" w:cs="Times New Roman"/>
                <w:color w:val="auto"/>
                <w:szCs w:val="21"/>
                <w:highlight w:val="none"/>
                <w:lang w:val="en-US" w:eastAsia="zh-CN"/>
              </w:rPr>
              <w:t xml:space="preserve">  </w:t>
            </w:r>
            <w:r>
              <w:rPr>
                <w:rFonts w:hint="eastAsia" w:ascii="Times New Roman" w:hAnsi="Times New Roman" w:eastAsia="宋体" w:cs="Times New Roman"/>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7D3654A2">
            <w:pPr>
              <w:adjustRightInd w:val="0"/>
              <w:snapToGrid w:val="0"/>
              <w:spacing w:line="300" w:lineRule="exact"/>
              <w:jc w:val="center"/>
              <w:rPr>
                <w:rFonts w:ascii="Times New Roman" w:hAnsi="Times New Roman" w:eastAsia="宋体" w:cs="Times New Roman"/>
                <w:color w:val="auto"/>
                <w:spacing w:val="20"/>
                <w:szCs w:val="21"/>
                <w:highlight w:val="none"/>
              </w:rPr>
            </w:pPr>
          </w:p>
        </w:tc>
      </w:tr>
      <w:tr w14:paraId="04F9AE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08CBBDD">
            <w:pPr>
              <w:adjustRightInd w:val="0"/>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6B42C6D">
            <w:pPr>
              <w:adjustRightInd w:val="0"/>
              <w:snapToGrid w:val="0"/>
              <w:spacing w:line="300" w:lineRule="exact"/>
              <w:jc w:val="center"/>
              <w:rPr>
                <w:rFonts w:ascii="Times New Roman" w:hAnsi="Times New Roman" w:eastAsia="宋体" w:cs="Times New Roman"/>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0D631F0">
            <w:pPr>
              <w:adjustRightInd w:val="0"/>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79460570">
            <w:pPr>
              <w:adjustRightInd w:val="0"/>
              <w:snapToGrid w:val="0"/>
              <w:spacing w:line="300" w:lineRule="exact"/>
              <w:jc w:val="center"/>
              <w:rPr>
                <w:rFonts w:ascii="Times New Roman" w:hAnsi="Times New Roman" w:eastAsia="宋体" w:cs="Times New Roman"/>
                <w:color w:val="auto"/>
                <w:spacing w:val="20"/>
                <w:szCs w:val="21"/>
                <w:highlight w:val="none"/>
              </w:rPr>
            </w:pPr>
          </w:p>
        </w:tc>
      </w:tr>
      <w:tr w14:paraId="27053A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F661D8">
            <w:pPr>
              <w:adjustRightInd w:val="0"/>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0D92346">
            <w:pPr>
              <w:adjustRightInd w:val="0"/>
              <w:snapToGrid w:val="0"/>
              <w:spacing w:line="300" w:lineRule="exact"/>
              <w:jc w:val="center"/>
              <w:rPr>
                <w:rFonts w:ascii="Times New Roman" w:hAnsi="Times New Roman" w:eastAsia="宋体" w:cs="Times New Roman"/>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4FE2E8B">
            <w:pPr>
              <w:adjustRightInd w:val="0"/>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4F20CC68">
            <w:pPr>
              <w:adjustRightInd w:val="0"/>
              <w:snapToGrid w:val="0"/>
              <w:spacing w:line="300" w:lineRule="exact"/>
              <w:jc w:val="center"/>
              <w:rPr>
                <w:rFonts w:ascii="Times New Roman" w:hAnsi="Times New Roman" w:eastAsia="宋体" w:cs="Times New Roman"/>
                <w:color w:val="auto"/>
                <w:spacing w:val="20"/>
                <w:szCs w:val="21"/>
                <w:highlight w:val="none"/>
              </w:rPr>
            </w:pPr>
          </w:p>
        </w:tc>
      </w:tr>
      <w:tr w14:paraId="615D32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748669">
            <w:pPr>
              <w:adjustRightInd w:val="0"/>
              <w:snapToGrid w:val="0"/>
              <w:spacing w:line="300" w:lineRule="exact"/>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84F7129">
            <w:pPr>
              <w:adjustRightInd w:val="0"/>
              <w:snapToGrid w:val="0"/>
              <w:spacing w:line="300" w:lineRule="exact"/>
              <w:jc w:val="center"/>
              <w:rPr>
                <w:rFonts w:ascii="Times New Roman" w:hAnsi="Times New Roman" w:eastAsia="宋体" w:cs="Times New Roman"/>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B1FBF8D">
            <w:pPr>
              <w:adjustRightInd w:val="0"/>
              <w:snapToGrid w:val="0"/>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013DF8A3">
            <w:pPr>
              <w:adjustRightInd w:val="0"/>
              <w:snapToGrid w:val="0"/>
              <w:spacing w:line="300" w:lineRule="exact"/>
              <w:jc w:val="center"/>
              <w:rPr>
                <w:rFonts w:ascii="Times New Roman" w:hAnsi="Times New Roman" w:eastAsia="宋体" w:cs="Times New Roman"/>
                <w:color w:val="auto"/>
                <w:spacing w:val="20"/>
                <w:szCs w:val="21"/>
                <w:highlight w:val="none"/>
              </w:rPr>
            </w:pPr>
          </w:p>
        </w:tc>
      </w:tr>
      <w:tr w14:paraId="5AECC2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5B83A4">
            <w:pPr>
              <w:adjustRightInd w:val="0"/>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4488EBB">
            <w:pPr>
              <w:adjustRightInd w:val="0"/>
              <w:snapToGrid w:val="0"/>
              <w:spacing w:line="300" w:lineRule="exact"/>
              <w:jc w:val="center"/>
              <w:rPr>
                <w:rFonts w:ascii="Times New Roman" w:hAnsi="Times New Roman" w:eastAsia="宋体" w:cs="Times New Roman"/>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F96F94">
            <w:pPr>
              <w:adjustRightInd w:val="0"/>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047B6544">
            <w:pPr>
              <w:adjustRightInd w:val="0"/>
              <w:snapToGrid w:val="0"/>
              <w:spacing w:line="300" w:lineRule="exact"/>
              <w:jc w:val="center"/>
              <w:rPr>
                <w:rFonts w:ascii="Times New Roman" w:hAnsi="Times New Roman" w:eastAsia="宋体" w:cs="Times New Roman"/>
                <w:color w:val="auto"/>
                <w:spacing w:val="20"/>
                <w:szCs w:val="21"/>
                <w:highlight w:val="none"/>
              </w:rPr>
            </w:pPr>
          </w:p>
        </w:tc>
      </w:tr>
      <w:tr w14:paraId="2C8418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7ACC0B8">
            <w:pPr>
              <w:adjustRightInd w:val="0"/>
              <w:snapToGrid w:val="0"/>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3F1323D">
            <w:pPr>
              <w:adjustRightInd w:val="0"/>
              <w:snapToGrid w:val="0"/>
              <w:spacing w:line="300" w:lineRule="exact"/>
              <w:jc w:val="center"/>
              <w:rPr>
                <w:rFonts w:ascii="Times New Roman" w:hAnsi="Times New Roman" w:eastAsia="宋体" w:cs="Times New Roman"/>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F5DC89">
            <w:pPr>
              <w:adjustRightInd w:val="0"/>
              <w:snapToGrid w:val="0"/>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29554FC9">
            <w:pPr>
              <w:adjustRightInd w:val="0"/>
              <w:snapToGrid w:val="0"/>
              <w:spacing w:line="300" w:lineRule="exact"/>
              <w:jc w:val="center"/>
              <w:rPr>
                <w:rFonts w:ascii="Times New Roman" w:hAnsi="Times New Roman" w:eastAsia="宋体" w:cs="Times New Roman"/>
                <w:color w:val="auto"/>
                <w:spacing w:val="20"/>
                <w:szCs w:val="21"/>
                <w:highlight w:val="none"/>
              </w:rPr>
            </w:pPr>
          </w:p>
        </w:tc>
      </w:tr>
      <w:tr w14:paraId="2097C9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760E15">
            <w:pPr>
              <w:adjustRightInd w:val="0"/>
              <w:snapToGrid w:val="0"/>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841D993">
            <w:pPr>
              <w:adjustRightInd w:val="0"/>
              <w:snapToGrid w:val="0"/>
              <w:spacing w:line="300" w:lineRule="exact"/>
              <w:jc w:val="center"/>
              <w:rPr>
                <w:rFonts w:ascii="Times New Roman" w:hAnsi="Times New Roman" w:eastAsia="宋体" w:cs="Times New Roman"/>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7248C4">
            <w:pPr>
              <w:adjustRightInd w:val="0"/>
              <w:snapToGrid w:val="0"/>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01DD4C37">
            <w:pPr>
              <w:adjustRightInd w:val="0"/>
              <w:snapToGrid w:val="0"/>
              <w:spacing w:line="300" w:lineRule="exact"/>
              <w:jc w:val="center"/>
              <w:rPr>
                <w:rFonts w:ascii="Times New Roman" w:hAnsi="Times New Roman" w:eastAsia="宋体" w:cs="Times New Roman"/>
                <w:color w:val="auto"/>
                <w:spacing w:val="20"/>
                <w:szCs w:val="21"/>
                <w:highlight w:val="none"/>
              </w:rPr>
            </w:pPr>
          </w:p>
        </w:tc>
      </w:tr>
      <w:tr w14:paraId="6BAEEA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B98E2D">
            <w:pPr>
              <w:adjustRightInd w:val="0"/>
              <w:snapToGrid w:val="0"/>
              <w:spacing w:line="300" w:lineRule="exact"/>
              <w:jc w:val="center"/>
              <w:rPr>
                <w:rFonts w:ascii="Times New Roman" w:hAnsi="Times New Roman" w:eastAsia="宋体" w:cs="Times New Roman"/>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F5C8668">
            <w:pPr>
              <w:adjustRightInd w:val="0"/>
              <w:snapToGrid w:val="0"/>
              <w:spacing w:line="300" w:lineRule="exact"/>
              <w:jc w:val="center"/>
              <w:rPr>
                <w:rFonts w:ascii="Times New Roman" w:hAnsi="Times New Roman" w:eastAsia="宋体" w:cs="Times New Roman"/>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0C283CD">
            <w:pPr>
              <w:adjustRightInd w:val="0"/>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06802235">
            <w:pPr>
              <w:adjustRightInd w:val="0"/>
              <w:snapToGrid w:val="0"/>
              <w:spacing w:line="300" w:lineRule="exact"/>
              <w:jc w:val="center"/>
              <w:rPr>
                <w:rFonts w:ascii="Times New Roman" w:hAnsi="Times New Roman" w:eastAsia="宋体" w:cs="Times New Roman"/>
                <w:color w:val="auto"/>
                <w:spacing w:val="20"/>
                <w:szCs w:val="21"/>
                <w:highlight w:val="none"/>
              </w:rPr>
            </w:pPr>
          </w:p>
        </w:tc>
      </w:tr>
      <w:tr w14:paraId="65D2FA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117D277">
            <w:pPr>
              <w:adjustRightInd w:val="0"/>
              <w:snapToGrid w:val="0"/>
              <w:spacing w:line="300" w:lineRule="exact"/>
              <w:jc w:val="center"/>
              <w:rPr>
                <w:rFonts w:ascii="Times New Roman" w:hAnsi="Times New Roman" w:eastAsia="宋体" w:cs="Times New Roman"/>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DD24505">
            <w:pPr>
              <w:adjustRightInd w:val="0"/>
              <w:snapToGrid w:val="0"/>
              <w:spacing w:line="300" w:lineRule="exact"/>
              <w:jc w:val="center"/>
              <w:rPr>
                <w:rFonts w:ascii="Times New Roman" w:hAnsi="Times New Roman" w:eastAsia="宋体" w:cs="Times New Roman"/>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C54B9C9">
            <w:pPr>
              <w:adjustRightInd w:val="0"/>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67DD2842">
            <w:pPr>
              <w:adjustRightInd w:val="0"/>
              <w:snapToGrid w:val="0"/>
              <w:spacing w:line="300" w:lineRule="exact"/>
              <w:jc w:val="center"/>
              <w:rPr>
                <w:rFonts w:ascii="Times New Roman" w:hAnsi="Times New Roman" w:eastAsia="宋体" w:cs="Times New Roman"/>
                <w:color w:val="auto"/>
                <w:spacing w:val="20"/>
                <w:szCs w:val="21"/>
                <w:highlight w:val="none"/>
              </w:rPr>
            </w:pPr>
          </w:p>
        </w:tc>
      </w:tr>
      <w:tr w14:paraId="71E3F8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9FC8A8">
            <w:pPr>
              <w:adjustRightInd w:val="0"/>
              <w:snapToGrid w:val="0"/>
              <w:spacing w:line="300" w:lineRule="exact"/>
              <w:jc w:val="center"/>
              <w:rPr>
                <w:rFonts w:ascii="Times New Roman" w:hAnsi="Times New Roman" w:eastAsia="宋体" w:cs="Times New Roman"/>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4028F22">
            <w:pPr>
              <w:adjustRightInd w:val="0"/>
              <w:snapToGrid w:val="0"/>
              <w:spacing w:line="300" w:lineRule="exact"/>
              <w:jc w:val="center"/>
              <w:rPr>
                <w:rFonts w:ascii="Times New Roman" w:hAnsi="Times New Roman" w:eastAsia="宋体" w:cs="Times New Roman"/>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CAF522">
            <w:pPr>
              <w:adjustRightInd w:val="0"/>
              <w:snapToGrid w:val="0"/>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6C4A51D1">
            <w:pPr>
              <w:adjustRightInd w:val="0"/>
              <w:snapToGrid w:val="0"/>
              <w:spacing w:line="300" w:lineRule="exact"/>
              <w:jc w:val="center"/>
              <w:rPr>
                <w:rFonts w:ascii="Times New Roman" w:hAnsi="Times New Roman" w:eastAsia="宋体" w:cs="Times New Roman"/>
                <w:color w:val="auto"/>
                <w:spacing w:val="20"/>
                <w:szCs w:val="21"/>
                <w:highlight w:val="none"/>
              </w:rPr>
            </w:pPr>
          </w:p>
        </w:tc>
      </w:tr>
      <w:tr w14:paraId="0799C3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EE4C87B">
            <w:pPr>
              <w:widowControl w:val="0"/>
              <w:adjustRightInd w:val="0"/>
              <w:snapToGrid w:val="0"/>
              <w:spacing w:before="156" w:beforeLines="50" w:after="0" w:line="360" w:lineRule="auto"/>
              <w:ind w:left="0" w:leftChars="0"/>
              <w:jc w:val="left"/>
              <w:rPr>
                <w:rFonts w:ascii="Times New Roman" w:hAnsi="Times New Roman" w:eastAsia="宋体" w:cs="Times New Roman"/>
                <w:color w:val="auto"/>
                <w:spacing w:val="20"/>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注：涉及联合体或其他合同主体的信息应按上表格式加列。</w:t>
            </w:r>
          </w:p>
        </w:tc>
      </w:tr>
    </w:tbl>
    <w:p w14:paraId="4FC31A81">
      <w:pPr>
        <w:keepNext/>
        <w:keepLines/>
        <w:widowControl w:val="0"/>
        <w:adjustRightInd w:val="0"/>
        <w:snapToGrid w:val="0"/>
        <w:spacing w:before="156" w:beforeLines="50" w:line="360" w:lineRule="auto"/>
        <w:jc w:val="center"/>
        <w:outlineLvl w:val="1"/>
        <w:rPr>
          <w:rFonts w:ascii="黑体" w:hAnsi="黑体" w:eastAsia="黑体" w:cs="Times New Roman"/>
          <w:b/>
          <w:bCs/>
          <w:color w:val="auto"/>
          <w:kern w:val="2"/>
          <w:sz w:val="28"/>
          <w:szCs w:val="28"/>
          <w:highlight w:val="none"/>
          <w:lang w:val="en-US" w:eastAsia="zh-CN" w:bidi="ar-SA"/>
        </w:rPr>
      </w:pPr>
      <w:r>
        <w:rPr>
          <w:rFonts w:ascii="宋体" w:hAnsi="宋体" w:eastAsia="宋体" w:cs="Times New Roman"/>
          <w:b/>
          <w:bCs/>
          <w:color w:val="auto"/>
          <w:kern w:val="2"/>
          <w:sz w:val="21"/>
          <w:szCs w:val="21"/>
          <w:highlight w:val="none"/>
          <w:u w:val="single"/>
          <w:lang w:val="en-US" w:eastAsia="zh-CN" w:bidi="ar-SA"/>
        </w:rPr>
        <w:br w:type="page"/>
      </w:r>
      <w:bookmarkStart w:id="714" w:name="_Toc27624"/>
      <w:r>
        <w:rPr>
          <w:rFonts w:hint="eastAsia" w:ascii="黑体" w:hAnsi="黑体" w:eastAsia="黑体" w:cs="Times New Roman"/>
          <w:b w:val="0"/>
          <w:bCs w:val="0"/>
          <w:color w:val="auto"/>
          <w:kern w:val="2"/>
          <w:sz w:val="28"/>
          <w:szCs w:val="28"/>
          <w:highlight w:val="none"/>
          <w:lang w:val="en-US" w:eastAsia="zh-CN" w:bidi="ar-SA"/>
        </w:rPr>
        <w:t>第二节 政府采购合同通用条款</w:t>
      </w:r>
      <w:bookmarkEnd w:id="714"/>
    </w:p>
    <w:p w14:paraId="1C19BFAD">
      <w:pPr>
        <w:tabs>
          <w:tab w:val="left" w:pos="8820"/>
          <w:tab w:val="left" w:pos="9345"/>
          <w:tab w:val="left" w:pos="9765"/>
        </w:tabs>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color w:val="auto"/>
          <w:sz w:val="24"/>
          <w:highlight w:val="none"/>
        </w:rPr>
        <w:t>1.</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bCs/>
          <w:color w:val="auto"/>
          <w:sz w:val="24"/>
          <w:highlight w:val="none"/>
        </w:rPr>
        <w:t>定义</w:t>
      </w:r>
    </w:p>
    <w:p w14:paraId="0F0E752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1.1合同当事人</w:t>
      </w:r>
    </w:p>
    <w:p w14:paraId="3CD98D7C">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（1）采购人（以下称甲方）是指使用财政性资金，通过政府采购方式向供应商购买货物</w:t>
      </w:r>
      <w:r>
        <w:rPr>
          <w:rFonts w:hint="eastAsia" w:ascii="宋体" w:hAnsi="宋体" w:eastAsia="宋体" w:cs="Times New Roman"/>
          <w:color w:val="auto"/>
          <w:szCs w:val="21"/>
          <w:highlight w:val="none"/>
          <w:lang w:val="en-US" w:eastAsia="zh-CN"/>
        </w:rPr>
        <w:t>及其相关服务的</w:t>
      </w:r>
      <w:r>
        <w:rPr>
          <w:rFonts w:hint="eastAsia" w:ascii="宋体" w:hAnsi="宋体" w:eastAsia="宋体" w:cs="Times New Roman"/>
          <w:color w:val="auto"/>
          <w:szCs w:val="21"/>
          <w:highlight w:val="none"/>
        </w:rPr>
        <w:t>国家机关、事业单位、团体组织。</w:t>
      </w:r>
    </w:p>
    <w:p w14:paraId="5E3A6F40">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（2）供应商（以下称</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方）是指参加政府采购活动并且中标（成交），向采购人提供</w:t>
      </w:r>
      <w:r>
        <w:rPr>
          <w:rFonts w:hint="eastAsia" w:ascii="宋体" w:hAnsi="宋体" w:eastAsia="宋体" w:cs="Times New Roman"/>
          <w:color w:val="auto"/>
          <w:szCs w:val="21"/>
          <w:highlight w:val="none"/>
          <w:lang w:val="en-US" w:eastAsia="zh-CN"/>
        </w:rPr>
        <w:t>合同约定的货物及其相关服务的法人、非法人组织或者自然人</w:t>
      </w:r>
      <w:r>
        <w:rPr>
          <w:rFonts w:hint="eastAsia" w:ascii="宋体" w:hAnsi="宋体" w:eastAsia="宋体" w:cs="Times New Roman"/>
          <w:color w:val="auto"/>
          <w:szCs w:val="21"/>
          <w:highlight w:val="none"/>
        </w:rPr>
        <w:t>。</w:t>
      </w:r>
    </w:p>
    <w:p w14:paraId="2A0E5C6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Times New Roman"/>
          <w:color w:val="auto"/>
          <w:szCs w:val="21"/>
          <w:highlight w:val="none"/>
        </w:rPr>
        <w:t>。</w:t>
      </w:r>
    </w:p>
    <w:p w14:paraId="7046BF80">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1.2本合同下列术语应解释为：</w:t>
      </w:r>
    </w:p>
    <w:p w14:paraId="2D9D7810">
      <w:pPr>
        <w:adjustRightInd w:val="0"/>
        <w:snapToGrid w:val="0"/>
        <w:spacing w:before="0" w:beforeLines="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Times New Roman"/>
          <w:color w:val="auto"/>
          <w:szCs w:val="21"/>
          <w:highlight w:val="none"/>
          <w:lang w:eastAsia="zh-CN"/>
        </w:rPr>
        <w:t>政府采购</w:t>
      </w:r>
      <w:r>
        <w:rPr>
          <w:rFonts w:hint="eastAsia" w:ascii="宋体" w:hAnsi="宋体" w:eastAsia="宋体" w:cs="Times New Roman"/>
          <w:color w:val="auto"/>
          <w:szCs w:val="21"/>
          <w:highlight w:val="none"/>
        </w:rPr>
        <w:t>合同协议书及其变更、补充</w:t>
      </w:r>
      <w:r>
        <w:rPr>
          <w:rFonts w:hint="eastAsia" w:ascii="宋体" w:hAnsi="宋体" w:eastAsia="宋体" w:cs="Times New Roman"/>
          <w:color w:val="auto"/>
          <w:szCs w:val="21"/>
          <w:highlight w:val="none"/>
          <w:lang w:eastAsia="zh-CN"/>
        </w:rPr>
        <w:t>协议，</w:t>
      </w:r>
      <w:r>
        <w:rPr>
          <w:rFonts w:hint="eastAsia" w:ascii="宋体" w:hAnsi="宋体" w:eastAsia="宋体" w:cs="Times New Roman"/>
          <w:color w:val="auto"/>
          <w:szCs w:val="21"/>
          <w:highlight w:val="none"/>
        </w:rPr>
        <w:t>政府采购合同专用条款</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政府采购合同通用条款</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中标</w:t>
      </w:r>
      <w:r>
        <w:rPr>
          <w:rFonts w:hint="eastAsia" w:ascii="宋体" w:hAnsi="宋体" w:eastAsia="宋体" w:cs="Times New Roman"/>
          <w:color w:val="auto"/>
          <w:szCs w:val="21"/>
          <w:highlight w:val="none"/>
          <w:lang w:eastAsia="zh-CN"/>
        </w:rPr>
        <w:t>（成交）</w:t>
      </w:r>
      <w:r>
        <w:rPr>
          <w:rFonts w:hint="eastAsia" w:ascii="宋体" w:hAnsi="宋体" w:eastAsia="宋体" w:cs="Times New Roman"/>
          <w:color w:val="auto"/>
          <w:szCs w:val="21"/>
          <w:highlight w:val="none"/>
        </w:rPr>
        <w:t>通知书</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投标（响应）文件</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采购文件</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有关技术文件</w:t>
      </w:r>
      <w:r>
        <w:rPr>
          <w:rFonts w:hint="eastAsia" w:ascii="宋体" w:hAnsi="宋体" w:eastAsia="宋体" w:cs="Times New Roman"/>
          <w:color w:val="auto"/>
          <w:szCs w:val="21"/>
          <w:highlight w:val="none"/>
          <w:lang w:eastAsia="zh-CN"/>
        </w:rPr>
        <w:t>和</w:t>
      </w:r>
      <w:r>
        <w:rPr>
          <w:rFonts w:hint="eastAsia" w:ascii="宋体" w:hAnsi="宋体" w:eastAsia="宋体" w:cs="Times New Roman"/>
          <w:color w:val="auto"/>
          <w:szCs w:val="21"/>
          <w:highlight w:val="none"/>
        </w:rPr>
        <w:t>图纸</w:t>
      </w:r>
      <w:r>
        <w:rPr>
          <w:rFonts w:hint="eastAsia" w:ascii="宋体" w:hAnsi="宋体" w:eastAsia="宋体" w:cs="Times New Roman"/>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Times New Roman"/>
          <w:color w:val="auto"/>
          <w:szCs w:val="21"/>
          <w:highlight w:val="none"/>
        </w:rPr>
        <w:t>。</w:t>
      </w:r>
    </w:p>
    <w:p w14:paraId="35857899">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）“合同价</w:t>
      </w:r>
      <w:r>
        <w:rPr>
          <w:rFonts w:hint="eastAsia" w:ascii="宋体" w:hAnsi="宋体" w:eastAsia="宋体" w:cs="Times New Roman"/>
          <w:color w:val="auto"/>
          <w:szCs w:val="21"/>
          <w:highlight w:val="none"/>
          <w:lang w:val="en-US" w:eastAsia="zh-CN"/>
        </w:rPr>
        <w:t>款</w:t>
      </w:r>
      <w:r>
        <w:rPr>
          <w:rFonts w:hint="eastAsia" w:ascii="宋体" w:hAnsi="宋体" w:eastAsia="宋体" w:cs="Times New Roman"/>
          <w:color w:val="auto"/>
          <w:szCs w:val="21"/>
          <w:highlight w:val="none"/>
        </w:rPr>
        <w:t>”系指根据本合同规定乙方在全面履行合同义务后甲方应支付给乙方的价款。</w:t>
      </w:r>
    </w:p>
    <w:p w14:paraId="3BCCAA1A">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eastAsia="宋体" w:cs="Times New Roman"/>
          <w:color w:val="auto"/>
          <w:szCs w:val="21"/>
          <w:highlight w:val="none"/>
          <w:lang w:val="en"/>
        </w:rPr>
        <w:t>其他</w:t>
      </w:r>
      <w:r>
        <w:rPr>
          <w:rFonts w:hint="eastAsia" w:ascii="宋体" w:hAnsi="宋体" w:eastAsia="宋体" w:cs="Times New Roman"/>
          <w:color w:val="auto"/>
          <w:szCs w:val="21"/>
          <w:highlight w:val="none"/>
        </w:rPr>
        <w:t>技术资料和材料</w:t>
      </w:r>
      <w:r>
        <w:rPr>
          <w:rFonts w:hint="eastAsia" w:ascii="宋体" w:hAnsi="宋体" w:eastAsia="宋体" w:cs="Times New Roman"/>
          <w:color w:val="auto"/>
          <w:szCs w:val="21"/>
          <w:highlight w:val="none"/>
          <w:lang w:eastAsia="zh-CN"/>
        </w:rPr>
        <w:t>等</w:t>
      </w:r>
      <w:r>
        <w:rPr>
          <w:rFonts w:hint="eastAsia" w:ascii="宋体" w:hAnsi="宋体" w:eastAsia="宋体" w:cs="Times New Roman"/>
          <w:color w:val="auto"/>
          <w:szCs w:val="21"/>
          <w:highlight w:val="none"/>
        </w:rPr>
        <w:t>。</w:t>
      </w:r>
    </w:p>
    <w:p w14:paraId="4F3257F1">
      <w:pPr>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相关</w:t>
      </w:r>
      <w:r>
        <w:rPr>
          <w:rFonts w:hint="eastAsia" w:ascii="宋体" w:hAnsi="宋体" w:eastAsia="宋体" w:cs="Times New Roman"/>
          <w:color w:val="auto"/>
          <w:szCs w:val="21"/>
          <w:highlight w:val="none"/>
        </w:rPr>
        <w:t>服务”系指根据合同规定，乙方应提供的</w:t>
      </w:r>
      <w:r>
        <w:rPr>
          <w:rFonts w:hint="eastAsia" w:ascii="宋体" w:hAnsi="宋体" w:eastAsia="宋体" w:cs="Times New Roman"/>
          <w:color w:val="auto"/>
          <w:szCs w:val="21"/>
          <w:highlight w:val="none"/>
          <w:lang w:val="en-US" w:eastAsia="zh-CN"/>
        </w:rPr>
        <w:t>与货物有关的</w:t>
      </w:r>
      <w:r>
        <w:rPr>
          <w:rFonts w:hint="eastAsia" w:ascii="宋体" w:hAnsi="宋体" w:eastAsia="宋体" w:cs="Times New Roman"/>
          <w:color w:val="auto"/>
          <w:szCs w:val="21"/>
          <w:highlight w:val="none"/>
        </w:rPr>
        <w:t>技术、管理和</w:t>
      </w:r>
      <w:r>
        <w:rPr>
          <w:rFonts w:hint="default" w:ascii="宋体" w:hAnsi="宋体" w:eastAsia="宋体" w:cs="Times New Roman"/>
          <w:color w:val="auto"/>
          <w:szCs w:val="21"/>
          <w:highlight w:val="none"/>
          <w:lang w:val="en"/>
        </w:rPr>
        <w:t>其他</w:t>
      </w:r>
      <w:r>
        <w:rPr>
          <w:rFonts w:hint="eastAsia" w:ascii="宋体" w:hAnsi="宋体" w:eastAsia="宋体" w:cs="Times New Roman"/>
          <w:color w:val="auto"/>
          <w:szCs w:val="21"/>
          <w:highlight w:val="none"/>
        </w:rPr>
        <w:t>服务，包括但不限于：管理和质量保证、运输、保险、检验、现场准备、安装、集成、调试、培训、维修、</w:t>
      </w:r>
      <w:r>
        <w:rPr>
          <w:rFonts w:hint="eastAsia" w:ascii="宋体" w:hAnsi="宋体" w:eastAsia="宋体" w:cs="Times New Roman"/>
          <w:color w:val="auto"/>
          <w:szCs w:val="21"/>
          <w:highlight w:val="none"/>
          <w:lang w:eastAsia="zh-CN"/>
        </w:rPr>
        <w:t>废弃处置、</w:t>
      </w:r>
      <w:r>
        <w:rPr>
          <w:rFonts w:hint="eastAsia" w:ascii="宋体" w:hAnsi="宋体" w:eastAsia="宋体" w:cs="Times New Roman"/>
          <w:color w:val="auto"/>
          <w:szCs w:val="21"/>
          <w:highlight w:val="none"/>
        </w:rPr>
        <w:t>技术支持等以及合同中规定乙方应承担的</w:t>
      </w:r>
      <w:r>
        <w:rPr>
          <w:rFonts w:hint="default" w:ascii="宋体" w:hAnsi="宋体" w:eastAsia="宋体" w:cs="Times New Roman"/>
          <w:color w:val="auto"/>
          <w:szCs w:val="21"/>
          <w:highlight w:val="none"/>
          <w:lang w:val="en"/>
        </w:rPr>
        <w:t>其他</w:t>
      </w:r>
      <w:r>
        <w:rPr>
          <w:rFonts w:hint="eastAsia" w:ascii="宋体" w:hAnsi="宋体" w:eastAsia="宋体" w:cs="Times New Roman"/>
          <w:color w:val="auto"/>
          <w:szCs w:val="21"/>
          <w:highlight w:val="none"/>
        </w:rPr>
        <w:t>义务。</w:t>
      </w:r>
    </w:p>
    <w:p w14:paraId="7C05A1C0">
      <w:pPr>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）“分包”系指中标</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成交</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供应商按采购文件、投标（响应）文件的规定，根据分包意向协议，将中标</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成交</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项目中的部分履约内容，分给具有相应资质条件的供应商履行合同的行为。</w:t>
      </w:r>
    </w:p>
    <w:p w14:paraId="64F28D0D">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）“联合体”系指</w:t>
      </w:r>
      <w:r>
        <w:rPr>
          <w:rFonts w:hint="eastAsia" w:ascii="宋体" w:hAnsi="宋体" w:eastAsia="宋体" w:cs="Times New Roman"/>
          <w:color w:val="auto"/>
          <w:szCs w:val="21"/>
          <w:highlight w:val="none"/>
          <w:lang w:eastAsia="zh-CN"/>
        </w:rPr>
        <w:t>由</w:t>
      </w:r>
      <w:r>
        <w:rPr>
          <w:rFonts w:hint="eastAsia" w:ascii="宋体" w:hAnsi="宋体" w:eastAsia="宋体" w:cs="Times New Roman"/>
          <w:color w:val="auto"/>
          <w:szCs w:val="21"/>
          <w:highlight w:val="none"/>
        </w:rPr>
        <w:t>两个以上的自然人、法人或者</w:t>
      </w:r>
      <w:r>
        <w:rPr>
          <w:rFonts w:hint="eastAsia" w:ascii="宋体" w:hAnsi="宋体" w:eastAsia="宋体" w:cs="Times New Roman"/>
          <w:color w:val="auto"/>
          <w:szCs w:val="21"/>
          <w:highlight w:val="none"/>
          <w:lang w:val="en-US" w:eastAsia="zh-CN"/>
        </w:rPr>
        <w:t>非法人</w:t>
      </w:r>
      <w:r>
        <w:rPr>
          <w:rFonts w:hint="eastAsia" w:ascii="宋体" w:hAnsi="宋体" w:eastAsia="宋体" w:cs="Times New Roman"/>
          <w:color w:val="auto"/>
          <w:szCs w:val="21"/>
          <w:highlight w:val="none"/>
        </w:rPr>
        <w:t>组织组成，</w:t>
      </w:r>
      <w:r>
        <w:rPr>
          <w:rFonts w:hint="eastAsia" w:ascii="宋体" w:hAnsi="宋体" w:eastAsia="宋体" w:cs="Times New Roman"/>
          <w:color w:val="auto"/>
          <w:szCs w:val="21"/>
          <w:highlight w:val="none"/>
          <w:lang w:eastAsia="zh-CN"/>
        </w:rPr>
        <w:t>以一个供应商的身份共同参加政府采购的主体。</w:t>
      </w:r>
      <w:r>
        <w:rPr>
          <w:rFonts w:hint="eastAsia" w:ascii="宋体" w:hAnsi="宋体" w:eastAsia="宋体" w:cs="Times New Roman"/>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承担连带责任。联合体具体要求见【</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w:t>
      </w:r>
    </w:p>
    <w:p w14:paraId="43377DDD">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）其他术语解释，见【</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w:t>
      </w:r>
    </w:p>
    <w:p w14:paraId="59ACC32B">
      <w:pPr>
        <w:numPr>
          <w:ilvl w:val="0"/>
          <w:numId w:val="26"/>
        </w:num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color w:val="auto"/>
          <w:sz w:val="24"/>
          <w:highlight w:val="none"/>
        </w:rPr>
        <w:t>合同标的及金额</w:t>
      </w:r>
    </w:p>
    <w:p w14:paraId="0FBB2DAE">
      <w:pPr>
        <w:autoSpaceDE w:val="0"/>
        <w:autoSpaceDN w:val="0"/>
        <w:adjustRightInd w:val="0"/>
        <w:snapToGrid w:val="0"/>
        <w:spacing w:before="0" w:line="400" w:lineRule="exact"/>
        <w:ind w:firstLine="420" w:firstLineChars="200"/>
        <w:jc w:val="left"/>
        <w:rPr>
          <w:rFonts w:ascii="宋体" w:hAnsi="宋体" w:eastAsia="宋体" w:cs="Times New Roman"/>
          <w:b/>
          <w:bCs/>
          <w:i/>
          <w:iCs/>
          <w:color w:val="auto"/>
          <w:szCs w:val="21"/>
          <w:highlight w:val="none"/>
        </w:rPr>
      </w:pPr>
      <w:r>
        <w:rPr>
          <w:rFonts w:hint="eastAsia" w:ascii="宋体" w:hAnsi="宋体" w:eastAsia="宋体" w:cs="Times New Roman"/>
          <w:color w:val="auto"/>
          <w:szCs w:val="21"/>
          <w:highlight w:val="none"/>
          <w:lang w:eastAsia="zh-CN"/>
        </w:rPr>
        <w:t>2</w:t>
      </w:r>
      <w:r>
        <w:rPr>
          <w:rFonts w:hint="eastAsia" w:ascii="宋体" w:hAnsi="宋体" w:eastAsia="宋体" w:cs="Times New Roman"/>
          <w:color w:val="auto"/>
          <w:szCs w:val="21"/>
          <w:highlight w:val="none"/>
        </w:rPr>
        <w:t>.1 合同标的及金额应与中标（成交）结果一致。乙方为履行本合同而发生的所有费用均应包含在合同</w:t>
      </w:r>
      <w:r>
        <w:rPr>
          <w:rFonts w:hint="eastAsia" w:ascii="宋体" w:hAnsi="宋体" w:eastAsia="宋体" w:cs="Times New Roman"/>
          <w:color w:val="auto"/>
          <w:szCs w:val="21"/>
          <w:highlight w:val="none"/>
          <w:lang w:eastAsia="zh-CN"/>
        </w:rPr>
        <w:t>价款</w:t>
      </w:r>
      <w:r>
        <w:rPr>
          <w:rFonts w:hint="eastAsia" w:ascii="宋体" w:hAnsi="宋体" w:eastAsia="宋体" w:cs="Times New Roman"/>
          <w:color w:val="auto"/>
          <w:szCs w:val="21"/>
          <w:highlight w:val="none"/>
        </w:rPr>
        <w:t>中，甲方不再另行支付</w:t>
      </w:r>
      <w:r>
        <w:rPr>
          <w:rFonts w:hint="default" w:ascii="宋体" w:hAnsi="宋体" w:eastAsia="宋体" w:cs="Times New Roman"/>
          <w:color w:val="auto"/>
          <w:szCs w:val="21"/>
          <w:highlight w:val="none"/>
          <w:lang w:val="en"/>
        </w:rPr>
        <w:t>其他</w:t>
      </w:r>
      <w:r>
        <w:rPr>
          <w:rFonts w:hint="eastAsia" w:ascii="宋体" w:hAnsi="宋体" w:eastAsia="宋体" w:cs="Times New Roman"/>
          <w:color w:val="auto"/>
          <w:szCs w:val="21"/>
          <w:highlight w:val="none"/>
        </w:rPr>
        <w:t>任何费用。</w:t>
      </w:r>
    </w:p>
    <w:p w14:paraId="6D70B939">
      <w:pPr>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lang w:eastAsia="zh-CN"/>
        </w:rPr>
        <w:t>3</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履行合同的时间、地点和方式</w:t>
      </w:r>
    </w:p>
    <w:p w14:paraId="79868CB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eastAsia="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5E34EF29">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eastAsia="zh-CN"/>
        </w:rPr>
        <w:t>4</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甲方的权利和义务</w:t>
      </w:r>
    </w:p>
    <w:p w14:paraId="614A6AB7">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4</w:t>
      </w: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 xml:space="preserve"> 签署合同后，甲方</w:t>
      </w:r>
      <w:r>
        <w:rPr>
          <w:rFonts w:hint="eastAsia" w:ascii="宋体" w:hAnsi="宋体" w:eastAsia="宋体" w:cs="Times New Roman"/>
          <w:color w:val="auto"/>
          <w:szCs w:val="21"/>
          <w:highlight w:val="none"/>
          <w:lang w:eastAsia="zh-CN"/>
        </w:rPr>
        <w:t>应</w:t>
      </w:r>
      <w:r>
        <w:rPr>
          <w:rFonts w:ascii="宋体" w:hAnsi="宋体" w:eastAsia="宋体" w:cs="Times New Roman"/>
          <w:color w:val="auto"/>
          <w:szCs w:val="21"/>
          <w:highlight w:val="none"/>
        </w:rPr>
        <w:t>确定</w:t>
      </w:r>
      <w:r>
        <w:rPr>
          <w:rFonts w:hint="eastAsia" w:ascii="宋体" w:hAnsi="宋体" w:eastAsia="宋体" w:cs="Times New Roman"/>
          <w:color w:val="auto"/>
          <w:szCs w:val="21"/>
          <w:highlight w:val="none"/>
          <w:lang w:val="en-US" w:eastAsia="zh-CN"/>
        </w:rPr>
        <w:t>项目负责人（或项目联系人）</w:t>
      </w:r>
      <w:r>
        <w:rPr>
          <w:rFonts w:ascii="宋体" w:hAnsi="宋体" w:eastAsia="宋体" w:cs="Times New Roman"/>
          <w:color w:val="auto"/>
          <w:szCs w:val="21"/>
          <w:highlight w:val="none"/>
        </w:rPr>
        <w:t>，负责与本合同有关的事务。</w:t>
      </w:r>
      <w:r>
        <w:rPr>
          <w:rFonts w:hint="eastAsia" w:ascii="宋体" w:hAnsi="宋体" w:eastAsia="宋体" w:cs="Times New Roman"/>
          <w:color w:val="auto"/>
          <w:szCs w:val="21"/>
          <w:highlight w:val="none"/>
        </w:rPr>
        <w:t>甲方有权对乙方的履约行为进行检查，并</w:t>
      </w:r>
      <w:r>
        <w:rPr>
          <w:rFonts w:ascii="宋体" w:hAnsi="宋体" w:eastAsia="宋体" w:cs="Times New Roman"/>
          <w:color w:val="auto"/>
          <w:szCs w:val="21"/>
          <w:highlight w:val="none"/>
        </w:rPr>
        <w:t>及时确认乙方提交的事项</w:t>
      </w:r>
      <w:r>
        <w:rPr>
          <w:rFonts w:hint="eastAsia" w:ascii="宋体" w:hAnsi="宋体" w:eastAsia="宋体" w:cs="Times New Roman"/>
          <w:color w:val="auto"/>
          <w:szCs w:val="21"/>
          <w:highlight w:val="none"/>
        </w:rPr>
        <w:t>。甲方应当</w:t>
      </w:r>
      <w:r>
        <w:rPr>
          <w:rFonts w:ascii="宋体" w:hAnsi="宋体" w:eastAsia="宋体" w:cs="Times New Roman"/>
          <w:color w:val="auto"/>
          <w:szCs w:val="21"/>
          <w:highlight w:val="none"/>
        </w:rPr>
        <w:t>配合乙方完成</w:t>
      </w:r>
      <w:r>
        <w:rPr>
          <w:rFonts w:hint="eastAsia" w:ascii="宋体" w:hAnsi="宋体" w:eastAsia="宋体" w:cs="Times New Roman"/>
          <w:color w:val="auto"/>
          <w:szCs w:val="21"/>
          <w:highlight w:val="none"/>
        </w:rPr>
        <w:t>相关项目</w:t>
      </w:r>
      <w:r>
        <w:rPr>
          <w:rFonts w:ascii="宋体" w:hAnsi="宋体" w:eastAsia="宋体" w:cs="Times New Roman"/>
          <w:color w:val="auto"/>
          <w:szCs w:val="21"/>
          <w:highlight w:val="none"/>
        </w:rPr>
        <w:t>实施工作。</w:t>
      </w:r>
    </w:p>
    <w:p w14:paraId="6D71D750">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4</w:t>
      </w:r>
      <w:r>
        <w:rPr>
          <w:rFonts w:hint="eastAsia" w:ascii="宋体" w:hAnsi="宋体" w:eastAsia="宋体" w:cs="Times New Roman"/>
          <w:color w:val="auto"/>
          <w:szCs w:val="21"/>
          <w:highlight w:val="none"/>
        </w:rPr>
        <w:t xml:space="preserve">.2 </w:t>
      </w:r>
      <w:r>
        <w:rPr>
          <w:rFonts w:ascii="宋体" w:hAnsi="宋体" w:eastAsia="宋体" w:cs="Times New Roman"/>
          <w:color w:val="auto"/>
          <w:szCs w:val="21"/>
          <w:highlight w:val="none"/>
        </w:rPr>
        <w:t>甲方有权要求乙方按时提交各阶段有关</w:t>
      </w:r>
      <w:r>
        <w:rPr>
          <w:rFonts w:hint="eastAsia" w:ascii="宋体" w:hAnsi="宋体" w:eastAsia="宋体" w:cs="Times New Roman"/>
          <w:color w:val="auto"/>
          <w:szCs w:val="21"/>
          <w:highlight w:val="none"/>
        </w:rPr>
        <w:t>安排计划</w:t>
      </w:r>
      <w:r>
        <w:rPr>
          <w:rFonts w:ascii="宋体" w:hAnsi="宋体" w:eastAsia="宋体" w:cs="Times New Roman"/>
          <w:color w:val="auto"/>
          <w:szCs w:val="21"/>
          <w:highlight w:val="none"/>
        </w:rPr>
        <w:t>，并有权</w:t>
      </w:r>
      <w:r>
        <w:rPr>
          <w:rFonts w:hint="eastAsia" w:ascii="宋体" w:hAnsi="宋体" w:eastAsia="宋体" w:cs="Times New Roman"/>
          <w:color w:val="auto"/>
          <w:szCs w:val="21"/>
          <w:highlight w:val="none"/>
        </w:rPr>
        <w:t>定期核对乙方提供货物数量、规格、质量等内容。甲方</w:t>
      </w:r>
      <w:r>
        <w:rPr>
          <w:rFonts w:ascii="宋体" w:hAnsi="宋体" w:eastAsia="宋体" w:cs="Times New Roman"/>
          <w:color w:val="auto"/>
          <w:szCs w:val="21"/>
          <w:highlight w:val="none"/>
        </w:rPr>
        <w:t>有权督促乙方工作并要求乙方</w:t>
      </w:r>
      <w:r>
        <w:rPr>
          <w:rFonts w:hint="eastAsia" w:ascii="宋体" w:hAnsi="宋体" w:eastAsia="宋体" w:cs="Times New Roman"/>
          <w:color w:val="auto"/>
          <w:szCs w:val="21"/>
          <w:highlight w:val="none"/>
        </w:rPr>
        <w:t>更</w:t>
      </w:r>
      <w:r>
        <w:rPr>
          <w:rFonts w:ascii="宋体" w:hAnsi="宋体" w:eastAsia="宋体" w:cs="Times New Roman"/>
          <w:color w:val="auto"/>
          <w:szCs w:val="21"/>
          <w:highlight w:val="none"/>
        </w:rPr>
        <w:t>换不符合要求的</w:t>
      </w:r>
      <w:r>
        <w:rPr>
          <w:rFonts w:hint="eastAsia" w:ascii="宋体" w:hAnsi="宋体" w:eastAsia="宋体" w:cs="Times New Roman"/>
          <w:color w:val="auto"/>
          <w:szCs w:val="21"/>
          <w:highlight w:val="none"/>
        </w:rPr>
        <w:t>货物</w:t>
      </w:r>
      <w:r>
        <w:rPr>
          <w:rFonts w:ascii="宋体" w:hAnsi="宋体" w:eastAsia="宋体" w:cs="Times New Roman"/>
          <w:color w:val="auto"/>
          <w:szCs w:val="21"/>
          <w:highlight w:val="none"/>
        </w:rPr>
        <w:t>。</w:t>
      </w:r>
    </w:p>
    <w:p w14:paraId="750863C6">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4</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 xml:space="preserve"> </w:t>
      </w:r>
      <w:r>
        <w:rPr>
          <w:rFonts w:ascii="宋体" w:hAnsi="宋体" w:eastAsia="宋体" w:cs="Times New Roman"/>
          <w:color w:val="auto"/>
          <w:szCs w:val="21"/>
          <w:highlight w:val="none"/>
        </w:rPr>
        <w:t>甲方</w:t>
      </w:r>
      <w:r>
        <w:rPr>
          <w:rFonts w:hint="eastAsia" w:ascii="宋体" w:hAnsi="宋体" w:eastAsia="宋体" w:cs="Times New Roman"/>
          <w:color w:val="auto"/>
          <w:szCs w:val="21"/>
          <w:highlight w:val="none"/>
        </w:rPr>
        <w:t>有权要求乙方对缺陷部分予以修复，并按合同约定享有货物保修及其他合同约定的权利。</w:t>
      </w:r>
    </w:p>
    <w:p w14:paraId="7191B74E">
      <w:pPr>
        <w:snapToGrid w:val="0"/>
        <w:spacing w:line="400" w:lineRule="exact"/>
        <w:ind w:firstLine="420" w:firstLineChars="200"/>
        <w:rPr>
          <w:rFonts w:hint="eastAsia" w:ascii="Times New Roman" w:hAnsi="Times New Roman" w:eastAsia="华文楷体" w:cs="Times New Roman"/>
          <w:color w:val="auto"/>
          <w:highlight w:val="none"/>
          <w:lang w:val="en-US" w:eastAsia="zh-CN"/>
        </w:rPr>
      </w:pPr>
      <w:r>
        <w:rPr>
          <w:rFonts w:hint="default" w:ascii="宋体" w:hAnsi="宋体" w:eastAsia="宋体" w:cs="Times New Roman"/>
          <w:color w:val="auto"/>
          <w:szCs w:val="21"/>
          <w:highlight w:val="none"/>
          <w:lang w:val="en-US" w:eastAsia="zh-CN"/>
        </w:rPr>
        <w:t>4.4 甲方应当按照合同约定及时对交付的货物进行验收</w:t>
      </w:r>
      <w:r>
        <w:rPr>
          <w:rFonts w:hint="eastAsia" w:ascii="宋体" w:hAnsi="宋体" w:eastAsia="宋体" w:cs="Times New Roman"/>
          <w:color w:val="auto"/>
          <w:szCs w:val="21"/>
          <w:highlight w:val="none"/>
          <w:lang w:val="en-US" w:eastAsia="zh-CN"/>
        </w:rPr>
        <w:t>，</w:t>
      </w:r>
      <w:r>
        <w:rPr>
          <w:rFonts w:hint="eastAsia" w:ascii="宋体" w:hAnsi="宋体" w:eastAsia="宋体" w:cs="宋体"/>
          <w:b w:val="0"/>
          <w:bCs w:val="0"/>
          <w:color w:val="auto"/>
          <w:szCs w:val="21"/>
          <w:highlight w:val="none"/>
          <w:lang w:eastAsia="zh-CN"/>
        </w:rPr>
        <w:t>未</w:t>
      </w:r>
      <w:r>
        <w:rPr>
          <w:rFonts w:hint="eastAsia" w:ascii="宋体" w:hAnsi="宋体" w:eastAsia="宋体" w:cs="Times New Roman"/>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约定的期限内对乙方履约提出任何异议或者向乙方作出任何说明的，</w:t>
      </w:r>
      <w:r>
        <w:rPr>
          <w:rFonts w:hint="eastAsia" w:ascii="宋体" w:hAnsi="宋体" w:eastAsia="宋体" w:cs="Times New Roman"/>
          <w:color w:val="auto"/>
          <w:szCs w:val="21"/>
          <w:highlight w:val="none"/>
          <w:lang w:val="en-US" w:eastAsia="zh-CN"/>
        </w:rPr>
        <w:t>视为验收通过。</w:t>
      </w:r>
    </w:p>
    <w:p w14:paraId="79DF3884">
      <w:pPr>
        <w:autoSpaceDE w:val="0"/>
        <w:autoSpaceDN w:val="0"/>
        <w:adjustRightInd w:val="0"/>
        <w:snapToGrid w:val="0"/>
        <w:spacing w:line="400" w:lineRule="exact"/>
        <w:ind w:firstLine="420" w:firstLineChars="200"/>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eastAsia="zh-CN"/>
        </w:rPr>
        <w:t>4</w:t>
      </w:r>
      <w:r>
        <w:rPr>
          <w:rFonts w:hint="eastAsia" w:ascii="宋体" w:hAnsi="宋体" w:eastAsia="宋体" w:cs="Times New Roman"/>
          <w:color w:val="auto"/>
          <w:szCs w:val="21"/>
          <w:highlight w:val="none"/>
        </w:rPr>
        <w:t>.</w:t>
      </w:r>
      <w:r>
        <w:rPr>
          <w:rFonts w:hint="default" w:ascii="宋体" w:hAnsi="宋体" w:eastAsia="宋体" w:cs="Times New Roman"/>
          <w:color w:val="auto"/>
          <w:szCs w:val="21"/>
          <w:highlight w:val="none"/>
          <w:lang w:val="en-US" w:eastAsia="zh-CN"/>
        </w:rPr>
        <w:t>5</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甲方应当根据合同约定</w:t>
      </w:r>
      <w:r>
        <w:rPr>
          <w:rFonts w:hint="eastAsia" w:ascii="宋体" w:hAnsi="宋体" w:eastAsia="宋体" w:cs="Times New Roman"/>
          <w:color w:val="auto"/>
          <w:szCs w:val="21"/>
          <w:highlight w:val="none"/>
          <w:lang w:eastAsia="zh-CN"/>
        </w:rPr>
        <w:t>及</w:t>
      </w:r>
      <w:r>
        <w:rPr>
          <w:rFonts w:hint="eastAsia" w:ascii="宋体" w:hAnsi="宋体" w:eastAsia="宋体" w:cs="Times New Roman"/>
          <w:color w:val="auto"/>
          <w:szCs w:val="21"/>
          <w:highlight w:val="none"/>
        </w:rPr>
        <w:t>时向乙方支付</w:t>
      </w:r>
      <w:r>
        <w:rPr>
          <w:rFonts w:hint="eastAsia" w:ascii="宋体" w:hAnsi="宋体" w:eastAsia="宋体" w:cs="Times New Roman"/>
          <w:color w:val="auto"/>
          <w:szCs w:val="21"/>
          <w:highlight w:val="none"/>
          <w:lang w:eastAsia="zh-CN"/>
        </w:rPr>
        <w:t>合同价款</w:t>
      </w:r>
      <w:r>
        <w:rPr>
          <w:rFonts w:hint="default" w:ascii="宋体" w:hAnsi="宋体" w:eastAsia="宋体" w:cs="Times New Roman"/>
          <w:color w:val="auto"/>
          <w:szCs w:val="21"/>
          <w:highlight w:val="none"/>
          <w:lang w:eastAsia="zh-CN"/>
        </w:rPr>
        <w:t>，不得以内部人员变更、履行内部付款流程等为由，拒绝或迟延支付。</w:t>
      </w:r>
    </w:p>
    <w:p w14:paraId="63269CB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4</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国家法律法规规定</w:t>
      </w:r>
      <w:r>
        <w:rPr>
          <w:rFonts w:hint="eastAsia" w:ascii="宋体" w:hAnsi="宋体" w:eastAsia="宋体" w:cs="Times New Roman"/>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Times New Roman"/>
          <w:color w:val="auto"/>
          <w:szCs w:val="21"/>
          <w:highlight w:val="none"/>
          <w:lang w:eastAsia="zh-CN"/>
        </w:rPr>
        <w:t>约定应</w:t>
      </w:r>
      <w:r>
        <w:rPr>
          <w:rFonts w:hint="eastAsia" w:ascii="宋体" w:hAnsi="宋体" w:eastAsia="宋体" w:cs="Times New Roman"/>
          <w:color w:val="auto"/>
          <w:szCs w:val="21"/>
          <w:highlight w:val="none"/>
        </w:rPr>
        <w:t>由甲方承担的其他义务和责任。</w:t>
      </w:r>
    </w:p>
    <w:p w14:paraId="6FB46E49">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eastAsia="zh-CN"/>
        </w:rPr>
        <w:t>5</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乙方的权利和义务</w:t>
      </w:r>
    </w:p>
    <w:p w14:paraId="2046A95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5</w:t>
      </w:r>
      <w:r>
        <w:rPr>
          <w:rFonts w:hint="eastAsia" w:ascii="宋体" w:hAnsi="宋体" w:eastAsia="宋体" w:cs="Times New Roman"/>
          <w:color w:val="auto"/>
          <w:szCs w:val="21"/>
          <w:highlight w:val="none"/>
        </w:rPr>
        <w:t xml:space="preserve">.1 </w:t>
      </w:r>
      <w:r>
        <w:rPr>
          <w:rFonts w:ascii="宋体" w:hAnsi="宋体" w:eastAsia="宋体" w:cs="Times New Roman"/>
          <w:color w:val="auto"/>
          <w:szCs w:val="21"/>
          <w:highlight w:val="none"/>
        </w:rPr>
        <w:t>签署合同后，乙方</w:t>
      </w:r>
      <w:r>
        <w:rPr>
          <w:rFonts w:hint="eastAsia" w:ascii="宋体" w:hAnsi="宋体" w:eastAsia="宋体" w:cs="Times New Roman"/>
          <w:color w:val="auto"/>
          <w:szCs w:val="21"/>
          <w:highlight w:val="none"/>
          <w:lang w:eastAsia="zh-CN"/>
        </w:rPr>
        <w:t>应</w:t>
      </w:r>
      <w:r>
        <w:rPr>
          <w:rFonts w:ascii="宋体" w:hAnsi="宋体" w:eastAsia="宋体" w:cs="Times New Roman"/>
          <w:color w:val="auto"/>
          <w:szCs w:val="21"/>
          <w:highlight w:val="none"/>
        </w:rPr>
        <w:t>确定</w:t>
      </w:r>
      <w:r>
        <w:rPr>
          <w:rFonts w:hint="eastAsia" w:ascii="宋体" w:hAnsi="宋体" w:eastAsia="宋体" w:cs="Times New Roman"/>
          <w:color w:val="auto"/>
          <w:szCs w:val="21"/>
          <w:highlight w:val="none"/>
          <w:lang w:val="en-US" w:eastAsia="zh-CN"/>
        </w:rPr>
        <w:t>项目负责人（或项目联系人）</w:t>
      </w:r>
      <w:r>
        <w:rPr>
          <w:rFonts w:ascii="宋体" w:hAnsi="宋体" w:eastAsia="宋体" w:cs="Times New Roman"/>
          <w:color w:val="auto"/>
          <w:szCs w:val="21"/>
          <w:highlight w:val="none"/>
        </w:rPr>
        <w:t>，负责与本合同有关的事务。</w:t>
      </w:r>
    </w:p>
    <w:p w14:paraId="3C9F225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5</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2 乙方应按照合同要求</w:t>
      </w:r>
      <w:r>
        <w:rPr>
          <w:rFonts w:hint="eastAsia" w:ascii="宋体" w:hAnsi="宋体" w:eastAsia="宋体" w:cs="Times New Roman"/>
          <w:color w:val="auto"/>
          <w:szCs w:val="21"/>
          <w:highlight w:val="none"/>
        </w:rPr>
        <w:t>履约</w:t>
      </w:r>
      <w:r>
        <w:rPr>
          <w:rFonts w:ascii="宋体" w:hAnsi="宋体" w:eastAsia="宋体" w:cs="Times New Roman"/>
          <w:color w:val="auto"/>
          <w:szCs w:val="21"/>
          <w:highlight w:val="none"/>
        </w:rPr>
        <w:t>，充分合理安排，确保</w:t>
      </w:r>
      <w:r>
        <w:rPr>
          <w:rFonts w:hint="eastAsia" w:ascii="宋体" w:hAnsi="宋体" w:eastAsia="宋体" w:cs="Times New Roman"/>
          <w:color w:val="auto"/>
          <w:szCs w:val="21"/>
          <w:highlight w:val="none"/>
        </w:rPr>
        <w:t>提供的货物</w:t>
      </w:r>
      <w:r>
        <w:rPr>
          <w:rFonts w:hint="eastAsia" w:ascii="宋体" w:hAnsi="宋体" w:eastAsia="宋体" w:cs="Times New Roman"/>
          <w:color w:val="auto"/>
          <w:szCs w:val="21"/>
          <w:highlight w:val="none"/>
          <w:lang w:eastAsia="zh-CN"/>
        </w:rPr>
        <w:t>及相关</w:t>
      </w:r>
      <w:r>
        <w:rPr>
          <w:rFonts w:hint="eastAsia" w:ascii="宋体" w:hAnsi="宋体" w:eastAsia="宋体" w:cs="Times New Roman"/>
          <w:color w:val="auto"/>
          <w:szCs w:val="21"/>
          <w:highlight w:val="none"/>
        </w:rPr>
        <w:t>服务符合合同</w:t>
      </w:r>
      <w:r>
        <w:rPr>
          <w:rFonts w:hint="eastAsia" w:ascii="宋体" w:hAnsi="宋体" w:eastAsia="宋体" w:cs="Times New Roman"/>
          <w:color w:val="auto"/>
          <w:szCs w:val="21"/>
          <w:highlight w:val="none"/>
          <w:lang w:eastAsia="zh-CN"/>
        </w:rPr>
        <w:t>有关</w:t>
      </w:r>
      <w:r>
        <w:rPr>
          <w:rFonts w:ascii="宋体" w:hAnsi="宋体" w:eastAsia="宋体" w:cs="Times New Roman"/>
          <w:color w:val="auto"/>
          <w:szCs w:val="21"/>
          <w:highlight w:val="none"/>
        </w:rPr>
        <w:t>要求</w:t>
      </w:r>
      <w:r>
        <w:rPr>
          <w:rFonts w:hint="eastAsia" w:ascii="宋体" w:hAnsi="宋体" w:eastAsia="宋体" w:cs="Times New Roman"/>
          <w:color w:val="auto"/>
          <w:szCs w:val="21"/>
          <w:highlight w:val="none"/>
        </w:rPr>
        <w:t>。接受项目行业管理部门及政府有关部门的指导，配合甲方的履约检查</w:t>
      </w:r>
      <w:r>
        <w:rPr>
          <w:rFonts w:hint="eastAsia" w:ascii="宋体" w:hAnsi="宋体" w:eastAsia="宋体" w:cs="Times New Roman"/>
          <w:color w:val="auto"/>
          <w:szCs w:val="21"/>
          <w:highlight w:val="none"/>
          <w:lang w:eastAsia="zh-CN"/>
        </w:rPr>
        <w:t>及验收</w:t>
      </w:r>
      <w:r>
        <w:rPr>
          <w:rFonts w:hint="eastAsia" w:ascii="宋体" w:hAnsi="宋体" w:eastAsia="宋体" w:cs="Times New Roman"/>
          <w:color w:val="auto"/>
          <w:szCs w:val="21"/>
          <w:highlight w:val="none"/>
        </w:rPr>
        <w:t>，并</w:t>
      </w:r>
      <w:r>
        <w:rPr>
          <w:rFonts w:ascii="宋体" w:hAnsi="宋体" w:eastAsia="宋体" w:cs="Times New Roman"/>
          <w:color w:val="auto"/>
          <w:szCs w:val="21"/>
          <w:highlight w:val="none"/>
        </w:rPr>
        <w:t>负责项目实施过程中的所有协调工作。</w:t>
      </w:r>
    </w:p>
    <w:p w14:paraId="30A0B1B8">
      <w:pPr>
        <w:widowControl w:val="0"/>
        <w:spacing w:after="0" w:line="400" w:lineRule="exact"/>
        <w:ind w:firstLine="369" w:firstLineChars="176"/>
        <w:jc w:val="both"/>
        <w:rPr>
          <w:rFonts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r>
        <w:rPr>
          <w:rFonts w:ascii="宋体" w:hAnsi="宋体" w:eastAsia="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乙方有权</w:t>
      </w:r>
      <w:r>
        <w:rPr>
          <w:rFonts w:hint="eastAsia" w:ascii="宋体" w:hAnsi="宋体" w:eastAsia="宋体" w:cs="宋体"/>
          <w:color w:val="auto"/>
          <w:kern w:val="2"/>
          <w:sz w:val="21"/>
          <w:szCs w:val="21"/>
          <w:highlight w:val="none"/>
          <w:lang w:val="en-US" w:eastAsia="zh-CN" w:bidi="ar-SA"/>
        </w:rPr>
        <w:t>根据合同约定向甲方收取合同价款。</w:t>
      </w:r>
    </w:p>
    <w:p w14:paraId="48355E1E">
      <w:pPr>
        <w:widowControl w:val="0"/>
        <w:spacing w:after="0" w:line="400" w:lineRule="exact"/>
        <w:ind w:firstLine="369" w:firstLineChars="176"/>
        <w:jc w:val="both"/>
        <w:rPr>
          <w:rFonts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r>
        <w:rPr>
          <w:rFonts w:ascii="宋体" w:hAnsi="宋体" w:eastAsia="宋体" w:cs="Times New Roman"/>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国家法律法规规定</w:t>
      </w:r>
      <w:r>
        <w:rPr>
          <w:rFonts w:hint="eastAsia" w:ascii="宋体" w:hAnsi="宋体" w:eastAsia="宋体" w:cs="Times New Roman"/>
          <w:color w:val="auto"/>
          <w:kern w:val="2"/>
          <w:sz w:val="21"/>
          <w:szCs w:val="21"/>
          <w:highlight w:val="none"/>
          <w:lang w:val="en-US" w:eastAsia="zh-CN" w:bidi="ar-SA"/>
        </w:rPr>
        <w:t>及</w:t>
      </w:r>
      <w:r>
        <w:rPr>
          <w:rFonts w:hint="eastAsia" w:ascii="宋体" w:hAnsi="宋体" w:eastAsia="宋体" w:cs="宋体"/>
          <w:b/>
          <w:bCs/>
          <w:color w:val="auto"/>
          <w:kern w:val="2"/>
          <w:sz w:val="21"/>
          <w:szCs w:val="21"/>
          <w:highlight w:val="none"/>
          <w:lang w:val="en-US" w:eastAsia="zh-CN" w:bidi="ar-SA"/>
        </w:rPr>
        <w:t>【政府采购合同专用条款】</w:t>
      </w:r>
      <w:r>
        <w:rPr>
          <w:rFonts w:hint="eastAsia" w:ascii="宋体" w:hAnsi="宋体" w:eastAsia="宋体" w:cs="宋体"/>
          <w:b w:val="0"/>
          <w:bCs w:val="0"/>
          <w:color w:val="auto"/>
          <w:kern w:val="2"/>
          <w:sz w:val="21"/>
          <w:szCs w:val="21"/>
          <w:highlight w:val="none"/>
          <w:lang w:val="en-US" w:eastAsia="zh-CN" w:bidi="ar-SA"/>
        </w:rPr>
        <w:t>约定应</w:t>
      </w:r>
      <w:r>
        <w:rPr>
          <w:rFonts w:hint="eastAsia" w:ascii="宋体" w:hAnsi="宋体" w:eastAsia="宋体" w:cs="宋体"/>
          <w:color w:val="auto"/>
          <w:kern w:val="2"/>
          <w:sz w:val="21"/>
          <w:szCs w:val="21"/>
          <w:highlight w:val="none"/>
          <w:lang w:val="en-US" w:eastAsia="zh-CN" w:bidi="ar-SA"/>
        </w:rPr>
        <w:t>由乙方承担的其他义务和责任。</w:t>
      </w:r>
    </w:p>
    <w:p w14:paraId="5032B220">
      <w:pPr>
        <w:numPr>
          <w:ilvl w:val="0"/>
          <w:numId w:val="27"/>
        </w:numPr>
        <w:autoSpaceDE w:val="0"/>
        <w:autoSpaceDN w:val="0"/>
        <w:adjustRightInd w:val="0"/>
        <w:snapToGrid w:val="0"/>
        <w:spacing w:before="0" w:line="400" w:lineRule="exact"/>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合同履</w:t>
      </w:r>
      <w:r>
        <w:rPr>
          <w:rFonts w:hint="eastAsia" w:ascii="宋体" w:hAnsi="宋体" w:eastAsia="宋体" w:cs="Times New Roman"/>
          <w:b/>
          <w:bCs/>
          <w:color w:val="auto"/>
          <w:sz w:val="24"/>
          <w:highlight w:val="none"/>
          <w:lang w:val="en-US" w:eastAsia="zh-CN"/>
        </w:rPr>
        <w:t>行</w:t>
      </w:r>
    </w:p>
    <w:p w14:paraId="5F30589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6</w:t>
      </w:r>
      <w:r>
        <w:rPr>
          <w:rFonts w:hint="eastAsia" w:ascii="宋体" w:hAnsi="宋体" w:eastAsia="宋体" w:cs="Times New Roman"/>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Times New Roman"/>
          <w:color w:val="auto"/>
          <w:szCs w:val="21"/>
          <w:highlight w:val="none"/>
        </w:rPr>
        <w:t>约定顺序履行合同义务；如果没有先后顺序的，应当同时履行。</w:t>
      </w:r>
    </w:p>
    <w:p w14:paraId="5CB380F3">
      <w:pPr>
        <w:autoSpaceDE w:val="0"/>
        <w:autoSpaceDN w:val="0"/>
        <w:adjustRightInd w:val="0"/>
        <w:snapToGrid w:val="0"/>
        <w:spacing w:before="0" w:line="400" w:lineRule="exact"/>
        <w:ind w:firstLine="420" w:firstLineChars="200"/>
        <w:jc w:val="left"/>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lang w:eastAsia="zh-CN"/>
        </w:rPr>
        <w:t>6</w:t>
      </w:r>
      <w:r>
        <w:rPr>
          <w:rFonts w:hint="eastAsia" w:ascii="宋体" w:hAnsi="宋体" w:eastAsia="宋体" w:cs="Times New Roman"/>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1C6E21F1">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eastAsia="zh-CN"/>
        </w:rPr>
        <w:t>7</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货物包装、运输</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保险</w:t>
      </w:r>
      <w:r>
        <w:rPr>
          <w:rFonts w:hint="eastAsia" w:ascii="宋体" w:hAnsi="宋体" w:eastAsia="宋体" w:cs="Times New Roman"/>
          <w:b/>
          <w:bCs/>
          <w:color w:val="auto"/>
          <w:sz w:val="24"/>
          <w:highlight w:val="none"/>
          <w:lang w:eastAsia="zh-CN"/>
        </w:rPr>
        <w:t>和交付</w:t>
      </w:r>
      <w:r>
        <w:rPr>
          <w:rFonts w:hint="eastAsia" w:ascii="宋体" w:hAnsi="宋体" w:eastAsia="宋体" w:cs="Times New Roman"/>
          <w:b/>
          <w:bCs/>
          <w:color w:val="auto"/>
          <w:sz w:val="24"/>
          <w:highlight w:val="none"/>
        </w:rPr>
        <w:t>要求</w:t>
      </w:r>
    </w:p>
    <w:p w14:paraId="4D2397E8">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7</w:t>
      </w:r>
      <w:r>
        <w:rPr>
          <w:rFonts w:hint="eastAsia" w:ascii="宋体" w:hAnsi="宋体" w:eastAsia="宋体" w:cs="Times New Roman"/>
          <w:color w:val="auto"/>
          <w:szCs w:val="21"/>
          <w:highlight w:val="none"/>
        </w:rPr>
        <w:t>.1 本合同</w:t>
      </w:r>
      <w:r>
        <w:rPr>
          <w:rFonts w:hint="eastAsia" w:ascii="宋体" w:hAnsi="宋体" w:eastAsia="宋体" w:cs="Times New Roman"/>
          <w:bCs/>
          <w:color w:val="auto"/>
          <w:szCs w:val="21"/>
          <w:highlight w:val="none"/>
        </w:rPr>
        <w:t>涉及商品包装</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快递包装的，</w:t>
      </w:r>
      <w:r>
        <w:rPr>
          <w:rFonts w:hint="eastAsia" w:ascii="宋体" w:hAnsi="宋体" w:eastAsia="宋体" w:cs="Times New Roman"/>
          <w:color w:val="auto"/>
          <w:szCs w:val="21"/>
          <w:highlight w:val="none"/>
        </w:rPr>
        <w:t>除</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Cs/>
          <w:color w:val="auto"/>
          <w:szCs w:val="21"/>
          <w:highlight w:val="none"/>
        </w:rPr>
        <w:t>另有</w:t>
      </w:r>
      <w:r>
        <w:rPr>
          <w:rFonts w:hint="eastAsia" w:ascii="宋体" w:hAnsi="宋体" w:eastAsia="宋体" w:cs="Times New Roman"/>
          <w:bCs/>
          <w:color w:val="auto"/>
          <w:szCs w:val="21"/>
          <w:highlight w:val="none"/>
          <w:lang w:eastAsia="zh-CN"/>
        </w:rPr>
        <w:t>约</w:t>
      </w:r>
      <w:r>
        <w:rPr>
          <w:rFonts w:hint="eastAsia" w:ascii="宋体" w:hAnsi="宋体" w:eastAsia="宋体" w:cs="Times New Roman"/>
          <w:bCs/>
          <w:color w:val="auto"/>
          <w:szCs w:val="21"/>
          <w:highlight w:val="none"/>
        </w:rPr>
        <w:t>定</w:t>
      </w:r>
      <w:r>
        <w:rPr>
          <w:rFonts w:hint="eastAsia" w:ascii="宋体" w:hAnsi="宋体" w:eastAsia="宋体" w:cs="Times New Roman"/>
          <w:bCs/>
          <w:color w:val="auto"/>
          <w:szCs w:val="21"/>
          <w:highlight w:val="none"/>
          <w:lang w:eastAsia="zh-CN"/>
        </w:rPr>
        <w:t>外</w:t>
      </w:r>
      <w:r>
        <w:rPr>
          <w:rFonts w:hint="eastAsia" w:ascii="宋体" w:hAnsi="宋体" w:eastAsia="宋体" w:cs="Times New Roman"/>
          <w:bCs/>
          <w:color w:val="auto"/>
          <w:szCs w:val="21"/>
          <w:highlight w:val="none"/>
        </w:rPr>
        <w:t>，</w:t>
      </w:r>
      <w:r>
        <w:rPr>
          <w:rFonts w:hint="eastAsia" w:ascii="宋体" w:hAnsi="宋体" w:eastAsia="宋体" w:cs="Times New Roman"/>
          <w:color w:val="auto"/>
          <w:szCs w:val="21"/>
          <w:highlight w:val="none"/>
        </w:rPr>
        <w:t>包装应适应远距离运输、防潮、防震、防锈和防野蛮装卸等要求，确保货物安全无损地运抵</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 w:val="0"/>
          <w:bCs/>
          <w:color w:val="auto"/>
          <w:szCs w:val="21"/>
          <w:highlight w:val="none"/>
          <w:lang w:eastAsia="zh-CN"/>
        </w:rPr>
        <w:t>约定的</w:t>
      </w:r>
      <w:r>
        <w:rPr>
          <w:rFonts w:hint="eastAsia" w:ascii="宋体" w:hAnsi="宋体" w:eastAsia="宋体" w:cs="Times New Roman"/>
          <w:color w:val="auto"/>
          <w:szCs w:val="21"/>
          <w:highlight w:val="none"/>
        </w:rPr>
        <w:t>指定现场。</w:t>
      </w:r>
    </w:p>
    <w:p w14:paraId="0E045C2C">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7</w:t>
      </w:r>
      <w:r>
        <w:rPr>
          <w:rFonts w:hint="eastAsia" w:ascii="宋体" w:hAnsi="宋体" w:eastAsia="宋体" w:cs="Times New Roman"/>
          <w:color w:val="auto"/>
          <w:szCs w:val="21"/>
          <w:highlight w:val="none"/>
        </w:rPr>
        <w:t>.2 除</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Cs/>
          <w:color w:val="auto"/>
          <w:szCs w:val="21"/>
          <w:highlight w:val="none"/>
        </w:rPr>
        <w:t>另有</w:t>
      </w:r>
      <w:r>
        <w:rPr>
          <w:rFonts w:hint="eastAsia" w:ascii="宋体" w:hAnsi="宋体" w:eastAsia="宋体" w:cs="Times New Roman"/>
          <w:bCs/>
          <w:color w:val="auto"/>
          <w:szCs w:val="21"/>
          <w:highlight w:val="none"/>
          <w:lang w:eastAsia="zh-CN"/>
        </w:rPr>
        <w:t>约</w:t>
      </w:r>
      <w:r>
        <w:rPr>
          <w:rFonts w:hint="eastAsia" w:ascii="宋体" w:hAnsi="宋体" w:eastAsia="宋体" w:cs="Times New Roman"/>
          <w:bCs/>
          <w:color w:val="auto"/>
          <w:szCs w:val="21"/>
          <w:highlight w:val="none"/>
        </w:rPr>
        <w:t>定</w:t>
      </w:r>
      <w:r>
        <w:rPr>
          <w:rFonts w:hint="eastAsia" w:ascii="宋体" w:hAnsi="宋体" w:eastAsia="宋体" w:cs="Times New Roman"/>
          <w:bCs/>
          <w:color w:val="auto"/>
          <w:szCs w:val="21"/>
          <w:highlight w:val="none"/>
          <w:lang w:eastAsia="zh-CN"/>
        </w:rPr>
        <w:t>外</w:t>
      </w:r>
      <w:r>
        <w:rPr>
          <w:rFonts w:hint="eastAsia" w:ascii="宋体" w:hAnsi="宋体" w:eastAsia="宋体" w:cs="Times New Roman"/>
          <w:bCs/>
          <w:color w:val="auto"/>
          <w:szCs w:val="21"/>
          <w:highlight w:val="none"/>
        </w:rPr>
        <w:t>，</w:t>
      </w:r>
      <w:r>
        <w:rPr>
          <w:rFonts w:hint="eastAsia" w:ascii="宋体" w:hAnsi="宋体" w:eastAsia="宋体" w:cs="Times New Roman"/>
          <w:color w:val="auto"/>
          <w:szCs w:val="21"/>
          <w:highlight w:val="none"/>
        </w:rPr>
        <w:t>乙方负责办理将货物运抵本合同规定的交货地点</w:t>
      </w:r>
      <w:r>
        <w:rPr>
          <w:rFonts w:hint="eastAsia" w:ascii="宋体" w:hAnsi="宋体" w:eastAsia="宋体" w:cs="Times New Roman"/>
          <w:color w:val="auto"/>
          <w:szCs w:val="21"/>
          <w:highlight w:val="none"/>
          <w:lang w:eastAsia="zh-CN"/>
        </w:rPr>
        <w:t>，并装卸、交付至甲方</w:t>
      </w:r>
      <w:r>
        <w:rPr>
          <w:rFonts w:hint="eastAsia" w:ascii="宋体" w:hAnsi="宋体" w:eastAsia="宋体" w:cs="Times New Roman"/>
          <w:color w:val="auto"/>
          <w:szCs w:val="21"/>
          <w:highlight w:val="none"/>
        </w:rPr>
        <w:t>的一切运输事项，相关费用应</w:t>
      </w:r>
      <w:r>
        <w:rPr>
          <w:rFonts w:hint="eastAsia" w:ascii="宋体" w:hAnsi="宋体" w:eastAsia="宋体" w:cs="Times New Roman"/>
          <w:color w:val="auto"/>
          <w:szCs w:val="21"/>
          <w:highlight w:val="none"/>
          <w:lang w:eastAsia="zh-CN"/>
        </w:rPr>
        <w:t>包含</w:t>
      </w:r>
      <w:r>
        <w:rPr>
          <w:rFonts w:hint="eastAsia" w:ascii="宋体" w:hAnsi="宋体" w:eastAsia="宋体" w:cs="Times New Roman"/>
          <w:color w:val="auto"/>
          <w:szCs w:val="21"/>
          <w:highlight w:val="none"/>
        </w:rPr>
        <w:t>在合同</w:t>
      </w:r>
      <w:r>
        <w:rPr>
          <w:rFonts w:hint="eastAsia" w:ascii="宋体" w:hAnsi="宋体" w:eastAsia="宋体" w:cs="Times New Roman"/>
          <w:color w:val="auto"/>
          <w:szCs w:val="21"/>
          <w:highlight w:val="none"/>
          <w:lang w:eastAsia="zh-CN"/>
        </w:rPr>
        <w:t>价款</w:t>
      </w:r>
      <w:r>
        <w:rPr>
          <w:rFonts w:hint="eastAsia" w:ascii="宋体" w:hAnsi="宋体" w:eastAsia="宋体" w:cs="Times New Roman"/>
          <w:color w:val="auto"/>
          <w:szCs w:val="21"/>
          <w:highlight w:val="none"/>
        </w:rPr>
        <w:t>中。</w:t>
      </w:r>
    </w:p>
    <w:p w14:paraId="4DC90D1A">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7</w:t>
      </w:r>
      <w:r>
        <w:rPr>
          <w:rFonts w:hint="eastAsia" w:ascii="宋体" w:hAnsi="宋体" w:eastAsia="宋体" w:cs="Times New Roman"/>
          <w:color w:val="auto"/>
          <w:szCs w:val="21"/>
          <w:highlight w:val="none"/>
        </w:rPr>
        <w:t>.3 货物保险要求按</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Cs/>
          <w:color w:val="auto"/>
          <w:szCs w:val="21"/>
          <w:highlight w:val="none"/>
        </w:rPr>
        <w:t>规定执行</w:t>
      </w:r>
      <w:r>
        <w:rPr>
          <w:rFonts w:hint="eastAsia" w:ascii="宋体" w:hAnsi="宋体" w:eastAsia="宋体" w:cs="Times New Roman"/>
          <w:color w:val="auto"/>
          <w:szCs w:val="21"/>
          <w:highlight w:val="none"/>
        </w:rPr>
        <w:t>。</w:t>
      </w:r>
    </w:p>
    <w:p w14:paraId="02907C93">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7</w:t>
      </w:r>
      <w:r>
        <w:rPr>
          <w:rFonts w:hint="eastAsia" w:ascii="宋体" w:hAnsi="宋体" w:eastAsia="宋体" w:cs="Times New Roman"/>
          <w:color w:val="auto"/>
          <w:szCs w:val="21"/>
          <w:highlight w:val="none"/>
        </w:rPr>
        <w:t xml:space="preserve">.4 </w:t>
      </w:r>
      <w:r>
        <w:rPr>
          <w:rFonts w:hint="eastAsia" w:ascii="宋体" w:hAnsi="宋体" w:eastAsia="宋体" w:cs="Times New Roman"/>
          <w:color w:val="auto"/>
          <w:szCs w:val="21"/>
          <w:highlight w:val="none"/>
          <w:lang w:val="en-US" w:eastAsia="zh-CN"/>
        </w:rPr>
        <w:t>除采购活动</w:t>
      </w:r>
      <w:r>
        <w:rPr>
          <w:rFonts w:hint="eastAsia" w:ascii="宋体" w:hAnsi="宋体" w:eastAsia="宋体" w:cs="Times New Roman"/>
          <w:color w:val="auto"/>
          <w:szCs w:val="21"/>
          <w:highlight w:val="none"/>
        </w:rPr>
        <w:t>对商品包装</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快递包装</w:t>
      </w:r>
      <w:r>
        <w:rPr>
          <w:rFonts w:hint="eastAsia" w:ascii="宋体" w:hAnsi="宋体" w:eastAsia="宋体" w:cs="Times New Roman"/>
          <w:color w:val="auto"/>
          <w:szCs w:val="21"/>
          <w:highlight w:val="none"/>
          <w:lang w:val="en-US" w:eastAsia="zh-CN"/>
        </w:rPr>
        <w:t>达成具体约定外</w:t>
      </w:r>
      <w:r>
        <w:rPr>
          <w:rFonts w:hint="eastAsia" w:ascii="宋体" w:hAnsi="宋体" w:eastAsia="宋体" w:cs="Times New Roman"/>
          <w:color w:val="auto"/>
          <w:szCs w:val="21"/>
          <w:highlight w:val="none"/>
        </w:rPr>
        <w:t>，乙方提供产品及相关快递服务</w:t>
      </w:r>
      <w:r>
        <w:rPr>
          <w:rFonts w:hint="eastAsia" w:ascii="宋体" w:hAnsi="宋体" w:eastAsia="宋体" w:cs="Times New Roman"/>
          <w:color w:val="auto"/>
          <w:szCs w:val="21"/>
          <w:highlight w:val="none"/>
          <w:lang w:val="en-US" w:eastAsia="zh-CN"/>
        </w:rPr>
        <w:t>涉及到</w:t>
      </w:r>
      <w:r>
        <w:rPr>
          <w:rFonts w:hint="eastAsia" w:ascii="宋体" w:hAnsi="宋体" w:eastAsia="宋体" w:cs="Times New Roman"/>
          <w:color w:val="auto"/>
          <w:szCs w:val="21"/>
          <w:highlight w:val="none"/>
        </w:rPr>
        <w:t>具体包装要求</w:t>
      </w:r>
      <w:r>
        <w:rPr>
          <w:rFonts w:hint="eastAsia" w:ascii="宋体" w:hAnsi="宋体" w:eastAsia="宋体" w:cs="Times New Roman"/>
          <w:color w:val="auto"/>
          <w:szCs w:val="21"/>
          <w:highlight w:val="none"/>
          <w:lang w:val="en-US" w:eastAsia="zh-CN"/>
        </w:rPr>
        <w:t>的，</w:t>
      </w:r>
      <w:r>
        <w:rPr>
          <w:rFonts w:hint="eastAsia" w:ascii="宋体" w:hAnsi="宋体" w:eastAsia="宋体" w:cs="Times New Roman"/>
          <w:color w:val="auto"/>
          <w:szCs w:val="21"/>
          <w:highlight w:val="none"/>
        </w:rPr>
        <w:t>应</w:t>
      </w:r>
      <w:r>
        <w:rPr>
          <w:rFonts w:hint="eastAsia" w:ascii="宋体" w:hAnsi="宋体" w:eastAsia="宋体" w:cs="Times New Roman"/>
          <w:color w:val="auto"/>
          <w:szCs w:val="21"/>
          <w:highlight w:val="none"/>
          <w:lang w:val="en-US" w:eastAsia="zh-CN"/>
        </w:rPr>
        <w:t>不低于</w:t>
      </w:r>
      <w:r>
        <w:rPr>
          <w:rFonts w:hint="eastAsia" w:ascii="宋体" w:hAnsi="宋体" w:eastAsia="宋体" w:cs="Times New Roman"/>
          <w:color w:val="auto"/>
          <w:szCs w:val="21"/>
          <w:highlight w:val="none"/>
        </w:rPr>
        <w:t>《商品包装政府采购需求标准（试行）</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快递包装政府采购需求标准（试行）》</w:t>
      </w:r>
      <w:r>
        <w:rPr>
          <w:rFonts w:hint="eastAsia" w:ascii="宋体" w:hAnsi="宋体" w:eastAsia="宋体" w:cs="Times New Roman"/>
          <w:color w:val="auto"/>
          <w:szCs w:val="21"/>
          <w:highlight w:val="none"/>
          <w:lang w:val="en-US" w:eastAsia="zh-CN"/>
        </w:rPr>
        <w:t>标准</w:t>
      </w:r>
      <w:r>
        <w:rPr>
          <w:rFonts w:hint="eastAsia" w:ascii="宋体" w:hAnsi="宋体" w:eastAsia="宋体" w:cs="Times New Roman"/>
          <w:color w:val="auto"/>
          <w:szCs w:val="21"/>
          <w:highlight w:val="none"/>
        </w:rPr>
        <w:t>，并作为履约验收的内容，必要时甲方可以要求乙方在履约验收环节出具检测报告。</w:t>
      </w:r>
    </w:p>
    <w:p w14:paraId="108059FD">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eastAsia="宋体" w:cs="宋体"/>
          <w:color w:val="auto"/>
          <w:szCs w:val="21"/>
          <w:highlight w:val="none"/>
          <w:lang w:eastAsia="zh-CN"/>
        </w:rPr>
        <w:t>，甲方配合乙方做好货物的接收工作。</w:t>
      </w:r>
    </w:p>
    <w:p w14:paraId="75B05B8E">
      <w:pPr>
        <w:autoSpaceDE w:val="0"/>
        <w:autoSpaceDN w:val="0"/>
        <w:adjustRightInd w:val="0"/>
        <w:spacing w:line="400" w:lineRule="exact"/>
        <w:ind w:firstLine="420" w:firstLineChars="200"/>
        <w:rPr>
          <w:rFonts w:hint="default" w:ascii="华文楷体" w:hAnsi="华文楷体" w:eastAsia="华文楷体" w:cs="华文楷体"/>
          <w:color w:val="auto"/>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0AB3BC6B">
      <w:pPr>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lang w:eastAsia="zh-CN"/>
        </w:rPr>
        <w:t>8</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质量标准和保证</w:t>
      </w:r>
    </w:p>
    <w:p w14:paraId="622A8760">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52BDDA77">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（1）本合同下</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w:t>
      </w:r>
      <w:r>
        <w:rPr>
          <w:rFonts w:hint="eastAsia" w:ascii="宋体" w:hAnsi="宋体" w:eastAsia="宋体" w:cs="Times New Roman"/>
          <w:color w:val="auto"/>
          <w:szCs w:val="21"/>
          <w:highlight w:val="none"/>
          <w:lang w:eastAsia="zh-CN"/>
        </w:rPr>
        <w:t>合同</w:t>
      </w:r>
      <w:r>
        <w:rPr>
          <w:rFonts w:hint="eastAsia" w:ascii="宋体" w:hAnsi="宋体" w:eastAsia="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eastAsia="宋体" w:cs="Times New Roman"/>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Times New Roman"/>
          <w:color w:val="auto"/>
          <w:szCs w:val="21"/>
          <w:highlight w:val="none"/>
          <w:lang w:eastAsia="zh-CN"/>
        </w:rPr>
        <w:t>。</w:t>
      </w:r>
    </w:p>
    <w:p w14:paraId="4E4EA2A2">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78929A1B">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的货物应符合国家有关安全、环保、卫生</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rPr>
        <w:t>规定。</w:t>
      </w:r>
    </w:p>
    <w:p w14:paraId="4AE8132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（4）乙方应向甲方提交所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货物的技术文件，包括相应的中文技术文件，如：产品目录、图纸、操作手册、使用说明、维护手册或服务指南</w:t>
      </w:r>
      <w:r>
        <w:rPr>
          <w:rFonts w:hint="eastAsia" w:ascii="宋体" w:hAnsi="宋体" w:eastAsia="宋体" w:cs="Times New Roman"/>
          <w:color w:val="auto"/>
          <w:szCs w:val="21"/>
          <w:highlight w:val="none"/>
          <w:lang w:eastAsia="zh-CN"/>
        </w:rPr>
        <w:t>等</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上述</w:t>
      </w:r>
      <w:r>
        <w:rPr>
          <w:rFonts w:hint="eastAsia" w:ascii="宋体" w:hAnsi="宋体" w:eastAsia="宋体" w:cs="Times New Roman"/>
          <w:color w:val="auto"/>
          <w:szCs w:val="21"/>
          <w:highlight w:val="none"/>
        </w:rPr>
        <w:t>文件应包装好随货物一同发运。</w:t>
      </w:r>
    </w:p>
    <w:p w14:paraId="7ABC0C0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8</w:t>
      </w:r>
      <w:r>
        <w:rPr>
          <w:rFonts w:hint="eastAsia" w:ascii="宋体" w:hAnsi="宋体" w:eastAsia="宋体" w:cs="Times New Roman"/>
          <w:color w:val="auto"/>
          <w:szCs w:val="21"/>
          <w:highlight w:val="none"/>
        </w:rPr>
        <w:t>.2 保证</w:t>
      </w:r>
    </w:p>
    <w:p w14:paraId="32D6761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（1）乙方应保证</w:t>
      </w:r>
      <w:r>
        <w:rPr>
          <w:rFonts w:hint="eastAsia" w:ascii="宋体" w:hAnsi="宋体" w:eastAsia="宋体" w:cs="Times New Roman"/>
          <w:color w:val="auto"/>
          <w:szCs w:val="21"/>
          <w:highlight w:val="none"/>
          <w:lang w:eastAsia="zh-CN"/>
        </w:rPr>
        <w:t>提供的货物</w:t>
      </w:r>
      <w:r>
        <w:rPr>
          <w:rFonts w:hint="eastAsia" w:ascii="宋体" w:hAnsi="宋体" w:eastAsia="宋体" w:cs="Times New Roman"/>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eastAsia="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存在</w:t>
      </w:r>
      <w:r>
        <w:rPr>
          <w:rFonts w:hint="eastAsia" w:ascii="宋体" w:hAnsi="宋体" w:eastAsia="宋体" w:cs="Times New Roman"/>
          <w:color w:val="auto"/>
          <w:szCs w:val="21"/>
          <w:highlight w:val="none"/>
        </w:rPr>
        <w:t>质量保证期的，货物最终交付验收</w:t>
      </w:r>
      <w:r>
        <w:rPr>
          <w:rFonts w:hint="eastAsia" w:ascii="宋体" w:hAnsi="宋体" w:eastAsia="宋体" w:cs="Times New Roman"/>
          <w:color w:val="auto"/>
          <w:szCs w:val="21"/>
          <w:highlight w:val="none"/>
          <w:lang w:eastAsia="zh-CN"/>
        </w:rPr>
        <w:t>合格</w:t>
      </w:r>
      <w:r>
        <w:rPr>
          <w:rFonts w:hint="eastAsia" w:ascii="宋体" w:hAnsi="宋体" w:eastAsia="宋体" w:cs="Times New Roman"/>
          <w:color w:val="auto"/>
          <w:szCs w:val="21"/>
          <w:highlight w:val="none"/>
        </w:rPr>
        <w:t>后</w:t>
      </w:r>
      <w:r>
        <w:rPr>
          <w:rFonts w:hint="eastAsia" w:ascii="宋体" w:hAnsi="宋体" w:eastAsia="宋体" w:cs="Times New Roman"/>
          <w:color w:val="auto"/>
          <w:szCs w:val="21"/>
          <w:highlight w:val="none"/>
          <w:lang w:eastAsia="zh-CN"/>
        </w:rPr>
        <w:t>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规定或乙方</w:t>
      </w:r>
      <w:r>
        <w:rPr>
          <w:rFonts w:hint="eastAsia" w:ascii="宋体" w:hAnsi="宋体" w:eastAsia="宋体" w:cs="Times New Roman"/>
          <w:color w:val="auto"/>
          <w:szCs w:val="21"/>
          <w:highlight w:val="none"/>
          <w:lang w:eastAsia="zh-CN"/>
        </w:rPr>
        <w:t>书面</w:t>
      </w:r>
      <w:r>
        <w:rPr>
          <w:rFonts w:hint="eastAsia" w:ascii="宋体" w:hAnsi="宋体" w:eastAsia="宋体" w:cs="Times New Roman"/>
          <w:color w:val="auto"/>
          <w:szCs w:val="21"/>
          <w:highlight w:val="none"/>
        </w:rPr>
        <w:t>承诺（两者以较长的为准）的质量保证期内，本保证保持有效。</w:t>
      </w:r>
    </w:p>
    <w:p w14:paraId="5EB49C3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（2）在质量保证期内所发现的缺陷，甲方应尽快以书面形式通知乙方。</w:t>
      </w:r>
    </w:p>
    <w:p w14:paraId="2D784B43">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（3）乙方收到通知后</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应在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规定的响应时间内以合理的速度免费维修或更换有缺陷的货物或部件。</w:t>
      </w:r>
    </w:p>
    <w:p w14:paraId="6A7790C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.1条规定以书面形式</w:t>
      </w:r>
      <w:r>
        <w:rPr>
          <w:rFonts w:hint="eastAsia" w:ascii="宋体" w:hAnsi="宋体" w:eastAsia="宋体" w:cs="Times New Roman"/>
          <w:color w:val="auto"/>
          <w:szCs w:val="21"/>
          <w:highlight w:val="none"/>
          <w:lang w:eastAsia="zh-CN"/>
        </w:rPr>
        <w:t>追究</w:t>
      </w:r>
      <w:r>
        <w:rPr>
          <w:rFonts w:hint="eastAsia" w:ascii="宋体" w:hAnsi="宋体" w:eastAsia="宋体" w:cs="Times New Roman"/>
          <w:color w:val="auto"/>
          <w:szCs w:val="21"/>
          <w:highlight w:val="none"/>
        </w:rPr>
        <w:t>乙方</w:t>
      </w:r>
      <w:r>
        <w:rPr>
          <w:rFonts w:hint="eastAsia" w:ascii="宋体" w:hAnsi="宋体" w:eastAsia="宋体" w:cs="Times New Roman"/>
          <w:color w:val="auto"/>
          <w:szCs w:val="21"/>
          <w:highlight w:val="none"/>
          <w:lang w:eastAsia="zh-CN"/>
        </w:rPr>
        <w:t>的违约责任</w:t>
      </w:r>
      <w:r>
        <w:rPr>
          <w:rFonts w:hint="eastAsia" w:ascii="宋体" w:hAnsi="宋体" w:eastAsia="宋体" w:cs="Times New Roman"/>
          <w:color w:val="auto"/>
          <w:szCs w:val="21"/>
          <w:highlight w:val="none"/>
        </w:rPr>
        <w:t>。</w:t>
      </w:r>
    </w:p>
    <w:p w14:paraId="578CE991">
      <w:pPr>
        <w:adjustRightInd w:val="0"/>
        <w:snapToGrid w:val="0"/>
        <w:spacing w:before="0" w:line="400" w:lineRule="exact"/>
        <w:ind w:firstLine="420" w:firstLineChars="200"/>
        <w:jc w:val="left"/>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（5）乙方在约定的时间内未能弥补缺陷，甲方可采取必要的补救措施，但其风险和费用将由乙方承担，甲方根据合同</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对乙方行使的其他权利不受影响。</w:t>
      </w:r>
    </w:p>
    <w:p w14:paraId="2D917279">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eastAsia="zh-CN"/>
        </w:rPr>
        <w:t>9</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权利瑕疵担保</w:t>
      </w:r>
    </w:p>
    <w:p w14:paraId="0B428EA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9</w:t>
      </w:r>
      <w:r>
        <w:rPr>
          <w:rFonts w:hint="eastAsia" w:ascii="宋体" w:hAnsi="宋体" w:eastAsia="宋体" w:cs="Times New Roman"/>
          <w:color w:val="auto"/>
          <w:szCs w:val="21"/>
          <w:highlight w:val="none"/>
        </w:rPr>
        <w:t>.1 乙方保证对其出售的货物享有合法的权利。</w:t>
      </w:r>
    </w:p>
    <w:p w14:paraId="2941EF1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9</w:t>
      </w:r>
      <w:r>
        <w:rPr>
          <w:rFonts w:hint="eastAsia" w:ascii="宋体" w:hAnsi="宋体" w:eastAsia="宋体" w:cs="Times New Roman"/>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58916658">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9</w:t>
      </w:r>
      <w:r>
        <w:rPr>
          <w:rFonts w:hint="eastAsia" w:ascii="宋体" w:hAnsi="宋体" w:eastAsia="宋体" w:cs="Times New Roman"/>
          <w:color w:val="auto"/>
          <w:szCs w:val="21"/>
          <w:highlight w:val="none"/>
        </w:rPr>
        <w:t>.3 如甲方使用</w:t>
      </w:r>
      <w:r>
        <w:rPr>
          <w:rFonts w:hint="eastAsia" w:ascii="宋体" w:hAnsi="宋体" w:eastAsia="宋体" w:cs="Times New Roman"/>
          <w:color w:val="auto"/>
          <w:szCs w:val="21"/>
          <w:highlight w:val="none"/>
          <w:lang w:val="en-US" w:eastAsia="zh-CN"/>
        </w:rPr>
        <w:t>上述</w:t>
      </w:r>
      <w:r>
        <w:rPr>
          <w:rFonts w:hint="eastAsia" w:ascii="宋体" w:hAnsi="宋体" w:eastAsia="宋体" w:cs="Times New Roman"/>
          <w:color w:val="auto"/>
          <w:szCs w:val="21"/>
          <w:highlight w:val="none"/>
        </w:rPr>
        <w:t>货物构成</w:t>
      </w:r>
      <w:r>
        <w:rPr>
          <w:rFonts w:hint="eastAsia" w:ascii="宋体" w:hAnsi="宋体" w:eastAsia="宋体" w:cs="Times New Roman"/>
          <w:color w:val="auto"/>
          <w:szCs w:val="21"/>
          <w:highlight w:val="none"/>
          <w:lang w:val="en-US" w:eastAsia="zh-CN"/>
        </w:rPr>
        <w:t>对第三人</w:t>
      </w:r>
      <w:r>
        <w:rPr>
          <w:rFonts w:hint="eastAsia" w:ascii="宋体" w:hAnsi="宋体" w:eastAsia="宋体" w:cs="Times New Roman"/>
          <w:color w:val="auto"/>
          <w:szCs w:val="21"/>
          <w:highlight w:val="none"/>
        </w:rPr>
        <w:t>侵权的，则由乙方承担全部责任。</w:t>
      </w:r>
    </w:p>
    <w:p w14:paraId="59897B11">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0</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知识产权保护</w:t>
      </w:r>
    </w:p>
    <w:p w14:paraId="139250E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0</w:t>
      </w:r>
      <w:r>
        <w:rPr>
          <w:rFonts w:hint="eastAsia" w:ascii="宋体" w:hAnsi="宋体" w:eastAsia="宋体" w:cs="Times New Roman"/>
          <w:color w:val="auto"/>
          <w:szCs w:val="21"/>
          <w:highlight w:val="none"/>
        </w:rPr>
        <w:t>.1 乙方对其所销售的货物应当享有知识产权或经权利人合法授权，保证没有侵犯任何第三人的知识产权等权利。</w:t>
      </w:r>
      <w:bookmarkStart w:id="715"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715"/>
      <w:r>
        <w:rPr>
          <w:rFonts w:hint="eastAsia" w:ascii="宋体" w:hAnsi="宋体" w:eastAsia="宋体" w:cs="Times New Roman"/>
          <w:color w:val="auto"/>
          <w:szCs w:val="21"/>
          <w:highlight w:val="none"/>
        </w:rPr>
        <w:t>。</w:t>
      </w:r>
    </w:p>
    <w:p w14:paraId="0BEDC495">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保密义务</w:t>
      </w:r>
    </w:p>
    <w:p w14:paraId="0D1B51C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eastAsia="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eastAsia="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eastAsia="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eastAsia="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eastAsia="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6A6226A5">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2</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合同价款支付</w:t>
      </w:r>
    </w:p>
    <w:p w14:paraId="06C7ACF6">
      <w:pPr>
        <w:autoSpaceDE/>
        <w:autoSpaceDN/>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2</w:t>
      </w:r>
      <w:r>
        <w:rPr>
          <w:rFonts w:hint="eastAsia"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lang w:eastAsia="zh-CN"/>
        </w:rPr>
        <w:t>合同价款支付</w:t>
      </w:r>
      <w:r>
        <w:rPr>
          <w:rFonts w:hint="eastAsia" w:ascii="宋体" w:hAnsi="宋体" w:eastAsia="宋体" w:cs="Times New Roman"/>
          <w:color w:val="auto"/>
          <w:szCs w:val="21"/>
          <w:highlight w:val="none"/>
        </w:rPr>
        <w:t>按照国库集中支付</w:t>
      </w:r>
      <w:r>
        <w:rPr>
          <w:rFonts w:hint="eastAsia" w:ascii="宋体" w:hAnsi="宋体" w:eastAsia="宋体" w:cs="Times New Roman"/>
          <w:color w:val="auto"/>
          <w:szCs w:val="21"/>
          <w:highlight w:val="none"/>
          <w:lang w:eastAsia="zh-CN"/>
        </w:rPr>
        <w:t>制度及财政管理相关</w:t>
      </w:r>
      <w:r>
        <w:rPr>
          <w:rFonts w:hint="eastAsia" w:ascii="宋体" w:hAnsi="宋体" w:eastAsia="宋体" w:cs="Times New Roman"/>
          <w:color w:val="auto"/>
          <w:szCs w:val="21"/>
          <w:highlight w:val="none"/>
        </w:rPr>
        <w:t>规定执行。</w:t>
      </w:r>
    </w:p>
    <w:p w14:paraId="09479041">
      <w:pPr>
        <w:autoSpaceDE/>
        <w:autoSpaceDN/>
        <w:adjustRightInd w:val="0"/>
        <w:snapToGrid w:val="0"/>
        <w:spacing w:before="0" w:line="400" w:lineRule="exact"/>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szCs w:val="21"/>
          <w:highlight w:val="none"/>
          <w:lang w:val="en-US" w:eastAsia="zh-CN"/>
        </w:rPr>
        <w:t>【政府采购合同专用条款】</w:t>
      </w:r>
      <w:r>
        <w:rPr>
          <w:rFonts w:hint="eastAsia" w:ascii="宋体" w:hAnsi="宋体" w:eastAsia="宋体" w:cs="Times New Roman"/>
          <w:color w:val="auto"/>
          <w:szCs w:val="21"/>
          <w:highlight w:val="none"/>
          <w:lang w:val="en-US" w:eastAsia="zh-CN"/>
        </w:rPr>
        <w:t>中约定。</w:t>
      </w:r>
    </w:p>
    <w:p w14:paraId="3C0B977E">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3DE15293">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58D18F72">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.2 如果乙方</w:t>
      </w:r>
      <w:r>
        <w:rPr>
          <w:rFonts w:hint="eastAsia" w:ascii="宋体" w:hAnsi="宋体" w:eastAsia="宋体" w:cs="Times New Roman"/>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eastAsia="宋体" w:cs="宋体"/>
          <w:b w:val="0"/>
          <w:bCs w:val="0"/>
          <w:color w:val="auto"/>
          <w:szCs w:val="15"/>
          <w:highlight w:val="none"/>
          <w:lang w:eastAsia="zh-CN"/>
        </w:rPr>
        <w:t>约定情形的</w:t>
      </w:r>
      <w:r>
        <w:rPr>
          <w:rFonts w:hint="eastAsia" w:ascii="宋体" w:hAnsi="宋体" w:eastAsia="宋体" w:cs="Times New Roman"/>
          <w:color w:val="auto"/>
          <w:szCs w:val="21"/>
          <w:highlight w:val="none"/>
        </w:rPr>
        <w:t>，履约保证金不予退还；如果乙方未能按合同约定全面履行义务，甲方有权从履约保证金中取得补偿或赔偿，</w:t>
      </w:r>
      <w:r>
        <w:rPr>
          <w:rFonts w:hint="eastAsia" w:ascii="宋体" w:hAnsi="宋体" w:eastAsia="宋体" w:cs="Times New Roman"/>
          <w:color w:val="auto"/>
          <w:szCs w:val="21"/>
          <w:highlight w:val="none"/>
          <w:lang w:eastAsia="zh-CN"/>
        </w:rPr>
        <w:t>且</w:t>
      </w:r>
      <w:r>
        <w:rPr>
          <w:rFonts w:hint="eastAsia" w:ascii="宋体" w:hAnsi="宋体" w:eastAsia="宋体" w:cs="Times New Roman"/>
          <w:color w:val="auto"/>
          <w:szCs w:val="21"/>
          <w:highlight w:val="none"/>
        </w:rPr>
        <w:t>不影响甲方要求乙方承担合同约定的超过履约保证金的违约责任的权利。</w:t>
      </w:r>
    </w:p>
    <w:p w14:paraId="4F3E715A">
      <w:pPr>
        <w:spacing w:line="400" w:lineRule="exact"/>
        <w:ind w:firstLine="420"/>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.3 甲方在项目通过验收后按照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规定的时间内将履约保证金退还乙方；逾期退还的，乙方可要求甲方支付违约金，违约金按照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规定支付。</w:t>
      </w:r>
    </w:p>
    <w:p w14:paraId="3000F8B7">
      <w:p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4</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Times New Roman" w:hAnsi="Times New Roman" w:eastAsia="宋体" w:cs="Times New Roman"/>
          <w:b/>
          <w:color w:val="auto"/>
          <w:sz w:val="24"/>
          <w:highlight w:val="none"/>
        </w:rPr>
        <w:t>售后</w:t>
      </w:r>
      <w:r>
        <w:rPr>
          <w:rFonts w:hint="eastAsia" w:ascii="宋体" w:hAnsi="宋体" w:eastAsia="宋体" w:cs="Times New Roman"/>
          <w:b/>
          <w:color w:val="auto"/>
          <w:sz w:val="24"/>
          <w:highlight w:val="none"/>
        </w:rPr>
        <w:t>服务</w:t>
      </w:r>
    </w:p>
    <w:p w14:paraId="4EE424B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4</w:t>
      </w:r>
      <w:r>
        <w:rPr>
          <w:rFonts w:hint="eastAsia" w:ascii="宋体" w:hAnsi="宋体" w:eastAsia="宋体" w:cs="Times New Roman"/>
          <w:color w:val="auto"/>
          <w:szCs w:val="21"/>
          <w:highlight w:val="none"/>
        </w:rPr>
        <w:t>.1 除项目不涉及或采购活动中明确约定无须承担外，乙方还应提供下列服务：</w:t>
      </w:r>
    </w:p>
    <w:p w14:paraId="4C6963E3">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（1）货物的现场移动、安装、调试、启动监督及技术支持；</w:t>
      </w:r>
    </w:p>
    <w:p w14:paraId="66BC291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（2）提供货物组装和维修所需的专用工具和辅助材料；</w:t>
      </w:r>
    </w:p>
    <w:p w14:paraId="7EC763B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的期限内对所有的货物实施运行监督、维修，但前提条件是该服务并不能免除乙方在质量保证期内所承担的义务；</w:t>
      </w:r>
    </w:p>
    <w:p w14:paraId="7C7FF2BB">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（4）在制造商</w:t>
      </w:r>
      <w:r>
        <w:rPr>
          <w:rFonts w:hint="eastAsia" w:ascii="宋体" w:hAnsi="宋体" w:eastAsia="宋体" w:cs="Times New Roman"/>
          <w:color w:val="auto"/>
          <w:szCs w:val="21"/>
          <w:highlight w:val="none"/>
          <w:lang w:eastAsia="zh-CN"/>
        </w:rPr>
        <w:t>所在地</w:t>
      </w:r>
      <w:r>
        <w:rPr>
          <w:rFonts w:hint="eastAsia" w:ascii="宋体" w:hAnsi="宋体" w:eastAsia="宋体" w:cs="Times New Roman"/>
          <w:color w:val="auto"/>
          <w:szCs w:val="21"/>
          <w:highlight w:val="none"/>
        </w:rPr>
        <w:t>或</w:t>
      </w:r>
      <w:r>
        <w:rPr>
          <w:rFonts w:hint="eastAsia" w:ascii="宋体" w:hAnsi="宋体" w:eastAsia="宋体" w:cs="Times New Roman"/>
          <w:color w:val="auto"/>
          <w:szCs w:val="21"/>
          <w:highlight w:val="none"/>
          <w:lang w:eastAsia="zh-CN"/>
        </w:rPr>
        <w:t>指定</w:t>
      </w:r>
      <w:r>
        <w:rPr>
          <w:rFonts w:hint="eastAsia" w:ascii="宋体" w:hAnsi="宋体" w:eastAsia="宋体" w:cs="Times New Roman"/>
          <w:color w:val="auto"/>
          <w:szCs w:val="21"/>
          <w:highlight w:val="none"/>
        </w:rPr>
        <w:t>现场就货物的安装、启动、运营、维护</w:t>
      </w:r>
      <w:r>
        <w:rPr>
          <w:rFonts w:hint="eastAsia" w:ascii="宋体" w:hAnsi="宋体" w:eastAsia="宋体" w:cs="Times New Roman"/>
          <w:color w:val="auto"/>
          <w:szCs w:val="21"/>
          <w:highlight w:val="none"/>
          <w:lang w:eastAsia="zh-CN"/>
        </w:rPr>
        <w:t>、废弃处置等</w:t>
      </w:r>
      <w:r>
        <w:rPr>
          <w:rFonts w:hint="eastAsia" w:ascii="宋体" w:hAnsi="宋体" w:eastAsia="宋体" w:cs="Times New Roman"/>
          <w:color w:val="auto"/>
          <w:szCs w:val="21"/>
          <w:highlight w:val="none"/>
        </w:rPr>
        <w:t>对甲方操作人员进行培训</w:t>
      </w:r>
      <w:r>
        <w:rPr>
          <w:rFonts w:hint="eastAsia" w:ascii="宋体" w:hAnsi="宋体" w:eastAsia="宋体" w:cs="宋体"/>
          <w:color w:val="auto"/>
          <w:szCs w:val="15"/>
          <w:highlight w:val="none"/>
          <w:lang w:eastAsia="zh-CN"/>
        </w:rPr>
        <w:t>；</w:t>
      </w:r>
    </w:p>
    <w:p w14:paraId="21FFD780">
      <w:pPr>
        <w:autoSpaceDE w:val="0"/>
        <w:autoSpaceDN w:val="0"/>
        <w:adjustRightInd w:val="0"/>
        <w:spacing w:line="40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（5）依照法律、行政法规的规定或者按照</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color w:val="auto"/>
          <w:sz w:val="21"/>
          <w:szCs w:val="21"/>
          <w:highlight w:val="none"/>
          <w:lang w:val="en-US" w:eastAsia="zh-CN" w:bidi="ar-SA"/>
        </w:rPr>
        <w:t>约定，货物在有效使用年限届满后应予回收的，乙方负有自行或者委托第三人对货物予以回收的义务；</w:t>
      </w:r>
    </w:p>
    <w:p w14:paraId="3A1D3CFC">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规定由乙方提供的其他服务。</w:t>
      </w:r>
    </w:p>
    <w:p w14:paraId="38923C8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.2 乙方提供的</w:t>
      </w:r>
      <w:r>
        <w:rPr>
          <w:rFonts w:hint="eastAsia" w:ascii="宋体" w:hAnsi="宋体" w:eastAsia="宋体" w:cs="Times New Roman"/>
          <w:color w:val="auto"/>
          <w:szCs w:val="21"/>
          <w:highlight w:val="none"/>
          <w:lang w:eastAsia="zh-CN"/>
        </w:rPr>
        <w:t>售后</w:t>
      </w:r>
      <w:r>
        <w:rPr>
          <w:rFonts w:hint="eastAsia" w:ascii="宋体" w:hAnsi="宋体" w:eastAsia="宋体" w:cs="Times New Roman"/>
          <w:color w:val="auto"/>
          <w:szCs w:val="21"/>
          <w:highlight w:val="none"/>
        </w:rPr>
        <w:t>服务的费用</w:t>
      </w:r>
      <w:r>
        <w:rPr>
          <w:rFonts w:hint="eastAsia" w:ascii="宋体" w:hAnsi="宋体" w:eastAsia="宋体" w:cs="Times New Roman"/>
          <w:color w:val="auto"/>
          <w:szCs w:val="21"/>
          <w:highlight w:val="none"/>
          <w:lang w:val="en-US" w:eastAsia="zh-CN"/>
        </w:rPr>
        <w:t>已</w:t>
      </w:r>
      <w:r>
        <w:rPr>
          <w:rFonts w:hint="eastAsia" w:ascii="宋体" w:hAnsi="宋体" w:eastAsia="宋体" w:cs="Times New Roman"/>
          <w:color w:val="auto"/>
          <w:szCs w:val="21"/>
          <w:highlight w:val="none"/>
        </w:rPr>
        <w:t>包含在合同价款中，甲方不再另行支付。</w:t>
      </w:r>
    </w:p>
    <w:p w14:paraId="1431998B">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5</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违约责任</w:t>
      </w:r>
    </w:p>
    <w:p w14:paraId="772E39E1">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.1质量瑕疵的</w:t>
      </w:r>
      <w:r>
        <w:rPr>
          <w:rFonts w:hint="eastAsia" w:ascii="宋体" w:hAnsi="宋体" w:eastAsia="宋体" w:cs="Times New Roman"/>
          <w:bCs/>
          <w:color w:val="auto"/>
          <w:szCs w:val="21"/>
          <w:highlight w:val="none"/>
          <w:lang w:eastAsia="zh-CN"/>
        </w:rPr>
        <w:t>违约责任</w:t>
      </w:r>
    </w:p>
    <w:p w14:paraId="24315DF2">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乙方</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的产品不符合</w:t>
      </w:r>
      <w:r>
        <w:rPr>
          <w:rFonts w:hint="eastAsia" w:ascii="宋体" w:hAnsi="宋体" w:eastAsia="宋体" w:cs="Times New Roman"/>
          <w:color w:val="auto"/>
          <w:szCs w:val="21"/>
          <w:highlight w:val="none"/>
          <w:lang w:eastAsia="zh-CN"/>
        </w:rPr>
        <w:t>合同约定的</w:t>
      </w:r>
      <w:r>
        <w:rPr>
          <w:rFonts w:hint="eastAsia" w:ascii="宋体" w:hAnsi="宋体" w:eastAsia="宋体" w:cs="Times New Roman"/>
          <w:color w:val="auto"/>
          <w:szCs w:val="21"/>
          <w:highlight w:val="none"/>
        </w:rPr>
        <w:t>质量标准或存在产品质量缺陷，</w:t>
      </w:r>
      <w:r>
        <w:rPr>
          <w:rFonts w:hint="eastAsia" w:ascii="宋体" w:hAnsi="宋体" w:eastAsia="宋体" w:cs="Times New Roman"/>
          <w:color w:val="auto"/>
          <w:szCs w:val="21"/>
          <w:highlight w:val="none"/>
          <w:lang w:eastAsia="zh-CN"/>
        </w:rPr>
        <w:t>甲方有权要求乙方根据</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 w:val="0"/>
          <w:bCs/>
          <w:color w:val="auto"/>
          <w:szCs w:val="21"/>
          <w:highlight w:val="none"/>
          <w:lang w:eastAsia="zh-CN"/>
        </w:rPr>
        <w:t>要求</w:t>
      </w:r>
      <w:r>
        <w:rPr>
          <w:rFonts w:hint="eastAsia" w:ascii="宋体" w:hAnsi="宋体" w:eastAsia="宋体" w:cs="Times New Roman"/>
          <w:color w:val="auto"/>
          <w:szCs w:val="21"/>
          <w:highlight w:val="none"/>
          <w:lang w:eastAsia="zh-CN"/>
        </w:rPr>
        <w:t>及时修理、重作、更换，并承担由此给甲</w:t>
      </w:r>
      <w:r>
        <w:rPr>
          <w:rFonts w:hint="eastAsia" w:ascii="宋体" w:hAnsi="宋体" w:eastAsia="宋体" w:cs="Times New Roman"/>
          <w:color w:val="auto"/>
          <w:szCs w:val="21"/>
          <w:highlight w:val="none"/>
        </w:rPr>
        <w:t>方</w:t>
      </w:r>
      <w:r>
        <w:rPr>
          <w:rFonts w:hint="eastAsia" w:ascii="宋体" w:hAnsi="宋体" w:eastAsia="宋体" w:cs="Times New Roman"/>
          <w:color w:val="auto"/>
          <w:szCs w:val="21"/>
          <w:highlight w:val="none"/>
          <w:lang w:eastAsia="zh-CN"/>
        </w:rPr>
        <w:t>造成的损失</w:t>
      </w:r>
      <w:r>
        <w:rPr>
          <w:rFonts w:hint="eastAsia" w:ascii="宋体" w:hAnsi="宋体" w:eastAsia="宋体" w:cs="Times New Roman"/>
          <w:color w:val="auto"/>
          <w:szCs w:val="21"/>
          <w:highlight w:val="none"/>
        </w:rPr>
        <w:t>。</w:t>
      </w:r>
    </w:p>
    <w:p w14:paraId="20763ABD">
      <w:pPr>
        <w:autoSpaceDE w:val="0"/>
        <w:autoSpaceDN w:val="0"/>
        <w:adjustRightInd w:val="0"/>
        <w:snapToGrid w:val="0"/>
        <w:spacing w:before="0" w:line="4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.2 迟延交货的违约责任</w:t>
      </w:r>
    </w:p>
    <w:p w14:paraId="5B05E26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（1）乙方应按照本合同规定的时间、地点交货和提供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服务。在履行合同过程中，如果乙方遇到可能</w:t>
      </w:r>
      <w:r>
        <w:rPr>
          <w:rFonts w:hint="eastAsia" w:ascii="宋体" w:hAnsi="宋体" w:eastAsia="宋体" w:cs="Times New Roman"/>
          <w:color w:val="auto"/>
          <w:szCs w:val="21"/>
          <w:highlight w:val="none"/>
          <w:lang w:eastAsia="zh-CN"/>
        </w:rPr>
        <w:t>影响</w:t>
      </w:r>
      <w:r>
        <w:rPr>
          <w:rFonts w:hint="eastAsia" w:ascii="宋体" w:hAnsi="宋体" w:eastAsia="宋体" w:cs="Times New Roman"/>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Times New Roman"/>
          <w:color w:val="auto"/>
          <w:szCs w:val="21"/>
          <w:highlight w:val="none"/>
          <w:lang w:eastAsia="zh-CN"/>
        </w:rPr>
        <w:t>长</w:t>
      </w:r>
      <w:r>
        <w:rPr>
          <w:rFonts w:hint="eastAsia" w:ascii="宋体" w:hAnsi="宋体" w:eastAsia="宋体" w:cs="Times New Roman"/>
          <w:color w:val="auto"/>
          <w:szCs w:val="21"/>
          <w:highlight w:val="none"/>
        </w:rPr>
        <w:t>交货时间或延期提供服务。</w:t>
      </w:r>
    </w:p>
    <w:p w14:paraId="355B0906">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（2）如果乙方没有按照合同规定的时间交货和提供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服务，甲方有权从货款中扣除误期赔偿费而不影响合同项下的其他补救方法，赔偿费按</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规定执行。如果涉及公共利益，且赔偿金额无法弥补公共利益损失，</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可要求继续履行或者</w:t>
      </w:r>
      <w:r>
        <w:rPr>
          <w:rFonts w:hint="eastAsia" w:ascii="宋体" w:hAnsi="宋体" w:eastAsia="宋体" w:cs="Times New Roman"/>
          <w:color w:val="auto"/>
          <w:szCs w:val="21"/>
          <w:highlight w:val="none"/>
          <w:lang w:eastAsia="zh-CN"/>
        </w:rPr>
        <w:t>采取其他补救措施</w:t>
      </w:r>
      <w:r>
        <w:rPr>
          <w:rFonts w:hint="eastAsia" w:ascii="宋体" w:hAnsi="宋体" w:eastAsia="宋体" w:cs="Times New Roman"/>
          <w:color w:val="auto"/>
          <w:szCs w:val="21"/>
          <w:highlight w:val="none"/>
        </w:rPr>
        <w:t>。</w:t>
      </w:r>
    </w:p>
    <w:p w14:paraId="64FE2C3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5</w:t>
      </w:r>
      <w:r>
        <w:rPr>
          <w:rFonts w:hint="eastAsia" w:ascii="宋体" w:hAnsi="宋体" w:eastAsia="宋体" w:cs="Times New Roman"/>
          <w:color w:val="auto"/>
          <w:szCs w:val="21"/>
          <w:highlight w:val="none"/>
        </w:rPr>
        <w:t>.3 迟延支付的违约责任</w:t>
      </w:r>
    </w:p>
    <w:p w14:paraId="3F3BE310">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甲方存在迟延支付乙方合同款项的，应当承担</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规定的逾期付款利息。</w:t>
      </w:r>
    </w:p>
    <w:p w14:paraId="47857205">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.4其他违约责任根据项目实际需要按</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规定执行。</w:t>
      </w:r>
    </w:p>
    <w:p w14:paraId="1E8BAF2E">
      <w:pPr>
        <w:numPr>
          <w:ilvl w:val="0"/>
          <w:numId w:val="28"/>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合同变更</w:t>
      </w:r>
      <w:r>
        <w:rPr>
          <w:rFonts w:hint="eastAsia" w:ascii="宋体" w:hAnsi="宋体" w:eastAsia="宋体" w:cs="Times New Roman"/>
          <w:b/>
          <w:color w:val="auto"/>
          <w:sz w:val="24"/>
          <w:highlight w:val="none"/>
          <w:lang w:eastAsia="zh-CN"/>
        </w:rPr>
        <w:t>、中止与终止</w:t>
      </w:r>
    </w:p>
    <w:p w14:paraId="454153C7">
      <w:pPr>
        <w:autoSpaceDE/>
        <w:autoSpaceDN/>
        <w:adjustRightInd w:val="0"/>
        <w:snapToGrid w:val="0"/>
        <w:spacing w:before="0" w:line="400" w:lineRule="exact"/>
        <w:ind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.1合同的</w:t>
      </w:r>
      <w:r>
        <w:rPr>
          <w:rFonts w:hint="eastAsia" w:ascii="宋体" w:hAnsi="宋体" w:eastAsia="宋体" w:cs="Times New Roman"/>
          <w:color w:val="auto"/>
          <w:szCs w:val="21"/>
          <w:highlight w:val="none"/>
          <w:lang w:eastAsia="zh-CN"/>
        </w:rPr>
        <w:t>变更</w:t>
      </w:r>
    </w:p>
    <w:p w14:paraId="176E3A38">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政府采购合同履行中，</w:t>
      </w:r>
      <w:r>
        <w:rPr>
          <w:rFonts w:hint="eastAsia" w:ascii="宋体" w:hAnsi="宋体" w:eastAsia="宋体" w:cs="Times New Roman"/>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Times New Roman"/>
          <w:color w:val="auto"/>
          <w:szCs w:val="21"/>
          <w:highlight w:val="none"/>
          <w:lang w:eastAsia="zh-CN"/>
        </w:rPr>
        <w:t>一致后</w:t>
      </w:r>
      <w:r>
        <w:rPr>
          <w:rFonts w:hint="eastAsia" w:ascii="宋体" w:hAnsi="宋体" w:eastAsia="宋体" w:cs="Times New Roman"/>
          <w:color w:val="auto"/>
          <w:szCs w:val="21"/>
          <w:highlight w:val="none"/>
        </w:rPr>
        <w:t>签订补充协议。</w:t>
      </w:r>
    </w:p>
    <w:p w14:paraId="5D223BAC">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合同的中止</w:t>
      </w:r>
    </w:p>
    <w:p w14:paraId="3112B1DB">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（1）合同履行过程中因供应商就采购文件、采购过程或结果提起投诉的，甲方认为有必要的，</w:t>
      </w:r>
      <w:r>
        <w:rPr>
          <w:rFonts w:hint="eastAsia" w:ascii="宋体" w:hAnsi="宋体" w:eastAsia="宋体" w:cs="Times New Roman"/>
          <w:color w:val="auto"/>
          <w:szCs w:val="21"/>
          <w:highlight w:val="none"/>
          <w:lang w:eastAsia="zh-CN"/>
        </w:rPr>
        <w:t>可以</w:t>
      </w:r>
      <w:r>
        <w:rPr>
          <w:rFonts w:hint="eastAsia" w:ascii="宋体" w:hAnsi="宋体" w:eastAsia="宋体" w:cs="Times New Roman"/>
          <w:color w:val="auto"/>
          <w:szCs w:val="21"/>
          <w:highlight w:val="none"/>
        </w:rPr>
        <w:t>中止合同的履行。</w:t>
      </w:r>
    </w:p>
    <w:p w14:paraId="639EAD03">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合同履行过程中，</w:t>
      </w:r>
      <w:r>
        <w:rPr>
          <w:rFonts w:hint="eastAsia" w:ascii="宋体" w:hAnsi="宋体" w:eastAsia="宋体" w:cs="Times New Roman"/>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Times New Roman"/>
          <w:color w:val="auto"/>
          <w:szCs w:val="21"/>
          <w:highlight w:val="none"/>
          <w:lang w:eastAsia="zh-CN"/>
        </w:rPr>
        <w:t>，乙方有义务及时告知甲方</w:t>
      </w:r>
      <w:r>
        <w:rPr>
          <w:rFonts w:hint="eastAsia" w:ascii="宋体" w:hAnsi="宋体" w:eastAsia="宋体" w:cs="Times New Roman"/>
          <w:color w:val="auto"/>
          <w:szCs w:val="21"/>
          <w:highlight w:val="none"/>
        </w:rPr>
        <w:t>。甲方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以书面形式通知乙方中止合同</w:t>
      </w:r>
      <w:r>
        <w:rPr>
          <w:rFonts w:hint="eastAsia" w:ascii="宋体" w:hAnsi="宋体" w:eastAsia="宋体" w:cs="Times New Roman"/>
          <w:color w:val="auto"/>
          <w:szCs w:val="21"/>
          <w:highlight w:val="none"/>
          <w:lang w:eastAsia="zh-CN"/>
        </w:rPr>
        <w:t>并要求乙方在合理期限内消除相关情形或者提供适当担保。</w:t>
      </w:r>
      <w:r>
        <w:rPr>
          <w:rFonts w:hint="eastAsia" w:ascii="宋体" w:hAnsi="宋体" w:eastAsia="宋体" w:cs="Times New Roman"/>
          <w:color w:val="auto"/>
          <w:szCs w:val="21"/>
          <w:highlight w:val="none"/>
        </w:rPr>
        <w:t>乙方提供适当担保的，</w:t>
      </w:r>
      <w:r>
        <w:rPr>
          <w:rFonts w:hint="eastAsia" w:ascii="宋体" w:hAnsi="宋体" w:eastAsia="宋体" w:cs="Times New Roman"/>
          <w:color w:val="auto"/>
          <w:szCs w:val="21"/>
          <w:highlight w:val="none"/>
          <w:lang w:eastAsia="zh-CN"/>
        </w:rPr>
        <w:t>合同继续</w:t>
      </w:r>
      <w:r>
        <w:rPr>
          <w:rFonts w:hint="eastAsia" w:ascii="宋体" w:hAnsi="宋体" w:eastAsia="宋体" w:cs="Times New Roman"/>
          <w:color w:val="auto"/>
          <w:szCs w:val="21"/>
          <w:highlight w:val="none"/>
        </w:rPr>
        <w:t>履行</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方在合理期限内未恢复履约能力且未提供适当担保的，视为拒绝</w:t>
      </w:r>
      <w:r>
        <w:rPr>
          <w:rFonts w:hint="eastAsia" w:ascii="宋体" w:hAnsi="宋体" w:eastAsia="宋体" w:cs="Times New Roman"/>
          <w:color w:val="auto"/>
          <w:szCs w:val="21"/>
          <w:highlight w:val="none"/>
          <w:lang w:eastAsia="zh-CN"/>
        </w:rPr>
        <w:t>继续</w:t>
      </w:r>
      <w:r>
        <w:rPr>
          <w:rFonts w:hint="eastAsia" w:ascii="宋体" w:hAnsi="宋体" w:eastAsia="宋体" w:cs="Times New Roman"/>
          <w:color w:val="auto"/>
          <w:szCs w:val="21"/>
          <w:highlight w:val="none"/>
        </w:rPr>
        <w:t>履约，甲方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解除合同并要求乙方承担</w:t>
      </w:r>
      <w:r>
        <w:rPr>
          <w:rFonts w:hint="eastAsia" w:ascii="宋体" w:hAnsi="宋体" w:eastAsia="宋体" w:cs="Times New Roman"/>
          <w:color w:val="auto"/>
          <w:szCs w:val="21"/>
          <w:highlight w:val="none"/>
          <w:lang w:eastAsia="zh-CN"/>
        </w:rPr>
        <w:t>由此给甲方造成的损失</w:t>
      </w:r>
      <w:r>
        <w:rPr>
          <w:rFonts w:hint="eastAsia" w:ascii="宋体" w:hAnsi="宋体" w:eastAsia="宋体" w:cs="Times New Roman"/>
          <w:color w:val="auto"/>
          <w:szCs w:val="21"/>
          <w:highlight w:val="none"/>
        </w:rPr>
        <w:t>。</w:t>
      </w:r>
    </w:p>
    <w:p w14:paraId="716FE179">
      <w:pPr>
        <w:autoSpaceDE w:val="0"/>
        <w:autoSpaceDN w:val="0"/>
        <w:adjustRightInd w:val="0"/>
        <w:spacing w:line="400" w:lineRule="exact"/>
        <w:ind w:firstLine="420" w:firstLineChars="200"/>
        <w:jc w:val="both"/>
        <w:rPr>
          <w:rFonts w:ascii="华文楷体" w:hAnsi="华文楷体" w:eastAsia="华文楷体" w:cs="华文楷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620380DC">
      <w:pPr>
        <w:snapToGrid w:val="0"/>
        <w:spacing w:line="400" w:lineRule="exact"/>
        <w:ind w:firstLine="420" w:firstLineChars="200"/>
        <w:jc w:val="left"/>
        <w:rPr>
          <w:rFonts w:ascii="Times New Roman" w:hAnsi="Times New Roman" w:eastAsia="宋体" w:cs="Times New Roman"/>
          <w:color w:val="auto"/>
          <w:sz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）甲方不得以行政区划调整、政府换届、机构或者职能调整以及相关责任人更替为由中止合同。</w:t>
      </w:r>
    </w:p>
    <w:p w14:paraId="2E183382">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合同的终止</w:t>
      </w:r>
    </w:p>
    <w:p w14:paraId="10B086E1">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（1）合同因有效期限届满而终止；</w:t>
      </w:r>
    </w:p>
    <w:p w14:paraId="7E47549E">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rPr>
        <w:t>（2）乙方未</w:t>
      </w:r>
      <w:r>
        <w:rPr>
          <w:rFonts w:hint="eastAsia" w:ascii="宋体" w:hAnsi="宋体" w:eastAsia="宋体" w:cs="Times New Roman"/>
          <w:color w:val="auto"/>
          <w:szCs w:val="21"/>
          <w:highlight w:val="none"/>
          <w:lang w:eastAsia="zh-CN"/>
        </w:rPr>
        <w:t>按</w:t>
      </w:r>
      <w:r>
        <w:rPr>
          <w:rFonts w:hint="eastAsia" w:ascii="宋体" w:hAnsi="宋体" w:eastAsia="宋体" w:cs="Times New Roman"/>
          <w:color w:val="auto"/>
          <w:szCs w:val="21"/>
          <w:highlight w:val="none"/>
        </w:rPr>
        <w:t>合同约定履行，构成根本性违约的，甲方有权终止合同</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eastAsia="宋体" w:cs="宋体"/>
          <w:color w:val="auto"/>
          <w:szCs w:val="21"/>
          <w:highlight w:val="none"/>
          <w:lang w:val="en-US" w:eastAsia="zh-CN"/>
        </w:rPr>
        <w:t>任</w:t>
      </w:r>
      <w:r>
        <w:rPr>
          <w:rFonts w:hint="eastAsia" w:ascii="宋体" w:hAnsi="宋体" w:eastAsia="宋体" w:cs="Times New Roman"/>
          <w:color w:val="auto"/>
          <w:szCs w:val="21"/>
          <w:highlight w:val="none"/>
        </w:rPr>
        <w:t>。</w:t>
      </w:r>
    </w:p>
    <w:p w14:paraId="2FC13E80">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3D257B07">
      <w:pPr>
        <w:autoSpaceDE w:val="0"/>
        <w:autoSpaceDN w:val="0"/>
        <w:adjustRightInd w:val="0"/>
        <w:spacing w:line="400" w:lineRule="exact"/>
        <w:ind w:firstLine="420" w:firstLineChars="200"/>
        <w:jc w:val="both"/>
        <w:rPr>
          <w:rFonts w:ascii="华文楷体" w:hAnsi="华文楷体" w:eastAsia="华文楷体" w:cs="华文楷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6D3772E6">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val="en-US" w:eastAsia="zh-CN"/>
        </w:rPr>
        <w:t>7</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合同分包</w:t>
      </w:r>
    </w:p>
    <w:p w14:paraId="6CBE248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.1 乙方不得</w:t>
      </w:r>
      <w:r>
        <w:rPr>
          <w:rFonts w:hint="eastAsia" w:ascii="宋体" w:hAnsi="宋体" w:eastAsia="宋体" w:cs="Times New Roman"/>
          <w:color w:val="auto"/>
          <w:szCs w:val="21"/>
          <w:highlight w:val="none"/>
          <w:lang w:eastAsia="zh-CN"/>
        </w:rPr>
        <w:t>将合同转包给其他供应商。涉及合同分包的，乙方</w:t>
      </w:r>
      <w:r>
        <w:rPr>
          <w:rFonts w:hint="eastAsia" w:ascii="宋体" w:hAnsi="宋体" w:eastAsia="宋体" w:cs="Times New Roman"/>
          <w:color w:val="auto"/>
          <w:szCs w:val="21"/>
          <w:highlight w:val="none"/>
          <w:lang w:val="en-US" w:eastAsia="zh-CN"/>
        </w:rPr>
        <w:t>应</w:t>
      </w:r>
      <w:r>
        <w:rPr>
          <w:rFonts w:hint="eastAsia" w:ascii="宋体" w:hAnsi="宋体" w:eastAsia="宋体" w:cs="Times New Roman"/>
          <w:color w:val="auto"/>
          <w:szCs w:val="21"/>
          <w:highlight w:val="none"/>
          <w:lang w:eastAsia="zh-CN"/>
        </w:rPr>
        <w:t>根据采购文件和投标（响应）文件规定进行</w:t>
      </w:r>
      <w:r>
        <w:rPr>
          <w:rFonts w:hint="eastAsia" w:ascii="宋体" w:hAnsi="宋体" w:eastAsia="宋体" w:cs="Times New Roman"/>
          <w:color w:val="auto"/>
          <w:szCs w:val="21"/>
          <w:highlight w:val="none"/>
        </w:rPr>
        <w:t>合同分包。</w:t>
      </w:r>
    </w:p>
    <w:p w14:paraId="3080140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.2 乙方执行政府采购政策向中小企业依法分包的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乙方应当按采购文件</w:t>
      </w:r>
      <w:r>
        <w:rPr>
          <w:rFonts w:hint="eastAsia" w:ascii="宋体" w:hAnsi="宋体" w:eastAsia="宋体" w:cs="Times New Roman"/>
          <w:color w:val="auto"/>
          <w:szCs w:val="21"/>
          <w:highlight w:val="none"/>
          <w:lang w:eastAsia="zh-CN"/>
        </w:rPr>
        <w:t>和</w:t>
      </w:r>
      <w:r>
        <w:rPr>
          <w:rFonts w:hint="eastAsia" w:ascii="宋体" w:hAnsi="宋体" w:eastAsia="宋体" w:cs="Times New Roman"/>
          <w:color w:val="auto"/>
          <w:szCs w:val="21"/>
          <w:highlight w:val="none"/>
        </w:rPr>
        <w:t>投标（响应）文件签订分包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协议属于本合同组成部分。</w:t>
      </w:r>
    </w:p>
    <w:p w14:paraId="289D5AAE">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lang w:val="en-US" w:eastAsia="zh-CN"/>
        </w:rPr>
        <w:t>8</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不可抗力</w:t>
      </w:r>
    </w:p>
    <w:p w14:paraId="0F0B2281">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.1 不可抗力是指合同双方不能预见、不能避免且不能克服的客观情况。</w:t>
      </w:r>
    </w:p>
    <w:p w14:paraId="602A7DFC">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.2 任何一方对由于不可抗力造成的部分或全部不能履行合同不承担违约责任。但迟延履行后发生不可抗力的，不能免除责任。</w:t>
      </w:r>
    </w:p>
    <w:p w14:paraId="56C0544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.3 遇有不可抗力的一方，应及时将事件情况以书面形式</w:t>
      </w:r>
      <w:r>
        <w:rPr>
          <w:rFonts w:hint="eastAsia" w:ascii="宋体" w:hAnsi="宋体" w:eastAsia="宋体" w:cs="Times New Roman"/>
          <w:color w:val="auto"/>
          <w:szCs w:val="21"/>
          <w:highlight w:val="none"/>
          <w:lang w:eastAsia="zh-CN"/>
        </w:rPr>
        <w:t>告</w:t>
      </w:r>
      <w:r>
        <w:rPr>
          <w:rFonts w:hint="eastAsia" w:ascii="宋体" w:hAnsi="宋体" w:eastAsia="宋体" w:cs="Times New Roman"/>
          <w:color w:val="auto"/>
          <w:szCs w:val="21"/>
          <w:highlight w:val="none"/>
        </w:rPr>
        <w:t>知另一方，并在事件发生后及时向另一方提交合同不能履行或部分不能履行或需要延期履行</w:t>
      </w:r>
      <w:r>
        <w:rPr>
          <w:rFonts w:hint="eastAsia" w:ascii="宋体" w:hAnsi="宋体" w:eastAsia="宋体" w:cs="Times New Roman"/>
          <w:color w:val="auto"/>
          <w:szCs w:val="21"/>
          <w:highlight w:val="none"/>
          <w:lang w:eastAsia="zh-CN"/>
        </w:rPr>
        <w:t>的详细</w:t>
      </w:r>
      <w:r>
        <w:rPr>
          <w:rFonts w:hint="eastAsia" w:ascii="宋体" w:hAnsi="宋体" w:eastAsia="宋体" w:cs="Times New Roman"/>
          <w:color w:val="auto"/>
          <w:szCs w:val="21"/>
          <w:highlight w:val="none"/>
        </w:rPr>
        <w:t>报告</w:t>
      </w:r>
      <w:r>
        <w:rPr>
          <w:rFonts w:hint="eastAsia" w:ascii="宋体" w:hAnsi="宋体" w:eastAsia="宋体" w:cs="Times New Roman"/>
          <w:color w:val="auto"/>
          <w:szCs w:val="21"/>
          <w:highlight w:val="none"/>
          <w:lang w:eastAsia="zh-CN"/>
        </w:rPr>
        <w:t>，以</w:t>
      </w:r>
      <w:r>
        <w:rPr>
          <w:rFonts w:hint="eastAsia" w:ascii="宋体" w:hAnsi="宋体" w:eastAsia="宋体" w:cs="Times New Roman"/>
          <w:color w:val="auto"/>
          <w:szCs w:val="21"/>
          <w:highlight w:val="none"/>
          <w:lang w:val="en-US" w:eastAsia="zh-CN"/>
        </w:rPr>
        <w:t>及证明不可抗力发生及其持续时间的证据</w:t>
      </w:r>
      <w:r>
        <w:rPr>
          <w:rFonts w:hint="eastAsia" w:ascii="宋体" w:hAnsi="宋体" w:eastAsia="宋体" w:cs="Times New Roman"/>
          <w:color w:val="auto"/>
          <w:szCs w:val="21"/>
          <w:highlight w:val="none"/>
        </w:rPr>
        <w:t>。</w:t>
      </w:r>
    </w:p>
    <w:p w14:paraId="4FE11DC0">
      <w:pPr>
        <w:autoSpaceDE w:val="0"/>
        <w:autoSpaceDN w:val="0"/>
        <w:adjustRightInd w:val="0"/>
        <w:snapToGrid w:val="0"/>
        <w:spacing w:before="0" w:line="400" w:lineRule="exact"/>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val="en-US" w:eastAsia="zh-CN"/>
        </w:rPr>
        <w:t>19</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解决争议的方法</w:t>
      </w:r>
    </w:p>
    <w:p w14:paraId="08757EFB">
      <w:pPr>
        <w:autoSpaceDE w:val="0"/>
        <w:autoSpaceDN w:val="0"/>
        <w:adjustRightInd w:val="0"/>
        <w:spacing w:line="400" w:lineRule="exact"/>
        <w:ind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2B8D57F8">
      <w:pPr>
        <w:autoSpaceDE w:val="0"/>
        <w:autoSpaceDN w:val="0"/>
        <w:adjustRightInd w:val="0"/>
        <w:spacing w:line="400" w:lineRule="exact"/>
        <w:ind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color w:val="auto"/>
          <w:sz w:val="21"/>
          <w:szCs w:val="21"/>
          <w:highlight w:val="none"/>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color w:val="auto"/>
          <w:sz w:val="21"/>
          <w:szCs w:val="21"/>
          <w:highlight w:val="none"/>
          <w:lang w:val="en-US" w:eastAsia="zh-CN" w:bidi="ar-SA"/>
        </w:rPr>
        <w:t>中进一步约定选择与争议有实际联系的地点的人民法院管辖，但管辖法院的约定不得违反级别管辖和专属管辖的规定。</w:t>
      </w:r>
    </w:p>
    <w:p w14:paraId="5095010B">
      <w:pPr>
        <w:autoSpaceDE w:val="0"/>
        <w:autoSpaceDN w:val="0"/>
        <w:adjustRightInd w:val="0"/>
        <w:spacing w:line="400" w:lineRule="exact"/>
        <w:ind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19.3 如甲乙双方有争议的事项不影响合同其他部分的履行，在争议解决期间，合同其他部分应当继续履行。</w:t>
      </w:r>
    </w:p>
    <w:p w14:paraId="0794AB3B">
      <w:pPr>
        <w:autoSpaceDE w:val="0"/>
        <w:autoSpaceDN w:val="0"/>
        <w:adjustRightInd w:val="0"/>
        <w:snapToGrid w:val="0"/>
        <w:spacing w:before="0" w:line="400" w:lineRule="exact"/>
        <w:jc w:val="left"/>
        <w:rPr>
          <w:rFonts w:ascii="宋体" w:hAnsi="宋体" w:eastAsia="宋体" w:cs="Times New Roman"/>
          <w:color w:val="auto"/>
          <w:sz w:val="24"/>
          <w:highlight w:val="none"/>
        </w:rPr>
      </w:pPr>
      <w:r>
        <w:rPr>
          <w:rFonts w:hint="eastAsia" w:ascii="宋体" w:hAnsi="宋体" w:eastAsia="宋体" w:cs="Times New Roman"/>
          <w:b/>
          <w:color w:val="auto"/>
          <w:sz w:val="24"/>
          <w:highlight w:val="none"/>
          <w:lang w:val="en-US" w:eastAsia="zh-CN"/>
        </w:rPr>
        <w:t>20</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政府采购政策</w:t>
      </w:r>
    </w:p>
    <w:p w14:paraId="6B5DB720">
      <w:pPr>
        <w:autoSpaceDE w:val="0"/>
        <w:autoSpaceDN w:val="0"/>
        <w:adjustRightInd w:val="0"/>
        <w:snapToGrid w:val="0"/>
        <w:spacing w:before="0" w:line="400" w:lineRule="exact"/>
        <w:ind w:firstLine="420" w:firstLineChars="20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2C3DA34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eastAsia="宋体" w:cs="Times New Roman"/>
          <w:color w:val="auto"/>
          <w:szCs w:val="21"/>
          <w:highlight w:val="none"/>
        </w:rPr>
        <w:t>，有过错的一方应当承担赔偿责任，双方都有过错的，各自承担相应的责任。</w:t>
      </w:r>
    </w:p>
    <w:p w14:paraId="771D358A">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3BE3E06">
      <w:pPr>
        <w:autoSpaceDE w:val="0"/>
        <w:autoSpaceDN w:val="0"/>
        <w:adjustRightInd w:val="0"/>
        <w:snapToGrid w:val="0"/>
        <w:spacing w:before="0" w:line="400" w:lineRule="exact"/>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w:t>
      </w:r>
      <w:r>
        <w:rPr>
          <w:rFonts w:hint="eastAsia" w:ascii="宋体" w:hAnsi="宋体" w:eastAsia="宋体" w:cs="Times New Roman"/>
          <w:b/>
          <w:color w:val="auto"/>
          <w:sz w:val="24"/>
          <w:highlight w:val="none"/>
          <w:lang w:val="en-US" w:eastAsia="zh-CN"/>
        </w:rPr>
        <w:t>1</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法律适用</w:t>
      </w:r>
    </w:p>
    <w:p w14:paraId="21AB74A2">
      <w:pPr>
        <w:autoSpaceDE w:val="0"/>
        <w:autoSpaceDN w:val="0"/>
        <w:adjustRightInd w:val="0"/>
        <w:spacing w:line="400" w:lineRule="exact"/>
        <w:ind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21.1 本合同的订立、生效、解释、履行及与本合同有关的争议解决，均适用法律、行政法规。</w:t>
      </w:r>
    </w:p>
    <w:p w14:paraId="7CEA1992">
      <w:pPr>
        <w:autoSpaceDE w:val="0"/>
        <w:autoSpaceDN w:val="0"/>
        <w:adjustRightInd w:val="0"/>
        <w:spacing w:line="400" w:lineRule="exact"/>
        <w:ind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21.2 本合同条款与法律、行政法规的强制性规定不一致的，双方当事人应按照法律、行政法规的强制性规定修改本合同的相关条款。</w:t>
      </w:r>
    </w:p>
    <w:p w14:paraId="042D932C">
      <w:pPr>
        <w:numPr>
          <w:ilvl w:val="-1"/>
          <w:numId w:val="0"/>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 xml:space="preserve">22. </w:t>
      </w:r>
      <w:r>
        <w:rPr>
          <w:rFonts w:hint="eastAsia" w:ascii="宋体" w:hAnsi="宋体" w:eastAsia="宋体" w:cs="Times New Roman"/>
          <w:b/>
          <w:color w:val="auto"/>
          <w:sz w:val="24"/>
          <w:highlight w:val="none"/>
        </w:rPr>
        <w:t>通知</w:t>
      </w:r>
    </w:p>
    <w:p w14:paraId="42272233">
      <w:pPr>
        <w:autoSpaceDE w:val="0"/>
        <w:autoSpaceDN w:val="0"/>
        <w:adjustRightInd w:val="0"/>
        <w:spacing w:line="400" w:lineRule="exact"/>
        <w:ind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1392711F">
      <w:pPr>
        <w:autoSpaceDE w:val="0"/>
        <w:autoSpaceDN w:val="0"/>
        <w:adjustRightInd w:val="0"/>
        <w:spacing w:line="400" w:lineRule="exact"/>
        <w:ind w:firstLine="0" w:firstLineChars="0"/>
        <w:jc w:val="both"/>
        <w:rPr>
          <w:rFonts w:ascii="华文楷体" w:hAnsi="华文楷体" w:eastAsia="华文楷体" w:cs="华文楷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17C25E8A">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本合同一方给另一方的通知均应采用书面形式，传真或快递送到本合同中规定的对方的地址和办理签收手续。</w:t>
      </w:r>
    </w:p>
    <w:p w14:paraId="3D907396">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通知以送达之日或通知书中规定的生效之日起生效，两者中以较迟之日为准。</w:t>
      </w:r>
    </w:p>
    <w:p w14:paraId="673B8059">
      <w:pPr>
        <w:numPr>
          <w:ilvl w:val="0"/>
          <w:numId w:val="29"/>
        </w:num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合同未尽事项</w:t>
      </w:r>
    </w:p>
    <w:p w14:paraId="76D0638F">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lang w:val="en-US" w:eastAsia="zh-CN"/>
        </w:rPr>
        <w:t>3</w:t>
      </w:r>
      <w:r>
        <w:rPr>
          <w:rFonts w:hint="eastAsia" w:ascii="宋体" w:hAnsi="宋体" w:eastAsia="宋体" w:cs="Times New Roman"/>
          <w:bCs/>
          <w:color w:val="auto"/>
          <w:szCs w:val="21"/>
          <w:highlight w:val="none"/>
        </w:rPr>
        <w:t>.1合同未尽事项见</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Cs/>
          <w:color w:val="auto"/>
          <w:szCs w:val="21"/>
          <w:highlight w:val="none"/>
        </w:rPr>
        <w:t>。</w:t>
      </w:r>
    </w:p>
    <w:p w14:paraId="10537762">
      <w:pPr>
        <w:adjustRightInd w:val="0"/>
        <w:snapToGrid w:val="0"/>
        <w:spacing w:line="400" w:lineRule="exact"/>
        <w:ind w:firstLine="0" w:firstLineChars="0"/>
        <w:jc w:val="left"/>
        <w:rPr>
          <w:rFonts w:ascii="黑体" w:hAnsi="华文中宋" w:eastAsia="黑体" w:cs="Times New Roman"/>
          <w:color w:val="auto"/>
          <w:sz w:val="28"/>
          <w:szCs w:val="28"/>
          <w:highlight w:val="none"/>
        </w:rPr>
      </w:pPr>
      <w:r>
        <w:rPr>
          <w:rFonts w:hint="eastAsia" w:ascii="宋体" w:hAnsi="宋体" w:eastAsia="宋体" w:cs="Times New Roman"/>
          <w:bCs/>
          <w:color w:val="auto"/>
          <w:szCs w:val="21"/>
          <w:highlight w:val="none"/>
          <w:lang w:val="en-US" w:eastAsia="zh-CN"/>
        </w:rPr>
        <w:t xml:space="preserve">    23.2 合同附件与合同正文具有同等的法律效力。</w:t>
      </w:r>
      <w:bookmarkStart w:id="716" w:name="_Toc20313"/>
    </w:p>
    <w:p w14:paraId="573792AB">
      <w:pPr>
        <w:adjustRightInd w:val="0"/>
        <w:snapToGrid w:val="0"/>
        <w:jc w:val="center"/>
        <w:rPr>
          <w:rFonts w:hint="eastAsia" w:ascii="黑体" w:hAnsi="华文中宋" w:eastAsia="黑体" w:cs="Times New Roman"/>
          <w:b w:val="0"/>
          <w:bCs w:val="0"/>
          <w:color w:val="auto"/>
          <w:sz w:val="28"/>
          <w:szCs w:val="28"/>
          <w:highlight w:val="none"/>
        </w:rPr>
      </w:pPr>
      <w:r>
        <w:rPr>
          <w:rFonts w:hint="eastAsia" w:ascii="黑体" w:hAnsi="华文中宋" w:eastAsia="黑体" w:cs="Times New Roman"/>
          <w:b w:val="0"/>
          <w:bCs w:val="0"/>
          <w:color w:val="auto"/>
          <w:sz w:val="28"/>
          <w:szCs w:val="28"/>
          <w:highlight w:val="none"/>
        </w:rPr>
        <w:br w:type="page"/>
      </w:r>
    </w:p>
    <w:p w14:paraId="33B8A699">
      <w:pPr>
        <w:keepNext/>
        <w:keepLines/>
        <w:widowControl w:val="0"/>
        <w:adjustRightInd w:val="0"/>
        <w:snapToGrid w:val="0"/>
        <w:spacing w:line="360" w:lineRule="auto"/>
        <w:jc w:val="center"/>
        <w:outlineLvl w:val="1"/>
        <w:rPr>
          <w:rFonts w:ascii="黑体" w:hAnsi="华文中宋" w:eastAsia="黑体" w:cs="Times New Roman"/>
          <w:b w:val="0"/>
          <w:bCs w:val="0"/>
          <w:color w:val="auto"/>
          <w:kern w:val="2"/>
          <w:sz w:val="28"/>
          <w:szCs w:val="28"/>
          <w:highlight w:val="none"/>
          <w:lang w:val="en-US" w:eastAsia="zh-CN" w:bidi="ar-SA"/>
        </w:rPr>
      </w:pPr>
      <w:r>
        <w:rPr>
          <w:rFonts w:hint="eastAsia" w:ascii="黑体" w:hAnsi="华文中宋" w:eastAsia="黑体" w:cs="Times New Roman"/>
          <w:b w:val="0"/>
          <w:bCs w:val="0"/>
          <w:color w:val="auto"/>
          <w:kern w:val="2"/>
          <w:sz w:val="28"/>
          <w:szCs w:val="28"/>
          <w:highlight w:val="none"/>
          <w:lang w:val="en-US" w:eastAsia="zh-CN" w:bidi="ar-SA"/>
        </w:rPr>
        <w:t>第三节 政府采购合同专用条款</w:t>
      </w:r>
      <w:bookmarkEnd w:id="716"/>
    </w:p>
    <w:tbl>
      <w:tblPr>
        <w:tblStyle w:val="3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8D319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DCC57D">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18E59DAC">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第1.2（</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）项</w:t>
            </w:r>
          </w:p>
        </w:tc>
        <w:tc>
          <w:tcPr>
            <w:tcW w:w="1742" w:type="dxa"/>
            <w:vAlign w:val="center"/>
          </w:tcPr>
          <w:p w14:paraId="0302699D">
            <w:pPr>
              <w:adjustRightInd w:val="0"/>
              <w:snapToGrid w:val="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联合体具体要求</w:t>
            </w:r>
          </w:p>
        </w:tc>
        <w:tc>
          <w:tcPr>
            <w:tcW w:w="5170" w:type="dxa"/>
            <w:vAlign w:val="center"/>
          </w:tcPr>
          <w:p w14:paraId="73E798AE">
            <w:pPr>
              <w:adjustRightInd w:val="0"/>
              <w:snapToGrid w:val="0"/>
              <w:jc w:val="left"/>
              <w:rPr>
                <w:rFonts w:ascii="宋体" w:hAnsi="宋体" w:eastAsia="宋体" w:cs="Times New Roman"/>
                <w:color w:val="auto"/>
                <w:szCs w:val="21"/>
                <w:highlight w:val="none"/>
              </w:rPr>
            </w:pPr>
            <w:r>
              <w:rPr>
                <w:rFonts w:hint="eastAsia" w:ascii="宋体" w:hAnsi="宋体"/>
                <w:color w:val="auto"/>
                <w:szCs w:val="21"/>
                <w:highlight w:val="none"/>
                <w:lang w:val="en-US" w:eastAsia="zh-CN"/>
              </w:rPr>
              <w:t>无。</w:t>
            </w:r>
          </w:p>
        </w:tc>
      </w:tr>
      <w:tr w14:paraId="2DE3CF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9F10C3E">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73561FC4">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第1.2（</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）项</w:t>
            </w:r>
          </w:p>
        </w:tc>
        <w:tc>
          <w:tcPr>
            <w:tcW w:w="1742" w:type="dxa"/>
            <w:vAlign w:val="center"/>
          </w:tcPr>
          <w:p w14:paraId="74F64D54">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其他术语解释</w:t>
            </w:r>
          </w:p>
        </w:tc>
        <w:tc>
          <w:tcPr>
            <w:tcW w:w="5170" w:type="dxa"/>
            <w:vAlign w:val="center"/>
          </w:tcPr>
          <w:p w14:paraId="1240F7E4">
            <w:pPr>
              <w:adjustRightInd w:val="0"/>
              <w:snapToGrid w:val="0"/>
              <w:jc w:val="left"/>
              <w:rPr>
                <w:rFonts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无。</w:t>
            </w:r>
          </w:p>
        </w:tc>
      </w:tr>
      <w:tr w14:paraId="15F037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08622A">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409C1D89">
            <w:pPr>
              <w:adjustRightInd w:val="0"/>
              <w:snapToGrid w:val="0"/>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第</w:t>
            </w:r>
            <w:r>
              <w:rPr>
                <w:rFonts w:hint="eastAsia" w:ascii="宋体" w:hAnsi="宋体" w:eastAsia="宋体" w:cs="Times New Roman"/>
                <w:color w:val="auto"/>
                <w:szCs w:val="21"/>
                <w:highlight w:val="none"/>
                <w:lang w:val="en-US" w:eastAsia="zh-CN"/>
              </w:rPr>
              <w:t>4.4款</w:t>
            </w:r>
          </w:p>
        </w:tc>
        <w:tc>
          <w:tcPr>
            <w:tcW w:w="1742" w:type="dxa"/>
            <w:vAlign w:val="center"/>
          </w:tcPr>
          <w:p w14:paraId="3F2473D7">
            <w:pPr>
              <w:adjustRightInd w:val="0"/>
              <w:snapToGrid w:val="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履约验收中甲方提出异议或作出说明的期限</w:t>
            </w:r>
          </w:p>
        </w:tc>
        <w:tc>
          <w:tcPr>
            <w:tcW w:w="5170" w:type="dxa"/>
            <w:vAlign w:val="center"/>
          </w:tcPr>
          <w:p w14:paraId="751EB1DF">
            <w:pPr>
              <w:adjustRightInd w:val="0"/>
              <w:snapToGrid w:val="0"/>
              <w:jc w:val="left"/>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3个工作日说明情况</w:t>
            </w:r>
            <w:r>
              <w:rPr>
                <w:rFonts w:hint="eastAsia" w:ascii="宋体" w:hAnsi="宋体" w:cs="Times New Roman"/>
                <w:color w:val="auto"/>
                <w:kern w:val="2"/>
                <w:sz w:val="21"/>
                <w:szCs w:val="21"/>
                <w:highlight w:val="none"/>
                <w:lang w:val="en-US" w:eastAsia="zh-CN" w:bidi="ar-SA"/>
              </w:rPr>
              <w:t>。</w:t>
            </w:r>
          </w:p>
        </w:tc>
      </w:tr>
      <w:tr w14:paraId="6065EE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889B96">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4FBAFB3C">
            <w:pPr>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第</w:t>
            </w:r>
            <w:r>
              <w:rPr>
                <w:rFonts w:hint="eastAsia" w:ascii="宋体" w:hAnsi="宋体" w:eastAsia="宋体" w:cs="Times New Roman"/>
                <w:color w:val="auto"/>
                <w:szCs w:val="21"/>
                <w:highlight w:val="none"/>
                <w:lang w:val="en-US" w:eastAsia="zh-CN"/>
              </w:rPr>
              <w:t>4.6款</w:t>
            </w:r>
          </w:p>
        </w:tc>
        <w:tc>
          <w:tcPr>
            <w:tcW w:w="1742" w:type="dxa"/>
            <w:vAlign w:val="center"/>
          </w:tcPr>
          <w:p w14:paraId="56689B13">
            <w:pPr>
              <w:adjustRightInd w:val="0"/>
              <w:snapToGrid w:val="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约定甲方承担的其他义务和责任</w:t>
            </w:r>
          </w:p>
        </w:tc>
        <w:tc>
          <w:tcPr>
            <w:tcW w:w="5170" w:type="dxa"/>
            <w:vAlign w:val="center"/>
          </w:tcPr>
          <w:p w14:paraId="1969B5A4">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1、对乙方供货安装调试工作提供必要的场地、给予必要的协助。</w:t>
            </w:r>
          </w:p>
          <w:p w14:paraId="34C81C7B">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2、按时验收、及时支付资金</w:t>
            </w:r>
            <w:r>
              <w:rPr>
                <w:rFonts w:hint="eastAsia" w:ascii="宋体" w:hAnsi="宋体" w:cs="Times New Roman"/>
                <w:color w:val="auto"/>
                <w:kern w:val="2"/>
                <w:sz w:val="21"/>
                <w:szCs w:val="21"/>
                <w:highlight w:val="none"/>
                <w:lang w:val="en-US" w:eastAsia="zh-CN" w:bidi="ar-SA"/>
              </w:rPr>
              <w:t>。</w:t>
            </w:r>
          </w:p>
          <w:p w14:paraId="4CF4BBCC">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3、遵守国家法律法规，不得要求乙方虚开发票，不得向乙方索要“好处”、“回扣”“礼品”，或要求乙方提供合同以外的其他物品或服务</w:t>
            </w:r>
            <w:r>
              <w:rPr>
                <w:rFonts w:hint="eastAsia" w:ascii="宋体" w:hAnsi="宋体" w:cs="Times New Roman"/>
                <w:color w:val="auto"/>
                <w:kern w:val="2"/>
                <w:sz w:val="21"/>
                <w:szCs w:val="21"/>
                <w:highlight w:val="none"/>
                <w:lang w:val="en-US" w:eastAsia="zh-CN" w:bidi="ar-SA"/>
              </w:rPr>
              <w:t>。</w:t>
            </w:r>
          </w:p>
          <w:p w14:paraId="52AF8FD7">
            <w:pPr>
              <w:adjustRightInd w:val="0"/>
              <w:snapToGrid w:val="0"/>
              <w:jc w:val="left"/>
              <w:rPr>
                <w:rFonts w:hint="eastAsia"/>
                <w:color w:val="auto"/>
                <w:highlight w:val="none"/>
                <w:lang w:val="en-US" w:eastAsia="zh-CN"/>
              </w:rPr>
            </w:pPr>
            <w:r>
              <w:rPr>
                <w:rFonts w:hint="eastAsia" w:ascii="宋体" w:hAnsi="宋体" w:eastAsia="宋体" w:cs="Times New Roman"/>
                <w:color w:val="auto"/>
                <w:kern w:val="2"/>
                <w:sz w:val="21"/>
                <w:szCs w:val="21"/>
                <w:highlight w:val="none"/>
                <w:lang w:val="en-US" w:eastAsia="zh-CN" w:bidi="ar-SA"/>
              </w:rPr>
              <w:t>4、对乙方未按合同约定履约的，在验收报告中如实注明违约情形和事项，并及时通知财政部门。属假冒伪劣产品的，同时向市场监管等行政执法部门举报。</w:t>
            </w:r>
          </w:p>
          <w:p w14:paraId="5958A066">
            <w:pPr>
              <w:adjustRightInd w:val="0"/>
              <w:snapToGrid w:val="0"/>
              <w:jc w:val="left"/>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5、其他法律法规规定应尽的义务。</w:t>
            </w:r>
          </w:p>
        </w:tc>
      </w:tr>
      <w:tr w14:paraId="4BD67D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vAlign w:val="center"/>
          </w:tcPr>
          <w:p w14:paraId="1933634E">
            <w:pPr>
              <w:adjustRightInd w:val="0"/>
              <w:snapToGrid w:val="0"/>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第二节</w:t>
            </w:r>
          </w:p>
          <w:p w14:paraId="1B47D521">
            <w:pPr>
              <w:snapToGrid w:val="0"/>
              <w:jc w:val="center"/>
              <w:rPr>
                <w:rFonts w:hint="default" w:ascii="Times New Roman" w:hAnsi="Times New Roman" w:eastAsia="宋体" w:cs="Times New Roman"/>
                <w:color w:val="auto"/>
                <w:highlight w:val="none"/>
                <w:lang w:val="en-US" w:eastAsia="zh-CN"/>
              </w:rPr>
            </w:pPr>
            <w:r>
              <w:rPr>
                <w:rFonts w:hint="eastAsia" w:ascii="宋体" w:hAnsi="宋体" w:eastAsia="宋体" w:cs="Times New Roman"/>
                <w:color w:val="auto"/>
                <w:szCs w:val="21"/>
                <w:highlight w:val="none"/>
                <w:lang w:eastAsia="zh-CN"/>
              </w:rPr>
              <w:t>第</w:t>
            </w:r>
            <w:r>
              <w:rPr>
                <w:rFonts w:hint="eastAsia" w:ascii="宋体" w:hAnsi="宋体" w:eastAsia="宋体" w:cs="Times New Roman"/>
                <w:color w:val="auto"/>
                <w:szCs w:val="21"/>
                <w:highlight w:val="none"/>
                <w:lang w:val="en-US" w:eastAsia="zh-CN"/>
              </w:rPr>
              <w:t>5.4款</w:t>
            </w:r>
          </w:p>
        </w:tc>
        <w:tc>
          <w:tcPr>
            <w:tcW w:w="1742" w:type="dxa"/>
            <w:vAlign w:val="center"/>
          </w:tcPr>
          <w:p w14:paraId="1381FCAD">
            <w:pPr>
              <w:adjustRightInd w:val="0"/>
              <w:snapToGrid w:val="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约定乙方承担的其他义务和责任</w:t>
            </w:r>
          </w:p>
        </w:tc>
        <w:tc>
          <w:tcPr>
            <w:tcW w:w="5170" w:type="dxa"/>
            <w:vAlign w:val="center"/>
          </w:tcPr>
          <w:p w14:paraId="6959FA3A">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1、严格按招标文件要求与投标文件的质量及服务承诺执行，保质、按期履行。保证提供全新正规产品，不得以次充好；提供</w:t>
            </w:r>
            <w:r>
              <w:rPr>
                <w:rFonts w:hint="eastAsia" w:cs="Times New Roman"/>
                <w:color w:val="auto"/>
                <w:kern w:val="2"/>
                <w:sz w:val="21"/>
                <w:szCs w:val="21"/>
                <w:highlight w:val="none"/>
                <w:lang w:val="en-US" w:eastAsia="zh-CN" w:bidi="ar-SA"/>
              </w:rPr>
              <w:t>售后</w:t>
            </w:r>
            <w:r>
              <w:rPr>
                <w:rFonts w:hint="eastAsia" w:ascii="宋体" w:hAnsi="宋体" w:eastAsia="宋体" w:cs="Times New Roman"/>
                <w:color w:val="auto"/>
                <w:kern w:val="2"/>
                <w:sz w:val="21"/>
                <w:szCs w:val="21"/>
                <w:highlight w:val="none"/>
                <w:lang w:val="en-US" w:eastAsia="zh-CN" w:bidi="ar-SA"/>
              </w:rPr>
              <w:t>服务，出现故障及时响应、上门维修。</w:t>
            </w:r>
          </w:p>
          <w:p w14:paraId="216320EE">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2、不得将合同权利义务全部或部分转让给第三人。</w:t>
            </w:r>
          </w:p>
          <w:p w14:paraId="4E9CC798">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3、货物验收合格前，对货物和人员的安全负责，应采取安全措施，确保人员、材料、设备和设施的安全，防止货物验收合格前的人身伤害和财产损失;应对其履行合同所雇佣的全部人员的工伤事故承担责任。</w:t>
            </w:r>
          </w:p>
          <w:p w14:paraId="4132D18C">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4、遵守国家法律法规，依法纳税、合法经营，按规定开具合法有效的发票。</w:t>
            </w:r>
          </w:p>
          <w:p w14:paraId="2C643775">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遵守职业道德和行业规范，严禁送礼、回扣、违规报销等不正当竞争及商业贿赂行为；如甲方工作人员索要回扣、礼品或其他不当利益，乙方有权并应及时向同级财政部门政府采购监管机构及相关执法机关举报。</w:t>
            </w:r>
          </w:p>
          <w:p w14:paraId="533BE169">
            <w:pPr>
              <w:adjustRightInd w:val="0"/>
              <w:snapToGrid w:val="0"/>
              <w:jc w:val="left"/>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6、按照采购文件的规定提供质保期和售后服务。</w:t>
            </w:r>
          </w:p>
        </w:tc>
      </w:tr>
      <w:tr w14:paraId="11EAC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EFE9C3">
            <w:pPr>
              <w:adjustRightInd w:val="0"/>
              <w:snapToGrid w:val="0"/>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第二节</w:t>
            </w:r>
          </w:p>
          <w:p w14:paraId="41DC06FF">
            <w:pPr>
              <w:snapToGrid w:val="0"/>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第</w:t>
            </w:r>
            <w:r>
              <w:rPr>
                <w:rFonts w:hint="eastAsia" w:ascii="宋体" w:hAnsi="宋体" w:eastAsia="宋体" w:cs="Times New Roman"/>
                <w:color w:val="auto"/>
                <w:szCs w:val="21"/>
                <w:highlight w:val="none"/>
                <w:lang w:val="en-US" w:eastAsia="zh-CN"/>
              </w:rPr>
              <w:t>6.1款</w:t>
            </w:r>
          </w:p>
        </w:tc>
        <w:tc>
          <w:tcPr>
            <w:tcW w:w="1742" w:type="dxa"/>
            <w:vAlign w:val="center"/>
          </w:tcPr>
          <w:p w14:paraId="33EB6B18">
            <w:pPr>
              <w:adjustRightInd w:val="0"/>
              <w:snapToGrid w:val="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履行合同义务的顺序</w:t>
            </w:r>
          </w:p>
        </w:tc>
        <w:tc>
          <w:tcPr>
            <w:tcW w:w="5170" w:type="dxa"/>
            <w:vAlign w:val="center"/>
          </w:tcPr>
          <w:p w14:paraId="0FF914ED">
            <w:pPr>
              <w:adjustRightInd w:val="0"/>
              <w:snapToGrid w:val="0"/>
              <w:jc w:val="left"/>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3个工作日说明情况</w:t>
            </w:r>
            <w:r>
              <w:rPr>
                <w:rFonts w:hint="eastAsia" w:ascii="宋体" w:hAnsi="宋体" w:cs="Times New Roman"/>
                <w:color w:val="auto"/>
                <w:kern w:val="2"/>
                <w:sz w:val="21"/>
                <w:szCs w:val="21"/>
                <w:highlight w:val="none"/>
                <w:lang w:val="en-US" w:eastAsia="zh-CN" w:bidi="ar-SA"/>
              </w:rPr>
              <w:t>。</w:t>
            </w:r>
          </w:p>
        </w:tc>
      </w:tr>
      <w:tr w14:paraId="5AD0ED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20567B2">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2877DB5C">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款</w:t>
            </w:r>
          </w:p>
        </w:tc>
        <w:tc>
          <w:tcPr>
            <w:tcW w:w="1742" w:type="dxa"/>
            <w:vAlign w:val="center"/>
          </w:tcPr>
          <w:p w14:paraId="566322AA">
            <w:pPr>
              <w:adjustRightInd w:val="0"/>
              <w:snapToGrid w:val="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包装</w:t>
            </w:r>
            <w:r>
              <w:rPr>
                <w:rFonts w:hint="eastAsia" w:ascii="宋体" w:hAnsi="宋体" w:eastAsia="宋体" w:cs="Times New Roman"/>
                <w:color w:val="auto"/>
                <w:szCs w:val="21"/>
                <w:highlight w:val="none"/>
                <w:lang w:eastAsia="zh-CN"/>
              </w:rPr>
              <w:t>特殊要求</w:t>
            </w:r>
          </w:p>
        </w:tc>
        <w:tc>
          <w:tcPr>
            <w:tcW w:w="5170" w:type="dxa"/>
            <w:vAlign w:val="center"/>
          </w:tcPr>
          <w:p w14:paraId="4FFBA5FA">
            <w:pPr>
              <w:rPr>
                <w:rFonts w:hint="eastAsia" w:ascii="宋体" w:hAnsi="宋体" w:eastAsia="宋体" w:cs="宋体"/>
                <w:color w:val="auto"/>
                <w:highlight w:val="none"/>
              </w:rPr>
            </w:pPr>
            <w:r>
              <w:rPr>
                <w:rFonts w:hint="eastAsia" w:ascii="宋体" w:hAnsi="宋体" w:eastAsia="宋体" w:cs="宋体"/>
                <w:color w:val="auto"/>
                <w:highlight w:val="none"/>
              </w:rPr>
              <w:t>包装（如适用，须满足《关于印发〈商品包装政府采购需求标准（试行）〉〈快递包装政府采购需求标准（试行）〉的通知》（财办库﹝2020﹞123号））</w:t>
            </w:r>
          </w:p>
        </w:tc>
      </w:tr>
      <w:tr w14:paraId="29A3AD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0B8804F">
            <w:pPr>
              <w:adjustRightInd w:val="0"/>
              <w:snapToGrid w:val="0"/>
              <w:jc w:val="center"/>
              <w:rPr>
                <w:rFonts w:hint="eastAsia" w:ascii="宋体" w:hAnsi="宋体" w:eastAsia="宋体" w:cs="Times New Roman"/>
                <w:color w:val="auto"/>
                <w:szCs w:val="21"/>
                <w:highlight w:val="none"/>
              </w:rPr>
            </w:pPr>
          </w:p>
        </w:tc>
        <w:tc>
          <w:tcPr>
            <w:tcW w:w="1742" w:type="dxa"/>
            <w:vAlign w:val="center"/>
          </w:tcPr>
          <w:p w14:paraId="1B5BF850">
            <w:pPr>
              <w:adjustRightInd w:val="0"/>
              <w:snapToGrid w:val="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指定现场</w:t>
            </w:r>
          </w:p>
        </w:tc>
        <w:tc>
          <w:tcPr>
            <w:tcW w:w="5170" w:type="dxa"/>
            <w:vAlign w:val="center"/>
          </w:tcPr>
          <w:p w14:paraId="4B2807FC">
            <w:pPr>
              <w:rPr>
                <w:rFonts w:hint="eastAsia" w:ascii="宋体" w:hAnsi="宋体" w:eastAsia="宋体" w:cs="宋体"/>
                <w:color w:val="auto"/>
                <w:highlight w:val="none"/>
              </w:rPr>
            </w:pPr>
            <w:r>
              <w:rPr>
                <w:rFonts w:hint="eastAsia" w:ascii="宋体" w:hAnsi="宋体" w:eastAsia="宋体" w:cs="宋体"/>
                <w:color w:val="auto"/>
                <w:highlight w:val="none"/>
              </w:rPr>
              <w:t>河南省周口生态环境监测中心指定地点</w:t>
            </w:r>
          </w:p>
        </w:tc>
      </w:tr>
      <w:tr w14:paraId="2D9E35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99BB265">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7EB8058B">
            <w:pPr>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款</w:t>
            </w:r>
          </w:p>
        </w:tc>
        <w:tc>
          <w:tcPr>
            <w:tcW w:w="1742" w:type="dxa"/>
            <w:vAlign w:val="center"/>
          </w:tcPr>
          <w:p w14:paraId="489B3581">
            <w:pPr>
              <w:adjustRightInd w:val="0"/>
              <w:snapToGrid w:val="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运输特殊要求</w:t>
            </w:r>
          </w:p>
        </w:tc>
        <w:tc>
          <w:tcPr>
            <w:tcW w:w="5170" w:type="dxa"/>
            <w:vAlign w:val="center"/>
          </w:tcPr>
          <w:p w14:paraId="2B544142">
            <w:pPr>
              <w:rPr>
                <w:rFonts w:hint="eastAsia" w:ascii="宋体" w:hAnsi="宋体" w:eastAsia="宋体" w:cs="宋体"/>
                <w:color w:val="auto"/>
                <w:highlight w:val="none"/>
              </w:rPr>
            </w:pPr>
            <w:r>
              <w:rPr>
                <w:rFonts w:hint="eastAsia" w:ascii="宋体" w:hAnsi="宋体" w:eastAsia="宋体" w:cs="宋体"/>
                <w:color w:val="auto"/>
                <w:highlight w:val="none"/>
              </w:rPr>
              <w:t>运输（如适用，须满足《关于印发〈商品包装政府采购需求标准（试行）〉〈快递包装政府采购需求标准（试行）〉的通知》（财办库﹝2020﹞123号））</w:t>
            </w:r>
          </w:p>
        </w:tc>
      </w:tr>
      <w:tr w14:paraId="0F1BAA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1607" w:type="dxa"/>
            <w:vAlign w:val="center"/>
          </w:tcPr>
          <w:p w14:paraId="18DAD565">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0C8648B6">
            <w:pPr>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val="en-US" w:eastAsia="zh-CN"/>
              </w:rPr>
              <w:t>款</w:t>
            </w:r>
          </w:p>
        </w:tc>
        <w:tc>
          <w:tcPr>
            <w:tcW w:w="1742" w:type="dxa"/>
            <w:vAlign w:val="center"/>
          </w:tcPr>
          <w:p w14:paraId="103A17AE">
            <w:pPr>
              <w:adjustRightInd w:val="0"/>
              <w:snapToGrid w:val="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保险要求</w:t>
            </w:r>
          </w:p>
        </w:tc>
        <w:tc>
          <w:tcPr>
            <w:tcW w:w="5170" w:type="dxa"/>
            <w:vAlign w:val="center"/>
          </w:tcPr>
          <w:p w14:paraId="2D26F3BA">
            <w:pPr>
              <w:adjustRightInd w:val="0"/>
              <w:snapToGrid w:val="0"/>
              <w:jc w:val="left"/>
              <w:rPr>
                <w:rFonts w:hint="eastAsia" w:ascii="Times New Roman" w:hAnsi="Times New Roman" w:eastAsia="宋体" w:cs="Times New Roman"/>
                <w:color w:val="auto"/>
                <w:highlight w:val="none"/>
              </w:rPr>
            </w:pPr>
            <w:r>
              <w:rPr>
                <w:rFonts w:hint="eastAsia" w:ascii="宋体" w:hAnsi="宋体" w:eastAsia="宋体" w:cs="Times New Roman"/>
                <w:color w:val="auto"/>
                <w:kern w:val="2"/>
                <w:sz w:val="21"/>
                <w:szCs w:val="21"/>
                <w:highlight w:val="none"/>
                <w:lang w:val="en-US" w:eastAsia="zh-CN" w:bidi="ar-SA"/>
              </w:rPr>
              <w:t>乙方负责项目安装调试及验收合格前货物相关保险，并为其所有派驻项目现场的工作人员购买人身意外伤害保险、雇主责任保险及必要的第三者责任保险，相关保险费用已包含在合同总价中。</w:t>
            </w:r>
          </w:p>
        </w:tc>
      </w:tr>
      <w:tr w14:paraId="76AF78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87C450">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5FA51E08">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.2（1）项</w:t>
            </w:r>
          </w:p>
        </w:tc>
        <w:tc>
          <w:tcPr>
            <w:tcW w:w="1742" w:type="dxa"/>
            <w:vAlign w:val="center"/>
          </w:tcPr>
          <w:p w14:paraId="2EAF40D2">
            <w:pPr>
              <w:adjustRightInd w:val="0"/>
              <w:snapToGrid w:val="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质量保证期</w:t>
            </w:r>
          </w:p>
        </w:tc>
        <w:tc>
          <w:tcPr>
            <w:tcW w:w="5170" w:type="dxa"/>
            <w:vAlign w:val="center"/>
          </w:tcPr>
          <w:p w14:paraId="5CA57562">
            <w:pPr>
              <w:adjustRightInd w:val="0"/>
              <w:snapToGrid w:val="0"/>
              <w:jc w:val="left"/>
              <w:rPr>
                <w:rFonts w:ascii="宋体" w:hAnsi="宋体" w:eastAsia="宋体" w:cs="Times New Roman"/>
                <w:color w:val="auto"/>
                <w:szCs w:val="21"/>
                <w:highlight w:val="none"/>
              </w:rPr>
            </w:pPr>
            <w:r>
              <w:rPr>
                <w:rFonts w:hint="eastAsia" w:ascii="宋体" w:hAnsi="宋体" w:eastAsia="宋体" w:cs="Times New Roman"/>
                <w:color w:val="auto"/>
                <w:kern w:val="2"/>
                <w:sz w:val="21"/>
                <w:szCs w:val="21"/>
                <w:highlight w:val="none"/>
                <w:lang w:val="en-US" w:eastAsia="zh-CN" w:bidi="ar-SA"/>
              </w:rPr>
              <w:t>设备验收合格后，整机质保24个月（其中离子色谱仪整机质保60个月）</w:t>
            </w:r>
          </w:p>
        </w:tc>
      </w:tr>
      <w:tr w14:paraId="5E5E4E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D416F4">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7695504B">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.2（3）项</w:t>
            </w:r>
          </w:p>
        </w:tc>
        <w:tc>
          <w:tcPr>
            <w:tcW w:w="1742" w:type="dxa"/>
            <w:vAlign w:val="center"/>
          </w:tcPr>
          <w:p w14:paraId="533A61B9">
            <w:pPr>
              <w:adjustRightInd w:val="0"/>
              <w:snapToGrid w:val="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货物质量缺陷</w:t>
            </w:r>
          </w:p>
          <w:p w14:paraId="4CD4E3F7">
            <w:pPr>
              <w:adjustRightInd w:val="0"/>
              <w:snapToGrid w:val="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响应时间</w:t>
            </w:r>
          </w:p>
        </w:tc>
        <w:tc>
          <w:tcPr>
            <w:tcW w:w="5170" w:type="dxa"/>
            <w:vAlign w:val="center"/>
          </w:tcPr>
          <w:p w14:paraId="24E87DF7">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在接到电话或书面通知后4小时内给予答复，紧急问题应在48小时内抵达现场</w:t>
            </w:r>
          </w:p>
        </w:tc>
      </w:tr>
      <w:tr w14:paraId="1BAE67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066B59">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第二节</w:t>
            </w:r>
          </w:p>
          <w:p w14:paraId="6BFB366D">
            <w:pPr>
              <w:autoSpaceDE w:val="0"/>
              <w:autoSpaceDN w:val="0"/>
              <w:adjustRightInd w:val="0"/>
              <w:spacing w:line="400" w:lineRule="exact"/>
              <w:ind w:firstLine="0" w:firstLineChars="0"/>
              <w:jc w:val="center"/>
              <w:rPr>
                <w:rFonts w:hint="default" w:ascii="华文楷体" w:hAnsi="华文楷体" w:eastAsia="华文楷体" w:cs="华文楷体"/>
                <w:color w:val="auto"/>
                <w:sz w:val="22"/>
                <w:szCs w:val="21"/>
                <w:highlight w:val="none"/>
                <w:lang w:val="en-US" w:eastAsia="zh-CN" w:bidi="ar-SA"/>
              </w:rPr>
            </w:pPr>
            <w:r>
              <w:rPr>
                <w:rFonts w:hint="eastAsia" w:ascii="宋体" w:hAnsi="宋体" w:eastAsia="宋体" w:cs="宋体"/>
                <w:color w:val="auto"/>
                <w:sz w:val="22"/>
                <w:szCs w:val="21"/>
                <w:highlight w:val="none"/>
                <w:lang w:val="en-US" w:eastAsia="zh-CN" w:bidi="ar-SA"/>
              </w:rPr>
              <w:t>第11.1款</w:t>
            </w:r>
          </w:p>
        </w:tc>
        <w:tc>
          <w:tcPr>
            <w:tcW w:w="1742" w:type="dxa"/>
            <w:vAlign w:val="center"/>
          </w:tcPr>
          <w:p w14:paraId="4CEB5AD5">
            <w:pPr>
              <w:adjustRightInd w:val="0"/>
              <w:snapToGrid w:val="0"/>
              <w:jc w:val="both"/>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其他应当保密的信息</w:t>
            </w:r>
          </w:p>
        </w:tc>
        <w:tc>
          <w:tcPr>
            <w:tcW w:w="5170" w:type="dxa"/>
            <w:vAlign w:val="center"/>
          </w:tcPr>
          <w:p w14:paraId="495F598B">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提供履行合同所必需的有关图纸、数据、资料等。没有甲方事先同意，乙方不得将甲方资料提供给与履行本合同无关的任何其他人。即使向履行本合同有关的人员提供， 也应注意保密并限于履行合同的必需范围内。</w:t>
            </w:r>
          </w:p>
        </w:tc>
      </w:tr>
      <w:tr w14:paraId="3B82D1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16" w:hRule="atLeast"/>
        </w:trPr>
        <w:tc>
          <w:tcPr>
            <w:tcW w:w="1607" w:type="dxa"/>
            <w:vAlign w:val="center"/>
          </w:tcPr>
          <w:p w14:paraId="314C88CE">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582A0054">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第1</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.2款</w:t>
            </w:r>
          </w:p>
        </w:tc>
        <w:tc>
          <w:tcPr>
            <w:tcW w:w="1742" w:type="dxa"/>
            <w:vAlign w:val="center"/>
          </w:tcPr>
          <w:p w14:paraId="327D7C97">
            <w:pPr>
              <w:adjustRightInd w:val="0"/>
              <w:snapToGrid w:val="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合同价款支付</w:t>
            </w:r>
            <w:r>
              <w:rPr>
                <w:rFonts w:hint="eastAsia" w:ascii="宋体" w:hAnsi="宋体" w:eastAsia="宋体" w:cs="Times New Roman"/>
                <w:color w:val="auto"/>
                <w:szCs w:val="21"/>
                <w:highlight w:val="none"/>
                <w:lang w:eastAsia="zh-CN"/>
              </w:rPr>
              <w:t>时间</w:t>
            </w:r>
          </w:p>
        </w:tc>
        <w:tc>
          <w:tcPr>
            <w:tcW w:w="5170" w:type="dxa"/>
            <w:vAlign w:val="center"/>
          </w:tcPr>
          <w:p w14:paraId="7E932D0C">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对于满足合同约定支付条件的，甲方原则上应当自收到</w:t>
            </w:r>
            <w:r>
              <w:rPr>
                <w:rFonts w:hint="eastAsia" w:ascii="宋体" w:hAnsi="宋体" w:eastAsia="宋体" w:cs="Times New Roman"/>
                <w:color w:val="auto"/>
                <w:kern w:val="2"/>
                <w:sz w:val="21"/>
                <w:szCs w:val="21"/>
                <w:highlight w:val="none"/>
                <w:lang w:val="en-US" w:eastAsia="zh-CN" w:bidi="ar-SA"/>
              </w:rPr>
              <w:t>等额</w:t>
            </w:r>
            <w:r>
              <w:rPr>
                <w:rFonts w:hint="eastAsia" w:ascii="宋体" w:hAnsi="宋体"/>
                <w:color w:val="auto"/>
                <w:szCs w:val="21"/>
                <w:highlight w:val="none"/>
              </w:rPr>
              <w:t>发票后10个工作日内将资金支付到合同约定的乙方账户，不得以机构</w:t>
            </w:r>
            <w:r>
              <w:rPr>
                <w:rFonts w:hint="eastAsia" w:ascii="宋体" w:hAnsi="宋体" w:eastAsia="宋体" w:cs="Times New Roman"/>
                <w:color w:val="auto"/>
                <w:kern w:val="2"/>
                <w:sz w:val="21"/>
                <w:szCs w:val="21"/>
                <w:highlight w:val="none"/>
                <w:lang w:val="en-US" w:eastAsia="zh-CN" w:bidi="ar-SA"/>
              </w:rPr>
              <w:t>调整</w:t>
            </w:r>
            <w:r>
              <w:rPr>
                <w:rFonts w:hint="eastAsia" w:ascii="宋体" w:hAnsi="宋体"/>
                <w:color w:val="auto"/>
                <w:szCs w:val="21"/>
                <w:highlight w:val="none"/>
              </w:rPr>
              <w:t>、人员更替、政策调整等为由迟延付款，不得将采购文件和合同中未规定的义务作为向乙方付款的条件。</w:t>
            </w:r>
          </w:p>
        </w:tc>
      </w:tr>
      <w:tr w14:paraId="215AA8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DD6046A">
            <w:pPr>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4C0AE11F">
            <w:pPr>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13.2</w:t>
            </w:r>
            <w:r>
              <w:rPr>
                <w:rFonts w:hint="eastAsia" w:ascii="宋体" w:hAnsi="宋体" w:eastAsia="宋体" w:cs="Times New Roman"/>
                <w:color w:val="auto"/>
                <w:szCs w:val="21"/>
                <w:highlight w:val="none"/>
              </w:rPr>
              <w:t>款</w:t>
            </w:r>
          </w:p>
        </w:tc>
        <w:tc>
          <w:tcPr>
            <w:tcW w:w="1742" w:type="dxa"/>
            <w:vAlign w:val="center"/>
          </w:tcPr>
          <w:p w14:paraId="049214AA">
            <w:pPr>
              <w:adjustRightInd w:val="0"/>
              <w:snapToGrid w:val="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履约保证金不予退还的情形</w:t>
            </w:r>
          </w:p>
        </w:tc>
        <w:tc>
          <w:tcPr>
            <w:tcW w:w="5170" w:type="dxa"/>
            <w:vAlign w:val="center"/>
          </w:tcPr>
          <w:p w14:paraId="41125274">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无</w:t>
            </w:r>
          </w:p>
        </w:tc>
      </w:tr>
      <w:tr w14:paraId="5B1716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607" w:type="dxa"/>
            <w:vAlign w:val="center"/>
          </w:tcPr>
          <w:p w14:paraId="7783FB1B">
            <w:pPr>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7617CC9D">
            <w:pPr>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13.3</w:t>
            </w:r>
            <w:r>
              <w:rPr>
                <w:rFonts w:hint="eastAsia" w:ascii="宋体" w:hAnsi="宋体" w:eastAsia="宋体" w:cs="Times New Roman"/>
                <w:color w:val="auto"/>
                <w:szCs w:val="21"/>
                <w:highlight w:val="none"/>
              </w:rPr>
              <w:t>款</w:t>
            </w:r>
          </w:p>
        </w:tc>
        <w:tc>
          <w:tcPr>
            <w:tcW w:w="1742" w:type="dxa"/>
            <w:vAlign w:val="center"/>
          </w:tcPr>
          <w:p w14:paraId="6D171ECB">
            <w:pPr>
              <w:adjustRightInd w:val="0"/>
              <w:snapToGrid w:val="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履约保证金退还时间及</w:t>
            </w:r>
            <w:r>
              <w:rPr>
                <w:rFonts w:hint="eastAsia" w:ascii="宋体" w:hAnsi="宋体" w:eastAsia="宋体" w:cs="Times New Roman"/>
                <w:color w:val="auto"/>
                <w:szCs w:val="21"/>
                <w:highlight w:val="none"/>
                <w:lang w:eastAsia="zh-CN"/>
              </w:rPr>
              <w:t>逾期退还的</w:t>
            </w:r>
            <w:r>
              <w:rPr>
                <w:rFonts w:hint="eastAsia" w:ascii="宋体" w:hAnsi="宋体" w:eastAsia="宋体" w:cs="Times New Roman"/>
                <w:color w:val="auto"/>
                <w:szCs w:val="21"/>
                <w:highlight w:val="none"/>
              </w:rPr>
              <w:t>违约金</w:t>
            </w:r>
          </w:p>
        </w:tc>
        <w:tc>
          <w:tcPr>
            <w:tcW w:w="5170" w:type="dxa"/>
            <w:vAlign w:val="center"/>
          </w:tcPr>
          <w:p w14:paraId="1AF31C41">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无</w:t>
            </w:r>
          </w:p>
        </w:tc>
      </w:tr>
      <w:tr w14:paraId="51DB5F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F9B3EC4">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64FFFE18">
            <w:pPr>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）项</w:t>
            </w:r>
          </w:p>
        </w:tc>
        <w:tc>
          <w:tcPr>
            <w:tcW w:w="1742" w:type="dxa"/>
            <w:vAlign w:val="center"/>
          </w:tcPr>
          <w:p w14:paraId="528E8B11">
            <w:pPr>
              <w:adjustRightInd w:val="0"/>
              <w:snapToGrid w:val="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运行监督、维修期限</w:t>
            </w:r>
          </w:p>
        </w:tc>
        <w:tc>
          <w:tcPr>
            <w:tcW w:w="5170" w:type="dxa"/>
            <w:vAlign w:val="center"/>
          </w:tcPr>
          <w:p w14:paraId="362EBACD">
            <w:pPr>
              <w:adjustRightInd w:val="0"/>
              <w:snapToGrid w:val="0"/>
              <w:jc w:val="left"/>
              <w:rPr>
                <w:rFonts w:ascii="宋体" w:hAnsi="宋体" w:eastAsia="宋体" w:cs="Times New Roman"/>
                <w:color w:val="auto"/>
                <w:szCs w:val="21"/>
                <w:highlight w:val="none"/>
              </w:rPr>
            </w:pPr>
            <w:r>
              <w:rPr>
                <w:rFonts w:hint="eastAsia" w:ascii="宋体" w:hAnsi="宋体" w:eastAsia="宋体" w:cs="Times New Roman"/>
                <w:color w:val="auto"/>
                <w:kern w:val="2"/>
                <w:sz w:val="21"/>
                <w:szCs w:val="21"/>
                <w:highlight w:val="none"/>
                <w:lang w:val="en-US" w:eastAsia="zh-CN" w:bidi="ar-SA"/>
              </w:rPr>
              <w:t>设备验收合格后，整机质保24个月（其中离子色谱仪整机质保60个月）</w:t>
            </w:r>
          </w:p>
        </w:tc>
      </w:tr>
      <w:tr w14:paraId="46D22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FECCBF6">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4A6CA466">
            <w:pPr>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）项</w:t>
            </w:r>
          </w:p>
        </w:tc>
        <w:tc>
          <w:tcPr>
            <w:tcW w:w="1742" w:type="dxa"/>
            <w:vAlign w:val="center"/>
          </w:tcPr>
          <w:p w14:paraId="2EF8BBB3">
            <w:pPr>
              <w:adjustRightInd w:val="0"/>
              <w:snapToGrid w:val="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货物回收的约定</w:t>
            </w:r>
          </w:p>
        </w:tc>
        <w:tc>
          <w:tcPr>
            <w:tcW w:w="5170" w:type="dxa"/>
            <w:vAlign w:val="center"/>
          </w:tcPr>
          <w:p w14:paraId="0DB412B9">
            <w:pPr>
              <w:adjustRightInd w:val="0"/>
              <w:snapToGrid w:val="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无</w:t>
            </w:r>
          </w:p>
        </w:tc>
      </w:tr>
      <w:tr w14:paraId="2ABE67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28" w:hRule="atLeast"/>
        </w:trPr>
        <w:tc>
          <w:tcPr>
            <w:tcW w:w="1607" w:type="dxa"/>
            <w:vAlign w:val="center"/>
          </w:tcPr>
          <w:p w14:paraId="26756954">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30097B34">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）项</w:t>
            </w:r>
          </w:p>
        </w:tc>
        <w:tc>
          <w:tcPr>
            <w:tcW w:w="1742" w:type="dxa"/>
            <w:vAlign w:val="center"/>
          </w:tcPr>
          <w:p w14:paraId="5AED24E9">
            <w:pPr>
              <w:adjustRightInd w:val="0"/>
              <w:snapToGrid w:val="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乙方提供的其他服务</w:t>
            </w:r>
          </w:p>
        </w:tc>
        <w:tc>
          <w:tcPr>
            <w:tcW w:w="5170" w:type="dxa"/>
            <w:vAlign w:val="center"/>
          </w:tcPr>
          <w:p w14:paraId="05BF2F09">
            <w:pPr>
              <w:numPr>
                <w:ilvl w:val="0"/>
                <w:numId w:val="0"/>
              </w:numPr>
              <w:adjustRightInd w:val="0"/>
              <w:snapToGrid w:val="0"/>
              <w:jc w:val="left"/>
              <w:rPr>
                <w:rFonts w:hint="eastAsia" w:ascii="宋体" w:hAnsi="宋体" w:eastAsia="宋体" w:cs="Times New Roman"/>
                <w:color w:val="auto"/>
                <w:szCs w:val="21"/>
                <w:highlight w:val="none"/>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eastAsia="宋体" w:cs="Times New Roman"/>
                <w:color w:val="auto"/>
                <w:szCs w:val="21"/>
                <w:highlight w:val="none"/>
              </w:rPr>
              <w:t>技术要求列示的参数为基本要求，技术要求如果有列示的设备或配件的品牌、型号为推荐品牌、型号，仅供供应商参考，不作为限定依据。</w:t>
            </w:r>
          </w:p>
          <w:p w14:paraId="0A2909E3">
            <w:pPr>
              <w:numPr>
                <w:ilvl w:val="0"/>
                <w:numId w:val="0"/>
              </w:numPr>
              <w:adjustRightInd w:val="0"/>
              <w:snapToGrid w:val="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2.法律、法规、规章及相关政策对产品、服务质量及售后等有更严格规定的，从其规定。</w:t>
            </w:r>
          </w:p>
          <w:p w14:paraId="389F17D1">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3.乙方应本着服务甲方、为甲方着想的宗旨，完善产品及技术要求未尽事宜，不得以采购文件未列明事项为由降低所供产品质量。</w:t>
            </w:r>
          </w:p>
          <w:p w14:paraId="3CD89874">
            <w:pPr>
              <w:adjustRightInd w:val="0"/>
              <w:snapToGrid w:val="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4.合同文件未载明的相关事项必须遵守相关法律法规及规定。</w:t>
            </w:r>
          </w:p>
        </w:tc>
      </w:tr>
      <w:tr w14:paraId="6C6D31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8EADA5">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7E686F54">
            <w:pPr>
              <w:adjustRightInd w:val="0"/>
              <w:snapToGrid w:val="0"/>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第1</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1款</w:t>
            </w:r>
          </w:p>
        </w:tc>
        <w:tc>
          <w:tcPr>
            <w:tcW w:w="1742" w:type="dxa"/>
            <w:vAlign w:val="center"/>
          </w:tcPr>
          <w:p w14:paraId="4E5CB502">
            <w:pPr>
              <w:adjustRightInd w:val="0"/>
              <w:snapToGrid w:val="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修理、重作、更换相关具体规定</w:t>
            </w:r>
          </w:p>
        </w:tc>
        <w:tc>
          <w:tcPr>
            <w:tcW w:w="5170" w:type="dxa"/>
            <w:vAlign w:val="center"/>
          </w:tcPr>
          <w:p w14:paraId="19BA518A">
            <w:pPr>
              <w:adjustRightInd w:val="0"/>
              <w:snapToGrid w:val="0"/>
              <w:jc w:val="left"/>
              <w:rPr>
                <w:rFonts w:ascii="宋体" w:hAnsi="宋体" w:eastAsia="宋体" w:cs="Times New Roman"/>
                <w:color w:val="auto"/>
                <w:szCs w:val="21"/>
                <w:highlight w:val="none"/>
              </w:rPr>
            </w:pPr>
            <w:r>
              <w:rPr>
                <w:rFonts w:hint="eastAsia" w:ascii="宋体" w:hAnsi="宋体" w:eastAsia="宋体" w:cs="Times New Roman"/>
                <w:color w:val="auto"/>
                <w:kern w:val="2"/>
                <w:sz w:val="21"/>
                <w:szCs w:val="21"/>
                <w:highlight w:val="none"/>
                <w:lang w:val="en-US" w:eastAsia="zh-CN" w:bidi="ar-SA"/>
              </w:rPr>
              <w:t>无</w:t>
            </w:r>
          </w:p>
        </w:tc>
      </w:tr>
      <w:tr w14:paraId="388512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E9B690">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6E6019D1">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第1</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.2（2）项</w:t>
            </w:r>
          </w:p>
        </w:tc>
        <w:tc>
          <w:tcPr>
            <w:tcW w:w="1742" w:type="dxa"/>
            <w:vAlign w:val="center"/>
          </w:tcPr>
          <w:p w14:paraId="43A9690E">
            <w:pPr>
              <w:adjustRightInd w:val="0"/>
              <w:snapToGrid w:val="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迟延交货赔偿费</w:t>
            </w:r>
          </w:p>
        </w:tc>
        <w:tc>
          <w:tcPr>
            <w:tcW w:w="5170" w:type="dxa"/>
            <w:vAlign w:val="center"/>
          </w:tcPr>
          <w:p w14:paraId="06DBD245">
            <w:pPr>
              <w:numPr>
                <w:ilvl w:val="0"/>
                <w:numId w:val="0"/>
              </w:numPr>
              <w:adjustRightInd w:val="0"/>
              <w:snapToGrid w:val="0"/>
              <w:jc w:val="left"/>
              <w:rPr>
                <w:rFonts w:hint="eastAsia" w:ascii="宋体" w:hAnsi="宋体" w:eastAsia="宋体" w:cs="Times New Roman"/>
                <w:color w:val="auto"/>
                <w:szCs w:val="21"/>
                <w:highlight w:val="none"/>
                <w:u w:val="none"/>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eastAsia="宋体" w:cs="Times New Roman"/>
                <w:color w:val="auto"/>
                <w:szCs w:val="21"/>
                <w:highlight w:val="none"/>
                <w:u w:val="none"/>
              </w:rPr>
              <w:t>乙方所交货物的规格型号、技术要求、质量品质等不符合合同规定，甲方有权拒收货物，乙方应负责更换并承担因更换而支付的全部实际费用。因更换而造成逾期交货，则按逾期交货处理。</w:t>
            </w:r>
          </w:p>
          <w:p w14:paraId="5DEDDE75">
            <w:pPr>
              <w:numPr>
                <w:ilvl w:val="0"/>
                <w:numId w:val="0"/>
              </w:numPr>
              <w:adjustRightInd w:val="0"/>
              <w:snapToGrid w:val="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none"/>
              </w:rPr>
              <w:t>2.乙方不能交付货物的,乙方向甲方支付未交付部分货物款总额5%的违约金。</w:t>
            </w:r>
          </w:p>
          <w:p w14:paraId="43CEB804">
            <w:pPr>
              <w:adjustRightInd w:val="0"/>
              <w:snapToGrid w:val="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none"/>
              </w:rPr>
              <w:t>3.乙方逾期交付货物,乙方向甲方每日偿付逾期交货部分货款总值</w:t>
            </w:r>
            <w:r>
              <w:rPr>
                <w:rFonts w:hint="eastAsia"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szCs w:val="21"/>
                <w:highlight w:val="none"/>
                <w:u w:val="none"/>
              </w:rPr>
              <w:t>的赔偿费</w:t>
            </w:r>
            <w:r>
              <w:rPr>
                <w:rFonts w:hint="eastAsia" w:cs="Times New Roman"/>
                <w:color w:val="auto"/>
                <w:szCs w:val="21"/>
                <w:highlight w:val="none"/>
                <w:u w:val="none"/>
                <w:lang w:eastAsia="zh-CN"/>
              </w:rPr>
              <w:t>，</w:t>
            </w:r>
            <w:r>
              <w:rPr>
                <w:rFonts w:hint="eastAsia" w:cs="Times New Roman"/>
                <w:color w:val="auto"/>
                <w:szCs w:val="21"/>
                <w:highlight w:val="none"/>
                <w:u w:val="none"/>
                <w:lang w:val="en-US" w:eastAsia="zh-CN"/>
              </w:rPr>
              <w:t>累计不超过合同总额的</w:t>
            </w:r>
            <w:r>
              <w:rPr>
                <w:rFonts w:hint="eastAsia" w:ascii="宋体" w:hAnsi="宋体" w:eastAsia="宋体" w:cs="Times New Roman"/>
                <w:color w:val="auto"/>
                <w:szCs w:val="21"/>
                <w:highlight w:val="none"/>
                <w:u w:val="none"/>
              </w:rPr>
              <w:t>5%</w:t>
            </w:r>
            <w:r>
              <w:rPr>
                <w:rFonts w:hint="eastAsia" w:ascii="宋体" w:hAnsi="宋体" w:eastAsia="宋体" w:cs="Times New Roman"/>
                <w:color w:val="auto"/>
                <w:szCs w:val="21"/>
                <w:highlight w:val="none"/>
                <w:u w:val="none"/>
                <w:lang w:eastAsia="zh-CN"/>
              </w:rPr>
              <w:t>。</w:t>
            </w:r>
          </w:p>
        </w:tc>
      </w:tr>
      <w:tr w14:paraId="4B531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224E35">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57510A7B">
            <w:pPr>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第1</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3款</w:t>
            </w:r>
          </w:p>
        </w:tc>
        <w:tc>
          <w:tcPr>
            <w:tcW w:w="1742" w:type="dxa"/>
            <w:vAlign w:val="center"/>
          </w:tcPr>
          <w:p w14:paraId="3EECC801">
            <w:pPr>
              <w:adjustRightInd w:val="0"/>
              <w:snapToGrid w:val="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逾期付款利息</w:t>
            </w:r>
          </w:p>
        </w:tc>
        <w:tc>
          <w:tcPr>
            <w:tcW w:w="5170" w:type="dxa"/>
            <w:vAlign w:val="center"/>
          </w:tcPr>
          <w:p w14:paraId="395EC4EC">
            <w:pPr>
              <w:adjustRightInd w:val="0"/>
              <w:snapToGrid w:val="0"/>
              <w:jc w:val="left"/>
              <w:rPr>
                <w:rFonts w:ascii="宋体" w:hAnsi="宋体" w:eastAsia="宋体" w:cs="Times New Roman"/>
                <w:color w:val="auto"/>
                <w:szCs w:val="21"/>
                <w:highlight w:val="none"/>
                <w:u w:val="single"/>
              </w:rPr>
            </w:pPr>
            <w:r>
              <w:rPr>
                <w:rFonts w:hint="eastAsia" w:ascii="宋体" w:hAnsi="宋体"/>
                <w:color w:val="auto"/>
                <w:szCs w:val="21"/>
                <w:highlight w:val="none"/>
                <w:u w:val="none"/>
                <w:lang w:val="en-US" w:eastAsia="zh-CN"/>
              </w:rPr>
              <w:t>/</w:t>
            </w:r>
          </w:p>
        </w:tc>
      </w:tr>
      <w:tr w14:paraId="0DC22C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CAB87B2">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6F9ABED3">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第1</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.4</w:t>
            </w:r>
            <w:r>
              <w:rPr>
                <w:rFonts w:hint="eastAsia" w:ascii="宋体" w:hAnsi="宋体" w:eastAsia="宋体" w:cs="Times New Roman"/>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4297B761">
            <w:pPr>
              <w:adjustRightInd w:val="0"/>
              <w:snapToGrid w:val="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其他违约责任</w:t>
            </w:r>
          </w:p>
        </w:tc>
        <w:tc>
          <w:tcPr>
            <w:tcW w:w="5170" w:type="dxa"/>
            <w:tcBorders>
              <w:left w:val="single" w:color="auto" w:sz="2" w:space="0"/>
              <w:bottom w:val="single" w:color="auto" w:sz="2" w:space="0"/>
            </w:tcBorders>
            <w:vAlign w:val="center"/>
          </w:tcPr>
          <w:p w14:paraId="4510EA88">
            <w:pPr>
              <w:adjustRightInd w:val="0"/>
              <w:snapToGrid w:val="0"/>
              <w:jc w:val="left"/>
              <w:rPr>
                <w:rFonts w:ascii="宋体" w:hAnsi="宋体" w:eastAsia="宋体" w:cs="Times New Roman"/>
                <w:color w:val="auto"/>
                <w:szCs w:val="21"/>
                <w:highlight w:val="none"/>
                <w:u w:val="single"/>
              </w:rPr>
            </w:pPr>
            <w:r>
              <w:rPr>
                <w:rFonts w:hint="eastAsia" w:ascii="宋体" w:hAnsi="宋体"/>
                <w:color w:val="auto"/>
                <w:szCs w:val="21"/>
                <w:highlight w:val="none"/>
                <w:u w:val="none"/>
                <w:lang w:val="en-US" w:eastAsia="zh-CN"/>
              </w:rPr>
              <w:t>/</w:t>
            </w:r>
          </w:p>
        </w:tc>
      </w:tr>
      <w:tr w14:paraId="0147E8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4E3F4E4">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40B34F55">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19</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6202A277">
            <w:pPr>
              <w:adjustRightInd w:val="0"/>
              <w:snapToGrid w:val="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366ADE45">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cs="宋体"/>
                <w:b w:val="0"/>
                <w:bCs w:val="0"/>
                <w:iCs/>
                <w:color w:val="auto"/>
                <w:szCs w:val="21"/>
                <w:highlight w:val="none"/>
                <w:u w:val="single"/>
                <w:lang w:eastAsia="zh-CN"/>
              </w:rPr>
              <w:t>（</w:t>
            </w:r>
            <w:r>
              <w:rPr>
                <w:rFonts w:hint="eastAsia" w:ascii="宋体" w:hAnsi="宋体" w:eastAsia="宋体" w:cs="宋体"/>
                <w:b w:val="0"/>
                <w:bCs w:val="0"/>
                <w:iCs/>
                <w:color w:val="auto"/>
                <w:szCs w:val="21"/>
                <w:highlight w:val="none"/>
                <w:u w:val="single"/>
                <w:lang w:val="en-US" w:eastAsia="zh-CN"/>
              </w:rPr>
              <w:t>1</w:t>
            </w:r>
            <w:r>
              <w:rPr>
                <w:rFonts w:hint="eastAsia" w:cs="宋体"/>
                <w:b w:val="0"/>
                <w:bCs w:val="0"/>
                <w:iCs/>
                <w:color w:val="auto"/>
                <w:szCs w:val="21"/>
                <w:highlight w:val="none"/>
                <w:u w:val="single"/>
                <w:lang w:eastAsia="zh-CN"/>
              </w:rPr>
              <w:t>）</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29668549">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甲方住所地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u w:val="single"/>
                <w:lang w:val="en-US" w:eastAsia="zh-CN"/>
              </w:rPr>
              <w:t>河南省周口市</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3FDB44BF">
            <w:pPr>
              <w:rPr>
                <w:color w:val="auto"/>
                <w:highlight w:val="non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甲方住所地   </w:t>
            </w:r>
            <w:r>
              <w:rPr>
                <w:rFonts w:hint="eastAsia" w:ascii="宋体" w:hAnsi="宋体" w:eastAsia="宋体" w:cs="宋体"/>
                <w:b w:val="0"/>
                <w:bCs w:val="0"/>
                <w:iCs/>
                <w:color w:val="auto"/>
                <w:szCs w:val="21"/>
                <w:highlight w:val="none"/>
              </w:rPr>
              <w:t>人民法院起诉。</w:t>
            </w:r>
          </w:p>
        </w:tc>
      </w:tr>
      <w:tr w14:paraId="3149E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7DF9FA4">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第二节</w:t>
            </w:r>
          </w:p>
          <w:p w14:paraId="23F20186">
            <w:pPr>
              <w:adjustRightInd w:val="0"/>
              <w:snapToGrid w:val="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第2</w:t>
            </w:r>
            <w:r>
              <w:rPr>
                <w:rFonts w:hint="eastAsia" w:ascii="宋体" w:hAnsi="宋体" w:eastAsia="宋体" w:cs="Times New Roman"/>
                <w:color w:val="auto"/>
                <w:szCs w:val="21"/>
                <w:highlight w:val="none"/>
                <w:lang w:val="en-US" w:eastAsia="zh-CN"/>
              </w:rPr>
              <w:t>3.1</w:t>
            </w:r>
            <w:r>
              <w:rPr>
                <w:rFonts w:hint="eastAsia" w:ascii="宋体" w:hAnsi="宋体" w:eastAsia="宋体" w:cs="Times New Roman"/>
                <w:color w:val="auto"/>
                <w:szCs w:val="21"/>
                <w:highlight w:val="none"/>
                <w:lang w:eastAsia="zh-CN"/>
              </w:rPr>
              <w:t>款</w:t>
            </w:r>
          </w:p>
        </w:tc>
        <w:tc>
          <w:tcPr>
            <w:tcW w:w="1742" w:type="dxa"/>
            <w:vAlign w:val="center"/>
          </w:tcPr>
          <w:p w14:paraId="6E10688A">
            <w:pPr>
              <w:adjustRightInd w:val="0"/>
              <w:snapToGrid w:val="0"/>
              <w:jc w:val="left"/>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lang w:eastAsia="zh-CN"/>
              </w:rPr>
              <w:t>其他专用条款</w:t>
            </w:r>
          </w:p>
        </w:tc>
        <w:tc>
          <w:tcPr>
            <w:tcW w:w="5170" w:type="dxa"/>
            <w:vAlign w:val="center"/>
          </w:tcPr>
          <w:p w14:paraId="0CDACDE3">
            <w:pPr>
              <w:adjustRightInd w:val="0"/>
              <w:snapToGrid w:val="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无</w:t>
            </w:r>
          </w:p>
        </w:tc>
      </w:tr>
    </w:tbl>
    <w:p w14:paraId="1B878467">
      <w:pPr>
        <w:rPr>
          <w:rFonts w:hint="eastAsia"/>
          <w:color w:val="auto"/>
          <w:highlight w:val="none"/>
        </w:rPr>
      </w:pPr>
      <w:r>
        <w:rPr>
          <w:rFonts w:hint="eastAsia"/>
          <w:color w:val="auto"/>
          <w:highlight w:val="none"/>
        </w:rPr>
        <w:br w:type="page"/>
      </w:r>
    </w:p>
    <w:p w14:paraId="399528CC">
      <w:pPr>
        <w:bidi w:val="0"/>
        <w:rPr>
          <w:rFonts w:hint="eastAsia"/>
          <w:color w:val="auto"/>
          <w:highlight w:val="none"/>
        </w:rPr>
      </w:pPr>
    </w:p>
    <w:bookmarkEnd w:id="713"/>
    <w:p w14:paraId="6F172707">
      <w:pPr>
        <w:pStyle w:val="4"/>
        <w:pageBreakBefore w:val="0"/>
        <w:numPr>
          <w:ilvl w:val="0"/>
          <w:numId w:val="0"/>
        </w:numPr>
        <w:kinsoku/>
        <w:overflowPunct/>
        <w:bidi w:val="0"/>
        <w:spacing w:line="360" w:lineRule="auto"/>
        <w:rPr>
          <w:rFonts w:hint="eastAsia" w:ascii="宋体" w:hAnsi="宋体" w:eastAsia="宋体" w:cs="宋体"/>
          <w:color w:val="auto"/>
          <w:sz w:val="32"/>
          <w:szCs w:val="32"/>
          <w:highlight w:val="none"/>
          <w:lang w:val="en-US" w:eastAsia="zh-CN"/>
        </w:rPr>
      </w:pPr>
      <w:bookmarkStart w:id="717" w:name="_Toc3028"/>
      <w:r>
        <w:rPr>
          <w:rFonts w:hint="eastAsia" w:ascii="宋体" w:hAnsi="宋体" w:eastAsia="宋体" w:cs="宋体"/>
          <w:color w:val="auto"/>
          <w:sz w:val="32"/>
          <w:szCs w:val="32"/>
          <w:highlight w:val="none"/>
          <w:lang w:val="en-US" w:eastAsia="zh-CN"/>
        </w:rPr>
        <w:t>第六章 采购需求</w:t>
      </w:r>
      <w:bookmarkEnd w:id="717"/>
    </w:p>
    <w:p w14:paraId="3CD56A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一、采购标的 </w:t>
      </w:r>
    </w:p>
    <w:p w14:paraId="77BC5729">
      <w:pPr>
        <w:keepNext w:val="0"/>
        <w:keepLines w:val="0"/>
        <w:pageBreakBefore w:val="0"/>
        <w:widowControl w:val="0"/>
        <w:kinsoku/>
        <w:wordWrap/>
        <w:overflowPunct/>
        <w:topLinePunct w:val="0"/>
        <w:autoSpaceDE w:val="0"/>
        <w:autoSpaceDN w:val="0"/>
        <w:bidi w:val="0"/>
        <w:adjustRightInd w:val="0"/>
        <w:snapToGrid/>
        <w:spacing w:line="360" w:lineRule="auto"/>
        <w:ind w:right="-23"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本</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lang w:val="en-US" w:eastAsia="zh-CN"/>
        </w:rPr>
        <w:t>为河南省周口生态环境监测中心2026年监测能力建设项目。</w:t>
      </w:r>
    </w:p>
    <w:p w14:paraId="2E64A5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二、商务要求 </w:t>
      </w:r>
    </w:p>
    <w:p w14:paraId="7049A1D0">
      <w:pPr>
        <w:keepNext w:val="0"/>
        <w:keepLines w:val="0"/>
        <w:pageBreakBefore w:val="0"/>
        <w:widowControl w:val="0"/>
        <w:kinsoku/>
        <w:wordWrap/>
        <w:overflowPunct/>
        <w:topLinePunct w:val="0"/>
        <w:autoSpaceDE w:val="0"/>
        <w:autoSpaceDN w:val="0"/>
        <w:bidi w:val="0"/>
        <w:adjustRightInd w:val="0"/>
        <w:snapToGrid/>
        <w:spacing w:line="360" w:lineRule="auto"/>
        <w:ind w:right="-23" w:firstLine="420" w:firstLineChars="20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1.预算金额：</w:t>
      </w:r>
      <w:r>
        <w:rPr>
          <w:rFonts w:hint="eastAsia" w:ascii="宋体" w:hAnsi="宋体" w:eastAsia="宋体" w:cs="宋体"/>
          <w:b w:val="0"/>
          <w:bCs w:val="0"/>
          <w:color w:val="auto"/>
          <w:sz w:val="21"/>
          <w:szCs w:val="21"/>
          <w:highlight w:val="none"/>
          <w:shd w:val="clear" w:color="auto" w:fill="FFFFFF"/>
          <w:lang w:val="en-US" w:eastAsia="zh-CN"/>
        </w:rPr>
        <w:t>1662000.00元</w:t>
      </w:r>
    </w:p>
    <w:p w14:paraId="06E7CF7C">
      <w:pPr>
        <w:keepNext w:val="0"/>
        <w:keepLines w:val="0"/>
        <w:pageBreakBefore w:val="0"/>
        <w:widowControl w:val="0"/>
        <w:kinsoku/>
        <w:wordWrap/>
        <w:overflowPunct/>
        <w:topLinePunct w:val="0"/>
        <w:autoSpaceDE w:val="0"/>
        <w:autoSpaceDN w:val="0"/>
        <w:bidi w:val="0"/>
        <w:adjustRightInd w:val="0"/>
        <w:snapToGrid/>
        <w:spacing w:line="360" w:lineRule="auto"/>
        <w:ind w:right="-23" w:firstLine="630" w:firstLineChars="30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最高限价：1662000.00元</w:t>
      </w:r>
    </w:p>
    <w:p w14:paraId="3D2D475F">
      <w:pPr>
        <w:keepNext w:val="0"/>
        <w:keepLines w:val="0"/>
        <w:pageBreakBefore w:val="0"/>
        <w:widowControl w:val="0"/>
        <w:kinsoku/>
        <w:wordWrap/>
        <w:overflowPunct/>
        <w:topLinePunct w:val="0"/>
        <w:autoSpaceDE w:val="0"/>
        <w:autoSpaceDN w:val="0"/>
        <w:bidi w:val="0"/>
        <w:adjustRightInd w:val="0"/>
        <w:snapToGrid/>
        <w:spacing w:line="360" w:lineRule="auto"/>
        <w:ind w:right="-23" w:firstLine="420" w:firstLineChars="200"/>
        <w:jc w:val="left"/>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val="en-US" w:eastAsia="zh-CN"/>
        </w:rPr>
        <w:t>注：投标人报价不得高于预算金额（最高限价），否则其投标无效。</w:t>
      </w:r>
    </w:p>
    <w:p w14:paraId="7110AC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2"/>
          <w:sz w:val="21"/>
          <w:szCs w:val="21"/>
          <w:highlight w:val="none"/>
          <w:lang w:val="en-US" w:eastAsia="zh-CN" w:bidi="ar-SA"/>
        </w:rPr>
        <w:t>采购内容：河南省周口生态环境监测中心2026年监测能力建设项目采购内容主要包括：离子色谱仪（1套）、全自动红外测油仪（1套）、便携式气相分子吸收光谱仪（1套）、双光束紫外可见分光光度计（1套）、紫外可见分光光度计（1套）、干燥箱（1套）、便携式抽滤装置（1套）、氟离子计（1套）、立式高压蒸汽灭菌器（2套）、CODcr回流消解仪（2套）、便携式浊度计（2套）、便携式pH测定仪（2套）、便携式溶解氧测定仪（2套）、便携式电导率测定仪（2套），</w:t>
      </w:r>
      <w:r>
        <w:rPr>
          <w:rFonts w:hint="eastAsia" w:ascii="宋体" w:hAnsi="宋体" w:eastAsia="宋体" w:cs="宋体"/>
          <w:color w:val="auto"/>
          <w:kern w:val="0"/>
          <w:sz w:val="21"/>
          <w:szCs w:val="21"/>
          <w:highlight w:val="none"/>
        </w:rPr>
        <w:t>包含设备</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采购、安装、调试、试运行及伴随的相关服务等</w:t>
      </w:r>
      <w:r>
        <w:rPr>
          <w:rFonts w:hint="eastAsia" w:ascii="宋体" w:hAnsi="宋体" w:eastAsia="宋体" w:cs="宋体"/>
          <w:color w:val="auto"/>
          <w:kern w:val="0"/>
          <w:sz w:val="21"/>
          <w:szCs w:val="21"/>
          <w:highlight w:val="none"/>
          <w:lang w:val="en-US" w:eastAsia="zh-CN"/>
        </w:rPr>
        <w:t>全部内容</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shd w:val="clear" w:color="auto" w:fill="FFFFFF"/>
          <w:lang w:val="en-US" w:eastAsia="zh-CN"/>
        </w:rPr>
        <w:t>具体采购内容详见《河南省政府采购网》附件。</w:t>
      </w:r>
    </w:p>
    <w:p w14:paraId="6BC021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质量标准：合格并验收通过。</w:t>
      </w:r>
    </w:p>
    <w:p w14:paraId="40305D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交货</w:t>
      </w:r>
      <w:r>
        <w:rPr>
          <w:rFonts w:hint="eastAsia" w:ascii="宋体" w:hAnsi="宋体" w:eastAsia="宋体" w:cs="宋体"/>
          <w:color w:val="auto"/>
          <w:szCs w:val="21"/>
          <w:highlight w:val="none"/>
          <w:lang w:val="en-US" w:eastAsia="zh-CN"/>
        </w:rPr>
        <w:t>及安装调试</w:t>
      </w:r>
      <w:r>
        <w:rPr>
          <w:rFonts w:hint="eastAsia" w:ascii="宋体" w:hAnsi="宋体" w:eastAsia="宋体" w:cs="宋体"/>
          <w:color w:val="auto"/>
          <w:szCs w:val="21"/>
          <w:highlight w:val="none"/>
        </w:rPr>
        <w:t>期：合同签订生效后</w:t>
      </w:r>
      <w:r>
        <w:rPr>
          <w:rFonts w:hint="eastAsia" w:cs="宋体"/>
          <w:color w:val="auto"/>
          <w:szCs w:val="21"/>
          <w:highlight w:val="none"/>
          <w:lang w:val="en-US" w:eastAsia="zh-CN"/>
        </w:rPr>
        <w:t>60</w:t>
      </w:r>
      <w:r>
        <w:rPr>
          <w:rFonts w:hint="eastAsia" w:ascii="宋体" w:hAnsi="宋体" w:eastAsia="宋体" w:cs="宋体"/>
          <w:color w:val="auto"/>
          <w:szCs w:val="21"/>
          <w:highlight w:val="none"/>
          <w:lang w:val="en-US" w:eastAsia="zh-CN"/>
        </w:rPr>
        <w:t>日历天</w:t>
      </w:r>
      <w:r>
        <w:rPr>
          <w:rFonts w:hint="eastAsia" w:ascii="宋体" w:hAnsi="宋体" w:eastAsia="宋体" w:cs="宋体"/>
          <w:color w:val="auto"/>
          <w:szCs w:val="21"/>
          <w:highlight w:val="none"/>
        </w:rPr>
        <w:t>内</w:t>
      </w:r>
      <w:r>
        <w:rPr>
          <w:rFonts w:hint="eastAsia" w:ascii="宋体" w:hAnsi="宋体" w:eastAsia="宋体" w:cs="宋体"/>
          <w:color w:val="auto"/>
          <w:szCs w:val="21"/>
          <w:highlight w:val="none"/>
          <w:lang w:val="en-US" w:eastAsia="zh-CN"/>
        </w:rPr>
        <w:t>交货并</w:t>
      </w:r>
      <w:r>
        <w:rPr>
          <w:rFonts w:hint="eastAsia" w:ascii="宋体" w:hAnsi="宋体" w:eastAsia="宋体" w:cs="宋体"/>
          <w:color w:val="auto"/>
          <w:szCs w:val="21"/>
          <w:highlight w:val="none"/>
        </w:rPr>
        <w:t>安装调试完毕。</w:t>
      </w:r>
    </w:p>
    <w:p w14:paraId="5C74B965">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5.交货地点：河南省周口生态环境监测中心指定地点。</w:t>
      </w:r>
    </w:p>
    <w:p w14:paraId="37B0C5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质量保证期：设备验收合格后，整机质保24个月（其中离子色谱仪整机质保60个月）。</w:t>
      </w:r>
    </w:p>
    <w:p w14:paraId="0EDC57E7">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7.付款方式：</w:t>
      </w:r>
      <w:r>
        <w:rPr>
          <w:rFonts w:hint="eastAsia" w:ascii="宋体" w:hAnsi="宋体" w:eastAsia="宋体" w:cs="宋体"/>
          <w:i w:val="0"/>
          <w:iCs w:val="0"/>
          <w:color w:val="auto"/>
          <w:kern w:val="0"/>
          <w:sz w:val="21"/>
          <w:szCs w:val="21"/>
          <w:highlight w:val="none"/>
          <w:lang w:val="en-US" w:eastAsia="zh-CN" w:bidi="ar-SA"/>
        </w:rPr>
        <w:t>合同签订后，采购人向中标人支付合同金额的30%；全部设备到达采购人指定的交货地点且验收合格后，采购人向中标人支付合同金额的40%；全部设备安装调试完毕且验收合格后，采购人向中标人支付合同金额的30%</w:t>
      </w:r>
      <w:r>
        <w:rPr>
          <w:rFonts w:hint="eastAsia" w:cs="宋体"/>
          <w:i w:val="0"/>
          <w:iCs w:val="0"/>
          <w:color w:val="auto"/>
          <w:kern w:val="0"/>
          <w:sz w:val="21"/>
          <w:szCs w:val="21"/>
          <w:highlight w:val="none"/>
          <w:lang w:val="en-US" w:eastAsia="zh-CN" w:bidi="ar-SA"/>
        </w:rPr>
        <w:t>。</w:t>
      </w:r>
    </w:p>
    <w:p w14:paraId="58539D3C">
      <w:pPr>
        <w:keepNext w:val="0"/>
        <w:keepLines w:val="0"/>
        <w:pageBreakBefore w:val="0"/>
        <w:widowControl w:val="0"/>
        <w:kinsoku/>
        <w:wordWrap/>
        <w:overflowPunct/>
        <w:topLinePunct w:val="0"/>
        <w:autoSpaceDE w:val="0"/>
        <w:autoSpaceDN w:val="0"/>
        <w:bidi w:val="0"/>
        <w:adjustRightInd w:val="0"/>
        <w:snapToGrid/>
        <w:spacing w:line="360" w:lineRule="auto"/>
        <w:ind w:right="-23"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8.包装和运输（如适用，须满足《关于印发〈商品包装政府采购需求标准（试行）〉〈快递包装政府采购需求标准（试行）〉的通知》（财办库﹝2020﹞123号））</w:t>
      </w:r>
    </w:p>
    <w:p w14:paraId="1094BD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三、技术要求 </w:t>
      </w:r>
    </w:p>
    <w:p w14:paraId="3EE95A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3.1 基本要求</w:t>
      </w:r>
    </w:p>
    <w:p w14:paraId="61FF1C44">
      <w:pPr>
        <w:keepNext w:val="0"/>
        <w:keepLines w:val="0"/>
        <w:pageBreakBefore w:val="0"/>
        <w:widowControl w:val="0"/>
        <w:kinsoku/>
        <w:wordWrap/>
        <w:overflowPunct/>
        <w:topLinePunct w:val="0"/>
        <w:autoSpaceDE w:val="0"/>
        <w:autoSpaceDN w:val="0"/>
        <w:bidi w:val="0"/>
        <w:adjustRightInd w:val="0"/>
        <w:snapToGrid/>
        <w:spacing w:line="360" w:lineRule="auto"/>
        <w:ind w:right="-23" w:firstLine="422" w:firstLineChars="200"/>
        <w:jc w:val="left"/>
        <w:textAlignment w:val="auto"/>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（一）采购标的需实现的功能或者目标</w:t>
      </w:r>
    </w:p>
    <w:p w14:paraId="53F60CB4">
      <w:pPr>
        <w:keepNext w:val="0"/>
        <w:keepLines w:val="0"/>
        <w:pageBreakBefore w:val="0"/>
        <w:widowControl w:val="0"/>
        <w:kinsoku/>
        <w:wordWrap/>
        <w:overflowPunct/>
        <w:topLinePunct w:val="0"/>
        <w:autoSpaceDE w:val="0"/>
        <w:autoSpaceDN w:val="0"/>
        <w:bidi w:val="0"/>
        <w:adjustRightInd w:val="0"/>
        <w:snapToGrid/>
        <w:spacing w:line="360" w:lineRule="auto"/>
        <w:ind w:right="-23"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1.采购标的需实现的功能：为满足国省控及县级排名地表水断面、地下水饮用水水源地等常规监测与突发环境事件应急监测工作需要，开展相关环境监测与分析。</w:t>
      </w:r>
    </w:p>
    <w:p w14:paraId="0EE711F1">
      <w:pPr>
        <w:keepNext w:val="0"/>
        <w:keepLines w:val="0"/>
        <w:pageBreakBefore w:val="0"/>
        <w:widowControl w:val="0"/>
        <w:kinsoku/>
        <w:wordWrap/>
        <w:overflowPunct/>
        <w:topLinePunct w:val="0"/>
        <w:autoSpaceDE w:val="0"/>
        <w:autoSpaceDN w:val="0"/>
        <w:bidi w:val="0"/>
        <w:adjustRightInd w:val="0"/>
        <w:snapToGrid/>
        <w:spacing w:line="360" w:lineRule="auto"/>
        <w:ind w:right="-23"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2.采购标的需实现的目标： </w:t>
      </w:r>
    </w:p>
    <w:p w14:paraId="1804AA7D">
      <w:pPr>
        <w:keepNext w:val="0"/>
        <w:keepLines w:val="0"/>
        <w:pageBreakBefore w:val="0"/>
        <w:widowControl w:val="0"/>
        <w:kinsoku/>
        <w:wordWrap/>
        <w:overflowPunct/>
        <w:topLinePunct w:val="0"/>
        <w:autoSpaceDE w:val="0"/>
        <w:autoSpaceDN w:val="0"/>
        <w:bidi w:val="0"/>
        <w:adjustRightInd w:val="0"/>
        <w:snapToGrid/>
        <w:spacing w:line="360" w:lineRule="auto"/>
        <w:ind w:right="-23"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深入贯彻落实“监测先行、监测灵敏、监测准确”的工作要求，充分发挥环境监测在生态环境保护领域的“支撑、引领、服务”核心功能。通过全面加强周口监测中心基础能力建设，实现监测能力的显著提升，切实满足日益精细化、科学化的生态环境管理需求，为周口市持续改善环境质量、纵深推进污染防治攻坚战提供全面、科学、精准且可靠的技术保障体系。</w:t>
      </w:r>
    </w:p>
    <w:p w14:paraId="6CB0ADF0">
      <w:pPr>
        <w:keepNext w:val="0"/>
        <w:keepLines w:val="0"/>
        <w:pageBreakBefore w:val="0"/>
        <w:widowControl w:val="0"/>
        <w:kinsoku/>
        <w:wordWrap/>
        <w:overflowPunct/>
        <w:topLinePunct w:val="0"/>
        <w:autoSpaceDE w:val="0"/>
        <w:autoSpaceDN w:val="0"/>
        <w:bidi w:val="0"/>
        <w:adjustRightInd w:val="0"/>
        <w:snapToGrid/>
        <w:spacing w:line="360" w:lineRule="auto"/>
        <w:ind w:right="-23"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项目的建成将全力保障周口市辖区范围内生态环境质量监测工作的高效、有序开展；为周口市辖区内生态环境管理及综合执法工作提供专业、权威的技术指导与支持；高质量完成省厅及市局委托的各项监测任务，确保监测数据真实有效、监测结论科学严谨。</w:t>
      </w:r>
    </w:p>
    <w:p w14:paraId="46AB1550">
      <w:pPr>
        <w:keepNext w:val="0"/>
        <w:keepLines w:val="0"/>
        <w:pageBreakBefore w:val="0"/>
        <w:widowControl w:val="0"/>
        <w:kinsoku/>
        <w:wordWrap/>
        <w:overflowPunct/>
        <w:topLinePunct w:val="0"/>
        <w:autoSpaceDE w:val="0"/>
        <w:autoSpaceDN w:val="0"/>
        <w:bidi w:val="0"/>
        <w:adjustRightInd w:val="0"/>
        <w:snapToGrid/>
        <w:spacing w:line="360" w:lineRule="auto"/>
        <w:ind w:right="-23" w:firstLine="422" w:firstLineChars="200"/>
        <w:jc w:val="left"/>
        <w:textAlignment w:val="auto"/>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（二）需执行的国家相关标准、行业标准、地方标准或者其他标准、规范</w:t>
      </w:r>
    </w:p>
    <w:p w14:paraId="357AE76D">
      <w:pPr>
        <w:keepNext w:val="0"/>
        <w:keepLines w:val="0"/>
        <w:pageBreakBefore w:val="0"/>
        <w:widowControl w:val="0"/>
        <w:kinsoku/>
        <w:wordWrap/>
        <w:overflowPunct/>
        <w:topLinePunct w:val="0"/>
        <w:autoSpaceDE w:val="0"/>
        <w:autoSpaceDN w:val="0"/>
        <w:bidi w:val="0"/>
        <w:adjustRightInd w:val="0"/>
        <w:snapToGrid/>
        <w:spacing w:line="360" w:lineRule="auto"/>
        <w:ind w:right="-23"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本项目执行国家、行业及地方现行有效相关标准、规范，若有新版本，按最新版本执行。</w:t>
      </w:r>
    </w:p>
    <w:p w14:paraId="678B74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3.2技术参数要求</w:t>
      </w:r>
    </w:p>
    <w:p w14:paraId="27716A53">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bookmarkStart w:id="718" w:name="_Toc10129558"/>
      <w:r>
        <w:rPr>
          <w:rFonts w:hint="eastAsia" w:ascii="宋体" w:hAnsi="宋体" w:eastAsia="宋体" w:cs="宋体"/>
          <w:b/>
          <w:bCs/>
          <w:color w:val="auto"/>
          <w:kern w:val="2"/>
          <w:sz w:val="21"/>
          <w:szCs w:val="21"/>
          <w:highlight w:val="none"/>
          <w:lang w:val="en-US" w:eastAsia="zh-CN" w:bidi="ar-SA"/>
        </w:rPr>
        <w:t>（一）离子色谱仪</w:t>
      </w:r>
    </w:p>
    <w:bookmarkEnd w:id="718"/>
    <w:p w14:paraId="74FFB1A4">
      <w:pPr>
        <w:keepNext w:val="0"/>
        <w:keepLines w:val="0"/>
        <w:pageBreakBefore w:val="0"/>
        <w:widowControl/>
        <w:kinsoku/>
        <w:wordWrap/>
        <w:overflowPunct/>
        <w:topLinePunct w:val="0"/>
        <w:autoSpaceDE w:val="0"/>
        <w:autoSpaceDN w:val="0"/>
        <w:bidi w:val="0"/>
        <w:adjustRightInd w:val="0"/>
        <w:snapToGrid/>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1.采购内容</w:t>
      </w:r>
    </w:p>
    <w:p w14:paraId="2B2B65B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采购离子色谱仪1套，主要用于</w:t>
      </w:r>
      <w:r>
        <w:rPr>
          <w:rFonts w:hint="eastAsia" w:ascii="宋体" w:hAnsi="宋体" w:eastAsia="宋体" w:cs="宋体"/>
          <w:color w:val="auto"/>
          <w:sz w:val="21"/>
          <w:szCs w:val="21"/>
          <w:highlight w:val="none"/>
          <w:lang w:val="en-US" w:eastAsia="zh-CN"/>
        </w:rPr>
        <w:t>分析样品中</w:t>
      </w:r>
      <w:r>
        <w:rPr>
          <w:rFonts w:hint="eastAsia" w:ascii="宋体" w:hAnsi="宋体" w:eastAsia="宋体" w:cs="宋体"/>
          <w:color w:val="auto"/>
          <w:sz w:val="21"/>
          <w:szCs w:val="21"/>
          <w:highlight w:val="none"/>
        </w:rPr>
        <w:t>阴离子（F</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rPr>
        <w:t>、Cl</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rPr>
        <w:t>、Br</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rPr>
        <w:t>、BrO</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rPr>
        <w:t>、NO</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rPr>
        <w:t>、NO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rPr>
        <w:t>、SO</w:t>
      </w:r>
      <w:r>
        <w:rPr>
          <w:rFonts w:hint="eastAsia" w:ascii="宋体" w:hAnsi="宋体" w:eastAsia="宋体" w:cs="宋体"/>
          <w:color w:val="auto"/>
          <w:sz w:val="21"/>
          <w:szCs w:val="21"/>
          <w:highlight w:val="none"/>
          <w:vertAlign w:val="subscript"/>
        </w:rPr>
        <w:t>4</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 xml:space="preserve"> 、PO</w:t>
      </w:r>
      <w:r>
        <w:rPr>
          <w:rFonts w:hint="eastAsia" w:ascii="宋体" w:hAnsi="宋体" w:eastAsia="宋体" w:cs="宋体"/>
          <w:color w:val="auto"/>
          <w:sz w:val="21"/>
          <w:szCs w:val="21"/>
          <w:highlight w:val="none"/>
          <w:vertAlign w:val="subscript"/>
        </w:rPr>
        <w:t>4</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阳离子（Li</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rPr>
        <w:t>、Na</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rPr>
        <w:t>、NH</w:t>
      </w:r>
      <w:r>
        <w:rPr>
          <w:rFonts w:hint="eastAsia" w:ascii="宋体" w:hAnsi="宋体" w:eastAsia="宋体" w:cs="宋体"/>
          <w:color w:val="auto"/>
          <w:sz w:val="21"/>
          <w:szCs w:val="21"/>
          <w:highlight w:val="none"/>
          <w:vertAlign w:val="subscript"/>
        </w:rPr>
        <w:t>4</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rPr>
        <w:t>、K</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rPr>
        <w:t>、Mg</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、Ca</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以及碘离子</w:t>
      </w:r>
      <w:r>
        <w:rPr>
          <w:rFonts w:hint="eastAsia" w:ascii="宋体" w:hAnsi="宋体" w:eastAsia="宋体" w:cs="宋体"/>
          <w:color w:val="auto"/>
          <w:sz w:val="21"/>
          <w:szCs w:val="21"/>
          <w:highlight w:val="none"/>
        </w:rPr>
        <w:t>。</w:t>
      </w:r>
    </w:p>
    <w:p w14:paraId="6A57F654">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2.技术参数要求</w:t>
      </w:r>
    </w:p>
    <w:p w14:paraId="1939A146">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2.1系统参数</w:t>
      </w:r>
    </w:p>
    <w:p w14:paraId="5762691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2.1.1全系统采用全塑非金属流路；所有的离子色谱流路均采用PEEK材质，包括分析泵（含泵外壳）、</w:t>
      </w:r>
      <w:r>
        <w:rPr>
          <w:rFonts w:hint="eastAsia" w:ascii="宋体" w:hAnsi="宋体" w:eastAsia="宋体" w:cs="宋体"/>
          <w:color w:val="auto"/>
          <w:sz w:val="21"/>
          <w:szCs w:val="21"/>
          <w:highlight w:val="none"/>
          <w:lang w:val="en-US" w:eastAsia="zh-CN"/>
        </w:rPr>
        <w:t>多</w:t>
      </w:r>
      <w:r>
        <w:rPr>
          <w:rFonts w:hint="eastAsia" w:ascii="宋体" w:hAnsi="宋体" w:eastAsia="宋体" w:cs="宋体"/>
          <w:color w:val="auto"/>
          <w:sz w:val="21"/>
          <w:szCs w:val="21"/>
          <w:highlight w:val="none"/>
        </w:rPr>
        <w:t>通阀、色谱柱、抑制器及检测器之间的所有管路；其中常用的电导检测器、安培检测器采用模块组件设计，自由更换，无需拆卸管路，软件自动识别。</w:t>
      </w:r>
    </w:p>
    <w:p w14:paraId="65F9E9D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2.1.2 阴离子、阳离子主机完全独立个体，独立运行，非集成一体机，各自独立的自动进样系统、抑制、分离、检测及分析软件。每台主机具备扩展安培检测器的功能。 </w:t>
      </w:r>
    </w:p>
    <w:p w14:paraId="4BFE76F3">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2.2色谱泵系统</w:t>
      </w:r>
    </w:p>
    <w:p w14:paraId="213B67F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高性能/低脉冲双柱塞泵，采用惰性全PEEK泵头（非内衬PEEK外包不锈钢材质）、PEEK管路，适合于pH为0~14的淋洗液及反相有机溶剂，可在等度泵基础上直接增加内置式四元比例阀，实现四元梯度泵；（提供实物照片证明文件）</w:t>
      </w:r>
      <w:r>
        <w:rPr>
          <w:rFonts w:hint="eastAsia" w:ascii="宋体" w:hAnsi="宋体" w:eastAsia="宋体" w:cs="宋体"/>
          <w:color w:val="auto"/>
          <w:sz w:val="21"/>
          <w:szCs w:val="21"/>
          <w:highlight w:val="none"/>
          <w:lang w:eastAsia="zh-CN"/>
        </w:rPr>
        <w:t>。</w:t>
      </w:r>
    </w:p>
    <w:p w14:paraId="7B5E1CA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2.2.2输液泵具备内置式独立体主辅泵头。</w:t>
      </w:r>
    </w:p>
    <w:p w14:paraId="307284A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2.2.3具有电子脉动抑制技术独立驱动的串联双柱塞。</w:t>
      </w:r>
    </w:p>
    <w:p w14:paraId="4D169C8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2.2.4全PEEK泵流量：（0.001～12.000）mL/min； </w:t>
      </w:r>
    </w:p>
    <w:p w14:paraId="2D44E9A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★2.2.5泵头耐压：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42MPa；</w:t>
      </w:r>
    </w:p>
    <w:p w14:paraId="556B6E0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2.2.6流量设定误差：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0.2%；</w:t>
      </w:r>
    </w:p>
    <w:p w14:paraId="4A81249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2.2.7流量稳定性：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0.2%；</w:t>
      </w:r>
    </w:p>
    <w:p w14:paraId="22296F53">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2.3淋洗液发生器</w:t>
      </w:r>
    </w:p>
    <w:p w14:paraId="467751B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2.3.1流量范围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0.001～3.000ml/min；</w:t>
      </w:r>
    </w:p>
    <w:p w14:paraId="0002D93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2.3.2淋洗液浓度范围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KOH、MSA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0.01～100.00mM；</w:t>
      </w:r>
    </w:p>
    <w:p w14:paraId="446B8DAE">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2.3.3浓度准确度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0.1mM；</w:t>
      </w:r>
    </w:p>
    <w:p w14:paraId="7CC7BFA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2.3.4电解液原始浓度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25% KOH；</w:t>
      </w:r>
    </w:p>
    <w:p w14:paraId="21BC64E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2.3.5兼容有机溶剂最大浓度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25%甲醇；</w:t>
      </w:r>
    </w:p>
    <w:p w14:paraId="687F722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2.3.6梯度精度：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0.2%；</w:t>
      </w:r>
    </w:p>
    <w:p w14:paraId="23F48E58">
      <w:pPr>
        <w:widowControl/>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2.3.7特殊的卡槽设置，内置式淋洗液发生器； </w:t>
      </w:r>
    </w:p>
    <w:p w14:paraId="42A4DB1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2.3.8可实现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4级的梯度阶梯控制，仪器方法中可自由编辑梯度类型，可至少实现3种的阶梯类型，且由软件控制；</w:t>
      </w:r>
    </w:p>
    <w:p w14:paraId="72CC1C4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2.3.9软件控制：可在软件中直接输入所需淋洗液浓度。</w:t>
      </w:r>
    </w:p>
    <w:p w14:paraId="2EA342B7">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2.4自动进样器</w:t>
      </w:r>
    </w:p>
    <w:p w14:paraId="36F51E8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2.4.1工作方式：极坐标定位方式，注射泵定量取样方式，具有满环进样、部分进样及无损进样等可选模式；</w:t>
      </w:r>
    </w:p>
    <w:p w14:paraId="617545B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2.4.2★样品位数：</w:t>
      </w:r>
      <w:r>
        <w:rPr>
          <w:rFonts w:hint="eastAsia" w:ascii="宋体" w:hAnsi="宋体" w:eastAsia="宋体" w:cs="宋体"/>
          <w:color w:val="auto"/>
          <w:sz w:val="21"/>
          <w:szCs w:val="21"/>
          <w:highlight w:val="none"/>
          <w:lang w:val="en-US" w:eastAsia="zh-CN"/>
        </w:rPr>
        <w:t>不少于</w:t>
      </w:r>
      <w:r>
        <w:rPr>
          <w:rFonts w:hint="eastAsia" w:ascii="宋体" w:hAnsi="宋体" w:eastAsia="宋体" w:cs="宋体"/>
          <w:color w:val="auto"/>
          <w:sz w:val="21"/>
          <w:szCs w:val="21"/>
          <w:highlight w:val="none"/>
        </w:rPr>
        <w:t>120位，满足仪器</w:t>
      </w:r>
      <w:r>
        <w:rPr>
          <w:rFonts w:hint="eastAsia" w:ascii="宋体" w:hAnsi="宋体" w:eastAsia="宋体" w:cs="宋体"/>
          <w:color w:val="auto"/>
          <w:sz w:val="21"/>
          <w:szCs w:val="21"/>
          <w:highlight w:val="none"/>
          <w:lang w:val="en-US" w:eastAsia="zh-CN"/>
        </w:rPr>
        <w:t>至少可</w:t>
      </w:r>
      <w:r>
        <w:rPr>
          <w:rFonts w:hint="eastAsia" w:ascii="宋体" w:hAnsi="宋体" w:eastAsia="宋体" w:cs="宋体"/>
          <w:color w:val="auto"/>
          <w:sz w:val="21"/>
          <w:szCs w:val="21"/>
          <w:highlight w:val="none"/>
        </w:rPr>
        <w:t>连续24小时不间断运行需求；进样盘自由搭配，同一进样器可实现4mL，2mL样品盘两种不同的进样瓶同时存在，满足不同样品的进样体积需求。</w:t>
      </w:r>
    </w:p>
    <w:p w14:paraId="474A77F1">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2.4.3具有缺瓶报警、漏液报警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开关门感应灯自动化智能化功能，保证设备可靠运行；</w:t>
      </w:r>
    </w:p>
    <w:p w14:paraId="252B9130">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2.4.4重复性：满环进样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0.3%RSD（进样体积</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5uL）；</w:t>
      </w:r>
    </w:p>
    <w:p w14:paraId="2AA8CB16">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2.4.5定量环规格：标配：100ul ；选配：20ul，50ul，200ul；</w:t>
      </w:r>
    </w:p>
    <w:p w14:paraId="4160EA16">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2.4.6进样针清洗：具有独立清洗内/外壁洗针位，不限次数内外针清洗并具有吹干功能，可在样本间或每一针之间选择是否清洗；</w:t>
      </w:r>
    </w:p>
    <w:p w14:paraId="64CFC79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2.4.7具有双通道分时进样功能，一机多能，软件自由控制；</w:t>
      </w:r>
    </w:p>
    <w:p w14:paraId="74CB1179">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2.4.8自动进样器具有稀释混匀技术；具有一次稀释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二次稀释，提供软件截图和实验数据报告佐证</w:t>
      </w:r>
      <w:r>
        <w:rPr>
          <w:rFonts w:hint="eastAsia" w:ascii="宋体" w:hAnsi="宋体" w:eastAsia="宋体" w:cs="宋体"/>
          <w:color w:val="auto"/>
          <w:sz w:val="21"/>
          <w:szCs w:val="21"/>
          <w:highlight w:val="none"/>
          <w:lang w:eastAsia="zh-CN"/>
        </w:rPr>
        <w:t>。</w:t>
      </w:r>
    </w:p>
    <w:p w14:paraId="18344045">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2.5柱温箱</w:t>
      </w:r>
    </w:p>
    <w:p w14:paraId="27B4125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风浴热循环加热柱温箱，具有淋洗液预加热功能，可使淋洗液的温度在进入色谱柱前已和色谱柱的柱温保持一致，保证了待测离子的分离效果，同时可获得更平稳的基线，有效的缩短了开机平衡的时间，提高重复性和分析效率；</w:t>
      </w:r>
    </w:p>
    <w:p w14:paraId="13FC199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2.5.2控温度稳定性：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0.1℃；</w:t>
      </w:r>
    </w:p>
    <w:p w14:paraId="6E4ECAE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2.5.3温度设定值误差：±0.05℃；</w:t>
      </w:r>
    </w:p>
    <w:p w14:paraId="3434703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2.5.4可兼容长度为250mm和150mm色谱柱；</w:t>
      </w:r>
    </w:p>
    <w:p w14:paraId="6D7C69B2">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2.6离子色谱柱</w:t>
      </w:r>
    </w:p>
    <w:p w14:paraId="66087CE4">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配备高容量阴阳离子分离柱及保护柱，耐受pH为0～14的淋洗液，兼容反相有机溶剂，一次进样可完成多种阴离子、阳离子和有机酸的分析</w:t>
      </w:r>
      <w:r>
        <w:rPr>
          <w:rFonts w:hint="eastAsia" w:ascii="宋体" w:hAnsi="宋体" w:eastAsia="宋体" w:cs="宋体"/>
          <w:color w:val="auto"/>
          <w:sz w:val="21"/>
          <w:szCs w:val="21"/>
          <w:highlight w:val="none"/>
          <w:lang w:eastAsia="zh-CN"/>
        </w:rPr>
        <w:t>。</w:t>
      </w:r>
    </w:p>
    <w:p w14:paraId="23C3E0AF">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2.7抑制器</w:t>
      </w:r>
    </w:p>
    <w:p w14:paraId="439A4B9E">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2.7.1抑制器类型：电解自动再生膜抑制器，无需外加硫酸进行轮流再生。具有高容量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免维护，低背景电导，低背景噪声和稳定的基线</w:t>
      </w:r>
      <w:r>
        <w:rPr>
          <w:rFonts w:hint="eastAsia" w:ascii="宋体" w:hAnsi="宋体" w:eastAsia="宋体" w:cs="宋体"/>
          <w:color w:val="auto"/>
          <w:sz w:val="21"/>
          <w:szCs w:val="21"/>
          <w:highlight w:val="none"/>
          <w:lang w:eastAsia="zh-CN"/>
        </w:rPr>
        <w:t>；</w:t>
      </w:r>
    </w:p>
    <w:p w14:paraId="0512AC56">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2.7.2可配置阴、阳离子电解自</w:t>
      </w:r>
      <w:r>
        <w:rPr>
          <w:rFonts w:hint="eastAsia" w:ascii="宋体" w:hAnsi="宋体" w:eastAsia="宋体" w:cs="宋体"/>
          <w:color w:val="auto"/>
          <w:sz w:val="21"/>
          <w:szCs w:val="21"/>
          <w:highlight w:val="none"/>
          <w:lang w:val="en-US" w:eastAsia="zh-CN"/>
        </w:rPr>
        <w:t>动</w:t>
      </w:r>
      <w:r>
        <w:rPr>
          <w:rFonts w:hint="eastAsia" w:ascii="宋体" w:hAnsi="宋体" w:eastAsia="宋体" w:cs="宋体"/>
          <w:color w:val="auto"/>
          <w:sz w:val="21"/>
          <w:szCs w:val="21"/>
          <w:highlight w:val="none"/>
        </w:rPr>
        <w:t>再生膜抑制器</w:t>
      </w:r>
      <w:r>
        <w:rPr>
          <w:rFonts w:hint="eastAsia" w:ascii="宋体" w:hAnsi="宋体" w:eastAsia="宋体" w:cs="宋体"/>
          <w:color w:val="auto"/>
          <w:sz w:val="21"/>
          <w:szCs w:val="21"/>
          <w:highlight w:val="none"/>
          <w:lang w:eastAsia="zh-CN"/>
        </w:rPr>
        <w:t>；</w:t>
      </w:r>
    </w:p>
    <w:p w14:paraId="0B57CC3F">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2.7.3恒流源范围：</w:t>
      </w:r>
      <w:r>
        <w:rPr>
          <w:rFonts w:hint="eastAsia" w:ascii="宋体" w:hAnsi="宋体" w:eastAsia="宋体" w:cs="宋体"/>
          <w:color w:val="auto"/>
          <w:sz w:val="21"/>
          <w:szCs w:val="21"/>
          <w:highlight w:val="none"/>
          <w:lang w:val="en-US" w:eastAsia="zh-CN"/>
        </w:rPr>
        <w:t>不小于</w:t>
      </w:r>
      <w:r>
        <w:rPr>
          <w:rFonts w:hint="eastAsia" w:ascii="宋体" w:hAnsi="宋体" w:eastAsia="宋体" w:cs="宋体"/>
          <w:color w:val="auto"/>
          <w:sz w:val="21"/>
          <w:szCs w:val="21"/>
          <w:highlight w:val="none"/>
        </w:rPr>
        <w:t>0-500mA，增量</w:t>
      </w:r>
      <w:r>
        <w:rPr>
          <w:rFonts w:hint="eastAsia" w:ascii="宋体" w:hAnsi="宋体" w:eastAsia="宋体" w:cs="宋体"/>
          <w:color w:val="auto"/>
          <w:sz w:val="21"/>
          <w:szCs w:val="21"/>
          <w:highlight w:val="none"/>
          <w:lang w:val="en-US" w:eastAsia="zh-CN"/>
        </w:rPr>
        <w:t>不高于</w:t>
      </w:r>
      <w:r>
        <w:rPr>
          <w:rFonts w:hint="eastAsia" w:ascii="宋体" w:hAnsi="宋体" w:eastAsia="宋体" w:cs="宋体"/>
          <w:color w:val="auto"/>
          <w:sz w:val="21"/>
          <w:szCs w:val="21"/>
          <w:highlight w:val="none"/>
        </w:rPr>
        <w:t>0.1mA</w:t>
      </w:r>
      <w:r>
        <w:rPr>
          <w:rFonts w:hint="eastAsia" w:ascii="宋体" w:hAnsi="宋体" w:eastAsia="宋体" w:cs="宋体"/>
          <w:color w:val="auto"/>
          <w:sz w:val="21"/>
          <w:szCs w:val="21"/>
          <w:highlight w:val="none"/>
          <w:lang w:eastAsia="zh-CN"/>
        </w:rPr>
        <w:t>。</w:t>
      </w:r>
    </w:p>
    <w:p w14:paraId="579AC8AB">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2.8电导检测</w:t>
      </w:r>
    </w:p>
    <w:p w14:paraId="48263D6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2.8.1最小检出浓度（Cl）：</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0.0005ug/mL；</w:t>
      </w:r>
    </w:p>
    <w:p w14:paraId="6981F93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2.8.2最小检出浓度（Li）：</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0.0002ug/mL；</w:t>
      </w:r>
    </w:p>
    <w:p w14:paraId="6A09F23D">
      <w:pPr>
        <w:widowControl/>
        <w:spacing w:line="360" w:lineRule="auto"/>
        <w:ind w:left="630" w:leftChars="20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2.8.3数字电导检测器，自动量程，输出值为电导率值；可自由拆卸和更换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4C91A7DE">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★2.8.4电导池体积：</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0.4μL</w:t>
      </w:r>
      <w:r>
        <w:rPr>
          <w:rFonts w:hint="eastAsia" w:ascii="宋体" w:hAnsi="宋体" w:eastAsia="宋体" w:cs="宋体"/>
          <w:color w:val="auto"/>
          <w:sz w:val="21"/>
          <w:szCs w:val="21"/>
          <w:highlight w:val="none"/>
          <w:lang w:eastAsia="zh-CN"/>
        </w:rPr>
        <w:t>；</w:t>
      </w:r>
    </w:p>
    <w:p w14:paraId="6966911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2.8.5电导检测范围：0-45000μS/cm；</w:t>
      </w:r>
    </w:p>
    <w:p w14:paraId="5D4856CD">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2.8.6电导池温度设定误差：±0.01℃；</w:t>
      </w:r>
    </w:p>
    <w:p w14:paraId="780890CA">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电导池温度显示分辨率：0.01℃</w:t>
      </w:r>
      <w:r>
        <w:rPr>
          <w:rFonts w:hint="eastAsia" w:ascii="宋体" w:hAnsi="宋体" w:eastAsia="宋体" w:cs="宋体"/>
          <w:color w:val="auto"/>
          <w:sz w:val="21"/>
          <w:szCs w:val="21"/>
          <w:highlight w:val="none"/>
          <w:lang w:eastAsia="zh-CN"/>
        </w:rPr>
        <w:t>；</w:t>
      </w:r>
    </w:p>
    <w:p w14:paraId="283D07C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具有温度补偿功能，温度补偿范围：0-3.0%；</w:t>
      </w:r>
    </w:p>
    <w:p w14:paraId="722778E8">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电导池温控范围：检测器温区温度+5℃–65℃；</w:t>
      </w:r>
    </w:p>
    <w:p w14:paraId="543F42C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电导池控温稳定性：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0.05℃；</w:t>
      </w:r>
    </w:p>
    <w:p w14:paraId="0791693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电导池温度设定值误差：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0.1℃/h；</w:t>
      </w:r>
    </w:p>
    <w:p w14:paraId="0C3DA1B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电导池耐压：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15MPa；</w:t>
      </w:r>
    </w:p>
    <w:p w14:paraId="0A754D1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采样频率1-100SPS自由选择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（须提供软件证明图片）</w:t>
      </w:r>
    </w:p>
    <w:p w14:paraId="139DE5BA">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2.9插拔式安培检测器 </w:t>
      </w:r>
    </w:p>
    <w:p w14:paraId="07B9E1C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2.9.1类型：薄层式结构；插拔式盒状设计，可自由拆卸和更换；（须提供实物图）</w:t>
      </w:r>
    </w:p>
    <w:p w14:paraId="1D5BDD54">
      <w:pPr>
        <w:widowControl/>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2.9.2驱动电压范围：-2.048V</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+2.048V</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2.9.3驱动电压分辨率：0.001V</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2.9.4输出信号范围：积分模式：50pC</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200uC</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2.9.5直流模式：1pA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74uA；</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2.9.6噪声：积分模式</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30pC；</w:t>
      </w:r>
    </w:p>
    <w:p w14:paraId="3AC68CA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2.9.7直流模式</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5pA；直流模式静态噪声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1pA；</w:t>
      </w:r>
    </w:p>
    <w:p w14:paraId="3C247E52">
      <w:pPr>
        <w:widowControl/>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2.9.8参比电极：饱和氯化钾Ag/AgCl参比电极；</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2.9.9池体积：</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0.3uL；</w:t>
      </w:r>
    </w:p>
    <w:p w14:paraId="6B701A53">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2.9.10 最小检出浓度：I</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0.001μg/mL</w:t>
      </w:r>
      <w:r>
        <w:rPr>
          <w:rFonts w:hint="eastAsia" w:ascii="宋体" w:hAnsi="宋体" w:eastAsia="宋体" w:cs="宋体"/>
          <w:color w:val="auto"/>
          <w:sz w:val="21"/>
          <w:szCs w:val="21"/>
          <w:highlight w:val="none"/>
          <w:lang w:eastAsia="zh-CN"/>
        </w:rPr>
        <w:t>。</w:t>
      </w:r>
    </w:p>
    <w:p w14:paraId="28EA7D7B">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2.10色谱工作站</w:t>
      </w:r>
    </w:p>
    <w:p w14:paraId="11F2738F">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2.10.1实现系统部件的有效集成和控制，对各类检测器，自动进样器等部件可无缝式增加，可完成多维色谱（柱切换）、多检测联用检测等功能的建立。</w:t>
      </w:r>
    </w:p>
    <w:p w14:paraId="0CB5C3F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图形化全反控界面，提供适实时分析条件参数和分析结果、在线修改和采集各部件工作参数、自动进行快速数据采集和处理、具有仪器相关数据与运行状况溯源功能，方便故障排查。智能抑制器保护系统，梯度分析时抑制器电流随淋洗液浓度变化，使抑制器电流处于最佳使用范围，延长抑制器使用寿命。</w:t>
      </w:r>
    </w:p>
    <w:p w14:paraId="123543C0">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2.10.3具有多通道缩略图功能，样品列表中已采集数据的样品具有压力、温度、色谱图等多通道缩略显示功能，不用打开具体谱图即可看到样品大概组成及含量信息。</w:t>
      </w:r>
    </w:p>
    <w:p w14:paraId="7206E503">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2.10.4耗材监控系统跟踪和存储耗材的工作时长，进样次数，工作电压等相关数据，确定耗材的运行状况，并分析耗材性能是否对结果造成影响</w:t>
      </w:r>
      <w:r>
        <w:rPr>
          <w:rFonts w:hint="eastAsia" w:ascii="宋体" w:hAnsi="宋体" w:eastAsia="宋体" w:cs="宋体"/>
          <w:color w:val="auto"/>
          <w:sz w:val="21"/>
          <w:szCs w:val="21"/>
          <w:highlight w:val="none"/>
          <w:lang w:eastAsia="zh-CN"/>
        </w:rPr>
        <w:t>。</w:t>
      </w:r>
    </w:p>
    <w:p w14:paraId="5339BD75">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3.配置要求</w:t>
      </w:r>
    </w:p>
    <w:p w14:paraId="4D7C727F">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离子色谱仪主机2套； </w:t>
      </w:r>
    </w:p>
    <w:p w14:paraId="6E73FA2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高压输液PEEK泵 2 套； </w:t>
      </w:r>
    </w:p>
    <w:p w14:paraId="6FDC0BA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数字电导检测器组件 2 套；  </w:t>
      </w:r>
    </w:p>
    <w:p w14:paraId="6943B21D">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氢氧根体系淋洗液发生器组件1 套；</w:t>
      </w:r>
    </w:p>
    <w:p w14:paraId="444B9C41">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甲烷磺酸体系淋洗液发生器组件 1套； </w:t>
      </w:r>
    </w:p>
    <w:p w14:paraId="223C878A">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阴离子抑制器 1套；</w:t>
      </w:r>
    </w:p>
    <w:p w14:paraId="4DB4E9D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阳离子抑制器 1套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3A32AE0F">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色谱柱恒温系统 2 套； </w:t>
      </w:r>
    </w:p>
    <w:p w14:paraId="072EAE4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氮气加压系统 2套； </w:t>
      </w:r>
    </w:p>
    <w:p w14:paraId="4017B78A">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智能120位自动进样器系统 2 套； </w:t>
      </w:r>
    </w:p>
    <w:p w14:paraId="239FE071">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插拔式安培检测器（含银电极1套） 1套； </w:t>
      </w:r>
    </w:p>
    <w:p w14:paraId="6CE211D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色谱工作站2 套； </w:t>
      </w:r>
    </w:p>
    <w:p w14:paraId="7C2E0975">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氢氧根阴离子色谱柱  1套</w:t>
      </w:r>
      <w:r>
        <w:rPr>
          <w:rFonts w:hint="eastAsia" w:ascii="宋体" w:hAnsi="宋体" w:eastAsia="宋体" w:cs="宋体"/>
          <w:color w:val="auto"/>
          <w:sz w:val="21"/>
          <w:szCs w:val="21"/>
          <w:highlight w:val="none"/>
          <w:lang w:eastAsia="zh-CN"/>
        </w:rPr>
        <w:t>；</w:t>
      </w:r>
    </w:p>
    <w:p w14:paraId="3B05C4B4">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碘离子专用色谱柱 1套 </w:t>
      </w:r>
      <w:r>
        <w:rPr>
          <w:rFonts w:hint="eastAsia" w:ascii="宋体" w:hAnsi="宋体" w:eastAsia="宋体" w:cs="宋体"/>
          <w:color w:val="auto"/>
          <w:sz w:val="21"/>
          <w:szCs w:val="21"/>
          <w:highlight w:val="none"/>
          <w:lang w:eastAsia="zh-CN"/>
        </w:rPr>
        <w:t>；</w:t>
      </w:r>
    </w:p>
    <w:p w14:paraId="3AC074FC">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前处理小柱RP/H型 4盒（各两盒）</w:t>
      </w:r>
      <w:r>
        <w:rPr>
          <w:rFonts w:hint="eastAsia" w:ascii="宋体" w:hAnsi="宋体" w:eastAsia="宋体" w:cs="宋体"/>
          <w:color w:val="auto"/>
          <w:sz w:val="21"/>
          <w:szCs w:val="21"/>
          <w:highlight w:val="none"/>
          <w:lang w:eastAsia="zh-CN"/>
        </w:rPr>
        <w:t>；</w:t>
      </w:r>
    </w:p>
    <w:p w14:paraId="25433EA7">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数据处理系统 2套</w:t>
      </w:r>
      <w:r>
        <w:rPr>
          <w:rFonts w:hint="eastAsia" w:ascii="宋体" w:hAnsi="宋体" w:eastAsia="宋体" w:cs="宋体"/>
          <w:color w:val="auto"/>
          <w:sz w:val="21"/>
          <w:szCs w:val="21"/>
          <w:highlight w:val="none"/>
          <w:lang w:eastAsia="zh-CN"/>
        </w:rPr>
        <w:t>；</w:t>
      </w:r>
    </w:p>
    <w:p w14:paraId="67290B1C">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图文输出设备2台</w:t>
      </w:r>
      <w:r>
        <w:rPr>
          <w:rFonts w:hint="eastAsia" w:ascii="宋体" w:hAnsi="宋体" w:eastAsia="宋体" w:cs="宋体"/>
          <w:color w:val="auto"/>
          <w:sz w:val="21"/>
          <w:szCs w:val="21"/>
          <w:highlight w:val="none"/>
          <w:lang w:eastAsia="zh-CN"/>
        </w:rPr>
        <w:t>；</w:t>
      </w:r>
    </w:p>
    <w:p w14:paraId="482E46C5">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阳离子分析色谱柱 1套</w:t>
      </w:r>
      <w:r>
        <w:rPr>
          <w:rFonts w:hint="eastAsia" w:ascii="宋体" w:hAnsi="宋体" w:eastAsia="宋体" w:cs="宋体"/>
          <w:color w:val="auto"/>
          <w:sz w:val="21"/>
          <w:szCs w:val="21"/>
          <w:highlight w:val="none"/>
          <w:lang w:eastAsia="zh-CN"/>
        </w:rPr>
        <w:t>；</w:t>
      </w:r>
    </w:p>
    <w:p w14:paraId="4396B415">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阴离子保护柱1套</w:t>
      </w:r>
      <w:r>
        <w:rPr>
          <w:rFonts w:hint="eastAsia" w:ascii="宋体" w:hAnsi="宋体" w:eastAsia="宋体" w:cs="宋体"/>
          <w:color w:val="auto"/>
          <w:sz w:val="21"/>
          <w:szCs w:val="21"/>
          <w:highlight w:val="none"/>
          <w:lang w:eastAsia="zh-CN"/>
        </w:rPr>
        <w:t>；</w:t>
      </w:r>
    </w:p>
    <w:p w14:paraId="68E6D3A2">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3.20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阳离子保护柱 1套</w:t>
      </w:r>
      <w:r>
        <w:rPr>
          <w:rFonts w:hint="eastAsia" w:ascii="宋体" w:hAnsi="宋体" w:eastAsia="宋体" w:cs="宋体"/>
          <w:color w:val="auto"/>
          <w:sz w:val="21"/>
          <w:szCs w:val="21"/>
          <w:highlight w:val="none"/>
          <w:lang w:eastAsia="zh-CN"/>
        </w:rPr>
        <w:t>；</w:t>
      </w:r>
    </w:p>
    <w:p w14:paraId="74063CBD">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样品瓶 600个</w:t>
      </w:r>
      <w:r>
        <w:rPr>
          <w:rFonts w:hint="eastAsia" w:ascii="宋体" w:hAnsi="宋体" w:eastAsia="宋体" w:cs="宋体"/>
          <w:color w:val="auto"/>
          <w:sz w:val="21"/>
          <w:szCs w:val="21"/>
          <w:highlight w:val="none"/>
          <w:lang w:eastAsia="zh-CN"/>
        </w:rPr>
        <w:t>。</w:t>
      </w:r>
    </w:p>
    <w:p w14:paraId="146F7806">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 售后服务要求</w:t>
      </w:r>
    </w:p>
    <w:p w14:paraId="324449FE">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响应时间：在接到电话或书面通知后4小时内给予答复，紧急问题应在48小时内抵达现场。</w:t>
      </w:r>
    </w:p>
    <w:p w14:paraId="21D1D630">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 xml:space="preserve"> 质量保证期：设备验收合格后，整机质保</w:t>
      </w:r>
      <w:r>
        <w:rPr>
          <w:rFonts w:hint="eastAsia" w:ascii="宋体" w:hAnsi="宋体" w:eastAsia="宋体" w:cs="宋体"/>
          <w:color w:val="auto"/>
          <w:sz w:val="21"/>
          <w:szCs w:val="21"/>
          <w:highlight w:val="none"/>
          <w:lang w:val="en-US" w:eastAsia="zh-CN"/>
        </w:rPr>
        <w:t>60个月</w:t>
      </w:r>
      <w:r>
        <w:rPr>
          <w:rFonts w:hint="eastAsia" w:ascii="宋体" w:hAnsi="宋体" w:eastAsia="宋体" w:cs="宋体"/>
          <w:color w:val="auto"/>
          <w:sz w:val="21"/>
          <w:szCs w:val="21"/>
          <w:highlight w:val="none"/>
        </w:rPr>
        <w:t>。</w:t>
      </w:r>
    </w:p>
    <w:p w14:paraId="324E38CA">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 xml:space="preserve"> 技术服务的范围及内容：</w:t>
      </w:r>
      <w:r>
        <w:rPr>
          <w:rFonts w:hint="eastAsia" w:ascii="宋体" w:hAnsi="宋体" w:eastAsia="宋体" w:cs="宋体"/>
          <w:color w:val="auto"/>
          <w:sz w:val="21"/>
          <w:szCs w:val="21"/>
          <w:highlight w:val="none"/>
          <w:lang w:val="en-US" w:eastAsia="zh-CN"/>
        </w:rPr>
        <w:t>供货商</w:t>
      </w:r>
      <w:r>
        <w:rPr>
          <w:rFonts w:hint="eastAsia" w:ascii="宋体" w:hAnsi="宋体" w:eastAsia="宋体" w:cs="宋体"/>
          <w:color w:val="auto"/>
          <w:sz w:val="21"/>
          <w:szCs w:val="21"/>
          <w:highlight w:val="none"/>
        </w:rPr>
        <w:t>委派技术人员到采购人指定现场，完成设备安装、调试及性能测试工作，直至运行稳定、各项技术指标满足要求并验收合格。</w:t>
      </w:r>
    </w:p>
    <w:p w14:paraId="0A4402C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4.4在质保期内按采购人要求，开展技术培训和支持（含现场培训）</w:t>
      </w:r>
      <w:r>
        <w:rPr>
          <w:rFonts w:hint="eastAsia" w:ascii="宋体" w:hAnsi="宋体" w:eastAsia="宋体" w:cs="宋体"/>
          <w:color w:val="auto"/>
          <w:sz w:val="21"/>
          <w:szCs w:val="21"/>
          <w:highlight w:val="none"/>
        </w:rPr>
        <w:t>。</w:t>
      </w:r>
    </w:p>
    <w:p w14:paraId="5F42156E">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 质保期内，所有故障提供技术服务和维修，包括配套的所有耗材，仪器设备保养维护（一年不少于 2 次）及自校工作等。</w:t>
      </w:r>
    </w:p>
    <w:p w14:paraId="3B6CAE3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4.6提供操作软件终身升级及版本更新服务</w:t>
      </w:r>
      <w:r>
        <w:rPr>
          <w:rFonts w:hint="eastAsia" w:ascii="宋体" w:hAnsi="宋体" w:eastAsia="宋体" w:cs="宋体"/>
          <w:color w:val="auto"/>
          <w:sz w:val="21"/>
          <w:szCs w:val="21"/>
          <w:highlight w:val="none"/>
        </w:rPr>
        <w:t>。</w:t>
      </w:r>
    </w:p>
    <w:p w14:paraId="1A533373">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（二）全自动红外测油仪</w:t>
      </w:r>
    </w:p>
    <w:p w14:paraId="3EC0CD93">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1.采购内容</w:t>
      </w:r>
    </w:p>
    <w:p w14:paraId="20FEFAF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全自动红外测油仪</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套，用于地表水、地下水、生活污水、工业废水和海水中石油类和动植物油类的分析。</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水质 石油类动植物油类测定、红外分光光度法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HJ 637-2018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方法要求。</w:t>
      </w:r>
    </w:p>
    <w:p w14:paraId="36546F5E">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2.技术参数要求</w:t>
      </w:r>
    </w:p>
    <w:p w14:paraId="4D9D506C">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2.1功能综述</w:t>
      </w:r>
    </w:p>
    <w:p w14:paraId="1CE4FDE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测量项目：连续测量水中石油类和动植物油类，主机标配2根硅酸镁柱，可自动切换；</w:t>
      </w:r>
    </w:p>
    <w:p w14:paraId="5BF9AFE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含自动萃取、自动测量、自动清洗、自动排放等多种功能，样品位即萃取位（提供仪器整机实物照片）；</w:t>
      </w:r>
    </w:p>
    <w:p w14:paraId="492ED1A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 仪器光学系统、电气系统自成一体，稳定性好、信噪比高，集成化程度高，从而提高了仪器的可靠性和可维护性；</w:t>
      </w:r>
    </w:p>
    <w:p w14:paraId="15B2185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 样品测量：不少于12个样品位，可连续循环做样，试剂添加、萃取、分离、测量、清洗自动完成；</w:t>
      </w:r>
    </w:p>
    <w:p w14:paraId="53DC420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 分离方式：萃取、分离管、除水三次分离；</w:t>
      </w:r>
    </w:p>
    <w:p w14:paraId="56A3748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2.1.6 采样方式：兼容500ml、700ml、1000ml广口瓶现场采样，直接上机萃取，自动测量、自动读取水样体积；</w:t>
      </w:r>
    </w:p>
    <w:p w14:paraId="325CF38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2.1.7 自动收集：自带废气处理装置和废液回收装置；</w:t>
      </w:r>
    </w:p>
    <w:p w14:paraId="25439A6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2.1.8 自动分离：废液中的试剂与水完全自动分离；</w:t>
      </w:r>
    </w:p>
    <w:p w14:paraId="30294F3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2.1.9 采用多通切换阀和精密注射器配合；</w:t>
      </w:r>
    </w:p>
    <w:p w14:paraId="733287A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★2.1.10注射泵重复10次，注射25ml重量法称重： RSD≤0.05%，注射2.5ml重量法称重：RSD≤0.5%；</w:t>
      </w:r>
    </w:p>
    <w:p w14:paraId="76FAE5D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2.1.11 紧急样品可中途加样，标记优先样品，对于标记优先样品优先测量；</w:t>
      </w:r>
    </w:p>
    <w:p w14:paraId="60A35B6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2.1.12 全过程密闭无毒式操作：废水自动排放，有毒有机试剂自动收集，避免了有毒试剂对人体的伤害；</w:t>
      </w:r>
    </w:p>
    <w:p w14:paraId="77AE99E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2.1.13  连续测量过程中，样品瓶不移动，从而避免样品瓶在移动过程中造成水样泼洒，影响水样测量数据；</w:t>
      </w:r>
    </w:p>
    <w:p w14:paraId="278B78C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2.1.14蠕动泵自动开闭：测量前蠕动泵自动闭合，避免因人工操作失误导致样品没有转移，测量失效，测量结束蠕动泵自动打开，避免泵管长期夹住导致泵管失去弹性无法工作，使用寿命减少；</w:t>
      </w:r>
    </w:p>
    <w:p w14:paraId="27903D1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2.1.15 软件可实时洞察实验流程；</w:t>
      </w:r>
    </w:p>
    <w:p w14:paraId="4416040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2.1.16 仪器可放入1.3米或1.5米通风橱。</w:t>
      </w:r>
    </w:p>
    <w:p w14:paraId="15086A5A">
      <w:pPr>
        <w:widowControl/>
        <w:autoSpaceDE w:val="0"/>
        <w:autoSpaceDN w:val="0"/>
        <w:adjustRightInd w:val="0"/>
        <w:snapToGrid/>
        <w:spacing w:before="0" w:after="0" w:line="360" w:lineRule="auto"/>
        <w:ind w:left="210" w:leftChars="100" w:firstLine="194" w:firstLineChars="92"/>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2.2详细参数</w:t>
      </w:r>
    </w:p>
    <w:p w14:paraId="58CE7A4E">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 样品位数：</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位</w:t>
      </w:r>
      <w:r>
        <w:rPr>
          <w:rFonts w:hint="eastAsia" w:ascii="宋体" w:hAnsi="宋体" w:eastAsia="宋体" w:cs="宋体"/>
          <w:color w:val="auto"/>
          <w:sz w:val="21"/>
          <w:szCs w:val="21"/>
          <w:highlight w:val="none"/>
          <w:lang w:eastAsia="zh-CN"/>
        </w:rPr>
        <w:t>；</w:t>
      </w:r>
    </w:p>
    <w:p w14:paraId="367E646C">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2.2.2 采样瓶：500ml或1000ml广口瓶，样品不转移</w:t>
      </w:r>
      <w:r>
        <w:rPr>
          <w:rFonts w:hint="eastAsia" w:ascii="宋体" w:hAnsi="宋体" w:eastAsia="宋体" w:cs="宋体"/>
          <w:color w:val="auto"/>
          <w:sz w:val="21"/>
          <w:szCs w:val="21"/>
          <w:highlight w:val="none"/>
          <w:lang w:eastAsia="zh-CN"/>
        </w:rPr>
        <w:t>；</w:t>
      </w:r>
    </w:p>
    <w:p w14:paraId="03FD1A68">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2.2.3 水样体积：0-1000mL</w:t>
      </w:r>
      <w:r>
        <w:rPr>
          <w:rFonts w:hint="eastAsia" w:ascii="宋体" w:hAnsi="宋体" w:eastAsia="宋体" w:cs="宋体"/>
          <w:color w:val="auto"/>
          <w:sz w:val="21"/>
          <w:szCs w:val="21"/>
          <w:highlight w:val="none"/>
          <w:lang w:eastAsia="zh-CN"/>
        </w:rPr>
        <w:t>；</w:t>
      </w:r>
    </w:p>
    <w:p w14:paraId="11D904EA">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2.2.4体积量取：非接触式自动测量水样体积，避免交叉污染，体积测量误差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p>
    <w:p w14:paraId="4E1A08FD">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2.2.5 体积输入：仪器自动读取传输至软件界面</w:t>
      </w:r>
      <w:r>
        <w:rPr>
          <w:rFonts w:hint="eastAsia" w:ascii="宋体" w:hAnsi="宋体" w:eastAsia="宋体" w:cs="宋体"/>
          <w:color w:val="auto"/>
          <w:sz w:val="21"/>
          <w:szCs w:val="21"/>
          <w:highlight w:val="none"/>
          <w:lang w:eastAsia="zh-CN"/>
        </w:rPr>
        <w:t>；</w:t>
      </w:r>
    </w:p>
    <w:p w14:paraId="369E52AA">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2.2.6 萃取试剂：四氯乙烯</w:t>
      </w:r>
      <w:r>
        <w:rPr>
          <w:rFonts w:hint="eastAsia" w:ascii="宋体" w:hAnsi="宋体" w:eastAsia="宋体" w:cs="宋体"/>
          <w:color w:val="auto"/>
          <w:sz w:val="21"/>
          <w:szCs w:val="21"/>
          <w:highlight w:val="none"/>
          <w:lang w:eastAsia="zh-CN"/>
        </w:rPr>
        <w:t>；</w:t>
      </w:r>
    </w:p>
    <w:p w14:paraId="233203D6">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2.2.7 校正方法：标准物质校正、标准曲线校正、单点快速校正</w:t>
      </w:r>
      <w:r>
        <w:rPr>
          <w:rFonts w:hint="eastAsia" w:ascii="宋体" w:hAnsi="宋体" w:eastAsia="宋体" w:cs="宋体"/>
          <w:color w:val="auto"/>
          <w:sz w:val="21"/>
          <w:szCs w:val="21"/>
          <w:highlight w:val="none"/>
          <w:lang w:eastAsia="zh-CN"/>
        </w:rPr>
        <w:t>；</w:t>
      </w:r>
    </w:p>
    <w:p w14:paraId="3E97A5DD">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2.2.8 线性：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0.999</w:t>
      </w:r>
      <w:r>
        <w:rPr>
          <w:rFonts w:hint="eastAsia" w:ascii="宋体" w:hAnsi="宋体" w:eastAsia="宋体" w:cs="宋体"/>
          <w:color w:val="auto"/>
          <w:sz w:val="21"/>
          <w:szCs w:val="21"/>
          <w:highlight w:val="none"/>
          <w:lang w:eastAsia="zh-CN"/>
        </w:rPr>
        <w:t>；</w:t>
      </w:r>
    </w:p>
    <w:p w14:paraId="233C7554">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2.2.9 测量范围：0-500mg/L，超量程自动稀释</w:t>
      </w:r>
      <w:r>
        <w:rPr>
          <w:rFonts w:hint="eastAsia" w:ascii="宋体" w:hAnsi="宋体" w:eastAsia="宋体" w:cs="宋体"/>
          <w:color w:val="auto"/>
          <w:sz w:val="21"/>
          <w:szCs w:val="21"/>
          <w:highlight w:val="none"/>
          <w:lang w:eastAsia="zh-CN"/>
        </w:rPr>
        <w:t>；</w:t>
      </w:r>
    </w:p>
    <w:p w14:paraId="478F9C0F">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2.2.10 分辨率：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0.001mg/L</w:t>
      </w:r>
      <w:r>
        <w:rPr>
          <w:rFonts w:hint="eastAsia" w:ascii="宋体" w:hAnsi="宋体" w:eastAsia="宋体" w:cs="宋体"/>
          <w:color w:val="auto"/>
          <w:sz w:val="21"/>
          <w:szCs w:val="21"/>
          <w:highlight w:val="none"/>
          <w:lang w:eastAsia="zh-CN"/>
        </w:rPr>
        <w:t>；</w:t>
      </w:r>
    </w:p>
    <w:p w14:paraId="346E118A">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2.2.11 检出限：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0.06 mg/L</w:t>
      </w:r>
      <w:r>
        <w:rPr>
          <w:rFonts w:hint="eastAsia" w:ascii="宋体" w:hAnsi="宋体" w:eastAsia="宋体" w:cs="宋体"/>
          <w:color w:val="auto"/>
          <w:sz w:val="21"/>
          <w:szCs w:val="21"/>
          <w:highlight w:val="none"/>
          <w:lang w:eastAsia="zh-CN"/>
        </w:rPr>
        <w:t>；</w:t>
      </w:r>
    </w:p>
    <w:p w14:paraId="31E831B6">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2.2.12 重现性：RSD</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p>
    <w:p w14:paraId="6D46E28F">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2.2.13 准确度：±2%</w:t>
      </w:r>
      <w:r>
        <w:rPr>
          <w:rFonts w:hint="eastAsia" w:ascii="宋体" w:hAnsi="宋体" w:eastAsia="宋体" w:cs="宋体"/>
          <w:color w:val="auto"/>
          <w:sz w:val="21"/>
          <w:szCs w:val="21"/>
          <w:highlight w:val="none"/>
          <w:lang w:eastAsia="zh-CN"/>
        </w:rPr>
        <w:t>；</w:t>
      </w:r>
    </w:p>
    <w:p w14:paraId="4F25E179">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2.2.14 测量时间：12-15分钟/水样（水样测量全流程）</w:t>
      </w:r>
      <w:r>
        <w:rPr>
          <w:rFonts w:hint="eastAsia" w:ascii="宋体" w:hAnsi="宋体" w:eastAsia="宋体" w:cs="宋体"/>
          <w:color w:val="auto"/>
          <w:sz w:val="21"/>
          <w:szCs w:val="21"/>
          <w:highlight w:val="none"/>
          <w:lang w:eastAsia="zh-CN"/>
        </w:rPr>
        <w:t>；</w:t>
      </w:r>
    </w:p>
    <w:p w14:paraId="2591CB33">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2.2.15 电源：220V 50Hz </w:t>
      </w:r>
      <w:r>
        <w:rPr>
          <w:rFonts w:hint="eastAsia" w:ascii="宋体" w:hAnsi="宋体" w:eastAsia="宋体" w:cs="宋体"/>
          <w:color w:val="auto"/>
          <w:sz w:val="21"/>
          <w:szCs w:val="21"/>
          <w:highlight w:val="none"/>
          <w:lang w:eastAsia="zh-CN"/>
        </w:rPr>
        <w:t>。</w:t>
      </w:r>
    </w:p>
    <w:p w14:paraId="45164C2D">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3.配置要求</w:t>
      </w:r>
    </w:p>
    <w:p w14:paraId="1E2693A2">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 全自动红外测油主机：1</w:t>
      </w:r>
      <w:r>
        <w:rPr>
          <w:rFonts w:hint="eastAsia" w:ascii="宋体" w:hAnsi="宋体" w:eastAsia="宋体" w:cs="宋体"/>
          <w:color w:val="auto"/>
          <w:sz w:val="21"/>
          <w:szCs w:val="21"/>
          <w:highlight w:val="none"/>
          <w:lang w:val="en-US" w:eastAsia="zh-CN"/>
        </w:rPr>
        <w:t>套；</w:t>
      </w:r>
    </w:p>
    <w:p w14:paraId="0FB9C27D">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3.2 数据处理系统：1套</w:t>
      </w:r>
      <w:r>
        <w:rPr>
          <w:rFonts w:hint="eastAsia" w:ascii="宋体" w:hAnsi="宋体" w:eastAsia="宋体" w:cs="宋体"/>
          <w:color w:val="auto"/>
          <w:sz w:val="21"/>
          <w:szCs w:val="21"/>
          <w:highlight w:val="none"/>
          <w:lang w:eastAsia="zh-CN"/>
        </w:rPr>
        <w:t>；</w:t>
      </w:r>
    </w:p>
    <w:p w14:paraId="7A85CC7A">
      <w:pPr>
        <w:widowControl/>
        <w:snapToGrid/>
        <w:spacing w:before="0" w:after="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3.3 标准配件及耗材（含1年）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1套</w:t>
      </w:r>
      <w:r>
        <w:rPr>
          <w:rFonts w:hint="eastAsia" w:ascii="宋体" w:hAnsi="宋体" w:eastAsia="宋体" w:cs="宋体"/>
          <w:color w:val="auto"/>
          <w:sz w:val="21"/>
          <w:szCs w:val="21"/>
          <w:highlight w:val="none"/>
          <w:lang w:eastAsia="zh-CN"/>
        </w:rPr>
        <w:t>。</w:t>
      </w:r>
    </w:p>
    <w:p w14:paraId="325B5818">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4.售后服务要求</w:t>
      </w:r>
    </w:p>
    <w:p w14:paraId="674383DF">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响应时间：在接到电话或书面通知后4小时内给予答复，紧急问题应在48小时内抵达现场。</w:t>
      </w:r>
    </w:p>
    <w:p w14:paraId="773B091A">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 xml:space="preserve"> 质量保证期：设备验收合格后，整机质保24个月。</w:t>
      </w:r>
    </w:p>
    <w:p w14:paraId="4F9EE058">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 xml:space="preserve"> 技术服务的范围及内容：</w:t>
      </w:r>
      <w:r>
        <w:rPr>
          <w:rFonts w:hint="eastAsia" w:ascii="宋体" w:hAnsi="宋体" w:eastAsia="宋体" w:cs="宋体"/>
          <w:color w:val="auto"/>
          <w:sz w:val="21"/>
          <w:szCs w:val="21"/>
          <w:highlight w:val="none"/>
          <w:lang w:val="en-US" w:eastAsia="zh-CN"/>
        </w:rPr>
        <w:t>供货商</w:t>
      </w:r>
      <w:r>
        <w:rPr>
          <w:rFonts w:hint="eastAsia" w:ascii="宋体" w:hAnsi="宋体" w:eastAsia="宋体" w:cs="宋体"/>
          <w:color w:val="auto"/>
          <w:sz w:val="21"/>
          <w:szCs w:val="21"/>
          <w:highlight w:val="none"/>
        </w:rPr>
        <w:t>委派技术人员到采购人指定现场，完成设备安装、调试及性能测试工作，直至运行稳定、各项技术指标满足要求并验收合格。</w:t>
      </w:r>
    </w:p>
    <w:p w14:paraId="1E293B30">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4.4在质保期内按采购人要求，开展技术培训和支持（含现场培训）</w:t>
      </w:r>
      <w:r>
        <w:rPr>
          <w:rFonts w:hint="eastAsia" w:ascii="宋体" w:hAnsi="宋体" w:eastAsia="宋体" w:cs="宋体"/>
          <w:color w:val="auto"/>
          <w:sz w:val="21"/>
          <w:szCs w:val="21"/>
          <w:highlight w:val="none"/>
        </w:rPr>
        <w:t>。</w:t>
      </w:r>
    </w:p>
    <w:p w14:paraId="254AEB0A">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 质保期内，所有故障提供技术服务和维修，包括配套的所有耗材，仪器设备保养维护（一年不少于 2 次）及自校工作等。</w:t>
      </w:r>
    </w:p>
    <w:p w14:paraId="6F8359D9">
      <w:pPr>
        <w:widowControl/>
        <w:spacing w:line="360" w:lineRule="auto"/>
        <w:ind w:firstLine="420"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4.6提供操作软件终身升级及版本更新服务</w:t>
      </w:r>
      <w:r>
        <w:rPr>
          <w:rFonts w:hint="eastAsia" w:ascii="宋体" w:hAnsi="宋体" w:eastAsia="宋体" w:cs="宋体"/>
          <w:color w:val="auto"/>
          <w:sz w:val="21"/>
          <w:szCs w:val="21"/>
          <w:highlight w:val="none"/>
        </w:rPr>
        <w:t>。</w:t>
      </w:r>
    </w:p>
    <w:p w14:paraId="07BE3241">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（三）便携式气相分子吸收光谱仪</w:t>
      </w:r>
    </w:p>
    <w:p w14:paraId="048256E0">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1.采购内容</w:t>
      </w:r>
    </w:p>
    <w:p w14:paraId="1F0632B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采购便携式气相分子吸收光谱仪1套，主要用于测定各种水质样品中的氨氮、亚硝酸盐氮、硝酸盐氮、总氮、硫化物等项目，符合中华人民共和国环境保护行业标准《水质 氨氮的测定 气相分子吸收光谱法》（HJ 195-2023）、《水质 亚硝酸盐氮的测定 气相分子吸收光谱法》（HJ 197-2024）、《水质 硝酸盐氮的测定 气相分子吸收光谱法》（HJ 198-2024）、《水质 总氮的测定 气相分子吸收光谱法》（HJ 199-2023）、《水质 硫化物的测定 气相分子吸收光谱法》（HJ 200-2023）等方法要求。</w:t>
      </w:r>
    </w:p>
    <w:p w14:paraId="5070B2A4">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2.技术参数要求</w:t>
      </w:r>
    </w:p>
    <w:p w14:paraId="4BD30E91">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2.1便携性要求：</w:t>
      </w:r>
    </w:p>
    <w:p w14:paraId="0A34A19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便携要求：在一个主机内集成仪器正常工作需要全部功能，主机包含进样及反应控制系统、气液分离系统、氨氮在线氧化系统、总氮在线消解系统、光源光学及检测系统，配备输出控制系统。主机配有带轮便携箱，便于携带、野外使用；</w:t>
      </w:r>
    </w:p>
    <w:p w14:paraId="73852B71">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供电要求：配备移动电源及220V交流接口，适用于野外及实验室多种应用场景。使用移动电源可以满足所有项目检测时间≥4h；</w:t>
      </w:r>
    </w:p>
    <w:p w14:paraId="78D493F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气源要求：主机内置气源可独立完成检测，同时支持使用外供载气；</w:t>
      </w:r>
    </w:p>
    <w:p w14:paraId="5456A6E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 自动进样要求：配有便携式自动进样器，样品盘位不小于38位。</w:t>
      </w:r>
    </w:p>
    <w:p w14:paraId="254DF1DC">
      <w:pPr>
        <w:widowControl/>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2.2 工作站（软件）</w:t>
      </w:r>
      <w:r>
        <w:rPr>
          <w:rFonts w:hint="eastAsia" w:ascii="宋体" w:hAnsi="宋体" w:eastAsia="宋体" w:cs="宋体"/>
          <w:color w:val="auto"/>
          <w:sz w:val="21"/>
          <w:szCs w:val="21"/>
          <w:highlight w:val="none"/>
        </w:rPr>
        <w:t xml:space="preserve"> </w:t>
      </w:r>
    </w:p>
    <w:p w14:paraId="581673F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2.2.1软件具有自检功能，测定前自动检测通讯口、波长、泵转速等；</w:t>
      </w:r>
    </w:p>
    <w:p w14:paraId="53DB6C48">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 具备实时的数据图谱显示功能，便于观察分析样品测定各状态的图谱信息，同一样品的平行测定峰型具备对比查看功能，便于用户进行数据有效性分析；</w:t>
      </w:r>
    </w:p>
    <w:p w14:paraId="797B62B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软件可随时进行样品添加、删除、紧急插入等操作；</w:t>
      </w:r>
    </w:p>
    <w:p w14:paraId="029DEA6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 报表设计可根据具体需求进行定制化设计。</w:t>
      </w:r>
    </w:p>
    <w:p w14:paraId="5B4C29A4">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自动进样系统</w:t>
      </w:r>
    </w:p>
    <w:p w14:paraId="254455D0">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2.3.1样品位数：样品位不少于38位；</w:t>
      </w:r>
    </w:p>
    <w:p w14:paraId="6DD72B30">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2.3.2配备一体化同步吹扫均质系统，在清洗过程、进样前或进样过程中始终保持吹扫，避免取样过程中样品中的絮凝物或颗粒物不断沉淀，造成取样不准； </w:t>
      </w:r>
    </w:p>
    <w:p w14:paraId="2736A51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2.3.3程序控制流动洗针池：可根据进样针污染情况软件设置洗针纯水流量。</w:t>
      </w:r>
    </w:p>
    <w:p w14:paraId="7434CA0C">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2.4光学系统</w:t>
      </w:r>
    </w:p>
    <w:p w14:paraId="4A7E147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2.4.1采用光谱学常用的单元素高精度检测器，只需一次进样即可显示标准要求波长下的检测结果；</w:t>
      </w:r>
    </w:p>
    <w:p w14:paraId="6D8D205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2.4.2具备自动波长调控系统，根据系统设定开机自动校准波长，保障每次运行的波长可靠性与准确性；</w:t>
      </w:r>
    </w:p>
    <w:p w14:paraId="69910686">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2.4.3采用连续光源，检测范围190-900nm连续可调，固定灯位，光路稳定，光源寿命：≥2000小时；所有项目的测定无需切换光源，避免使用多个空心阴极灯分别测量不同项目；</w:t>
      </w:r>
    </w:p>
    <w:p w14:paraId="418C16A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2.4.4具备光源寿命统计监测功能，当光源进入低能量状态时能够及时提醒更换光源。</w:t>
      </w:r>
    </w:p>
    <w:p w14:paraId="289B7991">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2.5其它功能要求：</w:t>
      </w:r>
    </w:p>
    <w:p w14:paraId="520D81A1">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2.5.1半导体恒温除湿系统：除湿系统温度实时显示，分析全过程中完全不使用任何干燥剂；</w:t>
      </w:r>
    </w:p>
    <w:p w14:paraId="5ED71EA4">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★2.5.2气源监测报警系统：具备流量监控功能，软件界面实时显示载气流量值，当载气流量异常时停机、报警并软件提示</w:t>
      </w:r>
      <w:r>
        <w:rPr>
          <w:rFonts w:hint="eastAsia" w:ascii="宋体" w:hAnsi="宋体" w:eastAsia="宋体" w:cs="宋体"/>
          <w:color w:val="auto"/>
          <w:sz w:val="21"/>
          <w:szCs w:val="21"/>
          <w:highlight w:val="none"/>
          <w:lang w:eastAsia="zh-CN"/>
        </w:rPr>
        <w:t>；</w:t>
      </w:r>
    </w:p>
    <w:p w14:paraId="7290B2E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2.5.3基线漂移：±0.0010Abs（预热2h，连续测试1h）；</w:t>
      </w:r>
    </w:p>
    <w:p w14:paraId="0E8534D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2.5.4噪声：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0.0005Abs，具备测量全程基线实时显示功能。</w:t>
      </w:r>
    </w:p>
    <w:p w14:paraId="7F2284BE">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2.6分析项目的技术指标</w:t>
      </w:r>
    </w:p>
    <w:p w14:paraId="6943A80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2.6.1氨氮项目：</w:t>
      </w:r>
    </w:p>
    <w:p w14:paraId="301D769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2.6.1.1精密度要求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0.2mg/L</w:t>
      </w:r>
      <w:r>
        <w:rPr>
          <w:rFonts w:hint="eastAsia" w:ascii="宋体" w:hAnsi="宋体" w:eastAsia="宋体" w:cs="宋体"/>
          <w:color w:val="auto"/>
          <w:sz w:val="21"/>
          <w:szCs w:val="21"/>
          <w:highlight w:val="none"/>
          <w:lang w:val="en-US" w:eastAsia="zh-CN"/>
        </w:rPr>
        <w:t>浓度点，</w:t>
      </w:r>
      <w:r>
        <w:rPr>
          <w:rFonts w:hint="eastAsia" w:ascii="宋体" w:hAnsi="宋体" w:eastAsia="宋体" w:cs="宋体"/>
          <w:color w:val="auto"/>
          <w:sz w:val="21"/>
          <w:szCs w:val="21"/>
          <w:highlight w:val="none"/>
        </w:rPr>
        <w:t>连续测定6次，RSD</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p>
    <w:p w14:paraId="1A8EC0D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2.6.1.2线性要求：根据设定自动配置标准曲线浓度，相关性系数r</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0.9995；</w:t>
      </w:r>
    </w:p>
    <w:p w14:paraId="102554D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2.6.1.3检出限要求：检出限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0.02mg/L。</w:t>
      </w:r>
    </w:p>
    <w:p w14:paraId="3565BAA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2.6.2亚硝酸盐氮：</w:t>
      </w:r>
    </w:p>
    <w:p w14:paraId="6537103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2.6.2.1精密度要求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0.2mg/L</w:t>
      </w:r>
      <w:r>
        <w:rPr>
          <w:rFonts w:hint="eastAsia" w:ascii="宋体" w:hAnsi="宋体" w:eastAsia="宋体" w:cs="宋体"/>
          <w:color w:val="auto"/>
          <w:sz w:val="21"/>
          <w:szCs w:val="21"/>
          <w:highlight w:val="none"/>
          <w:lang w:val="en-US" w:eastAsia="zh-CN"/>
        </w:rPr>
        <w:t>浓度点，</w:t>
      </w:r>
      <w:r>
        <w:rPr>
          <w:rFonts w:hint="eastAsia" w:ascii="宋体" w:hAnsi="宋体" w:eastAsia="宋体" w:cs="宋体"/>
          <w:color w:val="auto"/>
          <w:sz w:val="21"/>
          <w:szCs w:val="21"/>
          <w:highlight w:val="none"/>
        </w:rPr>
        <w:t>连续测定6次，RSD</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p>
    <w:p w14:paraId="3A0B2C4F">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2.6.2.2线性要求：根据设定自动配置标准曲线浓度，相关性系数r</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0.9995；</w:t>
      </w:r>
    </w:p>
    <w:p w14:paraId="22776CE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2.6.2.3检出限要求：检出限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0.003mg/L。</w:t>
      </w:r>
    </w:p>
    <w:p w14:paraId="16CC484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2.6.3硫化物项目：</w:t>
      </w:r>
    </w:p>
    <w:p w14:paraId="7461F07D">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2.6.3.1精密度要求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0.2mg/L</w:t>
      </w:r>
      <w:r>
        <w:rPr>
          <w:rFonts w:hint="eastAsia" w:ascii="宋体" w:hAnsi="宋体" w:eastAsia="宋体" w:cs="宋体"/>
          <w:color w:val="auto"/>
          <w:sz w:val="21"/>
          <w:szCs w:val="21"/>
          <w:highlight w:val="none"/>
          <w:lang w:val="en-US" w:eastAsia="zh-CN"/>
        </w:rPr>
        <w:t>浓度点，</w:t>
      </w:r>
      <w:r>
        <w:rPr>
          <w:rFonts w:hint="eastAsia" w:ascii="宋体" w:hAnsi="宋体" w:eastAsia="宋体" w:cs="宋体"/>
          <w:color w:val="auto"/>
          <w:sz w:val="21"/>
          <w:szCs w:val="21"/>
          <w:highlight w:val="none"/>
        </w:rPr>
        <w:t>连续测定6次，RSD</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p>
    <w:p w14:paraId="425F00B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2.6.3.2线性要求：根据设定自动配置标准曲线浓度，相关性系数r</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0.9995；</w:t>
      </w:r>
    </w:p>
    <w:p w14:paraId="4CED713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2.6.3.3检出限要求：检出限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0.005mg/L。</w:t>
      </w:r>
    </w:p>
    <w:p w14:paraId="66926D3D">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2.6.4硝酸盐氮项目：</w:t>
      </w:r>
    </w:p>
    <w:p w14:paraId="1D543F1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2.6.4.1精密度要求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mg/L</w:t>
      </w:r>
      <w:r>
        <w:rPr>
          <w:rFonts w:hint="eastAsia" w:ascii="宋体" w:hAnsi="宋体" w:eastAsia="宋体" w:cs="宋体"/>
          <w:color w:val="auto"/>
          <w:sz w:val="21"/>
          <w:szCs w:val="21"/>
          <w:highlight w:val="none"/>
          <w:lang w:val="en-US" w:eastAsia="zh-CN"/>
        </w:rPr>
        <w:t>浓度点，</w:t>
      </w:r>
      <w:r>
        <w:rPr>
          <w:rFonts w:hint="eastAsia" w:ascii="宋体" w:hAnsi="宋体" w:eastAsia="宋体" w:cs="宋体"/>
          <w:color w:val="auto"/>
          <w:sz w:val="21"/>
          <w:szCs w:val="21"/>
          <w:highlight w:val="none"/>
        </w:rPr>
        <w:t>连续测定6次，RSD</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p>
    <w:p w14:paraId="1E94806E">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2.6.4.2线性要求：根据设定自动配置标准曲线浓度，相关性系数r</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0.9995；</w:t>
      </w:r>
    </w:p>
    <w:p w14:paraId="1E092D3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2.6.4.3检出限要求：检出限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0.006mg/L。</w:t>
      </w:r>
    </w:p>
    <w:p w14:paraId="3B38C45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2.6.5总氮项目：</w:t>
      </w:r>
    </w:p>
    <w:p w14:paraId="5783C8C6">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2.6.5.1精密度要求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mg/L</w:t>
      </w:r>
      <w:r>
        <w:rPr>
          <w:rFonts w:hint="eastAsia" w:ascii="宋体" w:hAnsi="宋体" w:eastAsia="宋体" w:cs="宋体"/>
          <w:color w:val="auto"/>
          <w:sz w:val="21"/>
          <w:szCs w:val="21"/>
          <w:highlight w:val="none"/>
          <w:lang w:val="en-US" w:eastAsia="zh-CN"/>
        </w:rPr>
        <w:t>浓度点，</w:t>
      </w:r>
      <w:r>
        <w:rPr>
          <w:rFonts w:hint="eastAsia" w:ascii="宋体" w:hAnsi="宋体" w:eastAsia="宋体" w:cs="宋体"/>
          <w:color w:val="auto"/>
          <w:sz w:val="21"/>
          <w:szCs w:val="21"/>
          <w:highlight w:val="none"/>
        </w:rPr>
        <w:t>连续测定6次，RSD</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p>
    <w:p w14:paraId="1F70B4D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2.6.5.2线性要求：根据设定自动配置标准曲线浓度，相关性系数r</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0.9995；</w:t>
      </w:r>
    </w:p>
    <w:p w14:paraId="36CB888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2.6.5.3检出限要求：检出限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0.05mg/L；</w:t>
      </w:r>
    </w:p>
    <w:p w14:paraId="492D7A4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2.6.5.4消解器功率小于100w，安全可靠（可用功率计现场检测）；</w:t>
      </w:r>
    </w:p>
    <w:p w14:paraId="3CB6E628">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2.6.5.5能够</w:t>
      </w:r>
      <w:r>
        <w:rPr>
          <w:rFonts w:hint="eastAsia" w:ascii="宋体" w:hAnsi="宋体" w:eastAsia="宋体" w:cs="宋体"/>
          <w:color w:val="auto"/>
          <w:sz w:val="21"/>
          <w:szCs w:val="21"/>
          <w:highlight w:val="none"/>
          <w:lang w:val="en-US" w:eastAsia="zh-CN"/>
        </w:rPr>
        <w:t>实现</w:t>
      </w:r>
      <w:r>
        <w:rPr>
          <w:rFonts w:hint="eastAsia" w:ascii="宋体" w:hAnsi="宋体" w:eastAsia="宋体" w:cs="宋体"/>
          <w:color w:val="auto"/>
          <w:sz w:val="21"/>
          <w:szCs w:val="21"/>
          <w:highlight w:val="none"/>
        </w:rPr>
        <w:t>连续分析，中间无需停止样品检测清洗管路；</w:t>
      </w:r>
    </w:p>
    <w:p w14:paraId="2BB2421F">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2.6.5.6管路切换采用免维护电磁阀，减少日常维护难度。</w:t>
      </w:r>
    </w:p>
    <w:p w14:paraId="7D4818DE">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3.配置要求</w:t>
      </w:r>
    </w:p>
    <w:p w14:paraId="2CDDDB0F">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3.1主机（含进样系统、自动除水系统、氨氮氧化系统、总氮在线消解系统、电子流量系统、载气净化系统、TCS温度控制系统、自动稀释系统）1套；</w:t>
      </w:r>
    </w:p>
    <w:p w14:paraId="69A25F50">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3.2自动进样器 1套；</w:t>
      </w:r>
    </w:p>
    <w:p w14:paraId="6A31162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3.3气相分子吸收光谱仪软件系统1套；</w:t>
      </w:r>
    </w:p>
    <w:p w14:paraId="1B3B4960">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3.4耗材配件（含进样软管、尾气吸收装置、备用吸光管、进样针等）1套；</w:t>
      </w:r>
    </w:p>
    <w:p w14:paraId="70D802A8">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3.5电脑（支持工作站正常运转）1套；</w:t>
      </w:r>
    </w:p>
    <w:p w14:paraId="0D64E6F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3.6移动电源1套，所有项目检测时间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4h。</w:t>
      </w:r>
    </w:p>
    <w:p w14:paraId="595DFDF2">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4.售后服务要求</w:t>
      </w:r>
    </w:p>
    <w:p w14:paraId="2A1E21B6">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响应时间：在接到电话或书面通知后4小时内给予答复，紧急问题应在48小时内抵达现场。</w:t>
      </w:r>
    </w:p>
    <w:p w14:paraId="1998AC8D">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 xml:space="preserve"> 质量保证期：设备验收合格后整机质保24个月。</w:t>
      </w:r>
    </w:p>
    <w:p w14:paraId="59BD829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 xml:space="preserve"> 技术服务的范围及内容：</w:t>
      </w:r>
      <w:r>
        <w:rPr>
          <w:rFonts w:hint="eastAsia" w:ascii="宋体" w:hAnsi="宋体" w:eastAsia="宋体" w:cs="宋体"/>
          <w:color w:val="auto"/>
          <w:sz w:val="21"/>
          <w:szCs w:val="21"/>
          <w:highlight w:val="none"/>
          <w:lang w:val="en-US" w:eastAsia="zh-CN"/>
        </w:rPr>
        <w:t>供货商</w:t>
      </w:r>
      <w:r>
        <w:rPr>
          <w:rFonts w:hint="eastAsia" w:ascii="宋体" w:hAnsi="宋体" w:eastAsia="宋体" w:cs="宋体"/>
          <w:color w:val="auto"/>
          <w:sz w:val="21"/>
          <w:szCs w:val="21"/>
          <w:highlight w:val="none"/>
        </w:rPr>
        <w:t>委派技术人员到采购人指定现场，完成设备安装、调试及性能测试工作，直至运行稳定、各项技术指标满足要求并验收合格。</w:t>
      </w:r>
    </w:p>
    <w:p w14:paraId="11F6EB80">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4.4在质保期内按采购人要求，开展技术培训和支持（含现场培训）</w:t>
      </w:r>
      <w:r>
        <w:rPr>
          <w:rFonts w:hint="eastAsia" w:ascii="宋体" w:hAnsi="宋体" w:eastAsia="宋体" w:cs="宋体"/>
          <w:color w:val="auto"/>
          <w:sz w:val="21"/>
          <w:szCs w:val="21"/>
          <w:highlight w:val="none"/>
        </w:rPr>
        <w:t>。</w:t>
      </w:r>
    </w:p>
    <w:p w14:paraId="3F4B775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 质保期内，所有故障提供技术服务和维修，包括配套的所有耗材，仪器设备保养维护（一年不少于 2 次）及自校工作等。</w:t>
      </w:r>
    </w:p>
    <w:p w14:paraId="4FFEDB6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4.6提供操作软件终身升级及版本更新服务</w:t>
      </w:r>
      <w:r>
        <w:rPr>
          <w:rFonts w:hint="eastAsia" w:ascii="宋体" w:hAnsi="宋体" w:eastAsia="宋体" w:cs="宋体"/>
          <w:color w:val="auto"/>
          <w:sz w:val="21"/>
          <w:szCs w:val="21"/>
          <w:highlight w:val="none"/>
        </w:rPr>
        <w:t>。</w:t>
      </w:r>
    </w:p>
    <w:p w14:paraId="7EFCF0CE">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（四）双光束紫外可见分光光度计</w:t>
      </w:r>
    </w:p>
    <w:p w14:paraId="4E9FDA4C">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1.采购内容</w:t>
      </w:r>
    </w:p>
    <w:p w14:paraId="19FC5AD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采购紫外可见分光光度计1套，用于对环境中水、土壤、固废等样品中常规污染指标、无机污染物及特征有机污染物进行定量与定性分析，满足环境监测日常检测需求。</w:t>
      </w:r>
    </w:p>
    <w:p w14:paraId="51CE051E">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2.技术参数要求</w:t>
      </w:r>
    </w:p>
    <w:p w14:paraId="18B5206D">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2.1光学系统：双光束测光系统；</w:t>
      </w:r>
    </w:p>
    <w:p w14:paraId="10D8AA98">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2波长范围：190～900nm</w:t>
      </w:r>
      <w:r>
        <w:rPr>
          <w:rFonts w:hint="eastAsia" w:ascii="宋体" w:hAnsi="宋体" w:eastAsia="宋体" w:cs="宋体"/>
          <w:color w:val="auto"/>
          <w:sz w:val="21"/>
          <w:szCs w:val="21"/>
          <w:highlight w:val="none"/>
          <w:lang w:eastAsia="zh-CN"/>
        </w:rPr>
        <w:t>；</w:t>
      </w:r>
    </w:p>
    <w:p w14:paraId="6E2E16D2">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3波长准确度：±0.1nm（D</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lang w:val="en-US" w:eastAsia="zh-CN"/>
        </w:rPr>
        <w:t>灯</w:t>
      </w:r>
      <w:r>
        <w:rPr>
          <w:rFonts w:hint="eastAsia" w:ascii="宋体" w:hAnsi="宋体" w:eastAsia="宋体" w:cs="宋体"/>
          <w:color w:val="auto"/>
          <w:sz w:val="21"/>
          <w:szCs w:val="21"/>
          <w:highlight w:val="none"/>
        </w:rPr>
        <w:t>656.1nm）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±0.3nm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全波长范围</w:t>
      </w:r>
      <w:r>
        <w:rPr>
          <w:rFonts w:hint="eastAsia" w:ascii="宋体" w:hAnsi="宋体" w:eastAsia="宋体" w:cs="宋体"/>
          <w:color w:val="auto"/>
          <w:sz w:val="21"/>
          <w:szCs w:val="21"/>
          <w:highlight w:val="none"/>
          <w:lang w:eastAsia="zh-CN"/>
        </w:rPr>
        <w:t>）；</w:t>
      </w:r>
    </w:p>
    <w:p w14:paraId="1C81F83C">
      <w:pPr>
        <w:widowControl/>
        <w:spacing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4波长重复性：≤0.15nm</w:t>
      </w:r>
      <w:r>
        <w:rPr>
          <w:rFonts w:hint="eastAsia" w:ascii="宋体" w:hAnsi="宋体" w:eastAsia="宋体" w:cs="宋体"/>
          <w:b w:val="0"/>
          <w:bCs w:val="0"/>
          <w:color w:val="auto"/>
          <w:sz w:val="21"/>
          <w:szCs w:val="21"/>
          <w:highlight w:val="none"/>
          <w:lang w:eastAsia="zh-CN"/>
        </w:rPr>
        <w:t>；</w:t>
      </w:r>
    </w:p>
    <w:p w14:paraId="7A5D2419">
      <w:pPr>
        <w:widowControl/>
        <w:spacing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5光谱带宽： 0.1-5nm以0.1nm为间隔连续可调</w:t>
      </w:r>
      <w:r>
        <w:rPr>
          <w:rFonts w:hint="eastAsia" w:ascii="宋体" w:hAnsi="宋体" w:eastAsia="宋体" w:cs="宋体"/>
          <w:b w:val="0"/>
          <w:bCs w:val="0"/>
          <w:color w:val="auto"/>
          <w:sz w:val="21"/>
          <w:szCs w:val="21"/>
          <w:highlight w:val="none"/>
          <w:lang w:eastAsia="zh-CN"/>
        </w:rPr>
        <w:t>；</w:t>
      </w:r>
    </w:p>
    <w:p w14:paraId="40AC35C8">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6杂散光：≤0.01%T (220nm，Nal)   ≤0.05%T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360nm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NaN</w:t>
      </w:r>
      <w:r>
        <w:rPr>
          <w:rFonts w:hint="eastAsia" w:ascii="宋体" w:hAnsi="宋体" w:eastAsia="宋体" w:cs="宋体"/>
          <w:color w:val="auto"/>
          <w:sz w:val="21"/>
          <w:szCs w:val="21"/>
          <w:highlight w:val="none"/>
          <w:lang w:val="en-US" w:eastAsia="zh-CN"/>
        </w:rPr>
        <w:t>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2CE4CCB2">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7光度范围：-4 ～4Abs</w:t>
      </w:r>
      <w:r>
        <w:rPr>
          <w:rFonts w:hint="eastAsia" w:ascii="宋体" w:hAnsi="宋体" w:eastAsia="宋体" w:cs="宋体"/>
          <w:color w:val="auto"/>
          <w:sz w:val="21"/>
          <w:szCs w:val="21"/>
          <w:highlight w:val="none"/>
          <w:lang w:eastAsia="zh-CN"/>
        </w:rPr>
        <w:t>；</w:t>
      </w:r>
    </w:p>
    <w:p w14:paraId="3A79AFF9">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8光度准确度：±0.002A(0～0.5A)，±0.004A(0.5～1A)，±0.3%T(0～100%T)</w:t>
      </w:r>
      <w:r>
        <w:rPr>
          <w:rFonts w:hint="eastAsia" w:ascii="宋体" w:hAnsi="宋体" w:eastAsia="宋体" w:cs="宋体"/>
          <w:color w:val="auto"/>
          <w:sz w:val="21"/>
          <w:szCs w:val="21"/>
          <w:highlight w:val="none"/>
          <w:lang w:eastAsia="zh-CN"/>
        </w:rPr>
        <w:t>；</w:t>
      </w:r>
    </w:p>
    <w:p w14:paraId="345EDFF1">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9光度重复性：≤0.001A(0～0.5A)，≤0.002A(0.5～1A)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≤0.10%T</w:t>
      </w:r>
      <w:r>
        <w:rPr>
          <w:rFonts w:hint="eastAsia" w:ascii="宋体" w:hAnsi="宋体" w:eastAsia="宋体" w:cs="宋体"/>
          <w:color w:val="auto"/>
          <w:sz w:val="21"/>
          <w:szCs w:val="21"/>
          <w:highlight w:val="none"/>
          <w:lang w:eastAsia="zh-CN"/>
        </w:rPr>
        <w:t>；</w:t>
      </w:r>
    </w:p>
    <w:p w14:paraId="5FA6D73B">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10基线平直度：±0.001A（200～850nm）</w:t>
      </w:r>
      <w:r>
        <w:rPr>
          <w:rFonts w:hint="eastAsia" w:ascii="宋体" w:hAnsi="宋体" w:eastAsia="宋体" w:cs="宋体"/>
          <w:color w:val="auto"/>
          <w:sz w:val="21"/>
          <w:szCs w:val="21"/>
          <w:highlight w:val="none"/>
          <w:lang w:eastAsia="zh-CN"/>
        </w:rPr>
        <w:t>；</w:t>
      </w:r>
    </w:p>
    <w:p w14:paraId="1BEC2327">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11噪声：≤0.1%T （500nm开机预热半小时）</w:t>
      </w:r>
      <w:r>
        <w:rPr>
          <w:rFonts w:hint="eastAsia" w:ascii="宋体" w:hAnsi="宋体" w:eastAsia="宋体" w:cs="宋体"/>
          <w:color w:val="auto"/>
          <w:sz w:val="21"/>
          <w:szCs w:val="21"/>
          <w:highlight w:val="none"/>
          <w:lang w:eastAsia="zh-CN"/>
        </w:rPr>
        <w:t>；</w:t>
      </w:r>
    </w:p>
    <w:p w14:paraId="63EEDCFA">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12基线漂移：≤0.1T%/h(500nm预热1小时后)</w:t>
      </w:r>
      <w:r>
        <w:rPr>
          <w:rFonts w:hint="eastAsia" w:ascii="宋体" w:hAnsi="宋体" w:eastAsia="宋体" w:cs="宋体"/>
          <w:color w:val="auto"/>
          <w:sz w:val="21"/>
          <w:szCs w:val="21"/>
          <w:highlight w:val="none"/>
          <w:lang w:eastAsia="zh-CN"/>
        </w:rPr>
        <w:t>；</w:t>
      </w:r>
    </w:p>
    <w:p w14:paraId="661FDD30">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13光源：插座型长寿命溴钨灯，更换灯后无须调整</w:t>
      </w:r>
      <w:r>
        <w:rPr>
          <w:rFonts w:hint="eastAsia" w:ascii="宋体" w:hAnsi="宋体" w:eastAsia="宋体" w:cs="宋体"/>
          <w:color w:val="auto"/>
          <w:sz w:val="21"/>
          <w:szCs w:val="21"/>
          <w:highlight w:val="none"/>
          <w:lang w:eastAsia="zh-CN"/>
        </w:rPr>
        <w:t>；</w:t>
      </w:r>
    </w:p>
    <w:p w14:paraId="684BF442">
      <w:pPr>
        <w:widowControl/>
        <w:spacing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14检测器：光电倍增管</w:t>
      </w:r>
      <w:r>
        <w:rPr>
          <w:rFonts w:hint="eastAsia" w:ascii="宋体" w:hAnsi="宋体" w:eastAsia="宋体" w:cs="宋体"/>
          <w:b w:val="0"/>
          <w:bCs w:val="0"/>
          <w:color w:val="auto"/>
          <w:sz w:val="21"/>
          <w:szCs w:val="21"/>
          <w:highlight w:val="none"/>
          <w:lang w:eastAsia="zh-CN"/>
        </w:rPr>
        <w:t>；</w:t>
      </w:r>
    </w:p>
    <w:p w14:paraId="74B22092">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15光源转换：自动切换（可在320nm~380nm波段范围内任意设定）</w:t>
      </w:r>
      <w:r>
        <w:rPr>
          <w:rFonts w:hint="eastAsia" w:ascii="宋体" w:hAnsi="宋体" w:eastAsia="宋体" w:cs="宋体"/>
          <w:color w:val="auto"/>
          <w:sz w:val="21"/>
          <w:szCs w:val="21"/>
          <w:highlight w:val="none"/>
          <w:lang w:eastAsia="zh-CN"/>
        </w:rPr>
        <w:t>；</w:t>
      </w:r>
    </w:p>
    <w:p w14:paraId="66D9F1E9">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16光度测量功能：</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rPr>
        <w:t>透过率、吸光度、反射率</w:t>
      </w:r>
      <w:r>
        <w:rPr>
          <w:rFonts w:hint="eastAsia" w:ascii="宋体" w:hAnsi="宋体" w:eastAsia="宋体" w:cs="宋体"/>
          <w:color w:val="auto"/>
          <w:sz w:val="21"/>
          <w:szCs w:val="21"/>
          <w:highlight w:val="none"/>
          <w:lang w:val="en-US" w:eastAsia="zh-CN"/>
        </w:rPr>
        <w:t>等测量功能</w:t>
      </w:r>
      <w:r>
        <w:rPr>
          <w:rFonts w:hint="eastAsia" w:ascii="宋体" w:hAnsi="宋体" w:eastAsia="宋体" w:cs="宋体"/>
          <w:color w:val="auto"/>
          <w:sz w:val="21"/>
          <w:szCs w:val="21"/>
          <w:highlight w:val="none"/>
          <w:lang w:eastAsia="zh-CN"/>
        </w:rPr>
        <w:t>；</w:t>
      </w:r>
    </w:p>
    <w:p w14:paraId="338EB049">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17光栅：采用全息光栅</w:t>
      </w:r>
      <w:r>
        <w:rPr>
          <w:rFonts w:hint="eastAsia" w:ascii="宋体" w:hAnsi="宋体" w:eastAsia="宋体" w:cs="宋体"/>
          <w:color w:val="auto"/>
          <w:sz w:val="21"/>
          <w:szCs w:val="21"/>
          <w:highlight w:val="none"/>
          <w:lang w:eastAsia="zh-CN"/>
        </w:rPr>
        <w:t>；</w:t>
      </w:r>
    </w:p>
    <w:p w14:paraId="0B8B4625">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18光源光学系统：双光束动态反馈比例记录测光系统</w:t>
      </w:r>
      <w:r>
        <w:rPr>
          <w:rFonts w:hint="eastAsia" w:ascii="宋体" w:hAnsi="宋体" w:eastAsia="宋体" w:cs="宋体"/>
          <w:color w:val="auto"/>
          <w:sz w:val="21"/>
          <w:szCs w:val="21"/>
          <w:highlight w:val="none"/>
          <w:lang w:eastAsia="zh-CN"/>
        </w:rPr>
        <w:t>；</w:t>
      </w:r>
    </w:p>
    <w:p w14:paraId="2CE5DF6F">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2.19</w:t>
      </w:r>
      <w:r>
        <w:rPr>
          <w:rFonts w:hint="eastAsia" w:ascii="宋体" w:hAnsi="宋体" w:eastAsia="宋体" w:cs="宋体"/>
          <w:color w:val="auto"/>
          <w:sz w:val="21"/>
          <w:szCs w:val="21"/>
          <w:highlight w:val="none"/>
        </w:rPr>
        <w:t>智能化系统：</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rPr>
        <w:t>自动波长定位、自动换灯、自动波长校准、自动样品池切换功能。</w:t>
      </w:r>
    </w:p>
    <w:p w14:paraId="60B6B027">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3.配置要求</w:t>
      </w:r>
    </w:p>
    <w:p w14:paraId="3CCD140F">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.1紫外可见分光光度计主机1台；</w:t>
      </w:r>
    </w:p>
    <w:p w14:paraId="3F912806">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.2长样品池100mm；</w:t>
      </w:r>
    </w:p>
    <w:p w14:paraId="5457806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.3石英比色皿（10mm）1对；</w:t>
      </w:r>
    </w:p>
    <w:p w14:paraId="2322232B">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.4中文操作软件1套</w:t>
      </w:r>
      <w:r>
        <w:rPr>
          <w:rFonts w:hint="eastAsia" w:ascii="宋体" w:hAnsi="宋体" w:eastAsia="宋体" w:cs="宋体"/>
          <w:color w:val="auto"/>
          <w:sz w:val="21"/>
          <w:szCs w:val="21"/>
          <w:highlight w:val="none"/>
          <w:lang w:val="en-US" w:eastAsia="zh-CN"/>
        </w:rPr>
        <w:t>；</w:t>
      </w:r>
    </w:p>
    <w:p w14:paraId="28AC16A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 数据处理系统和图文输出设备各1套。</w:t>
      </w:r>
    </w:p>
    <w:p w14:paraId="7C36AF3D">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4.售后服务要求</w:t>
      </w:r>
    </w:p>
    <w:p w14:paraId="744F746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响应时间：在接到电话或书面通知后4小时内给予答复，紧急问题应在48小时内抵达现场。</w:t>
      </w:r>
    </w:p>
    <w:p w14:paraId="2A0CC22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 xml:space="preserve"> 质量保证期：设备验收合格后，整机质保24个月。</w:t>
      </w:r>
    </w:p>
    <w:p w14:paraId="5E11A5D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 xml:space="preserve"> 技术服务的范围及内容：</w:t>
      </w:r>
      <w:r>
        <w:rPr>
          <w:rFonts w:hint="eastAsia" w:ascii="宋体" w:hAnsi="宋体" w:eastAsia="宋体" w:cs="宋体"/>
          <w:color w:val="auto"/>
          <w:sz w:val="21"/>
          <w:szCs w:val="21"/>
          <w:highlight w:val="none"/>
          <w:lang w:val="en-US" w:eastAsia="zh-CN"/>
        </w:rPr>
        <w:t>供货商</w:t>
      </w:r>
      <w:r>
        <w:rPr>
          <w:rFonts w:hint="eastAsia" w:ascii="宋体" w:hAnsi="宋体" w:eastAsia="宋体" w:cs="宋体"/>
          <w:color w:val="auto"/>
          <w:sz w:val="21"/>
          <w:szCs w:val="21"/>
          <w:highlight w:val="none"/>
        </w:rPr>
        <w:t>委派技术人员到采购人指定现场，完成设备安装、调试及性能测试工作，直至运行稳定、各项技术指标满足要求并验收合格。</w:t>
      </w:r>
    </w:p>
    <w:p w14:paraId="16EB3DE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4.4在质保期内按采购人要求，开展技术培训和支持（含现场培训）</w:t>
      </w:r>
      <w:r>
        <w:rPr>
          <w:rFonts w:hint="eastAsia" w:ascii="宋体" w:hAnsi="宋体" w:eastAsia="宋体" w:cs="宋体"/>
          <w:color w:val="auto"/>
          <w:sz w:val="21"/>
          <w:szCs w:val="21"/>
          <w:highlight w:val="none"/>
        </w:rPr>
        <w:t>。</w:t>
      </w:r>
    </w:p>
    <w:p w14:paraId="03CE148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 质保期内，所有故障提供技术服务和维修，包括配套的所有耗材，仪器设备保养维护（一年不少于 2 次）及自校工作等。</w:t>
      </w:r>
    </w:p>
    <w:p w14:paraId="2568BD1A">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4.6提供操作软件终身升级及版本更新服务</w:t>
      </w:r>
      <w:r>
        <w:rPr>
          <w:rFonts w:hint="eastAsia" w:ascii="宋体" w:hAnsi="宋体" w:eastAsia="宋体" w:cs="宋体"/>
          <w:color w:val="auto"/>
          <w:sz w:val="21"/>
          <w:szCs w:val="21"/>
          <w:highlight w:val="none"/>
        </w:rPr>
        <w:t>。</w:t>
      </w:r>
    </w:p>
    <w:p w14:paraId="1AE39861">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紫外可见分光光度计</w:t>
      </w:r>
    </w:p>
    <w:p w14:paraId="4AB7F483">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1.采购内容</w:t>
      </w:r>
    </w:p>
    <w:p w14:paraId="22098BF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采购紫外可见分光光度计1套，用于对环境中水、土壤、固废等样品中常规污染指标、无机污染物及特征有机污染物进行定量与定性分析，满足环境监测日常检测需求。</w:t>
      </w:r>
    </w:p>
    <w:p w14:paraId="7F2B9752">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2.技术参数要求</w:t>
      </w:r>
    </w:p>
    <w:p w14:paraId="7268F8F6">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2.1光学系统：双光束比例检测；</w:t>
      </w:r>
    </w:p>
    <w:p w14:paraId="158DAF77">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2.2波长范围：190-1100nm；</w:t>
      </w:r>
    </w:p>
    <w:p w14:paraId="59BF5A49">
      <w:pPr>
        <w:widowControl/>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2.3波长重复性：≤0.2nm；</w:t>
      </w:r>
    </w:p>
    <w:p w14:paraId="083643ED">
      <w:pPr>
        <w:widowControl/>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2.4波长示值误差：±0.1nm；</w:t>
      </w:r>
    </w:p>
    <w:p w14:paraId="28D75D9A">
      <w:pPr>
        <w:widowControl/>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2.5光谱带宽：≤2.0nm；</w:t>
      </w:r>
    </w:p>
    <w:p w14:paraId="633D5F41">
      <w:pPr>
        <w:widowControl/>
        <w:spacing w:line="360" w:lineRule="auto"/>
        <w:ind w:firstLine="42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2.6杂散光：≤0.05%T；</w:t>
      </w:r>
    </w:p>
    <w:p w14:paraId="07A288D3">
      <w:pPr>
        <w:widowControl/>
        <w:spacing w:line="360" w:lineRule="auto"/>
        <w:ind w:firstLine="42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2.7光度范围：-0.3Abs~3Abs；</w:t>
      </w:r>
    </w:p>
    <w:p w14:paraId="3ED64162">
      <w:pPr>
        <w:widowControl/>
        <w:spacing w:line="360" w:lineRule="auto"/>
        <w:ind w:firstLine="42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2.8透射比示值误差：±0.002Abs（0-0.5Abs）；</w:t>
      </w:r>
    </w:p>
    <w:p w14:paraId="1151320C">
      <w:pPr>
        <w:widowControl/>
        <w:spacing w:line="360" w:lineRule="auto"/>
        <w:ind w:firstLine="42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2.9透射比重复性：≤0.001Abs（0-0.5Abs）；</w:t>
      </w:r>
    </w:p>
    <w:p w14:paraId="4B05D089">
      <w:pPr>
        <w:widowControl/>
        <w:spacing w:line="360" w:lineRule="auto"/>
        <w:ind w:firstLine="42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2.10基线平直度：±0.002nm（200nm-1090nm)；</w:t>
      </w:r>
    </w:p>
    <w:p w14:paraId="6241AFEC">
      <w:pPr>
        <w:widowControl/>
        <w:spacing w:line="360" w:lineRule="auto"/>
        <w:ind w:firstLine="42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2.11噪声：≤0.15%T(500nm、250nm、P~P）；</w:t>
      </w:r>
    </w:p>
    <w:p w14:paraId="0D9FE16C">
      <w:pPr>
        <w:widowControl/>
        <w:spacing w:line="360" w:lineRule="auto"/>
        <w:ind w:firstLine="42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2.12基线漂移：≤0.35%T/h。</w:t>
      </w:r>
    </w:p>
    <w:p w14:paraId="5CE9C1A7">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3.配置要求</w:t>
      </w:r>
    </w:p>
    <w:p w14:paraId="6A89D91D">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.1紫外可见分光光度计主机1台；</w:t>
      </w:r>
    </w:p>
    <w:p w14:paraId="74A43D52">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 10mm石英比色皿1对。</w:t>
      </w:r>
    </w:p>
    <w:p w14:paraId="5D539156">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4.售后服务要求</w:t>
      </w:r>
    </w:p>
    <w:p w14:paraId="33F03A1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响应时间：在接到电话或书面通知后4小时内给予答复，紧急问题应在48小时内抵达现场。</w:t>
      </w:r>
    </w:p>
    <w:p w14:paraId="7E3C2496">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 xml:space="preserve"> 质量保证期：设备验收合格后，整机质保24个月。</w:t>
      </w:r>
    </w:p>
    <w:p w14:paraId="5B3640A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 xml:space="preserve"> 技术服务的范围及内容：</w:t>
      </w:r>
      <w:r>
        <w:rPr>
          <w:rFonts w:hint="eastAsia" w:ascii="宋体" w:hAnsi="宋体" w:eastAsia="宋体" w:cs="宋体"/>
          <w:color w:val="auto"/>
          <w:sz w:val="21"/>
          <w:szCs w:val="21"/>
          <w:highlight w:val="none"/>
          <w:lang w:val="en-US" w:eastAsia="zh-CN"/>
        </w:rPr>
        <w:t>供货商</w:t>
      </w:r>
      <w:r>
        <w:rPr>
          <w:rFonts w:hint="eastAsia" w:ascii="宋体" w:hAnsi="宋体" w:eastAsia="宋体" w:cs="宋体"/>
          <w:color w:val="auto"/>
          <w:sz w:val="21"/>
          <w:szCs w:val="21"/>
          <w:highlight w:val="none"/>
        </w:rPr>
        <w:t>委派技术人员到采购人指定现场，完成设备安装、调试及性能测试工作，直至运行稳定、各项技术指标满足要求并验收合格。</w:t>
      </w:r>
    </w:p>
    <w:p w14:paraId="041EA33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4.4在质保期内按采购人要求，开展技术培训和支持（含现场培训）</w:t>
      </w:r>
      <w:r>
        <w:rPr>
          <w:rFonts w:hint="eastAsia" w:ascii="宋体" w:hAnsi="宋体" w:eastAsia="宋体" w:cs="宋体"/>
          <w:color w:val="auto"/>
          <w:sz w:val="21"/>
          <w:szCs w:val="21"/>
          <w:highlight w:val="none"/>
        </w:rPr>
        <w:t>。</w:t>
      </w:r>
    </w:p>
    <w:p w14:paraId="3D9D64DD">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 质保期内，所有故障提供技术服务和维修，包括配套的所有耗材，仪器设备保养维护（一年不少于 2 次）及自校工作等。</w:t>
      </w:r>
    </w:p>
    <w:p w14:paraId="23510574">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（六）</w:t>
      </w:r>
      <w:r>
        <w:rPr>
          <w:rFonts w:hint="eastAsia" w:ascii="宋体" w:hAnsi="宋体" w:eastAsia="宋体" w:cs="宋体"/>
          <w:b/>
          <w:bCs/>
          <w:color w:val="auto"/>
          <w:kern w:val="2"/>
          <w:sz w:val="21"/>
          <w:szCs w:val="21"/>
          <w:highlight w:val="none"/>
          <w:lang w:val="en-US" w:eastAsia="zh-CN" w:bidi="ar-SA"/>
        </w:rPr>
        <w:t>干燥箱</w:t>
      </w:r>
    </w:p>
    <w:p w14:paraId="38824F4C">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1.采购内容</w:t>
      </w:r>
    </w:p>
    <w:p w14:paraId="60653FCF">
      <w:pPr>
        <w:widowControl/>
        <w:numPr>
          <w:ilvl w:val="0"/>
          <w:numId w:val="0"/>
        </w:numPr>
        <w:spacing w:line="360" w:lineRule="auto"/>
        <w:ind w:left="360" w:leftChars="0" w:hanging="36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 xml:space="preserve"> </w:t>
      </w:r>
      <w:r>
        <w:rPr>
          <w:rFonts w:hint="eastAsia" w:ascii="宋体" w:hAnsi="宋体" w:eastAsia="宋体" w:cs="宋体"/>
          <w:color w:val="auto"/>
          <w:sz w:val="21"/>
          <w:szCs w:val="21"/>
          <w:highlight w:val="none"/>
          <w:lang w:val="en-US" w:eastAsia="zh-CN"/>
        </w:rPr>
        <w:t>采购干燥箱1套，用于固体试剂、坩埚、玻璃器皿等干燥。</w:t>
      </w:r>
    </w:p>
    <w:p w14:paraId="27E35382">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2.技术参数要求</w:t>
      </w:r>
    </w:p>
    <w:p w14:paraId="74F8762E">
      <w:pPr>
        <w:widowControl/>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2.1性能要求</w:t>
      </w:r>
    </w:p>
    <w:p w14:paraId="17CE1FE4">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2.1.1设备采用具有超温偏差保护、数字显示的微电脑P.I.D温度控制器，并带有定时功能，控温精确可靠；</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2.1.2采用合成硅密封条，能长期高温运行，使用寿命长，便于更换；</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2.1.3可以从控温面板上调节箱内进风和排气量大小。</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 xml:space="preserve"> 2.2技术参数要求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2.2.1电源电压：AC220V 50HZ；</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2.2.2控温范围：RT+10～250℃；</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2.2.3恒温波动度：±1.0℃；</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2.2.4温度分辨率：0.1℃；</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2.2.5温度均匀度：±3%（测试点为100℃）；</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2.2.6工作环境温度：+5～40℃；</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2.2.7输入功率：≥2000W；</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2.2.8容积：≥130L；</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2.2.9载物托架：不少于2块。</w:t>
      </w:r>
    </w:p>
    <w:p w14:paraId="5BAC5984">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3.配置要求</w:t>
      </w:r>
    </w:p>
    <w:p w14:paraId="5DD57B73">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3.1主机1套；</w:t>
      </w:r>
    </w:p>
    <w:p w14:paraId="7C16832B">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3.2载物托架 不少于2块。</w:t>
      </w:r>
    </w:p>
    <w:p w14:paraId="3771DFB3">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4.售后服务要求</w:t>
      </w:r>
    </w:p>
    <w:p w14:paraId="5E1D458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响应时间：在接到电话或书面通知后4小时内给予答复，紧急问题应在48小时内抵达现场。</w:t>
      </w:r>
    </w:p>
    <w:p w14:paraId="0D34E9F8">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 xml:space="preserve"> 质量保证期：设备验收合格后，整机质保24个月。</w:t>
      </w:r>
    </w:p>
    <w:p w14:paraId="378588B1">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 xml:space="preserve"> 技术服务的范围及内容：</w:t>
      </w:r>
      <w:r>
        <w:rPr>
          <w:rFonts w:hint="eastAsia" w:ascii="宋体" w:hAnsi="宋体" w:eastAsia="宋体" w:cs="宋体"/>
          <w:color w:val="auto"/>
          <w:sz w:val="21"/>
          <w:szCs w:val="21"/>
          <w:highlight w:val="none"/>
          <w:lang w:val="en-US" w:eastAsia="zh-CN"/>
        </w:rPr>
        <w:t>供货商</w:t>
      </w:r>
      <w:r>
        <w:rPr>
          <w:rFonts w:hint="eastAsia" w:ascii="宋体" w:hAnsi="宋体" w:eastAsia="宋体" w:cs="宋体"/>
          <w:color w:val="auto"/>
          <w:sz w:val="21"/>
          <w:szCs w:val="21"/>
          <w:highlight w:val="none"/>
        </w:rPr>
        <w:t>委派技术人员到采购人指定现场，完成设备安装、调试及性能测试工作，直至运行稳定、各项技术指标满足要求并验收合格。</w:t>
      </w:r>
    </w:p>
    <w:p w14:paraId="6C4E3FE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4.4在质保期内按采购人要求，开展技术培训和支持（含现场培训）</w:t>
      </w:r>
      <w:r>
        <w:rPr>
          <w:rFonts w:hint="eastAsia" w:ascii="宋体" w:hAnsi="宋体" w:eastAsia="宋体" w:cs="宋体"/>
          <w:color w:val="auto"/>
          <w:sz w:val="21"/>
          <w:szCs w:val="21"/>
          <w:highlight w:val="none"/>
        </w:rPr>
        <w:t>。</w:t>
      </w:r>
    </w:p>
    <w:p w14:paraId="0DD1F35B">
      <w:pPr>
        <w:widowControl/>
        <w:spacing w:line="360" w:lineRule="auto"/>
        <w:ind w:firstLine="420" w:firstLineChars="20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 质保期内，所有故障提供技术服务和维修，包括配套的所有耗材，仪器设备保养维护（一年不少于 2 次）及自校工作等。</w:t>
      </w:r>
    </w:p>
    <w:p w14:paraId="6015753B">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（七）</w:t>
      </w:r>
      <w:r>
        <w:rPr>
          <w:rFonts w:hint="eastAsia" w:ascii="宋体" w:hAnsi="宋体" w:eastAsia="宋体" w:cs="宋体"/>
          <w:b/>
          <w:bCs/>
          <w:color w:val="auto"/>
          <w:kern w:val="2"/>
          <w:sz w:val="21"/>
          <w:szCs w:val="21"/>
          <w:highlight w:val="none"/>
          <w:lang w:val="en-US" w:eastAsia="zh-CN" w:bidi="ar-SA"/>
        </w:rPr>
        <w:t>便携式抽滤装置</w:t>
      </w:r>
    </w:p>
    <w:p w14:paraId="0A472257">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1.采购内容</w:t>
      </w:r>
    </w:p>
    <w:p w14:paraId="2D5B51A6">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采购便携式抽滤装置1套，用于水样的过滤、试剂的过滤等。满足水样溶解态重金属铅、铜、锌、镉、铁、锰等项目采集后在现场过滤；水样叶绿素a 的过滤；水样溶解性总固体的过滤；水样的泥沙等颗粒状杂质过滤等要求。</w:t>
      </w:r>
    </w:p>
    <w:p w14:paraId="3C9E69B6">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2.技术参数要求</w:t>
      </w:r>
    </w:p>
    <w:p w14:paraId="0BB1E54F">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2.1性能指标</w:t>
      </w:r>
    </w:p>
    <w:p w14:paraId="4485E691">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★2.1.1采用一体化设计方式，方便携带，便于现场使用；</w:t>
      </w:r>
    </w:p>
    <w:p w14:paraId="1541ACE0">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2.1.2采用搭扣式抽滤杯，操作简洁，密封可靠性高；</w:t>
      </w:r>
    </w:p>
    <w:p w14:paraId="2D070AE4">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2.1.3仪器本身带滤膜放置盒，可以放置至少2 盒100mm 的微孔滤膜；</w:t>
      </w:r>
    </w:p>
    <w:p w14:paraId="1C386555">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★2.1.4自带高容量锂电池，带过流保护，短路保护，续航时间≥10小时，实时液晶显示电池余量、电压；交直流两用，可直接使用220 伏交流电。</w:t>
      </w:r>
    </w:p>
    <w:p w14:paraId="2AACA590">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2.1.5耐酸碱腐蚀真空泵；</w:t>
      </w:r>
    </w:p>
    <w:p w14:paraId="071E5ED2">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2.1.6集液瓶和样品瓶合二为一，抽滤下一个水样时无需清洗集液瓶；</w:t>
      </w:r>
    </w:p>
    <w:p w14:paraId="421BA6BE">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★2.1.7集液瓶（样品瓶）材质符合《国家地表水环境质量监测任务作业指导书》要求，不含金属离子。</w:t>
      </w:r>
    </w:p>
    <w:p w14:paraId="28BCFC18">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2.2技术参数</w:t>
      </w:r>
    </w:p>
    <w:p w14:paraId="553CF7EE">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2.2.1采样流量（空载） ≥10L/min；</w:t>
      </w:r>
    </w:p>
    <w:p w14:paraId="75E706CA">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2.2.2负载能力 ≥-60kPa；</w:t>
      </w:r>
    </w:p>
    <w:p w14:paraId="44EDEEC6">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2.2.3实用滤膜尺寸 直径100mm；</w:t>
      </w:r>
    </w:p>
    <w:p w14:paraId="3CEDE558">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2.2.4工作温度-20～+50℃；</w:t>
      </w:r>
    </w:p>
    <w:p w14:paraId="556475ED">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2.2.5噪声 ≤55dB(A)；</w:t>
      </w:r>
    </w:p>
    <w:p w14:paraId="5A6DA085">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2.2.6整机重量 ≤4kg；</w:t>
      </w:r>
    </w:p>
    <w:p w14:paraId="5B839E2A">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2.2.7功耗 ≤10 W。</w:t>
      </w:r>
    </w:p>
    <w:p w14:paraId="306E8590">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3.配置要求</w:t>
      </w:r>
    </w:p>
    <w:p w14:paraId="05EDB21D">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3.1便携式抽滤器主机1套；</w:t>
      </w:r>
    </w:p>
    <w:p w14:paraId="0EF2CB5D">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3.2滤膜：1盒；</w:t>
      </w:r>
    </w:p>
    <w:p w14:paraId="2A489F51">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3.3充电器1个；</w:t>
      </w:r>
    </w:p>
    <w:p w14:paraId="6EAFB615">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3.4集液瓶（含盖子）2个；</w:t>
      </w:r>
    </w:p>
    <w:p w14:paraId="4C23DEEC">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3.5滤膜夹1个。</w:t>
      </w:r>
    </w:p>
    <w:p w14:paraId="69B8EE48">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4.售后服务要求</w:t>
      </w:r>
    </w:p>
    <w:p w14:paraId="13CFED38">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响应时间：在接到电话或书面通知后4小时内给予答复，紧急问题应在48小时内抵达现场。</w:t>
      </w:r>
    </w:p>
    <w:p w14:paraId="6C9DEFD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 xml:space="preserve"> 质量保证期：设备验收合格后，整机质保24个月。</w:t>
      </w:r>
    </w:p>
    <w:p w14:paraId="3B3F567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 xml:space="preserve"> 技术服务的范围及内容：</w:t>
      </w:r>
      <w:r>
        <w:rPr>
          <w:rFonts w:hint="eastAsia" w:ascii="宋体" w:hAnsi="宋体" w:eastAsia="宋体" w:cs="宋体"/>
          <w:color w:val="auto"/>
          <w:sz w:val="21"/>
          <w:szCs w:val="21"/>
          <w:highlight w:val="none"/>
          <w:lang w:val="en-US" w:eastAsia="zh-CN"/>
        </w:rPr>
        <w:t>供货商</w:t>
      </w:r>
      <w:r>
        <w:rPr>
          <w:rFonts w:hint="eastAsia" w:ascii="宋体" w:hAnsi="宋体" w:eastAsia="宋体" w:cs="宋体"/>
          <w:color w:val="auto"/>
          <w:sz w:val="21"/>
          <w:szCs w:val="21"/>
          <w:highlight w:val="none"/>
        </w:rPr>
        <w:t>委派技术人员到采购人指定现场，完成设备安装、调试及性能测试工作，直至运行稳定、各项技术指标满足要求并验收合格。</w:t>
      </w:r>
    </w:p>
    <w:p w14:paraId="01781B0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4.4在质保期内按采购人要求，开展技术培训和支持（含现场培训）</w:t>
      </w:r>
      <w:r>
        <w:rPr>
          <w:rFonts w:hint="eastAsia" w:ascii="宋体" w:hAnsi="宋体" w:eastAsia="宋体" w:cs="宋体"/>
          <w:color w:val="auto"/>
          <w:sz w:val="21"/>
          <w:szCs w:val="21"/>
          <w:highlight w:val="none"/>
        </w:rPr>
        <w:t>。</w:t>
      </w:r>
    </w:p>
    <w:p w14:paraId="0D2A5B8C">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 质保期内，所有故障提供技术服务和维修，包括配套的所有耗材，仪器设备保养维护（一年不少于 2 次）及自校工作等。</w:t>
      </w:r>
    </w:p>
    <w:p w14:paraId="70A8B346">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（八）</w:t>
      </w:r>
      <w:r>
        <w:rPr>
          <w:rFonts w:hint="eastAsia" w:ascii="宋体" w:hAnsi="宋体" w:eastAsia="宋体" w:cs="宋体"/>
          <w:b/>
          <w:bCs/>
          <w:color w:val="auto"/>
          <w:kern w:val="2"/>
          <w:sz w:val="21"/>
          <w:szCs w:val="21"/>
          <w:highlight w:val="none"/>
          <w:lang w:val="en-US" w:eastAsia="zh-CN" w:bidi="ar-SA"/>
        </w:rPr>
        <w:t>氟离子计</w:t>
      </w:r>
    </w:p>
    <w:p w14:paraId="74AC7B6B">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1.采购内容</w:t>
      </w:r>
    </w:p>
    <w:p w14:paraId="70A3395A">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采购氟离子计1套，用于分析水质、土壤等样品中氟化物。满足《水质 氟化物的测定 离子选择电极法》（GB 7484-87）、《土壤 水溶性氟化物和总氟化物的测定 离子选择电极法》(HJ 873-2017)等方法要求。</w:t>
      </w:r>
    </w:p>
    <w:p w14:paraId="23CE6973">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2.技术参数要求</w:t>
      </w:r>
    </w:p>
    <w:p w14:paraId="7F21C80B">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2.1性能要求：</w:t>
      </w:r>
    </w:p>
    <w:p w14:paraId="7153DDAE">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2.1.1支持自动/手动温度补偿；</w:t>
      </w:r>
    </w:p>
    <w:p w14:paraId="466B309D">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2.1.2自动校正、自动识别缓冲液、自动终点锁定、自动温度补偿，最高达到5点校准；</w:t>
      </w:r>
    </w:p>
    <w:p w14:paraId="390CA7AA">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2.1.3终点模式：自动，手动，时间间隔，三种终点模式可供选择；</w:t>
      </w:r>
    </w:p>
    <w:p w14:paraId="45ACE1CB">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2.1.4仪器须完全符合GLP要求，可以实时存储至少2000组数据，数据导出可使用U盘或软件；</w:t>
      </w:r>
    </w:p>
    <w:p w14:paraId="2CF5C16A">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2.1.5配置不低于7英寸彩色触摸屏；</w:t>
      </w:r>
    </w:p>
    <w:p w14:paraId="2E80A830">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2.1.6需搭载指导和集成式帮助系统；</w:t>
      </w:r>
    </w:p>
    <w:p w14:paraId="48855FA2">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2.1.7可通过状态指示灯显示仪表读数状态；</w:t>
      </w:r>
    </w:p>
    <w:p w14:paraId="287777A5">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2.1.8支持两级用户权限管理；</w:t>
      </w:r>
    </w:p>
    <w:p w14:paraId="6D8D0221">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2.1.9测量设置保存/导入为方法，彩色限值提醒，验证结果清晰提示；</w:t>
      </w:r>
    </w:p>
    <w:p w14:paraId="383ED339">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2.1.10 防尘防水，可更换保护罩，防腐密封接口保护盒；</w:t>
      </w:r>
    </w:p>
    <w:p w14:paraId="445F2DDE">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2.1.11电极支架能够精确定位，垂直移动。</w:t>
      </w:r>
    </w:p>
    <w:p w14:paraId="734241D8">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2.2技术参数要求</w:t>
      </w:r>
    </w:p>
    <w:p w14:paraId="0D06EAE3">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2.2.1测量参数：pH，mV（ORP），ref mV，离子，温度；</w:t>
      </w:r>
    </w:p>
    <w:p w14:paraId="251A7F5D">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2.2.2测量范围：</w:t>
      </w:r>
    </w:p>
    <w:p w14:paraId="2ACEA51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pH： -2.000～20.000；</w:t>
      </w:r>
    </w:p>
    <w:p w14:paraId="3069B63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mV：-2000.0～2000.0；</w:t>
      </w:r>
    </w:p>
    <w:p w14:paraId="1CF1DD3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温度：-30.0～130.0℃；</w:t>
      </w:r>
    </w:p>
    <w:p w14:paraId="59A5187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mmol/L，mol/L，mg/L，ppm：0~999999；</w:t>
      </w:r>
    </w:p>
    <w:p w14:paraId="1127BA3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%：0~100.00；</w:t>
      </w:r>
    </w:p>
    <w:p w14:paraId="1573D87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pX： –2.000~20.000</w:t>
      </w:r>
      <w:r>
        <w:rPr>
          <w:rFonts w:hint="eastAsia" w:ascii="宋体" w:hAnsi="宋体" w:eastAsia="宋体" w:cs="宋体"/>
          <w:color w:val="auto"/>
          <w:sz w:val="21"/>
          <w:szCs w:val="21"/>
          <w:highlight w:val="none"/>
          <w:lang w:eastAsia="zh-CN"/>
        </w:rPr>
        <w:t>。</w:t>
      </w:r>
    </w:p>
    <w:p w14:paraId="07371B8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2.2.3 分辨率：</w:t>
      </w:r>
    </w:p>
    <w:p w14:paraId="4877BD4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pH：0.001/0.01/0.1可调；</w:t>
      </w:r>
    </w:p>
    <w:p w14:paraId="424D61B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mV：0.1/1可调；</w:t>
      </w:r>
    </w:p>
    <w:p w14:paraId="7F79D7C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浓度（mmol/L，mg/L，ppm）：0.001；</w:t>
      </w:r>
    </w:p>
    <w:p w14:paraId="724F36B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摩尔浓度（mol/L）：0.0001；</w:t>
      </w:r>
    </w:p>
    <w:p w14:paraId="67E0360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百分比浓度%：0.0001；</w:t>
      </w:r>
    </w:p>
    <w:p w14:paraId="48E1588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pX：0.1 / 0.01可调；</w:t>
      </w:r>
    </w:p>
    <w:p w14:paraId="423C9EB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温度：0.1 ℃</w:t>
      </w:r>
      <w:r>
        <w:rPr>
          <w:rFonts w:hint="eastAsia" w:ascii="宋体" w:hAnsi="宋体" w:eastAsia="宋体" w:cs="宋体"/>
          <w:color w:val="auto"/>
          <w:sz w:val="21"/>
          <w:szCs w:val="21"/>
          <w:highlight w:val="none"/>
          <w:lang w:eastAsia="zh-CN"/>
        </w:rPr>
        <w:t>。</w:t>
      </w:r>
    </w:p>
    <w:p w14:paraId="4B38034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2.2.4 精度：</w:t>
      </w:r>
    </w:p>
    <w:p w14:paraId="0682469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pH：±0.002；</w:t>
      </w:r>
    </w:p>
    <w:p w14:paraId="7AF6678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mV：±0.1mV(–500.0~500.0 mV) 或±0.2mV(–2000.0~2000.0 mV)；</w:t>
      </w:r>
    </w:p>
    <w:p w14:paraId="77556E0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浓度（mmol/L，mol/L，mg/L，ppm，%）：±0.5%测量值；</w:t>
      </w:r>
    </w:p>
    <w:p w14:paraId="6AF2595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pX：±0.002；</w:t>
      </w:r>
    </w:p>
    <w:p w14:paraId="1CB5035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温度：±0.1 °C（0-100℃）。</w:t>
      </w:r>
    </w:p>
    <w:p w14:paraId="5BD16D54">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3.配置要求</w:t>
      </w:r>
    </w:p>
    <w:p w14:paraId="21F4E35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3.1主机1套；</w:t>
      </w:r>
    </w:p>
    <w:p w14:paraId="4F11DE7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3.2复合氟离子电极1套；</w:t>
      </w:r>
    </w:p>
    <w:p w14:paraId="22CB67D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3.3氟离子校准标准液1套；</w:t>
      </w:r>
    </w:p>
    <w:p w14:paraId="1652EE3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3.4电极支架1套；</w:t>
      </w:r>
    </w:p>
    <w:p w14:paraId="0696049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3.5保护罩1套；</w:t>
      </w:r>
    </w:p>
    <w:p w14:paraId="0BEB99C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3.6磁力搅拌器1套。</w:t>
      </w:r>
    </w:p>
    <w:p w14:paraId="2D515CCC">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4.售后服务要求</w:t>
      </w:r>
    </w:p>
    <w:p w14:paraId="6DD796E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响应时间：在接到电话或书面通知后4小时内给予答复，紧急问题应在48小时内抵达现场。</w:t>
      </w:r>
    </w:p>
    <w:p w14:paraId="58E9A4A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 xml:space="preserve"> 质量保证期：设备验收合格后，整机质保24个月。</w:t>
      </w:r>
    </w:p>
    <w:p w14:paraId="54334F3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 xml:space="preserve"> 技术服务的范围及内容：</w:t>
      </w:r>
      <w:r>
        <w:rPr>
          <w:rFonts w:hint="eastAsia" w:ascii="宋体" w:hAnsi="宋体" w:eastAsia="宋体" w:cs="宋体"/>
          <w:color w:val="auto"/>
          <w:sz w:val="21"/>
          <w:szCs w:val="21"/>
          <w:highlight w:val="none"/>
          <w:lang w:val="en-US" w:eastAsia="zh-CN"/>
        </w:rPr>
        <w:t>供货商</w:t>
      </w:r>
      <w:r>
        <w:rPr>
          <w:rFonts w:hint="eastAsia" w:ascii="宋体" w:hAnsi="宋体" w:eastAsia="宋体" w:cs="宋体"/>
          <w:color w:val="auto"/>
          <w:sz w:val="21"/>
          <w:szCs w:val="21"/>
          <w:highlight w:val="none"/>
        </w:rPr>
        <w:t>委派技术人员到采购人指定现场，完成设备安装、调试及性能测试工作，直至运行稳定、各项技术指标满足要求并验收合格。</w:t>
      </w:r>
    </w:p>
    <w:p w14:paraId="11A1AB3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4.4在质保期内按采购人要求，开展技术培训和支持（含现场培训）</w:t>
      </w:r>
      <w:r>
        <w:rPr>
          <w:rFonts w:hint="eastAsia" w:ascii="宋体" w:hAnsi="宋体" w:eastAsia="宋体" w:cs="宋体"/>
          <w:color w:val="auto"/>
          <w:sz w:val="21"/>
          <w:szCs w:val="21"/>
          <w:highlight w:val="none"/>
        </w:rPr>
        <w:t>。</w:t>
      </w:r>
    </w:p>
    <w:p w14:paraId="0C9899D8">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 质保期内，所有故障提供技术服务和维修，包括配套的所有耗材，仪器设备保养维护（一年不少于 2 次）及自校工作等。</w:t>
      </w:r>
    </w:p>
    <w:p w14:paraId="231B59B1">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（九）</w:t>
      </w:r>
      <w:r>
        <w:rPr>
          <w:rFonts w:hint="eastAsia" w:ascii="宋体" w:hAnsi="宋体" w:eastAsia="宋体" w:cs="宋体"/>
          <w:b/>
          <w:bCs/>
          <w:color w:val="auto"/>
          <w:kern w:val="2"/>
          <w:sz w:val="21"/>
          <w:szCs w:val="21"/>
          <w:highlight w:val="none"/>
          <w:lang w:val="en-US" w:eastAsia="zh-CN" w:bidi="ar-SA"/>
        </w:rPr>
        <w:t>立式高压蒸汽灭菌器</w:t>
      </w:r>
    </w:p>
    <w:p w14:paraId="354038A3">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1.采购内容</w:t>
      </w:r>
    </w:p>
    <w:p w14:paraId="79C985E0">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采购立式高压蒸汽灭菌器2套，用于水质总磷、总氮项目的样品高压消解，粪大肠菌群、总大肠菌群、细菌总数等项目的高压灭菌等工作。</w:t>
      </w:r>
    </w:p>
    <w:p w14:paraId="40915BB4">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2.技术参数要求</w:t>
      </w:r>
    </w:p>
    <w:p w14:paraId="577EE2FF">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2.1性能要求</w:t>
      </w:r>
    </w:p>
    <w:p w14:paraId="784DE5F2">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2.1.1采用手轮式旋压密封结构，锅盖开启方式采用移位式开盖；</w:t>
      </w:r>
    </w:p>
    <w:p w14:paraId="27EA64B5">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2.1.2外壳采用耐高温材料，灭菌锅体采用不锈钢304材质；</w:t>
      </w:r>
    </w:p>
    <w:p w14:paraId="2EE3FDFE">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2.1.3采用自胀式密封圈结构；</w:t>
      </w:r>
    </w:p>
    <w:p w14:paraId="63372D7D">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2.1.4操作台采用LCD液晶窗图文显示，功能设置均用滚动式图文选择，整个灭菌行程实行微电脑图文显示及自动控制循环程序，灭菌结束（报警）后自动停机；</w:t>
      </w:r>
    </w:p>
    <w:p w14:paraId="6DE7CA39">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2.1.5灭菌过程具有动态指示，便于观察灭菌状态；</w:t>
      </w:r>
    </w:p>
    <w:p w14:paraId="0CDA4FA3">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2.1.6设定温度时间采用一键式操作方式，可根据不同的灭菌物品快速明了的进行所需选择；</w:t>
      </w:r>
    </w:p>
    <w:p w14:paraId="3504C79A">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2.1.7具有风冷式快速冷却装置，确保灭菌结束时对锅体快速降温，缩短开启锅盖时间；</w:t>
      </w:r>
    </w:p>
    <w:p w14:paraId="579F40FF">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2.1.8具有故障自动检测判断系统；</w:t>
      </w:r>
    </w:p>
    <w:p w14:paraId="60F24CE5">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2.1.9全自动控制系统，自动排放冷空气及灭菌结束自动排气功能；</w:t>
      </w:r>
    </w:p>
    <w:p w14:paraId="75E7721A">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2.1.10具有安全联锁装置，采用电子与机械互动的安全联锁结构，确保有压力时自动锁盖，避免误操作而产生不安全；</w:t>
      </w:r>
    </w:p>
    <w:p w14:paraId="196B663F">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2.1.11具有机械式安全泄压阀和电控式过压保护装置的双套保护系统；</w:t>
      </w:r>
    </w:p>
    <w:p w14:paraId="7A0FDCB6">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2.1.12 具有断水保护防干烧和漏电保护系统。</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b/>
          <w:bCs/>
          <w:color w:val="auto"/>
          <w:kern w:val="2"/>
          <w:sz w:val="21"/>
          <w:szCs w:val="21"/>
          <w:highlight w:val="none"/>
          <w:lang w:val="en-US" w:eastAsia="zh-CN" w:bidi="ar-SA"/>
        </w:rPr>
        <w:t>2.2技术参数要求</w:t>
      </w:r>
    </w:p>
    <w:p w14:paraId="3519245F">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2.2.1灭菌温度可选设定范围50℃-126℃；</w:t>
      </w:r>
    </w:p>
    <w:p w14:paraId="66FF51BD">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2.2.2灭菌时间可调设定范围0-9999min；</w:t>
      </w:r>
    </w:p>
    <w:p w14:paraId="64E51C3B">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2.2.3容积：≥50升；</w:t>
      </w:r>
    </w:p>
    <w:p w14:paraId="445064F1">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2.2.4电源电压：220V/50Hz；功率：≥3.0KW</w:t>
      </w:r>
    </w:p>
    <w:p w14:paraId="32783AD8">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2.2.5内置网篮；</w:t>
      </w:r>
    </w:p>
    <w:p w14:paraId="397360DE">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2.2.6设计压力：≥0.23MPa，额定工作压力：≥0.14MPa。</w:t>
      </w:r>
    </w:p>
    <w:p w14:paraId="0864E3FD">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3.配置要求</w:t>
      </w:r>
    </w:p>
    <w:p w14:paraId="6712FDD7">
      <w:pPr>
        <w:widowControl w:val="0"/>
        <w:autoSpaceDE w:val="0"/>
        <w:autoSpaceDN w:val="0"/>
        <w:adjustRightInd w:val="0"/>
        <w:spacing w:before="0" w:line="360" w:lineRule="auto"/>
        <w:ind w:left="17" w:hanging="16" w:hangingChars="8"/>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立式高压蒸汽灭菌器2套。</w:t>
      </w:r>
    </w:p>
    <w:p w14:paraId="592B1936">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4.售后服务要求</w:t>
      </w:r>
    </w:p>
    <w:p w14:paraId="42694811">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响应时间：在接到电话或书面通知后4小时内给予答复，紧急问题应在48小时内抵达现场。</w:t>
      </w:r>
    </w:p>
    <w:p w14:paraId="309E01B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 xml:space="preserve"> 质量保证期：设备验收合格后，整机质保24个月。</w:t>
      </w:r>
    </w:p>
    <w:p w14:paraId="5A2288FE">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 xml:space="preserve"> 技术服务的范围及内容：</w:t>
      </w:r>
      <w:r>
        <w:rPr>
          <w:rFonts w:hint="eastAsia" w:ascii="宋体" w:hAnsi="宋体" w:eastAsia="宋体" w:cs="宋体"/>
          <w:color w:val="auto"/>
          <w:sz w:val="21"/>
          <w:szCs w:val="21"/>
          <w:highlight w:val="none"/>
          <w:lang w:val="en-US" w:eastAsia="zh-CN"/>
        </w:rPr>
        <w:t>供货商</w:t>
      </w:r>
      <w:r>
        <w:rPr>
          <w:rFonts w:hint="eastAsia" w:ascii="宋体" w:hAnsi="宋体" w:eastAsia="宋体" w:cs="宋体"/>
          <w:color w:val="auto"/>
          <w:sz w:val="21"/>
          <w:szCs w:val="21"/>
          <w:highlight w:val="none"/>
        </w:rPr>
        <w:t>委派技术人员到采购人指定现场，完成设备安装、调试及性能测试工作，直至运行稳定、各项技术指标满足要求并验收合格。</w:t>
      </w:r>
    </w:p>
    <w:p w14:paraId="6C609C5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4.4在质保期内按采购人要求，开展技术培训和支持（含现场培训）</w:t>
      </w:r>
      <w:r>
        <w:rPr>
          <w:rFonts w:hint="eastAsia" w:ascii="宋体" w:hAnsi="宋体" w:eastAsia="宋体" w:cs="宋体"/>
          <w:color w:val="auto"/>
          <w:sz w:val="21"/>
          <w:szCs w:val="21"/>
          <w:highlight w:val="none"/>
        </w:rPr>
        <w:t>。</w:t>
      </w:r>
    </w:p>
    <w:p w14:paraId="6C15003B">
      <w:pPr>
        <w:widowControl/>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 质保期内，所有故障提供技术服务和维修，包括配套的所有耗材，仪器设备保养维护（一年不少于 2 次）及自校工作等。</w:t>
      </w:r>
    </w:p>
    <w:p w14:paraId="5070C113">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（十）</w:t>
      </w:r>
      <w:r>
        <w:rPr>
          <w:rFonts w:hint="eastAsia" w:ascii="宋体" w:hAnsi="宋体" w:eastAsia="宋体" w:cs="宋体"/>
          <w:b/>
          <w:bCs/>
          <w:color w:val="auto"/>
          <w:kern w:val="2"/>
          <w:sz w:val="21"/>
          <w:szCs w:val="21"/>
          <w:highlight w:val="none"/>
          <w:lang w:val="en-US" w:eastAsia="zh-CN" w:bidi="ar-SA"/>
        </w:rPr>
        <w:t>CODcr回流消解仪</w:t>
      </w:r>
    </w:p>
    <w:p w14:paraId="78B11DD8">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1.采购内容</w:t>
      </w:r>
    </w:p>
    <w:p w14:paraId="1A708E7E">
      <w:pPr>
        <w:spacing w:line="48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采购CODcr回流消解仪2套，用于水质化学需氧量CODcr的自动消解预处理。符合《水质 化学需氧量的测定 重铬酸盐法》(HJ 828—2017）方法要求。</w:t>
      </w:r>
    </w:p>
    <w:p w14:paraId="12B17D2B">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2.技术参数要求：</w:t>
      </w:r>
    </w:p>
    <w:p w14:paraId="3CE7A1A8">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2.1基础参数 </w:t>
      </w:r>
    </w:p>
    <w:p w14:paraId="38885CB0">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2.1.1能够一键启动，自动计时消解、消解结束自动断电冷却、无需人员值守；</w:t>
      </w:r>
    </w:p>
    <w:p w14:paraId="6FC6DD3F">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★2.1.2热源为耐强酸碱腐蚀的微晶防护热源；</w:t>
      </w:r>
    </w:p>
    <w:p w14:paraId="013F46AC">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★2.1.3不少于12个样品通道，分区独立控温，保证样品均匀受热；</w:t>
      </w:r>
    </w:p>
    <w:p w14:paraId="1DBE480C">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2.1.4具有加酸防护，减少硫酸外溢对整机的腐蚀；</w:t>
      </w:r>
    </w:p>
    <w:p w14:paraId="264D3F93">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2.1.5冷凝方式为风冷、水冷双模式，减少环境温度影响冷凝一致性；</w:t>
      </w:r>
    </w:p>
    <w:p w14:paraId="5ADEF1DC">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2.1.6回流冷凝管喇叭开口，消解结束便于清洗；</w:t>
      </w:r>
    </w:p>
    <w:p w14:paraId="02B7BB2F">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2.2参数要求</w:t>
      </w:r>
    </w:p>
    <w:p w14:paraId="6193EE72">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2.2.1温度范围：150℃-300℃任设，各区加热温度独立控制；</w:t>
      </w:r>
    </w:p>
    <w:p w14:paraId="4BC4FC38">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2.2.2消解瓶：250mL锥形瓶；</w:t>
      </w:r>
    </w:p>
    <w:p w14:paraId="547B48B8">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2.2.3时间控制：0-150min可调；</w:t>
      </w:r>
    </w:p>
    <w:p w14:paraId="06A92205">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2.2.4升温时间：≤10min；</w:t>
      </w:r>
    </w:p>
    <w:p w14:paraId="71CD913A">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3.配置要求</w:t>
      </w:r>
    </w:p>
    <w:p w14:paraId="3038CF65">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 消解仪主机2套；</w:t>
      </w:r>
    </w:p>
    <w:p w14:paraId="517520A4">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触摸控制屏幕2套；</w:t>
      </w:r>
    </w:p>
    <w:p w14:paraId="6DFA88F6">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 微晶防护加热源2套；</w:t>
      </w:r>
    </w:p>
    <w:p w14:paraId="272D2E86">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 冷凝瓶24支；</w:t>
      </w:r>
    </w:p>
    <w:p w14:paraId="5A55ED9D">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 消解瓶24支；</w:t>
      </w:r>
    </w:p>
    <w:p w14:paraId="24DDDC6A">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 随机附件2套。</w:t>
      </w:r>
    </w:p>
    <w:p w14:paraId="523B59E7">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4.售后服务要求</w:t>
      </w:r>
    </w:p>
    <w:p w14:paraId="0FB18610">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响应时间：在接到电话或书面通知后4小时内给予答复，紧急问题应在48小时内抵达现场。</w:t>
      </w:r>
    </w:p>
    <w:p w14:paraId="1479B85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 xml:space="preserve"> 质量保证期：设备验收合格后，整机质保24个月。</w:t>
      </w:r>
    </w:p>
    <w:p w14:paraId="0AEB6E20">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 xml:space="preserve"> 技术服务的范围及内容：</w:t>
      </w:r>
      <w:r>
        <w:rPr>
          <w:rFonts w:hint="eastAsia" w:ascii="宋体" w:hAnsi="宋体" w:eastAsia="宋体" w:cs="宋体"/>
          <w:color w:val="auto"/>
          <w:sz w:val="21"/>
          <w:szCs w:val="21"/>
          <w:highlight w:val="none"/>
          <w:lang w:val="en-US" w:eastAsia="zh-CN"/>
        </w:rPr>
        <w:t>供货商</w:t>
      </w:r>
      <w:r>
        <w:rPr>
          <w:rFonts w:hint="eastAsia" w:ascii="宋体" w:hAnsi="宋体" w:eastAsia="宋体" w:cs="宋体"/>
          <w:color w:val="auto"/>
          <w:sz w:val="21"/>
          <w:szCs w:val="21"/>
          <w:highlight w:val="none"/>
        </w:rPr>
        <w:t>委派技术人员到采购人指定现场，完成设备安装、调试及性能测试工作，直至运行稳定、各项技术指标满足要求并验收合格。</w:t>
      </w:r>
    </w:p>
    <w:p w14:paraId="22E7A3D1">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4.4在质保期内按采购人要求，开展技术培训和支持（含现场培训）</w:t>
      </w:r>
      <w:r>
        <w:rPr>
          <w:rFonts w:hint="eastAsia" w:ascii="宋体" w:hAnsi="宋体" w:eastAsia="宋体" w:cs="宋体"/>
          <w:color w:val="auto"/>
          <w:sz w:val="21"/>
          <w:szCs w:val="21"/>
          <w:highlight w:val="none"/>
        </w:rPr>
        <w:t>。</w:t>
      </w:r>
    </w:p>
    <w:p w14:paraId="54F3838D">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 质保期内，所有故障提供技术服务和维修，包括配套的所有耗材，仪器设备保养维护（一年不少于 2 次）及自校工作等。</w:t>
      </w:r>
    </w:p>
    <w:p w14:paraId="6118148F">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（十一）</w:t>
      </w:r>
      <w:r>
        <w:rPr>
          <w:rFonts w:hint="eastAsia" w:ascii="宋体" w:hAnsi="宋体" w:eastAsia="宋体" w:cs="宋体"/>
          <w:b/>
          <w:bCs/>
          <w:color w:val="auto"/>
          <w:kern w:val="2"/>
          <w:sz w:val="21"/>
          <w:szCs w:val="21"/>
          <w:highlight w:val="none"/>
          <w:lang w:val="en-US" w:eastAsia="zh-CN" w:bidi="ar-SA"/>
        </w:rPr>
        <w:t>便携式浊度计</w:t>
      </w:r>
    </w:p>
    <w:p w14:paraId="34897BD2">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1.采购内容</w:t>
      </w:r>
    </w:p>
    <w:p w14:paraId="46EB94B8">
      <w:pPr>
        <w:widowControl/>
        <w:numPr>
          <w:ilvl w:val="0"/>
          <w:numId w:val="0"/>
        </w:numPr>
        <w:spacing w:line="400" w:lineRule="exact"/>
        <w:ind w:firstLine="420"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lang w:val="en-US" w:eastAsia="zh-CN"/>
        </w:rPr>
        <w:t>采购便携式浊度计2套，用于地表水、地下水等水质浊度的测定</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 xml:space="preserve"> </w:t>
      </w:r>
    </w:p>
    <w:p w14:paraId="4DAC1A28">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2.技术参数要求</w:t>
      </w:r>
    </w:p>
    <w:p w14:paraId="0E73A9D6">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2.1工作条件</w:t>
      </w:r>
    </w:p>
    <w:p w14:paraId="364B1B68">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2.1.1电源要求：110~230 Vac，50/60 Hz (交流电或者USB+电源模块)；4节AA电池；可充电镍氢电池（用于USB+电源模块）；</w:t>
      </w:r>
    </w:p>
    <w:p w14:paraId="4FD74536">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2.1.2操作温度：0~50℃；</w:t>
      </w:r>
    </w:p>
    <w:p w14:paraId="19188B32">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 湿度：非冷凝，0~90%（30℃），0~80%（40℃），0~70%（50℃）。</w:t>
      </w:r>
    </w:p>
    <w:p w14:paraId="3FB311BE">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2.2技术性能指标：</w:t>
      </w:r>
    </w:p>
    <w:p w14:paraId="171BADE5">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2.2.1光源：钨灯；</w:t>
      </w:r>
    </w:p>
    <w:p w14:paraId="257FCEFF">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2.2.2检测器：硅光电检测器；</w:t>
      </w:r>
    </w:p>
    <w:p w14:paraId="192E0F7F">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2.2.3测量范围：0~1000 NTU；</w:t>
      </w:r>
    </w:p>
    <w:p w14:paraId="481778DD">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2.2.4准确度：读数的± 2%+杂散光；</w:t>
      </w:r>
    </w:p>
    <w:p w14:paraId="386A91FE">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2.2.5可重复性：读数的± 1%或者±0.01NTU（取较大者）；</w:t>
      </w:r>
    </w:p>
    <w:p w14:paraId="2FC2699A">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2.2.6分辨率：在最低测量量程范围时为0.01NTU；</w:t>
      </w:r>
    </w:p>
    <w:p w14:paraId="504A16BB">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2.2.7杂散光：≤0.02NTU；</w:t>
      </w:r>
    </w:p>
    <w:p w14:paraId="5197F1F9">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★2.2.8具有信号平均功能；</w:t>
      </w:r>
    </w:p>
    <w:p w14:paraId="1F1D1619">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★2.2.9双检测器光学系统，可消除色度、光波动、杂散光等的干扰；</w:t>
      </w:r>
    </w:p>
    <w:p w14:paraId="5621FB99">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★2.2.10具有屏幕在线帮助指引功能，使校准、验证等更简单；</w:t>
      </w:r>
    </w:p>
    <w:p w14:paraId="209613AB">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★2.2.11 USB数据传输，无需软件进行数据下载；</w:t>
      </w:r>
    </w:p>
    <w:p w14:paraId="06F03973">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★2.2.12 仪器防护等级：≥IP67。</w:t>
      </w:r>
    </w:p>
    <w:p w14:paraId="20C0804C">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3.配置要求：</w:t>
      </w:r>
    </w:p>
    <w:p w14:paraId="39323AEE">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pacing w:val="-2"/>
          <w:sz w:val="21"/>
          <w:szCs w:val="21"/>
          <w:highlight w:val="none"/>
          <w:lang w:val="en-US" w:eastAsia="zh-CN"/>
        </w:rPr>
      </w:pPr>
      <w:r>
        <w:rPr>
          <w:rFonts w:hint="eastAsia" w:ascii="宋体" w:hAnsi="宋体" w:eastAsia="宋体" w:cs="宋体"/>
          <w:bCs/>
          <w:color w:val="auto"/>
          <w:sz w:val="21"/>
          <w:szCs w:val="21"/>
          <w:highlight w:val="none"/>
          <w:lang w:val="en-US" w:eastAsia="zh-CN"/>
        </w:rPr>
        <w:t>3.1</w:t>
      </w:r>
      <w:r>
        <w:rPr>
          <w:rFonts w:hint="eastAsia" w:ascii="宋体" w:hAnsi="宋体" w:eastAsia="宋体" w:cs="宋体"/>
          <w:color w:val="auto"/>
          <w:spacing w:val="-2"/>
          <w:sz w:val="21"/>
          <w:szCs w:val="21"/>
          <w:highlight w:val="none"/>
        </w:rPr>
        <w:t>便携式浊度仪主机</w:t>
      </w:r>
      <w:r>
        <w:rPr>
          <w:rFonts w:hint="eastAsia" w:ascii="宋体" w:hAnsi="宋体" w:eastAsia="宋体" w:cs="宋体"/>
          <w:color w:val="auto"/>
          <w:spacing w:val="-2"/>
          <w:sz w:val="21"/>
          <w:szCs w:val="21"/>
          <w:highlight w:val="none"/>
          <w:lang w:val="en-US" w:eastAsia="zh-CN"/>
        </w:rPr>
        <w:t>2套；</w:t>
      </w:r>
    </w:p>
    <w:p w14:paraId="0C020F4D">
      <w:pPr>
        <w:keepNext w:val="0"/>
        <w:keepLines w:val="0"/>
        <w:pageBreakBefore w:val="0"/>
        <w:widowControl/>
        <w:kinsoku/>
        <w:wordWrap/>
        <w:overflowPunct/>
        <w:topLinePunct w:val="0"/>
        <w:autoSpaceDE/>
        <w:autoSpaceDN/>
        <w:bidi w:val="0"/>
        <w:adjustRightInd/>
        <w:snapToGrid/>
        <w:spacing w:line="400" w:lineRule="exact"/>
        <w:ind w:firstLine="412" w:firstLineChars="200"/>
        <w:textAlignment w:val="auto"/>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3.2 6</w:t>
      </w:r>
      <w:r>
        <w:rPr>
          <w:rFonts w:hint="eastAsia" w:ascii="宋体" w:hAnsi="宋体" w:eastAsia="宋体" w:cs="宋体"/>
          <w:color w:val="auto"/>
          <w:spacing w:val="-2"/>
          <w:sz w:val="21"/>
          <w:szCs w:val="21"/>
          <w:highlight w:val="none"/>
        </w:rPr>
        <w:t>个样品池</w:t>
      </w:r>
      <w:r>
        <w:rPr>
          <w:rFonts w:hint="eastAsia" w:ascii="宋体" w:hAnsi="宋体" w:eastAsia="宋体" w:cs="宋体"/>
          <w:color w:val="auto"/>
          <w:spacing w:val="-2"/>
          <w:sz w:val="21"/>
          <w:szCs w:val="21"/>
          <w:highlight w:val="none"/>
          <w:lang w:val="en-US" w:eastAsia="zh-CN"/>
        </w:rPr>
        <w:t>2套；</w:t>
      </w:r>
    </w:p>
    <w:p w14:paraId="5154022D">
      <w:pPr>
        <w:keepNext w:val="0"/>
        <w:keepLines w:val="0"/>
        <w:pageBreakBefore w:val="0"/>
        <w:widowControl/>
        <w:kinsoku/>
        <w:wordWrap/>
        <w:overflowPunct/>
        <w:topLinePunct w:val="0"/>
        <w:autoSpaceDE/>
        <w:autoSpaceDN/>
        <w:bidi w:val="0"/>
        <w:adjustRightInd/>
        <w:snapToGrid/>
        <w:spacing w:line="400" w:lineRule="exact"/>
        <w:ind w:firstLine="412" w:firstLineChars="200"/>
        <w:textAlignment w:val="auto"/>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3.3不同浓度浊度</w:t>
      </w:r>
      <w:r>
        <w:rPr>
          <w:rFonts w:hint="eastAsia" w:ascii="宋体" w:hAnsi="宋体" w:eastAsia="宋体" w:cs="宋体"/>
          <w:color w:val="auto"/>
          <w:spacing w:val="-2"/>
          <w:sz w:val="21"/>
          <w:szCs w:val="21"/>
          <w:highlight w:val="none"/>
        </w:rPr>
        <w:t>标准液</w:t>
      </w:r>
      <w:r>
        <w:rPr>
          <w:rFonts w:hint="eastAsia" w:ascii="宋体" w:hAnsi="宋体" w:eastAsia="宋体" w:cs="宋体"/>
          <w:color w:val="auto"/>
          <w:spacing w:val="-2"/>
          <w:sz w:val="21"/>
          <w:szCs w:val="21"/>
          <w:highlight w:val="none"/>
          <w:lang w:val="en-US" w:eastAsia="zh-CN"/>
        </w:rPr>
        <w:t>2套；</w:t>
      </w:r>
    </w:p>
    <w:p w14:paraId="48F8C418">
      <w:pPr>
        <w:keepNext w:val="0"/>
        <w:keepLines w:val="0"/>
        <w:pageBreakBefore w:val="0"/>
        <w:widowControl/>
        <w:kinsoku/>
        <w:wordWrap/>
        <w:overflowPunct/>
        <w:topLinePunct w:val="0"/>
        <w:autoSpaceDE/>
        <w:autoSpaceDN/>
        <w:bidi w:val="0"/>
        <w:adjustRightInd/>
        <w:snapToGrid/>
        <w:spacing w:line="400" w:lineRule="exact"/>
        <w:ind w:firstLine="412"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pacing w:val="-2"/>
          <w:sz w:val="21"/>
          <w:szCs w:val="21"/>
          <w:highlight w:val="none"/>
          <w:lang w:val="en-US" w:eastAsia="zh-CN"/>
        </w:rPr>
        <w:t>3.4 低浓度</w:t>
      </w:r>
      <w:r>
        <w:rPr>
          <w:rFonts w:hint="eastAsia" w:ascii="宋体" w:hAnsi="宋体" w:eastAsia="宋体" w:cs="宋体"/>
          <w:color w:val="auto"/>
          <w:spacing w:val="-2"/>
          <w:sz w:val="21"/>
          <w:szCs w:val="21"/>
          <w:highlight w:val="none"/>
        </w:rPr>
        <w:t>验证标准液</w:t>
      </w:r>
      <w:r>
        <w:rPr>
          <w:rFonts w:hint="eastAsia" w:ascii="宋体" w:hAnsi="宋体" w:eastAsia="宋体" w:cs="宋体"/>
          <w:color w:val="auto"/>
          <w:spacing w:val="-2"/>
          <w:sz w:val="21"/>
          <w:szCs w:val="21"/>
          <w:highlight w:val="none"/>
          <w:lang w:val="en-US" w:eastAsia="zh-CN"/>
        </w:rPr>
        <w:t>2套</w:t>
      </w:r>
      <w:r>
        <w:rPr>
          <w:rFonts w:hint="eastAsia" w:ascii="宋体" w:hAnsi="宋体" w:eastAsia="宋体" w:cs="宋体"/>
          <w:color w:val="auto"/>
          <w:spacing w:val="-2"/>
          <w:sz w:val="21"/>
          <w:szCs w:val="21"/>
          <w:highlight w:val="none"/>
          <w:lang w:eastAsia="zh-CN"/>
        </w:rPr>
        <w:t>。</w:t>
      </w:r>
    </w:p>
    <w:p w14:paraId="5259C89D">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4.售后服务要求</w:t>
      </w:r>
    </w:p>
    <w:p w14:paraId="4E2C425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响应时间：在接到电话或书面通知后4小时内给予答复，紧急问题应在48小时内抵达现场。</w:t>
      </w:r>
    </w:p>
    <w:p w14:paraId="6AA04DB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 xml:space="preserve"> 质量保证期：设备验收合格后，整机质保24个月。</w:t>
      </w:r>
    </w:p>
    <w:p w14:paraId="752FCE3D">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 xml:space="preserve"> 技术服务的范围及内容：</w:t>
      </w:r>
      <w:r>
        <w:rPr>
          <w:rFonts w:hint="eastAsia" w:ascii="宋体" w:hAnsi="宋体" w:eastAsia="宋体" w:cs="宋体"/>
          <w:color w:val="auto"/>
          <w:sz w:val="21"/>
          <w:szCs w:val="21"/>
          <w:highlight w:val="none"/>
          <w:lang w:val="en-US" w:eastAsia="zh-CN"/>
        </w:rPr>
        <w:t>供货商</w:t>
      </w:r>
      <w:r>
        <w:rPr>
          <w:rFonts w:hint="eastAsia" w:ascii="宋体" w:hAnsi="宋体" w:eastAsia="宋体" w:cs="宋体"/>
          <w:color w:val="auto"/>
          <w:sz w:val="21"/>
          <w:szCs w:val="21"/>
          <w:highlight w:val="none"/>
        </w:rPr>
        <w:t>委派技术人员到采购人指定现场，完成设备安装、调试及性能测试工作，直至运行稳定、各项技术指标满足要求并验收合格。</w:t>
      </w:r>
    </w:p>
    <w:p w14:paraId="2C1E62D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4.4在质保期内按采购人要求，开展技术培训和支持（含现场培训）</w:t>
      </w:r>
      <w:r>
        <w:rPr>
          <w:rFonts w:hint="eastAsia" w:ascii="宋体" w:hAnsi="宋体" w:eastAsia="宋体" w:cs="宋体"/>
          <w:color w:val="auto"/>
          <w:sz w:val="21"/>
          <w:szCs w:val="21"/>
          <w:highlight w:val="none"/>
        </w:rPr>
        <w:t>。</w:t>
      </w:r>
    </w:p>
    <w:p w14:paraId="606267A6">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 质保期内，所有故障提供技术服务和维修，包括配套的所有耗材，仪器设备保养维护（一年不少于 2 次）及自校工作等。</w:t>
      </w:r>
    </w:p>
    <w:p w14:paraId="2417CEFB">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（十二）</w:t>
      </w:r>
      <w:r>
        <w:rPr>
          <w:rFonts w:hint="eastAsia" w:ascii="宋体" w:hAnsi="宋体" w:eastAsia="宋体" w:cs="宋体"/>
          <w:b/>
          <w:bCs/>
          <w:color w:val="auto"/>
          <w:kern w:val="2"/>
          <w:sz w:val="21"/>
          <w:szCs w:val="21"/>
          <w:highlight w:val="none"/>
          <w:lang w:val="en-US" w:eastAsia="zh-CN" w:bidi="ar-SA"/>
        </w:rPr>
        <w:t>便携式pH测定仪</w:t>
      </w:r>
    </w:p>
    <w:p w14:paraId="6CF55510">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1.采购内容</w:t>
      </w:r>
    </w:p>
    <w:p w14:paraId="74F648B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12" w:firstLineChars="200"/>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采购便携式pH测定仪2套，用于现场水质中pH值的测定</w:t>
      </w:r>
      <w:r>
        <w:rPr>
          <w:rFonts w:hint="eastAsia" w:ascii="宋体" w:hAnsi="宋体" w:eastAsia="宋体" w:cs="宋体"/>
          <w:color w:val="auto"/>
          <w:spacing w:val="-2"/>
          <w:sz w:val="21"/>
          <w:szCs w:val="21"/>
          <w:highlight w:val="none"/>
        </w:rPr>
        <w:t>。</w:t>
      </w:r>
    </w:p>
    <w:p w14:paraId="759C3F5A">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2.技术参数要求</w:t>
      </w:r>
    </w:p>
    <w:p w14:paraId="6BE20202">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2.1工作条件</w:t>
      </w:r>
    </w:p>
    <w:p w14:paraId="6A4AC23B">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2.1.1电源要求：内置电池供电； </w:t>
      </w:r>
    </w:p>
    <w:p w14:paraId="4B911D36">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2.1.2存储温度：–20～60 °C，最高90%相对湿度（无冷凝）；</w:t>
      </w:r>
    </w:p>
    <w:p w14:paraId="280865CE">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2.1.3工作温度：0～60 °C；</w:t>
      </w:r>
    </w:p>
    <w:p w14:paraId="448D65A5">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2.1.4工作湿度：≤90% (无冷凝)。</w:t>
      </w:r>
    </w:p>
    <w:p w14:paraId="295B6FC8">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2.2技术性能指标</w:t>
      </w:r>
    </w:p>
    <w:p w14:paraId="3E8D3808">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2.2.1显示：可显示1个电极的读数（pH电极：pH、温度）；</w:t>
      </w:r>
    </w:p>
    <w:p w14:paraId="71F0B88A">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2.2.2数据内存：不少于5000 组数据；</w:t>
      </w:r>
    </w:p>
    <w:p w14:paraId="451A7A23">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2.2.3数据存储：数据稳定后可自动存储数据；</w:t>
      </w:r>
    </w:p>
    <w:p w14:paraId="58E43BC5">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2.2.4数据传输：通过USB接口连接到至PC或USB存储设备；</w:t>
      </w:r>
    </w:p>
    <w:p w14:paraId="74CCBAF2">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2.2.5温度校正：关闭、自动和手动；</w:t>
      </w:r>
    </w:p>
    <w:p w14:paraId="240FFD5E">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★2.2.6外壳防护等级：≥IP67；</w:t>
      </w:r>
    </w:p>
    <w:p w14:paraId="4FA3B722">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2.2.7重量：≤600g 。</w:t>
      </w:r>
    </w:p>
    <w:p w14:paraId="3312BC7F">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2.3电极技术性能指标</w:t>
      </w:r>
    </w:p>
    <w:p w14:paraId="3C4CE806">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2.3.1温度</w:t>
      </w:r>
    </w:p>
    <w:p w14:paraId="6F736818">
      <w:pPr>
        <w:widowControl/>
        <w:spacing w:line="360" w:lineRule="auto"/>
        <w:ind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量程：-10.0～110.0℃</w:t>
      </w:r>
    </w:p>
    <w:p w14:paraId="7F3E850B">
      <w:pPr>
        <w:widowControl/>
        <w:spacing w:line="360" w:lineRule="auto"/>
        <w:ind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分辨率：0.1℃</w:t>
      </w:r>
    </w:p>
    <w:p w14:paraId="57FD8743">
      <w:pPr>
        <w:widowControl/>
        <w:spacing w:line="360" w:lineRule="auto"/>
        <w:ind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准确度：±0.3℃</w:t>
      </w:r>
    </w:p>
    <w:p w14:paraId="72C39D9D">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2.3.2 pH电极</w:t>
      </w:r>
    </w:p>
    <w:p w14:paraId="390F5E38">
      <w:pPr>
        <w:keepNext w:val="0"/>
        <w:keepLines w:val="0"/>
        <w:pageBreakBefore w:val="0"/>
        <w:widowControl/>
        <w:numPr>
          <w:ilvl w:val="0"/>
          <w:numId w:val="0"/>
        </w:numPr>
        <w:kinsoku/>
        <w:wordWrap/>
        <w:overflowPunct/>
        <w:topLinePunct w:val="0"/>
        <w:bidi w:val="0"/>
        <w:snapToGrid/>
        <w:spacing w:line="360" w:lineRule="auto"/>
        <w:ind w:firstLine="412" w:firstLineChars="200"/>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量程：0～14</w:t>
      </w:r>
    </w:p>
    <w:p w14:paraId="062B42C9">
      <w:pPr>
        <w:keepNext w:val="0"/>
        <w:keepLines w:val="0"/>
        <w:pageBreakBefore w:val="0"/>
        <w:widowControl/>
        <w:numPr>
          <w:ilvl w:val="0"/>
          <w:numId w:val="0"/>
        </w:numPr>
        <w:kinsoku/>
        <w:wordWrap/>
        <w:overflowPunct/>
        <w:topLinePunct w:val="0"/>
        <w:bidi w:val="0"/>
        <w:snapToGrid/>
        <w:spacing w:line="360" w:lineRule="auto"/>
        <w:ind w:firstLine="412" w:firstLineChars="200"/>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分辨率：0.1/0.01/0.001可选</w:t>
      </w:r>
    </w:p>
    <w:p w14:paraId="3BE67B2B">
      <w:pPr>
        <w:keepNext w:val="0"/>
        <w:keepLines w:val="0"/>
        <w:pageBreakBefore w:val="0"/>
        <w:widowControl/>
        <w:numPr>
          <w:ilvl w:val="0"/>
          <w:numId w:val="0"/>
        </w:numPr>
        <w:kinsoku/>
        <w:wordWrap/>
        <w:overflowPunct/>
        <w:topLinePunct w:val="0"/>
        <w:bidi w:val="0"/>
        <w:snapToGrid/>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精度：</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2"/>
          <w:sz w:val="21"/>
          <w:szCs w:val="21"/>
          <w:highlight w:val="none"/>
        </w:rPr>
        <w:t>0.02</w:t>
      </w:r>
      <w:r>
        <w:rPr>
          <w:rFonts w:hint="eastAsia" w:ascii="宋体" w:hAnsi="宋体" w:eastAsia="宋体" w:cs="宋体"/>
          <w:bCs/>
          <w:color w:val="auto"/>
          <w:sz w:val="21"/>
          <w:szCs w:val="21"/>
          <w:highlight w:val="none"/>
        </w:rPr>
        <w:t xml:space="preserve"> </w:t>
      </w:r>
    </w:p>
    <w:p w14:paraId="6FA80D33">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3.配置要求</w:t>
      </w:r>
    </w:p>
    <w:p w14:paraId="53C71FC8">
      <w:pPr>
        <w:widowControl/>
        <w:spacing w:line="360" w:lineRule="auto"/>
        <w:ind w:firstLine="420" w:firstLineChars="200"/>
        <w:rPr>
          <w:rFonts w:hint="eastAsia" w:ascii="宋体" w:hAnsi="宋体" w:eastAsia="宋体" w:cs="宋体"/>
          <w:color w:val="auto"/>
          <w:sz w:val="21"/>
          <w:szCs w:val="21"/>
          <w:highlight w:val="none"/>
          <w:lang w:val="en-US" w:eastAsia="zh-CN"/>
        </w:rPr>
      </w:pPr>
      <w:bookmarkStart w:id="719" w:name="_Hlk64970512"/>
      <w:r>
        <w:rPr>
          <w:rFonts w:hint="eastAsia" w:ascii="宋体" w:hAnsi="宋体" w:eastAsia="宋体" w:cs="宋体"/>
          <w:color w:val="auto"/>
          <w:sz w:val="21"/>
          <w:szCs w:val="21"/>
          <w:highlight w:val="none"/>
          <w:lang w:val="en-US" w:eastAsia="zh-CN"/>
        </w:rPr>
        <w:t>3.1 pH主机2套</w:t>
      </w:r>
    </w:p>
    <w:p w14:paraId="05EC329C">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pH复合</w:t>
      </w:r>
      <w:r>
        <w:rPr>
          <w:rFonts w:hint="eastAsia" w:ascii="宋体" w:hAnsi="宋体" w:eastAsia="宋体" w:cs="宋体"/>
          <w:color w:val="auto"/>
          <w:sz w:val="21"/>
          <w:szCs w:val="21"/>
          <w:highlight w:val="none"/>
          <w:lang w:val="fr-FR" w:eastAsia="zh-CN"/>
        </w:rPr>
        <w:t>电极</w:t>
      </w:r>
      <w:r>
        <w:rPr>
          <w:rFonts w:hint="eastAsia" w:ascii="宋体" w:hAnsi="宋体" w:eastAsia="宋体" w:cs="宋体"/>
          <w:color w:val="auto"/>
          <w:sz w:val="21"/>
          <w:szCs w:val="21"/>
          <w:highlight w:val="none"/>
          <w:lang w:val="en-US" w:eastAsia="zh-CN"/>
        </w:rPr>
        <w:t>2套；</w:t>
      </w:r>
    </w:p>
    <w:bookmarkEnd w:id="719"/>
    <w:p w14:paraId="3095EA2B">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fr-FR" w:eastAsia="zh-CN"/>
        </w:rPr>
        <w:t>.</w:t>
      </w:r>
      <w:r>
        <w:rPr>
          <w:rFonts w:hint="eastAsia" w:ascii="宋体" w:hAnsi="宋体" w:eastAsia="宋体" w:cs="宋体"/>
          <w:color w:val="auto"/>
          <w:sz w:val="21"/>
          <w:szCs w:val="21"/>
          <w:highlight w:val="none"/>
          <w:lang w:val="en-US" w:eastAsia="zh-CN"/>
        </w:rPr>
        <w:t>3 系列</w:t>
      </w:r>
      <w:r>
        <w:rPr>
          <w:rFonts w:hint="eastAsia" w:ascii="宋体" w:hAnsi="宋体" w:eastAsia="宋体" w:cs="宋体"/>
          <w:color w:val="auto"/>
          <w:sz w:val="21"/>
          <w:szCs w:val="21"/>
          <w:highlight w:val="none"/>
          <w:lang w:val="fr-FR" w:eastAsia="zh-CN"/>
        </w:rPr>
        <w:t xml:space="preserve">pH </w:t>
      </w:r>
      <w:r>
        <w:rPr>
          <w:rFonts w:hint="eastAsia" w:ascii="宋体" w:hAnsi="宋体" w:eastAsia="宋体" w:cs="宋体"/>
          <w:color w:val="auto"/>
          <w:sz w:val="21"/>
          <w:szCs w:val="21"/>
          <w:highlight w:val="none"/>
          <w:lang w:val="en-US" w:eastAsia="zh-CN"/>
        </w:rPr>
        <w:t>电极校准标准液2套</w:t>
      </w:r>
    </w:p>
    <w:p w14:paraId="6D2DC740">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4.售后服务要求</w:t>
      </w:r>
    </w:p>
    <w:p w14:paraId="778DA59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响应时间：在接到电话或书面通知后4小时内给予答复，紧急问题应在48小时内抵达现场。</w:t>
      </w:r>
    </w:p>
    <w:p w14:paraId="22605B4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 xml:space="preserve"> 质量保证期：设备验收合格后，整机质保24个月。</w:t>
      </w:r>
    </w:p>
    <w:p w14:paraId="2395AE8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 xml:space="preserve"> 技术服务的范围及内容：</w:t>
      </w:r>
      <w:r>
        <w:rPr>
          <w:rFonts w:hint="eastAsia" w:ascii="宋体" w:hAnsi="宋体" w:eastAsia="宋体" w:cs="宋体"/>
          <w:color w:val="auto"/>
          <w:sz w:val="21"/>
          <w:szCs w:val="21"/>
          <w:highlight w:val="none"/>
          <w:lang w:val="en-US" w:eastAsia="zh-CN"/>
        </w:rPr>
        <w:t>供货商</w:t>
      </w:r>
      <w:r>
        <w:rPr>
          <w:rFonts w:hint="eastAsia" w:ascii="宋体" w:hAnsi="宋体" w:eastAsia="宋体" w:cs="宋体"/>
          <w:color w:val="auto"/>
          <w:sz w:val="21"/>
          <w:szCs w:val="21"/>
          <w:highlight w:val="none"/>
        </w:rPr>
        <w:t>委派技术人员到采购人指定现场，完成设备安装、调试及性能测试工作，直至运行稳定、各项技术指标满足要求并验收合格。</w:t>
      </w:r>
    </w:p>
    <w:p w14:paraId="4555D278">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4.4在质保期内按采购人要求，开展技术培训和支持（含现场培训）</w:t>
      </w:r>
      <w:r>
        <w:rPr>
          <w:rFonts w:hint="eastAsia" w:ascii="宋体" w:hAnsi="宋体" w:eastAsia="宋体" w:cs="宋体"/>
          <w:color w:val="auto"/>
          <w:sz w:val="21"/>
          <w:szCs w:val="21"/>
          <w:highlight w:val="none"/>
        </w:rPr>
        <w:t>。</w:t>
      </w:r>
    </w:p>
    <w:p w14:paraId="1C317122">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 质保期内，所有故障提供技术服务和维修，包括配套的所有耗材，仪器设备保养维护（一年不少于 2 次）及自校工作等。</w:t>
      </w:r>
    </w:p>
    <w:p w14:paraId="0DA57F75">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（十三）</w:t>
      </w:r>
      <w:r>
        <w:rPr>
          <w:rFonts w:hint="eastAsia" w:ascii="宋体" w:hAnsi="宋体" w:eastAsia="宋体" w:cs="宋体"/>
          <w:b/>
          <w:bCs/>
          <w:color w:val="auto"/>
          <w:kern w:val="2"/>
          <w:sz w:val="21"/>
          <w:szCs w:val="21"/>
          <w:highlight w:val="none"/>
          <w:lang w:val="en-US" w:eastAsia="zh-CN" w:bidi="ar-SA"/>
        </w:rPr>
        <w:t>便携式溶解氧测定仪</w:t>
      </w:r>
    </w:p>
    <w:p w14:paraId="0B06ACD8">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1.采购内容</w:t>
      </w:r>
    </w:p>
    <w:p w14:paraId="3924AAB3">
      <w:pPr>
        <w:widowControl/>
        <w:spacing w:line="360" w:lineRule="auto"/>
        <w:ind w:firstLine="412" w:firstLineChars="200"/>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采购</w:t>
      </w:r>
      <w:r>
        <w:rPr>
          <w:rFonts w:hint="eastAsia" w:ascii="宋体" w:hAnsi="宋体" w:eastAsia="宋体" w:cs="宋体"/>
          <w:color w:val="auto"/>
          <w:sz w:val="21"/>
          <w:szCs w:val="21"/>
          <w:highlight w:val="none"/>
          <w:lang w:val="en-US" w:eastAsia="zh-CN"/>
        </w:rPr>
        <w:t>便携式溶解氧测定仪</w:t>
      </w:r>
      <w:r>
        <w:rPr>
          <w:rFonts w:hint="eastAsia" w:ascii="宋体" w:hAnsi="宋体" w:eastAsia="宋体" w:cs="宋体"/>
          <w:color w:val="auto"/>
          <w:spacing w:val="-2"/>
          <w:sz w:val="21"/>
          <w:szCs w:val="21"/>
          <w:highlight w:val="none"/>
          <w:lang w:val="en-US" w:eastAsia="zh-CN"/>
        </w:rPr>
        <w:t>2套，用于现场水质中溶解氧的测定</w:t>
      </w:r>
      <w:r>
        <w:rPr>
          <w:rFonts w:hint="eastAsia" w:ascii="宋体" w:hAnsi="宋体" w:eastAsia="宋体" w:cs="宋体"/>
          <w:color w:val="auto"/>
          <w:spacing w:val="-2"/>
          <w:sz w:val="21"/>
          <w:szCs w:val="21"/>
          <w:highlight w:val="none"/>
        </w:rPr>
        <w:t>。</w:t>
      </w:r>
    </w:p>
    <w:p w14:paraId="06E870E7">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2.技术参数要求</w:t>
      </w:r>
    </w:p>
    <w:p w14:paraId="3ADEAB07">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2.1 工作条件</w:t>
      </w:r>
    </w:p>
    <w:p w14:paraId="5033BCF5">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2.1.1电源要求 ：内置电池供电； </w:t>
      </w:r>
    </w:p>
    <w:p w14:paraId="31B41559">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2.1.2存储温度： –20 ～ 60 °C，最高90%相对湿度（无冷凝）；</w:t>
      </w:r>
    </w:p>
    <w:p w14:paraId="6A3026AC">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2.1.3工作温度： 0 ～ 60 °C；</w:t>
      </w:r>
    </w:p>
    <w:p w14:paraId="1D26B0DD">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2.1.4工作湿度： ≤90% (无冷凝)</w:t>
      </w:r>
    </w:p>
    <w:p w14:paraId="6757C92B">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2.2技术性能指标</w:t>
      </w:r>
    </w:p>
    <w:p w14:paraId="75CC7B78">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2.2.1显示：可显示1个电极的读数</w:t>
      </w:r>
    </w:p>
    <w:p w14:paraId="54C0A370">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（1）溶解氧电极：溶解氧、温度；</w:t>
      </w:r>
    </w:p>
    <w:p w14:paraId="227B77D9">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数据内存： 不少于5000 组数据；</w:t>
      </w:r>
    </w:p>
    <w:p w14:paraId="6FEDAB76">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 数据传输：通过USB接口连接到至PC或USB存储设备；</w:t>
      </w:r>
    </w:p>
    <w:p w14:paraId="215191A9">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★2.2.4外壳防护等级：≥IP67；</w:t>
      </w:r>
    </w:p>
    <w:p w14:paraId="3D45EACB">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2.2.5 重量：≤600g</w:t>
      </w:r>
    </w:p>
    <w:p w14:paraId="406F9DB9">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2.3 溶解氧电极技术性能指标</w:t>
      </w:r>
    </w:p>
    <w:p w14:paraId="5B082420">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2.3.1温度</w:t>
      </w:r>
    </w:p>
    <w:p w14:paraId="207365FB">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量程：-10.0～110.0℃</w:t>
      </w:r>
    </w:p>
    <w:p w14:paraId="6EF54E63">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分辨率：0.1℃</w:t>
      </w:r>
    </w:p>
    <w:p w14:paraId="776EE725">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准确度：±0.3℃</w:t>
      </w:r>
    </w:p>
    <w:p w14:paraId="257B4334">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2.3.2 溶解氧电极</w:t>
      </w:r>
    </w:p>
    <w:p w14:paraId="467971C3">
      <w:pPr>
        <w:keepNext w:val="0"/>
        <w:keepLines w:val="0"/>
        <w:pageBreakBefore w:val="0"/>
        <w:widowControl/>
        <w:numPr>
          <w:ilvl w:val="0"/>
          <w:numId w:val="0"/>
        </w:numPr>
        <w:kinsoku/>
        <w:wordWrap/>
        <w:overflowPunct/>
        <w:topLinePunct w:val="0"/>
        <w:bidi w:val="0"/>
        <w:snapToGrid/>
        <w:spacing w:line="360" w:lineRule="auto"/>
        <w:ind w:firstLine="412" w:firstLineChars="200"/>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kern w:val="2"/>
          <w:sz w:val="21"/>
          <w:szCs w:val="21"/>
          <w:highlight w:val="none"/>
          <w:lang w:bidi="ar"/>
        </w:rPr>
        <w:t>量程: 0.01~20.0 mg/L</w:t>
      </w:r>
    </w:p>
    <w:p w14:paraId="793C55C2">
      <w:pPr>
        <w:widowControl w:val="0"/>
        <w:autoSpaceDE w:val="0"/>
        <w:autoSpaceDN w:val="0"/>
        <w:adjustRightInd w:val="0"/>
        <w:spacing w:line="360" w:lineRule="auto"/>
        <w:ind w:firstLine="1030" w:firstLineChars="500"/>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2"/>
          <w:kern w:val="2"/>
          <w:sz w:val="21"/>
          <w:szCs w:val="21"/>
          <w:highlight w:val="none"/>
          <w:lang w:bidi="ar"/>
        </w:rPr>
        <w:t>0~200% 饱和度</w:t>
      </w:r>
    </w:p>
    <w:p w14:paraId="24CE1872">
      <w:pPr>
        <w:widowControl w:val="0"/>
        <w:autoSpaceDE w:val="0"/>
        <w:autoSpaceDN w:val="0"/>
        <w:adjustRightInd w:val="0"/>
        <w:spacing w:line="360" w:lineRule="auto"/>
        <w:ind w:firstLine="309" w:firstLineChars="150"/>
        <w:jc w:val="both"/>
        <w:rPr>
          <w:rFonts w:hint="eastAsia" w:ascii="宋体" w:hAnsi="宋体" w:eastAsia="宋体" w:cs="宋体"/>
          <w:color w:val="auto"/>
          <w:spacing w:val="-2"/>
          <w:kern w:val="2"/>
          <w:sz w:val="21"/>
          <w:szCs w:val="21"/>
          <w:highlight w:val="none"/>
          <w:lang w:bidi="ar"/>
        </w:rPr>
      </w:pPr>
      <w:r>
        <w:rPr>
          <w:rFonts w:hint="eastAsia" w:ascii="宋体" w:hAnsi="宋体" w:eastAsia="宋体" w:cs="宋体"/>
          <w:color w:val="auto"/>
          <w:spacing w:val="-2"/>
          <w:kern w:val="2"/>
          <w:sz w:val="21"/>
          <w:szCs w:val="21"/>
          <w:highlight w:val="none"/>
          <w:lang w:bidi="ar"/>
        </w:rPr>
        <w:t>分辨率：0.01 mg/L</w:t>
      </w:r>
    </w:p>
    <w:p w14:paraId="554D9F1D">
      <w:pPr>
        <w:widowControl w:val="0"/>
        <w:autoSpaceDE w:val="0"/>
        <w:autoSpaceDN w:val="0"/>
        <w:adjustRightInd w:val="0"/>
        <w:spacing w:line="360" w:lineRule="auto"/>
        <w:ind w:firstLine="309" w:firstLineChars="15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kern w:val="2"/>
          <w:sz w:val="21"/>
          <w:szCs w:val="21"/>
          <w:highlight w:val="none"/>
          <w:lang w:bidi="ar"/>
        </w:rPr>
        <w:t>溶解氧的准确度：在 0.1~8 mg/L时，为 ±0.1 mg/L</w:t>
      </w:r>
      <w:r>
        <w:rPr>
          <w:rFonts w:hint="eastAsia" w:ascii="宋体" w:hAnsi="宋体" w:eastAsia="宋体" w:cs="宋体"/>
          <w:color w:val="auto"/>
          <w:spacing w:val="-2"/>
          <w:kern w:val="2"/>
          <w:sz w:val="21"/>
          <w:szCs w:val="21"/>
          <w:highlight w:val="none"/>
          <w:lang w:eastAsia="zh-CN" w:bidi="ar"/>
        </w:rPr>
        <w:t>；</w:t>
      </w:r>
    </w:p>
    <w:p w14:paraId="0E0D18B6">
      <w:pPr>
        <w:widowControl w:val="0"/>
        <w:autoSpaceDE w:val="0"/>
        <w:autoSpaceDN w:val="0"/>
        <w:adjustRightInd w:val="0"/>
        <w:spacing w:line="360" w:lineRule="auto"/>
        <w:ind w:firstLine="1751" w:firstLineChars="850"/>
        <w:jc w:val="both"/>
        <w:rPr>
          <w:rFonts w:hint="eastAsia" w:ascii="宋体" w:hAnsi="宋体" w:eastAsia="宋体" w:cs="宋体"/>
          <w:color w:val="auto"/>
          <w:spacing w:val="-2"/>
          <w:kern w:val="2"/>
          <w:sz w:val="21"/>
          <w:szCs w:val="21"/>
          <w:highlight w:val="none"/>
          <w:lang w:eastAsia="zh-CN" w:bidi="ar"/>
        </w:rPr>
      </w:pPr>
      <w:r>
        <w:rPr>
          <w:rFonts w:hint="eastAsia" w:ascii="宋体" w:hAnsi="宋体" w:eastAsia="宋体" w:cs="宋体"/>
          <w:color w:val="auto"/>
          <w:spacing w:val="-2"/>
          <w:kern w:val="2"/>
          <w:sz w:val="21"/>
          <w:szCs w:val="21"/>
          <w:highlight w:val="none"/>
          <w:lang w:bidi="ar"/>
        </w:rPr>
        <w:t>大于8.0 mg/L时，为 ±0.2 mg/L</w:t>
      </w:r>
      <w:r>
        <w:rPr>
          <w:rFonts w:hint="eastAsia" w:ascii="宋体" w:hAnsi="宋体" w:eastAsia="宋体" w:cs="宋体"/>
          <w:color w:val="auto"/>
          <w:spacing w:val="-2"/>
          <w:kern w:val="2"/>
          <w:sz w:val="21"/>
          <w:szCs w:val="21"/>
          <w:highlight w:val="none"/>
          <w:lang w:eastAsia="zh-CN" w:bidi="ar"/>
        </w:rPr>
        <w:t>。</w:t>
      </w:r>
    </w:p>
    <w:p w14:paraId="388FEBFC">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3.配置要求</w:t>
      </w:r>
    </w:p>
    <w:p w14:paraId="428CD7B2">
      <w:pPr>
        <w:keepNext w:val="0"/>
        <w:keepLines w:val="0"/>
        <w:pageBreakBefore w:val="0"/>
        <w:widowControl/>
        <w:kinsoku/>
        <w:wordWrap/>
        <w:overflowPunct/>
        <w:topLinePunct w:val="0"/>
        <w:autoSpaceDE/>
        <w:autoSpaceDN/>
        <w:bidi w:val="0"/>
        <w:adjustRightInd/>
        <w:snapToGrid/>
        <w:spacing w:before="60" w:after="60" w:line="360" w:lineRule="auto"/>
        <w:ind w:firstLine="412" w:firstLineChars="200"/>
        <w:jc w:val="both"/>
        <w:textAlignment w:val="auto"/>
        <w:rPr>
          <w:rFonts w:hint="eastAsia" w:ascii="宋体" w:hAnsi="宋体" w:eastAsia="宋体" w:cs="宋体"/>
          <w:b w:val="0"/>
          <w:bCs/>
          <w:color w:val="auto"/>
          <w:spacing w:val="-2"/>
          <w:kern w:val="2"/>
          <w:sz w:val="21"/>
          <w:szCs w:val="21"/>
          <w:highlight w:val="none"/>
          <w:lang w:val="en-US" w:eastAsia="zh-CN" w:bidi="ar-SA"/>
        </w:rPr>
      </w:pPr>
      <w:r>
        <w:rPr>
          <w:rFonts w:hint="eastAsia" w:ascii="宋体" w:hAnsi="宋体" w:eastAsia="宋体" w:cs="宋体"/>
          <w:b w:val="0"/>
          <w:bCs/>
          <w:color w:val="auto"/>
          <w:spacing w:val="-2"/>
          <w:kern w:val="2"/>
          <w:sz w:val="21"/>
          <w:szCs w:val="21"/>
          <w:highlight w:val="none"/>
          <w:lang w:val="en-US" w:eastAsia="zh-CN" w:bidi="ar-SA"/>
        </w:rPr>
        <w:t xml:space="preserve">3.1 溶解氧主机2套； </w:t>
      </w:r>
    </w:p>
    <w:p w14:paraId="0DD1C2C2">
      <w:pPr>
        <w:keepNext w:val="0"/>
        <w:keepLines w:val="0"/>
        <w:pageBreakBefore w:val="0"/>
        <w:widowControl/>
        <w:kinsoku/>
        <w:wordWrap/>
        <w:overflowPunct/>
        <w:topLinePunct w:val="0"/>
        <w:autoSpaceDE/>
        <w:autoSpaceDN/>
        <w:bidi w:val="0"/>
        <w:adjustRightInd/>
        <w:snapToGrid/>
        <w:spacing w:before="60" w:after="60" w:line="360" w:lineRule="auto"/>
        <w:ind w:firstLine="412" w:firstLineChars="200"/>
        <w:jc w:val="both"/>
        <w:textAlignment w:val="auto"/>
        <w:rPr>
          <w:rFonts w:hint="eastAsia" w:ascii="宋体" w:hAnsi="宋体" w:eastAsia="宋体" w:cs="宋体"/>
          <w:b w:val="0"/>
          <w:bCs/>
          <w:color w:val="auto"/>
          <w:spacing w:val="-2"/>
          <w:kern w:val="2"/>
          <w:sz w:val="21"/>
          <w:szCs w:val="21"/>
          <w:highlight w:val="none"/>
          <w:lang w:val="en-US" w:eastAsia="zh-CN" w:bidi="ar-SA"/>
        </w:rPr>
      </w:pPr>
      <w:r>
        <w:rPr>
          <w:rFonts w:hint="eastAsia" w:ascii="宋体" w:hAnsi="宋体" w:eastAsia="宋体" w:cs="宋体"/>
          <w:b w:val="0"/>
          <w:bCs/>
          <w:color w:val="auto"/>
          <w:spacing w:val="-2"/>
          <w:kern w:val="2"/>
          <w:sz w:val="21"/>
          <w:szCs w:val="21"/>
          <w:highlight w:val="none"/>
          <w:lang w:val="en-US" w:eastAsia="zh-CN" w:bidi="ar-SA"/>
        </w:rPr>
        <w:t>3.2 溶解氧电极2套。</w:t>
      </w:r>
    </w:p>
    <w:p w14:paraId="3DEEF63F">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4.售后服务要求</w:t>
      </w:r>
    </w:p>
    <w:p w14:paraId="6A15E1AA">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响应时间：在接到电话或书面通知后4小时内给予答复，紧急问题应在48小时内抵达现场。</w:t>
      </w:r>
    </w:p>
    <w:p w14:paraId="0504C4E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 xml:space="preserve"> 质量保证期：设备验收合格后，整机质保24个月。</w:t>
      </w:r>
    </w:p>
    <w:p w14:paraId="6BFEC32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 xml:space="preserve"> 技术服务的范围及内容：</w:t>
      </w:r>
      <w:r>
        <w:rPr>
          <w:rFonts w:hint="eastAsia" w:ascii="宋体" w:hAnsi="宋体" w:eastAsia="宋体" w:cs="宋体"/>
          <w:color w:val="auto"/>
          <w:sz w:val="21"/>
          <w:szCs w:val="21"/>
          <w:highlight w:val="none"/>
          <w:lang w:val="en-US" w:eastAsia="zh-CN"/>
        </w:rPr>
        <w:t>供货商</w:t>
      </w:r>
      <w:r>
        <w:rPr>
          <w:rFonts w:hint="eastAsia" w:ascii="宋体" w:hAnsi="宋体" w:eastAsia="宋体" w:cs="宋体"/>
          <w:color w:val="auto"/>
          <w:sz w:val="21"/>
          <w:szCs w:val="21"/>
          <w:highlight w:val="none"/>
        </w:rPr>
        <w:t>委派技术人员到采购人指定现场，完成设备安装、调试及性能测试工作，直至运行稳定、各项技术指标满足要求并验收合格。</w:t>
      </w:r>
    </w:p>
    <w:p w14:paraId="4860AE7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4.4在质保期内按采购人要求，开展技术培训和支持（含现场培训）</w:t>
      </w:r>
      <w:r>
        <w:rPr>
          <w:rFonts w:hint="eastAsia" w:ascii="宋体" w:hAnsi="宋体" w:eastAsia="宋体" w:cs="宋体"/>
          <w:color w:val="auto"/>
          <w:sz w:val="21"/>
          <w:szCs w:val="21"/>
          <w:highlight w:val="none"/>
        </w:rPr>
        <w:t>。</w:t>
      </w:r>
    </w:p>
    <w:p w14:paraId="5BC57F01">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 质保期内，所有故障提供技术服务和维修，包括配套的所有耗材，仪器设备保养维护（一年不少于 2 次）及自校工作等。</w:t>
      </w:r>
    </w:p>
    <w:p w14:paraId="2DFB2149">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（十四）</w:t>
      </w:r>
      <w:r>
        <w:rPr>
          <w:rFonts w:hint="eastAsia" w:ascii="宋体" w:hAnsi="宋体" w:eastAsia="宋体" w:cs="宋体"/>
          <w:b/>
          <w:bCs/>
          <w:color w:val="auto"/>
          <w:kern w:val="2"/>
          <w:sz w:val="21"/>
          <w:szCs w:val="21"/>
          <w:highlight w:val="none"/>
          <w:lang w:val="en-US" w:eastAsia="zh-CN" w:bidi="ar-SA"/>
        </w:rPr>
        <w:t>便携式电导率测定仪</w:t>
      </w:r>
    </w:p>
    <w:p w14:paraId="611DB1C3">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1.采购内容</w:t>
      </w:r>
    </w:p>
    <w:p w14:paraId="5DD8BB75">
      <w:pPr>
        <w:widowControl/>
        <w:spacing w:line="360" w:lineRule="auto"/>
        <w:ind w:firstLine="41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pacing w:val="-2"/>
          <w:sz w:val="21"/>
          <w:szCs w:val="21"/>
          <w:highlight w:val="none"/>
          <w:lang w:val="en-US" w:eastAsia="zh-CN"/>
        </w:rPr>
        <w:t>采购</w:t>
      </w:r>
      <w:r>
        <w:rPr>
          <w:rFonts w:hint="eastAsia" w:ascii="宋体" w:hAnsi="宋体" w:eastAsia="宋体" w:cs="宋体"/>
          <w:color w:val="auto"/>
          <w:sz w:val="21"/>
          <w:szCs w:val="21"/>
          <w:highlight w:val="none"/>
          <w:lang w:val="en-US" w:eastAsia="zh-CN"/>
        </w:rPr>
        <w:t>便携式电导率测定仪</w:t>
      </w:r>
      <w:r>
        <w:rPr>
          <w:rFonts w:hint="eastAsia" w:ascii="宋体" w:hAnsi="宋体" w:eastAsia="宋体" w:cs="宋体"/>
          <w:color w:val="auto"/>
          <w:spacing w:val="-2"/>
          <w:sz w:val="21"/>
          <w:szCs w:val="21"/>
          <w:highlight w:val="none"/>
          <w:lang w:val="en-US" w:eastAsia="zh-CN"/>
        </w:rPr>
        <w:t>2套，用于现场水质中电导率的测定</w:t>
      </w:r>
      <w:r>
        <w:rPr>
          <w:rFonts w:hint="eastAsia" w:ascii="宋体" w:hAnsi="宋体" w:eastAsia="宋体" w:cs="宋体"/>
          <w:color w:val="auto"/>
          <w:spacing w:val="-2"/>
          <w:sz w:val="21"/>
          <w:szCs w:val="21"/>
          <w:highlight w:val="none"/>
        </w:rPr>
        <w:t>。</w:t>
      </w:r>
    </w:p>
    <w:p w14:paraId="07171CE0">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2.技术参数要求</w:t>
      </w:r>
    </w:p>
    <w:p w14:paraId="0FC6E5CB">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2.1工作条件</w:t>
      </w:r>
    </w:p>
    <w:p w14:paraId="28A60634">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2.1.1 电源要求 ：内置电池供电； </w:t>
      </w:r>
    </w:p>
    <w:p w14:paraId="23B8A713">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存储温度： –20 ～ 60 °C，最高90%相对湿度（无冷凝）；</w:t>
      </w:r>
    </w:p>
    <w:p w14:paraId="24F80F1C">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 工作温度： 0 ～ 60 °C；</w:t>
      </w:r>
    </w:p>
    <w:p w14:paraId="687A471A">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2.1.4工作湿度： ≤90% (无冷凝)</w:t>
      </w:r>
    </w:p>
    <w:p w14:paraId="77B675C8">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2.2技术性能指标</w:t>
      </w:r>
    </w:p>
    <w:p w14:paraId="3FCF66C0">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2.2.1显示：可显示1个电极的读数</w:t>
      </w:r>
    </w:p>
    <w:p w14:paraId="5DB66FE7">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（1）电导率电极：电导率、电阻率、温度 </w:t>
      </w:r>
    </w:p>
    <w:p w14:paraId="38BA8F74">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数据内存：不少于5000 组数据；</w:t>
      </w:r>
    </w:p>
    <w:p w14:paraId="43903A2A">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 数据传输：通过USB接口连接至PC或USB存储设备；</w:t>
      </w:r>
    </w:p>
    <w:p w14:paraId="37AEBB38">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2.2.4 温度校正：关闭、自动和手动；</w:t>
      </w:r>
    </w:p>
    <w:p w14:paraId="148814DF">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★2.2.5外壳防护等级：≥IP67；</w:t>
      </w:r>
    </w:p>
    <w:p w14:paraId="61EAF04C">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2.2.6 重量：≤600g。</w:t>
      </w:r>
    </w:p>
    <w:p w14:paraId="2900AC52">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2.3 电导率电极技术性能指标</w:t>
      </w:r>
    </w:p>
    <w:p w14:paraId="5CF1D8EA">
      <w:pPr>
        <w:keepNext w:val="0"/>
        <w:keepLines w:val="0"/>
        <w:pageBreakBefore w:val="0"/>
        <w:widowControl/>
        <w:numPr>
          <w:ilvl w:val="0"/>
          <w:numId w:val="0"/>
        </w:numPr>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2.3.1电导率电极</w:t>
      </w:r>
    </w:p>
    <w:p w14:paraId="5EEB8A74">
      <w:pPr>
        <w:keepNext w:val="0"/>
        <w:keepLines w:val="0"/>
        <w:pageBreakBefore w:val="0"/>
        <w:widowControl/>
        <w:numPr>
          <w:ilvl w:val="0"/>
          <w:numId w:val="0"/>
        </w:numPr>
        <w:kinsoku/>
        <w:wordWrap/>
        <w:overflowPunct/>
        <w:topLinePunct w:val="0"/>
        <w:bidi w:val="0"/>
        <w:snapToGrid/>
        <w:spacing w:line="360" w:lineRule="auto"/>
        <w:ind w:firstLine="414" w:firstLineChars="200"/>
        <w:jc w:val="left"/>
        <w:textAlignment w:val="auto"/>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温度：</w:t>
      </w:r>
    </w:p>
    <w:p w14:paraId="01A9A2D7">
      <w:pPr>
        <w:widowControl/>
        <w:spacing w:line="360" w:lineRule="auto"/>
        <w:ind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量程：-10.0～110.0℃</w:t>
      </w:r>
    </w:p>
    <w:p w14:paraId="74C1A486">
      <w:pPr>
        <w:widowControl/>
        <w:spacing w:line="360" w:lineRule="auto"/>
        <w:ind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分辨率：0.1℃</w:t>
      </w:r>
    </w:p>
    <w:p w14:paraId="06B69659">
      <w:pPr>
        <w:widowControl/>
        <w:spacing w:line="360" w:lineRule="auto"/>
        <w:ind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准确度：±0.3℃</w:t>
      </w:r>
    </w:p>
    <w:p w14:paraId="10E689C1">
      <w:pPr>
        <w:widowControl/>
        <w:spacing w:line="360" w:lineRule="auto"/>
        <w:ind w:firstLine="414" w:firstLineChars="200"/>
        <w:rPr>
          <w:rFonts w:hint="eastAsia" w:ascii="宋体" w:hAnsi="宋体" w:eastAsia="宋体" w:cs="宋体"/>
          <w:b/>
          <w:color w:val="auto"/>
          <w:spacing w:val="-2"/>
          <w:kern w:val="2"/>
          <w:sz w:val="21"/>
          <w:szCs w:val="21"/>
          <w:highlight w:val="none"/>
          <w:lang w:bidi="ar"/>
        </w:rPr>
      </w:pPr>
      <w:r>
        <w:rPr>
          <w:rFonts w:hint="eastAsia" w:ascii="宋体" w:hAnsi="宋体" w:eastAsia="宋体" w:cs="宋体"/>
          <w:b/>
          <w:color w:val="auto"/>
          <w:spacing w:val="-2"/>
          <w:kern w:val="2"/>
          <w:sz w:val="21"/>
          <w:szCs w:val="21"/>
          <w:highlight w:val="none"/>
          <w:lang w:bidi="ar"/>
        </w:rPr>
        <w:t>电导率：</w:t>
      </w:r>
    </w:p>
    <w:p w14:paraId="72806211">
      <w:pPr>
        <w:widowControl/>
        <w:spacing w:line="360" w:lineRule="auto"/>
        <w:ind w:firstLine="412" w:firstLineChars="200"/>
        <w:rPr>
          <w:rFonts w:hint="eastAsia" w:ascii="宋体" w:hAnsi="宋体" w:eastAsia="宋体" w:cs="宋体"/>
          <w:color w:val="auto"/>
          <w:spacing w:val="-2"/>
          <w:kern w:val="2"/>
          <w:sz w:val="21"/>
          <w:szCs w:val="21"/>
          <w:highlight w:val="none"/>
          <w:lang w:bidi="ar"/>
        </w:rPr>
      </w:pPr>
      <w:r>
        <w:rPr>
          <w:rFonts w:hint="eastAsia" w:ascii="宋体" w:hAnsi="宋体" w:eastAsia="宋体" w:cs="宋体"/>
          <w:color w:val="auto"/>
          <w:spacing w:val="-2"/>
          <w:kern w:val="2"/>
          <w:sz w:val="21"/>
          <w:szCs w:val="21"/>
          <w:highlight w:val="none"/>
          <w:lang w:bidi="ar"/>
        </w:rPr>
        <w:t>量程：0.01 μS/cm ~ 200.0 mS/cm</w:t>
      </w:r>
    </w:p>
    <w:p w14:paraId="63B31A5E">
      <w:pPr>
        <w:widowControl/>
        <w:spacing w:line="360" w:lineRule="auto"/>
        <w:ind w:firstLine="412" w:firstLineChars="200"/>
        <w:rPr>
          <w:rFonts w:hint="eastAsia" w:ascii="宋体" w:hAnsi="宋体" w:eastAsia="宋体" w:cs="宋体"/>
          <w:color w:val="auto"/>
          <w:spacing w:val="-2"/>
          <w:kern w:val="2"/>
          <w:sz w:val="21"/>
          <w:szCs w:val="21"/>
          <w:highlight w:val="none"/>
          <w:lang w:bidi="ar"/>
        </w:rPr>
      </w:pPr>
      <w:r>
        <w:rPr>
          <w:rFonts w:hint="eastAsia" w:ascii="宋体" w:hAnsi="宋体" w:eastAsia="宋体" w:cs="宋体"/>
          <w:color w:val="auto"/>
          <w:spacing w:val="-2"/>
          <w:kern w:val="2"/>
          <w:sz w:val="21"/>
          <w:szCs w:val="21"/>
          <w:highlight w:val="none"/>
          <w:lang w:bidi="ar"/>
        </w:rPr>
        <w:t>分辨率：0.01 μS/cm</w:t>
      </w:r>
    </w:p>
    <w:p w14:paraId="78C97369">
      <w:pPr>
        <w:widowControl/>
        <w:spacing w:line="360" w:lineRule="auto"/>
        <w:ind w:firstLine="420" w:firstLineChars="20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电阻率：</w:t>
      </w:r>
    </w:p>
    <w:p w14:paraId="487200A9">
      <w:pPr>
        <w:widowControl/>
        <w:spacing w:line="360" w:lineRule="auto"/>
        <w:ind w:firstLine="412" w:firstLineChars="200"/>
        <w:rPr>
          <w:rFonts w:hint="eastAsia" w:ascii="宋体" w:hAnsi="宋体" w:eastAsia="宋体" w:cs="宋体"/>
          <w:color w:val="auto"/>
          <w:spacing w:val="8"/>
          <w:kern w:val="2"/>
          <w:sz w:val="21"/>
          <w:szCs w:val="21"/>
          <w:highlight w:val="none"/>
          <w:lang w:bidi="ar"/>
        </w:rPr>
      </w:pPr>
      <w:r>
        <w:rPr>
          <w:rFonts w:hint="eastAsia" w:ascii="宋体" w:hAnsi="宋体" w:eastAsia="宋体" w:cs="宋体"/>
          <w:color w:val="auto"/>
          <w:spacing w:val="-2"/>
          <w:kern w:val="2"/>
          <w:sz w:val="21"/>
          <w:szCs w:val="21"/>
          <w:highlight w:val="none"/>
          <w:lang w:bidi="ar"/>
        </w:rPr>
        <w:t>量程：</w:t>
      </w:r>
      <w:r>
        <w:rPr>
          <w:rFonts w:hint="eastAsia" w:ascii="宋体" w:hAnsi="宋体" w:eastAsia="宋体" w:cs="宋体"/>
          <w:color w:val="auto"/>
          <w:spacing w:val="8"/>
          <w:kern w:val="2"/>
          <w:sz w:val="21"/>
          <w:szCs w:val="21"/>
          <w:highlight w:val="none"/>
          <w:lang w:bidi="ar"/>
        </w:rPr>
        <w:t>2.5</w:t>
      </w:r>
      <w:r>
        <w:rPr>
          <w:rFonts w:hint="eastAsia" w:ascii="宋体" w:hAnsi="宋体" w:eastAsia="宋体" w:cs="宋体"/>
          <w:color w:val="auto"/>
          <w:spacing w:val="-2"/>
          <w:kern w:val="2"/>
          <w:sz w:val="21"/>
          <w:szCs w:val="21"/>
          <w:highlight w:val="none"/>
          <w:lang w:bidi="ar"/>
        </w:rPr>
        <w:t>～49</w:t>
      </w:r>
      <w:r>
        <w:rPr>
          <w:rFonts w:hint="eastAsia" w:ascii="宋体" w:hAnsi="宋体" w:eastAsia="宋体" w:cs="宋体"/>
          <w:color w:val="auto"/>
          <w:spacing w:val="8"/>
          <w:kern w:val="2"/>
          <w:sz w:val="21"/>
          <w:szCs w:val="21"/>
          <w:highlight w:val="none"/>
          <w:lang w:bidi="ar"/>
        </w:rPr>
        <w:t>欧姆·厘米</w:t>
      </w:r>
    </w:p>
    <w:p w14:paraId="0A46DB13">
      <w:pPr>
        <w:widowControl/>
        <w:spacing w:line="360" w:lineRule="auto"/>
        <w:ind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kern w:val="2"/>
          <w:sz w:val="21"/>
          <w:szCs w:val="21"/>
          <w:highlight w:val="none"/>
          <w:lang w:bidi="ar"/>
        </w:rPr>
        <w:t>分辨率：0.1</w:t>
      </w:r>
      <w:r>
        <w:rPr>
          <w:rFonts w:hint="eastAsia" w:ascii="宋体" w:hAnsi="宋体" w:eastAsia="宋体" w:cs="宋体"/>
          <w:color w:val="auto"/>
          <w:spacing w:val="8"/>
          <w:kern w:val="2"/>
          <w:sz w:val="21"/>
          <w:szCs w:val="21"/>
          <w:highlight w:val="none"/>
          <w:lang w:bidi="ar"/>
        </w:rPr>
        <w:t>欧姆·厘米</w:t>
      </w:r>
    </w:p>
    <w:p w14:paraId="1B2D1600">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3.配置要求</w:t>
      </w:r>
    </w:p>
    <w:p w14:paraId="0CE5D78C">
      <w:pPr>
        <w:keepNext w:val="0"/>
        <w:keepLines w:val="0"/>
        <w:pageBreakBefore w:val="0"/>
        <w:widowControl/>
        <w:kinsoku/>
        <w:wordWrap/>
        <w:overflowPunct/>
        <w:topLinePunct w:val="0"/>
        <w:autoSpaceDE/>
        <w:autoSpaceDN/>
        <w:bidi w:val="0"/>
        <w:adjustRightInd/>
        <w:snapToGrid/>
        <w:spacing w:before="60" w:after="60" w:line="360" w:lineRule="auto"/>
        <w:ind w:firstLine="414" w:firstLineChars="200"/>
        <w:jc w:val="both"/>
        <w:textAlignment w:val="auto"/>
        <w:rPr>
          <w:rFonts w:hint="eastAsia" w:ascii="宋体" w:hAnsi="宋体" w:eastAsia="宋体" w:cs="宋体"/>
          <w:b/>
          <w:bCs w:val="0"/>
          <w:color w:val="auto"/>
          <w:spacing w:val="-2"/>
          <w:kern w:val="2"/>
          <w:sz w:val="21"/>
          <w:szCs w:val="21"/>
          <w:highlight w:val="none"/>
          <w:lang w:val="en-US" w:eastAsia="zh-CN" w:bidi="ar-SA"/>
        </w:rPr>
      </w:pPr>
      <w:r>
        <w:rPr>
          <w:rFonts w:hint="eastAsia" w:ascii="宋体" w:hAnsi="宋体" w:eastAsia="宋体" w:cs="宋体"/>
          <w:b/>
          <w:bCs w:val="0"/>
          <w:color w:val="auto"/>
          <w:spacing w:val="-2"/>
          <w:kern w:val="2"/>
          <w:sz w:val="21"/>
          <w:szCs w:val="21"/>
          <w:highlight w:val="none"/>
          <w:lang w:val="en-US" w:eastAsia="zh-CN" w:bidi="ar-SA"/>
        </w:rPr>
        <w:t xml:space="preserve">3.1 </w:t>
      </w:r>
      <w:r>
        <w:rPr>
          <w:rFonts w:hint="eastAsia" w:ascii="宋体" w:hAnsi="宋体" w:eastAsia="宋体" w:cs="宋体"/>
          <w:b w:val="0"/>
          <w:bCs w:val="0"/>
          <w:color w:val="auto"/>
          <w:spacing w:val="-2"/>
          <w:kern w:val="2"/>
          <w:sz w:val="21"/>
          <w:szCs w:val="21"/>
          <w:highlight w:val="none"/>
          <w:lang w:val="en-US" w:eastAsia="zh-CN" w:bidi="ar-SA"/>
        </w:rPr>
        <w:t>电导率主机2套；</w:t>
      </w:r>
    </w:p>
    <w:p w14:paraId="1190E80B">
      <w:pPr>
        <w:keepNext w:val="0"/>
        <w:keepLines w:val="0"/>
        <w:pageBreakBefore w:val="0"/>
        <w:widowControl/>
        <w:kinsoku/>
        <w:wordWrap/>
        <w:overflowPunct/>
        <w:topLinePunct w:val="0"/>
        <w:autoSpaceDE/>
        <w:autoSpaceDN/>
        <w:bidi w:val="0"/>
        <w:adjustRightInd/>
        <w:snapToGrid/>
        <w:spacing w:before="60" w:after="60" w:line="360" w:lineRule="auto"/>
        <w:ind w:firstLine="414" w:firstLineChars="200"/>
        <w:jc w:val="both"/>
        <w:textAlignment w:val="auto"/>
        <w:rPr>
          <w:rFonts w:hint="eastAsia" w:ascii="宋体" w:hAnsi="宋体" w:eastAsia="宋体" w:cs="宋体"/>
          <w:b w:val="0"/>
          <w:bCs/>
          <w:color w:val="auto"/>
          <w:spacing w:val="-2"/>
          <w:kern w:val="2"/>
          <w:sz w:val="21"/>
          <w:szCs w:val="21"/>
          <w:highlight w:val="none"/>
          <w:lang w:val="en-US" w:eastAsia="zh-CN" w:bidi="ar-SA"/>
        </w:rPr>
      </w:pPr>
      <w:r>
        <w:rPr>
          <w:rFonts w:hint="eastAsia" w:ascii="宋体" w:hAnsi="宋体" w:eastAsia="宋体" w:cs="宋体"/>
          <w:b/>
          <w:bCs w:val="0"/>
          <w:color w:val="auto"/>
          <w:spacing w:val="-2"/>
          <w:kern w:val="2"/>
          <w:sz w:val="21"/>
          <w:szCs w:val="21"/>
          <w:highlight w:val="none"/>
          <w:lang w:val="en-US" w:eastAsia="zh-CN" w:bidi="ar-SA"/>
        </w:rPr>
        <w:t xml:space="preserve">3.2 </w:t>
      </w:r>
      <w:r>
        <w:rPr>
          <w:rFonts w:hint="eastAsia" w:ascii="宋体" w:hAnsi="宋体" w:eastAsia="宋体" w:cs="宋体"/>
          <w:b w:val="0"/>
          <w:bCs w:val="0"/>
          <w:color w:val="auto"/>
          <w:spacing w:val="-2"/>
          <w:kern w:val="2"/>
          <w:sz w:val="21"/>
          <w:szCs w:val="21"/>
          <w:highlight w:val="none"/>
          <w:lang w:val="en-US" w:eastAsia="zh-CN" w:bidi="ar-SA"/>
        </w:rPr>
        <w:t>电导率</w:t>
      </w:r>
      <w:r>
        <w:rPr>
          <w:rFonts w:hint="eastAsia" w:ascii="宋体" w:hAnsi="宋体" w:eastAsia="宋体" w:cs="宋体"/>
          <w:b w:val="0"/>
          <w:bCs w:val="0"/>
          <w:color w:val="auto"/>
          <w:spacing w:val="-2"/>
          <w:kern w:val="2"/>
          <w:sz w:val="21"/>
          <w:szCs w:val="21"/>
          <w:highlight w:val="none"/>
          <w:lang w:val="fr-FR" w:eastAsia="zh-CN" w:bidi="ar-SA"/>
        </w:rPr>
        <w:t>电极</w:t>
      </w:r>
      <w:r>
        <w:rPr>
          <w:rFonts w:hint="eastAsia" w:ascii="宋体" w:hAnsi="宋体" w:eastAsia="宋体" w:cs="宋体"/>
          <w:b w:val="0"/>
          <w:bCs w:val="0"/>
          <w:color w:val="auto"/>
          <w:spacing w:val="-2"/>
          <w:kern w:val="2"/>
          <w:sz w:val="21"/>
          <w:szCs w:val="21"/>
          <w:highlight w:val="none"/>
          <w:lang w:val="en-US" w:eastAsia="zh-CN" w:bidi="ar-SA"/>
        </w:rPr>
        <w:t>2套；</w:t>
      </w:r>
    </w:p>
    <w:p w14:paraId="13463A2F">
      <w:pPr>
        <w:keepNext w:val="0"/>
        <w:keepLines w:val="0"/>
        <w:pageBreakBefore w:val="0"/>
        <w:widowControl/>
        <w:tabs>
          <w:tab w:val="left" w:pos="300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2"/>
          <w:sz w:val="21"/>
          <w:szCs w:val="21"/>
          <w:highlight w:val="none"/>
          <w:lang w:val="en-US" w:eastAsia="zh-CN"/>
        </w:rPr>
      </w:pPr>
      <w:r>
        <w:rPr>
          <w:rFonts w:hint="eastAsia" w:ascii="宋体" w:hAnsi="宋体" w:eastAsia="宋体" w:cs="宋体"/>
          <w:bCs/>
          <w:color w:val="auto"/>
          <w:sz w:val="21"/>
          <w:szCs w:val="21"/>
          <w:highlight w:val="none"/>
          <w:lang w:val="en-US" w:eastAsia="zh-CN"/>
        </w:rPr>
        <w:t>3.3</w:t>
      </w:r>
      <w:r>
        <w:rPr>
          <w:rFonts w:hint="eastAsia" w:ascii="宋体" w:hAnsi="宋体" w:eastAsia="宋体" w:cs="宋体"/>
          <w:color w:val="auto"/>
          <w:spacing w:val="-2"/>
          <w:sz w:val="21"/>
          <w:szCs w:val="21"/>
          <w:highlight w:val="none"/>
        </w:rPr>
        <w:t>校准标准液</w:t>
      </w:r>
      <w:r>
        <w:rPr>
          <w:rFonts w:hint="eastAsia" w:ascii="宋体" w:hAnsi="宋体" w:eastAsia="宋体" w:cs="宋体"/>
          <w:color w:val="auto"/>
          <w:spacing w:val="-2"/>
          <w:sz w:val="21"/>
          <w:szCs w:val="21"/>
          <w:highlight w:val="none"/>
          <w:lang w:val="en-US" w:eastAsia="zh-CN"/>
        </w:rPr>
        <w:t>2套。</w:t>
      </w:r>
    </w:p>
    <w:p w14:paraId="61C426EE">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4.售后服务要求</w:t>
      </w:r>
    </w:p>
    <w:p w14:paraId="494CB47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响应时间：在接到电话或书面通知后4小时内给予答复，紧急问题应在48小时内抵达现场。</w:t>
      </w:r>
    </w:p>
    <w:p w14:paraId="4777B84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 xml:space="preserve"> 质量保证期：设备验收合格后，整机质保24个月。</w:t>
      </w:r>
    </w:p>
    <w:p w14:paraId="0210BFAF">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 xml:space="preserve"> 技术服务的范围及内容：</w:t>
      </w:r>
      <w:r>
        <w:rPr>
          <w:rFonts w:hint="eastAsia" w:ascii="宋体" w:hAnsi="宋体" w:eastAsia="宋体" w:cs="宋体"/>
          <w:color w:val="auto"/>
          <w:sz w:val="21"/>
          <w:szCs w:val="21"/>
          <w:highlight w:val="none"/>
          <w:lang w:val="en-US" w:eastAsia="zh-CN"/>
        </w:rPr>
        <w:t>供货商</w:t>
      </w:r>
      <w:r>
        <w:rPr>
          <w:rFonts w:hint="eastAsia" w:ascii="宋体" w:hAnsi="宋体" w:eastAsia="宋体" w:cs="宋体"/>
          <w:color w:val="auto"/>
          <w:sz w:val="21"/>
          <w:szCs w:val="21"/>
          <w:highlight w:val="none"/>
        </w:rPr>
        <w:t>委派技术人员到采购人指定现场，完成设备安装、调试及性能测试工作，直至运行稳定、各项技术指标满足要求并验收合格。</w:t>
      </w:r>
    </w:p>
    <w:p w14:paraId="4E18262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4.4在质保期内按采购人要求，开展技术培训和支持（含现场培训）</w:t>
      </w:r>
      <w:r>
        <w:rPr>
          <w:rFonts w:hint="eastAsia" w:ascii="宋体" w:hAnsi="宋体" w:eastAsia="宋体" w:cs="宋体"/>
          <w:color w:val="auto"/>
          <w:sz w:val="21"/>
          <w:szCs w:val="21"/>
          <w:highlight w:val="none"/>
        </w:rPr>
        <w:t>。</w:t>
      </w:r>
    </w:p>
    <w:p w14:paraId="088C2015">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 质保期内，所有故障提供技术服务和维修，包括配套的所有耗材，仪器设备保养维护（一年不少于 2 次）及自校工作等。</w:t>
      </w:r>
    </w:p>
    <w:p w14:paraId="703E3D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四、</w:t>
      </w:r>
      <w:r>
        <w:rPr>
          <w:rFonts w:hint="eastAsia" w:ascii="宋体" w:hAnsi="宋体" w:eastAsia="宋体" w:cs="宋体"/>
          <w:b/>
          <w:bCs/>
          <w:color w:val="auto"/>
          <w:kern w:val="0"/>
          <w:sz w:val="21"/>
          <w:szCs w:val="21"/>
          <w:highlight w:val="none"/>
          <w:lang w:val="en-US" w:eastAsia="zh-CN" w:bidi="ar"/>
        </w:rPr>
        <w:t>核心产品</w:t>
      </w:r>
    </w:p>
    <w:p w14:paraId="3B40142C">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u w:val="single"/>
          <w:lang w:val="en-US" w:eastAsia="zh-CN" w:bidi="ar"/>
        </w:rPr>
        <w:t xml:space="preserve"> 离子色谱仪 </w:t>
      </w:r>
      <w:r>
        <w:rPr>
          <w:rFonts w:hint="eastAsia" w:ascii="宋体" w:hAnsi="宋体" w:eastAsia="宋体" w:cs="宋体"/>
          <w:b/>
          <w:bCs/>
          <w:color w:val="auto"/>
          <w:kern w:val="0"/>
          <w:sz w:val="21"/>
          <w:szCs w:val="21"/>
          <w:highlight w:val="none"/>
          <w:lang w:val="en-US" w:eastAsia="zh-CN" w:bidi="ar"/>
        </w:rPr>
        <w:t>产品为本次采购的核心产品。</w:t>
      </w:r>
    </w:p>
    <w:p w14:paraId="2C6928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五</w:t>
      </w:r>
      <w:r>
        <w:rPr>
          <w:rFonts w:hint="eastAsia" w:ascii="宋体" w:hAnsi="宋体" w:eastAsia="宋体" w:cs="宋体"/>
          <w:b/>
          <w:bCs/>
          <w:color w:val="auto"/>
          <w:kern w:val="0"/>
          <w:sz w:val="21"/>
          <w:szCs w:val="21"/>
          <w:highlight w:val="none"/>
          <w:lang w:val="en-US" w:eastAsia="zh-CN" w:bidi="ar"/>
        </w:rPr>
        <w:t>、履约验收要求</w:t>
      </w:r>
    </w:p>
    <w:p w14:paraId="6E660012">
      <w:pPr>
        <w:numPr>
          <w:ilvl w:val="0"/>
          <w:numId w:val="0"/>
        </w:numPr>
        <w:adjustRightInd w:val="0"/>
        <w:snapToGrid w:val="0"/>
        <w:spacing w:before="0" w:beforeLines="0" w:line="400" w:lineRule="exact"/>
        <w:ind w:firstLine="420" w:firstLineChars="200"/>
        <w:rPr>
          <w:rFonts w:hint="eastAsia" w:ascii="宋体" w:hAnsi="宋体" w:eastAsia="宋体" w:cs="Times New Roman"/>
          <w:bCs/>
          <w:color w:val="auto"/>
          <w:szCs w:val="21"/>
          <w:highlight w:val="none"/>
        </w:rPr>
      </w:pPr>
      <w:bookmarkStart w:id="720" w:name="_Toc11301"/>
      <w:r>
        <w:rPr>
          <w:rFonts w:hint="eastAsia" w:ascii="宋体" w:hAnsi="宋体" w:eastAsia="宋体" w:cs="Times New Roman"/>
          <w:bCs/>
          <w:color w:val="auto"/>
          <w:kern w:val="2"/>
          <w:sz w:val="21"/>
          <w:szCs w:val="21"/>
          <w:highlight w:val="none"/>
          <w:lang w:val="en-US" w:eastAsia="zh-CN" w:bidi="ar-SA"/>
        </w:rPr>
        <w:t>（1）</w:t>
      </w:r>
      <w:r>
        <w:rPr>
          <w:rFonts w:hint="eastAsia" w:ascii="宋体" w:hAnsi="宋体" w:eastAsia="宋体" w:cs="Times New Roman"/>
          <w:bCs/>
          <w:color w:val="auto"/>
          <w:szCs w:val="21"/>
          <w:highlight w:val="none"/>
        </w:rPr>
        <w:t>验收组织方式：</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Times New Roman"/>
          <w:bCs/>
          <w:color w:val="auto"/>
          <w:szCs w:val="21"/>
          <w:highlight w:val="none"/>
        </w:rPr>
        <w:t>委托第三方组织</w:t>
      </w:r>
    </w:p>
    <w:p w14:paraId="75FE811B">
      <w:pPr>
        <w:numPr>
          <w:ilvl w:val="0"/>
          <w:numId w:val="0"/>
        </w:numPr>
        <w:adjustRightInd w:val="0"/>
        <w:snapToGrid w:val="0"/>
        <w:spacing w:before="0" w:beforeLines="0" w:line="400" w:lineRule="exac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 xml:space="preserve">        </w:t>
      </w:r>
      <w:r>
        <w:rPr>
          <w:rFonts w:hint="eastAsia" w:ascii="宋体" w:hAnsi="宋体" w:eastAsia="宋体" w:cs="Times New Roman"/>
          <w:bCs/>
          <w:color w:val="auto"/>
          <w:szCs w:val="21"/>
          <w:highlight w:val="none"/>
        </w:rPr>
        <w:t>验收主体：</w:t>
      </w:r>
      <w:r>
        <w:rPr>
          <w:rFonts w:hint="eastAsia" w:ascii="宋体" w:hAnsi="宋体" w:eastAsia="宋体" w:cs="Times New Roman"/>
          <w:bCs/>
          <w:color w:val="auto"/>
          <w:szCs w:val="21"/>
          <w:highlight w:val="none"/>
          <w:u w:val="single"/>
        </w:rPr>
        <w:t xml:space="preserve">  河南省周口生态环境监测中心  </w:t>
      </w:r>
    </w:p>
    <w:p w14:paraId="34FB835B">
      <w:pPr>
        <w:adjustRightInd w:val="0"/>
        <w:snapToGrid w:val="0"/>
        <w:spacing w:before="0" w:beforeLines="0" w:line="400" w:lineRule="exact"/>
        <w:ind w:firstLine="0" w:firstLineChars="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 xml:space="preserve">        </w:t>
      </w:r>
      <w:r>
        <w:rPr>
          <w:rFonts w:hint="eastAsia" w:ascii="宋体" w:hAnsi="宋体" w:eastAsia="宋体" w:cs="Times New Roman"/>
          <w:bCs/>
          <w:color w:val="auto"/>
          <w:szCs w:val="21"/>
          <w:highlight w:val="none"/>
        </w:rPr>
        <w:t>是否邀请本项目的其他供应商</w:t>
      </w:r>
      <w:r>
        <w:rPr>
          <w:rFonts w:hint="eastAsia" w:ascii="宋体" w:hAnsi="宋体" w:eastAsia="宋体" w:cs="Times New Roman"/>
          <w:bCs/>
          <w:color w:val="auto"/>
          <w:szCs w:val="21"/>
          <w:highlight w:val="none"/>
          <w:lang w:eastAsia="zh-CN"/>
        </w:rPr>
        <w:t>参加验收</w:t>
      </w:r>
      <w:r>
        <w:rPr>
          <w:rFonts w:hint="eastAsia" w:ascii="宋体" w:hAnsi="宋体" w:eastAsia="宋体" w:cs="Times New Roman"/>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Times New Roman"/>
          <w:bCs/>
          <w:color w:val="auto"/>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否</w:t>
      </w:r>
    </w:p>
    <w:p w14:paraId="0C1444D2">
      <w:pPr>
        <w:adjustRightInd w:val="0"/>
        <w:snapToGrid w:val="0"/>
        <w:spacing w:before="0" w:beforeLines="0" w:line="400" w:lineRule="exact"/>
        <w:ind w:firstLine="840" w:firstLineChars="4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是否邀请专家</w:t>
      </w:r>
      <w:r>
        <w:rPr>
          <w:rFonts w:hint="eastAsia" w:ascii="宋体" w:hAnsi="宋体" w:eastAsia="宋体" w:cs="Times New Roman"/>
          <w:bCs/>
          <w:color w:val="auto"/>
          <w:szCs w:val="21"/>
          <w:highlight w:val="none"/>
          <w:lang w:eastAsia="zh-CN"/>
        </w:rPr>
        <w:t>参加验收</w:t>
      </w:r>
      <w:r>
        <w:rPr>
          <w:rFonts w:hint="eastAsia" w:ascii="宋体" w:hAnsi="宋体" w:eastAsia="宋体" w:cs="Times New Roman"/>
          <w:bCs/>
          <w:color w:val="auto"/>
          <w:szCs w:val="21"/>
          <w:highlight w:val="none"/>
        </w:rPr>
        <w:t>：</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Times New Roman"/>
          <w:bCs/>
          <w:color w:val="auto"/>
          <w:szCs w:val="21"/>
          <w:highlight w:val="none"/>
        </w:rPr>
        <w:t>否</w:t>
      </w:r>
    </w:p>
    <w:p w14:paraId="4690D519">
      <w:pPr>
        <w:adjustRightInd w:val="0"/>
        <w:snapToGrid w:val="0"/>
        <w:spacing w:before="0" w:beforeLines="0" w:line="400" w:lineRule="exact"/>
        <w:ind w:firstLine="840" w:firstLineChars="4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是否邀请服务对象</w:t>
      </w:r>
      <w:r>
        <w:rPr>
          <w:rFonts w:hint="eastAsia" w:ascii="宋体" w:hAnsi="宋体" w:eastAsia="宋体" w:cs="Times New Roman"/>
          <w:bCs/>
          <w:color w:val="auto"/>
          <w:szCs w:val="21"/>
          <w:highlight w:val="none"/>
          <w:lang w:eastAsia="zh-CN"/>
        </w:rPr>
        <w:t>参加验收</w:t>
      </w:r>
      <w:r>
        <w:rPr>
          <w:rFonts w:hint="eastAsia" w:ascii="宋体" w:hAnsi="宋体" w:eastAsia="宋体" w:cs="Times New Roman"/>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Times New Roman"/>
          <w:bCs/>
          <w:color w:val="auto"/>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否</w:t>
      </w:r>
    </w:p>
    <w:p w14:paraId="1EE88BF3">
      <w:pPr>
        <w:adjustRightInd w:val="0"/>
        <w:snapToGrid w:val="0"/>
        <w:spacing w:before="0" w:beforeLines="0" w:line="400" w:lineRule="exact"/>
        <w:ind w:firstLine="840" w:firstLineChars="4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是否邀请第三方检测机构</w:t>
      </w:r>
      <w:r>
        <w:rPr>
          <w:rFonts w:hint="eastAsia" w:ascii="宋体" w:hAnsi="宋体" w:eastAsia="宋体" w:cs="Times New Roman"/>
          <w:bCs/>
          <w:color w:val="auto"/>
          <w:szCs w:val="21"/>
          <w:highlight w:val="none"/>
          <w:lang w:eastAsia="zh-CN"/>
        </w:rPr>
        <w:t>参加验收</w:t>
      </w:r>
      <w:r>
        <w:rPr>
          <w:rFonts w:hint="eastAsia" w:ascii="宋体" w:hAnsi="宋体" w:eastAsia="宋体" w:cs="Times New Roman"/>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Times New Roman"/>
          <w:bCs/>
          <w:color w:val="auto"/>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否</w:t>
      </w:r>
    </w:p>
    <w:p w14:paraId="6580CD31">
      <w:pPr>
        <w:adjustRightInd w:val="0"/>
        <w:snapToGrid w:val="0"/>
        <w:spacing w:before="0" w:beforeLines="0" w:line="400" w:lineRule="exact"/>
        <w:ind w:firstLine="840" w:firstLineChars="4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Times New Roman"/>
          <w:bCs/>
          <w:color w:val="auto"/>
          <w:szCs w:val="21"/>
          <w:highlight w:val="none"/>
        </w:rPr>
        <w:t>是</w:t>
      </w:r>
      <w:r>
        <w:rPr>
          <w:rFonts w:hint="eastAsia" w:ascii="宋体" w:hAnsi="宋体" w:eastAsia="宋体" w:cs="Times New Roman"/>
          <w:bCs/>
          <w:color w:val="auto"/>
          <w:szCs w:val="21"/>
          <w:highlight w:val="none"/>
          <w:lang w:eastAsia="zh-CN"/>
        </w:rPr>
        <w:t>，抽查比例：</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eastAsia="宋体" w:cs="Times New Roman"/>
          <w:bCs/>
          <w:color w:val="auto"/>
          <w:szCs w:val="21"/>
          <w:highlight w:val="none"/>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否</w:t>
      </w:r>
    </w:p>
    <w:p w14:paraId="514781F4">
      <w:pPr>
        <w:adjustRightInd w:val="0"/>
        <w:snapToGrid w:val="0"/>
        <w:spacing w:before="0" w:beforeLines="0" w:line="400" w:lineRule="exact"/>
        <w:ind w:firstLine="840" w:firstLineChars="400"/>
        <w:rPr>
          <w:rFonts w:hint="eastAsia" w:ascii="宋体" w:hAnsi="宋体" w:eastAsia="宋体" w:cs="Times New Roman"/>
          <w:bCs/>
          <w:color w:val="auto"/>
          <w:szCs w:val="21"/>
          <w:highlight w:val="none"/>
          <w:u w:val="single"/>
          <w:lang w:eastAsia="zh-CN"/>
        </w:rPr>
      </w:pPr>
      <w:r>
        <w:rPr>
          <w:rFonts w:hint="eastAsia" w:ascii="宋体" w:hAnsi="宋体" w:eastAsia="宋体" w:cs="Times New Roman"/>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Times New Roman"/>
          <w:bCs/>
          <w:color w:val="auto"/>
          <w:szCs w:val="21"/>
          <w:highlight w:val="none"/>
        </w:rPr>
        <w:t>是</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u w:val="single"/>
          <w:lang w:eastAsia="zh-CN"/>
        </w:rPr>
        <w:t>（应明确对被破坏的检测产品的处理方式）</w:t>
      </w:r>
    </w:p>
    <w:p w14:paraId="45F0B4C3">
      <w:pPr>
        <w:adjustRightInd w:val="0"/>
        <w:snapToGrid w:val="0"/>
        <w:spacing w:before="0" w:beforeLines="0" w:line="400" w:lineRule="exact"/>
        <w:ind w:firstLine="840" w:firstLineChars="4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否</w:t>
      </w:r>
    </w:p>
    <w:p w14:paraId="73B2D076">
      <w:pPr>
        <w:adjustRightInd w:val="0"/>
        <w:snapToGrid w:val="0"/>
        <w:spacing w:before="0" w:beforeLines="0" w:line="400" w:lineRule="exact"/>
        <w:ind w:firstLine="840" w:firstLineChars="400"/>
        <w:rPr>
          <w:rFonts w:hint="eastAsia" w:ascii="宋体" w:hAnsi="宋体" w:eastAsia="宋体" w:cs="Times New Roman"/>
          <w:bCs/>
          <w:color w:val="auto"/>
          <w:szCs w:val="21"/>
          <w:highlight w:val="none"/>
          <w:u w:val="single"/>
        </w:rPr>
      </w:pPr>
      <w:r>
        <w:rPr>
          <w:rFonts w:hint="eastAsia" w:ascii="宋体" w:hAnsi="宋体" w:eastAsia="宋体" w:cs="Times New Roman"/>
          <w:bCs/>
          <w:color w:val="auto"/>
          <w:szCs w:val="21"/>
          <w:highlight w:val="none"/>
        </w:rPr>
        <w:t>验收组织的其他事项：</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lang w:val="en-US" w:eastAsia="zh-CN"/>
        </w:rPr>
        <w:t>/</w:t>
      </w:r>
      <w:r>
        <w:rPr>
          <w:rFonts w:hint="eastAsia" w:ascii="宋体" w:hAnsi="宋体" w:eastAsia="宋体" w:cs="Times New Roman"/>
          <w:bCs/>
          <w:color w:val="auto"/>
          <w:szCs w:val="21"/>
          <w:highlight w:val="none"/>
          <w:u w:val="single"/>
        </w:rPr>
        <w:t xml:space="preserve">         </w:t>
      </w:r>
    </w:p>
    <w:p w14:paraId="514585AC">
      <w:pPr>
        <w:adjustRightInd w:val="0"/>
        <w:snapToGrid w:val="0"/>
        <w:spacing w:before="0" w:beforeLines="0" w:line="400" w:lineRule="exact"/>
        <w:ind w:firstLine="420" w:firstLineChars="200"/>
        <w:rPr>
          <w:rFonts w:hint="eastAsia" w:ascii="宋体" w:hAnsi="宋体" w:eastAsia="宋体" w:cs="Times New Roman"/>
          <w:bCs/>
          <w:color w:val="auto"/>
          <w:szCs w:val="21"/>
          <w:highlight w:val="none"/>
          <w:u w:val="single"/>
        </w:rPr>
      </w:pPr>
      <w:r>
        <w:rPr>
          <w:rFonts w:hint="eastAsia" w:ascii="宋体" w:hAnsi="宋体" w:eastAsia="宋体" w:cs="Times New Roman"/>
          <w:bCs/>
          <w:color w:val="auto"/>
          <w:szCs w:val="21"/>
          <w:highlight w:val="none"/>
        </w:rPr>
        <w:t>（2）履约验收时间：</w:t>
      </w:r>
      <w:r>
        <w:rPr>
          <w:rFonts w:hint="eastAsia" w:ascii="宋体" w:hAnsi="宋体" w:eastAsia="宋体" w:cs="Times New Roman"/>
          <w:bCs/>
          <w:color w:val="auto"/>
          <w:szCs w:val="21"/>
          <w:highlight w:val="none"/>
          <w:u w:val="single"/>
        </w:rPr>
        <w:t>（计划于何时验收/供应商提出验收申请之日起</w:t>
      </w:r>
      <w:r>
        <w:rPr>
          <w:rFonts w:hint="eastAsia" w:ascii="宋体" w:hAnsi="宋体" w:eastAsia="宋体" w:cs="Times New Roman"/>
          <w:bCs/>
          <w:color w:val="auto"/>
          <w:szCs w:val="21"/>
          <w:highlight w:val="none"/>
          <w:u w:val="single"/>
          <w:lang w:val="en-US" w:eastAsia="zh-CN"/>
        </w:rPr>
        <w:t>7</w:t>
      </w:r>
      <w:r>
        <w:rPr>
          <w:rFonts w:hint="eastAsia" w:ascii="宋体" w:hAnsi="宋体" w:eastAsia="宋体" w:cs="Times New Roman"/>
          <w:bCs/>
          <w:color w:val="auto"/>
          <w:szCs w:val="21"/>
          <w:highlight w:val="none"/>
          <w:u w:val="single"/>
        </w:rPr>
        <w:t>日内组织验收）</w:t>
      </w:r>
      <w:r>
        <w:rPr>
          <w:rFonts w:hint="eastAsia" w:ascii="宋体" w:hAnsi="宋体" w:eastAsia="宋体" w:cs="Times New Roman"/>
          <w:bCs/>
          <w:color w:val="auto"/>
          <w:szCs w:val="21"/>
          <w:highlight w:val="none"/>
          <w:u w:val="single"/>
          <w:lang w:val="en-US" w:eastAsia="zh-CN"/>
        </w:rPr>
        <w:t xml:space="preserve"> </w:t>
      </w:r>
    </w:p>
    <w:p w14:paraId="1B1D6EE5">
      <w:pPr>
        <w:adjustRightInd w:val="0"/>
        <w:snapToGrid w:val="0"/>
        <w:spacing w:before="0" w:beforeLines="0" w:line="40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（3）履约验收方式：</w:t>
      </w:r>
      <w:r>
        <w:rPr>
          <w:rFonts w:hint="eastAsia" w:ascii="宋体" w:hAnsi="宋体" w:eastAsia="宋体" w:cs="宋体"/>
          <w:color w:val="auto"/>
          <w:sz w:val="21"/>
          <w:szCs w:val="21"/>
          <w:highlight w:val="none"/>
        </w:rPr>
        <w:sym w:font="Wingdings" w:char="00FE"/>
      </w:r>
      <w:r>
        <w:rPr>
          <w:rFonts w:hint="eastAsia" w:ascii="宋体" w:hAnsi="宋体" w:eastAsia="宋体" w:cs="Times New Roman"/>
          <w:bCs/>
          <w:color w:val="auto"/>
          <w:szCs w:val="21"/>
          <w:highlight w:val="none"/>
        </w:rPr>
        <w:t xml:space="preserve">一次性验收         </w:t>
      </w:r>
    </w:p>
    <w:p w14:paraId="072B240D">
      <w:pPr>
        <w:adjustRightInd w:val="0"/>
        <w:snapToGrid w:val="0"/>
        <w:spacing w:before="0" w:beforeLines="0" w:line="400" w:lineRule="exact"/>
        <w:ind w:firstLine="0" w:firstLineChars="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Times New Roman"/>
          <w:bCs/>
          <w:color w:val="auto"/>
          <w:szCs w:val="21"/>
          <w:highlight w:val="none"/>
        </w:rPr>
        <w:t>分期/分项验收</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lang w:eastAsia="zh-CN"/>
        </w:rPr>
        <w:t>（应明确分期</w:t>
      </w:r>
      <w:r>
        <w:rPr>
          <w:rFonts w:hint="default" w:ascii="宋体" w:hAnsi="宋体" w:eastAsia="宋体" w:cs="Times New Roman"/>
          <w:bCs/>
          <w:color w:val="auto"/>
          <w:szCs w:val="21"/>
          <w:highlight w:val="none"/>
          <w:u w:val="single"/>
          <w:lang w:val="en" w:eastAsia="zh-CN"/>
        </w:rPr>
        <w:t>/</w:t>
      </w:r>
      <w:r>
        <w:rPr>
          <w:rFonts w:hint="eastAsia" w:ascii="宋体" w:hAnsi="宋体" w:eastAsia="宋体" w:cs="Times New Roman"/>
          <w:bCs/>
          <w:color w:val="auto"/>
          <w:szCs w:val="21"/>
          <w:highlight w:val="none"/>
          <w:u w:val="single"/>
          <w:lang w:val="en" w:eastAsia="zh-CN"/>
        </w:rPr>
        <w:t>分项验收的工作安排</w:t>
      </w:r>
      <w:r>
        <w:rPr>
          <w:rFonts w:hint="eastAsia" w:ascii="宋体" w:hAnsi="宋体" w:eastAsia="宋体" w:cs="Times New Roman"/>
          <w:bCs/>
          <w:color w:val="auto"/>
          <w:szCs w:val="21"/>
          <w:highlight w:val="none"/>
          <w:u w:val="single"/>
          <w:lang w:eastAsia="zh-CN"/>
        </w:rPr>
        <w:t>）</w:t>
      </w:r>
      <w:r>
        <w:rPr>
          <w:rFonts w:hint="eastAsia" w:ascii="宋体" w:hAnsi="宋体" w:eastAsia="宋体" w:cs="Times New Roman"/>
          <w:bCs/>
          <w:color w:val="auto"/>
          <w:szCs w:val="21"/>
          <w:highlight w:val="none"/>
          <w:u w:val="single"/>
        </w:rPr>
        <w:t xml:space="preserve"> </w:t>
      </w:r>
    </w:p>
    <w:p w14:paraId="21C31526">
      <w:pPr>
        <w:adjustRightInd w:val="0"/>
        <w:snapToGrid w:val="0"/>
        <w:spacing w:before="0" w:beforeLines="0" w:line="400" w:lineRule="exact"/>
        <w:ind w:firstLine="420" w:firstLineChars="200"/>
        <w:rPr>
          <w:color w:val="auto"/>
          <w:highlight w:val="none"/>
        </w:rPr>
      </w:pPr>
      <w:r>
        <w:rPr>
          <w:rFonts w:hint="eastAsia" w:ascii="宋体" w:hAnsi="宋体" w:eastAsia="宋体" w:cs="Times New Roman"/>
          <w:bCs/>
          <w:color w:val="auto"/>
          <w:szCs w:val="21"/>
          <w:highlight w:val="none"/>
        </w:rPr>
        <w:t>（4）履约验收程序：</w:t>
      </w:r>
      <w:r>
        <w:rPr>
          <w:rFonts w:hint="eastAsia" w:ascii="宋体" w:hAnsi="宋体" w:eastAsia="宋体" w:cs="Times New Roman"/>
          <w:bCs/>
          <w:color w:val="auto"/>
          <w:kern w:val="2"/>
          <w:sz w:val="21"/>
          <w:szCs w:val="21"/>
          <w:highlight w:val="none"/>
          <w:u w:val="single"/>
          <w:lang w:val="en-US" w:eastAsia="zh-CN" w:bidi="ar-SA"/>
        </w:rPr>
        <w:t>全部设备供货齐全、安装调试培训完成后，乙方提出申请，甲方组成验收工作组,由采购人领导牵头,财务、审计、监察、资产管理、技术、专家等组成，组织验收。乙方派代表和设备技术人员共同出席。</w:t>
      </w:r>
    </w:p>
    <w:p w14:paraId="39F12EF1">
      <w:pPr>
        <w:adjustRightInd w:val="0"/>
        <w:snapToGrid w:val="0"/>
        <w:spacing w:before="0" w:beforeLines="0" w:line="400" w:lineRule="exact"/>
        <w:ind w:firstLine="420" w:firstLineChars="200"/>
        <w:rPr>
          <w:rFonts w:ascii="宋体" w:hAnsi="宋体" w:eastAsia="宋体" w:cs="Times New Roman"/>
          <w:bCs/>
          <w:color w:val="auto"/>
          <w:szCs w:val="21"/>
          <w:highlight w:val="none"/>
          <w:u w:val="single"/>
        </w:rPr>
      </w:pPr>
      <w:r>
        <w:rPr>
          <w:rFonts w:hint="eastAsia" w:ascii="宋体" w:hAnsi="宋体" w:eastAsia="宋体" w:cs="Times New Roman"/>
          <w:bCs/>
          <w:color w:val="auto"/>
          <w:szCs w:val="21"/>
          <w:highlight w:val="none"/>
        </w:rPr>
        <w:t>（5）履约验收的内容：</w:t>
      </w:r>
      <w:r>
        <w:rPr>
          <w:rFonts w:hint="eastAsia" w:ascii="宋体" w:hAnsi="宋体" w:eastAsia="宋体" w:cs="Times New Roman"/>
          <w:bCs/>
          <w:color w:val="auto"/>
          <w:szCs w:val="21"/>
          <w:highlight w:val="none"/>
          <w:u w:val="single"/>
        </w:rPr>
        <w:t xml:space="preserve"> 离子色谱仪（1套）、全自动红外测油仪（1套）、便携式气相分子吸收光谱仪（1套）、双光束紫外可见分光光度计（1套）、紫外可见分光光度计（1套）、干燥箱（1套）、便携式抽滤装置（1套）、氟离子计（1套）、立式高压蒸汽灭菌器（2套）、CODcr回流消解仪（2套）、便携式浊度计（2套）、便携式pH测定仪（2套）、便携式溶解氧测定仪（2套）、便携式电导率测定仪（2套），</w:t>
      </w:r>
      <w:r>
        <w:rPr>
          <w:rFonts w:hint="eastAsia" w:ascii="宋体" w:hAnsi="宋体"/>
          <w:bCs/>
          <w:color w:val="auto"/>
          <w:szCs w:val="21"/>
          <w:highlight w:val="none"/>
          <w:u w:val="single"/>
        </w:rPr>
        <w:t>包含设备品牌、型号、参数、配置、安装、调试、试运行及</w:t>
      </w:r>
      <w:r>
        <w:rPr>
          <w:rFonts w:hint="eastAsia" w:ascii="宋体" w:hAnsi="宋体"/>
          <w:bCs/>
          <w:color w:val="auto"/>
          <w:szCs w:val="21"/>
          <w:highlight w:val="none"/>
          <w:u w:val="single"/>
          <w:lang w:val="en-US" w:eastAsia="zh-CN"/>
        </w:rPr>
        <w:t>售后</w:t>
      </w:r>
      <w:r>
        <w:rPr>
          <w:rFonts w:hint="eastAsia" w:ascii="宋体" w:hAnsi="宋体"/>
          <w:bCs/>
          <w:color w:val="auto"/>
          <w:szCs w:val="21"/>
          <w:highlight w:val="none"/>
          <w:u w:val="single"/>
        </w:rPr>
        <w:t>等</w:t>
      </w:r>
    </w:p>
    <w:p w14:paraId="4C474A2E">
      <w:pPr>
        <w:adjustRightInd w:val="0"/>
        <w:snapToGrid w:val="0"/>
        <w:spacing w:before="0" w:beforeLines="0" w:line="400" w:lineRule="exact"/>
        <w:ind w:firstLine="420" w:firstLineChars="200"/>
        <w:rPr>
          <w:rFonts w:hint="eastAsia" w:ascii="宋体" w:hAnsi="宋体" w:eastAsia="宋体" w:cs="Times New Roman"/>
          <w:bCs/>
          <w:color w:val="auto"/>
          <w:szCs w:val="21"/>
          <w:highlight w:val="none"/>
          <w:u w:val="single"/>
        </w:rPr>
      </w:pPr>
      <w:r>
        <w:rPr>
          <w:rFonts w:hint="eastAsia" w:ascii="宋体" w:hAnsi="宋体" w:eastAsia="宋体" w:cs="Times New Roman"/>
          <w:bCs/>
          <w:color w:val="auto"/>
          <w:szCs w:val="21"/>
          <w:highlight w:val="none"/>
        </w:rPr>
        <w:t>（6）履约验收标准：</w:t>
      </w:r>
      <w:r>
        <w:rPr>
          <w:rFonts w:hint="eastAsia" w:ascii="宋体" w:hAnsi="宋体" w:eastAsia="宋体" w:cs="Times New Roman"/>
          <w:bCs/>
          <w:color w:val="auto"/>
          <w:szCs w:val="21"/>
          <w:highlight w:val="none"/>
          <w:u w:val="single"/>
        </w:rPr>
        <w:t xml:space="preserve"> 按招标文件、投标文件</w:t>
      </w:r>
      <w:r>
        <w:rPr>
          <w:rFonts w:hint="eastAsia" w:ascii="宋体" w:hAnsi="宋体" w:eastAsia="宋体" w:cs="Times New Roman"/>
          <w:bCs/>
          <w:color w:val="auto"/>
          <w:szCs w:val="21"/>
          <w:highlight w:val="none"/>
          <w:u w:val="single"/>
          <w:lang w:eastAsia="zh-CN"/>
        </w:rPr>
        <w:t>、</w:t>
      </w:r>
      <w:r>
        <w:rPr>
          <w:rFonts w:hint="eastAsia" w:ascii="宋体" w:hAnsi="宋体" w:eastAsia="宋体" w:cs="Times New Roman"/>
          <w:bCs/>
          <w:color w:val="auto"/>
          <w:szCs w:val="21"/>
          <w:highlight w:val="none"/>
          <w:u w:val="single"/>
        </w:rPr>
        <w:t>采购合同</w:t>
      </w:r>
      <w:r>
        <w:rPr>
          <w:rFonts w:hint="eastAsia" w:ascii="宋体" w:hAnsi="宋体" w:eastAsia="宋体" w:cs="Times New Roman"/>
          <w:bCs/>
          <w:color w:val="auto"/>
          <w:szCs w:val="21"/>
          <w:highlight w:val="none"/>
          <w:u w:val="single"/>
          <w:lang w:val="en-US" w:eastAsia="zh-CN"/>
        </w:rPr>
        <w:t>约定，以及国家、地方、行业相关标准执行</w:t>
      </w:r>
      <w:r>
        <w:rPr>
          <w:rFonts w:hint="eastAsia" w:ascii="宋体" w:hAnsi="宋体" w:eastAsia="宋体" w:cs="Times New Roman"/>
          <w:bCs/>
          <w:color w:val="auto"/>
          <w:szCs w:val="21"/>
          <w:highlight w:val="none"/>
          <w:u w:val="single"/>
        </w:rPr>
        <w:t xml:space="preserve"> </w:t>
      </w:r>
    </w:p>
    <w:p w14:paraId="06A0F507">
      <w:pPr>
        <w:autoSpaceDE w:val="0"/>
        <w:autoSpaceDN w:val="0"/>
        <w:adjustRightInd w:val="0"/>
        <w:spacing w:beforeLines="0" w:line="40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sz w:val="21"/>
          <w:szCs w:val="21"/>
          <w:highlight w:val="none"/>
          <w:u w:val="none"/>
          <w:lang w:val="en-US" w:eastAsia="zh-CN" w:bidi="ar-SA"/>
        </w:rPr>
        <w:t>（7）是否以采购活动中供应商提供的样品作为参考：</w:t>
      </w:r>
      <w:r>
        <w:rPr>
          <w:rFonts w:hint="eastAsia" w:ascii="宋体" w:hAnsi="宋体" w:eastAsia="宋体" w:cs="宋体"/>
          <w:color w:val="auto"/>
          <w:sz w:val="21"/>
          <w:szCs w:val="21"/>
          <w:highlight w:val="none"/>
          <w:lang w:val="en-US" w:eastAsia="zh-CN" w:bidi="ar-SA"/>
        </w:rPr>
        <w:sym w:font="Wingdings" w:char="00A8"/>
      </w:r>
      <w:r>
        <w:rPr>
          <w:rFonts w:hint="eastAsia" w:ascii="宋体" w:hAnsi="宋体" w:eastAsia="宋体" w:cs="宋体"/>
          <w:bCs/>
          <w:color w:val="auto"/>
          <w:sz w:val="21"/>
          <w:szCs w:val="21"/>
          <w:highlight w:val="none"/>
          <w:lang w:val="en-US" w:eastAsia="zh-CN" w:bidi="ar-SA"/>
        </w:rPr>
        <w:t xml:space="preserve">是  </w:t>
      </w:r>
      <w:r>
        <w:rPr>
          <w:rFonts w:hint="eastAsia" w:ascii="宋体" w:hAnsi="宋体" w:eastAsia="宋体" w:cs="宋体"/>
          <w:color w:val="auto"/>
          <w:sz w:val="21"/>
          <w:szCs w:val="21"/>
          <w:highlight w:val="none"/>
          <w:lang w:val="en-US" w:eastAsia="zh-CN" w:bidi="ar-SA"/>
        </w:rPr>
        <w:sym w:font="Wingdings" w:char="00FE"/>
      </w:r>
      <w:r>
        <w:rPr>
          <w:rFonts w:hint="eastAsia" w:ascii="宋体" w:hAnsi="宋体" w:eastAsia="宋体" w:cs="宋体"/>
          <w:bCs/>
          <w:color w:val="auto"/>
          <w:sz w:val="21"/>
          <w:szCs w:val="21"/>
          <w:highlight w:val="none"/>
          <w:lang w:val="en-US" w:eastAsia="zh-CN" w:bidi="ar-SA"/>
        </w:rPr>
        <w:t>否</w:t>
      </w:r>
    </w:p>
    <w:p w14:paraId="797A5122">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 xml:space="preserve">      </w:t>
      </w:r>
      <w:r>
        <w:rPr>
          <w:rFonts w:hint="eastAsia" w:ascii="宋体" w:hAnsi="宋体" w:eastAsia="宋体" w:cs="宋体"/>
          <w:bCs/>
          <w:i w:val="0"/>
          <w:iCs w:val="0"/>
          <w:color w:val="auto"/>
          <w:szCs w:val="21"/>
          <w:highlight w:val="none"/>
          <w:u w:val="single"/>
        </w:rPr>
        <w:t>（产权过户登记等）</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w:t>
      </w:r>
      <w:r>
        <w:rPr>
          <w:rFonts w:hint="eastAsia" w:ascii="宋体" w:hAnsi="宋体" w:eastAsia="宋体" w:cs="宋体"/>
          <w:bCs/>
          <w:color w:val="auto"/>
          <w:szCs w:val="21"/>
          <w:highlight w:val="none"/>
          <w:u w:val="single"/>
        </w:rPr>
        <w:t xml:space="preserve">         </w:t>
      </w:r>
    </w:p>
    <w:p w14:paraId="27BB8471">
      <w:pPr>
        <w:keepNext w:val="0"/>
        <w:keepLines w:val="0"/>
        <w:pageBreakBefore w:val="0"/>
        <w:widowControl w:val="0"/>
        <w:kinsoku/>
        <w:wordWrap w:val="0"/>
        <w:overflowPunct/>
        <w:topLinePunct/>
        <w:autoSpaceDE/>
        <w:autoSpaceDN/>
        <w:bidi w:val="0"/>
        <w:adjustRightInd/>
        <w:snapToGrid/>
        <w:spacing w:after="120" w:line="360" w:lineRule="auto"/>
        <w:jc w:val="both"/>
        <w:textAlignment w:val="auto"/>
        <w:rPr>
          <w:rFonts w:hint="eastAsia" w:ascii="宋体" w:hAnsi="宋体" w:eastAsia="宋体" w:cs="宋体"/>
          <w:b/>
          <w:bCs/>
          <w:color w:val="auto"/>
          <w:szCs w:val="21"/>
          <w:highlight w:val="none"/>
          <w:lang w:val="en-US" w:eastAsia="zh-CN"/>
        </w:rPr>
      </w:pPr>
      <w:r>
        <w:rPr>
          <w:rFonts w:hint="eastAsia" w:cs="宋体"/>
          <w:b/>
          <w:bCs/>
          <w:color w:val="auto"/>
          <w:szCs w:val="21"/>
          <w:highlight w:val="none"/>
          <w:lang w:val="en-US" w:eastAsia="zh-CN"/>
        </w:rPr>
        <w:t>六</w:t>
      </w:r>
      <w:r>
        <w:rPr>
          <w:rFonts w:hint="eastAsia" w:ascii="宋体" w:hAnsi="宋体" w:eastAsia="宋体" w:cs="宋体"/>
          <w:b/>
          <w:bCs/>
          <w:color w:val="auto"/>
          <w:szCs w:val="21"/>
          <w:highlight w:val="none"/>
          <w:lang w:val="en-US" w:eastAsia="zh-CN"/>
        </w:rPr>
        <w:t>、其他要求</w:t>
      </w:r>
    </w:p>
    <w:p w14:paraId="685CBB3F">
      <w:pPr>
        <w:keepNext w:val="0"/>
        <w:keepLines w:val="0"/>
        <w:pageBreakBefore w:val="0"/>
        <w:widowControl w:val="0"/>
        <w:kinsoku/>
        <w:wordWrap w:val="0"/>
        <w:overflowPunct/>
        <w:topLinePunct/>
        <w:autoSpaceDE/>
        <w:autoSpaceDN/>
        <w:bidi w:val="0"/>
        <w:adjustRightInd/>
        <w:snapToGrid/>
        <w:spacing w:after="120" w:line="360" w:lineRule="auto"/>
        <w:ind w:left="0" w:leftChars="0" w:firstLine="420" w:firstLineChars="200"/>
        <w:jc w:val="both"/>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投标人需针对本项目提供包括但不限于：供货方案</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项目实施方案</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售后服务方案</w:t>
      </w:r>
      <w:r>
        <w:rPr>
          <w:rFonts w:hint="eastAsia" w:ascii="宋体" w:hAnsi="宋体" w:eastAsia="宋体" w:cs="宋体"/>
          <w:b w:val="0"/>
          <w:bCs/>
          <w:color w:val="auto"/>
          <w:szCs w:val="21"/>
          <w:highlight w:val="none"/>
          <w:lang w:eastAsia="zh-CN"/>
        </w:rPr>
        <w:t>、质量保证期</w:t>
      </w:r>
      <w:r>
        <w:rPr>
          <w:rFonts w:hint="eastAsia" w:ascii="宋体" w:hAnsi="宋体" w:eastAsia="宋体" w:cs="宋体"/>
          <w:b w:val="0"/>
          <w:bCs/>
          <w:color w:val="auto"/>
          <w:szCs w:val="21"/>
          <w:highlight w:val="none"/>
        </w:rPr>
        <w:t>内保证措施</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人员培训方案</w:t>
      </w:r>
      <w:r>
        <w:rPr>
          <w:rFonts w:hint="eastAsia" w:ascii="宋体" w:hAnsi="宋体" w:eastAsia="宋体" w:cs="宋体"/>
          <w:b w:val="0"/>
          <w:bCs/>
          <w:color w:val="auto"/>
          <w:szCs w:val="21"/>
          <w:highlight w:val="none"/>
          <w:lang w:eastAsia="zh-CN"/>
        </w:rPr>
        <w:t>等内容。</w:t>
      </w:r>
    </w:p>
    <w:p w14:paraId="5C27AC6F">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07EEB183">
      <w:pPr>
        <w:pStyle w:val="4"/>
        <w:bidi w:val="0"/>
        <w:jc w:val="center"/>
        <w:rPr>
          <w:rFonts w:hint="eastAsia" w:ascii="宋体" w:hAnsi="宋体" w:eastAsia="宋体" w:cs="宋体"/>
          <w:b w:val="0"/>
          <w:color w:val="auto"/>
          <w:sz w:val="52"/>
          <w:szCs w:val="52"/>
          <w:highlight w:val="none"/>
        </w:rPr>
      </w:pPr>
      <w:bookmarkStart w:id="721" w:name="_Toc20815"/>
      <w:r>
        <w:rPr>
          <w:rFonts w:hint="eastAsia" w:ascii="宋体" w:hAnsi="宋体" w:eastAsia="宋体" w:cs="宋体"/>
          <w:b/>
          <w:color w:val="auto"/>
          <w:sz w:val="32"/>
          <w:szCs w:val="32"/>
          <w:highlight w:val="none"/>
          <w:lang w:val="en-US" w:eastAsia="zh-CN"/>
        </w:rPr>
        <w:t>第七章 投标文件</w:t>
      </w:r>
      <w:r>
        <w:rPr>
          <w:rFonts w:hint="eastAsia" w:ascii="宋体" w:hAnsi="宋体" w:eastAsia="宋体" w:cs="宋体"/>
          <w:b/>
          <w:color w:val="auto"/>
          <w:sz w:val="32"/>
          <w:szCs w:val="32"/>
          <w:highlight w:val="none"/>
          <w:lang w:eastAsia="zh-CN"/>
        </w:rPr>
        <w:t>资格审查文件册通用格式</w:t>
      </w:r>
      <w:bookmarkEnd w:id="720"/>
      <w:bookmarkEnd w:id="721"/>
    </w:p>
    <w:p w14:paraId="7DE1C232">
      <w:pPr>
        <w:pStyle w:val="17"/>
        <w:pageBreakBefore w:val="0"/>
        <w:kinsoku/>
        <w:overflowPunct/>
        <w:bidi w:val="0"/>
        <w:spacing w:before="312" w:beforeLines="100" w:after="312" w:afterLines="10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u w:val="single"/>
        </w:rPr>
        <w:t xml:space="preserve">                    </w:t>
      </w:r>
      <w:r>
        <w:rPr>
          <w:rFonts w:hint="eastAsia" w:ascii="宋体" w:hAnsi="宋体" w:eastAsia="宋体" w:cs="宋体"/>
          <w:b/>
          <w:color w:val="auto"/>
          <w:sz w:val="44"/>
          <w:szCs w:val="44"/>
          <w:highlight w:val="none"/>
        </w:rPr>
        <w:t>项目</w:t>
      </w:r>
    </w:p>
    <w:p w14:paraId="644C9A27">
      <w:pPr>
        <w:pStyle w:val="17"/>
        <w:pageBreakBefore w:val="0"/>
        <w:kinsoku/>
        <w:overflowPunct/>
        <w:bidi w:val="0"/>
        <w:spacing w:before="312" w:beforeLines="100" w:after="312" w:afterLines="100" w:line="360" w:lineRule="auto"/>
        <w:jc w:val="center"/>
        <w:rPr>
          <w:rFonts w:hint="eastAsia" w:ascii="宋体" w:hAnsi="宋体" w:eastAsia="宋体" w:cs="宋体"/>
          <w:b/>
          <w:color w:val="auto"/>
          <w:sz w:val="44"/>
          <w:szCs w:val="44"/>
          <w:highlight w:val="none"/>
        </w:rPr>
      </w:pPr>
    </w:p>
    <w:p w14:paraId="2A92C18B">
      <w:pPr>
        <w:pStyle w:val="17"/>
        <w:pageBreakBefore w:val="0"/>
        <w:kinsoku/>
        <w:overflowPunct/>
        <w:bidi w:val="0"/>
        <w:spacing w:before="312" w:beforeLines="100" w:after="312" w:afterLines="100"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投标文件</w:t>
      </w:r>
    </w:p>
    <w:p w14:paraId="19F1EE54">
      <w:pPr>
        <w:pStyle w:val="17"/>
        <w:pageBreakBefore w:val="0"/>
        <w:kinsoku/>
        <w:overflowPunct/>
        <w:bidi w:val="0"/>
        <w:spacing w:before="312" w:beforeLines="100" w:after="312" w:afterLines="100"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资格审查文件册</w:t>
      </w:r>
    </w:p>
    <w:p w14:paraId="5850D293">
      <w:pPr>
        <w:pStyle w:val="17"/>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28"/>
          <w:szCs w:val="28"/>
          <w:highlight w:val="none"/>
          <w:u w:val="none"/>
          <w:lang w:eastAsia="zh-CN"/>
        </w:rPr>
        <w:t>项目编号：</w:t>
      </w:r>
    </w:p>
    <w:p w14:paraId="45526C5C">
      <w:pPr>
        <w:pStyle w:val="17"/>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（封面）</w:t>
      </w:r>
    </w:p>
    <w:p w14:paraId="7F6331D2">
      <w:pPr>
        <w:pStyle w:val="17"/>
        <w:pageBreakBefore w:val="0"/>
        <w:kinsoku/>
        <w:overflowPunct/>
        <w:bidi w:val="0"/>
        <w:spacing w:before="312" w:beforeLines="100" w:after="312" w:afterLines="100" w:line="360" w:lineRule="auto"/>
        <w:rPr>
          <w:rFonts w:hint="eastAsia" w:ascii="宋体" w:hAnsi="宋体" w:eastAsia="宋体" w:cs="宋体"/>
          <w:b/>
          <w:bCs/>
          <w:color w:val="auto"/>
          <w:sz w:val="32"/>
          <w:highlight w:val="none"/>
          <w:u w:val="single"/>
        </w:rPr>
      </w:pPr>
    </w:p>
    <w:p w14:paraId="5E8B7DB7">
      <w:pPr>
        <w:pStyle w:val="17"/>
        <w:pageBreakBefore w:val="0"/>
        <w:kinsoku/>
        <w:overflowPunct/>
        <w:bidi w:val="0"/>
        <w:spacing w:before="312" w:beforeLines="100" w:after="312" w:afterLines="100" w:line="360" w:lineRule="auto"/>
        <w:jc w:val="both"/>
        <w:rPr>
          <w:rFonts w:hint="eastAsia" w:ascii="宋体" w:hAnsi="宋体" w:eastAsia="宋体" w:cs="宋体"/>
          <w:b/>
          <w:bCs/>
          <w:color w:val="auto"/>
          <w:sz w:val="32"/>
          <w:highlight w:val="none"/>
          <w:u w:val="single"/>
        </w:rPr>
      </w:pPr>
    </w:p>
    <w:p w14:paraId="46B4075E">
      <w:pPr>
        <w:pStyle w:val="17"/>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r>
        <w:rPr>
          <w:rFonts w:hint="eastAsia" w:ascii="宋体" w:hAnsi="宋体" w:eastAsia="宋体" w:cs="宋体"/>
          <w:b/>
          <w:bCs/>
          <w:color w:val="auto"/>
          <w:sz w:val="32"/>
          <w:highlight w:val="none"/>
        </w:rPr>
        <w:t>投</w:t>
      </w:r>
      <w:r>
        <w:rPr>
          <w:rFonts w:hint="eastAsia" w:ascii="宋体" w:hAnsi="宋体" w:eastAsia="宋体" w:cs="宋体"/>
          <w:b/>
          <w:bCs/>
          <w:color w:val="auto"/>
          <w:sz w:val="32"/>
          <w:highlight w:val="none"/>
          <w:lang w:val="en-US" w:eastAsia="zh-CN"/>
        </w:rPr>
        <w:t xml:space="preserve">  </w:t>
      </w:r>
      <w:r>
        <w:rPr>
          <w:rFonts w:hint="eastAsia" w:ascii="宋体" w:hAnsi="宋体" w:eastAsia="宋体" w:cs="宋体"/>
          <w:b/>
          <w:bCs/>
          <w:color w:val="auto"/>
          <w:sz w:val="32"/>
          <w:highlight w:val="none"/>
        </w:rPr>
        <w:t>标</w:t>
      </w:r>
      <w:r>
        <w:rPr>
          <w:rFonts w:hint="eastAsia" w:ascii="宋体" w:hAnsi="宋体" w:eastAsia="宋体" w:cs="宋体"/>
          <w:b/>
          <w:bCs/>
          <w:color w:val="auto"/>
          <w:sz w:val="32"/>
          <w:highlight w:val="none"/>
          <w:lang w:val="en-US" w:eastAsia="zh-CN"/>
        </w:rPr>
        <w:t xml:space="preserve">  </w:t>
      </w:r>
      <w:r>
        <w:rPr>
          <w:rFonts w:hint="eastAsia" w:ascii="宋体" w:hAnsi="宋体" w:eastAsia="宋体" w:cs="宋体"/>
          <w:b/>
          <w:bCs/>
          <w:color w:val="auto"/>
          <w:sz w:val="32"/>
          <w:highlight w:val="none"/>
        </w:rPr>
        <w:t>人：</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u w:val="single"/>
          <w:lang w:val="en-US" w:eastAsia="zh-CN"/>
        </w:rPr>
        <w:t xml:space="preserve"> </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rPr>
        <w:t>（盖章）</w:t>
      </w:r>
    </w:p>
    <w:p w14:paraId="36B5BDC2">
      <w:pPr>
        <w:pStyle w:val="17"/>
        <w:pageBreakBefore w:val="0"/>
        <w:kinsoku/>
        <w:overflowPunct/>
        <w:bidi w:val="0"/>
        <w:spacing w:before="312" w:beforeLines="100" w:after="312" w:afterLines="100" w:line="360" w:lineRule="auto"/>
        <w:ind w:firstLine="596" w:firstLineChars="198"/>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法定代表人或其委托代理人：</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（签字或盖章）</w:t>
      </w:r>
    </w:p>
    <w:p w14:paraId="3E848A95">
      <w:pPr>
        <w:pStyle w:val="14"/>
        <w:pageBreakBefore w:val="0"/>
        <w:kinsoku/>
        <w:overflowPunct/>
        <w:bidi w:val="0"/>
        <w:spacing w:line="360" w:lineRule="auto"/>
        <w:ind w:left="0" w:leftChars="0" w:firstLine="2129" w:firstLineChars="707"/>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日      期：       年    月    日</w:t>
      </w:r>
    </w:p>
    <w:p w14:paraId="65A50551">
      <w:pPr>
        <w:pageBreakBefore w:val="0"/>
        <w:kinsoku/>
        <w:overflowPunct/>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lang w:eastAsia="zh-CN"/>
        </w:rPr>
        <w:t>投标文件</w:t>
      </w:r>
      <w:r>
        <w:rPr>
          <w:rFonts w:hint="eastAsia" w:ascii="宋体" w:hAnsi="宋体" w:eastAsia="宋体" w:cs="宋体"/>
          <w:b/>
          <w:color w:val="auto"/>
          <w:sz w:val="28"/>
          <w:szCs w:val="28"/>
          <w:highlight w:val="none"/>
        </w:rPr>
        <w:t>资格审查文件</w:t>
      </w:r>
      <w:r>
        <w:rPr>
          <w:rFonts w:hint="eastAsia" w:ascii="宋体" w:hAnsi="宋体" w:eastAsia="宋体" w:cs="宋体"/>
          <w:b/>
          <w:color w:val="auto"/>
          <w:sz w:val="28"/>
          <w:szCs w:val="28"/>
          <w:highlight w:val="none"/>
          <w:lang w:eastAsia="zh-CN"/>
        </w:rPr>
        <w:t>册</w:t>
      </w:r>
      <w:r>
        <w:rPr>
          <w:rFonts w:hint="eastAsia" w:ascii="宋体" w:hAnsi="宋体" w:eastAsia="宋体" w:cs="宋体"/>
          <w:b/>
          <w:color w:val="auto"/>
          <w:sz w:val="28"/>
          <w:szCs w:val="28"/>
          <w:highlight w:val="none"/>
        </w:rPr>
        <w:t>目录</w:t>
      </w:r>
    </w:p>
    <w:p w14:paraId="627FB5DE">
      <w:pPr>
        <w:pageBreakBefore w:val="0"/>
        <w:numPr>
          <w:ilvl w:val="0"/>
          <w:numId w:val="0"/>
        </w:numPr>
        <w:tabs>
          <w:tab w:val="left" w:pos="1080"/>
        </w:tabs>
        <w:kinsoku/>
        <w:overflowPunct/>
        <w:bidi w:val="0"/>
        <w:spacing w:line="360" w:lineRule="auto"/>
        <w:rPr>
          <w:rFonts w:hint="eastAsia" w:ascii="宋体" w:hAnsi="宋体" w:eastAsia="宋体" w:cs="宋体"/>
          <w:color w:val="auto"/>
          <w:szCs w:val="21"/>
          <w:highlight w:val="none"/>
        </w:rPr>
      </w:pPr>
    </w:p>
    <w:p w14:paraId="717E0163">
      <w:pPr>
        <w:pageBreakBefore w:val="0"/>
        <w:numPr>
          <w:ilvl w:val="0"/>
          <w:numId w:val="30"/>
        </w:numPr>
        <w:tabs>
          <w:tab w:val="left" w:pos="1080"/>
        </w:tabs>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投标人资格声明函</w:t>
      </w:r>
    </w:p>
    <w:p w14:paraId="276E3739">
      <w:pPr>
        <w:pageBreakBefore w:val="0"/>
        <w:numPr>
          <w:ilvl w:val="0"/>
          <w:numId w:val="30"/>
        </w:numPr>
        <w:tabs>
          <w:tab w:val="left" w:pos="1080"/>
        </w:tabs>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投标人基本情况</w:t>
      </w:r>
    </w:p>
    <w:p w14:paraId="53B589A4">
      <w:pPr>
        <w:pageBreakBefore w:val="0"/>
        <w:numPr>
          <w:ilvl w:val="0"/>
          <w:numId w:val="30"/>
        </w:numPr>
        <w:tabs>
          <w:tab w:val="left" w:pos="1080"/>
        </w:tabs>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投标人资格证明文件</w:t>
      </w:r>
    </w:p>
    <w:p w14:paraId="2E62C497">
      <w:pPr>
        <w:pageBreakBefore w:val="0"/>
        <w:tabs>
          <w:tab w:val="left" w:pos="1080"/>
        </w:tabs>
        <w:kinsoku/>
        <w:overflowPunct/>
        <w:bidi w:val="0"/>
        <w:spacing w:line="360" w:lineRule="auto"/>
        <w:jc w:val="center"/>
        <w:rPr>
          <w:rFonts w:hint="eastAsia" w:ascii="宋体" w:hAnsi="宋体" w:eastAsia="宋体" w:cs="宋体"/>
          <w:color w:val="auto"/>
          <w:szCs w:val="21"/>
          <w:highlight w:val="none"/>
        </w:rPr>
      </w:pPr>
    </w:p>
    <w:p w14:paraId="2B63A78C">
      <w:pPr>
        <w:pageBreakBefore w:val="0"/>
        <w:tabs>
          <w:tab w:val="left" w:pos="1080"/>
        </w:tabs>
        <w:kinsoku/>
        <w:overflowPunct/>
        <w:bidi w:val="0"/>
        <w:spacing w:line="360" w:lineRule="auto"/>
        <w:rPr>
          <w:rFonts w:hint="eastAsia" w:ascii="宋体" w:hAnsi="宋体" w:eastAsia="宋体" w:cs="宋体"/>
          <w:color w:val="auto"/>
          <w:szCs w:val="21"/>
          <w:highlight w:val="none"/>
        </w:rPr>
      </w:pPr>
    </w:p>
    <w:p w14:paraId="17B7B52B">
      <w:pPr>
        <w:pageBreakBefore w:val="0"/>
        <w:tabs>
          <w:tab w:val="left" w:pos="1080"/>
        </w:tabs>
        <w:kinsoku/>
        <w:overflowPunct/>
        <w:bidi w:val="0"/>
        <w:spacing w:line="360" w:lineRule="auto"/>
        <w:rPr>
          <w:rFonts w:hint="eastAsia" w:ascii="宋体" w:hAnsi="宋体" w:eastAsia="宋体" w:cs="宋体"/>
          <w:color w:val="auto"/>
          <w:szCs w:val="21"/>
          <w:highlight w:val="none"/>
        </w:rPr>
      </w:pPr>
    </w:p>
    <w:p w14:paraId="381623F4">
      <w:pPr>
        <w:pageBreakBefore w:val="0"/>
        <w:tabs>
          <w:tab w:val="left" w:pos="1080"/>
        </w:tabs>
        <w:kinsoku/>
        <w:overflowPunct/>
        <w:bidi w:val="0"/>
        <w:spacing w:line="360" w:lineRule="auto"/>
        <w:rPr>
          <w:rFonts w:hint="eastAsia" w:ascii="宋体" w:hAnsi="宋体" w:eastAsia="宋体" w:cs="宋体"/>
          <w:color w:val="auto"/>
          <w:szCs w:val="21"/>
          <w:highlight w:val="none"/>
        </w:rPr>
      </w:pPr>
    </w:p>
    <w:p w14:paraId="657BF886">
      <w:pPr>
        <w:pageBreakBefore w:val="0"/>
        <w:tabs>
          <w:tab w:val="left" w:pos="1080"/>
        </w:tabs>
        <w:kinsoku/>
        <w:overflowPunct/>
        <w:bidi w:val="0"/>
        <w:spacing w:line="360" w:lineRule="auto"/>
        <w:rPr>
          <w:rFonts w:hint="eastAsia" w:ascii="宋体" w:hAnsi="宋体" w:eastAsia="宋体" w:cs="宋体"/>
          <w:color w:val="auto"/>
          <w:szCs w:val="21"/>
          <w:highlight w:val="none"/>
        </w:rPr>
      </w:pPr>
    </w:p>
    <w:p w14:paraId="41C87FC4">
      <w:pPr>
        <w:pageBreakBefore w:val="0"/>
        <w:tabs>
          <w:tab w:val="left" w:pos="1080"/>
        </w:tabs>
        <w:kinsoku/>
        <w:overflowPunct/>
        <w:bidi w:val="0"/>
        <w:spacing w:line="360" w:lineRule="auto"/>
        <w:rPr>
          <w:rFonts w:hint="eastAsia" w:ascii="宋体" w:hAnsi="宋体" w:eastAsia="宋体" w:cs="宋体"/>
          <w:color w:val="auto"/>
          <w:szCs w:val="21"/>
          <w:highlight w:val="none"/>
        </w:rPr>
      </w:pPr>
    </w:p>
    <w:p w14:paraId="1E271286">
      <w:pPr>
        <w:pageBreakBefore w:val="0"/>
        <w:kinsoku/>
        <w:overflowPunct/>
        <w:bidi w:val="0"/>
        <w:spacing w:line="360" w:lineRule="auto"/>
        <w:rPr>
          <w:rFonts w:hint="eastAsia" w:ascii="宋体" w:hAnsi="宋体" w:eastAsia="宋体" w:cs="宋体"/>
          <w:color w:val="auto"/>
          <w:highlight w:val="none"/>
        </w:rPr>
      </w:pPr>
    </w:p>
    <w:p w14:paraId="74E907D3">
      <w:pPr>
        <w:pStyle w:val="5"/>
        <w:pageBreakBefore w:val="0"/>
        <w:numPr>
          <w:ilvl w:val="0"/>
          <w:numId w:val="31"/>
        </w:numPr>
        <w:tabs>
          <w:tab w:val="left" w:pos="840"/>
        </w:tabs>
        <w:kinsoku/>
        <w:overflowPunct/>
        <w:bidi w:val="0"/>
        <w:spacing w:line="360" w:lineRule="auto"/>
        <w:jc w:val="center"/>
        <w:rPr>
          <w:rFonts w:hint="eastAsia" w:ascii="宋体" w:hAnsi="宋体" w:eastAsia="宋体" w:cs="宋体"/>
          <w:color w:val="auto"/>
          <w:sz w:val="24"/>
          <w:szCs w:val="24"/>
          <w:highlight w:val="none"/>
          <w:lang w:val="en-US" w:eastAsia="zh-CN"/>
        </w:rPr>
      </w:pPr>
      <w:bookmarkStart w:id="722" w:name="_Toc5124"/>
      <w:r>
        <w:rPr>
          <w:rFonts w:hint="eastAsia" w:ascii="宋体" w:hAnsi="宋体" w:eastAsia="宋体" w:cs="宋体"/>
          <w:color w:val="auto"/>
          <w:sz w:val="24"/>
          <w:szCs w:val="24"/>
          <w:highlight w:val="none"/>
          <w:lang w:val="en-US" w:eastAsia="zh-CN"/>
        </w:rPr>
        <w:br w:type="page"/>
      </w:r>
      <w:bookmarkStart w:id="723" w:name="_Toc8410"/>
      <w:r>
        <w:rPr>
          <w:rFonts w:hint="eastAsia" w:ascii="宋体" w:hAnsi="宋体" w:eastAsia="宋体" w:cs="宋体"/>
          <w:color w:val="auto"/>
          <w:sz w:val="24"/>
          <w:szCs w:val="24"/>
          <w:highlight w:val="none"/>
          <w:lang w:val="en-US" w:eastAsia="zh-CN"/>
        </w:rPr>
        <w:t>投标人资格声明函</w:t>
      </w:r>
      <w:bookmarkEnd w:id="722"/>
      <w:bookmarkEnd w:id="723"/>
    </w:p>
    <w:p w14:paraId="70CF7BF0">
      <w:pPr>
        <w:pageBreakBefore w:val="0"/>
        <w:kinsoku/>
        <w:overflowPunct/>
        <w:bidi w:val="0"/>
        <w:spacing w:line="360" w:lineRule="auto"/>
        <w:rPr>
          <w:rFonts w:hint="eastAsia" w:ascii="宋体" w:hAnsi="宋体" w:eastAsia="宋体" w:cs="宋体"/>
          <w:bCs/>
          <w:color w:val="auto"/>
          <w:szCs w:val="21"/>
          <w:highlight w:val="none"/>
        </w:rPr>
      </w:pPr>
    </w:p>
    <w:p w14:paraId="4435763B">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致（采购人或采购代理机构名称）</w:t>
      </w:r>
      <w:r>
        <w:rPr>
          <w:rFonts w:hint="eastAsia" w:ascii="宋体" w:hAnsi="宋体" w:eastAsia="宋体" w:cs="宋体"/>
          <w:color w:val="auto"/>
          <w:highlight w:val="none"/>
        </w:rPr>
        <w:t>：</w:t>
      </w:r>
    </w:p>
    <w:p w14:paraId="49A41328">
      <w:pPr>
        <w:pageBreakBefore w:val="0"/>
        <w:kinsoku/>
        <w:overflowPunct/>
        <w:bidi w:val="0"/>
        <w:spacing w:line="360" w:lineRule="auto"/>
        <w:ind w:firstLine="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关于贵方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项目名称、编号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的投标邀请，本公司愿意参加投标，提供招标内容中规定的货物</w:t>
      </w:r>
      <w:r>
        <w:rPr>
          <w:rFonts w:hint="eastAsia" w:ascii="宋体" w:hAnsi="宋体" w:eastAsia="宋体" w:cs="宋体"/>
          <w:color w:val="auto"/>
          <w:szCs w:val="21"/>
          <w:highlight w:val="none"/>
          <w:lang w:eastAsia="zh-CN"/>
        </w:rPr>
        <w:t>及其伴随的服务</w:t>
      </w:r>
      <w:r>
        <w:rPr>
          <w:rFonts w:hint="eastAsia" w:ascii="宋体" w:hAnsi="宋体" w:eastAsia="宋体" w:cs="宋体"/>
          <w:color w:val="auto"/>
          <w:szCs w:val="21"/>
          <w:highlight w:val="none"/>
        </w:rPr>
        <w:t>，并声明提交的下列文件是准确的和真实的。</w:t>
      </w:r>
    </w:p>
    <w:p w14:paraId="6D085C0C">
      <w:pPr>
        <w:pageBreakBefore w:val="0"/>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投标人基本情况</w:t>
      </w:r>
    </w:p>
    <w:p w14:paraId="06C0F4D7">
      <w:pPr>
        <w:pageBreakBefore w:val="0"/>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2.投标人资格证明文件</w:t>
      </w:r>
    </w:p>
    <w:p w14:paraId="60B35407">
      <w:pPr>
        <w:pageBreakBefore w:val="0"/>
        <w:kinsoku/>
        <w:overflowPunct/>
        <w:bidi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我方在此声明</w:t>
      </w:r>
      <w:r>
        <w:rPr>
          <w:rFonts w:hint="eastAsia" w:ascii="宋体" w:hAnsi="宋体" w:eastAsia="宋体" w:cs="宋体"/>
          <w:color w:val="auto"/>
          <w:szCs w:val="21"/>
          <w:highlight w:val="none"/>
          <w:lang w:eastAsia="zh-CN"/>
        </w:rPr>
        <w:t>：</w:t>
      </w:r>
    </w:p>
    <w:p w14:paraId="0EBAF763">
      <w:pPr>
        <w:pageBreakBefore w:val="0"/>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我方具备并满足《中华人民共和国政府采购法》</w:t>
      </w: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rPr>
        <w:t>二十二条</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实施条例第十七条所规定的投标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的条件</w:t>
      </w:r>
      <w:r>
        <w:rPr>
          <w:rFonts w:hint="eastAsia" w:ascii="宋体" w:hAnsi="宋体" w:eastAsia="宋体" w:cs="宋体"/>
          <w:color w:val="auto"/>
          <w:szCs w:val="21"/>
          <w:highlight w:val="none"/>
          <w:lang w:eastAsia="zh-CN"/>
        </w:rPr>
        <w:t>；</w:t>
      </w:r>
    </w:p>
    <w:p w14:paraId="4EC47ACA">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）我方未</w:t>
      </w:r>
      <w:r>
        <w:rPr>
          <w:rFonts w:hint="eastAsia" w:ascii="宋体" w:hAnsi="宋体" w:eastAsia="宋体" w:cs="宋体"/>
          <w:color w:val="auto"/>
          <w:highlight w:val="none"/>
          <w:shd w:val="clear" w:color="auto" w:fill="FFFFFF"/>
          <w:lang w:eastAsia="zh-CN"/>
        </w:rPr>
        <w:t>被列入失信被执行人、重大税收违法失信主体、政府采购严重违法失信行为记录名单、严重违法失信名单</w:t>
      </w:r>
      <w:r>
        <w:rPr>
          <w:rFonts w:hint="eastAsia" w:ascii="宋体" w:hAnsi="宋体" w:eastAsia="宋体" w:cs="宋体"/>
          <w:color w:val="auto"/>
          <w:sz w:val="21"/>
          <w:szCs w:val="21"/>
          <w:highlight w:val="none"/>
          <w:u w:val="none"/>
        </w:rPr>
        <w:t>及其他不符合《中华人民共和国政府采购法》第二十二条规定条件的</w:t>
      </w:r>
      <w:r>
        <w:rPr>
          <w:rFonts w:hint="eastAsia" w:ascii="宋体" w:hAnsi="宋体" w:eastAsia="宋体" w:cs="宋体"/>
          <w:color w:val="auto"/>
          <w:sz w:val="21"/>
          <w:szCs w:val="21"/>
          <w:highlight w:val="none"/>
          <w:u w:val="none"/>
          <w:lang w:eastAsia="zh-CN"/>
        </w:rPr>
        <w:t>投标人。</w:t>
      </w:r>
    </w:p>
    <w:p w14:paraId="4DFA70C5">
      <w:pPr>
        <w:pageBreakBefore w:val="0"/>
        <w:kinsoku/>
        <w:overflowPunct/>
        <w:bidi w:val="0"/>
        <w:spacing w:line="360" w:lineRule="auto"/>
        <w:rPr>
          <w:rFonts w:hint="eastAsia" w:ascii="宋体" w:hAnsi="宋体" w:eastAsia="宋体" w:cs="宋体"/>
          <w:color w:val="auto"/>
          <w:szCs w:val="21"/>
          <w:highlight w:val="none"/>
        </w:rPr>
      </w:pPr>
    </w:p>
    <w:p w14:paraId="64613958">
      <w:pPr>
        <w:pageBreakBefore w:val="0"/>
        <w:kinsoku/>
        <w:overflowPunct/>
        <w:bidi w:val="0"/>
        <w:spacing w:line="360" w:lineRule="auto"/>
        <w:rPr>
          <w:rFonts w:hint="eastAsia" w:ascii="宋体" w:hAnsi="宋体" w:eastAsia="宋体" w:cs="宋体"/>
          <w:color w:val="auto"/>
          <w:szCs w:val="21"/>
          <w:highlight w:val="none"/>
        </w:rPr>
      </w:pPr>
    </w:p>
    <w:p w14:paraId="6A1D0CB3">
      <w:pPr>
        <w:pageBreakBefore w:val="0"/>
        <w:kinsoku/>
        <w:overflowPunct/>
        <w:bidi w:val="0"/>
        <w:spacing w:line="360" w:lineRule="auto"/>
        <w:ind w:firstLine="2940" w:firstLineChars="1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3AE0D886">
      <w:pPr>
        <w:pageBreakBefore w:val="0"/>
        <w:kinsoku/>
        <w:overflowPunct/>
        <w:bidi w:val="0"/>
        <w:spacing w:line="360" w:lineRule="auto"/>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其委托代理人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4D44051A">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48C9088">
      <w:pPr>
        <w:pageBreakBefore w:val="0"/>
        <w:kinsoku/>
        <w:overflowPunct/>
        <w:bidi w:val="0"/>
        <w:spacing w:line="360" w:lineRule="auto"/>
        <w:rPr>
          <w:rFonts w:hint="eastAsia" w:ascii="宋体" w:hAnsi="宋体" w:eastAsia="宋体" w:cs="宋体"/>
          <w:color w:val="auto"/>
          <w:szCs w:val="21"/>
          <w:highlight w:val="none"/>
        </w:rPr>
      </w:pPr>
    </w:p>
    <w:p w14:paraId="41781575">
      <w:pPr>
        <w:pStyle w:val="8"/>
        <w:pageBreakBefore w:val="0"/>
        <w:kinsoku/>
        <w:overflowPunct/>
        <w:bidi w:val="0"/>
        <w:spacing w:line="360" w:lineRule="auto"/>
        <w:rPr>
          <w:rFonts w:hint="eastAsia" w:ascii="宋体" w:hAnsi="宋体" w:eastAsia="宋体" w:cs="宋体"/>
          <w:color w:val="auto"/>
          <w:sz w:val="24"/>
          <w:highlight w:val="none"/>
        </w:rPr>
      </w:pPr>
    </w:p>
    <w:p w14:paraId="005BD132">
      <w:pPr>
        <w:pStyle w:val="8"/>
        <w:pageBreakBefore w:val="0"/>
        <w:kinsoku/>
        <w:overflowPunct/>
        <w:bidi w:val="0"/>
        <w:spacing w:line="360" w:lineRule="auto"/>
        <w:rPr>
          <w:rFonts w:hint="eastAsia" w:ascii="宋体" w:hAnsi="宋体" w:eastAsia="宋体" w:cs="宋体"/>
          <w:color w:val="auto"/>
          <w:sz w:val="24"/>
          <w:highlight w:val="none"/>
        </w:rPr>
      </w:pPr>
    </w:p>
    <w:p w14:paraId="2497D4E9">
      <w:pPr>
        <w:pageBreakBefore w:val="0"/>
        <w:kinsoku/>
        <w:overflowPunct/>
        <w:bidi w:val="0"/>
        <w:spacing w:line="360" w:lineRule="auto"/>
        <w:rPr>
          <w:rFonts w:hint="eastAsia" w:ascii="宋体" w:hAnsi="宋体" w:eastAsia="宋体" w:cs="宋体"/>
          <w:color w:val="auto"/>
          <w:highlight w:val="none"/>
        </w:rPr>
      </w:pPr>
    </w:p>
    <w:p w14:paraId="504CEEC2">
      <w:pPr>
        <w:pStyle w:val="5"/>
        <w:pageBreakBefore w:val="0"/>
        <w:numPr>
          <w:ilvl w:val="0"/>
          <w:numId w:val="31"/>
        </w:numPr>
        <w:tabs>
          <w:tab w:val="left" w:pos="840"/>
        </w:tabs>
        <w:kinsoku/>
        <w:overflowPunct/>
        <w:bidi w:val="0"/>
        <w:spacing w:line="360" w:lineRule="auto"/>
        <w:jc w:val="center"/>
        <w:rPr>
          <w:rFonts w:hint="eastAsia" w:ascii="宋体" w:hAnsi="宋体" w:eastAsia="宋体" w:cs="宋体"/>
          <w:color w:val="auto"/>
          <w:sz w:val="24"/>
          <w:szCs w:val="24"/>
          <w:highlight w:val="none"/>
          <w:lang w:val="en-US" w:eastAsia="zh-CN"/>
        </w:rPr>
      </w:pPr>
      <w:bookmarkStart w:id="724" w:name="_Toc17556"/>
      <w:r>
        <w:rPr>
          <w:rFonts w:hint="eastAsia" w:ascii="宋体" w:hAnsi="宋体" w:eastAsia="宋体" w:cs="宋体"/>
          <w:color w:val="auto"/>
          <w:sz w:val="24"/>
          <w:szCs w:val="24"/>
          <w:highlight w:val="none"/>
          <w:lang w:val="en-US" w:eastAsia="zh-CN"/>
        </w:rPr>
        <w:br w:type="page"/>
      </w:r>
      <w:bookmarkStart w:id="725" w:name="_Toc27640"/>
      <w:r>
        <w:rPr>
          <w:rFonts w:hint="eastAsia" w:ascii="宋体" w:hAnsi="宋体" w:eastAsia="宋体" w:cs="宋体"/>
          <w:color w:val="auto"/>
          <w:sz w:val="24"/>
          <w:szCs w:val="24"/>
          <w:highlight w:val="none"/>
          <w:lang w:val="en-US" w:eastAsia="zh-CN"/>
        </w:rPr>
        <w:t>投标人基本情况</w:t>
      </w:r>
      <w:bookmarkEnd w:id="724"/>
      <w:bookmarkEnd w:id="725"/>
    </w:p>
    <w:p w14:paraId="0D22B56C">
      <w:pPr>
        <w:pageBreakBefore w:val="0"/>
        <w:kinsoku/>
        <w:overflowPunct/>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1.投标人概况</w:t>
      </w:r>
    </w:p>
    <w:p w14:paraId="030CB56F">
      <w:pPr>
        <w:pageBreakBefore w:val="0"/>
        <w:kinsoku/>
        <w:overflowPunct/>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（1）投标人名称：</w:t>
      </w:r>
    </w:p>
    <w:p w14:paraId="619AD3B5">
      <w:pPr>
        <w:pageBreakBefore w:val="0"/>
        <w:kinsoku/>
        <w:overflowPunct/>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（2）注册地址：</w:t>
      </w:r>
    </w:p>
    <w:p w14:paraId="07594508">
      <w:pPr>
        <w:pageBreakBefore w:val="0"/>
        <w:kinsoku/>
        <w:overflowPunct/>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（3）成立或注册日期：</w:t>
      </w:r>
    </w:p>
    <w:p w14:paraId="5ADB47E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（4）法定代表人（姓名、职务）：</w:t>
      </w:r>
    </w:p>
    <w:p w14:paraId="1B435246">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（5）注册资本：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p>
    <w:p w14:paraId="521A12B0">
      <w:pPr>
        <w:pageBreakBefore w:val="0"/>
        <w:kinsoku/>
        <w:overflowPunct/>
        <w:bidi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投标人关联企业情况（包括但不限于与投标人法定代表人（单位负责人）为同一人或者存在控股、管理关系的不同单位）</w:t>
      </w:r>
      <w:r>
        <w:rPr>
          <w:rFonts w:hint="eastAsia" w:ascii="宋体" w:hAnsi="宋体" w:eastAsia="宋体" w:cs="宋体"/>
          <w:color w:val="auto"/>
          <w:szCs w:val="21"/>
          <w:highlight w:val="none"/>
          <w:lang w:eastAsia="zh-CN"/>
        </w:rPr>
        <w:t>：</w:t>
      </w:r>
    </w:p>
    <w:p w14:paraId="781B7EE0">
      <w:pPr>
        <w:pageBreakBefore w:val="0"/>
        <w:kinsoku/>
        <w:overflowPunct/>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2.投标人财务状况</w:t>
      </w:r>
    </w:p>
    <w:p w14:paraId="7A45FC43">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（1）资产负债表（到  年  月  日为止）</w:t>
      </w:r>
    </w:p>
    <w:p w14:paraId="7DC32BC0">
      <w:pPr>
        <w:pageBreakBefore w:val="0"/>
        <w:kinsoku/>
        <w:overflowPunct/>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固定资产合计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0A694905">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流动资产合计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516190F9">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长期负债合计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2628CD88">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流动负债合计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55B6CCAF">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（2）损益表（到  年  月  日为止）</w:t>
      </w:r>
    </w:p>
    <w:p w14:paraId="57AD8D46">
      <w:pPr>
        <w:pageBreakBefore w:val="0"/>
        <w:kinsoku/>
        <w:overflowPunct/>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利润总额累计：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42C97E15">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净利润累计：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7C635DB2">
      <w:pPr>
        <w:pageBreakBefore w:val="0"/>
        <w:kinsoku/>
        <w:overflowPunct/>
        <w:bidi w:val="0"/>
        <w:spacing w:line="360" w:lineRule="auto"/>
        <w:rPr>
          <w:rFonts w:hint="eastAsia" w:ascii="宋体" w:hAnsi="宋体" w:eastAsia="宋体" w:cs="宋体"/>
          <w:color w:val="auto"/>
          <w:szCs w:val="21"/>
          <w:highlight w:val="none"/>
        </w:rPr>
      </w:pPr>
    </w:p>
    <w:p w14:paraId="7117A6E2">
      <w:pPr>
        <w:pageBreakBefore w:val="0"/>
        <w:kinsoku/>
        <w:overflowPunct/>
        <w:bidi w:val="0"/>
        <w:spacing w:line="360" w:lineRule="auto"/>
        <w:rPr>
          <w:rFonts w:hint="eastAsia" w:ascii="宋体" w:hAnsi="宋体" w:eastAsia="宋体" w:cs="宋体"/>
          <w:color w:val="auto"/>
          <w:szCs w:val="21"/>
          <w:highlight w:val="none"/>
        </w:rPr>
      </w:pPr>
    </w:p>
    <w:p w14:paraId="72B7FFF9">
      <w:pPr>
        <w:pageBreakBefore w:val="0"/>
        <w:kinsoku/>
        <w:overflowPunct/>
        <w:bidi w:val="0"/>
        <w:spacing w:line="360" w:lineRule="auto"/>
        <w:rPr>
          <w:rFonts w:hint="eastAsia" w:ascii="宋体" w:hAnsi="宋体" w:eastAsia="宋体" w:cs="宋体"/>
          <w:color w:val="auto"/>
          <w:szCs w:val="21"/>
          <w:highlight w:val="none"/>
        </w:rPr>
      </w:pPr>
    </w:p>
    <w:p w14:paraId="2A3BA63F">
      <w:pPr>
        <w:pageBreakBefore w:val="0"/>
        <w:kinsoku/>
        <w:overflowPunct/>
        <w:bidi w:val="0"/>
        <w:spacing w:line="360" w:lineRule="auto"/>
        <w:ind w:firstLine="2940" w:firstLineChars="1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136927D1">
      <w:pPr>
        <w:pageBreakBefore w:val="0"/>
        <w:kinsoku/>
        <w:overflowPunct/>
        <w:bidi w:val="0"/>
        <w:spacing w:line="360" w:lineRule="auto"/>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其委托代理人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4B3C71D8">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A972BCE">
      <w:pPr>
        <w:pageBreakBefore w:val="0"/>
        <w:kinsoku/>
        <w:overflowPunct/>
        <w:bidi w:val="0"/>
        <w:spacing w:line="360" w:lineRule="auto"/>
        <w:rPr>
          <w:rFonts w:hint="eastAsia" w:ascii="宋体" w:hAnsi="宋体" w:eastAsia="宋体" w:cs="宋体"/>
          <w:color w:val="auto"/>
          <w:szCs w:val="21"/>
          <w:highlight w:val="none"/>
        </w:rPr>
      </w:pPr>
    </w:p>
    <w:p w14:paraId="0935D685">
      <w:pPr>
        <w:pageBreakBefore w:val="0"/>
        <w:kinsoku/>
        <w:overflowPunct/>
        <w:bidi w:val="0"/>
        <w:spacing w:line="360" w:lineRule="auto"/>
        <w:rPr>
          <w:rFonts w:hint="eastAsia" w:ascii="宋体" w:hAnsi="宋体" w:eastAsia="宋体" w:cs="宋体"/>
          <w:color w:val="auto"/>
          <w:sz w:val="24"/>
          <w:highlight w:val="none"/>
        </w:rPr>
      </w:pPr>
    </w:p>
    <w:p w14:paraId="79711A07">
      <w:pPr>
        <w:pageBreakBefore w:val="0"/>
        <w:kinsoku/>
        <w:overflowPunct/>
        <w:bidi w:val="0"/>
        <w:spacing w:line="360" w:lineRule="auto"/>
        <w:rPr>
          <w:rFonts w:hint="eastAsia" w:ascii="宋体" w:hAnsi="宋体" w:eastAsia="宋体" w:cs="宋体"/>
          <w:color w:val="auto"/>
          <w:sz w:val="24"/>
          <w:highlight w:val="none"/>
        </w:rPr>
      </w:pPr>
    </w:p>
    <w:p w14:paraId="08AD17D0">
      <w:pPr>
        <w:pStyle w:val="5"/>
        <w:pageBreakBefore w:val="0"/>
        <w:numPr>
          <w:ilvl w:val="0"/>
          <w:numId w:val="31"/>
        </w:numPr>
        <w:tabs>
          <w:tab w:val="left" w:pos="840"/>
        </w:tabs>
        <w:kinsoku/>
        <w:overflowPunct/>
        <w:bidi w:val="0"/>
        <w:spacing w:line="360" w:lineRule="auto"/>
        <w:jc w:val="center"/>
        <w:rPr>
          <w:rFonts w:hint="eastAsia" w:ascii="宋体" w:hAnsi="宋体" w:eastAsia="宋体" w:cs="宋体"/>
          <w:color w:val="auto"/>
          <w:highlight w:val="none"/>
        </w:rPr>
      </w:pPr>
      <w:bookmarkStart w:id="726" w:name="_Toc30926"/>
      <w:r>
        <w:rPr>
          <w:rFonts w:hint="eastAsia" w:ascii="宋体" w:hAnsi="宋体" w:eastAsia="宋体" w:cs="宋体"/>
          <w:color w:val="auto"/>
          <w:sz w:val="24"/>
          <w:szCs w:val="24"/>
          <w:highlight w:val="none"/>
          <w:lang w:val="en-US" w:eastAsia="zh-CN"/>
        </w:rPr>
        <w:br w:type="page"/>
      </w:r>
      <w:bookmarkStart w:id="727" w:name="_Toc20556"/>
      <w:r>
        <w:rPr>
          <w:rFonts w:hint="eastAsia" w:ascii="宋体" w:hAnsi="宋体" w:eastAsia="宋体" w:cs="宋体"/>
          <w:color w:val="auto"/>
          <w:sz w:val="24"/>
          <w:szCs w:val="24"/>
          <w:highlight w:val="none"/>
          <w:lang w:val="en-US" w:eastAsia="zh-CN"/>
        </w:rPr>
        <w:t>投标人资格证明文件</w:t>
      </w:r>
      <w:bookmarkEnd w:id="726"/>
      <w:bookmarkEnd w:id="727"/>
    </w:p>
    <w:p w14:paraId="72ABA1DF">
      <w:pPr>
        <w:pStyle w:val="70"/>
        <w:pageBreakBefore w:val="0"/>
        <w:kinsoku/>
        <w:overflowPunct/>
        <w:bidi w:val="0"/>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具有独立承担民事责任的能力的证明材料</w:t>
      </w:r>
    </w:p>
    <w:p w14:paraId="10AE155C">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投标人为企业（包括合伙企业）的，应提供有效的“营业执照”；</w:t>
      </w:r>
    </w:p>
    <w:p w14:paraId="6D48977C">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投标人为事业单位的，应提供有效的“事业单位法人证书”；</w:t>
      </w:r>
    </w:p>
    <w:p w14:paraId="79F1E04C">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投标人是非企业机构的，应提供有效的“执业许可证”“登记证书”等证明文件；</w:t>
      </w:r>
    </w:p>
    <w:p w14:paraId="2306A4C5">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投标人是个体工商户的，应提供有效的“个体工商户营业执照”；</w:t>
      </w:r>
    </w:p>
    <w:p w14:paraId="5BECDF23">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投标人是自然人的，应提供有效的自然人身份证明。</w:t>
      </w:r>
    </w:p>
    <w:p w14:paraId="1586CCC0">
      <w:pPr>
        <w:pStyle w:val="70"/>
        <w:pageBreakBefore w:val="0"/>
        <w:kinsoku/>
        <w:overflowPunct/>
        <w:bidi w:val="0"/>
        <w:spacing w:line="360" w:lineRule="auto"/>
        <w:ind w:left="425"/>
        <w:jc w:val="center"/>
        <w:rPr>
          <w:rFonts w:hint="eastAsia" w:ascii="宋体" w:hAnsi="宋体" w:eastAsia="宋体" w:cs="宋体"/>
          <w:b/>
          <w:color w:val="auto"/>
          <w:sz w:val="28"/>
          <w:szCs w:val="28"/>
          <w:highlight w:val="none"/>
        </w:rPr>
      </w:pPr>
    </w:p>
    <w:p w14:paraId="53FAEBF4">
      <w:pPr>
        <w:pStyle w:val="70"/>
        <w:pageBreakBefore w:val="0"/>
        <w:kinsoku/>
        <w:overflowPunct/>
        <w:bidi w:val="0"/>
        <w:spacing w:line="360" w:lineRule="auto"/>
        <w:ind w:left="42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参加政府采购活动前3年在经营活动中没有重大</w:t>
      </w:r>
    </w:p>
    <w:p w14:paraId="0B3B4582">
      <w:pPr>
        <w:pStyle w:val="70"/>
        <w:pageBreakBefore w:val="0"/>
        <w:kinsoku/>
        <w:overflowPunct/>
        <w:bidi w:val="0"/>
        <w:spacing w:line="360" w:lineRule="auto"/>
        <w:ind w:left="425"/>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违法记录的书面声</w:t>
      </w:r>
      <w:r>
        <w:rPr>
          <w:rFonts w:hint="eastAsia" w:ascii="宋体" w:hAnsi="宋体" w:eastAsia="宋体" w:cs="宋体"/>
          <w:b/>
          <w:color w:val="auto"/>
          <w:sz w:val="24"/>
          <w:szCs w:val="24"/>
          <w:highlight w:val="none"/>
          <w:lang w:eastAsia="zh-CN"/>
        </w:rPr>
        <w:t>明</w:t>
      </w:r>
    </w:p>
    <w:p w14:paraId="5DAD7BAF">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采购人名称</w:t>
      </w:r>
      <w:r>
        <w:rPr>
          <w:rFonts w:hint="eastAsia" w:ascii="宋体" w:hAnsi="宋体" w:eastAsia="宋体" w:cs="宋体"/>
          <w:color w:val="auto"/>
          <w:szCs w:val="21"/>
          <w:highlight w:val="none"/>
          <w:lang w:bidi="ar"/>
        </w:rPr>
        <w:t>：</w:t>
      </w:r>
    </w:p>
    <w:p w14:paraId="5D833B25">
      <w:pPr>
        <w:pageBreakBefore w:val="0"/>
        <w:kinsoku/>
        <w:overflowPunct/>
        <w:bidi w:val="0"/>
        <w:spacing w:before="156" w:beforeLines="50" w:after="156" w:afterLines="50" w:line="360" w:lineRule="auto"/>
        <w:ind w:left="689" w:leftChars="328"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我单位在参加政府采购活动前3年在经营活动中没有重大违法记录，特此声明。</w:t>
      </w:r>
    </w:p>
    <w:p w14:paraId="543050B4">
      <w:pPr>
        <w:pageBreakBefore w:val="0"/>
        <w:kinsoku/>
        <w:overflowPunct/>
        <w:bidi w:val="0"/>
        <w:spacing w:before="156" w:beforeLines="50" w:after="156" w:afterLines="50" w:line="360" w:lineRule="auto"/>
        <w:rPr>
          <w:rFonts w:hint="eastAsia" w:ascii="宋体" w:hAnsi="宋体" w:eastAsia="宋体" w:cs="宋体"/>
          <w:color w:val="auto"/>
          <w:szCs w:val="21"/>
          <w:highlight w:val="none"/>
        </w:rPr>
      </w:pPr>
    </w:p>
    <w:p w14:paraId="77F76149">
      <w:pPr>
        <w:pageBreakBefore w:val="0"/>
        <w:kinsoku/>
        <w:overflowPunct/>
        <w:bidi w:val="0"/>
        <w:spacing w:line="360" w:lineRule="auto"/>
        <w:ind w:firstLine="2940" w:firstLineChars="1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450717E3">
      <w:pPr>
        <w:pageBreakBefore w:val="0"/>
        <w:kinsoku/>
        <w:overflowPunct/>
        <w:bidi w:val="0"/>
        <w:spacing w:line="360" w:lineRule="auto"/>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其委托代理人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3A8F640B">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szCs w:val="21"/>
          <w:highlight w:val="none"/>
          <w:lang w:bidi="ar"/>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241D29B">
      <w:pPr>
        <w:pStyle w:val="3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p>
    <w:p w14:paraId="3E026E95">
      <w:pPr>
        <w:pStyle w:val="70"/>
        <w:pageBreakBefore w:val="0"/>
        <w:kinsoku/>
        <w:overflowPunct/>
        <w:bidi w:val="0"/>
        <w:spacing w:line="360" w:lineRule="auto"/>
        <w:ind w:left="425"/>
        <w:jc w:val="center"/>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具有履行合同所必需的设备和专业技术能力</w:t>
      </w:r>
      <w:r>
        <w:rPr>
          <w:rFonts w:hint="eastAsia" w:ascii="宋体" w:hAnsi="宋体" w:eastAsia="宋体" w:cs="宋体"/>
          <w:b/>
          <w:color w:val="auto"/>
          <w:sz w:val="24"/>
          <w:szCs w:val="24"/>
          <w:highlight w:val="none"/>
          <w:lang w:eastAsia="zh-CN"/>
        </w:rPr>
        <w:t>书面声明函</w:t>
      </w:r>
    </w:p>
    <w:p w14:paraId="54C23792">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采购人名称</w:t>
      </w:r>
      <w:r>
        <w:rPr>
          <w:rFonts w:hint="eastAsia" w:ascii="宋体" w:hAnsi="宋体" w:eastAsia="宋体" w:cs="宋体"/>
          <w:color w:val="auto"/>
          <w:szCs w:val="21"/>
          <w:highlight w:val="none"/>
          <w:lang w:bidi="ar"/>
        </w:rPr>
        <w:t>：</w:t>
      </w:r>
    </w:p>
    <w:p w14:paraId="1F2C8B8D">
      <w:pPr>
        <w:pageBreakBefore w:val="0"/>
        <w:kinsoku/>
        <w:overflowPunct/>
        <w:bidi w:val="0"/>
        <w:spacing w:before="156" w:beforeLines="50" w:after="156" w:afterLines="50" w:line="360" w:lineRule="auto"/>
        <w:ind w:left="689" w:leftChars="328"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我单位具有履行合同所必需的设备和专业技术能力</w:t>
      </w:r>
      <w:r>
        <w:rPr>
          <w:rFonts w:hint="eastAsia" w:ascii="宋体" w:hAnsi="宋体" w:eastAsia="宋体" w:cs="宋体"/>
          <w:color w:val="auto"/>
          <w:szCs w:val="21"/>
          <w:highlight w:val="none"/>
          <w:lang w:bidi="ar"/>
        </w:rPr>
        <w:t>，特此声明。</w:t>
      </w:r>
    </w:p>
    <w:p w14:paraId="726DC829">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rPr>
      </w:pPr>
    </w:p>
    <w:p w14:paraId="309C58B8">
      <w:pPr>
        <w:pageBreakBefore w:val="0"/>
        <w:kinsoku/>
        <w:overflowPunct/>
        <w:bidi w:val="0"/>
        <w:spacing w:line="360" w:lineRule="auto"/>
        <w:ind w:firstLine="2940" w:firstLineChars="1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64E2B416">
      <w:pPr>
        <w:pageBreakBefore w:val="0"/>
        <w:kinsoku/>
        <w:overflowPunct/>
        <w:bidi w:val="0"/>
        <w:spacing w:line="360" w:lineRule="auto"/>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其委托代理人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695CFE25">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D47A4A8">
      <w:pPr>
        <w:pStyle w:val="70"/>
        <w:spacing w:line="360" w:lineRule="auto"/>
        <w:ind w:left="425"/>
        <w:jc w:val="center"/>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br w:type="page"/>
      </w:r>
      <w:bookmarkStart w:id="728" w:name="_Toc474231357"/>
      <w:bookmarkStart w:id="729" w:name="_Toc478045087"/>
      <w:bookmarkStart w:id="730" w:name="_Toc475365553"/>
      <w:bookmarkStart w:id="731" w:name="_Toc474325226"/>
      <w:r>
        <w:rPr>
          <w:rFonts w:hint="eastAsia" w:ascii="宋体" w:hAnsi="宋体" w:eastAsia="宋体" w:cs="宋体"/>
          <w:b/>
          <w:color w:val="auto"/>
          <w:highlight w:val="none"/>
        </w:rPr>
        <w:t>依法缴纳税收的证明材料</w:t>
      </w:r>
    </w:p>
    <w:p w14:paraId="222E93A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1日</w:t>
      </w:r>
      <w:r>
        <w:rPr>
          <w:rFonts w:hint="eastAsia" w:ascii="宋体" w:hAnsi="宋体" w:eastAsia="宋体" w:cs="宋体"/>
          <w:color w:val="auto"/>
          <w:highlight w:val="none"/>
        </w:rPr>
        <w:t>以来任意</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个月</w:t>
      </w:r>
      <w:r>
        <w:rPr>
          <w:rFonts w:hint="eastAsia" w:ascii="宋体" w:hAnsi="宋体" w:eastAsia="宋体" w:cs="宋体"/>
          <w:color w:val="auto"/>
          <w:szCs w:val="28"/>
          <w:highlight w:val="none"/>
        </w:rPr>
        <w:t>缴纳的相关税收凭据（主管行政部门或银行出具）</w:t>
      </w:r>
      <w:r>
        <w:rPr>
          <w:rFonts w:hint="eastAsia" w:ascii="宋体" w:hAnsi="宋体" w:eastAsia="宋体" w:cs="宋体"/>
          <w:color w:val="auto"/>
          <w:highlight w:val="none"/>
        </w:rPr>
        <w:t>。</w:t>
      </w:r>
      <w:r>
        <w:rPr>
          <w:rFonts w:hint="eastAsia" w:ascii="宋体" w:hAnsi="宋体" w:eastAsia="宋体" w:cs="宋体"/>
          <w:color w:val="auto"/>
          <w:szCs w:val="28"/>
          <w:highlight w:val="none"/>
        </w:rPr>
        <w:t>其他组织和自然人也需要提供缴纳税收的凭证（</w:t>
      </w:r>
      <w:r>
        <w:rPr>
          <w:rFonts w:hint="eastAsia" w:ascii="宋体" w:hAnsi="宋体" w:eastAsia="宋体" w:cs="宋体"/>
          <w:color w:val="auto"/>
          <w:kern w:val="0"/>
          <w:szCs w:val="21"/>
          <w:highlight w:val="none"/>
        </w:rPr>
        <w:t>新成立企业从成立之日起计算，</w:t>
      </w:r>
      <w:r>
        <w:rPr>
          <w:rFonts w:hint="eastAsia" w:ascii="宋体" w:hAnsi="宋体" w:eastAsia="宋体" w:cs="宋体"/>
          <w:color w:val="auto"/>
          <w:szCs w:val="28"/>
          <w:highlight w:val="none"/>
        </w:rPr>
        <w:t>依法免税的投标人，应提供相应行政部门出具的证明文件，证明其依法免税）</w:t>
      </w:r>
      <w:r>
        <w:rPr>
          <w:rFonts w:hint="eastAsia" w:ascii="宋体" w:hAnsi="宋体" w:eastAsia="宋体" w:cs="宋体"/>
          <w:color w:val="auto"/>
          <w:highlight w:val="none"/>
        </w:rPr>
        <w:t>。</w:t>
      </w:r>
    </w:p>
    <w:p w14:paraId="0D9064D6">
      <w:pPr>
        <w:spacing w:line="360" w:lineRule="auto"/>
        <w:rPr>
          <w:rFonts w:hint="eastAsia" w:ascii="宋体" w:hAnsi="宋体" w:eastAsia="宋体" w:cs="宋体"/>
          <w:color w:val="auto"/>
          <w:highlight w:val="none"/>
        </w:rPr>
      </w:pPr>
    </w:p>
    <w:p w14:paraId="2CB3A8EE">
      <w:pPr>
        <w:widowControl w:val="0"/>
        <w:autoSpaceDE w:val="0"/>
        <w:autoSpaceDN w:val="0"/>
        <w:adjustRightInd w:val="0"/>
        <w:spacing w:line="360" w:lineRule="auto"/>
        <w:rPr>
          <w:rFonts w:hint="eastAsia" w:ascii="宋体" w:hAnsi="宋体" w:eastAsia="宋体" w:cs="宋体"/>
          <w:color w:val="auto"/>
          <w:sz w:val="24"/>
          <w:szCs w:val="24"/>
          <w:highlight w:val="none"/>
          <w:lang w:val="en-US" w:eastAsia="zh-CN" w:bidi="ar-SA"/>
        </w:rPr>
      </w:pPr>
    </w:p>
    <w:p w14:paraId="2205F921">
      <w:pPr>
        <w:spacing w:before="120" w:beforeLines="50" w:after="120" w:afterLines="50" w:line="360" w:lineRule="auto"/>
        <w:rPr>
          <w:rFonts w:hint="eastAsia" w:ascii="宋体" w:hAnsi="宋体" w:eastAsia="宋体" w:cs="宋体"/>
          <w:color w:val="auto"/>
          <w:highlight w:val="none"/>
        </w:rPr>
      </w:pPr>
    </w:p>
    <w:p w14:paraId="4803AB39">
      <w:pPr>
        <w:widowControl w:val="0"/>
        <w:autoSpaceDE w:val="0"/>
        <w:autoSpaceDN w:val="0"/>
        <w:adjustRightInd w:val="0"/>
        <w:spacing w:line="360" w:lineRule="auto"/>
        <w:ind w:left="425"/>
        <w:jc w:val="center"/>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br w:type="page"/>
      </w:r>
      <w:r>
        <w:rPr>
          <w:rFonts w:hint="eastAsia" w:ascii="宋体" w:hAnsi="宋体" w:eastAsia="宋体" w:cs="宋体"/>
          <w:b/>
          <w:color w:val="auto"/>
          <w:sz w:val="24"/>
          <w:szCs w:val="24"/>
          <w:highlight w:val="none"/>
          <w:lang w:val="en-US" w:eastAsia="zh-CN" w:bidi="ar-SA"/>
        </w:rPr>
        <w:t>依法缴纳社会保障资金的证明材料</w:t>
      </w:r>
    </w:p>
    <w:p w14:paraId="5AA2CE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1日</w:t>
      </w:r>
      <w:r>
        <w:rPr>
          <w:rFonts w:hint="eastAsia" w:ascii="宋体" w:hAnsi="宋体" w:eastAsia="宋体" w:cs="宋体"/>
          <w:color w:val="auto"/>
          <w:highlight w:val="none"/>
        </w:rPr>
        <w:t>以来任意</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个月</w:t>
      </w:r>
      <w:r>
        <w:rPr>
          <w:rFonts w:hint="eastAsia" w:ascii="宋体" w:hAnsi="宋体" w:eastAsia="宋体" w:cs="宋体"/>
          <w:color w:val="auto"/>
          <w:szCs w:val="28"/>
          <w:highlight w:val="none"/>
        </w:rPr>
        <w:t>缴纳社会保险凭据（专用收据或社会保险缴纳清单）。其他组织和自然人也需要提供缴纳社会保险的凭证（</w:t>
      </w:r>
      <w:r>
        <w:rPr>
          <w:rFonts w:hint="eastAsia" w:ascii="宋体" w:hAnsi="宋体" w:eastAsia="宋体" w:cs="宋体"/>
          <w:color w:val="auto"/>
          <w:kern w:val="0"/>
          <w:szCs w:val="21"/>
          <w:highlight w:val="none"/>
        </w:rPr>
        <w:t>新成立企业从成立之日起计算，</w:t>
      </w:r>
      <w:r>
        <w:rPr>
          <w:rFonts w:hint="eastAsia" w:ascii="宋体" w:hAnsi="宋体" w:eastAsia="宋体" w:cs="宋体"/>
          <w:color w:val="auto"/>
          <w:szCs w:val="28"/>
          <w:highlight w:val="none"/>
        </w:rPr>
        <w:t>依法不需要缴纳社会保障资金的投标人，应提供相应行政部门出具的证明文件，证明其依法不需要缴纳社会保障资金）</w:t>
      </w:r>
      <w:r>
        <w:rPr>
          <w:rFonts w:hint="eastAsia" w:ascii="宋体" w:hAnsi="宋体" w:eastAsia="宋体" w:cs="宋体"/>
          <w:color w:val="auto"/>
          <w:highlight w:val="none"/>
        </w:rPr>
        <w:t>。</w:t>
      </w:r>
    </w:p>
    <w:p w14:paraId="103DE153">
      <w:pPr>
        <w:pStyle w:val="70"/>
        <w:pageBreakBefore w:val="0"/>
        <w:kinsoku/>
        <w:overflowPunct/>
        <w:bidi w:val="0"/>
        <w:spacing w:line="360" w:lineRule="auto"/>
        <w:ind w:left="42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bookmarkEnd w:id="728"/>
    <w:bookmarkEnd w:id="729"/>
    <w:bookmarkEnd w:id="730"/>
    <w:bookmarkEnd w:id="731"/>
    <w:p w14:paraId="7C812BF5">
      <w:pPr>
        <w:widowControl w:val="0"/>
        <w:autoSpaceDE w:val="0"/>
        <w:autoSpaceDN w:val="0"/>
        <w:adjustRightInd w:val="0"/>
        <w:spacing w:line="360" w:lineRule="auto"/>
        <w:ind w:left="425"/>
        <w:jc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财务状况</w:t>
      </w:r>
    </w:p>
    <w:p w14:paraId="3EFEBCB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投标人是企业法人的，应提供</w:t>
      </w:r>
      <w:r>
        <w:rPr>
          <w:rFonts w:hint="eastAsia" w:ascii="宋体" w:hAnsi="宋体" w:eastAsia="宋体" w:cs="宋体"/>
          <w:color w:val="auto"/>
          <w:highlight w:val="none"/>
          <w:u w:val="single"/>
        </w:rPr>
        <w:t>202</w:t>
      </w:r>
      <w:r>
        <w:rPr>
          <w:rFonts w:hint="eastAsia" w:ascii="宋体" w:hAnsi="宋体" w:eastAsia="宋体" w:cs="宋体"/>
          <w:color w:val="auto"/>
          <w:highlight w:val="none"/>
          <w:u w:val="single"/>
          <w:lang w:val="en-US" w:eastAsia="zh-CN"/>
        </w:rPr>
        <w:t>4或2025</w:t>
      </w:r>
      <w:r>
        <w:rPr>
          <w:rFonts w:hint="eastAsia" w:ascii="宋体" w:hAnsi="宋体" w:eastAsia="宋体" w:cs="宋体"/>
          <w:color w:val="auto"/>
          <w:highlight w:val="none"/>
        </w:rPr>
        <w:t>年度经审计的财务报告，包括“四表一注或三表一注”，即资产负债表、利润表（损益表）、现金流量表、所有者权益变动表（所有者权益变动表如无，可不提供）及其附注或基本开户银行出具的资信证明。部分其他组织和自然人，没有经审计的财务报告，可以提供银行出具的资信证明。投标人为事业单位的，至少应提供近一年的资产负债表。</w:t>
      </w:r>
      <w:r>
        <w:rPr>
          <w:rFonts w:hint="eastAsia" w:ascii="宋体" w:hAnsi="宋体" w:eastAsia="宋体" w:cs="宋体"/>
          <w:b/>
          <w:bCs/>
          <w:color w:val="auto"/>
          <w:kern w:val="0"/>
          <w:highlight w:val="none"/>
        </w:rPr>
        <w:t>（根据《关于加强审计报告查验工作的通知》，审计报告须具有注册会计师行业统一监管平台赋予的验证码）</w:t>
      </w:r>
    </w:p>
    <w:p w14:paraId="358E70FE">
      <w:pPr>
        <w:widowControl w:val="0"/>
        <w:spacing w:line="360" w:lineRule="auto"/>
        <w:ind w:firstLine="420"/>
        <w:jc w:val="both"/>
        <w:rPr>
          <w:rFonts w:hint="eastAsia" w:ascii="宋体" w:hAnsi="宋体" w:eastAsia="宋体" w:cs="宋体"/>
          <w:b/>
          <w:color w:val="auto"/>
          <w:kern w:val="2"/>
          <w:sz w:val="28"/>
          <w:szCs w:val="28"/>
          <w:highlight w:val="none"/>
          <w:lang w:val="en-US" w:eastAsia="zh-CN" w:bidi="ar-SA"/>
        </w:rPr>
      </w:pPr>
    </w:p>
    <w:p w14:paraId="38E2473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能证明</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人资格的其他资料</w:t>
      </w:r>
    </w:p>
    <w:p w14:paraId="10420E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根据《关于在政府采购活动中查询及使用信用记录有关问题的通知》（财库[2016]125号）的规定，采购人或采购代理机构将通过“中国执行信息公开网”网站（https://zxgk.court.gov.cn/）、“信用中国”网站（https://www.creditchina.gov.cn/）、中国政府采购网（http://www.ccgp.gov.cn/）、国家企业信用信息公示系统（http://www.gsxt.gov.cn）等渠道查询投标人信用记录，被列入失信被执行人、重大税收违法失信主体、政府采购严重违法失信行为记录名单、严重违法失信名单的投标人将被拒绝参与本项目政府采购活动（截止时点：投标截止时间）。在规定的查询时间之后，网站信息发生的任何变更均不再作为评审依据。投标人自行提供的与网站信息不一致的其他证明材料亦不作为资格审查的依据。信用信息查询记录和证据将同采购文件等资料一同归档保存</w:t>
      </w:r>
      <w:r>
        <w:rPr>
          <w:rFonts w:hint="eastAsia" w:ascii="宋体" w:hAnsi="宋体" w:eastAsia="宋体" w:cs="宋体"/>
          <w:color w:val="auto"/>
          <w:sz w:val="21"/>
          <w:szCs w:val="21"/>
          <w:highlight w:val="none"/>
        </w:rPr>
        <w:t>。</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lang w:val="en-US" w:eastAsia="zh-CN"/>
        </w:rPr>
        <w:t>投标人错附或漏附，不作为废标依据</w:t>
      </w:r>
      <w:r>
        <w:rPr>
          <w:rFonts w:hint="eastAsia" w:ascii="宋体" w:hAnsi="宋体" w:eastAsia="宋体" w:cs="宋体"/>
          <w:color w:val="auto"/>
          <w:highlight w:val="none"/>
          <w:lang w:val="en-US" w:eastAsia="zh-CN"/>
        </w:rPr>
        <w:t>，具体以采购人或采购代理机构查询为准</w:t>
      </w:r>
      <w:r>
        <w:rPr>
          <w:rFonts w:hint="eastAsia" w:ascii="宋体" w:hAnsi="宋体" w:eastAsia="宋体" w:cs="宋体"/>
          <w:color w:val="auto"/>
          <w:highlight w:val="none"/>
          <w:shd w:val="clear" w:color="auto" w:fill="FFFFFF"/>
          <w:lang w:eastAsia="zh-CN"/>
        </w:rPr>
        <w:t>】</w:t>
      </w:r>
    </w:p>
    <w:p w14:paraId="5C4C60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2.单位负责人为同一人或者存在直接控股、管理关系的不同投标人，不得参加同一合同项下的政府采购活动。</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lang w:val="en-US" w:eastAsia="zh-CN"/>
        </w:rPr>
        <w:t>建议投标人提供</w:t>
      </w:r>
      <w:r>
        <w:rPr>
          <w:rFonts w:hint="eastAsia" w:ascii="宋体" w:hAnsi="宋体" w:eastAsia="宋体" w:cs="宋体"/>
          <w:color w:val="auto"/>
          <w:highlight w:val="none"/>
        </w:rPr>
        <w:t>“国家企业信用信息公示系统”中公示的公司信息、股东（或投资人）信息网站查询页</w:t>
      </w:r>
      <w:r>
        <w:rPr>
          <w:rFonts w:hint="eastAsia" w:ascii="宋体" w:hAnsi="宋体" w:eastAsia="宋体" w:cs="宋体"/>
          <w:color w:val="auto"/>
          <w:highlight w:val="none"/>
          <w:lang w:val="en-US" w:eastAsia="zh-CN"/>
        </w:rPr>
        <w:t>或承诺函，格式自拟，具体以采购人或采购代理机构查询为准</w:t>
      </w:r>
      <w:r>
        <w:rPr>
          <w:rFonts w:hint="eastAsia" w:ascii="宋体" w:hAnsi="宋体" w:eastAsia="宋体" w:cs="宋体"/>
          <w:color w:val="auto"/>
          <w:highlight w:val="none"/>
          <w:shd w:val="clear" w:color="auto" w:fill="FFFFFF"/>
          <w:lang w:eastAsia="zh-CN"/>
        </w:rPr>
        <w:t>】</w:t>
      </w:r>
    </w:p>
    <w:p w14:paraId="066FA0B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1"/>
          <w:szCs w:val="21"/>
          <w:highlight w:val="none"/>
          <w:lang w:val="en-US" w:eastAsia="zh-CN"/>
        </w:rPr>
        <w:br w:type="page"/>
      </w:r>
      <w:r>
        <w:rPr>
          <w:rFonts w:hint="eastAsia" w:ascii="宋体" w:hAnsi="宋体" w:eastAsia="宋体" w:cs="宋体"/>
          <w:b/>
          <w:color w:val="auto"/>
          <w:sz w:val="24"/>
          <w:szCs w:val="24"/>
          <w:highlight w:val="none"/>
        </w:rPr>
        <w:t>非联合体投标承诺函</w:t>
      </w:r>
    </w:p>
    <w:p w14:paraId="512DAADD">
      <w:pPr>
        <w:widowControl w:val="0"/>
        <w:jc w:val="both"/>
        <w:rPr>
          <w:rFonts w:hint="eastAsia" w:ascii="宋体" w:hAnsi="宋体" w:eastAsia="宋体" w:cs="宋体"/>
          <w:b/>
          <w:color w:val="auto"/>
          <w:kern w:val="2"/>
          <w:sz w:val="28"/>
          <w:szCs w:val="28"/>
          <w:highlight w:val="none"/>
          <w:lang w:val="en-US" w:eastAsia="zh-CN" w:bidi="ar-SA"/>
        </w:rPr>
      </w:pPr>
    </w:p>
    <w:p w14:paraId="6B4D5D70">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采购人名称</w:t>
      </w:r>
      <w:r>
        <w:rPr>
          <w:rFonts w:hint="eastAsia" w:ascii="宋体" w:hAnsi="宋体" w:eastAsia="宋体" w:cs="宋体"/>
          <w:color w:val="auto"/>
          <w:szCs w:val="21"/>
          <w:highlight w:val="none"/>
          <w:lang w:bidi="ar"/>
        </w:rPr>
        <w:t>：</w:t>
      </w:r>
    </w:p>
    <w:p w14:paraId="562F21C2">
      <w:pPr>
        <w:pageBreakBefore w:val="0"/>
        <w:kinsoku/>
        <w:overflowPunct/>
        <w:bidi w:val="0"/>
        <w:spacing w:before="156" w:beforeLines="50" w:after="156" w:afterLines="50" w:line="360" w:lineRule="auto"/>
        <w:ind w:left="689" w:leftChars="328"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我单位</w:t>
      </w:r>
      <w:r>
        <w:rPr>
          <w:rFonts w:hint="eastAsia" w:ascii="宋体" w:hAnsi="宋体" w:eastAsia="宋体" w:cs="宋体"/>
          <w:color w:val="auto"/>
          <w:szCs w:val="21"/>
          <w:highlight w:val="none"/>
          <w:lang w:val="en-US" w:eastAsia="zh-CN" w:bidi="ar"/>
        </w:rPr>
        <w:t>承诺非联合体投标</w:t>
      </w:r>
      <w:r>
        <w:rPr>
          <w:rFonts w:hint="eastAsia" w:ascii="宋体" w:hAnsi="宋体" w:eastAsia="宋体" w:cs="宋体"/>
          <w:color w:val="auto"/>
          <w:szCs w:val="21"/>
          <w:highlight w:val="none"/>
          <w:lang w:bidi="ar"/>
        </w:rPr>
        <w:t>，特此声明。</w:t>
      </w:r>
    </w:p>
    <w:p w14:paraId="5A7EF408">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rPr>
      </w:pPr>
    </w:p>
    <w:p w14:paraId="6ED31BBE">
      <w:pPr>
        <w:pageBreakBefore w:val="0"/>
        <w:kinsoku/>
        <w:overflowPunct/>
        <w:bidi w:val="0"/>
        <w:spacing w:line="360" w:lineRule="auto"/>
        <w:ind w:firstLine="2940" w:firstLineChars="1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4375CDCF">
      <w:pPr>
        <w:pageBreakBefore w:val="0"/>
        <w:kinsoku/>
        <w:overflowPunct/>
        <w:bidi w:val="0"/>
        <w:spacing w:line="360" w:lineRule="auto"/>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其委托代理人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33AFF44D">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spacing w:val="10"/>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31DA9CA">
      <w:pPr>
        <w:pageBreakBefore w:val="0"/>
        <w:kinsoku/>
        <w:overflowPunct/>
        <w:bidi w:val="0"/>
        <w:spacing w:line="360" w:lineRule="auto"/>
        <w:rPr>
          <w:rFonts w:hint="eastAsia" w:ascii="宋体" w:hAnsi="宋体" w:eastAsia="宋体" w:cs="宋体"/>
          <w:color w:val="auto"/>
          <w:szCs w:val="21"/>
          <w:highlight w:val="none"/>
        </w:rPr>
      </w:pPr>
    </w:p>
    <w:p w14:paraId="2C07EC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39348666">
      <w:pPr>
        <w:pStyle w:val="70"/>
        <w:pageBreakBefore w:val="0"/>
        <w:kinsoku/>
        <w:overflowPunct/>
        <w:bidi w:val="0"/>
        <w:spacing w:line="360" w:lineRule="auto"/>
        <w:ind w:left="425"/>
        <w:jc w:val="center"/>
        <w:rPr>
          <w:rFonts w:hint="eastAsia" w:ascii="宋体" w:hAnsi="宋体" w:eastAsia="宋体" w:cs="宋体"/>
          <w:b/>
          <w:color w:val="auto"/>
          <w:sz w:val="28"/>
          <w:szCs w:val="28"/>
          <w:highlight w:val="none"/>
        </w:rPr>
      </w:pPr>
    </w:p>
    <w:p w14:paraId="6F429667">
      <w:pPr>
        <w:pStyle w:val="70"/>
        <w:pageBreakBefore w:val="0"/>
        <w:kinsoku/>
        <w:overflowPunct/>
        <w:bidi w:val="0"/>
        <w:spacing w:line="360" w:lineRule="auto"/>
        <w:jc w:val="both"/>
        <w:rPr>
          <w:rFonts w:hint="eastAsia" w:ascii="宋体" w:hAnsi="宋体" w:eastAsia="宋体" w:cs="宋体"/>
          <w:b/>
          <w:color w:val="auto"/>
          <w:sz w:val="28"/>
          <w:szCs w:val="28"/>
          <w:highlight w:val="none"/>
        </w:rPr>
      </w:pPr>
    </w:p>
    <w:p w14:paraId="385F4B97">
      <w:pPr>
        <w:pStyle w:val="8"/>
        <w:pageBreakBefore w:val="0"/>
        <w:kinsoku/>
        <w:overflowPunct/>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D959E4C">
      <w:pPr>
        <w:pStyle w:val="4"/>
        <w:pageBreakBefore w:val="0"/>
        <w:numPr>
          <w:ilvl w:val="0"/>
          <w:numId w:val="0"/>
        </w:numPr>
        <w:kinsoku/>
        <w:overflowPunct/>
        <w:bidi w:val="0"/>
        <w:spacing w:line="360" w:lineRule="auto"/>
        <w:rPr>
          <w:rFonts w:hint="eastAsia" w:ascii="宋体" w:hAnsi="宋体" w:eastAsia="宋体" w:cs="宋体"/>
          <w:b/>
          <w:color w:val="auto"/>
          <w:sz w:val="32"/>
          <w:szCs w:val="32"/>
          <w:highlight w:val="none"/>
          <w:lang w:eastAsia="zh-CN"/>
        </w:rPr>
      </w:pPr>
      <w:bookmarkStart w:id="732" w:name="_Toc14704"/>
      <w:bookmarkStart w:id="733" w:name="_Toc20243"/>
      <w:r>
        <w:rPr>
          <w:rFonts w:hint="eastAsia" w:ascii="宋体" w:hAnsi="宋体" w:eastAsia="宋体" w:cs="宋体"/>
          <w:b/>
          <w:color w:val="auto"/>
          <w:kern w:val="44"/>
          <w:sz w:val="32"/>
          <w:szCs w:val="32"/>
          <w:highlight w:val="none"/>
          <w:lang w:val="en-US" w:eastAsia="zh-CN" w:bidi="ar-SA"/>
        </w:rPr>
        <w:t xml:space="preserve">第八章 </w:t>
      </w:r>
      <w:r>
        <w:rPr>
          <w:rFonts w:hint="eastAsia" w:ascii="宋体" w:hAnsi="宋体" w:eastAsia="宋体" w:cs="宋体"/>
          <w:b/>
          <w:color w:val="auto"/>
          <w:sz w:val="32"/>
          <w:szCs w:val="32"/>
          <w:highlight w:val="none"/>
          <w:lang w:eastAsia="zh-CN"/>
        </w:rPr>
        <w:t>投标文件通用格式</w:t>
      </w:r>
      <w:bookmarkEnd w:id="732"/>
      <w:bookmarkEnd w:id="733"/>
    </w:p>
    <w:p w14:paraId="764BE04F">
      <w:pPr>
        <w:pStyle w:val="17"/>
        <w:pageBreakBefore w:val="0"/>
        <w:kinsoku/>
        <w:overflowPunct/>
        <w:bidi w:val="0"/>
        <w:spacing w:before="312" w:beforeLines="100" w:after="312" w:afterLines="100" w:line="360" w:lineRule="auto"/>
        <w:jc w:val="center"/>
        <w:rPr>
          <w:rFonts w:hint="eastAsia" w:ascii="宋体" w:hAnsi="宋体" w:eastAsia="宋体" w:cs="宋体"/>
          <w:b/>
          <w:color w:val="auto"/>
          <w:sz w:val="52"/>
          <w:szCs w:val="52"/>
          <w:highlight w:val="none"/>
        </w:rPr>
      </w:pPr>
    </w:p>
    <w:p w14:paraId="21FD4DD6">
      <w:pPr>
        <w:pStyle w:val="17"/>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lang w:val="en-US" w:eastAsia="zh-CN"/>
        </w:rPr>
      </w:pPr>
      <w:r>
        <w:rPr>
          <w:rFonts w:hint="eastAsia" w:ascii="宋体" w:hAnsi="宋体" w:eastAsia="宋体" w:cs="宋体"/>
          <w:b/>
          <w:color w:val="auto"/>
          <w:sz w:val="44"/>
          <w:szCs w:val="44"/>
          <w:highlight w:val="none"/>
          <w:u w:val="single"/>
        </w:rPr>
        <w:t xml:space="preserve">                    </w:t>
      </w:r>
      <w:r>
        <w:rPr>
          <w:rFonts w:hint="eastAsia" w:ascii="宋体" w:hAnsi="宋体" w:eastAsia="宋体" w:cs="宋体"/>
          <w:b/>
          <w:color w:val="auto"/>
          <w:sz w:val="44"/>
          <w:szCs w:val="44"/>
          <w:highlight w:val="none"/>
        </w:rPr>
        <w:t>项目</w:t>
      </w:r>
    </w:p>
    <w:p w14:paraId="08EC264B">
      <w:pPr>
        <w:pStyle w:val="17"/>
        <w:pageBreakBefore w:val="0"/>
        <w:kinsoku/>
        <w:overflowPunct/>
        <w:bidi w:val="0"/>
        <w:spacing w:before="312" w:beforeLines="100" w:after="312" w:afterLines="100"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投标文件</w:t>
      </w:r>
    </w:p>
    <w:p w14:paraId="6EE8BEB9">
      <w:pPr>
        <w:pStyle w:val="17"/>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jc w:val="center"/>
        <w:textAlignment w:val="auto"/>
        <w:outlineLvl w:val="9"/>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lang w:eastAsia="zh-CN"/>
        </w:rPr>
        <w:t>项目编号：</w:t>
      </w:r>
    </w:p>
    <w:p w14:paraId="4F88BACC">
      <w:pPr>
        <w:pStyle w:val="17"/>
        <w:pageBreakBefore w:val="0"/>
        <w:kinsoku/>
        <w:overflowPunct/>
        <w:bidi w:val="0"/>
        <w:spacing w:before="312" w:beforeLines="100" w:after="312" w:afterLines="100" w:line="360" w:lineRule="auto"/>
        <w:jc w:val="center"/>
        <w:rPr>
          <w:rFonts w:hint="eastAsia" w:ascii="宋体" w:hAnsi="宋体" w:eastAsia="宋体" w:cs="宋体"/>
          <w:bCs/>
          <w:color w:val="auto"/>
          <w:sz w:val="32"/>
          <w:highlight w:val="none"/>
        </w:rPr>
      </w:pPr>
      <w:r>
        <w:rPr>
          <w:rFonts w:hint="eastAsia" w:ascii="宋体" w:hAnsi="宋体" w:eastAsia="宋体" w:cs="宋体"/>
          <w:bCs/>
          <w:color w:val="auto"/>
          <w:sz w:val="32"/>
          <w:highlight w:val="none"/>
        </w:rPr>
        <w:t>（封面）</w:t>
      </w:r>
    </w:p>
    <w:p w14:paraId="5837740D">
      <w:pPr>
        <w:pStyle w:val="17"/>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p>
    <w:p w14:paraId="49020762">
      <w:pPr>
        <w:pStyle w:val="17"/>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p>
    <w:p w14:paraId="2B720581">
      <w:pPr>
        <w:pStyle w:val="17"/>
        <w:pageBreakBefore w:val="0"/>
        <w:kinsoku/>
        <w:overflowPunct/>
        <w:bidi w:val="0"/>
        <w:spacing w:before="312" w:beforeLines="100" w:after="312" w:afterLines="100" w:line="360" w:lineRule="auto"/>
        <w:rPr>
          <w:rFonts w:hint="eastAsia" w:ascii="宋体" w:hAnsi="宋体" w:eastAsia="宋体" w:cs="宋体"/>
          <w:b/>
          <w:bCs/>
          <w:color w:val="auto"/>
          <w:sz w:val="32"/>
          <w:highlight w:val="none"/>
          <w:u w:val="single"/>
        </w:rPr>
      </w:pPr>
    </w:p>
    <w:p w14:paraId="74724FFB">
      <w:pPr>
        <w:pStyle w:val="17"/>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p>
    <w:p w14:paraId="59F1F6DE">
      <w:pPr>
        <w:pStyle w:val="17"/>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2"/>
          <w:highlight w:val="none"/>
          <w:lang w:eastAsia="zh-CN"/>
        </w:rPr>
        <w:t>投</w:t>
      </w:r>
      <w:r>
        <w:rPr>
          <w:rFonts w:hint="eastAsia" w:ascii="宋体" w:hAnsi="宋体" w:eastAsia="宋体" w:cs="宋体"/>
          <w:b/>
          <w:bCs/>
          <w:color w:val="auto"/>
          <w:sz w:val="32"/>
          <w:highlight w:val="none"/>
          <w:lang w:val="en-US" w:eastAsia="zh-CN"/>
        </w:rPr>
        <w:t xml:space="preserve">   </w:t>
      </w:r>
      <w:r>
        <w:rPr>
          <w:rFonts w:hint="eastAsia" w:ascii="宋体" w:hAnsi="宋体" w:eastAsia="宋体" w:cs="宋体"/>
          <w:b/>
          <w:bCs/>
          <w:color w:val="auto"/>
          <w:sz w:val="32"/>
          <w:highlight w:val="none"/>
          <w:lang w:eastAsia="zh-CN"/>
        </w:rPr>
        <w:t>标</w:t>
      </w:r>
      <w:r>
        <w:rPr>
          <w:rFonts w:hint="eastAsia" w:ascii="宋体" w:hAnsi="宋体" w:eastAsia="宋体" w:cs="宋体"/>
          <w:b/>
          <w:bCs/>
          <w:color w:val="auto"/>
          <w:sz w:val="32"/>
          <w:highlight w:val="none"/>
          <w:lang w:val="en-US" w:eastAsia="zh-CN"/>
        </w:rPr>
        <w:t xml:space="preserve">  </w:t>
      </w:r>
      <w:r>
        <w:rPr>
          <w:rFonts w:hint="eastAsia" w:ascii="宋体" w:hAnsi="宋体" w:eastAsia="宋体" w:cs="宋体"/>
          <w:b/>
          <w:bCs/>
          <w:color w:val="auto"/>
          <w:sz w:val="32"/>
          <w:highlight w:val="none"/>
          <w:lang w:eastAsia="zh-CN"/>
        </w:rPr>
        <w:t>人</w:t>
      </w:r>
      <w:r>
        <w:rPr>
          <w:rFonts w:hint="eastAsia" w:ascii="宋体" w:hAnsi="宋体" w:eastAsia="宋体" w:cs="宋体"/>
          <w:b/>
          <w:bCs/>
          <w:color w:val="auto"/>
          <w:sz w:val="32"/>
          <w:highlight w:val="none"/>
        </w:rPr>
        <w:t>：</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rPr>
        <w:t>（</w:t>
      </w:r>
      <w:r>
        <w:rPr>
          <w:rFonts w:hint="eastAsia" w:ascii="宋体" w:hAnsi="宋体" w:eastAsia="宋体" w:cs="宋体"/>
          <w:b/>
          <w:bCs/>
          <w:color w:val="auto"/>
          <w:sz w:val="32"/>
          <w:highlight w:val="none"/>
          <w:lang w:eastAsia="zh-CN"/>
        </w:rPr>
        <w:t>盖章</w:t>
      </w:r>
      <w:r>
        <w:rPr>
          <w:rFonts w:hint="eastAsia" w:ascii="宋体" w:hAnsi="宋体" w:eastAsia="宋体" w:cs="宋体"/>
          <w:b/>
          <w:bCs/>
          <w:color w:val="auto"/>
          <w:sz w:val="32"/>
          <w:highlight w:val="none"/>
        </w:rPr>
        <w:t>）</w:t>
      </w:r>
    </w:p>
    <w:p w14:paraId="570383C8">
      <w:pPr>
        <w:pStyle w:val="17"/>
        <w:pageBreakBefore w:val="0"/>
        <w:kinsoku/>
        <w:overflowPunct/>
        <w:bidi w:val="0"/>
        <w:spacing w:before="312" w:beforeLines="100" w:after="312" w:afterLines="100" w:line="360" w:lineRule="auto"/>
        <w:ind w:firstLine="596" w:firstLineChars="198"/>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法定代表人或其委托代理人：</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（签字或盖章）</w:t>
      </w:r>
    </w:p>
    <w:p w14:paraId="5E85FF20">
      <w:pPr>
        <w:pStyle w:val="14"/>
        <w:pageBreakBefore w:val="0"/>
        <w:kinsoku/>
        <w:overflowPunct/>
        <w:bidi w:val="0"/>
        <w:spacing w:line="360" w:lineRule="auto"/>
        <w:ind w:left="0" w:leftChars="0" w:firstLine="2129" w:firstLineChars="707"/>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日      期：       年    月    日</w:t>
      </w:r>
    </w:p>
    <w:p w14:paraId="7F96F4D4">
      <w:pPr>
        <w:pageBreakBefore w:val="0"/>
        <w:kinsoku/>
        <w:overflowPunct/>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DE506F8">
      <w:pPr>
        <w:pageBreakBefore w:val="0"/>
        <w:kinsoku/>
        <w:overflowPunct/>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投标文件目录</w:t>
      </w:r>
    </w:p>
    <w:p w14:paraId="083DA11B">
      <w:pPr>
        <w:pageBreakBefore w:val="0"/>
        <w:kinsoku/>
        <w:overflowPunct/>
        <w:bidi w:val="0"/>
        <w:spacing w:line="360" w:lineRule="auto"/>
        <w:jc w:val="center"/>
        <w:rPr>
          <w:rFonts w:hint="eastAsia" w:ascii="宋体" w:hAnsi="宋体" w:eastAsia="宋体" w:cs="宋体"/>
          <w:b/>
          <w:color w:val="auto"/>
          <w:sz w:val="24"/>
          <w:highlight w:val="none"/>
        </w:rPr>
      </w:pPr>
    </w:p>
    <w:p w14:paraId="447A0005">
      <w:pPr>
        <w:pageBreakBefore w:val="0"/>
        <w:numPr>
          <w:ilvl w:val="0"/>
          <w:numId w:val="32"/>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身份证明（</w:t>
      </w:r>
      <w:r>
        <w:rPr>
          <w:rFonts w:hint="eastAsia" w:ascii="宋体" w:hAnsi="宋体" w:eastAsia="宋体" w:cs="宋体"/>
          <w:color w:val="auto"/>
          <w:kern w:val="0"/>
          <w:szCs w:val="21"/>
          <w:highlight w:val="none"/>
        </w:rPr>
        <w:t>适</w:t>
      </w:r>
      <w:r>
        <w:rPr>
          <w:rFonts w:hint="eastAsia" w:ascii="宋体" w:hAnsi="宋体" w:eastAsia="宋体" w:cs="宋体"/>
          <w:color w:val="auto"/>
          <w:spacing w:val="-2"/>
          <w:kern w:val="0"/>
          <w:szCs w:val="21"/>
          <w:highlight w:val="none"/>
        </w:rPr>
        <w:t>用</w:t>
      </w:r>
      <w:r>
        <w:rPr>
          <w:rFonts w:hint="eastAsia" w:ascii="宋体" w:hAnsi="宋体" w:eastAsia="宋体" w:cs="宋体"/>
          <w:color w:val="auto"/>
          <w:kern w:val="0"/>
          <w:szCs w:val="21"/>
          <w:highlight w:val="none"/>
        </w:rPr>
        <w:t>于</w:t>
      </w:r>
      <w:r>
        <w:rPr>
          <w:rFonts w:hint="eastAsia" w:ascii="宋体" w:hAnsi="宋体" w:eastAsia="宋体" w:cs="宋体"/>
          <w:color w:val="auto"/>
          <w:spacing w:val="-2"/>
          <w:kern w:val="0"/>
          <w:szCs w:val="21"/>
          <w:highlight w:val="none"/>
        </w:rPr>
        <w:t>无</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托</w:t>
      </w:r>
      <w:r>
        <w:rPr>
          <w:rFonts w:hint="eastAsia" w:ascii="宋体" w:hAnsi="宋体" w:eastAsia="宋体" w:cs="宋体"/>
          <w:color w:val="auto"/>
          <w:kern w:val="0"/>
          <w:szCs w:val="21"/>
          <w:highlight w:val="none"/>
        </w:rPr>
        <w:t>代</w:t>
      </w:r>
      <w:r>
        <w:rPr>
          <w:rFonts w:hint="eastAsia" w:ascii="宋体" w:hAnsi="宋体" w:eastAsia="宋体" w:cs="宋体"/>
          <w:color w:val="auto"/>
          <w:spacing w:val="-2"/>
          <w:kern w:val="0"/>
          <w:szCs w:val="21"/>
          <w:highlight w:val="none"/>
        </w:rPr>
        <w:t>理</w:t>
      </w:r>
      <w:r>
        <w:rPr>
          <w:rFonts w:hint="eastAsia" w:ascii="宋体" w:hAnsi="宋体" w:eastAsia="宋体" w:cs="宋体"/>
          <w:color w:val="auto"/>
          <w:kern w:val="0"/>
          <w:szCs w:val="21"/>
          <w:highlight w:val="none"/>
        </w:rPr>
        <w:t>人</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情况</w:t>
      </w:r>
      <w:r>
        <w:rPr>
          <w:rFonts w:hint="eastAsia" w:ascii="宋体" w:hAnsi="宋体" w:eastAsia="宋体" w:cs="宋体"/>
          <w:color w:val="auto"/>
          <w:szCs w:val="21"/>
          <w:highlight w:val="none"/>
          <w:lang w:eastAsia="zh-CN"/>
        </w:rPr>
        <w:t>）</w:t>
      </w:r>
    </w:p>
    <w:p w14:paraId="56110F51">
      <w:pPr>
        <w:pageBreakBefore w:val="0"/>
        <w:numPr>
          <w:ilvl w:val="0"/>
          <w:numId w:val="33"/>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w:t>
      </w:r>
      <w:r>
        <w:rPr>
          <w:rFonts w:hint="eastAsia" w:ascii="宋体" w:hAnsi="宋体" w:eastAsia="宋体" w:cs="宋体"/>
          <w:color w:val="auto"/>
          <w:szCs w:val="21"/>
          <w:highlight w:val="none"/>
          <w:lang w:eastAsia="zh-CN"/>
        </w:rPr>
        <w:t>委托</w:t>
      </w:r>
      <w:r>
        <w:rPr>
          <w:rFonts w:hint="eastAsia" w:ascii="宋体" w:hAnsi="宋体" w:eastAsia="宋体" w:cs="宋体"/>
          <w:color w:val="auto"/>
          <w:szCs w:val="21"/>
          <w:highlight w:val="none"/>
        </w:rPr>
        <w:t>书</w:t>
      </w:r>
      <w:r>
        <w:rPr>
          <w:rFonts w:hint="eastAsia" w:ascii="宋体" w:hAnsi="宋体" w:eastAsia="宋体" w:cs="宋体"/>
          <w:color w:val="auto"/>
          <w:szCs w:val="21"/>
          <w:highlight w:val="none"/>
          <w:lang w:eastAsia="zh-CN"/>
        </w:rPr>
        <w:t>（</w:t>
      </w:r>
      <w:r>
        <w:rPr>
          <w:rFonts w:hint="eastAsia" w:ascii="宋体" w:hAnsi="宋体" w:eastAsia="宋体" w:cs="宋体"/>
          <w:color w:val="auto"/>
          <w:spacing w:val="-2"/>
          <w:kern w:val="0"/>
          <w:szCs w:val="21"/>
          <w:highlight w:val="none"/>
        </w:rPr>
        <w:t>适</w:t>
      </w:r>
      <w:r>
        <w:rPr>
          <w:rFonts w:hint="eastAsia" w:ascii="宋体" w:hAnsi="宋体" w:eastAsia="宋体" w:cs="宋体"/>
          <w:color w:val="auto"/>
          <w:kern w:val="0"/>
          <w:szCs w:val="21"/>
          <w:highlight w:val="none"/>
        </w:rPr>
        <w:t>用</w:t>
      </w:r>
      <w:r>
        <w:rPr>
          <w:rFonts w:hint="eastAsia" w:ascii="宋体" w:hAnsi="宋体" w:eastAsia="宋体" w:cs="宋体"/>
          <w:color w:val="auto"/>
          <w:spacing w:val="-2"/>
          <w:kern w:val="0"/>
          <w:szCs w:val="21"/>
          <w:highlight w:val="none"/>
        </w:rPr>
        <w:t>于</w:t>
      </w:r>
      <w:r>
        <w:rPr>
          <w:rFonts w:hint="eastAsia" w:ascii="宋体" w:hAnsi="宋体" w:eastAsia="宋体" w:cs="宋体"/>
          <w:color w:val="auto"/>
          <w:kern w:val="0"/>
          <w:szCs w:val="21"/>
          <w:highlight w:val="none"/>
        </w:rPr>
        <w:t>有委</w:t>
      </w:r>
      <w:r>
        <w:rPr>
          <w:rFonts w:hint="eastAsia" w:ascii="宋体" w:hAnsi="宋体" w:eastAsia="宋体" w:cs="宋体"/>
          <w:color w:val="auto"/>
          <w:spacing w:val="-2"/>
          <w:kern w:val="0"/>
          <w:szCs w:val="21"/>
          <w:highlight w:val="none"/>
        </w:rPr>
        <w:t>托</w:t>
      </w:r>
      <w:r>
        <w:rPr>
          <w:rFonts w:hint="eastAsia" w:ascii="宋体" w:hAnsi="宋体" w:eastAsia="宋体" w:cs="宋体"/>
          <w:color w:val="auto"/>
          <w:kern w:val="0"/>
          <w:szCs w:val="21"/>
          <w:highlight w:val="none"/>
        </w:rPr>
        <w:t>代</w:t>
      </w:r>
      <w:r>
        <w:rPr>
          <w:rFonts w:hint="eastAsia" w:ascii="宋体" w:hAnsi="宋体" w:eastAsia="宋体" w:cs="宋体"/>
          <w:color w:val="auto"/>
          <w:spacing w:val="-2"/>
          <w:kern w:val="0"/>
          <w:szCs w:val="21"/>
          <w:highlight w:val="none"/>
        </w:rPr>
        <w:t>理</w:t>
      </w:r>
      <w:r>
        <w:rPr>
          <w:rFonts w:hint="eastAsia" w:ascii="宋体" w:hAnsi="宋体" w:eastAsia="宋体" w:cs="宋体"/>
          <w:color w:val="auto"/>
          <w:kern w:val="0"/>
          <w:szCs w:val="21"/>
          <w:highlight w:val="none"/>
        </w:rPr>
        <w:t>人</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情</w:t>
      </w:r>
      <w:r>
        <w:rPr>
          <w:rFonts w:hint="eastAsia" w:ascii="宋体" w:hAnsi="宋体" w:eastAsia="宋体" w:cs="宋体"/>
          <w:color w:val="auto"/>
          <w:spacing w:val="-2"/>
          <w:kern w:val="0"/>
          <w:szCs w:val="21"/>
          <w:highlight w:val="none"/>
        </w:rPr>
        <w:t>况</w:t>
      </w:r>
      <w:r>
        <w:rPr>
          <w:rFonts w:hint="eastAsia" w:ascii="宋体" w:hAnsi="宋体" w:eastAsia="宋体" w:cs="宋体"/>
          <w:color w:val="auto"/>
          <w:szCs w:val="21"/>
          <w:highlight w:val="none"/>
          <w:lang w:eastAsia="zh-CN"/>
        </w:rPr>
        <w:t>）</w:t>
      </w:r>
    </w:p>
    <w:p w14:paraId="3C87BAB4">
      <w:pPr>
        <w:pageBreakBefore w:val="0"/>
        <w:numPr>
          <w:ilvl w:val="0"/>
          <w:numId w:val="32"/>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投标书</w:t>
      </w:r>
    </w:p>
    <w:p w14:paraId="4FE16BD3">
      <w:pPr>
        <w:pageBreakBefore w:val="0"/>
        <w:numPr>
          <w:ilvl w:val="0"/>
          <w:numId w:val="34"/>
        </w:numPr>
        <w:tabs>
          <w:tab w:val="clear" w:pos="0"/>
        </w:tabs>
        <w:kinsoku/>
        <w:overflowPunct/>
        <w:bidi w:val="0"/>
        <w:spacing w:line="360" w:lineRule="auto"/>
        <w:ind w:left="420" w:leftChars="0" w:hanging="420" w:firstLineChars="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投标承诺函</w:t>
      </w:r>
    </w:p>
    <w:p w14:paraId="77C90F6D">
      <w:pPr>
        <w:pageBreakBefore w:val="0"/>
        <w:numPr>
          <w:ilvl w:val="0"/>
          <w:numId w:val="34"/>
        </w:numPr>
        <w:kinsoku/>
        <w:overflowPunct/>
        <w:bidi w:val="0"/>
        <w:spacing w:line="360" w:lineRule="auto"/>
        <w:ind w:left="420" w:leftChars="0" w:hanging="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投标报价表格</w:t>
      </w:r>
    </w:p>
    <w:p w14:paraId="7EEE417F">
      <w:pPr>
        <w:pageBreakBefore w:val="0"/>
        <w:numPr>
          <w:ilvl w:val="0"/>
          <w:numId w:val="34"/>
        </w:numPr>
        <w:kinsoku/>
        <w:overflowPunct/>
        <w:bidi w:val="0"/>
        <w:spacing w:line="360" w:lineRule="auto"/>
        <w:ind w:left="420" w:leftChars="0" w:hanging="42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商务技术偏差表</w:t>
      </w:r>
    </w:p>
    <w:p w14:paraId="408CA94A">
      <w:pPr>
        <w:pageBreakBefore w:val="0"/>
        <w:numPr>
          <w:ilvl w:val="0"/>
          <w:numId w:val="34"/>
        </w:numPr>
        <w:kinsoku/>
        <w:overflowPunct/>
        <w:bidi w:val="0"/>
        <w:spacing w:line="360" w:lineRule="auto"/>
        <w:ind w:left="420" w:leftChars="0" w:hanging="42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技术部分</w:t>
      </w:r>
    </w:p>
    <w:p w14:paraId="74B0FE6E">
      <w:pPr>
        <w:pageBreakBefore w:val="0"/>
        <w:numPr>
          <w:ilvl w:val="0"/>
          <w:numId w:val="34"/>
        </w:numPr>
        <w:tabs>
          <w:tab w:val="clear" w:pos="0"/>
        </w:tabs>
        <w:kinsoku/>
        <w:overflowPunct/>
        <w:bidi w:val="0"/>
        <w:spacing w:line="360" w:lineRule="auto"/>
        <w:ind w:left="420" w:leftChars="0" w:hanging="42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反商业贿赂承诺书</w:t>
      </w:r>
    </w:p>
    <w:p w14:paraId="3680D52E">
      <w:pPr>
        <w:pageBreakBefore w:val="0"/>
        <w:numPr>
          <w:ilvl w:val="0"/>
          <w:numId w:val="34"/>
        </w:numPr>
        <w:tabs>
          <w:tab w:val="clear" w:pos="0"/>
        </w:tabs>
        <w:kinsoku/>
        <w:overflowPunct/>
        <w:bidi w:val="0"/>
        <w:spacing w:line="360" w:lineRule="auto"/>
        <w:ind w:left="420" w:leftChars="0" w:hanging="42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售后服务方案及其他</w:t>
      </w:r>
    </w:p>
    <w:p w14:paraId="0C437E2B">
      <w:pPr>
        <w:pageBreakBefore w:val="0"/>
        <w:numPr>
          <w:ilvl w:val="0"/>
          <w:numId w:val="34"/>
        </w:numPr>
        <w:tabs>
          <w:tab w:val="clear" w:pos="0"/>
        </w:tabs>
        <w:kinsoku/>
        <w:overflowPunct/>
        <w:bidi w:val="0"/>
        <w:spacing w:line="360" w:lineRule="auto"/>
        <w:ind w:left="420" w:leftChars="0" w:hanging="42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中小企业声明函（如有）</w:t>
      </w:r>
    </w:p>
    <w:p w14:paraId="3B1BB856">
      <w:pPr>
        <w:pageBreakBefore w:val="0"/>
        <w:numPr>
          <w:ilvl w:val="0"/>
          <w:numId w:val="34"/>
        </w:numPr>
        <w:tabs>
          <w:tab w:val="clear" w:pos="0"/>
        </w:tabs>
        <w:kinsoku/>
        <w:overflowPunct/>
        <w:bidi w:val="0"/>
        <w:spacing w:line="360" w:lineRule="auto"/>
        <w:ind w:left="420" w:leftChars="0" w:hanging="42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关于符合本国产品标准的声明函（如有）或财政部会同有关部门规定的有关证明文件（如有）</w:t>
      </w:r>
    </w:p>
    <w:p w14:paraId="5A2B14C6">
      <w:pPr>
        <w:pageBreakBefore w:val="0"/>
        <w:numPr>
          <w:ilvl w:val="0"/>
          <w:numId w:val="34"/>
        </w:numPr>
        <w:tabs>
          <w:tab w:val="clear" w:pos="0"/>
        </w:tabs>
        <w:kinsoku/>
        <w:overflowPunct/>
        <w:bidi w:val="0"/>
        <w:spacing w:line="360" w:lineRule="auto"/>
        <w:ind w:left="420" w:leftChars="0" w:hanging="42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残疾人福利性单位声明函（如有）</w:t>
      </w:r>
    </w:p>
    <w:p w14:paraId="5E78499F">
      <w:pPr>
        <w:pageBreakBefore w:val="0"/>
        <w:numPr>
          <w:ilvl w:val="0"/>
          <w:numId w:val="34"/>
        </w:numPr>
        <w:tabs>
          <w:tab w:val="clear" w:pos="0"/>
        </w:tabs>
        <w:kinsoku/>
        <w:overflowPunct/>
        <w:bidi w:val="0"/>
        <w:spacing w:line="360" w:lineRule="auto"/>
        <w:ind w:left="420" w:leftChars="0" w:hanging="42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监狱企业证明材料（如有）</w:t>
      </w:r>
    </w:p>
    <w:p w14:paraId="41A90CA1">
      <w:pPr>
        <w:pageBreakBefore w:val="0"/>
        <w:numPr>
          <w:ilvl w:val="0"/>
          <w:numId w:val="34"/>
        </w:numPr>
        <w:tabs>
          <w:tab w:val="clear" w:pos="0"/>
        </w:tabs>
        <w:kinsoku/>
        <w:overflowPunct/>
        <w:bidi w:val="0"/>
        <w:spacing w:line="360" w:lineRule="auto"/>
        <w:ind w:left="420" w:leftChars="0" w:hanging="42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节能产品、环境标志产品明细表（如有）</w:t>
      </w:r>
    </w:p>
    <w:p w14:paraId="715EF56A">
      <w:pPr>
        <w:pageBreakBefore w:val="0"/>
        <w:numPr>
          <w:ilvl w:val="0"/>
          <w:numId w:val="34"/>
        </w:numPr>
        <w:tabs>
          <w:tab w:val="clear" w:pos="0"/>
        </w:tabs>
        <w:kinsoku/>
        <w:overflowPunct/>
        <w:bidi w:val="0"/>
        <w:spacing w:line="360" w:lineRule="auto"/>
        <w:ind w:left="420" w:leftChars="0" w:hanging="42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其他资料</w:t>
      </w:r>
    </w:p>
    <w:p w14:paraId="40871B36">
      <w:pPr>
        <w:pStyle w:val="5"/>
        <w:pageBreakBefore w:val="0"/>
        <w:numPr>
          <w:ilvl w:val="0"/>
          <w:numId w:val="0"/>
        </w:numPr>
        <w:kinsoku/>
        <w:overflowPunct/>
        <w:bidi w:val="0"/>
        <w:spacing w:line="360" w:lineRule="auto"/>
        <w:ind w:leftChars="0"/>
        <w:jc w:val="center"/>
        <w:rPr>
          <w:rFonts w:hint="eastAsia" w:ascii="宋体" w:hAnsi="宋体" w:eastAsia="宋体" w:cs="宋体"/>
          <w:color w:val="auto"/>
          <w:highlight w:val="none"/>
        </w:rPr>
      </w:pPr>
      <w:r>
        <w:rPr>
          <w:rFonts w:hint="eastAsia" w:ascii="宋体" w:hAnsi="宋体" w:eastAsia="宋体" w:cs="宋体"/>
          <w:color w:val="auto"/>
          <w:sz w:val="36"/>
          <w:highlight w:val="none"/>
        </w:rPr>
        <w:br w:type="page"/>
      </w:r>
      <w:bookmarkStart w:id="734" w:name="_Toc25945"/>
      <w:bookmarkStart w:id="735" w:name="_Toc26039"/>
      <w:bookmarkStart w:id="736" w:name="_Toc2504"/>
      <w:bookmarkStart w:id="737" w:name="_Toc17941"/>
      <w:bookmarkStart w:id="738" w:name="_Toc17342"/>
      <w:bookmarkStart w:id="739" w:name="_Toc312133589"/>
      <w:r>
        <w:rPr>
          <w:rFonts w:hint="eastAsia" w:ascii="宋体" w:hAnsi="宋体" w:eastAsia="宋体" w:cs="宋体"/>
          <w:color w:val="auto"/>
          <w:sz w:val="24"/>
          <w:szCs w:val="24"/>
          <w:highlight w:val="none"/>
          <w:lang w:eastAsia="zh-CN"/>
        </w:rPr>
        <w:t>一、</w:t>
      </w:r>
      <w:r>
        <w:rPr>
          <w:rFonts w:hint="eastAsia" w:ascii="宋体" w:hAnsi="宋体" w:eastAsia="宋体" w:cs="宋体"/>
          <w:b/>
          <w:color w:val="auto"/>
          <w:sz w:val="24"/>
          <w:szCs w:val="24"/>
          <w:highlight w:val="none"/>
        </w:rPr>
        <w:t>法定代表人身份证明</w:t>
      </w:r>
      <w:bookmarkEnd w:id="734"/>
      <w:bookmarkEnd w:id="735"/>
      <w:bookmarkEnd w:id="736"/>
      <w:bookmarkEnd w:id="737"/>
      <w:bookmarkEnd w:id="738"/>
    </w:p>
    <w:p w14:paraId="6B5DB4BA">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投标人名称：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0E63B4BE">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年龄：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职务：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0FC22B0E">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（投标人名称）的法定代表人。</w:t>
      </w:r>
    </w:p>
    <w:p w14:paraId="30389C3E">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49F042CF">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附：法定代表人身份证</w:t>
      </w:r>
      <w:r>
        <w:rPr>
          <w:rFonts w:hint="eastAsia" w:ascii="宋体" w:hAnsi="宋体" w:eastAsia="宋体" w:cs="宋体"/>
          <w:color w:val="auto"/>
          <w:kern w:val="0"/>
          <w:sz w:val="21"/>
          <w:szCs w:val="21"/>
          <w:highlight w:val="none"/>
          <w:lang w:eastAsia="zh-CN"/>
        </w:rPr>
        <w:t>复印件或扫描件</w:t>
      </w:r>
      <w:r>
        <w:rPr>
          <w:rFonts w:hint="eastAsia" w:ascii="宋体" w:hAnsi="宋体" w:eastAsia="宋体" w:cs="宋体"/>
          <w:color w:val="auto"/>
          <w:kern w:val="0"/>
          <w:sz w:val="21"/>
          <w:szCs w:val="21"/>
          <w:highlight w:val="none"/>
        </w:rPr>
        <w:t>。</w:t>
      </w:r>
    </w:p>
    <w:p w14:paraId="490FABD3">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注：本身份证明需由投标人加盖单位公章。</w:t>
      </w:r>
    </w:p>
    <w:p w14:paraId="1FD4DBA5">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rPr>
      </w:pPr>
    </w:p>
    <w:p w14:paraId="3C7E2DD8">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rPr>
      </w:pPr>
    </w:p>
    <w:p w14:paraId="505220D1">
      <w:pPr>
        <w:pageBreakBefore w:val="0"/>
        <w:kinsoku/>
        <w:overflowPunct/>
        <w:bidi w:val="0"/>
        <w:spacing w:line="360" w:lineRule="auto"/>
        <w:ind w:firstLine="3150" w:firstLineChars="15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359F5669">
      <w:pPr>
        <w:pageBreakBefore w:val="0"/>
        <w:tabs>
          <w:tab w:val="left" w:pos="5380"/>
          <w:tab w:val="left" w:pos="6520"/>
          <w:tab w:val="left" w:pos="7680"/>
        </w:tabs>
        <w:kinsoku/>
        <w:overflowPunct/>
        <w:autoSpaceDE w:val="0"/>
        <w:autoSpaceDN w:val="0"/>
        <w:bidi w:val="0"/>
        <w:adjustRightInd w:val="0"/>
        <w:spacing w:line="360" w:lineRule="auto"/>
        <w:ind w:right="-20" w:firstLine="4410" w:firstLineChars="2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7C3611A6">
      <w:pPr>
        <w:pStyle w:val="68"/>
        <w:pageBreakBefore w:val="0"/>
        <w:kinsoku/>
        <w:overflowPunct/>
        <w:bidi w:val="0"/>
        <w:spacing w:line="360" w:lineRule="auto"/>
        <w:rPr>
          <w:rFonts w:hint="eastAsia" w:ascii="宋体" w:hAnsi="宋体" w:eastAsia="宋体" w:cs="宋体"/>
          <w:color w:val="auto"/>
          <w:highlight w:val="none"/>
        </w:rPr>
      </w:pPr>
    </w:p>
    <w:p w14:paraId="609CA037">
      <w:pPr>
        <w:pageBreakBefore w:val="0"/>
        <w:kinsoku/>
        <w:overflowPunct/>
        <w:bidi w:val="0"/>
        <w:spacing w:line="360" w:lineRule="auto"/>
        <w:rPr>
          <w:rFonts w:hint="eastAsia" w:ascii="宋体" w:hAnsi="宋体" w:eastAsia="宋体" w:cs="宋体"/>
          <w:color w:val="auto"/>
          <w:highlight w:val="none"/>
        </w:rPr>
      </w:pPr>
    </w:p>
    <w:p w14:paraId="0F5C4382">
      <w:pPr>
        <w:pStyle w:val="5"/>
        <w:pageBreakBefore w:val="0"/>
        <w:numPr>
          <w:ilvl w:val="0"/>
          <w:numId w:val="35"/>
        </w:numPr>
        <w:kinsoku/>
        <w:overflowPunct/>
        <w:bidi w:val="0"/>
        <w:spacing w:line="360" w:lineRule="auto"/>
        <w:jc w:val="center"/>
        <w:rPr>
          <w:rFonts w:hint="eastAsia" w:ascii="宋体" w:hAnsi="宋体" w:eastAsia="宋体" w:cs="宋体"/>
          <w:color w:val="auto"/>
          <w:kern w:val="0"/>
          <w:sz w:val="20"/>
          <w:szCs w:val="20"/>
          <w:highlight w:val="none"/>
        </w:rPr>
      </w:pPr>
      <w:bookmarkStart w:id="740" w:name="_Toc12134"/>
      <w:bookmarkStart w:id="741" w:name="_Toc16759"/>
      <w:r>
        <w:rPr>
          <w:rFonts w:hint="eastAsia" w:ascii="宋体" w:hAnsi="宋体" w:eastAsia="宋体" w:cs="宋体"/>
          <w:color w:val="auto"/>
          <w:sz w:val="24"/>
          <w:szCs w:val="24"/>
          <w:highlight w:val="none"/>
        </w:rPr>
        <w:br w:type="page"/>
      </w:r>
      <w:bookmarkStart w:id="742" w:name="_Toc26791"/>
      <w:r>
        <w:rPr>
          <w:rFonts w:hint="eastAsia" w:ascii="宋体" w:hAnsi="宋体" w:eastAsia="宋体" w:cs="宋体"/>
          <w:color w:val="auto"/>
          <w:sz w:val="24"/>
          <w:szCs w:val="24"/>
          <w:highlight w:val="none"/>
        </w:rPr>
        <w:t>法定代表人授权</w:t>
      </w:r>
      <w:r>
        <w:rPr>
          <w:rFonts w:hint="eastAsia" w:ascii="宋体" w:hAnsi="宋体" w:eastAsia="宋体" w:cs="宋体"/>
          <w:color w:val="auto"/>
          <w:sz w:val="24"/>
          <w:szCs w:val="24"/>
          <w:highlight w:val="none"/>
          <w:lang w:eastAsia="zh-CN"/>
        </w:rPr>
        <w:t>委托</w:t>
      </w:r>
      <w:r>
        <w:rPr>
          <w:rFonts w:hint="eastAsia" w:ascii="宋体" w:hAnsi="宋体" w:eastAsia="宋体" w:cs="宋体"/>
          <w:color w:val="auto"/>
          <w:sz w:val="24"/>
          <w:szCs w:val="24"/>
          <w:highlight w:val="none"/>
        </w:rPr>
        <w:t>书</w:t>
      </w:r>
      <w:bookmarkEnd w:id="739"/>
      <w:bookmarkEnd w:id="740"/>
      <w:bookmarkEnd w:id="741"/>
      <w:bookmarkEnd w:id="742"/>
    </w:p>
    <w:p w14:paraId="7F69BF31">
      <w:pPr>
        <w:keepNext w:val="0"/>
        <w:keepLines w:val="0"/>
        <w:pageBreakBefore w:val="0"/>
        <w:widowControl w:val="0"/>
        <w:tabs>
          <w:tab w:val="left" w:pos="3880"/>
        </w:tabs>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lang w:eastAsia="zh-CN"/>
        </w:rPr>
        <w:t>、职务</w:t>
      </w:r>
      <w:r>
        <w:rPr>
          <w:rFonts w:hint="eastAsia" w:ascii="宋体" w:hAnsi="宋体" w:eastAsia="宋体" w:cs="宋体"/>
          <w:color w:val="auto"/>
          <w:szCs w:val="21"/>
          <w:highlight w:val="none"/>
        </w:rPr>
        <w:t>）为我方代理人。</w:t>
      </w:r>
      <w:r>
        <w:rPr>
          <w:rFonts w:hint="eastAsia" w:ascii="宋体" w:hAnsi="宋体" w:eastAsia="宋体" w:cs="宋体"/>
          <w:color w:val="auto"/>
          <w:kern w:val="0"/>
          <w:position w:val="-2"/>
          <w:szCs w:val="21"/>
          <w:highlight w:val="none"/>
        </w:rPr>
        <w:t>代理</w:t>
      </w:r>
      <w:r>
        <w:rPr>
          <w:rFonts w:hint="eastAsia" w:ascii="宋体" w:hAnsi="宋体" w:eastAsia="宋体" w:cs="宋体"/>
          <w:color w:val="auto"/>
          <w:spacing w:val="-2"/>
          <w:kern w:val="0"/>
          <w:position w:val="-2"/>
          <w:szCs w:val="21"/>
          <w:highlight w:val="none"/>
        </w:rPr>
        <w:t>人</w:t>
      </w:r>
      <w:r>
        <w:rPr>
          <w:rFonts w:hint="eastAsia" w:ascii="宋体" w:hAnsi="宋体" w:eastAsia="宋体" w:cs="宋体"/>
          <w:color w:val="auto"/>
          <w:kern w:val="0"/>
          <w:position w:val="-2"/>
          <w:szCs w:val="21"/>
          <w:highlight w:val="none"/>
        </w:rPr>
        <w:t>根据授权，</w:t>
      </w:r>
      <w:r>
        <w:rPr>
          <w:rFonts w:hint="eastAsia" w:ascii="宋体" w:hAnsi="宋体" w:eastAsia="宋体" w:cs="宋体"/>
          <w:color w:val="auto"/>
          <w:spacing w:val="-2"/>
          <w:kern w:val="0"/>
          <w:position w:val="-2"/>
          <w:szCs w:val="21"/>
          <w:highlight w:val="none"/>
        </w:rPr>
        <w:t>以</w:t>
      </w:r>
      <w:r>
        <w:rPr>
          <w:rFonts w:hint="eastAsia" w:ascii="宋体" w:hAnsi="宋体" w:eastAsia="宋体" w:cs="宋体"/>
          <w:color w:val="auto"/>
          <w:kern w:val="0"/>
          <w:position w:val="-2"/>
          <w:szCs w:val="21"/>
          <w:highlight w:val="none"/>
        </w:rPr>
        <w:t>我方名</w:t>
      </w:r>
      <w:r>
        <w:rPr>
          <w:rFonts w:hint="eastAsia" w:ascii="宋体" w:hAnsi="宋体" w:eastAsia="宋体" w:cs="宋体"/>
          <w:color w:val="auto"/>
          <w:szCs w:val="21"/>
          <w:highlight w:val="none"/>
        </w:rPr>
        <w:t>义签署、澄清确认、递交、撤回、修改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Cs w:val="21"/>
          <w:highlight w:val="none"/>
        </w:rPr>
        <w:t>投标文件、签订合同和处理有关事宜，其法律后果由我方承担。</w:t>
      </w:r>
    </w:p>
    <w:p w14:paraId="39D11538">
      <w:pPr>
        <w:pageBreakBefore w:val="0"/>
        <w:kinsoku/>
        <w:overflowPunct/>
        <w:bidi w:val="0"/>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eastAsia="zh-CN"/>
        </w:rPr>
        <w:t>委托期限：</w:t>
      </w:r>
      <w:r>
        <w:rPr>
          <w:rFonts w:hint="eastAsia" w:ascii="宋体" w:hAnsi="宋体" w:eastAsia="宋体" w:cs="宋体"/>
          <w:b/>
          <w:bCs/>
          <w:color w:val="auto"/>
          <w:szCs w:val="21"/>
          <w:highlight w:val="none"/>
          <w:u w:val="single"/>
          <w:lang w:val="en-US" w:eastAsia="zh-CN"/>
        </w:rPr>
        <w:t>同</w:t>
      </w:r>
      <w:r>
        <w:rPr>
          <w:rFonts w:hint="eastAsia" w:ascii="宋体" w:hAnsi="宋体" w:eastAsia="宋体" w:cs="宋体"/>
          <w:b/>
          <w:bCs/>
          <w:color w:val="auto"/>
          <w:highlight w:val="none"/>
          <w:u w:val="single"/>
          <w:lang w:eastAsia="zh-CN"/>
        </w:rPr>
        <w:t>投标有效期</w:t>
      </w:r>
      <w:r>
        <w:rPr>
          <w:rFonts w:hint="eastAsia" w:ascii="宋体" w:hAnsi="宋体" w:eastAsia="宋体" w:cs="宋体"/>
          <w:b w:val="0"/>
          <w:bCs w:val="0"/>
          <w:color w:val="auto"/>
          <w:highlight w:val="none"/>
          <w:u w:val="none"/>
          <w:lang w:eastAsia="zh-CN"/>
        </w:rPr>
        <w:t>。</w:t>
      </w:r>
    </w:p>
    <w:p w14:paraId="5DCCFAB7">
      <w:pPr>
        <w:pageBreakBefore w:val="0"/>
        <w:kinsoku/>
        <w:overflowPunct/>
        <w:bidi w:val="0"/>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代理人无转委托权。</w:t>
      </w:r>
    </w:p>
    <w:p w14:paraId="46319D4B">
      <w:pPr>
        <w:pageBreakBefore w:val="0"/>
        <w:kinsoku/>
        <w:overflowPunct/>
        <w:bidi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w:t>
      </w:r>
      <w:r>
        <w:rPr>
          <w:rFonts w:hint="eastAsia" w:ascii="宋体" w:hAnsi="宋体" w:eastAsia="宋体" w:cs="宋体"/>
          <w:color w:val="auto"/>
          <w:spacing w:val="-2"/>
          <w:kern w:val="0"/>
          <w:szCs w:val="21"/>
          <w:highlight w:val="none"/>
        </w:rPr>
        <w:t>法</w:t>
      </w:r>
      <w:r>
        <w:rPr>
          <w:rFonts w:hint="eastAsia" w:ascii="宋体" w:hAnsi="宋体" w:eastAsia="宋体" w:cs="宋体"/>
          <w:color w:val="auto"/>
          <w:kern w:val="0"/>
          <w:szCs w:val="21"/>
          <w:highlight w:val="none"/>
        </w:rPr>
        <w:t>定</w:t>
      </w:r>
      <w:r>
        <w:rPr>
          <w:rFonts w:hint="eastAsia" w:ascii="宋体" w:hAnsi="宋体" w:eastAsia="宋体" w:cs="宋体"/>
          <w:color w:val="auto"/>
          <w:spacing w:val="-2"/>
          <w:kern w:val="0"/>
          <w:szCs w:val="21"/>
          <w:highlight w:val="none"/>
        </w:rPr>
        <w:t>代</w:t>
      </w:r>
      <w:r>
        <w:rPr>
          <w:rFonts w:hint="eastAsia" w:ascii="宋体" w:hAnsi="宋体" w:eastAsia="宋体" w:cs="宋体"/>
          <w:color w:val="auto"/>
          <w:kern w:val="0"/>
          <w:szCs w:val="21"/>
          <w:highlight w:val="none"/>
        </w:rPr>
        <w:t>表</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身</w:t>
      </w:r>
      <w:r>
        <w:rPr>
          <w:rFonts w:hint="eastAsia" w:ascii="宋体" w:hAnsi="宋体" w:eastAsia="宋体" w:cs="宋体"/>
          <w:color w:val="auto"/>
          <w:spacing w:val="-2"/>
          <w:kern w:val="0"/>
          <w:szCs w:val="21"/>
          <w:highlight w:val="none"/>
        </w:rPr>
        <w:t>份</w:t>
      </w:r>
      <w:r>
        <w:rPr>
          <w:rFonts w:hint="eastAsia" w:ascii="宋体" w:hAnsi="宋体" w:eastAsia="宋体" w:cs="宋体"/>
          <w:color w:val="auto"/>
          <w:kern w:val="0"/>
          <w:szCs w:val="21"/>
          <w:highlight w:val="none"/>
        </w:rPr>
        <w:t>证</w:t>
      </w:r>
      <w:r>
        <w:rPr>
          <w:rFonts w:hint="eastAsia" w:ascii="宋体" w:hAnsi="宋体" w:eastAsia="宋体" w:cs="宋体"/>
          <w:color w:val="auto"/>
          <w:spacing w:val="-2"/>
          <w:kern w:val="0"/>
          <w:szCs w:val="21"/>
          <w:highlight w:val="none"/>
          <w:lang w:eastAsia="zh-CN"/>
        </w:rPr>
        <w:t>复印件或扫描件</w:t>
      </w:r>
      <w:r>
        <w:rPr>
          <w:rFonts w:hint="eastAsia" w:ascii="宋体" w:hAnsi="宋体" w:eastAsia="宋体" w:cs="宋体"/>
          <w:color w:val="auto"/>
          <w:spacing w:val="-2"/>
          <w:kern w:val="0"/>
          <w:szCs w:val="21"/>
          <w:highlight w:val="none"/>
        </w:rPr>
        <w:t>及</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托</w:t>
      </w:r>
      <w:r>
        <w:rPr>
          <w:rFonts w:hint="eastAsia" w:ascii="宋体" w:hAnsi="宋体" w:eastAsia="宋体" w:cs="宋体"/>
          <w:color w:val="auto"/>
          <w:kern w:val="0"/>
          <w:szCs w:val="21"/>
          <w:highlight w:val="none"/>
        </w:rPr>
        <w:t>代</w:t>
      </w:r>
      <w:r>
        <w:rPr>
          <w:rFonts w:hint="eastAsia" w:ascii="宋体" w:hAnsi="宋体" w:eastAsia="宋体" w:cs="宋体"/>
          <w:color w:val="auto"/>
          <w:spacing w:val="-2"/>
          <w:kern w:val="0"/>
          <w:szCs w:val="21"/>
          <w:highlight w:val="none"/>
        </w:rPr>
        <w:t>理</w:t>
      </w:r>
      <w:r>
        <w:rPr>
          <w:rFonts w:hint="eastAsia" w:ascii="宋体" w:hAnsi="宋体" w:eastAsia="宋体" w:cs="宋体"/>
          <w:color w:val="auto"/>
          <w:kern w:val="0"/>
          <w:szCs w:val="21"/>
          <w:highlight w:val="none"/>
        </w:rPr>
        <w:t>人</w:t>
      </w:r>
      <w:r>
        <w:rPr>
          <w:rFonts w:hint="eastAsia" w:ascii="宋体" w:hAnsi="宋体" w:eastAsia="宋体" w:cs="宋体"/>
          <w:color w:val="auto"/>
          <w:spacing w:val="-2"/>
          <w:kern w:val="0"/>
          <w:szCs w:val="21"/>
          <w:highlight w:val="none"/>
        </w:rPr>
        <w:t>身</w:t>
      </w:r>
      <w:r>
        <w:rPr>
          <w:rFonts w:hint="eastAsia" w:ascii="宋体" w:hAnsi="宋体" w:eastAsia="宋体" w:cs="宋体"/>
          <w:color w:val="auto"/>
          <w:kern w:val="0"/>
          <w:szCs w:val="21"/>
          <w:highlight w:val="none"/>
        </w:rPr>
        <w:t>份</w:t>
      </w:r>
      <w:r>
        <w:rPr>
          <w:rFonts w:hint="eastAsia" w:ascii="宋体" w:hAnsi="宋体" w:eastAsia="宋体" w:cs="宋体"/>
          <w:color w:val="auto"/>
          <w:spacing w:val="-2"/>
          <w:kern w:val="0"/>
          <w:szCs w:val="21"/>
          <w:highlight w:val="none"/>
        </w:rPr>
        <w:t>证</w:t>
      </w:r>
      <w:r>
        <w:rPr>
          <w:rFonts w:hint="eastAsia" w:ascii="宋体" w:hAnsi="宋体" w:eastAsia="宋体" w:cs="宋体"/>
          <w:color w:val="auto"/>
          <w:kern w:val="0"/>
          <w:szCs w:val="21"/>
          <w:highlight w:val="none"/>
          <w:lang w:eastAsia="zh-CN"/>
        </w:rPr>
        <w:t>复印件或扫描件</w:t>
      </w:r>
    </w:p>
    <w:p w14:paraId="1D9CCE96">
      <w:pPr>
        <w:pageBreakBefore w:val="0"/>
        <w:kinsoku/>
        <w:overflowPunct/>
        <w:bidi w:val="0"/>
        <w:spacing w:line="360" w:lineRule="auto"/>
        <w:rPr>
          <w:rFonts w:hint="eastAsia" w:ascii="宋体" w:hAnsi="宋体" w:eastAsia="宋体" w:cs="宋体"/>
          <w:color w:val="auto"/>
          <w:szCs w:val="21"/>
          <w:highlight w:val="none"/>
        </w:rPr>
      </w:pPr>
    </w:p>
    <w:p w14:paraId="45278DD2">
      <w:pPr>
        <w:keepNext w:val="0"/>
        <w:keepLines w:val="0"/>
        <w:pageBreakBefore w:val="0"/>
        <w:widowControl w:val="0"/>
        <w:kinsoku/>
        <w:wordWrap/>
        <w:overflowPunct/>
        <w:topLinePunct w:val="0"/>
        <w:bidi w:val="0"/>
        <w:snapToGrid/>
        <w:spacing w:line="360" w:lineRule="auto"/>
        <w:ind w:firstLine="2940" w:firstLineChars="14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2D87596E">
      <w:pPr>
        <w:pStyle w:val="70"/>
        <w:keepNext w:val="0"/>
        <w:keepLines w:val="0"/>
        <w:pageBreakBefore w:val="0"/>
        <w:widowControl w:val="0"/>
        <w:kinsoku/>
        <w:wordWrap/>
        <w:overflowPunct/>
        <w:topLinePunct w:val="0"/>
        <w:bidi w:val="0"/>
        <w:snapToGrid/>
        <w:spacing w:line="360" w:lineRule="auto"/>
        <w:ind w:firstLine="2940" w:firstLineChars="14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SA"/>
        </w:rPr>
        <w:t>（签字或盖章）</w:t>
      </w:r>
    </w:p>
    <w:p w14:paraId="0E71122B">
      <w:pPr>
        <w:pStyle w:val="70"/>
        <w:keepNext w:val="0"/>
        <w:keepLines w:val="0"/>
        <w:pageBreakBefore w:val="0"/>
        <w:widowControl w:val="0"/>
        <w:kinsoku/>
        <w:wordWrap/>
        <w:overflowPunct/>
        <w:topLinePunct w:val="0"/>
        <w:bidi w:val="0"/>
        <w:snapToGrid/>
        <w:spacing w:line="360" w:lineRule="auto"/>
        <w:ind w:firstLine="2940" w:firstLineChars="14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身份证号：</w:t>
      </w:r>
      <w:r>
        <w:rPr>
          <w:rFonts w:hint="eastAsia" w:ascii="宋体" w:hAnsi="宋体" w:eastAsia="宋体" w:cs="宋体"/>
          <w:color w:val="auto"/>
          <w:kern w:val="2"/>
          <w:sz w:val="21"/>
          <w:szCs w:val="21"/>
          <w:highlight w:val="none"/>
          <w:u w:val="single"/>
          <w:lang w:val="en-US" w:eastAsia="zh-CN" w:bidi="ar-SA"/>
        </w:rPr>
        <w:t xml:space="preserve">                                </w:t>
      </w:r>
    </w:p>
    <w:p w14:paraId="0C92180E">
      <w:pPr>
        <w:keepNext w:val="0"/>
        <w:keepLines w:val="0"/>
        <w:pageBreakBefore w:val="0"/>
        <w:widowControl w:val="0"/>
        <w:kinsoku/>
        <w:wordWrap/>
        <w:overflowPunct/>
        <w:topLinePunct w:val="0"/>
        <w:bidi w:val="0"/>
        <w:snapToGrid/>
        <w:spacing w:line="360" w:lineRule="auto"/>
        <w:ind w:firstLine="2940" w:firstLineChars="14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27872E1D">
      <w:pPr>
        <w:keepNext w:val="0"/>
        <w:keepLines w:val="0"/>
        <w:pageBreakBefore w:val="0"/>
        <w:widowControl w:val="0"/>
        <w:kinsoku/>
        <w:wordWrap/>
        <w:overflowPunct/>
        <w:topLinePunct w:val="0"/>
        <w:bidi w:val="0"/>
        <w:snapToGrid/>
        <w:spacing w:line="360" w:lineRule="auto"/>
        <w:ind w:firstLine="2940" w:firstLineChars="1400"/>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身份证号：</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p>
    <w:p w14:paraId="5C42BCD6">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2338254">
      <w:pPr>
        <w:pageBreakBefore w:val="0"/>
        <w:kinsoku/>
        <w:overflowPunct/>
        <w:bidi w:val="0"/>
        <w:spacing w:line="360" w:lineRule="auto"/>
        <w:rPr>
          <w:rFonts w:hint="eastAsia" w:ascii="宋体" w:hAnsi="宋体" w:eastAsia="宋体" w:cs="宋体"/>
          <w:b/>
          <w:color w:val="auto"/>
          <w:sz w:val="24"/>
          <w:highlight w:val="none"/>
        </w:rPr>
      </w:pPr>
    </w:p>
    <w:p w14:paraId="43776A64">
      <w:pPr>
        <w:pStyle w:val="5"/>
        <w:pageBreakBefore w:val="0"/>
        <w:numPr>
          <w:ilvl w:val="0"/>
          <w:numId w:val="35"/>
        </w:numPr>
        <w:tabs>
          <w:tab w:val="left" w:pos="840"/>
        </w:tabs>
        <w:kinsoku/>
        <w:overflowPunct/>
        <w:bidi w:val="0"/>
        <w:spacing w:line="360" w:lineRule="auto"/>
        <w:jc w:val="center"/>
        <w:rPr>
          <w:rFonts w:hint="eastAsia" w:ascii="宋体" w:hAnsi="宋体" w:eastAsia="宋体" w:cs="宋体"/>
          <w:color w:val="auto"/>
          <w:sz w:val="24"/>
          <w:szCs w:val="24"/>
          <w:highlight w:val="none"/>
          <w:lang w:val="en-US" w:eastAsia="zh-CN"/>
        </w:rPr>
      </w:pPr>
      <w:bookmarkStart w:id="743" w:name="_Toc20920"/>
      <w:r>
        <w:rPr>
          <w:rFonts w:hint="eastAsia" w:ascii="宋体" w:hAnsi="宋体" w:eastAsia="宋体" w:cs="宋体"/>
          <w:color w:val="auto"/>
          <w:sz w:val="24"/>
          <w:szCs w:val="24"/>
          <w:highlight w:val="none"/>
          <w:lang w:val="en-US" w:eastAsia="zh-CN"/>
        </w:rPr>
        <w:br w:type="page"/>
      </w:r>
      <w:bookmarkStart w:id="744" w:name="_Toc1380"/>
      <w:r>
        <w:rPr>
          <w:rFonts w:hint="eastAsia" w:ascii="宋体" w:hAnsi="宋体" w:eastAsia="宋体" w:cs="宋体"/>
          <w:color w:val="auto"/>
          <w:sz w:val="24"/>
          <w:szCs w:val="24"/>
          <w:highlight w:val="none"/>
          <w:lang w:val="en-US" w:eastAsia="zh-CN"/>
        </w:rPr>
        <w:t>投标书</w:t>
      </w:r>
      <w:bookmarkEnd w:id="743"/>
      <w:bookmarkEnd w:id="744"/>
    </w:p>
    <w:p w14:paraId="41465105">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采购人或采购代理机构名称</w:t>
      </w:r>
      <w:r>
        <w:rPr>
          <w:rFonts w:hint="eastAsia" w:ascii="宋体" w:hAnsi="宋体" w:eastAsia="宋体" w:cs="宋体"/>
          <w:color w:val="auto"/>
          <w:szCs w:val="21"/>
          <w:highlight w:val="none"/>
        </w:rPr>
        <w:t>）</w:t>
      </w:r>
    </w:p>
    <w:p w14:paraId="3363F9D7">
      <w:pPr>
        <w:pStyle w:val="15"/>
        <w:keepNext w:val="0"/>
        <w:keepLines w:val="0"/>
        <w:pageBreakBefore w:val="0"/>
        <w:widowControl w:val="0"/>
        <w:numPr>
          <w:ilvl w:val="0"/>
          <w:numId w:val="36"/>
        </w:numPr>
        <w:tabs>
          <w:tab w:val="left" w:pos="0"/>
        </w:tabs>
        <w:kinsoku/>
        <w:wordWrap/>
        <w:overflowPunct/>
        <w:topLinePunct w:val="0"/>
        <w:autoSpaceDE/>
        <w:autoSpaceDN/>
        <w:bidi w:val="0"/>
        <w:adjustRightInd/>
        <w:snapToGrid/>
        <w:spacing w:after="0"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我方已仔细研究了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（项目名称）招标项目招标文件的全部内容，愿意以人民币（大写）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元）的投标总报价，交货及安装调试期：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，按合同约定完成</w:t>
      </w:r>
      <w:r>
        <w:rPr>
          <w:rFonts w:hint="eastAsia" w:ascii="宋体" w:hAnsi="宋体" w:eastAsia="宋体" w:cs="宋体"/>
          <w:color w:val="auto"/>
          <w:sz w:val="21"/>
          <w:szCs w:val="21"/>
          <w:highlight w:val="none"/>
          <w:lang w:eastAsia="zh-CN"/>
        </w:rPr>
        <w:t>全部</w:t>
      </w:r>
      <w:r>
        <w:rPr>
          <w:rFonts w:hint="eastAsia" w:ascii="宋体" w:hAnsi="宋体" w:eastAsia="宋体" w:cs="宋体"/>
          <w:color w:val="auto"/>
          <w:sz w:val="21"/>
          <w:szCs w:val="21"/>
          <w:highlight w:val="none"/>
        </w:rPr>
        <w:t>工作。</w:t>
      </w:r>
    </w:p>
    <w:p w14:paraId="057EF04B">
      <w:pPr>
        <w:pStyle w:val="15"/>
        <w:keepNext w:val="0"/>
        <w:keepLines w:val="0"/>
        <w:pageBreakBefore w:val="0"/>
        <w:widowControl w:val="0"/>
        <w:numPr>
          <w:ilvl w:val="0"/>
          <w:numId w:val="36"/>
        </w:numPr>
        <w:tabs>
          <w:tab w:val="left" w:pos="0"/>
        </w:tabs>
        <w:kinsoku/>
        <w:wordWrap/>
        <w:overflowPunct/>
        <w:topLinePunct w:val="0"/>
        <w:autoSpaceDE/>
        <w:autoSpaceDN/>
        <w:bidi w:val="0"/>
        <w:adjustRightInd/>
        <w:snapToGrid/>
        <w:spacing w:after="0"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如果我方中标，我方将按招标文件的规定签订并严格履行合同中的责任和义务，在签订合同时不向你方提出附加条件，在合同约定的期限内完成合同规定的全部内容。</w:t>
      </w:r>
    </w:p>
    <w:p w14:paraId="091385E1">
      <w:pPr>
        <w:pStyle w:val="15"/>
        <w:keepNext w:val="0"/>
        <w:keepLines w:val="0"/>
        <w:pageBreakBefore w:val="0"/>
        <w:widowControl w:val="0"/>
        <w:numPr>
          <w:ilvl w:val="0"/>
          <w:numId w:val="36"/>
        </w:numPr>
        <w:tabs>
          <w:tab w:val="left" w:pos="720"/>
        </w:tabs>
        <w:kinsoku/>
        <w:wordWrap/>
        <w:overflowPunct/>
        <w:topLinePunct w:val="0"/>
        <w:autoSpaceDE/>
        <w:autoSpaceDN/>
        <w:bidi w:val="0"/>
        <w:adjustRightInd/>
        <w:snapToGrid/>
        <w:spacing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我方已详细审查全部招标文件，包括修改文件以及全部参考资料和有关附件。我们完全理解并同意放弃对这方面有不明及误解的权力。</w:t>
      </w:r>
    </w:p>
    <w:p w14:paraId="5871ED41">
      <w:pPr>
        <w:pStyle w:val="15"/>
        <w:keepNext w:val="0"/>
        <w:keepLines w:val="0"/>
        <w:pageBreakBefore w:val="0"/>
        <w:widowControl w:val="0"/>
        <w:numPr>
          <w:ilvl w:val="0"/>
          <w:numId w:val="36"/>
        </w:numPr>
        <w:tabs>
          <w:tab w:val="left" w:pos="720"/>
        </w:tabs>
        <w:kinsoku/>
        <w:wordWrap/>
        <w:overflowPunct/>
        <w:topLinePunct w:val="0"/>
        <w:autoSpaceDE/>
        <w:autoSpaceDN/>
        <w:bidi w:val="0"/>
        <w:adjustRightInd/>
        <w:snapToGrid/>
        <w:spacing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投标有效期为提交投标文件的截止之日起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90 </w:t>
      </w:r>
      <w:r>
        <w:rPr>
          <w:rFonts w:hint="eastAsia" w:ascii="宋体" w:hAnsi="宋体" w:eastAsia="宋体" w:cs="宋体"/>
          <w:color w:val="auto"/>
          <w:sz w:val="21"/>
          <w:szCs w:val="21"/>
          <w:highlight w:val="none"/>
        </w:rPr>
        <w:t>日历天。</w:t>
      </w:r>
    </w:p>
    <w:p w14:paraId="31023054">
      <w:pPr>
        <w:pStyle w:val="15"/>
        <w:keepNext w:val="0"/>
        <w:keepLines w:val="0"/>
        <w:pageBreakBefore w:val="0"/>
        <w:widowControl w:val="0"/>
        <w:numPr>
          <w:ilvl w:val="0"/>
          <w:numId w:val="36"/>
        </w:numPr>
        <w:tabs>
          <w:tab w:val="left" w:pos="720"/>
        </w:tabs>
        <w:kinsoku/>
        <w:wordWrap/>
        <w:overflowPunct/>
        <w:topLinePunct w:val="0"/>
        <w:autoSpaceDE/>
        <w:autoSpaceDN/>
        <w:bidi w:val="0"/>
        <w:adjustRightInd/>
        <w:snapToGrid/>
        <w:spacing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我方在此声明，所递交的投标文件及有关资料内容完整、真实和准确，且不存在第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章“投标人须知”第</w:t>
      </w:r>
      <w:r>
        <w:rPr>
          <w:rFonts w:hint="eastAsia" w:ascii="宋体" w:hAnsi="宋体" w:eastAsia="宋体" w:cs="宋体"/>
          <w:color w:val="auto"/>
          <w:sz w:val="21"/>
          <w:szCs w:val="21"/>
          <w:highlight w:val="none"/>
          <w:lang w:val="en-US" w:eastAsia="zh-CN"/>
        </w:rPr>
        <w:t>1.2.11、1.2.12</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规定的任何一种情形。</w:t>
      </w:r>
    </w:p>
    <w:p w14:paraId="6A53D1B6">
      <w:pPr>
        <w:pStyle w:val="15"/>
        <w:keepNext w:val="0"/>
        <w:keepLines w:val="0"/>
        <w:pageBreakBefore w:val="0"/>
        <w:widowControl w:val="0"/>
        <w:numPr>
          <w:ilvl w:val="0"/>
          <w:numId w:val="36"/>
        </w:numPr>
        <w:tabs>
          <w:tab w:val="left" w:pos="720"/>
        </w:tabs>
        <w:kinsoku/>
        <w:wordWrap/>
        <w:overflowPunct/>
        <w:topLinePunct w:val="0"/>
        <w:autoSpaceDE/>
        <w:autoSpaceDN/>
        <w:bidi w:val="0"/>
        <w:adjustRightInd/>
        <w:snapToGrid/>
        <w:spacing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我方同意提供按照贵方可能要求的与其投标有关的一切数据或资料，完全理解贵方不一定接受最低价的投标或收到的任何投标。</w:t>
      </w:r>
    </w:p>
    <w:p w14:paraId="26A5010E">
      <w:pPr>
        <w:pStyle w:val="15"/>
        <w:keepNext w:val="0"/>
        <w:keepLines w:val="0"/>
        <w:pageBreakBefore w:val="0"/>
        <w:widowControl w:val="0"/>
        <w:numPr>
          <w:ilvl w:val="0"/>
          <w:numId w:val="36"/>
        </w:numPr>
        <w:tabs>
          <w:tab w:val="left" w:pos="720"/>
        </w:tabs>
        <w:kinsoku/>
        <w:wordWrap/>
        <w:overflowPunct/>
        <w:topLinePunct w:val="0"/>
        <w:autoSpaceDE/>
        <w:autoSpaceDN/>
        <w:bidi w:val="0"/>
        <w:adjustRightInd/>
        <w:snapToGrid/>
        <w:spacing w:after="0"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我方承诺，</w:t>
      </w:r>
      <w:r>
        <w:rPr>
          <w:rFonts w:hint="eastAsia" w:ascii="宋体" w:hAnsi="宋体" w:eastAsia="宋体" w:cs="宋体"/>
          <w:color w:val="auto"/>
          <w:sz w:val="21"/>
          <w:szCs w:val="21"/>
          <w:highlight w:val="none"/>
        </w:rPr>
        <w:t>如果我方中标</w:t>
      </w:r>
      <w:r>
        <w:rPr>
          <w:rFonts w:hint="eastAsia" w:ascii="宋体" w:hAnsi="宋体" w:eastAsia="宋体" w:cs="宋体"/>
          <w:color w:val="auto"/>
          <w:sz w:val="21"/>
          <w:szCs w:val="21"/>
          <w:highlight w:val="none"/>
          <w:lang w:eastAsia="zh-CN"/>
        </w:rPr>
        <w:t>，在收到中标通知书时，</w:t>
      </w:r>
      <w:r>
        <w:rPr>
          <w:rFonts w:hint="eastAsia" w:ascii="宋体" w:hAnsi="宋体" w:eastAsia="宋体" w:cs="宋体"/>
          <w:color w:val="auto"/>
          <w:sz w:val="21"/>
          <w:szCs w:val="21"/>
          <w:highlight w:val="none"/>
        </w:rPr>
        <w:t>保证按照招标文件约定的招标代理费的收费标准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足额</w:t>
      </w:r>
      <w:r>
        <w:rPr>
          <w:rFonts w:hint="eastAsia" w:ascii="宋体" w:hAnsi="宋体" w:eastAsia="宋体" w:cs="宋体"/>
          <w:color w:val="auto"/>
          <w:sz w:val="21"/>
          <w:szCs w:val="21"/>
          <w:highlight w:val="none"/>
          <w:lang w:eastAsia="zh-CN"/>
        </w:rPr>
        <w:t>、准时</w:t>
      </w:r>
      <w:r>
        <w:rPr>
          <w:rFonts w:hint="eastAsia" w:ascii="宋体" w:hAnsi="宋体" w:eastAsia="宋体" w:cs="宋体"/>
          <w:color w:val="auto"/>
          <w:sz w:val="21"/>
          <w:szCs w:val="21"/>
          <w:highlight w:val="none"/>
        </w:rPr>
        <w:t>交纳招标代理服务费。</w:t>
      </w:r>
    </w:p>
    <w:p w14:paraId="0F63929D">
      <w:pPr>
        <w:keepNext w:val="0"/>
        <w:keepLines w:val="0"/>
        <w:pageBreakBefore w:val="0"/>
        <w:widowControl w:val="0"/>
        <w:tabs>
          <w:tab w:val="left" w:pos="7240"/>
        </w:tabs>
        <w:kinsoku/>
        <w:wordWrap/>
        <w:overflowPunct/>
        <w:topLinePunct w:val="0"/>
        <w:autoSpaceDE w:val="0"/>
        <w:autoSpaceDN w:val="0"/>
        <w:bidi w:val="0"/>
        <w:adjustRightInd w:val="0"/>
        <w:snapToGrid/>
        <w:spacing w:line="360" w:lineRule="auto"/>
        <w:ind w:left="2621" w:right="-23"/>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pacing w:val="-2"/>
          <w:kern w:val="0"/>
          <w:szCs w:val="21"/>
          <w:highlight w:val="none"/>
        </w:rPr>
        <w:t>：</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spacing w:val="43"/>
          <w:kern w:val="0"/>
          <w:szCs w:val="21"/>
          <w:highlight w:val="none"/>
          <w:u w:val="single"/>
          <w:lang w:val="en-US" w:eastAsia="zh-CN"/>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spacing w:val="43"/>
          <w:kern w:val="0"/>
          <w:szCs w:val="21"/>
          <w:highlight w:val="none"/>
          <w:u w:val="single"/>
          <w:lang w:val="en-US" w:eastAsia="zh-CN"/>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盖章</w:t>
      </w:r>
      <w:r>
        <w:rPr>
          <w:rFonts w:hint="eastAsia" w:ascii="宋体" w:hAnsi="宋体" w:eastAsia="宋体" w:cs="宋体"/>
          <w:color w:val="auto"/>
          <w:kern w:val="0"/>
          <w:szCs w:val="21"/>
          <w:highlight w:val="none"/>
        </w:rPr>
        <w:t>）</w:t>
      </w:r>
    </w:p>
    <w:p w14:paraId="760C33E1">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position w:val="-2"/>
          <w:szCs w:val="21"/>
          <w:highlight w:val="none"/>
        </w:rPr>
      </w:pPr>
      <w:r>
        <w:rPr>
          <w:rFonts w:hint="eastAsia" w:ascii="宋体" w:hAnsi="宋体" w:eastAsia="宋体" w:cs="宋体"/>
          <w:color w:val="auto"/>
          <w:kern w:val="0"/>
          <w:position w:val="-2"/>
          <w:szCs w:val="21"/>
          <w:highlight w:val="none"/>
        </w:rPr>
        <w:t>法定代表人或其委托代理人：</w:t>
      </w:r>
      <w:r>
        <w:rPr>
          <w:rFonts w:hint="eastAsia" w:ascii="宋体" w:hAnsi="宋体" w:eastAsia="宋体" w:cs="宋体"/>
          <w:color w:val="auto"/>
          <w:kern w:val="0"/>
          <w:position w:val="-2"/>
          <w:szCs w:val="21"/>
          <w:highlight w:val="none"/>
          <w:u w:val="single"/>
        </w:rPr>
        <w:t xml:space="preserve">                </w:t>
      </w:r>
      <w:r>
        <w:rPr>
          <w:rFonts w:hint="eastAsia" w:ascii="宋体" w:hAnsi="宋体" w:eastAsia="宋体" w:cs="宋体"/>
          <w:color w:val="auto"/>
          <w:kern w:val="0"/>
          <w:position w:val="-2"/>
          <w:szCs w:val="21"/>
          <w:highlight w:val="none"/>
        </w:rPr>
        <w:t>（签字</w:t>
      </w:r>
      <w:r>
        <w:rPr>
          <w:rFonts w:hint="eastAsia" w:ascii="宋体" w:hAnsi="宋体" w:eastAsia="宋体" w:cs="宋体"/>
          <w:color w:val="auto"/>
          <w:kern w:val="0"/>
          <w:position w:val="-2"/>
          <w:szCs w:val="21"/>
          <w:highlight w:val="none"/>
          <w:lang w:eastAsia="zh-CN"/>
        </w:rPr>
        <w:t>或盖章</w:t>
      </w:r>
      <w:r>
        <w:rPr>
          <w:rFonts w:hint="eastAsia" w:ascii="宋体" w:hAnsi="宋体" w:eastAsia="宋体" w:cs="宋体"/>
          <w:color w:val="auto"/>
          <w:kern w:val="0"/>
          <w:position w:val="-2"/>
          <w:szCs w:val="21"/>
          <w:highlight w:val="none"/>
        </w:rPr>
        <w:t>）</w:t>
      </w:r>
    </w:p>
    <w:p w14:paraId="5D5C77E8">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position w:val="-2"/>
          <w:szCs w:val="21"/>
          <w:highlight w:val="none"/>
        </w:rPr>
        <w:t>地</w:t>
      </w:r>
      <w:r>
        <w:rPr>
          <w:rFonts w:hint="eastAsia" w:ascii="宋体" w:hAnsi="宋体" w:eastAsia="宋体" w:cs="宋体"/>
          <w:color w:val="auto"/>
          <w:kern w:val="0"/>
          <w:position w:val="-2"/>
          <w:szCs w:val="21"/>
          <w:highlight w:val="none"/>
        </w:rPr>
        <w:tab/>
      </w:r>
      <w:r>
        <w:rPr>
          <w:rFonts w:hint="eastAsia" w:ascii="宋体" w:hAnsi="宋体" w:eastAsia="宋体" w:cs="宋体"/>
          <w:color w:val="auto"/>
          <w:kern w:val="0"/>
          <w:position w:val="-2"/>
          <w:szCs w:val="21"/>
          <w:highlight w:val="none"/>
        </w:rPr>
        <w:t>址</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szCs w:val="21"/>
          <w:highlight w:val="none"/>
          <w:u w:val="single"/>
        </w:rPr>
        <w:t xml:space="preserve">                                           </w:t>
      </w:r>
    </w:p>
    <w:p w14:paraId="68AC57A9">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position w:val="-2"/>
          <w:szCs w:val="21"/>
          <w:highlight w:val="none"/>
        </w:rPr>
        <w:t>网</w:t>
      </w:r>
      <w:r>
        <w:rPr>
          <w:rFonts w:hint="eastAsia" w:ascii="宋体" w:hAnsi="宋体" w:eastAsia="宋体" w:cs="宋体"/>
          <w:color w:val="auto"/>
          <w:kern w:val="0"/>
          <w:position w:val="-2"/>
          <w:szCs w:val="21"/>
          <w:highlight w:val="none"/>
        </w:rPr>
        <w:tab/>
      </w:r>
      <w:r>
        <w:rPr>
          <w:rFonts w:hint="eastAsia" w:ascii="宋体" w:hAnsi="宋体" w:eastAsia="宋体" w:cs="宋体"/>
          <w:color w:val="auto"/>
          <w:kern w:val="0"/>
          <w:position w:val="-2"/>
          <w:szCs w:val="21"/>
          <w:highlight w:val="none"/>
        </w:rPr>
        <w:t>址</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p>
    <w:p w14:paraId="1B702C83">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position w:val="-2"/>
          <w:szCs w:val="21"/>
          <w:highlight w:val="none"/>
        </w:rPr>
        <w:t>电</w:t>
      </w:r>
      <w:r>
        <w:rPr>
          <w:rFonts w:hint="eastAsia" w:ascii="宋体" w:hAnsi="宋体" w:eastAsia="宋体" w:cs="宋体"/>
          <w:color w:val="auto"/>
          <w:kern w:val="0"/>
          <w:position w:val="-2"/>
          <w:szCs w:val="21"/>
          <w:highlight w:val="none"/>
        </w:rPr>
        <w:tab/>
      </w:r>
      <w:r>
        <w:rPr>
          <w:rFonts w:hint="eastAsia" w:ascii="宋体" w:hAnsi="宋体" w:eastAsia="宋体" w:cs="宋体"/>
          <w:color w:val="auto"/>
          <w:kern w:val="0"/>
          <w:position w:val="-2"/>
          <w:szCs w:val="21"/>
          <w:highlight w:val="none"/>
        </w:rPr>
        <w:t>话</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p>
    <w:p w14:paraId="4907074F">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position w:val="-2"/>
          <w:szCs w:val="21"/>
          <w:highlight w:val="none"/>
        </w:rPr>
        <w:t>传</w:t>
      </w:r>
      <w:r>
        <w:rPr>
          <w:rFonts w:hint="eastAsia" w:ascii="宋体" w:hAnsi="宋体" w:eastAsia="宋体" w:cs="宋体"/>
          <w:color w:val="auto"/>
          <w:kern w:val="0"/>
          <w:position w:val="-2"/>
          <w:szCs w:val="21"/>
          <w:highlight w:val="none"/>
        </w:rPr>
        <w:tab/>
      </w:r>
      <w:r>
        <w:rPr>
          <w:rFonts w:hint="eastAsia" w:ascii="宋体" w:hAnsi="宋体" w:eastAsia="宋体" w:cs="宋体"/>
          <w:color w:val="auto"/>
          <w:kern w:val="0"/>
          <w:position w:val="-2"/>
          <w:szCs w:val="21"/>
          <w:highlight w:val="none"/>
        </w:rPr>
        <w:t>真</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w w:val="169"/>
          <w:kern w:val="0"/>
          <w:position w:val="-2"/>
          <w:szCs w:val="21"/>
          <w:highlight w:val="none"/>
          <w:u w:val="single"/>
        </w:rPr>
        <w:t xml:space="preserve">                          </w:t>
      </w:r>
    </w:p>
    <w:p w14:paraId="565332FE">
      <w:pPr>
        <w:keepNext w:val="0"/>
        <w:keepLines w:val="0"/>
        <w:pageBreakBefore w:val="0"/>
        <w:widowControl w:val="0"/>
        <w:tabs>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position w:val="-2"/>
          <w:szCs w:val="21"/>
          <w:highlight w:val="none"/>
          <w:lang w:eastAsia="zh-CN"/>
        </w:rPr>
      </w:pPr>
      <w:r>
        <w:rPr>
          <w:rFonts w:hint="eastAsia" w:ascii="宋体" w:hAnsi="宋体" w:eastAsia="宋体" w:cs="宋体"/>
          <w:color w:val="auto"/>
          <w:kern w:val="0"/>
          <w:position w:val="-2"/>
          <w:szCs w:val="21"/>
          <w:highlight w:val="none"/>
        </w:rPr>
        <w:t>邮政</w:t>
      </w:r>
      <w:r>
        <w:rPr>
          <w:rFonts w:hint="eastAsia" w:ascii="宋体" w:hAnsi="宋体" w:eastAsia="宋体" w:cs="宋体"/>
          <w:color w:val="auto"/>
          <w:spacing w:val="-2"/>
          <w:kern w:val="0"/>
          <w:position w:val="-2"/>
          <w:szCs w:val="21"/>
          <w:highlight w:val="none"/>
        </w:rPr>
        <w:t>编</w:t>
      </w:r>
      <w:r>
        <w:rPr>
          <w:rFonts w:hint="eastAsia" w:ascii="宋体" w:hAnsi="宋体" w:eastAsia="宋体" w:cs="宋体"/>
          <w:color w:val="auto"/>
          <w:kern w:val="0"/>
          <w:position w:val="-2"/>
          <w:szCs w:val="21"/>
          <w:highlight w:val="none"/>
        </w:rPr>
        <w:t>码</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w w:val="169"/>
          <w:kern w:val="0"/>
          <w:position w:val="-2"/>
          <w:szCs w:val="21"/>
          <w:highlight w:val="none"/>
          <w:u w:val="single"/>
        </w:rPr>
        <w:t xml:space="preserve">                          </w:t>
      </w:r>
    </w:p>
    <w:p w14:paraId="1A81AE5B">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left="4435" w:right="-23"/>
        <w:textAlignment w:val="auto"/>
        <w:outlineLvl w:val="9"/>
        <w:rPr>
          <w:rFonts w:hint="eastAsia" w:ascii="宋体" w:hAnsi="宋体" w:eastAsia="宋体" w:cs="宋体"/>
          <w:color w:val="auto"/>
          <w:szCs w:val="21"/>
          <w:highlight w:val="none"/>
          <w:u w:val="none"/>
          <w:lang w:eastAsia="zh-CN"/>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none"/>
          <w:lang w:eastAsia="zh-CN"/>
        </w:rPr>
        <w:t>日</w:t>
      </w:r>
    </w:p>
    <w:p w14:paraId="3EC2AFAE">
      <w:pPr>
        <w:pStyle w:val="5"/>
        <w:pageBreakBefore w:val="0"/>
        <w:numPr>
          <w:ilvl w:val="0"/>
          <w:numId w:val="35"/>
        </w:numPr>
        <w:tabs>
          <w:tab w:val="left" w:pos="840"/>
        </w:tabs>
        <w:kinsoku/>
        <w:overflowPunct/>
        <w:bidi w:val="0"/>
        <w:spacing w:line="360" w:lineRule="auto"/>
        <w:jc w:val="center"/>
        <w:rPr>
          <w:rFonts w:hint="eastAsia" w:ascii="宋体" w:hAnsi="宋体" w:eastAsia="宋体" w:cs="宋体"/>
          <w:color w:val="auto"/>
          <w:highlight w:val="none"/>
        </w:rPr>
      </w:pPr>
      <w:bookmarkStart w:id="745" w:name="_Toc28373"/>
      <w:bookmarkStart w:id="746" w:name="_Toc312133598"/>
      <w:r>
        <w:rPr>
          <w:rFonts w:hint="eastAsia" w:ascii="宋体" w:hAnsi="宋体" w:eastAsia="宋体" w:cs="宋体"/>
          <w:color w:val="auto"/>
          <w:sz w:val="24"/>
          <w:szCs w:val="24"/>
          <w:highlight w:val="none"/>
          <w:lang w:eastAsia="zh-CN"/>
        </w:rPr>
        <w:br w:type="page"/>
      </w:r>
      <w:bookmarkStart w:id="747" w:name="_Toc18432"/>
      <w:r>
        <w:rPr>
          <w:rFonts w:hint="eastAsia" w:ascii="宋体" w:hAnsi="宋体" w:eastAsia="宋体" w:cs="宋体"/>
          <w:color w:val="auto"/>
          <w:sz w:val="24"/>
          <w:szCs w:val="24"/>
          <w:highlight w:val="none"/>
          <w:lang w:eastAsia="zh-CN"/>
        </w:rPr>
        <w:t>投标</w:t>
      </w:r>
      <w:bookmarkEnd w:id="745"/>
      <w:r>
        <w:rPr>
          <w:rFonts w:hint="eastAsia" w:ascii="宋体" w:hAnsi="宋体" w:eastAsia="宋体" w:cs="宋体"/>
          <w:color w:val="auto"/>
          <w:sz w:val="24"/>
          <w:szCs w:val="24"/>
          <w:highlight w:val="none"/>
          <w:lang w:val="en-US" w:eastAsia="zh-CN"/>
        </w:rPr>
        <w:t>承诺函</w:t>
      </w:r>
      <w:bookmarkEnd w:id="747"/>
    </w:p>
    <w:p w14:paraId="66D58972">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（采购人或采购代理机构）：</w:t>
      </w:r>
    </w:p>
    <w:p w14:paraId="0984CA43">
      <w:pPr>
        <w:pStyle w:val="70"/>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我单位在此郑重承诺，如有以下情形之一的：</w:t>
      </w:r>
    </w:p>
    <w:p w14:paraId="2F07779D">
      <w:pPr>
        <w:keepNext w:val="0"/>
        <w:keepLines w:val="0"/>
        <w:pageBreakBefore w:val="0"/>
        <w:widowControl w:val="0"/>
        <w:numPr>
          <w:ilvl w:val="0"/>
          <w:numId w:val="37"/>
        </w:numPr>
        <w:kinsoku/>
        <w:wordWrap/>
        <w:overflowPunct/>
        <w:topLinePunct w:val="0"/>
        <w:autoSpaceDE w:val="0"/>
        <w:autoSpaceDN w:val="0"/>
        <w:bidi w:val="0"/>
        <w:adjustRightInd w:val="0"/>
        <w:snapToGrid/>
        <w:spacing w:line="360" w:lineRule="auto"/>
        <w:ind w:leftChars="200" w:right="40" w:rightChars="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在招标文件规定的投标有效期内撤回投标；</w:t>
      </w:r>
    </w:p>
    <w:p w14:paraId="5293AEF9">
      <w:pPr>
        <w:keepNext w:val="0"/>
        <w:keepLines w:val="0"/>
        <w:pageBreakBefore w:val="0"/>
        <w:widowControl w:val="0"/>
        <w:numPr>
          <w:ilvl w:val="0"/>
          <w:numId w:val="37"/>
        </w:numPr>
        <w:kinsoku/>
        <w:wordWrap/>
        <w:overflowPunct/>
        <w:topLinePunct w:val="0"/>
        <w:autoSpaceDE w:val="0"/>
        <w:autoSpaceDN w:val="0"/>
        <w:bidi w:val="0"/>
        <w:adjustRightInd w:val="0"/>
        <w:snapToGrid/>
        <w:spacing w:line="360" w:lineRule="auto"/>
        <w:ind w:leftChars="200" w:right="40" w:rightChars="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文件中提供虚假材料；</w:t>
      </w:r>
    </w:p>
    <w:p w14:paraId="1E1B9C58">
      <w:pPr>
        <w:keepNext w:val="0"/>
        <w:keepLines w:val="0"/>
        <w:pageBreakBefore w:val="0"/>
        <w:widowControl w:val="0"/>
        <w:numPr>
          <w:ilvl w:val="0"/>
          <w:numId w:val="37"/>
        </w:numPr>
        <w:kinsoku/>
        <w:wordWrap/>
        <w:overflowPunct/>
        <w:topLinePunct w:val="0"/>
        <w:autoSpaceDE w:val="0"/>
        <w:autoSpaceDN w:val="0"/>
        <w:bidi w:val="0"/>
        <w:adjustRightInd w:val="0"/>
        <w:snapToGrid/>
        <w:spacing w:line="360" w:lineRule="auto"/>
        <w:ind w:leftChars="200" w:right="40" w:rightChars="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中标后无正当理由不与采购人或者采购代理机构签订合同；</w:t>
      </w:r>
    </w:p>
    <w:p w14:paraId="3D87569D">
      <w:pPr>
        <w:keepNext w:val="0"/>
        <w:keepLines w:val="0"/>
        <w:pageBreakBefore w:val="0"/>
        <w:widowControl w:val="0"/>
        <w:numPr>
          <w:ilvl w:val="0"/>
          <w:numId w:val="37"/>
        </w:numPr>
        <w:kinsoku/>
        <w:wordWrap/>
        <w:overflowPunct/>
        <w:topLinePunct w:val="0"/>
        <w:autoSpaceDE w:val="0"/>
        <w:autoSpaceDN w:val="0"/>
        <w:bidi w:val="0"/>
        <w:adjustRightInd w:val="0"/>
        <w:snapToGrid/>
        <w:spacing w:line="360" w:lineRule="auto"/>
        <w:ind w:leftChars="200" w:right="40" w:rightChars="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将中标项目转让给他人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或者在投标文件中未说明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且未经采购人同意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将中标项目分包给他人的；</w:t>
      </w:r>
    </w:p>
    <w:p w14:paraId="118A76C4">
      <w:pPr>
        <w:keepNext w:val="0"/>
        <w:keepLines w:val="0"/>
        <w:pageBreakBefore w:val="0"/>
        <w:widowControl w:val="0"/>
        <w:numPr>
          <w:ilvl w:val="0"/>
          <w:numId w:val="37"/>
        </w:numPr>
        <w:kinsoku/>
        <w:wordWrap/>
        <w:overflowPunct/>
        <w:topLinePunct w:val="0"/>
        <w:autoSpaceDE w:val="0"/>
        <w:autoSpaceDN w:val="0"/>
        <w:bidi w:val="0"/>
        <w:adjustRightInd w:val="0"/>
        <w:snapToGrid/>
        <w:spacing w:line="360" w:lineRule="auto"/>
        <w:ind w:leftChars="200" w:right="40" w:rightChars="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拒绝履行合同义务；</w:t>
      </w:r>
    </w:p>
    <w:p w14:paraId="5D27CC56">
      <w:pPr>
        <w:keepNext w:val="0"/>
        <w:keepLines w:val="0"/>
        <w:pageBreakBefore w:val="0"/>
        <w:widowControl w:val="0"/>
        <w:numPr>
          <w:ilvl w:val="0"/>
          <w:numId w:val="37"/>
        </w:numPr>
        <w:kinsoku/>
        <w:wordWrap/>
        <w:overflowPunct/>
        <w:topLinePunct w:val="0"/>
        <w:autoSpaceDE w:val="0"/>
        <w:autoSpaceDN w:val="0"/>
        <w:bidi w:val="0"/>
        <w:adjustRightInd w:val="0"/>
        <w:snapToGrid/>
        <w:spacing w:line="360" w:lineRule="auto"/>
        <w:ind w:leftChars="200" w:right="40" w:rightChars="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与采购人、其他</w:t>
      </w:r>
      <w:r>
        <w:rPr>
          <w:rFonts w:hint="eastAsia" w:ascii="宋体" w:hAnsi="宋体" w:eastAsia="宋体" w:cs="宋体"/>
          <w:color w:val="auto"/>
          <w:kern w:val="0"/>
          <w:sz w:val="21"/>
          <w:szCs w:val="21"/>
          <w:highlight w:val="none"/>
          <w:lang w:eastAsia="zh-CN"/>
        </w:rPr>
        <w:t>投标人或者采购代理机构</w:t>
      </w:r>
      <w:r>
        <w:rPr>
          <w:rFonts w:hint="eastAsia" w:ascii="宋体" w:hAnsi="宋体" w:eastAsia="宋体" w:cs="宋体"/>
          <w:color w:val="auto"/>
          <w:kern w:val="0"/>
          <w:sz w:val="21"/>
          <w:szCs w:val="21"/>
          <w:highlight w:val="none"/>
        </w:rPr>
        <w:t>恶意串通；</w:t>
      </w:r>
    </w:p>
    <w:p w14:paraId="77914D38">
      <w:pPr>
        <w:keepNext w:val="0"/>
        <w:keepLines w:val="0"/>
        <w:pageBreakBefore w:val="0"/>
        <w:widowControl w:val="0"/>
        <w:numPr>
          <w:ilvl w:val="0"/>
          <w:numId w:val="37"/>
        </w:numPr>
        <w:kinsoku/>
        <w:wordWrap/>
        <w:overflowPunct/>
        <w:topLinePunct w:val="0"/>
        <w:autoSpaceDE w:val="0"/>
        <w:autoSpaceDN w:val="0"/>
        <w:bidi w:val="0"/>
        <w:adjustRightInd w:val="0"/>
        <w:snapToGrid/>
        <w:spacing w:line="360" w:lineRule="auto"/>
        <w:ind w:leftChars="200" w:right="40" w:rightChars="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在履约过程中未按招标文件、中标的投标文件、生效的政府采购合同等约定</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提供货物、工程和服务；</w:t>
      </w:r>
    </w:p>
    <w:p w14:paraId="64C72F23">
      <w:pPr>
        <w:keepNext w:val="0"/>
        <w:keepLines w:val="0"/>
        <w:pageBreakBefore w:val="0"/>
        <w:widowControl w:val="0"/>
        <w:numPr>
          <w:ilvl w:val="0"/>
          <w:numId w:val="37"/>
        </w:numPr>
        <w:kinsoku/>
        <w:wordWrap/>
        <w:overflowPunct/>
        <w:topLinePunct w:val="0"/>
        <w:autoSpaceDE w:val="0"/>
        <w:autoSpaceDN w:val="0"/>
        <w:bidi w:val="0"/>
        <w:adjustRightInd w:val="0"/>
        <w:snapToGrid/>
        <w:spacing w:line="360" w:lineRule="auto"/>
        <w:ind w:leftChars="200" w:right="40" w:rightChars="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存在其他违法违规行为。</w:t>
      </w:r>
    </w:p>
    <w:p w14:paraId="7415C32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right="40" w:rightChars="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rPr>
        <w:t>我单位</w:t>
      </w:r>
      <w:r>
        <w:rPr>
          <w:rFonts w:hint="eastAsia" w:ascii="宋体" w:hAnsi="宋体" w:eastAsia="宋体" w:cs="宋体"/>
          <w:color w:val="auto"/>
          <w:sz w:val="21"/>
          <w:szCs w:val="21"/>
          <w:highlight w:val="none"/>
          <w:lang w:eastAsia="zh-CN"/>
        </w:rPr>
        <w:t>自愿接受被处以中标无效，采购金额千分之五以上千分之十以下的罚款并赔偿采购人及采购代理机构的损失</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eastAsia="zh-CN"/>
        </w:rPr>
        <w:t>列入不良行为记录名单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eastAsia="zh-CN"/>
        </w:rPr>
        <w:t>在一至三年内禁止参加政府采购活动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eastAsia="zh-CN"/>
        </w:rPr>
        <w:t>有违法所得的</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eastAsia="zh-CN"/>
        </w:rPr>
        <w:t>并处没收违法所得，情节严重的，由市场监督管理部门吊销营业执照；构成犯罪的，依法追究刑事责任。</w:t>
      </w:r>
    </w:p>
    <w:p w14:paraId="6ED614A0">
      <w:pPr>
        <w:pStyle w:val="70"/>
        <w:pageBreakBefore w:val="0"/>
        <w:kinsoku/>
        <w:overflowPunct/>
        <w:bidi w:val="0"/>
        <w:spacing w:line="360" w:lineRule="auto"/>
        <w:rPr>
          <w:rFonts w:hint="eastAsia" w:ascii="宋体" w:hAnsi="宋体" w:eastAsia="宋体" w:cs="宋体"/>
          <w:color w:val="auto"/>
          <w:sz w:val="21"/>
          <w:szCs w:val="21"/>
          <w:highlight w:val="none"/>
        </w:rPr>
      </w:pPr>
    </w:p>
    <w:p w14:paraId="00144F99">
      <w:pPr>
        <w:pStyle w:val="70"/>
        <w:pageBreakBefore w:val="0"/>
        <w:kinsoku/>
        <w:overflowPunct/>
        <w:bidi w:val="0"/>
        <w:spacing w:line="360" w:lineRule="auto"/>
        <w:rPr>
          <w:rFonts w:hint="eastAsia" w:ascii="宋体" w:hAnsi="宋体" w:eastAsia="宋体" w:cs="宋体"/>
          <w:color w:val="auto"/>
          <w:highlight w:val="none"/>
          <w:lang w:eastAsia="zh-CN"/>
        </w:rPr>
      </w:pPr>
    </w:p>
    <w:p w14:paraId="65F45418">
      <w:pPr>
        <w:pStyle w:val="70"/>
        <w:pageBreakBefore w:val="0"/>
        <w:kinsoku/>
        <w:overflowPunct/>
        <w:bidi w:val="0"/>
        <w:spacing w:line="360" w:lineRule="auto"/>
        <w:rPr>
          <w:rFonts w:hint="eastAsia" w:ascii="宋体" w:hAnsi="宋体" w:eastAsia="宋体" w:cs="宋体"/>
          <w:color w:val="auto"/>
          <w:kern w:val="0"/>
          <w:sz w:val="21"/>
          <w:szCs w:val="21"/>
          <w:highlight w:val="none"/>
          <w:lang w:eastAsia="zh-CN"/>
        </w:rPr>
      </w:pPr>
    </w:p>
    <w:p w14:paraId="399F865E">
      <w:pPr>
        <w:pageBreakBefore w:val="0"/>
        <w:kinsoku/>
        <w:overflowPunct/>
        <w:bidi w:val="0"/>
        <w:spacing w:line="360" w:lineRule="auto"/>
        <w:ind w:firstLine="3360" w:firstLineChars="1600"/>
        <w:rPr>
          <w:rFonts w:hint="eastAsia" w:ascii="宋体" w:hAnsi="宋体" w:eastAsia="宋体" w:cs="宋体"/>
          <w:b w:val="0"/>
          <w:bCs/>
          <w:color w:val="auto"/>
          <w:szCs w:val="21"/>
          <w:highlight w:val="none"/>
        </w:rPr>
      </w:pP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标</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人</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盖章</w:t>
      </w:r>
      <w:r>
        <w:rPr>
          <w:rFonts w:hint="eastAsia" w:ascii="宋体" w:hAnsi="宋体" w:eastAsia="宋体" w:cs="宋体"/>
          <w:b w:val="0"/>
          <w:bCs/>
          <w:color w:val="auto"/>
          <w:szCs w:val="21"/>
          <w:highlight w:val="none"/>
        </w:rPr>
        <w:t>）</w:t>
      </w:r>
    </w:p>
    <w:p w14:paraId="0D9A3E0E">
      <w:pPr>
        <w:pageBreakBefore w:val="0"/>
        <w:kinsoku/>
        <w:overflowPunct/>
        <w:bidi w:val="0"/>
        <w:spacing w:line="360" w:lineRule="auto"/>
        <w:ind w:firstLine="3360" w:firstLineChars="16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法定代表人或其委托代理人：</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 w:val="0"/>
          <w:bCs/>
          <w:color w:val="auto"/>
          <w:szCs w:val="21"/>
          <w:highlight w:val="none"/>
        </w:rPr>
        <w:t>）</w:t>
      </w:r>
    </w:p>
    <w:p w14:paraId="0164A910">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firstLine="4620" w:firstLineChars="2200"/>
        <w:jc w:val="left"/>
        <w:textAlignment w:val="auto"/>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spacing w:val="43"/>
          <w:kern w:val="0"/>
          <w:sz w:val="21"/>
          <w:szCs w:val="21"/>
          <w:highlight w:val="none"/>
          <w:u w:val="single"/>
        </w:rPr>
        <w:t xml:space="preserve"> </w:t>
      </w:r>
      <w:r>
        <w:rPr>
          <w:rFonts w:hint="eastAsia" w:ascii="宋体" w:hAnsi="宋体" w:eastAsia="宋体" w:cs="宋体"/>
          <w:b w:val="0"/>
          <w:bCs/>
          <w:color w:val="auto"/>
          <w:kern w:val="0"/>
          <w:sz w:val="21"/>
          <w:szCs w:val="21"/>
          <w:highlight w:val="none"/>
        </w:rPr>
        <w:t>年</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rPr>
        <w:t>月</w:t>
      </w:r>
      <w:r>
        <w:rPr>
          <w:rFonts w:hint="eastAsia" w:ascii="宋体" w:hAnsi="宋体" w:eastAsia="宋体" w:cs="宋体"/>
          <w:b w:val="0"/>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rPr>
        <w:t>日</w:t>
      </w:r>
    </w:p>
    <w:p w14:paraId="576E158A">
      <w:pPr>
        <w:pStyle w:val="70"/>
        <w:pageBreakBefore w:val="0"/>
        <w:kinsoku/>
        <w:overflowPunct/>
        <w:bidi w:val="0"/>
        <w:spacing w:line="360" w:lineRule="auto"/>
        <w:rPr>
          <w:rFonts w:hint="eastAsia" w:ascii="宋体" w:hAnsi="宋体" w:eastAsia="宋体" w:cs="宋体"/>
          <w:color w:val="auto"/>
          <w:highlight w:val="none"/>
        </w:rPr>
      </w:pPr>
    </w:p>
    <w:p w14:paraId="62C64430">
      <w:pPr>
        <w:pStyle w:val="5"/>
        <w:pageBreakBefore w:val="0"/>
        <w:numPr>
          <w:ilvl w:val="0"/>
          <w:numId w:val="35"/>
        </w:numPr>
        <w:tabs>
          <w:tab w:val="left" w:pos="840"/>
        </w:tabs>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48" w:name="_Toc799"/>
      <w:bookmarkStart w:id="749" w:name="_Toc1547"/>
      <w:r>
        <w:rPr>
          <w:rFonts w:hint="eastAsia" w:ascii="宋体" w:hAnsi="宋体" w:eastAsia="宋体" w:cs="宋体"/>
          <w:color w:val="auto"/>
          <w:sz w:val="24"/>
          <w:szCs w:val="24"/>
          <w:highlight w:val="none"/>
        </w:rPr>
        <w:t>投标报价表格</w:t>
      </w:r>
      <w:bookmarkEnd w:id="746"/>
      <w:bookmarkEnd w:id="748"/>
      <w:bookmarkEnd w:id="749"/>
    </w:p>
    <w:p w14:paraId="52246CA9">
      <w:pPr>
        <w:keepNext/>
        <w:keepLines/>
        <w:widowControl w:val="0"/>
        <w:spacing w:line="360" w:lineRule="auto"/>
        <w:ind w:left="425" w:hanging="425"/>
        <w:jc w:val="center"/>
        <w:outlineLvl w:val="2"/>
        <w:rPr>
          <w:rFonts w:hint="eastAsia" w:ascii="宋体" w:hAnsi="宋体" w:eastAsia="宋体" w:cs="宋体"/>
          <w:color w:val="auto"/>
          <w:highlight w:val="none"/>
        </w:rPr>
      </w:pPr>
      <w:r>
        <w:rPr>
          <w:rFonts w:hint="eastAsia" w:ascii="宋体" w:hAnsi="宋体" w:eastAsia="宋体" w:cs="宋体"/>
          <w:b/>
          <w:color w:val="auto"/>
          <w:kern w:val="2"/>
          <w:sz w:val="21"/>
          <w:szCs w:val="21"/>
          <w:highlight w:val="none"/>
          <w:lang w:val="en-US" w:eastAsia="zh-CN" w:bidi="ar-SA"/>
        </w:rPr>
        <w:t xml:space="preserve">(一) </w:t>
      </w:r>
      <w:bookmarkStart w:id="750" w:name="_Toc463003910"/>
      <w:bookmarkStart w:id="751" w:name="_Toc2875"/>
      <w:bookmarkStart w:id="752" w:name="_Toc495304002"/>
      <w:r>
        <w:rPr>
          <w:rFonts w:hint="eastAsia" w:ascii="宋体" w:hAnsi="宋体" w:eastAsia="宋体" w:cs="宋体"/>
          <w:b/>
          <w:color w:val="auto"/>
          <w:kern w:val="2"/>
          <w:sz w:val="21"/>
          <w:szCs w:val="21"/>
          <w:highlight w:val="none"/>
          <w:lang w:val="en-US" w:eastAsia="zh-CN" w:bidi="ar-SA"/>
        </w:rPr>
        <w:t>开标一览表</w:t>
      </w:r>
      <w:bookmarkEnd w:id="750"/>
      <w:bookmarkEnd w:id="751"/>
      <w:bookmarkEnd w:id="752"/>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6015"/>
      </w:tblGrid>
      <w:tr w14:paraId="3A51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3EB948D1">
            <w:pPr>
              <w:pageBreakBefore w:val="0"/>
              <w:widowControl/>
              <w:kinsoku/>
              <w:overflowPunct/>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项目名称</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59176CA6">
            <w:pPr>
              <w:pageBreakBefore w:val="0"/>
              <w:widowControl/>
              <w:kinsoku/>
              <w:overflowPunct/>
              <w:bidi w:val="0"/>
              <w:spacing w:line="360" w:lineRule="auto"/>
              <w:jc w:val="center"/>
              <w:rPr>
                <w:rFonts w:hint="eastAsia" w:ascii="宋体" w:hAnsi="宋体" w:eastAsia="宋体" w:cs="宋体"/>
                <w:color w:val="auto"/>
                <w:szCs w:val="21"/>
                <w:highlight w:val="none"/>
              </w:rPr>
            </w:pPr>
          </w:p>
        </w:tc>
      </w:tr>
      <w:tr w14:paraId="3F14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6C0AE1DD">
            <w:pPr>
              <w:pageBreakBefore w:val="0"/>
              <w:widowControl/>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lang w:val="en-US" w:eastAsia="zh-CN"/>
              </w:rPr>
              <w:t>名称</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3D51994F">
            <w:pPr>
              <w:pageBreakBefore w:val="0"/>
              <w:widowControl/>
              <w:kinsoku/>
              <w:overflowPunct/>
              <w:bidi w:val="0"/>
              <w:spacing w:line="360" w:lineRule="auto"/>
              <w:jc w:val="center"/>
              <w:rPr>
                <w:rFonts w:hint="eastAsia" w:ascii="宋体" w:hAnsi="宋体" w:eastAsia="宋体" w:cs="宋体"/>
                <w:color w:val="auto"/>
                <w:szCs w:val="21"/>
                <w:highlight w:val="none"/>
              </w:rPr>
            </w:pPr>
          </w:p>
        </w:tc>
      </w:tr>
      <w:tr w14:paraId="3C67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30B002CB">
            <w:pPr>
              <w:pageBreakBefore w:val="0"/>
              <w:widowControl/>
              <w:kinsoku/>
              <w:overflowPunct/>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投标内容</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71B4B860">
            <w:pPr>
              <w:pageBreakBefore w:val="0"/>
              <w:widowControl/>
              <w:kinsoku/>
              <w:overflowPunct/>
              <w:bidi w:val="0"/>
              <w:spacing w:line="360" w:lineRule="auto"/>
              <w:jc w:val="center"/>
              <w:rPr>
                <w:rFonts w:hint="eastAsia" w:ascii="宋体" w:hAnsi="宋体" w:eastAsia="宋体" w:cs="宋体"/>
                <w:color w:val="auto"/>
                <w:szCs w:val="21"/>
                <w:highlight w:val="none"/>
              </w:rPr>
            </w:pPr>
          </w:p>
        </w:tc>
      </w:tr>
      <w:tr w14:paraId="6181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4204F8F4">
            <w:pPr>
              <w:pageBreakBefore w:val="0"/>
              <w:widowControl/>
              <w:kinsoku/>
              <w:overflowPunct/>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项目编号</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6F8A6293">
            <w:pPr>
              <w:pageBreakBefore w:val="0"/>
              <w:widowControl/>
              <w:kinsoku/>
              <w:overflowPunct/>
              <w:bidi w:val="0"/>
              <w:spacing w:line="360" w:lineRule="auto"/>
              <w:jc w:val="both"/>
              <w:rPr>
                <w:rFonts w:hint="eastAsia" w:ascii="宋体" w:hAnsi="宋体" w:eastAsia="宋体" w:cs="宋体"/>
                <w:b/>
                <w:bCs/>
                <w:color w:val="auto"/>
                <w:szCs w:val="21"/>
                <w:highlight w:val="none"/>
              </w:rPr>
            </w:pPr>
          </w:p>
        </w:tc>
      </w:tr>
      <w:tr w14:paraId="6110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vMerge w:val="restart"/>
            <w:tcBorders>
              <w:top w:val="single" w:color="auto" w:sz="4" w:space="0"/>
              <w:left w:val="single" w:color="auto" w:sz="4" w:space="0"/>
              <w:right w:val="single" w:color="auto" w:sz="4" w:space="0"/>
            </w:tcBorders>
            <w:noWrap w:val="0"/>
            <w:vAlign w:val="center"/>
          </w:tcPr>
          <w:p w14:paraId="3EF47A9C">
            <w:pPr>
              <w:pageBreakBefore w:val="0"/>
              <w:widowControl/>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lang w:eastAsia="zh-CN"/>
              </w:rPr>
              <w:t>报价</w:t>
            </w:r>
          </w:p>
        </w:tc>
        <w:tc>
          <w:tcPr>
            <w:tcW w:w="6015" w:type="dxa"/>
            <w:tcBorders>
              <w:top w:val="single" w:color="auto" w:sz="4" w:space="0"/>
              <w:left w:val="single" w:color="auto" w:sz="4" w:space="0"/>
              <w:right w:val="single" w:color="auto" w:sz="4" w:space="0"/>
            </w:tcBorders>
            <w:noWrap w:val="0"/>
            <w:vAlign w:val="center"/>
          </w:tcPr>
          <w:p w14:paraId="1BCCDC92">
            <w:pPr>
              <w:spacing w:line="360" w:lineRule="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小写：</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元</w:t>
            </w:r>
          </w:p>
        </w:tc>
      </w:tr>
      <w:tr w14:paraId="296B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vMerge w:val="continue"/>
            <w:tcBorders>
              <w:left w:val="single" w:color="auto" w:sz="4" w:space="0"/>
              <w:right w:val="single" w:color="auto" w:sz="4" w:space="0"/>
            </w:tcBorders>
            <w:noWrap w:val="0"/>
            <w:vAlign w:val="center"/>
          </w:tcPr>
          <w:p w14:paraId="3DAA3CD1">
            <w:pPr>
              <w:pageBreakBefore w:val="0"/>
              <w:kinsoku/>
              <w:overflowPunct/>
              <w:bidi w:val="0"/>
              <w:spacing w:line="360" w:lineRule="auto"/>
              <w:rPr>
                <w:rFonts w:hint="eastAsia" w:ascii="宋体" w:hAnsi="宋体" w:eastAsia="宋体" w:cs="宋体"/>
                <w:color w:val="auto"/>
                <w:highlight w:val="none"/>
              </w:rPr>
            </w:pPr>
          </w:p>
        </w:tc>
        <w:tc>
          <w:tcPr>
            <w:tcW w:w="6015" w:type="dxa"/>
            <w:tcBorders>
              <w:top w:val="single" w:color="auto" w:sz="4" w:space="0"/>
              <w:left w:val="single" w:color="auto" w:sz="4" w:space="0"/>
              <w:right w:val="single" w:color="auto" w:sz="4" w:space="0"/>
            </w:tcBorders>
            <w:noWrap w:val="0"/>
            <w:vAlign w:val="center"/>
          </w:tcPr>
          <w:p w14:paraId="2F819D51">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tc>
      </w:tr>
      <w:tr w14:paraId="6607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tcBorders>
              <w:top w:val="single" w:color="auto" w:sz="4" w:space="0"/>
              <w:left w:val="single" w:color="auto" w:sz="4" w:space="0"/>
              <w:right w:val="single" w:color="auto" w:sz="4" w:space="0"/>
            </w:tcBorders>
            <w:noWrap w:val="0"/>
            <w:vAlign w:val="center"/>
          </w:tcPr>
          <w:p w14:paraId="5DC4EED5">
            <w:pPr>
              <w:pageBreakBefore w:val="0"/>
              <w:widowControl/>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交货及安装调试期</w:t>
            </w:r>
          </w:p>
        </w:tc>
        <w:tc>
          <w:tcPr>
            <w:tcW w:w="6015" w:type="dxa"/>
            <w:tcBorders>
              <w:top w:val="single" w:color="auto" w:sz="4" w:space="0"/>
              <w:left w:val="single" w:color="auto" w:sz="4" w:space="0"/>
              <w:right w:val="single" w:color="auto" w:sz="4" w:space="0"/>
            </w:tcBorders>
            <w:noWrap w:val="0"/>
            <w:vAlign w:val="center"/>
          </w:tcPr>
          <w:p w14:paraId="2F54855A">
            <w:pPr>
              <w:pageBreakBefore w:val="0"/>
              <w:widowControl/>
              <w:kinsoku/>
              <w:overflowPunct/>
              <w:bidi w:val="0"/>
              <w:spacing w:line="360" w:lineRule="auto"/>
              <w:jc w:val="center"/>
              <w:rPr>
                <w:rFonts w:hint="eastAsia" w:ascii="宋体" w:hAnsi="宋体" w:eastAsia="宋体" w:cs="宋体"/>
                <w:b/>
                <w:bCs/>
                <w:color w:val="auto"/>
                <w:szCs w:val="21"/>
                <w:highlight w:val="none"/>
              </w:rPr>
            </w:pPr>
          </w:p>
        </w:tc>
      </w:tr>
      <w:tr w14:paraId="3F40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28AD537A">
            <w:pPr>
              <w:pageBreakBefore w:val="0"/>
              <w:widowControl/>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258B6945">
            <w:pPr>
              <w:pageBreakBefore w:val="0"/>
              <w:widowControl/>
              <w:kinsoku/>
              <w:overflowPunct/>
              <w:bidi w:val="0"/>
              <w:spacing w:line="360" w:lineRule="auto"/>
              <w:jc w:val="center"/>
              <w:rPr>
                <w:rFonts w:hint="eastAsia" w:ascii="宋体" w:hAnsi="宋体" w:eastAsia="宋体" w:cs="宋体"/>
                <w:color w:val="auto"/>
                <w:szCs w:val="21"/>
                <w:highlight w:val="none"/>
              </w:rPr>
            </w:pPr>
          </w:p>
        </w:tc>
      </w:tr>
      <w:tr w14:paraId="04A8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18432150">
            <w:pPr>
              <w:pageBreakBefore w:val="0"/>
              <w:widowControl/>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质量标准</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6A6F7421">
            <w:pPr>
              <w:pageBreakBefore w:val="0"/>
              <w:widowControl/>
              <w:kinsoku/>
              <w:overflowPunct/>
              <w:bidi w:val="0"/>
              <w:spacing w:line="360" w:lineRule="auto"/>
              <w:jc w:val="center"/>
              <w:rPr>
                <w:rFonts w:hint="eastAsia" w:ascii="宋体" w:hAnsi="宋体" w:eastAsia="宋体" w:cs="宋体"/>
                <w:color w:val="auto"/>
                <w:szCs w:val="21"/>
                <w:highlight w:val="none"/>
              </w:rPr>
            </w:pPr>
          </w:p>
        </w:tc>
      </w:tr>
      <w:tr w14:paraId="06B3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55136A7C">
            <w:pPr>
              <w:pageBreakBefore w:val="0"/>
              <w:widowControl/>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质量保证期</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0976D7A8">
            <w:pPr>
              <w:pageBreakBefore w:val="0"/>
              <w:widowControl/>
              <w:kinsoku/>
              <w:overflowPunct/>
              <w:bidi w:val="0"/>
              <w:spacing w:line="360" w:lineRule="auto"/>
              <w:jc w:val="center"/>
              <w:rPr>
                <w:rFonts w:hint="eastAsia" w:ascii="宋体" w:hAnsi="宋体" w:eastAsia="宋体" w:cs="宋体"/>
                <w:color w:val="auto"/>
                <w:szCs w:val="21"/>
                <w:highlight w:val="none"/>
              </w:rPr>
            </w:pPr>
          </w:p>
        </w:tc>
      </w:tr>
      <w:tr w14:paraId="24C3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2A65F9C3">
            <w:pPr>
              <w:pageBreakBefore w:val="0"/>
              <w:widowControl/>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投标有效期</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1F0D9DF8">
            <w:pPr>
              <w:pageBreakBefore w:val="0"/>
              <w:widowControl/>
              <w:kinsoku/>
              <w:overflowPunct/>
              <w:bidi w:val="0"/>
              <w:spacing w:line="360" w:lineRule="auto"/>
              <w:jc w:val="center"/>
              <w:rPr>
                <w:rFonts w:hint="eastAsia" w:ascii="宋体" w:hAnsi="宋体" w:eastAsia="宋体" w:cs="宋体"/>
                <w:color w:val="auto"/>
                <w:szCs w:val="21"/>
                <w:highlight w:val="none"/>
              </w:rPr>
            </w:pPr>
          </w:p>
        </w:tc>
      </w:tr>
      <w:tr w14:paraId="1548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5CF66521">
            <w:pPr>
              <w:pageBreakBefore w:val="0"/>
              <w:widowControl/>
              <w:kinsoku/>
              <w:overflowPunct/>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其他</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37583A6B">
            <w:pPr>
              <w:pageBreakBefore w:val="0"/>
              <w:widowControl/>
              <w:kinsoku/>
              <w:overflowPunct/>
              <w:bidi w:val="0"/>
              <w:spacing w:line="360" w:lineRule="auto"/>
              <w:jc w:val="center"/>
              <w:rPr>
                <w:rFonts w:hint="eastAsia" w:ascii="宋体" w:hAnsi="宋体" w:eastAsia="宋体" w:cs="宋体"/>
                <w:color w:val="auto"/>
                <w:szCs w:val="21"/>
                <w:highlight w:val="none"/>
              </w:rPr>
            </w:pPr>
          </w:p>
        </w:tc>
      </w:tr>
      <w:tr w14:paraId="2989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404" w:type="dxa"/>
            <w:gridSpan w:val="2"/>
            <w:tcBorders>
              <w:top w:val="single" w:color="auto" w:sz="4" w:space="0"/>
              <w:left w:val="single" w:color="auto" w:sz="4" w:space="0"/>
              <w:bottom w:val="single" w:color="auto" w:sz="4" w:space="0"/>
              <w:right w:val="single" w:color="auto" w:sz="4" w:space="0"/>
            </w:tcBorders>
            <w:noWrap w:val="0"/>
            <w:vAlign w:val="center"/>
          </w:tcPr>
          <w:p w14:paraId="775FAF3E">
            <w:pPr>
              <w:pageBreakBefore w:val="0"/>
              <w:widowControl/>
              <w:kinsoku/>
              <w:overflowPunct/>
              <w:bidi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注： </w:t>
            </w:r>
          </w:p>
          <w:p w14:paraId="054A6287">
            <w:pPr>
              <w:pageBreakBefore w:val="0"/>
              <w:widowControl/>
              <w:kinsoku/>
              <w:overflowPunct/>
              <w:bidi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1、本汇总表必须按要求认真填写，不得缺项。 </w:t>
            </w:r>
          </w:p>
          <w:p w14:paraId="5FF61724">
            <w:pPr>
              <w:widowControl w:val="0"/>
              <w:numPr>
                <w:ilvl w:val="0"/>
                <w:numId w:val="0"/>
              </w:num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2、本表投标报价应与投标文件中投标报价一览表的总报价一致。</w:t>
            </w:r>
          </w:p>
          <w:p w14:paraId="1B3A8F90">
            <w:pPr>
              <w:widowControl w:val="0"/>
              <w:numPr>
                <w:ilvl w:val="0"/>
                <w:numId w:val="0"/>
              </w:num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3、河南省公共资源交易中心系统中的开标一览表为模板，格式无法修改，以投标正文中的开标一览表为准。</w:t>
            </w:r>
          </w:p>
          <w:p w14:paraId="5779DF4D">
            <w:pPr>
              <w:pageBreakBefore w:val="0"/>
              <w:widowControl/>
              <w:kinsoku/>
              <w:overflowPunct/>
              <w:bidi w:val="0"/>
              <w:spacing w:line="360" w:lineRule="auto"/>
              <w:jc w:val="left"/>
              <w:rPr>
                <w:rFonts w:hint="eastAsia" w:ascii="宋体" w:hAnsi="宋体" w:eastAsia="宋体" w:cs="宋体"/>
                <w:color w:val="auto"/>
                <w:highlight w:val="none"/>
                <w:lang w:val="en-US"/>
              </w:rPr>
            </w:pPr>
          </w:p>
        </w:tc>
      </w:tr>
    </w:tbl>
    <w:p w14:paraId="041F5A42">
      <w:pPr>
        <w:pageBreakBefore w:val="0"/>
        <w:kinsoku/>
        <w:overflowPunct/>
        <w:bidi w:val="0"/>
        <w:spacing w:line="360" w:lineRule="auto"/>
        <w:ind w:firstLine="3360" w:firstLineChars="1600"/>
        <w:rPr>
          <w:rFonts w:hint="eastAsia" w:ascii="宋体" w:hAnsi="宋体" w:eastAsia="宋体" w:cs="宋体"/>
          <w:b w:val="0"/>
          <w:bCs/>
          <w:color w:val="auto"/>
          <w:szCs w:val="21"/>
          <w:highlight w:val="none"/>
        </w:rPr>
      </w:pP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标</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人</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盖章</w:t>
      </w:r>
      <w:r>
        <w:rPr>
          <w:rFonts w:hint="eastAsia" w:ascii="宋体" w:hAnsi="宋体" w:eastAsia="宋体" w:cs="宋体"/>
          <w:b w:val="0"/>
          <w:bCs/>
          <w:color w:val="auto"/>
          <w:szCs w:val="21"/>
          <w:highlight w:val="none"/>
        </w:rPr>
        <w:t>）</w:t>
      </w:r>
    </w:p>
    <w:p w14:paraId="3C157807">
      <w:pPr>
        <w:pageBreakBefore w:val="0"/>
        <w:kinsoku/>
        <w:overflowPunct/>
        <w:bidi w:val="0"/>
        <w:spacing w:line="360" w:lineRule="auto"/>
        <w:ind w:firstLine="3360" w:firstLineChars="16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法定代表人或其委托代理人：</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 w:val="0"/>
          <w:bCs/>
          <w:color w:val="auto"/>
          <w:szCs w:val="21"/>
          <w:highlight w:val="none"/>
        </w:rPr>
        <w:t>）</w:t>
      </w:r>
    </w:p>
    <w:p w14:paraId="2132C1C2">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firstLine="4620" w:firstLineChars="2200"/>
        <w:jc w:val="left"/>
        <w:textAlignment w:val="auto"/>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spacing w:val="43"/>
          <w:kern w:val="0"/>
          <w:sz w:val="21"/>
          <w:szCs w:val="21"/>
          <w:highlight w:val="none"/>
          <w:u w:val="single"/>
        </w:rPr>
        <w:t xml:space="preserve"> </w:t>
      </w:r>
      <w:r>
        <w:rPr>
          <w:rFonts w:hint="eastAsia" w:ascii="宋体" w:hAnsi="宋体" w:eastAsia="宋体" w:cs="宋体"/>
          <w:b w:val="0"/>
          <w:bCs/>
          <w:color w:val="auto"/>
          <w:kern w:val="0"/>
          <w:sz w:val="21"/>
          <w:szCs w:val="21"/>
          <w:highlight w:val="none"/>
        </w:rPr>
        <w:t>年</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rPr>
        <w:t>月</w:t>
      </w:r>
      <w:r>
        <w:rPr>
          <w:rFonts w:hint="eastAsia" w:ascii="宋体" w:hAnsi="宋体" w:eastAsia="宋体" w:cs="宋体"/>
          <w:b w:val="0"/>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rPr>
        <w:t>日</w:t>
      </w:r>
    </w:p>
    <w:p w14:paraId="60A8A71D">
      <w:pPr>
        <w:keepNext/>
        <w:keepLines/>
        <w:widowControl w:val="0"/>
        <w:spacing w:line="360" w:lineRule="auto"/>
        <w:ind w:left="425" w:hanging="425"/>
        <w:jc w:val="center"/>
        <w:outlineLvl w:val="2"/>
        <w:rPr>
          <w:rFonts w:hint="eastAsia" w:ascii="宋体" w:hAnsi="宋体" w:eastAsia="宋体" w:cs="宋体"/>
          <w:color w:val="auto"/>
          <w:highlight w:val="none"/>
        </w:rPr>
      </w:pPr>
      <w:r>
        <w:rPr>
          <w:rFonts w:hint="eastAsia" w:ascii="宋体" w:hAnsi="宋体" w:eastAsia="宋体" w:cs="宋体"/>
          <w:b w:val="0"/>
          <w:bCs/>
          <w:color w:val="auto"/>
          <w:kern w:val="0"/>
          <w:sz w:val="21"/>
          <w:szCs w:val="21"/>
          <w:highlight w:val="none"/>
        </w:rPr>
        <w:br w:type="page"/>
      </w:r>
      <w:r>
        <w:rPr>
          <w:rFonts w:hint="eastAsia" w:ascii="宋体" w:hAnsi="宋体" w:eastAsia="宋体" w:cs="宋体"/>
          <w:b/>
          <w:color w:val="auto"/>
          <w:kern w:val="2"/>
          <w:sz w:val="21"/>
          <w:szCs w:val="21"/>
          <w:highlight w:val="none"/>
          <w:lang w:val="en-US" w:eastAsia="zh-CN" w:bidi="ar-SA"/>
        </w:rPr>
        <w:t xml:space="preserve">(二) </w:t>
      </w:r>
      <w:bookmarkStart w:id="753" w:name="_Toc463003911"/>
      <w:bookmarkStart w:id="754" w:name="_Toc495304003"/>
      <w:bookmarkStart w:id="755" w:name="_Toc11980"/>
      <w:r>
        <w:rPr>
          <w:rFonts w:hint="eastAsia" w:ascii="宋体" w:hAnsi="宋体" w:eastAsia="宋体" w:cs="宋体"/>
          <w:b/>
          <w:color w:val="auto"/>
          <w:kern w:val="2"/>
          <w:sz w:val="21"/>
          <w:szCs w:val="21"/>
          <w:highlight w:val="none"/>
          <w:lang w:val="en-US" w:eastAsia="zh-CN" w:bidi="ar-SA"/>
        </w:rPr>
        <w:t>投标报价一览表</w:t>
      </w:r>
      <w:bookmarkEnd w:id="753"/>
      <w:bookmarkEnd w:id="754"/>
      <w:bookmarkEnd w:id="755"/>
    </w:p>
    <w:tbl>
      <w:tblPr>
        <w:tblStyle w:val="36"/>
        <w:tblW w:w="0" w:type="auto"/>
        <w:tblInd w:w="15" w:type="dxa"/>
        <w:tblLayout w:type="fixed"/>
        <w:tblCellMar>
          <w:top w:w="0" w:type="dxa"/>
          <w:left w:w="0" w:type="dxa"/>
          <w:bottom w:w="0" w:type="dxa"/>
          <w:right w:w="0" w:type="dxa"/>
        </w:tblCellMar>
      </w:tblPr>
      <w:tblGrid>
        <w:gridCol w:w="1080"/>
        <w:gridCol w:w="5314"/>
        <w:gridCol w:w="1380"/>
        <w:gridCol w:w="1290"/>
      </w:tblGrid>
      <w:tr w14:paraId="3D254473">
        <w:tblPrEx>
          <w:tblCellMar>
            <w:top w:w="0" w:type="dxa"/>
            <w:left w:w="0" w:type="dxa"/>
            <w:bottom w:w="0" w:type="dxa"/>
            <w:right w:w="0" w:type="dxa"/>
          </w:tblCellMar>
        </w:tblPrEx>
        <w:trPr>
          <w:trHeight w:val="506" w:hRule="atLeast"/>
        </w:trPr>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8A6BB8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531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A8516C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13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D6E39B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12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8090E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9750F78">
        <w:tblPrEx>
          <w:tblCellMar>
            <w:top w:w="0" w:type="dxa"/>
            <w:left w:w="0" w:type="dxa"/>
            <w:bottom w:w="0" w:type="dxa"/>
            <w:right w:w="0"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BE991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314"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7AC254A">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设备费</w:t>
            </w:r>
          </w:p>
        </w:tc>
        <w:tc>
          <w:tcPr>
            <w:tcW w:w="13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E739E7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1416D7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41A099A">
        <w:tblPrEx>
          <w:tblCellMar>
            <w:top w:w="0" w:type="dxa"/>
            <w:left w:w="0" w:type="dxa"/>
            <w:bottom w:w="0" w:type="dxa"/>
            <w:right w:w="0"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8AAF70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5314"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9E09252">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备品备件和专用工具费</w:t>
            </w:r>
          </w:p>
        </w:tc>
        <w:tc>
          <w:tcPr>
            <w:tcW w:w="13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4A3687B">
            <w:pPr>
              <w:rPr>
                <w:rFonts w:hint="eastAsia" w:ascii="宋体" w:hAnsi="宋体" w:eastAsia="宋体" w:cs="宋体"/>
                <w:color w:val="auto"/>
                <w:szCs w:val="21"/>
                <w:highlight w:val="none"/>
              </w:rPr>
            </w:pP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F1FE542">
            <w:pPr>
              <w:rPr>
                <w:rFonts w:hint="eastAsia" w:ascii="宋体" w:hAnsi="宋体" w:eastAsia="宋体" w:cs="宋体"/>
                <w:color w:val="auto"/>
                <w:szCs w:val="21"/>
                <w:highlight w:val="none"/>
              </w:rPr>
            </w:pPr>
          </w:p>
        </w:tc>
      </w:tr>
      <w:tr w14:paraId="0DD6A372">
        <w:tblPrEx>
          <w:tblCellMar>
            <w:top w:w="0" w:type="dxa"/>
            <w:left w:w="0" w:type="dxa"/>
            <w:bottom w:w="0" w:type="dxa"/>
            <w:right w:w="0"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43BC170">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5314" w:type="dxa"/>
            <w:tcBorders>
              <w:top w:val="nil"/>
              <w:left w:val="nil"/>
              <w:bottom w:val="single" w:color="auto" w:sz="4" w:space="0"/>
              <w:right w:val="nil"/>
            </w:tcBorders>
            <w:noWrap w:val="0"/>
            <w:tcMar>
              <w:top w:w="15" w:type="dxa"/>
              <w:left w:w="15" w:type="dxa"/>
              <w:bottom w:w="0" w:type="dxa"/>
              <w:right w:w="15" w:type="dxa"/>
            </w:tcMar>
            <w:vAlign w:val="bottom"/>
          </w:tcPr>
          <w:p w14:paraId="4DE5D2E9">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检验费及伴随的消耗材料费</w:t>
            </w:r>
          </w:p>
        </w:tc>
        <w:tc>
          <w:tcPr>
            <w:tcW w:w="13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A57956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DA4FA6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18DE7F13">
        <w:tblPrEx>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A6CDDF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5314" w:type="dxa"/>
            <w:tcBorders>
              <w:top w:val="single" w:color="auto" w:sz="4" w:space="0"/>
              <w:left w:val="nil"/>
              <w:bottom w:val="nil"/>
              <w:right w:val="nil"/>
            </w:tcBorders>
            <w:noWrap w:val="0"/>
            <w:tcMar>
              <w:top w:w="15" w:type="dxa"/>
              <w:left w:w="15" w:type="dxa"/>
              <w:bottom w:w="0" w:type="dxa"/>
              <w:right w:w="15" w:type="dxa"/>
            </w:tcMar>
            <w:vAlign w:val="bottom"/>
          </w:tcPr>
          <w:p w14:paraId="40E5C657">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技术服务费（安装、调试、试车、运行等）</w:t>
            </w:r>
          </w:p>
        </w:tc>
        <w:tc>
          <w:tcPr>
            <w:tcW w:w="13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43E4AE4">
            <w:pPr>
              <w:rPr>
                <w:rFonts w:hint="eastAsia" w:ascii="宋体" w:hAnsi="宋体" w:eastAsia="宋体" w:cs="宋体"/>
                <w:color w:val="auto"/>
                <w:szCs w:val="21"/>
                <w:highlight w:val="none"/>
              </w:rPr>
            </w:pP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104302B">
            <w:pPr>
              <w:rPr>
                <w:rFonts w:hint="eastAsia" w:ascii="宋体" w:hAnsi="宋体" w:eastAsia="宋体" w:cs="宋体"/>
                <w:color w:val="auto"/>
                <w:szCs w:val="21"/>
                <w:highlight w:val="none"/>
              </w:rPr>
            </w:pPr>
          </w:p>
        </w:tc>
      </w:tr>
      <w:tr w14:paraId="1DD802B0">
        <w:tblPrEx>
          <w:tblCellMar>
            <w:top w:w="0" w:type="dxa"/>
            <w:left w:w="0" w:type="dxa"/>
            <w:bottom w:w="0" w:type="dxa"/>
            <w:right w:w="0"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F820FAD">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531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98879B1">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培训费</w:t>
            </w:r>
          </w:p>
        </w:tc>
        <w:tc>
          <w:tcPr>
            <w:tcW w:w="13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5EE71B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11E59D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6F80B96">
        <w:tblPrEx>
          <w:tblCellMar>
            <w:top w:w="0" w:type="dxa"/>
            <w:left w:w="0" w:type="dxa"/>
            <w:bottom w:w="0" w:type="dxa"/>
            <w:right w:w="0"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578B2563">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5314"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041C552">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运费和保险费</w:t>
            </w:r>
          </w:p>
        </w:tc>
        <w:tc>
          <w:tcPr>
            <w:tcW w:w="13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34C7D1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6827D5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637A07C">
        <w:tblPrEx>
          <w:tblCellMar>
            <w:top w:w="0" w:type="dxa"/>
            <w:left w:w="0" w:type="dxa"/>
            <w:bottom w:w="0" w:type="dxa"/>
            <w:right w:w="0"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717C0EF">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5314"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DF3D280">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其他相关服务费</w:t>
            </w:r>
          </w:p>
        </w:tc>
        <w:tc>
          <w:tcPr>
            <w:tcW w:w="13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B6FD3A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082397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10BD0061">
        <w:tblPrEx>
          <w:tblCellMar>
            <w:top w:w="0" w:type="dxa"/>
            <w:left w:w="0" w:type="dxa"/>
            <w:bottom w:w="0" w:type="dxa"/>
            <w:right w:w="0" w:type="dxa"/>
          </w:tblCellMar>
        </w:tblPrEx>
        <w:trPr>
          <w:trHeight w:val="439" w:hRule="atLeast"/>
        </w:trPr>
        <w:tc>
          <w:tcPr>
            <w:tcW w:w="1080" w:type="dxa"/>
            <w:tcBorders>
              <w:top w:val="nil"/>
              <w:left w:val="single" w:color="auto" w:sz="4" w:space="0"/>
              <w:bottom w:val="nil"/>
              <w:right w:val="single" w:color="auto" w:sz="4" w:space="0"/>
            </w:tcBorders>
            <w:noWrap w:val="0"/>
            <w:tcMar>
              <w:top w:w="15" w:type="dxa"/>
              <w:left w:w="15" w:type="dxa"/>
              <w:bottom w:w="0" w:type="dxa"/>
              <w:right w:w="15" w:type="dxa"/>
            </w:tcMar>
            <w:vAlign w:val="bottom"/>
          </w:tcPr>
          <w:p w14:paraId="6F294FF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531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810DBAB">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税费</w:t>
            </w:r>
          </w:p>
        </w:tc>
        <w:tc>
          <w:tcPr>
            <w:tcW w:w="13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B75118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EB4A81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1800DFC6">
        <w:tblPrEx>
          <w:tblCellMar>
            <w:top w:w="0" w:type="dxa"/>
            <w:left w:w="0" w:type="dxa"/>
            <w:bottom w:w="0" w:type="dxa"/>
            <w:right w:w="0" w:type="dxa"/>
          </w:tblCellMar>
        </w:tblPrEx>
        <w:trPr>
          <w:trHeight w:val="643" w:hRule="atLeast"/>
        </w:trPr>
        <w:tc>
          <w:tcPr>
            <w:tcW w:w="6394" w:type="dxa"/>
            <w:gridSpan w:val="2"/>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bottom"/>
          </w:tcPr>
          <w:p w14:paraId="6AF4D6C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               计  （1+2+3+4+5+6+7+8）</w:t>
            </w:r>
          </w:p>
        </w:tc>
        <w:tc>
          <w:tcPr>
            <w:tcW w:w="13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305300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2032BA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554A7CBB">
      <w:pPr>
        <w:rPr>
          <w:rFonts w:hint="eastAsia" w:ascii="宋体" w:hAnsi="宋体" w:eastAsia="宋体" w:cs="宋体"/>
          <w:color w:val="auto"/>
          <w:szCs w:val="21"/>
          <w:highlight w:val="none"/>
        </w:rPr>
      </w:pPr>
    </w:p>
    <w:p w14:paraId="34D76893">
      <w:pPr>
        <w:spacing w:line="480" w:lineRule="exact"/>
        <w:ind w:firstLine="3360" w:firstLineChars="1600"/>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（盖章）</w:t>
      </w:r>
    </w:p>
    <w:p w14:paraId="6569679E">
      <w:pPr>
        <w:spacing w:line="480" w:lineRule="exact"/>
        <w:ind w:firstLine="3360" w:firstLineChars="16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法定代表人或其委托代理人：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Cs/>
          <w:color w:val="auto"/>
          <w:szCs w:val="21"/>
          <w:highlight w:val="none"/>
        </w:rPr>
        <w:t>）</w:t>
      </w:r>
    </w:p>
    <w:p w14:paraId="687204F2">
      <w:pPr>
        <w:tabs>
          <w:tab w:val="left" w:pos="5380"/>
          <w:tab w:val="left" w:pos="6520"/>
          <w:tab w:val="left" w:pos="7680"/>
        </w:tabs>
        <w:autoSpaceDE w:val="0"/>
        <w:autoSpaceDN w:val="0"/>
        <w:adjustRightInd w:val="0"/>
        <w:spacing w:line="380" w:lineRule="exact"/>
        <w:ind w:right="-23" w:firstLine="4620" w:firstLineChars="2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spacing w:val="43"/>
          <w:kern w:val="0"/>
          <w:szCs w:val="21"/>
          <w:highlight w:val="none"/>
          <w:u w:val="single"/>
        </w:rPr>
        <w:t xml:space="preserve"> </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日</w:t>
      </w:r>
    </w:p>
    <w:p w14:paraId="14E33707">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firstLine="4620" w:firstLineChars="2200"/>
        <w:jc w:val="left"/>
        <w:textAlignment w:val="auto"/>
        <w:outlineLvl w:val="9"/>
        <w:rPr>
          <w:rFonts w:hint="eastAsia" w:ascii="宋体" w:hAnsi="宋体" w:eastAsia="宋体" w:cs="宋体"/>
          <w:b w:val="0"/>
          <w:bCs/>
          <w:color w:val="auto"/>
          <w:kern w:val="0"/>
          <w:sz w:val="21"/>
          <w:szCs w:val="21"/>
          <w:highlight w:val="none"/>
        </w:rPr>
      </w:pPr>
    </w:p>
    <w:p w14:paraId="16741CD4">
      <w:pPr>
        <w:pageBreakBefore w:val="0"/>
        <w:kinsoku/>
        <w:overflowPunct/>
        <w:autoSpaceDE w:val="0"/>
        <w:autoSpaceDN w:val="0"/>
        <w:bidi w:val="0"/>
        <w:adjustRightInd w:val="0"/>
        <w:spacing w:line="360" w:lineRule="auto"/>
        <w:ind w:left="210" w:leftChars="100"/>
        <w:jc w:val="center"/>
        <w:rPr>
          <w:rFonts w:hint="eastAsia" w:ascii="宋体" w:hAnsi="宋体" w:eastAsia="宋体" w:cs="宋体"/>
          <w:color w:val="auto"/>
          <w:szCs w:val="21"/>
          <w:highlight w:val="none"/>
        </w:rPr>
        <w:sectPr>
          <w:footerReference r:id="rId11" w:type="first"/>
          <w:headerReference r:id="rId9" w:type="default"/>
          <w:footerReference r:id="rId10" w:type="even"/>
          <w:pgSz w:w="11906" w:h="16838"/>
          <w:pgMar w:top="1304" w:right="1797" w:bottom="1304" w:left="1797" w:header="851" w:footer="754" w:gutter="0"/>
          <w:pgNumType w:fmt="decimal"/>
          <w:cols w:space="720" w:num="1"/>
          <w:rtlGutter w:val="0"/>
          <w:docGrid w:type="lines" w:linePitch="312" w:charSpace="0"/>
        </w:sectPr>
      </w:pPr>
    </w:p>
    <w:p w14:paraId="71520993">
      <w:pPr>
        <w:bidi w:val="0"/>
        <w:rPr>
          <w:rFonts w:hint="eastAsia" w:ascii="宋体" w:hAnsi="宋体" w:eastAsia="宋体" w:cs="宋体"/>
          <w:color w:val="auto"/>
          <w:highlight w:val="none"/>
          <w:lang w:val="en-US" w:eastAsia="zh-CN"/>
        </w:rPr>
      </w:pPr>
      <w:bookmarkStart w:id="756" w:name="_Toc495304004"/>
      <w:bookmarkStart w:id="757" w:name="_Toc23444"/>
      <w:bookmarkStart w:id="758" w:name="_Toc463003912"/>
    </w:p>
    <w:p w14:paraId="3D063BA0">
      <w:pPr>
        <w:keepNext/>
        <w:keepLines/>
        <w:widowControl w:val="0"/>
        <w:spacing w:line="360" w:lineRule="auto"/>
        <w:ind w:left="425" w:hanging="425"/>
        <w:jc w:val="center"/>
        <w:outlineLvl w:val="2"/>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(三) 备件、专用工具和消耗品价格表</w:t>
      </w:r>
      <w:bookmarkEnd w:id="756"/>
      <w:bookmarkEnd w:id="757"/>
      <w:bookmarkEnd w:id="758"/>
    </w:p>
    <w:tbl>
      <w:tblPr>
        <w:tblStyle w:val="36"/>
        <w:tblW w:w="9791" w:type="dxa"/>
        <w:jc w:val="center"/>
        <w:tblLayout w:type="fixed"/>
        <w:tblCellMar>
          <w:top w:w="0" w:type="dxa"/>
          <w:left w:w="0" w:type="dxa"/>
          <w:bottom w:w="0" w:type="dxa"/>
          <w:right w:w="0" w:type="dxa"/>
        </w:tblCellMar>
      </w:tblPr>
      <w:tblGrid>
        <w:gridCol w:w="1349"/>
        <w:gridCol w:w="1707"/>
        <w:gridCol w:w="2222"/>
        <w:gridCol w:w="1023"/>
        <w:gridCol w:w="698"/>
        <w:gridCol w:w="698"/>
        <w:gridCol w:w="698"/>
        <w:gridCol w:w="698"/>
        <w:gridCol w:w="698"/>
      </w:tblGrid>
      <w:tr w14:paraId="4708373C">
        <w:tblPrEx>
          <w:tblCellMar>
            <w:top w:w="0" w:type="dxa"/>
            <w:left w:w="0" w:type="dxa"/>
            <w:bottom w:w="0" w:type="dxa"/>
            <w:right w:w="0" w:type="dxa"/>
          </w:tblCellMar>
        </w:tblPrEx>
        <w:trPr>
          <w:trHeight w:val="90" w:hRule="atLeast"/>
          <w:jc w:val="center"/>
        </w:trPr>
        <w:tc>
          <w:tcPr>
            <w:tcW w:w="134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FC12798">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0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F28451F">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22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B57FAE2">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02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DE01214">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制造商</w:t>
            </w:r>
          </w:p>
        </w:tc>
        <w:tc>
          <w:tcPr>
            <w:tcW w:w="69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F8347A3">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9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6E3D281">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69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5A6DBBD">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69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0CDD9FF">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69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47FF076">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8CC5F76">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02758398">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5154FE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69D0171">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45082ED">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9FB55FB">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68ECA03">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D3956DD">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0DA8F4D">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DF28A98">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6689BB3">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269DB3D">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92229CF">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84C59AB">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DE580AC">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04B33F6">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F1EDB6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B28F9B2">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4A3C87D">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2B10C9C">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3DBCAC6">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5D43B03A">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806C156">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0EA6FFE">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E1A4626">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CE5B406">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96722B6">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43FCFA7">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5F553A8">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48914C5">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091DBF4">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B9A56F9">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1DC81E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2AD2EA2">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B0C3F1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71D3B2D">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5707C33">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682C1FC">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B42EF8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CECFA1B">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7065C42">
        <w:tblPrEx>
          <w:tblCellMar>
            <w:top w:w="0" w:type="dxa"/>
            <w:left w:w="0" w:type="dxa"/>
            <w:bottom w:w="0" w:type="dxa"/>
            <w:right w:w="0" w:type="dxa"/>
          </w:tblCellMar>
        </w:tblPrEx>
        <w:trPr>
          <w:trHeight w:val="90"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30D4FB7">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782A0AF">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A32110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F68BFA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B37BEAB">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29393F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F9BE017">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BF22F6A">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E4FAFE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02E6E24">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545A7B22">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AAD606B">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9C6D39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3687E32">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5816749">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C1C3A8D">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B62186B">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65C5CF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DA3B088">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872E5EE">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21B6A3C">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B82C902">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DDE7852">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F1438A6">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4698B3D">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F762D3B">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957AC9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9AB105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3A7354F">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5C20EB5">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F27094A">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F00292F">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5E81C3C">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9802C06">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20D803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DF19C31">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3AE81C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80783E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FD10F8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9683EE3">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C2ABCA8">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2F07CDB">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581E66D">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3CA179E">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C2726A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C052D56">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2EBD493">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D8FD7BE">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5178713">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91F4C10">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0B7DB29B">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9230842">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978F3CA">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5EAB19E">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934BC4F">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8D1FF36">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62B1907">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E08FE59">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2BD7353">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749448A">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F6498F1">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DF6A3A7">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E7CE2E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FE6A1FE">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49950D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28000A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73C8E03">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02F6907">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DAA01BA">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60508F6">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2C6F7947">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FFA4261">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8920639">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7E1D29D">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F6E4F38">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44C5A2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4AE9EF9">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3D9BF3E">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C26D65B">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E074CB5">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869373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A5036AD">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5A1E9D6">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7E9D1F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74DEAD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1C996D9">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7DE3F53">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F1EF76B">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68B0623">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6CC9353">
        <w:tblPrEx>
          <w:tblCellMar>
            <w:top w:w="0" w:type="dxa"/>
            <w:left w:w="0" w:type="dxa"/>
            <w:bottom w:w="0" w:type="dxa"/>
            <w:right w:w="0" w:type="dxa"/>
          </w:tblCellMar>
        </w:tblPrEx>
        <w:trPr>
          <w:trHeight w:val="285" w:hRule="atLeast"/>
          <w:jc w:val="center"/>
        </w:trPr>
        <w:tc>
          <w:tcPr>
            <w:tcW w:w="134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5CB7BAB">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707"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26CC54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22"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AC9F8BA">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23"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7EACE7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CEA3E53">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5B7E58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A8568D8">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DF62CA8">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98"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0CED41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5A95E7D">
        <w:tblPrEx>
          <w:tblCellMar>
            <w:top w:w="0" w:type="dxa"/>
            <w:left w:w="0" w:type="dxa"/>
            <w:bottom w:w="0" w:type="dxa"/>
            <w:right w:w="0" w:type="dxa"/>
          </w:tblCellMar>
        </w:tblPrEx>
        <w:trPr>
          <w:trHeight w:val="540" w:hRule="atLeast"/>
          <w:jc w:val="center"/>
        </w:trPr>
        <w:tc>
          <w:tcPr>
            <w:tcW w:w="1349" w:type="dxa"/>
            <w:tcBorders>
              <w:top w:val="nil"/>
              <w:left w:val="nil"/>
              <w:bottom w:val="nil"/>
              <w:right w:val="nil"/>
            </w:tcBorders>
            <w:noWrap w:val="0"/>
            <w:tcMar>
              <w:top w:w="15" w:type="dxa"/>
              <w:left w:w="15" w:type="dxa"/>
              <w:bottom w:w="0" w:type="dxa"/>
              <w:right w:w="15" w:type="dxa"/>
            </w:tcMar>
            <w:vAlign w:val="bottom"/>
          </w:tcPr>
          <w:p w14:paraId="5114CB59">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c>
          <w:tcPr>
            <w:tcW w:w="6348" w:type="dxa"/>
            <w:gridSpan w:val="5"/>
            <w:tcBorders>
              <w:top w:val="nil"/>
              <w:left w:val="nil"/>
              <w:bottom w:val="nil"/>
              <w:right w:val="nil"/>
            </w:tcBorders>
            <w:noWrap w:val="0"/>
            <w:tcMar>
              <w:top w:w="15" w:type="dxa"/>
              <w:left w:w="15" w:type="dxa"/>
              <w:bottom w:w="0" w:type="dxa"/>
              <w:right w:w="15" w:type="dxa"/>
            </w:tcMar>
            <w:vAlign w:val="bottom"/>
          </w:tcPr>
          <w:p w14:paraId="34532F3F">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此表名称栏填写备件、专用工具和消耗品名称。</w:t>
            </w:r>
          </w:p>
        </w:tc>
        <w:tc>
          <w:tcPr>
            <w:tcW w:w="698" w:type="dxa"/>
            <w:tcBorders>
              <w:top w:val="nil"/>
              <w:left w:val="nil"/>
              <w:bottom w:val="nil"/>
              <w:right w:val="nil"/>
            </w:tcBorders>
            <w:noWrap w:val="0"/>
            <w:tcMar>
              <w:top w:w="15" w:type="dxa"/>
              <w:left w:w="15" w:type="dxa"/>
              <w:bottom w:w="0" w:type="dxa"/>
              <w:right w:w="15" w:type="dxa"/>
            </w:tcMar>
            <w:vAlign w:val="bottom"/>
          </w:tcPr>
          <w:p w14:paraId="1315744D">
            <w:pPr>
              <w:pageBreakBefore w:val="0"/>
              <w:kinsoku/>
              <w:overflowPunct/>
              <w:bidi w:val="0"/>
              <w:spacing w:line="360" w:lineRule="auto"/>
              <w:rPr>
                <w:rFonts w:hint="eastAsia" w:ascii="宋体" w:hAnsi="宋体" w:eastAsia="宋体" w:cs="宋体"/>
                <w:color w:val="auto"/>
                <w:szCs w:val="21"/>
                <w:highlight w:val="none"/>
              </w:rPr>
            </w:pPr>
          </w:p>
        </w:tc>
        <w:tc>
          <w:tcPr>
            <w:tcW w:w="698" w:type="dxa"/>
            <w:tcBorders>
              <w:top w:val="nil"/>
              <w:left w:val="nil"/>
              <w:bottom w:val="nil"/>
              <w:right w:val="nil"/>
            </w:tcBorders>
            <w:noWrap w:val="0"/>
            <w:tcMar>
              <w:top w:w="15" w:type="dxa"/>
              <w:left w:w="15" w:type="dxa"/>
              <w:bottom w:w="0" w:type="dxa"/>
              <w:right w:w="15" w:type="dxa"/>
            </w:tcMar>
            <w:vAlign w:val="bottom"/>
          </w:tcPr>
          <w:p w14:paraId="5AA12215">
            <w:pPr>
              <w:pageBreakBefore w:val="0"/>
              <w:kinsoku/>
              <w:overflowPunct/>
              <w:bidi w:val="0"/>
              <w:spacing w:line="360" w:lineRule="auto"/>
              <w:rPr>
                <w:rFonts w:hint="eastAsia" w:ascii="宋体" w:hAnsi="宋体" w:eastAsia="宋体" w:cs="宋体"/>
                <w:color w:val="auto"/>
                <w:szCs w:val="21"/>
                <w:highlight w:val="none"/>
              </w:rPr>
            </w:pPr>
          </w:p>
        </w:tc>
        <w:tc>
          <w:tcPr>
            <w:tcW w:w="698" w:type="dxa"/>
            <w:tcBorders>
              <w:top w:val="nil"/>
              <w:left w:val="nil"/>
              <w:bottom w:val="nil"/>
              <w:right w:val="nil"/>
            </w:tcBorders>
            <w:noWrap w:val="0"/>
            <w:tcMar>
              <w:top w:w="15" w:type="dxa"/>
              <w:left w:w="15" w:type="dxa"/>
              <w:bottom w:w="0" w:type="dxa"/>
              <w:right w:w="15" w:type="dxa"/>
            </w:tcMar>
            <w:vAlign w:val="bottom"/>
          </w:tcPr>
          <w:p w14:paraId="4397596A">
            <w:pPr>
              <w:pageBreakBefore w:val="0"/>
              <w:kinsoku/>
              <w:overflowPunct/>
              <w:bidi w:val="0"/>
              <w:spacing w:line="360" w:lineRule="auto"/>
              <w:rPr>
                <w:rFonts w:hint="eastAsia" w:ascii="宋体" w:hAnsi="宋体" w:eastAsia="宋体" w:cs="宋体"/>
                <w:color w:val="auto"/>
                <w:szCs w:val="21"/>
                <w:highlight w:val="none"/>
              </w:rPr>
            </w:pPr>
          </w:p>
        </w:tc>
      </w:tr>
      <w:tr w14:paraId="24C064CF">
        <w:tblPrEx>
          <w:tblCellMar>
            <w:top w:w="0" w:type="dxa"/>
            <w:left w:w="0" w:type="dxa"/>
            <w:bottom w:w="0" w:type="dxa"/>
            <w:right w:w="0" w:type="dxa"/>
          </w:tblCellMar>
        </w:tblPrEx>
        <w:trPr>
          <w:trHeight w:val="540" w:hRule="atLeast"/>
          <w:jc w:val="center"/>
        </w:trPr>
        <w:tc>
          <w:tcPr>
            <w:tcW w:w="1349" w:type="dxa"/>
            <w:tcBorders>
              <w:top w:val="nil"/>
              <w:left w:val="nil"/>
              <w:bottom w:val="nil"/>
              <w:right w:val="nil"/>
            </w:tcBorders>
            <w:noWrap w:val="0"/>
            <w:tcMar>
              <w:top w:w="15" w:type="dxa"/>
              <w:left w:w="15" w:type="dxa"/>
              <w:bottom w:w="0" w:type="dxa"/>
              <w:right w:w="15" w:type="dxa"/>
            </w:tcMar>
            <w:vAlign w:val="bottom"/>
          </w:tcPr>
          <w:p w14:paraId="0F8864C2">
            <w:pPr>
              <w:pageBreakBefore w:val="0"/>
              <w:kinsoku/>
              <w:overflowPunct/>
              <w:bidi w:val="0"/>
              <w:spacing w:line="360" w:lineRule="auto"/>
              <w:rPr>
                <w:rFonts w:hint="eastAsia" w:ascii="宋体" w:hAnsi="宋体" w:eastAsia="宋体" w:cs="宋体"/>
                <w:color w:val="auto"/>
                <w:szCs w:val="21"/>
                <w:highlight w:val="none"/>
              </w:rPr>
            </w:pPr>
          </w:p>
        </w:tc>
        <w:tc>
          <w:tcPr>
            <w:tcW w:w="6348" w:type="dxa"/>
            <w:gridSpan w:val="5"/>
            <w:tcBorders>
              <w:top w:val="nil"/>
              <w:left w:val="nil"/>
              <w:bottom w:val="nil"/>
              <w:right w:val="nil"/>
            </w:tcBorders>
            <w:noWrap w:val="0"/>
            <w:tcMar>
              <w:top w:w="15" w:type="dxa"/>
              <w:left w:w="15" w:type="dxa"/>
              <w:bottom w:w="0" w:type="dxa"/>
              <w:right w:w="15" w:type="dxa"/>
            </w:tcMar>
            <w:vAlign w:val="bottom"/>
          </w:tcPr>
          <w:p w14:paraId="49B18AC6">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备品、专用工具和消耗品分类、分项填写。</w:t>
            </w:r>
          </w:p>
        </w:tc>
        <w:tc>
          <w:tcPr>
            <w:tcW w:w="698" w:type="dxa"/>
            <w:tcBorders>
              <w:top w:val="nil"/>
              <w:left w:val="nil"/>
              <w:bottom w:val="nil"/>
              <w:right w:val="nil"/>
            </w:tcBorders>
            <w:noWrap w:val="0"/>
            <w:tcMar>
              <w:top w:w="15" w:type="dxa"/>
              <w:left w:w="15" w:type="dxa"/>
              <w:bottom w:w="0" w:type="dxa"/>
              <w:right w:w="15" w:type="dxa"/>
            </w:tcMar>
            <w:vAlign w:val="bottom"/>
          </w:tcPr>
          <w:p w14:paraId="65148B87">
            <w:pPr>
              <w:pageBreakBefore w:val="0"/>
              <w:kinsoku/>
              <w:overflowPunct/>
              <w:bidi w:val="0"/>
              <w:spacing w:line="360" w:lineRule="auto"/>
              <w:rPr>
                <w:rFonts w:hint="eastAsia" w:ascii="宋体" w:hAnsi="宋体" w:eastAsia="宋体" w:cs="宋体"/>
                <w:color w:val="auto"/>
                <w:szCs w:val="21"/>
                <w:highlight w:val="none"/>
              </w:rPr>
            </w:pPr>
          </w:p>
        </w:tc>
        <w:tc>
          <w:tcPr>
            <w:tcW w:w="698" w:type="dxa"/>
            <w:tcBorders>
              <w:top w:val="nil"/>
              <w:left w:val="nil"/>
              <w:bottom w:val="nil"/>
              <w:right w:val="nil"/>
            </w:tcBorders>
            <w:noWrap w:val="0"/>
            <w:tcMar>
              <w:top w:w="15" w:type="dxa"/>
              <w:left w:w="15" w:type="dxa"/>
              <w:bottom w:w="0" w:type="dxa"/>
              <w:right w:w="15" w:type="dxa"/>
            </w:tcMar>
            <w:vAlign w:val="bottom"/>
          </w:tcPr>
          <w:p w14:paraId="7ADA3E66">
            <w:pPr>
              <w:pageBreakBefore w:val="0"/>
              <w:kinsoku/>
              <w:overflowPunct/>
              <w:bidi w:val="0"/>
              <w:spacing w:line="360" w:lineRule="auto"/>
              <w:rPr>
                <w:rFonts w:hint="eastAsia" w:ascii="宋体" w:hAnsi="宋体" w:eastAsia="宋体" w:cs="宋体"/>
                <w:color w:val="auto"/>
                <w:szCs w:val="21"/>
                <w:highlight w:val="none"/>
              </w:rPr>
            </w:pPr>
          </w:p>
        </w:tc>
        <w:tc>
          <w:tcPr>
            <w:tcW w:w="698" w:type="dxa"/>
            <w:tcBorders>
              <w:top w:val="nil"/>
              <w:left w:val="nil"/>
              <w:bottom w:val="nil"/>
              <w:right w:val="nil"/>
            </w:tcBorders>
            <w:noWrap w:val="0"/>
            <w:tcMar>
              <w:top w:w="15" w:type="dxa"/>
              <w:left w:w="15" w:type="dxa"/>
              <w:bottom w:w="0" w:type="dxa"/>
              <w:right w:w="15" w:type="dxa"/>
            </w:tcMar>
            <w:vAlign w:val="bottom"/>
          </w:tcPr>
          <w:p w14:paraId="66C01114">
            <w:pPr>
              <w:pageBreakBefore w:val="0"/>
              <w:kinsoku/>
              <w:overflowPunct/>
              <w:bidi w:val="0"/>
              <w:spacing w:line="360" w:lineRule="auto"/>
              <w:rPr>
                <w:rFonts w:hint="eastAsia" w:ascii="宋体" w:hAnsi="宋体" w:eastAsia="宋体" w:cs="宋体"/>
                <w:color w:val="auto"/>
                <w:szCs w:val="21"/>
                <w:highlight w:val="none"/>
              </w:rPr>
            </w:pPr>
          </w:p>
        </w:tc>
      </w:tr>
    </w:tbl>
    <w:p w14:paraId="6195BB13">
      <w:pPr>
        <w:pageBreakBefore w:val="0"/>
        <w:kinsoku/>
        <w:overflowPunct/>
        <w:bidi w:val="0"/>
        <w:spacing w:line="360" w:lineRule="auto"/>
        <w:rPr>
          <w:rFonts w:hint="eastAsia" w:ascii="宋体" w:hAnsi="宋体" w:eastAsia="宋体" w:cs="宋体"/>
          <w:color w:val="auto"/>
          <w:szCs w:val="21"/>
          <w:highlight w:val="none"/>
        </w:rPr>
      </w:pPr>
    </w:p>
    <w:p w14:paraId="4C0AE44F">
      <w:pPr>
        <w:pageBreakBefore w:val="0"/>
        <w:kinsoku/>
        <w:overflowPunct/>
        <w:bidi w:val="0"/>
        <w:spacing w:line="360" w:lineRule="auto"/>
        <w:rPr>
          <w:rFonts w:hint="eastAsia" w:ascii="宋体" w:hAnsi="宋体" w:eastAsia="宋体" w:cs="宋体"/>
          <w:color w:val="auto"/>
          <w:szCs w:val="21"/>
          <w:highlight w:val="none"/>
        </w:rPr>
      </w:pPr>
    </w:p>
    <w:p w14:paraId="3CD2860E">
      <w:pPr>
        <w:pageBreakBefore w:val="0"/>
        <w:kinsoku/>
        <w:overflowPunct/>
        <w:bidi w:val="0"/>
        <w:spacing w:line="360" w:lineRule="auto"/>
        <w:ind w:firstLine="3360" w:firstLineChars="1600"/>
        <w:rPr>
          <w:rFonts w:hint="eastAsia" w:ascii="宋体" w:hAnsi="宋体" w:eastAsia="宋体" w:cs="宋体"/>
          <w:b w:val="0"/>
          <w:bCs/>
          <w:color w:val="auto"/>
          <w:szCs w:val="21"/>
          <w:highlight w:val="none"/>
        </w:rPr>
      </w:pP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标</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人</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盖章</w:t>
      </w:r>
      <w:r>
        <w:rPr>
          <w:rFonts w:hint="eastAsia" w:ascii="宋体" w:hAnsi="宋体" w:eastAsia="宋体" w:cs="宋体"/>
          <w:b w:val="0"/>
          <w:bCs/>
          <w:color w:val="auto"/>
          <w:szCs w:val="21"/>
          <w:highlight w:val="none"/>
        </w:rPr>
        <w:t>）</w:t>
      </w:r>
    </w:p>
    <w:p w14:paraId="137356EE">
      <w:pPr>
        <w:pageBreakBefore w:val="0"/>
        <w:kinsoku/>
        <w:overflowPunct/>
        <w:bidi w:val="0"/>
        <w:spacing w:line="360" w:lineRule="auto"/>
        <w:ind w:firstLine="3360" w:firstLineChars="16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法定代表人或其委托代理人：</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 w:val="0"/>
          <w:bCs/>
          <w:color w:val="auto"/>
          <w:szCs w:val="21"/>
          <w:highlight w:val="none"/>
        </w:rPr>
        <w:t>）</w:t>
      </w:r>
    </w:p>
    <w:p w14:paraId="4D00D82B">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firstLine="4620" w:firstLineChars="2200"/>
        <w:jc w:val="left"/>
        <w:textAlignment w:val="auto"/>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spacing w:val="43"/>
          <w:kern w:val="0"/>
          <w:sz w:val="21"/>
          <w:szCs w:val="21"/>
          <w:highlight w:val="none"/>
          <w:u w:val="single"/>
        </w:rPr>
        <w:t xml:space="preserve"> </w:t>
      </w:r>
      <w:r>
        <w:rPr>
          <w:rFonts w:hint="eastAsia" w:ascii="宋体" w:hAnsi="宋体" w:eastAsia="宋体" w:cs="宋体"/>
          <w:b w:val="0"/>
          <w:bCs/>
          <w:color w:val="auto"/>
          <w:kern w:val="0"/>
          <w:sz w:val="21"/>
          <w:szCs w:val="21"/>
          <w:highlight w:val="none"/>
        </w:rPr>
        <w:t>年</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rPr>
        <w:t>月</w:t>
      </w:r>
      <w:r>
        <w:rPr>
          <w:rFonts w:hint="eastAsia" w:ascii="宋体" w:hAnsi="宋体" w:eastAsia="宋体" w:cs="宋体"/>
          <w:b w:val="0"/>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rPr>
        <w:t>日</w:t>
      </w:r>
    </w:p>
    <w:p w14:paraId="48A96F0D">
      <w:pPr>
        <w:autoSpaceDE w:val="0"/>
        <w:autoSpaceDN w:val="0"/>
        <w:adjustRightInd w:val="0"/>
        <w:spacing w:line="360" w:lineRule="auto"/>
        <w:ind w:left="210" w:leftChars="100"/>
        <w:jc w:val="center"/>
        <w:rPr>
          <w:rFonts w:hint="eastAsia" w:ascii="宋体" w:hAnsi="宋体" w:eastAsia="宋体" w:cs="宋体"/>
          <w:color w:val="auto"/>
          <w:szCs w:val="21"/>
          <w:highlight w:val="none"/>
        </w:rPr>
        <w:sectPr>
          <w:footerReference r:id="rId14" w:type="first"/>
          <w:footerReference r:id="rId12" w:type="default"/>
          <w:footerReference r:id="rId13" w:type="even"/>
          <w:pgSz w:w="11906" w:h="16838"/>
          <w:pgMar w:top="1417" w:right="1417" w:bottom="1417" w:left="1417" w:header="851" w:footer="754" w:gutter="0"/>
          <w:cols w:space="720" w:num="1"/>
          <w:docGrid w:type="lines" w:linePitch="312" w:charSpace="0"/>
        </w:sectPr>
      </w:pPr>
    </w:p>
    <w:p w14:paraId="1CC242E0">
      <w:pPr>
        <w:keepNext/>
        <w:keepLines/>
        <w:widowControl w:val="0"/>
        <w:spacing w:line="360" w:lineRule="auto"/>
        <w:ind w:left="425" w:hanging="425"/>
        <w:jc w:val="center"/>
        <w:outlineLvl w:val="2"/>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xml:space="preserve">(四) </w:t>
      </w:r>
      <w:bookmarkStart w:id="759" w:name="_Toc495304005"/>
      <w:bookmarkStart w:id="760" w:name="_Toc463003913"/>
      <w:bookmarkStart w:id="761" w:name="_Toc5621"/>
      <w:r>
        <w:rPr>
          <w:rFonts w:hint="eastAsia" w:ascii="宋体" w:hAnsi="宋体" w:eastAsia="宋体" w:cs="宋体"/>
          <w:b/>
          <w:color w:val="auto"/>
          <w:kern w:val="2"/>
          <w:sz w:val="21"/>
          <w:szCs w:val="21"/>
          <w:highlight w:val="none"/>
          <w:lang w:val="en-US" w:eastAsia="zh-CN" w:bidi="ar-SA"/>
        </w:rPr>
        <w:t>货物分项报价一览表</w:t>
      </w:r>
      <w:bookmarkEnd w:id="759"/>
      <w:bookmarkEnd w:id="760"/>
      <w:bookmarkEnd w:id="761"/>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19"/>
        <w:gridCol w:w="932"/>
        <w:gridCol w:w="1256"/>
        <w:gridCol w:w="869"/>
        <w:gridCol w:w="870"/>
        <w:gridCol w:w="870"/>
        <w:gridCol w:w="870"/>
        <w:gridCol w:w="985"/>
        <w:gridCol w:w="960"/>
        <w:gridCol w:w="2803"/>
        <w:gridCol w:w="764"/>
      </w:tblGrid>
      <w:tr w14:paraId="193B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dxa"/>
            <w:noWrap w:val="0"/>
            <w:vAlign w:val="center"/>
          </w:tcPr>
          <w:p w14:paraId="77A7CDCF">
            <w:pPr>
              <w:pageBreakBefore w:val="0"/>
              <w:kinsoku/>
              <w:overflowPunct/>
              <w:autoSpaceDE w:val="0"/>
              <w:autoSpaceDN w:val="0"/>
              <w:bidi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19" w:type="dxa"/>
            <w:noWrap w:val="0"/>
            <w:vAlign w:val="center"/>
          </w:tcPr>
          <w:p w14:paraId="639D3B1F">
            <w:pPr>
              <w:pageBreakBefore w:val="0"/>
              <w:kinsoku/>
              <w:overflowPunct/>
              <w:autoSpaceDE w:val="0"/>
              <w:autoSpaceDN w:val="0"/>
              <w:bidi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932" w:type="dxa"/>
            <w:noWrap w:val="0"/>
            <w:vAlign w:val="center"/>
          </w:tcPr>
          <w:p w14:paraId="3B76A7CB">
            <w:pPr>
              <w:pageBreakBefore w:val="0"/>
              <w:kinsoku/>
              <w:overflowPunct/>
              <w:autoSpaceDE w:val="0"/>
              <w:autoSpaceDN w:val="0"/>
              <w:bidi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256" w:type="dxa"/>
            <w:noWrap w:val="0"/>
            <w:vAlign w:val="center"/>
          </w:tcPr>
          <w:p w14:paraId="1BDFC3BD">
            <w:pPr>
              <w:pageBreakBefore w:val="0"/>
              <w:kinsoku/>
              <w:overflowPunct/>
              <w:autoSpaceDE w:val="0"/>
              <w:autoSpaceDN w:val="0"/>
              <w:bidi w:val="0"/>
              <w:adjustRightIn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规格型号</w:t>
            </w:r>
          </w:p>
        </w:tc>
        <w:tc>
          <w:tcPr>
            <w:tcW w:w="869" w:type="dxa"/>
            <w:noWrap w:val="0"/>
            <w:vAlign w:val="center"/>
          </w:tcPr>
          <w:p w14:paraId="7410818C">
            <w:pPr>
              <w:pageBreakBefore w:val="0"/>
              <w:kinsoku/>
              <w:overflowPunct/>
              <w:autoSpaceDE w:val="0"/>
              <w:autoSpaceDN w:val="0"/>
              <w:bidi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870" w:type="dxa"/>
            <w:noWrap w:val="0"/>
            <w:vAlign w:val="center"/>
          </w:tcPr>
          <w:p w14:paraId="3871B320">
            <w:pPr>
              <w:pageBreakBefore w:val="0"/>
              <w:kinsoku/>
              <w:overflowPunct/>
              <w:autoSpaceDE w:val="0"/>
              <w:autoSpaceDN w:val="0"/>
              <w:bidi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制造商名称</w:t>
            </w:r>
          </w:p>
        </w:tc>
        <w:tc>
          <w:tcPr>
            <w:tcW w:w="870" w:type="dxa"/>
            <w:noWrap w:val="0"/>
            <w:vAlign w:val="center"/>
          </w:tcPr>
          <w:p w14:paraId="2E8571CA">
            <w:pPr>
              <w:pageBreakBefore w:val="0"/>
              <w:kinsoku/>
              <w:overflowPunct/>
              <w:autoSpaceDE w:val="0"/>
              <w:autoSpaceDN w:val="0"/>
              <w:bidi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70" w:type="dxa"/>
            <w:noWrap w:val="0"/>
            <w:vAlign w:val="center"/>
          </w:tcPr>
          <w:p w14:paraId="5C54E519">
            <w:pPr>
              <w:pageBreakBefore w:val="0"/>
              <w:kinsoku/>
              <w:overflowPunct/>
              <w:autoSpaceDE w:val="0"/>
              <w:autoSpaceDN w:val="0"/>
              <w:bidi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985" w:type="dxa"/>
            <w:noWrap w:val="0"/>
            <w:vAlign w:val="center"/>
          </w:tcPr>
          <w:p w14:paraId="4A1ACC39">
            <w:pPr>
              <w:pageBreakBefore w:val="0"/>
              <w:kinsoku/>
              <w:overflowPunct/>
              <w:autoSpaceDE w:val="0"/>
              <w:autoSpaceDN w:val="0"/>
              <w:bidi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960" w:type="dxa"/>
            <w:noWrap w:val="0"/>
            <w:vAlign w:val="center"/>
          </w:tcPr>
          <w:p w14:paraId="535A9533">
            <w:pPr>
              <w:pageBreakBefore w:val="0"/>
              <w:kinsoku/>
              <w:overflowPunct/>
              <w:autoSpaceDE w:val="0"/>
              <w:autoSpaceDN w:val="0"/>
              <w:bidi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2803" w:type="dxa"/>
            <w:noWrap w:val="0"/>
            <w:vAlign w:val="center"/>
          </w:tcPr>
          <w:p w14:paraId="0466ED43">
            <w:pPr>
              <w:pageBreakBefore w:val="0"/>
              <w:kinsoku/>
              <w:overflowPunct/>
              <w:autoSpaceDE w:val="0"/>
              <w:autoSpaceDN w:val="0"/>
              <w:bidi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是否属于小型、微型（监狱、残疾人福利性单位）企业生产的产品（填是/否）</w:t>
            </w:r>
          </w:p>
        </w:tc>
        <w:tc>
          <w:tcPr>
            <w:tcW w:w="764" w:type="dxa"/>
            <w:noWrap w:val="0"/>
            <w:vAlign w:val="center"/>
          </w:tcPr>
          <w:p w14:paraId="68A8EA12">
            <w:pPr>
              <w:pageBreakBefore w:val="0"/>
              <w:kinsoku/>
              <w:overflowPunct/>
              <w:autoSpaceDE w:val="0"/>
              <w:autoSpaceDN w:val="0"/>
              <w:bidi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AAB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91" w:type="dxa"/>
            <w:noWrap w:val="0"/>
            <w:vAlign w:val="top"/>
          </w:tcPr>
          <w:p w14:paraId="79F8BB3A">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1319" w:type="dxa"/>
            <w:noWrap w:val="0"/>
            <w:vAlign w:val="top"/>
          </w:tcPr>
          <w:p w14:paraId="43AC3378">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32" w:type="dxa"/>
            <w:noWrap w:val="0"/>
            <w:vAlign w:val="top"/>
          </w:tcPr>
          <w:p w14:paraId="5C8C99F1">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1256" w:type="dxa"/>
            <w:noWrap w:val="0"/>
            <w:vAlign w:val="top"/>
          </w:tcPr>
          <w:p w14:paraId="30B5CAE1">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69" w:type="dxa"/>
            <w:noWrap w:val="0"/>
            <w:vAlign w:val="top"/>
          </w:tcPr>
          <w:p w14:paraId="042B0100">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6F301C90">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55B82FCC">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24F42E51">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85" w:type="dxa"/>
            <w:noWrap w:val="0"/>
            <w:vAlign w:val="top"/>
          </w:tcPr>
          <w:p w14:paraId="0C54550B">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60" w:type="dxa"/>
            <w:noWrap w:val="0"/>
            <w:vAlign w:val="top"/>
          </w:tcPr>
          <w:p w14:paraId="6ED246D9">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2803" w:type="dxa"/>
            <w:noWrap w:val="0"/>
            <w:vAlign w:val="top"/>
          </w:tcPr>
          <w:p w14:paraId="190619A1">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764" w:type="dxa"/>
            <w:noWrap w:val="0"/>
            <w:vAlign w:val="top"/>
          </w:tcPr>
          <w:p w14:paraId="25464CD3">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r>
      <w:tr w14:paraId="5B54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91" w:type="dxa"/>
            <w:noWrap w:val="0"/>
            <w:vAlign w:val="top"/>
          </w:tcPr>
          <w:p w14:paraId="4A347642">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1319" w:type="dxa"/>
            <w:noWrap w:val="0"/>
            <w:vAlign w:val="top"/>
          </w:tcPr>
          <w:p w14:paraId="2BAA64A1">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32" w:type="dxa"/>
            <w:noWrap w:val="0"/>
            <w:vAlign w:val="top"/>
          </w:tcPr>
          <w:p w14:paraId="76F88A24">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1256" w:type="dxa"/>
            <w:noWrap w:val="0"/>
            <w:vAlign w:val="top"/>
          </w:tcPr>
          <w:p w14:paraId="030BE10B">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69" w:type="dxa"/>
            <w:noWrap w:val="0"/>
            <w:vAlign w:val="top"/>
          </w:tcPr>
          <w:p w14:paraId="0C5E0615">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2E78A887">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6786BCF7">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591CAA0B">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85" w:type="dxa"/>
            <w:noWrap w:val="0"/>
            <w:vAlign w:val="top"/>
          </w:tcPr>
          <w:p w14:paraId="6BC92705">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60" w:type="dxa"/>
            <w:noWrap w:val="0"/>
            <w:vAlign w:val="top"/>
          </w:tcPr>
          <w:p w14:paraId="471D6BDE">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2803" w:type="dxa"/>
            <w:noWrap w:val="0"/>
            <w:vAlign w:val="top"/>
          </w:tcPr>
          <w:p w14:paraId="747697DC">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764" w:type="dxa"/>
            <w:noWrap w:val="0"/>
            <w:vAlign w:val="top"/>
          </w:tcPr>
          <w:p w14:paraId="0AD920A3">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r>
      <w:tr w14:paraId="1860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91" w:type="dxa"/>
            <w:noWrap w:val="0"/>
            <w:vAlign w:val="top"/>
          </w:tcPr>
          <w:p w14:paraId="3B4D1B17">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1319" w:type="dxa"/>
            <w:noWrap w:val="0"/>
            <w:vAlign w:val="top"/>
          </w:tcPr>
          <w:p w14:paraId="01A42F51">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32" w:type="dxa"/>
            <w:noWrap w:val="0"/>
            <w:vAlign w:val="top"/>
          </w:tcPr>
          <w:p w14:paraId="2966AF82">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1256" w:type="dxa"/>
            <w:noWrap w:val="0"/>
            <w:vAlign w:val="top"/>
          </w:tcPr>
          <w:p w14:paraId="6427517B">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69" w:type="dxa"/>
            <w:noWrap w:val="0"/>
            <w:vAlign w:val="top"/>
          </w:tcPr>
          <w:p w14:paraId="3EF899BF">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5FD0EDDB">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4FE439C5">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7D0C017F">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85" w:type="dxa"/>
            <w:noWrap w:val="0"/>
            <w:vAlign w:val="top"/>
          </w:tcPr>
          <w:p w14:paraId="2EF811FF">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60" w:type="dxa"/>
            <w:noWrap w:val="0"/>
            <w:vAlign w:val="center"/>
          </w:tcPr>
          <w:p w14:paraId="6DF80101">
            <w:pPr>
              <w:pageBreakBefore w:val="0"/>
              <w:kinsoku/>
              <w:overflowPunct/>
              <w:autoSpaceDE w:val="0"/>
              <w:autoSpaceDN w:val="0"/>
              <w:bidi w:val="0"/>
              <w:adjustRightInd w:val="0"/>
              <w:spacing w:line="360" w:lineRule="auto"/>
              <w:jc w:val="center"/>
              <w:rPr>
                <w:rFonts w:hint="eastAsia" w:ascii="宋体" w:hAnsi="宋体" w:eastAsia="宋体" w:cs="宋体"/>
                <w:color w:val="auto"/>
                <w:szCs w:val="21"/>
                <w:highlight w:val="none"/>
              </w:rPr>
            </w:pPr>
          </w:p>
        </w:tc>
        <w:tc>
          <w:tcPr>
            <w:tcW w:w="2803" w:type="dxa"/>
            <w:noWrap w:val="0"/>
            <w:vAlign w:val="top"/>
          </w:tcPr>
          <w:p w14:paraId="72660D01">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764" w:type="dxa"/>
            <w:noWrap w:val="0"/>
            <w:vAlign w:val="top"/>
          </w:tcPr>
          <w:p w14:paraId="2072DA16">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r>
      <w:tr w14:paraId="4C28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91" w:type="dxa"/>
            <w:noWrap w:val="0"/>
            <w:vAlign w:val="top"/>
          </w:tcPr>
          <w:p w14:paraId="4B198C5C">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1319" w:type="dxa"/>
            <w:noWrap w:val="0"/>
            <w:vAlign w:val="top"/>
          </w:tcPr>
          <w:p w14:paraId="7EA6CEAD">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32" w:type="dxa"/>
            <w:noWrap w:val="0"/>
            <w:vAlign w:val="top"/>
          </w:tcPr>
          <w:p w14:paraId="24EF9873">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1256" w:type="dxa"/>
            <w:noWrap w:val="0"/>
            <w:vAlign w:val="top"/>
          </w:tcPr>
          <w:p w14:paraId="3D888A58">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69" w:type="dxa"/>
            <w:noWrap w:val="0"/>
            <w:vAlign w:val="top"/>
          </w:tcPr>
          <w:p w14:paraId="41E3AFBE">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27750308">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62702D60">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39DF63ED">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85" w:type="dxa"/>
            <w:noWrap w:val="0"/>
            <w:vAlign w:val="top"/>
          </w:tcPr>
          <w:p w14:paraId="3FB8615B">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60" w:type="dxa"/>
            <w:noWrap w:val="0"/>
            <w:vAlign w:val="top"/>
          </w:tcPr>
          <w:p w14:paraId="4E6F4069">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2803" w:type="dxa"/>
            <w:noWrap w:val="0"/>
            <w:vAlign w:val="top"/>
          </w:tcPr>
          <w:p w14:paraId="0057D05A">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764" w:type="dxa"/>
            <w:noWrap w:val="0"/>
            <w:vAlign w:val="top"/>
          </w:tcPr>
          <w:p w14:paraId="535B81AE">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r>
      <w:tr w14:paraId="5990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91" w:type="dxa"/>
            <w:noWrap w:val="0"/>
            <w:vAlign w:val="top"/>
          </w:tcPr>
          <w:p w14:paraId="72A2F88A">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1319" w:type="dxa"/>
            <w:noWrap w:val="0"/>
            <w:vAlign w:val="top"/>
          </w:tcPr>
          <w:p w14:paraId="72C936A3">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32" w:type="dxa"/>
            <w:noWrap w:val="0"/>
            <w:vAlign w:val="top"/>
          </w:tcPr>
          <w:p w14:paraId="1C8A8DC5">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1256" w:type="dxa"/>
            <w:noWrap w:val="0"/>
            <w:vAlign w:val="top"/>
          </w:tcPr>
          <w:p w14:paraId="6B9FBA15">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69" w:type="dxa"/>
            <w:noWrap w:val="0"/>
            <w:vAlign w:val="top"/>
          </w:tcPr>
          <w:p w14:paraId="5B7B8452">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03459740">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528E2A83">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63979590">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85" w:type="dxa"/>
            <w:noWrap w:val="0"/>
            <w:vAlign w:val="top"/>
          </w:tcPr>
          <w:p w14:paraId="7D953170">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60" w:type="dxa"/>
            <w:noWrap w:val="0"/>
            <w:vAlign w:val="top"/>
          </w:tcPr>
          <w:p w14:paraId="0F21F020">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2803" w:type="dxa"/>
            <w:noWrap w:val="0"/>
            <w:vAlign w:val="top"/>
          </w:tcPr>
          <w:p w14:paraId="351E66E4">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764" w:type="dxa"/>
            <w:noWrap w:val="0"/>
            <w:vAlign w:val="top"/>
          </w:tcPr>
          <w:p w14:paraId="7EDDDC18">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r>
      <w:tr w14:paraId="3FA9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91" w:type="dxa"/>
            <w:noWrap w:val="0"/>
            <w:vAlign w:val="top"/>
          </w:tcPr>
          <w:p w14:paraId="7CCCB198">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1319" w:type="dxa"/>
            <w:noWrap w:val="0"/>
            <w:vAlign w:val="top"/>
          </w:tcPr>
          <w:p w14:paraId="420C11FD">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32" w:type="dxa"/>
            <w:noWrap w:val="0"/>
            <w:vAlign w:val="top"/>
          </w:tcPr>
          <w:p w14:paraId="656FDAF8">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1256" w:type="dxa"/>
            <w:noWrap w:val="0"/>
            <w:vAlign w:val="top"/>
          </w:tcPr>
          <w:p w14:paraId="6A27246B">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69" w:type="dxa"/>
            <w:noWrap w:val="0"/>
            <w:vAlign w:val="top"/>
          </w:tcPr>
          <w:p w14:paraId="4848C44F">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4DCFEA3B">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52F82110">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870" w:type="dxa"/>
            <w:noWrap w:val="0"/>
            <w:vAlign w:val="top"/>
          </w:tcPr>
          <w:p w14:paraId="34AD7B3C">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85" w:type="dxa"/>
            <w:noWrap w:val="0"/>
            <w:vAlign w:val="top"/>
          </w:tcPr>
          <w:p w14:paraId="0A94A941">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960" w:type="dxa"/>
            <w:noWrap w:val="0"/>
            <w:vAlign w:val="top"/>
          </w:tcPr>
          <w:p w14:paraId="4372631C">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2803" w:type="dxa"/>
            <w:noWrap w:val="0"/>
            <w:vAlign w:val="top"/>
          </w:tcPr>
          <w:p w14:paraId="2E1489F3">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c>
          <w:tcPr>
            <w:tcW w:w="764" w:type="dxa"/>
            <w:noWrap w:val="0"/>
            <w:vAlign w:val="top"/>
          </w:tcPr>
          <w:p w14:paraId="61A8683E">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p>
        </w:tc>
      </w:tr>
    </w:tbl>
    <w:p w14:paraId="404DF631">
      <w:pPr>
        <w:pageBreakBefore w:val="0"/>
        <w:kinsoku/>
        <w:overflowPunct/>
        <w:autoSpaceDE w:val="0"/>
        <w:autoSpaceDN w:val="0"/>
        <w:bidi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Cs w:val="21"/>
          <w:highlight w:val="none"/>
        </w:rPr>
        <w:t>说明：</w:t>
      </w:r>
      <w:r>
        <w:rPr>
          <w:rFonts w:hint="eastAsia" w:ascii="宋体" w:hAnsi="宋体" w:eastAsia="宋体" w:cs="宋体"/>
          <w:color w:val="auto"/>
          <w:szCs w:val="21"/>
          <w:highlight w:val="none"/>
          <w:lang w:val="en-US" w:eastAsia="zh-CN"/>
        </w:rPr>
        <w:t xml:space="preserve">1. </w:t>
      </w:r>
      <w:r>
        <w:rPr>
          <w:rFonts w:hint="eastAsia" w:ascii="宋体" w:hAnsi="宋体" w:eastAsia="宋体" w:cs="宋体"/>
          <w:color w:val="auto"/>
          <w:szCs w:val="21"/>
          <w:highlight w:val="none"/>
        </w:rPr>
        <w:t>货物分项必须与</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需求表中货物分项一致。</w:t>
      </w:r>
    </w:p>
    <w:p w14:paraId="70E96390">
      <w:pPr>
        <w:pageBreakBefore w:val="0"/>
        <w:kinsoku/>
        <w:overflowPunct/>
        <w:autoSpaceDE w:val="0"/>
        <w:autoSpaceDN w:val="0"/>
        <w:bidi w:val="0"/>
        <w:adjustRightInd w:val="0"/>
        <w:spacing w:line="360" w:lineRule="auto"/>
        <w:rPr>
          <w:rFonts w:hint="eastAsia" w:ascii="宋体" w:hAnsi="宋体" w:eastAsia="宋体" w:cs="宋体"/>
          <w:color w:val="auto"/>
          <w:highlight w:val="none"/>
        </w:rPr>
      </w:pPr>
    </w:p>
    <w:p w14:paraId="36FF56FB">
      <w:pPr>
        <w:autoSpaceDE w:val="0"/>
        <w:autoSpaceDN w:val="0"/>
        <w:adjustRightInd w:val="0"/>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 xml:space="preserve">                                                                                                </w:t>
      </w:r>
    </w:p>
    <w:p w14:paraId="7787D43F">
      <w:pPr>
        <w:spacing w:line="360" w:lineRule="auto"/>
        <w:jc w:val="righ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（盖章）</w:t>
      </w:r>
    </w:p>
    <w:p w14:paraId="1D74028B">
      <w:pPr>
        <w:spacing w:line="360" w:lineRule="auto"/>
        <w:jc w:val="righ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法定代表人或其委托代理人：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Cs/>
          <w:color w:val="auto"/>
          <w:szCs w:val="21"/>
          <w:highlight w:val="none"/>
        </w:rPr>
        <w:t>）</w:t>
      </w:r>
    </w:p>
    <w:p w14:paraId="26A2A622">
      <w:pPr>
        <w:tabs>
          <w:tab w:val="left" w:pos="5380"/>
          <w:tab w:val="left" w:pos="6520"/>
          <w:tab w:val="left" w:pos="7680"/>
        </w:tabs>
        <w:autoSpaceDE w:val="0"/>
        <w:autoSpaceDN w:val="0"/>
        <w:adjustRightInd w:val="0"/>
        <w:spacing w:line="360" w:lineRule="auto"/>
        <w:ind w:right="-23" w:firstLine="6300" w:firstLineChars="3000"/>
        <w:jc w:val="righ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日</w:t>
      </w:r>
    </w:p>
    <w:p w14:paraId="723E8051">
      <w:pPr>
        <w:autoSpaceDE w:val="0"/>
        <w:autoSpaceDN w:val="0"/>
        <w:adjustRightInd w:val="0"/>
        <w:spacing w:line="360" w:lineRule="auto"/>
        <w:rPr>
          <w:rFonts w:hint="eastAsia" w:ascii="宋体" w:hAnsi="宋体" w:eastAsia="宋体" w:cs="宋体"/>
          <w:b/>
          <w:bCs/>
          <w:color w:val="auto"/>
          <w:szCs w:val="21"/>
          <w:highlight w:val="none"/>
        </w:rPr>
      </w:pPr>
    </w:p>
    <w:p w14:paraId="420099DE">
      <w:pPr>
        <w:pageBreakBefore w:val="0"/>
        <w:kinsoku/>
        <w:overflowPunct/>
        <w:bidi w:val="0"/>
        <w:spacing w:line="360" w:lineRule="auto"/>
        <w:rPr>
          <w:rFonts w:hint="eastAsia" w:ascii="宋体" w:hAnsi="宋体" w:eastAsia="宋体" w:cs="宋体"/>
          <w:color w:val="auto"/>
          <w:szCs w:val="21"/>
          <w:highlight w:val="none"/>
        </w:rPr>
        <w:sectPr>
          <w:headerReference r:id="rId15" w:type="default"/>
          <w:footerReference r:id="rId16" w:type="default"/>
          <w:pgSz w:w="16838" w:h="11906" w:orient="landscape"/>
          <w:pgMar w:top="1247" w:right="1440" w:bottom="1400" w:left="1440" w:header="851" w:footer="992" w:gutter="0"/>
          <w:pgNumType w:fmt="decimal"/>
          <w:cols w:space="720" w:num="1"/>
          <w:rtlGutter w:val="0"/>
          <w:docGrid w:type="linesAndChars" w:linePitch="319" w:charSpace="0"/>
        </w:sectPr>
      </w:pPr>
    </w:p>
    <w:p w14:paraId="61C1AD99">
      <w:pPr>
        <w:pStyle w:val="5"/>
        <w:pageBreakBefore w:val="0"/>
        <w:numPr>
          <w:ilvl w:val="0"/>
          <w:numId w:val="35"/>
        </w:numPr>
        <w:tabs>
          <w:tab w:val="left" w:pos="840"/>
        </w:tabs>
        <w:kinsoku/>
        <w:overflowPunct/>
        <w:bidi w:val="0"/>
        <w:spacing w:line="360" w:lineRule="auto"/>
        <w:jc w:val="center"/>
        <w:rPr>
          <w:rFonts w:hint="eastAsia" w:ascii="宋体" w:hAnsi="宋体" w:eastAsia="宋体" w:cs="宋体"/>
          <w:color w:val="auto"/>
          <w:sz w:val="24"/>
          <w:szCs w:val="24"/>
          <w:highlight w:val="none"/>
        </w:rPr>
      </w:pPr>
      <w:bookmarkStart w:id="762" w:name="_Toc8349"/>
      <w:r>
        <w:rPr>
          <w:rFonts w:hint="eastAsia" w:ascii="宋体" w:hAnsi="宋体" w:eastAsia="宋体" w:cs="宋体"/>
          <w:color w:val="auto"/>
          <w:sz w:val="24"/>
          <w:szCs w:val="24"/>
          <w:highlight w:val="none"/>
          <w:lang w:eastAsia="zh-CN"/>
        </w:rPr>
        <w:t>商务技术偏差表</w:t>
      </w:r>
      <w:bookmarkEnd w:id="762"/>
    </w:p>
    <w:p w14:paraId="653151D5">
      <w:pPr>
        <w:pStyle w:val="6"/>
        <w:pageBreakBefore w:val="0"/>
        <w:kinsoku/>
        <w:overflowPunct/>
        <w:bidi w:val="0"/>
        <w:spacing w:line="360" w:lineRule="auto"/>
        <w:jc w:val="center"/>
        <w:rPr>
          <w:rFonts w:hint="eastAsia" w:ascii="宋体" w:hAnsi="宋体" w:eastAsia="宋体" w:cs="宋体"/>
          <w:color w:val="auto"/>
          <w:highlight w:val="none"/>
          <w:lang w:eastAsia="zh-CN"/>
        </w:rPr>
      </w:pPr>
      <w:bookmarkStart w:id="763" w:name="_Toc14065"/>
      <w:bookmarkStart w:id="764" w:name="_Toc9217"/>
      <w:r>
        <w:rPr>
          <w:rFonts w:hint="eastAsia" w:ascii="宋体" w:hAnsi="宋体" w:eastAsia="宋体" w:cs="宋体"/>
          <w:color w:val="auto"/>
          <w:sz w:val="24"/>
          <w:szCs w:val="24"/>
          <w:highlight w:val="none"/>
          <w:lang w:eastAsia="zh-CN"/>
        </w:rPr>
        <w:t>（一）商务条款偏差表</w:t>
      </w:r>
      <w:bookmarkEnd w:id="763"/>
    </w:p>
    <w:tbl>
      <w:tblPr>
        <w:tblStyle w:val="36"/>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04"/>
        <w:gridCol w:w="2681"/>
        <w:gridCol w:w="4006"/>
        <w:gridCol w:w="1341"/>
      </w:tblGrid>
      <w:tr w14:paraId="172DC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5" w:type="pct"/>
            <w:noWrap w:val="0"/>
            <w:vAlign w:val="center"/>
          </w:tcPr>
          <w:p w14:paraId="559F93F1">
            <w:pPr>
              <w:pageBreakBefore w:val="0"/>
              <w:kinsoku/>
              <w:overflowPunct/>
              <w:bidi w:val="0"/>
              <w:spacing w:before="156" w:beforeLines="50" w:after="156"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17" w:type="pct"/>
            <w:noWrap w:val="0"/>
            <w:vAlign w:val="center"/>
          </w:tcPr>
          <w:p w14:paraId="2FF2BE4D">
            <w:pPr>
              <w:pageBreakBefore w:val="0"/>
              <w:kinsoku/>
              <w:overflowPunct/>
              <w:bidi w:val="0"/>
              <w:spacing w:before="156" w:beforeLines="50" w:after="156"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商务条款</w:t>
            </w:r>
          </w:p>
        </w:tc>
        <w:tc>
          <w:tcPr>
            <w:tcW w:w="2267" w:type="pct"/>
            <w:noWrap w:val="0"/>
            <w:vAlign w:val="center"/>
          </w:tcPr>
          <w:p w14:paraId="5AA24C61">
            <w:pPr>
              <w:pageBreakBefore w:val="0"/>
              <w:kinsoku/>
              <w:overflowPunct/>
              <w:bidi w:val="0"/>
              <w:spacing w:before="156" w:beforeLines="50" w:after="156" w:afterLines="5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投标文件响应商务</w:t>
            </w:r>
            <w:r>
              <w:rPr>
                <w:rFonts w:hint="eastAsia" w:ascii="宋体" w:hAnsi="宋体" w:eastAsia="宋体" w:cs="宋体"/>
                <w:color w:val="auto"/>
                <w:sz w:val="21"/>
                <w:szCs w:val="21"/>
                <w:highlight w:val="none"/>
                <w:lang w:val="en-US" w:eastAsia="zh-CN"/>
              </w:rPr>
              <w:t>条款</w:t>
            </w:r>
            <w:r>
              <w:rPr>
                <w:rFonts w:hint="eastAsia" w:ascii="宋体" w:hAnsi="宋体" w:eastAsia="宋体" w:cs="宋体"/>
                <w:color w:val="auto"/>
                <w:sz w:val="21"/>
                <w:szCs w:val="21"/>
                <w:highlight w:val="none"/>
                <w:lang w:eastAsia="zh-CN"/>
              </w:rPr>
              <w:t>说明</w:t>
            </w:r>
          </w:p>
          <w:p w14:paraId="04E155A2">
            <w:pPr>
              <w:pageBreakBefore w:val="0"/>
              <w:kinsoku/>
              <w:overflowPunct/>
              <w:bidi w:val="0"/>
              <w:spacing w:before="156" w:beforeLines="50" w:after="156"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（投标人须应答）</w:t>
            </w:r>
          </w:p>
        </w:tc>
        <w:tc>
          <w:tcPr>
            <w:tcW w:w="759" w:type="pct"/>
            <w:noWrap w:val="0"/>
            <w:vAlign w:val="center"/>
          </w:tcPr>
          <w:p w14:paraId="031FF3D9">
            <w:pPr>
              <w:pageBreakBefore w:val="0"/>
              <w:kinsoku/>
              <w:overflowPunct/>
              <w:bidi w:val="0"/>
              <w:spacing w:before="156" w:beforeLines="50" w:after="156"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偏差说明</w:t>
            </w:r>
          </w:p>
        </w:tc>
      </w:tr>
      <w:tr w14:paraId="15A6A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455" w:type="pct"/>
            <w:noWrap w:val="0"/>
            <w:vAlign w:val="center"/>
          </w:tcPr>
          <w:p w14:paraId="179BC442">
            <w:pPr>
              <w:pStyle w:val="17"/>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17" w:type="pct"/>
            <w:noWrap w:val="0"/>
            <w:vAlign w:val="center"/>
          </w:tcPr>
          <w:p w14:paraId="33C246B5">
            <w:pPr>
              <w:pStyle w:val="17"/>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c>
          <w:tcPr>
            <w:tcW w:w="2267" w:type="pct"/>
            <w:noWrap w:val="0"/>
            <w:vAlign w:val="center"/>
          </w:tcPr>
          <w:p w14:paraId="38F173AD">
            <w:pPr>
              <w:pStyle w:val="17"/>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c>
          <w:tcPr>
            <w:tcW w:w="759" w:type="pct"/>
            <w:noWrap w:val="0"/>
            <w:vAlign w:val="center"/>
          </w:tcPr>
          <w:p w14:paraId="38E654C5">
            <w:pPr>
              <w:pStyle w:val="17"/>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r>
      <w:tr w14:paraId="37F3C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455" w:type="pct"/>
            <w:noWrap w:val="0"/>
            <w:vAlign w:val="center"/>
          </w:tcPr>
          <w:p w14:paraId="1E7C12ED">
            <w:pPr>
              <w:pStyle w:val="17"/>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17" w:type="pct"/>
            <w:noWrap w:val="0"/>
            <w:vAlign w:val="center"/>
          </w:tcPr>
          <w:p w14:paraId="1A76DCA3">
            <w:pPr>
              <w:pStyle w:val="17"/>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c>
          <w:tcPr>
            <w:tcW w:w="2267" w:type="pct"/>
            <w:noWrap w:val="0"/>
            <w:vAlign w:val="center"/>
          </w:tcPr>
          <w:p w14:paraId="053507FE">
            <w:pPr>
              <w:pStyle w:val="17"/>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c>
          <w:tcPr>
            <w:tcW w:w="759" w:type="pct"/>
            <w:noWrap w:val="0"/>
            <w:vAlign w:val="center"/>
          </w:tcPr>
          <w:p w14:paraId="2B1E760E">
            <w:pPr>
              <w:pStyle w:val="17"/>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r>
      <w:tr w14:paraId="1246A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455" w:type="pct"/>
            <w:noWrap w:val="0"/>
            <w:vAlign w:val="center"/>
          </w:tcPr>
          <w:p w14:paraId="44A9B3F2">
            <w:pPr>
              <w:pStyle w:val="17"/>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517" w:type="pct"/>
            <w:noWrap w:val="0"/>
            <w:vAlign w:val="center"/>
          </w:tcPr>
          <w:p w14:paraId="3F34C0D3">
            <w:pPr>
              <w:pStyle w:val="17"/>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c>
          <w:tcPr>
            <w:tcW w:w="2267" w:type="pct"/>
            <w:noWrap w:val="0"/>
            <w:vAlign w:val="center"/>
          </w:tcPr>
          <w:p w14:paraId="3A7D364A">
            <w:pPr>
              <w:pStyle w:val="17"/>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c>
          <w:tcPr>
            <w:tcW w:w="759" w:type="pct"/>
            <w:noWrap w:val="0"/>
            <w:vAlign w:val="center"/>
          </w:tcPr>
          <w:p w14:paraId="5EB73506">
            <w:pPr>
              <w:pStyle w:val="17"/>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r>
    </w:tbl>
    <w:p w14:paraId="344D031D">
      <w:pPr>
        <w:pStyle w:val="8"/>
        <w:pageBreakBefore w:val="0"/>
        <w:kinsoku/>
        <w:overflowPunct/>
        <w:bidi w:val="0"/>
        <w:spacing w:line="360" w:lineRule="auto"/>
        <w:rPr>
          <w:rFonts w:hint="eastAsia" w:ascii="宋体" w:hAnsi="宋体" w:eastAsia="宋体" w:cs="宋体"/>
          <w:color w:val="auto"/>
          <w:highlight w:val="none"/>
        </w:rPr>
      </w:pPr>
    </w:p>
    <w:p w14:paraId="12A10F5F">
      <w:pPr>
        <w:pStyle w:val="131"/>
        <w:keepNext w:val="0"/>
        <w:keepLines w:val="0"/>
        <w:pageBreakBefore w:val="0"/>
        <w:widowControl w:val="0"/>
        <w:numPr>
          <w:ilvl w:val="0"/>
          <w:numId w:val="0"/>
        </w:numPr>
        <w:kinsoku/>
        <w:wordWrap/>
        <w:overflowPunct/>
        <w:topLinePunct w:val="0"/>
        <w:bidi w:val="0"/>
        <w:adjustRightInd w:val="0"/>
        <w:spacing w:after="0" w:afterLines="0" w:line="360" w:lineRule="auto"/>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注：1. 投标人需按招标文件商务条款的要求填写，填写应以“满足”或“不满足”，并辅以详细解释。除“满足”项目外，必须在偏差说明一栏中对偏差予以详细说明。</w:t>
      </w:r>
      <w:r>
        <w:rPr>
          <w:rFonts w:hint="eastAsia" w:ascii="宋体" w:hAnsi="宋体" w:eastAsia="宋体" w:cs="宋体"/>
          <w:color w:val="auto"/>
          <w:sz w:val="21"/>
          <w:szCs w:val="21"/>
          <w:highlight w:val="none"/>
          <w:lang w:val="en-US" w:eastAsia="zh-CN"/>
        </w:rPr>
        <w:t>商务条款包括采购范围、交货及安装调试期、交货地点、质量标准、质量保证期、投标有效期、付款方式。</w:t>
      </w:r>
    </w:p>
    <w:p w14:paraId="5EA36EE0">
      <w:pPr>
        <w:pStyle w:val="131"/>
        <w:keepNext w:val="0"/>
        <w:keepLines w:val="0"/>
        <w:pageBreakBefore w:val="0"/>
        <w:widowControl w:val="0"/>
        <w:numPr>
          <w:ilvl w:val="0"/>
          <w:numId w:val="0"/>
        </w:numPr>
        <w:kinsoku/>
        <w:wordWrap/>
        <w:overflowPunct/>
        <w:topLinePunct w:val="0"/>
        <w:bidi w:val="0"/>
        <w:adjustRightInd w:val="0"/>
        <w:spacing w:after="0" w:afterLines="0"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可根据其投标内容进一步细化上述表格，并可增添其它表格或说明以便进一步明确投标内容。</w:t>
      </w:r>
    </w:p>
    <w:p w14:paraId="174C7967">
      <w:pPr>
        <w:pStyle w:val="131"/>
        <w:keepNext w:val="0"/>
        <w:keepLines w:val="0"/>
        <w:pageBreakBefore w:val="0"/>
        <w:widowControl w:val="0"/>
        <w:numPr>
          <w:ilvl w:val="0"/>
          <w:numId w:val="0"/>
        </w:numPr>
        <w:kinsoku/>
        <w:wordWrap/>
        <w:overflowPunct/>
        <w:topLinePunct w:val="0"/>
        <w:bidi w:val="0"/>
        <w:adjustRightInd w:val="0"/>
        <w:spacing w:after="0" w:afterLines="0" w:line="360" w:lineRule="auto"/>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3.未按要求填写，可能会造成不良后果，投标人自行承担。</w:t>
      </w:r>
    </w:p>
    <w:p w14:paraId="756471CF">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14:paraId="091261EC">
      <w:pPr>
        <w:pageBreakBefore w:val="0"/>
        <w:kinsoku/>
        <w:overflowPunct/>
        <w:bidi w:val="0"/>
        <w:spacing w:line="360" w:lineRule="auto"/>
        <w:rPr>
          <w:rFonts w:hint="eastAsia" w:ascii="宋体" w:hAnsi="宋体" w:eastAsia="宋体" w:cs="宋体"/>
          <w:color w:val="auto"/>
          <w:szCs w:val="21"/>
          <w:highlight w:val="none"/>
        </w:rPr>
      </w:pPr>
    </w:p>
    <w:p w14:paraId="011908F6">
      <w:pPr>
        <w:pageBreakBefore w:val="0"/>
        <w:kinsoku/>
        <w:overflowPunct/>
        <w:bidi w:val="0"/>
        <w:spacing w:line="360" w:lineRule="auto"/>
        <w:ind w:firstLine="3360" w:firstLineChars="1600"/>
        <w:rPr>
          <w:rFonts w:hint="eastAsia" w:ascii="宋体" w:hAnsi="宋体" w:eastAsia="宋体" w:cs="宋体"/>
          <w:b w:val="0"/>
          <w:bCs/>
          <w:color w:val="auto"/>
          <w:szCs w:val="21"/>
          <w:highlight w:val="none"/>
        </w:rPr>
      </w:pP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标</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人</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盖章</w:t>
      </w:r>
      <w:r>
        <w:rPr>
          <w:rFonts w:hint="eastAsia" w:ascii="宋体" w:hAnsi="宋体" w:eastAsia="宋体" w:cs="宋体"/>
          <w:b w:val="0"/>
          <w:bCs/>
          <w:color w:val="auto"/>
          <w:szCs w:val="21"/>
          <w:highlight w:val="none"/>
        </w:rPr>
        <w:t>）</w:t>
      </w:r>
    </w:p>
    <w:p w14:paraId="2AAF5950">
      <w:pPr>
        <w:pageBreakBefore w:val="0"/>
        <w:kinsoku/>
        <w:overflowPunct/>
        <w:bidi w:val="0"/>
        <w:spacing w:line="360" w:lineRule="auto"/>
        <w:ind w:firstLine="3360" w:firstLineChars="16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法定代表人或其委托代理人：</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 w:val="0"/>
          <w:bCs/>
          <w:color w:val="auto"/>
          <w:szCs w:val="21"/>
          <w:highlight w:val="none"/>
        </w:rPr>
        <w:t>）</w:t>
      </w:r>
    </w:p>
    <w:p w14:paraId="3D4F9338">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firstLine="4620" w:firstLineChars="2200"/>
        <w:jc w:val="left"/>
        <w:textAlignment w:val="auto"/>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spacing w:val="43"/>
          <w:kern w:val="0"/>
          <w:sz w:val="21"/>
          <w:szCs w:val="21"/>
          <w:highlight w:val="none"/>
          <w:u w:val="single"/>
        </w:rPr>
        <w:t xml:space="preserve"> </w:t>
      </w:r>
      <w:r>
        <w:rPr>
          <w:rFonts w:hint="eastAsia" w:ascii="宋体" w:hAnsi="宋体" w:eastAsia="宋体" w:cs="宋体"/>
          <w:b w:val="0"/>
          <w:bCs/>
          <w:color w:val="auto"/>
          <w:kern w:val="0"/>
          <w:sz w:val="21"/>
          <w:szCs w:val="21"/>
          <w:highlight w:val="none"/>
        </w:rPr>
        <w:t>年</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rPr>
        <w:t>月</w:t>
      </w:r>
      <w:r>
        <w:rPr>
          <w:rFonts w:hint="eastAsia" w:ascii="宋体" w:hAnsi="宋体" w:eastAsia="宋体" w:cs="宋体"/>
          <w:b w:val="0"/>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rPr>
        <w:t>日</w:t>
      </w:r>
    </w:p>
    <w:p w14:paraId="27127DD9">
      <w:pPr>
        <w:pStyle w:val="6"/>
        <w:pageBreakBefore w:val="0"/>
        <w:kinsoku/>
        <w:overflowPunct/>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r>
        <w:rPr>
          <w:rFonts w:hint="eastAsia" w:ascii="宋体" w:hAnsi="宋体" w:eastAsia="宋体" w:cs="宋体"/>
          <w:color w:val="auto"/>
          <w:sz w:val="24"/>
          <w:szCs w:val="24"/>
          <w:highlight w:val="none"/>
          <w:lang w:eastAsia="zh-CN"/>
        </w:rPr>
        <w:t>（二）</w:t>
      </w:r>
      <w:bookmarkEnd w:id="764"/>
      <w:r>
        <w:rPr>
          <w:rFonts w:hint="eastAsia" w:ascii="宋体" w:hAnsi="宋体" w:eastAsia="宋体" w:cs="宋体"/>
          <w:color w:val="auto"/>
          <w:sz w:val="24"/>
          <w:szCs w:val="24"/>
          <w:highlight w:val="none"/>
          <w:lang w:eastAsia="zh-CN"/>
        </w:rPr>
        <w:t>技术条款偏差表</w:t>
      </w:r>
    </w:p>
    <w:tbl>
      <w:tblPr>
        <w:tblStyle w:val="36"/>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6"/>
        <w:gridCol w:w="1179"/>
        <w:gridCol w:w="2603"/>
        <w:gridCol w:w="2515"/>
        <w:gridCol w:w="1808"/>
      </w:tblGrid>
      <w:tr w14:paraId="5EE88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noWrap w:val="0"/>
            <w:vAlign w:val="center"/>
          </w:tcPr>
          <w:p w14:paraId="231E3BC6">
            <w:pPr>
              <w:pageBreakBefore w:val="0"/>
              <w:kinsoku/>
              <w:overflowPunct/>
              <w:bidi w:val="0"/>
              <w:snapToGrid w:val="0"/>
              <w:spacing w:before="312" w:beforeLines="100" w:after="312" w:afterLines="10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67" w:type="pct"/>
            <w:noWrap w:val="0"/>
            <w:vAlign w:val="center"/>
          </w:tcPr>
          <w:p w14:paraId="6A7E0BE7">
            <w:pPr>
              <w:pageBreakBefore w:val="0"/>
              <w:kinsoku/>
              <w:overflowPunct/>
              <w:bidi w:val="0"/>
              <w:snapToGrid w:val="0"/>
              <w:spacing w:before="156" w:beforeLines="50" w:after="156" w:afterLines="50"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设备名称</w:t>
            </w:r>
          </w:p>
        </w:tc>
        <w:tc>
          <w:tcPr>
            <w:tcW w:w="1473" w:type="pct"/>
            <w:noWrap w:val="0"/>
            <w:vAlign w:val="center"/>
          </w:tcPr>
          <w:p w14:paraId="411B6801">
            <w:pPr>
              <w:pageBreakBefore w:val="0"/>
              <w:kinsoku/>
              <w:overflowPunct/>
              <w:bidi w:val="0"/>
              <w:snapToGrid w:val="0"/>
              <w:spacing w:before="156" w:beforeLines="50" w:after="156"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技术需求</w:t>
            </w:r>
          </w:p>
        </w:tc>
        <w:tc>
          <w:tcPr>
            <w:tcW w:w="1423" w:type="pct"/>
            <w:noWrap w:val="0"/>
            <w:vAlign w:val="center"/>
          </w:tcPr>
          <w:p w14:paraId="609F3B1F">
            <w:pPr>
              <w:pageBreakBefore w:val="0"/>
              <w:kinsoku/>
              <w:overflowPunct/>
              <w:bidi w:val="0"/>
              <w:snapToGrid w:val="0"/>
              <w:spacing w:before="156" w:beforeLines="50" w:after="156" w:afterLines="5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eastAsia="zh-CN"/>
              </w:rPr>
              <w:t>技术需求说明</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须应答）</w:t>
            </w:r>
          </w:p>
        </w:tc>
        <w:tc>
          <w:tcPr>
            <w:tcW w:w="1023" w:type="pct"/>
            <w:noWrap w:val="0"/>
            <w:vAlign w:val="center"/>
          </w:tcPr>
          <w:p w14:paraId="64EF68E4">
            <w:pPr>
              <w:pageBreakBefore w:val="0"/>
              <w:kinsoku/>
              <w:overflowPunct/>
              <w:bidi w:val="0"/>
              <w:snapToGrid w:val="0"/>
              <w:spacing w:before="156" w:beforeLines="50" w:after="156"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偏差说明</w:t>
            </w:r>
          </w:p>
        </w:tc>
      </w:tr>
      <w:tr w14:paraId="4E7EC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noWrap w:val="0"/>
            <w:vAlign w:val="center"/>
          </w:tcPr>
          <w:p w14:paraId="33A74C30">
            <w:pPr>
              <w:pageBreakBefore w:val="0"/>
              <w:kinsoku/>
              <w:overflowPunct/>
              <w:bidi w:val="0"/>
              <w:snapToGrid w:val="0"/>
              <w:spacing w:before="312" w:beforeLines="100" w:after="312" w:afterLines="10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67" w:type="pct"/>
            <w:noWrap w:val="0"/>
            <w:vAlign w:val="center"/>
          </w:tcPr>
          <w:p w14:paraId="1F56D139">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473" w:type="pct"/>
            <w:noWrap w:val="0"/>
            <w:vAlign w:val="center"/>
          </w:tcPr>
          <w:p w14:paraId="3B846281">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423" w:type="pct"/>
            <w:noWrap w:val="0"/>
            <w:vAlign w:val="center"/>
          </w:tcPr>
          <w:p w14:paraId="1F8E73FE">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023" w:type="pct"/>
            <w:noWrap w:val="0"/>
            <w:vAlign w:val="center"/>
          </w:tcPr>
          <w:p w14:paraId="1F12FEF8">
            <w:pPr>
              <w:pageBreakBefore w:val="0"/>
              <w:kinsoku/>
              <w:overflowPunct/>
              <w:bidi w:val="0"/>
              <w:spacing w:line="360" w:lineRule="auto"/>
              <w:jc w:val="center"/>
              <w:rPr>
                <w:rFonts w:hint="eastAsia" w:ascii="宋体" w:hAnsi="宋体" w:eastAsia="宋体" w:cs="宋体"/>
                <w:color w:val="auto"/>
                <w:sz w:val="21"/>
                <w:szCs w:val="21"/>
                <w:highlight w:val="none"/>
              </w:rPr>
            </w:pPr>
          </w:p>
        </w:tc>
      </w:tr>
      <w:tr w14:paraId="64A6B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noWrap w:val="0"/>
            <w:vAlign w:val="center"/>
          </w:tcPr>
          <w:p w14:paraId="7AC1D081">
            <w:pPr>
              <w:pageBreakBefore w:val="0"/>
              <w:kinsoku/>
              <w:overflowPunct/>
              <w:bidi w:val="0"/>
              <w:snapToGrid w:val="0"/>
              <w:spacing w:before="312" w:beforeLines="100" w:after="312" w:afterLines="10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67" w:type="pct"/>
            <w:noWrap w:val="0"/>
            <w:vAlign w:val="center"/>
          </w:tcPr>
          <w:p w14:paraId="00BC4131">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473" w:type="pct"/>
            <w:noWrap w:val="0"/>
            <w:vAlign w:val="center"/>
          </w:tcPr>
          <w:p w14:paraId="4B192CD6">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423" w:type="pct"/>
            <w:noWrap w:val="0"/>
            <w:vAlign w:val="center"/>
          </w:tcPr>
          <w:p w14:paraId="102FA9B5">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023" w:type="pct"/>
            <w:noWrap w:val="0"/>
            <w:vAlign w:val="center"/>
          </w:tcPr>
          <w:p w14:paraId="31BAAB6D">
            <w:pPr>
              <w:pageBreakBefore w:val="0"/>
              <w:kinsoku/>
              <w:overflowPunct/>
              <w:bidi w:val="0"/>
              <w:spacing w:line="360" w:lineRule="auto"/>
              <w:jc w:val="center"/>
              <w:rPr>
                <w:rFonts w:hint="eastAsia" w:ascii="宋体" w:hAnsi="宋体" w:eastAsia="宋体" w:cs="宋体"/>
                <w:color w:val="auto"/>
                <w:sz w:val="21"/>
                <w:szCs w:val="21"/>
                <w:highlight w:val="none"/>
              </w:rPr>
            </w:pPr>
          </w:p>
        </w:tc>
      </w:tr>
      <w:tr w14:paraId="4F101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noWrap w:val="0"/>
            <w:vAlign w:val="center"/>
          </w:tcPr>
          <w:p w14:paraId="0BA8D846">
            <w:pPr>
              <w:pageBreakBefore w:val="0"/>
              <w:kinsoku/>
              <w:overflowPunct/>
              <w:bidi w:val="0"/>
              <w:snapToGrid w:val="0"/>
              <w:spacing w:before="312" w:beforeLines="100" w:after="312" w:afterLines="10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667" w:type="pct"/>
            <w:noWrap w:val="0"/>
            <w:vAlign w:val="center"/>
          </w:tcPr>
          <w:p w14:paraId="2C10E940">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473" w:type="pct"/>
            <w:noWrap w:val="0"/>
            <w:vAlign w:val="center"/>
          </w:tcPr>
          <w:p w14:paraId="6D595446">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423" w:type="pct"/>
            <w:noWrap w:val="0"/>
            <w:vAlign w:val="center"/>
          </w:tcPr>
          <w:p w14:paraId="13FBDF3D">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023" w:type="pct"/>
            <w:noWrap w:val="0"/>
            <w:vAlign w:val="center"/>
          </w:tcPr>
          <w:p w14:paraId="6E3AF52A">
            <w:pPr>
              <w:pageBreakBefore w:val="0"/>
              <w:kinsoku/>
              <w:overflowPunct/>
              <w:bidi w:val="0"/>
              <w:spacing w:line="360" w:lineRule="auto"/>
              <w:jc w:val="center"/>
              <w:rPr>
                <w:rFonts w:hint="eastAsia" w:ascii="宋体" w:hAnsi="宋体" w:eastAsia="宋体" w:cs="宋体"/>
                <w:color w:val="auto"/>
                <w:sz w:val="21"/>
                <w:szCs w:val="21"/>
                <w:highlight w:val="none"/>
              </w:rPr>
            </w:pPr>
          </w:p>
        </w:tc>
      </w:tr>
    </w:tbl>
    <w:p w14:paraId="6218F639">
      <w:pPr>
        <w:pStyle w:val="131"/>
        <w:keepNext w:val="0"/>
        <w:keepLines w:val="0"/>
        <w:pageBreakBefore w:val="0"/>
        <w:widowControl w:val="0"/>
        <w:numPr>
          <w:ilvl w:val="0"/>
          <w:numId w:val="0"/>
        </w:numPr>
        <w:kinsoku/>
        <w:wordWrap/>
        <w:overflowPunct/>
        <w:topLinePunct w:val="0"/>
        <w:bidi w:val="0"/>
        <w:adjustRightInd w:val="0"/>
        <w:spacing w:after="0" w:afterLines="0" w:line="360" w:lineRule="auto"/>
        <w:ind w:right="0" w:rightChars="0"/>
        <w:textAlignment w:val="auto"/>
        <w:rPr>
          <w:rFonts w:hint="eastAsia" w:ascii="宋体" w:hAnsi="宋体" w:eastAsia="宋体" w:cs="宋体"/>
          <w:color w:val="auto"/>
          <w:szCs w:val="21"/>
          <w:highlight w:val="none"/>
          <w:lang w:eastAsia="zh-CN"/>
        </w:rPr>
      </w:pPr>
    </w:p>
    <w:p w14:paraId="0B09AD1F">
      <w:pPr>
        <w:pStyle w:val="131"/>
        <w:keepNext w:val="0"/>
        <w:keepLines w:val="0"/>
        <w:pageBreakBefore w:val="0"/>
        <w:widowControl w:val="0"/>
        <w:numPr>
          <w:ilvl w:val="0"/>
          <w:numId w:val="0"/>
        </w:numPr>
        <w:kinsoku/>
        <w:wordWrap/>
        <w:overflowPunct/>
        <w:topLinePunct w:val="0"/>
        <w:bidi w:val="0"/>
        <w:adjustRightInd w:val="0"/>
        <w:spacing w:after="0" w:afterLines="0" w:line="360" w:lineRule="auto"/>
        <w:ind w:right="0" w:rightChars="0" w:firstLine="48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注：</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需按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条中的</w:t>
      </w:r>
      <w:r>
        <w:rPr>
          <w:rFonts w:hint="eastAsia" w:ascii="宋体" w:hAnsi="宋体" w:eastAsia="宋体" w:cs="宋体"/>
          <w:b/>
          <w:bCs/>
          <w:color w:val="auto"/>
          <w:sz w:val="21"/>
          <w:szCs w:val="21"/>
          <w:highlight w:val="none"/>
          <w:lang w:val="en-US" w:eastAsia="zh-CN"/>
        </w:rPr>
        <w:t>3.2</w:t>
      </w:r>
      <w:r>
        <w:rPr>
          <w:rFonts w:hint="eastAsia" w:ascii="宋体" w:hAnsi="宋体" w:eastAsia="宋体" w:cs="宋体"/>
          <w:b/>
          <w:bCs/>
          <w:color w:val="auto"/>
          <w:kern w:val="0"/>
          <w:sz w:val="21"/>
          <w:szCs w:val="21"/>
          <w:highlight w:val="none"/>
          <w:lang w:val="en-US" w:eastAsia="zh-CN" w:bidi="ar"/>
        </w:rPr>
        <w:t>技术参数要求</w:t>
      </w:r>
      <w:r>
        <w:rPr>
          <w:rFonts w:hint="eastAsia" w:ascii="宋体" w:hAnsi="宋体" w:eastAsia="宋体" w:cs="宋体"/>
          <w:color w:val="auto"/>
          <w:sz w:val="21"/>
          <w:szCs w:val="21"/>
          <w:highlight w:val="none"/>
          <w:lang w:eastAsia="zh-CN"/>
        </w:rPr>
        <w:t>填写</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eastAsia="zh-CN"/>
        </w:rPr>
        <w:t>填写</w:t>
      </w:r>
      <w:r>
        <w:rPr>
          <w:rFonts w:hint="eastAsia" w:ascii="宋体" w:hAnsi="宋体" w:eastAsia="宋体" w:cs="宋体"/>
          <w:color w:val="auto"/>
          <w:sz w:val="21"/>
          <w:szCs w:val="21"/>
          <w:highlight w:val="none"/>
        </w:rPr>
        <w:t>以“满足”或“不满足”，列出所投产品或服务的具体技术指标，并辅以详细解释。除“满足”项目外，必须在偏差说明一栏中对偏差予以详细说明。</w:t>
      </w:r>
    </w:p>
    <w:p w14:paraId="63404996">
      <w:pPr>
        <w:pStyle w:val="131"/>
        <w:keepNext w:val="0"/>
        <w:keepLines w:val="0"/>
        <w:pageBreakBefore w:val="0"/>
        <w:widowControl w:val="0"/>
        <w:numPr>
          <w:ilvl w:val="0"/>
          <w:numId w:val="0"/>
        </w:numPr>
        <w:kinsoku/>
        <w:wordWrap/>
        <w:overflowPunct/>
        <w:topLinePunct w:val="0"/>
        <w:bidi w:val="0"/>
        <w:adjustRightInd w:val="0"/>
        <w:spacing w:after="0" w:afterLines="0"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可根据其投标内容进一步细化上述表格，并可增添其它表格或说明以便进一步明确投标内容。</w:t>
      </w:r>
    </w:p>
    <w:p w14:paraId="4626D45A">
      <w:pPr>
        <w:pStyle w:val="131"/>
        <w:keepNext w:val="0"/>
        <w:keepLines w:val="0"/>
        <w:pageBreakBefore w:val="0"/>
        <w:widowControl w:val="0"/>
        <w:numPr>
          <w:ilvl w:val="0"/>
          <w:numId w:val="0"/>
        </w:numPr>
        <w:kinsoku/>
        <w:wordWrap/>
        <w:overflowPunct/>
        <w:topLinePunct w:val="0"/>
        <w:bidi w:val="0"/>
        <w:adjustRightInd w:val="0"/>
        <w:spacing w:after="0" w:afterLines="0" w:line="360" w:lineRule="auto"/>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3.未按要求填写，可能会造成不良后果，投标人自行承担。</w:t>
      </w:r>
    </w:p>
    <w:p w14:paraId="39C0D2EB">
      <w:pPr>
        <w:pStyle w:val="2"/>
        <w:pageBreakBefore w:val="0"/>
        <w:kinsoku/>
        <w:overflowPunct/>
        <w:bidi w:val="0"/>
        <w:spacing w:line="360" w:lineRule="auto"/>
        <w:rPr>
          <w:rFonts w:hint="eastAsia" w:ascii="宋体" w:hAnsi="宋体" w:eastAsia="宋体" w:cs="宋体"/>
          <w:color w:val="auto"/>
          <w:highlight w:val="none"/>
          <w:lang w:eastAsia="zh-CN"/>
        </w:rPr>
      </w:pPr>
    </w:p>
    <w:p w14:paraId="54164897">
      <w:pPr>
        <w:pageBreakBefore w:val="0"/>
        <w:kinsoku/>
        <w:overflowPunct/>
        <w:bidi w:val="0"/>
        <w:spacing w:line="360" w:lineRule="auto"/>
        <w:ind w:firstLine="3360" w:firstLineChars="1600"/>
        <w:rPr>
          <w:rFonts w:hint="eastAsia" w:ascii="宋体" w:hAnsi="宋体" w:eastAsia="宋体" w:cs="宋体"/>
          <w:b w:val="0"/>
          <w:bCs/>
          <w:color w:val="auto"/>
          <w:szCs w:val="21"/>
          <w:highlight w:val="none"/>
        </w:rPr>
      </w:pP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标</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人</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盖章</w:t>
      </w:r>
      <w:r>
        <w:rPr>
          <w:rFonts w:hint="eastAsia" w:ascii="宋体" w:hAnsi="宋体" w:eastAsia="宋体" w:cs="宋体"/>
          <w:b w:val="0"/>
          <w:bCs/>
          <w:color w:val="auto"/>
          <w:szCs w:val="21"/>
          <w:highlight w:val="none"/>
        </w:rPr>
        <w:t>）</w:t>
      </w:r>
    </w:p>
    <w:p w14:paraId="4900882E">
      <w:pPr>
        <w:pageBreakBefore w:val="0"/>
        <w:kinsoku/>
        <w:overflowPunct/>
        <w:bidi w:val="0"/>
        <w:spacing w:line="360" w:lineRule="auto"/>
        <w:ind w:firstLine="3360" w:firstLineChars="16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法定代表人或其委托代理人：</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 w:val="0"/>
          <w:bCs/>
          <w:color w:val="auto"/>
          <w:szCs w:val="21"/>
          <w:highlight w:val="none"/>
        </w:rPr>
        <w:t>）</w:t>
      </w:r>
    </w:p>
    <w:p w14:paraId="66E08F78">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firstLine="4620" w:firstLineChars="2200"/>
        <w:jc w:val="left"/>
        <w:textAlignment w:val="auto"/>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spacing w:val="43"/>
          <w:kern w:val="0"/>
          <w:sz w:val="21"/>
          <w:szCs w:val="21"/>
          <w:highlight w:val="none"/>
          <w:u w:val="single"/>
        </w:rPr>
        <w:t xml:space="preserve"> </w:t>
      </w:r>
      <w:r>
        <w:rPr>
          <w:rFonts w:hint="eastAsia" w:ascii="宋体" w:hAnsi="宋体" w:eastAsia="宋体" w:cs="宋体"/>
          <w:b w:val="0"/>
          <w:bCs/>
          <w:color w:val="auto"/>
          <w:kern w:val="0"/>
          <w:sz w:val="21"/>
          <w:szCs w:val="21"/>
          <w:highlight w:val="none"/>
        </w:rPr>
        <w:t>年</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rPr>
        <w:t>月</w:t>
      </w:r>
      <w:r>
        <w:rPr>
          <w:rFonts w:hint="eastAsia" w:ascii="宋体" w:hAnsi="宋体" w:eastAsia="宋体" w:cs="宋体"/>
          <w:b w:val="0"/>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rPr>
        <w:t>日</w:t>
      </w:r>
    </w:p>
    <w:p w14:paraId="4773B68F">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firstLine="4620" w:firstLineChars="2200"/>
        <w:jc w:val="left"/>
        <w:textAlignment w:val="auto"/>
        <w:outlineLvl w:val="9"/>
        <w:rPr>
          <w:rFonts w:hint="eastAsia" w:ascii="宋体" w:hAnsi="宋体" w:eastAsia="宋体" w:cs="宋体"/>
          <w:b w:val="0"/>
          <w:bCs/>
          <w:color w:val="auto"/>
          <w:kern w:val="0"/>
          <w:sz w:val="21"/>
          <w:szCs w:val="21"/>
          <w:highlight w:val="none"/>
        </w:rPr>
      </w:pPr>
    </w:p>
    <w:p w14:paraId="343EE312">
      <w:pPr>
        <w:pStyle w:val="5"/>
        <w:pageBreakBefore w:val="0"/>
        <w:numPr>
          <w:ilvl w:val="0"/>
          <w:numId w:val="35"/>
        </w:numPr>
        <w:tabs>
          <w:tab w:val="left" w:pos="840"/>
        </w:tabs>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br w:type="page"/>
      </w:r>
      <w:bookmarkStart w:id="765" w:name="_Toc5255"/>
      <w:bookmarkStart w:id="766" w:name="_Toc312133600"/>
      <w:r>
        <w:rPr>
          <w:rFonts w:hint="eastAsia" w:ascii="宋体" w:hAnsi="宋体" w:eastAsia="宋体" w:cs="宋体"/>
          <w:color w:val="auto"/>
          <w:sz w:val="24"/>
          <w:szCs w:val="24"/>
          <w:highlight w:val="none"/>
          <w:lang w:val="en-US" w:eastAsia="zh-CN"/>
        </w:rPr>
        <w:t>技术部分</w:t>
      </w:r>
      <w:bookmarkEnd w:id="765"/>
    </w:p>
    <w:p w14:paraId="43DF2670">
      <w:pPr>
        <w:pageBreakBefore w:val="0"/>
        <w:kinsoku/>
        <w:overflowPunct/>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格式自拟，内容包括但不限于：</w:t>
      </w:r>
    </w:p>
    <w:p w14:paraId="4C591A30">
      <w:pPr>
        <w:pageBreakBefore w:val="0"/>
        <w:kinsoku/>
        <w:overflowPunct/>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（一）供货方案</w:t>
      </w:r>
    </w:p>
    <w:p w14:paraId="24A02FED">
      <w:pPr>
        <w:pageBreakBefore w:val="0"/>
        <w:kinsoku/>
        <w:overflowPunct/>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（二）项目实施方案</w:t>
      </w:r>
    </w:p>
    <w:p w14:paraId="47FFDE7C">
      <w:pPr>
        <w:pStyle w:val="68"/>
        <w:pageBreakBefore w:val="0"/>
        <w:kinsoku/>
        <w:overflowPunct/>
        <w:bidi w:val="0"/>
        <w:spacing w:line="360" w:lineRule="auto"/>
        <w:rPr>
          <w:rFonts w:hint="eastAsia" w:ascii="宋体" w:hAnsi="宋体" w:eastAsia="宋体" w:cs="宋体"/>
          <w:color w:val="auto"/>
          <w:highlight w:val="none"/>
          <w:lang w:val="en-US" w:eastAsia="zh-CN"/>
        </w:rPr>
      </w:pPr>
    </w:p>
    <w:p w14:paraId="7C579B88">
      <w:pPr>
        <w:pStyle w:val="9"/>
        <w:pageBreakBefore w:val="0"/>
        <w:kinsoku/>
        <w:overflowPunct/>
        <w:bidi w:val="0"/>
        <w:spacing w:line="360" w:lineRule="auto"/>
        <w:rPr>
          <w:rFonts w:hint="eastAsia" w:ascii="宋体" w:hAnsi="宋体" w:eastAsia="宋体" w:cs="宋体"/>
          <w:color w:val="auto"/>
          <w:highlight w:val="none"/>
        </w:rPr>
      </w:pPr>
    </w:p>
    <w:bookmarkEnd w:id="766"/>
    <w:p w14:paraId="221E4B43">
      <w:pPr>
        <w:pageBreakBefore w:val="0"/>
        <w:kinsoku/>
        <w:overflowPunct/>
        <w:bidi w:val="0"/>
        <w:spacing w:line="360" w:lineRule="auto"/>
        <w:rPr>
          <w:rFonts w:hint="eastAsia" w:ascii="宋体" w:hAnsi="宋体" w:eastAsia="宋体" w:cs="宋体"/>
          <w:color w:val="auto"/>
          <w:spacing w:val="10"/>
          <w:kern w:val="0"/>
          <w:szCs w:val="21"/>
          <w:highlight w:val="none"/>
        </w:rPr>
      </w:pPr>
    </w:p>
    <w:p w14:paraId="2EEF9B8F">
      <w:pPr>
        <w:pStyle w:val="8"/>
        <w:pageBreakBefore w:val="0"/>
        <w:kinsoku/>
        <w:overflowPunct/>
        <w:bidi w:val="0"/>
        <w:spacing w:line="360" w:lineRule="auto"/>
        <w:ind w:firstLine="0"/>
        <w:rPr>
          <w:rFonts w:hint="eastAsia" w:ascii="宋体" w:hAnsi="宋体" w:eastAsia="宋体" w:cs="宋体"/>
          <w:color w:val="auto"/>
          <w:spacing w:val="10"/>
          <w:kern w:val="0"/>
          <w:szCs w:val="21"/>
          <w:highlight w:val="none"/>
        </w:rPr>
      </w:pPr>
    </w:p>
    <w:p w14:paraId="327E8467">
      <w:pPr>
        <w:pStyle w:val="8"/>
        <w:pageBreakBefore w:val="0"/>
        <w:kinsoku/>
        <w:overflowPunct/>
        <w:bidi w:val="0"/>
        <w:spacing w:line="360" w:lineRule="auto"/>
        <w:ind w:firstLine="0"/>
        <w:rPr>
          <w:rFonts w:hint="eastAsia" w:ascii="宋体" w:hAnsi="宋体" w:eastAsia="宋体" w:cs="宋体"/>
          <w:color w:val="auto"/>
          <w:szCs w:val="21"/>
          <w:highlight w:val="none"/>
        </w:rPr>
      </w:pPr>
    </w:p>
    <w:p w14:paraId="2BC5BFBB">
      <w:pPr>
        <w:pStyle w:val="8"/>
        <w:pageBreakBefore w:val="0"/>
        <w:kinsoku/>
        <w:overflowPunct/>
        <w:bidi w:val="0"/>
        <w:spacing w:line="360" w:lineRule="auto"/>
        <w:ind w:firstLine="0"/>
        <w:rPr>
          <w:rFonts w:hint="eastAsia" w:ascii="宋体" w:hAnsi="宋体" w:eastAsia="宋体" w:cs="宋体"/>
          <w:color w:val="auto"/>
          <w:szCs w:val="21"/>
          <w:highlight w:val="none"/>
        </w:rPr>
      </w:pPr>
    </w:p>
    <w:p w14:paraId="176D7E70">
      <w:pPr>
        <w:pStyle w:val="8"/>
        <w:pageBreakBefore w:val="0"/>
        <w:kinsoku/>
        <w:overflowPunct/>
        <w:bidi w:val="0"/>
        <w:spacing w:line="360" w:lineRule="auto"/>
        <w:ind w:firstLine="0"/>
        <w:rPr>
          <w:rFonts w:hint="eastAsia" w:ascii="宋体" w:hAnsi="宋体" w:eastAsia="宋体" w:cs="宋体"/>
          <w:color w:val="auto"/>
          <w:szCs w:val="21"/>
          <w:highlight w:val="none"/>
        </w:rPr>
      </w:pPr>
    </w:p>
    <w:p w14:paraId="05C59683">
      <w:pPr>
        <w:pStyle w:val="5"/>
        <w:pageBreakBefore w:val="0"/>
        <w:numPr>
          <w:ilvl w:val="0"/>
          <w:numId w:val="35"/>
        </w:numPr>
        <w:tabs>
          <w:tab w:val="left" w:pos="840"/>
        </w:tabs>
        <w:kinsoku/>
        <w:overflowPunct/>
        <w:bidi w:val="0"/>
        <w:spacing w:line="360" w:lineRule="auto"/>
        <w:jc w:val="center"/>
        <w:rPr>
          <w:rFonts w:hint="eastAsia" w:ascii="宋体" w:hAnsi="宋体" w:eastAsia="宋体" w:cs="宋体"/>
          <w:color w:val="auto"/>
          <w:sz w:val="24"/>
          <w:szCs w:val="24"/>
          <w:highlight w:val="none"/>
        </w:rPr>
      </w:pPr>
      <w:bookmarkStart w:id="767" w:name="_Toc275795959"/>
      <w:r>
        <w:rPr>
          <w:rFonts w:hint="eastAsia" w:ascii="宋体" w:hAnsi="宋体" w:eastAsia="宋体" w:cs="宋体"/>
          <w:color w:val="auto"/>
          <w:sz w:val="21"/>
          <w:szCs w:val="21"/>
          <w:highlight w:val="none"/>
        </w:rPr>
        <w:br w:type="page"/>
      </w:r>
      <w:bookmarkStart w:id="768" w:name="_Toc339972632"/>
      <w:bookmarkStart w:id="769" w:name="_Toc26830"/>
      <w:bookmarkStart w:id="770" w:name="_Toc355809725"/>
      <w:bookmarkStart w:id="771" w:name="_Toc27228"/>
      <w:r>
        <w:rPr>
          <w:rFonts w:hint="eastAsia" w:ascii="宋体" w:hAnsi="宋体" w:eastAsia="宋体" w:cs="宋体"/>
          <w:color w:val="auto"/>
          <w:sz w:val="24"/>
          <w:szCs w:val="24"/>
          <w:highlight w:val="none"/>
          <w:lang w:eastAsia="zh-CN"/>
        </w:rPr>
        <w:t>反商业贿赂承诺书</w:t>
      </w:r>
      <w:bookmarkEnd w:id="767"/>
      <w:bookmarkEnd w:id="768"/>
      <w:bookmarkEnd w:id="769"/>
      <w:bookmarkEnd w:id="770"/>
      <w:bookmarkEnd w:id="771"/>
    </w:p>
    <w:p w14:paraId="086B3B33">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我公司承诺：</w:t>
      </w:r>
    </w:p>
    <w:p w14:paraId="1AC09D1E">
      <w:pPr>
        <w:pageBreakBefore w:val="0"/>
        <w:kinsoku/>
        <w:overflowPunct/>
        <w:bidi w:val="0"/>
        <w:spacing w:line="360" w:lineRule="auto"/>
        <w:ind w:firstLine="555"/>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（采购项目名称）</w:t>
      </w:r>
      <w:r>
        <w:rPr>
          <w:rFonts w:hint="eastAsia" w:ascii="宋体" w:hAnsi="宋体" w:eastAsia="宋体" w:cs="宋体"/>
          <w:color w:val="auto"/>
          <w:szCs w:val="21"/>
          <w:highlight w:val="none"/>
        </w:rPr>
        <w:t>采购活动中，我公司保证做到：</w:t>
      </w:r>
    </w:p>
    <w:p w14:paraId="359768CD">
      <w:pPr>
        <w:pageBreakBefore w:val="0"/>
        <w:kinsoku/>
        <w:overflowPunct/>
        <w:bidi w:val="0"/>
        <w:spacing w:line="360" w:lineRule="auto"/>
        <w:ind w:firstLine="5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公平竞争参加本次采购活动。</w:t>
      </w:r>
    </w:p>
    <w:p w14:paraId="5CC96CEF">
      <w:pPr>
        <w:pageBreakBefore w:val="0"/>
        <w:kinsoku/>
        <w:overflowPunct/>
        <w:bidi w:val="0"/>
        <w:spacing w:line="360" w:lineRule="auto"/>
        <w:ind w:firstLine="556"/>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E9B06F1">
      <w:pPr>
        <w:pageBreakBefore w:val="0"/>
        <w:kinsoku/>
        <w:overflowPunct/>
        <w:bidi w:val="0"/>
        <w:spacing w:line="360" w:lineRule="auto"/>
        <w:ind w:firstLine="556"/>
        <w:rPr>
          <w:rFonts w:hint="eastAsia" w:ascii="宋体" w:hAnsi="宋体" w:eastAsia="宋体" w:cs="宋体"/>
          <w:color w:val="auto"/>
          <w:szCs w:val="21"/>
          <w:highlight w:val="none"/>
        </w:rPr>
      </w:pPr>
      <w:r>
        <w:rPr>
          <w:rFonts w:hint="eastAsia" w:ascii="宋体" w:hAnsi="宋体" w:eastAsia="宋体" w:cs="宋体"/>
          <w:color w:val="auto"/>
          <w:szCs w:val="21"/>
          <w:highlight w:val="none"/>
        </w:rPr>
        <w:t>3. 若出现上述行为，我公司及参与投标的工作人员愿意接受按照国家法律法规等有关规定给予的处罚。</w:t>
      </w:r>
    </w:p>
    <w:p w14:paraId="6176C1DB">
      <w:pPr>
        <w:pageBreakBefore w:val="0"/>
        <w:kinsoku/>
        <w:overflowPunct/>
        <w:bidi w:val="0"/>
        <w:spacing w:line="360" w:lineRule="auto"/>
        <w:ind w:firstLine="555"/>
        <w:rPr>
          <w:rFonts w:hint="eastAsia" w:ascii="宋体" w:hAnsi="宋体" w:eastAsia="宋体" w:cs="宋体"/>
          <w:color w:val="auto"/>
          <w:szCs w:val="21"/>
          <w:highlight w:val="none"/>
        </w:rPr>
      </w:pPr>
    </w:p>
    <w:p w14:paraId="689644FC">
      <w:pPr>
        <w:pageBreakBefore w:val="0"/>
        <w:kinsoku/>
        <w:overflowPunct/>
        <w:bidi w:val="0"/>
        <w:spacing w:line="360" w:lineRule="auto"/>
        <w:ind w:firstLine="288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投标人（公章）：</w:t>
      </w:r>
    </w:p>
    <w:p w14:paraId="07DC96D9">
      <w:pPr>
        <w:pageBreakBefore w:val="0"/>
        <w:kinsoku/>
        <w:overflowPunct/>
        <w:bidi w:val="0"/>
        <w:spacing w:line="360" w:lineRule="auto"/>
        <w:ind w:firstLine="288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法定代表人</w:t>
      </w:r>
      <w:r>
        <w:rPr>
          <w:rFonts w:hint="eastAsia" w:ascii="宋体" w:hAnsi="宋体" w:eastAsia="宋体" w:cs="宋体"/>
          <w:color w:val="auto"/>
          <w:szCs w:val="21"/>
          <w:highlight w:val="none"/>
        </w:rPr>
        <w:t>（签字或盖章）：</w:t>
      </w:r>
    </w:p>
    <w:p w14:paraId="3D93F81C">
      <w:pPr>
        <w:pageBreakBefore w:val="0"/>
        <w:kinsoku/>
        <w:overflowPunct/>
        <w:bidi w:val="0"/>
        <w:spacing w:line="360" w:lineRule="auto"/>
        <w:ind w:firstLine="288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授权委托人</w:t>
      </w:r>
      <w:r>
        <w:rPr>
          <w:rFonts w:hint="eastAsia" w:ascii="宋体" w:hAnsi="宋体" w:eastAsia="宋体" w:cs="宋体"/>
          <w:color w:val="auto"/>
          <w:szCs w:val="21"/>
          <w:highlight w:val="none"/>
        </w:rPr>
        <w:t>（签字或盖章）：</w:t>
      </w:r>
    </w:p>
    <w:p w14:paraId="10F7C287">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0DD9122">
      <w:pPr>
        <w:pageBreakBefore w:val="0"/>
        <w:kinsoku/>
        <w:overflowPunct/>
        <w:bidi w:val="0"/>
        <w:spacing w:line="360" w:lineRule="auto"/>
        <w:rPr>
          <w:rFonts w:hint="eastAsia" w:ascii="宋体" w:hAnsi="宋体" w:eastAsia="宋体" w:cs="宋体"/>
          <w:color w:val="auto"/>
          <w:szCs w:val="21"/>
          <w:highlight w:val="none"/>
        </w:rPr>
      </w:pPr>
    </w:p>
    <w:p w14:paraId="194D8111">
      <w:pPr>
        <w:pageBreakBefore w:val="0"/>
        <w:widowControl/>
        <w:kinsoku/>
        <w:overflowPunct/>
        <w:bidi w:val="0"/>
        <w:spacing w:line="360" w:lineRule="auto"/>
        <w:rPr>
          <w:rFonts w:hint="eastAsia" w:ascii="宋体" w:hAnsi="宋体" w:eastAsia="宋体" w:cs="宋体"/>
          <w:color w:val="auto"/>
          <w:highlight w:val="none"/>
        </w:rPr>
      </w:pPr>
    </w:p>
    <w:p w14:paraId="68DDF270">
      <w:pPr>
        <w:pStyle w:val="5"/>
        <w:pageBreakBefore w:val="0"/>
        <w:numPr>
          <w:ilvl w:val="0"/>
          <w:numId w:val="35"/>
        </w:numPr>
        <w:tabs>
          <w:tab w:val="left" w:pos="840"/>
        </w:tabs>
        <w:kinsoku/>
        <w:overflowPunct/>
        <w:bidi w:val="0"/>
        <w:spacing w:line="360" w:lineRule="auto"/>
        <w:jc w:val="center"/>
        <w:rPr>
          <w:rFonts w:hint="eastAsia" w:ascii="宋体" w:hAnsi="宋体" w:eastAsia="宋体" w:cs="宋体"/>
          <w:color w:val="auto"/>
          <w:sz w:val="24"/>
          <w:szCs w:val="24"/>
          <w:highlight w:val="none"/>
          <w:lang w:val="en-US" w:eastAsia="zh-CN"/>
        </w:rPr>
      </w:pPr>
      <w:bookmarkStart w:id="772" w:name="_Toc13111"/>
      <w:bookmarkStart w:id="773" w:name="_Toc718"/>
      <w:r>
        <w:rPr>
          <w:rFonts w:hint="eastAsia" w:ascii="宋体" w:hAnsi="宋体" w:eastAsia="宋体" w:cs="宋体"/>
          <w:color w:val="auto"/>
          <w:sz w:val="24"/>
          <w:szCs w:val="24"/>
          <w:highlight w:val="none"/>
          <w:lang w:val="en-US" w:eastAsia="zh-CN"/>
        </w:rPr>
        <w:br w:type="page"/>
      </w:r>
      <w:bookmarkEnd w:id="772"/>
      <w:bookmarkStart w:id="774" w:name="_Toc23641"/>
      <w:r>
        <w:rPr>
          <w:rFonts w:hint="eastAsia" w:ascii="宋体" w:hAnsi="宋体" w:eastAsia="宋体" w:cs="宋体"/>
          <w:color w:val="auto"/>
          <w:sz w:val="24"/>
          <w:szCs w:val="24"/>
          <w:highlight w:val="none"/>
          <w:lang w:val="en-US" w:eastAsia="zh-CN"/>
        </w:rPr>
        <w:t>售后服务方案及其他</w:t>
      </w:r>
      <w:bookmarkEnd w:id="774"/>
    </w:p>
    <w:p w14:paraId="13B03C10">
      <w:pPr>
        <w:numPr>
          <w:ilvl w:val="0"/>
          <w:numId w:val="0"/>
        </w:numPr>
        <w:bidi w:val="0"/>
        <w:spacing w:line="360" w:lineRule="auto"/>
        <w:ind w:leftChars="0"/>
        <w:rPr>
          <w:rFonts w:hint="eastAsia" w:ascii="宋体" w:hAnsi="宋体" w:eastAsia="宋体" w:cs="宋体"/>
          <w:color w:val="auto"/>
          <w:highlight w:val="none"/>
          <w:lang w:val="en-US" w:eastAsia="zh-CN"/>
        </w:rPr>
      </w:pPr>
      <w:bookmarkStart w:id="775" w:name="_Toc312133601"/>
      <w:bookmarkStart w:id="776" w:name="_Toc15159"/>
      <w:r>
        <w:rPr>
          <w:rFonts w:hint="eastAsia" w:ascii="宋体" w:hAnsi="宋体" w:eastAsia="宋体" w:cs="宋体"/>
          <w:color w:val="auto"/>
          <w:highlight w:val="none"/>
          <w:lang w:eastAsia="zh-CN"/>
        </w:rPr>
        <w:t>格式自拟，</w:t>
      </w:r>
      <w:r>
        <w:rPr>
          <w:rFonts w:hint="eastAsia" w:ascii="宋体" w:hAnsi="宋体" w:eastAsia="宋体" w:cs="宋体"/>
          <w:color w:val="auto"/>
          <w:highlight w:val="none"/>
          <w:lang w:val="en-US" w:eastAsia="zh-CN"/>
        </w:rPr>
        <w:t>内容包括但不限于：</w:t>
      </w:r>
    </w:p>
    <w:p w14:paraId="453F8015">
      <w:pPr>
        <w:numPr>
          <w:ilvl w:val="0"/>
          <w:numId w:val="0"/>
        </w:numPr>
        <w:bidi w:val="0"/>
        <w:spacing w:line="360" w:lineRule="auto"/>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lang w:eastAsia="zh-CN"/>
        </w:rPr>
        <w:t>售后服务方案</w:t>
      </w:r>
    </w:p>
    <w:p w14:paraId="23B95EAA">
      <w:pPr>
        <w:numPr>
          <w:ilvl w:val="0"/>
          <w:numId w:val="0"/>
        </w:numPr>
        <w:bidi w:val="0"/>
        <w:spacing w:line="360" w:lineRule="auto"/>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（二）质量保证期</w:t>
      </w:r>
      <w:r>
        <w:rPr>
          <w:rFonts w:hint="eastAsia" w:ascii="宋体" w:hAnsi="宋体" w:eastAsia="宋体" w:cs="宋体"/>
          <w:color w:val="auto"/>
          <w:highlight w:val="none"/>
          <w:lang w:eastAsia="zh-CN"/>
        </w:rPr>
        <w:t>内保证措施</w:t>
      </w:r>
    </w:p>
    <w:p w14:paraId="37F7252E">
      <w:pPr>
        <w:numPr>
          <w:ilvl w:val="0"/>
          <w:numId w:val="0"/>
        </w:numPr>
        <w:bidi w:val="0"/>
        <w:spacing w:line="360" w:lineRule="auto"/>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eastAsia="zh-CN"/>
        </w:rPr>
        <w:t>人员培训方案</w:t>
      </w:r>
    </w:p>
    <w:bookmarkEnd w:id="775"/>
    <w:bookmarkEnd w:id="776"/>
    <w:p w14:paraId="11D6CB26">
      <w:pPr>
        <w:pStyle w:val="68"/>
        <w:pageBreakBefore w:val="0"/>
        <w:kinsoku/>
        <w:overflowPunct/>
        <w:bidi w:val="0"/>
        <w:spacing w:line="360" w:lineRule="auto"/>
        <w:rPr>
          <w:rFonts w:hint="eastAsia" w:ascii="宋体" w:hAnsi="宋体" w:eastAsia="宋体" w:cs="宋体"/>
          <w:color w:val="auto"/>
          <w:highlight w:val="none"/>
        </w:rPr>
      </w:pPr>
    </w:p>
    <w:p w14:paraId="547BACD2">
      <w:pPr>
        <w:pStyle w:val="9"/>
        <w:pageBreakBefore w:val="0"/>
        <w:kinsoku/>
        <w:overflowPunct/>
        <w:bidi w:val="0"/>
        <w:spacing w:line="360" w:lineRule="auto"/>
        <w:rPr>
          <w:rFonts w:hint="eastAsia" w:ascii="宋体" w:hAnsi="宋体" w:eastAsia="宋体" w:cs="宋体"/>
          <w:color w:val="auto"/>
          <w:highlight w:val="none"/>
        </w:rPr>
      </w:pPr>
    </w:p>
    <w:p w14:paraId="2B32A01E">
      <w:pPr>
        <w:pStyle w:val="5"/>
        <w:pageBreakBefore w:val="0"/>
        <w:numPr>
          <w:ilvl w:val="0"/>
          <w:numId w:val="35"/>
        </w:numPr>
        <w:tabs>
          <w:tab w:val="left" w:pos="840"/>
        </w:tabs>
        <w:kinsoku/>
        <w:overflowPunct/>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br w:type="page"/>
      </w:r>
      <w:bookmarkStart w:id="777" w:name="_Toc28487"/>
      <w:r>
        <w:rPr>
          <w:rFonts w:hint="eastAsia" w:ascii="宋体" w:hAnsi="宋体" w:eastAsia="宋体" w:cs="宋体"/>
          <w:color w:val="auto"/>
          <w:sz w:val="24"/>
          <w:szCs w:val="24"/>
          <w:highlight w:val="none"/>
          <w:lang w:val="en-US" w:eastAsia="zh-CN"/>
        </w:rPr>
        <w:t>中小企业声明函</w:t>
      </w:r>
      <w:bookmarkEnd w:id="773"/>
      <w:r>
        <w:rPr>
          <w:rFonts w:hint="eastAsia" w:ascii="宋体" w:hAnsi="宋体" w:eastAsia="宋体" w:cs="宋体"/>
          <w:color w:val="auto"/>
          <w:sz w:val="24"/>
          <w:szCs w:val="24"/>
          <w:highlight w:val="none"/>
          <w:lang w:val="en-US" w:eastAsia="zh-CN"/>
        </w:rPr>
        <w:t>（如有）</w:t>
      </w:r>
      <w:bookmarkEnd w:id="777"/>
    </w:p>
    <w:p w14:paraId="2C66AA2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本公司（联合体）郑重声明，根据《政府采购促进中小企业发展管理办法》（财库﹝2020﹞46号）的规定，本公司 （联合体）参加</w:t>
      </w:r>
      <w:r>
        <w:rPr>
          <w:rFonts w:hint="eastAsia" w:ascii="宋体" w:hAnsi="宋体" w:eastAsia="宋体" w:cs="宋体"/>
          <w:i w:val="0"/>
          <w:iCs w:val="0"/>
          <w:color w:val="auto"/>
          <w:kern w:val="0"/>
          <w:sz w:val="21"/>
          <w:szCs w:val="21"/>
          <w:highlight w:val="none"/>
          <w:u w:val="single"/>
          <w:lang w:val="en-US" w:eastAsia="zh-CN" w:bidi="ar"/>
        </w:rPr>
        <w:t>（单位名称）</w:t>
      </w:r>
      <w:r>
        <w:rPr>
          <w:rFonts w:hint="eastAsia" w:ascii="宋体" w:hAnsi="宋体" w:eastAsia="宋体" w:cs="宋体"/>
          <w:i w:val="0"/>
          <w:iCs w:val="0"/>
          <w:color w:val="auto"/>
          <w:kern w:val="0"/>
          <w:sz w:val="21"/>
          <w:szCs w:val="21"/>
          <w:highlight w:val="none"/>
          <w:lang w:val="en-US" w:eastAsia="zh-CN" w:bidi="ar"/>
        </w:rPr>
        <w:t>的</w:t>
      </w:r>
      <w:r>
        <w:rPr>
          <w:rFonts w:hint="eastAsia" w:ascii="宋体" w:hAnsi="宋体" w:eastAsia="宋体" w:cs="宋体"/>
          <w:i w:val="0"/>
          <w:iCs w:val="0"/>
          <w:color w:val="auto"/>
          <w:kern w:val="0"/>
          <w:sz w:val="21"/>
          <w:szCs w:val="21"/>
          <w:highlight w:val="none"/>
          <w:u w:val="single"/>
          <w:lang w:val="en-US" w:eastAsia="zh-CN" w:bidi="ar"/>
        </w:rPr>
        <w:t>（项目名称）</w:t>
      </w:r>
      <w:r>
        <w:rPr>
          <w:rFonts w:hint="eastAsia" w:ascii="宋体" w:hAnsi="宋体" w:eastAsia="宋体" w:cs="宋体"/>
          <w:i w:val="0"/>
          <w:iCs w:val="0"/>
          <w:color w:val="auto"/>
          <w:kern w:val="0"/>
          <w:sz w:val="21"/>
          <w:szCs w:val="21"/>
          <w:highlight w:val="none"/>
          <w:lang w:val="en-US" w:eastAsia="zh-CN" w:bidi="ar"/>
        </w:rPr>
        <w:t>采购活动，提供的货物全部由符合政策要求的中小企业制造。相关企业（含联合体中的中小企业、签订分包意向协议的中小企业）</w:t>
      </w:r>
    </w:p>
    <w:p w14:paraId="7AACD2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的具体情况如下：</w:t>
      </w:r>
    </w:p>
    <w:p w14:paraId="58052D3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1. </w:t>
      </w:r>
      <w:r>
        <w:rPr>
          <w:rFonts w:hint="eastAsia" w:ascii="宋体" w:hAnsi="宋体" w:eastAsia="宋体" w:cs="宋体"/>
          <w:i w:val="0"/>
          <w:iCs w:val="0"/>
          <w:color w:val="auto"/>
          <w:kern w:val="0"/>
          <w:sz w:val="21"/>
          <w:szCs w:val="21"/>
          <w:highlight w:val="none"/>
          <w:u w:val="single"/>
          <w:lang w:val="en-US" w:eastAsia="zh-CN" w:bidi="ar"/>
        </w:rPr>
        <w:t xml:space="preserve">（标的名称） </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（采购文件中明确的所属行业）</w:t>
      </w:r>
      <w:r>
        <w:rPr>
          <w:rFonts w:hint="eastAsia" w:ascii="宋体" w:hAnsi="宋体" w:eastAsia="宋体" w:cs="宋体"/>
          <w:i w:val="0"/>
          <w:iCs w:val="0"/>
          <w:color w:val="auto"/>
          <w:kern w:val="0"/>
          <w:sz w:val="21"/>
          <w:szCs w:val="21"/>
          <w:highlight w:val="none"/>
          <w:lang w:val="en-US" w:eastAsia="zh-CN" w:bidi="ar"/>
        </w:rPr>
        <w:t>行业；制造商为</w:t>
      </w:r>
      <w:r>
        <w:rPr>
          <w:rFonts w:hint="eastAsia" w:ascii="宋体" w:hAnsi="宋体" w:eastAsia="宋体" w:cs="宋体"/>
          <w:i w:val="0"/>
          <w:iCs w:val="0"/>
          <w:color w:val="auto"/>
          <w:kern w:val="0"/>
          <w:sz w:val="21"/>
          <w:szCs w:val="21"/>
          <w:highlight w:val="none"/>
          <w:u w:val="single"/>
          <w:lang w:val="en-US" w:eastAsia="zh-CN" w:bidi="ar"/>
        </w:rPr>
        <w:t>（企业名称）</w:t>
      </w:r>
      <w:r>
        <w:rPr>
          <w:rFonts w:hint="eastAsia" w:ascii="宋体" w:hAnsi="宋体" w:eastAsia="宋体" w:cs="宋体"/>
          <w:i w:val="0"/>
          <w:iCs w:val="0"/>
          <w:color w:val="auto"/>
          <w:kern w:val="0"/>
          <w:sz w:val="21"/>
          <w:szCs w:val="21"/>
          <w:highlight w:val="none"/>
          <w:lang w:val="en-US" w:eastAsia="zh-CN" w:bidi="ar"/>
        </w:rPr>
        <w:t>，从业人员</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人，营业收入为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万元，资产总额为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万元①，属于</w:t>
      </w:r>
      <w:r>
        <w:rPr>
          <w:rFonts w:hint="eastAsia" w:ascii="宋体" w:hAnsi="宋体" w:eastAsia="宋体" w:cs="宋体"/>
          <w:i w:val="0"/>
          <w:iCs w:val="0"/>
          <w:color w:val="auto"/>
          <w:kern w:val="0"/>
          <w:sz w:val="21"/>
          <w:szCs w:val="21"/>
          <w:highlight w:val="none"/>
          <w:u w:val="single"/>
          <w:lang w:val="en-US" w:eastAsia="zh-CN" w:bidi="ar"/>
        </w:rPr>
        <w:t>（中型企业、小型企业、微型企业）</w:t>
      </w:r>
      <w:r>
        <w:rPr>
          <w:rFonts w:hint="eastAsia" w:ascii="宋体" w:hAnsi="宋体" w:eastAsia="宋体" w:cs="宋体"/>
          <w:i w:val="0"/>
          <w:iCs w:val="0"/>
          <w:color w:val="auto"/>
          <w:kern w:val="0"/>
          <w:sz w:val="21"/>
          <w:szCs w:val="21"/>
          <w:highlight w:val="none"/>
          <w:lang w:val="en-US" w:eastAsia="zh-CN" w:bidi="ar"/>
        </w:rPr>
        <w:t>；</w:t>
      </w:r>
    </w:p>
    <w:p w14:paraId="4259118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2. </w:t>
      </w:r>
      <w:r>
        <w:rPr>
          <w:rFonts w:hint="eastAsia" w:ascii="宋体" w:hAnsi="宋体" w:eastAsia="宋体" w:cs="宋体"/>
          <w:i w:val="0"/>
          <w:iCs w:val="0"/>
          <w:color w:val="auto"/>
          <w:kern w:val="0"/>
          <w:sz w:val="21"/>
          <w:szCs w:val="21"/>
          <w:highlight w:val="none"/>
          <w:u w:val="single"/>
          <w:lang w:val="en-US" w:eastAsia="zh-CN" w:bidi="ar"/>
        </w:rPr>
        <w:t xml:space="preserve">（标的名称） </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（采购文件中明确的所属行业）</w:t>
      </w:r>
      <w:r>
        <w:rPr>
          <w:rFonts w:hint="eastAsia" w:ascii="宋体" w:hAnsi="宋体" w:eastAsia="宋体" w:cs="宋体"/>
          <w:i w:val="0"/>
          <w:iCs w:val="0"/>
          <w:color w:val="auto"/>
          <w:kern w:val="0"/>
          <w:sz w:val="21"/>
          <w:szCs w:val="21"/>
          <w:highlight w:val="none"/>
          <w:lang w:val="en-US" w:eastAsia="zh-CN" w:bidi="ar"/>
        </w:rPr>
        <w:t>行业；制造商为</w:t>
      </w:r>
      <w:r>
        <w:rPr>
          <w:rFonts w:hint="eastAsia" w:ascii="宋体" w:hAnsi="宋体" w:eastAsia="宋体" w:cs="宋体"/>
          <w:i w:val="0"/>
          <w:iCs w:val="0"/>
          <w:color w:val="auto"/>
          <w:kern w:val="0"/>
          <w:sz w:val="21"/>
          <w:szCs w:val="21"/>
          <w:highlight w:val="none"/>
          <w:u w:val="single"/>
          <w:lang w:val="en-US" w:eastAsia="zh-CN" w:bidi="ar"/>
        </w:rPr>
        <w:t>（企业名称），</w:t>
      </w:r>
      <w:r>
        <w:rPr>
          <w:rFonts w:hint="eastAsia" w:ascii="宋体" w:hAnsi="宋体" w:eastAsia="宋体" w:cs="宋体"/>
          <w:i w:val="0"/>
          <w:iCs w:val="0"/>
          <w:color w:val="auto"/>
          <w:kern w:val="0"/>
          <w:sz w:val="21"/>
          <w:szCs w:val="21"/>
          <w:highlight w:val="none"/>
          <w:lang w:val="en-US" w:eastAsia="zh-CN" w:bidi="ar"/>
        </w:rPr>
        <w:t>从业人员</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人，营业收入为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万元，资产总额为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万元，属于</w:t>
      </w:r>
      <w:r>
        <w:rPr>
          <w:rFonts w:hint="eastAsia" w:ascii="宋体" w:hAnsi="宋体" w:eastAsia="宋体" w:cs="宋体"/>
          <w:i w:val="0"/>
          <w:iCs w:val="0"/>
          <w:color w:val="auto"/>
          <w:kern w:val="0"/>
          <w:sz w:val="21"/>
          <w:szCs w:val="21"/>
          <w:highlight w:val="none"/>
          <w:u w:val="single"/>
          <w:lang w:val="en-US" w:eastAsia="zh-CN" w:bidi="ar"/>
        </w:rPr>
        <w:t>（中型企业、小型企业、微型企业）</w:t>
      </w:r>
      <w:r>
        <w:rPr>
          <w:rFonts w:hint="eastAsia" w:ascii="宋体" w:hAnsi="宋体" w:eastAsia="宋体" w:cs="宋体"/>
          <w:i w:val="0"/>
          <w:iCs w:val="0"/>
          <w:color w:val="auto"/>
          <w:kern w:val="0"/>
          <w:sz w:val="21"/>
          <w:szCs w:val="21"/>
          <w:highlight w:val="none"/>
          <w:lang w:val="en-US" w:eastAsia="zh-CN" w:bidi="ar"/>
        </w:rPr>
        <w:t>；</w:t>
      </w:r>
    </w:p>
    <w:p w14:paraId="346FED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w:t>
      </w:r>
    </w:p>
    <w:p w14:paraId="707C40F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以上企业，不属于大企业的分支机构，不存在控股股东为大企业的情形，也不存在与大企业的负责人为同一人的情形。</w:t>
      </w:r>
    </w:p>
    <w:p w14:paraId="02D6EEA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本企业对上述声明内容的真实性负责。如有虚假，将依法承担相应责任。 </w:t>
      </w:r>
    </w:p>
    <w:p w14:paraId="6DF80A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p>
    <w:p w14:paraId="455800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p>
    <w:p w14:paraId="621E92F2">
      <w:pPr>
        <w:keepNext w:val="0"/>
        <w:keepLines w:val="0"/>
        <w:pageBreakBefore w:val="0"/>
        <w:widowControl/>
        <w:suppressLineNumbers w:val="0"/>
        <w:kinsoku/>
        <w:wordWrap/>
        <w:overflowPunct/>
        <w:topLinePunct w:val="0"/>
        <w:autoSpaceDE/>
        <w:autoSpaceDN/>
        <w:bidi w:val="0"/>
        <w:adjustRightInd/>
        <w:snapToGrid/>
        <w:spacing w:line="360" w:lineRule="auto"/>
        <w:ind w:firstLine="5460" w:firstLineChars="2600"/>
        <w:jc w:val="righ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企业名称（盖章）： </w:t>
      </w:r>
    </w:p>
    <w:p w14:paraId="16A37416">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C075D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7B6553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en-US" w:bidi="ar"/>
        </w:rPr>
        <w:t>①</w:t>
      </w:r>
      <w:r>
        <w:rPr>
          <w:rFonts w:hint="eastAsia" w:ascii="宋体" w:hAnsi="宋体" w:eastAsia="宋体" w:cs="宋体"/>
          <w:color w:val="auto"/>
          <w:kern w:val="0"/>
          <w:sz w:val="21"/>
          <w:szCs w:val="21"/>
          <w:highlight w:val="none"/>
          <w:lang w:val="en-US" w:eastAsia="zh-CN" w:bidi="ar"/>
        </w:rPr>
        <w:t>从业人员、营业收入、资产总额填报上一年度数据，无上一年度数据的新成立企业可不填报。</w:t>
      </w:r>
    </w:p>
    <w:p w14:paraId="031529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en-US"/>
        </w:rPr>
        <w:t>②</w:t>
      </w:r>
      <w:r>
        <w:rPr>
          <w:rFonts w:hint="eastAsia" w:ascii="宋体" w:hAnsi="宋体" w:eastAsia="宋体" w:cs="宋体"/>
          <w:color w:val="auto"/>
          <w:kern w:val="0"/>
          <w:sz w:val="21"/>
          <w:szCs w:val="21"/>
          <w:highlight w:val="none"/>
          <w:lang w:val="en-US" w:eastAsia="zh-CN" w:bidi="ar"/>
        </w:rPr>
        <w:t>投标人提供的货物既有中小企业制造货物，也有大型企业制造货物的，不享受《政府采购促进中小企业发展管理办法》规定的中小企业扶持政策。</w:t>
      </w:r>
    </w:p>
    <w:p w14:paraId="40CCA7B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en-US"/>
        </w:rPr>
        <w:t>③</w:t>
      </w:r>
      <w:r>
        <w:rPr>
          <w:rFonts w:hint="eastAsia" w:ascii="宋体" w:hAnsi="宋体" w:eastAsia="宋体" w:cs="宋体"/>
          <w:color w:val="auto"/>
          <w:kern w:val="0"/>
          <w:sz w:val="21"/>
          <w:szCs w:val="21"/>
          <w:highlight w:val="none"/>
          <w:lang w:val="en-US" w:eastAsia="zh-CN" w:bidi="ar"/>
        </w:rPr>
        <w:t xml:space="preserve">以联合体形式参加政府采购活动，联合体各方均为中小企业的，联合体视同中小企业。其中，联合体各方均为小微企业的，联合体视同小微企业。 </w:t>
      </w:r>
    </w:p>
    <w:p w14:paraId="10386E78">
      <w:pPr>
        <w:pStyle w:val="3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④在政府采购活动中，投标人提供的所有货物由小微企业制造，即货物由小微企业生产且使用该小微企业商号或者注册商标的，才能享受《政府采购促进中小企业发展管理办法》规定的价格扣减。</w:t>
      </w:r>
    </w:p>
    <w:p w14:paraId="61D7F1EC">
      <w:pPr>
        <w:pStyle w:val="3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⑤中小企业声明函格式应严格按照招标文件提供的格式填写。非单一产品采购的，设备制造商不止一家时，中小企业声明函中须列出所有的设备及制造商，罗列不全的中小企业声明函不予认可。</w:t>
      </w:r>
    </w:p>
    <w:p w14:paraId="1B84ADAF">
      <w:pPr>
        <w:pStyle w:val="3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⑥在货物采购项目中，货物应当由中小企业制造，不对其中涉及的服务的承接商作出要求。</w:t>
      </w:r>
    </w:p>
    <w:p w14:paraId="017100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5B05377A">
      <w:pPr>
        <w:pStyle w:val="5"/>
        <w:pageBreakBefore w:val="0"/>
        <w:numPr>
          <w:ilvl w:val="0"/>
          <w:numId w:val="35"/>
        </w:numPr>
        <w:tabs>
          <w:tab w:val="left" w:pos="840"/>
        </w:tabs>
        <w:kinsoku/>
        <w:overflowPunct/>
        <w:bidi w:val="0"/>
        <w:spacing w:line="360" w:lineRule="auto"/>
        <w:ind w:left="420" w:hanging="420"/>
        <w:jc w:val="center"/>
        <w:rPr>
          <w:rFonts w:hint="eastAsia" w:ascii="宋体" w:hAnsi="宋体" w:eastAsia="宋体" w:cs="宋体"/>
          <w:color w:val="auto"/>
          <w:kern w:val="0"/>
          <w:sz w:val="21"/>
          <w:szCs w:val="21"/>
          <w:highlight w:val="none"/>
          <w:lang w:val="en-US" w:eastAsia="zh-CN" w:bidi="ar"/>
        </w:rPr>
      </w:pPr>
      <w:bookmarkStart w:id="778" w:name="OLE_LINK14"/>
      <w:bookmarkStart w:id="779" w:name="OLE_LINK13"/>
      <w:r>
        <w:rPr>
          <w:rFonts w:hint="eastAsia" w:ascii="宋体" w:hAnsi="宋体" w:eastAsia="宋体" w:cs="宋体"/>
          <w:color w:val="auto"/>
          <w:sz w:val="24"/>
          <w:szCs w:val="24"/>
          <w:highlight w:val="none"/>
          <w:lang w:val="en-US" w:eastAsia="zh-CN"/>
        </w:rPr>
        <w:br w:type="page"/>
      </w:r>
      <w:bookmarkStart w:id="780" w:name="_Toc29116"/>
      <w:r>
        <w:rPr>
          <w:rFonts w:hint="eastAsia" w:ascii="宋体" w:hAnsi="宋体" w:eastAsia="宋体" w:cs="宋体"/>
          <w:color w:val="auto"/>
          <w:sz w:val="24"/>
          <w:szCs w:val="24"/>
          <w:highlight w:val="none"/>
          <w:lang w:val="en-US" w:eastAsia="zh-CN"/>
        </w:rPr>
        <w:t>关于符合本国产品标准的声明函（如有）或财政部会同有关部门规定的有关证明文件（如有）</w:t>
      </w:r>
      <w:bookmarkEnd w:id="780"/>
    </w:p>
    <w:p w14:paraId="7C2412E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469E7ED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w:t>
      </w:r>
      <w:r>
        <w:rPr>
          <w:rStyle w:val="42"/>
          <w:rFonts w:hint="eastAsia" w:ascii="宋体" w:hAnsi="宋体" w:eastAsia="宋体" w:cs="宋体"/>
          <w:i w:val="0"/>
          <w:iCs w:val="0"/>
          <w:color w:val="auto"/>
          <w:sz w:val="21"/>
          <w:szCs w:val="21"/>
          <w:highlight w:val="none"/>
          <w:u w:val="single"/>
        </w:rPr>
        <w:t>（产品名称1）</w:t>
      </w:r>
      <w:r>
        <w:rPr>
          <w:rStyle w:val="42"/>
          <w:rFonts w:hint="eastAsia" w:ascii="宋体" w:hAnsi="宋体" w:eastAsia="宋体" w:cs="宋体"/>
          <w:i w:val="0"/>
          <w:iCs w:val="0"/>
          <w:color w:val="auto"/>
          <w:sz w:val="21"/>
          <w:szCs w:val="21"/>
          <w:highlight w:val="none"/>
          <w:u w:val="none"/>
          <w:vertAlign w:val="superscript"/>
        </w:rPr>
        <w:t>1</w:t>
      </w:r>
      <w:r>
        <w:rPr>
          <w:rFonts w:hint="eastAsia" w:ascii="宋体" w:hAnsi="宋体" w:eastAsia="宋体" w:cs="宋体"/>
          <w:i w:val="0"/>
          <w:iCs w:val="0"/>
          <w:color w:val="auto"/>
          <w:sz w:val="21"/>
          <w:szCs w:val="21"/>
          <w:highlight w:val="none"/>
        </w:rPr>
        <w:t>，生产厂为</w:t>
      </w:r>
      <w:r>
        <w:rPr>
          <w:rStyle w:val="42"/>
          <w:rFonts w:hint="eastAsia" w:ascii="宋体" w:hAnsi="宋体" w:eastAsia="宋体" w:cs="宋体"/>
          <w:i w:val="0"/>
          <w:iCs w:val="0"/>
          <w:color w:val="auto"/>
          <w:sz w:val="21"/>
          <w:szCs w:val="21"/>
          <w:highlight w:val="none"/>
          <w:u w:val="single"/>
        </w:rPr>
        <w:t>（厂名）</w:t>
      </w:r>
      <w:r>
        <w:rPr>
          <w:rStyle w:val="42"/>
          <w:rFonts w:hint="eastAsia" w:ascii="宋体" w:hAnsi="宋体" w:eastAsia="宋体" w:cs="宋体"/>
          <w:i w:val="0"/>
          <w:iCs w:val="0"/>
          <w:color w:val="auto"/>
          <w:sz w:val="21"/>
          <w:szCs w:val="21"/>
          <w:highlight w:val="none"/>
          <w:u w:val="none"/>
          <w:vertAlign w:val="superscript"/>
        </w:rPr>
        <w:t>2</w:t>
      </w:r>
      <w:r>
        <w:rPr>
          <w:rFonts w:hint="eastAsia" w:ascii="宋体" w:hAnsi="宋体" w:eastAsia="宋体" w:cs="宋体"/>
          <w:i w:val="0"/>
          <w:iCs w:val="0"/>
          <w:color w:val="auto"/>
          <w:sz w:val="21"/>
          <w:szCs w:val="21"/>
          <w:highlight w:val="none"/>
        </w:rPr>
        <w:t>，厂址为</w:t>
      </w:r>
      <w:r>
        <w:rPr>
          <w:rStyle w:val="42"/>
          <w:rFonts w:hint="eastAsia" w:ascii="宋体" w:hAnsi="宋体" w:eastAsia="宋体" w:cs="宋体"/>
          <w:i w:val="0"/>
          <w:iCs w:val="0"/>
          <w:color w:val="auto"/>
          <w:sz w:val="21"/>
          <w:szCs w:val="21"/>
          <w:highlight w:val="none"/>
          <w:u w:val="single"/>
        </w:rPr>
        <w:t>（生产厂址）</w:t>
      </w:r>
      <w:r>
        <w:rPr>
          <w:rFonts w:hint="eastAsia" w:ascii="宋体" w:hAnsi="宋体" w:eastAsia="宋体" w:cs="宋体"/>
          <w:i w:val="0"/>
          <w:iCs w:val="0"/>
          <w:color w:val="auto"/>
          <w:sz w:val="21"/>
          <w:szCs w:val="21"/>
          <w:highlight w:val="none"/>
        </w:rPr>
        <w:t>。</w:t>
      </w:r>
      <w:r>
        <w:rPr>
          <w:rStyle w:val="42"/>
          <w:rFonts w:hint="eastAsia" w:ascii="宋体" w:hAnsi="宋体" w:eastAsia="宋体" w:cs="宋体"/>
          <w:i w:val="0"/>
          <w:iCs w:val="0"/>
          <w:color w:val="auto"/>
          <w:sz w:val="21"/>
          <w:szCs w:val="21"/>
          <w:highlight w:val="none"/>
          <w:u w:val="single"/>
        </w:rPr>
        <w:t>（产品名称1）</w:t>
      </w:r>
      <w:r>
        <w:rPr>
          <w:rFonts w:hint="eastAsia" w:ascii="宋体" w:hAnsi="宋体" w:eastAsia="宋体" w:cs="宋体"/>
          <w:i w:val="0"/>
          <w:iCs w:val="0"/>
          <w:color w:val="auto"/>
          <w:sz w:val="21"/>
          <w:szCs w:val="21"/>
          <w:highlight w:val="none"/>
        </w:rPr>
        <w:t>的中国境内生产的组件成本占比≥</w:t>
      </w:r>
      <w:r>
        <w:rPr>
          <w:rStyle w:val="42"/>
          <w:rFonts w:hint="eastAsia" w:ascii="宋体" w:hAnsi="宋体" w:eastAsia="宋体" w:cs="宋体"/>
          <w:i w:val="0"/>
          <w:iCs w:val="0"/>
          <w:color w:val="auto"/>
          <w:sz w:val="21"/>
          <w:szCs w:val="21"/>
          <w:highlight w:val="none"/>
          <w:u w:val="single"/>
        </w:rPr>
        <w:t>（规定比例）</w:t>
      </w:r>
      <w:r>
        <w:rPr>
          <w:rStyle w:val="42"/>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rPr>
        <w:t>。</w:t>
      </w:r>
      <w:r>
        <w:rPr>
          <w:rStyle w:val="42"/>
          <w:rFonts w:hint="eastAsia" w:ascii="宋体" w:hAnsi="宋体" w:eastAsia="宋体" w:cs="宋体"/>
          <w:i w:val="0"/>
          <w:iCs w:val="0"/>
          <w:color w:val="auto"/>
          <w:sz w:val="21"/>
          <w:szCs w:val="21"/>
          <w:highlight w:val="none"/>
          <w:u w:val="single"/>
        </w:rPr>
        <w:t>（产品名称1）</w:t>
      </w:r>
      <w:r>
        <w:rPr>
          <w:rFonts w:hint="eastAsia" w:ascii="宋体" w:hAnsi="宋体" w:eastAsia="宋体" w:cs="宋体"/>
          <w:i w:val="0"/>
          <w:iCs w:val="0"/>
          <w:color w:val="auto"/>
          <w:sz w:val="21"/>
          <w:szCs w:val="21"/>
          <w:highlight w:val="none"/>
        </w:rPr>
        <w:t>的</w:t>
      </w:r>
      <w:r>
        <w:rPr>
          <w:rStyle w:val="42"/>
          <w:rFonts w:hint="eastAsia" w:ascii="宋体" w:hAnsi="宋体" w:eastAsia="宋体" w:cs="宋体"/>
          <w:i w:val="0"/>
          <w:iCs w:val="0"/>
          <w:color w:val="auto"/>
          <w:sz w:val="21"/>
          <w:szCs w:val="21"/>
          <w:highlight w:val="none"/>
          <w:u w:val="single"/>
        </w:rPr>
        <w:t>（关键组件）</w:t>
      </w:r>
      <w:r>
        <w:rPr>
          <w:rStyle w:val="42"/>
          <w:rFonts w:hint="eastAsia" w:ascii="宋体" w:hAnsi="宋体" w:eastAsia="宋体" w:cs="宋体"/>
          <w:i w:val="0"/>
          <w:iCs w:val="0"/>
          <w:color w:val="auto"/>
          <w:sz w:val="21"/>
          <w:szCs w:val="21"/>
          <w:highlight w:val="none"/>
          <w:u w:val="none"/>
          <w:vertAlign w:val="superscript"/>
        </w:rPr>
        <w:t>4</w:t>
      </w:r>
      <w:r>
        <w:rPr>
          <w:rFonts w:hint="eastAsia" w:ascii="宋体" w:hAnsi="宋体" w:eastAsia="宋体" w:cs="宋体"/>
          <w:i w:val="0"/>
          <w:iCs w:val="0"/>
          <w:color w:val="auto"/>
          <w:sz w:val="21"/>
          <w:szCs w:val="21"/>
          <w:highlight w:val="none"/>
        </w:rPr>
        <w:t>在中国境内生产。</w:t>
      </w:r>
      <w:r>
        <w:rPr>
          <w:rStyle w:val="42"/>
          <w:rFonts w:hint="eastAsia" w:ascii="宋体" w:hAnsi="宋体" w:eastAsia="宋体" w:cs="宋体"/>
          <w:i w:val="0"/>
          <w:iCs w:val="0"/>
          <w:color w:val="auto"/>
          <w:sz w:val="21"/>
          <w:szCs w:val="21"/>
          <w:highlight w:val="none"/>
          <w:u w:val="single"/>
        </w:rPr>
        <w:t>（产品名称1）</w:t>
      </w:r>
      <w:r>
        <w:rPr>
          <w:rFonts w:hint="eastAsia" w:ascii="宋体" w:hAnsi="宋体" w:eastAsia="宋体" w:cs="宋体"/>
          <w:i w:val="0"/>
          <w:iCs w:val="0"/>
          <w:color w:val="auto"/>
          <w:sz w:val="21"/>
          <w:szCs w:val="21"/>
          <w:highlight w:val="none"/>
        </w:rPr>
        <w:t>的</w:t>
      </w:r>
      <w:r>
        <w:rPr>
          <w:rStyle w:val="42"/>
          <w:rFonts w:hint="eastAsia" w:ascii="宋体" w:hAnsi="宋体" w:eastAsia="宋体" w:cs="宋体"/>
          <w:i w:val="0"/>
          <w:iCs w:val="0"/>
          <w:color w:val="auto"/>
          <w:sz w:val="21"/>
          <w:szCs w:val="21"/>
          <w:highlight w:val="none"/>
          <w:u w:val="single"/>
        </w:rPr>
        <w:t>（关键工序）</w:t>
      </w:r>
      <w:r>
        <w:rPr>
          <w:rStyle w:val="42"/>
          <w:rFonts w:hint="eastAsia" w:ascii="宋体" w:hAnsi="宋体" w:eastAsia="宋体" w:cs="宋体"/>
          <w:i w:val="0"/>
          <w:iCs w:val="0"/>
          <w:color w:val="auto"/>
          <w:sz w:val="21"/>
          <w:szCs w:val="21"/>
          <w:highlight w:val="none"/>
          <w:u w:val="none"/>
          <w:vertAlign w:val="superscript"/>
        </w:rPr>
        <w:t>5</w:t>
      </w:r>
      <w:r>
        <w:rPr>
          <w:rFonts w:hint="eastAsia" w:ascii="宋体" w:hAnsi="宋体" w:eastAsia="宋体" w:cs="宋体"/>
          <w:i w:val="0"/>
          <w:iCs w:val="0"/>
          <w:color w:val="auto"/>
          <w:sz w:val="21"/>
          <w:szCs w:val="21"/>
          <w:highlight w:val="none"/>
        </w:rPr>
        <w:t>在中国境内完成。</w:t>
      </w:r>
    </w:p>
    <w:p w14:paraId="0BB6DBA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w:t>
      </w:r>
      <w:r>
        <w:rPr>
          <w:rStyle w:val="42"/>
          <w:rFonts w:hint="eastAsia" w:ascii="宋体" w:hAnsi="宋体" w:eastAsia="宋体" w:cs="宋体"/>
          <w:i w:val="0"/>
          <w:iCs w:val="0"/>
          <w:color w:val="auto"/>
          <w:sz w:val="21"/>
          <w:szCs w:val="21"/>
          <w:highlight w:val="none"/>
          <w:u w:val="single"/>
        </w:rPr>
        <w:t>（产品名称2）</w:t>
      </w:r>
      <w:r>
        <w:rPr>
          <w:rFonts w:hint="eastAsia" w:ascii="宋体" w:hAnsi="宋体" w:eastAsia="宋体" w:cs="宋体"/>
          <w:i w:val="0"/>
          <w:iCs w:val="0"/>
          <w:color w:val="auto"/>
          <w:sz w:val="21"/>
          <w:szCs w:val="21"/>
          <w:highlight w:val="none"/>
        </w:rPr>
        <w:t>，生产厂为</w:t>
      </w:r>
      <w:r>
        <w:rPr>
          <w:rStyle w:val="42"/>
          <w:rFonts w:hint="eastAsia" w:ascii="宋体" w:hAnsi="宋体" w:eastAsia="宋体" w:cs="宋体"/>
          <w:i w:val="0"/>
          <w:iCs w:val="0"/>
          <w:color w:val="auto"/>
          <w:sz w:val="21"/>
          <w:szCs w:val="21"/>
          <w:highlight w:val="none"/>
          <w:u w:val="single"/>
        </w:rPr>
        <w:t>（厂名）</w:t>
      </w:r>
      <w:r>
        <w:rPr>
          <w:rFonts w:hint="eastAsia" w:ascii="宋体" w:hAnsi="宋体" w:eastAsia="宋体" w:cs="宋体"/>
          <w:i w:val="0"/>
          <w:iCs w:val="0"/>
          <w:color w:val="auto"/>
          <w:sz w:val="21"/>
          <w:szCs w:val="21"/>
          <w:highlight w:val="none"/>
        </w:rPr>
        <w:t>，厂址为</w:t>
      </w:r>
      <w:r>
        <w:rPr>
          <w:rStyle w:val="42"/>
          <w:rFonts w:hint="eastAsia" w:ascii="宋体" w:hAnsi="宋体" w:eastAsia="宋体" w:cs="宋体"/>
          <w:i w:val="0"/>
          <w:iCs w:val="0"/>
          <w:color w:val="auto"/>
          <w:sz w:val="21"/>
          <w:szCs w:val="21"/>
          <w:highlight w:val="none"/>
          <w:u w:val="single"/>
        </w:rPr>
        <w:t>（生产厂址）</w:t>
      </w:r>
      <w:r>
        <w:rPr>
          <w:rFonts w:hint="eastAsia" w:ascii="宋体" w:hAnsi="宋体" w:eastAsia="宋体" w:cs="宋体"/>
          <w:i w:val="0"/>
          <w:iCs w:val="0"/>
          <w:color w:val="auto"/>
          <w:sz w:val="21"/>
          <w:szCs w:val="21"/>
          <w:highlight w:val="none"/>
        </w:rPr>
        <w:t>。</w:t>
      </w:r>
      <w:r>
        <w:rPr>
          <w:rStyle w:val="42"/>
          <w:rFonts w:hint="eastAsia" w:ascii="宋体" w:hAnsi="宋体" w:eastAsia="宋体" w:cs="宋体"/>
          <w:i w:val="0"/>
          <w:iCs w:val="0"/>
          <w:color w:val="auto"/>
          <w:sz w:val="21"/>
          <w:szCs w:val="21"/>
          <w:highlight w:val="none"/>
          <w:u w:val="single"/>
        </w:rPr>
        <w:t>（产品名称2）</w:t>
      </w:r>
      <w:r>
        <w:rPr>
          <w:rFonts w:hint="eastAsia" w:ascii="宋体" w:hAnsi="宋体" w:eastAsia="宋体" w:cs="宋体"/>
          <w:i w:val="0"/>
          <w:iCs w:val="0"/>
          <w:color w:val="auto"/>
          <w:sz w:val="21"/>
          <w:szCs w:val="21"/>
          <w:highlight w:val="none"/>
        </w:rPr>
        <w:t>的中国境内生产的组件成本占比≥</w:t>
      </w:r>
      <w:r>
        <w:rPr>
          <w:rStyle w:val="42"/>
          <w:rFonts w:hint="eastAsia" w:ascii="宋体" w:hAnsi="宋体" w:eastAsia="宋体" w:cs="宋体"/>
          <w:i w:val="0"/>
          <w:iCs w:val="0"/>
          <w:color w:val="auto"/>
          <w:sz w:val="21"/>
          <w:szCs w:val="21"/>
          <w:highlight w:val="none"/>
          <w:u w:val="single"/>
        </w:rPr>
        <w:t>（规定比例）</w:t>
      </w:r>
      <w:r>
        <w:rPr>
          <w:rFonts w:hint="eastAsia" w:ascii="宋体" w:hAnsi="宋体" w:eastAsia="宋体" w:cs="宋体"/>
          <w:i w:val="0"/>
          <w:iCs w:val="0"/>
          <w:color w:val="auto"/>
          <w:sz w:val="21"/>
          <w:szCs w:val="21"/>
          <w:highlight w:val="none"/>
        </w:rPr>
        <w:t>。</w:t>
      </w:r>
      <w:r>
        <w:rPr>
          <w:rStyle w:val="42"/>
          <w:rFonts w:hint="eastAsia" w:ascii="宋体" w:hAnsi="宋体" w:eastAsia="宋体" w:cs="宋体"/>
          <w:i w:val="0"/>
          <w:iCs w:val="0"/>
          <w:color w:val="auto"/>
          <w:sz w:val="21"/>
          <w:szCs w:val="21"/>
          <w:highlight w:val="none"/>
          <w:u w:val="single"/>
        </w:rPr>
        <w:t>（产品名称2）</w:t>
      </w:r>
      <w:r>
        <w:rPr>
          <w:rFonts w:hint="eastAsia" w:ascii="宋体" w:hAnsi="宋体" w:eastAsia="宋体" w:cs="宋体"/>
          <w:i w:val="0"/>
          <w:iCs w:val="0"/>
          <w:color w:val="auto"/>
          <w:sz w:val="21"/>
          <w:szCs w:val="21"/>
          <w:highlight w:val="none"/>
        </w:rPr>
        <w:t>的</w:t>
      </w:r>
      <w:r>
        <w:rPr>
          <w:rStyle w:val="42"/>
          <w:rFonts w:hint="eastAsia" w:ascii="宋体" w:hAnsi="宋体" w:eastAsia="宋体" w:cs="宋体"/>
          <w:i w:val="0"/>
          <w:iCs w:val="0"/>
          <w:color w:val="auto"/>
          <w:sz w:val="21"/>
          <w:szCs w:val="21"/>
          <w:highlight w:val="none"/>
          <w:u w:val="single"/>
        </w:rPr>
        <w:t>（关键组件）</w:t>
      </w:r>
      <w:r>
        <w:rPr>
          <w:rFonts w:hint="eastAsia" w:ascii="宋体" w:hAnsi="宋体" w:eastAsia="宋体" w:cs="宋体"/>
          <w:i w:val="0"/>
          <w:iCs w:val="0"/>
          <w:color w:val="auto"/>
          <w:sz w:val="21"/>
          <w:szCs w:val="21"/>
          <w:highlight w:val="none"/>
        </w:rPr>
        <w:t>在中国境内生产。</w:t>
      </w:r>
      <w:r>
        <w:rPr>
          <w:rStyle w:val="42"/>
          <w:rFonts w:hint="eastAsia" w:ascii="宋体" w:hAnsi="宋体" w:eastAsia="宋体" w:cs="宋体"/>
          <w:i w:val="0"/>
          <w:iCs w:val="0"/>
          <w:color w:val="auto"/>
          <w:sz w:val="21"/>
          <w:szCs w:val="21"/>
          <w:highlight w:val="none"/>
          <w:u w:val="single"/>
        </w:rPr>
        <w:t>（产品名称2）</w:t>
      </w:r>
      <w:r>
        <w:rPr>
          <w:rFonts w:hint="eastAsia" w:ascii="宋体" w:hAnsi="宋体" w:eastAsia="宋体" w:cs="宋体"/>
          <w:i w:val="0"/>
          <w:iCs w:val="0"/>
          <w:color w:val="auto"/>
          <w:sz w:val="21"/>
          <w:szCs w:val="21"/>
          <w:highlight w:val="none"/>
        </w:rPr>
        <w:t>的</w:t>
      </w:r>
      <w:r>
        <w:rPr>
          <w:rStyle w:val="42"/>
          <w:rFonts w:hint="eastAsia" w:ascii="宋体" w:hAnsi="宋体" w:eastAsia="宋体" w:cs="宋体"/>
          <w:i w:val="0"/>
          <w:iCs w:val="0"/>
          <w:color w:val="auto"/>
          <w:sz w:val="21"/>
          <w:szCs w:val="21"/>
          <w:highlight w:val="none"/>
          <w:u w:val="single"/>
        </w:rPr>
        <w:t>（关键工序）</w:t>
      </w:r>
      <w:r>
        <w:rPr>
          <w:rFonts w:hint="eastAsia" w:ascii="宋体" w:hAnsi="宋体" w:eastAsia="宋体" w:cs="宋体"/>
          <w:i w:val="0"/>
          <w:iCs w:val="0"/>
          <w:color w:val="auto"/>
          <w:sz w:val="21"/>
          <w:szCs w:val="21"/>
          <w:highlight w:val="none"/>
        </w:rPr>
        <w:t>在中国境内完成。</w:t>
      </w:r>
    </w:p>
    <w:p w14:paraId="00ABCD9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p>
    <w:p w14:paraId="438498A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本公司（单位）对上述声明内容的真实性负责。如有虚假，愿承担相应法律责任。</w:t>
      </w:r>
    </w:p>
    <w:p w14:paraId="5F933CE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公司（单位）名称（盖章）：　        </w:t>
      </w:r>
    </w:p>
    <w:p w14:paraId="76D9EDA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rPr>
        <w:t>日期：　     年　  月　  日      </w:t>
      </w:r>
      <w:r>
        <w:rPr>
          <w:rFonts w:hint="eastAsia" w:ascii="宋体" w:hAnsi="宋体" w:eastAsia="宋体" w:cs="宋体"/>
          <w:color w:val="auto"/>
          <w:sz w:val="21"/>
          <w:szCs w:val="21"/>
          <w:highlight w:val="none"/>
        </w:rPr>
        <w:t>   </w:t>
      </w:r>
    </w:p>
    <w:p w14:paraId="1ED7BDA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color w:val="auto"/>
          <w:sz w:val="21"/>
          <w:szCs w:val="21"/>
          <w:highlight w:val="none"/>
        </w:rPr>
      </w:pPr>
    </w:p>
    <w:p w14:paraId="26C73DC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1.产品如有型号，请在“产品名称”栏一并填写。</w:t>
      </w:r>
    </w:p>
    <w:p w14:paraId="4CA0CC5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2.生产厂名与厂址应与生产厂营业执照载明的相关信息保持一致。</w:t>
      </w:r>
    </w:p>
    <w:p w14:paraId="37DEB73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3.该产品的中国境内生产的组件成本占比相关要求实施前，“规定比例”栏可不填，下同。</w:t>
      </w:r>
    </w:p>
    <w:p w14:paraId="3EFD19F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4.该产品的关键组件要求实施前，“关键组件”栏可不填，下同。</w:t>
      </w:r>
    </w:p>
    <w:p w14:paraId="0CD5F88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5.该产品的关键工序要求实施前，“关键工序”栏可不填，下同。</w:t>
      </w:r>
    </w:p>
    <w:p w14:paraId="3D5D3073">
      <w:pPr>
        <w:pStyle w:val="5"/>
        <w:pageBreakBefore w:val="0"/>
        <w:numPr>
          <w:ilvl w:val="0"/>
          <w:numId w:val="35"/>
        </w:numPr>
        <w:tabs>
          <w:tab w:val="left" w:pos="840"/>
        </w:tabs>
        <w:kinsoku/>
        <w:overflowPunct/>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bookmarkStart w:id="781" w:name="_Toc4351"/>
      <w:bookmarkStart w:id="782" w:name="_Toc27857"/>
      <w:r>
        <w:rPr>
          <w:rFonts w:hint="eastAsia" w:ascii="宋体" w:hAnsi="宋体" w:eastAsia="宋体" w:cs="宋体"/>
          <w:color w:val="auto"/>
          <w:sz w:val="24"/>
          <w:szCs w:val="24"/>
          <w:highlight w:val="none"/>
          <w:lang w:val="en-US" w:eastAsia="zh-CN"/>
        </w:rPr>
        <w:t>残疾人福利性单位声明函（如有）</w:t>
      </w:r>
      <w:bookmarkEnd w:id="781"/>
      <w:bookmarkEnd w:id="782"/>
    </w:p>
    <w:bookmarkEnd w:id="778"/>
    <w:bookmarkEnd w:id="779"/>
    <w:p w14:paraId="453BA160">
      <w:pPr>
        <w:pageBreakBefore w:val="0"/>
        <w:kinsoku/>
        <w:overflowPunct/>
        <w:bidi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单位的</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5DA4F5A3">
      <w:pPr>
        <w:pageBreakBefore w:val="0"/>
        <w:kinsoku/>
        <w:overflowPunct/>
        <w:bidi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3C1F087A">
      <w:pPr>
        <w:pageBreakBefore w:val="0"/>
        <w:kinsoku/>
        <w:overflowPunct/>
        <w:bidi w:val="0"/>
        <w:spacing w:line="360" w:lineRule="auto"/>
        <w:ind w:firstLine="444" w:firstLineChars="200"/>
        <w:rPr>
          <w:rFonts w:hint="eastAsia" w:ascii="宋体" w:hAnsi="宋体" w:eastAsia="宋体" w:cs="宋体"/>
          <w:color w:val="auto"/>
          <w:spacing w:val="6"/>
          <w:szCs w:val="21"/>
          <w:highlight w:val="none"/>
        </w:rPr>
      </w:pPr>
    </w:p>
    <w:p w14:paraId="329224B2">
      <w:pPr>
        <w:pageBreakBefore w:val="0"/>
        <w:kinsoku/>
        <w:overflowPunct/>
        <w:bidi w:val="0"/>
        <w:spacing w:line="360" w:lineRule="auto"/>
        <w:ind w:firstLine="444" w:firstLineChars="200"/>
        <w:rPr>
          <w:rFonts w:hint="eastAsia" w:ascii="宋体" w:hAnsi="宋体" w:eastAsia="宋体" w:cs="宋体"/>
          <w:color w:val="auto"/>
          <w:spacing w:val="6"/>
          <w:szCs w:val="21"/>
          <w:highlight w:val="none"/>
        </w:rPr>
      </w:pPr>
    </w:p>
    <w:p w14:paraId="794E46A6">
      <w:pPr>
        <w:pageBreakBefore w:val="0"/>
        <w:tabs>
          <w:tab w:val="left" w:pos="4860"/>
        </w:tabs>
        <w:kinsoku/>
        <w:overflowPunct/>
        <w:bidi w:val="0"/>
        <w:spacing w:line="360" w:lineRule="auto"/>
        <w:ind w:right="156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单位名称（盖章）：</w:t>
      </w:r>
    </w:p>
    <w:p w14:paraId="39B43F9E">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857289C">
      <w:pPr>
        <w:pageBreakBefore w:val="0"/>
        <w:widowControl/>
        <w:kinsoku/>
        <w:overflowPunct/>
        <w:bidi w:val="0"/>
        <w:spacing w:line="360" w:lineRule="auto"/>
        <w:rPr>
          <w:rFonts w:hint="eastAsia" w:ascii="宋体" w:hAnsi="宋体" w:eastAsia="宋体" w:cs="宋体"/>
          <w:b/>
          <w:color w:val="auto"/>
          <w:szCs w:val="21"/>
          <w:highlight w:val="none"/>
        </w:rPr>
      </w:pPr>
    </w:p>
    <w:p w14:paraId="4AFA1F30">
      <w:pPr>
        <w:pageBreakBefore w:val="0"/>
        <w:tabs>
          <w:tab w:val="left" w:pos="840"/>
        </w:tabs>
        <w:kinsoku/>
        <w:overflowPunct/>
        <w:autoSpaceDE w:val="0"/>
        <w:autoSpaceDN w:val="0"/>
        <w:bidi w:val="0"/>
        <w:adjustRightInd w:val="0"/>
        <w:spacing w:line="360" w:lineRule="auto"/>
        <w:jc w:val="both"/>
        <w:rPr>
          <w:rFonts w:hint="eastAsia" w:ascii="宋体" w:hAnsi="宋体" w:eastAsia="宋体" w:cs="宋体"/>
          <w:b/>
          <w:color w:val="auto"/>
          <w:sz w:val="24"/>
          <w:highlight w:val="none"/>
        </w:rPr>
      </w:pPr>
    </w:p>
    <w:p w14:paraId="4EC04B6A">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rPr>
        <w:t>《财政部民政部中国残疾人联合会关于促进残疾人就业政府采购政策的通知》（财库〔2017〕141号）的规定：</w:t>
      </w:r>
    </w:p>
    <w:p w14:paraId="1E2EF7FA">
      <w:pPr>
        <w:pageBreakBefore w:val="0"/>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享受政府采购支持政策的残疾人福利性单位应当同时满足以下条件：</w:t>
      </w:r>
    </w:p>
    <w:p w14:paraId="5F2C9382">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（1）安置的残疾人占本单位在职职工人数的比例不低于25%（含25%），并且安置的残疾人人数不少于10人（含10人）；</w:t>
      </w:r>
    </w:p>
    <w:p w14:paraId="6728EDE8">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（2）依法与安置的每位残疾人签订了一年以上（含一年）的劳动合同或服务协议；</w:t>
      </w:r>
    </w:p>
    <w:p w14:paraId="22831559">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（3）为安置的每位残疾人按月足额缴纳了基本养老保险、基本医疗保险、失业保险、工伤保险和生育保险等社会保险费；</w:t>
      </w:r>
    </w:p>
    <w:p w14:paraId="79295B8A">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（4）通过银行等金融机构向安置的每位残疾人，按月支付了不低于单位所在区县适用的经省级人民政府批准的月最低工资标准的工资；</w:t>
      </w:r>
    </w:p>
    <w:p w14:paraId="7C19A2DB">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（5）提供本单位制造的货物、承担的工程或者服务（以下简称产品），或者提供其他残疾人福利性单位制造的货物（不包括使用非残疾人福利性单位注册商标的货物）。</w:t>
      </w:r>
    </w:p>
    <w:p w14:paraId="71241D3F">
      <w:pPr>
        <w:pageBreakBefore w:val="0"/>
        <w:kinsoku/>
        <w:overflowPunct/>
        <w:bidi w:val="0"/>
        <w:spacing w:line="360" w:lineRule="auto"/>
        <w:ind w:firstLine="420" w:firstLineChars="200"/>
        <w:rPr>
          <w:rFonts w:hint="eastAsia" w:ascii="宋体" w:hAnsi="宋体" w:eastAsia="宋体" w:cs="宋体"/>
          <w:b/>
          <w:color w:val="auto"/>
          <w:sz w:val="24"/>
          <w:highlight w:val="none"/>
        </w:rPr>
      </w:pPr>
      <w:r>
        <w:rPr>
          <w:rFonts w:hint="eastAsia" w:ascii="宋体" w:hAnsi="宋体" w:eastAsia="宋体" w:cs="宋体"/>
          <w:color w:val="auto"/>
          <w:szCs w:val="21"/>
          <w:highlight w:val="none"/>
        </w:rPr>
        <w:t>2. 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为残疾人福利性单位的，采购人或者其委托的采购代理机构应当随中标、成交结果同时公告其《残疾人福利性单位声明函》，接受社会监督。</w:t>
      </w:r>
    </w:p>
    <w:p w14:paraId="38CF0C86">
      <w:pPr>
        <w:pStyle w:val="5"/>
        <w:pageBreakBefore w:val="0"/>
        <w:numPr>
          <w:ilvl w:val="0"/>
          <w:numId w:val="35"/>
        </w:numPr>
        <w:tabs>
          <w:tab w:val="left" w:pos="840"/>
        </w:tabs>
        <w:kinsoku/>
        <w:overflowPunct/>
        <w:bidi w:val="0"/>
        <w:spacing w:line="360" w:lineRule="auto"/>
        <w:jc w:val="center"/>
        <w:rPr>
          <w:rFonts w:hint="eastAsia" w:ascii="宋体" w:hAnsi="宋体" w:eastAsia="宋体" w:cs="宋体"/>
          <w:color w:val="auto"/>
          <w:sz w:val="24"/>
          <w:szCs w:val="24"/>
          <w:highlight w:val="none"/>
          <w:lang w:val="en-GB" w:eastAsia="zh-CN"/>
        </w:rPr>
      </w:pPr>
      <w:bookmarkStart w:id="783" w:name="_Toc15599"/>
      <w:r>
        <w:rPr>
          <w:rFonts w:hint="eastAsia" w:ascii="宋体" w:hAnsi="宋体" w:eastAsia="宋体" w:cs="宋体"/>
          <w:color w:val="auto"/>
          <w:sz w:val="24"/>
          <w:szCs w:val="24"/>
          <w:highlight w:val="none"/>
          <w:lang w:val="en-GB" w:eastAsia="zh-CN"/>
        </w:rPr>
        <w:br w:type="page"/>
      </w:r>
      <w:bookmarkStart w:id="784" w:name="_Toc6059"/>
      <w:r>
        <w:rPr>
          <w:rFonts w:hint="eastAsia" w:ascii="宋体" w:hAnsi="宋体" w:eastAsia="宋体" w:cs="宋体"/>
          <w:color w:val="auto"/>
          <w:sz w:val="24"/>
          <w:szCs w:val="24"/>
          <w:highlight w:val="none"/>
          <w:lang w:val="en-GB" w:eastAsia="zh-CN"/>
        </w:rPr>
        <w:t>监狱企业证明材料</w:t>
      </w:r>
      <w:r>
        <w:rPr>
          <w:rFonts w:hint="eastAsia" w:ascii="宋体" w:hAnsi="宋体" w:eastAsia="宋体" w:cs="宋体"/>
          <w:color w:val="auto"/>
          <w:sz w:val="24"/>
          <w:szCs w:val="24"/>
          <w:highlight w:val="none"/>
          <w:lang w:val="en-US" w:eastAsia="zh-CN"/>
        </w:rPr>
        <w:t>（如有）</w:t>
      </w:r>
      <w:bookmarkEnd w:id="783"/>
      <w:bookmarkEnd w:id="784"/>
    </w:p>
    <w:p w14:paraId="24AED7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监狱企业参加政府采购活动时，应当提供由省级以上监狱管理局、戒毒管理局（含新疆生产建设兵团）出具的属于监狱企业的证明文件。</w:t>
      </w:r>
    </w:p>
    <w:p w14:paraId="188599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GB" w:eastAsia="zh-CN"/>
        </w:rPr>
      </w:pPr>
    </w:p>
    <w:p w14:paraId="1B753F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GB" w:eastAsia="zh-CN"/>
        </w:rPr>
      </w:pPr>
    </w:p>
    <w:p w14:paraId="38AE90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6D8134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948ECC7">
      <w:pPr>
        <w:pStyle w:val="5"/>
        <w:pageBreakBefore w:val="0"/>
        <w:numPr>
          <w:ilvl w:val="0"/>
          <w:numId w:val="35"/>
        </w:numPr>
        <w:tabs>
          <w:tab w:val="left" w:pos="840"/>
        </w:tabs>
        <w:kinsoku/>
        <w:overflowPunct/>
        <w:bidi w:val="0"/>
        <w:spacing w:line="360" w:lineRule="auto"/>
        <w:jc w:val="center"/>
        <w:rPr>
          <w:rFonts w:hint="eastAsia" w:ascii="宋体" w:hAnsi="宋体" w:eastAsia="宋体" w:cs="宋体"/>
          <w:color w:val="auto"/>
          <w:szCs w:val="24"/>
          <w:highlight w:val="none"/>
          <w:lang w:val="en-GB"/>
        </w:rPr>
      </w:pPr>
      <w:r>
        <w:rPr>
          <w:rFonts w:hint="eastAsia" w:ascii="宋体" w:hAnsi="宋体" w:eastAsia="宋体" w:cs="宋体"/>
          <w:color w:val="auto"/>
          <w:highlight w:val="none"/>
          <w:lang w:val="en-GB" w:eastAsia="zh-CN"/>
        </w:rPr>
        <w:br w:type="page"/>
      </w:r>
      <w:bookmarkStart w:id="785" w:name="_Toc12685"/>
      <w:bookmarkStart w:id="786" w:name="_Toc6270"/>
      <w:r>
        <w:rPr>
          <w:rFonts w:hint="eastAsia" w:ascii="宋体" w:hAnsi="宋体" w:eastAsia="宋体" w:cs="宋体"/>
          <w:color w:val="auto"/>
          <w:sz w:val="24"/>
          <w:szCs w:val="24"/>
          <w:highlight w:val="none"/>
          <w:lang w:val="en-GB" w:eastAsia="zh-CN"/>
        </w:rPr>
        <w:t>节能产品、环境标志产品明细表</w:t>
      </w:r>
      <w:r>
        <w:rPr>
          <w:rFonts w:hint="eastAsia" w:ascii="宋体" w:hAnsi="宋体" w:eastAsia="宋体" w:cs="宋体"/>
          <w:color w:val="auto"/>
          <w:sz w:val="24"/>
          <w:szCs w:val="24"/>
          <w:highlight w:val="none"/>
          <w:lang w:val="en-US" w:eastAsia="zh-CN"/>
        </w:rPr>
        <w:t>（如有）</w:t>
      </w:r>
      <w:bookmarkEnd w:id="785"/>
      <w:bookmarkEnd w:id="786"/>
    </w:p>
    <w:p w14:paraId="0F46257E">
      <w:pPr>
        <w:widowControl w:val="0"/>
        <w:spacing w:line="360" w:lineRule="auto"/>
        <w:ind w:firstLine="0"/>
        <w:jc w:val="center"/>
        <w:rPr>
          <w:rFonts w:hint="eastAsia" w:ascii="宋体" w:hAnsi="宋体" w:eastAsia="宋体" w:cs="宋体"/>
          <w:b/>
          <w:color w:val="auto"/>
          <w:kern w:val="2"/>
          <w:sz w:val="24"/>
          <w:szCs w:val="24"/>
          <w:highlight w:val="none"/>
          <w:lang w:val="en-GB" w:eastAsia="zh-CN" w:bidi="ar-SA"/>
        </w:rPr>
      </w:pPr>
      <w:r>
        <w:rPr>
          <w:rFonts w:hint="eastAsia" w:ascii="宋体" w:hAnsi="宋体" w:eastAsia="宋体" w:cs="宋体"/>
          <w:b/>
          <w:color w:val="auto"/>
          <w:kern w:val="2"/>
          <w:sz w:val="24"/>
          <w:szCs w:val="24"/>
          <w:highlight w:val="none"/>
          <w:lang w:val="en-GB" w:eastAsia="zh-CN" w:bidi="ar-SA"/>
        </w:rPr>
        <w:t>节能产品明细表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14:paraId="2D32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center"/>
          </w:tcPr>
          <w:p w14:paraId="31B2D536">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序号</w:t>
            </w:r>
          </w:p>
        </w:tc>
        <w:tc>
          <w:tcPr>
            <w:tcW w:w="916" w:type="dxa"/>
            <w:noWrap w:val="0"/>
            <w:vAlign w:val="center"/>
          </w:tcPr>
          <w:p w14:paraId="30864167">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设备名称</w:t>
            </w:r>
          </w:p>
        </w:tc>
        <w:tc>
          <w:tcPr>
            <w:tcW w:w="916" w:type="dxa"/>
            <w:noWrap w:val="0"/>
            <w:vAlign w:val="center"/>
          </w:tcPr>
          <w:p w14:paraId="162736E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p w14:paraId="0F630193">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型号</w:t>
            </w:r>
          </w:p>
        </w:tc>
        <w:tc>
          <w:tcPr>
            <w:tcW w:w="916" w:type="dxa"/>
            <w:noWrap w:val="0"/>
            <w:vAlign w:val="center"/>
          </w:tcPr>
          <w:p w14:paraId="31007669">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制造商名称</w:t>
            </w:r>
          </w:p>
        </w:tc>
        <w:tc>
          <w:tcPr>
            <w:tcW w:w="917" w:type="dxa"/>
            <w:noWrap w:val="0"/>
            <w:vAlign w:val="center"/>
          </w:tcPr>
          <w:p w14:paraId="269AB3D1">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节字标志认证证书号</w:t>
            </w:r>
          </w:p>
        </w:tc>
        <w:tc>
          <w:tcPr>
            <w:tcW w:w="917" w:type="dxa"/>
            <w:noWrap w:val="0"/>
            <w:vAlign w:val="center"/>
          </w:tcPr>
          <w:p w14:paraId="5F841973">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国家节能产品认证证书有效截止日期</w:t>
            </w:r>
          </w:p>
        </w:tc>
        <w:tc>
          <w:tcPr>
            <w:tcW w:w="917" w:type="dxa"/>
            <w:noWrap w:val="0"/>
            <w:vAlign w:val="center"/>
          </w:tcPr>
          <w:p w14:paraId="30076BE9">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数量</w:t>
            </w:r>
          </w:p>
        </w:tc>
        <w:tc>
          <w:tcPr>
            <w:tcW w:w="917" w:type="dxa"/>
            <w:noWrap w:val="0"/>
            <w:vAlign w:val="center"/>
          </w:tcPr>
          <w:p w14:paraId="3C81FC81">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单价</w:t>
            </w:r>
          </w:p>
        </w:tc>
        <w:tc>
          <w:tcPr>
            <w:tcW w:w="917" w:type="dxa"/>
            <w:noWrap w:val="0"/>
            <w:vAlign w:val="center"/>
          </w:tcPr>
          <w:p w14:paraId="727DED7D">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总价</w:t>
            </w:r>
          </w:p>
        </w:tc>
      </w:tr>
      <w:tr w14:paraId="19F8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14:paraId="7FAFFE62">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463B1786">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3A7A5B93">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41FC5A57">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41074E72">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471F8472">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10D93384">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5B9CB735">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61341D0E">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r>
      <w:tr w14:paraId="4E31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14:paraId="2B299278">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2E00176D">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03596D9F">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4FEE7F6B">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023270E7">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7E744DB7">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2EC2156A">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24F30371">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7B0EA45E">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r>
      <w:tr w14:paraId="1D03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14:paraId="5C8D5082">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0681557A">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4917A715">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22C1CEF8">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042C942B">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3436C45B">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010FCEA2">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02199678">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4F9E03FC">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r>
      <w:tr w14:paraId="0016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14:paraId="29022364">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07D50B37">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2F8D9F9B">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794CCC05">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0C7AEBA0">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0A49634A">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3487306F">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258F3900">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7C67C50E">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r>
    </w:tbl>
    <w:p w14:paraId="505717A2">
      <w:pPr>
        <w:spacing w:line="360" w:lineRule="auto"/>
        <w:rPr>
          <w:rFonts w:hint="eastAsia" w:ascii="宋体" w:hAnsi="宋体" w:eastAsia="宋体" w:cs="宋体"/>
          <w:color w:val="auto"/>
          <w:szCs w:val="21"/>
          <w:highlight w:val="none"/>
        </w:rPr>
      </w:pPr>
    </w:p>
    <w:p w14:paraId="0D791968">
      <w:pPr>
        <w:spacing w:line="360" w:lineRule="auto"/>
        <w:ind w:firstLine="3360" w:firstLineChars="1600"/>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（盖章）</w:t>
      </w:r>
    </w:p>
    <w:p w14:paraId="274152DF">
      <w:pPr>
        <w:spacing w:line="360" w:lineRule="auto"/>
        <w:ind w:firstLine="3360" w:firstLineChars="16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法定代表人或其委托代理人：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Cs/>
          <w:color w:val="auto"/>
          <w:szCs w:val="21"/>
          <w:highlight w:val="none"/>
        </w:rPr>
        <w:t>）</w:t>
      </w:r>
    </w:p>
    <w:p w14:paraId="6D5B5FD6">
      <w:pPr>
        <w:tabs>
          <w:tab w:val="left" w:pos="5380"/>
          <w:tab w:val="left" w:pos="6520"/>
          <w:tab w:val="left" w:pos="7680"/>
        </w:tabs>
        <w:autoSpaceDE w:val="0"/>
        <w:autoSpaceDN w:val="0"/>
        <w:adjustRightInd w:val="0"/>
        <w:spacing w:line="360" w:lineRule="auto"/>
        <w:ind w:right="-23" w:firstLine="4620" w:firstLineChars="2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spacing w:val="43"/>
          <w:kern w:val="0"/>
          <w:szCs w:val="21"/>
          <w:highlight w:val="none"/>
          <w:u w:val="single"/>
        </w:rPr>
        <w:t xml:space="preserve"> </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日</w:t>
      </w:r>
    </w:p>
    <w:p w14:paraId="52053E10">
      <w:pPr>
        <w:widowControl w:val="0"/>
        <w:spacing w:line="360" w:lineRule="auto"/>
        <w:jc w:val="both"/>
        <w:rPr>
          <w:rFonts w:hint="eastAsia" w:ascii="宋体" w:hAnsi="宋体" w:eastAsia="宋体" w:cs="宋体"/>
          <w:color w:val="auto"/>
          <w:kern w:val="2"/>
          <w:sz w:val="24"/>
          <w:szCs w:val="24"/>
          <w:highlight w:val="none"/>
          <w:lang w:val="en-US" w:eastAsia="zh-CN" w:bidi="ar-SA"/>
        </w:rPr>
      </w:pPr>
    </w:p>
    <w:p w14:paraId="46626AC2">
      <w:pPr>
        <w:tabs>
          <w:tab w:val="left" w:pos="840"/>
        </w:tabs>
        <w:autoSpaceDE w:val="0"/>
        <w:autoSpaceDN w:val="0"/>
        <w:adjustRightIn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b/>
          <w:color w:val="auto"/>
          <w:sz w:val="24"/>
          <w:highlight w:val="none"/>
          <w:lang w:val="en-GB"/>
        </w:rPr>
        <w:t>环境标志产品明细表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14:paraId="4E33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center"/>
          </w:tcPr>
          <w:p w14:paraId="30879016">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序号</w:t>
            </w:r>
          </w:p>
        </w:tc>
        <w:tc>
          <w:tcPr>
            <w:tcW w:w="916" w:type="dxa"/>
            <w:noWrap w:val="0"/>
            <w:vAlign w:val="center"/>
          </w:tcPr>
          <w:p w14:paraId="3CAE6898">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设备名称</w:t>
            </w:r>
          </w:p>
        </w:tc>
        <w:tc>
          <w:tcPr>
            <w:tcW w:w="916" w:type="dxa"/>
            <w:noWrap w:val="0"/>
            <w:vAlign w:val="center"/>
          </w:tcPr>
          <w:p w14:paraId="7D5D6060">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p w14:paraId="4B7FCA79">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型号</w:t>
            </w:r>
          </w:p>
        </w:tc>
        <w:tc>
          <w:tcPr>
            <w:tcW w:w="916" w:type="dxa"/>
            <w:noWrap w:val="0"/>
            <w:vAlign w:val="center"/>
          </w:tcPr>
          <w:p w14:paraId="70EFE04D">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制造商名称</w:t>
            </w:r>
          </w:p>
        </w:tc>
        <w:tc>
          <w:tcPr>
            <w:tcW w:w="917" w:type="dxa"/>
            <w:noWrap w:val="0"/>
            <w:vAlign w:val="center"/>
          </w:tcPr>
          <w:p w14:paraId="02AC5E4B">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中国环境标志认证证书编号</w:t>
            </w:r>
          </w:p>
        </w:tc>
        <w:tc>
          <w:tcPr>
            <w:tcW w:w="917" w:type="dxa"/>
            <w:noWrap w:val="0"/>
            <w:vAlign w:val="center"/>
          </w:tcPr>
          <w:p w14:paraId="09C1F665">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认证证书有效</w:t>
            </w:r>
          </w:p>
          <w:p w14:paraId="170EC0AC">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截止日期</w:t>
            </w:r>
          </w:p>
        </w:tc>
        <w:tc>
          <w:tcPr>
            <w:tcW w:w="917" w:type="dxa"/>
            <w:noWrap w:val="0"/>
            <w:vAlign w:val="center"/>
          </w:tcPr>
          <w:p w14:paraId="2F3975F4">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数量</w:t>
            </w:r>
          </w:p>
        </w:tc>
        <w:tc>
          <w:tcPr>
            <w:tcW w:w="917" w:type="dxa"/>
            <w:noWrap w:val="0"/>
            <w:vAlign w:val="center"/>
          </w:tcPr>
          <w:p w14:paraId="66615A06">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单价</w:t>
            </w:r>
          </w:p>
        </w:tc>
        <w:tc>
          <w:tcPr>
            <w:tcW w:w="917" w:type="dxa"/>
            <w:noWrap w:val="0"/>
            <w:vAlign w:val="center"/>
          </w:tcPr>
          <w:p w14:paraId="331F999C">
            <w:pPr>
              <w:adjustRightInd w:val="0"/>
              <w:snapToGrid w:val="0"/>
              <w:spacing w:line="360" w:lineRule="auto"/>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总价</w:t>
            </w:r>
          </w:p>
        </w:tc>
      </w:tr>
      <w:tr w14:paraId="6BBD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14:paraId="325433AC">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7E13A94C">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1C59F028">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4ED2BF2B">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51DB11E4">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2439874B">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6996177D">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003ABB67">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10C49F98">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r>
      <w:tr w14:paraId="263D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14:paraId="1F9DC5E5">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254601A3">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6B13BAE9">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4F34716A">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12E13239">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429148B6">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199937B4">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4EF0580B">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66C34B50">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r>
      <w:tr w14:paraId="5058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14:paraId="6C8CF164">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20544DBB">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5B3C6D70">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6" w:type="dxa"/>
            <w:noWrap w:val="0"/>
            <w:vAlign w:val="top"/>
          </w:tcPr>
          <w:p w14:paraId="116A919B">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4E5AC0BF">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6BE87B4F">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61C1E10B">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2857950A">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c>
          <w:tcPr>
            <w:tcW w:w="917" w:type="dxa"/>
            <w:noWrap w:val="0"/>
            <w:vAlign w:val="top"/>
          </w:tcPr>
          <w:p w14:paraId="7FE9E0AF">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tc>
      </w:tr>
    </w:tbl>
    <w:p w14:paraId="657B3938">
      <w:pPr>
        <w:tabs>
          <w:tab w:val="left" w:pos="840"/>
        </w:tabs>
        <w:autoSpaceDE w:val="0"/>
        <w:autoSpaceDN w:val="0"/>
        <w:adjustRightInd w:val="0"/>
        <w:spacing w:line="360" w:lineRule="auto"/>
        <w:rPr>
          <w:rFonts w:hint="eastAsia" w:ascii="宋体" w:hAnsi="宋体" w:eastAsia="宋体" w:cs="宋体"/>
          <w:b/>
          <w:color w:val="auto"/>
          <w:szCs w:val="21"/>
          <w:highlight w:val="none"/>
          <w:lang w:val="en-GB"/>
        </w:rPr>
      </w:pPr>
    </w:p>
    <w:p w14:paraId="2BA0284A">
      <w:pPr>
        <w:spacing w:line="360" w:lineRule="auto"/>
        <w:ind w:firstLine="3360" w:firstLineChars="1600"/>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（盖章）</w:t>
      </w:r>
    </w:p>
    <w:p w14:paraId="6CE4A93E">
      <w:pPr>
        <w:spacing w:line="360" w:lineRule="auto"/>
        <w:ind w:firstLine="3360" w:firstLineChars="16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法定代表人或其委托代理人：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Cs/>
          <w:color w:val="auto"/>
          <w:szCs w:val="21"/>
          <w:highlight w:val="none"/>
        </w:rPr>
        <w:t>）</w:t>
      </w:r>
    </w:p>
    <w:p w14:paraId="70FA3DC0">
      <w:pPr>
        <w:tabs>
          <w:tab w:val="left" w:pos="5380"/>
          <w:tab w:val="left" w:pos="6520"/>
          <w:tab w:val="left" w:pos="7680"/>
        </w:tabs>
        <w:autoSpaceDE w:val="0"/>
        <w:autoSpaceDN w:val="0"/>
        <w:adjustRightInd w:val="0"/>
        <w:spacing w:line="360" w:lineRule="auto"/>
        <w:ind w:right="-23" w:firstLine="4620" w:firstLineChars="2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spacing w:val="43"/>
          <w:kern w:val="0"/>
          <w:szCs w:val="21"/>
          <w:highlight w:val="none"/>
          <w:u w:val="single"/>
        </w:rPr>
        <w:t xml:space="preserve"> </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日</w:t>
      </w:r>
    </w:p>
    <w:p w14:paraId="1AC3EDDF">
      <w:pPr>
        <w:pStyle w:val="92"/>
        <w:spacing w:line="360" w:lineRule="auto"/>
        <w:ind w:left="718" w:hanging="718" w:hangingChars="342"/>
        <w:rPr>
          <w:rFonts w:hint="eastAsia" w:ascii="宋体" w:hAnsi="宋体" w:eastAsia="宋体" w:cs="宋体"/>
          <w:color w:val="auto"/>
          <w:szCs w:val="21"/>
          <w:highlight w:val="none"/>
          <w:lang w:val="en-GB"/>
        </w:rPr>
      </w:pPr>
    </w:p>
    <w:p w14:paraId="04B4E29A">
      <w:pPr>
        <w:pStyle w:val="92"/>
        <w:spacing w:line="360" w:lineRule="auto"/>
        <w:ind w:left="721" w:hanging="718" w:hangingChars="342"/>
        <w:rPr>
          <w:rFonts w:hint="eastAsia" w:ascii="宋体" w:hAnsi="宋体" w:eastAsia="宋体" w:cs="宋体"/>
          <w:b/>
          <w:bCs/>
          <w:color w:val="auto"/>
          <w:szCs w:val="21"/>
          <w:highlight w:val="none"/>
          <w:lang w:val="en-GB"/>
        </w:rPr>
      </w:pPr>
      <w:r>
        <w:rPr>
          <w:rFonts w:hint="eastAsia" w:ascii="宋体" w:hAnsi="宋体" w:eastAsia="宋体" w:cs="宋体"/>
          <w:b/>
          <w:bCs/>
          <w:color w:val="auto"/>
          <w:szCs w:val="21"/>
          <w:highlight w:val="none"/>
          <w:lang w:val="en-GB"/>
        </w:rPr>
        <w:t>填报要求：</w:t>
      </w:r>
    </w:p>
    <w:p w14:paraId="1E4B32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本表的设备名称、品牌型号、金额应与</w:t>
      </w:r>
      <w:r>
        <w:rPr>
          <w:rFonts w:hint="eastAsia" w:ascii="宋体" w:hAnsi="宋体" w:eastAsia="宋体" w:cs="宋体"/>
          <w:bCs/>
          <w:color w:val="auto"/>
          <w:szCs w:val="21"/>
          <w:highlight w:val="none"/>
        </w:rPr>
        <w:t>货物分项报价一览表</w:t>
      </w:r>
      <w:r>
        <w:rPr>
          <w:rFonts w:hint="eastAsia" w:ascii="宋体" w:hAnsi="宋体" w:eastAsia="宋体" w:cs="宋体"/>
          <w:color w:val="auto"/>
          <w:szCs w:val="21"/>
          <w:highlight w:val="none"/>
        </w:rPr>
        <w:t>一致。</w:t>
      </w:r>
    </w:p>
    <w:p w14:paraId="797FEDDA">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 节能产品是指财政部和国家发展改革委员会公布的《节能产品政府采购品目清单》中的产品，可在中华人民共和国财政部网站（http://www.mof.gov.cn）、中国政府采购网（http://www.ccgp.gov.cn/）查阅。</w:t>
      </w:r>
      <w:r>
        <w:rPr>
          <w:rFonts w:hint="eastAsia" w:ascii="宋体" w:hAnsi="宋体" w:eastAsia="宋体" w:cs="宋体"/>
          <w:b/>
          <w:color w:val="auto"/>
          <w:szCs w:val="21"/>
          <w:highlight w:val="none"/>
        </w:rPr>
        <w:t>投标人须在投标文件中附该产品经国家确定的认证机构出具的、处于有效期之内的《国家节能产品认证证书》复印件或扫描件，否则评标委员会有权不予认可。</w:t>
      </w:r>
    </w:p>
    <w:p w14:paraId="5E1D4062">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 环境标志产品是指财政部、环境保护部发布的《环境标志产品政府采购品目清单》中的产品，可在中华人民共和国财政部网站（http://www.mof.gov.cn）、中国政府采购网（http://www.ccgp.gov.cn/）查阅。</w:t>
      </w:r>
      <w:r>
        <w:rPr>
          <w:rFonts w:hint="eastAsia" w:ascii="宋体" w:hAnsi="宋体" w:eastAsia="宋体" w:cs="宋体"/>
          <w:b/>
          <w:color w:val="auto"/>
          <w:szCs w:val="21"/>
          <w:highlight w:val="none"/>
        </w:rPr>
        <w:t>投标人须在投标文件中附该产品经国家确定的认证机构出具的、处于有效期之内的《中国环境标志产品认证证书》复印件或扫描件，否则评审委员会有权不予认可。</w:t>
      </w:r>
    </w:p>
    <w:p w14:paraId="4C090E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请投标人正确填写本表，所填内容将作为评审的依据。其内容或数据应与对应的证明资料相符。</w:t>
      </w:r>
    </w:p>
    <w:p w14:paraId="78A9B6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没有相关产品可不提供本表。</w:t>
      </w:r>
    </w:p>
    <w:p w14:paraId="70D6EE2E">
      <w:pPr>
        <w:bidi w:val="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br w:type="page"/>
      </w:r>
    </w:p>
    <w:p w14:paraId="1EF8EBDC">
      <w:pPr>
        <w:pStyle w:val="5"/>
        <w:pageBreakBefore w:val="0"/>
        <w:numPr>
          <w:ilvl w:val="0"/>
          <w:numId w:val="35"/>
        </w:numPr>
        <w:tabs>
          <w:tab w:val="left" w:pos="840"/>
        </w:tabs>
        <w:kinsoku/>
        <w:overflowPunct/>
        <w:bidi w:val="0"/>
        <w:spacing w:line="360" w:lineRule="auto"/>
        <w:jc w:val="center"/>
        <w:rPr>
          <w:rFonts w:hint="eastAsia" w:ascii="宋体" w:hAnsi="宋体" w:eastAsia="宋体" w:cs="宋体"/>
          <w:color w:val="auto"/>
          <w:highlight w:val="none"/>
          <w:lang w:val="en-US" w:eastAsia="zh-CN"/>
        </w:rPr>
      </w:pPr>
      <w:bookmarkStart w:id="787" w:name="_Toc26793"/>
      <w:bookmarkStart w:id="788" w:name="_Toc20684"/>
      <w:r>
        <w:rPr>
          <w:rFonts w:hint="eastAsia" w:ascii="宋体" w:hAnsi="宋体" w:eastAsia="宋体" w:cs="宋体"/>
          <w:color w:val="auto"/>
          <w:sz w:val="24"/>
          <w:szCs w:val="24"/>
          <w:highlight w:val="none"/>
          <w:lang w:val="en-US" w:eastAsia="zh-CN"/>
        </w:rPr>
        <w:t>其他资料</w:t>
      </w:r>
      <w:bookmarkEnd w:id="787"/>
      <w:bookmarkEnd w:id="788"/>
    </w:p>
    <w:p w14:paraId="70180672">
      <w:pPr>
        <w:pStyle w:val="6"/>
        <w:pageBreakBefore w:val="0"/>
        <w:numPr>
          <w:ilvl w:val="0"/>
          <w:numId w:val="0"/>
        </w:numPr>
        <w:kinsoku/>
        <w:overflowPunct/>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kern w:val="2"/>
          <w:sz w:val="24"/>
          <w:szCs w:val="24"/>
          <w:highlight w:val="none"/>
          <w:lang w:val="en-US" w:eastAsia="zh-CN" w:bidi="ar-SA"/>
        </w:rPr>
        <w:t>（一）</w:t>
      </w:r>
      <w:r>
        <w:rPr>
          <w:rFonts w:hint="eastAsia" w:ascii="宋体" w:hAnsi="宋体" w:eastAsia="宋体" w:cs="宋体"/>
          <w:color w:val="auto"/>
          <w:sz w:val="24"/>
          <w:szCs w:val="24"/>
          <w:highlight w:val="none"/>
          <w:lang w:val="en-US" w:eastAsia="zh-CN"/>
        </w:rPr>
        <w:t>关于符合本国产品标准的成本占比的承诺函（如有）</w:t>
      </w:r>
    </w:p>
    <w:p w14:paraId="26DB67B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我单位为该采购项目或者采购包提供的符合本国产品标准的产品成本之和(</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元)占我单位提供的全部产品成本之和(</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元)的比例为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w:t>
      </w:r>
    </w:p>
    <w:p w14:paraId="018F155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特此承诺!</w:t>
      </w:r>
    </w:p>
    <w:p w14:paraId="2FAC6FE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本公司(单位)对上述声明内容的真实性负责。如有虚假，愿承担相应法律责任。</w:t>
      </w:r>
    </w:p>
    <w:p w14:paraId="1CCF81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宋体" w:hAnsi="宋体" w:eastAsia="宋体" w:cs="宋体"/>
          <w:i w:val="0"/>
          <w:iCs w:val="0"/>
          <w:color w:val="auto"/>
          <w:kern w:val="0"/>
          <w:sz w:val="21"/>
          <w:szCs w:val="21"/>
          <w:highlight w:val="none"/>
          <w:lang w:val="en-US" w:eastAsia="zh-CN" w:bidi="ar"/>
        </w:rPr>
      </w:pPr>
    </w:p>
    <w:p w14:paraId="3EFF9F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宋体" w:hAnsi="宋体" w:eastAsia="宋体" w:cs="宋体"/>
          <w:i w:val="0"/>
          <w:iCs w:val="0"/>
          <w:color w:val="auto"/>
          <w:kern w:val="0"/>
          <w:sz w:val="21"/>
          <w:szCs w:val="21"/>
          <w:highlight w:val="none"/>
          <w:lang w:val="en-US" w:eastAsia="zh-CN" w:bidi="ar"/>
        </w:rPr>
      </w:pPr>
    </w:p>
    <w:p w14:paraId="256656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  公司（单位）名称（盖章）：　        </w:t>
      </w:r>
    </w:p>
    <w:p w14:paraId="03CEA0B1">
      <w:pPr>
        <w:bidi w:val="0"/>
        <w:jc w:val="righ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日期：　     年　  月　  日      </w:t>
      </w:r>
      <w:r>
        <w:rPr>
          <w:rFonts w:hint="eastAsia" w:ascii="宋体" w:hAnsi="宋体" w:eastAsia="宋体" w:cs="宋体"/>
          <w:b/>
          <w:color w:val="auto"/>
          <w:kern w:val="2"/>
          <w:sz w:val="21"/>
          <w:szCs w:val="21"/>
          <w:highlight w:val="none"/>
          <w:lang w:val="en-US" w:eastAsia="zh-CN" w:bidi="ar-SA"/>
        </w:rPr>
        <w:br w:type="page"/>
      </w:r>
    </w:p>
    <w:p w14:paraId="70AEC626">
      <w:pPr>
        <w:pStyle w:val="6"/>
        <w:pageBreakBefore w:val="0"/>
        <w:numPr>
          <w:ilvl w:val="0"/>
          <w:numId w:val="0"/>
        </w:numPr>
        <w:kinsoku/>
        <w:overflowPunct/>
        <w:bidi w:val="0"/>
        <w:spacing w:line="36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（二）其他资料</w:t>
      </w:r>
    </w:p>
    <w:p w14:paraId="69E83B8B">
      <w:pPr>
        <w:bidi w:val="0"/>
        <w:rPr>
          <w:rFonts w:hint="eastAsia" w:ascii="宋体" w:hAnsi="宋体" w:eastAsia="宋体" w:cs="宋体"/>
          <w:color w:val="auto"/>
          <w:highlight w:val="none"/>
          <w:lang w:val="en-US" w:eastAsia="zh-CN"/>
        </w:rPr>
      </w:pPr>
    </w:p>
    <w:p w14:paraId="437BA378">
      <w:pPr>
        <w:bidi w:val="0"/>
        <w:rPr>
          <w:rFonts w:hint="eastAsia" w:ascii="宋体" w:hAnsi="宋体" w:eastAsia="宋体" w:cs="宋体"/>
          <w:color w:val="auto"/>
          <w:highlight w:val="none"/>
          <w:lang w:val="en-US" w:eastAsia="zh-CN"/>
        </w:rPr>
      </w:pPr>
    </w:p>
    <w:p w14:paraId="12745AC2">
      <w:pPr>
        <w:bidi w:val="0"/>
        <w:rPr>
          <w:rFonts w:hint="eastAsia" w:ascii="宋体" w:hAnsi="宋体" w:eastAsia="宋体" w:cs="宋体"/>
          <w:color w:val="auto"/>
          <w:highlight w:val="none"/>
        </w:rPr>
      </w:pPr>
    </w:p>
    <w:sectPr>
      <w:headerReference r:id="rId17" w:type="default"/>
      <w:pgSz w:w="11906" w:h="16838"/>
      <w:pgMar w:top="1440" w:right="1489" w:bottom="1247"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_x000B__x000C_">
    <w:altName w:val="Times New Roman"/>
    <w:panose1 w:val="00000000000000000000"/>
    <w:charset w:val="00"/>
    <w:family w:val="roman"/>
    <w:pitch w:val="default"/>
    <w:sig w:usb0="00000000" w:usb1="00000000" w:usb2="00000000" w:usb3="00000000" w:csb0="00040001" w:csb1="00000000"/>
  </w:font>
  <w:font w:name="FZSSK--GBK1-0">
    <w:altName w:val="Segoe Print"/>
    <w:panose1 w:val="00000000000000000000"/>
    <w:charset w:val="00"/>
    <w:family w:val="auto"/>
    <w:pitch w:val="default"/>
    <w:sig w:usb0="00000000" w:usb1="00000000" w:usb2="00000000" w:usb3="00000000" w:csb0="00040001" w:csb1="00000000"/>
  </w:font>
  <w:font w:name="E-BZ">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10" w:usb3="00000000" w:csb0="0004009F"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8C925">
    <w:pPr>
      <w:pStyle w:val="21"/>
      <w:pBdr>
        <w:top w:val="single" w:color="auto" w:sz="4" w:space="0"/>
        <w:left w:val="none" w:color="auto" w:sz="0" w:space="0"/>
        <w:bottom w:val="none" w:color="auto" w:sz="0" w:space="0"/>
        <w:right w:val="none" w:color="auto" w:sz="0" w:space="0"/>
        <w:between w:val="none" w:color="auto" w:sz="0" w:space="0"/>
      </w:pBdr>
    </w:pPr>
    <w:r>
      <w:rPr>
        <w:rFonts w:hint="eastAsia"/>
      </w:rPr>
      <w:drawing>
        <wp:anchor distT="0" distB="0" distL="114300" distR="114300" simplePos="0" relativeHeight="251659264" behindDoc="0" locked="0" layoutInCell="1" allowOverlap="1">
          <wp:simplePos x="0" y="0"/>
          <wp:positionH relativeFrom="column">
            <wp:posOffset>-368300</wp:posOffset>
          </wp:positionH>
          <wp:positionV relativeFrom="paragraph">
            <wp:posOffset>-44450</wp:posOffset>
          </wp:positionV>
          <wp:extent cx="339725" cy="254635"/>
          <wp:effectExtent l="0" t="0" r="3175" b="12065"/>
          <wp:wrapNone/>
          <wp:docPr id="2" name="图片 5" descr="file:///C:\Program%20Files\Tencent\QQ\Users\763502907\Image\0254824F-E245-4015-824E-9E252A54E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file:///C:\Program%20Files\Tencent\QQ\Users\763502907\Image\0254824F-E245-4015-824E-9E252A54E140.jpg"/>
                  <pic:cNvPicPr>
                    <a:picLocks noChangeAspect="1"/>
                  </pic:cNvPicPr>
                </pic:nvPicPr>
                <pic:blipFill>
                  <a:blip r:embed="rId1" r:link="rId2"/>
                  <a:stretch>
                    <a:fillRect/>
                  </a:stretch>
                </pic:blipFill>
                <pic:spPr>
                  <a:xfrm>
                    <a:off x="0" y="0"/>
                    <a:ext cx="339725" cy="254635"/>
                  </a:xfrm>
                  <a:prstGeom prst="rect">
                    <a:avLst/>
                  </a:prstGeom>
                  <a:noFill/>
                  <a:ln>
                    <a:noFill/>
                  </a:ln>
                </pic:spPr>
              </pic:pic>
            </a:graphicData>
          </a:graphic>
        </wp:anchor>
      </w:drawing>
    </w:r>
    <w:r>
      <w:rPr>
        <w:rStyle w:val="40"/>
        <w:rFonts w:hint="eastAsia"/>
        <w:lang w:eastAsia="zh-CN"/>
      </w:rPr>
      <w:t>建基工程咨询有限公司</w:t>
    </w:r>
    <w:r>
      <w:rPr>
        <w:rStyle w:val="40"/>
        <w:rFonts w:hint="eastAsia"/>
      </w:rPr>
      <w:t xml:space="preserve">      </w:t>
    </w:r>
    <w:r>
      <w:rPr>
        <w:rFonts w:hint="eastAsia" w:ascii="宋体" w:hAnsi="宋体"/>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B0F6">
    <w:pPr>
      <w:pStyle w:val="21"/>
      <w:pBdr>
        <w:top w:val="none" w:color="auto" w:sz="0" w:space="0"/>
        <w:left w:val="none" w:color="auto" w:sz="0" w:space="0"/>
        <w:bottom w:val="none" w:color="auto" w:sz="0" w:space="0"/>
        <w:right w:val="none" w:color="auto" w:sz="0" w:space="0"/>
        <w:between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86BA2">
    <w:pPr>
      <w:widowControl w:val="0"/>
      <w:pBdr>
        <w:bottom w:val="thickThinMediumGap" w:color="800000" w:sz="18" w:space="1"/>
      </w:pBdr>
      <w:snapToGrid w:val="0"/>
      <w:jc w:val="both"/>
      <w:rPr>
        <w:rFonts w:hint="default"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2905125</wp:posOffset>
              </wp:positionH>
              <wp:positionV relativeFrom="paragraph">
                <wp:posOffset>0</wp:posOffset>
              </wp:positionV>
              <wp:extent cx="1828800" cy="1828800"/>
              <wp:effectExtent l="0" t="0" r="0" b="0"/>
              <wp:wrapNone/>
              <wp:docPr id="3" name="文本框 10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CF13CE">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37</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文本框 1057" o:spid="_x0000_s1026" o:spt="202" type="#_x0000_t202" style="position:absolute;left:0pt;margin-left:228.75pt;margin-top:0pt;height:144pt;width:144pt;mso-position-horizontal-relative:margin;mso-wrap-style:none;z-index:251660288;mso-width-relative:page;mso-height-relative:page;" filled="f" stroked="f" coordsize="21600,21600" o:gfxdata="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hzy3B1wAAAAgBAAAPAAAAAAAAAAEAIAAA&#10;ACIAAABkcnMvZG93bnJldi54bWxQSwECFAAUAAAACACHTuJA+vCWAdQBAACmAwAADgAAAAAAAAAB&#10;ACAAAAAmAQAAZHJzL2Uyb0RvYy54bWxQSwUGAAAAAAYABgBZAQAAbAUAAAAA&#10;">
              <v:fill on="f" focussize="0,0"/>
              <v:stroke on="f" weight="1.25pt"/>
              <v:imagedata o:title=""/>
              <o:lock v:ext="edit" aspectratio="f"/>
              <v:textbox inset="0mm,0mm,0mm,0mm" style="mso-fit-shape-to-text:t;">
                <w:txbxContent>
                  <w:p w14:paraId="53CF13CE">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37</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p w14:paraId="44FE217A">
    <w:pPr>
      <w:widowControl w:val="0"/>
      <w:snapToGrid w:val="0"/>
      <w:jc w:val="left"/>
    </w:pPr>
    <w:r>
      <w:rPr>
        <w:rFonts w:hint="eastAsia" w:ascii="黑体" w:hAnsi="宋体" w:eastAsia="黑体" w:cs="Times New Roman"/>
        <w:b/>
        <w:kern w:val="2"/>
        <w:sz w:val="18"/>
        <w:szCs w:val="21"/>
        <w:lang w:val="en-US" w:eastAsia="zh-CN" w:bidi="ar-SA"/>
      </w:rPr>
      <w:t>全国百强企业                  电话：0371-55238190                         传真：0371-55238193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3CF69">
    <w:pPr>
      <w:framePr w:wrap="around" w:vAnchor="text" w:hAnchor="margin" w:xAlign="right" w:y="1"/>
      <w:widowControl/>
      <w:spacing w:before="100" w:beforeAutospacing="1" w:after="100" w:afterAutospacing="1"/>
      <w:jc w:val="left"/>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fldChar w:fldCharType="begin"/>
    </w:r>
    <w:r>
      <w:rPr>
        <w:rFonts w:hint="eastAsia" w:ascii="仿宋_GB2312" w:hAnsi="宋体" w:eastAsia="仿宋_GB2312" w:cs="宋体"/>
        <w:kern w:val="0"/>
        <w:sz w:val="32"/>
        <w:szCs w:val="32"/>
        <w:lang w:val="en-US" w:eastAsia="zh-CN" w:bidi="ar-SA"/>
      </w:rPr>
      <w:instrText xml:space="preserve">PAGE  </w:instrText>
    </w:r>
    <w:r>
      <w:rPr>
        <w:rFonts w:hint="eastAsia" w:ascii="仿宋_GB2312" w:hAnsi="宋体" w:eastAsia="仿宋_GB2312" w:cs="宋体"/>
        <w:kern w:val="0"/>
        <w:sz w:val="32"/>
        <w:szCs w:val="32"/>
        <w:lang w:val="en-US" w:eastAsia="zh-CN" w:bidi="ar-SA"/>
      </w:rPr>
      <w:fldChar w:fldCharType="end"/>
    </w:r>
  </w:p>
  <w:p w14:paraId="39B4DF29">
    <w:pPr>
      <w:widowControl/>
      <w:spacing w:before="100" w:beforeAutospacing="1" w:after="100" w:afterAutospacing="1"/>
      <w:ind w:right="360"/>
      <w:jc w:val="left"/>
      <w:rPr>
        <w:rFonts w:hint="eastAsia" w:ascii="仿宋_GB2312" w:hAnsi="宋体" w:eastAsia="仿宋_GB2312" w:cs="宋体"/>
        <w:kern w:val="0"/>
        <w:sz w:val="32"/>
        <w:szCs w:val="32"/>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6CEFC">
    <w:pPr>
      <w:widowControl w:val="0"/>
      <w:snapToGrid w:val="0"/>
      <w:jc w:val="center"/>
      <w:rPr>
        <w:rFonts w:ascii="宋体" w:hAnsi="宋体" w:eastAsia="宋体" w:cs="宋体"/>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A6174">
    <w:pPr>
      <w:widowControl w:val="0"/>
      <w:pBdr>
        <w:bottom w:val="thickThinMediumGap" w:color="800000" w:sz="18" w:space="1"/>
      </w:pBdr>
      <w:snapToGrid w:val="0"/>
      <w:jc w:val="both"/>
      <w:rPr>
        <w:rFonts w:hint="default"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posOffset>2905125</wp:posOffset>
              </wp:positionH>
              <wp:positionV relativeFrom="paragraph">
                <wp:posOffset>0</wp:posOffset>
              </wp:positionV>
              <wp:extent cx="1828800" cy="1828800"/>
              <wp:effectExtent l="0" t="0" r="0" b="0"/>
              <wp:wrapNone/>
              <wp:docPr id="4" name="文本框 10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49957D3">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37</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文本框 1057" o:spid="_x0000_s1026" o:spt="202" type="#_x0000_t202" style="position:absolute;left:0pt;margin-left:228.75pt;margin-top:0pt;height:144pt;width:144pt;mso-position-horizontal-relative:margin;mso-wrap-style:none;z-index:251661312;mso-width-relative:page;mso-height-relative:page;" filled="f" stroked="f" coordsize="21600,21600" o:gfxdata="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hzy3B1wAAAAgBAAAPAAAAAAAAAAEAIAAA&#10;ACIAAABkcnMvZG93bnJldi54bWxQSwECFAAUAAAACACHTuJAgNEyzNQBAACmAwAADgAAAAAAAAAB&#10;ACAAAAAmAQAAZHJzL2Uyb0RvYy54bWxQSwUGAAAAAAYABgBZAQAAbAUAAAAA&#10;">
              <v:fill on="f" focussize="0,0"/>
              <v:stroke on="f" weight="1.25pt"/>
              <v:imagedata o:title=""/>
              <o:lock v:ext="edit" aspectratio="f"/>
              <v:textbox inset="0mm,0mm,0mm,0mm" style="mso-fit-shape-to-text:t;">
                <w:txbxContent>
                  <w:p w14:paraId="549957D3">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37</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p w14:paraId="5692BD4B">
    <w:pPr>
      <w:widowControl w:val="0"/>
      <w:snapToGrid w:val="0"/>
      <w:jc w:val="left"/>
      <w:rPr>
        <w:lang w:val="en-US" w:eastAsia="zh-CN"/>
      </w:rPr>
    </w:pPr>
    <w:r>
      <w:rPr>
        <w:rFonts w:hint="eastAsia" w:ascii="黑体" w:hAnsi="宋体" w:eastAsia="黑体" w:cs="Times New Roman"/>
        <w:b/>
        <w:kern w:val="2"/>
        <w:sz w:val="18"/>
        <w:szCs w:val="21"/>
        <w:lang w:val="en-US" w:eastAsia="zh-CN" w:bidi="ar-SA"/>
      </w:rPr>
      <w:t>全国百强企业                  电话：0371-55238190                              传真：0371-55238193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D79BB">
    <w:pPr>
      <w:framePr w:wrap="around" w:vAnchor="text" w:hAnchor="margin" w:xAlign="right" w:y="1"/>
      <w:widowControl/>
      <w:spacing w:before="100" w:beforeAutospacing="1" w:after="100" w:afterAutospacing="1"/>
      <w:jc w:val="left"/>
      <w:rPr>
        <w:rFonts w:hint="eastAsia" w:ascii="仿宋_GB2312" w:hAnsi="宋体" w:eastAsia="仿宋_GB2312" w:cs="Times New Roman"/>
        <w:kern w:val="0"/>
        <w:sz w:val="32"/>
        <w:szCs w:val="32"/>
        <w:lang w:val="en-US" w:eastAsia="zh-CN" w:bidi="ar-SA"/>
      </w:rPr>
    </w:pPr>
    <w:r>
      <w:rPr>
        <w:rFonts w:hint="eastAsia" w:ascii="仿宋_GB2312" w:hAnsi="宋体" w:eastAsia="仿宋_GB2312" w:cs="Times New Roman"/>
        <w:kern w:val="0"/>
        <w:sz w:val="32"/>
        <w:szCs w:val="32"/>
        <w:lang w:val="en-US" w:eastAsia="zh-CN" w:bidi="ar-SA"/>
      </w:rPr>
      <w:fldChar w:fldCharType="begin"/>
    </w:r>
    <w:r>
      <w:rPr>
        <w:rFonts w:hint="eastAsia" w:ascii="仿宋_GB2312" w:hAnsi="宋体" w:eastAsia="仿宋_GB2312" w:cs="Times New Roman"/>
        <w:kern w:val="0"/>
        <w:sz w:val="32"/>
        <w:szCs w:val="32"/>
        <w:lang w:val="en-US" w:eastAsia="zh-CN" w:bidi="ar-SA"/>
      </w:rPr>
      <w:instrText xml:space="preserve">PAGE  </w:instrText>
    </w:r>
    <w:r>
      <w:rPr>
        <w:rFonts w:hint="eastAsia" w:ascii="仿宋_GB2312" w:hAnsi="宋体" w:eastAsia="仿宋_GB2312" w:cs="Times New Roman"/>
        <w:kern w:val="0"/>
        <w:sz w:val="32"/>
        <w:szCs w:val="32"/>
        <w:lang w:val="en-US" w:eastAsia="zh-CN" w:bidi="ar-SA"/>
      </w:rPr>
      <w:fldChar w:fldCharType="end"/>
    </w:r>
  </w:p>
  <w:p w14:paraId="6E4BA6DE">
    <w:pPr>
      <w:widowControl/>
      <w:spacing w:before="100" w:beforeAutospacing="1" w:after="100" w:afterAutospacing="1"/>
      <w:ind w:right="360"/>
      <w:jc w:val="left"/>
      <w:rPr>
        <w:rFonts w:hint="eastAsia" w:ascii="仿宋_GB2312" w:hAnsi="宋体" w:eastAsia="仿宋_GB2312" w:cs="Times New Roman"/>
        <w:kern w:val="0"/>
        <w:sz w:val="32"/>
        <w:szCs w:val="32"/>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6E966">
    <w:pPr>
      <w:widowControl w:val="0"/>
      <w:snapToGrid w:val="0"/>
      <w:jc w:val="center"/>
      <w:rPr>
        <w:rFonts w:ascii="Times New Roman" w:hAnsi="Times New Roman" w:eastAsia="宋体" w:cs="Times New Roman"/>
        <w:kern w:val="2"/>
        <w:sz w:val="18"/>
        <w:szCs w:val="18"/>
        <w:lang w:val="en-US" w:eastAsia="zh-CN" w:bidi="ar-S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76E93">
    <w:pPr>
      <w:widowControl w:val="0"/>
      <w:pBdr>
        <w:bottom w:val="thickThinMediumGap" w:color="800000" w:sz="18" w:space="1"/>
      </w:pBdr>
      <w:snapToGrid w:val="0"/>
      <w:jc w:val="both"/>
      <w:rPr>
        <w:rFonts w:hint="default"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posOffset>2905125</wp:posOffset>
              </wp:positionH>
              <wp:positionV relativeFrom="paragraph">
                <wp:posOffset>0</wp:posOffset>
              </wp:positionV>
              <wp:extent cx="1828800" cy="1828800"/>
              <wp:effectExtent l="0" t="0" r="0" b="0"/>
              <wp:wrapNone/>
              <wp:docPr id="5" name="文本框 10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80262B">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37</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文本框 1057" o:spid="_x0000_s1026" o:spt="202" type="#_x0000_t202" style="position:absolute;left:0pt;margin-left:228.75pt;margin-top:0pt;height:144pt;width:144pt;mso-position-horizontal-relative:margin;mso-wrap-style:none;z-index:251662336;mso-width-relative:page;mso-height-relative:page;" filled="f" stroked="f" coordsize="21600,21600" o:gfxdata="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hzy3B1wAAAAgBAAAPAAAAAAAAAAEAIAAA&#10;ACIAAABkcnMvZG93bnJldi54bWxQSwECFAAUAAAACACHTuJA5WsYptQBAACmAwAADgAAAAAAAAAB&#10;ACAAAAAmAQAAZHJzL2Uyb0RvYy54bWxQSwUGAAAAAAYABgBZAQAAbAUAAAAA&#10;">
              <v:fill on="f" focussize="0,0"/>
              <v:stroke on="f" weight="1.25pt"/>
              <v:imagedata o:title=""/>
              <o:lock v:ext="edit" aspectratio="f"/>
              <v:textbox inset="0mm,0mm,0mm,0mm" style="mso-fit-shape-to-text:t;">
                <w:txbxContent>
                  <w:p w14:paraId="4280262B">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37</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p w14:paraId="35B02457">
    <w:pPr>
      <w:widowControl w:val="0"/>
      <w:snapToGrid w:val="0"/>
      <w:jc w:val="left"/>
    </w:pPr>
    <w:r>
      <w:rPr>
        <w:rFonts w:hint="eastAsia" w:ascii="黑体" w:hAnsi="宋体" w:eastAsia="黑体" w:cs="Times New Roman"/>
        <w:b/>
        <w:kern w:val="2"/>
        <w:sz w:val="18"/>
        <w:szCs w:val="21"/>
        <w:lang w:val="en-US" w:eastAsia="zh-CN" w:bidi="ar-SA"/>
      </w:rPr>
      <w:t>全国百强企业                  电话：0371-55238190                        传真：0371-55238193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CB152">
    <w:pPr>
      <w:pBdr>
        <w:bottom w:val="single" w:color="auto" w:sz="4" w:space="1"/>
      </w:pBdr>
      <w:jc w:val="right"/>
    </w:pPr>
    <w:r>
      <w:rPr>
        <w:rFonts w:hint="eastAsia"/>
      </w:rPr>
      <w:t xml:space="preserve">  </w:t>
    </w:r>
    <w:r>
      <w:rPr>
        <w:rFonts w:hint="eastAsia"/>
        <w:sz w:val="18"/>
        <w:szCs w:val="18"/>
      </w:rPr>
      <w:t xml:space="preserve">    </w:t>
    </w:r>
    <w:r>
      <w:rPr>
        <w:rFonts w:hint="eastAsia"/>
        <w:sz w:val="18"/>
        <w:szCs w:val="18"/>
        <w:lang w:eastAsia="zh-CN"/>
      </w:rPr>
      <w:t>河南省周口生态环境监测中心2026年监测能力建设项目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4CF9">
    <w:pPr>
      <w:pStyle w:val="22"/>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50A8">
    <w:pPr>
      <w:widowControl w:val="0"/>
      <w:pBdr>
        <w:bottom w:val="thickThinMediumGap" w:color="800000" w:sz="18" w:space="1"/>
      </w:pBdr>
      <w:snapToGrid w:val="0"/>
      <w:jc w:val="both"/>
      <w:rPr>
        <w:rFonts w:hint="eastAsia" w:ascii="宋体" w:hAnsi="宋体" w:eastAsia="宋体" w:cs="宋体"/>
        <w:kern w:val="2"/>
        <w:sz w:val="18"/>
        <w:szCs w:val="18"/>
        <w:lang w:val="en-US" w:eastAsia="zh-CN" w:bidi="ar-SA"/>
      </w:rPr>
    </w:pPr>
    <w:r>
      <w:rPr>
        <w:rFonts w:hint="eastAsia" w:ascii="黑体" w:hAnsi="黑体" w:eastAsia="黑体" w:cs="黑体"/>
        <w:color w:val="auto"/>
        <w:kern w:val="2"/>
        <w:sz w:val="18"/>
        <w:szCs w:val="18"/>
        <w:highlight w:val="none"/>
        <w:lang w:val="en-US" w:eastAsia="zh-CN" w:bidi="ar-SA"/>
      </w:rPr>
      <w:t>河南省周口生态环境监测中心2026年监测能力建设项目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6B104">
    <w:pPr>
      <w:widowControl w:val="0"/>
      <w:pBdr>
        <w:bottom w:val="thickThinMediumGap" w:color="800000" w:sz="18" w:space="1"/>
      </w:pBdr>
      <w:snapToGrid w:val="0"/>
      <w:jc w:val="both"/>
      <w:rPr>
        <w:rFonts w:hint="eastAsia" w:ascii="仿宋_GB2312" w:hAnsi="Calibri" w:eastAsia="仿宋_GB2312" w:cs="Times New Roman"/>
        <w:kern w:val="2"/>
        <w:sz w:val="18"/>
        <w:szCs w:val="18"/>
        <w:lang w:val="en-US" w:eastAsia="zh-CN" w:bidi="ar-SA"/>
      </w:rPr>
    </w:pPr>
    <w:r>
      <w:rPr>
        <w:rFonts w:hint="eastAsia" w:ascii="宋体" w:hAnsi="宋体" w:eastAsia="宋体" w:cs="宋体"/>
        <w:sz w:val="18"/>
        <w:szCs w:val="18"/>
      </w:rPr>
      <w:t xml:space="preserve"> </w:t>
    </w:r>
    <w:r>
      <w:rPr>
        <w:rFonts w:hint="eastAsia" w:ascii="黑体" w:hAnsi="黑体" w:eastAsia="黑体" w:cs="黑体"/>
        <w:color w:val="auto"/>
        <w:kern w:val="2"/>
        <w:sz w:val="18"/>
        <w:szCs w:val="18"/>
        <w:highlight w:val="none"/>
        <w:lang w:val="en-US" w:eastAsia="zh-CN" w:bidi="ar-SA"/>
      </w:rPr>
      <w:t>河南省周口生态环境监测中心2026年监测能力建设项目                                  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DBF7F">
    <w:pPr>
      <w:rPr>
        <w:rFonts w:hint="eastAsia"/>
        <w:u w:val="single"/>
      </w:rPr>
    </w:pPr>
  </w:p>
  <w:p w14:paraId="39BBB1C9">
    <w:pPr>
      <w:widowControl w:val="0"/>
      <w:pBdr>
        <w:bottom w:val="thickThinMediumGap" w:color="800000" w:sz="18" w:space="1"/>
      </w:pBdr>
      <w:snapToGrid w:val="0"/>
      <w:jc w:val="both"/>
      <w:rPr>
        <w:rFonts w:hint="eastAsia" w:ascii="宋体" w:hAnsi="宋体"/>
        <w:b/>
        <w:sz w:val="18"/>
        <w:szCs w:val="18"/>
      </w:rPr>
    </w:pPr>
    <w:r>
      <w:rPr>
        <w:rFonts w:hint="eastAsia"/>
      </w:rPr>
      <w:t xml:space="preserve">          </w:t>
    </w:r>
    <w:r>
      <w:rPr>
        <w:rFonts w:hint="eastAsia" w:ascii="仿宋" w:hAnsi="仿宋" w:eastAsia="仿宋" w:cs="仿宋"/>
        <w:color w:val="auto"/>
        <w:kern w:val="2"/>
        <w:sz w:val="18"/>
        <w:szCs w:val="18"/>
        <w:highlight w:val="none"/>
        <w:lang w:val="en-US" w:eastAsia="zh-CN" w:bidi="ar-SA"/>
      </w:rPr>
      <w:t xml:space="preserve">河南省周口生态环境监测中心2026年监测能力建设项目   </w:t>
    </w:r>
    <w:r>
      <w:rPr>
        <w:rFonts w:hint="eastAsia" w:ascii="仿宋_GB2312" w:hAnsi="宋体" w:eastAsia="宋体" w:cs="宋体"/>
        <w:color w:val="auto"/>
        <w:kern w:val="2"/>
        <w:sz w:val="18"/>
        <w:szCs w:val="18"/>
        <w:highlight w:val="none"/>
        <w:lang w:val="en-US" w:eastAsia="zh-CN" w:bidi="ar-SA"/>
      </w:rPr>
      <w:t xml:space="preserve">                                        </w:t>
    </w:r>
    <w:r>
      <w:rPr>
        <w:rFonts w:hint="eastAsia" w:ascii="宋体" w:hAnsi="宋体" w:eastAsia="仿宋_GB2312" w:cs="宋体"/>
        <w:color w:val="auto"/>
        <w:kern w:val="2"/>
        <w:sz w:val="18"/>
        <w:szCs w:val="18"/>
        <w:highlight w:val="none"/>
        <w:lang w:val="en-US" w:eastAsia="zh-CN" w:bidi="ar-SA"/>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FF564">
    <w:pPr>
      <w:widowControl w:val="0"/>
      <w:pBdr>
        <w:bottom w:val="thickThinMediumGap" w:color="800000" w:sz="18" w:space="1"/>
      </w:pBdr>
      <w:snapToGrid w:val="0"/>
      <w:jc w:val="both"/>
      <w:rPr>
        <w:rFonts w:hint="eastAsia" w:ascii="黑体" w:hAnsi="黑体" w:eastAsia="黑体" w:cs="黑体"/>
      </w:rPr>
    </w:pPr>
    <w:r>
      <w:rPr>
        <w:rFonts w:hint="eastAsia" w:ascii="黑体" w:hAnsi="黑体" w:eastAsia="黑体" w:cs="黑体"/>
        <w:color w:val="auto"/>
        <w:kern w:val="2"/>
        <w:sz w:val="18"/>
        <w:szCs w:val="18"/>
        <w:highlight w:val="none"/>
        <w:lang w:val="en-US" w:eastAsia="zh-CN" w:bidi="ar-SA"/>
      </w:rPr>
      <w:t>河南省周口生态环境监测中心2026年监测能力建设项目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ascii="宋体" w:hAnsi="宋体" w:eastAsia="宋体" w:cs="宋体"/>
        <w:sz w:val="21"/>
        <w:szCs w:val="21"/>
      </w:rPr>
    </w:lvl>
  </w:abstractNum>
  <w:abstractNum w:abstractNumId="1">
    <w:nsid w:val="8E242CD3"/>
    <w:multiLevelType w:val="singleLevel"/>
    <w:tmpl w:val="8E242CD3"/>
    <w:lvl w:ilvl="0" w:tentative="0">
      <w:start w:val="1"/>
      <w:numFmt w:val="chineseCountingThousand"/>
      <w:suff w:val="space"/>
      <w:lvlText w:val="%1、"/>
      <w:lvlJc w:val="left"/>
      <w:pPr>
        <w:ind w:left="420" w:hanging="420"/>
      </w:pPr>
      <w:rPr>
        <w:rFonts w:hint="eastAsia" w:ascii="宋体" w:hAnsi="宋体" w:eastAsia="宋体" w:cs="宋体"/>
        <w:color w:val="auto"/>
        <w:sz w:val="21"/>
        <w:szCs w:val="21"/>
      </w:rPr>
    </w:lvl>
  </w:abstractNum>
  <w:abstractNum w:abstractNumId="2">
    <w:nsid w:val="92FEED52"/>
    <w:multiLevelType w:val="singleLevel"/>
    <w:tmpl w:val="92FEED52"/>
    <w:lvl w:ilvl="0" w:tentative="0">
      <w:start w:val="1"/>
      <w:numFmt w:val="decimal"/>
      <w:lvlText w:val="(%1)"/>
      <w:lvlJc w:val="left"/>
      <w:pPr>
        <w:ind w:left="425" w:hanging="425"/>
      </w:pPr>
      <w:rPr>
        <w:rFonts w:hint="default"/>
      </w:rPr>
    </w:lvl>
  </w:abstractNum>
  <w:abstractNum w:abstractNumId="3">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9D42052D"/>
    <w:multiLevelType w:val="singleLevel"/>
    <w:tmpl w:val="9D42052D"/>
    <w:lvl w:ilvl="0" w:tentative="0">
      <w:start w:val="3"/>
      <w:numFmt w:val="chineseCounting"/>
      <w:suff w:val="space"/>
      <w:lvlText w:val="%1、"/>
      <w:lvlJc w:val="left"/>
      <w:pPr>
        <w:tabs>
          <w:tab w:val="left" w:pos="0"/>
        </w:tabs>
        <w:ind w:left="420" w:hanging="420"/>
      </w:pPr>
      <w:rPr>
        <w:rFonts w:hint="eastAsia" w:ascii="宋体" w:hAnsi="宋体" w:eastAsia="宋体" w:cs="宋体"/>
        <w:color w:val="auto"/>
        <w:sz w:val="21"/>
        <w:szCs w:val="21"/>
      </w:rPr>
    </w:lvl>
  </w:abstractNum>
  <w:abstractNum w:abstractNumId="5">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ascii="宋体" w:hAnsi="宋体" w:eastAsia="宋体" w:cs="宋体"/>
        <w:sz w:val="21"/>
        <w:szCs w:val="21"/>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ascii="宋体" w:hAnsi="宋体" w:eastAsia="宋体" w:cs="宋体"/>
        <w:b w:val="0"/>
        <w:bCs w:val="0"/>
      </w:rPr>
    </w:lvl>
    <w:lvl w:ilvl="2" w:tentative="0">
      <w:start w:val="1"/>
      <w:numFmt w:val="decimal"/>
      <w:suff w:val="space"/>
      <w:lvlText w:val="%1.%2.%3"/>
      <w:lvlJc w:val="left"/>
      <w:pPr>
        <w:ind w:left="0" w:firstLine="0"/>
      </w:pPr>
      <w:rPr>
        <w:rFonts w:hint="default" w:ascii="宋体" w:hAnsi="宋体" w:eastAsia="宋体" w:cs="宋体"/>
        <w:b w:val="0"/>
        <w:bCs w:val="0"/>
        <w:sz w:val="21"/>
        <w:szCs w:val="21"/>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A67714E4"/>
    <w:multiLevelType w:val="singleLevel"/>
    <w:tmpl w:val="A67714E4"/>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8">
    <w:nsid w:val="A6AEA3E7"/>
    <w:multiLevelType w:val="multilevel"/>
    <w:tmpl w:val="A6AEA3E7"/>
    <w:lvl w:ilvl="0" w:tentative="0">
      <w:start w:val="1"/>
      <w:numFmt w:val="japaneseCounting"/>
      <w:suff w:val="space"/>
      <w:lvlText w:val="第%1章"/>
      <w:lvlJc w:val="left"/>
      <w:pPr>
        <w:ind w:left="1980" w:hanging="1260"/>
      </w:pPr>
      <w:rPr>
        <w:rFonts w:hint="eastAsia"/>
      </w:rPr>
    </w:lvl>
    <w:lvl w:ilvl="1" w:tentative="0">
      <w:start w:val="1"/>
      <w:numFmt w:val="decimal"/>
      <w:lvlText w:val="(%2)"/>
      <w:lvlJc w:val="left"/>
      <w:pPr>
        <w:tabs>
          <w:tab w:val="left" w:pos="1500"/>
        </w:tabs>
        <w:ind w:left="1500" w:hanging="360"/>
      </w:pPr>
      <w:rPr>
        <w:rFonts w:hint="eastAsia"/>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eastAsia"/>
      </w:rPr>
    </w:lvl>
    <w:lvl w:ilvl="4" w:tentative="0">
      <w:start w:val="1"/>
      <w:numFmt w:val="decimal"/>
      <w:lvlText w:val="%5）"/>
      <w:lvlJc w:val="left"/>
      <w:pPr>
        <w:tabs>
          <w:tab w:val="left" w:pos="3120"/>
        </w:tabs>
        <w:ind w:left="3120" w:hanging="720"/>
      </w:pPr>
      <w:rPr>
        <w:rFonts w:hint="eastAsia"/>
        <w:b w:val="0"/>
      </w:rPr>
    </w:lvl>
    <w:lvl w:ilvl="5" w:tentative="0">
      <w:start w:val="1"/>
      <w:numFmt w:val="lowerRoman"/>
      <w:lvlText w:val="%6."/>
      <w:lvlJc w:val="right"/>
      <w:pPr>
        <w:tabs>
          <w:tab w:val="left" w:pos="3240"/>
        </w:tabs>
        <w:ind w:left="3240" w:hanging="420"/>
      </w:pPr>
      <w:rPr>
        <w:rFonts w:hint="eastAsia"/>
      </w:rPr>
    </w:lvl>
    <w:lvl w:ilvl="6" w:tentative="0">
      <w:start w:val="1"/>
      <w:numFmt w:val="decimal"/>
      <w:lvlText w:val="%7."/>
      <w:lvlJc w:val="left"/>
      <w:pPr>
        <w:tabs>
          <w:tab w:val="left" w:pos="3660"/>
        </w:tabs>
        <w:ind w:left="3660" w:hanging="420"/>
      </w:pPr>
      <w:rPr>
        <w:rFonts w:hint="eastAsia"/>
      </w:rPr>
    </w:lvl>
    <w:lvl w:ilvl="7" w:tentative="0">
      <w:start w:val="1"/>
      <w:numFmt w:val="lowerLetter"/>
      <w:lvlText w:val="%8)"/>
      <w:lvlJc w:val="left"/>
      <w:pPr>
        <w:tabs>
          <w:tab w:val="left" w:pos="4080"/>
        </w:tabs>
        <w:ind w:left="4080" w:hanging="420"/>
      </w:pPr>
      <w:rPr>
        <w:rFonts w:hint="eastAsia"/>
      </w:rPr>
    </w:lvl>
    <w:lvl w:ilvl="8" w:tentative="0">
      <w:start w:val="1"/>
      <w:numFmt w:val="lowerRoman"/>
      <w:lvlText w:val="%9."/>
      <w:lvlJc w:val="right"/>
      <w:pPr>
        <w:tabs>
          <w:tab w:val="left" w:pos="4500"/>
        </w:tabs>
        <w:ind w:left="4500" w:hanging="420"/>
      </w:pPr>
      <w:rPr>
        <w:rFonts w:hint="eastAsia"/>
      </w:rPr>
    </w:lvl>
  </w:abstractNum>
  <w:abstractNum w:abstractNumId="9">
    <w:nsid w:val="AF4B525F"/>
    <w:multiLevelType w:val="singleLevel"/>
    <w:tmpl w:val="AF4B525F"/>
    <w:lvl w:ilvl="0" w:tentative="0">
      <w:start w:val="1"/>
      <w:numFmt w:val="decimal"/>
      <w:lvlText w:val="(%1)"/>
      <w:lvlJc w:val="left"/>
      <w:pPr>
        <w:ind w:left="425" w:hanging="425"/>
      </w:pPr>
      <w:rPr>
        <w:rFonts w:hint="default" w:ascii="宋体" w:hAnsi="宋体" w:eastAsia="宋体" w:cs="宋体"/>
        <w:sz w:val="21"/>
        <w:szCs w:val="21"/>
      </w:rPr>
    </w:lvl>
  </w:abstractNum>
  <w:abstractNum w:abstractNumId="10">
    <w:nsid w:val="BF6BC116"/>
    <w:multiLevelType w:val="singleLevel"/>
    <w:tmpl w:val="BF6BC116"/>
    <w:lvl w:ilvl="0" w:tentative="0">
      <w:start w:val="16"/>
      <w:numFmt w:val="decimal"/>
      <w:suff w:val="space"/>
      <w:lvlText w:val="%1."/>
      <w:lvlJc w:val="left"/>
    </w:lvl>
  </w:abstractNum>
  <w:abstractNum w:abstractNumId="11">
    <w:nsid w:val="C7E48960"/>
    <w:multiLevelType w:val="multilevel"/>
    <w:tmpl w:val="C7E48960"/>
    <w:lvl w:ilvl="0" w:tentative="0">
      <w:start w:val="1"/>
      <w:numFmt w:val="decimal"/>
      <w:suff w:val="space"/>
      <w:lvlText w:val="%1."/>
      <w:lvlJc w:val="left"/>
      <w:pPr>
        <w:ind w:left="420" w:hanging="420"/>
      </w:pPr>
      <w:rPr>
        <w:rFonts w:hint="default" w:ascii="宋体" w:hAnsi="宋体" w:eastAsia="宋体" w:cs="宋体"/>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CB9A4024"/>
    <w:multiLevelType w:val="singleLevel"/>
    <w:tmpl w:val="CB9A4024"/>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13">
    <w:nsid w:val="CD806B66"/>
    <w:multiLevelType w:val="singleLevel"/>
    <w:tmpl w:val="CD806B66"/>
    <w:lvl w:ilvl="0" w:tentative="0">
      <w:start w:val="1"/>
      <w:numFmt w:val="decimal"/>
      <w:lvlText w:val="(%1)"/>
      <w:lvlJc w:val="left"/>
      <w:pPr>
        <w:ind w:left="425" w:hanging="425"/>
      </w:pPr>
      <w:rPr>
        <w:rFonts w:hint="default"/>
      </w:rPr>
    </w:lvl>
  </w:abstractNum>
  <w:abstractNum w:abstractNumId="14">
    <w:nsid w:val="CE0DCF50"/>
    <w:multiLevelType w:val="singleLevel"/>
    <w:tmpl w:val="CE0DCF50"/>
    <w:lvl w:ilvl="0" w:tentative="0">
      <w:start w:val="5"/>
      <w:numFmt w:val="decimal"/>
      <w:lvlText w:val="(%1)"/>
      <w:lvlJc w:val="left"/>
      <w:pPr>
        <w:tabs>
          <w:tab w:val="left" w:pos="420"/>
        </w:tabs>
        <w:ind w:left="425" w:hanging="425"/>
      </w:pPr>
      <w:rPr>
        <w:rFonts w:hint="default"/>
        <w:color w:val="auto"/>
      </w:rPr>
    </w:lvl>
  </w:abstractNum>
  <w:abstractNum w:abstractNumId="15">
    <w:nsid w:val="CFE7C3F8"/>
    <w:multiLevelType w:val="singleLevel"/>
    <w:tmpl w:val="CFE7C3F8"/>
    <w:lvl w:ilvl="0" w:tentative="0">
      <w:start w:val="1"/>
      <w:numFmt w:val="decimal"/>
      <w:suff w:val="nothing"/>
      <w:lvlText w:val="（%1）"/>
      <w:lvlJc w:val="left"/>
    </w:lvl>
  </w:abstractNum>
  <w:abstractNum w:abstractNumId="16">
    <w:nsid w:val="D7F52C59"/>
    <w:multiLevelType w:val="singleLevel"/>
    <w:tmpl w:val="D7F52C59"/>
    <w:lvl w:ilvl="0" w:tentative="0">
      <w:start w:val="1"/>
      <w:numFmt w:val="decimal"/>
      <w:lvlText w:val="(%1)"/>
      <w:lvlJc w:val="left"/>
      <w:pPr>
        <w:ind w:left="425" w:hanging="425"/>
      </w:pPr>
      <w:rPr>
        <w:rFonts w:hint="default" w:ascii="宋体" w:hAnsi="宋体" w:eastAsia="宋体" w:cs="宋体"/>
        <w:sz w:val="21"/>
        <w:szCs w:val="21"/>
      </w:rPr>
    </w:lvl>
  </w:abstractNum>
  <w:abstractNum w:abstractNumId="17">
    <w:nsid w:val="DDECD3BC"/>
    <w:multiLevelType w:val="singleLevel"/>
    <w:tmpl w:val="DDECD3BC"/>
    <w:lvl w:ilvl="0" w:tentative="0">
      <w:start w:val="6"/>
      <w:numFmt w:val="decimal"/>
      <w:suff w:val="space"/>
      <w:lvlText w:val="%1."/>
      <w:lvlJc w:val="left"/>
    </w:lvl>
  </w:abstractNum>
  <w:abstractNum w:abstractNumId="18">
    <w:nsid w:val="DE759F4B"/>
    <w:multiLevelType w:val="singleLevel"/>
    <w:tmpl w:val="DE759F4B"/>
    <w:lvl w:ilvl="0" w:tentative="0">
      <w:start w:val="2"/>
      <w:numFmt w:val="decimal"/>
      <w:suff w:val="space"/>
      <w:lvlText w:val="%1."/>
      <w:lvlJc w:val="left"/>
    </w:lvl>
  </w:abstractNum>
  <w:abstractNum w:abstractNumId="19">
    <w:nsid w:val="DEABE1DB"/>
    <w:multiLevelType w:val="singleLevel"/>
    <w:tmpl w:val="DEABE1DB"/>
    <w:lvl w:ilvl="0" w:tentative="0">
      <w:start w:val="23"/>
      <w:numFmt w:val="decimal"/>
      <w:suff w:val="space"/>
      <w:lvlText w:val="%1."/>
      <w:lvlJc w:val="left"/>
    </w:lvl>
  </w:abstractNum>
  <w:abstractNum w:abstractNumId="20">
    <w:nsid w:val="EEDDE438"/>
    <w:multiLevelType w:val="multilevel"/>
    <w:tmpl w:val="EEDDE438"/>
    <w:lvl w:ilvl="0" w:tentative="0">
      <w:start w:val="1"/>
      <w:numFmt w:val="chineseCountingThousand"/>
      <w:suff w:val="space"/>
      <w:lvlText w:val="%1、"/>
      <w:lvlJc w:val="left"/>
      <w:pPr>
        <w:ind w:left="420" w:hanging="420"/>
      </w:pPr>
      <w:rPr>
        <w:rFonts w:hint="eastAsia" w:ascii="宋体" w:hAnsi="宋体" w:eastAsia="宋体" w:cs="宋体"/>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1">
    <w:nsid w:val="1068C811"/>
    <w:multiLevelType w:val="singleLevel"/>
    <w:tmpl w:val="1068C811"/>
    <w:lvl w:ilvl="0" w:tentative="0">
      <w:start w:val="1"/>
      <w:numFmt w:val="decimal"/>
      <w:suff w:val="space"/>
      <w:lvlText w:val="%1."/>
      <w:lvlJc w:val="left"/>
    </w:lvl>
  </w:abstractNum>
  <w:abstractNum w:abstractNumId="22">
    <w:nsid w:val="19D0706F"/>
    <w:multiLevelType w:val="singleLevel"/>
    <w:tmpl w:val="19D0706F"/>
    <w:lvl w:ilvl="0" w:tentative="0">
      <w:start w:val="1"/>
      <w:numFmt w:val="decimal"/>
      <w:suff w:val="space"/>
      <w:lvlText w:val="%1."/>
      <w:lvlJc w:val="left"/>
      <w:rPr>
        <w:rFonts w:hint="default"/>
        <w:b w:val="0"/>
        <w:bCs w:val="0"/>
        <w:color w:val="auto"/>
      </w:rPr>
    </w:lvl>
  </w:abstractNum>
  <w:abstractNum w:abstractNumId="23">
    <w:nsid w:val="2B15AD7D"/>
    <w:multiLevelType w:val="singleLevel"/>
    <w:tmpl w:val="2B15AD7D"/>
    <w:lvl w:ilvl="0" w:tentative="0">
      <w:start w:val="1"/>
      <w:numFmt w:val="decimal"/>
      <w:lvlText w:val="(%1)"/>
      <w:lvlJc w:val="left"/>
      <w:pPr>
        <w:tabs>
          <w:tab w:val="left" w:pos="312"/>
        </w:tabs>
      </w:pPr>
    </w:lvl>
  </w:abstractNum>
  <w:abstractNum w:abstractNumId="24">
    <w:nsid w:val="2D6A2507"/>
    <w:multiLevelType w:val="singleLevel"/>
    <w:tmpl w:val="2D6A2507"/>
    <w:lvl w:ilvl="0" w:tentative="0">
      <w:start w:val="1"/>
      <w:numFmt w:val="decimal"/>
      <w:lvlText w:val="(%1)"/>
      <w:lvlJc w:val="left"/>
      <w:pPr>
        <w:ind w:left="425" w:hanging="425"/>
      </w:pPr>
      <w:rPr>
        <w:rFonts w:hint="default"/>
      </w:rPr>
    </w:lvl>
  </w:abstractNum>
  <w:abstractNum w:abstractNumId="25">
    <w:nsid w:val="4F3FF634"/>
    <w:multiLevelType w:val="singleLevel"/>
    <w:tmpl w:val="4F3FF634"/>
    <w:lvl w:ilvl="0" w:tentative="0">
      <w:start w:val="2"/>
      <w:numFmt w:val="decimal"/>
      <w:lvlText w:val="%1."/>
      <w:lvlJc w:val="left"/>
      <w:pPr>
        <w:tabs>
          <w:tab w:val="left" w:pos="312"/>
        </w:tabs>
      </w:pPr>
    </w:lvl>
  </w:abstractNum>
  <w:abstractNum w:abstractNumId="26">
    <w:nsid w:val="52E129BB"/>
    <w:multiLevelType w:val="singleLevel"/>
    <w:tmpl w:val="52E129BB"/>
    <w:lvl w:ilvl="0" w:tentative="0">
      <w:start w:val="1"/>
      <w:numFmt w:val="decimal"/>
      <w:lvlText w:val="(%1)"/>
      <w:lvlJc w:val="left"/>
      <w:pPr>
        <w:ind w:left="425" w:hanging="425"/>
      </w:pPr>
      <w:rPr>
        <w:rFonts w:hint="default" w:ascii="宋体" w:hAnsi="宋体" w:eastAsia="宋体" w:cs="宋体"/>
        <w:sz w:val="21"/>
        <w:szCs w:val="21"/>
      </w:rPr>
    </w:lvl>
  </w:abstractNum>
  <w:abstractNum w:abstractNumId="27">
    <w:nsid w:val="59CF4B5C"/>
    <w:multiLevelType w:val="singleLevel"/>
    <w:tmpl w:val="59CF4B5C"/>
    <w:lvl w:ilvl="0" w:tentative="0">
      <w:start w:val="1"/>
      <w:numFmt w:val="chineseCounting"/>
      <w:suff w:val="nothing"/>
      <w:lvlText w:val="%1、"/>
      <w:lvlJc w:val="left"/>
    </w:lvl>
  </w:abstractNum>
  <w:abstractNum w:abstractNumId="28">
    <w:nsid w:val="677E0E1F"/>
    <w:multiLevelType w:val="multilevel"/>
    <w:tmpl w:val="677E0E1F"/>
    <w:lvl w:ilvl="0" w:tentative="0">
      <w:start w:val="1"/>
      <w:numFmt w:val="chineseCountingThousand"/>
      <w:lvlText w:val="%1、"/>
      <w:lvlJc w:val="left"/>
      <w:pPr>
        <w:tabs>
          <w:tab w:val="left" w:pos="420"/>
        </w:tabs>
        <w:ind w:left="420"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BDA4796"/>
    <w:multiLevelType w:val="singleLevel"/>
    <w:tmpl w:val="6BDA4796"/>
    <w:lvl w:ilvl="0" w:tentative="0">
      <w:start w:val="1"/>
      <w:numFmt w:val="decimal"/>
      <w:lvlText w:val="(%1)"/>
      <w:lvlJc w:val="left"/>
      <w:pPr>
        <w:ind w:left="425" w:hanging="425"/>
      </w:pPr>
      <w:rPr>
        <w:rFonts w:hint="default" w:ascii="宋体" w:hAnsi="宋体" w:eastAsia="宋体" w:cs="宋体"/>
        <w:sz w:val="21"/>
        <w:szCs w:val="21"/>
      </w:rPr>
    </w:lvl>
  </w:abstractNum>
  <w:abstractNum w:abstractNumId="30">
    <w:nsid w:val="70310A14"/>
    <w:multiLevelType w:val="singleLevel"/>
    <w:tmpl w:val="70310A14"/>
    <w:lvl w:ilvl="0" w:tentative="0">
      <w:start w:val="3"/>
      <w:numFmt w:val="decimal"/>
      <w:lvlText w:val="(%1)"/>
      <w:lvlJc w:val="left"/>
      <w:pPr>
        <w:tabs>
          <w:tab w:val="left" w:pos="420"/>
        </w:tabs>
        <w:ind w:left="425" w:hanging="425"/>
      </w:pPr>
      <w:rPr>
        <w:rFonts w:hint="default" w:ascii="宋体" w:hAnsi="宋体" w:eastAsia="宋体" w:cs="宋体"/>
        <w:color w:val="auto"/>
        <w:sz w:val="21"/>
        <w:szCs w:val="21"/>
      </w:rPr>
    </w:lvl>
  </w:abstractNum>
  <w:abstractNum w:abstractNumId="31">
    <w:nsid w:val="75BB5789"/>
    <w:multiLevelType w:val="singleLevel"/>
    <w:tmpl w:val="75BB5789"/>
    <w:lvl w:ilvl="0" w:tentative="0">
      <w:start w:val="1"/>
      <w:numFmt w:val="decimal"/>
      <w:lvlText w:val="(%1)"/>
      <w:lvlJc w:val="left"/>
      <w:pPr>
        <w:ind w:left="425" w:hanging="425"/>
      </w:pPr>
      <w:rPr>
        <w:rFonts w:hint="default" w:ascii="宋体" w:hAnsi="宋体" w:eastAsia="宋体" w:cs="宋体"/>
        <w:sz w:val="21"/>
        <w:szCs w:val="21"/>
      </w:rPr>
    </w:lvl>
  </w:abstractNum>
  <w:abstractNum w:abstractNumId="32">
    <w:nsid w:val="75FCE177"/>
    <w:multiLevelType w:val="singleLevel"/>
    <w:tmpl w:val="75FCE177"/>
    <w:lvl w:ilvl="0" w:tentative="0">
      <w:start w:val="1"/>
      <w:numFmt w:val="chineseCountingThousand"/>
      <w:suff w:val="space"/>
      <w:lvlText w:val="%1、"/>
      <w:lvlJc w:val="left"/>
      <w:pPr>
        <w:ind w:left="420" w:hanging="420"/>
      </w:pPr>
      <w:rPr>
        <w:rFonts w:hint="eastAsia"/>
      </w:rPr>
    </w:lvl>
  </w:abstractNum>
  <w:abstractNum w:abstractNumId="33">
    <w:nsid w:val="7755585C"/>
    <w:multiLevelType w:val="multilevel"/>
    <w:tmpl w:val="7755585C"/>
    <w:lvl w:ilvl="0" w:tentative="0">
      <w:start w:val="1"/>
      <w:numFmt w:val="bullet"/>
      <w:pStyle w:val="85"/>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77A3072A"/>
    <w:multiLevelType w:val="singleLevel"/>
    <w:tmpl w:val="77A3072A"/>
    <w:lvl w:ilvl="0" w:tentative="0">
      <w:start w:val="1"/>
      <w:numFmt w:val="decimal"/>
      <w:lvlText w:val="(%1)"/>
      <w:lvlJc w:val="left"/>
      <w:pPr>
        <w:ind w:left="425" w:hanging="425"/>
      </w:pPr>
      <w:rPr>
        <w:rFonts w:hint="default"/>
      </w:rPr>
    </w:lvl>
  </w:abstractNum>
  <w:abstractNum w:abstractNumId="35">
    <w:nsid w:val="7A0F6431"/>
    <w:multiLevelType w:val="singleLevel"/>
    <w:tmpl w:val="7A0F6431"/>
    <w:lvl w:ilvl="0" w:tentative="0">
      <w:start w:val="1"/>
      <w:numFmt w:val="decimal"/>
      <w:suff w:val="space"/>
      <w:lvlText w:val="%1."/>
      <w:lvlJc w:val="left"/>
    </w:lvl>
  </w:abstractNum>
  <w:abstractNum w:abstractNumId="36">
    <w:nsid w:val="7D82545E"/>
    <w:multiLevelType w:val="singleLevel"/>
    <w:tmpl w:val="7D82545E"/>
    <w:lvl w:ilvl="0" w:tentative="0">
      <w:start w:val="1"/>
      <w:numFmt w:val="decimal"/>
      <w:lvlText w:val="(%1)"/>
      <w:lvlJc w:val="left"/>
      <w:pPr>
        <w:ind w:left="425" w:hanging="425"/>
      </w:pPr>
      <w:rPr>
        <w:rFonts w:hint="default" w:ascii="宋体" w:hAnsi="宋体" w:eastAsia="宋体" w:cs="宋体"/>
        <w:sz w:val="21"/>
        <w:szCs w:val="21"/>
      </w:rPr>
    </w:lvl>
  </w:abstractNum>
  <w:num w:numId="1">
    <w:abstractNumId w:val="33"/>
  </w:num>
  <w:num w:numId="2">
    <w:abstractNumId w:val="22"/>
  </w:num>
  <w:num w:numId="3">
    <w:abstractNumId w:val="6"/>
  </w:num>
  <w:num w:numId="4">
    <w:abstractNumId w:val="5"/>
  </w:num>
  <w:num w:numId="5">
    <w:abstractNumId w:val="7"/>
  </w:num>
  <w:num w:numId="6">
    <w:abstractNumId w:val="31"/>
  </w:num>
  <w:num w:numId="7">
    <w:abstractNumId w:val="12"/>
  </w:num>
  <w:num w:numId="8">
    <w:abstractNumId w:val="8"/>
  </w:num>
  <w:num w:numId="9">
    <w:abstractNumId w:val="29"/>
  </w:num>
  <w:num w:numId="10">
    <w:abstractNumId w:val="9"/>
  </w:num>
  <w:num w:numId="11">
    <w:abstractNumId w:val="26"/>
  </w:num>
  <w:num w:numId="12">
    <w:abstractNumId w:val="30"/>
  </w:num>
  <w:num w:numId="13">
    <w:abstractNumId w:val="14"/>
  </w:num>
  <w:num w:numId="14">
    <w:abstractNumId w:val="0"/>
  </w:num>
  <w:num w:numId="15">
    <w:abstractNumId w:val="16"/>
  </w:num>
  <w:num w:numId="16">
    <w:abstractNumId w:val="36"/>
  </w:num>
  <w:num w:numId="17">
    <w:abstractNumId w:val="25"/>
  </w:num>
  <w:num w:numId="18">
    <w:abstractNumId w:val="21"/>
  </w:num>
  <w:num w:numId="19">
    <w:abstractNumId w:val="3"/>
  </w:num>
  <w:num w:numId="20">
    <w:abstractNumId w:val="24"/>
  </w:num>
  <w:num w:numId="21">
    <w:abstractNumId w:val="13"/>
  </w:num>
  <w:num w:numId="22">
    <w:abstractNumId w:val="34"/>
  </w:num>
  <w:num w:numId="23">
    <w:abstractNumId w:val="2"/>
  </w:num>
  <w:num w:numId="24">
    <w:abstractNumId w:val="35"/>
  </w:num>
  <w:num w:numId="25">
    <w:abstractNumId w:val="15"/>
  </w:num>
  <w:num w:numId="26">
    <w:abstractNumId w:val="18"/>
  </w:num>
  <w:num w:numId="27">
    <w:abstractNumId w:val="17"/>
  </w:num>
  <w:num w:numId="28">
    <w:abstractNumId w:val="10"/>
  </w:num>
  <w:num w:numId="29">
    <w:abstractNumId w:val="19"/>
  </w:num>
  <w:num w:numId="30">
    <w:abstractNumId w:val="27"/>
  </w:num>
  <w:num w:numId="31">
    <w:abstractNumId w:val="28"/>
  </w:num>
  <w:num w:numId="32">
    <w:abstractNumId w:val="1"/>
  </w:num>
  <w:num w:numId="33">
    <w:abstractNumId w:val="32"/>
  </w:num>
  <w:num w:numId="34">
    <w:abstractNumId w:val="4"/>
  </w:num>
  <w:num w:numId="35">
    <w:abstractNumId w:val="20"/>
  </w:num>
  <w:num w:numId="36">
    <w:abstractNumId w:val="1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ZmMzODVhZTUwMGNkMGJjYWViZmY3ODllOTFjMWEifQ=="/>
  </w:docVars>
  <w:rsids>
    <w:rsidRoot w:val="00F83532"/>
    <w:rsid w:val="000029BA"/>
    <w:rsid w:val="00003D75"/>
    <w:rsid w:val="00004158"/>
    <w:rsid w:val="000047F5"/>
    <w:rsid w:val="000061C4"/>
    <w:rsid w:val="00006F6B"/>
    <w:rsid w:val="00020245"/>
    <w:rsid w:val="00020554"/>
    <w:rsid w:val="00021A8A"/>
    <w:rsid w:val="00021BF2"/>
    <w:rsid w:val="000245D8"/>
    <w:rsid w:val="000247D7"/>
    <w:rsid w:val="00025569"/>
    <w:rsid w:val="000258B6"/>
    <w:rsid w:val="00025B7B"/>
    <w:rsid w:val="00025E7D"/>
    <w:rsid w:val="00027B5B"/>
    <w:rsid w:val="00027C9F"/>
    <w:rsid w:val="00030D44"/>
    <w:rsid w:val="00031170"/>
    <w:rsid w:val="000323EE"/>
    <w:rsid w:val="00032C86"/>
    <w:rsid w:val="00032ECB"/>
    <w:rsid w:val="00033193"/>
    <w:rsid w:val="00033259"/>
    <w:rsid w:val="000400D8"/>
    <w:rsid w:val="00041229"/>
    <w:rsid w:val="000413F5"/>
    <w:rsid w:val="00043874"/>
    <w:rsid w:val="00044E70"/>
    <w:rsid w:val="0004534E"/>
    <w:rsid w:val="00045B39"/>
    <w:rsid w:val="00046087"/>
    <w:rsid w:val="000469A5"/>
    <w:rsid w:val="00046C65"/>
    <w:rsid w:val="00047880"/>
    <w:rsid w:val="000478D4"/>
    <w:rsid w:val="00051922"/>
    <w:rsid w:val="00053296"/>
    <w:rsid w:val="00054B92"/>
    <w:rsid w:val="00055664"/>
    <w:rsid w:val="00055C61"/>
    <w:rsid w:val="0005651F"/>
    <w:rsid w:val="00056F69"/>
    <w:rsid w:val="000578E9"/>
    <w:rsid w:val="00062A63"/>
    <w:rsid w:val="00064D6F"/>
    <w:rsid w:val="0006507F"/>
    <w:rsid w:val="00065361"/>
    <w:rsid w:val="0006621E"/>
    <w:rsid w:val="0006656B"/>
    <w:rsid w:val="000672AD"/>
    <w:rsid w:val="000672D6"/>
    <w:rsid w:val="00067710"/>
    <w:rsid w:val="00070189"/>
    <w:rsid w:val="00070342"/>
    <w:rsid w:val="0007071D"/>
    <w:rsid w:val="0007144E"/>
    <w:rsid w:val="00071BA7"/>
    <w:rsid w:val="00073716"/>
    <w:rsid w:val="00074050"/>
    <w:rsid w:val="0008004D"/>
    <w:rsid w:val="00080C64"/>
    <w:rsid w:val="00083B3C"/>
    <w:rsid w:val="00084D85"/>
    <w:rsid w:val="0008534A"/>
    <w:rsid w:val="00086C92"/>
    <w:rsid w:val="00087738"/>
    <w:rsid w:val="000909F5"/>
    <w:rsid w:val="000920D5"/>
    <w:rsid w:val="000970EA"/>
    <w:rsid w:val="0009785D"/>
    <w:rsid w:val="000A047C"/>
    <w:rsid w:val="000A0786"/>
    <w:rsid w:val="000A3946"/>
    <w:rsid w:val="000A46CE"/>
    <w:rsid w:val="000A58F8"/>
    <w:rsid w:val="000A5AE2"/>
    <w:rsid w:val="000A6D95"/>
    <w:rsid w:val="000B045B"/>
    <w:rsid w:val="000B0A5F"/>
    <w:rsid w:val="000B0E6A"/>
    <w:rsid w:val="000B108C"/>
    <w:rsid w:val="000B162C"/>
    <w:rsid w:val="000B16D0"/>
    <w:rsid w:val="000B1BC6"/>
    <w:rsid w:val="000B2E23"/>
    <w:rsid w:val="000B3B6B"/>
    <w:rsid w:val="000B4447"/>
    <w:rsid w:val="000B446B"/>
    <w:rsid w:val="000B544E"/>
    <w:rsid w:val="000B66C1"/>
    <w:rsid w:val="000B7B1E"/>
    <w:rsid w:val="000C1A6A"/>
    <w:rsid w:val="000C2929"/>
    <w:rsid w:val="000C2E27"/>
    <w:rsid w:val="000C38F8"/>
    <w:rsid w:val="000C4471"/>
    <w:rsid w:val="000C47CB"/>
    <w:rsid w:val="000C4896"/>
    <w:rsid w:val="000C6037"/>
    <w:rsid w:val="000D00E2"/>
    <w:rsid w:val="000D0B24"/>
    <w:rsid w:val="000D0CD3"/>
    <w:rsid w:val="000D18A7"/>
    <w:rsid w:val="000D1A07"/>
    <w:rsid w:val="000D1F60"/>
    <w:rsid w:val="000D2F9C"/>
    <w:rsid w:val="000D5A3E"/>
    <w:rsid w:val="000D60B0"/>
    <w:rsid w:val="000D7537"/>
    <w:rsid w:val="000E0098"/>
    <w:rsid w:val="000E03F5"/>
    <w:rsid w:val="000E0C38"/>
    <w:rsid w:val="000E2FBF"/>
    <w:rsid w:val="000E35C6"/>
    <w:rsid w:val="000E384F"/>
    <w:rsid w:val="000E3A24"/>
    <w:rsid w:val="000E5F73"/>
    <w:rsid w:val="000E66FB"/>
    <w:rsid w:val="000E6C3D"/>
    <w:rsid w:val="000E75FA"/>
    <w:rsid w:val="000F01CD"/>
    <w:rsid w:val="000F1B6D"/>
    <w:rsid w:val="000F2100"/>
    <w:rsid w:val="000F26AB"/>
    <w:rsid w:val="000F2F12"/>
    <w:rsid w:val="000F31F7"/>
    <w:rsid w:val="000F3851"/>
    <w:rsid w:val="000F4117"/>
    <w:rsid w:val="000F4407"/>
    <w:rsid w:val="000F53A5"/>
    <w:rsid w:val="000F54B7"/>
    <w:rsid w:val="000F765B"/>
    <w:rsid w:val="00101CB4"/>
    <w:rsid w:val="00102DDC"/>
    <w:rsid w:val="00102F7C"/>
    <w:rsid w:val="00103189"/>
    <w:rsid w:val="0010345F"/>
    <w:rsid w:val="00103F0C"/>
    <w:rsid w:val="00104C4D"/>
    <w:rsid w:val="00106EF0"/>
    <w:rsid w:val="00107628"/>
    <w:rsid w:val="00110008"/>
    <w:rsid w:val="0011061F"/>
    <w:rsid w:val="00110A0B"/>
    <w:rsid w:val="00110D5D"/>
    <w:rsid w:val="00110EA4"/>
    <w:rsid w:val="00111116"/>
    <w:rsid w:val="00112B0D"/>
    <w:rsid w:val="00112BA5"/>
    <w:rsid w:val="00113D35"/>
    <w:rsid w:val="001204F3"/>
    <w:rsid w:val="00120A4A"/>
    <w:rsid w:val="00120B69"/>
    <w:rsid w:val="00121B2E"/>
    <w:rsid w:val="00121F02"/>
    <w:rsid w:val="00122CAB"/>
    <w:rsid w:val="00123108"/>
    <w:rsid w:val="0012464A"/>
    <w:rsid w:val="00125FA2"/>
    <w:rsid w:val="00126261"/>
    <w:rsid w:val="001263EB"/>
    <w:rsid w:val="0012677A"/>
    <w:rsid w:val="00127041"/>
    <w:rsid w:val="00131299"/>
    <w:rsid w:val="00132F16"/>
    <w:rsid w:val="00133A2F"/>
    <w:rsid w:val="00134D12"/>
    <w:rsid w:val="00135135"/>
    <w:rsid w:val="0013540D"/>
    <w:rsid w:val="00135DAF"/>
    <w:rsid w:val="00136891"/>
    <w:rsid w:val="001400A0"/>
    <w:rsid w:val="00141601"/>
    <w:rsid w:val="00141C08"/>
    <w:rsid w:val="0014239D"/>
    <w:rsid w:val="00142523"/>
    <w:rsid w:val="00143314"/>
    <w:rsid w:val="001434BD"/>
    <w:rsid w:val="00144609"/>
    <w:rsid w:val="001449FE"/>
    <w:rsid w:val="001470AF"/>
    <w:rsid w:val="00147146"/>
    <w:rsid w:val="0014751D"/>
    <w:rsid w:val="001515B6"/>
    <w:rsid w:val="00151FF2"/>
    <w:rsid w:val="00155CE3"/>
    <w:rsid w:val="00156941"/>
    <w:rsid w:val="001613E5"/>
    <w:rsid w:val="0016142B"/>
    <w:rsid w:val="001615B4"/>
    <w:rsid w:val="00161EF9"/>
    <w:rsid w:val="00163B2C"/>
    <w:rsid w:val="00163EE2"/>
    <w:rsid w:val="00164C26"/>
    <w:rsid w:val="001655A7"/>
    <w:rsid w:val="0016680A"/>
    <w:rsid w:val="00167D0D"/>
    <w:rsid w:val="0017030E"/>
    <w:rsid w:val="00170718"/>
    <w:rsid w:val="0017099D"/>
    <w:rsid w:val="00173302"/>
    <w:rsid w:val="00174A7F"/>
    <w:rsid w:val="0018079A"/>
    <w:rsid w:val="0018099E"/>
    <w:rsid w:val="0018149E"/>
    <w:rsid w:val="001824B0"/>
    <w:rsid w:val="00182581"/>
    <w:rsid w:val="00182C68"/>
    <w:rsid w:val="00184442"/>
    <w:rsid w:val="00184869"/>
    <w:rsid w:val="00184AC3"/>
    <w:rsid w:val="001874C9"/>
    <w:rsid w:val="00187BC7"/>
    <w:rsid w:val="00190643"/>
    <w:rsid w:val="001911E4"/>
    <w:rsid w:val="00192EF8"/>
    <w:rsid w:val="001933FC"/>
    <w:rsid w:val="0019375D"/>
    <w:rsid w:val="0019451B"/>
    <w:rsid w:val="001A33AE"/>
    <w:rsid w:val="001A4A49"/>
    <w:rsid w:val="001A61A0"/>
    <w:rsid w:val="001A72AC"/>
    <w:rsid w:val="001A7FF9"/>
    <w:rsid w:val="001B0577"/>
    <w:rsid w:val="001B158C"/>
    <w:rsid w:val="001B223C"/>
    <w:rsid w:val="001B2563"/>
    <w:rsid w:val="001B3D5C"/>
    <w:rsid w:val="001B43E6"/>
    <w:rsid w:val="001B4D80"/>
    <w:rsid w:val="001B5D80"/>
    <w:rsid w:val="001B7DAD"/>
    <w:rsid w:val="001C046D"/>
    <w:rsid w:val="001C0CBA"/>
    <w:rsid w:val="001C0F6E"/>
    <w:rsid w:val="001C1414"/>
    <w:rsid w:val="001C283D"/>
    <w:rsid w:val="001C3ABB"/>
    <w:rsid w:val="001C49A0"/>
    <w:rsid w:val="001C5009"/>
    <w:rsid w:val="001C55F2"/>
    <w:rsid w:val="001C735D"/>
    <w:rsid w:val="001C74C9"/>
    <w:rsid w:val="001C755D"/>
    <w:rsid w:val="001D0462"/>
    <w:rsid w:val="001D0B6E"/>
    <w:rsid w:val="001D21E2"/>
    <w:rsid w:val="001D43D3"/>
    <w:rsid w:val="001D4AF1"/>
    <w:rsid w:val="001D707C"/>
    <w:rsid w:val="001D7DB7"/>
    <w:rsid w:val="001E1D67"/>
    <w:rsid w:val="001E287B"/>
    <w:rsid w:val="001E2C4F"/>
    <w:rsid w:val="001E2CFE"/>
    <w:rsid w:val="001E38D0"/>
    <w:rsid w:val="001E44CF"/>
    <w:rsid w:val="001E5A5A"/>
    <w:rsid w:val="001E6976"/>
    <w:rsid w:val="001F0A1C"/>
    <w:rsid w:val="001F244B"/>
    <w:rsid w:val="001F40C7"/>
    <w:rsid w:val="001F5CDD"/>
    <w:rsid w:val="001F6923"/>
    <w:rsid w:val="001F6D80"/>
    <w:rsid w:val="001F7B05"/>
    <w:rsid w:val="001F7E91"/>
    <w:rsid w:val="00200650"/>
    <w:rsid w:val="002008A8"/>
    <w:rsid w:val="0020134D"/>
    <w:rsid w:val="002033F4"/>
    <w:rsid w:val="00203497"/>
    <w:rsid w:val="002037C5"/>
    <w:rsid w:val="00206DBB"/>
    <w:rsid w:val="00206DC3"/>
    <w:rsid w:val="00207D64"/>
    <w:rsid w:val="002104A6"/>
    <w:rsid w:val="00210C5C"/>
    <w:rsid w:val="00210FB5"/>
    <w:rsid w:val="00211C1F"/>
    <w:rsid w:val="00211EA1"/>
    <w:rsid w:val="00213722"/>
    <w:rsid w:val="00213956"/>
    <w:rsid w:val="00214B94"/>
    <w:rsid w:val="00214C49"/>
    <w:rsid w:val="0021519C"/>
    <w:rsid w:val="00215270"/>
    <w:rsid w:val="00216178"/>
    <w:rsid w:val="002167A2"/>
    <w:rsid w:val="00216CDE"/>
    <w:rsid w:val="00217D5B"/>
    <w:rsid w:val="00220FD2"/>
    <w:rsid w:val="0022286A"/>
    <w:rsid w:val="00223304"/>
    <w:rsid w:val="00223A9C"/>
    <w:rsid w:val="00224B8C"/>
    <w:rsid w:val="00224D8E"/>
    <w:rsid w:val="00225CBC"/>
    <w:rsid w:val="00226FB3"/>
    <w:rsid w:val="00230109"/>
    <w:rsid w:val="0023080E"/>
    <w:rsid w:val="00230F4D"/>
    <w:rsid w:val="00231474"/>
    <w:rsid w:val="002320CA"/>
    <w:rsid w:val="0023284E"/>
    <w:rsid w:val="00232D2F"/>
    <w:rsid w:val="00233086"/>
    <w:rsid w:val="00233BD0"/>
    <w:rsid w:val="00233DD1"/>
    <w:rsid w:val="00233EA5"/>
    <w:rsid w:val="0023453A"/>
    <w:rsid w:val="00234C1F"/>
    <w:rsid w:val="00234C73"/>
    <w:rsid w:val="00235117"/>
    <w:rsid w:val="00235ABD"/>
    <w:rsid w:val="00235E1C"/>
    <w:rsid w:val="00236A87"/>
    <w:rsid w:val="002400CE"/>
    <w:rsid w:val="00242DD5"/>
    <w:rsid w:val="002441D1"/>
    <w:rsid w:val="002442B1"/>
    <w:rsid w:val="00244707"/>
    <w:rsid w:val="00247771"/>
    <w:rsid w:val="00251B11"/>
    <w:rsid w:val="00251DC2"/>
    <w:rsid w:val="00251F88"/>
    <w:rsid w:val="00253F1D"/>
    <w:rsid w:val="002540A1"/>
    <w:rsid w:val="00256B3D"/>
    <w:rsid w:val="00257405"/>
    <w:rsid w:val="00257619"/>
    <w:rsid w:val="00257F5F"/>
    <w:rsid w:val="0026082F"/>
    <w:rsid w:val="00263A3C"/>
    <w:rsid w:val="00263C22"/>
    <w:rsid w:val="00265E76"/>
    <w:rsid w:val="002662E6"/>
    <w:rsid w:val="00267294"/>
    <w:rsid w:val="00271F06"/>
    <w:rsid w:val="00272596"/>
    <w:rsid w:val="00273613"/>
    <w:rsid w:val="002747C6"/>
    <w:rsid w:val="002747FF"/>
    <w:rsid w:val="00275B63"/>
    <w:rsid w:val="00276117"/>
    <w:rsid w:val="002768F6"/>
    <w:rsid w:val="002815A3"/>
    <w:rsid w:val="00281E12"/>
    <w:rsid w:val="002860E9"/>
    <w:rsid w:val="00286A24"/>
    <w:rsid w:val="0028744A"/>
    <w:rsid w:val="00290290"/>
    <w:rsid w:val="00293D49"/>
    <w:rsid w:val="00295140"/>
    <w:rsid w:val="00296D56"/>
    <w:rsid w:val="0029725D"/>
    <w:rsid w:val="00297A49"/>
    <w:rsid w:val="002A06FF"/>
    <w:rsid w:val="002A0D1E"/>
    <w:rsid w:val="002A231B"/>
    <w:rsid w:val="002A37DF"/>
    <w:rsid w:val="002A38B8"/>
    <w:rsid w:val="002A6CE1"/>
    <w:rsid w:val="002A78B0"/>
    <w:rsid w:val="002A7ECF"/>
    <w:rsid w:val="002B157E"/>
    <w:rsid w:val="002B1B7F"/>
    <w:rsid w:val="002B1BC1"/>
    <w:rsid w:val="002B449C"/>
    <w:rsid w:val="002B4FBD"/>
    <w:rsid w:val="002B611E"/>
    <w:rsid w:val="002B6EB5"/>
    <w:rsid w:val="002B7347"/>
    <w:rsid w:val="002B79C4"/>
    <w:rsid w:val="002C061F"/>
    <w:rsid w:val="002C0EC7"/>
    <w:rsid w:val="002C2697"/>
    <w:rsid w:val="002C363F"/>
    <w:rsid w:val="002C40C6"/>
    <w:rsid w:val="002C4A28"/>
    <w:rsid w:val="002C6303"/>
    <w:rsid w:val="002C670D"/>
    <w:rsid w:val="002C6934"/>
    <w:rsid w:val="002C7EB8"/>
    <w:rsid w:val="002D0FB4"/>
    <w:rsid w:val="002D460E"/>
    <w:rsid w:val="002D6124"/>
    <w:rsid w:val="002D7A71"/>
    <w:rsid w:val="002E005B"/>
    <w:rsid w:val="002E00EA"/>
    <w:rsid w:val="002E115E"/>
    <w:rsid w:val="002E1A04"/>
    <w:rsid w:val="002E2345"/>
    <w:rsid w:val="002E34D0"/>
    <w:rsid w:val="002E471E"/>
    <w:rsid w:val="002E53D8"/>
    <w:rsid w:val="002E6AB9"/>
    <w:rsid w:val="002E7962"/>
    <w:rsid w:val="002F1864"/>
    <w:rsid w:val="002F565E"/>
    <w:rsid w:val="002F67D7"/>
    <w:rsid w:val="002F6B50"/>
    <w:rsid w:val="002F6CFA"/>
    <w:rsid w:val="00300C16"/>
    <w:rsid w:val="00302DE7"/>
    <w:rsid w:val="003039D0"/>
    <w:rsid w:val="00303B45"/>
    <w:rsid w:val="00304181"/>
    <w:rsid w:val="00304470"/>
    <w:rsid w:val="00306597"/>
    <w:rsid w:val="0030728D"/>
    <w:rsid w:val="003129DC"/>
    <w:rsid w:val="00313A31"/>
    <w:rsid w:val="003140C0"/>
    <w:rsid w:val="003141C8"/>
    <w:rsid w:val="00315DA9"/>
    <w:rsid w:val="00316734"/>
    <w:rsid w:val="003176EC"/>
    <w:rsid w:val="00321283"/>
    <w:rsid w:val="00321299"/>
    <w:rsid w:val="00321C28"/>
    <w:rsid w:val="0032258C"/>
    <w:rsid w:val="00323258"/>
    <w:rsid w:val="003246CB"/>
    <w:rsid w:val="00326075"/>
    <w:rsid w:val="003269B3"/>
    <w:rsid w:val="00327B81"/>
    <w:rsid w:val="00327FEC"/>
    <w:rsid w:val="003312B3"/>
    <w:rsid w:val="00331521"/>
    <w:rsid w:val="003315E9"/>
    <w:rsid w:val="0033191C"/>
    <w:rsid w:val="00331F52"/>
    <w:rsid w:val="0033235F"/>
    <w:rsid w:val="00332FA6"/>
    <w:rsid w:val="003356BD"/>
    <w:rsid w:val="003366C3"/>
    <w:rsid w:val="00337A95"/>
    <w:rsid w:val="0034223E"/>
    <w:rsid w:val="00343477"/>
    <w:rsid w:val="00343A86"/>
    <w:rsid w:val="00344B9D"/>
    <w:rsid w:val="00345B7A"/>
    <w:rsid w:val="003462C8"/>
    <w:rsid w:val="003466F5"/>
    <w:rsid w:val="00347FA2"/>
    <w:rsid w:val="00351550"/>
    <w:rsid w:val="00352A4A"/>
    <w:rsid w:val="00354DEA"/>
    <w:rsid w:val="00356EBC"/>
    <w:rsid w:val="00356FC5"/>
    <w:rsid w:val="003603FE"/>
    <w:rsid w:val="003620E6"/>
    <w:rsid w:val="00362301"/>
    <w:rsid w:val="003628DB"/>
    <w:rsid w:val="00362CA8"/>
    <w:rsid w:val="00365B44"/>
    <w:rsid w:val="003664C2"/>
    <w:rsid w:val="00370059"/>
    <w:rsid w:val="00370193"/>
    <w:rsid w:val="003714BA"/>
    <w:rsid w:val="00372F63"/>
    <w:rsid w:val="003731A5"/>
    <w:rsid w:val="003733C2"/>
    <w:rsid w:val="00373F3E"/>
    <w:rsid w:val="0037446B"/>
    <w:rsid w:val="0037642D"/>
    <w:rsid w:val="003767A4"/>
    <w:rsid w:val="00377B9B"/>
    <w:rsid w:val="00380D2A"/>
    <w:rsid w:val="00381726"/>
    <w:rsid w:val="00381875"/>
    <w:rsid w:val="00381D07"/>
    <w:rsid w:val="0038241F"/>
    <w:rsid w:val="003828C2"/>
    <w:rsid w:val="0038362C"/>
    <w:rsid w:val="00383688"/>
    <w:rsid w:val="003842B1"/>
    <w:rsid w:val="0038496D"/>
    <w:rsid w:val="00384A6C"/>
    <w:rsid w:val="00384D29"/>
    <w:rsid w:val="00386732"/>
    <w:rsid w:val="00387227"/>
    <w:rsid w:val="003872AF"/>
    <w:rsid w:val="00387B46"/>
    <w:rsid w:val="00390F94"/>
    <w:rsid w:val="0039300F"/>
    <w:rsid w:val="00394386"/>
    <w:rsid w:val="00394BF3"/>
    <w:rsid w:val="00396B17"/>
    <w:rsid w:val="00397209"/>
    <w:rsid w:val="0039745C"/>
    <w:rsid w:val="00397663"/>
    <w:rsid w:val="00397FFB"/>
    <w:rsid w:val="003A2219"/>
    <w:rsid w:val="003A3E35"/>
    <w:rsid w:val="003A578E"/>
    <w:rsid w:val="003A6CA9"/>
    <w:rsid w:val="003A7457"/>
    <w:rsid w:val="003A788D"/>
    <w:rsid w:val="003A7CAC"/>
    <w:rsid w:val="003B1D76"/>
    <w:rsid w:val="003B3ABA"/>
    <w:rsid w:val="003B3AC4"/>
    <w:rsid w:val="003B3DBF"/>
    <w:rsid w:val="003B3E10"/>
    <w:rsid w:val="003B5CCC"/>
    <w:rsid w:val="003B5D60"/>
    <w:rsid w:val="003B646F"/>
    <w:rsid w:val="003B6DA9"/>
    <w:rsid w:val="003B6DDE"/>
    <w:rsid w:val="003C2223"/>
    <w:rsid w:val="003C2CD1"/>
    <w:rsid w:val="003C30DA"/>
    <w:rsid w:val="003C3195"/>
    <w:rsid w:val="003C4640"/>
    <w:rsid w:val="003C48E0"/>
    <w:rsid w:val="003C4C90"/>
    <w:rsid w:val="003C6A41"/>
    <w:rsid w:val="003C77CD"/>
    <w:rsid w:val="003C78BA"/>
    <w:rsid w:val="003D0404"/>
    <w:rsid w:val="003D1652"/>
    <w:rsid w:val="003D31FF"/>
    <w:rsid w:val="003D3F64"/>
    <w:rsid w:val="003D5807"/>
    <w:rsid w:val="003D5A6B"/>
    <w:rsid w:val="003D7E0F"/>
    <w:rsid w:val="003E0607"/>
    <w:rsid w:val="003E410D"/>
    <w:rsid w:val="003E4164"/>
    <w:rsid w:val="003E41FE"/>
    <w:rsid w:val="003E6EE0"/>
    <w:rsid w:val="003F0A27"/>
    <w:rsid w:val="003F2E7B"/>
    <w:rsid w:val="003F3817"/>
    <w:rsid w:val="003F3B79"/>
    <w:rsid w:val="003F68FE"/>
    <w:rsid w:val="003F6BA2"/>
    <w:rsid w:val="003F7BB2"/>
    <w:rsid w:val="003F7CAC"/>
    <w:rsid w:val="0040009B"/>
    <w:rsid w:val="00400574"/>
    <w:rsid w:val="00401819"/>
    <w:rsid w:val="004020DB"/>
    <w:rsid w:val="00404BD7"/>
    <w:rsid w:val="00407779"/>
    <w:rsid w:val="00411FEA"/>
    <w:rsid w:val="004123E2"/>
    <w:rsid w:val="00412A6B"/>
    <w:rsid w:val="00414E32"/>
    <w:rsid w:val="00415A35"/>
    <w:rsid w:val="00415FBF"/>
    <w:rsid w:val="00416438"/>
    <w:rsid w:val="00420553"/>
    <w:rsid w:val="00421ECA"/>
    <w:rsid w:val="00422A04"/>
    <w:rsid w:val="00423C45"/>
    <w:rsid w:val="004242CA"/>
    <w:rsid w:val="00425AE0"/>
    <w:rsid w:val="00425C74"/>
    <w:rsid w:val="00426E64"/>
    <w:rsid w:val="004279F5"/>
    <w:rsid w:val="00431ED7"/>
    <w:rsid w:val="00433026"/>
    <w:rsid w:val="004338DB"/>
    <w:rsid w:val="0043390B"/>
    <w:rsid w:val="00433DA2"/>
    <w:rsid w:val="0043488C"/>
    <w:rsid w:val="00435B6F"/>
    <w:rsid w:val="00437D2E"/>
    <w:rsid w:val="00437EF6"/>
    <w:rsid w:val="00441A46"/>
    <w:rsid w:val="0044302D"/>
    <w:rsid w:val="004436D1"/>
    <w:rsid w:val="00443F03"/>
    <w:rsid w:val="004445CB"/>
    <w:rsid w:val="0044566B"/>
    <w:rsid w:val="0044697C"/>
    <w:rsid w:val="00450688"/>
    <w:rsid w:val="00450E49"/>
    <w:rsid w:val="00451261"/>
    <w:rsid w:val="00451BC5"/>
    <w:rsid w:val="00453755"/>
    <w:rsid w:val="004538BA"/>
    <w:rsid w:val="00453A7A"/>
    <w:rsid w:val="00453A83"/>
    <w:rsid w:val="00453F2C"/>
    <w:rsid w:val="00455E7A"/>
    <w:rsid w:val="00455F42"/>
    <w:rsid w:val="0045660F"/>
    <w:rsid w:val="004566A7"/>
    <w:rsid w:val="00456D60"/>
    <w:rsid w:val="00464D2A"/>
    <w:rsid w:val="004669C2"/>
    <w:rsid w:val="00467A4A"/>
    <w:rsid w:val="00470B08"/>
    <w:rsid w:val="00470BB1"/>
    <w:rsid w:val="00471313"/>
    <w:rsid w:val="00471387"/>
    <w:rsid w:val="00471D36"/>
    <w:rsid w:val="0047254D"/>
    <w:rsid w:val="0047347C"/>
    <w:rsid w:val="0047519C"/>
    <w:rsid w:val="00475F48"/>
    <w:rsid w:val="00477137"/>
    <w:rsid w:val="0047746B"/>
    <w:rsid w:val="004779E4"/>
    <w:rsid w:val="0048078C"/>
    <w:rsid w:val="0048111A"/>
    <w:rsid w:val="00481632"/>
    <w:rsid w:val="00483007"/>
    <w:rsid w:val="004850F3"/>
    <w:rsid w:val="00485AC6"/>
    <w:rsid w:val="0048614C"/>
    <w:rsid w:val="00486DC8"/>
    <w:rsid w:val="0048797C"/>
    <w:rsid w:val="00487F16"/>
    <w:rsid w:val="004917EC"/>
    <w:rsid w:val="00494AA6"/>
    <w:rsid w:val="0049597F"/>
    <w:rsid w:val="00495A95"/>
    <w:rsid w:val="00495ED8"/>
    <w:rsid w:val="00497A3A"/>
    <w:rsid w:val="00497C78"/>
    <w:rsid w:val="004A12A8"/>
    <w:rsid w:val="004A29B9"/>
    <w:rsid w:val="004A4E64"/>
    <w:rsid w:val="004A536F"/>
    <w:rsid w:val="004A7484"/>
    <w:rsid w:val="004B055C"/>
    <w:rsid w:val="004B3589"/>
    <w:rsid w:val="004B3DE8"/>
    <w:rsid w:val="004B6593"/>
    <w:rsid w:val="004B7E71"/>
    <w:rsid w:val="004C0912"/>
    <w:rsid w:val="004C3422"/>
    <w:rsid w:val="004C3861"/>
    <w:rsid w:val="004C3DE8"/>
    <w:rsid w:val="004C4BA3"/>
    <w:rsid w:val="004C4CBC"/>
    <w:rsid w:val="004C6011"/>
    <w:rsid w:val="004C6EBF"/>
    <w:rsid w:val="004C7BDA"/>
    <w:rsid w:val="004C7EBE"/>
    <w:rsid w:val="004D03CF"/>
    <w:rsid w:val="004D0A25"/>
    <w:rsid w:val="004D0E0F"/>
    <w:rsid w:val="004D195B"/>
    <w:rsid w:val="004D319A"/>
    <w:rsid w:val="004D39B9"/>
    <w:rsid w:val="004D591D"/>
    <w:rsid w:val="004D6ACA"/>
    <w:rsid w:val="004D6CE6"/>
    <w:rsid w:val="004D7A34"/>
    <w:rsid w:val="004E0B61"/>
    <w:rsid w:val="004E35E9"/>
    <w:rsid w:val="004E3696"/>
    <w:rsid w:val="004E5742"/>
    <w:rsid w:val="004E7C6C"/>
    <w:rsid w:val="004F0915"/>
    <w:rsid w:val="004F3427"/>
    <w:rsid w:val="004F3955"/>
    <w:rsid w:val="004F767F"/>
    <w:rsid w:val="005008D3"/>
    <w:rsid w:val="00500F19"/>
    <w:rsid w:val="00501068"/>
    <w:rsid w:val="00503237"/>
    <w:rsid w:val="00504A95"/>
    <w:rsid w:val="00504AFA"/>
    <w:rsid w:val="00504BB1"/>
    <w:rsid w:val="005059B5"/>
    <w:rsid w:val="00507097"/>
    <w:rsid w:val="00507B93"/>
    <w:rsid w:val="005101AF"/>
    <w:rsid w:val="005105D9"/>
    <w:rsid w:val="005118C2"/>
    <w:rsid w:val="00511A83"/>
    <w:rsid w:val="005120FC"/>
    <w:rsid w:val="0051301E"/>
    <w:rsid w:val="00513A22"/>
    <w:rsid w:val="005143EC"/>
    <w:rsid w:val="00517722"/>
    <w:rsid w:val="00520A44"/>
    <w:rsid w:val="00521A45"/>
    <w:rsid w:val="00522A18"/>
    <w:rsid w:val="00524004"/>
    <w:rsid w:val="005256C8"/>
    <w:rsid w:val="00526287"/>
    <w:rsid w:val="005275CB"/>
    <w:rsid w:val="00527BCE"/>
    <w:rsid w:val="0053052D"/>
    <w:rsid w:val="005305B3"/>
    <w:rsid w:val="00531283"/>
    <w:rsid w:val="005313C4"/>
    <w:rsid w:val="005329BD"/>
    <w:rsid w:val="00532EC0"/>
    <w:rsid w:val="00533EF0"/>
    <w:rsid w:val="0053429C"/>
    <w:rsid w:val="0053538C"/>
    <w:rsid w:val="00536269"/>
    <w:rsid w:val="0054054C"/>
    <w:rsid w:val="005409D0"/>
    <w:rsid w:val="00540B28"/>
    <w:rsid w:val="00540D29"/>
    <w:rsid w:val="00541567"/>
    <w:rsid w:val="00541E46"/>
    <w:rsid w:val="00545E21"/>
    <w:rsid w:val="00545F0A"/>
    <w:rsid w:val="00546EBF"/>
    <w:rsid w:val="005471BD"/>
    <w:rsid w:val="0055115D"/>
    <w:rsid w:val="0055118D"/>
    <w:rsid w:val="00551644"/>
    <w:rsid w:val="00552411"/>
    <w:rsid w:val="00552F9B"/>
    <w:rsid w:val="00553D02"/>
    <w:rsid w:val="0055414A"/>
    <w:rsid w:val="005544BA"/>
    <w:rsid w:val="00555599"/>
    <w:rsid w:val="00555730"/>
    <w:rsid w:val="00555C37"/>
    <w:rsid w:val="00556672"/>
    <w:rsid w:val="00556EC4"/>
    <w:rsid w:val="00556F6D"/>
    <w:rsid w:val="00557B6D"/>
    <w:rsid w:val="00560F25"/>
    <w:rsid w:val="00561004"/>
    <w:rsid w:val="005616E3"/>
    <w:rsid w:val="00561A83"/>
    <w:rsid w:val="005631C0"/>
    <w:rsid w:val="00563B17"/>
    <w:rsid w:val="0056515E"/>
    <w:rsid w:val="0056544A"/>
    <w:rsid w:val="00566B13"/>
    <w:rsid w:val="00567FBE"/>
    <w:rsid w:val="00571C04"/>
    <w:rsid w:val="005729F6"/>
    <w:rsid w:val="00574A0A"/>
    <w:rsid w:val="00575403"/>
    <w:rsid w:val="00575571"/>
    <w:rsid w:val="00575882"/>
    <w:rsid w:val="00575B6A"/>
    <w:rsid w:val="00576276"/>
    <w:rsid w:val="00577D26"/>
    <w:rsid w:val="00577D9A"/>
    <w:rsid w:val="00581DCA"/>
    <w:rsid w:val="00581E24"/>
    <w:rsid w:val="0058490C"/>
    <w:rsid w:val="00584F6A"/>
    <w:rsid w:val="005855EC"/>
    <w:rsid w:val="00585949"/>
    <w:rsid w:val="0058666B"/>
    <w:rsid w:val="00586B78"/>
    <w:rsid w:val="00586DCD"/>
    <w:rsid w:val="005904F3"/>
    <w:rsid w:val="0059240F"/>
    <w:rsid w:val="00592985"/>
    <w:rsid w:val="00593C25"/>
    <w:rsid w:val="005977A9"/>
    <w:rsid w:val="005A122A"/>
    <w:rsid w:val="005A135B"/>
    <w:rsid w:val="005A15D8"/>
    <w:rsid w:val="005A6E85"/>
    <w:rsid w:val="005A76DF"/>
    <w:rsid w:val="005B0182"/>
    <w:rsid w:val="005B0FFF"/>
    <w:rsid w:val="005B1370"/>
    <w:rsid w:val="005B2AFC"/>
    <w:rsid w:val="005B3DBE"/>
    <w:rsid w:val="005B4F38"/>
    <w:rsid w:val="005B635D"/>
    <w:rsid w:val="005B6724"/>
    <w:rsid w:val="005C0B83"/>
    <w:rsid w:val="005C2865"/>
    <w:rsid w:val="005C3F2D"/>
    <w:rsid w:val="005C6B6C"/>
    <w:rsid w:val="005D1260"/>
    <w:rsid w:val="005D2578"/>
    <w:rsid w:val="005D289D"/>
    <w:rsid w:val="005D34BE"/>
    <w:rsid w:val="005D3CE3"/>
    <w:rsid w:val="005D5E49"/>
    <w:rsid w:val="005D67C5"/>
    <w:rsid w:val="005D7589"/>
    <w:rsid w:val="005D7D0F"/>
    <w:rsid w:val="005E1062"/>
    <w:rsid w:val="005E10E1"/>
    <w:rsid w:val="005E1486"/>
    <w:rsid w:val="005E1F02"/>
    <w:rsid w:val="005E2728"/>
    <w:rsid w:val="005E27CF"/>
    <w:rsid w:val="005E309E"/>
    <w:rsid w:val="005E337B"/>
    <w:rsid w:val="005E5800"/>
    <w:rsid w:val="005E6E0E"/>
    <w:rsid w:val="005E7697"/>
    <w:rsid w:val="005E793C"/>
    <w:rsid w:val="005F03F3"/>
    <w:rsid w:val="005F0E75"/>
    <w:rsid w:val="005F12D3"/>
    <w:rsid w:val="005F2C35"/>
    <w:rsid w:val="005F2F3F"/>
    <w:rsid w:val="005F5AD7"/>
    <w:rsid w:val="005F5C41"/>
    <w:rsid w:val="005F682A"/>
    <w:rsid w:val="006037EC"/>
    <w:rsid w:val="00604AEA"/>
    <w:rsid w:val="006110E8"/>
    <w:rsid w:val="006122B5"/>
    <w:rsid w:val="00612685"/>
    <w:rsid w:val="006136FA"/>
    <w:rsid w:val="00613FDA"/>
    <w:rsid w:val="006142B2"/>
    <w:rsid w:val="00615BB9"/>
    <w:rsid w:val="0061687B"/>
    <w:rsid w:val="00617D32"/>
    <w:rsid w:val="00617E30"/>
    <w:rsid w:val="006202A9"/>
    <w:rsid w:val="00621521"/>
    <w:rsid w:val="00621C19"/>
    <w:rsid w:val="00621D59"/>
    <w:rsid w:val="00622122"/>
    <w:rsid w:val="00622708"/>
    <w:rsid w:val="00623A35"/>
    <w:rsid w:val="006241F5"/>
    <w:rsid w:val="006245AE"/>
    <w:rsid w:val="00625398"/>
    <w:rsid w:val="006262BC"/>
    <w:rsid w:val="00630AFF"/>
    <w:rsid w:val="006324C2"/>
    <w:rsid w:val="00632F56"/>
    <w:rsid w:val="006341E4"/>
    <w:rsid w:val="00634D4C"/>
    <w:rsid w:val="00635903"/>
    <w:rsid w:val="00636553"/>
    <w:rsid w:val="00640479"/>
    <w:rsid w:val="00642157"/>
    <w:rsid w:val="006421AE"/>
    <w:rsid w:val="006427B0"/>
    <w:rsid w:val="0064399A"/>
    <w:rsid w:val="00645E46"/>
    <w:rsid w:val="00647200"/>
    <w:rsid w:val="006506FF"/>
    <w:rsid w:val="006525C5"/>
    <w:rsid w:val="006537A6"/>
    <w:rsid w:val="00656EC1"/>
    <w:rsid w:val="0066261C"/>
    <w:rsid w:val="00664787"/>
    <w:rsid w:val="00664BFB"/>
    <w:rsid w:val="00665474"/>
    <w:rsid w:val="006676D0"/>
    <w:rsid w:val="0066795B"/>
    <w:rsid w:val="00667D93"/>
    <w:rsid w:val="0067092A"/>
    <w:rsid w:val="006722E9"/>
    <w:rsid w:val="006726BB"/>
    <w:rsid w:val="00673442"/>
    <w:rsid w:val="00673CA1"/>
    <w:rsid w:val="00674FF5"/>
    <w:rsid w:val="0067764F"/>
    <w:rsid w:val="006809F0"/>
    <w:rsid w:val="00681148"/>
    <w:rsid w:val="00682057"/>
    <w:rsid w:val="00683D5D"/>
    <w:rsid w:val="006852CC"/>
    <w:rsid w:val="00686273"/>
    <w:rsid w:val="00690B73"/>
    <w:rsid w:val="00690D5D"/>
    <w:rsid w:val="006936DC"/>
    <w:rsid w:val="006958E0"/>
    <w:rsid w:val="0069655B"/>
    <w:rsid w:val="00696B00"/>
    <w:rsid w:val="00696EA6"/>
    <w:rsid w:val="00696F45"/>
    <w:rsid w:val="006A0A3B"/>
    <w:rsid w:val="006A251F"/>
    <w:rsid w:val="006A4506"/>
    <w:rsid w:val="006A543E"/>
    <w:rsid w:val="006A5608"/>
    <w:rsid w:val="006A59EC"/>
    <w:rsid w:val="006A6020"/>
    <w:rsid w:val="006A7A07"/>
    <w:rsid w:val="006B1233"/>
    <w:rsid w:val="006B1597"/>
    <w:rsid w:val="006B1DF4"/>
    <w:rsid w:val="006B2847"/>
    <w:rsid w:val="006B472C"/>
    <w:rsid w:val="006B4933"/>
    <w:rsid w:val="006B53F7"/>
    <w:rsid w:val="006B5F63"/>
    <w:rsid w:val="006B76AD"/>
    <w:rsid w:val="006C07FD"/>
    <w:rsid w:val="006C2A6E"/>
    <w:rsid w:val="006C3DE9"/>
    <w:rsid w:val="006C4D40"/>
    <w:rsid w:val="006C592F"/>
    <w:rsid w:val="006C5C40"/>
    <w:rsid w:val="006C677D"/>
    <w:rsid w:val="006C69F3"/>
    <w:rsid w:val="006D1804"/>
    <w:rsid w:val="006D1F5B"/>
    <w:rsid w:val="006D2066"/>
    <w:rsid w:val="006D2C80"/>
    <w:rsid w:val="006D3AF9"/>
    <w:rsid w:val="006D557A"/>
    <w:rsid w:val="006D706E"/>
    <w:rsid w:val="006E4079"/>
    <w:rsid w:val="006E56D7"/>
    <w:rsid w:val="006E6B99"/>
    <w:rsid w:val="006E7B4C"/>
    <w:rsid w:val="006F3DD8"/>
    <w:rsid w:val="006F4F80"/>
    <w:rsid w:val="006F546F"/>
    <w:rsid w:val="006F68FF"/>
    <w:rsid w:val="006F728D"/>
    <w:rsid w:val="006F7A9B"/>
    <w:rsid w:val="007007DA"/>
    <w:rsid w:val="007011BA"/>
    <w:rsid w:val="00701797"/>
    <w:rsid w:val="00703876"/>
    <w:rsid w:val="007042B0"/>
    <w:rsid w:val="0070498B"/>
    <w:rsid w:val="00704E67"/>
    <w:rsid w:val="00705A98"/>
    <w:rsid w:val="00705DB1"/>
    <w:rsid w:val="007151F1"/>
    <w:rsid w:val="00715462"/>
    <w:rsid w:val="00715DE8"/>
    <w:rsid w:val="00715EB6"/>
    <w:rsid w:val="00716B98"/>
    <w:rsid w:val="00717A77"/>
    <w:rsid w:val="0072046D"/>
    <w:rsid w:val="0072109E"/>
    <w:rsid w:val="00722D90"/>
    <w:rsid w:val="007232A3"/>
    <w:rsid w:val="00723793"/>
    <w:rsid w:val="007250C5"/>
    <w:rsid w:val="00727080"/>
    <w:rsid w:val="007321C2"/>
    <w:rsid w:val="007332F1"/>
    <w:rsid w:val="0073342A"/>
    <w:rsid w:val="00734065"/>
    <w:rsid w:val="00734B23"/>
    <w:rsid w:val="00737A66"/>
    <w:rsid w:val="00737AEC"/>
    <w:rsid w:val="00737B60"/>
    <w:rsid w:val="007411AD"/>
    <w:rsid w:val="00741783"/>
    <w:rsid w:val="00741E98"/>
    <w:rsid w:val="007421F9"/>
    <w:rsid w:val="007423D1"/>
    <w:rsid w:val="00742AEA"/>
    <w:rsid w:val="007442CD"/>
    <w:rsid w:val="00744662"/>
    <w:rsid w:val="00745E44"/>
    <w:rsid w:val="00745E92"/>
    <w:rsid w:val="007464BA"/>
    <w:rsid w:val="00746BC7"/>
    <w:rsid w:val="00747410"/>
    <w:rsid w:val="00750840"/>
    <w:rsid w:val="00751103"/>
    <w:rsid w:val="00751BB6"/>
    <w:rsid w:val="0075242D"/>
    <w:rsid w:val="007525A9"/>
    <w:rsid w:val="00752820"/>
    <w:rsid w:val="0075391C"/>
    <w:rsid w:val="007551F1"/>
    <w:rsid w:val="007560C5"/>
    <w:rsid w:val="0075636F"/>
    <w:rsid w:val="00756E15"/>
    <w:rsid w:val="007606C7"/>
    <w:rsid w:val="00760815"/>
    <w:rsid w:val="00760A14"/>
    <w:rsid w:val="0076217A"/>
    <w:rsid w:val="007642B7"/>
    <w:rsid w:val="00765B1E"/>
    <w:rsid w:val="007667D5"/>
    <w:rsid w:val="00767A52"/>
    <w:rsid w:val="00771602"/>
    <w:rsid w:val="007730BD"/>
    <w:rsid w:val="00773686"/>
    <w:rsid w:val="0077540B"/>
    <w:rsid w:val="0077572A"/>
    <w:rsid w:val="007767AF"/>
    <w:rsid w:val="007774C1"/>
    <w:rsid w:val="007776AF"/>
    <w:rsid w:val="007809C3"/>
    <w:rsid w:val="00782E1F"/>
    <w:rsid w:val="007841D7"/>
    <w:rsid w:val="007869AA"/>
    <w:rsid w:val="00790492"/>
    <w:rsid w:val="00790719"/>
    <w:rsid w:val="00791418"/>
    <w:rsid w:val="007918E2"/>
    <w:rsid w:val="00792480"/>
    <w:rsid w:val="00792E59"/>
    <w:rsid w:val="00792FDE"/>
    <w:rsid w:val="00794933"/>
    <w:rsid w:val="00794DDE"/>
    <w:rsid w:val="00795AAA"/>
    <w:rsid w:val="00796C0A"/>
    <w:rsid w:val="007A0CA6"/>
    <w:rsid w:val="007A128C"/>
    <w:rsid w:val="007A3624"/>
    <w:rsid w:val="007A4A1D"/>
    <w:rsid w:val="007A5672"/>
    <w:rsid w:val="007B0740"/>
    <w:rsid w:val="007B38E5"/>
    <w:rsid w:val="007B3904"/>
    <w:rsid w:val="007B3934"/>
    <w:rsid w:val="007B4D77"/>
    <w:rsid w:val="007B52B7"/>
    <w:rsid w:val="007B5739"/>
    <w:rsid w:val="007B618A"/>
    <w:rsid w:val="007C389A"/>
    <w:rsid w:val="007C480A"/>
    <w:rsid w:val="007C57B1"/>
    <w:rsid w:val="007C58EB"/>
    <w:rsid w:val="007C5AEE"/>
    <w:rsid w:val="007C5DAB"/>
    <w:rsid w:val="007D0223"/>
    <w:rsid w:val="007D0F21"/>
    <w:rsid w:val="007D108C"/>
    <w:rsid w:val="007D1B4A"/>
    <w:rsid w:val="007D2D74"/>
    <w:rsid w:val="007D2E72"/>
    <w:rsid w:val="007D4218"/>
    <w:rsid w:val="007D53A5"/>
    <w:rsid w:val="007D5D1E"/>
    <w:rsid w:val="007E0ABA"/>
    <w:rsid w:val="007E1555"/>
    <w:rsid w:val="007E18BA"/>
    <w:rsid w:val="007E1F11"/>
    <w:rsid w:val="007E426D"/>
    <w:rsid w:val="007E49B0"/>
    <w:rsid w:val="007E5835"/>
    <w:rsid w:val="007E7A6B"/>
    <w:rsid w:val="007F0109"/>
    <w:rsid w:val="007F102D"/>
    <w:rsid w:val="007F1063"/>
    <w:rsid w:val="007F2D7B"/>
    <w:rsid w:val="007F4593"/>
    <w:rsid w:val="007F513D"/>
    <w:rsid w:val="007F54F4"/>
    <w:rsid w:val="007F64BE"/>
    <w:rsid w:val="007F6540"/>
    <w:rsid w:val="007F732D"/>
    <w:rsid w:val="007F7389"/>
    <w:rsid w:val="00801298"/>
    <w:rsid w:val="008014C2"/>
    <w:rsid w:val="00802075"/>
    <w:rsid w:val="00802EDA"/>
    <w:rsid w:val="00803A1D"/>
    <w:rsid w:val="008041FB"/>
    <w:rsid w:val="008103A6"/>
    <w:rsid w:val="00811578"/>
    <w:rsid w:val="00814973"/>
    <w:rsid w:val="00817357"/>
    <w:rsid w:val="00817844"/>
    <w:rsid w:val="00820160"/>
    <w:rsid w:val="0082071D"/>
    <w:rsid w:val="008216C4"/>
    <w:rsid w:val="008226C2"/>
    <w:rsid w:val="008226D6"/>
    <w:rsid w:val="00823136"/>
    <w:rsid w:val="00823B09"/>
    <w:rsid w:val="0082502D"/>
    <w:rsid w:val="00825051"/>
    <w:rsid w:val="008256F2"/>
    <w:rsid w:val="008276E4"/>
    <w:rsid w:val="00830910"/>
    <w:rsid w:val="008311A0"/>
    <w:rsid w:val="008311C2"/>
    <w:rsid w:val="00831A4E"/>
    <w:rsid w:val="0083245C"/>
    <w:rsid w:val="00832ACC"/>
    <w:rsid w:val="00833127"/>
    <w:rsid w:val="008339F0"/>
    <w:rsid w:val="0083524A"/>
    <w:rsid w:val="008355B5"/>
    <w:rsid w:val="00835ADF"/>
    <w:rsid w:val="00836255"/>
    <w:rsid w:val="00840784"/>
    <w:rsid w:val="0084188F"/>
    <w:rsid w:val="00842A66"/>
    <w:rsid w:val="00843462"/>
    <w:rsid w:val="00844B25"/>
    <w:rsid w:val="00844CC6"/>
    <w:rsid w:val="008457D2"/>
    <w:rsid w:val="00846697"/>
    <w:rsid w:val="00846CE4"/>
    <w:rsid w:val="008472C0"/>
    <w:rsid w:val="008474DE"/>
    <w:rsid w:val="00847F71"/>
    <w:rsid w:val="00850A94"/>
    <w:rsid w:val="00850F02"/>
    <w:rsid w:val="008510BC"/>
    <w:rsid w:val="008525C0"/>
    <w:rsid w:val="00852CD4"/>
    <w:rsid w:val="0085309C"/>
    <w:rsid w:val="00853213"/>
    <w:rsid w:val="00854365"/>
    <w:rsid w:val="008564F6"/>
    <w:rsid w:val="00857209"/>
    <w:rsid w:val="008620B1"/>
    <w:rsid w:val="00863F62"/>
    <w:rsid w:val="00864AF9"/>
    <w:rsid w:val="00866749"/>
    <w:rsid w:val="008677FE"/>
    <w:rsid w:val="00871984"/>
    <w:rsid w:val="0087492C"/>
    <w:rsid w:val="008755CB"/>
    <w:rsid w:val="008758F3"/>
    <w:rsid w:val="00875F64"/>
    <w:rsid w:val="00876FC9"/>
    <w:rsid w:val="008901FC"/>
    <w:rsid w:val="008905E5"/>
    <w:rsid w:val="00890FFD"/>
    <w:rsid w:val="00891396"/>
    <w:rsid w:val="00891687"/>
    <w:rsid w:val="00896AAE"/>
    <w:rsid w:val="008A0DC4"/>
    <w:rsid w:val="008A2792"/>
    <w:rsid w:val="008A5C24"/>
    <w:rsid w:val="008A65A3"/>
    <w:rsid w:val="008A6A15"/>
    <w:rsid w:val="008A743C"/>
    <w:rsid w:val="008A76D1"/>
    <w:rsid w:val="008A7FC1"/>
    <w:rsid w:val="008B119B"/>
    <w:rsid w:val="008B2343"/>
    <w:rsid w:val="008B2ADE"/>
    <w:rsid w:val="008B2EB6"/>
    <w:rsid w:val="008B35ED"/>
    <w:rsid w:val="008B48BA"/>
    <w:rsid w:val="008B4AF1"/>
    <w:rsid w:val="008B6E7F"/>
    <w:rsid w:val="008C05A9"/>
    <w:rsid w:val="008C2264"/>
    <w:rsid w:val="008C56E1"/>
    <w:rsid w:val="008C6BC0"/>
    <w:rsid w:val="008D2AB0"/>
    <w:rsid w:val="008D4751"/>
    <w:rsid w:val="008D4A74"/>
    <w:rsid w:val="008D75F3"/>
    <w:rsid w:val="008D7C87"/>
    <w:rsid w:val="008D7F33"/>
    <w:rsid w:val="008E0CF1"/>
    <w:rsid w:val="008E15F8"/>
    <w:rsid w:val="008E1F05"/>
    <w:rsid w:val="008E2B33"/>
    <w:rsid w:val="008E52CE"/>
    <w:rsid w:val="008E5623"/>
    <w:rsid w:val="008E71F6"/>
    <w:rsid w:val="008F0BB0"/>
    <w:rsid w:val="008F1387"/>
    <w:rsid w:val="008F2003"/>
    <w:rsid w:val="008F39E9"/>
    <w:rsid w:val="008F4019"/>
    <w:rsid w:val="008F5149"/>
    <w:rsid w:val="008F5353"/>
    <w:rsid w:val="008F5B16"/>
    <w:rsid w:val="008F6F3D"/>
    <w:rsid w:val="008F717A"/>
    <w:rsid w:val="00900B3A"/>
    <w:rsid w:val="00900C3F"/>
    <w:rsid w:val="009031C6"/>
    <w:rsid w:val="00906A49"/>
    <w:rsid w:val="00910AA8"/>
    <w:rsid w:val="00911C0F"/>
    <w:rsid w:val="00912C48"/>
    <w:rsid w:val="0091549A"/>
    <w:rsid w:val="009159CF"/>
    <w:rsid w:val="009164E8"/>
    <w:rsid w:val="00916B05"/>
    <w:rsid w:val="00917217"/>
    <w:rsid w:val="00920750"/>
    <w:rsid w:val="009207D5"/>
    <w:rsid w:val="00920DF3"/>
    <w:rsid w:val="009213BC"/>
    <w:rsid w:val="00923CB3"/>
    <w:rsid w:val="00924CD7"/>
    <w:rsid w:val="00926028"/>
    <w:rsid w:val="009274AE"/>
    <w:rsid w:val="009275AB"/>
    <w:rsid w:val="009308F9"/>
    <w:rsid w:val="00930A43"/>
    <w:rsid w:val="0093273A"/>
    <w:rsid w:val="00933660"/>
    <w:rsid w:val="00933B1F"/>
    <w:rsid w:val="009351FB"/>
    <w:rsid w:val="009369C4"/>
    <w:rsid w:val="00937850"/>
    <w:rsid w:val="00940352"/>
    <w:rsid w:val="00940805"/>
    <w:rsid w:val="00942D53"/>
    <w:rsid w:val="00942EDA"/>
    <w:rsid w:val="0094669A"/>
    <w:rsid w:val="00946EB1"/>
    <w:rsid w:val="0094707E"/>
    <w:rsid w:val="00947D20"/>
    <w:rsid w:val="00950FCB"/>
    <w:rsid w:val="009528AE"/>
    <w:rsid w:val="00953145"/>
    <w:rsid w:val="0095423D"/>
    <w:rsid w:val="00954E05"/>
    <w:rsid w:val="009554CA"/>
    <w:rsid w:val="0095566B"/>
    <w:rsid w:val="00955DB9"/>
    <w:rsid w:val="00957040"/>
    <w:rsid w:val="009571BD"/>
    <w:rsid w:val="0096015B"/>
    <w:rsid w:val="00960A8D"/>
    <w:rsid w:val="0096150B"/>
    <w:rsid w:val="00961D0A"/>
    <w:rsid w:val="0096219E"/>
    <w:rsid w:val="00962858"/>
    <w:rsid w:val="009636B2"/>
    <w:rsid w:val="00963B9B"/>
    <w:rsid w:val="009679A9"/>
    <w:rsid w:val="00971846"/>
    <w:rsid w:val="00972974"/>
    <w:rsid w:val="00973249"/>
    <w:rsid w:val="009733D6"/>
    <w:rsid w:val="00973D9B"/>
    <w:rsid w:val="009744EA"/>
    <w:rsid w:val="00975370"/>
    <w:rsid w:val="009771B6"/>
    <w:rsid w:val="0098094C"/>
    <w:rsid w:val="009809B0"/>
    <w:rsid w:val="009825CE"/>
    <w:rsid w:val="00982EF8"/>
    <w:rsid w:val="009843F8"/>
    <w:rsid w:val="0098484F"/>
    <w:rsid w:val="00984B7B"/>
    <w:rsid w:val="00986B1B"/>
    <w:rsid w:val="00987732"/>
    <w:rsid w:val="00987973"/>
    <w:rsid w:val="00990AE8"/>
    <w:rsid w:val="009926BC"/>
    <w:rsid w:val="00992A9A"/>
    <w:rsid w:val="00993A80"/>
    <w:rsid w:val="00995C71"/>
    <w:rsid w:val="00995EB6"/>
    <w:rsid w:val="009975FE"/>
    <w:rsid w:val="009A1FB7"/>
    <w:rsid w:val="009A3B47"/>
    <w:rsid w:val="009A3E3E"/>
    <w:rsid w:val="009A3F4C"/>
    <w:rsid w:val="009A5717"/>
    <w:rsid w:val="009A6BBF"/>
    <w:rsid w:val="009A782B"/>
    <w:rsid w:val="009A7E76"/>
    <w:rsid w:val="009B06D9"/>
    <w:rsid w:val="009B2D84"/>
    <w:rsid w:val="009B3F7F"/>
    <w:rsid w:val="009B70CB"/>
    <w:rsid w:val="009C064E"/>
    <w:rsid w:val="009C0DD8"/>
    <w:rsid w:val="009C29C8"/>
    <w:rsid w:val="009C2E8A"/>
    <w:rsid w:val="009C5021"/>
    <w:rsid w:val="009C714F"/>
    <w:rsid w:val="009D062C"/>
    <w:rsid w:val="009D07C4"/>
    <w:rsid w:val="009D1124"/>
    <w:rsid w:val="009D2F74"/>
    <w:rsid w:val="009D30F0"/>
    <w:rsid w:val="009D328D"/>
    <w:rsid w:val="009D3BFC"/>
    <w:rsid w:val="009D3F02"/>
    <w:rsid w:val="009D57D6"/>
    <w:rsid w:val="009D5863"/>
    <w:rsid w:val="009D788E"/>
    <w:rsid w:val="009D7E20"/>
    <w:rsid w:val="009E0E1F"/>
    <w:rsid w:val="009E15F3"/>
    <w:rsid w:val="009E1820"/>
    <w:rsid w:val="009E30A6"/>
    <w:rsid w:val="009E35EF"/>
    <w:rsid w:val="009E36A7"/>
    <w:rsid w:val="009E3E25"/>
    <w:rsid w:val="009E51BB"/>
    <w:rsid w:val="009E5347"/>
    <w:rsid w:val="009E6D5F"/>
    <w:rsid w:val="009E70D2"/>
    <w:rsid w:val="009E794B"/>
    <w:rsid w:val="009F061F"/>
    <w:rsid w:val="009F2A5E"/>
    <w:rsid w:val="009F2BB5"/>
    <w:rsid w:val="009F2C9D"/>
    <w:rsid w:val="009F3853"/>
    <w:rsid w:val="009F3A02"/>
    <w:rsid w:val="009F4407"/>
    <w:rsid w:val="009F4969"/>
    <w:rsid w:val="009F5F68"/>
    <w:rsid w:val="009F617B"/>
    <w:rsid w:val="00A001C8"/>
    <w:rsid w:val="00A008F6"/>
    <w:rsid w:val="00A00D7B"/>
    <w:rsid w:val="00A00DE3"/>
    <w:rsid w:val="00A01014"/>
    <w:rsid w:val="00A01BC8"/>
    <w:rsid w:val="00A0298D"/>
    <w:rsid w:val="00A03452"/>
    <w:rsid w:val="00A03DF8"/>
    <w:rsid w:val="00A04216"/>
    <w:rsid w:val="00A0476D"/>
    <w:rsid w:val="00A059D1"/>
    <w:rsid w:val="00A05D18"/>
    <w:rsid w:val="00A0640B"/>
    <w:rsid w:val="00A064C3"/>
    <w:rsid w:val="00A06D8A"/>
    <w:rsid w:val="00A06D98"/>
    <w:rsid w:val="00A07EBD"/>
    <w:rsid w:val="00A11BDE"/>
    <w:rsid w:val="00A11FFD"/>
    <w:rsid w:val="00A13188"/>
    <w:rsid w:val="00A15C81"/>
    <w:rsid w:val="00A16084"/>
    <w:rsid w:val="00A16530"/>
    <w:rsid w:val="00A2003D"/>
    <w:rsid w:val="00A22115"/>
    <w:rsid w:val="00A2468A"/>
    <w:rsid w:val="00A24B45"/>
    <w:rsid w:val="00A24BC1"/>
    <w:rsid w:val="00A255DF"/>
    <w:rsid w:val="00A257DA"/>
    <w:rsid w:val="00A27140"/>
    <w:rsid w:val="00A27180"/>
    <w:rsid w:val="00A274EB"/>
    <w:rsid w:val="00A27532"/>
    <w:rsid w:val="00A31742"/>
    <w:rsid w:val="00A31E5C"/>
    <w:rsid w:val="00A32264"/>
    <w:rsid w:val="00A35132"/>
    <w:rsid w:val="00A356CF"/>
    <w:rsid w:val="00A35F73"/>
    <w:rsid w:val="00A3726B"/>
    <w:rsid w:val="00A37707"/>
    <w:rsid w:val="00A37BBC"/>
    <w:rsid w:val="00A40825"/>
    <w:rsid w:val="00A44024"/>
    <w:rsid w:val="00A4486C"/>
    <w:rsid w:val="00A44B5C"/>
    <w:rsid w:val="00A4531C"/>
    <w:rsid w:val="00A463DB"/>
    <w:rsid w:val="00A46DBE"/>
    <w:rsid w:val="00A47413"/>
    <w:rsid w:val="00A47D15"/>
    <w:rsid w:val="00A50959"/>
    <w:rsid w:val="00A52C5B"/>
    <w:rsid w:val="00A543E6"/>
    <w:rsid w:val="00A557F4"/>
    <w:rsid w:val="00A56DAE"/>
    <w:rsid w:val="00A61489"/>
    <w:rsid w:val="00A61CF1"/>
    <w:rsid w:val="00A61FB9"/>
    <w:rsid w:val="00A624A0"/>
    <w:rsid w:val="00A624F6"/>
    <w:rsid w:val="00A64203"/>
    <w:rsid w:val="00A657CE"/>
    <w:rsid w:val="00A66418"/>
    <w:rsid w:val="00A717E0"/>
    <w:rsid w:val="00A71BB1"/>
    <w:rsid w:val="00A73117"/>
    <w:rsid w:val="00A731C0"/>
    <w:rsid w:val="00A74838"/>
    <w:rsid w:val="00A74D19"/>
    <w:rsid w:val="00A74E66"/>
    <w:rsid w:val="00A76BA4"/>
    <w:rsid w:val="00A77758"/>
    <w:rsid w:val="00A8036D"/>
    <w:rsid w:val="00A8294C"/>
    <w:rsid w:val="00A82C86"/>
    <w:rsid w:val="00A82D3C"/>
    <w:rsid w:val="00A82E27"/>
    <w:rsid w:val="00A834DC"/>
    <w:rsid w:val="00A848A3"/>
    <w:rsid w:val="00A84CA7"/>
    <w:rsid w:val="00A8517A"/>
    <w:rsid w:val="00A8587F"/>
    <w:rsid w:val="00A86A28"/>
    <w:rsid w:val="00A86FB9"/>
    <w:rsid w:val="00A87EF3"/>
    <w:rsid w:val="00A90712"/>
    <w:rsid w:val="00A91773"/>
    <w:rsid w:val="00A92612"/>
    <w:rsid w:val="00A92983"/>
    <w:rsid w:val="00A94425"/>
    <w:rsid w:val="00A9734D"/>
    <w:rsid w:val="00A97ED1"/>
    <w:rsid w:val="00AA0834"/>
    <w:rsid w:val="00AA0979"/>
    <w:rsid w:val="00AA09C9"/>
    <w:rsid w:val="00AA0E49"/>
    <w:rsid w:val="00AA19B5"/>
    <w:rsid w:val="00AA2037"/>
    <w:rsid w:val="00AA29AF"/>
    <w:rsid w:val="00AA35A5"/>
    <w:rsid w:val="00AA7886"/>
    <w:rsid w:val="00AB09D9"/>
    <w:rsid w:val="00AB1376"/>
    <w:rsid w:val="00AB1700"/>
    <w:rsid w:val="00AB1C9A"/>
    <w:rsid w:val="00AB22B6"/>
    <w:rsid w:val="00AB279F"/>
    <w:rsid w:val="00AB3067"/>
    <w:rsid w:val="00AB3FB4"/>
    <w:rsid w:val="00AB43BC"/>
    <w:rsid w:val="00AB58B1"/>
    <w:rsid w:val="00AB6A12"/>
    <w:rsid w:val="00AB7B01"/>
    <w:rsid w:val="00AB7CBF"/>
    <w:rsid w:val="00AC1E70"/>
    <w:rsid w:val="00AC3004"/>
    <w:rsid w:val="00AC310A"/>
    <w:rsid w:val="00AC4DC5"/>
    <w:rsid w:val="00AC4E53"/>
    <w:rsid w:val="00AC6169"/>
    <w:rsid w:val="00AC667E"/>
    <w:rsid w:val="00AD1138"/>
    <w:rsid w:val="00AD19D9"/>
    <w:rsid w:val="00AD4480"/>
    <w:rsid w:val="00AD4A7C"/>
    <w:rsid w:val="00AD5015"/>
    <w:rsid w:val="00AD5825"/>
    <w:rsid w:val="00AD7E56"/>
    <w:rsid w:val="00AD7EAF"/>
    <w:rsid w:val="00AE0518"/>
    <w:rsid w:val="00AE070E"/>
    <w:rsid w:val="00AE1DD7"/>
    <w:rsid w:val="00AE24E2"/>
    <w:rsid w:val="00AE2843"/>
    <w:rsid w:val="00AE3C4B"/>
    <w:rsid w:val="00AE50B1"/>
    <w:rsid w:val="00AE76E6"/>
    <w:rsid w:val="00AF0968"/>
    <w:rsid w:val="00AF231A"/>
    <w:rsid w:val="00AF235B"/>
    <w:rsid w:val="00AF270F"/>
    <w:rsid w:val="00AF3463"/>
    <w:rsid w:val="00AF35AC"/>
    <w:rsid w:val="00AF3DC0"/>
    <w:rsid w:val="00AF4282"/>
    <w:rsid w:val="00AF5035"/>
    <w:rsid w:val="00AF5B22"/>
    <w:rsid w:val="00AF65F2"/>
    <w:rsid w:val="00AF7508"/>
    <w:rsid w:val="00AF7568"/>
    <w:rsid w:val="00AF75CB"/>
    <w:rsid w:val="00B046A4"/>
    <w:rsid w:val="00B05332"/>
    <w:rsid w:val="00B0650F"/>
    <w:rsid w:val="00B103FC"/>
    <w:rsid w:val="00B118CE"/>
    <w:rsid w:val="00B12DC0"/>
    <w:rsid w:val="00B1442F"/>
    <w:rsid w:val="00B1473E"/>
    <w:rsid w:val="00B15EA5"/>
    <w:rsid w:val="00B16010"/>
    <w:rsid w:val="00B17859"/>
    <w:rsid w:val="00B21A7C"/>
    <w:rsid w:val="00B2216D"/>
    <w:rsid w:val="00B22229"/>
    <w:rsid w:val="00B245B4"/>
    <w:rsid w:val="00B2556D"/>
    <w:rsid w:val="00B2657D"/>
    <w:rsid w:val="00B269CA"/>
    <w:rsid w:val="00B26B25"/>
    <w:rsid w:val="00B26D76"/>
    <w:rsid w:val="00B307C4"/>
    <w:rsid w:val="00B30806"/>
    <w:rsid w:val="00B30A32"/>
    <w:rsid w:val="00B3103A"/>
    <w:rsid w:val="00B31304"/>
    <w:rsid w:val="00B329BC"/>
    <w:rsid w:val="00B33856"/>
    <w:rsid w:val="00B35204"/>
    <w:rsid w:val="00B3642A"/>
    <w:rsid w:val="00B3657B"/>
    <w:rsid w:val="00B41274"/>
    <w:rsid w:val="00B43979"/>
    <w:rsid w:val="00B454B9"/>
    <w:rsid w:val="00B46ED6"/>
    <w:rsid w:val="00B47913"/>
    <w:rsid w:val="00B47BE6"/>
    <w:rsid w:val="00B52AE9"/>
    <w:rsid w:val="00B54599"/>
    <w:rsid w:val="00B5664D"/>
    <w:rsid w:val="00B5741A"/>
    <w:rsid w:val="00B612B8"/>
    <w:rsid w:val="00B61681"/>
    <w:rsid w:val="00B631EB"/>
    <w:rsid w:val="00B63FCD"/>
    <w:rsid w:val="00B64806"/>
    <w:rsid w:val="00B6565F"/>
    <w:rsid w:val="00B66B5F"/>
    <w:rsid w:val="00B70625"/>
    <w:rsid w:val="00B70671"/>
    <w:rsid w:val="00B70696"/>
    <w:rsid w:val="00B70DBA"/>
    <w:rsid w:val="00B71C26"/>
    <w:rsid w:val="00B72F54"/>
    <w:rsid w:val="00B7473C"/>
    <w:rsid w:val="00B74F9B"/>
    <w:rsid w:val="00B7540C"/>
    <w:rsid w:val="00B761CC"/>
    <w:rsid w:val="00B765E8"/>
    <w:rsid w:val="00B76D8E"/>
    <w:rsid w:val="00B77A18"/>
    <w:rsid w:val="00B81EF8"/>
    <w:rsid w:val="00B82668"/>
    <w:rsid w:val="00B84ABD"/>
    <w:rsid w:val="00B851B7"/>
    <w:rsid w:val="00B86142"/>
    <w:rsid w:val="00B8752C"/>
    <w:rsid w:val="00B9042D"/>
    <w:rsid w:val="00B9184B"/>
    <w:rsid w:val="00B934EB"/>
    <w:rsid w:val="00B93DDE"/>
    <w:rsid w:val="00B94A0F"/>
    <w:rsid w:val="00B94C07"/>
    <w:rsid w:val="00B973B8"/>
    <w:rsid w:val="00B97503"/>
    <w:rsid w:val="00BA0FF4"/>
    <w:rsid w:val="00BA1238"/>
    <w:rsid w:val="00BA1A17"/>
    <w:rsid w:val="00BA1D8B"/>
    <w:rsid w:val="00BA266C"/>
    <w:rsid w:val="00BA3F7F"/>
    <w:rsid w:val="00BA486C"/>
    <w:rsid w:val="00BA64D9"/>
    <w:rsid w:val="00BA669E"/>
    <w:rsid w:val="00BA6849"/>
    <w:rsid w:val="00BA6897"/>
    <w:rsid w:val="00BB0ACF"/>
    <w:rsid w:val="00BB0F36"/>
    <w:rsid w:val="00BB137C"/>
    <w:rsid w:val="00BB15E3"/>
    <w:rsid w:val="00BB198F"/>
    <w:rsid w:val="00BB362E"/>
    <w:rsid w:val="00BB48A5"/>
    <w:rsid w:val="00BB4A5F"/>
    <w:rsid w:val="00BB55A7"/>
    <w:rsid w:val="00BB57BE"/>
    <w:rsid w:val="00BB6C7A"/>
    <w:rsid w:val="00BB7486"/>
    <w:rsid w:val="00BB7598"/>
    <w:rsid w:val="00BB783A"/>
    <w:rsid w:val="00BC10FC"/>
    <w:rsid w:val="00BC134E"/>
    <w:rsid w:val="00BC1965"/>
    <w:rsid w:val="00BC2CFC"/>
    <w:rsid w:val="00BC3060"/>
    <w:rsid w:val="00BC3A1F"/>
    <w:rsid w:val="00BC3BC6"/>
    <w:rsid w:val="00BC4C3D"/>
    <w:rsid w:val="00BC5A07"/>
    <w:rsid w:val="00BC6D83"/>
    <w:rsid w:val="00BC6D97"/>
    <w:rsid w:val="00BD21AC"/>
    <w:rsid w:val="00BD52FA"/>
    <w:rsid w:val="00BD698D"/>
    <w:rsid w:val="00BD7D24"/>
    <w:rsid w:val="00BE06EE"/>
    <w:rsid w:val="00BE10FF"/>
    <w:rsid w:val="00BE1543"/>
    <w:rsid w:val="00BE2473"/>
    <w:rsid w:val="00BE412B"/>
    <w:rsid w:val="00BE4F3C"/>
    <w:rsid w:val="00BE5216"/>
    <w:rsid w:val="00BE675B"/>
    <w:rsid w:val="00BE6CB5"/>
    <w:rsid w:val="00BE7142"/>
    <w:rsid w:val="00BE7DE0"/>
    <w:rsid w:val="00BF2749"/>
    <w:rsid w:val="00BF2CC7"/>
    <w:rsid w:val="00BF3380"/>
    <w:rsid w:val="00BF39E0"/>
    <w:rsid w:val="00BF3A60"/>
    <w:rsid w:val="00BF3FB0"/>
    <w:rsid w:val="00BF651F"/>
    <w:rsid w:val="00BF6D5C"/>
    <w:rsid w:val="00BF722E"/>
    <w:rsid w:val="00BF762A"/>
    <w:rsid w:val="00BF7707"/>
    <w:rsid w:val="00C005FC"/>
    <w:rsid w:val="00C00BEF"/>
    <w:rsid w:val="00C01574"/>
    <w:rsid w:val="00C01BE5"/>
    <w:rsid w:val="00C02C4F"/>
    <w:rsid w:val="00C03A36"/>
    <w:rsid w:val="00C0407B"/>
    <w:rsid w:val="00C042F9"/>
    <w:rsid w:val="00C04B26"/>
    <w:rsid w:val="00C06160"/>
    <w:rsid w:val="00C06178"/>
    <w:rsid w:val="00C063A7"/>
    <w:rsid w:val="00C11035"/>
    <w:rsid w:val="00C121F0"/>
    <w:rsid w:val="00C16442"/>
    <w:rsid w:val="00C1653B"/>
    <w:rsid w:val="00C20BB5"/>
    <w:rsid w:val="00C21989"/>
    <w:rsid w:val="00C221FA"/>
    <w:rsid w:val="00C226E3"/>
    <w:rsid w:val="00C22DC5"/>
    <w:rsid w:val="00C23BA2"/>
    <w:rsid w:val="00C23C1C"/>
    <w:rsid w:val="00C243CC"/>
    <w:rsid w:val="00C24936"/>
    <w:rsid w:val="00C254A5"/>
    <w:rsid w:val="00C25910"/>
    <w:rsid w:val="00C25C84"/>
    <w:rsid w:val="00C26B25"/>
    <w:rsid w:val="00C26D2F"/>
    <w:rsid w:val="00C301C5"/>
    <w:rsid w:val="00C3151A"/>
    <w:rsid w:val="00C32842"/>
    <w:rsid w:val="00C33F5B"/>
    <w:rsid w:val="00C363B4"/>
    <w:rsid w:val="00C3660A"/>
    <w:rsid w:val="00C37743"/>
    <w:rsid w:val="00C412A2"/>
    <w:rsid w:val="00C41AE9"/>
    <w:rsid w:val="00C43BF3"/>
    <w:rsid w:val="00C43FFB"/>
    <w:rsid w:val="00C45B26"/>
    <w:rsid w:val="00C46021"/>
    <w:rsid w:val="00C46286"/>
    <w:rsid w:val="00C46A89"/>
    <w:rsid w:val="00C46ED1"/>
    <w:rsid w:val="00C47CE7"/>
    <w:rsid w:val="00C50A13"/>
    <w:rsid w:val="00C50BF9"/>
    <w:rsid w:val="00C539C7"/>
    <w:rsid w:val="00C57235"/>
    <w:rsid w:val="00C57C3C"/>
    <w:rsid w:val="00C61236"/>
    <w:rsid w:val="00C61F62"/>
    <w:rsid w:val="00C6201C"/>
    <w:rsid w:val="00C63E0B"/>
    <w:rsid w:val="00C643DA"/>
    <w:rsid w:val="00C706B4"/>
    <w:rsid w:val="00C73785"/>
    <w:rsid w:val="00C74BE6"/>
    <w:rsid w:val="00C751B8"/>
    <w:rsid w:val="00C75A1E"/>
    <w:rsid w:val="00C765DF"/>
    <w:rsid w:val="00C77C11"/>
    <w:rsid w:val="00C8147F"/>
    <w:rsid w:val="00C82A43"/>
    <w:rsid w:val="00C82FB6"/>
    <w:rsid w:val="00C83E95"/>
    <w:rsid w:val="00C8406F"/>
    <w:rsid w:val="00C84BAF"/>
    <w:rsid w:val="00C851DC"/>
    <w:rsid w:val="00C8597E"/>
    <w:rsid w:val="00C86193"/>
    <w:rsid w:val="00C86419"/>
    <w:rsid w:val="00C900B0"/>
    <w:rsid w:val="00C90909"/>
    <w:rsid w:val="00C90C75"/>
    <w:rsid w:val="00C91521"/>
    <w:rsid w:val="00C958EC"/>
    <w:rsid w:val="00C95CC6"/>
    <w:rsid w:val="00C95FE1"/>
    <w:rsid w:val="00C975CF"/>
    <w:rsid w:val="00CA05AE"/>
    <w:rsid w:val="00CA14B5"/>
    <w:rsid w:val="00CA1904"/>
    <w:rsid w:val="00CA4880"/>
    <w:rsid w:val="00CA4DC4"/>
    <w:rsid w:val="00CA6617"/>
    <w:rsid w:val="00CA671D"/>
    <w:rsid w:val="00CA689D"/>
    <w:rsid w:val="00CA6C74"/>
    <w:rsid w:val="00CB0064"/>
    <w:rsid w:val="00CB020F"/>
    <w:rsid w:val="00CB03C6"/>
    <w:rsid w:val="00CB1320"/>
    <w:rsid w:val="00CB4E23"/>
    <w:rsid w:val="00CB551A"/>
    <w:rsid w:val="00CB56A1"/>
    <w:rsid w:val="00CB5921"/>
    <w:rsid w:val="00CC19B9"/>
    <w:rsid w:val="00CC21A3"/>
    <w:rsid w:val="00CC4D8B"/>
    <w:rsid w:val="00CC7490"/>
    <w:rsid w:val="00CC76B1"/>
    <w:rsid w:val="00CD0F45"/>
    <w:rsid w:val="00CD15E2"/>
    <w:rsid w:val="00CD1DB4"/>
    <w:rsid w:val="00CD286C"/>
    <w:rsid w:val="00CD36CF"/>
    <w:rsid w:val="00CD46CB"/>
    <w:rsid w:val="00CD5ED6"/>
    <w:rsid w:val="00CD6311"/>
    <w:rsid w:val="00CD786B"/>
    <w:rsid w:val="00CE2008"/>
    <w:rsid w:val="00CE5C28"/>
    <w:rsid w:val="00CE71F4"/>
    <w:rsid w:val="00CE78CE"/>
    <w:rsid w:val="00CE7979"/>
    <w:rsid w:val="00CF083C"/>
    <w:rsid w:val="00CF0EC5"/>
    <w:rsid w:val="00CF2880"/>
    <w:rsid w:val="00CF4B81"/>
    <w:rsid w:val="00CF5609"/>
    <w:rsid w:val="00CF5BFD"/>
    <w:rsid w:val="00CF6A7F"/>
    <w:rsid w:val="00CF6C93"/>
    <w:rsid w:val="00D004EC"/>
    <w:rsid w:val="00D01999"/>
    <w:rsid w:val="00D02243"/>
    <w:rsid w:val="00D03D35"/>
    <w:rsid w:val="00D03EBB"/>
    <w:rsid w:val="00D04793"/>
    <w:rsid w:val="00D06095"/>
    <w:rsid w:val="00D06F18"/>
    <w:rsid w:val="00D07648"/>
    <w:rsid w:val="00D07795"/>
    <w:rsid w:val="00D10C0B"/>
    <w:rsid w:val="00D128C3"/>
    <w:rsid w:val="00D14357"/>
    <w:rsid w:val="00D155A8"/>
    <w:rsid w:val="00D1624C"/>
    <w:rsid w:val="00D16D19"/>
    <w:rsid w:val="00D20CBD"/>
    <w:rsid w:val="00D2171C"/>
    <w:rsid w:val="00D21A68"/>
    <w:rsid w:val="00D2331A"/>
    <w:rsid w:val="00D2401A"/>
    <w:rsid w:val="00D262C5"/>
    <w:rsid w:val="00D26741"/>
    <w:rsid w:val="00D26D9F"/>
    <w:rsid w:val="00D27B02"/>
    <w:rsid w:val="00D30248"/>
    <w:rsid w:val="00D31083"/>
    <w:rsid w:val="00D340EA"/>
    <w:rsid w:val="00D345F5"/>
    <w:rsid w:val="00D34B5C"/>
    <w:rsid w:val="00D35840"/>
    <w:rsid w:val="00D36241"/>
    <w:rsid w:val="00D3641A"/>
    <w:rsid w:val="00D36766"/>
    <w:rsid w:val="00D36B7B"/>
    <w:rsid w:val="00D37156"/>
    <w:rsid w:val="00D37F8E"/>
    <w:rsid w:val="00D402ED"/>
    <w:rsid w:val="00D431A6"/>
    <w:rsid w:val="00D43315"/>
    <w:rsid w:val="00D461EF"/>
    <w:rsid w:val="00D46E17"/>
    <w:rsid w:val="00D50FB4"/>
    <w:rsid w:val="00D529D5"/>
    <w:rsid w:val="00D53810"/>
    <w:rsid w:val="00D5547F"/>
    <w:rsid w:val="00D55576"/>
    <w:rsid w:val="00D568A4"/>
    <w:rsid w:val="00D56D3E"/>
    <w:rsid w:val="00D56DF3"/>
    <w:rsid w:val="00D577AB"/>
    <w:rsid w:val="00D57B8F"/>
    <w:rsid w:val="00D57C06"/>
    <w:rsid w:val="00D6021C"/>
    <w:rsid w:val="00D60732"/>
    <w:rsid w:val="00D629EB"/>
    <w:rsid w:val="00D6347F"/>
    <w:rsid w:val="00D65241"/>
    <w:rsid w:val="00D663B7"/>
    <w:rsid w:val="00D66AE3"/>
    <w:rsid w:val="00D705BD"/>
    <w:rsid w:val="00D70897"/>
    <w:rsid w:val="00D70DF5"/>
    <w:rsid w:val="00D70F1B"/>
    <w:rsid w:val="00D7199D"/>
    <w:rsid w:val="00D72791"/>
    <w:rsid w:val="00D7360B"/>
    <w:rsid w:val="00D73768"/>
    <w:rsid w:val="00D74605"/>
    <w:rsid w:val="00D74778"/>
    <w:rsid w:val="00D748EC"/>
    <w:rsid w:val="00D7553D"/>
    <w:rsid w:val="00D76E32"/>
    <w:rsid w:val="00D7701C"/>
    <w:rsid w:val="00D806D4"/>
    <w:rsid w:val="00D82195"/>
    <w:rsid w:val="00D83ACC"/>
    <w:rsid w:val="00D90E4B"/>
    <w:rsid w:val="00D91F8A"/>
    <w:rsid w:val="00D97297"/>
    <w:rsid w:val="00D973F7"/>
    <w:rsid w:val="00D9754A"/>
    <w:rsid w:val="00D979F8"/>
    <w:rsid w:val="00DA391C"/>
    <w:rsid w:val="00DA3E86"/>
    <w:rsid w:val="00DA56AA"/>
    <w:rsid w:val="00DA633F"/>
    <w:rsid w:val="00DA72B5"/>
    <w:rsid w:val="00DA74DC"/>
    <w:rsid w:val="00DB1D68"/>
    <w:rsid w:val="00DB292D"/>
    <w:rsid w:val="00DB2F00"/>
    <w:rsid w:val="00DB3A85"/>
    <w:rsid w:val="00DB45D9"/>
    <w:rsid w:val="00DB530A"/>
    <w:rsid w:val="00DB5B66"/>
    <w:rsid w:val="00DB6921"/>
    <w:rsid w:val="00DB6AC5"/>
    <w:rsid w:val="00DB7961"/>
    <w:rsid w:val="00DC20C6"/>
    <w:rsid w:val="00DC370D"/>
    <w:rsid w:val="00DC5211"/>
    <w:rsid w:val="00DC6282"/>
    <w:rsid w:val="00DC6D0E"/>
    <w:rsid w:val="00DD3456"/>
    <w:rsid w:val="00DD5926"/>
    <w:rsid w:val="00DD5934"/>
    <w:rsid w:val="00DD6A07"/>
    <w:rsid w:val="00DD6C58"/>
    <w:rsid w:val="00DD6DD4"/>
    <w:rsid w:val="00DD771E"/>
    <w:rsid w:val="00DE099E"/>
    <w:rsid w:val="00DE126E"/>
    <w:rsid w:val="00DE3401"/>
    <w:rsid w:val="00DE56A1"/>
    <w:rsid w:val="00DE60DD"/>
    <w:rsid w:val="00DE6D90"/>
    <w:rsid w:val="00DE7203"/>
    <w:rsid w:val="00DE7FAC"/>
    <w:rsid w:val="00DE7FDF"/>
    <w:rsid w:val="00DF1091"/>
    <w:rsid w:val="00DF1CE1"/>
    <w:rsid w:val="00DF2024"/>
    <w:rsid w:val="00DF356C"/>
    <w:rsid w:val="00DF4CC8"/>
    <w:rsid w:val="00DF6543"/>
    <w:rsid w:val="00E00802"/>
    <w:rsid w:val="00E00A3B"/>
    <w:rsid w:val="00E01F86"/>
    <w:rsid w:val="00E02FE7"/>
    <w:rsid w:val="00E07495"/>
    <w:rsid w:val="00E111EA"/>
    <w:rsid w:val="00E119B0"/>
    <w:rsid w:val="00E1591D"/>
    <w:rsid w:val="00E173C3"/>
    <w:rsid w:val="00E229AA"/>
    <w:rsid w:val="00E234ED"/>
    <w:rsid w:val="00E235BC"/>
    <w:rsid w:val="00E238E3"/>
    <w:rsid w:val="00E250EA"/>
    <w:rsid w:val="00E260C2"/>
    <w:rsid w:val="00E26F5B"/>
    <w:rsid w:val="00E27911"/>
    <w:rsid w:val="00E323BA"/>
    <w:rsid w:val="00E3293A"/>
    <w:rsid w:val="00E3452C"/>
    <w:rsid w:val="00E34699"/>
    <w:rsid w:val="00E35742"/>
    <w:rsid w:val="00E367D8"/>
    <w:rsid w:val="00E36B15"/>
    <w:rsid w:val="00E36B77"/>
    <w:rsid w:val="00E401F2"/>
    <w:rsid w:val="00E42094"/>
    <w:rsid w:val="00E42FCC"/>
    <w:rsid w:val="00E437CF"/>
    <w:rsid w:val="00E4387C"/>
    <w:rsid w:val="00E45287"/>
    <w:rsid w:val="00E46138"/>
    <w:rsid w:val="00E46235"/>
    <w:rsid w:val="00E466FD"/>
    <w:rsid w:val="00E47073"/>
    <w:rsid w:val="00E51C9A"/>
    <w:rsid w:val="00E52BCC"/>
    <w:rsid w:val="00E53835"/>
    <w:rsid w:val="00E559B3"/>
    <w:rsid w:val="00E55C5C"/>
    <w:rsid w:val="00E55F8A"/>
    <w:rsid w:val="00E5605A"/>
    <w:rsid w:val="00E565AA"/>
    <w:rsid w:val="00E56A3D"/>
    <w:rsid w:val="00E575CC"/>
    <w:rsid w:val="00E61B0A"/>
    <w:rsid w:val="00E641D0"/>
    <w:rsid w:val="00E64518"/>
    <w:rsid w:val="00E6668F"/>
    <w:rsid w:val="00E67CC9"/>
    <w:rsid w:val="00E67F2F"/>
    <w:rsid w:val="00E70523"/>
    <w:rsid w:val="00E7268E"/>
    <w:rsid w:val="00E72F38"/>
    <w:rsid w:val="00E7408F"/>
    <w:rsid w:val="00E77079"/>
    <w:rsid w:val="00E77957"/>
    <w:rsid w:val="00E77C19"/>
    <w:rsid w:val="00E77E9A"/>
    <w:rsid w:val="00E80392"/>
    <w:rsid w:val="00E80448"/>
    <w:rsid w:val="00E80EF8"/>
    <w:rsid w:val="00E81CDF"/>
    <w:rsid w:val="00E81F85"/>
    <w:rsid w:val="00E838E4"/>
    <w:rsid w:val="00E8414F"/>
    <w:rsid w:val="00E84D63"/>
    <w:rsid w:val="00E86793"/>
    <w:rsid w:val="00E87EC0"/>
    <w:rsid w:val="00E91012"/>
    <w:rsid w:val="00E912D3"/>
    <w:rsid w:val="00E91539"/>
    <w:rsid w:val="00E92599"/>
    <w:rsid w:val="00E92670"/>
    <w:rsid w:val="00E926F4"/>
    <w:rsid w:val="00E92D23"/>
    <w:rsid w:val="00E97610"/>
    <w:rsid w:val="00EA1547"/>
    <w:rsid w:val="00EA1A20"/>
    <w:rsid w:val="00EA31E6"/>
    <w:rsid w:val="00EA3AE1"/>
    <w:rsid w:val="00EA4E8C"/>
    <w:rsid w:val="00EA514A"/>
    <w:rsid w:val="00EA5319"/>
    <w:rsid w:val="00EA62FF"/>
    <w:rsid w:val="00EA64F7"/>
    <w:rsid w:val="00EB0F37"/>
    <w:rsid w:val="00EB1FD0"/>
    <w:rsid w:val="00EB2BD5"/>
    <w:rsid w:val="00EB48F2"/>
    <w:rsid w:val="00EB5E28"/>
    <w:rsid w:val="00EB6075"/>
    <w:rsid w:val="00EB616F"/>
    <w:rsid w:val="00EC0C1F"/>
    <w:rsid w:val="00EC2DD6"/>
    <w:rsid w:val="00EC2F66"/>
    <w:rsid w:val="00EC3034"/>
    <w:rsid w:val="00EC58F5"/>
    <w:rsid w:val="00EC5B9A"/>
    <w:rsid w:val="00EC66AD"/>
    <w:rsid w:val="00EC767E"/>
    <w:rsid w:val="00ED0AB2"/>
    <w:rsid w:val="00ED0AD8"/>
    <w:rsid w:val="00ED1143"/>
    <w:rsid w:val="00ED1C26"/>
    <w:rsid w:val="00ED3555"/>
    <w:rsid w:val="00ED3DAA"/>
    <w:rsid w:val="00ED4C04"/>
    <w:rsid w:val="00ED4EE6"/>
    <w:rsid w:val="00ED63CD"/>
    <w:rsid w:val="00ED76F7"/>
    <w:rsid w:val="00EE0536"/>
    <w:rsid w:val="00EE1C20"/>
    <w:rsid w:val="00EE2035"/>
    <w:rsid w:val="00EE262B"/>
    <w:rsid w:val="00EE2778"/>
    <w:rsid w:val="00EE2ECE"/>
    <w:rsid w:val="00EE3F60"/>
    <w:rsid w:val="00EE43DE"/>
    <w:rsid w:val="00EE52C7"/>
    <w:rsid w:val="00EE64B3"/>
    <w:rsid w:val="00EE7F70"/>
    <w:rsid w:val="00EF0788"/>
    <w:rsid w:val="00EF08C1"/>
    <w:rsid w:val="00EF13B6"/>
    <w:rsid w:val="00EF17EA"/>
    <w:rsid w:val="00EF1BB1"/>
    <w:rsid w:val="00EF2C07"/>
    <w:rsid w:val="00EF6141"/>
    <w:rsid w:val="00EF7196"/>
    <w:rsid w:val="00EF7202"/>
    <w:rsid w:val="00EF7989"/>
    <w:rsid w:val="00EF79A7"/>
    <w:rsid w:val="00F0074D"/>
    <w:rsid w:val="00F011CC"/>
    <w:rsid w:val="00F039FA"/>
    <w:rsid w:val="00F04DA1"/>
    <w:rsid w:val="00F06222"/>
    <w:rsid w:val="00F100AB"/>
    <w:rsid w:val="00F12017"/>
    <w:rsid w:val="00F129AC"/>
    <w:rsid w:val="00F14424"/>
    <w:rsid w:val="00F16F85"/>
    <w:rsid w:val="00F17B9F"/>
    <w:rsid w:val="00F21A4D"/>
    <w:rsid w:val="00F22395"/>
    <w:rsid w:val="00F22440"/>
    <w:rsid w:val="00F25328"/>
    <w:rsid w:val="00F263A9"/>
    <w:rsid w:val="00F2704D"/>
    <w:rsid w:val="00F27EAD"/>
    <w:rsid w:val="00F30437"/>
    <w:rsid w:val="00F30A60"/>
    <w:rsid w:val="00F3186A"/>
    <w:rsid w:val="00F31884"/>
    <w:rsid w:val="00F31E52"/>
    <w:rsid w:val="00F31F8C"/>
    <w:rsid w:val="00F327D5"/>
    <w:rsid w:val="00F32CF1"/>
    <w:rsid w:val="00F34B62"/>
    <w:rsid w:val="00F356E3"/>
    <w:rsid w:val="00F36031"/>
    <w:rsid w:val="00F3753A"/>
    <w:rsid w:val="00F40B93"/>
    <w:rsid w:val="00F40C30"/>
    <w:rsid w:val="00F40D06"/>
    <w:rsid w:val="00F437B3"/>
    <w:rsid w:val="00F43F0F"/>
    <w:rsid w:val="00F45333"/>
    <w:rsid w:val="00F45CA2"/>
    <w:rsid w:val="00F46CBC"/>
    <w:rsid w:val="00F47589"/>
    <w:rsid w:val="00F47CB8"/>
    <w:rsid w:val="00F503D6"/>
    <w:rsid w:val="00F506DE"/>
    <w:rsid w:val="00F50CDF"/>
    <w:rsid w:val="00F5175E"/>
    <w:rsid w:val="00F519B5"/>
    <w:rsid w:val="00F52352"/>
    <w:rsid w:val="00F535AE"/>
    <w:rsid w:val="00F5640C"/>
    <w:rsid w:val="00F57842"/>
    <w:rsid w:val="00F60F99"/>
    <w:rsid w:val="00F62309"/>
    <w:rsid w:val="00F63D78"/>
    <w:rsid w:val="00F63EAF"/>
    <w:rsid w:val="00F652DD"/>
    <w:rsid w:val="00F656B1"/>
    <w:rsid w:val="00F66156"/>
    <w:rsid w:val="00F665A6"/>
    <w:rsid w:val="00F67D6A"/>
    <w:rsid w:val="00F74D6E"/>
    <w:rsid w:val="00F764DE"/>
    <w:rsid w:val="00F76B55"/>
    <w:rsid w:val="00F76EE8"/>
    <w:rsid w:val="00F80A05"/>
    <w:rsid w:val="00F811D8"/>
    <w:rsid w:val="00F8349C"/>
    <w:rsid w:val="00F83532"/>
    <w:rsid w:val="00F8365B"/>
    <w:rsid w:val="00F83CFB"/>
    <w:rsid w:val="00F84C7F"/>
    <w:rsid w:val="00F84F9F"/>
    <w:rsid w:val="00F8669D"/>
    <w:rsid w:val="00F87A0F"/>
    <w:rsid w:val="00F90AD5"/>
    <w:rsid w:val="00F91377"/>
    <w:rsid w:val="00F92B5F"/>
    <w:rsid w:val="00F95439"/>
    <w:rsid w:val="00F95771"/>
    <w:rsid w:val="00F95A20"/>
    <w:rsid w:val="00F95D3D"/>
    <w:rsid w:val="00F97562"/>
    <w:rsid w:val="00FA0B4A"/>
    <w:rsid w:val="00FA1F3D"/>
    <w:rsid w:val="00FA202D"/>
    <w:rsid w:val="00FA2AC0"/>
    <w:rsid w:val="00FA36C7"/>
    <w:rsid w:val="00FA3DED"/>
    <w:rsid w:val="00FA75BD"/>
    <w:rsid w:val="00FA7C08"/>
    <w:rsid w:val="00FA7DF4"/>
    <w:rsid w:val="00FB2E55"/>
    <w:rsid w:val="00FB2E5C"/>
    <w:rsid w:val="00FB38F7"/>
    <w:rsid w:val="00FB3CA7"/>
    <w:rsid w:val="00FB3DF0"/>
    <w:rsid w:val="00FB4106"/>
    <w:rsid w:val="00FB5D4A"/>
    <w:rsid w:val="00FB6E64"/>
    <w:rsid w:val="00FC00DA"/>
    <w:rsid w:val="00FC0764"/>
    <w:rsid w:val="00FC11B8"/>
    <w:rsid w:val="00FC27C8"/>
    <w:rsid w:val="00FC3BEF"/>
    <w:rsid w:val="00FC3E98"/>
    <w:rsid w:val="00FC5BB6"/>
    <w:rsid w:val="00FC7BAB"/>
    <w:rsid w:val="00FD234B"/>
    <w:rsid w:val="00FD295F"/>
    <w:rsid w:val="00FD2FBD"/>
    <w:rsid w:val="00FD3CA4"/>
    <w:rsid w:val="00FD547E"/>
    <w:rsid w:val="00FD63A2"/>
    <w:rsid w:val="00FD70C3"/>
    <w:rsid w:val="00FD7D09"/>
    <w:rsid w:val="00FE076A"/>
    <w:rsid w:val="00FE165F"/>
    <w:rsid w:val="00FE1CFD"/>
    <w:rsid w:val="00FE24D5"/>
    <w:rsid w:val="00FE4EF2"/>
    <w:rsid w:val="00FE6ABB"/>
    <w:rsid w:val="00FE6B63"/>
    <w:rsid w:val="00FE7640"/>
    <w:rsid w:val="00FE7D1D"/>
    <w:rsid w:val="00FE7F68"/>
    <w:rsid w:val="00FF10C3"/>
    <w:rsid w:val="00FF19B3"/>
    <w:rsid w:val="00FF217F"/>
    <w:rsid w:val="00FF25F1"/>
    <w:rsid w:val="00FF3549"/>
    <w:rsid w:val="00FF394F"/>
    <w:rsid w:val="00FF4888"/>
    <w:rsid w:val="00FF5155"/>
    <w:rsid w:val="01057174"/>
    <w:rsid w:val="01066A48"/>
    <w:rsid w:val="01067C6D"/>
    <w:rsid w:val="013637D1"/>
    <w:rsid w:val="013F153F"/>
    <w:rsid w:val="014F15F4"/>
    <w:rsid w:val="0170404F"/>
    <w:rsid w:val="01750BE4"/>
    <w:rsid w:val="01A54983"/>
    <w:rsid w:val="01A6752C"/>
    <w:rsid w:val="01B06FD9"/>
    <w:rsid w:val="01B16C90"/>
    <w:rsid w:val="01BD686F"/>
    <w:rsid w:val="01C37C7A"/>
    <w:rsid w:val="01D63A4C"/>
    <w:rsid w:val="01E8048B"/>
    <w:rsid w:val="01F21292"/>
    <w:rsid w:val="01FA47FF"/>
    <w:rsid w:val="01FF0067"/>
    <w:rsid w:val="020411DA"/>
    <w:rsid w:val="020C4532"/>
    <w:rsid w:val="02117D9A"/>
    <w:rsid w:val="02131C18"/>
    <w:rsid w:val="022635D3"/>
    <w:rsid w:val="0234118D"/>
    <w:rsid w:val="023B6BC5"/>
    <w:rsid w:val="02491AB4"/>
    <w:rsid w:val="02535CBD"/>
    <w:rsid w:val="02563BEC"/>
    <w:rsid w:val="025C75C4"/>
    <w:rsid w:val="02605377"/>
    <w:rsid w:val="02673E61"/>
    <w:rsid w:val="026B1259"/>
    <w:rsid w:val="026F058F"/>
    <w:rsid w:val="02725CAB"/>
    <w:rsid w:val="027553C9"/>
    <w:rsid w:val="02785724"/>
    <w:rsid w:val="027D18EE"/>
    <w:rsid w:val="0288383F"/>
    <w:rsid w:val="028C11CF"/>
    <w:rsid w:val="02900CBF"/>
    <w:rsid w:val="02914A04"/>
    <w:rsid w:val="02935A19"/>
    <w:rsid w:val="02C054E1"/>
    <w:rsid w:val="02C60B85"/>
    <w:rsid w:val="02CD3CC1"/>
    <w:rsid w:val="02E10301"/>
    <w:rsid w:val="02FC0103"/>
    <w:rsid w:val="02FE3E7B"/>
    <w:rsid w:val="02FF5E45"/>
    <w:rsid w:val="030376E3"/>
    <w:rsid w:val="03195159"/>
    <w:rsid w:val="031C5C78"/>
    <w:rsid w:val="03280EF8"/>
    <w:rsid w:val="0328714A"/>
    <w:rsid w:val="033C2BF5"/>
    <w:rsid w:val="034026E5"/>
    <w:rsid w:val="03411FB9"/>
    <w:rsid w:val="034D095E"/>
    <w:rsid w:val="035717DD"/>
    <w:rsid w:val="0360556D"/>
    <w:rsid w:val="03702324"/>
    <w:rsid w:val="0383240D"/>
    <w:rsid w:val="038E1915"/>
    <w:rsid w:val="038F6C8C"/>
    <w:rsid w:val="03A04F32"/>
    <w:rsid w:val="03AC2AD6"/>
    <w:rsid w:val="03AD764F"/>
    <w:rsid w:val="03B86720"/>
    <w:rsid w:val="03BE7AAE"/>
    <w:rsid w:val="03C03826"/>
    <w:rsid w:val="03C4621C"/>
    <w:rsid w:val="03CB1081"/>
    <w:rsid w:val="03E2554B"/>
    <w:rsid w:val="03F31D20"/>
    <w:rsid w:val="04005FE3"/>
    <w:rsid w:val="040354C1"/>
    <w:rsid w:val="040613E8"/>
    <w:rsid w:val="040F20B8"/>
    <w:rsid w:val="042E7B48"/>
    <w:rsid w:val="0430275A"/>
    <w:rsid w:val="043B7F39"/>
    <w:rsid w:val="043C6D95"/>
    <w:rsid w:val="043F08EC"/>
    <w:rsid w:val="0443358A"/>
    <w:rsid w:val="044E101C"/>
    <w:rsid w:val="04545D1C"/>
    <w:rsid w:val="04584026"/>
    <w:rsid w:val="045A7F8C"/>
    <w:rsid w:val="04657F2A"/>
    <w:rsid w:val="046B19E4"/>
    <w:rsid w:val="0482288A"/>
    <w:rsid w:val="048B3E34"/>
    <w:rsid w:val="048C5A1D"/>
    <w:rsid w:val="04AC5B58"/>
    <w:rsid w:val="04B35139"/>
    <w:rsid w:val="04BD1B14"/>
    <w:rsid w:val="04C107A4"/>
    <w:rsid w:val="04D774AC"/>
    <w:rsid w:val="04DB1902"/>
    <w:rsid w:val="04EA11FD"/>
    <w:rsid w:val="04ED064B"/>
    <w:rsid w:val="04FD04E8"/>
    <w:rsid w:val="050B287F"/>
    <w:rsid w:val="050E015C"/>
    <w:rsid w:val="050E411D"/>
    <w:rsid w:val="05124E4C"/>
    <w:rsid w:val="05134BBC"/>
    <w:rsid w:val="051E25B2"/>
    <w:rsid w:val="05237BC9"/>
    <w:rsid w:val="052C7F9A"/>
    <w:rsid w:val="053B7608"/>
    <w:rsid w:val="05534E10"/>
    <w:rsid w:val="055B4129"/>
    <w:rsid w:val="055D3A3F"/>
    <w:rsid w:val="056B77C2"/>
    <w:rsid w:val="05863958"/>
    <w:rsid w:val="05882122"/>
    <w:rsid w:val="058C1C12"/>
    <w:rsid w:val="059D3E1F"/>
    <w:rsid w:val="05B34780"/>
    <w:rsid w:val="05B62F19"/>
    <w:rsid w:val="05C27EAF"/>
    <w:rsid w:val="05CA273A"/>
    <w:rsid w:val="05E87A57"/>
    <w:rsid w:val="05EC0902"/>
    <w:rsid w:val="05EE467B"/>
    <w:rsid w:val="05F23A3F"/>
    <w:rsid w:val="060D533B"/>
    <w:rsid w:val="060E4E71"/>
    <w:rsid w:val="06210E27"/>
    <w:rsid w:val="0624009C"/>
    <w:rsid w:val="062A2ACB"/>
    <w:rsid w:val="06340CEF"/>
    <w:rsid w:val="063F22EF"/>
    <w:rsid w:val="064F49ED"/>
    <w:rsid w:val="06500E91"/>
    <w:rsid w:val="065169B7"/>
    <w:rsid w:val="0655602B"/>
    <w:rsid w:val="06691F53"/>
    <w:rsid w:val="066B1D62"/>
    <w:rsid w:val="068E1DFA"/>
    <w:rsid w:val="068E3768"/>
    <w:rsid w:val="06952D48"/>
    <w:rsid w:val="069A7F6E"/>
    <w:rsid w:val="069C40D7"/>
    <w:rsid w:val="06AC0092"/>
    <w:rsid w:val="06B451EE"/>
    <w:rsid w:val="06C675DB"/>
    <w:rsid w:val="06DA0B31"/>
    <w:rsid w:val="0701218C"/>
    <w:rsid w:val="07125927"/>
    <w:rsid w:val="07195727"/>
    <w:rsid w:val="07302A71"/>
    <w:rsid w:val="07351E35"/>
    <w:rsid w:val="07391925"/>
    <w:rsid w:val="07506C6F"/>
    <w:rsid w:val="07553C2F"/>
    <w:rsid w:val="076215C9"/>
    <w:rsid w:val="0768044E"/>
    <w:rsid w:val="07694519"/>
    <w:rsid w:val="07782CB2"/>
    <w:rsid w:val="077E1E05"/>
    <w:rsid w:val="07830DF3"/>
    <w:rsid w:val="079216F8"/>
    <w:rsid w:val="07B471FE"/>
    <w:rsid w:val="07C05BA3"/>
    <w:rsid w:val="07CB4FD6"/>
    <w:rsid w:val="07D16002"/>
    <w:rsid w:val="07D969CB"/>
    <w:rsid w:val="07E32B27"/>
    <w:rsid w:val="07E55972"/>
    <w:rsid w:val="07EA0309"/>
    <w:rsid w:val="07EB4075"/>
    <w:rsid w:val="07FD4C28"/>
    <w:rsid w:val="08111BA2"/>
    <w:rsid w:val="08147C9D"/>
    <w:rsid w:val="08204893"/>
    <w:rsid w:val="082A5712"/>
    <w:rsid w:val="082C148A"/>
    <w:rsid w:val="083F0C97"/>
    <w:rsid w:val="08515AD6"/>
    <w:rsid w:val="085207C5"/>
    <w:rsid w:val="086230FE"/>
    <w:rsid w:val="08674449"/>
    <w:rsid w:val="086A3A96"/>
    <w:rsid w:val="08852948"/>
    <w:rsid w:val="0892144A"/>
    <w:rsid w:val="08A80FAA"/>
    <w:rsid w:val="08B172EF"/>
    <w:rsid w:val="08B66FA6"/>
    <w:rsid w:val="08D43172"/>
    <w:rsid w:val="08D86F1C"/>
    <w:rsid w:val="08DD6D78"/>
    <w:rsid w:val="08E84CD2"/>
    <w:rsid w:val="08E86271"/>
    <w:rsid w:val="08F16351"/>
    <w:rsid w:val="091B1F90"/>
    <w:rsid w:val="091E0C8A"/>
    <w:rsid w:val="09243E4C"/>
    <w:rsid w:val="0926237D"/>
    <w:rsid w:val="092B1819"/>
    <w:rsid w:val="0941024B"/>
    <w:rsid w:val="09453417"/>
    <w:rsid w:val="094B6716"/>
    <w:rsid w:val="095F1D10"/>
    <w:rsid w:val="096609CC"/>
    <w:rsid w:val="098826F0"/>
    <w:rsid w:val="098C72A4"/>
    <w:rsid w:val="09913200"/>
    <w:rsid w:val="09936D78"/>
    <w:rsid w:val="09970B85"/>
    <w:rsid w:val="099D3DC6"/>
    <w:rsid w:val="099F1CAE"/>
    <w:rsid w:val="09A82D92"/>
    <w:rsid w:val="09AA03D6"/>
    <w:rsid w:val="09AA6B0A"/>
    <w:rsid w:val="09B05932"/>
    <w:rsid w:val="09B40AAA"/>
    <w:rsid w:val="09B41999"/>
    <w:rsid w:val="09B51B61"/>
    <w:rsid w:val="09BE6112"/>
    <w:rsid w:val="09D557E1"/>
    <w:rsid w:val="09F14739"/>
    <w:rsid w:val="09F64F74"/>
    <w:rsid w:val="0A06409E"/>
    <w:rsid w:val="0A1026E6"/>
    <w:rsid w:val="0A1B4835"/>
    <w:rsid w:val="0A2C5771"/>
    <w:rsid w:val="0A3D71F3"/>
    <w:rsid w:val="0A4505E1"/>
    <w:rsid w:val="0A514034"/>
    <w:rsid w:val="0A5847B8"/>
    <w:rsid w:val="0A621193"/>
    <w:rsid w:val="0A623B32"/>
    <w:rsid w:val="0A631B68"/>
    <w:rsid w:val="0A645EC2"/>
    <w:rsid w:val="0A6C0264"/>
    <w:rsid w:val="0A7A60D5"/>
    <w:rsid w:val="0A7C485C"/>
    <w:rsid w:val="0A8037FE"/>
    <w:rsid w:val="0A86321F"/>
    <w:rsid w:val="0A8729A8"/>
    <w:rsid w:val="0A8B1561"/>
    <w:rsid w:val="0A9652E1"/>
    <w:rsid w:val="0A981059"/>
    <w:rsid w:val="0A9B6453"/>
    <w:rsid w:val="0AA03A6A"/>
    <w:rsid w:val="0AAF13ED"/>
    <w:rsid w:val="0AB87005"/>
    <w:rsid w:val="0AB94B2B"/>
    <w:rsid w:val="0ABB07E2"/>
    <w:rsid w:val="0AC742FB"/>
    <w:rsid w:val="0AD55E09"/>
    <w:rsid w:val="0AD6514D"/>
    <w:rsid w:val="0ADD3F63"/>
    <w:rsid w:val="0AE41600"/>
    <w:rsid w:val="0AF35E52"/>
    <w:rsid w:val="0AF60FB6"/>
    <w:rsid w:val="0B096735"/>
    <w:rsid w:val="0B1160B5"/>
    <w:rsid w:val="0B1340F4"/>
    <w:rsid w:val="0B187AA4"/>
    <w:rsid w:val="0B1B7594"/>
    <w:rsid w:val="0B1F0E32"/>
    <w:rsid w:val="0B1F378A"/>
    <w:rsid w:val="0B224D72"/>
    <w:rsid w:val="0B275F39"/>
    <w:rsid w:val="0B2C354F"/>
    <w:rsid w:val="0B354AFA"/>
    <w:rsid w:val="0B61769D"/>
    <w:rsid w:val="0B64718D"/>
    <w:rsid w:val="0B680A2B"/>
    <w:rsid w:val="0B6B051B"/>
    <w:rsid w:val="0B770C6E"/>
    <w:rsid w:val="0B795D43"/>
    <w:rsid w:val="0B867103"/>
    <w:rsid w:val="0B9178BD"/>
    <w:rsid w:val="0B995089"/>
    <w:rsid w:val="0B9D6F40"/>
    <w:rsid w:val="0B9E1E32"/>
    <w:rsid w:val="0BA17A99"/>
    <w:rsid w:val="0BA2385A"/>
    <w:rsid w:val="0BAB0715"/>
    <w:rsid w:val="0BC419DA"/>
    <w:rsid w:val="0BD936D7"/>
    <w:rsid w:val="0BE34556"/>
    <w:rsid w:val="0BE51A12"/>
    <w:rsid w:val="0BE65DF4"/>
    <w:rsid w:val="0BEB1753"/>
    <w:rsid w:val="0BFA364D"/>
    <w:rsid w:val="0C087B18"/>
    <w:rsid w:val="0C0A3890"/>
    <w:rsid w:val="0C0B13B7"/>
    <w:rsid w:val="0C1240DD"/>
    <w:rsid w:val="0C1F4E62"/>
    <w:rsid w:val="0C293400"/>
    <w:rsid w:val="0C430B50"/>
    <w:rsid w:val="0C4548C9"/>
    <w:rsid w:val="0C4F5747"/>
    <w:rsid w:val="0C5322A7"/>
    <w:rsid w:val="0C5A77D4"/>
    <w:rsid w:val="0C5F669B"/>
    <w:rsid w:val="0C6565D2"/>
    <w:rsid w:val="0C67733B"/>
    <w:rsid w:val="0C757885"/>
    <w:rsid w:val="0C7711FF"/>
    <w:rsid w:val="0C7A3073"/>
    <w:rsid w:val="0C7E7DDA"/>
    <w:rsid w:val="0C865C16"/>
    <w:rsid w:val="0C871385"/>
    <w:rsid w:val="0C9149E6"/>
    <w:rsid w:val="0C931FC6"/>
    <w:rsid w:val="0CA72637"/>
    <w:rsid w:val="0CE265BB"/>
    <w:rsid w:val="0CEF0CD8"/>
    <w:rsid w:val="0CF54541"/>
    <w:rsid w:val="0D1C5FB0"/>
    <w:rsid w:val="0D26294C"/>
    <w:rsid w:val="0D305579"/>
    <w:rsid w:val="0D41736C"/>
    <w:rsid w:val="0D4B3448"/>
    <w:rsid w:val="0D4B4161"/>
    <w:rsid w:val="0D914897"/>
    <w:rsid w:val="0D9553DC"/>
    <w:rsid w:val="0D9A4DC4"/>
    <w:rsid w:val="0D9B6D57"/>
    <w:rsid w:val="0DA52D0D"/>
    <w:rsid w:val="0DAB3889"/>
    <w:rsid w:val="0DB937C0"/>
    <w:rsid w:val="0DBE5370"/>
    <w:rsid w:val="0DC07312"/>
    <w:rsid w:val="0DE819AF"/>
    <w:rsid w:val="0DF540CC"/>
    <w:rsid w:val="0DF90060"/>
    <w:rsid w:val="0E2844A2"/>
    <w:rsid w:val="0E2F5830"/>
    <w:rsid w:val="0E417312"/>
    <w:rsid w:val="0E46673E"/>
    <w:rsid w:val="0E4A1DAC"/>
    <w:rsid w:val="0E52151F"/>
    <w:rsid w:val="0E6838E6"/>
    <w:rsid w:val="0E6B438E"/>
    <w:rsid w:val="0E72396F"/>
    <w:rsid w:val="0E98447E"/>
    <w:rsid w:val="0EC74F70"/>
    <w:rsid w:val="0ECC5CD4"/>
    <w:rsid w:val="0ED168E7"/>
    <w:rsid w:val="0EE7610B"/>
    <w:rsid w:val="0EEC5A45"/>
    <w:rsid w:val="0EF425D6"/>
    <w:rsid w:val="0F040A6B"/>
    <w:rsid w:val="0F072001"/>
    <w:rsid w:val="0F0942D3"/>
    <w:rsid w:val="0F1D38DB"/>
    <w:rsid w:val="0F20161D"/>
    <w:rsid w:val="0F2A424A"/>
    <w:rsid w:val="0F2C7899"/>
    <w:rsid w:val="0F3B1FB3"/>
    <w:rsid w:val="0F4470B9"/>
    <w:rsid w:val="0F4C2412"/>
    <w:rsid w:val="0F4E618A"/>
    <w:rsid w:val="0F587009"/>
    <w:rsid w:val="0F5E1D86"/>
    <w:rsid w:val="0F5E3F69"/>
    <w:rsid w:val="0F5F2145"/>
    <w:rsid w:val="0F5F3EF3"/>
    <w:rsid w:val="0F60300B"/>
    <w:rsid w:val="0F6239E3"/>
    <w:rsid w:val="0F661726"/>
    <w:rsid w:val="0F890A4B"/>
    <w:rsid w:val="0F8E45E4"/>
    <w:rsid w:val="0F9811B3"/>
    <w:rsid w:val="0FAE09D7"/>
    <w:rsid w:val="0FB3423F"/>
    <w:rsid w:val="0FC24482"/>
    <w:rsid w:val="0FCD3553"/>
    <w:rsid w:val="0FD03043"/>
    <w:rsid w:val="0FD7749C"/>
    <w:rsid w:val="0FF359FF"/>
    <w:rsid w:val="10086339"/>
    <w:rsid w:val="100A4157"/>
    <w:rsid w:val="100E0ADE"/>
    <w:rsid w:val="101702C9"/>
    <w:rsid w:val="10196955"/>
    <w:rsid w:val="102D13CE"/>
    <w:rsid w:val="10352221"/>
    <w:rsid w:val="10354C54"/>
    <w:rsid w:val="103A04C3"/>
    <w:rsid w:val="1040267F"/>
    <w:rsid w:val="104A4BA3"/>
    <w:rsid w:val="104A6F90"/>
    <w:rsid w:val="104E0F19"/>
    <w:rsid w:val="107512DB"/>
    <w:rsid w:val="107B4D5D"/>
    <w:rsid w:val="107D1AA2"/>
    <w:rsid w:val="107E1CEE"/>
    <w:rsid w:val="108B0D18"/>
    <w:rsid w:val="10A01480"/>
    <w:rsid w:val="10B33F30"/>
    <w:rsid w:val="10B71B0D"/>
    <w:rsid w:val="10BB33AB"/>
    <w:rsid w:val="10BC5375"/>
    <w:rsid w:val="10D25671"/>
    <w:rsid w:val="10E50428"/>
    <w:rsid w:val="10EE74A4"/>
    <w:rsid w:val="11036B00"/>
    <w:rsid w:val="111B6540"/>
    <w:rsid w:val="111D5135"/>
    <w:rsid w:val="112F5B47"/>
    <w:rsid w:val="11356F38"/>
    <w:rsid w:val="113849FC"/>
    <w:rsid w:val="11477335"/>
    <w:rsid w:val="11593D0E"/>
    <w:rsid w:val="11673533"/>
    <w:rsid w:val="1170063A"/>
    <w:rsid w:val="117619C8"/>
    <w:rsid w:val="11782C78"/>
    <w:rsid w:val="117874EE"/>
    <w:rsid w:val="118B4873"/>
    <w:rsid w:val="118D3C11"/>
    <w:rsid w:val="118E0AC0"/>
    <w:rsid w:val="11915461"/>
    <w:rsid w:val="11953C4B"/>
    <w:rsid w:val="11A64242"/>
    <w:rsid w:val="11A90729"/>
    <w:rsid w:val="11A976A8"/>
    <w:rsid w:val="11AB761C"/>
    <w:rsid w:val="11E06779"/>
    <w:rsid w:val="11E302D6"/>
    <w:rsid w:val="11E61731"/>
    <w:rsid w:val="11E93F48"/>
    <w:rsid w:val="11F03528"/>
    <w:rsid w:val="11F36B75"/>
    <w:rsid w:val="11FA7F03"/>
    <w:rsid w:val="1200766C"/>
    <w:rsid w:val="120314AE"/>
    <w:rsid w:val="120C3966"/>
    <w:rsid w:val="120C50A7"/>
    <w:rsid w:val="12136058"/>
    <w:rsid w:val="12170AB5"/>
    <w:rsid w:val="121C256F"/>
    <w:rsid w:val="121D7F24"/>
    <w:rsid w:val="121E5F18"/>
    <w:rsid w:val="12227CBE"/>
    <w:rsid w:val="12335617"/>
    <w:rsid w:val="12353631"/>
    <w:rsid w:val="123D337B"/>
    <w:rsid w:val="123E4294"/>
    <w:rsid w:val="12411633"/>
    <w:rsid w:val="125735A8"/>
    <w:rsid w:val="127C4DBC"/>
    <w:rsid w:val="127D4511"/>
    <w:rsid w:val="128309D9"/>
    <w:rsid w:val="12872167"/>
    <w:rsid w:val="128F4AEF"/>
    <w:rsid w:val="128F634E"/>
    <w:rsid w:val="12A23051"/>
    <w:rsid w:val="12A5482A"/>
    <w:rsid w:val="12A714B7"/>
    <w:rsid w:val="12B12137"/>
    <w:rsid w:val="12BE157D"/>
    <w:rsid w:val="12C10A21"/>
    <w:rsid w:val="12C67871"/>
    <w:rsid w:val="12CA3D79"/>
    <w:rsid w:val="12DE5A77"/>
    <w:rsid w:val="12FB3F33"/>
    <w:rsid w:val="12FE7EC7"/>
    <w:rsid w:val="130F3E82"/>
    <w:rsid w:val="1312127D"/>
    <w:rsid w:val="131A74E6"/>
    <w:rsid w:val="132D1C3B"/>
    <w:rsid w:val="133403D5"/>
    <w:rsid w:val="1335013A"/>
    <w:rsid w:val="1336163B"/>
    <w:rsid w:val="133B07D3"/>
    <w:rsid w:val="13511AEE"/>
    <w:rsid w:val="135217AB"/>
    <w:rsid w:val="13531FC1"/>
    <w:rsid w:val="135D59D1"/>
    <w:rsid w:val="13631AD8"/>
    <w:rsid w:val="1376180B"/>
    <w:rsid w:val="13854144"/>
    <w:rsid w:val="13855EF2"/>
    <w:rsid w:val="139B3968"/>
    <w:rsid w:val="139D423C"/>
    <w:rsid w:val="139D4FEA"/>
    <w:rsid w:val="139F5206"/>
    <w:rsid w:val="13A40AB1"/>
    <w:rsid w:val="13A5260B"/>
    <w:rsid w:val="13A61088"/>
    <w:rsid w:val="13C75B83"/>
    <w:rsid w:val="13DD188A"/>
    <w:rsid w:val="13F37300"/>
    <w:rsid w:val="14071F8B"/>
    <w:rsid w:val="14157276"/>
    <w:rsid w:val="141C0605"/>
    <w:rsid w:val="142A3B2F"/>
    <w:rsid w:val="14350C7C"/>
    <w:rsid w:val="14445DAD"/>
    <w:rsid w:val="14467AF4"/>
    <w:rsid w:val="14515DD5"/>
    <w:rsid w:val="14691370"/>
    <w:rsid w:val="146B48C5"/>
    <w:rsid w:val="147246C9"/>
    <w:rsid w:val="14726477"/>
    <w:rsid w:val="14774C4C"/>
    <w:rsid w:val="147F6DE6"/>
    <w:rsid w:val="1488269A"/>
    <w:rsid w:val="1494463F"/>
    <w:rsid w:val="14A469A9"/>
    <w:rsid w:val="14AC4982"/>
    <w:rsid w:val="14C224FA"/>
    <w:rsid w:val="14C60571"/>
    <w:rsid w:val="14D25167"/>
    <w:rsid w:val="14D26F15"/>
    <w:rsid w:val="14E60C13"/>
    <w:rsid w:val="14E629C1"/>
    <w:rsid w:val="14EB7B14"/>
    <w:rsid w:val="14F776E1"/>
    <w:rsid w:val="15015A4D"/>
    <w:rsid w:val="15064E11"/>
    <w:rsid w:val="15070492"/>
    <w:rsid w:val="15192D96"/>
    <w:rsid w:val="15210A86"/>
    <w:rsid w:val="153B1DB4"/>
    <w:rsid w:val="153E45AB"/>
    <w:rsid w:val="154C4F1A"/>
    <w:rsid w:val="15545B7C"/>
    <w:rsid w:val="15545C5B"/>
    <w:rsid w:val="156C736A"/>
    <w:rsid w:val="158D4F61"/>
    <w:rsid w:val="15940436"/>
    <w:rsid w:val="159F1222"/>
    <w:rsid w:val="15A24B3A"/>
    <w:rsid w:val="15A72150"/>
    <w:rsid w:val="15B939DD"/>
    <w:rsid w:val="15C727F2"/>
    <w:rsid w:val="15C745A0"/>
    <w:rsid w:val="15CE3B81"/>
    <w:rsid w:val="15DD5291"/>
    <w:rsid w:val="15E038B4"/>
    <w:rsid w:val="15EA028F"/>
    <w:rsid w:val="15EC4007"/>
    <w:rsid w:val="15F80BFE"/>
    <w:rsid w:val="16013F56"/>
    <w:rsid w:val="161377E5"/>
    <w:rsid w:val="161D0664"/>
    <w:rsid w:val="16234248"/>
    <w:rsid w:val="162C3A1E"/>
    <w:rsid w:val="162E25C4"/>
    <w:rsid w:val="163222C1"/>
    <w:rsid w:val="163360DA"/>
    <w:rsid w:val="16495F41"/>
    <w:rsid w:val="164B51D1"/>
    <w:rsid w:val="16532632"/>
    <w:rsid w:val="165F077A"/>
    <w:rsid w:val="16604466"/>
    <w:rsid w:val="166817B1"/>
    <w:rsid w:val="166D15EC"/>
    <w:rsid w:val="16722A60"/>
    <w:rsid w:val="167C0930"/>
    <w:rsid w:val="167C182F"/>
    <w:rsid w:val="16923870"/>
    <w:rsid w:val="16A42B33"/>
    <w:rsid w:val="16AB5220"/>
    <w:rsid w:val="16B32D77"/>
    <w:rsid w:val="16E026EA"/>
    <w:rsid w:val="16E3365C"/>
    <w:rsid w:val="16EA49EA"/>
    <w:rsid w:val="16F26181"/>
    <w:rsid w:val="16F271C0"/>
    <w:rsid w:val="16F56322"/>
    <w:rsid w:val="16FC471D"/>
    <w:rsid w:val="170B7443"/>
    <w:rsid w:val="170D06D9"/>
    <w:rsid w:val="171165D8"/>
    <w:rsid w:val="17160A11"/>
    <w:rsid w:val="171750B3"/>
    <w:rsid w:val="17176E19"/>
    <w:rsid w:val="171A3E41"/>
    <w:rsid w:val="1730632B"/>
    <w:rsid w:val="17347869"/>
    <w:rsid w:val="174A43B0"/>
    <w:rsid w:val="174D3905"/>
    <w:rsid w:val="17502005"/>
    <w:rsid w:val="175B0069"/>
    <w:rsid w:val="176522C3"/>
    <w:rsid w:val="1776627E"/>
    <w:rsid w:val="17780974"/>
    <w:rsid w:val="179D4D07"/>
    <w:rsid w:val="17A12797"/>
    <w:rsid w:val="17AE2E42"/>
    <w:rsid w:val="17BB0135"/>
    <w:rsid w:val="17BE67A2"/>
    <w:rsid w:val="17C50FB3"/>
    <w:rsid w:val="17C90B58"/>
    <w:rsid w:val="17D9680D"/>
    <w:rsid w:val="17DD454F"/>
    <w:rsid w:val="17EA0A1A"/>
    <w:rsid w:val="17EC4792"/>
    <w:rsid w:val="17F378CF"/>
    <w:rsid w:val="17F74B00"/>
    <w:rsid w:val="17FB4D47"/>
    <w:rsid w:val="180C35FF"/>
    <w:rsid w:val="18182EEA"/>
    <w:rsid w:val="181D4793"/>
    <w:rsid w:val="18300B23"/>
    <w:rsid w:val="18365B35"/>
    <w:rsid w:val="18383533"/>
    <w:rsid w:val="183C74C7"/>
    <w:rsid w:val="18510A99"/>
    <w:rsid w:val="18542DF3"/>
    <w:rsid w:val="185F6D12"/>
    <w:rsid w:val="18673625"/>
    <w:rsid w:val="187C3D68"/>
    <w:rsid w:val="18885359"/>
    <w:rsid w:val="188B3FAB"/>
    <w:rsid w:val="18925443"/>
    <w:rsid w:val="18954E2A"/>
    <w:rsid w:val="18A05273"/>
    <w:rsid w:val="18A43242"/>
    <w:rsid w:val="18A46E1B"/>
    <w:rsid w:val="18AF5EEB"/>
    <w:rsid w:val="18BA663E"/>
    <w:rsid w:val="18BE1E07"/>
    <w:rsid w:val="18D70F9E"/>
    <w:rsid w:val="18E53E06"/>
    <w:rsid w:val="18F16C54"/>
    <w:rsid w:val="18F338FE"/>
    <w:rsid w:val="18F54517"/>
    <w:rsid w:val="18FC4E47"/>
    <w:rsid w:val="18FE4B7F"/>
    <w:rsid w:val="1901426D"/>
    <w:rsid w:val="190653E0"/>
    <w:rsid w:val="190E24E6"/>
    <w:rsid w:val="190F2B7A"/>
    <w:rsid w:val="19236FA8"/>
    <w:rsid w:val="192E77AB"/>
    <w:rsid w:val="193D4507"/>
    <w:rsid w:val="194255A6"/>
    <w:rsid w:val="19445F08"/>
    <w:rsid w:val="194523AC"/>
    <w:rsid w:val="194B7B52"/>
    <w:rsid w:val="194E3A44"/>
    <w:rsid w:val="195A572B"/>
    <w:rsid w:val="19616ABA"/>
    <w:rsid w:val="19622BC3"/>
    <w:rsid w:val="196F789E"/>
    <w:rsid w:val="197113F3"/>
    <w:rsid w:val="1977452F"/>
    <w:rsid w:val="199D2E61"/>
    <w:rsid w:val="19A87759"/>
    <w:rsid w:val="19AA220F"/>
    <w:rsid w:val="19E33973"/>
    <w:rsid w:val="19E82D37"/>
    <w:rsid w:val="19EB0A7A"/>
    <w:rsid w:val="19F60A96"/>
    <w:rsid w:val="1A0B75BF"/>
    <w:rsid w:val="1A1B135F"/>
    <w:rsid w:val="1A2008D9"/>
    <w:rsid w:val="1A2A15A2"/>
    <w:rsid w:val="1A366198"/>
    <w:rsid w:val="1A3A7A37"/>
    <w:rsid w:val="1A3B730B"/>
    <w:rsid w:val="1A3D12D5"/>
    <w:rsid w:val="1A42440D"/>
    <w:rsid w:val="1A444595"/>
    <w:rsid w:val="1A4B1C44"/>
    <w:rsid w:val="1A4B1C64"/>
    <w:rsid w:val="1A5F3D37"/>
    <w:rsid w:val="1A620757"/>
    <w:rsid w:val="1A6E5932"/>
    <w:rsid w:val="1A74210C"/>
    <w:rsid w:val="1A850142"/>
    <w:rsid w:val="1A9B5929"/>
    <w:rsid w:val="1A9C249F"/>
    <w:rsid w:val="1A9E27D1"/>
    <w:rsid w:val="1AA9305D"/>
    <w:rsid w:val="1ABC664C"/>
    <w:rsid w:val="1AC63078"/>
    <w:rsid w:val="1AC92B69"/>
    <w:rsid w:val="1ACE15F7"/>
    <w:rsid w:val="1AE6371B"/>
    <w:rsid w:val="1AEB2ADF"/>
    <w:rsid w:val="1AEF6A73"/>
    <w:rsid w:val="1AF16BF5"/>
    <w:rsid w:val="1AFA71FA"/>
    <w:rsid w:val="1B0E2C71"/>
    <w:rsid w:val="1B1262BE"/>
    <w:rsid w:val="1B18764C"/>
    <w:rsid w:val="1B2A7AAB"/>
    <w:rsid w:val="1B2D0405"/>
    <w:rsid w:val="1B3A3A66"/>
    <w:rsid w:val="1B3A728B"/>
    <w:rsid w:val="1B494662"/>
    <w:rsid w:val="1B4F12C0"/>
    <w:rsid w:val="1B5F791C"/>
    <w:rsid w:val="1B6467B1"/>
    <w:rsid w:val="1B6D5A93"/>
    <w:rsid w:val="1B6F7443"/>
    <w:rsid w:val="1B710E65"/>
    <w:rsid w:val="1B811695"/>
    <w:rsid w:val="1B8E3619"/>
    <w:rsid w:val="1B9B4480"/>
    <w:rsid w:val="1BAD5FE6"/>
    <w:rsid w:val="1BAF5230"/>
    <w:rsid w:val="1BB2184F"/>
    <w:rsid w:val="1BB320DF"/>
    <w:rsid w:val="1BB43819"/>
    <w:rsid w:val="1BB6015A"/>
    <w:rsid w:val="1BC577D4"/>
    <w:rsid w:val="1BD01CD5"/>
    <w:rsid w:val="1BD47BA0"/>
    <w:rsid w:val="1BD9502D"/>
    <w:rsid w:val="1BE43404"/>
    <w:rsid w:val="1BEF349B"/>
    <w:rsid w:val="1BEF4DD2"/>
    <w:rsid w:val="1BF172C8"/>
    <w:rsid w:val="1C006A5E"/>
    <w:rsid w:val="1C073948"/>
    <w:rsid w:val="1C085913"/>
    <w:rsid w:val="1C1471EE"/>
    <w:rsid w:val="1C25458B"/>
    <w:rsid w:val="1C3B1844"/>
    <w:rsid w:val="1C466C24"/>
    <w:rsid w:val="1C567F41"/>
    <w:rsid w:val="1C580648"/>
    <w:rsid w:val="1C5B1EE6"/>
    <w:rsid w:val="1C60574F"/>
    <w:rsid w:val="1C6A567F"/>
    <w:rsid w:val="1C7B24E2"/>
    <w:rsid w:val="1C7B7E93"/>
    <w:rsid w:val="1C8431EB"/>
    <w:rsid w:val="1C8A66C6"/>
    <w:rsid w:val="1C913B5A"/>
    <w:rsid w:val="1C915908"/>
    <w:rsid w:val="1C99078D"/>
    <w:rsid w:val="1C9B0535"/>
    <w:rsid w:val="1C9B44DF"/>
    <w:rsid w:val="1CB33A9D"/>
    <w:rsid w:val="1CC56BA8"/>
    <w:rsid w:val="1CE830E8"/>
    <w:rsid w:val="1CF41996"/>
    <w:rsid w:val="1CFC0FD3"/>
    <w:rsid w:val="1D0600A4"/>
    <w:rsid w:val="1D0A4513"/>
    <w:rsid w:val="1D202C3D"/>
    <w:rsid w:val="1D37200B"/>
    <w:rsid w:val="1D3A7D4E"/>
    <w:rsid w:val="1D3B7BAB"/>
    <w:rsid w:val="1D4961E3"/>
    <w:rsid w:val="1D497F91"/>
    <w:rsid w:val="1D4E5555"/>
    <w:rsid w:val="1D5A3F4C"/>
    <w:rsid w:val="1D5F77B4"/>
    <w:rsid w:val="1D6133EA"/>
    <w:rsid w:val="1D707149"/>
    <w:rsid w:val="1D886D0B"/>
    <w:rsid w:val="1D974B4F"/>
    <w:rsid w:val="1D9A7753"/>
    <w:rsid w:val="1D9C6312"/>
    <w:rsid w:val="1DBA2C3C"/>
    <w:rsid w:val="1DC76EA5"/>
    <w:rsid w:val="1DCF218F"/>
    <w:rsid w:val="1DDC5AED"/>
    <w:rsid w:val="1DDE2DCF"/>
    <w:rsid w:val="1DF054A4"/>
    <w:rsid w:val="1DF61EC7"/>
    <w:rsid w:val="1E066729"/>
    <w:rsid w:val="1E135EC4"/>
    <w:rsid w:val="1E1E141D"/>
    <w:rsid w:val="1E251AEF"/>
    <w:rsid w:val="1E2C58E8"/>
    <w:rsid w:val="1E3173A3"/>
    <w:rsid w:val="1E3E73CA"/>
    <w:rsid w:val="1E51534F"/>
    <w:rsid w:val="1E5906A7"/>
    <w:rsid w:val="1E5C2E36"/>
    <w:rsid w:val="1E5D1F46"/>
    <w:rsid w:val="1E6246C9"/>
    <w:rsid w:val="1E65704C"/>
    <w:rsid w:val="1E682B71"/>
    <w:rsid w:val="1E6A2BB9"/>
    <w:rsid w:val="1E7828DC"/>
    <w:rsid w:val="1E7D5D04"/>
    <w:rsid w:val="1E7E1EBC"/>
    <w:rsid w:val="1E832C89"/>
    <w:rsid w:val="1E915BF5"/>
    <w:rsid w:val="1E9268FB"/>
    <w:rsid w:val="1E960FB4"/>
    <w:rsid w:val="1E965458"/>
    <w:rsid w:val="1E967206"/>
    <w:rsid w:val="1E9B0CC0"/>
    <w:rsid w:val="1E9F430C"/>
    <w:rsid w:val="1EA44B74"/>
    <w:rsid w:val="1EA71413"/>
    <w:rsid w:val="1EB12291"/>
    <w:rsid w:val="1EDA05E9"/>
    <w:rsid w:val="1EE241F9"/>
    <w:rsid w:val="1EE45B5C"/>
    <w:rsid w:val="1EF53DF7"/>
    <w:rsid w:val="1F06438B"/>
    <w:rsid w:val="1F0E3D0A"/>
    <w:rsid w:val="1F0F2CD5"/>
    <w:rsid w:val="1F220A99"/>
    <w:rsid w:val="1F2955B8"/>
    <w:rsid w:val="1F2E11D5"/>
    <w:rsid w:val="1F30765A"/>
    <w:rsid w:val="1F3A78D9"/>
    <w:rsid w:val="1F5A0233"/>
    <w:rsid w:val="1F6B68E4"/>
    <w:rsid w:val="1F6D2AA3"/>
    <w:rsid w:val="1F7F7583"/>
    <w:rsid w:val="1F8578F7"/>
    <w:rsid w:val="1F8F25D3"/>
    <w:rsid w:val="1F9E434E"/>
    <w:rsid w:val="1F9F20EA"/>
    <w:rsid w:val="1FA5199D"/>
    <w:rsid w:val="1FA87F4E"/>
    <w:rsid w:val="1FB05EDC"/>
    <w:rsid w:val="1FB12D69"/>
    <w:rsid w:val="1FB223E3"/>
    <w:rsid w:val="1FB57614"/>
    <w:rsid w:val="1FB750D0"/>
    <w:rsid w:val="1FD75D28"/>
    <w:rsid w:val="1FE32951"/>
    <w:rsid w:val="1FE457F0"/>
    <w:rsid w:val="1FEC3E85"/>
    <w:rsid w:val="1FEF1CA8"/>
    <w:rsid w:val="200A1C59"/>
    <w:rsid w:val="200A4B94"/>
    <w:rsid w:val="2012137F"/>
    <w:rsid w:val="20165509"/>
    <w:rsid w:val="201725C8"/>
    <w:rsid w:val="20230F6D"/>
    <w:rsid w:val="202C4612"/>
    <w:rsid w:val="20424711"/>
    <w:rsid w:val="20424D52"/>
    <w:rsid w:val="20550C2C"/>
    <w:rsid w:val="206155F1"/>
    <w:rsid w:val="207B66B3"/>
    <w:rsid w:val="207F2647"/>
    <w:rsid w:val="20850F5E"/>
    <w:rsid w:val="20895274"/>
    <w:rsid w:val="20931C4F"/>
    <w:rsid w:val="209D487B"/>
    <w:rsid w:val="20A200E4"/>
    <w:rsid w:val="20AF2801"/>
    <w:rsid w:val="20BA4148"/>
    <w:rsid w:val="20BE05A6"/>
    <w:rsid w:val="20CC33B3"/>
    <w:rsid w:val="20DD111C"/>
    <w:rsid w:val="20E05897"/>
    <w:rsid w:val="20E51AC6"/>
    <w:rsid w:val="20EB1A8B"/>
    <w:rsid w:val="20EE433F"/>
    <w:rsid w:val="20F747FD"/>
    <w:rsid w:val="20F87D04"/>
    <w:rsid w:val="20FA6B9C"/>
    <w:rsid w:val="21004E0A"/>
    <w:rsid w:val="210A48A6"/>
    <w:rsid w:val="21130B20"/>
    <w:rsid w:val="211D15C9"/>
    <w:rsid w:val="212D0CFA"/>
    <w:rsid w:val="2136082C"/>
    <w:rsid w:val="213A039E"/>
    <w:rsid w:val="214271D1"/>
    <w:rsid w:val="21503644"/>
    <w:rsid w:val="21556FDA"/>
    <w:rsid w:val="215A451A"/>
    <w:rsid w:val="21665046"/>
    <w:rsid w:val="21690C01"/>
    <w:rsid w:val="218925D5"/>
    <w:rsid w:val="21A5209B"/>
    <w:rsid w:val="21B93937"/>
    <w:rsid w:val="21D249F9"/>
    <w:rsid w:val="21DA565B"/>
    <w:rsid w:val="21EC1864"/>
    <w:rsid w:val="21F04E7F"/>
    <w:rsid w:val="21F13065"/>
    <w:rsid w:val="21F20BF7"/>
    <w:rsid w:val="220152DE"/>
    <w:rsid w:val="22140B6D"/>
    <w:rsid w:val="22161544"/>
    <w:rsid w:val="221C2118"/>
    <w:rsid w:val="2228286B"/>
    <w:rsid w:val="222A288D"/>
    <w:rsid w:val="223A6A8A"/>
    <w:rsid w:val="223E208E"/>
    <w:rsid w:val="223E5F68"/>
    <w:rsid w:val="224209D2"/>
    <w:rsid w:val="2244042B"/>
    <w:rsid w:val="224551CB"/>
    <w:rsid w:val="224F6049"/>
    <w:rsid w:val="225673D8"/>
    <w:rsid w:val="22745AB0"/>
    <w:rsid w:val="22780294"/>
    <w:rsid w:val="22811D26"/>
    <w:rsid w:val="22813D29"/>
    <w:rsid w:val="22833F45"/>
    <w:rsid w:val="228F19D4"/>
    <w:rsid w:val="228F31DD"/>
    <w:rsid w:val="2290670E"/>
    <w:rsid w:val="229D01CA"/>
    <w:rsid w:val="22A94DB1"/>
    <w:rsid w:val="22C02987"/>
    <w:rsid w:val="22D12F02"/>
    <w:rsid w:val="22D1390C"/>
    <w:rsid w:val="22E1742B"/>
    <w:rsid w:val="22F63A00"/>
    <w:rsid w:val="22FD0F3F"/>
    <w:rsid w:val="23137C8F"/>
    <w:rsid w:val="231F3993"/>
    <w:rsid w:val="23203542"/>
    <w:rsid w:val="232474D6"/>
    <w:rsid w:val="23265AD1"/>
    <w:rsid w:val="2331337E"/>
    <w:rsid w:val="233201D1"/>
    <w:rsid w:val="23414136"/>
    <w:rsid w:val="2342189F"/>
    <w:rsid w:val="234E1E7E"/>
    <w:rsid w:val="234E3190"/>
    <w:rsid w:val="234E6301"/>
    <w:rsid w:val="235A6A54"/>
    <w:rsid w:val="23733FB9"/>
    <w:rsid w:val="23737B15"/>
    <w:rsid w:val="237E3B0E"/>
    <w:rsid w:val="239301B8"/>
    <w:rsid w:val="23A46E10"/>
    <w:rsid w:val="23AD200F"/>
    <w:rsid w:val="23B6403B"/>
    <w:rsid w:val="23C02979"/>
    <w:rsid w:val="23C67823"/>
    <w:rsid w:val="23CB7951"/>
    <w:rsid w:val="23CD191B"/>
    <w:rsid w:val="23E9655A"/>
    <w:rsid w:val="23EB3FB0"/>
    <w:rsid w:val="23EE3640"/>
    <w:rsid w:val="23F724F4"/>
    <w:rsid w:val="23FF35EE"/>
    <w:rsid w:val="24015121"/>
    <w:rsid w:val="24092228"/>
    <w:rsid w:val="24130A2C"/>
    <w:rsid w:val="241923D8"/>
    <w:rsid w:val="2423778D"/>
    <w:rsid w:val="24286B52"/>
    <w:rsid w:val="24431BDE"/>
    <w:rsid w:val="244B45EE"/>
    <w:rsid w:val="24575689"/>
    <w:rsid w:val="246102B6"/>
    <w:rsid w:val="246A43B5"/>
    <w:rsid w:val="246F4781"/>
    <w:rsid w:val="247955FF"/>
    <w:rsid w:val="248B0E8F"/>
    <w:rsid w:val="248E681C"/>
    <w:rsid w:val="248F6BD1"/>
    <w:rsid w:val="24903FC8"/>
    <w:rsid w:val="249661B1"/>
    <w:rsid w:val="249A5D26"/>
    <w:rsid w:val="24A21970"/>
    <w:rsid w:val="24AD1521"/>
    <w:rsid w:val="24AF2DCF"/>
    <w:rsid w:val="24C10CB8"/>
    <w:rsid w:val="24CA19B7"/>
    <w:rsid w:val="24CE535D"/>
    <w:rsid w:val="24D46807"/>
    <w:rsid w:val="24E66796"/>
    <w:rsid w:val="24EC7B7F"/>
    <w:rsid w:val="24ED56A6"/>
    <w:rsid w:val="24F44C86"/>
    <w:rsid w:val="24FD3B3B"/>
    <w:rsid w:val="25061B0D"/>
    <w:rsid w:val="250671CD"/>
    <w:rsid w:val="25143CF0"/>
    <w:rsid w:val="252A68FA"/>
    <w:rsid w:val="253F2829"/>
    <w:rsid w:val="254C6870"/>
    <w:rsid w:val="25567AC1"/>
    <w:rsid w:val="25592D3B"/>
    <w:rsid w:val="255D0A7D"/>
    <w:rsid w:val="255D6CCF"/>
    <w:rsid w:val="256A1389"/>
    <w:rsid w:val="256D7129"/>
    <w:rsid w:val="257C0AB4"/>
    <w:rsid w:val="258129BE"/>
    <w:rsid w:val="25832019"/>
    <w:rsid w:val="25B632A2"/>
    <w:rsid w:val="25BD60F8"/>
    <w:rsid w:val="25C64874"/>
    <w:rsid w:val="25CD414C"/>
    <w:rsid w:val="25CE54D7"/>
    <w:rsid w:val="25CE6675"/>
    <w:rsid w:val="25D0724F"/>
    <w:rsid w:val="25D54AB7"/>
    <w:rsid w:val="25DD571A"/>
    <w:rsid w:val="25FB33C0"/>
    <w:rsid w:val="25FD5DBC"/>
    <w:rsid w:val="260B3B66"/>
    <w:rsid w:val="260D2485"/>
    <w:rsid w:val="2619104E"/>
    <w:rsid w:val="261D2218"/>
    <w:rsid w:val="262204BB"/>
    <w:rsid w:val="2624159B"/>
    <w:rsid w:val="26282555"/>
    <w:rsid w:val="26345C82"/>
    <w:rsid w:val="264C3087"/>
    <w:rsid w:val="264E003E"/>
    <w:rsid w:val="2650617A"/>
    <w:rsid w:val="265956E8"/>
    <w:rsid w:val="26663961"/>
    <w:rsid w:val="26785B58"/>
    <w:rsid w:val="26874ADD"/>
    <w:rsid w:val="26883DDF"/>
    <w:rsid w:val="268E39D0"/>
    <w:rsid w:val="26971D6D"/>
    <w:rsid w:val="26B84233"/>
    <w:rsid w:val="26C2682C"/>
    <w:rsid w:val="26C30DB4"/>
    <w:rsid w:val="26C71330"/>
    <w:rsid w:val="26C8394B"/>
    <w:rsid w:val="26DF30C5"/>
    <w:rsid w:val="26F60889"/>
    <w:rsid w:val="26FB0581"/>
    <w:rsid w:val="26FB67A0"/>
    <w:rsid w:val="2701720E"/>
    <w:rsid w:val="270E64D3"/>
    <w:rsid w:val="2724131F"/>
    <w:rsid w:val="272730F1"/>
    <w:rsid w:val="272950BB"/>
    <w:rsid w:val="272F6449"/>
    <w:rsid w:val="273322D8"/>
    <w:rsid w:val="27363334"/>
    <w:rsid w:val="273C0B54"/>
    <w:rsid w:val="273D6BDD"/>
    <w:rsid w:val="274041B2"/>
    <w:rsid w:val="27493F03"/>
    <w:rsid w:val="2751016E"/>
    <w:rsid w:val="27516233"/>
    <w:rsid w:val="27532138"/>
    <w:rsid w:val="275D6038"/>
    <w:rsid w:val="27831501"/>
    <w:rsid w:val="2796419F"/>
    <w:rsid w:val="27994FDC"/>
    <w:rsid w:val="27AC223A"/>
    <w:rsid w:val="27AC5D17"/>
    <w:rsid w:val="27BC5F2F"/>
    <w:rsid w:val="27C13545"/>
    <w:rsid w:val="27C44C6A"/>
    <w:rsid w:val="27C44DE4"/>
    <w:rsid w:val="27D5433F"/>
    <w:rsid w:val="27D8263D"/>
    <w:rsid w:val="27E66C51"/>
    <w:rsid w:val="27E871D8"/>
    <w:rsid w:val="2801136F"/>
    <w:rsid w:val="282615FA"/>
    <w:rsid w:val="282F43ED"/>
    <w:rsid w:val="28341582"/>
    <w:rsid w:val="283A50A6"/>
    <w:rsid w:val="283A73AF"/>
    <w:rsid w:val="28436EE8"/>
    <w:rsid w:val="28577A06"/>
    <w:rsid w:val="285E0D94"/>
    <w:rsid w:val="28616AD6"/>
    <w:rsid w:val="2869212A"/>
    <w:rsid w:val="286B1703"/>
    <w:rsid w:val="286D547B"/>
    <w:rsid w:val="28781153"/>
    <w:rsid w:val="287A36F4"/>
    <w:rsid w:val="288E0F4E"/>
    <w:rsid w:val="28926C90"/>
    <w:rsid w:val="28B22E8E"/>
    <w:rsid w:val="28B23449"/>
    <w:rsid w:val="28C45C28"/>
    <w:rsid w:val="28CA467C"/>
    <w:rsid w:val="28CF57EE"/>
    <w:rsid w:val="28D52F2F"/>
    <w:rsid w:val="28D9041B"/>
    <w:rsid w:val="28DF17A9"/>
    <w:rsid w:val="28E73468"/>
    <w:rsid w:val="28F45255"/>
    <w:rsid w:val="28F90E8E"/>
    <w:rsid w:val="28FB3D1E"/>
    <w:rsid w:val="2903193C"/>
    <w:rsid w:val="290A78CA"/>
    <w:rsid w:val="292A593C"/>
    <w:rsid w:val="29312005"/>
    <w:rsid w:val="29332221"/>
    <w:rsid w:val="293937BE"/>
    <w:rsid w:val="29532E4A"/>
    <w:rsid w:val="295B1778"/>
    <w:rsid w:val="296248B4"/>
    <w:rsid w:val="29695C42"/>
    <w:rsid w:val="296E14AB"/>
    <w:rsid w:val="2973086F"/>
    <w:rsid w:val="29734DED"/>
    <w:rsid w:val="297B7724"/>
    <w:rsid w:val="297E372E"/>
    <w:rsid w:val="298567F4"/>
    <w:rsid w:val="29884C0C"/>
    <w:rsid w:val="298E38FB"/>
    <w:rsid w:val="298E55CE"/>
    <w:rsid w:val="299627B0"/>
    <w:rsid w:val="299B1B74"/>
    <w:rsid w:val="299D779B"/>
    <w:rsid w:val="29A30A29"/>
    <w:rsid w:val="29A63D74"/>
    <w:rsid w:val="29B35110"/>
    <w:rsid w:val="29B570DA"/>
    <w:rsid w:val="29B727FF"/>
    <w:rsid w:val="29CC7F7F"/>
    <w:rsid w:val="29CE03E2"/>
    <w:rsid w:val="29CE557B"/>
    <w:rsid w:val="29D92C5B"/>
    <w:rsid w:val="29DA2F38"/>
    <w:rsid w:val="29E21551"/>
    <w:rsid w:val="29E96D83"/>
    <w:rsid w:val="29EA720F"/>
    <w:rsid w:val="29F17B2D"/>
    <w:rsid w:val="29F67DD8"/>
    <w:rsid w:val="29FB0865"/>
    <w:rsid w:val="2A021BF3"/>
    <w:rsid w:val="2A03505C"/>
    <w:rsid w:val="2A05411D"/>
    <w:rsid w:val="2A07545B"/>
    <w:rsid w:val="2A0C65CE"/>
    <w:rsid w:val="2A135BAE"/>
    <w:rsid w:val="2A2220BD"/>
    <w:rsid w:val="2A2E1D85"/>
    <w:rsid w:val="2A351FC9"/>
    <w:rsid w:val="2A377AEF"/>
    <w:rsid w:val="2A3C1C81"/>
    <w:rsid w:val="2A3F419A"/>
    <w:rsid w:val="2A4677DB"/>
    <w:rsid w:val="2A494F0E"/>
    <w:rsid w:val="2A53244F"/>
    <w:rsid w:val="2A5C1303"/>
    <w:rsid w:val="2A5E151F"/>
    <w:rsid w:val="2A652262"/>
    <w:rsid w:val="2A687324"/>
    <w:rsid w:val="2A6C6F47"/>
    <w:rsid w:val="2A721C0B"/>
    <w:rsid w:val="2A7228D5"/>
    <w:rsid w:val="2A726D79"/>
    <w:rsid w:val="2A7457F2"/>
    <w:rsid w:val="2A781C6B"/>
    <w:rsid w:val="2A7D2C19"/>
    <w:rsid w:val="2A8D5961"/>
    <w:rsid w:val="2A9A1E2C"/>
    <w:rsid w:val="2A9C3DF6"/>
    <w:rsid w:val="2AA60BED"/>
    <w:rsid w:val="2AA84549"/>
    <w:rsid w:val="2AB0164F"/>
    <w:rsid w:val="2AB32EED"/>
    <w:rsid w:val="2AB8137F"/>
    <w:rsid w:val="2ABF0496"/>
    <w:rsid w:val="2AE13D8A"/>
    <w:rsid w:val="2AE44ECD"/>
    <w:rsid w:val="2AEC190C"/>
    <w:rsid w:val="2AFA28CA"/>
    <w:rsid w:val="2B275DB5"/>
    <w:rsid w:val="2B2B6F28"/>
    <w:rsid w:val="2B2F5125"/>
    <w:rsid w:val="2B365FF8"/>
    <w:rsid w:val="2B3B360F"/>
    <w:rsid w:val="2B400C25"/>
    <w:rsid w:val="2B4C1378"/>
    <w:rsid w:val="2B514BE0"/>
    <w:rsid w:val="2B5B60E3"/>
    <w:rsid w:val="2B60606F"/>
    <w:rsid w:val="2B64065D"/>
    <w:rsid w:val="2B687849"/>
    <w:rsid w:val="2B712F9E"/>
    <w:rsid w:val="2B7263DC"/>
    <w:rsid w:val="2B7A4563"/>
    <w:rsid w:val="2B7F17EC"/>
    <w:rsid w:val="2B960845"/>
    <w:rsid w:val="2B9B3F1D"/>
    <w:rsid w:val="2B9D6077"/>
    <w:rsid w:val="2BB015CA"/>
    <w:rsid w:val="2BB86A0D"/>
    <w:rsid w:val="2BBA5F3F"/>
    <w:rsid w:val="2BC018E5"/>
    <w:rsid w:val="2BC25ADE"/>
    <w:rsid w:val="2BC2788C"/>
    <w:rsid w:val="2BC36512"/>
    <w:rsid w:val="2BCA4358"/>
    <w:rsid w:val="2BD06134"/>
    <w:rsid w:val="2BD07226"/>
    <w:rsid w:val="2BDD216F"/>
    <w:rsid w:val="2BDD3CE2"/>
    <w:rsid w:val="2BDF3837"/>
    <w:rsid w:val="2BE70FF2"/>
    <w:rsid w:val="2BFF63EA"/>
    <w:rsid w:val="2C0167A4"/>
    <w:rsid w:val="2C0B1233"/>
    <w:rsid w:val="2C0F0241"/>
    <w:rsid w:val="2C105B04"/>
    <w:rsid w:val="2C244D24"/>
    <w:rsid w:val="2C302C17"/>
    <w:rsid w:val="2C4B7881"/>
    <w:rsid w:val="2C552473"/>
    <w:rsid w:val="2C5B55EB"/>
    <w:rsid w:val="2C624BCB"/>
    <w:rsid w:val="2C637761"/>
    <w:rsid w:val="2C654E9E"/>
    <w:rsid w:val="2C73502A"/>
    <w:rsid w:val="2C820DC9"/>
    <w:rsid w:val="2C866B0B"/>
    <w:rsid w:val="2C8B35E0"/>
    <w:rsid w:val="2C931796"/>
    <w:rsid w:val="2C9E3E55"/>
    <w:rsid w:val="2CB456FF"/>
    <w:rsid w:val="2CB506D9"/>
    <w:rsid w:val="2CCD473A"/>
    <w:rsid w:val="2CDC2BCF"/>
    <w:rsid w:val="2CDE06F5"/>
    <w:rsid w:val="2CE96E96"/>
    <w:rsid w:val="2D055F0E"/>
    <w:rsid w:val="2D077E77"/>
    <w:rsid w:val="2D1259F8"/>
    <w:rsid w:val="2D1E7023"/>
    <w:rsid w:val="2D1F7C98"/>
    <w:rsid w:val="2D26209C"/>
    <w:rsid w:val="2D2C76B3"/>
    <w:rsid w:val="2D2F0F51"/>
    <w:rsid w:val="2D3348B6"/>
    <w:rsid w:val="2D376058"/>
    <w:rsid w:val="2D412A32"/>
    <w:rsid w:val="2D450775"/>
    <w:rsid w:val="2D4A7B39"/>
    <w:rsid w:val="2D4C3D73"/>
    <w:rsid w:val="2D5270C9"/>
    <w:rsid w:val="2D5A2C02"/>
    <w:rsid w:val="2D5C7484"/>
    <w:rsid w:val="2D6667E9"/>
    <w:rsid w:val="2D7023C3"/>
    <w:rsid w:val="2D7352E2"/>
    <w:rsid w:val="2D7745C4"/>
    <w:rsid w:val="2D880661"/>
    <w:rsid w:val="2D937732"/>
    <w:rsid w:val="2DB31B82"/>
    <w:rsid w:val="2DBA21A7"/>
    <w:rsid w:val="2DBA7442"/>
    <w:rsid w:val="2DBA7818"/>
    <w:rsid w:val="2DCC054E"/>
    <w:rsid w:val="2DDE509E"/>
    <w:rsid w:val="2DDE5778"/>
    <w:rsid w:val="2DDF30FF"/>
    <w:rsid w:val="2DDF716B"/>
    <w:rsid w:val="2DF20ACA"/>
    <w:rsid w:val="2DFB7E63"/>
    <w:rsid w:val="2DFE521A"/>
    <w:rsid w:val="2E08177A"/>
    <w:rsid w:val="2E0A2E34"/>
    <w:rsid w:val="2E0F48DF"/>
    <w:rsid w:val="2E110657"/>
    <w:rsid w:val="2E113916"/>
    <w:rsid w:val="2E1343CF"/>
    <w:rsid w:val="2E232817"/>
    <w:rsid w:val="2E2371BA"/>
    <w:rsid w:val="2E29075F"/>
    <w:rsid w:val="2E352597"/>
    <w:rsid w:val="2E4C0EB0"/>
    <w:rsid w:val="2E644C2A"/>
    <w:rsid w:val="2E7330BF"/>
    <w:rsid w:val="2E761B89"/>
    <w:rsid w:val="2E8257F8"/>
    <w:rsid w:val="2E8452CD"/>
    <w:rsid w:val="2E8930AE"/>
    <w:rsid w:val="2E976DAE"/>
    <w:rsid w:val="2EB72FAC"/>
    <w:rsid w:val="2EB82BBE"/>
    <w:rsid w:val="2EC72D54"/>
    <w:rsid w:val="2EDF69A7"/>
    <w:rsid w:val="2EE1543E"/>
    <w:rsid w:val="2EE50403"/>
    <w:rsid w:val="2F0723A0"/>
    <w:rsid w:val="2F2A437C"/>
    <w:rsid w:val="2F2E2CBF"/>
    <w:rsid w:val="2F45680A"/>
    <w:rsid w:val="2F554D7B"/>
    <w:rsid w:val="2F566C69"/>
    <w:rsid w:val="2F620A76"/>
    <w:rsid w:val="2F6E3ADA"/>
    <w:rsid w:val="2F7F135A"/>
    <w:rsid w:val="2F825483"/>
    <w:rsid w:val="2F86329F"/>
    <w:rsid w:val="2F9067EC"/>
    <w:rsid w:val="2F9439FB"/>
    <w:rsid w:val="2F9D357F"/>
    <w:rsid w:val="2FA33530"/>
    <w:rsid w:val="2FC110DA"/>
    <w:rsid w:val="2FC130E0"/>
    <w:rsid w:val="2FC132E8"/>
    <w:rsid w:val="2FC31098"/>
    <w:rsid w:val="2FC33BD3"/>
    <w:rsid w:val="2FCB7306"/>
    <w:rsid w:val="2FD951A4"/>
    <w:rsid w:val="2FDB716E"/>
    <w:rsid w:val="2FE204FD"/>
    <w:rsid w:val="2FFD47F0"/>
    <w:rsid w:val="30004E27"/>
    <w:rsid w:val="30097DB5"/>
    <w:rsid w:val="3011493E"/>
    <w:rsid w:val="30121A9A"/>
    <w:rsid w:val="30202DD3"/>
    <w:rsid w:val="302208F9"/>
    <w:rsid w:val="302C5C1C"/>
    <w:rsid w:val="303801E5"/>
    <w:rsid w:val="303F6E5F"/>
    <w:rsid w:val="30406FD1"/>
    <w:rsid w:val="304765B2"/>
    <w:rsid w:val="306302CC"/>
    <w:rsid w:val="30662EDC"/>
    <w:rsid w:val="306730ED"/>
    <w:rsid w:val="30717AD3"/>
    <w:rsid w:val="3078676B"/>
    <w:rsid w:val="30806CED"/>
    <w:rsid w:val="3090408B"/>
    <w:rsid w:val="309252D4"/>
    <w:rsid w:val="30A532D8"/>
    <w:rsid w:val="30B05B70"/>
    <w:rsid w:val="30B965A7"/>
    <w:rsid w:val="30DA311E"/>
    <w:rsid w:val="30DB6CFA"/>
    <w:rsid w:val="30DC319E"/>
    <w:rsid w:val="30E67C0C"/>
    <w:rsid w:val="31054310"/>
    <w:rsid w:val="3112096E"/>
    <w:rsid w:val="3113309A"/>
    <w:rsid w:val="312468F3"/>
    <w:rsid w:val="31267AB4"/>
    <w:rsid w:val="312C50C1"/>
    <w:rsid w:val="312F7772"/>
    <w:rsid w:val="31336B36"/>
    <w:rsid w:val="313528AE"/>
    <w:rsid w:val="3135769E"/>
    <w:rsid w:val="31401E70"/>
    <w:rsid w:val="31490108"/>
    <w:rsid w:val="31572D53"/>
    <w:rsid w:val="316B4522"/>
    <w:rsid w:val="316D0BE7"/>
    <w:rsid w:val="316D48D6"/>
    <w:rsid w:val="317F3D10"/>
    <w:rsid w:val="31807FCD"/>
    <w:rsid w:val="318765DF"/>
    <w:rsid w:val="318B6972"/>
    <w:rsid w:val="31982634"/>
    <w:rsid w:val="31AA796B"/>
    <w:rsid w:val="31BC6B2B"/>
    <w:rsid w:val="31CF5E3F"/>
    <w:rsid w:val="31D17FAA"/>
    <w:rsid w:val="31E247E4"/>
    <w:rsid w:val="31EF6F01"/>
    <w:rsid w:val="320B15E0"/>
    <w:rsid w:val="320B346C"/>
    <w:rsid w:val="320F7C26"/>
    <w:rsid w:val="3216623C"/>
    <w:rsid w:val="321D64A2"/>
    <w:rsid w:val="32221084"/>
    <w:rsid w:val="32221995"/>
    <w:rsid w:val="32233775"/>
    <w:rsid w:val="322A246F"/>
    <w:rsid w:val="32336E09"/>
    <w:rsid w:val="32366387"/>
    <w:rsid w:val="32430FFB"/>
    <w:rsid w:val="324C70AC"/>
    <w:rsid w:val="326351F9"/>
    <w:rsid w:val="326A2A2B"/>
    <w:rsid w:val="32700042"/>
    <w:rsid w:val="32715B68"/>
    <w:rsid w:val="32741B12"/>
    <w:rsid w:val="32764F2C"/>
    <w:rsid w:val="327D275F"/>
    <w:rsid w:val="328D7E61"/>
    <w:rsid w:val="32B048E2"/>
    <w:rsid w:val="32CE7231"/>
    <w:rsid w:val="32D3237F"/>
    <w:rsid w:val="32EB3B6C"/>
    <w:rsid w:val="32F347CF"/>
    <w:rsid w:val="32FA3DAF"/>
    <w:rsid w:val="32FC7B27"/>
    <w:rsid w:val="32FF3174"/>
    <w:rsid w:val="334212B2"/>
    <w:rsid w:val="33484DB3"/>
    <w:rsid w:val="334F406E"/>
    <w:rsid w:val="33501C21"/>
    <w:rsid w:val="33584C40"/>
    <w:rsid w:val="3359261C"/>
    <w:rsid w:val="33596D28"/>
    <w:rsid w:val="335C6818"/>
    <w:rsid w:val="3379722D"/>
    <w:rsid w:val="33884F17"/>
    <w:rsid w:val="338A5A42"/>
    <w:rsid w:val="338B492A"/>
    <w:rsid w:val="33911059"/>
    <w:rsid w:val="3391314D"/>
    <w:rsid w:val="33AE4708"/>
    <w:rsid w:val="33B072BD"/>
    <w:rsid w:val="33BA52ED"/>
    <w:rsid w:val="33C1667B"/>
    <w:rsid w:val="33C67B7C"/>
    <w:rsid w:val="33D945B4"/>
    <w:rsid w:val="33DF7F28"/>
    <w:rsid w:val="33E848AF"/>
    <w:rsid w:val="33E8522E"/>
    <w:rsid w:val="33EF4F05"/>
    <w:rsid w:val="33FB393B"/>
    <w:rsid w:val="3409152B"/>
    <w:rsid w:val="340A1DD0"/>
    <w:rsid w:val="341669C7"/>
    <w:rsid w:val="341D0DCA"/>
    <w:rsid w:val="342056F3"/>
    <w:rsid w:val="3424709C"/>
    <w:rsid w:val="34247F3E"/>
    <w:rsid w:val="3436661A"/>
    <w:rsid w:val="343E5C47"/>
    <w:rsid w:val="346D3EE7"/>
    <w:rsid w:val="346F60D7"/>
    <w:rsid w:val="34733E19"/>
    <w:rsid w:val="347436ED"/>
    <w:rsid w:val="347B0F20"/>
    <w:rsid w:val="347D483D"/>
    <w:rsid w:val="34870792"/>
    <w:rsid w:val="34951FE2"/>
    <w:rsid w:val="34A22009"/>
    <w:rsid w:val="34AC2E87"/>
    <w:rsid w:val="34AF2198"/>
    <w:rsid w:val="34B61F58"/>
    <w:rsid w:val="34BD6E42"/>
    <w:rsid w:val="34C06933"/>
    <w:rsid w:val="34DE411B"/>
    <w:rsid w:val="34EB1C02"/>
    <w:rsid w:val="34FA3BF3"/>
    <w:rsid w:val="35047AA4"/>
    <w:rsid w:val="35123632"/>
    <w:rsid w:val="352549E8"/>
    <w:rsid w:val="35327830"/>
    <w:rsid w:val="35362C9D"/>
    <w:rsid w:val="35375117"/>
    <w:rsid w:val="35472BB0"/>
    <w:rsid w:val="35491D1C"/>
    <w:rsid w:val="354B46BF"/>
    <w:rsid w:val="355211EB"/>
    <w:rsid w:val="35601075"/>
    <w:rsid w:val="356276A1"/>
    <w:rsid w:val="357E2A76"/>
    <w:rsid w:val="3580579F"/>
    <w:rsid w:val="35856F80"/>
    <w:rsid w:val="3589141A"/>
    <w:rsid w:val="359027A9"/>
    <w:rsid w:val="35974ADB"/>
    <w:rsid w:val="359D59DF"/>
    <w:rsid w:val="35B2271F"/>
    <w:rsid w:val="35B53FBD"/>
    <w:rsid w:val="35C506A4"/>
    <w:rsid w:val="35C717D7"/>
    <w:rsid w:val="35CF32D1"/>
    <w:rsid w:val="35DE3514"/>
    <w:rsid w:val="35E36D7D"/>
    <w:rsid w:val="35F008FA"/>
    <w:rsid w:val="36034D29"/>
    <w:rsid w:val="360E36AB"/>
    <w:rsid w:val="361231BE"/>
    <w:rsid w:val="361F5C65"/>
    <w:rsid w:val="363122F8"/>
    <w:rsid w:val="36315D3A"/>
    <w:rsid w:val="363B2715"/>
    <w:rsid w:val="3660138F"/>
    <w:rsid w:val="366307E3"/>
    <w:rsid w:val="36727B6C"/>
    <w:rsid w:val="367A257F"/>
    <w:rsid w:val="36823509"/>
    <w:rsid w:val="36864176"/>
    <w:rsid w:val="368A3845"/>
    <w:rsid w:val="368A71F8"/>
    <w:rsid w:val="368B585E"/>
    <w:rsid w:val="368B6F9F"/>
    <w:rsid w:val="369F6542"/>
    <w:rsid w:val="36A265AF"/>
    <w:rsid w:val="36A302BA"/>
    <w:rsid w:val="36AE1139"/>
    <w:rsid w:val="36BA5D2F"/>
    <w:rsid w:val="36C143AD"/>
    <w:rsid w:val="36D05553"/>
    <w:rsid w:val="36DD1A1E"/>
    <w:rsid w:val="36E83F1F"/>
    <w:rsid w:val="37135440"/>
    <w:rsid w:val="3718765B"/>
    <w:rsid w:val="37284E0F"/>
    <w:rsid w:val="372B4433"/>
    <w:rsid w:val="37321293"/>
    <w:rsid w:val="37476E97"/>
    <w:rsid w:val="375C7FDA"/>
    <w:rsid w:val="375F19E4"/>
    <w:rsid w:val="375F2433"/>
    <w:rsid w:val="37680536"/>
    <w:rsid w:val="376F4F20"/>
    <w:rsid w:val="37734130"/>
    <w:rsid w:val="37751C56"/>
    <w:rsid w:val="3797463F"/>
    <w:rsid w:val="379E316A"/>
    <w:rsid w:val="379F6CD3"/>
    <w:rsid w:val="37A01DEC"/>
    <w:rsid w:val="37A60062"/>
    <w:rsid w:val="37B02C8E"/>
    <w:rsid w:val="37B502A5"/>
    <w:rsid w:val="37BA1D5F"/>
    <w:rsid w:val="37BF7375"/>
    <w:rsid w:val="37C80C1D"/>
    <w:rsid w:val="37C91FA2"/>
    <w:rsid w:val="37D72911"/>
    <w:rsid w:val="37DA0E54"/>
    <w:rsid w:val="37DA35E7"/>
    <w:rsid w:val="37E2011D"/>
    <w:rsid w:val="37E868CC"/>
    <w:rsid w:val="37FB1DA1"/>
    <w:rsid w:val="37FC6AAD"/>
    <w:rsid w:val="3801173C"/>
    <w:rsid w:val="3810730B"/>
    <w:rsid w:val="382D42DF"/>
    <w:rsid w:val="382D7BA5"/>
    <w:rsid w:val="38367DED"/>
    <w:rsid w:val="3840221A"/>
    <w:rsid w:val="384653A1"/>
    <w:rsid w:val="384E515A"/>
    <w:rsid w:val="384F29D6"/>
    <w:rsid w:val="38563836"/>
    <w:rsid w:val="386E1459"/>
    <w:rsid w:val="3882287D"/>
    <w:rsid w:val="388B5124"/>
    <w:rsid w:val="388C36FB"/>
    <w:rsid w:val="388C754D"/>
    <w:rsid w:val="38A6457C"/>
    <w:rsid w:val="38AF73EA"/>
    <w:rsid w:val="38B7004D"/>
    <w:rsid w:val="38B94CC4"/>
    <w:rsid w:val="38C01154"/>
    <w:rsid w:val="38CA4F45"/>
    <w:rsid w:val="38CC7F9C"/>
    <w:rsid w:val="38D4247D"/>
    <w:rsid w:val="38D922E2"/>
    <w:rsid w:val="38E51B7F"/>
    <w:rsid w:val="39045302"/>
    <w:rsid w:val="39050DB8"/>
    <w:rsid w:val="391727F9"/>
    <w:rsid w:val="39197C25"/>
    <w:rsid w:val="39241B86"/>
    <w:rsid w:val="394144E6"/>
    <w:rsid w:val="3942200C"/>
    <w:rsid w:val="39506014"/>
    <w:rsid w:val="395E6A0F"/>
    <w:rsid w:val="396A50BF"/>
    <w:rsid w:val="39730417"/>
    <w:rsid w:val="39736669"/>
    <w:rsid w:val="397A3554"/>
    <w:rsid w:val="397B0683"/>
    <w:rsid w:val="39874E4E"/>
    <w:rsid w:val="39893797"/>
    <w:rsid w:val="398B39B3"/>
    <w:rsid w:val="39A23BE9"/>
    <w:rsid w:val="39B17D57"/>
    <w:rsid w:val="39B5458C"/>
    <w:rsid w:val="39B8407C"/>
    <w:rsid w:val="39C22BA6"/>
    <w:rsid w:val="39C46145"/>
    <w:rsid w:val="39D215E2"/>
    <w:rsid w:val="39D7543B"/>
    <w:rsid w:val="39D85857"/>
    <w:rsid w:val="39DD4D75"/>
    <w:rsid w:val="39F50028"/>
    <w:rsid w:val="3A0472C2"/>
    <w:rsid w:val="3A086C6B"/>
    <w:rsid w:val="3A0F6392"/>
    <w:rsid w:val="3A2636DC"/>
    <w:rsid w:val="3A2768E4"/>
    <w:rsid w:val="3A2C7011"/>
    <w:rsid w:val="3A3556CD"/>
    <w:rsid w:val="3A4632AA"/>
    <w:rsid w:val="3A4678DA"/>
    <w:rsid w:val="3A487FB1"/>
    <w:rsid w:val="3A573895"/>
    <w:rsid w:val="3A705B70"/>
    <w:rsid w:val="3A7461F5"/>
    <w:rsid w:val="3A780E00"/>
    <w:rsid w:val="3A784B5C"/>
    <w:rsid w:val="3A850402"/>
    <w:rsid w:val="3A8F302F"/>
    <w:rsid w:val="3A970136"/>
    <w:rsid w:val="3A992100"/>
    <w:rsid w:val="3AA57E2C"/>
    <w:rsid w:val="3AA75C3D"/>
    <w:rsid w:val="3AAC5525"/>
    <w:rsid w:val="3AAD2A5C"/>
    <w:rsid w:val="3AC058DE"/>
    <w:rsid w:val="3AC32CD9"/>
    <w:rsid w:val="3AD635B4"/>
    <w:rsid w:val="3AD801D2"/>
    <w:rsid w:val="3B003F2D"/>
    <w:rsid w:val="3B190CF6"/>
    <w:rsid w:val="3B194FEF"/>
    <w:rsid w:val="3B201ED9"/>
    <w:rsid w:val="3B262875"/>
    <w:rsid w:val="3B2A2D58"/>
    <w:rsid w:val="3B3360B0"/>
    <w:rsid w:val="3B3E1AAA"/>
    <w:rsid w:val="3B436E05"/>
    <w:rsid w:val="3B455DE4"/>
    <w:rsid w:val="3B467E8E"/>
    <w:rsid w:val="3B4C379B"/>
    <w:rsid w:val="3B506C62"/>
    <w:rsid w:val="3B627275"/>
    <w:rsid w:val="3B674E03"/>
    <w:rsid w:val="3B7010B2"/>
    <w:rsid w:val="3B7274C2"/>
    <w:rsid w:val="3B750477"/>
    <w:rsid w:val="3B79479E"/>
    <w:rsid w:val="3B801609"/>
    <w:rsid w:val="3B807132"/>
    <w:rsid w:val="3B8E6B45"/>
    <w:rsid w:val="3B914B85"/>
    <w:rsid w:val="3B937808"/>
    <w:rsid w:val="3B985F13"/>
    <w:rsid w:val="3B9E50AD"/>
    <w:rsid w:val="3BAE3989"/>
    <w:rsid w:val="3BBC7A3B"/>
    <w:rsid w:val="3BDB4052"/>
    <w:rsid w:val="3BDD7DCA"/>
    <w:rsid w:val="3BF56022"/>
    <w:rsid w:val="3BF662B7"/>
    <w:rsid w:val="3BF910A8"/>
    <w:rsid w:val="3C145AF1"/>
    <w:rsid w:val="3C2F1FAC"/>
    <w:rsid w:val="3C3136E0"/>
    <w:rsid w:val="3C37572C"/>
    <w:rsid w:val="3C447E49"/>
    <w:rsid w:val="3C5404C1"/>
    <w:rsid w:val="3C55694D"/>
    <w:rsid w:val="3C586ADB"/>
    <w:rsid w:val="3C6329C5"/>
    <w:rsid w:val="3C6B5F0A"/>
    <w:rsid w:val="3C6B7896"/>
    <w:rsid w:val="3C7D5CB7"/>
    <w:rsid w:val="3C8B5A78"/>
    <w:rsid w:val="3C8E5FC9"/>
    <w:rsid w:val="3CA44D64"/>
    <w:rsid w:val="3CA54D8C"/>
    <w:rsid w:val="3CAD5515"/>
    <w:rsid w:val="3CB279BB"/>
    <w:rsid w:val="3CB87F80"/>
    <w:rsid w:val="3CC66AB0"/>
    <w:rsid w:val="3CC82828"/>
    <w:rsid w:val="3CCB0EE2"/>
    <w:rsid w:val="3CDF5B46"/>
    <w:rsid w:val="3CEB6517"/>
    <w:rsid w:val="3CF33D49"/>
    <w:rsid w:val="3D046583"/>
    <w:rsid w:val="3D0715A3"/>
    <w:rsid w:val="3D0E7579"/>
    <w:rsid w:val="3D0F0457"/>
    <w:rsid w:val="3D1134CB"/>
    <w:rsid w:val="3D202664"/>
    <w:rsid w:val="3D2F75E1"/>
    <w:rsid w:val="3D32231E"/>
    <w:rsid w:val="3D3D5EA8"/>
    <w:rsid w:val="3D540560"/>
    <w:rsid w:val="3D6407A3"/>
    <w:rsid w:val="3D6A7D83"/>
    <w:rsid w:val="3D6C7658"/>
    <w:rsid w:val="3D712EC0"/>
    <w:rsid w:val="3D743DFA"/>
    <w:rsid w:val="3D794335"/>
    <w:rsid w:val="3D7B0D83"/>
    <w:rsid w:val="3D826E7B"/>
    <w:rsid w:val="3D8418FA"/>
    <w:rsid w:val="3D954E00"/>
    <w:rsid w:val="3D996252"/>
    <w:rsid w:val="3D9B65E3"/>
    <w:rsid w:val="3DA51C2D"/>
    <w:rsid w:val="3DA5668B"/>
    <w:rsid w:val="3DAA0180"/>
    <w:rsid w:val="3DAF5796"/>
    <w:rsid w:val="3DBD7EB3"/>
    <w:rsid w:val="3DC225DB"/>
    <w:rsid w:val="3DCE20C0"/>
    <w:rsid w:val="3DD07BE6"/>
    <w:rsid w:val="3DD11700"/>
    <w:rsid w:val="3DD86EA7"/>
    <w:rsid w:val="3DDC2A2F"/>
    <w:rsid w:val="3DE7202B"/>
    <w:rsid w:val="3DEC2546"/>
    <w:rsid w:val="3DED6027"/>
    <w:rsid w:val="3E09756E"/>
    <w:rsid w:val="3E160F33"/>
    <w:rsid w:val="3E2972F7"/>
    <w:rsid w:val="3E2E2B5F"/>
    <w:rsid w:val="3E345210"/>
    <w:rsid w:val="3E3B2E1D"/>
    <w:rsid w:val="3E4A66E2"/>
    <w:rsid w:val="3E506F79"/>
    <w:rsid w:val="3E52684D"/>
    <w:rsid w:val="3E5F0F6A"/>
    <w:rsid w:val="3E693B97"/>
    <w:rsid w:val="3E6D0578"/>
    <w:rsid w:val="3E6E73FF"/>
    <w:rsid w:val="3E7A3FF6"/>
    <w:rsid w:val="3E7A5DA4"/>
    <w:rsid w:val="3E7E3AE6"/>
    <w:rsid w:val="3E815608"/>
    <w:rsid w:val="3E88517E"/>
    <w:rsid w:val="3E8D5AD7"/>
    <w:rsid w:val="3E9171EE"/>
    <w:rsid w:val="3EA437B1"/>
    <w:rsid w:val="3EA50BA8"/>
    <w:rsid w:val="3EA5570C"/>
    <w:rsid w:val="3EB70D64"/>
    <w:rsid w:val="3EBC0B5B"/>
    <w:rsid w:val="3EF92B0D"/>
    <w:rsid w:val="3F0312DA"/>
    <w:rsid w:val="3F136AFC"/>
    <w:rsid w:val="3F143D5A"/>
    <w:rsid w:val="3F1623FD"/>
    <w:rsid w:val="3F1717B3"/>
    <w:rsid w:val="3F1B1335"/>
    <w:rsid w:val="3F2301EA"/>
    <w:rsid w:val="3F274C7E"/>
    <w:rsid w:val="3F2D1EAB"/>
    <w:rsid w:val="3F2D486B"/>
    <w:rsid w:val="3F2F6B8F"/>
    <w:rsid w:val="3F377C66"/>
    <w:rsid w:val="3F3E6DD2"/>
    <w:rsid w:val="3F3E7CD5"/>
    <w:rsid w:val="3F487C50"/>
    <w:rsid w:val="3F4B628F"/>
    <w:rsid w:val="3F551A0B"/>
    <w:rsid w:val="3F5919D3"/>
    <w:rsid w:val="3F7942AE"/>
    <w:rsid w:val="3F7D78FA"/>
    <w:rsid w:val="3F8E1B07"/>
    <w:rsid w:val="3F8E2063"/>
    <w:rsid w:val="3F93536F"/>
    <w:rsid w:val="3F9D1D4A"/>
    <w:rsid w:val="3FA27361"/>
    <w:rsid w:val="3FA62141"/>
    <w:rsid w:val="3FB47094"/>
    <w:rsid w:val="3FB53538"/>
    <w:rsid w:val="3FC15EC8"/>
    <w:rsid w:val="3FC25C55"/>
    <w:rsid w:val="3FC75019"/>
    <w:rsid w:val="3FC92B3F"/>
    <w:rsid w:val="3FD80FD4"/>
    <w:rsid w:val="3FEC4A80"/>
    <w:rsid w:val="3FF327A1"/>
    <w:rsid w:val="3FF516FD"/>
    <w:rsid w:val="3FF862F2"/>
    <w:rsid w:val="4000332E"/>
    <w:rsid w:val="400605D8"/>
    <w:rsid w:val="402204A1"/>
    <w:rsid w:val="40330901"/>
    <w:rsid w:val="403C5A07"/>
    <w:rsid w:val="4044399F"/>
    <w:rsid w:val="40474002"/>
    <w:rsid w:val="404747E5"/>
    <w:rsid w:val="404A155C"/>
    <w:rsid w:val="405D597D"/>
    <w:rsid w:val="405D772B"/>
    <w:rsid w:val="406B4450"/>
    <w:rsid w:val="40786313"/>
    <w:rsid w:val="4084115C"/>
    <w:rsid w:val="408B6047"/>
    <w:rsid w:val="408F1FDB"/>
    <w:rsid w:val="40953369"/>
    <w:rsid w:val="40A05362"/>
    <w:rsid w:val="40A27F80"/>
    <w:rsid w:val="40BC08F6"/>
    <w:rsid w:val="40E165AE"/>
    <w:rsid w:val="40F31CD8"/>
    <w:rsid w:val="40F81988"/>
    <w:rsid w:val="41036525"/>
    <w:rsid w:val="410E722F"/>
    <w:rsid w:val="41116514"/>
    <w:rsid w:val="411B386E"/>
    <w:rsid w:val="41202C33"/>
    <w:rsid w:val="412F1132"/>
    <w:rsid w:val="41347641"/>
    <w:rsid w:val="413556C5"/>
    <w:rsid w:val="4137363C"/>
    <w:rsid w:val="413E3339"/>
    <w:rsid w:val="41405083"/>
    <w:rsid w:val="41586871"/>
    <w:rsid w:val="416238AF"/>
    <w:rsid w:val="41654AEA"/>
    <w:rsid w:val="416A65A4"/>
    <w:rsid w:val="416F3BBA"/>
    <w:rsid w:val="41781FB9"/>
    <w:rsid w:val="418F7DB9"/>
    <w:rsid w:val="419034FD"/>
    <w:rsid w:val="4194717D"/>
    <w:rsid w:val="41984EE2"/>
    <w:rsid w:val="419A2BF8"/>
    <w:rsid w:val="419D0727"/>
    <w:rsid w:val="41A33F03"/>
    <w:rsid w:val="41A43864"/>
    <w:rsid w:val="41A74A53"/>
    <w:rsid w:val="41A85097"/>
    <w:rsid w:val="41AE0A50"/>
    <w:rsid w:val="41C23CEA"/>
    <w:rsid w:val="41CA2B9F"/>
    <w:rsid w:val="41CF4659"/>
    <w:rsid w:val="41D2003F"/>
    <w:rsid w:val="41D8350E"/>
    <w:rsid w:val="41E9571B"/>
    <w:rsid w:val="41EE697E"/>
    <w:rsid w:val="41F83873"/>
    <w:rsid w:val="420B1569"/>
    <w:rsid w:val="42172DBE"/>
    <w:rsid w:val="42350960"/>
    <w:rsid w:val="423A5C51"/>
    <w:rsid w:val="423B16D9"/>
    <w:rsid w:val="424F1061"/>
    <w:rsid w:val="4253528A"/>
    <w:rsid w:val="425828A0"/>
    <w:rsid w:val="426E0BA8"/>
    <w:rsid w:val="4273039A"/>
    <w:rsid w:val="427B5EF5"/>
    <w:rsid w:val="4284574D"/>
    <w:rsid w:val="42854175"/>
    <w:rsid w:val="42884F34"/>
    <w:rsid w:val="428F321C"/>
    <w:rsid w:val="42A96696"/>
    <w:rsid w:val="42AD50EE"/>
    <w:rsid w:val="42BC4BDD"/>
    <w:rsid w:val="42C910A8"/>
    <w:rsid w:val="42CB6BCE"/>
    <w:rsid w:val="42CD2946"/>
    <w:rsid w:val="42CE66BF"/>
    <w:rsid w:val="42E12896"/>
    <w:rsid w:val="42F27629"/>
    <w:rsid w:val="4303280C"/>
    <w:rsid w:val="430A1DED"/>
    <w:rsid w:val="430B53EB"/>
    <w:rsid w:val="431810BA"/>
    <w:rsid w:val="43217136"/>
    <w:rsid w:val="432C269E"/>
    <w:rsid w:val="4339622E"/>
    <w:rsid w:val="433C6F5D"/>
    <w:rsid w:val="434F77FF"/>
    <w:rsid w:val="4350389D"/>
    <w:rsid w:val="43513AA8"/>
    <w:rsid w:val="437454B8"/>
    <w:rsid w:val="437A3C18"/>
    <w:rsid w:val="437A4E2E"/>
    <w:rsid w:val="438A02DB"/>
    <w:rsid w:val="438F5E4E"/>
    <w:rsid w:val="43A95D9D"/>
    <w:rsid w:val="43AA712C"/>
    <w:rsid w:val="43AF64F0"/>
    <w:rsid w:val="43BC29BB"/>
    <w:rsid w:val="43BD6E5F"/>
    <w:rsid w:val="43CA5B33"/>
    <w:rsid w:val="43D06B36"/>
    <w:rsid w:val="43EC2228"/>
    <w:rsid w:val="43ED0DC6"/>
    <w:rsid w:val="43F565F9"/>
    <w:rsid w:val="43F67E99"/>
    <w:rsid w:val="43F72CC5"/>
    <w:rsid w:val="43F94323"/>
    <w:rsid w:val="43FB34E3"/>
    <w:rsid w:val="440525B4"/>
    <w:rsid w:val="44252903"/>
    <w:rsid w:val="442B6EAB"/>
    <w:rsid w:val="44315157"/>
    <w:rsid w:val="44384737"/>
    <w:rsid w:val="44507CD3"/>
    <w:rsid w:val="445157F9"/>
    <w:rsid w:val="4467501D"/>
    <w:rsid w:val="446F072E"/>
    <w:rsid w:val="4472759E"/>
    <w:rsid w:val="4475773A"/>
    <w:rsid w:val="44760DBC"/>
    <w:rsid w:val="4476700E"/>
    <w:rsid w:val="447D039C"/>
    <w:rsid w:val="447D214A"/>
    <w:rsid w:val="447E39EE"/>
    <w:rsid w:val="44890AEF"/>
    <w:rsid w:val="448C6831"/>
    <w:rsid w:val="44A02924"/>
    <w:rsid w:val="44AD23A9"/>
    <w:rsid w:val="44AF4C2F"/>
    <w:rsid w:val="44C02ED6"/>
    <w:rsid w:val="44C31722"/>
    <w:rsid w:val="44C55076"/>
    <w:rsid w:val="44C935E1"/>
    <w:rsid w:val="44CF64AC"/>
    <w:rsid w:val="44D10283"/>
    <w:rsid w:val="44D45F76"/>
    <w:rsid w:val="44DE7E79"/>
    <w:rsid w:val="45154265"/>
    <w:rsid w:val="45187836"/>
    <w:rsid w:val="451B2245"/>
    <w:rsid w:val="452E342B"/>
    <w:rsid w:val="453F5652"/>
    <w:rsid w:val="4546382E"/>
    <w:rsid w:val="454A2974"/>
    <w:rsid w:val="45516873"/>
    <w:rsid w:val="45525385"/>
    <w:rsid w:val="45581B00"/>
    <w:rsid w:val="456A0921"/>
    <w:rsid w:val="457810EA"/>
    <w:rsid w:val="457C68A6"/>
    <w:rsid w:val="458266E5"/>
    <w:rsid w:val="4588349D"/>
    <w:rsid w:val="459875F9"/>
    <w:rsid w:val="45AC667F"/>
    <w:rsid w:val="45C331EE"/>
    <w:rsid w:val="45C96E92"/>
    <w:rsid w:val="45DB181E"/>
    <w:rsid w:val="45E7663E"/>
    <w:rsid w:val="45F34DBA"/>
    <w:rsid w:val="45F40376"/>
    <w:rsid w:val="45FE3F5A"/>
    <w:rsid w:val="46094636"/>
    <w:rsid w:val="461B60BF"/>
    <w:rsid w:val="461D5993"/>
    <w:rsid w:val="46220201"/>
    <w:rsid w:val="4627498A"/>
    <w:rsid w:val="46530576"/>
    <w:rsid w:val="466743A5"/>
    <w:rsid w:val="466B6D95"/>
    <w:rsid w:val="466D0BF9"/>
    <w:rsid w:val="46781EED"/>
    <w:rsid w:val="468241E3"/>
    <w:rsid w:val="468A0B4E"/>
    <w:rsid w:val="46977A3B"/>
    <w:rsid w:val="469C7200"/>
    <w:rsid w:val="46A125B3"/>
    <w:rsid w:val="46A2058E"/>
    <w:rsid w:val="46BA3E23"/>
    <w:rsid w:val="46BB2495"/>
    <w:rsid w:val="46C2653A"/>
    <w:rsid w:val="46C9300C"/>
    <w:rsid w:val="46D57EF5"/>
    <w:rsid w:val="4703102D"/>
    <w:rsid w:val="47040108"/>
    <w:rsid w:val="47121270"/>
    <w:rsid w:val="471843AC"/>
    <w:rsid w:val="471A45C8"/>
    <w:rsid w:val="471E413B"/>
    <w:rsid w:val="472061CA"/>
    <w:rsid w:val="47305DAD"/>
    <w:rsid w:val="474A0418"/>
    <w:rsid w:val="474D674C"/>
    <w:rsid w:val="47583F97"/>
    <w:rsid w:val="47597069"/>
    <w:rsid w:val="47724AA9"/>
    <w:rsid w:val="47737835"/>
    <w:rsid w:val="47777325"/>
    <w:rsid w:val="47813C8D"/>
    <w:rsid w:val="47841A42"/>
    <w:rsid w:val="47857C94"/>
    <w:rsid w:val="478614EA"/>
    <w:rsid w:val="4799373F"/>
    <w:rsid w:val="479C6D8B"/>
    <w:rsid w:val="47A4662D"/>
    <w:rsid w:val="47AD0F98"/>
    <w:rsid w:val="47C54534"/>
    <w:rsid w:val="47CC70B6"/>
    <w:rsid w:val="47CF53B3"/>
    <w:rsid w:val="47CF7161"/>
    <w:rsid w:val="47D40997"/>
    <w:rsid w:val="47D413D8"/>
    <w:rsid w:val="47D429C9"/>
    <w:rsid w:val="47F00E85"/>
    <w:rsid w:val="47F70466"/>
    <w:rsid w:val="480F57AF"/>
    <w:rsid w:val="481619D1"/>
    <w:rsid w:val="4819662E"/>
    <w:rsid w:val="48205A1D"/>
    <w:rsid w:val="48233009"/>
    <w:rsid w:val="48284AC3"/>
    <w:rsid w:val="482E5EBF"/>
    <w:rsid w:val="484568D3"/>
    <w:rsid w:val="48877A3B"/>
    <w:rsid w:val="4891611F"/>
    <w:rsid w:val="48931F3C"/>
    <w:rsid w:val="48CC1253"/>
    <w:rsid w:val="48CE11C6"/>
    <w:rsid w:val="48D640FA"/>
    <w:rsid w:val="48E42798"/>
    <w:rsid w:val="48E94252"/>
    <w:rsid w:val="48F7696F"/>
    <w:rsid w:val="49070198"/>
    <w:rsid w:val="490B241B"/>
    <w:rsid w:val="490C7F41"/>
    <w:rsid w:val="49107A31"/>
    <w:rsid w:val="491312CF"/>
    <w:rsid w:val="491D3EFC"/>
    <w:rsid w:val="491F1A22"/>
    <w:rsid w:val="492D5D6B"/>
    <w:rsid w:val="49373210"/>
    <w:rsid w:val="493A2D00"/>
    <w:rsid w:val="493F0316"/>
    <w:rsid w:val="494B6CBB"/>
    <w:rsid w:val="49551E0D"/>
    <w:rsid w:val="495945D7"/>
    <w:rsid w:val="49635DB3"/>
    <w:rsid w:val="49675177"/>
    <w:rsid w:val="496D143E"/>
    <w:rsid w:val="49731D6E"/>
    <w:rsid w:val="498E0956"/>
    <w:rsid w:val="4990379B"/>
    <w:rsid w:val="499E503D"/>
    <w:rsid w:val="49B7717A"/>
    <w:rsid w:val="49B900C8"/>
    <w:rsid w:val="49D62A28"/>
    <w:rsid w:val="49E60792"/>
    <w:rsid w:val="49EE4458"/>
    <w:rsid w:val="49F315F3"/>
    <w:rsid w:val="4A080F4F"/>
    <w:rsid w:val="4A11580F"/>
    <w:rsid w:val="4A1932A7"/>
    <w:rsid w:val="4A200290"/>
    <w:rsid w:val="4A264CEE"/>
    <w:rsid w:val="4A2B5779"/>
    <w:rsid w:val="4A2D4613"/>
    <w:rsid w:val="4A2F7792"/>
    <w:rsid w:val="4A3634C7"/>
    <w:rsid w:val="4A3B792B"/>
    <w:rsid w:val="4A437992"/>
    <w:rsid w:val="4A4A4B11"/>
    <w:rsid w:val="4A616A9E"/>
    <w:rsid w:val="4A6242BC"/>
    <w:rsid w:val="4A6C6EE9"/>
    <w:rsid w:val="4A6D7A87"/>
    <w:rsid w:val="4A722025"/>
    <w:rsid w:val="4A755582"/>
    <w:rsid w:val="4A7933B4"/>
    <w:rsid w:val="4A7C1D53"/>
    <w:rsid w:val="4A91694F"/>
    <w:rsid w:val="4AA04DE4"/>
    <w:rsid w:val="4AA8171D"/>
    <w:rsid w:val="4AAE5753"/>
    <w:rsid w:val="4ABA6CC2"/>
    <w:rsid w:val="4ABD14F2"/>
    <w:rsid w:val="4AC76991"/>
    <w:rsid w:val="4ACB46D0"/>
    <w:rsid w:val="4ACC7988"/>
    <w:rsid w:val="4ACF27E7"/>
    <w:rsid w:val="4AD8457E"/>
    <w:rsid w:val="4ADE1BE6"/>
    <w:rsid w:val="4AE01685"/>
    <w:rsid w:val="4AF3760A"/>
    <w:rsid w:val="4AF83C73"/>
    <w:rsid w:val="4AFC64BF"/>
    <w:rsid w:val="4B1B26BD"/>
    <w:rsid w:val="4B2A4224"/>
    <w:rsid w:val="4B3B5A5E"/>
    <w:rsid w:val="4B3D2633"/>
    <w:rsid w:val="4B3F45FD"/>
    <w:rsid w:val="4B446F88"/>
    <w:rsid w:val="4B49547C"/>
    <w:rsid w:val="4B4B4017"/>
    <w:rsid w:val="4B4D3745"/>
    <w:rsid w:val="4B553AA1"/>
    <w:rsid w:val="4B62516E"/>
    <w:rsid w:val="4B6F13A9"/>
    <w:rsid w:val="4B792795"/>
    <w:rsid w:val="4B7F0E9E"/>
    <w:rsid w:val="4B7F2C4C"/>
    <w:rsid w:val="4B816407"/>
    <w:rsid w:val="4B842010"/>
    <w:rsid w:val="4B876A3E"/>
    <w:rsid w:val="4B8B339F"/>
    <w:rsid w:val="4B8E52B1"/>
    <w:rsid w:val="4B9C37FE"/>
    <w:rsid w:val="4B9C55AC"/>
    <w:rsid w:val="4BA426B2"/>
    <w:rsid w:val="4BA836A0"/>
    <w:rsid w:val="4BB24DCF"/>
    <w:rsid w:val="4BBA5564"/>
    <w:rsid w:val="4BCF755C"/>
    <w:rsid w:val="4BD27602"/>
    <w:rsid w:val="4BD73978"/>
    <w:rsid w:val="4BE35ECE"/>
    <w:rsid w:val="4BF70A34"/>
    <w:rsid w:val="4C2F1A2A"/>
    <w:rsid w:val="4C3752D5"/>
    <w:rsid w:val="4C375FAC"/>
    <w:rsid w:val="4C3C15FA"/>
    <w:rsid w:val="4C417F01"/>
    <w:rsid w:val="4C433C79"/>
    <w:rsid w:val="4C4579F1"/>
    <w:rsid w:val="4C4F0825"/>
    <w:rsid w:val="4C502D1B"/>
    <w:rsid w:val="4C5145E8"/>
    <w:rsid w:val="4C5C4D3B"/>
    <w:rsid w:val="4C6205A3"/>
    <w:rsid w:val="4C6836E0"/>
    <w:rsid w:val="4C7622A1"/>
    <w:rsid w:val="4C883D82"/>
    <w:rsid w:val="4C9C083E"/>
    <w:rsid w:val="4C9D782D"/>
    <w:rsid w:val="4CA54934"/>
    <w:rsid w:val="4CAA1C5A"/>
    <w:rsid w:val="4CAC5CC3"/>
    <w:rsid w:val="4CB30916"/>
    <w:rsid w:val="4CB86415"/>
    <w:rsid w:val="4CC50B32"/>
    <w:rsid w:val="4CCC0113"/>
    <w:rsid w:val="4CD90FCB"/>
    <w:rsid w:val="4CE74FE6"/>
    <w:rsid w:val="4CF06EAB"/>
    <w:rsid w:val="4CF136D5"/>
    <w:rsid w:val="4CFC0E0E"/>
    <w:rsid w:val="4CFC257F"/>
    <w:rsid w:val="4CFD02CC"/>
    <w:rsid w:val="4CFD6DD6"/>
    <w:rsid w:val="4D115B26"/>
    <w:rsid w:val="4D1473C4"/>
    <w:rsid w:val="4D225F85"/>
    <w:rsid w:val="4D250C04"/>
    <w:rsid w:val="4D2515D1"/>
    <w:rsid w:val="4D294817"/>
    <w:rsid w:val="4D35082F"/>
    <w:rsid w:val="4D4C3002"/>
    <w:rsid w:val="4D5F2D35"/>
    <w:rsid w:val="4D6E2F78"/>
    <w:rsid w:val="4D6E5923"/>
    <w:rsid w:val="4D8C0AAB"/>
    <w:rsid w:val="4D8E53C8"/>
    <w:rsid w:val="4D9F3131"/>
    <w:rsid w:val="4DAE7818"/>
    <w:rsid w:val="4DB316D4"/>
    <w:rsid w:val="4DB90697"/>
    <w:rsid w:val="4DBC5DD5"/>
    <w:rsid w:val="4DBD0F93"/>
    <w:rsid w:val="4DBF5582"/>
    <w:rsid w:val="4DC46FB2"/>
    <w:rsid w:val="4DCA605D"/>
    <w:rsid w:val="4DF427AC"/>
    <w:rsid w:val="4E0839A2"/>
    <w:rsid w:val="4E173610"/>
    <w:rsid w:val="4E1A72DF"/>
    <w:rsid w:val="4E1B3100"/>
    <w:rsid w:val="4E340E42"/>
    <w:rsid w:val="4E437F61"/>
    <w:rsid w:val="4E465964"/>
    <w:rsid w:val="4E516B22"/>
    <w:rsid w:val="4E5C6617"/>
    <w:rsid w:val="4E6879C7"/>
    <w:rsid w:val="4E773219"/>
    <w:rsid w:val="4E7B543E"/>
    <w:rsid w:val="4E7E0EFC"/>
    <w:rsid w:val="4E8D0AC3"/>
    <w:rsid w:val="4E8F7E90"/>
    <w:rsid w:val="4E92756B"/>
    <w:rsid w:val="4E973AFB"/>
    <w:rsid w:val="4EA053B3"/>
    <w:rsid w:val="4EA2112B"/>
    <w:rsid w:val="4EA2688E"/>
    <w:rsid w:val="4EAD187E"/>
    <w:rsid w:val="4EAF3848"/>
    <w:rsid w:val="4EB175C0"/>
    <w:rsid w:val="4EB90223"/>
    <w:rsid w:val="4EC015B1"/>
    <w:rsid w:val="4EC56BC8"/>
    <w:rsid w:val="4ECF5C98"/>
    <w:rsid w:val="4ED33CE1"/>
    <w:rsid w:val="4ED82D9F"/>
    <w:rsid w:val="4EE5747E"/>
    <w:rsid w:val="4EF676C9"/>
    <w:rsid w:val="4F10078B"/>
    <w:rsid w:val="4F1135A7"/>
    <w:rsid w:val="4F143D33"/>
    <w:rsid w:val="4F284BD5"/>
    <w:rsid w:val="4F3501F1"/>
    <w:rsid w:val="4F4421E2"/>
    <w:rsid w:val="4F473A81"/>
    <w:rsid w:val="4F552641"/>
    <w:rsid w:val="4F6D4B0D"/>
    <w:rsid w:val="4F6E54B1"/>
    <w:rsid w:val="4F9714EA"/>
    <w:rsid w:val="4F9B5B7A"/>
    <w:rsid w:val="4F9E16F6"/>
    <w:rsid w:val="4FA113E3"/>
    <w:rsid w:val="4FA233AD"/>
    <w:rsid w:val="4FA535FE"/>
    <w:rsid w:val="4FB56C3C"/>
    <w:rsid w:val="4FC7696F"/>
    <w:rsid w:val="4FCC3F86"/>
    <w:rsid w:val="4FD33566"/>
    <w:rsid w:val="4FDA66A3"/>
    <w:rsid w:val="4FDC066D"/>
    <w:rsid w:val="4FE61337"/>
    <w:rsid w:val="4FE61D11"/>
    <w:rsid w:val="50055E16"/>
    <w:rsid w:val="5019366F"/>
    <w:rsid w:val="5019632E"/>
    <w:rsid w:val="502344B9"/>
    <w:rsid w:val="502E68E8"/>
    <w:rsid w:val="50306C0B"/>
    <w:rsid w:val="50342257"/>
    <w:rsid w:val="50347AD3"/>
    <w:rsid w:val="504F52E3"/>
    <w:rsid w:val="5058246A"/>
    <w:rsid w:val="50583834"/>
    <w:rsid w:val="505843D2"/>
    <w:rsid w:val="50643B30"/>
    <w:rsid w:val="506863A4"/>
    <w:rsid w:val="508F1B83"/>
    <w:rsid w:val="50971D5D"/>
    <w:rsid w:val="50C03AEB"/>
    <w:rsid w:val="50C35389"/>
    <w:rsid w:val="50CE0A1D"/>
    <w:rsid w:val="50D55A40"/>
    <w:rsid w:val="50D852D8"/>
    <w:rsid w:val="50E53551"/>
    <w:rsid w:val="50E61077"/>
    <w:rsid w:val="50E9359B"/>
    <w:rsid w:val="50F25C6E"/>
    <w:rsid w:val="50FC5779"/>
    <w:rsid w:val="511931FB"/>
    <w:rsid w:val="513123C4"/>
    <w:rsid w:val="51346287"/>
    <w:rsid w:val="51445DFE"/>
    <w:rsid w:val="51493AE0"/>
    <w:rsid w:val="514E10F6"/>
    <w:rsid w:val="51506997"/>
    <w:rsid w:val="51514940"/>
    <w:rsid w:val="515C74C0"/>
    <w:rsid w:val="516E081B"/>
    <w:rsid w:val="51730B5D"/>
    <w:rsid w:val="518B6549"/>
    <w:rsid w:val="5196484B"/>
    <w:rsid w:val="519B00B4"/>
    <w:rsid w:val="519F7BA4"/>
    <w:rsid w:val="51A21442"/>
    <w:rsid w:val="51A32FA8"/>
    <w:rsid w:val="51AF590D"/>
    <w:rsid w:val="51BB5312"/>
    <w:rsid w:val="51C71A20"/>
    <w:rsid w:val="51C94C21"/>
    <w:rsid w:val="51CE2237"/>
    <w:rsid w:val="51D157DF"/>
    <w:rsid w:val="51DA0BDC"/>
    <w:rsid w:val="51DD691E"/>
    <w:rsid w:val="520270E8"/>
    <w:rsid w:val="520D0FB1"/>
    <w:rsid w:val="520E6AD8"/>
    <w:rsid w:val="52170FF6"/>
    <w:rsid w:val="52186FA4"/>
    <w:rsid w:val="52374280"/>
    <w:rsid w:val="524F4416"/>
    <w:rsid w:val="528154FB"/>
    <w:rsid w:val="52927E28"/>
    <w:rsid w:val="529B480F"/>
    <w:rsid w:val="529E3592"/>
    <w:rsid w:val="52A01E26"/>
    <w:rsid w:val="52A66D10"/>
    <w:rsid w:val="52A86F2C"/>
    <w:rsid w:val="52AD009F"/>
    <w:rsid w:val="52AD01E4"/>
    <w:rsid w:val="52AF1549"/>
    <w:rsid w:val="52C46381"/>
    <w:rsid w:val="52C5188C"/>
    <w:rsid w:val="52C75604"/>
    <w:rsid w:val="52C8312A"/>
    <w:rsid w:val="52DA3D53"/>
    <w:rsid w:val="52DA4E6B"/>
    <w:rsid w:val="52DC2732"/>
    <w:rsid w:val="52DC7DB4"/>
    <w:rsid w:val="52E422EB"/>
    <w:rsid w:val="52E42453"/>
    <w:rsid w:val="52E77A54"/>
    <w:rsid w:val="52EC6DE2"/>
    <w:rsid w:val="52EF487C"/>
    <w:rsid w:val="52F43FFD"/>
    <w:rsid w:val="5306439D"/>
    <w:rsid w:val="53096DD1"/>
    <w:rsid w:val="53110920"/>
    <w:rsid w:val="53130849"/>
    <w:rsid w:val="53181F32"/>
    <w:rsid w:val="531F59DC"/>
    <w:rsid w:val="532248FE"/>
    <w:rsid w:val="53341343"/>
    <w:rsid w:val="5334431C"/>
    <w:rsid w:val="533802B0"/>
    <w:rsid w:val="534361E7"/>
    <w:rsid w:val="5345477B"/>
    <w:rsid w:val="535F3A8F"/>
    <w:rsid w:val="536746F1"/>
    <w:rsid w:val="5372373B"/>
    <w:rsid w:val="53740BBC"/>
    <w:rsid w:val="53755060"/>
    <w:rsid w:val="53764014"/>
    <w:rsid w:val="538E1C7E"/>
    <w:rsid w:val="53937294"/>
    <w:rsid w:val="5394300C"/>
    <w:rsid w:val="539574B0"/>
    <w:rsid w:val="53A5521A"/>
    <w:rsid w:val="53B168B0"/>
    <w:rsid w:val="53C03E02"/>
    <w:rsid w:val="53DB0C3B"/>
    <w:rsid w:val="53DF697E"/>
    <w:rsid w:val="53E421E6"/>
    <w:rsid w:val="53F46106"/>
    <w:rsid w:val="53F51CFD"/>
    <w:rsid w:val="54183C3E"/>
    <w:rsid w:val="541F4FCC"/>
    <w:rsid w:val="54267933"/>
    <w:rsid w:val="544E58B1"/>
    <w:rsid w:val="54520EFE"/>
    <w:rsid w:val="545D43BB"/>
    <w:rsid w:val="545F7ABE"/>
    <w:rsid w:val="54661945"/>
    <w:rsid w:val="546D5D37"/>
    <w:rsid w:val="54A11E85"/>
    <w:rsid w:val="54A2075F"/>
    <w:rsid w:val="54AD3CB4"/>
    <w:rsid w:val="54B35714"/>
    <w:rsid w:val="54B94783"/>
    <w:rsid w:val="54D014C0"/>
    <w:rsid w:val="54D73AF9"/>
    <w:rsid w:val="54D76BBD"/>
    <w:rsid w:val="54D77837"/>
    <w:rsid w:val="54EA55DA"/>
    <w:rsid w:val="54EA7388"/>
    <w:rsid w:val="54F12136"/>
    <w:rsid w:val="54F53A38"/>
    <w:rsid w:val="54F7763E"/>
    <w:rsid w:val="54FB77E7"/>
    <w:rsid w:val="54FE4BE1"/>
    <w:rsid w:val="550429B6"/>
    <w:rsid w:val="55076885"/>
    <w:rsid w:val="55085A60"/>
    <w:rsid w:val="550A22E3"/>
    <w:rsid w:val="55222FC6"/>
    <w:rsid w:val="552503C0"/>
    <w:rsid w:val="554051FA"/>
    <w:rsid w:val="554A09E5"/>
    <w:rsid w:val="55545149"/>
    <w:rsid w:val="55566ECB"/>
    <w:rsid w:val="55587413"/>
    <w:rsid w:val="55597412"/>
    <w:rsid w:val="5563539C"/>
    <w:rsid w:val="55800080"/>
    <w:rsid w:val="55801A9A"/>
    <w:rsid w:val="558903AA"/>
    <w:rsid w:val="558C18DF"/>
    <w:rsid w:val="559C40DA"/>
    <w:rsid w:val="55A0213D"/>
    <w:rsid w:val="55A41882"/>
    <w:rsid w:val="55AA156D"/>
    <w:rsid w:val="55CA5144"/>
    <w:rsid w:val="55DD5F31"/>
    <w:rsid w:val="56097CE2"/>
    <w:rsid w:val="561F7505"/>
    <w:rsid w:val="56244B1C"/>
    <w:rsid w:val="56276FA3"/>
    <w:rsid w:val="563B3C13"/>
    <w:rsid w:val="5645536C"/>
    <w:rsid w:val="564A35A9"/>
    <w:rsid w:val="565A05B9"/>
    <w:rsid w:val="566969D2"/>
    <w:rsid w:val="566D0271"/>
    <w:rsid w:val="56721153"/>
    <w:rsid w:val="567779F3"/>
    <w:rsid w:val="56786C15"/>
    <w:rsid w:val="567E219F"/>
    <w:rsid w:val="567E247E"/>
    <w:rsid w:val="5684380C"/>
    <w:rsid w:val="568E6439"/>
    <w:rsid w:val="56AD58DD"/>
    <w:rsid w:val="56C63E25"/>
    <w:rsid w:val="56D77DE0"/>
    <w:rsid w:val="56DD0123"/>
    <w:rsid w:val="56E30533"/>
    <w:rsid w:val="56E542AB"/>
    <w:rsid w:val="56EB388B"/>
    <w:rsid w:val="56EB73E7"/>
    <w:rsid w:val="56ED13B1"/>
    <w:rsid w:val="56EE0C86"/>
    <w:rsid w:val="56F24C1A"/>
    <w:rsid w:val="56FC33A3"/>
    <w:rsid w:val="57014E5D"/>
    <w:rsid w:val="571903F8"/>
    <w:rsid w:val="571A1A7B"/>
    <w:rsid w:val="57250B4B"/>
    <w:rsid w:val="57363121"/>
    <w:rsid w:val="573F0AC3"/>
    <w:rsid w:val="574D23FA"/>
    <w:rsid w:val="576158FB"/>
    <w:rsid w:val="57623B4D"/>
    <w:rsid w:val="576553EC"/>
    <w:rsid w:val="57686087"/>
    <w:rsid w:val="576D24F2"/>
    <w:rsid w:val="578C0BCA"/>
    <w:rsid w:val="5798756F"/>
    <w:rsid w:val="579B705F"/>
    <w:rsid w:val="57A646D9"/>
    <w:rsid w:val="57B95737"/>
    <w:rsid w:val="57CD65E5"/>
    <w:rsid w:val="57DC4038"/>
    <w:rsid w:val="57E37B56"/>
    <w:rsid w:val="57FB365A"/>
    <w:rsid w:val="580839DD"/>
    <w:rsid w:val="5822508B"/>
    <w:rsid w:val="58261C04"/>
    <w:rsid w:val="583A6878"/>
    <w:rsid w:val="583E189B"/>
    <w:rsid w:val="583F79EB"/>
    <w:rsid w:val="58490869"/>
    <w:rsid w:val="584C2108"/>
    <w:rsid w:val="5854400C"/>
    <w:rsid w:val="585616E4"/>
    <w:rsid w:val="585B059D"/>
    <w:rsid w:val="5866141B"/>
    <w:rsid w:val="58781E83"/>
    <w:rsid w:val="58794897"/>
    <w:rsid w:val="587D0EB9"/>
    <w:rsid w:val="587F4F93"/>
    <w:rsid w:val="5893004F"/>
    <w:rsid w:val="58977827"/>
    <w:rsid w:val="589A10C5"/>
    <w:rsid w:val="589A3892"/>
    <w:rsid w:val="589C4E3D"/>
    <w:rsid w:val="58A20EFD"/>
    <w:rsid w:val="58A34D7E"/>
    <w:rsid w:val="58B24661"/>
    <w:rsid w:val="58C9350D"/>
    <w:rsid w:val="58CB6281"/>
    <w:rsid w:val="58CE4B63"/>
    <w:rsid w:val="58D23BBA"/>
    <w:rsid w:val="58EA6F6E"/>
    <w:rsid w:val="58F67021"/>
    <w:rsid w:val="58F77E45"/>
    <w:rsid w:val="592B4413"/>
    <w:rsid w:val="592C715C"/>
    <w:rsid w:val="59505A7A"/>
    <w:rsid w:val="595079D6"/>
    <w:rsid w:val="59683AFA"/>
    <w:rsid w:val="596C7E82"/>
    <w:rsid w:val="596D4A2C"/>
    <w:rsid w:val="59843EC7"/>
    <w:rsid w:val="598A2EE8"/>
    <w:rsid w:val="599650D5"/>
    <w:rsid w:val="599A123D"/>
    <w:rsid w:val="599E6993"/>
    <w:rsid w:val="59A815C0"/>
    <w:rsid w:val="59B27F13"/>
    <w:rsid w:val="59C55518"/>
    <w:rsid w:val="59C63A19"/>
    <w:rsid w:val="59CA2265"/>
    <w:rsid w:val="59CC3500"/>
    <w:rsid w:val="59CF1242"/>
    <w:rsid w:val="59D24C8D"/>
    <w:rsid w:val="59D95C1D"/>
    <w:rsid w:val="59DC185C"/>
    <w:rsid w:val="59E44380"/>
    <w:rsid w:val="59E92810"/>
    <w:rsid w:val="59F355A3"/>
    <w:rsid w:val="59F760A3"/>
    <w:rsid w:val="5A00764E"/>
    <w:rsid w:val="5A0B4668"/>
    <w:rsid w:val="5A1E534A"/>
    <w:rsid w:val="5A307F33"/>
    <w:rsid w:val="5A315A59"/>
    <w:rsid w:val="5A3D03BD"/>
    <w:rsid w:val="5A44578C"/>
    <w:rsid w:val="5A4B3F32"/>
    <w:rsid w:val="5A517EA9"/>
    <w:rsid w:val="5A53777D"/>
    <w:rsid w:val="5A551748"/>
    <w:rsid w:val="5A673229"/>
    <w:rsid w:val="5A851901"/>
    <w:rsid w:val="5A9658BC"/>
    <w:rsid w:val="5A993069"/>
    <w:rsid w:val="5A9D6556"/>
    <w:rsid w:val="5AA61FA3"/>
    <w:rsid w:val="5AA93841"/>
    <w:rsid w:val="5AC40EF1"/>
    <w:rsid w:val="5AC643F3"/>
    <w:rsid w:val="5AC95C92"/>
    <w:rsid w:val="5ACD00B5"/>
    <w:rsid w:val="5AEB2391"/>
    <w:rsid w:val="5AEC372E"/>
    <w:rsid w:val="5AF2343A"/>
    <w:rsid w:val="5AF61262"/>
    <w:rsid w:val="5AF70A51"/>
    <w:rsid w:val="5B084A0C"/>
    <w:rsid w:val="5B1956B3"/>
    <w:rsid w:val="5B201C2D"/>
    <w:rsid w:val="5B2353A2"/>
    <w:rsid w:val="5B245CE6"/>
    <w:rsid w:val="5B2479CD"/>
    <w:rsid w:val="5B4028C3"/>
    <w:rsid w:val="5B437B30"/>
    <w:rsid w:val="5B484E08"/>
    <w:rsid w:val="5B4F43E9"/>
    <w:rsid w:val="5B721E85"/>
    <w:rsid w:val="5B7756EE"/>
    <w:rsid w:val="5B871DD5"/>
    <w:rsid w:val="5B9067AF"/>
    <w:rsid w:val="5B9938B6"/>
    <w:rsid w:val="5BA51BC1"/>
    <w:rsid w:val="5BA54F84"/>
    <w:rsid w:val="5BA67D81"/>
    <w:rsid w:val="5BAB1CB4"/>
    <w:rsid w:val="5BAD7361"/>
    <w:rsid w:val="5BC56459"/>
    <w:rsid w:val="5BC8419B"/>
    <w:rsid w:val="5BCF552A"/>
    <w:rsid w:val="5BD06B9D"/>
    <w:rsid w:val="5BE45D68"/>
    <w:rsid w:val="5BFD264B"/>
    <w:rsid w:val="5C084598"/>
    <w:rsid w:val="5C1271C4"/>
    <w:rsid w:val="5C1960BE"/>
    <w:rsid w:val="5C420791"/>
    <w:rsid w:val="5C4C6B7A"/>
    <w:rsid w:val="5C6043D4"/>
    <w:rsid w:val="5C6A5951"/>
    <w:rsid w:val="5C740DEC"/>
    <w:rsid w:val="5C7D0255"/>
    <w:rsid w:val="5C855BE8"/>
    <w:rsid w:val="5C8A0B74"/>
    <w:rsid w:val="5C8A4483"/>
    <w:rsid w:val="5C961BA3"/>
    <w:rsid w:val="5CA73DB1"/>
    <w:rsid w:val="5CB02CB9"/>
    <w:rsid w:val="5CB36BF9"/>
    <w:rsid w:val="5CCF4AAA"/>
    <w:rsid w:val="5CD54DC2"/>
    <w:rsid w:val="5CDB673E"/>
    <w:rsid w:val="5CF03AEF"/>
    <w:rsid w:val="5CF214D0"/>
    <w:rsid w:val="5CF2283D"/>
    <w:rsid w:val="5CFF599B"/>
    <w:rsid w:val="5D0336DD"/>
    <w:rsid w:val="5D1538E2"/>
    <w:rsid w:val="5D1C02FB"/>
    <w:rsid w:val="5D2D69AC"/>
    <w:rsid w:val="5D4133FD"/>
    <w:rsid w:val="5D5C103F"/>
    <w:rsid w:val="5D622861"/>
    <w:rsid w:val="5D71235A"/>
    <w:rsid w:val="5D83481E"/>
    <w:rsid w:val="5D8D11F8"/>
    <w:rsid w:val="5D994612"/>
    <w:rsid w:val="5D9F0831"/>
    <w:rsid w:val="5DAD3649"/>
    <w:rsid w:val="5DCD661A"/>
    <w:rsid w:val="5DD00B34"/>
    <w:rsid w:val="5DEC23C3"/>
    <w:rsid w:val="5DF42656"/>
    <w:rsid w:val="5DF753A9"/>
    <w:rsid w:val="5DF80072"/>
    <w:rsid w:val="5DF9063C"/>
    <w:rsid w:val="5DFD7355"/>
    <w:rsid w:val="5E033729"/>
    <w:rsid w:val="5E053485"/>
    <w:rsid w:val="5E176D14"/>
    <w:rsid w:val="5E1E1460"/>
    <w:rsid w:val="5E227B93"/>
    <w:rsid w:val="5E2B4296"/>
    <w:rsid w:val="5E2B5FA2"/>
    <w:rsid w:val="5E2F405E"/>
    <w:rsid w:val="5E3248D0"/>
    <w:rsid w:val="5E3873B6"/>
    <w:rsid w:val="5E390C84"/>
    <w:rsid w:val="5E39694E"/>
    <w:rsid w:val="5E4C32CD"/>
    <w:rsid w:val="5E540064"/>
    <w:rsid w:val="5E546DD1"/>
    <w:rsid w:val="5E580E61"/>
    <w:rsid w:val="5E8F0FA0"/>
    <w:rsid w:val="5E970E40"/>
    <w:rsid w:val="5E987E55"/>
    <w:rsid w:val="5EA76C03"/>
    <w:rsid w:val="5EB50A07"/>
    <w:rsid w:val="5EB84DA7"/>
    <w:rsid w:val="5EC073AC"/>
    <w:rsid w:val="5EC4414D"/>
    <w:rsid w:val="5ECA49D3"/>
    <w:rsid w:val="5EE25574"/>
    <w:rsid w:val="5F0636BF"/>
    <w:rsid w:val="5F090D52"/>
    <w:rsid w:val="5F114B55"/>
    <w:rsid w:val="5F1871E8"/>
    <w:rsid w:val="5F21609C"/>
    <w:rsid w:val="5F24793A"/>
    <w:rsid w:val="5F475839"/>
    <w:rsid w:val="5F4A0C6E"/>
    <w:rsid w:val="5F553F98"/>
    <w:rsid w:val="5F5875E4"/>
    <w:rsid w:val="5F6D4912"/>
    <w:rsid w:val="5F702FF9"/>
    <w:rsid w:val="5F7408C2"/>
    <w:rsid w:val="5F81207B"/>
    <w:rsid w:val="5F83664B"/>
    <w:rsid w:val="5F8D3732"/>
    <w:rsid w:val="5F8F6D88"/>
    <w:rsid w:val="5F942D12"/>
    <w:rsid w:val="5F993701"/>
    <w:rsid w:val="5F9A1BE7"/>
    <w:rsid w:val="5FA169F3"/>
    <w:rsid w:val="5FC62757"/>
    <w:rsid w:val="5FCB65D1"/>
    <w:rsid w:val="5FCD3422"/>
    <w:rsid w:val="5FCD3B2E"/>
    <w:rsid w:val="5FCD6983"/>
    <w:rsid w:val="5FCF78A6"/>
    <w:rsid w:val="5FD96977"/>
    <w:rsid w:val="5FD9740D"/>
    <w:rsid w:val="5FE1582B"/>
    <w:rsid w:val="5FF41083"/>
    <w:rsid w:val="5FFB4B3F"/>
    <w:rsid w:val="60010F8B"/>
    <w:rsid w:val="600B3FA8"/>
    <w:rsid w:val="600F4147"/>
    <w:rsid w:val="601E7018"/>
    <w:rsid w:val="601F7C49"/>
    <w:rsid w:val="602F2A3B"/>
    <w:rsid w:val="60360599"/>
    <w:rsid w:val="603718EF"/>
    <w:rsid w:val="60375C04"/>
    <w:rsid w:val="60477D84"/>
    <w:rsid w:val="60487659"/>
    <w:rsid w:val="604B5C6A"/>
    <w:rsid w:val="605162FE"/>
    <w:rsid w:val="60680A3A"/>
    <w:rsid w:val="606F72DB"/>
    <w:rsid w:val="60716BAF"/>
    <w:rsid w:val="607448F1"/>
    <w:rsid w:val="60852D39"/>
    <w:rsid w:val="608E3BBA"/>
    <w:rsid w:val="609B59DA"/>
    <w:rsid w:val="609D6656"/>
    <w:rsid w:val="60A864A6"/>
    <w:rsid w:val="60AE7E03"/>
    <w:rsid w:val="60B943AA"/>
    <w:rsid w:val="60BD125B"/>
    <w:rsid w:val="60BF4491"/>
    <w:rsid w:val="60C44A1B"/>
    <w:rsid w:val="60CB30A1"/>
    <w:rsid w:val="60D05B60"/>
    <w:rsid w:val="60D31618"/>
    <w:rsid w:val="60D61108"/>
    <w:rsid w:val="60DA0809"/>
    <w:rsid w:val="60DD2497"/>
    <w:rsid w:val="60E62632"/>
    <w:rsid w:val="60F2357F"/>
    <w:rsid w:val="60FC3D67"/>
    <w:rsid w:val="60FF240D"/>
    <w:rsid w:val="61096DE8"/>
    <w:rsid w:val="610E2987"/>
    <w:rsid w:val="61100C48"/>
    <w:rsid w:val="61125143"/>
    <w:rsid w:val="6115578D"/>
    <w:rsid w:val="61243C22"/>
    <w:rsid w:val="61442516"/>
    <w:rsid w:val="614A6502"/>
    <w:rsid w:val="614B7400"/>
    <w:rsid w:val="614C4F26"/>
    <w:rsid w:val="61504A17"/>
    <w:rsid w:val="6171498D"/>
    <w:rsid w:val="617701F5"/>
    <w:rsid w:val="61866A88"/>
    <w:rsid w:val="618D7A19"/>
    <w:rsid w:val="61905107"/>
    <w:rsid w:val="61944750"/>
    <w:rsid w:val="6198016C"/>
    <w:rsid w:val="61A628E6"/>
    <w:rsid w:val="61A813C7"/>
    <w:rsid w:val="61CE060A"/>
    <w:rsid w:val="61D03DA9"/>
    <w:rsid w:val="61D3043D"/>
    <w:rsid w:val="61D513C0"/>
    <w:rsid w:val="61D93B16"/>
    <w:rsid w:val="61DF27EB"/>
    <w:rsid w:val="61E41603"/>
    <w:rsid w:val="61EA6C19"/>
    <w:rsid w:val="61F45CEA"/>
    <w:rsid w:val="61F71336"/>
    <w:rsid w:val="62023A59"/>
    <w:rsid w:val="620361E6"/>
    <w:rsid w:val="62233ED9"/>
    <w:rsid w:val="62380807"/>
    <w:rsid w:val="6239194F"/>
    <w:rsid w:val="623F6839"/>
    <w:rsid w:val="62476747"/>
    <w:rsid w:val="6248393C"/>
    <w:rsid w:val="624F0412"/>
    <w:rsid w:val="62500A46"/>
    <w:rsid w:val="62586279"/>
    <w:rsid w:val="62685D39"/>
    <w:rsid w:val="627C183B"/>
    <w:rsid w:val="627E0221"/>
    <w:rsid w:val="627E58D1"/>
    <w:rsid w:val="62906DF2"/>
    <w:rsid w:val="629372B1"/>
    <w:rsid w:val="62A3326C"/>
    <w:rsid w:val="62A432B2"/>
    <w:rsid w:val="62A64C83"/>
    <w:rsid w:val="62AD7C47"/>
    <w:rsid w:val="62AF7E63"/>
    <w:rsid w:val="62B334AF"/>
    <w:rsid w:val="62B405F4"/>
    <w:rsid w:val="62C81D9D"/>
    <w:rsid w:val="62F13FD7"/>
    <w:rsid w:val="62F37D50"/>
    <w:rsid w:val="62F53AC8"/>
    <w:rsid w:val="62F91598"/>
    <w:rsid w:val="63112D6F"/>
    <w:rsid w:val="631F10F1"/>
    <w:rsid w:val="632919C3"/>
    <w:rsid w:val="63293771"/>
    <w:rsid w:val="63304C32"/>
    <w:rsid w:val="633B389C"/>
    <w:rsid w:val="633F2F95"/>
    <w:rsid w:val="63414F5F"/>
    <w:rsid w:val="63615846"/>
    <w:rsid w:val="63624ED5"/>
    <w:rsid w:val="63732C3E"/>
    <w:rsid w:val="6382143C"/>
    <w:rsid w:val="638304BF"/>
    <w:rsid w:val="638D21B6"/>
    <w:rsid w:val="63AF0C1D"/>
    <w:rsid w:val="63B212A3"/>
    <w:rsid w:val="63B81EA3"/>
    <w:rsid w:val="63CD67F3"/>
    <w:rsid w:val="63D57455"/>
    <w:rsid w:val="63DF2082"/>
    <w:rsid w:val="63E1229E"/>
    <w:rsid w:val="63E91153"/>
    <w:rsid w:val="63EB53B8"/>
    <w:rsid w:val="63FB2F12"/>
    <w:rsid w:val="64030466"/>
    <w:rsid w:val="64065DAD"/>
    <w:rsid w:val="64144421"/>
    <w:rsid w:val="641E2BAA"/>
    <w:rsid w:val="641F2BD9"/>
    <w:rsid w:val="642215E4"/>
    <w:rsid w:val="642A6EA0"/>
    <w:rsid w:val="643D394E"/>
    <w:rsid w:val="64497D26"/>
    <w:rsid w:val="644E46BB"/>
    <w:rsid w:val="644F5459"/>
    <w:rsid w:val="6470717E"/>
    <w:rsid w:val="6477050C"/>
    <w:rsid w:val="64843DBE"/>
    <w:rsid w:val="648A5A02"/>
    <w:rsid w:val="64990483"/>
    <w:rsid w:val="649B41FB"/>
    <w:rsid w:val="64AA73FA"/>
    <w:rsid w:val="64AE1BE5"/>
    <w:rsid w:val="64C25C2B"/>
    <w:rsid w:val="64C319A4"/>
    <w:rsid w:val="64CD4A1B"/>
    <w:rsid w:val="64CF20F6"/>
    <w:rsid w:val="64D616D7"/>
    <w:rsid w:val="64D911C7"/>
    <w:rsid w:val="64E2007C"/>
    <w:rsid w:val="64EF09EB"/>
    <w:rsid w:val="65094348"/>
    <w:rsid w:val="650F4BE9"/>
    <w:rsid w:val="650F5365"/>
    <w:rsid w:val="652561BA"/>
    <w:rsid w:val="654E74BF"/>
    <w:rsid w:val="65526CAC"/>
    <w:rsid w:val="65556AA0"/>
    <w:rsid w:val="65576420"/>
    <w:rsid w:val="65646CE3"/>
    <w:rsid w:val="656A1E1F"/>
    <w:rsid w:val="656E5554"/>
    <w:rsid w:val="656E5DB3"/>
    <w:rsid w:val="657F6EA6"/>
    <w:rsid w:val="6587477F"/>
    <w:rsid w:val="6588652E"/>
    <w:rsid w:val="659375C8"/>
    <w:rsid w:val="65A45FAB"/>
    <w:rsid w:val="65B53D05"/>
    <w:rsid w:val="65D11090"/>
    <w:rsid w:val="65D11E9E"/>
    <w:rsid w:val="65DD14E3"/>
    <w:rsid w:val="65EA165F"/>
    <w:rsid w:val="65EB2F60"/>
    <w:rsid w:val="65F56D4E"/>
    <w:rsid w:val="660109D5"/>
    <w:rsid w:val="66127EE8"/>
    <w:rsid w:val="66171FA7"/>
    <w:rsid w:val="661C136B"/>
    <w:rsid w:val="66216982"/>
    <w:rsid w:val="663D46DE"/>
    <w:rsid w:val="664E34EF"/>
    <w:rsid w:val="665054B9"/>
    <w:rsid w:val="665B7AF0"/>
    <w:rsid w:val="665D1B75"/>
    <w:rsid w:val="665E7BD6"/>
    <w:rsid w:val="66611474"/>
    <w:rsid w:val="6662369D"/>
    <w:rsid w:val="666F0644"/>
    <w:rsid w:val="66707909"/>
    <w:rsid w:val="66744448"/>
    <w:rsid w:val="667D0EC2"/>
    <w:rsid w:val="6683763C"/>
    <w:rsid w:val="668D3ADB"/>
    <w:rsid w:val="66951D35"/>
    <w:rsid w:val="66A163D8"/>
    <w:rsid w:val="66B43C9A"/>
    <w:rsid w:val="66B71CED"/>
    <w:rsid w:val="66BB6DD6"/>
    <w:rsid w:val="66C35C8B"/>
    <w:rsid w:val="66C8504F"/>
    <w:rsid w:val="66CA526B"/>
    <w:rsid w:val="66DB7CDB"/>
    <w:rsid w:val="66F9345B"/>
    <w:rsid w:val="66FB3677"/>
    <w:rsid w:val="66FD5A65"/>
    <w:rsid w:val="67003B54"/>
    <w:rsid w:val="670818F0"/>
    <w:rsid w:val="67121EF7"/>
    <w:rsid w:val="671604B0"/>
    <w:rsid w:val="67206C39"/>
    <w:rsid w:val="672E3820"/>
    <w:rsid w:val="673746D4"/>
    <w:rsid w:val="67380DB8"/>
    <w:rsid w:val="675C6581"/>
    <w:rsid w:val="675D60DF"/>
    <w:rsid w:val="676F31A3"/>
    <w:rsid w:val="67713939"/>
    <w:rsid w:val="6777620D"/>
    <w:rsid w:val="678278F4"/>
    <w:rsid w:val="67905EA8"/>
    <w:rsid w:val="679F6D89"/>
    <w:rsid w:val="67A61834"/>
    <w:rsid w:val="67A71109"/>
    <w:rsid w:val="67AE06E9"/>
    <w:rsid w:val="67B42289"/>
    <w:rsid w:val="67C03F80"/>
    <w:rsid w:val="67C717AB"/>
    <w:rsid w:val="67CE0D8B"/>
    <w:rsid w:val="67D2796C"/>
    <w:rsid w:val="67E40578"/>
    <w:rsid w:val="67E55BD4"/>
    <w:rsid w:val="67E67E83"/>
    <w:rsid w:val="67F03181"/>
    <w:rsid w:val="67FC4329"/>
    <w:rsid w:val="68062CE5"/>
    <w:rsid w:val="680E2BE4"/>
    <w:rsid w:val="68120C78"/>
    <w:rsid w:val="681D13CB"/>
    <w:rsid w:val="68324E76"/>
    <w:rsid w:val="683A3D2B"/>
    <w:rsid w:val="68560735"/>
    <w:rsid w:val="685867F1"/>
    <w:rsid w:val="686139AD"/>
    <w:rsid w:val="68680898"/>
    <w:rsid w:val="686A4E5E"/>
    <w:rsid w:val="686F60CA"/>
    <w:rsid w:val="6873660F"/>
    <w:rsid w:val="687A4A6F"/>
    <w:rsid w:val="687E4556"/>
    <w:rsid w:val="688A4CB2"/>
    <w:rsid w:val="688D02FE"/>
    <w:rsid w:val="688D0E96"/>
    <w:rsid w:val="689A7743"/>
    <w:rsid w:val="68AF64C7"/>
    <w:rsid w:val="68B95597"/>
    <w:rsid w:val="68BB7BDF"/>
    <w:rsid w:val="68BB7BE4"/>
    <w:rsid w:val="68C161FA"/>
    <w:rsid w:val="68C53F3C"/>
    <w:rsid w:val="68CD10C6"/>
    <w:rsid w:val="68D44E3A"/>
    <w:rsid w:val="68E41A1C"/>
    <w:rsid w:val="68ED3979"/>
    <w:rsid w:val="68F0163A"/>
    <w:rsid w:val="68F24190"/>
    <w:rsid w:val="68F465CF"/>
    <w:rsid w:val="69077CA0"/>
    <w:rsid w:val="690F3409"/>
    <w:rsid w:val="691F2F2C"/>
    <w:rsid w:val="692549DB"/>
    <w:rsid w:val="69256789"/>
    <w:rsid w:val="69272501"/>
    <w:rsid w:val="69290C44"/>
    <w:rsid w:val="693115D2"/>
    <w:rsid w:val="69347E90"/>
    <w:rsid w:val="693E784B"/>
    <w:rsid w:val="69450BD9"/>
    <w:rsid w:val="694C6293"/>
    <w:rsid w:val="69581327"/>
    <w:rsid w:val="69602F2B"/>
    <w:rsid w:val="69605A13"/>
    <w:rsid w:val="696324F7"/>
    <w:rsid w:val="6974326C"/>
    <w:rsid w:val="69746085"/>
    <w:rsid w:val="69777AD4"/>
    <w:rsid w:val="697B2A2E"/>
    <w:rsid w:val="697F6718"/>
    <w:rsid w:val="69945B39"/>
    <w:rsid w:val="699658D9"/>
    <w:rsid w:val="69A051AF"/>
    <w:rsid w:val="69B3632C"/>
    <w:rsid w:val="69BB0E9B"/>
    <w:rsid w:val="69BD5301"/>
    <w:rsid w:val="69CC30A8"/>
    <w:rsid w:val="69DE06F9"/>
    <w:rsid w:val="69DF2DDC"/>
    <w:rsid w:val="69DF4464"/>
    <w:rsid w:val="69E64C01"/>
    <w:rsid w:val="69F30635"/>
    <w:rsid w:val="69F61ED3"/>
    <w:rsid w:val="6A0960AB"/>
    <w:rsid w:val="6A136F29"/>
    <w:rsid w:val="6A162576"/>
    <w:rsid w:val="6A243740"/>
    <w:rsid w:val="6A243F95"/>
    <w:rsid w:val="6A2D4E44"/>
    <w:rsid w:val="6A425119"/>
    <w:rsid w:val="6A4C059E"/>
    <w:rsid w:val="6A521800"/>
    <w:rsid w:val="6A575068"/>
    <w:rsid w:val="6A631842"/>
    <w:rsid w:val="6A682DD1"/>
    <w:rsid w:val="6A7E184D"/>
    <w:rsid w:val="6A863137"/>
    <w:rsid w:val="6A8E338E"/>
    <w:rsid w:val="6AAB1C27"/>
    <w:rsid w:val="6ABC311D"/>
    <w:rsid w:val="6AC124E1"/>
    <w:rsid w:val="6AC16985"/>
    <w:rsid w:val="6AC83870"/>
    <w:rsid w:val="6ACA3AA9"/>
    <w:rsid w:val="6ADD27AC"/>
    <w:rsid w:val="6AEB3408"/>
    <w:rsid w:val="6AF677AE"/>
    <w:rsid w:val="6B0B19AE"/>
    <w:rsid w:val="6B286A04"/>
    <w:rsid w:val="6B43739A"/>
    <w:rsid w:val="6B4A7CBE"/>
    <w:rsid w:val="6B5949F9"/>
    <w:rsid w:val="6B80239C"/>
    <w:rsid w:val="6B8C5A35"/>
    <w:rsid w:val="6B9A5EED"/>
    <w:rsid w:val="6BA50055"/>
    <w:rsid w:val="6BA7549A"/>
    <w:rsid w:val="6BAD2A66"/>
    <w:rsid w:val="6BB65DBE"/>
    <w:rsid w:val="6BB87D88"/>
    <w:rsid w:val="6BB93723"/>
    <w:rsid w:val="6BCE55A5"/>
    <w:rsid w:val="6BFB7C75"/>
    <w:rsid w:val="6C1B20C5"/>
    <w:rsid w:val="6C2076DB"/>
    <w:rsid w:val="6C276CBC"/>
    <w:rsid w:val="6C295773"/>
    <w:rsid w:val="6C2B055A"/>
    <w:rsid w:val="6C355FC2"/>
    <w:rsid w:val="6C4B29AA"/>
    <w:rsid w:val="6C612740"/>
    <w:rsid w:val="6C621FDF"/>
    <w:rsid w:val="6C643328"/>
    <w:rsid w:val="6C6770B8"/>
    <w:rsid w:val="6C92309E"/>
    <w:rsid w:val="6C96076E"/>
    <w:rsid w:val="6CB0280D"/>
    <w:rsid w:val="6CCD7CDC"/>
    <w:rsid w:val="6CD429A0"/>
    <w:rsid w:val="6CDC7AA6"/>
    <w:rsid w:val="6CE0012B"/>
    <w:rsid w:val="6CE13030"/>
    <w:rsid w:val="6CE81FA7"/>
    <w:rsid w:val="6CEA21C3"/>
    <w:rsid w:val="6D051DCD"/>
    <w:rsid w:val="6D1A237D"/>
    <w:rsid w:val="6D3276C6"/>
    <w:rsid w:val="6D3451EC"/>
    <w:rsid w:val="6D3671B7"/>
    <w:rsid w:val="6D377E87"/>
    <w:rsid w:val="6D436027"/>
    <w:rsid w:val="6D597A48"/>
    <w:rsid w:val="6D6C0E2A"/>
    <w:rsid w:val="6D872C29"/>
    <w:rsid w:val="6D8817BB"/>
    <w:rsid w:val="6D97577B"/>
    <w:rsid w:val="6DA034D0"/>
    <w:rsid w:val="6DA93E2C"/>
    <w:rsid w:val="6DAC7479"/>
    <w:rsid w:val="6DE20975"/>
    <w:rsid w:val="6DE94229"/>
    <w:rsid w:val="6DF3151E"/>
    <w:rsid w:val="6E09799D"/>
    <w:rsid w:val="6E0B0643"/>
    <w:rsid w:val="6E1119D2"/>
    <w:rsid w:val="6E1135D0"/>
    <w:rsid w:val="6E1D3ED3"/>
    <w:rsid w:val="6E3631E6"/>
    <w:rsid w:val="6E3A4A84"/>
    <w:rsid w:val="6E3D27C7"/>
    <w:rsid w:val="6E46167B"/>
    <w:rsid w:val="6E492F1A"/>
    <w:rsid w:val="6E4B4EE4"/>
    <w:rsid w:val="6E5C0E9F"/>
    <w:rsid w:val="6E661D1D"/>
    <w:rsid w:val="6E6F2DDF"/>
    <w:rsid w:val="6E755ABD"/>
    <w:rsid w:val="6E804461"/>
    <w:rsid w:val="6E8201DA"/>
    <w:rsid w:val="6E8E6B7E"/>
    <w:rsid w:val="6E922B12"/>
    <w:rsid w:val="6E97429C"/>
    <w:rsid w:val="6E985C4F"/>
    <w:rsid w:val="6E991F9F"/>
    <w:rsid w:val="6EAF13F1"/>
    <w:rsid w:val="6EB32A89"/>
    <w:rsid w:val="6EB42D97"/>
    <w:rsid w:val="6EBB317A"/>
    <w:rsid w:val="6ED7428C"/>
    <w:rsid w:val="6EDF387E"/>
    <w:rsid w:val="6EE36ECA"/>
    <w:rsid w:val="6EE45E2F"/>
    <w:rsid w:val="6EF4232C"/>
    <w:rsid w:val="6EFB6F35"/>
    <w:rsid w:val="6F094457"/>
    <w:rsid w:val="6F0D3F9D"/>
    <w:rsid w:val="6F131548"/>
    <w:rsid w:val="6F1A5B44"/>
    <w:rsid w:val="6F2B0871"/>
    <w:rsid w:val="6F2D45E9"/>
    <w:rsid w:val="6F31130E"/>
    <w:rsid w:val="6F321C00"/>
    <w:rsid w:val="6F3D1B3D"/>
    <w:rsid w:val="6F423BD4"/>
    <w:rsid w:val="6F543924"/>
    <w:rsid w:val="6F5E47A3"/>
    <w:rsid w:val="6F675D4D"/>
    <w:rsid w:val="6F6F5585"/>
    <w:rsid w:val="6F742218"/>
    <w:rsid w:val="6F7D3720"/>
    <w:rsid w:val="6F7F29CE"/>
    <w:rsid w:val="6F8C7562"/>
    <w:rsid w:val="6F946416"/>
    <w:rsid w:val="6F9D65B5"/>
    <w:rsid w:val="6FA81EC2"/>
    <w:rsid w:val="6FA82F0C"/>
    <w:rsid w:val="6FAA5C3A"/>
    <w:rsid w:val="6FAC4AE7"/>
    <w:rsid w:val="6FAD7866"/>
    <w:rsid w:val="6FAF19A5"/>
    <w:rsid w:val="6FB46AB9"/>
    <w:rsid w:val="6FC36CFC"/>
    <w:rsid w:val="6FC87D72"/>
    <w:rsid w:val="6FCE1C7C"/>
    <w:rsid w:val="6FD74555"/>
    <w:rsid w:val="6FE13550"/>
    <w:rsid w:val="6FE949B4"/>
    <w:rsid w:val="6FED1970"/>
    <w:rsid w:val="6FEE04AD"/>
    <w:rsid w:val="6FFE7D34"/>
    <w:rsid w:val="700618B7"/>
    <w:rsid w:val="701E15E0"/>
    <w:rsid w:val="70294DB1"/>
    <w:rsid w:val="702E4EC4"/>
    <w:rsid w:val="70390390"/>
    <w:rsid w:val="704143DA"/>
    <w:rsid w:val="704D24DE"/>
    <w:rsid w:val="705838E8"/>
    <w:rsid w:val="705A7660"/>
    <w:rsid w:val="705B4B57"/>
    <w:rsid w:val="70626515"/>
    <w:rsid w:val="70670F67"/>
    <w:rsid w:val="706F478E"/>
    <w:rsid w:val="707A0C11"/>
    <w:rsid w:val="707C55FA"/>
    <w:rsid w:val="707E3A8B"/>
    <w:rsid w:val="70853FB1"/>
    <w:rsid w:val="708A27DA"/>
    <w:rsid w:val="709541F4"/>
    <w:rsid w:val="70A40B05"/>
    <w:rsid w:val="70BB3A5A"/>
    <w:rsid w:val="70D171F6"/>
    <w:rsid w:val="70E92792"/>
    <w:rsid w:val="70EB1802"/>
    <w:rsid w:val="70F25AEA"/>
    <w:rsid w:val="70F353BF"/>
    <w:rsid w:val="71055060"/>
    <w:rsid w:val="71066EA0"/>
    <w:rsid w:val="710F7167"/>
    <w:rsid w:val="71240B99"/>
    <w:rsid w:val="712541F9"/>
    <w:rsid w:val="71280A92"/>
    <w:rsid w:val="713A123F"/>
    <w:rsid w:val="7148570A"/>
    <w:rsid w:val="714F6012"/>
    <w:rsid w:val="71520337"/>
    <w:rsid w:val="715D30C9"/>
    <w:rsid w:val="716408AF"/>
    <w:rsid w:val="716F0EE9"/>
    <w:rsid w:val="71791D68"/>
    <w:rsid w:val="719721EE"/>
    <w:rsid w:val="719B1CDE"/>
    <w:rsid w:val="719C7804"/>
    <w:rsid w:val="71A60683"/>
    <w:rsid w:val="71AB6D53"/>
    <w:rsid w:val="71AC3558"/>
    <w:rsid w:val="71AD1A11"/>
    <w:rsid w:val="71CF615B"/>
    <w:rsid w:val="71DE7A31"/>
    <w:rsid w:val="71E52F59"/>
    <w:rsid w:val="71FB425F"/>
    <w:rsid w:val="72121874"/>
    <w:rsid w:val="722F3F82"/>
    <w:rsid w:val="723D56CC"/>
    <w:rsid w:val="72415A14"/>
    <w:rsid w:val="72485159"/>
    <w:rsid w:val="724D6043"/>
    <w:rsid w:val="72541E8D"/>
    <w:rsid w:val="725A344F"/>
    <w:rsid w:val="72604CD6"/>
    <w:rsid w:val="72730565"/>
    <w:rsid w:val="727662A7"/>
    <w:rsid w:val="729055BB"/>
    <w:rsid w:val="7295002F"/>
    <w:rsid w:val="72952BD1"/>
    <w:rsid w:val="72987FCC"/>
    <w:rsid w:val="729A0541"/>
    <w:rsid w:val="72A5093A"/>
    <w:rsid w:val="72AE7D4E"/>
    <w:rsid w:val="72B160BD"/>
    <w:rsid w:val="72BF7C4E"/>
    <w:rsid w:val="72C67139"/>
    <w:rsid w:val="72CA42B1"/>
    <w:rsid w:val="72CD11DC"/>
    <w:rsid w:val="72D51220"/>
    <w:rsid w:val="72DB26CC"/>
    <w:rsid w:val="72DC25AE"/>
    <w:rsid w:val="72E256EB"/>
    <w:rsid w:val="72EC141F"/>
    <w:rsid w:val="72EF522E"/>
    <w:rsid w:val="72F07E08"/>
    <w:rsid w:val="72F62F44"/>
    <w:rsid w:val="72FF4921"/>
    <w:rsid w:val="73025D8D"/>
    <w:rsid w:val="73171838"/>
    <w:rsid w:val="732D105C"/>
    <w:rsid w:val="732D2E0A"/>
    <w:rsid w:val="733D0B73"/>
    <w:rsid w:val="734939BC"/>
    <w:rsid w:val="734A7519"/>
    <w:rsid w:val="734D5991"/>
    <w:rsid w:val="734E051D"/>
    <w:rsid w:val="734F2506"/>
    <w:rsid w:val="735754B8"/>
    <w:rsid w:val="73644352"/>
    <w:rsid w:val="73691968"/>
    <w:rsid w:val="736F3422"/>
    <w:rsid w:val="737F7E2B"/>
    <w:rsid w:val="73800FFA"/>
    <w:rsid w:val="739F3AF2"/>
    <w:rsid w:val="73A31E32"/>
    <w:rsid w:val="73AF1A71"/>
    <w:rsid w:val="73B9054F"/>
    <w:rsid w:val="73BC5F3C"/>
    <w:rsid w:val="73C179F6"/>
    <w:rsid w:val="73CF5C6F"/>
    <w:rsid w:val="73E01C2A"/>
    <w:rsid w:val="73E444BF"/>
    <w:rsid w:val="73E5717F"/>
    <w:rsid w:val="73F41B79"/>
    <w:rsid w:val="74082F2F"/>
    <w:rsid w:val="74152900"/>
    <w:rsid w:val="74300102"/>
    <w:rsid w:val="74344F85"/>
    <w:rsid w:val="7436513C"/>
    <w:rsid w:val="74381E70"/>
    <w:rsid w:val="744D4DE6"/>
    <w:rsid w:val="746C0E4C"/>
    <w:rsid w:val="74746816"/>
    <w:rsid w:val="747B0028"/>
    <w:rsid w:val="74806F69"/>
    <w:rsid w:val="748979DC"/>
    <w:rsid w:val="748F53FE"/>
    <w:rsid w:val="74A60DD6"/>
    <w:rsid w:val="74A67D0F"/>
    <w:rsid w:val="74AB105C"/>
    <w:rsid w:val="74AB66DC"/>
    <w:rsid w:val="74AE3AD6"/>
    <w:rsid w:val="74AF784E"/>
    <w:rsid w:val="74B9247B"/>
    <w:rsid w:val="74BA5640"/>
    <w:rsid w:val="74E10411"/>
    <w:rsid w:val="74F3598D"/>
    <w:rsid w:val="74F963F6"/>
    <w:rsid w:val="74FE524A"/>
    <w:rsid w:val="750477ED"/>
    <w:rsid w:val="750E27C7"/>
    <w:rsid w:val="751002ED"/>
    <w:rsid w:val="751148E0"/>
    <w:rsid w:val="75124817"/>
    <w:rsid w:val="751678CE"/>
    <w:rsid w:val="75202800"/>
    <w:rsid w:val="75220020"/>
    <w:rsid w:val="75237113"/>
    <w:rsid w:val="75271ADB"/>
    <w:rsid w:val="752E193A"/>
    <w:rsid w:val="753162C4"/>
    <w:rsid w:val="754937FF"/>
    <w:rsid w:val="7555324A"/>
    <w:rsid w:val="75637383"/>
    <w:rsid w:val="75840CDB"/>
    <w:rsid w:val="758D5DE2"/>
    <w:rsid w:val="759058D2"/>
    <w:rsid w:val="759E0F0F"/>
    <w:rsid w:val="759E1D9D"/>
    <w:rsid w:val="75A34979"/>
    <w:rsid w:val="75C116C2"/>
    <w:rsid w:val="75C3416E"/>
    <w:rsid w:val="75C35E7A"/>
    <w:rsid w:val="75C8506C"/>
    <w:rsid w:val="75D94B83"/>
    <w:rsid w:val="75E24302"/>
    <w:rsid w:val="75E55C1E"/>
    <w:rsid w:val="75EF43A6"/>
    <w:rsid w:val="75FE0A8D"/>
    <w:rsid w:val="75FF646C"/>
    <w:rsid w:val="76045978"/>
    <w:rsid w:val="760C31EA"/>
    <w:rsid w:val="761E6E1B"/>
    <w:rsid w:val="76245223"/>
    <w:rsid w:val="76297D24"/>
    <w:rsid w:val="762E2C52"/>
    <w:rsid w:val="763149BF"/>
    <w:rsid w:val="76345587"/>
    <w:rsid w:val="76422F15"/>
    <w:rsid w:val="7675496D"/>
    <w:rsid w:val="767945B8"/>
    <w:rsid w:val="767B6800"/>
    <w:rsid w:val="76830F93"/>
    <w:rsid w:val="768676A8"/>
    <w:rsid w:val="7687280F"/>
    <w:rsid w:val="76872E8E"/>
    <w:rsid w:val="76897ADF"/>
    <w:rsid w:val="76911902"/>
    <w:rsid w:val="76942E60"/>
    <w:rsid w:val="76A2766B"/>
    <w:rsid w:val="76A35191"/>
    <w:rsid w:val="76A553AD"/>
    <w:rsid w:val="76B9692E"/>
    <w:rsid w:val="76C83D53"/>
    <w:rsid w:val="76C96D7D"/>
    <w:rsid w:val="76CF41D8"/>
    <w:rsid w:val="76DC1B20"/>
    <w:rsid w:val="76DE41F1"/>
    <w:rsid w:val="76EF7C2E"/>
    <w:rsid w:val="76F55C40"/>
    <w:rsid w:val="770C71DA"/>
    <w:rsid w:val="77167266"/>
    <w:rsid w:val="77185B7F"/>
    <w:rsid w:val="77205ABA"/>
    <w:rsid w:val="77246743"/>
    <w:rsid w:val="772B7660"/>
    <w:rsid w:val="77304C77"/>
    <w:rsid w:val="774249AA"/>
    <w:rsid w:val="77495D38"/>
    <w:rsid w:val="774C5829"/>
    <w:rsid w:val="7750356B"/>
    <w:rsid w:val="7750578C"/>
    <w:rsid w:val="7751255B"/>
    <w:rsid w:val="775841CD"/>
    <w:rsid w:val="77731007"/>
    <w:rsid w:val="777A2396"/>
    <w:rsid w:val="777D4A5A"/>
    <w:rsid w:val="7782124A"/>
    <w:rsid w:val="77860D3A"/>
    <w:rsid w:val="778B6351"/>
    <w:rsid w:val="77933457"/>
    <w:rsid w:val="77935205"/>
    <w:rsid w:val="77953D6F"/>
    <w:rsid w:val="77AF64E3"/>
    <w:rsid w:val="77C875A5"/>
    <w:rsid w:val="77D57729"/>
    <w:rsid w:val="77E3618D"/>
    <w:rsid w:val="77E912C9"/>
    <w:rsid w:val="77EB3293"/>
    <w:rsid w:val="77F24A45"/>
    <w:rsid w:val="77F263D0"/>
    <w:rsid w:val="77FE2FC7"/>
    <w:rsid w:val="780B56E4"/>
    <w:rsid w:val="780C513D"/>
    <w:rsid w:val="781475F6"/>
    <w:rsid w:val="783148D8"/>
    <w:rsid w:val="78362761"/>
    <w:rsid w:val="783B3C00"/>
    <w:rsid w:val="784800F1"/>
    <w:rsid w:val="786C6EBD"/>
    <w:rsid w:val="78727511"/>
    <w:rsid w:val="787D3D29"/>
    <w:rsid w:val="78852CD7"/>
    <w:rsid w:val="78874D6A"/>
    <w:rsid w:val="78AF70A8"/>
    <w:rsid w:val="78B0328F"/>
    <w:rsid w:val="78CD31AA"/>
    <w:rsid w:val="78D855C6"/>
    <w:rsid w:val="78DE2D56"/>
    <w:rsid w:val="790F6B0E"/>
    <w:rsid w:val="79132AA2"/>
    <w:rsid w:val="79183C14"/>
    <w:rsid w:val="791E4FA3"/>
    <w:rsid w:val="79226841"/>
    <w:rsid w:val="7923202E"/>
    <w:rsid w:val="79256331"/>
    <w:rsid w:val="79326929"/>
    <w:rsid w:val="79330A4E"/>
    <w:rsid w:val="79332946"/>
    <w:rsid w:val="79490272"/>
    <w:rsid w:val="794B3FEA"/>
    <w:rsid w:val="794C38BE"/>
    <w:rsid w:val="795207AB"/>
    <w:rsid w:val="795C00BD"/>
    <w:rsid w:val="795D3D1D"/>
    <w:rsid w:val="795F4FDA"/>
    <w:rsid w:val="796414CB"/>
    <w:rsid w:val="797F31EC"/>
    <w:rsid w:val="7982496F"/>
    <w:rsid w:val="798D23B3"/>
    <w:rsid w:val="79907C4E"/>
    <w:rsid w:val="79986942"/>
    <w:rsid w:val="799A0ACD"/>
    <w:rsid w:val="799C4845"/>
    <w:rsid w:val="799F7E92"/>
    <w:rsid w:val="79A8143C"/>
    <w:rsid w:val="79A90D10"/>
    <w:rsid w:val="79ED75C8"/>
    <w:rsid w:val="79F75F20"/>
    <w:rsid w:val="79FD2E0A"/>
    <w:rsid w:val="7A0D5743"/>
    <w:rsid w:val="7A1E7A96"/>
    <w:rsid w:val="7A291E51"/>
    <w:rsid w:val="7A2B3E1B"/>
    <w:rsid w:val="7A351AB3"/>
    <w:rsid w:val="7A416F62"/>
    <w:rsid w:val="7A431D3E"/>
    <w:rsid w:val="7A5073DE"/>
    <w:rsid w:val="7A523156"/>
    <w:rsid w:val="7A5B2288"/>
    <w:rsid w:val="7A65732D"/>
    <w:rsid w:val="7A665D15"/>
    <w:rsid w:val="7A68367E"/>
    <w:rsid w:val="7A780D5D"/>
    <w:rsid w:val="7A8772A3"/>
    <w:rsid w:val="7AA54C5F"/>
    <w:rsid w:val="7AA634A2"/>
    <w:rsid w:val="7AB46BDC"/>
    <w:rsid w:val="7ABB2C05"/>
    <w:rsid w:val="7ABD2CC5"/>
    <w:rsid w:val="7ABE349D"/>
    <w:rsid w:val="7AC202DC"/>
    <w:rsid w:val="7AC801D7"/>
    <w:rsid w:val="7ACC0CD4"/>
    <w:rsid w:val="7AD1051F"/>
    <w:rsid w:val="7AD16935"/>
    <w:rsid w:val="7ADB1E82"/>
    <w:rsid w:val="7AF75AAB"/>
    <w:rsid w:val="7AF83CFD"/>
    <w:rsid w:val="7AFC7F7A"/>
    <w:rsid w:val="7AFE32DE"/>
    <w:rsid w:val="7B0408F4"/>
    <w:rsid w:val="7B0A2658"/>
    <w:rsid w:val="7B0D16A6"/>
    <w:rsid w:val="7B2A40D3"/>
    <w:rsid w:val="7B334D35"/>
    <w:rsid w:val="7B391059"/>
    <w:rsid w:val="7B4C5DF7"/>
    <w:rsid w:val="7B503B39"/>
    <w:rsid w:val="7B567A6A"/>
    <w:rsid w:val="7B5E3B44"/>
    <w:rsid w:val="7B63258C"/>
    <w:rsid w:val="7B6E0463"/>
    <w:rsid w:val="7B737828"/>
    <w:rsid w:val="7B7E2F31"/>
    <w:rsid w:val="7B902188"/>
    <w:rsid w:val="7B913163"/>
    <w:rsid w:val="7B9461AA"/>
    <w:rsid w:val="7B9F686F"/>
    <w:rsid w:val="7BB82CB9"/>
    <w:rsid w:val="7BBB4D2B"/>
    <w:rsid w:val="7BBC11CF"/>
    <w:rsid w:val="7BBD4F47"/>
    <w:rsid w:val="7BE904EF"/>
    <w:rsid w:val="7BEA5AB0"/>
    <w:rsid w:val="7BF42EE8"/>
    <w:rsid w:val="7C02295A"/>
    <w:rsid w:val="7C0251C7"/>
    <w:rsid w:val="7C077F70"/>
    <w:rsid w:val="7C0A75AC"/>
    <w:rsid w:val="7C0E2397"/>
    <w:rsid w:val="7C16387B"/>
    <w:rsid w:val="7C1A7CA3"/>
    <w:rsid w:val="7C1F52BA"/>
    <w:rsid w:val="7C2D0723"/>
    <w:rsid w:val="7C336FB7"/>
    <w:rsid w:val="7C3F3BAE"/>
    <w:rsid w:val="7C3F595C"/>
    <w:rsid w:val="7C407C76"/>
    <w:rsid w:val="7C492337"/>
    <w:rsid w:val="7C6B6751"/>
    <w:rsid w:val="7C7901E8"/>
    <w:rsid w:val="7C7970C0"/>
    <w:rsid w:val="7C825028"/>
    <w:rsid w:val="7C864E16"/>
    <w:rsid w:val="7C8A32C0"/>
    <w:rsid w:val="7C8B6DF3"/>
    <w:rsid w:val="7C947A56"/>
    <w:rsid w:val="7CB1685A"/>
    <w:rsid w:val="7CBC0DF1"/>
    <w:rsid w:val="7CBC5A04"/>
    <w:rsid w:val="7CCD4D16"/>
    <w:rsid w:val="7CDC31AB"/>
    <w:rsid w:val="7CE64029"/>
    <w:rsid w:val="7CE856D2"/>
    <w:rsid w:val="7D030CD1"/>
    <w:rsid w:val="7D0B583E"/>
    <w:rsid w:val="7D0D15B6"/>
    <w:rsid w:val="7D123FEA"/>
    <w:rsid w:val="7D1312C2"/>
    <w:rsid w:val="7D1666BD"/>
    <w:rsid w:val="7D1E092C"/>
    <w:rsid w:val="7D217A42"/>
    <w:rsid w:val="7D240E28"/>
    <w:rsid w:val="7D254B52"/>
    <w:rsid w:val="7D2A1961"/>
    <w:rsid w:val="7D2C77F0"/>
    <w:rsid w:val="7D33726F"/>
    <w:rsid w:val="7D376633"/>
    <w:rsid w:val="7D39684F"/>
    <w:rsid w:val="7D3A189F"/>
    <w:rsid w:val="7D4C5A01"/>
    <w:rsid w:val="7D4D1A81"/>
    <w:rsid w:val="7D4F0A19"/>
    <w:rsid w:val="7D584EB5"/>
    <w:rsid w:val="7D624662"/>
    <w:rsid w:val="7D6E0B58"/>
    <w:rsid w:val="7D7533C5"/>
    <w:rsid w:val="7D763BC4"/>
    <w:rsid w:val="7D787377"/>
    <w:rsid w:val="7D8822C0"/>
    <w:rsid w:val="7DB3215D"/>
    <w:rsid w:val="7DBB1012"/>
    <w:rsid w:val="7DBD122E"/>
    <w:rsid w:val="7DC57B72"/>
    <w:rsid w:val="7DCD2744"/>
    <w:rsid w:val="7DD726A0"/>
    <w:rsid w:val="7DE06CCB"/>
    <w:rsid w:val="7DED6109"/>
    <w:rsid w:val="7DF369FE"/>
    <w:rsid w:val="7DF90C0B"/>
    <w:rsid w:val="7E085123"/>
    <w:rsid w:val="7E0B1F99"/>
    <w:rsid w:val="7E130E4E"/>
    <w:rsid w:val="7E1916B1"/>
    <w:rsid w:val="7E1A042F"/>
    <w:rsid w:val="7E1B4BBF"/>
    <w:rsid w:val="7E1B6D74"/>
    <w:rsid w:val="7E3077EA"/>
    <w:rsid w:val="7E3A287F"/>
    <w:rsid w:val="7E421F1F"/>
    <w:rsid w:val="7E4B05E8"/>
    <w:rsid w:val="7E61605D"/>
    <w:rsid w:val="7E6873EC"/>
    <w:rsid w:val="7E6C2A49"/>
    <w:rsid w:val="7E8A3E00"/>
    <w:rsid w:val="7E9006F1"/>
    <w:rsid w:val="7EBB6A76"/>
    <w:rsid w:val="7EBC3219"/>
    <w:rsid w:val="7EC05C72"/>
    <w:rsid w:val="7EC34622"/>
    <w:rsid w:val="7EC5039A"/>
    <w:rsid w:val="7EE862A2"/>
    <w:rsid w:val="7EF10E69"/>
    <w:rsid w:val="7EF649F8"/>
    <w:rsid w:val="7EFE38AC"/>
    <w:rsid w:val="7F016EF9"/>
    <w:rsid w:val="7F037115"/>
    <w:rsid w:val="7F101EAE"/>
    <w:rsid w:val="7F2344A4"/>
    <w:rsid w:val="7F2F7F0A"/>
    <w:rsid w:val="7F3B162A"/>
    <w:rsid w:val="7F3E370A"/>
    <w:rsid w:val="7F4C3B7C"/>
    <w:rsid w:val="7F565496"/>
    <w:rsid w:val="7F634B75"/>
    <w:rsid w:val="7F6B78B1"/>
    <w:rsid w:val="7F6C6A68"/>
    <w:rsid w:val="7F770FF3"/>
    <w:rsid w:val="7F8A3392"/>
    <w:rsid w:val="7F8E3FB5"/>
    <w:rsid w:val="7F9D1317"/>
    <w:rsid w:val="7FA546E5"/>
    <w:rsid w:val="7FB328E9"/>
    <w:rsid w:val="7FB34697"/>
    <w:rsid w:val="7FBE053E"/>
    <w:rsid w:val="7FBE0A00"/>
    <w:rsid w:val="7FCB7C32"/>
    <w:rsid w:val="7FCD41AB"/>
    <w:rsid w:val="7FD10FC1"/>
    <w:rsid w:val="7FD22190"/>
    <w:rsid w:val="7FE518E6"/>
    <w:rsid w:val="7FE707E4"/>
    <w:rsid w:val="7FE728A3"/>
    <w:rsid w:val="7FF33FBC"/>
    <w:rsid w:val="7FF37189"/>
    <w:rsid w:val="7FFB70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4"/>
      <w:lang w:val="en-US" w:eastAsia="zh-CN" w:bidi="ar-SA"/>
    </w:rPr>
  </w:style>
  <w:style w:type="paragraph" w:styleId="4">
    <w:name w:val="heading 1"/>
    <w:basedOn w:val="1"/>
    <w:next w:val="1"/>
    <w:link w:val="52"/>
    <w:qFormat/>
    <w:uiPriority w:val="0"/>
    <w:pPr>
      <w:keepNext/>
      <w:keepLines/>
      <w:spacing w:line="360" w:lineRule="auto"/>
      <w:jc w:val="center"/>
      <w:outlineLvl w:val="0"/>
    </w:pPr>
    <w:rPr>
      <w:rFonts w:ascii="Times New Roman" w:hAnsi="Times New Roman" w:eastAsia="宋体"/>
      <w:b/>
      <w:kern w:val="44"/>
      <w:sz w:val="32"/>
      <w:szCs w:val="20"/>
    </w:rPr>
  </w:style>
  <w:style w:type="paragraph" w:styleId="5">
    <w:name w:val="heading 2"/>
    <w:basedOn w:val="1"/>
    <w:next w:val="1"/>
    <w:link w:val="53"/>
    <w:qFormat/>
    <w:uiPriority w:val="99"/>
    <w:pPr>
      <w:keepNext/>
      <w:keepLines/>
      <w:numPr>
        <w:ilvl w:val="1"/>
        <w:numId w:val="0"/>
      </w:numPr>
      <w:spacing w:line="360" w:lineRule="auto"/>
      <w:ind w:left="0" w:firstLine="0"/>
      <w:jc w:val="left"/>
      <w:outlineLvl w:val="1"/>
    </w:pPr>
    <w:rPr>
      <w:rFonts w:ascii="Arial" w:hAnsi="Arial" w:eastAsia="宋体"/>
      <w:b/>
      <w:sz w:val="24"/>
      <w:szCs w:val="20"/>
    </w:rPr>
  </w:style>
  <w:style w:type="paragraph" w:styleId="6">
    <w:name w:val="heading 3"/>
    <w:basedOn w:val="1"/>
    <w:next w:val="1"/>
    <w:link w:val="54"/>
    <w:qFormat/>
    <w:uiPriority w:val="99"/>
    <w:pPr>
      <w:keepNext/>
      <w:keepLines/>
      <w:spacing w:line="360" w:lineRule="auto"/>
      <w:jc w:val="left"/>
      <w:outlineLvl w:val="2"/>
    </w:pPr>
    <w:rPr>
      <w:rFonts w:ascii="宋体" w:hAnsi="宋体" w:cs="宋体"/>
      <w:b/>
      <w:szCs w:val="21"/>
    </w:rPr>
  </w:style>
  <w:style w:type="paragraph" w:styleId="7">
    <w:name w:val="heading 4"/>
    <w:basedOn w:val="1"/>
    <w:next w:val="1"/>
    <w:link w:val="55"/>
    <w:qFormat/>
    <w:uiPriority w:val="99"/>
    <w:pPr>
      <w:keepNext/>
      <w:outlineLvl w:val="3"/>
    </w:pPr>
    <w:rPr>
      <w:sz w:val="32"/>
      <w:szCs w:val="20"/>
    </w:rPr>
  </w:style>
  <w:style w:type="character" w:default="1" w:styleId="38">
    <w:name w:val="Default Paragraph Font"/>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link w:val="67"/>
    <w:qFormat/>
    <w:uiPriority w:val="0"/>
    <w:pPr>
      <w:ind w:firstLine="420"/>
    </w:pPr>
    <w:rPr>
      <w:rFonts w:eastAsia="楷体_GB2312"/>
      <w:sz w:val="32"/>
      <w:szCs w:val="20"/>
    </w:rPr>
  </w:style>
  <w:style w:type="paragraph" w:styleId="3">
    <w:name w:val="Body Text"/>
    <w:basedOn w:val="1"/>
    <w:next w:val="1"/>
    <w:link w:val="57"/>
    <w:qFormat/>
    <w:uiPriority w:val="0"/>
    <w:pPr>
      <w:spacing w:after="120"/>
    </w:pPr>
  </w:style>
  <w:style w:type="paragraph" w:styleId="8">
    <w:name w:val="Normal Indent"/>
    <w:basedOn w:val="1"/>
    <w:qFormat/>
    <w:uiPriority w:val="0"/>
    <w:pPr>
      <w:ind w:firstLine="420"/>
    </w:pPr>
    <w:rPr>
      <w:szCs w:val="20"/>
    </w:rPr>
  </w:style>
  <w:style w:type="paragraph" w:styleId="9">
    <w:name w:val="caption"/>
    <w:basedOn w:val="1"/>
    <w:next w:val="1"/>
    <w:qFormat/>
    <w:uiPriority w:val="0"/>
    <w:rPr>
      <w:rFonts w:ascii="Cambria" w:hAnsi="Cambria" w:eastAsia="黑体"/>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56"/>
    <w:semiHidden/>
    <w:qFormat/>
    <w:uiPriority w:val="99"/>
    <w:pPr>
      <w:jc w:val="left"/>
    </w:pPr>
  </w:style>
  <w:style w:type="paragraph" w:styleId="12">
    <w:name w:val="Body Text 3"/>
    <w:basedOn w:val="1"/>
    <w:qFormat/>
    <w:uiPriority w:val="0"/>
    <w:pPr>
      <w:spacing w:after="120"/>
    </w:pPr>
    <w:rPr>
      <w:sz w:val="16"/>
      <w:szCs w:val="16"/>
    </w:rPr>
  </w:style>
  <w:style w:type="paragraph" w:styleId="13">
    <w:name w:val="Body Text Indent"/>
    <w:basedOn w:val="1"/>
    <w:next w:val="1"/>
    <w:link w:val="59"/>
    <w:qFormat/>
    <w:uiPriority w:val="0"/>
    <w:pPr>
      <w:spacing w:after="120"/>
      <w:ind w:left="420" w:leftChars="200"/>
    </w:pPr>
  </w:style>
  <w:style w:type="paragraph" w:styleId="14">
    <w:name w:val="List 2"/>
    <w:basedOn w:val="1"/>
    <w:qFormat/>
    <w:uiPriority w:val="0"/>
    <w:pPr>
      <w:ind w:left="100" w:leftChars="200" w:hanging="200" w:hangingChars="200"/>
    </w:pPr>
  </w:style>
  <w:style w:type="paragraph" w:styleId="15">
    <w:name w:val="List Continue"/>
    <w:basedOn w:val="1"/>
    <w:qFormat/>
    <w:uiPriority w:val="0"/>
    <w:pPr>
      <w:spacing w:after="120"/>
      <w:ind w:left="420"/>
    </w:pPr>
    <w:rPr>
      <w:rFonts w:eastAsia="楷体_GB2312"/>
      <w:sz w:val="32"/>
      <w:szCs w:val="20"/>
    </w:rPr>
  </w:style>
  <w:style w:type="paragraph" w:styleId="16">
    <w:name w:val="toc 3"/>
    <w:basedOn w:val="1"/>
    <w:next w:val="1"/>
    <w:qFormat/>
    <w:uiPriority w:val="39"/>
    <w:pPr>
      <w:ind w:left="840" w:leftChars="400"/>
    </w:pPr>
  </w:style>
  <w:style w:type="paragraph" w:styleId="17">
    <w:name w:val="Plain Text"/>
    <w:basedOn w:val="1"/>
    <w:link w:val="60"/>
    <w:qFormat/>
    <w:uiPriority w:val="0"/>
    <w:rPr>
      <w:rFonts w:ascii="宋体" w:hAnsi="Courier New" w:cs="Courier New"/>
      <w:szCs w:val="21"/>
    </w:rPr>
  </w:style>
  <w:style w:type="paragraph" w:styleId="18">
    <w:name w:val="Date"/>
    <w:basedOn w:val="1"/>
    <w:next w:val="1"/>
    <w:link w:val="61"/>
    <w:qFormat/>
    <w:uiPriority w:val="0"/>
    <w:pPr>
      <w:adjustRightInd w:val="0"/>
      <w:spacing w:line="360" w:lineRule="atLeast"/>
      <w:textAlignment w:val="baseline"/>
    </w:pPr>
    <w:rPr>
      <w:kern w:val="0"/>
      <w:sz w:val="28"/>
      <w:szCs w:val="20"/>
    </w:rPr>
  </w:style>
  <w:style w:type="paragraph" w:styleId="19">
    <w:name w:val="Body Text Indent 2"/>
    <w:basedOn w:val="1"/>
    <w:link w:val="62"/>
    <w:qFormat/>
    <w:uiPriority w:val="0"/>
    <w:pPr>
      <w:spacing w:after="120" w:line="480" w:lineRule="auto"/>
      <w:ind w:left="420" w:leftChars="200"/>
    </w:pPr>
  </w:style>
  <w:style w:type="paragraph" w:styleId="20">
    <w:name w:val="Balloon Text"/>
    <w:basedOn w:val="1"/>
    <w:link w:val="63"/>
    <w:semiHidden/>
    <w:qFormat/>
    <w:uiPriority w:val="99"/>
    <w:rPr>
      <w:sz w:val="18"/>
      <w:szCs w:val="18"/>
    </w:rPr>
  </w:style>
  <w:style w:type="paragraph" w:styleId="21">
    <w:name w:val="footer"/>
    <w:basedOn w:val="1"/>
    <w:link w:val="64"/>
    <w:qFormat/>
    <w:uiPriority w:val="99"/>
    <w:pPr>
      <w:tabs>
        <w:tab w:val="center" w:pos="4153"/>
        <w:tab w:val="right" w:pos="8306"/>
      </w:tabs>
      <w:snapToGrid w:val="0"/>
      <w:jc w:val="left"/>
    </w:pPr>
    <w:rPr>
      <w:sz w:val="18"/>
      <w:szCs w:val="18"/>
    </w:rPr>
  </w:style>
  <w:style w:type="paragraph" w:styleId="22">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460"/>
      </w:tabs>
      <w:spacing w:line="360" w:lineRule="auto"/>
    </w:pPr>
    <w:rPr>
      <w:rFonts w:ascii="宋体" w:hAnsi="宋体" w:cs="宋体"/>
      <w:b/>
    </w:rPr>
  </w:style>
  <w:style w:type="paragraph" w:styleId="24">
    <w:name w:val="List"/>
    <w:basedOn w:val="1"/>
    <w:qFormat/>
    <w:uiPriority w:val="0"/>
    <w:pPr>
      <w:ind w:left="420" w:hanging="420"/>
    </w:pPr>
    <w:rPr>
      <w:rFonts w:eastAsia="楷体_GB2312"/>
      <w:sz w:val="32"/>
      <w:szCs w:val="20"/>
    </w:rPr>
  </w:style>
  <w:style w:type="paragraph" w:styleId="25">
    <w:name w:val="footnote text"/>
    <w:basedOn w:val="1"/>
    <w:qFormat/>
    <w:uiPriority w:val="99"/>
    <w:rPr>
      <w:sz w:val="20"/>
      <w:szCs w:val="20"/>
    </w:rPr>
  </w:style>
  <w:style w:type="paragraph" w:styleId="26">
    <w:name w:val="List 5"/>
    <w:basedOn w:val="1"/>
    <w:qFormat/>
    <w:uiPriority w:val="0"/>
    <w:pPr>
      <w:ind w:left="2100" w:hanging="420"/>
    </w:pPr>
    <w:rPr>
      <w:rFonts w:eastAsia="楷体_GB2312"/>
      <w:sz w:val="32"/>
      <w:szCs w:val="20"/>
    </w:rPr>
  </w:style>
  <w:style w:type="paragraph" w:styleId="27">
    <w:name w:val="Body Text Indent 3"/>
    <w:basedOn w:val="1"/>
    <w:link w:val="66"/>
    <w:qFormat/>
    <w:uiPriority w:val="0"/>
    <w:pPr>
      <w:spacing w:after="120"/>
      <w:ind w:left="420" w:leftChars="200"/>
    </w:pPr>
    <w:rPr>
      <w:sz w:val="16"/>
      <w:szCs w:val="16"/>
    </w:rPr>
  </w:style>
  <w:style w:type="paragraph" w:styleId="28">
    <w:name w:val="table of figures"/>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29">
    <w:name w:val="toc 2"/>
    <w:basedOn w:val="1"/>
    <w:next w:val="1"/>
    <w:qFormat/>
    <w:uiPriority w:val="39"/>
    <w:pPr>
      <w:spacing w:line="360" w:lineRule="auto"/>
      <w:ind w:left="420" w:leftChars="200"/>
    </w:pPr>
    <w:rPr>
      <w:rFonts w:ascii="宋体" w:hAnsi="宋体" w:cs="宋体"/>
    </w:rPr>
  </w:style>
  <w:style w:type="paragraph" w:styleId="30">
    <w:name w:val="Body Text 2"/>
    <w:basedOn w:val="1"/>
    <w:link w:val="58"/>
    <w:qFormat/>
    <w:uiPriority w:val="0"/>
    <w:pPr>
      <w:spacing w:after="120" w:line="480" w:lineRule="auto"/>
    </w:pPr>
  </w:style>
  <w:style w:type="paragraph" w:styleId="31">
    <w:name w:val="List 4"/>
    <w:basedOn w:val="1"/>
    <w:qFormat/>
    <w:uiPriority w:val="0"/>
    <w:pPr>
      <w:ind w:left="1680" w:hanging="420"/>
    </w:pPr>
    <w:rPr>
      <w:rFonts w:eastAsia="楷体_GB2312"/>
      <w:sz w:val="32"/>
      <w:szCs w:val="20"/>
    </w:rPr>
  </w:style>
  <w:style w:type="paragraph" w:styleId="3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4">
    <w:name w:val="annotation subject"/>
    <w:basedOn w:val="11"/>
    <w:next w:val="11"/>
    <w:semiHidden/>
    <w:qFormat/>
    <w:uiPriority w:val="0"/>
    <w:rPr>
      <w:b/>
      <w:bCs/>
    </w:rPr>
  </w:style>
  <w:style w:type="paragraph" w:styleId="35">
    <w:name w:val="Body Text First Indent 2"/>
    <w:basedOn w:val="13"/>
    <w:next w:val="1"/>
    <w:qFormat/>
    <w:uiPriority w:val="0"/>
    <w:pPr>
      <w:ind w:firstLine="420" w:firstLineChars="200"/>
    </w:pPr>
    <w:rPr>
      <w:rFonts w:eastAsia="宋体"/>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basedOn w:val="38"/>
    <w:qFormat/>
    <w:uiPriority w:val="99"/>
    <w:rPr>
      <w:color w:val="444444"/>
      <w:sz w:val="21"/>
      <w:szCs w:val="21"/>
      <w:u w:val="none"/>
    </w:rPr>
  </w:style>
  <w:style w:type="character" w:styleId="42">
    <w:name w:val="Emphasis"/>
    <w:basedOn w:val="38"/>
    <w:qFormat/>
    <w:uiPriority w:val="0"/>
    <w:rPr>
      <w:i/>
    </w:rPr>
  </w:style>
  <w:style w:type="character" w:styleId="43">
    <w:name w:val="HTML Definition"/>
    <w:basedOn w:val="38"/>
    <w:qFormat/>
    <w:uiPriority w:val="0"/>
  </w:style>
  <w:style w:type="character" w:styleId="44">
    <w:name w:val="HTML Typewriter"/>
    <w:basedOn w:val="38"/>
    <w:qFormat/>
    <w:uiPriority w:val="0"/>
    <w:rPr>
      <w:rFonts w:hint="default" w:ascii="monospace" w:hAnsi="monospace" w:eastAsia="monospace" w:cs="monospace"/>
      <w:sz w:val="20"/>
    </w:rPr>
  </w:style>
  <w:style w:type="character" w:styleId="45">
    <w:name w:val="HTML Acronym"/>
    <w:basedOn w:val="38"/>
    <w:qFormat/>
    <w:uiPriority w:val="0"/>
  </w:style>
  <w:style w:type="character" w:styleId="46">
    <w:name w:val="HTML Variable"/>
    <w:basedOn w:val="38"/>
    <w:qFormat/>
    <w:uiPriority w:val="0"/>
  </w:style>
  <w:style w:type="character" w:styleId="47">
    <w:name w:val="Hyperlink"/>
    <w:basedOn w:val="38"/>
    <w:qFormat/>
    <w:uiPriority w:val="99"/>
    <w:rPr>
      <w:color w:val="444444"/>
      <w:sz w:val="21"/>
      <w:szCs w:val="21"/>
      <w:u w:val="none"/>
    </w:rPr>
  </w:style>
  <w:style w:type="character" w:styleId="48">
    <w:name w:val="HTML Code"/>
    <w:basedOn w:val="38"/>
    <w:qFormat/>
    <w:uiPriority w:val="0"/>
    <w:rPr>
      <w:rFonts w:hint="default" w:ascii="monospace" w:hAnsi="monospace" w:eastAsia="monospace" w:cs="monospace"/>
      <w:sz w:val="20"/>
    </w:rPr>
  </w:style>
  <w:style w:type="character" w:styleId="49">
    <w:name w:val="HTML Cite"/>
    <w:basedOn w:val="38"/>
    <w:qFormat/>
    <w:uiPriority w:val="0"/>
  </w:style>
  <w:style w:type="character" w:styleId="50">
    <w:name w:val="HTML Keyboard"/>
    <w:basedOn w:val="38"/>
    <w:qFormat/>
    <w:uiPriority w:val="0"/>
    <w:rPr>
      <w:rFonts w:ascii="monospace" w:hAnsi="monospace" w:eastAsia="monospace" w:cs="monospace"/>
      <w:sz w:val="20"/>
    </w:rPr>
  </w:style>
  <w:style w:type="character" w:styleId="51">
    <w:name w:val="HTML Sample"/>
    <w:basedOn w:val="38"/>
    <w:qFormat/>
    <w:uiPriority w:val="0"/>
    <w:rPr>
      <w:rFonts w:hint="default" w:ascii="monospace" w:hAnsi="monospace" w:eastAsia="monospace" w:cs="monospace"/>
    </w:rPr>
  </w:style>
  <w:style w:type="character" w:customStyle="1" w:styleId="52">
    <w:name w:val="标题 1 Char"/>
    <w:link w:val="4"/>
    <w:qFormat/>
    <w:locked/>
    <w:uiPriority w:val="0"/>
    <w:rPr>
      <w:rFonts w:ascii="Times New Roman" w:hAnsi="Times New Roman" w:eastAsia="宋体"/>
      <w:b/>
      <w:kern w:val="44"/>
      <w:sz w:val="32"/>
    </w:rPr>
  </w:style>
  <w:style w:type="character" w:customStyle="1" w:styleId="53">
    <w:name w:val="标题 2 Char"/>
    <w:basedOn w:val="38"/>
    <w:link w:val="5"/>
    <w:qFormat/>
    <w:locked/>
    <w:uiPriority w:val="99"/>
    <w:rPr>
      <w:rFonts w:ascii="Arial" w:hAnsi="Arial" w:eastAsia="宋体"/>
      <w:b/>
      <w:kern w:val="2"/>
      <w:sz w:val="24"/>
    </w:rPr>
  </w:style>
  <w:style w:type="character" w:customStyle="1" w:styleId="54">
    <w:name w:val="标题 3 Char"/>
    <w:link w:val="6"/>
    <w:qFormat/>
    <w:locked/>
    <w:uiPriority w:val="99"/>
    <w:rPr>
      <w:rFonts w:ascii="宋体" w:hAnsi="宋体" w:eastAsia="宋体" w:cs="宋体"/>
      <w:b/>
      <w:kern w:val="2"/>
      <w:sz w:val="21"/>
      <w:szCs w:val="21"/>
    </w:rPr>
  </w:style>
  <w:style w:type="character" w:customStyle="1" w:styleId="55">
    <w:name w:val="标题 4 Char"/>
    <w:link w:val="7"/>
    <w:qFormat/>
    <w:locked/>
    <w:uiPriority w:val="99"/>
    <w:rPr>
      <w:kern w:val="2"/>
      <w:sz w:val="32"/>
    </w:rPr>
  </w:style>
  <w:style w:type="character" w:customStyle="1" w:styleId="56">
    <w:name w:val="批注文字 Char"/>
    <w:link w:val="11"/>
    <w:semiHidden/>
    <w:qFormat/>
    <w:locked/>
    <w:uiPriority w:val="99"/>
    <w:rPr>
      <w:kern w:val="2"/>
      <w:sz w:val="21"/>
      <w:szCs w:val="24"/>
    </w:rPr>
  </w:style>
  <w:style w:type="character" w:customStyle="1" w:styleId="57">
    <w:name w:val="正文文本 Char"/>
    <w:link w:val="3"/>
    <w:qFormat/>
    <w:uiPriority w:val="0"/>
    <w:rPr>
      <w:rFonts w:eastAsia="宋体"/>
      <w:kern w:val="2"/>
      <w:sz w:val="21"/>
      <w:szCs w:val="24"/>
      <w:lang w:val="en-US" w:eastAsia="zh-CN" w:bidi="ar-SA"/>
    </w:rPr>
  </w:style>
  <w:style w:type="character" w:customStyle="1" w:styleId="58">
    <w:name w:val="正文文本 2 Char"/>
    <w:link w:val="30"/>
    <w:qFormat/>
    <w:uiPriority w:val="0"/>
    <w:rPr>
      <w:rFonts w:eastAsia="宋体"/>
      <w:kern w:val="2"/>
      <w:sz w:val="21"/>
      <w:szCs w:val="24"/>
      <w:lang w:val="en-US" w:eastAsia="zh-CN" w:bidi="ar-SA"/>
    </w:rPr>
  </w:style>
  <w:style w:type="character" w:customStyle="1" w:styleId="59">
    <w:name w:val="正文文本缩进 Char"/>
    <w:link w:val="13"/>
    <w:qFormat/>
    <w:uiPriority w:val="0"/>
    <w:rPr>
      <w:rFonts w:eastAsia="宋体"/>
      <w:kern w:val="2"/>
      <w:sz w:val="21"/>
      <w:szCs w:val="24"/>
      <w:lang w:val="en-US" w:eastAsia="zh-CN" w:bidi="ar-SA"/>
    </w:rPr>
  </w:style>
  <w:style w:type="character" w:customStyle="1" w:styleId="60">
    <w:name w:val="纯文本 Char"/>
    <w:link w:val="17"/>
    <w:qFormat/>
    <w:uiPriority w:val="0"/>
    <w:rPr>
      <w:rFonts w:ascii="宋体" w:hAnsi="Courier New" w:eastAsia="宋体" w:cs="Courier New"/>
      <w:kern w:val="2"/>
      <w:sz w:val="21"/>
      <w:szCs w:val="21"/>
      <w:lang w:val="en-US" w:eastAsia="zh-CN" w:bidi="ar-SA"/>
    </w:rPr>
  </w:style>
  <w:style w:type="character" w:customStyle="1" w:styleId="61">
    <w:name w:val="日期 Char"/>
    <w:link w:val="18"/>
    <w:qFormat/>
    <w:uiPriority w:val="0"/>
    <w:rPr>
      <w:rFonts w:eastAsia="宋体"/>
      <w:sz w:val="28"/>
      <w:lang w:val="en-US" w:eastAsia="zh-CN" w:bidi="ar-SA"/>
    </w:rPr>
  </w:style>
  <w:style w:type="character" w:customStyle="1" w:styleId="62">
    <w:name w:val="正文文本缩进 2 Char"/>
    <w:link w:val="19"/>
    <w:qFormat/>
    <w:uiPriority w:val="0"/>
    <w:rPr>
      <w:rFonts w:eastAsia="宋体"/>
      <w:kern w:val="2"/>
      <w:sz w:val="21"/>
      <w:szCs w:val="24"/>
      <w:lang w:val="en-US" w:eastAsia="zh-CN" w:bidi="ar-SA"/>
    </w:rPr>
  </w:style>
  <w:style w:type="character" w:customStyle="1" w:styleId="63">
    <w:name w:val="批注框文本 Char"/>
    <w:link w:val="20"/>
    <w:semiHidden/>
    <w:qFormat/>
    <w:locked/>
    <w:uiPriority w:val="99"/>
    <w:rPr>
      <w:kern w:val="2"/>
      <w:sz w:val="18"/>
      <w:szCs w:val="18"/>
    </w:rPr>
  </w:style>
  <w:style w:type="character" w:customStyle="1" w:styleId="64">
    <w:name w:val="页脚 Char"/>
    <w:link w:val="21"/>
    <w:qFormat/>
    <w:locked/>
    <w:uiPriority w:val="99"/>
    <w:rPr>
      <w:kern w:val="2"/>
      <w:sz w:val="18"/>
      <w:szCs w:val="18"/>
    </w:rPr>
  </w:style>
  <w:style w:type="character" w:customStyle="1" w:styleId="65">
    <w:name w:val="页眉 Char"/>
    <w:link w:val="22"/>
    <w:qFormat/>
    <w:locked/>
    <w:uiPriority w:val="99"/>
    <w:rPr>
      <w:kern w:val="2"/>
      <w:sz w:val="18"/>
      <w:szCs w:val="18"/>
    </w:rPr>
  </w:style>
  <w:style w:type="character" w:customStyle="1" w:styleId="66">
    <w:name w:val="正文文本缩进 3 Char"/>
    <w:link w:val="27"/>
    <w:qFormat/>
    <w:uiPriority w:val="0"/>
    <w:rPr>
      <w:rFonts w:eastAsia="宋体"/>
      <w:kern w:val="2"/>
      <w:sz w:val="16"/>
      <w:szCs w:val="16"/>
      <w:lang w:val="en-US" w:eastAsia="zh-CN" w:bidi="ar-SA"/>
    </w:rPr>
  </w:style>
  <w:style w:type="character" w:customStyle="1" w:styleId="67">
    <w:name w:val="正文首行缩进 Char"/>
    <w:link w:val="2"/>
    <w:qFormat/>
    <w:uiPriority w:val="0"/>
    <w:rPr>
      <w:rFonts w:eastAsia="楷体_GB2312"/>
      <w:kern w:val="2"/>
      <w:sz w:val="32"/>
      <w:lang w:val="en-US" w:eastAsia="zh-CN" w:bidi="ar-SA"/>
    </w:rPr>
  </w:style>
  <w:style w:type="paragraph" w:customStyle="1" w:styleId="68">
    <w:name w:val="无间隔1"/>
    <w:basedOn w:val="69"/>
    <w:next w:val="9"/>
    <w:qFormat/>
    <w:uiPriority w:val="1"/>
    <w:pPr>
      <w:spacing w:line="400" w:lineRule="exact"/>
    </w:pPr>
    <w:rPr>
      <w:sz w:val="24"/>
    </w:rPr>
  </w:style>
  <w:style w:type="paragraph" w:customStyle="1" w:styleId="69">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1">
    <w:name w:val="样式 正文首行缩进 2 + Arial"/>
    <w:basedOn w:val="1"/>
    <w:next w:val="1"/>
    <w:qFormat/>
    <w:uiPriority w:val="0"/>
    <w:pPr>
      <w:spacing w:after="120" w:line="320" w:lineRule="atLeast"/>
      <w:ind w:firstLine="200" w:firstLineChars="200"/>
    </w:pPr>
    <w:rPr>
      <w:rFonts w:ascii="Arial" w:hAnsi="Arial"/>
      <w:kern w:val="0"/>
    </w:rPr>
  </w:style>
  <w:style w:type="character" w:customStyle="1" w:styleId="72">
    <w:name w:val="gpa"/>
    <w:basedOn w:val="38"/>
    <w:qFormat/>
    <w:uiPriority w:val="0"/>
    <w:rPr>
      <w:rFonts w:ascii="Arial" w:hAnsi="Arial" w:cs="Arial"/>
      <w:sz w:val="15"/>
      <w:szCs w:val="15"/>
    </w:rPr>
  </w:style>
  <w:style w:type="character" w:customStyle="1" w:styleId="73">
    <w:name w:val=" Char Char17"/>
    <w:qFormat/>
    <w:uiPriority w:val="0"/>
    <w:rPr>
      <w:rFonts w:eastAsia="楷体_GB2312"/>
      <w:b/>
      <w:kern w:val="44"/>
      <w:sz w:val="44"/>
    </w:rPr>
  </w:style>
  <w:style w:type="character" w:customStyle="1" w:styleId="74">
    <w:name w:val="p12h15"/>
    <w:basedOn w:val="38"/>
    <w:qFormat/>
    <w:uiPriority w:val="0"/>
  </w:style>
  <w:style w:type="character" w:customStyle="1" w:styleId="75">
    <w:name w:val="Balloon Text Char"/>
    <w:semiHidden/>
    <w:qFormat/>
    <w:locked/>
    <w:uiPriority w:val="99"/>
    <w:rPr>
      <w:sz w:val="18"/>
    </w:rPr>
  </w:style>
  <w:style w:type="character" w:customStyle="1" w:styleId="76">
    <w:name w:val="Comment Text Char"/>
    <w:semiHidden/>
    <w:qFormat/>
    <w:locked/>
    <w:uiPriority w:val="99"/>
    <w:rPr>
      <w:rFonts w:ascii="Times New Roman" w:hAnsi="Times New Roman" w:eastAsia="宋体"/>
      <w:sz w:val="24"/>
    </w:rPr>
  </w:style>
  <w:style w:type="character" w:customStyle="1" w:styleId="77">
    <w:name w:val="pt91"/>
    <w:qFormat/>
    <w:uiPriority w:val="0"/>
    <w:rPr>
      <w:rFonts w:hint="default" w:ascii="_x000B__x000C_" w:hAnsi="_x000B__x000C_"/>
      <w:color w:val="333333"/>
      <w:sz w:val="18"/>
      <w:szCs w:val="18"/>
    </w:rPr>
  </w:style>
  <w:style w:type="character" w:customStyle="1" w:styleId="78">
    <w:name w:val="selected"/>
    <w:basedOn w:val="38"/>
    <w:qFormat/>
    <w:uiPriority w:val="0"/>
    <w:rPr>
      <w:shd w:val="clear" w:color="auto" w:fill="B00006"/>
    </w:rPr>
  </w:style>
  <w:style w:type="character" w:customStyle="1" w:styleId="79">
    <w:name w:val=" Char Char11"/>
    <w:qFormat/>
    <w:uiPriority w:val="0"/>
    <w:rPr>
      <w:kern w:val="2"/>
      <w:sz w:val="18"/>
      <w:szCs w:val="18"/>
    </w:rPr>
  </w:style>
  <w:style w:type="character" w:customStyle="1" w:styleId="80">
    <w:name w:val=" Char Char16"/>
    <w:qFormat/>
    <w:uiPriority w:val="0"/>
    <w:rPr>
      <w:b/>
      <w:kern w:val="2"/>
      <w:sz w:val="32"/>
    </w:rPr>
  </w:style>
  <w:style w:type="character" w:customStyle="1" w:styleId="81">
    <w:name w:val="Table Text Char1"/>
    <w:link w:val="82"/>
    <w:qFormat/>
    <w:locked/>
    <w:uiPriority w:val="99"/>
    <w:rPr>
      <w:rFonts w:ascii="Arial" w:hAnsi="Arial"/>
      <w:kern w:val="2"/>
      <w:sz w:val="18"/>
      <w:szCs w:val="24"/>
    </w:rPr>
  </w:style>
  <w:style w:type="paragraph" w:customStyle="1" w:styleId="82">
    <w:name w:val="Table Text"/>
    <w:basedOn w:val="1"/>
    <w:link w:val="81"/>
    <w:qFormat/>
    <w:uiPriority w:val="99"/>
    <w:pPr>
      <w:widowControl/>
      <w:tabs>
        <w:tab w:val="decimal" w:pos="0"/>
      </w:tabs>
      <w:autoSpaceDE w:val="0"/>
      <w:autoSpaceDN w:val="0"/>
      <w:adjustRightInd w:val="0"/>
      <w:spacing w:before="80" w:after="80"/>
    </w:pPr>
    <w:rPr>
      <w:rFonts w:ascii="Arial" w:hAnsi="Arial"/>
      <w:sz w:val="18"/>
    </w:rPr>
  </w:style>
  <w:style w:type="character" w:customStyle="1" w:styleId="83">
    <w:name w:val="fontstyle01"/>
    <w:basedOn w:val="38"/>
    <w:qFormat/>
    <w:uiPriority w:val="0"/>
    <w:rPr>
      <w:rFonts w:ascii="FZSSK--GBK1-0" w:hAnsi="FZSSK--GBK1-0" w:eastAsia="FZSSK--GBK1-0" w:cs="FZSSK--GBK1-0"/>
      <w:color w:val="000000"/>
      <w:sz w:val="20"/>
      <w:szCs w:val="20"/>
    </w:rPr>
  </w:style>
  <w:style w:type="character" w:customStyle="1" w:styleId="84">
    <w:name w:val="Item List in Table Char Char"/>
    <w:link w:val="85"/>
    <w:qFormat/>
    <w:locked/>
    <w:uiPriority w:val="99"/>
    <w:rPr>
      <w:rFonts w:ascii="Arial" w:hAnsi="Arial"/>
      <w:sz w:val="18"/>
      <w:szCs w:val="18"/>
      <w:lang w:val="en-US" w:eastAsia="zh-CN" w:bidi="ar-SA"/>
    </w:rPr>
  </w:style>
  <w:style w:type="paragraph" w:customStyle="1" w:styleId="85">
    <w:name w:val="Item List in Table"/>
    <w:link w:val="84"/>
    <w:qFormat/>
    <w:uiPriority w:val="99"/>
    <w:pPr>
      <w:numPr>
        <w:ilvl w:val="0"/>
        <w:numId w:val="1"/>
      </w:numPr>
      <w:spacing w:before="40" w:after="40"/>
      <w:jc w:val="both"/>
    </w:pPr>
    <w:rPr>
      <w:rFonts w:ascii="Arial" w:hAnsi="Arial" w:eastAsia="宋体" w:cs="Times New Roman"/>
      <w:sz w:val="18"/>
      <w:szCs w:val="18"/>
      <w:lang w:val="en-US" w:eastAsia="zh-CN" w:bidi="ar-SA"/>
    </w:rPr>
  </w:style>
  <w:style w:type="character" w:customStyle="1" w:styleId="86">
    <w:name w:val="displayarti"/>
    <w:basedOn w:val="38"/>
    <w:qFormat/>
    <w:uiPriority w:val="0"/>
    <w:rPr>
      <w:color w:val="FFFFFF"/>
      <w:shd w:val="clear" w:color="auto" w:fill="A00000"/>
    </w:rPr>
  </w:style>
  <w:style w:type="character" w:customStyle="1" w:styleId="87">
    <w:name w:val="wen11"/>
    <w:qFormat/>
    <w:uiPriority w:val="0"/>
    <w:rPr>
      <w:color w:val="000000"/>
      <w:sz w:val="21"/>
      <w:szCs w:val="21"/>
    </w:rPr>
  </w:style>
  <w:style w:type="character" w:customStyle="1" w:styleId="88">
    <w:name w:val=" Char Char15"/>
    <w:qFormat/>
    <w:uiPriority w:val="0"/>
    <w:rPr>
      <w:kern w:val="2"/>
      <w:sz w:val="32"/>
    </w:rPr>
  </w:style>
  <w:style w:type="character" w:customStyle="1" w:styleId="89">
    <w:name w:val="fontstyle11"/>
    <w:basedOn w:val="38"/>
    <w:qFormat/>
    <w:uiPriority w:val="0"/>
    <w:rPr>
      <w:rFonts w:ascii="E-BZ" w:hAnsi="E-BZ" w:eastAsia="E-BZ" w:cs="E-BZ"/>
      <w:color w:val="000000"/>
      <w:sz w:val="20"/>
      <w:szCs w:val="20"/>
    </w:rPr>
  </w:style>
  <w:style w:type="paragraph" w:customStyle="1" w:styleId="90">
    <w:name w:val="xl26"/>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91">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2">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xl6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4">
    <w:name w:val="font6"/>
    <w:basedOn w:val="1"/>
    <w:qFormat/>
    <w:uiPriority w:val="99"/>
    <w:pPr>
      <w:widowControl/>
      <w:spacing w:before="100" w:beforeAutospacing="1" w:after="100" w:afterAutospacing="1"/>
      <w:jc w:val="left"/>
    </w:pPr>
    <w:rPr>
      <w:rFonts w:ascii="宋体" w:hAnsi="宋体" w:cs="宋体"/>
      <w:kern w:val="0"/>
      <w:sz w:val="24"/>
    </w:rPr>
  </w:style>
  <w:style w:type="paragraph" w:styleId="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96">
    <w:name w:val="xl87"/>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97">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7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9">
    <w:name w:val="font10"/>
    <w:basedOn w:val="1"/>
    <w:qFormat/>
    <w:uiPriority w:val="99"/>
    <w:pPr>
      <w:widowControl/>
      <w:spacing w:before="100" w:beforeAutospacing="1" w:after="100" w:afterAutospacing="1"/>
      <w:jc w:val="left"/>
    </w:pPr>
    <w:rPr>
      <w:rFonts w:ascii="Calibri" w:hAnsi="Calibri" w:cs="Calibri"/>
      <w:kern w:val="0"/>
      <w:sz w:val="24"/>
    </w:rPr>
  </w:style>
  <w:style w:type="paragraph" w:customStyle="1" w:styleId="100">
    <w:name w:val="xl6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01">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2">
    <w:name w:val="xl8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3">
    <w:name w:val="xl7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04">
    <w:name w:val="font9"/>
    <w:basedOn w:val="1"/>
    <w:qFormat/>
    <w:uiPriority w:val="99"/>
    <w:pPr>
      <w:widowControl/>
      <w:spacing w:before="100" w:beforeAutospacing="1" w:after="100" w:afterAutospacing="1"/>
      <w:jc w:val="left"/>
    </w:pPr>
    <w:rPr>
      <w:b/>
      <w:bCs/>
      <w:kern w:val="0"/>
      <w:sz w:val="24"/>
    </w:rPr>
  </w:style>
  <w:style w:type="paragraph" w:customStyle="1" w:styleId="105">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xl84"/>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07">
    <w:name w:val="xl7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8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10">
    <w:name w:val="font8"/>
    <w:basedOn w:val="1"/>
    <w:qFormat/>
    <w:uiPriority w:val="99"/>
    <w:pPr>
      <w:widowControl/>
      <w:spacing w:before="100" w:beforeAutospacing="1" w:after="100" w:afterAutospacing="1"/>
      <w:jc w:val="left"/>
    </w:pPr>
    <w:rPr>
      <w:rFonts w:ascii="宋体" w:hAnsi="宋体" w:cs="宋体"/>
      <w:b/>
      <w:bCs/>
      <w:kern w:val="0"/>
      <w:sz w:val="24"/>
    </w:rPr>
  </w:style>
  <w:style w:type="paragraph" w:styleId="111">
    <w:name w:val="List Paragraph"/>
    <w:basedOn w:val="1"/>
    <w:qFormat/>
    <w:uiPriority w:val="99"/>
    <w:pPr>
      <w:ind w:firstLine="420" w:firstLineChars="200"/>
    </w:pPr>
    <w:rPr>
      <w:rFonts w:ascii="Calibri" w:hAnsi="Calibri"/>
      <w:szCs w:val="22"/>
    </w:rPr>
  </w:style>
  <w:style w:type="paragraph" w:customStyle="1" w:styleId="112">
    <w:name w:val="xl70"/>
    <w:basedOn w:val="1"/>
    <w:qFormat/>
    <w:uiPriority w:val="99"/>
    <w:pPr>
      <w:widowControl/>
      <w:spacing w:before="100" w:beforeAutospacing="1" w:after="100" w:afterAutospacing="1"/>
      <w:jc w:val="left"/>
    </w:pPr>
    <w:rPr>
      <w:rFonts w:ascii="宋体" w:hAnsi="宋体" w:cs="宋体"/>
      <w:kern w:val="0"/>
      <w:sz w:val="24"/>
    </w:rPr>
  </w:style>
  <w:style w:type="paragraph" w:customStyle="1" w:styleId="113">
    <w:name w:val="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114">
    <w:name w:val="List Paragraph1"/>
    <w:basedOn w:val="1"/>
    <w:qFormat/>
    <w:uiPriority w:val="34"/>
    <w:pPr>
      <w:ind w:firstLine="420" w:firstLineChars="200"/>
    </w:pPr>
  </w:style>
  <w:style w:type="paragraph" w:customStyle="1" w:styleId="11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6">
    <w:name w:val="xl80"/>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7">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19">
    <w:name w:val="xl64"/>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20">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1">
    <w:name w:val="xl8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2">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24">
    <w:name w:val="xl8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25">
    <w:name w:val="tableheading"/>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6">
    <w:name w:val="xl82"/>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7">
    <w:name w:val="xl8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28">
    <w:name w:val="_Style 127"/>
    <w:basedOn w:val="4"/>
    <w:next w:val="1"/>
    <w:qFormat/>
    <w:uiPriority w:val="9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129">
    <w:name w:val="xl7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30">
    <w:name w:val="font7"/>
    <w:basedOn w:val="1"/>
    <w:qFormat/>
    <w:uiPriority w:val="99"/>
    <w:pPr>
      <w:widowControl/>
      <w:spacing w:before="100" w:beforeAutospacing="1" w:after="100" w:afterAutospacing="1"/>
      <w:jc w:val="left"/>
    </w:pPr>
    <w:rPr>
      <w:kern w:val="0"/>
      <w:sz w:val="24"/>
    </w:rPr>
  </w:style>
  <w:style w:type="paragraph" w:customStyle="1" w:styleId="131">
    <w:name w:val="图文"/>
    <w:basedOn w:val="1"/>
    <w:qFormat/>
    <w:uiPriority w:val="0"/>
    <w:pPr>
      <w:adjustRightInd w:val="0"/>
      <w:snapToGrid w:val="0"/>
      <w:spacing w:after="50" w:afterLines="0" w:line="360" w:lineRule="auto"/>
    </w:pPr>
    <w:rPr>
      <w:sz w:val="24"/>
    </w:rPr>
  </w:style>
  <w:style w:type="paragraph" w:customStyle="1" w:styleId="132">
    <w:name w:val="表格字体-靠左"/>
    <w:basedOn w:val="133"/>
    <w:next w:val="1"/>
    <w:qFormat/>
    <w:uiPriority w:val="0"/>
    <w:pPr>
      <w:ind w:firstLine="280" w:firstLineChars="100"/>
      <w:jc w:val="left"/>
    </w:pPr>
  </w:style>
  <w:style w:type="paragraph" w:customStyle="1" w:styleId="133">
    <w:name w:val="表格字体-居中"/>
    <w:basedOn w:val="1"/>
    <w:next w:val="1"/>
    <w:qFormat/>
    <w:uiPriority w:val="0"/>
    <w:pPr>
      <w:spacing w:line="240" w:lineRule="auto"/>
      <w:ind w:firstLine="0" w:firstLineChars="0"/>
      <w:jc w:val="center"/>
    </w:pPr>
  </w:style>
  <w:style w:type="character" w:customStyle="1" w:styleId="134">
    <w:name w:val="hover17"/>
    <w:basedOn w:val="38"/>
    <w:qFormat/>
    <w:uiPriority w:val="0"/>
  </w:style>
  <w:style w:type="character" w:customStyle="1" w:styleId="135">
    <w:name w:val="hover16"/>
    <w:basedOn w:val="38"/>
    <w:qFormat/>
    <w:uiPriority w:val="0"/>
  </w:style>
  <w:style w:type="character" w:customStyle="1" w:styleId="136">
    <w:name w:val="hover18"/>
    <w:basedOn w:val="38"/>
    <w:qFormat/>
    <w:uiPriority w:val="0"/>
  </w:style>
  <w:style w:type="character" w:customStyle="1" w:styleId="137">
    <w:name w:val="hover"/>
    <w:basedOn w:val="38"/>
    <w:qFormat/>
    <w:uiPriority w:val="0"/>
  </w:style>
  <w:style w:type="character" w:customStyle="1" w:styleId="138">
    <w:name w:val="a_p_2"/>
    <w:basedOn w:val="38"/>
    <w:qFormat/>
    <w:uiPriority w:val="0"/>
  </w:style>
  <w:style w:type="character" w:customStyle="1" w:styleId="139">
    <w:name w:val="a_p_21"/>
    <w:basedOn w:val="38"/>
    <w:qFormat/>
    <w:uiPriority w:val="0"/>
    <w:rPr>
      <w:sz w:val="27"/>
      <w:szCs w:val="27"/>
    </w:rPr>
  </w:style>
  <w:style w:type="character" w:customStyle="1" w:styleId="140">
    <w:name w:val="ul_li_a_1"/>
    <w:basedOn w:val="38"/>
    <w:qFormat/>
    <w:uiPriority w:val="0"/>
    <w:rPr>
      <w:b/>
      <w:bCs/>
      <w:color w:val="FFFFFF"/>
    </w:rPr>
  </w:style>
  <w:style w:type="character" w:customStyle="1" w:styleId="141">
    <w:name w:val="exap"/>
    <w:basedOn w:val="38"/>
    <w:qFormat/>
    <w:uiPriority w:val="0"/>
    <w:rPr>
      <w:sz w:val="27"/>
      <w:szCs w:val="27"/>
    </w:rPr>
  </w:style>
  <w:style w:type="character" w:customStyle="1" w:styleId="142">
    <w:name w:val="nth-child(3)"/>
    <w:basedOn w:val="38"/>
    <w:qFormat/>
    <w:uiPriority w:val="0"/>
  </w:style>
  <w:style w:type="character" w:customStyle="1" w:styleId="143">
    <w:name w:val="nth-child(2)"/>
    <w:basedOn w:val="38"/>
    <w:qFormat/>
    <w:uiPriority w:val="0"/>
  </w:style>
  <w:style w:type="character" w:customStyle="1" w:styleId="144">
    <w:name w:val="layui-layer-tabnow"/>
    <w:basedOn w:val="38"/>
    <w:qFormat/>
    <w:uiPriority w:val="0"/>
    <w:rPr>
      <w:bdr w:val="single" w:color="CCCCCC" w:sz="6" w:space="0"/>
      <w:shd w:val="clear" w:color="auto" w:fill="FFFFFF"/>
    </w:rPr>
  </w:style>
  <w:style w:type="character" w:customStyle="1" w:styleId="145">
    <w:name w:val="first-child"/>
    <w:basedOn w:val="38"/>
    <w:qFormat/>
    <w:uiPriority w:val="0"/>
  </w:style>
  <w:style w:type="character" w:customStyle="1" w:styleId="146">
    <w:name w:val="a_p_1"/>
    <w:basedOn w:val="38"/>
    <w:qFormat/>
    <w:uiPriority w:val="0"/>
    <w:rPr>
      <w:sz w:val="27"/>
      <w:szCs w:val="27"/>
    </w:rPr>
  </w:style>
  <w:style w:type="character" w:customStyle="1" w:styleId="147">
    <w:name w:val="a_p_3"/>
    <w:basedOn w:val="38"/>
    <w:qFormat/>
    <w:uiPriority w:val="0"/>
    <w:rPr>
      <w:sz w:val="27"/>
      <w:szCs w:val="27"/>
    </w:rPr>
  </w:style>
  <w:style w:type="table" w:customStyle="1" w:styleId="148">
    <w:name w:val="Table Normal"/>
    <w:unhideWhenUsed/>
    <w:qFormat/>
    <w:uiPriority w:val="0"/>
    <w:tblPr>
      <w:tblCellMar>
        <w:top w:w="0" w:type="dxa"/>
        <w:left w:w="0" w:type="dxa"/>
        <w:bottom w:w="0" w:type="dxa"/>
        <w:right w:w="0" w:type="dxa"/>
      </w:tblCellMar>
    </w:tblPr>
  </w:style>
  <w:style w:type="table" w:customStyle="1" w:styleId="149">
    <w:name w:val="网格型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样式1"/>
    <w:qFormat/>
    <w:uiPriority w:val="0"/>
    <w:pPr>
      <w:widowControl w:val="0"/>
      <w:adjustRightInd w:val="0"/>
      <w:spacing w:line="240" w:lineRule="auto"/>
      <w:jc w:val="both"/>
      <w:textAlignment w:val="baseline"/>
    </w:pPr>
    <w:rPr>
      <w:rFonts w:ascii="宋体"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C:\Program%252525252525252525252520Files\Tencent\QQ\Users\763502907\Image\0254824F-E245-4015-824E-9E252A54E140.jpg"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116</Pages>
  <Words>16257</Words>
  <Characters>17255</Characters>
  <Lines>322</Lines>
  <Paragraphs>90</Paragraphs>
  <TotalTime>0</TotalTime>
  <ScaleCrop>false</ScaleCrop>
  <LinksUpToDate>false</LinksUpToDate>
  <CharactersWithSpaces>17392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2015-08-31T06:45:00Z</dcterms:created>
  <dc:creator>微软用户</dc:creator>
  <cp:lastModifiedBy>admin</cp:lastModifiedBy>
  <cp:lastPrinted>2026-04-07T00:38:00Z</cp:lastPrinted>
  <dcterms:modified xsi:type="dcterms:W3CDTF">2026-04-07T05:07:46Z</dcterms:modified>
  <dc:title>河南省乡镇卫生院设备</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A8F6572846474ACCAAAB1274A444462D_13</vt:lpwstr>
  </property>
  <property fmtid="{D5CDD505-2E9C-101B-9397-08002B2CF9AE}" pid="4" name="KSOTemplateDocerSaveRecord">
    <vt:lpwstr>eyJoZGlkIjoiMzg1NWUyNDY2ZTY0MzlkNDg3OTFlNDQ3MTY4MmE5YTQiLCJ1c2VySWQiOiIzODM5NjAxNjIifQ==</vt:lpwstr>
  </property>
</Properties>
</file>