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A71AA">
      <w:pPr>
        <w:jc w:val="center"/>
        <w:rPr>
          <w:rFonts w:hint="eastAsia" w:ascii="宋体" w:hAnsi="宋体" w:eastAsia="宋体" w:cs="宋体"/>
          <w:sz w:val="44"/>
          <w:szCs w:val="44"/>
          <w:highlight w:val="none"/>
          <w:lang w:val="en-US" w:eastAsia="zh-CN"/>
        </w:rPr>
      </w:pPr>
      <w:bookmarkStart w:id="0" w:name="_Toc144974478"/>
      <w:bookmarkStart w:id="1" w:name="_Toc152042286"/>
    </w:p>
    <w:p w14:paraId="4B19BF3F">
      <w:pPr>
        <w:jc w:val="center"/>
        <w:rPr>
          <w:rFonts w:hint="eastAsia" w:ascii="宋体" w:hAnsi="宋体" w:eastAsia="宋体" w:cs="宋体"/>
          <w:sz w:val="44"/>
          <w:szCs w:val="44"/>
          <w:highlight w:val="none"/>
          <w:lang w:val="en-US" w:eastAsia="zh-CN"/>
        </w:rPr>
      </w:pPr>
    </w:p>
    <w:p w14:paraId="2B9F7D78">
      <w:pPr>
        <w:jc w:val="center"/>
        <w:rPr>
          <w:rFonts w:hint="eastAsia" w:ascii="宋体" w:hAnsi="宋体" w:eastAsia="宋体" w:cs="宋体"/>
          <w:sz w:val="40"/>
          <w:szCs w:val="40"/>
          <w:highlight w:val="none"/>
          <w:lang w:val="en-US" w:eastAsia="zh-CN"/>
        </w:rPr>
      </w:pPr>
      <w:r>
        <w:rPr>
          <w:rFonts w:hint="eastAsia" w:ascii="宋体" w:hAnsi="宋体" w:eastAsia="宋体" w:cs="宋体"/>
          <w:sz w:val="40"/>
          <w:szCs w:val="40"/>
          <w:highlight w:val="none"/>
        </w:rPr>
        <w:t>河南工业和信息化职业学院</w:t>
      </w:r>
      <w:r>
        <w:rPr>
          <w:rFonts w:hint="eastAsia" w:ascii="宋体" w:hAnsi="宋体" w:eastAsia="宋体" w:cs="宋体"/>
          <w:sz w:val="40"/>
          <w:szCs w:val="40"/>
          <w:highlight w:val="none"/>
          <w:lang w:eastAsia="zh-CN"/>
        </w:rPr>
        <w:t>4#学生公寓外部</w:t>
      </w:r>
      <w:r>
        <w:rPr>
          <w:rFonts w:hint="eastAsia" w:ascii="宋体" w:hAnsi="宋体" w:eastAsia="宋体" w:cs="宋体"/>
          <w:sz w:val="40"/>
          <w:szCs w:val="40"/>
          <w:highlight w:val="none"/>
        </w:rPr>
        <w:t>维修项目</w:t>
      </w:r>
    </w:p>
    <w:p w14:paraId="614300B8">
      <w:pPr>
        <w:jc w:val="center"/>
        <w:rPr>
          <w:rFonts w:hint="eastAsia" w:ascii="宋体" w:hAnsi="宋体" w:eastAsia="宋体" w:cs="宋体"/>
          <w:bCs/>
          <w:spacing w:val="60"/>
          <w:sz w:val="72"/>
          <w:szCs w:val="72"/>
          <w:highlight w:val="none"/>
        </w:rPr>
      </w:pPr>
    </w:p>
    <w:p w14:paraId="08880691">
      <w:pPr>
        <w:jc w:val="center"/>
        <w:rPr>
          <w:rFonts w:hint="eastAsia" w:ascii="宋体" w:hAnsi="宋体" w:eastAsia="宋体" w:cs="宋体"/>
          <w:bCs/>
          <w:spacing w:val="60"/>
          <w:sz w:val="56"/>
          <w:szCs w:val="56"/>
          <w:highlight w:val="none"/>
        </w:rPr>
      </w:pPr>
    </w:p>
    <w:p w14:paraId="1144AA3B">
      <w:pPr>
        <w:jc w:val="center"/>
        <w:rPr>
          <w:rFonts w:hint="eastAsia" w:ascii="宋体" w:hAnsi="宋体" w:eastAsia="宋体" w:cs="宋体"/>
          <w:bCs/>
          <w:spacing w:val="60"/>
          <w:sz w:val="72"/>
          <w:szCs w:val="72"/>
          <w:highlight w:val="none"/>
        </w:rPr>
      </w:pPr>
      <w:r>
        <w:rPr>
          <w:rFonts w:hint="eastAsia" w:ascii="宋体" w:hAnsi="宋体" w:eastAsia="宋体" w:cs="宋体"/>
          <w:bCs/>
          <w:spacing w:val="60"/>
          <w:sz w:val="56"/>
          <w:szCs w:val="56"/>
          <w:highlight w:val="none"/>
        </w:rPr>
        <w:t>竞争性磋商文件</w:t>
      </w:r>
    </w:p>
    <w:p w14:paraId="6EE0F4B8">
      <w:pPr>
        <w:spacing w:line="360" w:lineRule="auto"/>
        <w:jc w:val="center"/>
        <w:rPr>
          <w:rFonts w:hint="eastAsia" w:ascii="宋体" w:hAnsi="宋体" w:eastAsia="宋体" w:cs="宋体"/>
          <w:sz w:val="28"/>
          <w:szCs w:val="28"/>
          <w:highlight w:val="none"/>
        </w:rPr>
      </w:pPr>
    </w:p>
    <w:p w14:paraId="10E4E16B">
      <w:pPr>
        <w:spacing w:line="360" w:lineRule="auto"/>
        <w:ind w:firstLine="420" w:firstLineChars="200"/>
        <w:rPr>
          <w:rFonts w:hint="eastAsia" w:ascii="宋体" w:hAnsi="宋体" w:eastAsia="宋体" w:cs="宋体"/>
          <w:highlight w:val="none"/>
        </w:rPr>
      </w:pPr>
    </w:p>
    <w:p w14:paraId="6FA60725">
      <w:pPr>
        <w:pStyle w:val="27"/>
        <w:rPr>
          <w:rFonts w:hint="eastAsia" w:ascii="宋体" w:hAnsi="宋体" w:eastAsia="宋体" w:cs="宋体"/>
          <w:highlight w:val="none"/>
        </w:rPr>
      </w:pPr>
    </w:p>
    <w:p w14:paraId="6DE7BFFB">
      <w:pPr>
        <w:rPr>
          <w:rFonts w:hint="eastAsia" w:ascii="宋体" w:hAnsi="宋体" w:eastAsia="宋体" w:cs="宋体"/>
          <w:highlight w:val="none"/>
        </w:rPr>
      </w:pPr>
    </w:p>
    <w:p w14:paraId="2B62B664">
      <w:pPr>
        <w:pStyle w:val="27"/>
        <w:rPr>
          <w:rFonts w:hint="eastAsia" w:ascii="宋体" w:hAnsi="宋体" w:eastAsia="宋体" w:cs="宋体"/>
          <w:highlight w:val="none"/>
        </w:rPr>
      </w:pPr>
    </w:p>
    <w:p w14:paraId="7E3716B9">
      <w:pPr>
        <w:rPr>
          <w:rFonts w:hint="eastAsia" w:ascii="宋体" w:hAnsi="宋体" w:eastAsia="宋体" w:cs="宋体"/>
          <w:highlight w:val="none"/>
        </w:rPr>
      </w:pPr>
    </w:p>
    <w:p w14:paraId="18B9985E">
      <w:pPr>
        <w:pStyle w:val="27"/>
        <w:rPr>
          <w:rFonts w:hint="eastAsia" w:ascii="宋体" w:hAnsi="宋体" w:eastAsia="宋体" w:cs="宋体"/>
          <w:highlight w:val="none"/>
        </w:rPr>
      </w:pPr>
    </w:p>
    <w:p w14:paraId="592DB14E">
      <w:pPr>
        <w:rPr>
          <w:rFonts w:hint="eastAsia" w:ascii="宋体" w:hAnsi="宋体" w:eastAsia="宋体" w:cs="宋体"/>
          <w:highlight w:val="none"/>
        </w:rPr>
      </w:pPr>
    </w:p>
    <w:p w14:paraId="57B6AD8E">
      <w:pPr>
        <w:rPr>
          <w:rFonts w:hint="eastAsia" w:ascii="宋体" w:hAnsi="宋体" w:eastAsia="宋体" w:cs="宋体"/>
          <w:highlight w:val="none"/>
        </w:rPr>
      </w:pPr>
    </w:p>
    <w:p w14:paraId="2955A4A3">
      <w:pPr>
        <w:pStyle w:val="27"/>
        <w:rPr>
          <w:rFonts w:hint="eastAsia" w:ascii="宋体" w:hAnsi="宋体" w:eastAsia="宋体" w:cs="宋体"/>
          <w:highlight w:val="none"/>
        </w:rPr>
      </w:pPr>
    </w:p>
    <w:p w14:paraId="5FEF7544">
      <w:pPr>
        <w:rPr>
          <w:rFonts w:hint="eastAsia" w:ascii="宋体" w:hAnsi="宋体" w:eastAsia="宋体" w:cs="宋体"/>
          <w:highlight w:val="none"/>
        </w:rPr>
      </w:pPr>
    </w:p>
    <w:p w14:paraId="555B04EA">
      <w:pPr>
        <w:spacing w:line="360" w:lineRule="auto"/>
        <w:ind w:firstLine="420" w:firstLineChars="200"/>
        <w:rPr>
          <w:rFonts w:hint="eastAsia" w:ascii="宋体" w:hAnsi="宋体" w:eastAsia="宋体" w:cs="宋体"/>
          <w:highlight w:val="none"/>
        </w:rPr>
      </w:pPr>
    </w:p>
    <w:p w14:paraId="5E0A00BE">
      <w:pPr>
        <w:spacing w:line="360" w:lineRule="auto"/>
        <w:rPr>
          <w:rFonts w:hint="eastAsia" w:ascii="宋体" w:hAnsi="宋体" w:eastAsia="宋体" w:cs="宋体"/>
          <w:highlight w:val="none"/>
        </w:rPr>
      </w:pPr>
    </w:p>
    <w:p w14:paraId="0D05A1D9">
      <w:pPr>
        <w:spacing w:beforeLines="50" w:afterLines="50" w:line="360" w:lineRule="auto"/>
        <w:ind w:leftChars="1100"/>
        <w:jc w:val="both"/>
        <w:rPr>
          <w:rFonts w:hint="eastAsia" w:ascii="宋体" w:hAnsi="宋体" w:eastAsia="宋体" w:cs="宋体"/>
          <w:b w:val="0"/>
          <w:bCs/>
          <w:sz w:val="30"/>
          <w:szCs w:val="30"/>
          <w:highlight w:val="none"/>
        </w:rPr>
      </w:pPr>
      <w:r>
        <w:rPr>
          <w:rFonts w:hint="eastAsia" w:ascii="宋体" w:hAnsi="宋体" w:eastAsia="宋体" w:cs="宋体"/>
          <w:b w:val="0"/>
          <w:bCs/>
          <w:sz w:val="30"/>
          <w:szCs w:val="30"/>
          <w:highlight w:val="none"/>
        </w:rPr>
        <w:t>采   购   人：河南工业和信息化职业学院</w:t>
      </w:r>
    </w:p>
    <w:p w14:paraId="6F9F246E">
      <w:pPr>
        <w:spacing w:beforeLines="50" w:afterLines="50" w:line="360" w:lineRule="auto"/>
        <w:ind w:leftChars="1100"/>
        <w:jc w:val="both"/>
        <w:rPr>
          <w:rFonts w:hint="eastAsia" w:ascii="宋体" w:hAnsi="宋体" w:eastAsia="宋体" w:cs="宋体"/>
          <w:b w:val="0"/>
          <w:bCs/>
          <w:sz w:val="30"/>
          <w:szCs w:val="30"/>
          <w:highlight w:val="none"/>
        </w:rPr>
      </w:pPr>
      <w:r>
        <w:rPr>
          <w:rFonts w:hint="eastAsia" w:ascii="宋体" w:hAnsi="宋体" w:eastAsia="宋体" w:cs="宋体"/>
          <w:b w:val="0"/>
          <w:bCs/>
          <w:sz w:val="30"/>
          <w:szCs w:val="30"/>
          <w:highlight w:val="none"/>
        </w:rPr>
        <w:t>采购代理机构：河南英华咨询有限公司</w:t>
      </w:r>
    </w:p>
    <w:p w14:paraId="6FD9963A">
      <w:pPr>
        <w:tabs>
          <w:tab w:val="left" w:pos="-1155"/>
          <w:tab w:val="left" w:pos="-1050"/>
        </w:tabs>
        <w:spacing w:line="360" w:lineRule="auto"/>
        <w:ind w:right="-334" w:rightChars="-159"/>
        <w:jc w:val="center"/>
        <w:rPr>
          <w:rFonts w:hint="eastAsia" w:ascii="宋体" w:hAnsi="宋体" w:eastAsia="宋体" w:cs="宋体"/>
          <w:b w:val="0"/>
          <w:bCs/>
          <w:color w:val="auto"/>
          <w:spacing w:val="34"/>
          <w:sz w:val="30"/>
          <w:szCs w:val="30"/>
          <w:highlight w:val="none"/>
        </w:rPr>
      </w:pPr>
      <w:r>
        <w:rPr>
          <w:rFonts w:hint="eastAsia" w:ascii="宋体" w:hAnsi="宋体" w:eastAsia="宋体" w:cs="宋体"/>
          <w:b w:val="0"/>
          <w:bCs/>
          <w:spacing w:val="34"/>
          <w:sz w:val="30"/>
          <w:szCs w:val="30"/>
          <w:highlight w:val="none"/>
        </w:rPr>
        <w:t>二〇二</w:t>
      </w:r>
      <w:r>
        <w:rPr>
          <w:rFonts w:hint="eastAsia" w:ascii="宋体" w:hAnsi="宋体" w:eastAsia="宋体" w:cs="宋体"/>
          <w:b w:val="0"/>
          <w:bCs/>
          <w:spacing w:val="34"/>
          <w:sz w:val="30"/>
          <w:szCs w:val="30"/>
          <w:highlight w:val="none"/>
          <w:lang w:eastAsia="zh-CN"/>
        </w:rPr>
        <w:t>六</w:t>
      </w:r>
      <w:r>
        <w:rPr>
          <w:rFonts w:hint="eastAsia" w:ascii="宋体" w:hAnsi="宋体" w:eastAsia="宋体" w:cs="宋体"/>
          <w:b w:val="0"/>
          <w:bCs/>
          <w:spacing w:val="34"/>
          <w:sz w:val="30"/>
          <w:szCs w:val="30"/>
          <w:highlight w:val="none"/>
        </w:rPr>
        <w:t>年</w:t>
      </w:r>
      <w:r>
        <w:rPr>
          <w:rFonts w:hint="eastAsia" w:ascii="宋体" w:hAnsi="宋体" w:cs="宋体"/>
          <w:b w:val="0"/>
          <w:bCs/>
          <w:spacing w:val="34"/>
          <w:sz w:val="30"/>
          <w:szCs w:val="30"/>
          <w:highlight w:val="none"/>
          <w:lang w:eastAsia="zh-CN"/>
        </w:rPr>
        <w:t>五</w:t>
      </w:r>
      <w:r>
        <w:rPr>
          <w:rFonts w:hint="eastAsia" w:ascii="宋体" w:hAnsi="宋体" w:eastAsia="宋体" w:cs="宋体"/>
          <w:b w:val="0"/>
          <w:bCs/>
          <w:spacing w:val="34"/>
          <w:sz w:val="30"/>
          <w:szCs w:val="30"/>
          <w:highlight w:val="none"/>
        </w:rPr>
        <w:t>月</w:t>
      </w:r>
    </w:p>
    <w:p w14:paraId="42B7FCFE">
      <w:pPr>
        <w:spacing w:line="440" w:lineRule="exact"/>
        <w:jc w:val="center"/>
        <w:rPr>
          <w:rFonts w:hint="eastAsia" w:ascii="宋体" w:hAnsi="宋体" w:eastAsia="宋体" w:cs="宋体"/>
          <w:b/>
          <w:bCs/>
          <w:color w:val="auto"/>
          <w:sz w:val="36"/>
          <w:szCs w:val="36"/>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37B4F0C9">
      <w:pPr>
        <w:spacing w:line="440" w:lineRule="exact"/>
        <w:jc w:val="center"/>
        <w:rPr>
          <w:rFonts w:hint="eastAsia" w:ascii="宋体" w:hAnsi="宋体" w:eastAsia="宋体" w:cs="宋体"/>
          <w:color w:val="auto"/>
          <w:highlight w:val="none"/>
        </w:rPr>
      </w:pPr>
      <w:r>
        <w:rPr>
          <w:rFonts w:hint="eastAsia" w:ascii="宋体" w:hAnsi="宋体" w:eastAsia="宋体" w:cs="宋体"/>
          <w:b/>
          <w:bCs/>
          <w:color w:val="auto"/>
          <w:sz w:val="36"/>
          <w:szCs w:val="36"/>
          <w:highlight w:val="none"/>
        </w:rPr>
        <w:t>目   录</w:t>
      </w:r>
      <w:bookmarkEnd w:id="0"/>
      <w:bookmarkEnd w:id="1"/>
    </w:p>
    <w:p w14:paraId="68582B9D">
      <w:pPr>
        <w:pStyle w:val="19"/>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color w:val="auto"/>
          <w:sz w:val="21"/>
          <w:szCs w:val="21"/>
          <w:highlight w:val="none"/>
        </w:rPr>
        <w:fldChar w:fldCharType="begin"/>
      </w:r>
      <w:r>
        <w:rPr>
          <w:rFonts w:hint="eastAsia" w:asciiTheme="minorEastAsia" w:hAnsiTheme="minorEastAsia" w:eastAsiaTheme="minorEastAsia" w:cstheme="minorEastAsia"/>
          <w:b w:val="0"/>
          <w:color w:val="auto"/>
          <w:sz w:val="21"/>
          <w:szCs w:val="21"/>
          <w:highlight w:val="none"/>
        </w:rPr>
        <w:instrText xml:space="preserve">TOC \o "1-3" \h \u </w:instrText>
      </w:r>
      <w:r>
        <w:rPr>
          <w:rFonts w:hint="eastAsia" w:asciiTheme="minorEastAsia" w:hAnsiTheme="minorEastAsia" w:eastAsiaTheme="minorEastAsia" w:cstheme="minorEastAsia"/>
          <w:b w:val="0"/>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_Toc2201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bCs/>
          <w:sz w:val="21"/>
          <w:szCs w:val="21"/>
          <w:highlight w:val="none"/>
        </w:rPr>
        <w:t>第一章  竞争性磋商公告</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_Toc2201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14:paraId="4862AFEE">
      <w:pPr>
        <w:pStyle w:val="19"/>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_Toc5840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第二章  供应商须知</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_Toc5840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11</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1071EEC8">
      <w:pPr>
        <w:pStyle w:val="19"/>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_Toc19628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第三章  磋商办法（综合评分法）</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_Toc19628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37</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4ED1E0C3">
      <w:pPr>
        <w:pStyle w:val="19"/>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_Toc17952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第四章  合同条款及格式</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_Toc17952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48</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0AC99FE5">
      <w:pPr>
        <w:pStyle w:val="19"/>
        <w:keepNext w:val="0"/>
        <w:keepLines w:val="0"/>
        <w:pageBreakBefore w:val="0"/>
        <w:widowControl w:val="0"/>
        <w:tabs>
          <w:tab w:val="right" w:leader="dot" w:pos="8820"/>
        </w:tabs>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caps/>
          <w:smallCaps w:val="0"/>
          <w:color w:val="auto"/>
          <w:sz w:val="21"/>
          <w:szCs w:val="21"/>
          <w:highlight w:val="none"/>
        </w:rPr>
        <w:fldChar w:fldCharType="begin"/>
      </w:r>
      <w:r>
        <w:rPr>
          <w:rFonts w:hint="eastAsia" w:asciiTheme="minorEastAsia" w:hAnsiTheme="minorEastAsia" w:eastAsiaTheme="minorEastAsia" w:cstheme="minorEastAsia"/>
          <w:b w:val="0"/>
          <w:bCs w:val="0"/>
          <w:caps/>
          <w:smallCaps w:val="0"/>
          <w:sz w:val="21"/>
          <w:szCs w:val="21"/>
          <w:highlight w:val="none"/>
        </w:rPr>
        <w:instrText xml:space="preserve"> HYPERLINK \l _Toc25113 </w:instrText>
      </w:r>
      <w:r>
        <w:rPr>
          <w:rFonts w:hint="eastAsia" w:asciiTheme="minorEastAsia" w:hAnsiTheme="minorEastAsia" w:eastAsiaTheme="minorEastAsia" w:cstheme="minorEastAsia"/>
          <w:b w:val="0"/>
          <w:bCs w:val="0"/>
          <w:caps/>
          <w:smallCap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rPr>
        <w:t>（一）合同协议书</w:t>
      </w:r>
      <w:r>
        <w:rPr>
          <w:rFonts w:hint="eastAsia" w:asciiTheme="minorEastAsia" w:hAnsiTheme="minorEastAsia" w:eastAsiaTheme="minorEastAsia" w:cstheme="minorEastAsia"/>
          <w:b w:val="0"/>
          <w:bCs w:val="0"/>
          <w:sz w:val="21"/>
          <w:szCs w:val="21"/>
          <w:highlight w:val="none"/>
        </w:rPr>
        <w:tab/>
      </w:r>
      <w:r>
        <w:rPr>
          <w:rFonts w:hint="eastAsia" w:asciiTheme="minorEastAsia" w:hAnsiTheme="minorEastAsia" w:eastAsiaTheme="minorEastAsia" w:cstheme="minorEastAsia"/>
          <w:b w:val="0"/>
          <w:bCs w:val="0"/>
          <w:sz w:val="21"/>
          <w:szCs w:val="21"/>
          <w:highlight w:val="none"/>
        </w:rPr>
        <w:fldChar w:fldCharType="begin"/>
      </w:r>
      <w:r>
        <w:rPr>
          <w:rFonts w:hint="eastAsia" w:asciiTheme="minorEastAsia" w:hAnsiTheme="minorEastAsia" w:eastAsiaTheme="minorEastAsia" w:cstheme="minorEastAsia"/>
          <w:b w:val="0"/>
          <w:bCs w:val="0"/>
          <w:sz w:val="21"/>
          <w:szCs w:val="21"/>
          <w:highlight w:val="none"/>
        </w:rPr>
        <w:instrText xml:space="preserve"> PAGEREF _Toc25113 \h </w:instrText>
      </w:r>
      <w:r>
        <w:rPr>
          <w:rFonts w:hint="eastAsia" w:asciiTheme="minorEastAsia" w:hAnsiTheme="minorEastAsia" w:eastAsiaTheme="minorEastAsia" w:cstheme="minorEastAsia"/>
          <w:b w:val="0"/>
          <w:bC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rPr>
        <w:t>49</w:t>
      </w:r>
      <w:r>
        <w:rPr>
          <w:rFonts w:hint="eastAsia" w:asciiTheme="minorEastAsia" w:hAnsiTheme="minorEastAsia" w:eastAsiaTheme="minorEastAsia" w:cstheme="minorEastAsia"/>
          <w:b w:val="0"/>
          <w:bCs w:val="0"/>
          <w:sz w:val="21"/>
          <w:szCs w:val="21"/>
          <w:highlight w:val="none"/>
        </w:rPr>
        <w:fldChar w:fldCharType="end"/>
      </w:r>
      <w:r>
        <w:rPr>
          <w:rFonts w:hint="eastAsia" w:asciiTheme="minorEastAsia" w:hAnsiTheme="minorEastAsia" w:eastAsiaTheme="minorEastAsia" w:cstheme="minorEastAsia"/>
          <w:b w:val="0"/>
          <w:bCs w:val="0"/>
          <w:caps/>
          <w:smallCaps w:val="0"/>
          <w:color w:val="auto"/>
          <w:sz w:val="21"/>
          <w:szCs w:val="21"/>
          <w:highlight w:val="none"/>
        </w:rPr>
        <w:fldChar w:fldCharType="end"/>
      </w:r>
    </w:p>
    <w:p w14:paraId="5B88772D">
      <w:pPr>
        <w:pStyle w:val="19"/>
        <w:keepNext w:val="0"/>
        <w:keepLines w:val="0"/>
        <w:pageBreakBefore w:val="0"/>
        <w:widowControl w:val="0"/>
        <w:tabs>
          <w:tab w:val="right" w:leader="dot" w:pos="8820"/>
        </w:tabs>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caps/>
          <w:smallCaps w:val="0"/>
          <w:color w:val="auto"/>
          <w:sz w:val="21"/>
          <w:szCs w:val="21"/>
          <w:highlight w:val="none"/>
        </w:rPr>
        <w:fldChar w:fldCharType="begin"/>
      </w:r>
      <w:r>
        <w:rPr>
          <w:rFonts w:hint="eastAsia" w:asciiTheme="minorEastAsia" w:hAnsiTheme="minorEastAsia" w:eastAsiaTheme="minorEastAsia" w:cstheme="minorEastAsia"/>
          <w:b w:val="0"/>
          <w:bCs w:val="0"/>
          <w:caps/>
          <w:smallCaps w:val="0"/>
          <w:sz w:val="21"/>
          <w:szCs w:val="21"/>
          <w:highlight w:val="none"/>
        </w:rPr>
        <w:instrText xml:space="preserve"> HYPERLINK \l _Toc2667 </w:instrText>
      </w:r>
      <w:r>
        <w:rPr>
          <w:rFonts w:hint="eastAsia" w:asciiTheme="minorEastAsia" w:hAnsiTheme="minorEastAsia" w:eastAsiaTheme="minorEastAsia" w:cstheme="minorEastAsia"/>
          <w:b w:val="0"/>
          <w:bCs w:val="0"/>
          <w:caps/>
          <w:smallCap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rPr>
        <w:t>（二）通用合同条款</w:t>
      </w:r>
      <w:r>
        <w:rPr>
          <w:rFonts w:hint="eastAsia" w:asciiTheme="minorEastAsia" w:hAnsiTheme="minorEastAsia" w:eastAsiaTheme="minorEastAsia" w:cstheme="minorEastAsia"/>
          <w:b w:val="0"/>
          <w:bCs w:val="0"/>
          <w:sz w:val="21"/>
          <w:szCs w:val="21"/>
          <w:highlight w:val="none"/>
        </w:rPr>
        <w:tab/>
      </w:r>
      <w:r>
        <w:rPr>
          <w:rFonts w:hint="eastAsia" w:asciiTheme="minorEastAsia" w:hAnsiTheme="minorEastAsia" w:eastAsiaTheme="minorEastAsia" w:cstheme="minorEastAsia"/>
          <w:b w:val="0"/>
          <w:bCs w:val="0"/>
          <w:sz w:val="21"/>
          <w:szCs w:val="21"/>
          <w:highlight w:val="none"/>
        </w:rPr>
        <w:fldChar w:fldCharType="begin"/>
      </w:r>
      <w:r>
        <w:rPr>
          <w:rFonts w:hint="eastAsia" w:asciiTheme="minorEastAsia" w:hAnsiTheme="minorEastAsia" w:eastAsiaTheme="minorEastAsia" w:cstheme="minorEastAsia"/>
          <w:b w:val="0"/>
          <w:bCs w:val="0"/>
          <w:sz w:val="21"/>
          <w:szCs w:val="21"/>
          <w:highlight w:val="none"/>
        </w:rPr>
        <w:instrText xml:space="preserve"> PAGEREF _Toc2667 \h </w:instrText>
      </w:r>
      <w:r>
        <w:rPr>
          <w:rFonts w:hint="eastAsia" w:asciiTheme="minorEastAsia" w:hAnsiTheme="minorEastAsia" w:eastAsiaTheme="minorEastAsia" w:cstheme="minorEastAsia"/>
          <w:b w:val="0"/>
          <w:bC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rPr>
        <w:t>49</w:t>
      </w:r>
      <w:r>
        <w:rPr>
          <w:rFonts w:hint="eastAsia" w:asciiTheme="minorEastAsia" w:hAnsiTheme="minorEastAsia" w:eastAsiaTheme="minorEastAsia" w:cstheme="minorEastAsia"/>
          <w:b w:val="0"/>
          <w:bCs w:val="0"/>
          <w:sz w:val="21"/>
          <w:szCs w:val="21"/>
          <w:highlight w:val="none"/>
        </w:rPr>
        <w:fldChar w:fldCharType="end"/>
      </w:r>
      <w:r>
        <w:rPr>
          <w:rFonts w:hint="eastAsia" w:asciiTheme="minorEastAsia" w:hAnsiTheme="minorEastAsia" w:eastAsiaTheme="minorEastAsia" w:cstheme="minorEastAsia"/>
          <w:b w:val="0"/>
          <w:bCs w:val="0"/>
          <w:caps/>
          <w:smallCaps w:val="0"/>
          <w:color w:val="auto"/>
          <w:sz w:val="21"/>
          <w:szCs w:val="21"/>
          <w:highlight w:val="none"/>
        </w:rPr>
        <w:fldChar w:fldCharType="end"/>
      </w:r>
    </w:p>
    <w:p w14:paraId="1E288202">
      <w:pPr>
        <w:pStyle w:val="19"/>
        <w:keepNext w:val="0"/>
        <w:keepLines w:val="0"/>
        <w:pageBreakBefore w:val="0"/>
        <w:widowControl w:val="0"/>
        <w:tabs>
          <w:tab w:val="right" w:leader="dot" w:pos="8820"/>
        </w:tabs>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caps/>
          <w:smallCaps w:val="0"/>
          <w:color w:val="auto"/>
          <w:sz w:val="21"/>
          <w:szCs w:val="21"/>
          <w:highlight w:val="none"/>
        </w:rPr>
        <w:fldChar w:fldCharType="begin"/>
      </w:r>
      <w:r>
        <w:rPr>
          <w:rFonts w:hint="eastAsia" w:asciiTheme="minorEastAsia" w:hAnsiTheme="minorEastAsia" w:eastAsiaTheme="minorEastAsia" w:cstheme="minorEastAsia"/>
          <w:b w:val="0"/>
          <w:bCs w:val="0"/>
          <w:caps/>
          <w:smallCaps w:val="0"/>
          <w:sz w:val="21"/>
          <w:szCs w:val="21"/>
          <w:highlight w:val="none"/>
        </w:rPr>
        <w:instrText xml:space="preserve"> HYPERLINK \l _Toc27738 </w:instrText>
      </w:r>
      <w:r>
        <w:rPr>
          <w:rFonts w:hint="eastAsia" w:asciiTheme="minorEastAsia" w:hAnsiTheme="minorEastAsia" w:eastAsiaTheme="minorEastAsia" w:cstheme="minorEastAsia"/>
          <w:b w:val="0"/>
          <w:bCs w:val="0"/>
          <w:caps/>
          <w:smallCap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rPr>
        <w:t>（三）专用合同条款</w:t>
      </w:r>
      <w:r>
        <w:rPr>
          <w:rFonts w:hint="eastAsia" w:asciiTheme="minorEastAsia" w:hAnsiTheme="minorEastAsia" w:eastAsiaTheme="minorEastAsia" w:cstheme="minorEastAsia"/>
          <w:b w:val="0"/>
          <w:bCs w:val="0"/>
          <w:sz w:val="21"/>
          <w:szCs w:val="21"/>
          <w:highlight w:val="none"/>
        </w:rPr>
        <w:tab/>
      </w:r>
      <w:r>
        <w:rPr>
          <w:rFonts w:hint="eastAsia" w:asciiTheme="minorEastAsia" w:hAnsiTheme="minorEastAsia" w:eastAsiaTheme="minorEastAsia" w:cstheme="minorEastAsia"/>
          <w:b w:val="0"/>
          <w:bCs w:val="0"/>
          <w:sz w:val="21"/>
          <w:szCs w:val="21"/>
          <w:highlight w:val="none"/>
        </w:rPr>
        <w:fldChar w:fldCharType="begin"/>
      </w:r>
      <w:r>
        <w:rPr>
          <w:rFonts w:hint="eastAsia" w:asciiTheme="minorEastAsia" w:hAnsiTheme="minorEastAsia" w:eastAsiaTheme="minorEastAsia" w:cstheme="minorEastAsia"/>
          <w:b w:val="0"/>
          <w:bCs w:val="0"/>
          <w:sz w:val="21"/>
          <w:szCs w:val="21"/>
          <w:highlight w:val="none"/>
        </w:rPr>
        <w:instrText xml:space="preserve"> PAGEREF _Toc27738 \h </w:instrText>
      </w:r>
      <w:r>
        <w:rPr>
          <w:rFonts w:hint="eastAsia" w:asciiTheme="minorEastAsia" w:hAnsiTheme="minorEastAsia" w:eastAsiaTheme="minorEastAsia" w:cstheme="minorEastAsia"/>
          <w:b w:val="0"/>
          <w:bC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rPr>
        <w:t>49</w:t>
      </w:r>
      <w:r>
        <w:rPr>
          <w:rFonts w:hint="eastAsia" w:asciiTheme="minorEastAsia" w:hAnsiTheme="minorEastAsia" w:eastAsiaTheme="minorEastAsia" w:cstheme="minorEastAsia"/>
          <w:b w:val="0"/>
          <w:bCs w:val="0"/>
          <w:sz w:val="21"/>
          <w:szCs w:val="21"/>
          <w:highlight w:val="none"/>
        </w:rPr>
        <w:fldChar w:fldCharType="end"/>
      </w:r>
      <w:r>
        <w:rPr>
          <w:rFonts w:hint="eastAsia" w:asciiTheme="minorEastAsia" w:hAnsiTheme="minorEastAsia" w:eastAsiaTheme="minorEastAsia" w:cstheme="minorEastAsia"/>
          <w:b w:val="0"/>
          <w:bCs w:val="0"/>
          <w:caps/>
          <w:smallCaps w:val="0"/>
          <w:color w:val="auto"/>
          <w:sz w:val="21"/>
          <w:szCs w:val="21"/>
          <w:highlight w:val="none"/>
        </w:rPr>
        <w:fldChar w:fldCharType="end"/>
      </w:r>
    </w:p>
    <w:p w14:paraId="2991E0BF">
      <w:pPr>
        <w:pStyle w:val="19"/>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_Toc12187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第五章  工程量清单</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_Toc12187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96</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61E7FB54">
      <w:pPr>
        <w:pStyle w:val="19"/>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_Toc3568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lang w:val="en-US" w:eastAsia="zh-CN"/>
        </w:rPr>
        <w:t>第六章  图纸</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_Toc3568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97</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619F020E">
      <w:pPr>
        <w:pStyle w:val="19"/>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_Toc17875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第七章  技术标准和要求</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_Toc17875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98</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174A725A">
      <w:pPr>
        <w:pStyle w:val="19"/>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_Toc29743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第八章  响应文件格式</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_Toc29743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100</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2AEA3919">
      <w:pPr>
        <w:pStyle w:val="2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_Toc15103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sz w:val="21"/>
          <w:szCs w:val="21"/>
          <w:highlight w:val="none"/>
        </w:rPr>
        <w:t>一、报价函及报价函附录</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_Toc15103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103</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4DB725E9">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_Toc13588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（一）报价函</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_Toc13588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103</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7492E594">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_Toc20147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（二）报价函附录</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_Toc20147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104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39901E1D">
      <w:pPr>
        <w:pStyle w:val="2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_Toc20463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sz w:val="21"/>
          <w:szCs w:val="21"/>
          <w:highlight w:val="none"/>
        </w:rPr>
        <w:t>二、法定代表人身份证明</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_Toc20463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105</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4A168445">
      <w:pPr>
        <w:pStyle w:val="2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_Toc28901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sz w:val="21"/>
          <w:szCs w:val="21"/>
          <w:highlight w:val="none"/>
        </w:rPr>
        <w:t>三、授权委托书</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_Toc28901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106</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0699D0EF">
      <w:pPr>
        <w:pStyle w:val="2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_Toc13105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sz w:val="21"/>
          <w:szCs w:val="21"/>
          <w:highlight w:val="none"/>
        </w:rPr>
        <w:t>四、磋商承诺书</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_Toc13105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107</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03D8FAF3">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_Toc817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（一）磋商承诺函</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_Toc817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107</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6E07525B">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_Toc31542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（二）代理服务费及按照规定签合同承诺函</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_Toc31542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108</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332A7846">
      <w:pPr>
        <w:pStyle w:val="2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_Toc5383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sz w:val="21"/>
          <w:szCs w:val="21"/>
          <w:highlight w:val="none"/>
        </w:rPr>
        <w:t>五、已标价工程量清单</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_Toc5383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109</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3DBDCE05">
      <w:pPr>
        <w:pStyle w:val="2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_Toc21543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sz w:val="21"/>
          <w:szCs w:val="21"/>
          <w:highlight w:val="none"/>
        </w:rPr>
        <w:t>六、施工组织设计</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_Toc21543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110</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073441F9">
      <w:pPr>
        <w:pStyle w:val="2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_Toc25468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sz w:val="21"/>
          <w:szCs w:val="21"/>
          <w:highlight w:val="none"/>
        </w:rPr>
        <w:t>七、项目管理机构</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_Toc25468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112</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74F05BFE">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_Toc16744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（一）项目管理机构组成表</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_Toc16744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112</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074E9446">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_Toc2400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（二）主要人员简历表</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_Toc2400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113</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3AF2C68C">
      <w:pPr>
        <w:pStyle w:val="2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_Toc11761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sz w:val="21"/>
          <w:szCs w:val="21"/>
          <w:highlight w:val="none"/>
        </w:rPr>
        <w:t>八、资格审查资料</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_Toc11761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116</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7165ECC0">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_Toc9665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（一）供应商基本情况表</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_Toc9665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116</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62B89989">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_Toc15609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（二）《中华人民共和国政府采购法》第二十二条规定</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_Toc15609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117</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5961DA57">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_Toc11715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（三）近年发生的诉讼及仲裁情况</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_Toc11715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118</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7F1B9DB5">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_Toc24767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（四） 信誉</w:t>
      </w:r>
      <w:r>
        <w:rPr>
          <w:rFonts w:hint="eastAsia" w:asciiTheme="minorEastAsia" w:hAnsiTheme="minorEastAsia" w:eastAsiaTheme="minorEastAsia" w:cstheme="minorEastAsia"/>
          <w:bCs/>
          <w:sz w:val="21"/>
          <w:szCs w:val="21"/>
          <w:highlight w:val="none"/>
          <w:lang w:eastAsia="zh-CN"/>
        </w:rPr>
        <w:t>要求</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_Toc24767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119</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5646CDEB">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_Toc32177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lang w:val="en-US" w:eastAsia="zh-CN"/>
        </w:rPr>
        <w:t>（五） 供应商认为应该提供的其他资料</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_Toc32177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120</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3EF69607">
      <w:pPr>
        <w:pStyle w:val="2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_Toc29529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sz w:val="21"/>
          <w:szCs w:val="21"/>
          <w:highlight w:val="none"/>
        </w:rPr>
        <w:t>九、类似项目情况表</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_Toc29529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121</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7A6C90BC">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_Toc8791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（一）近年完成的类似项目情况表</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_Toc8791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121</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0C3B6389">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_Toc17711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（二）正在施工的和正在承接的项目情况表</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_Toc17711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122</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4CE6E014">
      <w:pPr>
        <w:pStyle w:val="2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_Toc28189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sz w:val="21"/>
          <w:szCs w:val="21"/>
          <w:highlight w:val="none"/>
        </w:rPr>
        <w:t>十、服务承诺</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_Toc28189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123</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683CB592">
      <w:pPr>
        <w:pStyle w:val="2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_Toc7203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sz w:val="21"/>
          <w:szCs w:val="21"/>
          <w:highlight w:val="none"/>
        </w:rPr>
        <w:t>十一、供应商认为有必要提供的其他资料</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_Toc7203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124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699CCDE5">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_Toc16403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（一）反商业贿赂承诺书</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_Toc16403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124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3DD024C8">
      <w:pPr>
        <w:pStyle w:val="14"/>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_Toc4332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sz w:val="21"/>
          <w:szCs w:val="21"/>
          <w:highlight w:val="none"/>
        </w:rPr>
        <w:t>（二）其他资料</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_Toc4332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125</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1A190B43">
      <w:pPr>
        <w:pStyle w:val="2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begin"/>
      </w:r>
      <w:r>
        <w:rPr>
          <w:rFonts w:hint="eastAsia" w:asciiTheme="minorEastAsia" w:hAnsiTheme="minorEastAsia" w:eastAsiaTheme="minorEastAsia" w:cstheme="minorEastAsia"/>
          <w:bCs/>
          <w:caps/>
          <w:smallCaps w:val="0"/>
          <w:sz w:val="21"/>
          <w:szCs w:val="21"/>
          <w:highlight w:val="none"/>
        </w:rPr>
        <w:instrText xml:space="preserve"> HYPERLINK \l _Toc21586 </w:instrText>
      </w:r>
      <w:r>
        <w:rPr>
          <w:rFonts w:hint="eastAsia" w:asciiTheme="minorEastAsia" w:hAnsiTheme="minorEastAsia" w:eastAsiaTheme="minorEastAsia" w:cstheme="minorEastAsia"/>
          <w:bCs/>
          <w:caps/>
          <w:smallCaps w:val="0"/>
          <w:sz w:val="21"/>
          <w:szCs w:val="21"/>
          <w:highlight w:val="none"/>
        </w:rPr>
        <w:fldChar w:fldCharType="separate"/>
      </w:r>
      <w:r>
        <w:rPr>
          <w:rFonts w:hint="eastAsia" w:asciiTheme="minorEastAsia" w:hAnsiTheme="minorEastAsia" w:eastAsiaTheme="minorEastAsia" w:cstheme="minorEastAsia"/>
          <w:bCs w:val="0"/>
          <w:sz w:val="21"/>
          <w:szCs w:val="21"/>
          <w:highlight w:val="none"/>
        </w:rPr>
        <w:t>十二、中小微企业证明</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_Toc21586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126</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bCs/>
          <w:caps/>
          <w:smallCaps w:val="0"/>
          <w:color w:val="auto"/>
          <w:sz w:val="21"/>
          <w:szCs w:val="21"/>
          <w:highlight w:val="none"/>
        </w:rPr>
        <w:fldChar w:fldCharType="end"/>
      </w:r>
    </w:p>
    <w:p w14:paraId="3BD4CCF2">
      <w:pPr>
        <w:pStyle w:val="21"/>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jc w:val="center"/>
        <w:textAlignment w:val="auto"/>
        <w:outlineLvl w:val="0"/>
        <w:rPr>
          <w:rFonts w:hint="eastAsia" w:ascii="宋体" w:hAnsi="宋体" w:eastAsia="宋体" w:cs="宋体"/>
          <w:bCs/>
          <w:caps/>
          <w:smallCaps w:val="0"/>
          <w:color w:val="auto"/>
          <w:szCs w:val="21"/>
          <w:highlight w:val="none"/>
        </w:rPr>
      </w:pPr>
      <w:r>
        <w:rPr>
          <w:rFonts w:hint="eastAsia" w:asciiTheme="minorEastAsia" w:hAnsiTheme="minorEastAsia" w:eastAsiaTheme="minorEastAsia" w:cstheme="minorEastAsia"/>
          <w:bCs/>
          <w:caps/>
          <w:smallCaps w:val="0"/>
          <w:color w:val="auto"/>
          <w:sz w:val="21"/>
          <w:szCs w:val="21"/>
          <w:highlight w:val="none"/>
        </w:rPr>
        <w:fldChar w:fldCharType="end"/>
      </w:r>
      <w:bookmarkStart w:id="2" w:name="_Toc152042303"/>
      <w:bookmarkStart w:id="3" w:name="_Toc152045527"/>
      <w:bookmarkStart w:id="4" w:name="_Toc144974495"/>
    </w:p>
    <w:p w14:paraId="0C818C84">
      <w:pPr>
        <w:rPr>
          <w:rFonts w:hint="eastAsia" w:ascii="宋体" w:hAnsi="宋体" w:eastAsia="宋体" w:cs="宋体"/>
          <w:bCs/>
          <w:caps/>
          <w:smallCaps w:val="0"/>
          <w:color w:val="auto"/>
          <w:szCs w:val="21"/>
          <w:highlight w:val="none"/>
        </w:rPr>
      </w:pPr>
      <w:r>
        <w:rPr>
          <w:rFonts w:hint="eastAsia" w:ascii="宋体" w:hAnsi="宋体" w:eastAsia="宋体" w:cs="宋体"/>
          <w:bCs/>
          <w:caps/>
          <w:smallCaps w:val="0"/>
          <w:color w:val="auto"/>
          <w:szCs w:val="21"/>
          <w:highlight w:val="none"/>
        </w:rPr>
        <w:br w:type="page"/>
      </w:r>
    </w:p>
    <w:p w14:paraId="76E200ED">
      <w:pPr>
        <w:pStyle w:val="21"/>
        <w:tabs>
          <w:tab w:val="right" w:leader="dot" w:pos="8296"/>
        </w:tabs>
        <w:spacing w:line="460" w:lineRule="exact"/>
        <w:ind w:left="0"/>
        <w:jc w:val="center"/>
        <w:outlineLvl w:val="0"/>
        <w:rPr>
          <w:rFonts w:hint="eastAsia" w:ascii="宋体" w:hAnsi="宋体" w:eastAsia="宋体" w:cs="宋体"/>
          <w:b/>
          <w:bCs/>
          <w:color w:val="auto"/>
          <w:sz w:val="32"/>
          <w:szCs w:val="32"/>
          <w:highlight w:val="none"/>
        </w:rPr>
      </w:pPr>
      <w:bookmarkStart w:id="5" w:name="_Toc2201"/>
      <w:r>
        <w:rPr>
          <w:rFonts w:hint="eastAsia" w:ascii="宋体" w:hAnsi="宋体" w:eastAsia="宋体" w:cs="宋体"/>
          <w:b/>
          <w:bCs/>
          <w:color w:val="auto"/>
          <w:sz w:val="32"/>
          <w:szCs w:val="32"/>
          <w:highlight w:val="none"/>
        </w:rPr>
        <w:t>第一章  竞争性磋商公告</w:t>
      </w:r>
      <w:bookmarkEnd w:id="5"/>
    </w:p>
    <w:p w14:paraId="05A70320">
      <w:pPr>
        <w:widowControl/>
        <w:spacing w:line="500" w:lineRule="exact"/>
        <w:jc w:val="center"/>
        <w:rPr>
          <w:rFonts w:hint="eastAsia" w:ascii="宋体" w:hAnsi="宋体" w:eastAsia="宋体" w:cs="宋体"/>
          <w:b/>
          <w:bCs/>
          <w:sz w:val="28"/>
          <w:szCs w:val="28"/>
          <w:highlight w:val="none"/>
          <w:lang w:val="en-US" w:eastAsia="zh-CN"/>
        </w:rPr>
      </w:pPr>
      <w:bookmarkStart w:id="6" w:name="_Toc10279"/>
    </w:p>
    <w:p w14:paraId="4184E05A">
      <w:pPr>
        <w:widowControl/>
        <w:spacing w:line="50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河南工业和信息化职业学院4#学生公寓外部维修项目</w:t>
      </w:r>
    </w:p>
    <w:p w14:paraId="684AB17B">
      <w:pPr>
        <w:widowControl/>
        <w:spacing w:line="460" w:lineRule="exact"/>
        <w:jc w:val="center"/>
        <w:rPr>
          <w:rFonts w:hint="eastAsia" w:ascii="宋体" w:hAnsi="宋体" w:eastAsia="宋体" w:cs="宋体"/>
          <w:highlight w:val="none"/>
        </w:rPr>
      </w:pPr>
      <w:r>
        <w:rPr>
          <w:rFonts w:hint="eastAsia" w:ascii="宋体" w:hAnsi="宋体" w:eastAsia="宋体" w:cs="宋体"/>
          <w:b/>
          <w:bCs/>
          <w:sz w:val="28"/>
          <w:szCs w:val="28"/>
          <w:highlight w:val="none"/>
        </w:rPr>
        <w:t>竞争性磋商公告</w:t>
      </w:r>
    </w:p>
    <w:p w14:paraId="14E5EB35">
      <w:pPr>
        <w:widowControl/>
        <w:spacing w:line="46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项目概况</w:t>
      </w:r>
    </w:p>
    <w:p w14:paraId="27D901F3">
      <w:pPr>
        <w:widowControl/>
        <w:spacing w:line="46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lang w:val="en-US" w:eastAsia="zh-CN"/>
        </w:rPr>
        <w:t>河南工业和信息化职业学院4#学生公寓外部维修项目</w:t>
      </w:r>
      <w:r>
        <w:rPr>
          <w:rFonts w:hint="eastAsia" w:ascii="宋体" w:hAnsi="宋体" w:eastAsia="宋体" w:cs="宋体"/>
          <w:highlight w:val="none"/>
        </w:rPr>
        <w:t>招标项目的潜在</w:t>
      </w:r>
      <w:r>
        <w:rPr>
          <w:rFonts w:hint="eastAsia" w:ascii="宋体" w:hAnsi="宋体" w:eastAsia="宋体" w:cs="宋体"/>
          <w:highlight w:val="none"/>
          <w:lang w:eastAsia="zh-CN"/>
        </w:rPr>
        <w:t>投标人</w:t>
      </w:r>
      <w:r>
        <w:rPr>
          <w:rFonts w:hint="eastAsia" w:ascii="宋体" w:hAnsi="宋体" w:eastAsia="宋体" w:cs="宋体"/>
          <w:highlight w:val="none"/>
        </w:rPr>
        <w:t>应在河南省公共资源交易中心</w:t>
      </w:r>
      <w:r>
        <w:rPr>
          <w:rFonts w:hint="eastAsia" w:ascii="宋体" w:hAnsi="宋体" w:eastAsia="宋体" w:cs="宋体"/>
          <w:highlight w:val="none"/>
          <w:lang w:eastAsia="zh-CN"/>
        </w:rPr>
        <w:t>（http://hnsggzyjy.henan.gov.cn/</w:t>
      </w:r>
      <w:r>
        <w:rPr>
          <w:rFonts w:hint="eastAsia" w:ascii="宋体" w:hAnsi="宋体" w:eastAsia="宋体" w:cs="宋体"/>
          <w:highlight w:val="none"/>
        </w:rPr>
        <w:t>）获取招标文件，并于202</w:t>
      </w:r>
      <w:r>
        <w:rPr>
          <w:rFonts w:hint="eastAsia" w:ascii="宋体" w:hAnsi="宋体" w:eastAsia="宋体" w:cs="宋体"/>
          <w:highlight w:val="none"/>
          <w:lang w:val="en-US" w:eastAsia="zh-CN"/>
        </w:rPr>
        <w:t>6</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06</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02</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日09时00分（北京时间）前递交响应文件。</w:t>
      </w:r>
    </w:p>
    <w:p w14:paraId="67E493A6">
      <w:pPr>
        <w:numPr>
          <w:ilvl w:val="0"/>
          <w:numId w:val="2"/>
        </w:numPr>
        <w:spacing w:line="480" w:lineRule="exact"/>
        <w:jc w:val="left"/>
        <w:rPr>
          <w:rFonts w:hint="eastAsia" w:ascii="宋体" w:hAnsi="宋体" w:eastAsia="宋体" w:cs="宋体"/>
          <w:b/>
          <w:highlight w:val="none"/>
        </w:rPr>
      </w:pPr>
      <w:r>
        <w:rPr>
          <w:rFonts w:hint="eastAsia" w:ascii="宋体" w:hAnsi="宋体" w:eastAsia="宋体" w:cs="宋体"/>
          <w:b/>
          <w:highlight w:val="none"/>
        </w:rPr>
        <w:t>项目基本情况</w:t>
      </w:r>
    </w:p>
    <w:p w14:paraId="2409A5A9">
      <w:pPr>
        <w:widowControl/>
        <w:spacing w:line="46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项</w:t>
      </w:r>
      <w:r>
        <w:rPr>
          <w:rFonts w:hint="eastAsia" w:ascii="宋体" w:hAnsi="宋体" w:eastAsia="宋体" w:cs="宋体"/>
          <w:highlight w:val="none"/>
          <w:lang w:val="en-US" w:eastAsia="zh-CN"/>
        </w:rPr>
        <w:t>目编号：</w:t>
      </w:r>
      <w:r>
        <w:rPr>
          <w:rFonts w:hint="eastAsia" w:ascii="宋体" w:hAnsi="宋体" w:eastAsia="宋体" w:cs="宋体"/>
          <w:sz w:val="21"/>
          <w:szCs w:val="21"/>
          <w:highlight w:val="none"/>
        </w:rPr>
        <w:t>豫财磋商采购2026-333</w:t>
      </w:r>
    </w:p>
    <w:p w14:paraId="1719EA4C">
      <w:pPr>
        <w:widowControl/>
        <w:spacing w:line="46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2、项目名称：</w:t>
      </w:r>
      <w:r>
        <w:rPr>
          <w:rFonts w:hint="eastAsia" w:ascii="宋体" w:hAnsi="宋体" w:eastAsia="宋体" w:cs="宋体"/>
          <w:highlight w:val="none"/>
          <w:lang w:val="en-US" w:eastAsia="zh-CN"/>
        </w:rPr>
        <w:t>河南工业和信息化职业学院4#学生公寓外部维修项目</w:t>
      </w:r>
    </w:p>
    <w:p w14:paraId="64CBE008">
      <w:pPr>
        <w:widowControl/>
        <w:spacing w:line="46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3、采购方式：竞争性磋商</w:t>
      </w:r>
    </w:p>
    <w:p w14:paraId="416FD4D9">
      <w:pPr>
        <w:spacing w:line="480" w:lineRule="exact"/>
        <w:ind w:firstLine="420"/>
        <w:jc w:val="left"/>
        <w:rPr>
          <w:rFonts w:hint="eastAsia" w:ascii="宋体" w:hAnsi="宋体" w:eastAsia="宋体" w:cs="宋体"/>
          <w:highlight w:val="none"/>
        </w:rPr>
      </w:pPr>
      <w:r>
        <w:rPr>
          <w:rFonts w:hint="eastAsia" w:ascii="宋体" w:hAnsi="宋体" w:eastAsia="宋体" w:cs="宋体"/>
          <w:highlight w:val="none"/>
        </w:rPr>
        <w:t>4、预算金额：</w:t>
      </w:r>
      <w:r>
        <w:rPr>
          <w:rFonts w:hint="eastAsia" w:ascii="宋体" w:hAnsi="宋体" w:eastAsia="宋体" w:cs="宋体"/>
          <w:highlight w:val="none"/>
          <w:lang w:val="en-US" w:eastAsia="zh-CN"/>
        </w:rPr>
        <w:t>2361482.67</w:t>
      </w:r>
      <w:r>
        <w:rPr>
          <w:rFonts w:hint="eastAsia" w:ascii="宋体" w:hAnsi="宋体" w:eastAsia="宋体" w:cs="宋体"/>
          <w:highlight w:val="none"/>
        </w:rPr>
        <w:t>元</w:t>
      </w:r>
    </w:p>
    <w:p w14:paraId="048BD686">
      <w:pPr>
        <w:spacing w:line="480" w:lineRule="exact"/>
        <w:ind w:firstLine="630" w:firstLineChars="300"/>
        <w:jc w:val="left"/>
        <w:rPr>
          <w:rFonts w:hint="eastAsia" w:ascii="宋体" w:hAnsi="宋体" w:eastAsia="宋体" w:cs="宋体"/>
          <w:highlight w:val="none"/>
        </w:rPr>
      </w:pPr>
      <w:r>
        <w:rPr>
          <w:rFonts w:hint="eastAsia" w:ascii="宋体" w:hAnsi="宋体" w:eastAsia="宋体" w:cs="宋体"/>
          <w:highlight w:val="none"/>
        </w:rPr>
        <w:t>最高限价：</w:t>
      </w:r>
      <w:r>
        <w:rPr>
          <w:rFonts w:hint="eastAsia" w:ascii="宋体" w:hAnsi="宋体" w:eastAsia="宋体" w:cs="宋体"/>
          <w:highlight w:val="none"/>
          <w:lang w:val="en-US" w:eastAsia="zh-CN"/>
        </w:rPr>
        <w:t xml:space="preserve"> 2361482.67</w:t>
      </w:r>
      <w:r>
        <w:rPr>
          <w:rFonts w:hint="eastAsia" w:ascii="宋体" w:hAnsi="宋体" w:eastAsia="宋体" w:cs="宋体"/>
          <w:highlight w:val="none"/>
        </w:rPr>
        <w:t>元</w:t>
      </w:r>
    </w:p>
    <w:tbl>
      <w:tblPr>
        <w:tblStyle w:val="2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491"/>
        <w:gridCol w:w="2875"/>
        <w:gridCol w:w="1787"/>
        <w:gridCol w:w="1755"/>
      </w:tblGrid>
      <w:tr w14:paraId="6F5D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90" w:type="dxa"/>
            <w:vAlign w:val="center"/>
          </w:tcPr>
          <w:p w14:paraId="4FD5565E">
            <w:pPr>
              <w:pStyle w:val="49"/>
              <w:spacing w:line="4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491" w:type="dxa"/>
            <w:vAlign w:val="center"/>
          </w:tcPr>
          <w:p w14:paraId="72EE69D3">
            <w:pPr>
              <w:pStyle w:val="49"/>
              <w:spacing w:line="4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包号</w:t>
            </w:r>
          </w:p>
        </w:tc>
        <w:tc>
          <w:tcPr>
            <w:tcW w:w="2875" w:type="dxa"/>
            <w:vAlign w:val="center"/>
          </w:tcPr>
          <w:p w14:paraId="798E4FD1">
            <w:pPr>
              <w:pStyle w:val="49"/>
              <w:spacing w:line="4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包名称</w:t>
            </w:r>
          </w:p>
        </w:tc>
        <w:tc>
          <w:tcPr>
            <w:tcW w:w="1787" w:type="dxa"/>
            <w:vAlign w:val="center"/>
          </w:tcPr>
          <w:p w14:paraId="405C80ED">
            <w:pPr>
              <w:pStyle w:val="49"/>
              <w:spacing w:line="4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包预算（元）</w:t>
            </w:r>
          </w:p>
        </w:tc>
        <w:tc>
          <w:tcPr>
            <w:tcW w:w="1755" w:type="dxa"/>
            <w:vAlign w:val="center"/>
          </w:tcPr>
          <w:p w14:paraId="27558134">
            <w:pPr>
              <w:pStyle w:val="49"/>
              <w:spacing w:line="4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包最高限价（元）</w:t>
            </w:r>
          </w:p>
        </w:tc>
      </w:tr>
      <w:tr w14:paraId="7C35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690" w:type="dxa"/>
            <w:vAlign w:val="center"/>
          </w:tcPr>
          <w:p w14:paraId="1CFACA03">
            <w:pPr>
              <w:pStyle w:val="49"/>
              <w:spacing w:line="4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491" w:type="dxa"/>
            <w:vAlign w:val="center"/>
          </w:tcPr>
          <w:p w14:paraId="58DFDDDF">
            <w:pPr>
              <w:pStyle w:val="49"/>
              <w:spacing w:line="4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豫政采(2)20260628-1</w:t>
            </w:r>
          </w:p>
        </w:tc>
        <w:tc>
          <w:tcPr>
            <w:tcW w:w="2875" w:type="dxa"/>
            <w:vAlign w:val="center"/>
          </w:tcPr>
          <w:p w14:paraId="60E0FE34">
            <w:pPr>
              <w:pStyle w:val="49"/>
              <w:spacing w:line="4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河南工业和信息化职业学院4#学生公寓外部维修项目</w:t>
            </w:r>
          </w:p>
        </w:tc>
        <w:tc>
          <w:tcPr>
            <w:tcW w:w="1787" w:type="dxa"/>
            <w:vAlign w:val="center"/>
          </w:tcPr>
          <w:p w14:paraId="2DA13862">
            <w:pPr>
              <w:pStyle w:val="49"/>
              <w:spacing w:line="4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highlight w:val="none"/>
                <w:lang w:val="en-US" w:eastAsia="zh-CN"/>
              </w:rPr>
              <w:t>2361482.67</w:t>
            </w:r>
          </w:p>
        </w:tc>
        <w:tc>
          <w:tcPr>
            <w:tcW w:w="1755" w:type="dxa"/>
            <w:vAlign w:val="center"/>
          </w:tcPr>
          <w:p w14:paraId="64626640">
            <w:pPr>
              <w:pStyle w:val="49"/>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2361482.67</w:t>
            </w:r>
          </w:p>
        </w:tc>
      </w:tr>
    </w:tbl>
    <w:p w14:paraId="5217EAA3">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5、采购需求（包括但不限于标的的名称、数量、简要技术需求或服务要求等）</w:t>
      </w:r>
    </w:p>
    <w:p w14:paraId="7D704477">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hint="eastAsia" w:ascii="宋体" w:hAnsi="宋体" w:eastAsia="宋体" w:cs="宋体"/>
          <w:highlight w:val="none"/>
          <w:lang w:eastAsia="zh-CN"/>
        </w:rPr>
      </w:pPr>
      <w:r>
        <w:rPr>
          <w:rFonts w:hint="eastAsia" w:ascii="宋体" w:hAnsi="宋体" w:eastAsia="宋体" w:cs="宋体"/>
          <w:highlight w:val="none"/>
        </w:rPr>
        <w:t>5.1、建设地点：河南工业和信息化职业学院</w:t>
      </w:r>
    </w:p>
    <w:p w14:paraId="1023730A">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hint="eastAsia" w:ascii="宋体" w:hAnsi="宋体" w:eastAsia="宋体" w:cs="宋体"/>
          <w:highlight w:val="none"/>
          <w:lang w:val="en-US" w:eastAsia="zh-CN"/>
        </w:rPr>
      </w:pPr>
      <w:r>
        <w:rPr>
          <w:rFonts w:hint="eastAsia" w:ascii="宋体" w:hAnsi="宋体" w:eastAsia="宋体" w:cs="宋体"/>
          <w:highlight w:val="none"/>
        </w:rPr>
        <w:t>5.2、</w:t>
      </w:r>
      <w:r>
        <w:rPr>
          <w:rFonts w:hint="eastAsia" w:ascii="宋体" w:hAnsi="宋体" w:eastAsia="宋体" w:cs="宋体"/>
          <w:highlight w:val="none"/>
          <w:lang w:val="en-US" w:eastAsia="zh-CN"/>
        </w:rPr>
        <w:t>项目概况：</w:t>
      </w:r>
      <w:r>
        <w:rPr>
          <w:rFonts w:hint="eastAsia" w:ascii="宋体" w:hAnsi="宋体" w:eastAsia="宋体" w:cs="宋体"/>
          <w:highlight w:val="none"/>
        </w:rPr>
        <w:t>本次项目对学校</w:t>
      </w:r>
      <w:r>
        <w:rPr>
          <w:rFonts w:hint="eastAsia" w:ascii="宋体" w:hAnsi="宋体" w:eastAsia="宋体" w:cs="宋体"/>
          <w:highlight w:val="none"/>
          <w:lang w:eastAsia="zh-CN"/>
        </w:rPr>
        <w:t>4#</w:t>
      </w:r>
      <w:r>
        <w:rPr>
          <w:rFonts w:hint="eastAsia" w:ascii="宋体" w:hAnsi="宋体" w:eastAsia="宋体" w:cs="宋体"/>
          <w:highlight w:val="none"/>
        </w:rPr>
        <w:t>宿舍楼外部进行维护维修，外墙铲除原瓷砖墙体后喷涂真石漆，修复楼体伸缩缝墙面，冷凝水管雨水管更换；阳台栏杆维修加固、翻新；屋顶防水升级改造，花架翻新处理，使用钢化玻璃封闭阳台，阳台内部墙面进行翻新处理</w:t>
      </w:r>
      <w:r>
        <w:rPr>
          <w:rFonts w:hint="eastAsia" w:ascii="宋体" w:hAnsi="宋体" w:eastAsia="宋体" w:cs="宋体"/>
          <w:highlight w:val="none"/>
          <w:lang w:val="en-US" w:eastAsia="zh-CN"/>
        </w:rPr>
        <w:t>等</w:t>
      </w:r>
      <w:r>
        <w:rPr>
          <w:rFonts w:hint="eastAsia" w:ascii="宋体" w:hAnsi="宋体" w:eastAsia="宋体" w:cs="宋体"/>
          <w:highlight w:val="none"/>
        </w:rPr>
        <w:t>。</w:t>
      </w:r>
    </w:p>
    <w:p w14:paraId="164042E1">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5.3、</w:t>
      </w:r>
      <w:r>
        <w:rPr>
          <w:rFonts w:hint="eastAsia" w:ascii="宋体" w:hAnsi="宋体" w:eastAsia="宋体" w:cs="宋体"/>
          <w:highlight w:val="none"/>
        </w:rPr>
        <w:t>计划工期：合同签订后75日历天</w:t>
      </w:r>
    </w:p>
    <w:p w14:paraId="090C1305">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4</w:t>
      </w:r>
      <w:r>
        <w:rPr>
          <w:rFonts w:hint="eastAsia" w:ascii="宋体" w:hAnsi="宋体" w:eastAsia="宋体" w:cs="宋体"/>
          <w:highlight w:val="none"/>
        </w:rPr>
        <w:t>、质量标准：符合国家现行规范和标准，达到合格工程标准</w:t>
      </w:r>
    </w:p>
    <w:p w14:paraId="106E892E">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5</w:t>
      </w:r>
      <w:r>
        <w:rPr>
          <w:rFonts w:hint="eastAsia" w:ascii="宋体" w:hAnsi="宋体" w:eastAsia="宋体" w:cs="宋体"/>
          <w:highlight w:val="none"/>
        </w:rPr>
        <w:t>、资金来源：财政资金</w:t>
      </w:r>
    </w:p>
    <w:p w14:paraId="16AA1AA3">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6</w:t>
      </w:r>
      <w:r>
        <w:rPr>
          <w:rFonts w:hint="eastAsia" w:ascii="宋体" w:hAnsi="宋体" w:eastAsia="宋体" w:cs="宋体"/>
          <w:highlight w:val="none"/>
        </w:rPr>
        <w:t>、磋商范围：本项目</w:t>
      </w:r>
      <w:r>
        <w:rPr>
          <w:rFonts w:hint="eastAsia" w:ascii="宋体" w:hAnsi="宋体" w:eastAsia="宋体" w:cs="宋体"/>
          <w:highlight w:val="none"/>
          <w:lang w:eastAsia="zh-CN"/>
        </w:rPr>
        <w:t>竞争性</w:t>
      </w:r>
      <w:r>
        <w:rPr>
          <w:rFonts w:hint="eastAsia" w:ascii="宋体" w:hAnsi="宋体" w:eastAsia="宋体" w:cs="宋体"/>
          <w:highlight w:val="none"/>
        </w:rPr>
        <w:t>磋商文件、工程量清单、图纸、工程量清单答疑（如有）及补充说明（如有）包含的全部工作内容</w:t>
      </w:r>
    </w:p>
    <w:p w14:paraId="46D820D6">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5.7、质保期：</w:t>
      </w:r>
      <w:r>
        <w:rPr>
          <w:rFonts w:hint="eastAsia" w:ascii="宋体" w:hAnsi="宋体" w:eastAsia="宋体" w:cs="宋体"/>
          <w:szCs w:val="21"/>
          <w:highlight w:val="none"/>
        </w:rPr>
        <w:t>工程验收合格后防水工程五年，其他工程两年</w:t>
      </w:r>
      <w:r>
        <w:rPr>
          <w:rFonts w:hint="eastAsia" w:ascii="宋体" w:hAnsi="宋体" w:eastAsia="宋体" w:cs="宋体"/>
          <w:highlight w:val="none"/>
          <w:lang w:val="en-US" w:eastAsia="zh-CN"/>
        </w:rPr>
        <w:t>。</w:t>
      </w:r>
    </w:p>
    <w:p w14:paraId="4D6E3C0C">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5.8、标包划分：本项目共计一个标包</w:t>
      </w:r>
    </w:p>
    <w:p w14:paraId="30DDB484">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6、合同履行期限：同工期及质保期。</w:t>
      </w:r>
    </w:p>
    <w:p w14:paraId="4670B3C4">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7、本项目是否接受联合体投标：否</w:t>
      </w:r>
    </w:p>
    <w:p w14:paraId="3FE519C0">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8、是否接受进口产品：否</w:t>
      </w:r>
    </w:p>
    <w:p w14:paraId="251B0B92">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rPr>
        <w:t>9、是否专门面向中小企业：</w:t>
      </w:r>
      <w:r>
        <w:rPr>
          <w:rFonts w:hint="eastAsia" w:ascii="宋体" w:hAnsi="宋体" w:eastAsia="宋体" w:cs="宋体"/>
          <w:highlight w:val="none"/>
          <w:lang w:val="en-US" w:eastAsia="zh-CN"/>
        </w:rPr>
        <w:t>否</w:t>
      </w:r>
    </w:p>
    <w:p w14:paraId="126607D5">
      <w:pPr>
        <w:pStyle w:val="49"/>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sz w:val="21"/>
          <w:highlight w:val="none"/>
        </w:rPr>
        <w:t>二</w:t>
      </w:r>
      <w:r>
        <w:rPr>
          <w:rFonts w:hint="eastAsia" w:ascii="宋体" w:hAnsi="宋体" w:eastAsia="宋体" w:cs="宋体"/>
          <w:b/>
          <w:color w:val="auto"/>
          <w:sz w:val="21"/>
          <w:highlight w:val="none"/>
        </w:rPr>
        <w:t>、申请人资格要求</w:t>
      </w:r>
    </w:p>
    <w:p w14:paraId="1815D86C">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469EBD3B">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2、落实政府采购政策满足的资格要求：</w:t>
      </w:r>
      <w:r>
        <w:rPr>
          <w:rFonts w:hint="eastAsia" w:ascii="宋体" w:hAnsi="宋体" w:eastAsia="宋体" w:cs="宋体"/>
          <w:color w:val="auto"/>
          <w:highlight w:val="none"/>
          <w:lang w:val="en-US" w:eastAsia="zh-CN"/>
        </w:rPr>
        <w:t>无。</w:t>
      </w:r>
    </w:p>
    <w:p w14:paraId="58FBD397">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6472C6E7">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3.1、满足《中华人民共和国政府采购法》第二十二条规定</w:t>
      </w:r>
    </w:p>
    <w:p w14:paraId="11C1D5E2">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（1）具有独立承担民事责任的能力（提供营业执照）；</w:t>
      </w:r>
    </w:p>
    <w:p w14:paraId="489849AC">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（2）具有良好的商业信誉和健全的财务会计制度（提供2024年或2025年度经会计师事务所或审计机构审计的财务审计报告，成立不足一年的，须提供近1个月内的基本开户银行出具的资信证明）；</w:t>
      </w:r>
    </w:p>
    <w:p w14:paraId="36D53225">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（3）具有履行合同所必需的设备和专业技术能力（提供承诺函，格式自拟）；</w:t>
      </w:r>
    </w:p>
    <w:p w14:paraId="028E7623">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（4）有依法缴纳税收和社会保障资金的良好记录（提供2025年10月1日以来连续3个月依法缴纳税收和社会保障资金的证明材料，依法免税或不需要缴纳税收、不需要缴纳社会保障资金的，须出具有效证明文件）；</w:t>
      </w:r>
    </w:p>
    <w:p w14:paraId="003F5D58">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（5）参加政府采购活动前三年内，在经营活动中没有重大违法记录（提供承诺函，格式自拟）；</w:t>
      </w:r>
    </w:p>
    <w:p w14:paraId="06B1EB1B">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（6）法律、行政法规规定的其他条件（提供承诺函，格式自拟）；</w:t>
      </w:r>
    </w:p>
    <w:p w14:paraId="25343E55">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3.2、供应商须具有建设行政主管部门颁发的建筑装修装饰工程专业承包二级及以上资质，并具有有效的安全生产许可证；</w:t>
      </w:r>
    </w:p>
    <w:p w14:paraId="697C8049">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供应商拟派项目经理须具有建设行政主管部门颁发的建筑工程专业二级及以上注册建造师执业证书（不含临时，一级注册建造师须提供电子注册证书）同时具备有效的安全生产考核证（B证），且为本企业正式员工，未担任其他在建工程项目的项目经理，提供劳动合同及2026年1月以来任意1个月在本单位缴纳的养老保险证明（以当地社保部门出具的查询明细表加盖社保部门印章或网络查询页为准，养老保险证明须是单位整体缴纳清单或个人缴费明细表）；</w:t>
      </w:r>
    </w:p>
    <w:p w14:paraId="188BBA53">
      <w:pPr>
        <w:keepNext w:val="0"/>
        <w:keepLines w:val="0"/>
        <w:pageBreakBefore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特别提示：</w:t>
      </w:r>
      <w:r>
        <w:rPr>
          <w:rFonts w:hint="eastAsia" w:ascii="宋体" w:hAnsi="宋体" w:eastAsia="宋体" w:cs="宋体"/>
          <w:b w:val="0"/>
          <w:bCs w:val="0"/>
          <w:color w:val="auto"/>
          <w:highlight w:val="none"/>
          <w:lang w:val="en-US" w:eastAsia="zh-CN"/>
        </w:rPr>
        <w:t>本项目实行项目经理和项目部主要管理人员实名制，建设工期内项目经理和项目部主要管理人员必须保证在本工程开展工作，原则上不允许变更，如有特殊原因确需变更的，请遵照《河南省规范项目经理和项目总监任职行为的若干规定（试行）》和合同相关内容执行。</w:t>
      </w:r>
    </w:p>
    <w:p w14:paraId="7BC915CE">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4</w:t>
      </w:r>
      <w:r>
        <w:rPr>
          <w:rFonts w:hint="eastAsia" w:ascii="宋体" w:hAnsi="宋体" w:eastAsia="宋体" w:cs="宋体"/>
          <w:highlight w:val="none"/>
        </w:rPr>
        <w:t>、信誉要求：</w:t>
      </w:r>
    </w:p>
    <w:p w14:paraId="1DA29791">
      <w:pPr>
        <w:keepNext w:val="0"/>
        <w:keepLines w:val="0"/>
        <w:pageBreakBefore w:val="0"/>
        <w:kinsoku/>
        <w:wordWrap/>
        <w:overflowPunct/>
        <w:topLinePunct w:val="0"/>
        <w:autoSpaceDE/>
        <w:autoSpaceDN/>
        <w:bidi w:val="0"/>
        <w:adjustRightInd/>
        <w:snapToGrid/>
        <w:spacing w:line="500" w:lineRule="exact"/>
        <w:ind w:firstLine="405"/>
        <w:jc w:val="lef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供应商</w:t>
      </w:r>
      <w:r>
        <w:rPr>
          <w:rFonts w:hint="eastAsia" w:ascii="宋体" w:hAnsi="宋体" w:eastAsia="宋体" w:cs="宋体"/>
          <w:highlight w:val="none"/>
        </w:rPr>
        <w:t>没有处于被责令停业、财产被接管、冻结、破产状态；没有被暂停或取消投标资格或在最近三年内没有骗取中标或严重违约或重大工程质量问题</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提供承诺函，格式自拟</w:t>
      </w:r>
      <w:r>
        <w:rPr>
          <w:rFonts w:hint="eastAsia" w:ascii="宋体" w:hAnsi="宋体" w:eastAsia="宋体" w:cs="宋体"/>
          <w:highlight w:val="none"/>
          <w:lang w:eastAsia="zh-CN"/>
        </w:rPr>
        <w:t>）；</w:t>
      </w:r>
    </w:p>
    <w:p w14:paraId="23EC33DF">
      <w:pPr>
        <w:keepNext w:val="0"/>
        <w:keepLines w:val="0"/>
        <w:pageBreakBefore w:val="0"/>
        <w:kinsoku/>
        <w:wordWrap/>
        <w:overflowPunct/>
        <w:topLinePunct w:val="0"/>
        <w:autoSpaceDE/>
        <w:autoSpaceDN/>
        <w:bidi w:val="0"/>
        <w:adjustRightInd/>
        <w:snapToGrid/>
        <w:spacing w:line="500" w:lineRule="exact"/>
        <w:ind w:firstLine="405"/>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单位负责人为同一人或者存在直接控股、管理关系的不同供应商，不得参加同一合同项下的政府采购活动【提供“国家企业信用信息公示系统”中查询打印的相关材料（需包含公司基础信息、股东及出资信息)】；</w:t>
      </w:r>
    </w:p>
    <w:p w14:paraId="70A65301">
      <w:pPr>
        <w:keepNext w:val="0"/>
        <w:keepLines w:val="0"/>
        <w:pageBreakBefore w:val="0"/>
        <w:kinsoku/>
        <w:wordWrap/>
        <w:overflowPunct/>
        <w:topLinePunct w:val="0"/>
        <w:autoSpaceDE/>
        <w:autoSpaceDN/>
        <w:bidi w:val="0"/>
        <w:adjustRightInd/>
        <w:snapToGrid/>
        <w:spacing w:line="500" w:lineRule="exact"/>
        <w:ind w:firstLine="405"/>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）供应商根据财政部《关于在政府采购活动中查询及使用信用记录有关问题的通知》（财库〔2016〕125号）规定</w:t>
      </w:r>
      <w:r>
        <w:rPr>
          <w:rFonts w:hint="eastAsia" w:ascii="宋体" w:hAnsi="宋体" w:eastAsia="宋体" w:cs="宋体"/>
          <w:highlight w:val="none"/>
          <w:lang w:val="en-US" w:eastAsia="zh-CN"/>
        </w:rPr>
        <w:t>和豫财购【2016】15号的规定</w:t>
      </w:r>
      <w:r>
        <w:rPr>
          <w:rFonts w:hint="eastAsia" w:ascii="宋体" w:hAnsi="宋体" w:eastAsia="宋体" w:cs="宋体"/>
          <w:highlight w:val="none"/>
        </w:rPr>
        <w:t>，列入“中国执行信息公开网”网站的“失信被执行人”、“信用中国”网站的“重大税收违法失信主体”、“中国政府采购网”网站的“政府采购严重违法失信行为记录名单”及其他不符合《中华人民共和国政府采购法》第二十二条规定条件的供应商，将拒绝参与本次政府采购活动（信用信息查询的时间期限为竞争性磋商公告发布之后，查询结果打印件应显示查询（打印）时间，此网页截图仅为评审时参考依据，具体以评审结束前采购人或采购代理机构查询为准）。</w:t>
      </w:r>
    </w:p>
    <w:p w14:paraId="7E46A533">
      <w:pPr>
        <w:keepNext w:val="0"/>
        <w:keepLines w:val="0"/>
        <w:pageBreakBefore w:val="0"/>
        <w:kinsoku/>
        <w:wordWrap/>
        <w:overflowPunct/>
        <w:topLinePunct w:val="0"/>
        <w:autoSpaceDE/>
        <w:autoSpaceDN/>
        <w:bidi w:val="0"/>
        <w:adjustRightInd/>
        <w:snapToGrid/>
        <w:spacing w:line="500" w:lineRule="exact"/>
        <w:ind w:firstLine="405"/>
        <w:jc w:val="left"/>
        <w:textAlignment w:val="auto"/>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rPr>
        <w:t>供应商在中国裁判文书网</w:t>
      </w:r>
      <w:r>
        <w:rPr>
          <w:rFonts w:hint="eastAsia" w:ascii="宋体" w:hAnsi="宋体" w:eastAsia="宋体" w:cs="宋体"/>
          <w:highlight w:val="none"/>
          <w:lang w:eastAsia="zh-CN"/>
        </w:rPr>
        <w:t>（</w:t>
      </w:r>
      <w:r>
        <w:rPr>
          <w:rFonts w:hint="eastAsia" w:ascii="宋体" w:hAnsi="宋体" w:eastAsia="宋体" w:cs="宋体"/>
          <w:highlight w:val="none"/>
        </w:rPr>
        <w:t>https://wenshu.court.gov.cn/</w:t>
      </w:r>
      <w:r>
        <w:rPr>
          <w:rFonts w:hint="eastAsia" w:ascii="宋体" w:hAnsi="宋体" w:eastAsia="宋体" w:cs="宋体"/>
          <w:highlight w:val="none"/>
          <w:lang w:eastAsia="zh-CN"/>
        </w:rPr>
        <w:t>）</w:t>
      </w:r>
      <w:r>
        <w:rPr>
          <w:rFonts w:hint="eastAsia" w:ascii="宋体" w:hAnsi="宋体" w:eastAsia="宋体" w:cs="宋体"/>
          <w:highlight w:val="none"/>
        </w:rPr>
        <w:t>进行查询（包括单位行贿</w:t>
      </w:r>
      <w:r>
        <w:rPr>
          <w:rFonts w:hint="eastAsia" w:ascii="宋体" w:hAnsi="宋体" w:eastAsia="宋体" w:cs="宋体"/>
          <w:highlight w:val="none"/>
          <w:lang w:eastAsia="zh-CN"/>
        </w:rPr>
        <w:t>罪</w:t>
      </w:r>
      <w:r>
        <w:rPr>
          <w:rFonts w:hint="eastAsia" w:ascii="宋体" w:hAnsi="宋体" w:eastAsia="宋体" w:cs="宋体"/>
          <w:highlight w:val="none"/>
        </w:rPr>
        <w:t>查询、法定代表人行贿罪查询、拟委派的项目</w:t>
      </w:r>
      <w:r>
        <w:rPr>
          <w:rFonts w:hint="eastAsia" w:ascii="宋体" w:hAnsi="宋体" w:eastAsia="宋体" w:cs="宋体"/>
          <w:highlight w:val="none"/>
          <w:lang w:eastAsia="zh-CN"/>
        </w:rPr>
        <w:t>经理行贿罪</w:t>
      </w:r>
      <w:r>
        <w:rPr>
          <w:rFonts w:hint="eastAsia" w:ascii="宋体" w:hAnsi="宋体" w:eastAsia="宋体" w:cs="宋体"/>
          <w:highlight w:val="none"/>
        </w:rPr>
        <w:t>查询），并提供相关网页截图（查询的时间期限为竞争性磋商公告发布之后，查询结果打印件应显示查询（打印）时间）。经查询结果有行贿犯罪的单位、法定代表人、拟委派的项目</w:t>
      </w:r>
      <w:r>
        <w:rPr>
          <w:rFonts w:hint="eastAsia" w:ascii="宋体" w:hAnsi="宋体" w:eastAsia="宋体" w:cs="宋体"/>
          <w:highlight w:val="none"/>
          <w:lang w:eastAsia="zh-CN"/>
        </w:rPr>
        <w:t>经理</w:t>
      </w:r>
      <w:r>
        <w:rPr>
          <w:rFonts w:hint="eastAsia" w:ascii="宋体" w:hAnsi="宋体" w:eastAsia="宋体" w:cs="宋体"/>
          <w:highlight w:val="none"/>
        </w:rPr>
        <w:t>将被取消投标资格。</w:t>
      </w:r>
    </w:p>
    <w:p w14:paraId="070593ED">
      <w:pPr>
        <w:keepNext w:val="0"/>
        <w:keepLines w:val="0"/>
        <w:pageBreakBefore w:val="0"/>
        <w:kinsoku/>
        <w:wordWrap/>
        <w:overflowPunct/>
        <w:topLinePunct w:val="0"/>
        <w:autoSpaceDE/>
        <w:autoSpaceDN/>
        <w:bidi w:val="0"/>
        <w:adjustRightInd/>
        <w:snapToGrid/>
        <w:spacing w:line="500" w:lineRule="exact"/>
        <w:ind w:firstLine="405"/>
        <w:jc w:val="lef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bidi="ar-SA"/>
        </w:rPr>
        <w:t>（5）根据《住房城乡建设部关于进一步加强建设工程企业资质审批管理工作的通知》（建市规〔2023〕3号）和《河南省住房和城乡建设厅关于进一步规范建设工程企业资质管理的通知》豫建行规〔2024〕7号文件规定，河南省企业被全国和河南省建筑市场监管公共服务平台标注为资质异常的，不能使用标注异常资质承揽本工程，响应文件中需提供全国和河南省建筑市场监管公共服务平台查询截图；外省企业被全国建筑市场监管公共服务平台标注为资质异常的，不能使用标注异常资质承揽本工程，至少提供全国建筑市场监管公共服务平台查询截图。</w:t>
      </w:r>
    </w:p>
    <w:p w14:paraId="017338AE">
      <w:pPr>
        <w:pStyle w:val="49"/>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sz w:val="21"/>
          <w:highlight w:val="none"/>
        </w:rPr>
      </w:pPr>
      <w:r>
        <w:rPr>
          <w:rFonts w:hint="eastAsia" w:ascii="宋体" w:hAnsi="宋体" w:eastAsia="宋体" w:cs="宋体"/>
          <w:b/>
          <w:sz w:val="21"/>
          <w:highlight w:val="none"/>
        </w:rPr>
        <w:t>三、获取采购文件</w:t>
      </w:r>
    </w:p>
    <w:p w14:paraId="6A6E8697">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1、时间：202</w:t>
      </w:r>
      <w:r>
        <w:rPr>
          <w:rFonts w:hint="eastAsia" w:ascii="宋体" w:hAnsi="宋体" w:eastAsia="宋体" w:cs="宋体"/>
          <w:highlight w:val="none"/>
          <w:lang w:val="en-US" w:eastAsia="zh-CN"/>
        </w:rPr>
        <w:t>6</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05</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22</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日至202</w:t>
      </w:r>
      <w:r>
        <w:rPr>
          <w:rFonts w:hint="eastAsia" w:ascii="宋体" w:hAnsi="宋体" w:eastAsia="宋体" w:cs="宋体"/>
          <w:highlight w:val="none"/>
          <w:lang w:val="en-US" w:eastAsia="zh-CN"/>
        </w:rPr>
        <w:t>6</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05</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28</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日，每天上午00:00至12:00，下午12:00至23:59（北京时间，法定节假日除外）。</w:t>
      </w:r>
    </w:p>
    <w:p w14:paraId="0C39FF13">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2、地点：河南省公共资源交易中心（</w:t>
      </w:r>
      <w:r>
        <w:rPr>
          <w:rFonts w:hint="eastAsia" w:ascii="宋体" w:hAnsi="宋体" w:eastAsia="宋体" w:cs="宋体"/>
          <w:highlight w:val="none"/>
          <w:lang w:eastAsia="zh-CN"/>
        </w:rPr>
        <w:t>http://hnsggzyjy.henan.gov.cn/</w:t>
      </w:r>
      <w:r>
        <w:rPr>
          <w:rFonts w:hint="eastAsia" w:ascii="宋体" w:hAnsi="宋体" w:eastAsia="宋体" w:cs="宋体"/>
          <w:highlight w:val="none"/>
        </w:rPr>
        <w:t>）。</w:t>
      </w:r>
    </w:p>
    <w:p w14:paraId="0257625D">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3、方式：登录“河南省公共资源交易中心（</w:t>
      </w:r>
      <w:r>
        <w:rPr>
          <w:rFonts w:hint="eastAsia" w:ascii="宋体" w:hAnsi="宋体" w:eastAsia="宋体" w:cs="宋体"/>
          <w:highlight w:val="none"/>
          <w:lang w:eastAsia="zh-CN"/>
        </w:rPr>
        <w:t>http://hnsggzyjy.henan.gov.cn/</w:t>
      </w:r>
      <w:r>
        <w:rPr>
          <w:rFonts w:hint="eastAsia" w:ascii="宋体" w:hAnsi="宋体" w:eastAsia="宋体" w:cs="宋体"/>
          <w:highlight w:val="none"/>
        </w:rPr>
        <w:t>）”，凭企业身份认证锁（CA密钥）进行网上获取。市场主体需要完成信息登记及CA数字证书办理，才能通过省公共资源交易平台参与交易活动，具体办理事宜请查阅河南省公共资源交易中心网站“</w:t>
      </w:r>
      <w:r>
        <w:rPr>
          <w:rFonts w:hint="eastAsia" w:ascii="宋体" w:hAnsi="宋体" w:eastAsia="宋体" w:cs="宋体"/>
          <w:highlight w:val="none"/>
          <w:lang w:val="en-US" w:eastAsia="zh-CN"/>
        </w:rPr>
        <w:t>公共服务--</w:t>
      </w:r>
      <w:r>
        <w:rPr>
          <w:rFonts w:hint="eastAsia" w:ascii="宋体" w:hAnsi="宋体" w:eastAsia="宋体" w:cs="宋体"/>
          <w:highlight w:val="none"/>
        </w:rPr>
        <w:t>办事指南”专区的《河南省公共资源交易平台市场主体信息库登记指南（工程建设、政府采购）》，竞争性磋商文件以《河南省公共资源交易中心网》的电子竞争性磋商文件为准，采购人不再提供纸质竞争性磋商文件。供应商未按规定在网上下载竞争性磋商文件的，其</w:t>
      </w:r>
      <w:r>
        <w:rPr>
          <w:rFonts w:hint="eastAsia" w:ascii="宋体" w:hAnsi="宋体" w:eastAsia="宋体" w:cs="宋体"/>
          <w:highlight w:val="none"/>
          <w:lang w:val="en-US" w:eastAsia="zh-CN"/>
        </w:rPr>
        <w:t>磋商</w:t>
      </w:r>
      <w:r>
        <w:rPr>
          <w:rFonts w:hint="eastAsia" w:ascii="宋体" w:hAnsi="宋体" w:eastAsia="宋体" w:cs="宋体"/>
          <w:highlight w:val="none"/>
        </w:rPr>
        <w:t>将被拒绝。</w:t>
      </w:r>
    </w:p>
    <w:p w14:paraId="4A02DEF6">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4、售价：0元。</w:t>
      </w:r>
    </w:p>
    <w:p w14:paraId="48EB18E2">
      <w:pPr>
        <w:pStyle w:val="49"/>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sz w:val="21"/>
          <w:highlight w:val="none"/>
        </w:rPr>
      </w:pPr>
      <w:r>
        <w:rPr>
          <w:rFonts w:hint="eastAsia" w:ascii="宋体" w:hAnsi="宋体" w:eastAsia="宋体" w:cs="宋体"/>
          <w:b/>
          <w:sz w:val="21"/>
          <w:highlight w:val="none"/>
        </w:rPr>
        <w:t>四、响应文件提交</w:t>
      </w:r>
    </w:p>
    <w:p w14:paraId="0A5353AC">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截止时间</w:t>
      </w:r>
      <w:r>
        <w:rPr>
          <w:rFonts w:hint="eastAsia" w:ascii="宋体" w:hAnsi="宋体" w:eastAsia="宋体" w:cs="宋体"/>
          <w:highlight w:val="none"/>
        </w:rPr>
        <w:t>：202</w:t>
      </w:r>
      <w:r>
        <w:rPr>
          <w:rFonts w:hint="eastAsia" w:ascii="宋体" w:hAnsi="宋体" w:eastAsia="宋体" w:cs="宋体"/>
          <w:highlight w:val="none"/>
          <w:lang w:val="en-US" w:eastAsia="zh-CN"/>
        </w:rPr>
        <w:t>6</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06</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02</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日09时00分（北京时间）；</w:t>
      </w:r>
    </w:p>
    <w:p w14:paraId="498D1303">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2、地点：河南省公共资源交易中心（</w:t>
      </w:r>
      <w:r>
        <w:rPr>
          <w:rFonts w:hint="eastAsia" w:ascii="宋体" w:hAnsi="宋体" w:eastAsia="宋体" w:cs="宋体"/>
          <w:highlight w:val="none"/>
          <w:lang w:eastAsia="zh-CN"/>
        </w:rPr>
        <w:t>http://hnsggzyjy.henan.gov.cn/</w:t>
      </w:r>
      <w:r>
        <w:rPr>
          <w:rFonts w:hint="eastAsia" w:ascii="宋体" w:hAnsi="宋体" w:eastAsia="宋体" w:cs="宋体"/>
          <w:highlight w:val="none"/>
        </w:rPr>
        <w:t>）电子交易平台。</w:t>
      </w:r>
    </w:p>
    <w:p w14:paraId="3943AAA4">
      <w:pPr>
        <w:pStyle w:val="49"/>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sz w:val="21"/>
          <w:highlight w:val="none"/>
        </w:rPr>
      </w:pPr>
      <w:r>
        <w:rPr>
          <w:rFonts w:hint="eastAsia" w:ascii="宋体" w:hAnsi="宋体" w:eastAsia="宋体" w:cs="宋体"/>
          <w:b/>
          <w:sz w:val="21"/>
          <w:highlight w:val="none"/>
        </w:rPr>
        <w:t>五、响应文件开启</w:t>
      </w:r>
    </w:p>
    <w:p w14:paraId="68EED00A">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1、时间：202</w:t>
      </w:r>
      <w:r>
        <w:rPr>
          <w:rFonts w:hint="eastAsia" w:ascii="宋体" w:hAnsi="宋体" w:eastAsia="宋体" w:cs="宋体"/>
          <w:highlight w:val="none"/>
          <w:lang w:val="en-US" w:eastAsia="zh-CN"/>
        </w:rPr>
        <w:t>6</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06</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02</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日09时00分（北京时间）；</w:t>
      </w:r>
    </w:p>
    <w:p w14:paraId="7EEF6CF8">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2、地点：河南省公共资源交易中心（</w:t>
      </w:r>
      <w:r>
        <w:rPr>
          <w:rFonts w:hint="eastAsia" w:ascii="宋体" w:hAnsi="宋体" w:eastAsia="宋体" w:cs="宋体"/>
          <w:highlight w:val="none"/>
          <w:lang w:eastAsia="zh-CN"/>
        </w:rPr>
        <w:t>http://hnsggzyjy.henan.gov.cn/</w:t>
      </w:r>
      <w:r>
        <w:rPr>
          <w:rFonts w:hint="eastAsia" w:ascii="宋体" w:hAnsi="宋体" w:eastAsia="宋体" w:cs="宋体"/>
          <w:highlight w:val="none"/>
        </w:rPr>
        <w:t>）电子交易平台</w:t>
      </w:r>
      <w:r>
        <w:rPr>
          <w:rFonts w:hint="eastAsia" w:ascii="宋体" w:hAnsi="宋体" w:eastAsia="宋体" w:cs="宋体"/>
          <w:highlight w:val="none"/>
          <w:lang w:eastAsia="zh-CN"/>
        </w:rPr>
        <w:t>，远程开标室(七)-6</w:t>
      </w:r>
      <w:r>
        <w:rPr>
          <w:rFonts w:hint="eastAsia" w:ascii="宋体" w:hAnsi="宋体" w:eastAsia="宋体" w:cs="宋体"/>
          <w:highlight w:val="none"/>
        </w:rPr>
        <w:t>。</w:t>
      </w:r>
    </w:p>
    <w:p w14:paraId="1C7C8BF3">
      <w:pPr>
        <w:pStyle w:val="49"/>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sz w:val="21"/>
          <w:highlight w:val="none"/>
        </w:rPr>
      </w:pPr>
      <w:r>
        <w:rPr>
          <w:rFonts w:hint="eastAsia" w:ascii="宋体" w:hAnsi="宋体" w:eastAsia="宋体" w:cs="宋体"/>
          <w:b/>
          <w:sz w:val="21"/>
          <w:highlight w:val="none"/>
        </w:rPr>
        <w:t>六、发布公告的媒介及招标公告期限</w:t>
      </w:r>
    </w:p>
    <w:p w14:paraId="05C50478">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本次</w:t>
      </w:r>
      <w:r>
        <w:rPr>
          <w:rFonts w:hint="eastAsia" w:ascii="宋体" w:hAnsi="宋体" w:eastAsia="宋体" w:cs="宋体"/>
          <w:highlight w:val="none"/>
          <w:lang w:val="en-US" w:eastAsia="zh-CN"/>
        </w:rPr>
        <w:t>招标</w:t>
      </w:r>
      <w:r>
        <w:rPr>
          <w:rFonts w:hint="eastAsia" w:ascii="宋体" w:hAnsi="宋体" w:eastAsia="宋体" w:cs="宋体"/>
          <w:highlight w:val="none"/>
        </w:rPr>
        <w:t>公告在《河南省政府采购网》、《河南省公共资源交易中心》、《中国招标投标公共服务平台》上发布，</w:t>
      </w:r>
      <w:r>
        <w:rPr>
          <w:rFonts w:hint="eastAsia" w:ascii="宋体" w:hAnsi="宋体" w:eastAsia="宋体" w:cs="宋体"/>
          <w:highlight w:val="none"/>
          <w:lang w:val="en-US" w:eastAsia="zh-CN"/>
        </w:rPr>
        <w:t>招标</w:t>
      </w:r>
      <w:r>
        <w:rPr>
          <w:rFonts w:hint="eastAsia" w:ascii="宋体" w:hAnsi="宋体" w:eastAsia="宋体" w:cs="宋体"/>
          <w:highlight w:val="none"/>
        </w:rPr>
        <w:t>公告期限为三个工作日。</w:t>
      </w:r>
    </w:p>
    <w:p w14:paraId="3D0915D6">
      <w:pPr>
        <w:pStyle w:val="49"/>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sz w:val="21"/>
          <w:highlight w:val="none"/>
        </w:rPr>
      </w:pPr>
      <w:r>
        <w:rPr>
          <w:rFonts w:hint="eastAsia" w:ascii="宋体" w:hAnsi="宋体" w:eastAsia="宋体" w:cs="宋体"/>
          <w:b/>
          <w:sz w:val="21"/>
          <w:highlight w:val="none"/>
        </w:rPr>
        <w:t>七、其他补充事宜</w:t>
      </w:r>
    </w:p>
    <w:p w14:paraId="736AA5C6">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1、本项目采用“远程不见面”开标方式，远程开标大厅网址为（</w:t>
      </w:r>
      <w:r>
        <w:rPr>
          <w:rFonts w:hint="eastAsia" w:ascii="宋体" w:hAnsi="宋体" w:eastAsia="宋体" w:cs="宋体"/>
          <w:highlight w:val="none"/>
          <w:lang w:eastAsia="zh-CN"/>
        </w:rPr>
        <w:t>http://hnsggzyjy.henan.gov.cn/BidOpening/bidopeninghallaction/hall/login</w:t>
      </w:r>
      <w:r>
        <w:rPr>
          <w:rFonts w:hint="eastAsia" w:ascii="宋体" w:hAnsi="宋体" w:eastAsia="宋体" w:cs="宋体"/>
          <w:highlight w:val="none"/>
        </w:rPr>
        <w:t>），</w:t>
      </w:r>
      <w:r>
        <w:rPr>
          <w:rFonts w:hint="eastAsia" w:ascii="宋体" w:hAnsi="宋体" w:eastAsia="宋体" w:cs="宋体"/>
          <w:highlight w:val="none"/>
          <w:lang w:val="en-US" w:eastAsia="zh-CN"/>
        </w:rPr>
        <w:t>供应商</w:t>
      </w:r>
      <w:r>
        <w:rPr>
          <w:rFonts w:hint="eastAsia" w:ascii="宋体" w:hAnsi="宋体" w:eastAsia="宋体" w:cs="宋体"/>
          <w:highlight w:val="none"/>
        </w:rPr>
        <w:t>无需到河南省公共资源交易中心现场参加开标会议，无需到达现场提交原件资料。</w:t>
      </w:r>
      <w:r>
        <w:rPr>
          <w:rFonts w:hint="eastAsia" w:ascii="宋体" w:hAnsi="宋体" w:eastAsia="宋体" w:cs="宋体"/>
          <w:highlight w:val="none"/>
          <w:lang w:val="en-US" w:eastAsia="zh-CN"/>
        </w:rPr>
        <w:t>供应商</w:t>
      </w:r>
      <w:r>
        <w:rPr>
          <w:rFonts w:hint="eastAsia" w:ascii="宋体" w:hAnsi="宋体" w:eastAsia="宋体" w:cs="宋体"/>
          <w:highlight w:val="none"/>
        </w:rPr>
        <w:t>应当在投标截止时间前，登录远程开标大厅，在线准时参加开标活动并进行响应文件解密、澄清、二次报价等；不见面服务的具体事宜请查阅河南省公共资源交易中心网站“</w:t>
      </w:r>
      <w:r>
        <w:rPr>
          <w:rFonts w:hint="eastAsia" w:ascii="宋体" w:hAnsi="宋体" w:eastAsia="宋体" w:cs="宋体"/>
          <w:highlight w:val="none"/>
          <w:lang w:val="en-US" w:eastAsia="zh-CN"/>
        </w:rPr>
        <w:t>公共服务--</w:t>
      </w:r>
      <w:r>
        <w:rPr>
          <w:rFonts w:hint="eastAsia" w:ascii="宋体" w:hAnsi="宋体" w:eastAsia="宋体" w:cs="宋体"/>
          <w:highlight w:val="none"/>
        </w:rPr>
        <w:t>办事指南”专区的《新交易平台使用手册（培训资料）》。</w:t>
      </w:r>
    </w:p>
    <w:p w14:paraId="402CE9C3">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2、本项目执行促进中小型企业发展政策（监狱企业、残疾人福利性企业视同小微企业），优先采购节能环保产品，政府强制采购节能产品</w:t>
      </w:r>
      <w:r>
        <w:rPr>
          <w:rFonts w:hint="eastAsia" w:ascii="宋体" w:hAnsi="宋体" w:eastAsia="宋体" w:cs="宋体"/>
          <w:highlight w:val="none"/>
          <w:lang w:eastAsia="zh-CN"/>
        </w:rPr>
        <w:t>、</w:t>
      </w:r>
      <w:r>
        <w:rPr>
          <w:rFonts w:hint="eastAsia" w:ascii="宋体" w:hAnsi="宋体" w:eastAsia="宋体" w:cs="宋体"/>
          <w:color w:val="auto"/>
          <w:kern w:val="0"/>
          <w:sz w:val="21"/>
          <w:szCs w:val="21"/>
          <w:highlight w:val="none"/>
          <w:lang w:val="en-US" w:eastAsia="zh-CN"/>
        </w:rPr>
        <w:t>自主创新首购产品</w:t>
      </w:r>
      <w:r>
        <w:rPr>
          <w:rFonts w:hint="eastAsia" w:ascii="宋体" w:hAnsi="宋体" w:eastAsia="宋体" w:cs="宋体"/>
          <w:highlight w:val="none"/>
        </w:rPr>
        <w:t>等。</w:t>
      </w:r>
    </w:p>
    <w:p w14:paraId="5DE3551F">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本项目采购标的对应的中小企业划分标准所属行业：建筑业，中小微企业划分按照《国家统计局关于印发&lt;统计上大中小微型企业划分办法（2017）&gt;的通知》（国统字〔2017〕213号）及《工业和信息化部、国家统计局、国家发展和改革委员会、财政部关于印发&lt;中小企业划型标准规定&gt;的通知》（工信部联企业〔2011〕300号）规定的划分标准为依据（符合中小企业划分标准的个体工商户，在政府采购活动中视同中小企业）；</w:t>
      </w:r>
    </w:p>
    <w:p w14:paraId="042250D3">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4、代理费收费标准：参照豫招协[2023]002号文件标准计取，采购代理服务费由成交人向采购代理机构支付。</w:t>
      </w:r>
    </w:p>
    <w:p w14:paraId="0AA61F24">
      <w:pPr>
        <w:pStyle w:val="49"/>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sz w:val="21"/>
          <w:highlight w:val="none"/>
        </w:rPr>
      </w:pPr>
      <w:r>
        <w:rPr>
          <w:rFonts w:hint="eastAsia" w:ascii="宋体" w:hAnsi="宋体" w:eastAsia="宋体" w:cs="宋体"/>
          <w:b/>
          <w:sz w:val="21"/>
          <w:highlight w:val="none"/>
        </w:rPr>
        <w:t>八、凡对本次招标提出询问，请按照以下方式联系</w:t>
      </w:r>
    </w:p>
    <w:p w14:paraId="5EE9C2D7">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1.采购人信息</w:t>
      </w:r>
    </w:p>
    <w:p w14:paraId="69B11AAE">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名称：河南工业和信息化职业学院</w:t>
      </w:r>
    </w:p>
    <w:p w14:paraId="07DF08EB">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地址：河南省焦作市新区碧莲路 801 号</w:t>
      </w:r>
    </w:p>
    <w:p w14:paraId="52C59E1A">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联系人：王老师</w:t>
      </w:r>
    </w:p>
    <w:p w14:paraId="5AA0A677">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联系方式：0391-8767632</w:t>
      </w:r>
    </w:p>
    <w:p w14:paraId="69979485">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2.采购代理机构信息</w:t>
      </w:r>
    </w:p>
    <w:p w14:paraId="27784FDF">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名称：河南英华咨询有限公司</w:t>
      </w:r>
    </w:p>
    <w:p w14:paraId="4B5A8280">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地址：郑州市电厂路河南省国家大学科技园（东区）16号楼C座21层</w:t>
      </w:r>
    </w:p>
    <w:p w14:paraId="2C8AA269">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联系人：张女士</w:t>
      </w:r>
    </w:p>
    <w:p w14:paraId="009BA1C3">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联系方式：18503820531</w:t>
      </w:r>
    </w:p>
    <w:p w14:paraId="7C3DD5A3">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3.项目联系方式</w:t>
      </w:r>
    </w:p>
    <w:p w14:paraId="43E22B79">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联系人：张女士</w:t>
      </w:r>
    </w:p>
    <w:p w14:paraId="65884529">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highlight w:val="none"/>
        </w:rPr>
      </w:pPr>
      <w:r>
        <w:rPr>
          <w:rFonts w:hint="eastAsia" w:ascii="宋体" w:hAnsi="宋体" w:eastAsia="宋体" w:cs="宋体"/>
          <w:highlight w:val="none"/>
        </w:rPr>
        <w:t>联系方式：18503820531</w:t>
      </w:r>
    </w:p>
    <w:p w14:paraId="51643BE7">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sz w:val="21"/>
          <w:szCs w:val="21"/>
          <w:highlight w:val="none"/>
        </w:rPr>
      </w:pPr>
    </w:p>
    <w:p w14:paraId="0D646A17">
      <w:pPr>
        <w:keepNext w:val="0"/>
        <w:keepLines w:val="0"/>
        <w:pageBreakBefore w:val="0"/>
        <w:widowControl w:val="0"/>
        <w:kinsoku/>
        <w:wordWrap/>
        <w:overflowPunct/>
        <w:topLinePunct w:val="0"/>
        <w:autoSpaceDE/>
        <w:autoSpaceDN/>
        <w:bidi w:val="0"/>
        <w:adjustRightInd/>
        <w:snapToGrid/>
        <w:spacing w:line="500" w:lineRule="exact"/>
        <w:ind w:leftChars="2200" w:firstLine="420"/>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发布人：</w:t>
      </w:r>
      <w:r>
        <w:rPr>
          <w:rFonts w:hint="eastAsia" w:ascii="宋体" w:hAnsi="宋体" w:eastAsia="宋体" w:cs="宋体"/>
          <w:highlight w:val="none"/>
        </w:rPr>
        <w:t>河南英华咨询有限公司</w:t>
      </w:r>
    </w:p>
    <w:p w14:paraId="7E64CE86">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b w:val="0"/>
          <w:bCs w:val="0"/>
          <w:kern w:val="2"/>
          <w:sz w:val="21"/>
          <w:szCs w:val="21"/>
          <w:highlight w:val="none"/>
          <w:lang w:val="en-US" w:eastAsia="zh-CN" w:bidi="ar-SA"/>
        </w:rPr>
        <w:t xml:space="preserve">                                            日  期： 2026年 </w:t>
      </w:r>
      <w:r>
        <w:rPr>
          <w:rFonts w:hint="eastAsia" w:ascii="宋体" w:hAnsi="宋体" w:cs="宋体"/>
          <w:b w:val="0"/>
          <w:bCs w:val="0"/>
          <w:kern w:val="2"/>
          <w:sz w:val="21"/>
          <w:szCs w:val="21"/>
          <w:highlight w:val="none"/>
          <w:lang w:val="en-US" w:eastAsia="zh-CN" w:bidi="ar-SA"/>
        </w:rPr>
        <w:t>5</w:t>
      </w:r>
      <w:r>
        <w:rPr>
          <w:rFonts w:hint="eastAsia" w:ascii="宋体" w:hAnsi="宋体" w:eastAsia="宋体" w:cs="宋体"/>
          <w:b w:val="0"/>
          <w:bCs w:val="0"/>
          <w:kern w:val="2"/>
          <w:sz w:val="21"/>
          <w:szCs w:val="21"/>
          <w:highlight w:val="none"/>
          <w:lang w:val="en-US" w:eastAsia="zh-CN" w:bidi="ar-SA"/>
        </w:rPr>
        <w:t xml:space="preserve"> 月 </w:t>
      </w:r>
      <w:r>
        <w:rPr>
          <w:rFonts w:hint="eastAsia" w:ascii="宋体" w:hAnsi="宋体" w:cs="宋体"/>
          <w:b w:val="0"/>
          <w:bCs w:val="0"/>
          <w:kern w:val="2"/>
          <w:sz w:val="21"/>
          <w:szCs w:val="21"/>
          <w:highlight w:val="none"/>
          <w:lang w:val="en-US" w:eastAsia="zh-CN" w:bidi="ar-SA"/>
        </w:rPr>
        <w:t>21</w:t>
      </w:r>
      <w:r>
        <w:rPr>
          <w:rFonts w:hint="eastAsia" w:ascii="宋体" w:hAnsi="宋体" w:eastAsia="宋体" w:cs="宋体"/>
          <w:b w:val="0"/>
          <w:bCs w:val="0"/>
          <w:kern w:val="2"/>
          <w:sz w:val="21"/>
          <w:szCs w:val="21"/>
          <w:highlight w:val="none"/>
          <w:lang w:val="en-US" w:eastAsia="zh-CN" w:bidi="ar-SA"/>
        </w:rPr>
        <w:t xml:space="preserve"> 日</w:t>
      </w:r>
    </w:p>
    <w:p w14:paraId="061BE52E">
      <w:pPr>
        <w:rPr>
          <w:rFonts w:hint="eastAsia" w:ascii="宋体" w:hAnsi="宋体" w:eastAsia="宋体" w:cs="宋体"/>
          <w:highlight w:val="none"/>
        </w:rPr>
      </w:pPr>
    </w:p>
    <w:p w14:paraId="50F2C64B">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color w:val="auto"/>
          <w:highlight w:val="none"/>
        </w:rPr>
      </w:pPr>
    </w:p>
    <w:p w14:paraId="2AB199F7">
      <w:pPr>
        <w:rPr>
          <w:rFonts w:hint="eastAsia" w:ascii="宋体" w:hAnsi="宋体" w:eastAsia="宋体" w:cs="宋体"/>
          <w:b/>
          <w:bCs/>
          <w:color w:val="auto"/>
          <w:sz w:val="32"/>
          <w:szCs w:val="32"/>
          <w:highlight w:val="none"/>
        </w:rPr>
      </w:pPr>
      <w:bookmarkStart w:id="7" w:name="_Toc5840"/>
      <w:r>
        <w:rPr>
          <w:rFonts w:hint="eastAsia" w:ascii="宋体" w:hAnsi="宋体" w:eastAsia="宋体" w:cs="宋体"/>
          <w:b/>
          <w:bCs/>
          <w:color w:val="auto"/>
          <w:sz w:val="32"/>
          <w:szCs w:val="32"/>
          <w:highlight w:val="none"/>
        </w:rPr>
        <w:br w:type="page"/>
      </w:r>
    </w:p>
    <w:p w14:paraId="39A2C07B">
      <w:pPr>
        <w:jc w:val="center"/>
        <w:outlineLvl w:val="0"/>
        <w:rPr>
          <w:rFonts w:hint="eastAsia"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第二章  供应商须知</w:t>
      </w:r>
      <w:bookmarkEnd w:id="2"/>
      <w:bookmarkEnd w:id="3"/>
      <w:bookmarkEnd w:id="4"/>
      <w:bookmarkEnd w:id="6"/>
      <w:bookmarkEnd w:id="7"/>
      <w:bookmarkStart w:id="8" w:name="_Toc89569839"/>
      <w:bookmarkStart w:id="9" w:name="_Toc520356144"/>
      <w:bookmarkStart w:id="10" w:name="_Toc274572161"/>
      <w:bookmarkStart w:id="11" w:name="_Toc144974497"/>
      <w:bookmarkStart w:id="12" w:name="_Toc179632546"/>
      <w:bookmarkStart w:id="13" w:name="_Toc373911573"/>
      <w:bookmarkStart w:id="14" w:name="_Toc152045529"/>
      <w:bookmarkStart w:id="15" w:name="_Toc152042305"/>
    </w:p>
    <w:p w14:paraId="4389E1C6">
      <w:pPr>
        <w:pStyle w:val="3"/>
        <w:spacing w:line="240" w:lineRule="auto"/>
        <w:ind w:firstLine="422"/>
        <w:rPr>
          <w:rFonts w:hint="eastAsia" w:ascii="宋体" w:hAnsi="宋体" w:eastAsia="宋体" w:cs="宋体"/>
          <w:color w:val="auto"/>
          <w:sz w:val="21"/>
          <w:szCs w:val="21"/>
          <w:highlight w:val="none"/>
        </w:rPr>
      </w:pPr>
      <w:bookmarkStart w:id="16" w:name="_Toc12409"/>
      <w:bookmarkStart w:id="17" w:name="_Toc28636"/>
      <w:bookmarkStart w:id="18" w:name="_Toc26445"/>
      <w:bookmarkStart w:id="19" w:name="_Toc5732"/>
      <w:r>
        <w:rPr>
          <w:rFonts w:hint="eastAsia" w:ascii="宋体" w:hAnsi="宋体" w:eastAsia="宋体" w:cs="宋体"/>
          <w:color w:val="auto"/>
          <w:sz w:val="21"/>
          <w:szCs w:val="21"/>
          <w:highlight w:val="none"/>
        </w:rPr>
        <w:t>供应商须知前附表</w:t>
      </w:r>
      <w:bookmarkEnd w:id="16"/>
      <w:bookmarkEnd w:id="17"/>
      <w:bookmarkEnd w:id="18"/>
      <w:bookmarkEnd w:id="19"/>
    </w:p>
    <w:tbl>
      <w:tblPr>
        <w:tblStyle w:val="28"/>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761"/>
        <w:gridCol w:w="6830"/>
      </w:tblGrid>
      <w:tr w14:paraId="66E0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718E1332">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761" w:type="dxa"/>
            <w:vAlign w:val="center"/>
          </w:tcPr>
          <w:p w14:paraId="45AEAC53">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830" w:type="dxa"/>
            <w:vAlign w:val="center"/>
          </w:tcPr>
          <w:p w14:paraId="2DADB1B8">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  列  内  容</w:t>
            </w:r>
          </w:p>
        </w:tc>
      </w:tr>
      <w:tr w14:paraId="5483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6ACFB888">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761" w:type="dxa"/>
            <w:vAlign w:val="center"/>
          </w:tcPr>
          <w:p w14:paraId="7F6C8DBF">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830" w:type="dxa"/>
            <w:vAlign w:val="center"/>
          </w:tcPr>
          <w:p w14:paraId="2804D863">
            <w:pPr>
              <w:pStyle w:val="23"/>
              <w:widowControl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采购人信息</w:t>
            </w:r>
          </w:p>
          <w:p w14:paraId="73F77E63">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名称：河南工业和信息化职业学院</w:t>
            </w:r>
          </w:p>
          <w:p w14:paraId="3F8B94DD">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地址：河南省焦作市新区碧莲路 801 号</w:t>
            </w:r>
          </w:p>
          <w:p w14:paraId="506F73EE">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rPr>
              <w:t>联系人：</w:t>
            </w:r>
            <w:r>
              <w:rPr>
                <w:rFonts w:hint="eastAsia" w:ascii="宋体" w:hAnsi="宋体" w:eastAsia="宋体" w:cs="宋体"/>
                <w:color w:val="auto"/>
                <w:spacing w:val="-8"/>
                <w:sz w:val="21"/>
                <w:szCs w:val="21"/>
                <w:highlight w:val="none"/>
                <w:lang w:eastAsia="zh-CN"/>
              </w:rPr>
              <w:t>王老师</w:t>
            </w:r>
          </w:p>
          <w:p w14:paraId="3DE76275">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rPr>
              <w:t>联系方式：</w:t>
            </w:r>
            <w:r>
              <w:rPr>
                <w:rFonts w:hint="eastAsia" w:ascii="宋体" w:hAnsi="宋体" w:eastAsia="宋体" w:cs="宋体"/>
                <w:color w:val="auto"/>
                <w:spacing w:val="-8"/>
                <w:sz w:val="21"/>
                <w:szCs w:val="21"/>
                <w:highlight w:val="none"/>
                <w:lang w:val="en-US" w:eastAsia="zh-CN"/>
              </w:rPr>
              <w:t>0391-8767632</w:t>
            </w:r>
          </w:p>
        </w:tc>
      </w:tr>
      <w:tr w14:paraId="3E15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2ABCD4C7">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61" w:type="dxa"/>
            <w:vAlign w:val="center"/>
          </w:tcPr>
          <w:p w14:paraId="217A1416">
            <w:pPr>
              <w:adjustRightInd w:val="0"/>
              <w:spacing w:line="460" w:lineRule="exact"/>
              <w:jc w:val="center"/>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采购代理机构</w:t>
            </w:r>
          </w:p>
        </w:tc>
        <w:tc>
          <w:tcPr>
            <w:tcW w:w="6830" w:type="dxa"/>
            <w:vAlign w:val="center"/>
          </w:tcPr>
          <w:p w14:paraId="255CA1DC">
            <w:pPr>
              <w:pStyle w:val="23"/>
              <w:widowControl w:val="0"/>
              <w:spacing w:line="460" w:lineRule="exact"/>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采购代理机构信息</w:t>
            </w:r>
          </w:p>
          <w:p w14:paraId="5BAC9FDD">
            <w:pPr>
              <w:pStyle w:val="23"/>
              <w:widowControl w:val="0"/>
              <w:spacing w:line="460" w:lineRule="exact"/>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名称：河南英华咨询有限公司</w:t>
            </w:r>
          </w:p>
          <w:p w14:paraId="52DB3155">
            <w:pPr>
              <w:pStyle w:val="23"/>
              <w:widowControl w:val="0"/>
              <w:spacing w:line="460" w:lineRule="exact"/>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地址：郑州市电厂路河南省国家大学科技园（东区）16号楼C座21层</w:t>
            </w:r>
          </w:p>
          <w:p w14:paraId="6687524E">
            <w:pPr>
              <w:pStyle w:val="23"/>
              <w:widowControl w:val="0"/>
              <w:spacing w:line="460" w:lineRule="exact"/>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rPr>
              <w:t>联系人：</w:t>
            </w:r>
            <w:r>
              <w:rPr>
                <w:rFonts w:hint="eastAsia" w:ascii="宋体" w:hAnsi="宋体" w:eastAsia="宋体" w:cs="宋体"/>
                <w:color w:val="auto"/>
                <w:spacing w:val="-8"/>
                <w:sz w:val="21"/>
                <w:szCs w:val="21"/>
                <w:highlight w:val="none"/>
                <w:lang w:eastAsia="zh-CN"/>
              </w:rPr>
              <w:t>张女士</w:t>
            </w:r>
          </w:p>
          <w:p w14:paraId="7A32A692">
            <w:pPr>
              <w:pStyle w:val="23"/>
              <w:widowControl w:val="0"/>
              <w:spacing w:line="460" w:lineRule="exact"/>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rPr>
              <w:t>联系方式：</w:t>
            </w:r>
            <w:r>
              <w:rPr>
                <w:rFonts w:hint="eastAsia" w:ascii="宋体" w:hAnsi="宋体" w:eastAsia="宋体" w:cs="宋体"/>
                <w:color w:val="auto"/>
                <w:spacing w:val="-8"/>
                <w:sz w:val="21"/>
                <w:szCs w:val="21"/>
                <w:highlight w:val="none"/>
                <w:lang w:val="en-US" w:eastAsia="zh-CN"/>
              </w:rPr>
              <w:t>18503820531</w:t>
            </w:r>
          </w:p>
        </w:tc>
      </w:tr>
      <w:tr w14:paraId="29B2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7EF080C3">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761" w:type="dxa"/>
            <w:vAlign w:val="center"/>
          </w:tcPr>
          <w:p w14:paraId="0E018CBF">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30" w:type="dxa"/>
            <w:vAlign w:val="center"/>
          </w:tcPr>
          <w:p w14:paraId="08F36180">
            <w:pPr>
              <w:autoSpaceDE w:val="0"/>
              <w:autoSpaceDN w:val="0"/>
              <w:adjustRightInd w:val="0"/>
              <w:spacing w:line="46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highlight w:val="none"/>
                <w:lang w:val="en-US" w:eastAsia="zh-CN"/>
              </w:rPr>
              <w:t>河南工业和信息化职业学院4#学生公寓外部维修项目</w:t>
            </w:r>
          </w:p>
        </w:tc>
      </w:tr>
      <w:tr w14:paraId="690E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2E20DFBF">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761" w:type="dxa"/>
            <w:vAlign w:val="center"/>
          </w:tcPr>
          <w:p w14:paraId="0D233DEE">
            <w:pPr>
              <w:autoSpaceDE w:val="0"/>
              <w:autoSpaceDN w:val="0"/>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建设地点</w:t>
            </w:r>
          </w:p>
        </w:tc>
        <w:tc>
          <w:tcPr>
            <w:tcW w:w="6830" w:type="dxa"/>
            <w:vAlign w:val="center"/>
          </w:tcPr>
          <w:p w14:paraId="76A6509C">
            <w:pPr>
              <w:pStyle w:val="15"/>
              <w:spacing w:line="460" w:lineRule="exact"/>
              <w:rPr>
                <w:rFonts w:hint="eastAsia" w:ascii="宋体" w:hAnsi="宋体" w:eastAsia="宋体" w:cs="宋体"/>
                <w:color w:val="auto"/>
                <w:kern w:val="0"/>
                <w:sz w:val="21"/>
                <w:szCs w:val="21"/>
                <w:highlight w:val="none"/>
              </w:rPr>
            </w:pPr>
            <w:r>
              <w:rPr>
                <w:rFonts w:hint="eastAsia" w:ascii="宋体" w:hAnsi="宋体" w:eastAsia="宋体" w:cs="宋体"/>
                <w:highlight w:val="none"/>
              </w:rPr>
              <w:t>河南工业和信息化职业学院</w:t>
            </w:r>
          </w:p>
        </w:tc>
      </w:tr>
      <w:tr w14:paraId="1C8F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76619146">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761" w:type="dxa"/>
            <w:vAlign w:val="center"/>
          </w:tcPr>
          <w:p w14:paraId="04F10FDF">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830" w:type="dxa"/>
            <w:vAlign w:val="center"/>
          </w:tcPr>
          <w:p w14:paraId="79B542A2">
            <w:pPr>
              <w:adjustRightInd w:val="0"/>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财政资金</w:t>
            </w:r>
          </w:p>
        </w:tc>
      </w:tr>
      <w:tr w14:paraId="5072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03C9F081">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761" w:type="dxa"/>
            <w:vAlign w:val="center"/>
          </w:tcPr>
          <w:p w14:paraId="02AF118C">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出资比例</w:t>
            </w:r>
          </w:p>
        </w:tc>
        <w:tc>
          <w:tcPr>
            <w:tcW w:w="6830" w:type="dxa"/>
            <w:vAlign w:val="center"/>
          </w:tcPr>
          <w:p w14:paraId="5585BB85">
            <w:pPr>
              <w:adjustRightInd w:val="0"/>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w:t>
            </w:r>
          </w:p>
        </w:tc>
      </w:tr>
      <w:tr w14:paraId="74C3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3F63113B">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761" w:type="dxa"/>
            <w:vAlign w:val="center"/>
          </w:tcPr>
          <w:p w14:paraId="5DA430C2">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830" w:type="dxa"/>
            <w:vAlign w:val="center"/>
          </w:tcPr>
          <w:p w14:paraId="561903C1">
            <w:pPr>
              <w:adjustRightIn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212B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15E908FF">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w:t>
            </w:r>
          </w:p>
        </w:tc>
        <w:tc>
          <w:tcPr>
            <w:tcW w:w="1761" w:type="dxa"/>
            <w:vAlign w:val="center"/>
          </w:tcPr>
          <w:p w14:paraId="198573E0">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830" w:type="dxa"/>
            <w:vAlign w:val="center"/>
          </w:tcPr>
          <w:p w14:paraId="294A4AC0">
            <w:pPr>
              <w:pStyle w:val="23"/>
              <w:widowControl w:val="0"/>
              <w:spacing w:line="4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本项目共计</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个标包</w:t>
            </w:r>
          </w:p>
        </w:tc>
      </w:tr>
      <w:tr w14:paraId="7AF7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1E18B590">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761" w:type="dxa"/>
            <w:vAlign w:val="center"/>
          </w:tcPr>
          <w:p w14:paraId="42FF8183">
            <w:pPr>
              <w:autoSpaceDE w:val="0"/>
              <w:autoSpaceDN w:val="0"/>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磋商范围</w:t>
            </w:r>
          </w:p>
        </w:tc>
        <w:tc>
          <w:tcPr>
            <w:tcW w:w="6830" w:type="dxa"/>
            <w:vAlign w:val="center"/>
          </w:tcPr>
          <w:p w14:paraId="0B138941">
            <w:pPr>
              <w:pStyle w:val="15"/>
              <w:spacing w:line="460" w:lineRule="exact"/>
              <w:rPr>
                <w:rFonts w:hint="eastAsia" w:ascii="宋体" w:hAnsi="宋体" w:eastAsia="宋体" w:cs="宋体"/>
                <w:highlight w:val="none"/>
              </w:rPr>
            </w:pPr>
            <w:r>
              <w:rPr>
                <w:rFonts w:hint="eastAsia" w:ascii="宋体" w:hAnsi="宋体" w:eastAsia="宋体" w:cs="宋体"/>
                <w:highlight w:val="none"/>
              </w:rPr>
              <w:t>本项目</w:t>
            </w:r>
            <w:r>
              <w:rPr>
                <w:rFonts w:hint="eastAsia" w:ascii="宋体" w:hAnsi="宋体" w:eastAsia="宋体" w:cs="宋体"/>
                <w:highlight w:val="none"/>
                <w:lang w:eastAsia="zh-CN"/>
              </w:rPr>
              <w:t>竞争性</w:t>
            </w:r>
            <w:r>
              <w:rPr>
                <w:rFonts w:hint="eastAsia" w:ascii="宋体" w:hAnsi="宋体" w:eastAsia="宋体" w:cs="宋体"/>
                <w:highlight w:val="none"/>
              </w:rPr>
              <w:t>磋商文件、工程量清单、图纸、工程量清单答疑（如有）及补充说明（如有）包含的全部工作内容</w:t>
            </w:r>
          </w:p>
        </w:tc>
      </w:tr>
      <w:tr w14:paraId="2B45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7248BF8E">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761" w:type="dxa"/>
            <w:vAlign w:val="center"/>
          </w:tcPr>
          <w:p w14:paraId="1A00516B">
            <w:pPr>
              <w:autoSpaceDE w:val="0"/>
              <w:autoSpaceDN w:val="0"/>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计划工期</w:t>
            </w:r>
          </w:p>
        </w:tc>
        <w:tc>
          <w:tcPr>
            <w:tcW w:w="6830" w:type="dxa"/>
            <w:vAlign w:val="center"/>
          </w:tcPr>
          <w:p w14:paraId="600E531C">
            <w:pPr>
              <w:pStyle w:val="15"/>
              <w:spacing w:line="460" w:lineRule="exact"/>
              <w:rPr>
                <w:rFonts w:hint="eastAsia" w:ascii="宋体" w:hAnsi="宋体" w:eastAsia="宋体" w:cs="宋体"/>
                <w:highlight w:val="none"/>
              </w:rPr>
            </w:pPr>
            <w:r>
              <w:rPr>
                <w:rFonts w:hint="eastAsia" w:ascii="宋体" w:hAnsi="宋体" w:eastAsia="宋体" w:cs="宋体"/>
                <w:highlight w:val="none"/>
              </w:rPr>
              <w:t>合同签订后75日历天</w:t>
            </w:r>
          </w:p>
        </w:tc>
      </w:tr>
      <w:tr w14:paraId="08C8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20E48E92">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761" w:type="dxa"/>
            <w:vAlign w:val="center"/>
          </w:tcPr>
          <w:p w14:paraId="6A60D7FD">
            <w:pPr>
              <w:autoSpaceDE w:val="0"/>
              <w:autoSpaceDN w:val="0"/>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6830" w:type="dxa"/>
            <w:vAlign w:val="center"/>
          </w:tcPr>
          <w:p w14:paraId="600D1F4C">
            <w:pPr>
              <w:pStyle w:val="15"/>
              <w:spacing w:line="460" w:lineRule="exact"/>
              <w:rPr>
                <w:rFonts w:hint="eastAsia" w:ascii="宋体" w:hAnsi="宋体" w:eastAsia="宋体" w:cs="宋体"/>
                <w:highlight w:val="none"/>
                <w:lang w:eastAsia="zh-CN"/>
              </w:rPr>
            </w:pPr>
            <w:r>
              <w:rPr>
                <w:rFonts w:hint="eastAsia" w:ascii="宋体" w:hAnsi="宋体" w:eastAsia="宋体" w:cs="宋体"/>
                <w:highlight w:val="none"/>
              </w:rPr>
              <w:t>符合国家现行规范和标准，达到合格工程标准</w:t>
            </w:r>
          </w:p>
        </w:tc>
      </w:tr>
      <w:tr w14:paraId="657D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2D1E2422">
            <w:pPr>
              <w:adjustRightIn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w:t>
            </w:r>
          </w:p>
        </w:tc>
        <w:tc>
          <w:tcPr>
            <w:tcW w:w="1761" w:type="dxa"/>
            <w:vAlign w:val="center"/>
          </w:tcPr>
          <w:p w14:paraId="44910175">
            <w:pPr>
              <w:autoSpaceDE w:val="0"/>
              <w:autoSpaceDN w:val="0"/>
              <w:adjustRightInd w:val="0"/>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质保期</w:t>
            </w:r>
          </w:p>
        </w:tc>
        <w:tc>
          <w:tcPr>
            <w:tcW w:w="6830" w:type="dxa"/>
            <w:vAlign w:val="center"/>
          </w:tcPr>
          <w:p w14:paraId="2B2F7390">
            <w:pPr>
              <w:pStyle w:val="15"/>
              <w:spacing w:line="460" w:lineRule="exact"/>
              <w:jc w:val="left"/>
              <w:rPr>
                <w:rFonts w:hint="eastAsia" w:ascii="宋体" w:hAnsi="宋体" w:eastAsia="宋体" w:cs="宋体"/>
                <w:sz w:val="21"/>
                <w:szCs w:val="21"/>
                <w:highlight w:val="none"/>
              </w:rPr>
            </w:pPr>
            <w:r>
              <w:rPr>
                <w:rFonts w:hint="eastAsia" w:ascii="宋体" w:hAnsi="宋体" w:eastAsia="宋体" w:cs="宋体"/>
                <w:szCs w:val="21"/>
                <w:highlight w:val="none"/>
              </w:rPr>
              <w:t>工程验收合格后防水工程五年，其他工程两年</w:t>
            </w:r>
          </w:p>
        </w:tc>
      </w:tr>
      <w:tr w14:paraId="118F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7AE9CBE4">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761" w:type="dxa"/>
            <w:vAlign w:val="center"/>
          </w:tcPr>
          <w:p w14:paraId="7B8450BB">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供应商资格要求</w:t>
            </w:r>
          </w:p>
        </w:tc>
        <w:tc>
          <w:tcPr>
            <w:tcW w:w="6830" w:type="dxa"/>
            <w:vAlign w:val="center"/>
          </w:tcPr>
          <w:p w14:paraId="43C24327">
            <w:pPr>
              <w:pStyle w:val="49"/>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详见竞争性磋商公告“二、申请人资格要求”</w:t>
            </w:r>
          </w:p>
        </w:tc>
      </w:tr>
      <w:tr w14:paraId="2DEC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079BC752">
            <w:pPr>
              <w:adjustRightIn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761" w:type="dxa"/>
            <w:vAlign w:val="center"/>
          </w:tcPr>
          <w:p w14:paraId="29D04FF3">
            <w:pPr>
              <w:adjustRightInd w:val="0"/>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是否接受联合体</w:t>
            </w:r>
            <w:r>
              <w:rPr>
                <w:rFonts w:hint="eastAsia" w:ascii="宋体" w:hAnsi="宋体" w:eastAsia="宋体" w:cs="宋体"/>
                <w:color w:val="auto"/>
                <w:sz w:val="21"/>
                <w:szCs w:val="21"/>
                <w:highlight w:val="none"/>
                <w:lang w:eastAsia="zh-CN"/>
              </w:rPr>
              <w:t>投标</w:t>
            </w:r>
          </w:p>
        </w:tc>
        <w:tc>
          <w:tcPr>
            <w:tcW w:w="6830" w:type="dxa"/>
            <w:vAlign w:val="center"/>
          </w:tcPr>
          <w:p w14:paraId="2FBB95DB">
            <w:pPr>
              <w:adjustRightIn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5E9D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3D20B39D">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761" w:type="dxa"/>
            <w:vAlign w:val="center"/>
          </w:tcPr>
          <w:p w14:paraId="4EF101C0">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踏勘现场及答疑</w:t>
            </w:r>
          </w:p>
        </w:tc>
        <w:tc>
          <w:tcPr>
            <w:tcW w:w="6830" w:type="dxa"/>
            <w:vAlign w:val="center"/>
          </w:tcPr>
          <w:p w14:paraId="1C2E0DEA">
            <w:pPr>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不组织</w:t>
            </w:r>
          </w:p>
        </w:tc>
      </w:tr>
      <w:tr w14:paraId="58F4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25A25B6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761" w:type="dxa"/>
            <w:vAlign w:val="center"/>
          </w:tcPr>
          <w:p w14:paraId="1AF47576">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磋商预备会</w:t>
            </w:r>
          </w:p>
        </w:tc>
        <w:tc>
          <w:tcPr>
            <w:tcW w:w="6830" w:type="dxa"/>
            <w:vAlign w:val="center"/>
          </w:tcPr>
          <w:p w14:paraId="54AC41CA">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2F2E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31520ED5">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1761" w:type="dxa"/>
            <w:vAlign w:val="center"/>
          </w:tcPr>
          <w:p w14:paraId="04A32E9B">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采购人书面澄清的时间</w:t>
            </w:r>
          </w:p>
        </w:tc>
        <w:tc>
          <w:tcPr>
            <w:tcW w:w="6830" w:type="dxa"/>
            <w:vAlign w:val="center"/>
          </w:tcPr>
          <w:p w14:paraId="7ABBFC2A">
            <w:pPr>
              <w:pStyle w:val="49"/>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时间：响应文件递交截止之日5日前</w:t>
            </w:r>
          </w:p>
          <w:p w14:paraId="23BA8CFB">
            <w:pPr>
              <w:pStyle w:val="49"/>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形式：在“河南省公共资源电子交易平台”发布，供应商自行下载</w:t>
            </w:r>
          </w:p>
        </w:tc>
      </w:tr>
      <w:tr w14:paraId="4A6C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33E17C5D">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761" w:type="dxa"/>
            <w:vAlign w:val="center"/>
          </w:tcPr>
          <w:p w14:paraId="4C67CBAD">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830" w:type="dxa"/>
            <w:vAlign w:val="center"/>
          </w:tcPr>
          <w:p w14:paraId="51CBEEFF">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62FD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151FDEFD">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761" w:type="dxa"/>
            <w:vAlign w:val="center"/>
          </w:tcPr>
          <w:p w14:paraId="305191F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6830" w:type="dxa"/>
            <w:vAlign w:val="center"/>
          </w:tcPr>
          <w:p w14:paraId="67FC91D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352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1272F389">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761" w:type="dxa"/>
            <w:vAlign w:val="center"/>
          </w:tcPr>
          <w:p w14:paraId="08A5F07D">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构成竞争性磋商文件的其他材料</w:t>
            </w:r>
          </w:p>
        </w:tc>
        <w:tc>
          <w:tcPr>
            <w:tcW w:w="6830" w:type="dxa"/>
            <w:vAlign w:val="center"/>
          </w:tcPr>
          <w:p w14:paraId="4953A1B9">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磋商文件外，采购人在磋商期间发出的澄清、修改、补充、补遗和其他有效正式函件等内容均是</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磋商文件的组成部分</w:t>
            </w:r>
          </w:p>
        </w:tc>
      </w:tr>
      <w:tr w14:paraId="3C18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77E74D20">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761" w:type="dxa"/>
            <w:vAlign w:val="center"/>
          </w:tcPr>
          <w:p w14:paraId="3857E631">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供应商要求澄清竞争性磋商文件的截止时间</w:t>
            </w:r>
          </w:p>
        </w:tc>
        <w:tc>
          <w:tcPr>
            <w:tcW w:w="6830" w:type="dxa"/>
            <w:vAlign w:val="center"/>
          </w:tcPr>
          <w:p w14:paraId="27DD651A">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截止之日5日前</w:t>
            </w:r>
          </w:p>
        </w:tc>
      </w:tr>
      <w:tr w14:paraId="3C1B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2C499A54">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761" w:type="dxa"/>
            <w:vAlign w:val="center"/>
          </w:tcPr>
          <w:p w14:paraId="28F9DD3A">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截止时间</w:t>
            </w:r>
          </w:p>
        </w:tc>
        <w:tc>
          <w:tcPr>
            <w:tcW w:w="6830" w:type="dxa"/>
            <w:vAlign w:val="center"/>
          </w:tcPr>
          <w:p w14:paraId="07E92A20">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highlight w:val="none"/>
              </w:rPr>
              <w:t>202</w:t>
            </w:r>
            <w:r>
              <w:rPr>
                <w:rFonts w:hint="eastAsia" w:ascii="宋体" w:hAnsi="宋体" w:eastAsia="宋体" w:cs="宋体"/>
                <w:highlight w:val="none"/>
                <w:lang w:val="en-US" w:eastAsia="zh-CN"/>
              </w:rPr>
              <w:t>6</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06</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02</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日09时00分（北京时间）</w:t>
            </w:r>
          </w:p>
        </w:tc>
      </w:tr>
      <w:tr w14:paraId="5795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1D16AA2F">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761" w:type="dxa"/>
            <w:vAlign w:val="center"/>
          </w:tcPr>
          <w:p w14:paraId="239DFFF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w:t>
            </w:r>
            <w:r>
              <w:rPr>
                <w:rFonts w:hint="eastAsia" w:ascii="宋体" w:hAnsi="宋体" w:eastAsia="宋体" w:cs="宋体"/>
                <w:color w:val="auto"/>
                <w:sz w:val="21"/>
                <w:szCs w:val="21"/>
                <w:highlight w:val="none"/>
              </w:rPr>
              <w:t>确认收到竞争性磋商文件澄清的时间</w:t>
            </w:r>
          </w:p>
        </w:tc>
        <w:tc>
          <w:tcPr>
            <w:tcW w:w="6830" w:type="dxa"/>
            <w:vAlign w:val="center"/>
          </w:tcPr>
          <w:p w14:paraId="00A1C8E4">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在河南省公共资源交易中心系统内发布后即视同供应商收到该澄清，请各供应商随时关注河南省公共资源交易中心系统</w:t>
            </w:r>
          </w:p>
        </w:tc>
      </w:tr>
      <w:tr w14:paraId="6D2E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593B3AD3">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1761" w:type="dxa"/>
            <w:vAlign w:val="center"/>
          </w:tcPr>
          <w:p w14:paraId="37C05DCE">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构成响应文件的</w:t>
            </w:r>
          </w:p>
          <w:p w14:paraId="643ACEC2">
            <w:pPr>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其他材料</w:t>
            </w:r>
          </w:p>
        </w:tc>
        <w:tc>
          <w:tcPr>
            <w:tcW w:w="6830" w:type="dxa"/>
            <w:vAlign w:val="center"/>
          </w:tcPr>
          <w:p w14:paraId="017DB53B">
            <w:pPr>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供应商认为需要</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的其他证明材料</w:t>
            </w:r>
          </w:p>
        </w:tc>
      </w:tr>
      <w:tr w14:paraId="51CD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7FDC1FF3">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761" w:type="dxa"/>
            <w:vAlign w:val="center"/>
          </w:tcPr>
          <w:p w14:paraId="0DBA8059">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磋商有效期</w:t>
            </w:r>
          </w:p>
        </w:tc>
        <w:tc>
          <w:tcPr>
            <w:tcW w:w="6830" w:type="dxa"/>
            <w:vAlign w:val="center"/>
          </w:tcPr>
          <w:p w14:paraId="08C46DF3">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自响应文件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截止之日起</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w:t>
            </w:r>
          </w:p>
        </w:tc>
      </w:tr>
      <w:tr w14:paraId="2EBF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250D3488">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1761" w:type="dxa"/>
            <w:vAlign w:val="center"/>
          </w:tcPr>
          <w:p w14:paraId="5B9C779D">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6830" w:type="dxa"/>
            <w:vAlign w:val="center"/>
          </w:tcPr>
          <w:p w14:paraId="1F71B06D">
            <w:pPr>
              <w:pStyle w:val="49"/>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根据河南省豫财购【2019】4号文规定，本项目不收取磋商保证金。</w:t>
            </w:r>
          </w:p>
        </w:tc>
      </w:tr>
      <w:tr w14:paraId="0F7E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2471A4D8">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761" w:type="dxa"/>
            <w:vAlign w:val="center"/>
          </w:tcPr>
          <w:p w14:paraId="23E615E4">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是否允许递交备选磋商方案</w:t>
            </w:r>
          </w:p>
        </w:tc>
        <w:tc>
          <w:tcPr>
            <w:tcW w:w="6830" w:type="dxa"/>
            <w:vAlign w:val="center"/>
          </w:tcPr>
          <w:p w14:paraId="7EAE86D1">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146F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08FB8F79">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w:t>
            </w:r>
          </w:p>
        </w:tc>
        <w:tc>
          <w:tcPr>
            <w:tcW w:w="1761" w:type="dxa"/>
            <w:vAlign w:val="center"/>
          </w:tcPr>
          <w:p w14:paraId="6EA9A10F">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近年完成的类似项目的年份要求</w:t>
            </w:r>
          </w:p>
        </w:tc>
        <w:tc>
          <w:tcPr>
            <w:tcW w:w="6830" w:type="dxa"/>
            <w:vAlign w:val="center"/>
          </w:tcPr>
          <w:p w14:paraId="7A67052C">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月1日以来</w:t>
            </w:r>
          </w:p>
        </w:tc>
      </w:tr>
      <w:tr w14:paraId="5786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23337210">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3.5.5</w:t>
            </w:r>
          </w:p>
        </w:tc>
        <w:tc>
          <w:tcPr>
            <w:tcW w:w="1761" w:type="dxa"/>
            <w:vAlign w:val="center"/>
          </w:tcPr>
          <w:p w14:paraId="293C114F">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近年发生的诉讼及仲裁情况的年份要求</w:t>
            </w:r>
          </w:p>
        </w:tc>
        <w:tc>
          <w:tcPr>
            <w:tcW w:w="6830" w:type="dxa"/>
            <w:vAlign w:val="center"/>
          </w:tcPr>
          <w:p w14:paraId="5AE5A1AA">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月1日以来</w:t>
            </w:r>
          </w:p>
        </w:tc>
      </w:tr>
      <w:tr w14:paraId="7ECB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1ADD0173">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w:t>
            </w:r>
          </w:p>
        </w:tc>
        <w:tc>
          <w:tcPr>
            <w:tcW w:w="1761" w:type="dxa"/>
            <w:vAlign w:val="center"/>
          </w:tcPr>
          <w:p w14:paraId="4A55684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830" w:type="dxa"/>
            <w:vAlign w:val="center"/>
          </w:tcPr>
          <w:p w14:paraId="422F7706">
            <w:pPr>
              <w:pStyle w:val="49"/>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1、按照竞争性磋商文件要求签字或电子签章。</w:t>
            </w:r>
          </w:p>
          <w:p w14:paraId="001B214C">
            <w:pPr>
              <w:pStyle w:val="49"/>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2、电子版响应文件（*.hntf格式或*.nhntf格式）按照竞争性磋商文件要求在相应位置加盖电子签章。</w:t>
            </w:r>
          </w:p>
          <w:p w14:paraId="3BA13DB5">
            <w:pPr>
              <w:pStyle w:val="49"/>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已标价工程量清单扉页应加盖本单位造价人员执业资格印章或附咨询单位协议书和造价人员执业资格印章。（根据河南省住房和城乡建设厅、河南省交通运输厅、河南省水利厅、河南省人力资源社会保障厅关于印发《河南省二级造价工程师职业资格制度实施与监管办法（试行）》的通知第二十九条，本办法印发之前在我省取得的全国建设工程造价员资格证书、公路水运工程造价人员资格证书以及水利工程造价工程师资格证书，效用不变）。</w:t>
            </w:r>
          </w:p>
        </w:tc>
      </w:tr>
      <w:tr w14:paraId="632D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2CE539CE">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w:t>
            </w:r>
          </w:p>
        </w:tc>
        <w:tc>
          <w:tcPr>
            <w:tcW w:w="1761" w:type="dxa"/>
            <w:vAlign w:val="center"/>
          </w:tcPr>
          <w:p w14:paraId="329FF0F3">
            <w:pPr>
              <w:spacing w:line="460" w:lineRule="exact"/>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z w:val="21"/>
                <w:szCs w:val="21"/>
                <w:highlight w:val="none"/>
              </w:rPr>
              <w:t>响应文件的要求</w:t>
            </w:r>
          </w:p>
        </w:tc>
        <w:tc>
          <w:tcPr>
            <w:tcW w:w="6830" w:type="dxa"/>
            <w:vAlign w:val="center"/>
          </w:tcPr>
          <w:p w14:paraId="1976E9F5">
            <w:pPr>
              <w:pStyle w:val="51"/>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1、加密电子响应文件（*.hntf格式），响应文件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截止时间前通过“河南省公共资源交易中心（</w:t>
            </w:r>
            <w:r>
              <w:rPr>
                <w:rFonts w:hint="eastAsia" w:ascii="宋体" w:hAnsi="宋体" w:eastAsia="宋体" w:cs="宋体"/>
                <w:color w:val="auto"/>
                <w:sz w:val="21"/>
                <w:szCs w:val="21"/>
                <w:highlight w:val="none"/>
                <w:lang w:eastAsia="zh-CN"/>
              </w:rPr>
              <w:t>http://hnsggzyjy.henan.gov.cn/</w:t>
            </w:r>
            <w:r>
              <w:rPr>
                <w:rFonts w:hint="eastAsia" w:ascii="宋体" w:hAnsi="宋体" w:eastAsia="宋体" w:cs="宋体"/>
                <w:color w:val="auto"/>
                <w:sz w:val="21"/>
                <w:szCs w:val="21"/>
                <w:highlight w:val="none"/>
              </w:rPr>
              <w:t>）”系统上传。</w:t>
            </w:r>
          </w:p>
          <w:p w14:paraId="016B43C0">
            <w:pPr>
              <w:pStyle w:val="51"/>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2、本项目采用远程开标，不需要递交纸质版响应文件，只需成交人在合同协议书签订前按采购人要求递交纸质版响应文件。</w:t>
            </w:r>
          </w:p>
        </w:tc>
      </w:tr>
      <w:tr w14:paraId="53BE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647C42D1">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761" w:type="dxa"/>
            <w:vAlign w:val="center"/>
          </w:tcPr>
          <w:p w14:paraId="51155B4A">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w:t>
            </w:r>
          </w:p>
          <w:p w14:paraId="5C3A18B9">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递交地点</w:t>
            </w:r>
          </w:p>
        </w:tc>
        <w:tc>
          <w:tcPr>
            <w:tcW w:w="6830" w:type="dxa"/>
            <w:vAlign w:val="center"/>
          </w:tcPr>
          <w:p w14:paraId="12F324A2">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河南省公共资源交易中心（</w:t>
            </w:r>
            <w:r>
              <w:rPr>
                <w:rFonts w:hint="eastAsia" w:ascii="宋体" w:hAnsi="宋体" w:eastAsia="宋体" w:cs="宋体"/>
                <w:color w:val="auto"/>
                <w:sz w:val="21"/>
                <w:szCs w:val="21"/>
                <w:highlight w:val="none"/>
                <w:lang w:eastAsia="zh-CN"/>
              </w:rPr>
              <w:t>http://hnsggzyjy.henan.gov.cn/</w:t>
            </w:r>
            <w:r>
              <w:rPr>
                <w:rFonts w:hint="eastAsia" w:ascii="宋体" w:hAnsi="宋体" w:eastAsia="宋体" w:cs="宋体"/>
                <w:color w:val="auto"/>
                <w:sz w:val="21"/>
                <w:szCs w:val="21"/>
                <w:highlight w:val="none"/>
              </w:rPr>
              <w:t>）电子交易平台</w:t>
            </w:r>
          </w:p>
        </w:tc>
      </w:tr>
      <w:tr w14:paraId="1368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082AD7BA">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761" w:type="dxa"/>
            <w:vAlign w:val="center"/>
          </w:tcPr>
          <w:p w14:paraId="2484219D">
            <w:pPr>
              <w:spacing w:line="460" w:lineRule="exact"/>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z w:val="21"/>
                <w:szCs w:val="21"/>
                <w:highlight w:val="none"/>
              </w:rPr>
              <w:t>是否退还响应文件</w:t>
            </w:r>
          </w:p>
        </w:tc>
        <w:tc>
          <w:tcPr>
            <w:tcW w:w="6830" w:type="dxa"/>
            <w:vAlign w:val="center"/>
          </w:tcPr>
          <w:p w14:paraId="3BD691B5">
            <w:pPr>
              <w:spacing w:line="460" w:lineRule="exact"/>
              <w:jc w:val="left"/>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■否</w:t>
            </w:r>
          </w:p>
        </w:tc>
      </w:tr>
      <w:tr w14:paraId="1ADA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0C821FC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761" w:type="dxa"/>
            <w:vAlign w:val="center"/>
          </w:tcPr>
          <w:p w14:paraId="6312C6D5">
            <w:pPr>
              <w:spacing w:line="460" w:lineRule="exact"/>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z w:val="21"/>
                <w:szCs w:val="21"/>
                <w:highlight w:val="none"/>
              </w:rPr>
              <w:t>磋商时间和地点</w:t>
            </w:r>
          </w:p>
        </w:tc>
        <w:tc>
          <w:tcPr>
            <w:tcW w:w="6830" w:type="dxa"/>
            <w:vAlign w:val="center"/>
          </w:tcPr>
          <w:p w14:paraId="763AFA85">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磋商时间：同响应文件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截止时间</w:t>
            </w:r>
          </w:p>
          <w:p w14:paraId="362D6CDD">
            <w:pPr>
              <w:spacing w:line="460" w:lineRule="exact"/>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磋商地点：同响应文件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地点</w:t>
            </w:r>
          </w:p>
        </w:tc>
      </w:tr>
      <w:tr w14:paraId="6A46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2168B6A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761" w:type="dxa"/>
            <w:vAlign w:val="center"/>
          </w:tcPr>
          <w:p w14:paraId="10BD3DC7">
            <w:pPr>
              <w:spacing w:line="460" w:lineRule="exact"/>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z w:val="21"/>
                <w:szCs w:val="21"/>
                <w:highlight w:val="none"/>
              </w:rPr>
              <w:t>磋商程序</w:t>
            </w:r>
          </w:p>
        </w:tc>
        <w:tc>
          <w:tcPr>
            <w:tcW w:w="6830" w:type="dxa"/>
            <w:vAlign w:val="center"/>
          </w:tcPr>
          <w:p w14:paraId="7C6FF918">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本项目采用“远程不见面”磋商方式,远程开标大厅的网址</w:t>
            </w:r>
          </w:p>
          <w:p w14:paraId="66719C22">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http://hnsggzyjy.henan.gov.cn/BidOpening/bidopeninghallaction/hall/login</w:t>
            </w:r>
            <w:r>
              <w:rPr>
                <w:rFonts w:hint="eastAsia" w:ascii="宋体" w:hAnsi="宋体" w:eastAsia="宋体" w:cs="宋体"/>
                <w:color w:val="auto"/>
                <w:sz w:val="21"/>
                <w:szCs w:val="21"/>
                <w:highlight w:val="none"/>
              </w:rPr>
              <w:t>）,供应商应当在竞争性磋商文件确定的响应文件递交截止时间前,登录远程开标大厅,在线准时参加磋商活动并进行文件解密、答疑澄清等。逾期解密或者没有准时在线参加磋商活动导致的一切后果供应商自行承担。如果磋商现场解密时间有调整，以系统提示为准。请各供应商在响应文件递交截止时间后，时刻注意系统提示，避免错过解密时间、二次报价等。</w:t>
            </w:r>
          </w:p>
          <w:p w14:paraId="0F39064A">
            <w:pPr>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各供应商应仔细阅读河南省公共资源交易中心网站“公共服务--办事指南”专区的《新交易平台使用手册（培训资料）》”</w:t>
            </w:r>
            <w:r>
              <w:rPr>
                <w:rFonts w:hint="eastAsia" w:ascii="宋体" w:hAnsi="宋体" w:eastAsia="宋体" w:cs="宋体"/>
                <w:color w:val="auto"/>
                <w:sz w:val="21"/>
                <w:szCs w:val="21"/>
                <w:highlight w:val="none"/>
                <w:lang w:eastAsia="zh-CN"/>
              </w:rPr>
              <w:t>。</w:t>
            </w:r>
          </w:p>
        </w:tc>
      </w:tr>
      <w:tr w14:paraId="75CF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1BF5841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761" w:type="dxa"/>
            <w:vAlign w:val="center"/>
          </w:tcPr>
          <w:p w14:paraId="70FDD5AE">
            <w:pPr>
              <w:spacing w:line="460" w:lineRule="exact"/>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z w:val="21"/>
                <w:szCs w:val="21"/>
                <w:highlight w:val="none"/>
              </w:rPr>
              <w:t>磋商小组成员的组建</w:t>
            </w:r>
          </w:p>
        </w:tc>
        <w:tc>
          <w:tcPr>
            <w:tcW w:w="6830" w:type="dxa"/>
            <w:vAlign w:val="center"/>
          </w:tcPr>
          <w:p w14:paraId="05D7C5EC">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（1）磋商小组成员构成：由采购人的代表和有关技术、经济等方面的专家组成，成员人数为3人，其中技术、经济等方面的专家2人，采购人代表1人。</w:t>
            </w:r>
          </w:p>
          <w:p w14:paraId="41BBD1D0">
            <w:pPr>
              <w:spacing w:line="460" w:lineRule="exact"/>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（2）磋商小组确定方式：经济、技术专家应在磋商前从河南省政府采购评审专家库中随机抽取。</w:t>
            </w:r>
          </w:p>
        </w:tc>
      </w:tr>
      <w:tr w14:paraId="217C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4F059F7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761" w:type="dxa"/>
            <w:vAlign w:val="center"/>
          </w:tcPr>
          <w:p w14:paraId="2FD7FDF4">
            <w:pPr>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是否授权磋商小组成员确定成交人</w:t>
            </w:r>
          </w:p>
        </w:tc>
        <w:tc>
          <w:tcPr>
            <w:tcW w:w="6830" w:type="dxa"/>
            <w:vAlign w:val="center"/>
          </w:tcPr>
          <w:p w14:paraId="10AAE422">
            <w:pPr>
              <w:spacing w:line="460" w:lineRule="exact"/>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否，推荐的成交候选人数为3名</w:t>
            </w:r>
            <w:r>
              <w:rPr>
                <w:rFonts w:hint="eastAsia" w:ascii="宋体" w:hAnsi="宋体" w:eastAsia="宋体" w:cs="宋体"/>
                <w:color w:val="auto"/>
                <w:kern w:val="0"/>
                <w:sz w:val="21"/>
                <w:szCs w:val="21"/>
                <w:highlight w:val="none"/>
              </w:rPr>
              <w:t>。</w:t>
            </w:r>
          </w:p>
        </w:tc>
      </w:tr>
      <w:tr w14:paraId="5E33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3731305F">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7.3.1 </w:t>
            </w:r>
          </w:p>
        </w:tc>
        <w:tc>
          <w:tcPr>
            <w:tcW w:w="1761" w:type="dxa"/>
            <w:vAlign w:val="center"/>
          </w:tcPr>
          <w:p w14:paraId="67C3AE3B">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w:t>
            </w:r>
            <w:r>
              <w:rPr>
                <w:rFonts w:hint="eastAsia" w:ascii="宋体" w:hAnsi="宋体" w:eastAsia="宋体" w:cs="宋体"/>
                <w:color w:val="auto"/>
                <w:sz w:val="21"/>
                <w:szCs w:val="21"/>
                <w:highlight w:val="none"/>
                <w:lang w:eastAsia="zh-CN"/>
              </w:rPr>
              <w:t>担保</w:t>
            </w:r>
          </w:p>
        </w:tc>
        <w:tc>
          <w:tcPr>
            <w:tcW w:w="6830" w:type="dxa"/>
            <w:vAlign w:val="top"/>
          </w:tcPr>
          <w:p w14:paraId="47EBBFBF">
            <w:pPr>
              <w:spacing w:line="4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履约担保缴纳时间：成交通知书发放后 7 日内</w:t>
            </w:r>
          </w:p>
          <w:p w14:paraId="233FD457">
            <w:pPr>
              <w:spacing w:line="4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履约担保的形式：保函或支票、汇票、本票等非现金形式</w:t>
            </w:r>
          </w:p>
          <w:p w14:paraId="2ECB8B52">
            <w:pPr>
              <w:spacing w:line="4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履约担保的金额：合同总价的 </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3F69F556">
            <w:pPr>
              <w:spacing w:line="4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履约担保的</w:t>
            </w:r>
            <w:r>
              <w:rPr>
                <w:rFonts w:hint="eastAsia" w:ascii="宋体" w:hAnsi="宋体" w:eastAsia="宋体" w:cs="宋体"/>
                <w:color w:val="auto"/>
                <w:sz w:val="21"/>
                <w:szCs w:val="21"/>
                <w:highlight w:val="none"/>
                <w:lang w:eastAsia="zh-CN"/>
              </w:rPr>
              <w:t>退换时间：工程竣工验收合格后30日内无息退还</w:t>
            </w:r>
          </w:p>
        </w:tc>
      </w:tr>
      <w:tr w14:paraId="7DA1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3482EA65">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8591" w:type="dxa"/>
            <w:gridSpan w:val="2"/>
            <w:vAlign w:val="center"/>
          </w:tcPr>
          <w:p w14:paraId="7C1652C0">
            <w:pPr>
              <w:adjustRightInd w:val="0"/>
              <w:spacing w:line="46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0C83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3CA836CA">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1761" w:type="dxa"/>
            <w:vAlign w:val="center"/>
          </w:tcPr>
          <w:p w14:paraId="22272A45">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6830" w:type="dxa"/>
            <w:vAlign w:val="center"/>
          </w:tcPr>
          <w:p w14:paraId="6A0C5237">
            <w:pPr>
              <w:spacing w:line="460" w:lineRule="exact"/>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最高限价为：大写：</w:t>
            </w:r>
            <w:r>
              <w:rPr>
                <w:rFonts w:hint="eastAsia" w:ascii="宋体" w:hAnsi="宋体" w:eastAsia="宋体" w:cs="宋体"/>
                <w:b w:val="0"/>
                <w:bCs w:val="0"/>
                <w:color w:val="auto"/>
                <w:kern w:val="0"/>
                <w:sz w:val="21"/>
                <w:szCs w:val="21"/>
                <w:highlight w:val="none"/>
              </w:rPr>
              <w:t>贰佰叁拾陆万壹仟肆佰捌拾贰元陆角柒分</w:t>
            </w:r>
            <w:r>
              <w:rPr>
                <w:rFonts w:hint="eastAsia" w:ascii="宋体" w:hAnsi="宋体" w:eastAsia="宋体" w:cs="宋体"/>
                <w:b/>
                <w:bCs/>
                <w:color w:val="auto"/>
                <w:kern w:val="0"/>
                <w:sz w:val="21"/>
                <w:szCs w:val="21"/>
                <w:highlight w:val="none"/>
                <w:lang w:val="en-US" w:eastAsia="zh-CN"/>
              </w:rPr>
              <w:t xml:space="preserve"> </w:t>
            </w:r>
          </w:p>
          <w:p w14:paraId="0B4C43DD">
            <w:pPr>
              <w:spacing w:line="460" w:lineRule="exact"/>
              <w:ind w:firstLine="1265" w:firstLineChars="6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小写：</w:t>
            </w:r>
            <w:r>
              <w:rPr>
                <w:rFonts w:hint="eastAsia" w:ascii="宋体" w:hAnsi="宋体" w:eastAsia="宋体" w:cs="宋体"/>
                <w:highlight w:val="none"/>
                <w:lang w:val="en-US" w:eastAsia="zh-CN"/>
              </w:rPr>
              <w:t>2361482.67</w:t>
            </w:r>
          </w:p>
          <w:p w14:paraId="78417206">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最高限价是采购人控制工程造价的最高限价，磋商报价大于最高限价的视为无效报价，按无效标处理。</w:t>
            </w:r>
          </w:p>
        </w:tc>
      </w:tr>
      <w:tr w14:paraId="48BC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76814A8D">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p>
        </w:tc>
        <w:tc>
          <w:tcPr>
            <w:tcW w:w="1761" w:type="dxa"/>
            <w:vAlign w:val="center"/>
          </w:tcPr>
          <w:p w14:paraId="1437D011">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是否采用暗标评审方式</w:t>
            </w:r>
          </w:p>
        </w:tc>
        <w:tc>
          <w:tcPr>
            <w:tcW w:w="6830" w:type="dxa"/>
            <w:vAlign w:val="center"/>
          </w:tcPr>
          <w:p w14:paraId="7BDDE02E">
            <w:pPr>
              <w:adjustRightInd w:val="0"/>
              <w:spacing w:line="46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不采用</w:t>
            </w:r>
          </w:p>
        </w:tc>
      </w:tr>
      <w:tr w14:paraId="316F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45B2B9F2">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761" w:type="dxa"/>
            <w:vAlign w:val="center"/>
          </w:tcPr>
          <w:p w14:paraId="699A2AA1">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是否实行计算机辅助评标</w:t>
            </w:r>
          </w:p>
        </w:tc>
        <w:tc>
          <w:tcPr>
            <w:tcW w:w="6830" w:type="dxa"/>
            <w:vAlign w:val="center"/>
          </w:tcPr>
          <w:p w14:paraId="35BF7674">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是</w:t>
            </w:r>
          </w:p>
        </w:tc>
      </w:tr>
      <w:tr w14:paraId="09EB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6B0566EE">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4</w:t>
            </w:r>
          </w:p>
        </w:tc>
        <w:tc>
          <w:tcPr>
            <w:tcW w:w="8591" w:type="dxa"/>
            <w:gridSpan w:val="2"/>
            <w:vAlign w:val="center"/>
          </w:tcPr>
          <w:p w14:paraId="31AE2297">
            <w:pPr>
              <w:adjustRightInd w:val="0"/>
              <w:spacing w:line="460" w:lineRule="exact"/>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val="en-US" w:eastAsia="zh-CN"/>
              </w:rPr>
              <w:t>公告</w:t>
            </w:r>
          </w:p>
        </w:tc>
      </w:tr>
      <w:tr w14:paraId="5A71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973" w:type="dxa"/>
            <w:vAlign w:val="center"/>
          </w:tcPr>
          <w:p w14:paraId="0F5A2FFA">
            <w:pPr>
              <w:spacing w:line="460" w:lineRule="exact"/>
              <w:jc w:val="center"/>
              <w:rPr>
                <w:rFonts w:hint="eastAsia" w:ascii="宋体" w:hAnsi="宋体" w:eastAsia="宋体" w:cs="宋体"/>
                <w:color w:val="auto"/>
                <w:sz w:val="21"/>
                <w:szCs w:val="21"/>
                <w:highlight w:val="none"/>
              </w:rPr>
            </w:pPr>
          </w:p>
        </w:tc>
        <w:tc>
          <w:tcPr>
            <w:tcW w:w="8591" w:type="dxa"/>
            <w:gridSpan w:val="2"/>
            <w:vAlign w:val="center"/>
          </w:tcPr>
          <w:p w14:paraId="49641B62">
            <w:pPr>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在成交通知书发出前，采购人将成交</w:t>
            </w:r>
            <w:r>
              <w:rPr>
                <w:rFonts w:hint="eastAsia" w:ascii="宋体" w:hAnsi="宋体" w:eastAsia="宋体" w:cs="宋体"/>
                <w:color w:val="auto"/>
                <w:kern w:val="0"/>
                <w:sz w:val="21"/>
                <w:szCs w:val="21"/>
                <w:highlight w:val="none"/>
                <w:lang w:val="en-US" w:eastAsia="zh-CN"/>
              </w:rPr>
              <w:t>公告</w:t>
            </w:r>
            <w:r>
              <w:rPr>
                <w:rFonts w:hint="eastAsia" w:ascii="宋体" w:hAnsi="宋体" w:eastAsia="宋体" w:cs="宋体"/>
                <w:color w:val="auto"/>
                <w:kern w:val="0"/>
                <w:sz w:val="21"/>
                <w:szCs w:val="21"/>
                <w:highlight w:val="none"/>
              </w:rPr>
              <w:t>情况在本项目竞争性磋商公告发布的同一媒介予以公示，公示期1个工作日。</w:t>
            </w:r>
          </w:p>
        </w:tc>
      </w:tr>
      <w:tr w14:paraId="5E7F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4B50BC3E">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5</w:t>
            </w:r>
          </w:p>
        </w:tc>
        <w:tc>
          <w:tcPr>
            <w:tcW w:w="8591" w:type="dxa"/>
            <w:gridSpan w:val="2"/>
            <w:vAlign w:val="center"/>
          </w:tcPr>
          <w:p w14:paraId="55C72FB5">
            <w:pPr>
              <w:adjustRightInd w:val="0"/>
              <w:spacing w:line="46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w:t>
            </w:r>
          </w:p>
        </w:tc>
      </w:tr>
      <w:tr w14:paraId="4AD7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4FF9118D">
            <w:pPr>
              <w:spacing w:line="460" w:lineRule="exact"/>
              <w:jc w:val="center"/>
              <w:rPr>
                <w:rFonts w:hint="eastAsia" w:ascii="宋体" w:hAnsi="宋体" w:eastAsia="宋体" w:cs="宋体"/>
                <w:color w:val="auto"/>
                <w:sz w:val="21"/>
                <w:szCs w:val="21"/>
                <w:highlight w:val="none"/>
              </w:rPr>
            </w:pPr>
          </w:p>
        </w:tc>
        <w:tc>
          <w:tcPr>
            <w:tcW w:w="8591" w:type="dxa"/>
            <w:gridSpan w:val="2"/>
            <w:vAlign w:val="center"/>
          </w:tcPr>
          <w:p w14:paraId="2F400021">
            <w:pPr>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构成本竞争性磋商文件各个组成部分的文件，未经采购人书面同意，供应商不得擅自复印和用于非本项目所需的其他目的。采购人全部或者部分使用未成交人响应文件中的技术成果或技术方案时，需征得其书面同意，并不得擅自复印或提供给第三人。</w:t>
            </w:r>
          </w:p>
        </w:tc>
      </w:tr>
      <w:tr w14:paraId="2B2E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517BAD5E">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6</w:t>
            </w:r>
          </w:p>
        </w:tc>
        <w:tc>
          <w:tcPr>
            <w:tcW w:w="8591" w:type="dxa"/>
            <w:gridSpan w:val="2"/>
            <w:vAlign w:val="center"/>
          </w:tcPr>
          <w:p w14:paraId="09FF8F58">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的其他情形</w:t>
            </w:r>
          </w:p>
        </w:tc>
      </w:tr>
      <w:tr w14:paraId="3FCC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62F9A6F8">
            <w:pPr>
              <w:spacing w:line="460" w:lineRule="exact"/>
              <w:jc w:val="center"/>
              <w:rPr>
                <w:rFonts w:hint="eastAsia" w:ascii="宋体" w:hAnsi="宋体" w:eastAsia="宋体" w:cs="宋体"/>
                <w:color w:val="auto"/>
                <w:sz w:val="21"/>
                <w:szCs w:val="21"/>
                <w:highlight w:val="none"/>
              </w:rPr>
            </w:pPr>
          </w:p>
          <w:p w14:paraId="47D5FE90">
            <w:pPr>
              <w:pStyle w:val="45"/>
              <w:rPr>
                <w:rFonts w:hint="eastAsia" w:ascii="宋体" w:hAnsi="宋体" w:eastAsia="宋体" w:cs="宋体"/>
                <w:color w:val="auto"/>
                <w:sz w:val="21"/>
                <w:szCs w:val="21"/>
                <w:highlight w:val="none"/>
              </w:rPr>
            </w:pPr>
          </w:p>
        </w:tc>
        <w:tc>
          <w:tcPr>
            <w:tcW w:w="8591" w:type="dxa"/>
            <w:gridSpan w:val="2"/>
            <w:vAlign w:val="center"/>
          </w:tcPr>
          <w:p w14:paraId="218FE354">
            <w:pPr>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除供应商须知正文规定的情形外，除非已经产生成交候选人，在磋商有效期内同意延长磋商有效期的供应商少于三个的，采购人应当依法重新磋商。</w:t>
            </w:r>
          </w:p>
        </w:tc>
      </w:tr>
      <w:tr w14:paraId="7011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213BDFF3">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7</w:t>
            </w:r>
          </w:p>
        </w:tc>
        <w:tc>
          <w:tcPr>
            <w:tcW w:w="8591" w:type="dxa"/>
            <w:gridSpan w:val="2"/>
            <w:vAlign w:val="center"/>
          </w:tcPr>
          <w:p w14:paraId="43F581C6">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  督</w:t>
            </w:r>
          </w:p>
        </w:tc>
      </w:tr>
      <w:tr w14:paraId="589C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11D2C748">
            <w:pPr>
              <w:spacing w:line="460" w:lineRule="exact"/>
              <w:jc w:val="center"/>
              <w:rPr>
                <w:rFonts w:hint="eastAsia" w:ascii="宋体" w:hAnsi="宋体" w:eastAsia="宋体" w:cs="宋体"/>
                <w:color w:val="auto"/>
                <w:sz w:val="21"/>
                <w:szCs w:val="21"/>
                <w:highlight w:val="none"/>
              </w:rPr>
            </w:pPr>
          </w:p>
        </w:tc>
        <w:tc>
          <w:tcPr>
            <w:tcW w:w="8591" w:type="dxa"/>
            <w:gridSpan w:val="2"/>
            <w:vAlign w:val="center"/>
          </w:tcPr>
          <w:p w14:paraId="4F71142A">
            <w:pPr>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本项目的磋商活动及其相关当事人应当接受政府有关部门依法实施的监督、监察。</w:t>
            </w:r>
          </w:p>
        </w:tc>
      </w:tr>
      <w:tr w14:paraId="5B77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3A446107">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8</w:t>
            </w:r>
          </w:p>
        </w:tc>
        <w:tc>
          <w:tcPr>
            <w:tcW w:w="8591" w:type="dxa"/>
            <w:gridSpan w:val="2"/>
            <w:vAlign w:val="center"/>
          </w:tcPr>
          <w:p w14:paraId="483645DD">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解释权</w:t>
            </w:r>
          </w:p>
        </w:tc>
      </w:tr>
      <w:tr w14:paraId="346E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2DEF8598">
            <w:pPr>
              <w:spacing w:line="460" w:lineRule="exact"/>
              <w:jc w:val="center"/>
              <w:rPr>
                <w:rFonts w:hint="eastAsia" w:ascii="宋体" w:hAnsi="宋体" w:eastAsia="宋体" w:cs="宋体"/>
                <w:color w:val="auto"/>
                <w:sz w:val="21"/>
                <w:szCs w:val="21"/>
                <w:highlight w:val="none"/>
              </w:rPr>
            </w:pPr>
          </w:p>
        </w:tc>
        <w:tc>
          <w:tcPr>
            <w:tcW w:w="8591" w:type="dxa"/>
            <w:gridSpan w:val="2"/>
            <w:vAlign w:val="center"/>
          </w:tcPr>
          <w:p w14:paraId="1A86D95B">
            <w:pPr>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磋商阶段的规定，按竞争性磋商公告（磋商邀请书）、供应商须知、磋商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094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3197007A">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9</w:t>
            </w:r>
          </w:p>
        </w:tc>
        <w:tc>
          <w:tcPr>
            <w:tcW w:w="8591" w:type="dxa"/>
            <w:gridSpan w:val="2"/>
            <w:vAlign w:val="center"/>
          </w:tcPr>
          <w:p w14:paraId="61F7663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r>
      <w:tr w14:paraId="3A99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2C7A2C72">
            <w:pPr>
              <w:spacing w:line="460" w:lineRule="exact"/>
              <w:jc w:val="center"/>
              <w:rPr>
                <w:rFonts w:hint="eastAsia" w:ascii="宋体" w:hAnsi="宋体" w:eastAsia="宋体" w:cs="宋体"/>
                <w:color w:val="auto"/>
                <w:sz w:val="21"/>
                <w:szCs w:val="21"/>
                <w:highlight w:val="none"/>
              </w:rPr>
            </w:pPr>
          </w:p>
        </w:tc>
        <w:tc>
          <w:tcPr>
            <w:tcW w:w="8591" w:type="dxa"/>
            <w:gridSpan w:val="2"/>
            <w:vAlign w:val="center"/>
          </w:tcPr>
          <w:p w14:paraId="400E7EBC">
            <w:pPr>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lang w:val="en-US" w:eastAsia="zh-CN"/>
              </w:rPr>
              <w:t>参照豫招协[2023]002号文件标准计取，采购代理服务费由成交人向采购代理机构支付</w:t>
            </w:r>
            <w:r>
              <w:rPr>
                <w:rFonts w:hint="eastAsia" w:ascii="宋体" w:hAnsi="宋体" w:eastAsia="宋体" w:cs="宋体"/>
                <w:color w:val="auto"/>
                <w:kern w:val="0"/>
                <w:sz w:val="21"/>
                <w:szCs w:val="21"/>
                <w:highlight w:val="none"/>
              </w:rPr>
              <w:t>。</w:t>
            </w:r>
          </w:p>
        </w:tc>
      </w:tr>
      <w:tr w14:paraId="210E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74EF3555">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10</w:t>
            </w:r>
          </w:p>
        </w:tc>
        <w:tc>
          <w:tcPr>
            <w:tcW w:w="8591" w:type="dxa"/>
            <w:gridSpan w:val="2"/>
            <w:vAlign w:val="center"/>
          </w:tcPr>
          <w:p w14:paraId="1737BAA8">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政府采购政策</w:t>
            </w:r>
          </w:p>
        </w:tc>
      </w:tr>
      <w:tr w14:paraId="2FA0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1" w:hRule="atLeast"/>
          <w:jc w:val="center"/>
        </w:trPr>
        <w:tc>
          <w:tcPr>
            <w:tcW w:w="973" w:type="dxa"/>
            <w:vAlign w:val="center"/>
          </w:tcPr>
          <w:p w14:paraId="6854C385">
            <w:pPr>
              <w:spacing w:line="460" w:lineRule="exact"/>
              <w:jc w:val="center"/>
              <w:rPr>
                <w:rFonts w:hint="eastAsia" w:ascii="宋体" w:hAnsi="宋体" w:eastAsia="宋体" w:cs="宋体"/>
                <w:color w:val="auto"/>
                <w:sz w:val="21"/>
                <w:szCs w:val="21"/>
                <w:highlight w:val="none"/>
              </w:rPr>
            </w:pPr>
          </w:p>
        </w:tc>
        <w:tc>
          <w:tcPr>
            <w:tcW w:w="8591" w:type="dxa"/>
            <w:gridSpan w:val="2"/>
            <w:vAlign w:val="center"/>
          </w:tcPr>
          <w:p w14:paraId="4C509345">
            <w:pPr>
              <w:spacing w:line="46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为贯彻落实财库[2020]46号《关于印发《政府采购促进中小企业发展管理办法》的通知》、《中华人民共和国中小企业促进法》和《国务院关于进一步促进中小企业发展的若干意见》（国发〔2009〕36号），本项目鼓励中小企业参与磋商，中小企业划型标准以工信部联企业〔2011〕300号《工业和信息化部、国家统计局、国家发展和改革委员会、财政部关于印发中小企业划型标准规定的通知》为依据。</w:t>
            </w:r>
          </w:p>
          <w:p w14:paraId="58E83AD9">
            <w:pPr>
              <w:spacing w:line="46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DED7875">
            <w:pPr>
              <w:spacing w:line="46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符合中小企业划分标准的个体工商户，在政府采购活动中视同中小企业。</w:t>
            </w:r>
          </w:p>
          <w:p w14:paraId="60293177">
            <w:pPr>
              <w:spacing w:line="46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本办法所称中小企业划分标准，是指国务院有关部门根据企业从业人员、营业收入、资产总额等指标制定的中小企业划型标准。</w:t>
            </w:r>
          </w:p>
          <w:p w14:paraId="763DD1E1">
            <w:pPr>
              <w:spacing w:line="46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鼓励各地区、各部门在采购活动中允许中小企业引入信用担保手段，为中小企业在投标（响应）保证、履约保证等方面提供专业化服务。鼓励中小企业依法合规通过政府采购合同融资。</w:t>
            </w:r>
          </w:p>
          <w:p w14:paraId="45646FA6">
            <w:pPr>
              <w:spacing w:line="46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依据本办法规定享受扶持政策获得政府采购合同的，小微企业不得将合同分包给大中型企业，中型企业不得将合同分包给大型企业；</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 xml:space="preserve">    关于磋商报价评分中给予中小企业优惠的说明：</w:t>
            </w:r>
          </w:p>
          <w:p w14:paraId="5E266B5E">
            <w:pPr>
              <w:spacing w:line="46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供应商为小微企业，小微企业报价给予3%的扣除，用扣除后的价格参加评审，但不作为最终成交价格和合同签约价。</w:t>
            </w:r>
          </w:p>
          <w:p w14:paraId="71A53B11">
            <w:pPr>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2、根据《财政部、司法部关于政府采购支持监狱企业发展有关问题的通知》（财库[2014]68号）规定，本项目支持监狱企业参与政府采购活动。监狱企业参加本项目</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时，须提供由省级以上监狱管理局、戒毒管理局（含新疆生产建设兵团）出具的属于监狱企业的证明文件，视同小型、微型企业。</w:t>
            </w:r>
          </w:p>
          <w:p w14:paraId="6A4CFCB3">
            <w:pPr>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3、根据《关于促进残疾人就业政府采购政策的通知》（财库〔2017〕141号）文件规定，本项目支持残疾人福利性单位参与政府采购活动。符合条件的残疾人福利性单位参加本项目</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时，应当提供本通知规定的《残疾人福利性单位声明函》，并对声明的真实性负责，视同小型、微型企业。</w:t>
            </w:r>
          </w:p>
          <w:p w14:paraId="78B4A563">
            <w:pPr>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根据《关于调整优化节能产品环境标志产品政府采购执行机制的通知》（财库〔2019〕9号）文件规定，本项目如涉及到品目清单范围内的产品，将依据国家确定的认证机构出具的、处于有效期之内的节能产品、环境标志产品认证证书，对获得证书的产品实施优先采购或强制采购。</w:t>
            </w:r>
          </w:p>
          <w:p w14:paraId="4CB10551">
            <w:pPr>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5、根据政府采购政策，本项目如涉及到自主创新首购产品，应当采购由财政部会同科技部等部门制定的《政府采购自主创新产品目录》内的产品。</w:t>
            </w:r>
          </w:p>
          <w:p w14:paraId="688A61C0">
            <w:pPr>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6、根据政府采购政策，本项目如涉及到无线局域网产品，应当优先采购《无线局域网认证产品政府采购清单》内的产品，如涉及到信息安全产品，应当采购经国家认证的信息安全产品。</w:t>
            </w:r>
          </w:p>
          <w:p w14:paraId="76B0BA42">
            <w:pPr>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7、根据政府采购政策，本项目如涉及到计算机办公设备产品，供应商所投产品必须是预装正版操作系统软件的计算机产品。</w:t>
            </w:r>
          </w:p>
          <w:p w14:paraId="7A254AE7">
            <w:pPr>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本项目不适用。</w:t>
            </w:r>
          </w:p>
          <w:p w14:paraId="51D231D7">
            <w:pPr>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、根据省财政厅《深入推进政府采购合同融资工作实施方案》豫财办（2020）33号要求：参与政府采购活动的供应商，在成交后可以持政府采购合同向融资机构申请贷款（详见“第二章 供应商须知-附件1”）。</w:t>
            </w:r>
          </w:p>
          <w:p w14:paraId="765D79F1">
            <w:pPr>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、其它未尽事宜，按国家有关法律、法规执行。</w:t>
            </w:r>
          </w:p>
        </w:tc>
      </w:tr>
      <w:tr w14:paraId="41CA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00B13348">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10.11</w:t>
            </w:r>
          </w:p>
        </w:tc>
        <w:tc>
          <w:tcPr>
            <w:tcW w:w="8591" w:type="dxa"/>
            <w:gridSpan w:val="2"/>
            <w:vAlign w:val="center"/>
          </w:tcPr>
          <w:p w14:paraId="5A232DBD">
            <w:pPr>
              <w:spacing w:line="46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关于规范非招标采购方式政府采购项目二次报价（或最终报价）的有关通知</w:t>
            </w:r>
          </w:p>
        </w:tc>
      </w:tr>
      <w:tr w14:paraId="51FF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6D949662">
            <w:pPr>
              <w:spacing w:line="460" w:lineRule="exact"/>
              <w:jc w:val="center"/>
              <w:rPr>
                <w:rFonts w:hint="eastAsia" w:ascii="宋体" w:hAnsi="宋体" w:eastAsia="宋体" w:cs="宋体"/>
                <w:color w:val="auto"/>
                <w:sz w:val="21"/>
                <w:szCs w:val="21"/>
                <w:highlight w:val="none"/>
              </w:rPr>
            </w:pPr>
          </w:p>
        </w:tc>
        <w:tc>
          <w:tcPr>
            <w:tcW w:w="8591" w:type="dxa"/>
            <w:gridSpan w:val="2"/>
            <w:vAlign w:val="center"/>
          </w:tcPr>
          <w:p w14:paraId="4A74EC75">
            <w:pPr>
              <w:spacing w:line="46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各市场主体：</w:t>
            </w:r>
          </w:p>
          <w:p w14:paraId="50C7EA94">
            <w:pPr>
              <w:spacing w:line="46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为规范非招标采购方式政府采购项目二次报价（或最终报价），现通知如下：一、采用竞争性谈判和竞争性磋商方式进行交易的项目，二次报价（或最终报价）通知信息以市场主体系统右上角系统提醒——开标提醒的推送时间为准！系统自评委点击发送二次报价（或最终报价）通知时开始计时，请各潜在投标人及时关注系统提醒，在规定的时间内完成二次报价（或最终报价）。</w:t>
            </w:r>
          </w:p>
          <w:p w14:paraId="16685599">
            <w:pPr>
              <w:spacing w:line="46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评委点击发送二次报价（或最终报价）通知后，系统同时会以手机短信形式发送信息，手机短信提醒可能因运营商网络问题造成延误。无论收到手机短信提醒与否，均不作为二次报价（或最终报价）开始的依据。</w:t>
            </w:r>
          </w:p>
          <w:p w14:paraId="440C7E6B">
            <w:pPr>
              <w:numPr>
                <w:ilvl w:val="0"/>
                <w:numId w:val="0"/>
              </w:numPr>
              <w:spacing w:line="460" w:lineRule="exact"/>
              <w:ind w:leftChars="0"/>
              <w:jc w:val="righ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特此通知！ </w:t>
            </w:r>
          </w:p>
          <w:p w14:paraId="0E42B357">
            <w:pPr>
              <w:spacing w:line="460" w:lineRule="exact"/>
              <w:jc w:val="righ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河南省公共资源交易中心 </w:t>
            </w:r>
          </w:p>
          <w:p w14:paraId="22592F40">
            <w:pPr>
              <w:spacing w:line="460" w:lineRule="exact"/>
              <w:jc w:val="righ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2023年3月20日 </w:t>
            </w:r>
          </w:p>
        </w:tc>
      </w:tr>
      <w:tr w14:paraId="21D2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11D801AD">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12</w:t>
            </w:r>
          </w:p>
        </w:tc>
        <w:tc>
          <w:tcPr>
            <w:tcW w:w="8591" w:type="dxa"/>
            <w:gridSpan w:val="2"/>
            <w:vAlign w:val="center"/>
          </w:tcPr>
          <w:p w14:paraId="54E2A374">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r>
      <w:tr w14:paraId="7A80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3D8636D2">
            <w:pPr>
              <w:spacing w:line="460" w:lineRule="exact"/>
              <w:jc w:val="center"/>
              <w:rPr>
                <w:rFonts w:hint="eastAsia" w:ascii="宋体" w:hAnsi="宋体" w:eastAsia="宋体" w:cs="宋体"/>
                <w:color w:val="auto"/>
                <w:sz w:val="21"/>
                <w:szCs w:val="21"/>
                <w:highlight w:val="none"/>
              </w:rPr>
            </w:pPr>
          </w:p>
        </w:tc>
        <w:tc>
          <w:tcPr>
            <w:tcW w:w="8591" w:type="dxa"/>
            <w:gridSpan w:val="2"/>
            <w:vAlign w:val="center"/>
          </w:tcPr>
          <w:p w14:paraId="43CBB6A6">
            <w:pPr>
              <w:pStyle w:val="1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616"/>
              <w:textAlignment w:val="baseline"/>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000000"/>
                <w:kern w:val="0"/>
                <w:sz w:val="21"/>
                <w:szCs w:val="21"/>
                <w:highlight w:val="none"/>
                <w:lang w:val="en-US" w:eastAsia="zh-CN" w:bidi="ar"/>
              </w:rPr>
              <w:t>采购资金的支付方式、时间（付款方式）：</w:t>
            </w:r>
            <w:r>
              <w:rPr>
                <w:rFonts w:hint="eastAsia" w:ascii="宋体" w:hAnsi="宋体" w:eastAsia="宋体" w:cs="宋体"/>
                <w:color w:val="auto"/>
                <w:kern w:val="2"/>
                <w:sz w:val="21"/>
                <w:szCs w:val="21"/>
                <w:highlight w:val="none"/>
                <w:u w:val="single"/>
                <w:lang w:val="en-US" w:eastAsia="zh-CN" w:bidi="ar-SA"/>
              </w:rPr>
              <w:t>本宿舍楼维修改造项目工程款按工程施工进度分阶段支付，付款流程均为乙方按约定提交付款申请及对应完工证明、合规票据等资料，经监理、全过程造价咨询、甲方审核确认无误后，在15个工作日内支付相应款项，具体付款节点及比例如下：</w:t>
            </w:r>
          </w:p>
          <w:p w14:paraId="2690630D">
            <w:pPr>
              <w:pStyle w:val="1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616"/>
              <w:textAlignment w:val="baseline"/>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(1)预付款：合同签订生效且乙方进场施工、完成施工准备工作后，支付至合同总价的30%；预付款需支付至共管账户。</w:t>
            </w:r>
          </w:p>
          <w:p w14:paraId="53E255A0">
            <w:pPr>
              <w:pStyle w:val="1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616"/>
              <w:textAlignment w:val="baseline"/>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主体维修改造进度款：宿舍楼外墙体修缮、屋顶防水升级改造，花架翻新，使用钢化玻璃封闭阳台，阳台内部墙面翻新处理等主体维修改造工程全部完成，经监理、全过程造价咨询、甲方审核无误后，支付至合同总价的85%（含已付预付款）；</w:t>
            </w:r>
          </w:p>
          <w:p w14:paraId="13F688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u w:val="single"/>
                <w:lang w:val="en-US" w:eastAsia="zh-CN" w:bidi="ar-SA"/>
              </w:rPr>
              <w:t>(3)</w:t>
            </w:r>
            <w:r>
              <w:rPr>
                <w:rFonts w:hint="eastAsia" w:ascii="宋体" w:hAnsi="宋体" w:eastAsia="宋体" w:cs="宋体"/>
                <w:color w:val="auto"/>
                <w:kern w:val="2"/>
                <w:sz w:val="21"/>
                <w:szCs w:val="21"/>
                <w:highlight w:val="none"/>
                <w:u w:val="single"/>
                <w:lang w:val="en-US" w:eastAsia="zh-CN" w:bidi="ar-SA"/>
              </w:rPr>
              <w:t>竣工结算款：项目竣工经采购人委托具备相应资质的第三方机构按合同约定标准进行验收，验收合格后，由成交人递交竣工结算报告及完整的结算资料，经采购人委托具有资质的造价审核机构进行审核后确定结算金额，在双方对审核结果签章认可后的30日内，收到乙方结算总价3%质保金后，全额支付至竣工结算总价的100%，质保期结束后无息退还</w:t>
            </w:r>
            <w:r>
              <w:rPr>
                <w:rFonts w:hint="eastAsia" w:ascii="宋体" w:hAnsi="宋体" w:eastAsia="宋体" w:cs="宋体"/>
                <w:color w:val="auto"/>
                <w:sz w:val="21"/>
                <w:szCs w:val="21"/>
                <w:highlight w:val="none"/>
                <w:lang w:eastAsia="zh-CN"/>
              </w:rPr>
              <w:t>。</w:t>
            </w:r>
          </w:p>
          <w:p w14:paraId="2F62777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申请付款时必须提交以下文件和资料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合规发票。</w:t>
            </w:r>
          </w:p>
          <w:p w14:paraId="489778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、本项目实行电子开评标，获取竞争性磋商文件后，请供应商在“河南省公共资源交易中心（</w:t>
            </w:r>
            <w:r>
              <w:rPr>
                <w:rFonts w:hint="eastAsia" w:ascii="宋体" w:hAnsi="宋体" w:eastAsia="宋体" w:cs="宋体"/>
                <w:color w:val="auto"/>
                <w:sz w:val="21"/>
                <w:szCs w:val="21"/>
                <w:highlight w:val="none"/>
                <w:lang w:eastAsia="zh-CN"/>
              </w:rPr>
              <w:t>http://hnsggzyjy.henan.gov.cn/</w:t>
            </w:r>
            <w:r>
              <w:rPr>
                <w:rFonts w:hint="eastAsia" w:ascii="宋体" w:hAnsi="宋体" w:eastAsia="宋体" w:cs="宋体"/>
                <w:color w:val="auto"/>
                <w:sz w:val="21"/>
                <w:szCs w:val="21"/>
                <w:highlight w:val="none"/>
              </w:rPr>
              <w:t>）”首页</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公共服务--</w:t>
            </w:r>
            <w:r>
              <w:rPr>
                <w:rFonts w:hint="eastAsia" w:ascii="宋体" w:hAnsi="宋体" w:eastAsia="宋体" w:cs="宋体"/>
                <w:color w:val="auto"/>
                <w:kern w:val="0"/>
                <w:sz w:val="21"/>
                <w:szCs w:val="21"/>
                <w:highlight w:val="none"/>
              </w:rPr>
              <w:t>办事指南”专区的《新交易平台使用手册（培训资料）》</w:t>
            </w:r>
            <w:r>
              <w:rPr>
                <w:rFonts w:hint="eastAsia" w:ascii="宋体" w:hAnsi="宋体" w:eastAsia="宋体" w:cs="宋体"/>
                <w:color w:val="auto"/>
                <w:sz w:val="21"/>
                <w:szCs w:val="21"/>
                <w:highlight w:val="none"/>
              </w:rPr>
              <w:t>中下载最新版本的“投标文件制作工具安装包文件下载”，安装工具软件后，使用“文件查看工具”打开竞争性磋商文件认真阅读。制作电子响应文件时必须使用“投标文件制作软件”。</w:t>
            </w:r>
          </w:p>
          <w:p w14:paraId="68660E3C">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响应文件的上传：供应商（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）须使用电子交易系统提供的文件制作工具进行电子文件的制作，并按要求上传经CA锁签章和加密的电子文件（.hntf格式）。</w:t>
            </w:r>
          </w:p>
          <w:p w14:paraId="63752796">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、响应文件包括电子响应文件。</w:t>
            </w:r>
          </w:p>
          <w:p w14:paraId="14383B6D">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（1）电子版投标文件（.hntf格式或.nhntf格式）按照竞争性磋商文件要求在相应位置加盖电子签章。</w:t>
            </w:r>
          </w:p>
          <w:p w14:paraId="61AEEDB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（2）加密电子投标文件（.hntf格式），投标截止时间前通过“河南省公共资源交易中心（http://hnsggzyjy.henan.gov.cn/）”系统上传。</w:t>
            </w:r>
          </w:p>
          <w:p w14:paraId="57504B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、逾期上传/或者未上传/指定地点的响应文件，采购人不予受理。</w:t>
            </w:r>
          </w:p>
        </w:tc>
      </w:tr>
      <w:tr w14:paraId="779F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0798523B">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10.13</w:t>
            </w:r>
          </w:p>
        </w:tc>
        <w:tc>
          <w:tcPr>
            <w:tcW w:w="8591" w:type="dxa"/>
            <w:gridSpan w:val="2"/>
            <w:vAlign w:val="center"/>
          </w:tcPr>
          <w:p w14:paraId="098FDA20">
            <w:pPr>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履约验收</w:t>
            </w:r>
          </w:p>
        </w:tc>
      </w:tr>
      <w:tr w14:paraId="166B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112BD9CA">
            <w:pPr>
              <w:spacing w:line="460" w:lineRule="exact"/>
              <w:jc w:val="center"/>
              <w:rPr>
                <w:rFonts w:hint="eastAsia" w:ascii="宋体" w:hAnsi="宋体" w:eastAsia="宋体" w:cs="宋体"/>
                <w:color w:val="auto"/>
                <w:sz w:val="21"/>
                <w:szCs w:val="21"/>
                <w:highlight w:val="none"/>
              </w:rPr>
            </w:pPr>
          </w:p>
        </w:tc>
        <w:tc>
          <w:tcPr>
            <w:tcW w:w="8591" w:type="dxa"/>
            <w:gridSpan w:val="2"/>
            <w:vAlign w:val="center"/>
          </w:tcPr>
          <w:p w14:paraId="5594B44B">
            <w:pPr>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本项目采购人将严格按照政府采购相关法律法规的要求及河南工业和信息化职业学院采购项目履约验收管理办法进行验收。</w:t>
            </w:r>
          </w:p>
        </w:tc>
      </w:tr>
      <w:tr w14:paraId="3E4A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 w:type="dxa"/>
            <w:vAlign w:val="center"/>
          </w:tcPr>
          <w:p w14:paraId="0C310CBC">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14</w:t>
            </w:r>
          </w:p>
        </w:tc>
        <w:tc>
          <w:tcPr>
            <w:tcW w:w="8591" w:type="dxa"/>
            <w:gridSpan w:val="2"/>
            <w:vAlign w:val="center"/>
          </w:tcPr>
          <w:p w14:paraId="6A965AC2">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本项目采购标的对应的中小企业划分标准所属行业为：建筑业。</w:t>
            </w:r>
          </w:p>
          <w:p w14:paraId="25EC0684">
            <w:pPr>
              <w:pStyle w:val="45"/>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供应商根据《政府采购促进中小企业发展管理办法》（财库﹝2020﹞46 号）的规定执行，符合《工业和信息化部、国家统计局、国家发展和改革委员会、财政部关于印发中小企业划型标准规定的通知》（工信部联企业[2011]300 号）规定的划分标准（详见“第二章 供应商须知-附件2”），按照竞争性磋商文件要求填写中小微企业声明函。</w:t>
            </w:r>
          </w:p>
        </w:tc>
      </w:tr>
    </w:tbl>
    <w:p w14:paraId="206744E2">
      <w:pPr>
        <w:pStyle w:val="4"/>
        <w:spacing w:line="4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highlight w:val="none"/>
        </w:rPr>
        <w:br w:type="page"/>
      </w:r>
      <w:bookmarkStart w:id="20" w:name="_Toc24769"/>
      <w:bookmarkStart w:id="21" w:name="_Toc3520"/>
      <w:bookmarkStart w:id="22" w:name="_Toc152042358"/>
      <w:bookmarkStart w:id="23" w:name="_Toc179632599"/>
      <w:bookmarkStart w:id="24" w:name="_Toc152045581"/>
      <w:bookmarkStart w:id="25" w:name="_Toc144974548"/>
      <w:r>
        <w:rPr>
          <w:rFonts w:hint="eastAsia" w:ascii="宋体" w:hAnsi="宋体" w:eastAsia="宋体" w:cs="宋体"/>
          <w:color w:val="auto"/>
          <w:kern w:val="2"/>
          <w:sz w:val="24"/>
          <w:szCs w:val="24"/>
          <w:highlight w:val="none"/>
        </w:rPr>
        <w:t>（一）总则</w:t>
      </w:r>
      <w:bookmarkEnd w:id="20"/>
      <w:bookmarkEnd w:id="21"/>
    </w:p>
    <w:p w14:paraId="1E2268C2">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项目概况</w:t>
      </w:r>
    </w:p>
    <w:p w14:paraId="1BD8D55A">
      <w:pPr>
        <w:pStyle w:val="4"/>
        <w:spacing w:line="460" w:lineRule="exact"/>
        <w:ind w:left="210" w:leftChars="100" w:firstLine="357" w:firstLineChars="1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根据《中华人民共和国政府采购法》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《中华人民共和国政府采购法实施条例》等有关法律、法规和规章的规定，本项目已具备采购条件，现对本项目进行竞争性磋商。</w:t>
      </w:r>
    </w:p>
    <w:p w14:paraId="3C43F1D4">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本项目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采购人：见供应商须知前附表；</w:t>
      </w:r>
    </w:p>
    <w:p w14:paraId="2C19D67F">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本项目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采购代理机构：见供应商须知前附表；</w:t>
      </w:r>
    </w:p>
    <w:p w14:paraId="3AAE1096">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本项目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项目名称：见供应商须知前附表。</w:t>
      </w:r>
    </w:p>
    <w:p w14:paraId="64898131">
      <w:pPr>
        <w:pStyle w:val="4"/>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1.1.5 </w:t>
      </w:r>
      <w:r>
        <w:rPr>
          <w:rFonts w:hint="eastAsia" w:ascii="宋体" w:hAnsi="宋体" w:eastAsia="宋体" w:cs="宋体"/>
          <w:color w:val="auto"/>
          <w:sz w:val="21"/>
          <w:szCs w:val="21"/>
          <w:highlight w:val="none"/>
        </w:rPr>
        <w:t>本项目的</w:t>
      </w:r>
      <w:r>
        <w:rPr>
          <w:rFonts w:hint="eastAsia" w:ascii="宋体" w:hAnsi="宋体" w:eastAsia="宋体" w:cs="宋体"/>
          <w:color w:val="auto"/>
          <w:sz w:val="21"/>
          <w:szCs w:val="21"/>
          <w:highlight w:val="none"/>
          <w:lang w:val="en-US" w:eastAsia="zh-CN"/>
        </w:rPr>
        <w:t>建设地点：见供应商须知前附表；</w:t>
      </w:r>
    </w:p>
    <w:p w14:paraId="4D1AD3C9">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资金来源和落实情况</w:t>
      </w:r>
    </w:p>
    <w:p w14:paraId="1B90DDD8">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本项目的资金来源：见供应商须知前附表；</w:t>
      </w:r>
    </w:p>
    <w:p w14:paraId="01B406BA">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本项目的资金落实情况：见供应商须知前附表。</w:t>
      </w:r>
    </w:p>
    <w:p w14:paraId="07AC4173">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磋商范围、计划工期和质量标准</w:t>
      </w:r>
    </w:p>
    <w:p w14:paraId="5775940E">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本项目的磋商范围：见供应商须知前附表；</w:t>
      </w:r>
    </w:p>
    <w:p w14:paraId="0E8D859E">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1.3.2 </w:t>
      </w:r>
      <w:r>
        <w:rPr>
          <w:rFonts w:hint="eastAsia" w:ascii="宋体" w:hAnsi="宋体" w:eastAsia="宋体" w:cs="宋体"/>
          <w:color w:val="auto"/>
          <w:sz w:val="21"/>
          <w:szCs w:val="21"/>
          <w:highlight w:val="none"/>
        </w:rPr>
        <w:t>本项目的计划工期：见供应商须知前附表；</w:t>
      </w:r>
    </w:p>
    <w:p w14:paraId="50AA141D">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本项目的质量标准：见供应商须知前附表。</w:t>
      </w:r>
    </w:p>
    <w:p w14:paraId="5E8BC5CD">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供应商资格要求</w:t>
      </w:r>
    </w:p>
    <w:p w14:paraId="3625FF88">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供应商应具备承担本项目的资格要求、能力和信誉。</w:t>
      </w:r>
    </w:p>
    <w:p w14:paraId="75D4F249">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（1）满足《中华人民共和国政府采购法》第二十二条规定：见供应商须知前附表；</w:t>
      </w:r>
    </w:p>
    <w:p w14:paraId="7E75228E">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（2）企业资格要求：见供应商须知前附表；</w:t>
      </w:r>
    </w:p>
    <w:p w14:paraId="61CAC096">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（3）项目经理资格要求：见供应商须知前附表；</w:t>
      </w:r>
    </w:p>
    <w:p w14:paraId="335428BC">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）信誉要求：见供应商须知前附表；</w:t>
      </w:r>
    </w:p>
    <w:p w14:paraId="30EA5DC3">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）其他要求：见供应商须知前附表。</w:t>
      </w:r>
    </w:p>
    <w:p w14:paraId="02256FD7">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供应商须知前附表规定接受联合体磋商的，除应符合本章第1.4.1项和供应商须知前附表的要求外，还应遵守以下规定：</w:t>
      </w:r>
    </w:p>
    <w:p w14:paraId="63FD6607">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（1）联合体各方应按竞争性磋商文件提供的格式签订联合体协议书，明确联合体牵头人和各方权利义务；</w:t>
      </w:r>
    </w:p>
    <w:p w14:paraId="24970508">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（2）由同一专业的单位组成的联合体，按照资质等级较低的单位确定资质等级；</w:t>
      </w:r>
    </w:p>
    <w:p w14:paraId="7B61E362">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（3）联合体各方不得再以自己名义单独或参加其他联合体在同一标段中磋商。</w:t>
      </w:r>
    </w:p>
    <w:p w14:paraId="5DF8DBCB">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供应商不得存在下列情形之一：</w:t>
      </w:r>
    </w:p>
    <w:p w14:paraId="5442A189">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(l）为采购人不具有独立法人资格的附属机构（单位）；</w:t>
      </w:r>
    </w:p>
    <w:p w14:paraId="29BB388D">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(2）为本项目提供代理服务的；</w:t>
      </w:r>
    </w:p>
    <w:p w14:paraId="30F8C690">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(3）与本项目的采购人或采购代理机构同为一个法定代表人的；</w:t>
      </w:r>
    </w:p>
    <w:p w14:paraId="5CDF7FBF">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(4）与本项目的采购人或采购代理机构相互控股或参股的；</w:t>
      </w:r>
    </w:p>
    <w:p w14:paraId="1611E89A">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(5）与本项目的采购人或采购代理机构相互任职或工作的；</w:t>
      </w:r>
    </w:p>
    <w:p w14:paraId="3932699B">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(6）被责令停业的；</w:t>
      </w:r>
    </w:p>
    <w:p w14:paraId="3DEE1F99">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(7）被暂停或取消磋商资格的；</w:t>
      </w:r>
    </w:p>
    <w:p w14:paraId="5DDBF65C">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(8）财产被接管或冻结的；</w:t>
      </w:r>
    </w:p>
    <w:p w14:paraId="48ED426F">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(9）在最近三年内有骗取成交或严重违约或重大质量问题的。</w:t>
      </w:r>
    </w:p>
    <w:p w14:paraId="22658598">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费用承担</w:t>
      </w:r>
    </w:p>
    <w:p w14:paraId="2C9DCFC9">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供应商准备和参加磋商活动发生的费用自理。</w:t>
      </w:r>
    </w:p>
    <w:p w14:paraId="4FED62B5">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保密</w:t>
      </w:r>
    </w:p>
    <w:p w14:paraId="5DD43025">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参与竞争性磋商活动的各方应对竞争性磋商文件和响应文件中的商业和技术等秘密保密，违者应对由此造成的后果承担法律责任。</w:t>
      </w:r>
    </w:p>
    <w:p w14:paraId="65C136A6">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语言文字</w:t>
      </w:r>
    </w:p>
    <w:p w14:paraId="3F198621">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除专用术语外，与磋商有关的语言均使用中文。必要时专用术语应附有中文注释。</w:t>
      </w:r>
    </w:p>
    <w:p w14:paraId="35BB6008">
      <w:pPr>
        <w:pStyle w:val="4"/>
        <w:tabs>
          <w:tab w:val="left" w:pos="8015"/>
        </w:tabs>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1.8 计量单位</w:t>
      </w:r>
      <w:r>
        <w:rPr>
          <w:rFonts w:hint="eastAsia" w:ascii="宋体" w:hAnsi="宋体" w:eastAsia="宋体" w:cs="宋体"/>
          <w:color w:val="auto"/>
          <w:sz w:val="21"/>
          <w:szCs w:val="21"/>
          <w:highlight w:val="none"/>
          <w:lang w:eastAsia="zh-CN"/>
        </w:rPr>
        <w:tab/>
      </w:r>
    </w:p>
    <w:p w14:paraId="7224B3A2">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62E9063D">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 踏勘现场</w:t>
      </w:r>
    </w:p>
    <w:p w14:paraId="5CFFA548">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供应商须知前附表规定组织踏勘现场的，采购人按供应商须知前附表规定的时间、地点组织供应商踏勘项目现场。</w:t>
      </w:r>
    </w:p>
    <w:p w14:paraId="25730633">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供应商踏勘现场发生的费用自理。</w:t>
      </w:r>
    </w:p>
    <w:p w14:paraId="3BFD61F9">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除采购人的原因外，供应商自行负责在踏勘现场中所发生的人员伤亡和财产损失。</w:t>
      </w:r>
    </w:p>
    <w:p w14:paraId="65359D59">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 采购人在踏勘现场中介绍的工程场地和相关的周边环境情况，供应商在编制响应文件时参考，采购人不对供应商据此作出的判断和决策负责。</w:t>
      </w:r>
    </w:p>
    <w:p w14:paraId="5F88B847">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磋商预备会</w:t>
      </w:r>
    </w:p>
    <w:p w14:paraId="1403478B">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 供应商须知前附表规定召开磋商预备会的，采购人按供应商须知前附表规定的时间和地点召开磋商预备会，澄清供应商提出的问题。</w:t>
      </w:r>
    </w:p>
    <w:p w14:paraId="524EDA4F">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 供应商应按供应商须知前附表规定的时间和形式将提出的问题送达采购人，以便采购人在会议期间澄清。</w:t>
      </w:r>
    </w:p>
    <w:p w14:paraId="3F7F4E4A">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 磋商预备会后，采购人在供应商须知前附表规定的时间内，将对供应商所提问题的澄清，以供应商须知前附表规定的形式通知所有</w:t>
      </w:r>
      <w:r>
        <w:rPr>
          <w:rFonts w:hint="eastAsia" w:ascii="宋体" w:hAnsi="宋体" w:eastAsia="宋体" w:cs="宋体"/>
          <w:color w:val="auto"/>
          <w:sz w:val="21"/>
          <w:szCs w:val="21"/>
          <w:highlight w:val="none"/>
          <w:lang w:eastAsia="zh-CN"/>
        </w:rPr>
        <w:t>下载</w:t>
      </w:r>
      <w:r>
        <w:rPr>
          <w:rFonts w:hint="eastAsia" w:ascii="宋体" w:hAnsi="宋体" w:eastAsia="宋体" w:cs="宋体"/>
          <w:color w:val="auto"/>
          <w:sz w:val="21"/>
          <w:szCs w:val="21"/>
          <w:highlight w:val="none"/>
        </w:rPr>
        <w:t>竞争性磋商文件的供应商。该澄清内容为竞争性磋商文件的组成部分。</w:t>
      </w:r>
    </w:p>
    <w:p w14:paraId="33CAB3EC">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分包</w:t>
      </w:r>
    </w:p>
    <w:p w14:paraId="26404EFE">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本项目不允许分包。</w:t>
      </w:r>
    </w:p>
    <w:p w14:paraId="674CF278">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偏离</w:t>
      </w:r>
    </w:p>
    <w:p w14:paraId="45710CFA">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供应商须知前附表允许响应文件偏离竞争性磋商文件某些要求的，偏离应当符合竞争性磋商文件规定的偏离范围和幅度。</w:t>
      </w:r>
    </w:p>
    <w:p w14:paraId="5CC2C786">
      <w:pPr>
        <w:pStyle w:val="52"/>
        <w:spacing w:line="460" w:lineRule="exact"/>
        <w:jc w:val="center"/>
        <w:outlineLvl w:val="9"/>
        <w:rPr>
          <w:rFonts w:hint="eastAsia" w:ascii="宋体" w:hAnsi="宋体" w:eastAsia="宋体" w:cs="宋体"/>
          <w:color w:val="auto"/>
          <w:highlight w:val="none"/>
        </w:rPr>
      </w:pPr>
      <w:bookmarkStart w:id="26" w:name="_Toc14308"/>
      <w:bookmarkStart w:id="27" w:name="_Toc30807"/>
      <w:bookmarkStart w:id="28" w:name="_Toc7560"/>
      <w:bookmarkStart w:id="29" w:name="_Toc13145"/>
      <w:bookmarkStart w:id="30" w:name="_Toc2267"/>
      <w:bookmarkStart w:id="31" w:name="_Toc2384"/>
      <w:bookmarkStart w:id="32" w:name="_Toc16737"/>
      <w:bookmarkStart w:id="33" w:name="_Toc31269"/>
      <w:r>
        <w:rPr>
          <w:rFonts w:hint="eastAsia" w:ascii="宋体" w:hAnsi="宋体" w:eastAsia="宋体" w:cs="宋体"/>
          <w:color w:val="auto"/>
          <w:highlight w:val="none"/>
        </w:rPr>
        <w:t>（二）</w:t>
      </w:r>
      <w:bookmarkEnd w:id="26"/>
      <w:bookmarkEnd w:id="27"/>
      <w:r>
        <w:rPr>
          <w:rFonts w:hint="eastAsia" w:ascii="宋体" w:hAnsi="宋体" w:eastAsia="宋体" w:cs="宋体"/>
          <w:color w:val="auto"/>
          <w:highlight w:val="none"/>
        </w:rPr>
        <w:t>竞争性磋商文件</w:t>
      </w:r>
      <w:bookmarkEnd w:id="28"/>
      <w:bookmarkEnd w:id="29"/>
      <w:bookmarkEnd w:id="30"/>
      <w:bookmarkEnd w:id="31"/>
      <w:bookmarkEnd w:id="32"/>
      <w:bookmarkEnd w:id="33"/>
    </w:p>
    <w:p w14:paraId="75859A3A">
      <w:pPr>
        <w:pStyle w:val="4"/>
        <w:spacing w:line="460" w:lineRule="exact"/>
        <w:rPr>
          <w:rFonts w:hint="eastAsia" w:ascii="宋体" w:hAnsi="宋体" w:eastAsia="宋体" w:cs="宋体"/>
          <w:color w:val="auto"/>
          <w:sz w:val="21"/>
          <w:szCs w:val="21"/>
          <w:highlight w:val="none"/>
        </w:rPr>
      </w:pPr>
      <w:bookmarkStart w:id="34" w:name="_Toc19647833"/>
      <w:bookmarkStart w:id="35" w:name="_Toc25940"/>
      <w:bookmarkStart w:id="36" w:name="_Toc7159"/>
      <w:bookmarkStart w:id="37" w:name="_Toc18563"/>
      <w:r>
        <w:rPr>
          <w:rFonts w:hint="eastAsia" w:ascii="宋体" w:hAnsi="宋体" w:eastAsia="宋体" w:cs="宋体"/>
          <w:color w:val="auto"/>
          <w:sz w:val="21"/>
          <w:szCs w:val="21"/>
          <w:highlight w:val="none"/>
        </w:rPr>
        <w:t>2.1 竞争性磋商文件的组成</w:t>
      </w:r>
      <w:bookmarkEnd w:id="34"/>
      <w:bookmarkEnd w:id="35"/>
      <w:bookmarkEnd w:id="36"/>
      <w:bookmarkEnd w:id="37"/>
    </w:p>
    <w:p w14:paraId="0DFD3481">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本竞争性磋商文件包括：详见“竞争性磋商文件目录”。</w:t>
      </w:r>
    </w:p>
    <w:p w14:paraId="2E2082DA">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款对竞争性磋商文件所作的澄清、修改，构成竞争性磋商文件的组成部分。</w:t>
      </w:r>
    </w:p>
    <w:p w14:paraId="3CF495AE">
      <w:pPr>
        <w:pStyle w:val="4"/>
        <w:spacing w:line="460" w:lineRule="exact"/>
        <w:rPr>
          <w:rFonts w:hint="eastAsia" w:ascii="宋体" w:hAnsi="宋体" w:eastAsia="宋体" w:cs="宋体"/>
          <w:color w:val="auto"/>
          <w:sz w:val="21"/>
          <w:szCs w:val="21"/>
          <w:highlight w:val="none"/>
        </w:rPr>
      </w:pPr>
      <w:bookmarkStart w:id="38" w:name="_Toc14211"/>
      <w:bookmarkStart w:id="39" w:name="_Toc143"/>
      <w:bookmarkStart w:id="40" w:name="_Toc19647834"/>
      <w:bookmarkStart w:id="41" w:name="_Toc19065"/>
      <w:r>
        <w:rPr>
          <w:rFonts w:hint="eastAsia" w:ascii="宋体" w:hAnsi="宋体" w:eastAsia="宋体" w:cs="宋体"/>
          <w:color w:val="auto"/>
          <w:sz w:val="21"/>
          <w:szCs w:val="21"/>
          <w:highlight w:val="none"/>
        </w:rPr>
        <w:t>2.2 竞争性磋商文件的澄清</w:t>
      </w:r>
      <w:bookmarkEnd w:id="38"/>
      <w:bookmarkEnd w:id="39"/>
      <w:bookmarkEnd w:id="40"/>
      <w:bookmarkEnd w:id="41"/>
    </w:p>
    <w:p w14:paraId="0CE804C4">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供应商应仔细阅读和检查竞争性磋商文件的全部内容。如发现缺页或附件不全，应及时向采购人提出，以便补齐。如有疑问，应在供应商须知前附表规定的时间前通过河南省公共资源交易中心电子系统发布，要求采购人对竞争性磋商文件予以澄清。</w:t>
      </w:r>
    </w:p>
    <w:p w14:paraId="0B981975">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竞争性磋商文件的澄清以供应商须知前附表规定的形式发给所有领取竞争性磋商文件的供应商，但不指明澄清问题的来源。如果澄清发出的时间距响应文件递交截止时间不足5天，相应延长响应文件递交截止时间。</w:t>
      </w:r>
    </w:p>
    <w:p w14:paraId="6430D842">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bookmarkStart w:id="42" w:name="_Toc12529"/>
      <w:bookmarkStart w:id="43" w:name="_Toc19647835"/>
      <w:bookmarkStart w:id="44" w:name="_Toc30897"/>
      <w:bookmarkStart w:id="45" w:name="_Toc32589"/>
      <w:r>
        <w:rPr>
          <w:rFonts w:hint="eastAsia" w:ascii="宋体" w:hAnsi="宋体" w:eastAsia="宋体" w:cs="宋体"/>
          <w:color w:val="auto"/>
          <w:sz w:val="21"/>
          <w:szCs w:val="21"/>
          <w:highlight w:val="none"/>
        </w:rPr>
        <w:t>供应商在收到澄清后，应在供应商须知前附表规定的时间内通过河南省公共资源交易中心电子系统通知采购人，确认已收到该澄清。</w:t>
      </w:r>
    </w:p>
    <w:p w14:paraId="2F8D7BB7">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 磋商澄清内容是竞争性磋商文件的组成部分，澄清内容在河南省公共资源交易中心平台发布，视作已送达所有供应商，并对供应商具有约束力。</w:t>
      </w:r>
    </w:p>
    <w:p w14:paraId="408248B3">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 因“河南省公共资源交易中心”电子交易平台在响应文件递交截止时间前具有保密性，供应商在磋商截止时间前须自行查看项目进展、下载竞争性磋商文件的澄清等，因供应商未及时查看和下载而造成的后果自负。</w:t>
      </w:r>
    </w:p>
    <w:p w14:paraId="7829F0E3">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竞争性磋商文件的修改</w:t>
      </w:r>
      <w:bookmarkEnd w:id="42"/>
      <w:bookmarkEnd w:id="43"/>
      <w:bookmarkEnd w:id="44"/>
      <w:bookmarkEnd w:id="45"/>
    </w:p>
    <w:p w14:paraId="784441B7">
      <w:pPr>
        <w:pStyle w:val="4"/>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采购人以供应商须知前附表规定的形式修改竞争性磋商文件，并通知所有已领取竞争性磋商文件的供应商。如果修改竞争性磋商文件的时间距响应文件递交截止时间不足5天，相应延长响应文件递交截止时间。</w:t>
      </w:r>
    </w:p>
    <w:p w14:paraId="4414D3F9">
      <w:pPr>
        <w:pStyle w:val="4"/>
        <w:spacing w:line="460" w:lineRule="exact"/>
        <w:rPr>
          <w:rFonts w:hint="eastAsia" w:ascii="宋体" w:hAnsi="宋体" w:eastAsia="宋体" w:cs="宋体"/>
          <w:color w:val="auto"/>
          <w:sz w:val="21"/>
          <w:szCs w:val="21"/>
          <w:highlight w:val="none"/>
        </w:rPr>
      </w:pPr>
      <w:bookmarkStart w:id="46" w:name="_Toc4561"/>
      <w:bookmarkStart w:id="47" w:name="_Toc521"/>
      <w:bookmarkStart w:id="48" w:name="_Toc27979"/>
      <w:bookmarkStart w:id="49" w:name="_Toc22407"/>
      <w:bookmarkStart w:id="50" w:name="_Toc1080"/>
      <w:bookmarkStart w:id="51" w:name="_Toc30139"/>
      <w:r>
        <w:rPr>
          <w:rFonts w:hint="eastAsia" w:ascii="宋体" w:hAnsi="宋体" w:eastAsia="宋体" w:cs="宋体"/>
          <w:color w:val="auto"/>
          <w:sz w:val="21"/>
          <w:szCs w:val="21"/>
          <w:highlight w:val="none"/>
        </w:rPr>
        <w:t>2.3.2 供应商收到修改内容后，应按供应商须知前附表规定的时间和形式通知采购人，确认已收到该修改。</w:t>
      </w:r>
      <w:bookmarkEnd w:id="46"/>
      <w:bookmarkEnd w:id="47"/>
      <w:bookmarkEnd w:id="48"/>
      <w:bookmarkEnd w:id="49"/>
      <w:bookmarkEnd w:id="50"/>
      <w:bookmarkEnd w:id="51"/>
    </w:p>
    <w:p w14:paraId="22FFFB3F">
      <w:pPr>
        <w:pStyle w:val="52"/>
        <w:spacing w:line="460" w:lineRule="exact"/>
        <w:jc w:val="center"/>
        <w:outlineLvl w:val="9"/>
        <w:rPr>
          <w:rFonts w:hint="eastAsia" w:ascii="宋体" w:hAnsi="宋体" w:eastAsia="宋体" w:cs="宋体"/>
          <w:color w:val="auto"/>
          <w:highlight w:val="none"/>
        </w:rPr>
      </w:pPr>
      <w:bookmarkStart w:id="52" w:name="_Toc11598"/>
      <w:bookmarkStart w:id="53" w:name="_Toc9329"/>
      <w:bookmarkStart w:id="54" w:name="_Toc26264"/>
      <w:bookmarkStart w:id="55" w:name="_Toc30247"/>
      <w:bookmarkStart w:id="56" w:name="_Toc1541"/>
      <w:bookmarkStart w:id="57" w:name="_Toc30025"/>
      <w:bookmarkStart w:id="58" w:name="_Toc26546"/>
      <w:bookmarkStart w:id="59" w:name="_Toc18494"/>
      <w:r>
        <w:rPr>
          <w:rFonts w:hint="eastAsia" w:ascii="宋体" w:hAnsi="宋体" w:eastAsia="宋体" w:cs="宋体"/>
          <w:color w:val="auto"/>
          <w:highlight w:val="none"/>
        </w:rPr>
        <w:t>（三）响应文件的编制</w:t>
      </w:r>
      <w:bookmarkEnd w:id="52"/>
      <w:bookmarkEnd w:id="53"/>
      <w:bookmarkEnd w:id="54"/>
      <w:bookmarkEnd w:id="55"/>
      <w:bookmarkEnd w:id="56"/>
      <w:bookmarkEnd w:id="57"/>
      <w:bookmarkEnd w:id="58"/>
      <w:bookmarkEnd w:id="59"/>
    </w:p>
    <w:p w14:paraId="2A916ECF">
      <w:pPr>
        <w:pStyle w:val="4"/>
        <w:spacing w:line="460" w:lineRule="exact"/>
        <w:ind w:firstLine="420" w:firstLineChars="200"/>
        <w:rPr>
          <w:rFonts w:hint="eastAsia" w:ascii="宋体" w:hAnsi="宋体" w:eastAsia="宋体" w:cs="宋体"/>
          <w:color w:val="auto"/>
          <w:sz w:val="21"/>
          <w:szCs w:val="21"/>
          <w:highlight w:val="none"/>
        </w:rPr>
      </w:pPr>
      <w:bookmarkStart w:id="60" w:name="_Toc1870"/>
      <w:bookmarkStart w:id="61" w:name="_Toc6038"/>
      <w:bookmarkStart w:id="62" w:name="_Toc19647837"/>
      <w:bookmarkStart w:id="63" w:name="_Toc27684"/>
      <w:r>
        <w:rPr>
          <w:rFonts w:hint="eastAsia" w:ascii="宋体" w:hAnsi="宋体" w:eastAsia="宋体" w:cs="宋体"/>
          <w:color w:val="auto"/>
          <w:sz w:val="21"/>
          <w:szCs w:val="21"/>
          <w:highlight w:val="none"/>
        </w:rPr>
        <w:t>3.1 响应文件的组成</w:t>
      </w:r>
      <w:bookmarkEnd w:id="60"/>
      <w:bookmarkEnd w:id="61"/>
      <w:bookmarkEnd w:id="62"/>
      <w:bookmarkEnd w:id="63"/>
    </w:p>
    <w:p w14:paraId="49A095D7">
      <w:pPr>
        <w:pStyle w:val="4"/>
        <w:spacing w:line="460" w:lineRule="exact"/>
        <w:ind w:firstLine="420" w:firstLineChars="200"/>
        <w:rPr>
          <w:rFonts w:hint="eastAsia" w:ascii="宋体" w:hAnsi="宋体" w:eastAsia="宋体" w:cs="宋体"/>
          <w:color w:val="auto"/>
          <w:sz w:val="21"/>
          <w:szCs w:val="21"/>
          <w:highlight w:val="none"/>
        </w:rPr>
      </w:pPr>
      <w:bookmarkStart w:id="64" w:name="_Toc4117"/>
      <w:bookmarkStart w:id="65" w:name="_Toc24060"/>
      <w:bookmarkStart w:id="66" w:name="_Toc28652"/>
      <w:bookmarkStart w:id="67" w:name="_Toc27829"/>
      <w:bookmarkStart w:id="68" w:name="_Toc19650"/>
      <w:bookmarkStart w:id="69" w:name="_Toc4393"/>
      <w:r>
        <w:rPr>
          <w:rFonts w:hint="eastAsia" w:ascii="宋体" w:hAnsi="宋体" w:eastAsia="宋体" w:cs="宋体"/>
          <w:color w:val="auto"/>
          <w:sz w:val="21"/>
          <w:szCs w:val="21"/>
          <w:highlight w:val="none"/>
        </w:rPr>
        <w:t>3.1.1 响应文件应包括下列内容：</w:t>
      </w:r>
      <w:bookmarkEnd w:id="64"/>
      <w:bookmarkEnd w:id="65"/>
      <w:bookmarkEnd w:id="66"/>
      <w:bookmarkEnd w:id="67"/>
      <w:bookmarkEnd w:id="68"/>
      <w:bookmarkEnd w:id="69"/>
      <w:bookmarkStart w:id="70" w:name="_Toc2292"/>
      <w:bookmarkStart w:id="71" w:name="_Toc29223"/>
      <w:bookmarkStart w:id="72" w:name="_Toc19734"/>
      <w:bookmarkStart w:id="73" w:name="_Toc19647838"/>
      <w:r>
        <w:rPr>
          <w:rFonts w:hint="eastAsia" w:ascii="宋体" w:hAnsi="宋体" w:eastAsia="宋体" w:cs="宋体"/>
          <w:color w:val="auto"/>
          <w:sz w:val="21"/>
          <w:szCs w:val="21"/>
          <w:highlight w:val="none"/>
        </w:rPr>
        <w:t>详见响应文件格式目录。</w:t>
      </w:r>
    </w:p>
    <w:p w14:paraId="1A601517">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磋商报价</w:t>
      </w:r>
      <w:bookmarkEnd w:id="70"/>
      <w:bookmarkEnd w:id="71"/>
      <w:bookmarkEnd w:id="72"/>
      <w:bookmarkEnd w:id="73"/>
    </w:p>
    <w:p w14:paraId="45DF3E49">
      <w:pPr>
        <w:pStyle w:val="4"/>
        <w:spacing w:line="460" w:lineRule="exact"/>
        <w:ind w:firstLine="420" w:firstLineChars="200"/>
        <w:rPr>
          <w:rFonts w:hint="eastAsia" w:ascii="宋体" w:hAnsi="宋体" w:eastAsia="宋体" w:cs="宋体"/>
          <w:color w:val="auto"/>
          <w:sz w:val="21"/>
          <w:szCs w:val="21"/>
          <w:highlight w:val="none"/>
        </w:rPr>
      </w:pPr>
      <w:bookmarkStart w:id="74" w:name="_Toc2034"/>
      <w:r>
        <w:rPr>
          <w:rFonts w:hint="eastAsia" w:ascii="宋体" w:hAnsi="宋体" w:eastAsia="宋体" w:cs="宋体"/>
          <w:color w:val="auto"/>
          <w:sz w:val="21"/>
          <w:szCs w:val="21"/>
          <w:highlight w:val="none"/>
        </w:rPr>
        <w:t>3.2.1 供应商应按第五章“工程量清单”的要求填写相应表格。</w:t>
      </w:r>
    </w:p>
    <w:p w14:paraId="09A3E164">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供应商在响应文件递交截止时间前修改报价函中的磋商报价，应同时修改“五、已标价工程量清单”中的相应报价。此修改须符合本章第4.3 款的有关要求。</w:t>
      </w:r>
    </w:p>
    <w:p w14:paraId="1083206B">
      <w:pPr>
        <w:spacing w:line="4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3.2.3 所有完成合同要求及磋商文件第七章“技术标准和要求”中规定的内容的费用，以及应有供应商缴纳的费用都应包含在供应商报价中，采购人不再另外支付。</w:t>
      </w:r>
    </w:p>
    <w:p w14:paraId="65DCBD74">
      <w:pPr>
        <w:pStyle w:val="4"/>
        <w:spacing w:line="460" w:lineRule="exact"/>
        <w:ind w:firstLine="420" w:firstLineChars="200"/>
        <w:rPr>
          <w:rFonts w:hint="eastAsia" w:ascii="宋体" w:hAnsi="宋体" w:eastAsia="宋体" w:cs="宋体"/>
          <w:color w:val="auto"/>
          <w:sz w:val="21"/>
          <w:szCs w:val="21"/>
          <w:highlight w:val="none"/>
        </w:rPr>
      </w:pPr>
      <w:bookmarkStart w:id="75" w:name="_Toc363"/>
      <w:bookmarkStart w:id="76" w:name="_Toc19647839"/>
      <w:bookmarkStart w:id="77" w:name="_Toc3699"/>
      <w:r>
        <w:rPr>
          <w:rFonts w:hint="eastAsia" w:ascii="宋体" w:hAnsi="宋体" w:eastAsia="宋体" w:cs="宋体"/>
          <w:color w:val="auto"/>
          <w:sz w:val="21"/>
          <w:szCs w:val="21"/>
          <w:highlight w:val="none"/>
        </w:rPr>
        <w:t>3.3 磋商有效期</w:t>
      </w:r>
      <w:bookmarkEnd w:id="74"/>
      <w:bookmarkEnd w:id="75"/>
      <w:bookmarkEnd w:id="76"/>
      <w:bookmarkEnd w:id="77"/>
    </w:p>
    <w:p w14:paraId="6769727E">
      <w:pPr>
        <w:pStyle w:val="4"/>
        <w:spacing w:line="460" w:lineRule="exact"/>
        <w:ind w:firstLine="420" w:firstLineChars="200"/>
        <w:rPr>
          <w:rFonts w:hint="eastAsia" w:ascii="宋体" w:hAnsi="宋体" w:eastAsia="宋体" w:cs="宋体"/>
          <w:color w:val="auto"/>
          <w:sz w:val="21"/>
          <w:szCs w:val="21"/>
          <w:highlight w:val="none"/>
        </w:rPr>
      </w:pPr>
      <w:bookmarkStart w:id="78" w:name="_Toc27838"/>
      <w:bookmarkStart w:id="79" w:name="_Toc26803"/>
      <w:bookmarkStart w:id="80" w:name="_Toc19454"/>
      <w:bookmarkStart w:id="81" w:name="_Toc23418"/>
      <w:bookmarkStart w:id="82" w:name="_Toc26919"/>
      <w:bookmarkStart w:id="83" w:name="_Toc23434"/>
      <w:r>
        <w:rPr>
          <w:rFonts w:hint="eastAsia" w:ascii="宋体" w:hAnsi="宋体" w:eastAsia="宋体" w:cs="宋体"/>
          <w:color w:val="auto"/>
          <w:sz w:val="21"/>
          <w:szCs w:val="21"/>
          <w:highlight w:val="none"/>
        </w:rPr>
        <w:t>3.3.1 在供应商须知前附表规定的磋商有效期内，供应商不得要求撤销或修改其响应文件。</w:t>
      </w:r>
      <w:bookmarkEnd w:id="78"/>
      <w:bookmarkEnd w:id="79"/>
      <w:bookmarkEnd w:id="80"/>
      <w:bookmarkEnd w:id="81"/>
      <w:bookmarkEnd w:id="82"/>
      <w:bookmarkEnd w:id="83"/>
    </w:p>
    <w:p w14:paraId="4D19DDD5">
      <w:pPr>
        <w:pStyle w:val="4"/>
        <w:spacing w:line="460" w:lineRule="exact"/>
        <w:ind w:firstLine="420" w:firstLineChars="200"/>
        <w:rPr>
          <w:rFonts w:hint="eastAsia" w:ascii="宋体" w:hAnsi="宋体" w:eastAsia="宋体" w:cs="宋体"/>
          <w:color w:val="auto"/>
          <w:sz w:val="21"/>
          <w:szCs w:val="21"/>
          <w:highlight w:val="none"/>
        </w:rPr>
      </w:pPr>
      <w:bookmarkStart w:id="84" w:name="_Toc7056"/>
      <w:bookmarkStart w:id="85" w:name="_Toc856"/>
      <w:bookmarkStart w:id="86" w:name="_Toc28425"/>
      <w:bookmarkStart w:id="87" w:name="_Toc4294"/>
      <w:bookmarkStart w:id="88" w:name="_Toc3426"/>
      <w:bookmarkStart w:id="89" w:name="_Toc13535"/>
      <w:r>
        <w:rPr>
          <w:rFonts w:hint="eastAsia" w:ascii="宋体" w:hAnsi="宋体" w:eastAsia="宋体" w:cs="宋体"/>
          <w:color w:val="auto"/>
          <w:sz w:val="21"/>
          <w:szCs w:val="21"/>
          <w:highlight w:val="none"/>
        </w:rPr>
        <w:t>3.3.2 出现特殊情况需要延长磋商有效期的，采购人通过河南省公共资源交易中心电子系统通知所有供应商延长磋商有效期。</w:t>
      </w:r>
      <w:bookmarkEnd w:id="84"/>
      <w:bookmarkEnd w:id="85"/>
      <w:bookmarkEnd w:id="86"/>
      <w:bookmarkEnd w:id="87"/>
      <w:bookmarkEnd w:id="88"/>
      <w:bookmarkEnd w:id="89"/>
    </w:p>
    <w:p w14:paraId="0FBFBCA8">
      <w:pPr>
        <w:pStyle w:val="4"/>
        <w:spacing w:line="460" w:lineRule="exact"/>
        <w:ind w:firstLine="420" w:firstLineChars="200"/>
        <w:rPr>
          <w:rFonts w:hint="eastAsia" w:ascii="宋体" w:hAnsi="宋体" w:eastAsia="宋体" w:cs="宋体"/>
          <w:color w:val="auto"/>
          <w:sz w:val="21"/>
          <w:szCs w:val="21"/>
          <w:highlight w:val="none"/>
        </w:rPr>
      </w:pPr>
      <w:bookmarkStart w:id="90" w:name="_Toc19647840"/>
      <w:bookmarkStart w:id="91" w:name="_Toc31711"/>
      <w:bookmarkStart w:id="92" w:name="_Toc10151"/>
      <w:bookmarkStart w:id="93" w:name="_Toc15790"/>
      <w:r>
        <w:rPr>
          <w:rFonts w:hint="eastAsia" w:ascii="宋体" w:hAnsi="宋体" w:eastAsia="宋体" w:cs="宋体"/>
          <w:color w:val="auto"/>
          <w:sz w:val="21"/>
          <w:szCs w:val="21"/>
          <w:highlight w:val="none"/>
        </w:rPr>
        <w:t>3.4 磋商</w:t>
      </w:r>
      <w:bookmarkEnd w:id="90"/>
      <w:bookmarkEnd w:id="91"/>
      <w:bookmarkEnd w:id="92"/>
      <w:bookmarkEnd w:id="93"/>
      <w:r>
        <w:rPr>
          <w:rFonts w:hint="eastAsia" w:ascii="宋体" w:hAnsi="宋体" w:eastAsia="宋体" w:cs="宋体"/>
          <w:color w:val="auto"/>
          <w:sz w:val="21"/>
          <w:szCs w:val="21"/>
          <w:highlight w:val="none"/>
        </w:rPr>
        <w:t>保证金</w:t>
      </w:r>
    </w:p>
    <w:p w14:paraId="6AF2C0AD">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本项目不收取磋商保证金，具体要求见供应商须知前附表，并作为其响应文件的组成部分。</w:t>
      </w:r>
    </w:p>
    <w:p w14:paraId="12935C3D">
      <w:pPr>
        <w:pStyle w:val="4"/>
        <w:spacing w:line="460" w:lineRule="exact"/>
        <w:ind w:firstLine="420" w:firstLineChars="200"/>
        <w:rPr>
          <w:rFonts w:hint="eastAsia" w:ascii="宋体" w:hAnsi="宋体" w:eastAsia="宋体" w:cs="宋体"/>
          <w:color w:val="auto"/>
          <w:sz w:val="21"/>
          <w:szCs w:val="21"/>
          <w:highlight w:val="none"/>
        </w:rPr>
      </w:pPr>
      <w:bookmarkStart w:id="94" w:name="_Toc20745"/>
      <w:bookmarkStart w:id="95" w:name="_Toc19647841"/>
      <w:bookmarkStart w:id="96" w:name="_Toc14475"/>
      <w:bookmarkStart w:id="97" w:name="_Toc5042"/>
      <w:r>
        <w:rPr>
          <w:rFonts w:hint="eastAsia" w:ascii="宋体" w:hAnsi="宋体" w:eastAsia="宋体" w:cs="宋体"/>
          <w:color w:val="auto"/>
          <w:sz w:val="21"/>
          <w:szCs w:val="21"/>
          <w:highlight w:val="none"/>
        </w:rPr>
        <w:t>3.5 资格审查资料</w:t>
      </w:r>
      <w:bookmarkEnd w:id="94"/>
      <w:bookmarkEnd w:id="95"/>
      <w:bookmarkEnd w:id="96"/>
      <w:bookmarkEnd w:id="97"/>
    </w:p>
    <w:p w14:paraId="060CAC41">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 “供应商基本情况表”应附供应商营业执照、资质证书和安全生产许可证等材料的复印件。</w:t>
      </w:r>
    </w:p>
    <w:p w14:paraId="2C7F455C">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 “近年发生的诉讼及仲裁情况”应说明相关情况，并附法院或仲裁机构作出的判决、裁决等有关法律文书复印件，具体年份要求见供应商须知前附表。</w:t>
      </w:r>
    </w:p>
    <w:p w14:paraId="113B29DA">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 供应商须知前附表规定接受联合体磋商的，本章第3.5.1 项至第3.5.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项规定的表格和资料应包括联合体各方相关情况。</w:t>
      </w:r>
    </w:p>
    <w:p w14:paraId="4E9E22FE">
      <w:pPr>
        <w:pStyle w:val="4"/>
        <w:spacing w:line="460" w:lineRule="exact"/>
        <w:ind w:firstLine="420" w:firstLineChars="200"/>
        <w:rPr>
          <w:rFonts w:hint="eastAsia" w:ascii="宋体" w:hAnsi="宋体" w:eastAsia="宋体" w:cs="宋体"/>
          <w:color w:val="auto"/>
          <w:sz w:val="21"/>
          <w:szCs w:val="21"/>
          <w:highlight w:val="none"/>
        </w:rPr>
      </w:pPr>
      <w:bookmarkStart w:id="98" w:name="_Toc19647842"/>
      <w:bookmarkStart w:id="99" w:name="_Toc17702"/>
      <w:bookmarkStart w:id="100" w:name="_Toc28024"/>
      <w:bookmarkStart w:id="101" w:name="_Toc13486"/>
      <w:bookmarkStart w:id="102" w:name="_Toc30735"/>
      <w:r>
        <w:rPr>
          <w:rFonts w:hint="eastAsia" w:ascii="宋体" w:hAnsi="宋体" w:eastAsia="宋体" w:cs="宋体"/>
          <w:color w:val="auto"/>
          <w:sz w:val="21"/>
          <w:szCs w:val="21"/>
          <w:highlight w:val="none"/>
        </w:rPr>
        <w:t>3.6 备选磋商方案</w:t>
      </w:r>
      <w:bookmarkEnd w:id="98"/>
      <w:bookmarkEnd w:id="99"/>
      <w:bookmarkEnd w:id="100"/>
      <w:bookmarkEnd w:id="101"/>
      <w:bookmarkEnd w:id="102"/>
    </w:p>
    <w:p w14:paraId="5111FB31">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供应商须知前附表另有规定外，供应商不得递交备选磋商方案。允许供应商递交备选磋商方案的，只有成交人所递交的备选磋商方案方可予以考虑。磋商小组成员认为成交人的备选磋商方案优于其按照竞争性磋商文件要求编制的磋商方案的，采购人可以接受该备选磋商方案。</w:t>
      </w:r>
    </w:p>
    <w:p w14:paraId="17AA1A04">
      <w:pPr>
        <w:pStyle w:val="4"/>
        <w:spacing w:line="460" w:lineRule="exact"/>
        <w:ind w:firstLine="420" w:firstLineChars="200"/>
        <w:rPr>
          <w:rFonts w:hint="eastAsia" w:ascii="宋体" w:hAnsi="宋体" w:eastAsia="宋体" w:cs="宋体"/>
          <w:color w:val="auto"/>
          <w:sz w:val="21"/>
          <w:szCs w:val="21"/>
          <w:highlight w:val="none"/>
        </w:rPr>
      </w:pPr>
      <w:bookmarkStart w:id="103" w:name="_Toc29659"/>
      <w:bookmarkStart w:id="104" w:name="_Toc29485"/>
      <w:bookmarkStart w:id="105" w:name="_Toc30692"/>
      <w:bookmarkStart w:id="106" w:name="_Toc19647843"/>
      <w:r>
        <w:rPr>
          <w:rFonts w:hint="eastAsia" w:ascii="宋体" w:hAnsi="宋体" w:eastAsia="宋体" w:cs="宋体"/>
          <w:color w:val="auto"/>
          <w:sz w:val="21"/>
          <w:szCs w:val="21"/>
          <w:highlight w:val="none"/>
        </w:rPr>
        <w:t>3.7 响应文件的编制</w:t>
      </w:r>
      <w:bookmarkEnd w:id="103"/>
      <w:bookmarkEnd w:id="104"/>
      <w:bookmarkEnd w:id="105"/>
      <w:bookmarkEnd w:id="106"/>
    </w:p>
    <w:p w14:paraId="79416BA0">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 响应文件应按第八章“响应文件格式”进行编写，如有必要，可以增加附页，作为响应文件的组成部分。其中，报价函附录在满足竞争性磋商文件实质性要求的基础上，可以提出比竞争性磋商文件要求更有利于采购人的承诺。</w:t>
      </w:r>
    </w:p>
    <w:p w14:paraId="24650D71">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响应文件应当对竞争性磋商文件</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rPr>
        <w:t>工期、磋商有效期、磋商范围、质量标准等实质性内容作出响应。</w:t>
      </w:r>
    </w:p>
    <w:p w14:paraId="6B98E024">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加密电子响应文件(.hntf 格式)须在响应文件递交截止时间前在河南省公共资源交易中心电子交易平台（</w:t>
      </w:r>
      <w:r>
        <w:rPr>
          <w:rFonts w:hint="eastAsia" w:ascii="宋体" w:hAnsi="宋体" w:eastAsia="宋体" w:cs="宋体"/>
          <w:color w:val="auto"/>
          <w:sz w:val="21"/>
          <w:szCs w:val="21"/>
          <w:highlight w:val="none"/>
          <w:lang w:eastAsia="zh-CN"/>
        </w:rPr>
        <w:t>http://hnsggzyjy.henan.gov.cn/</w:t>
      </w:r>
      <w:r>
        <w:rPr>
          <w:rFonts w:hint="eastAsia" w:ascii="宋体" w:hAnsi="宋体" w:eastAsia="宋体" w:cs="宋体"/>
          <w:color w:val="auto"/>
          <w:sz w:val="21"/>
          <w:szCs w:val="21"/>
          <w:highlight w:val="none"/>
        </w:rPr>
        <w:t>）上传，并由供应商的法定代表人或其委托代理人签字或电子签章。委托代理人签字的，响应文件应附法定代表人签署的授权委托书。响应文件应尽量避免涂改、行间插字或删除。如果出现上述情况，改动之处应加盖单位电子签章或由供应商的法定代表人或委托代理人签字确认。签字或盖章的具体要求见供应商须知前附表。</w:t>
      </w:r>
    </w:p>
    <w:p w14:paraId="70DB2265">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加密电子响应文件要求</w:t>
      </w:r>
    </w:p>
    <w:p w14:paraId="58E368D4">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全部采用电子文档，除供应商须知前附表另有规定外，响应文件所附证书证件均为原件扫描件或复印件，并采用单位和个人数字证书，按竞争性磋商文件要求在相应位置加盖电子印章。由供应商的法定代表人签字或加盖电子印章的，应附法定代表人身份证明，由委托代理人签字或加盖电子印章的，应附由法定代表人签署的授权委托书。签字或盖章的具体要求见供应商须知前附表。</w:t>
      </w:r>
    </w:p>
    <w:p w14:paraId="4ACC97F4">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有下列情形之一的，视为供应商串通磋商，其磋商无效：</w:t>
      </w:r>
    </w:p>
    <w:p w14:paraId="3F4024A1">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（1）不同供应商的响应文件由同一单位或者个人编制；</w:t>
      </w:r>
    </w:p>
    <w:p w14:paraId="1AA520DF">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（2）不同供应商的响应文件制作机器码一致；</w:t>
      </w:r>
    </w:p>
    <w:p w14:paraId="6D428374">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（3）不同供应商人通过同一单位的IP 地址上传响应文件；</w:t>
      </w:r>
    </w:p>
    <w:p w14:paraId="0DA36299">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（4）不同供应商委托同一单位或者个人办理磋商事宜；</w:t>
      </w:r>
    </w:p>
    <w:p w14:paraId="46355706">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（5）不同供应商的响应文件载明的项目管理成员或者联系人员为同一人；</w:t>
      </w:r>
    </w:p>
    <w:p w14:paraId="2B7625F5">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（6）不同供应商的响应文件异常一致或者磋商报价呈规律性差异。</w:t>
      </w:r>
    </w:p>
    <w:p w14:paraId="27F2EF26">
      <w:pPr>
        <w:pStyle w:val="52"/>
        <w:spacing w:line="460" w:lineRule="exact"/>
        <w:jc w:val="center"/>
        <w:outlineLvl w:val="9"/>
        <w:rPr>
          <w:rFonts w:hint="eastAsia" w:ascii="宋体" w:hAnsi="宋体" w:eastAsia="宋体" w:cs="宋体"/>
          <w:color w:val="auto"/>
          <w:highlight w:val="none"/>
        </w:rPr>
      </w:pPr>
      <w:bookmarkStart w:id="107" w:name="_Toc9612"/>
      <w:bookmarkStart w:id="108" w:name="_Toc2014"/>
      <w:bookmarkStart w:id="109" w:name="_Toc14256"/>
      <w:bookmarkStart w:id="110" w:name="_Toc22902"/>
      <w:bookmarkStart w:id="111" w:name="_Toc30764"/>
      <w:bookmarkStart w:id="112" w:name="_Toc25077"/>
      <w:bookmarkStart w:id="113" w:name="_Toc1917"/>
      <w:bookmarkStart w:id="114" w:name="_Toc30136"/>
      <w:r>
        <w:rPr>
          <w:rFonts w:hint="eastAsia" w:ascii="宋体" w:hAnsi="宋体" w:eastAsia="宋体" w:cs="宋体"/>
          <w:color w:val="auto"/>
          <w:highlight w:val="none"/>
        </w:rPr>
        <w:t>（四）响应文件的递交</w:t>
      </w:r>
      <w:bookmarkEnd w:id="107"/>
      <w:bookmarkEnd w:id="108"/>
      <w:bookmarkEnd w:id="109"/>
      <w:bookmarkEnd w:id="110"/>
      <w:bookmarkEnd w:id="111"/>
      <w:bookmarkEnd w:id="112"/>
      <w:bookmarkEnd w:id="113"/>
      <w:bookmarkEnd w:id="114"/>
    </w:p>
    <w:p w14:paraId="06EA45A1">
      <w:pPr>
        <w:pStyle w:val="4"/>
        <w:spacing w:line="460" w:lineRule="exact"/>
        <w:ind w:firstLine="420" w:firstLineChars="200"/>
        <w:rPr>
          <w:rFonts w:hint="eastAsia" w:ascii="宋体" w:hAnsi="宋体" w:eastAsia="宋体" w:cs="宋体"/>
          <w:color w:val="auto"/>
          <w:sz w:val="21"/>
          <w:szCs w:val="21"/>
          <w:highlight w:val="none"/>
        </w:rPr>
      </w:pPr>
      <w:bookmarkStart w:id="115" w:name="_Toc26363"/>
      <w:bookmarkStart w:id="116" w:name="_Toc19647845"/>
      <w:bookmarkStart w:id="117" w:name="_Toc4402"/>
      <w:bookmarkStart w:id="118" w:name="_Toc627"/>
      <w:r>
        <w:rPr>
          <w:rFonts w:hint="eastAsia" w:ascii="宋体" w:hAnsi="宋体" w:eastAsia="宋体" w:cs="宋体"/>
          <w:color w:val="auto"/>
          <w:sz w:val="21"/>
          <w:szCs w:val="21"/>
          <w:highlight w:val="none"/>
        </w:rPr>
        <w:t>4.1 响应文件的密封和标记</w:t>
      </w:r>
      <w:bookmarkEnd w:id="115"/>
      <w:bookmarkEnd w:id="116"/>
      <w:bookmarkEnd w:id="117"/>
      <w:bookmarkEnd w:id="118"/>
    </w:p>
    <w:p w14:paraId="474199A3">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加密版响应文件：供应商应按照竞争性磋商文件和电子招标投标交易平台的要求加密响应文件。</w:t>
      </w:r>
    </w:p>
    <w:p w14:paraId="286C9D8F">
      <w:pPr>
        <w:pStyle w:val="4"/>
        <w:spacing w:line="460" w:lineRule="exact"/>
        <w:ind w:firstLine="420" w:firstLineChars="200"/>
        <w:rPr>
          <w:rFonts w:hint="eastAsia" w:ascii="宋体" w:hAnsi="宋体" w:eastAsia="宋体" w:cs="宋体"/>
          <w:color w:val="auto"/>
          <w:sz w:val="21"/>
          <w:szCs w:val="21"/>
          <w:highlight w:val="none"/>
        </w:rPr>
      </w:pPr>
      <w:bookmarkStart w:id="119" w:name="_Toc29192"/>
      <w:bookmarkStart w:id="120" w:name="_Toc29570"/>
      <w:bookmarkStart w:id="121" w:name="_Toc7999"/>
      <w:r>
        <w:rPr>
          <w:rFonts w:hint="eastAsia" w:ascii="宋体" w:hAnsi="宋体" w:eastAsia="宋体" w:cs="宋体"/>
          <w:color w:val="auto"/>
          <w:sz w:val="21"/>
          <w:szCs w:val="21"/>
          <w:highlight w:val="none"/>
        </w:rPr>
        <w:t>4.2 响应文件的递交</w:t>
      </w:r>
      <w:bookmarkEnd w:id="119"/>
      <w:bookmarkEnd w:id="120"/>
      <w:bookmarkEnd w:id="121"/>
    </w:p>
    <w:p w14:paraId="0BF66057">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供应商应在供应商须知前附表规定的响应文件递交截止时间前递交响应文件。</w:t>
      </w:r>
    </w:p>
    <w:p w14:paraId="6B6EE889">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 供应商递交响应文件的地点：见供应商须知前附表。</w:t>
      </w:r>
    </w:p>
    <w:p w14:paraId="5CDFC27D">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除供应商须知前附表另有规定外，供应商所递交的响应文件不予退还。</w:t>
      </w:r>
    </w:p>
    <w:p w14:paraId="1D001B8D">
      <w:pPr>
        <w:pStyle w:val="4"/>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4.2.4 逾期递交的响应文件，采购人不予受理。</w:t>
      </w:r>
    </w:p>
    <w:p w14:paraId="6B897061">
      <w:pPr>
        <w:pStyle w:val="4"/>
        <w:spacing w:line="460" w:lineRule="exact"/>
        <w:ind w:firstLine="420" w:firstLineChars="200"/>
        <w:rPr>
          <w:rFonts w:hint="eastAsia" w:ascii="宋体" w:hAnsi="宋体" w:eastAsia="宋体" w:cs="宋体"/>
          <w:color w:val="auto"/>
          <w:sz w:val="21"/>
          <w:szCs w:val="21"/>
          <w:highlight w:val="none"/>
        </w:rPr>
      </w:pPr>
      <w:bookmarkStart w:id="122" w:name="_Toc18411"/>
      <w:bookmarkStart w:id="123" w:name="_Toc29076"/>
      <w:bookmarkStart w:id="124" w:name="_Toc14984"/>
      <w:r>
        <w:rPr>
          <w:rFonts w:hint="eastAsia" w:ascii="宋体" w:hAnsi="宋体" w:eastAsia="宋体" w:cs="宋体"/>
          <w:color w:val="auto"/>
          <w:sz w:val="21"/>
          <w:szCs w:val="21"/>
          <w:highlight w:val="none"/>
        </w:rPr>
        <w:t>4.3 响应文件的修改与撤回</w:t>
      </w:r>
      <w:bookmarkEnd w:id="122"/>
      <w:bookmarkEnd w:id="123"/>
      <w:bookmarkEnd w:id="124"/>
    </w:p>
    <w:p w14:paraId="0139CD83">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在供应商须知前附表规定的响应文件递交截止时间前，供应商可以修改或撤回已递交的响应文件。</w:t>
      </w:r>
    </w:p>
    <w:p w14:paraId="5EBE1D6E">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供应商修改或撤回已递交响应文件在河南省公共资源交易中心电子系统通知应按照本章第3.7.3 项的要求签字或盖章。</w:t>
      </w:r>
    </w:p>
    <w:p w14:paraId="2879BA6A">
      <w:pPr>
        <w:pStyle w:val="4"/>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4.3.3 修改的内容为响应文件的组成部分。修改的响应文件应按照本章第3 条、第4 条规定进行编制、密封、标记和递交，并标明“修改”字样。</w:t>
      </w:r>
    </w:p>
    <w:p w14:paraId="3B093846">
      <w:pPr>
        <w:pStyle w:val="52"/>
        <w:spacing w:line="460" w:lineRule="exact"/>
        <w:ind w:firstLine="480" w:firstLineChars="200"/>
        <w:jc w:val="center"/>
        <w:outlineLvl w:val="9"/>
        <w:rPr>
          <w:rFonts w:hint="eastAsia" w:ascii="宋体" w:hAnsi="宋体" w:eastAsia="宋体" w:cs="宋体"/>
          <w:color w:val="auto"/>
          <w:highlight w:val="none"/>
        </w:rPr>
      </w:pPr>
      <w:bookmarkStart w:id="125" w:name="_Toc31043"/>
      <w:bookmarkStart w:id="126" w:name="_Toc24919"/>
      <w:bookmarkStart w:id="127" w:name="_Toc17242"/>
      <w:bookmarkStart w:id="128" w:name="_Toc12602"/>
      <w:bookmarkStart w:id="129" w:name="_Toc22439"/>
      <w:bookmarkStart w:id="130" w:name="_Toc23847"/>
      <w:bookmarkStart w:id="131" w:name="_Toc16529"/>
      <w:bookmarkStart w:id="132" w:name="_Toc7850"/>
      <w:r>
        <w:rPr>
          <w:rFonts w:hint="eastAsia" w:ascii="宋体" w:hAnsi="宋体" w:eastAsia="宋体" w:cs="宋体"/>
          <w:color w:val="auto"/>
          <w:highlight w:val="none"/>
        </w:rPr>
        <w:t>（五）</w:t>
      </w:r>
      <w:bookmarkEnd w:id="125"/>
      <w:bookmarkEnd w:id="126"/>
      <w:r>
        <w:rPr>
          <w:rFonts w:hint="eastAsia" w:ascii="宋体" w:hAnsi="宋体" w:eastAsia="宋体" w:cs="宋体"/>
          <w:color w:val="auto"/>
          <w:highlight w:val="none"/>
        </w:rPr>
        <w:t>磋商</w:t>
      </w:r>
      <w:bookmarkEnd w:id="127"/>
      <w:bookmarkEnd w:id="128"/>
      <w:bookmarkEnd w:id="129"/>
      <w:bookmarkEnd w:id="130"/>
      <w:bookmarkEnd w:id="131"/>
      <w:bookmarkEnd w:id="132"/>
    </w:p>
    <w:p w14:paraId="35916CB3">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磋商时间和地点</w:t>
      </w:r>
    </w:p>
    <w:p w14:paraId="6259B8BC">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采购人在供应商须知前附表规定的响应文件递交截止时间前将加密电子响应文件（.hntf格式）上传至系统。</w:t>
      </w:r>
    </w:p>
    <w:p w14:paraId="78249952">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磋商会议程序：</w:t>
      </w:r>
    </w:p>
    <w:p w14:paraId="55C7D741">
      <w:pPr>
        <w:pStyle w:val="4"/>
        <w:spacing w:line="460" w:lineRule="exact"/>
        <w:ind w:firstLine="420" w:firstLineChars="200"/>
        <w:rPr>
          <w:rFonts w:hint="eastAsia" w:ascii="宋体" w:hAnsi="宋体" w:eastAsia="宋体" w:cs="宋体"/>
          <w:color w:val="auto"/>
          <w:sz w:val="21"/>
          <w:szCs w:val="21"/>
          <w:highlight w:val="none"/>
        </w:rPr>
      </w:pPr>
      <w:bookmarkStart w:id="133" w:name="_Toc31773"/>
      <w:bookmarkStart w:id="134" w:name="_Toc14102"/>
      <w:r>
        <w:rPr>
          <w:rFonts w:hint="eastAsia" w:ascii="宋体" w:hAnsi="宋体" w:eastAsia="宋体" w:cs="宋体"/>
          <w:color w:val="auto"/>
          <w:sz w:val="21"/>
          <w:szCs w:val="21"/>
          <w:highlight w:val="none"/>
        </w:rPr>
        <w:t>5.2.1本项目采用“远程不见面”磋商方式,远程开标大厅的网址</w:t>
      </w:r>
    </w:p>
    <w:p w14:paraId="5831107F">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http://hnsggzyjy.henan.gov.cn/BidOpening/bidopeninghallaction/hall/login</w:t>
      </w:r>
      <w:r>
        <w:rPr>
          <w:rFonts w:hint="eastAsia" w:ascii="宋体" w:hAnsi="宋体" w:eastAsia="宋体" w:cs="宋体"/>
          <w:color w:val="auto"/>
          <w:sz w:val="21"/>
          <w:szCs w:val="21"/>
          <w:highlight w:val="none"/>
        </w:rPr>
        <w:t>）,供应商应当在竞争性磋商文件确定的响应文件递交截止时间前,登录远程开标大厅,在线准时参加磋商活动并进行文件解密、答疑澄清等。逾期解密或者没有准时在线参加磋商活动导致的一切后果供应商自行承担。如果磋商现场解密时间有调整，以系统提示为准。请各供应商在响应文件递交截止时间后，时刻注意系统提示，避免错过解密时间、二次报价等</w:t>
      </w:r>
      <w:r>
        <w:rPr>
          <w:rFonts w:hint="eastAsia" w:ascii="宋体" w:hAnsi="宋体" w:eastAsia="宋体" w:cs="宋体"/>
          <w:color w:val="auto"/>
          <w:sz w:val="21"/>
          <w:szCs w:val="21"/>
          <w:highlight w:val="none"/>
          <w:lang w:eastAsia="zh-CN"/>
        </w:rPr>
        <w:t>（（因本项目为远程磋商，建议供应商填写联系方式时，同时填写座机号码及项目负责人的手机号码以便及时联系）</w:t>
      </w:r>
      <w:r>
        <w:rPr>
          <w:rFonts w:hint="eastAsia" w:ascii="宋体" w:hAnsi="宋体" w:eastAsia="宋体" w:cs="宋体"/>
          <w:color w:val="auto"/>
          <w:sz w:val="21"/>
          <w:szCs w:val="21"/>
          <w:highlight w:val="none"/>
        </w:rPr>
        <w:t>。</w:t>
      </w:r>
    </w:p>
    <w:p w14:paraId="5F126C9C">
      <w:pPr>
        <w:pStyle w:val="4"/>
        <w:spacing w:line="460" w:lineRule="exact"/>
        <w:ind w:firstLine="420" w:firstLineChars="20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2"/>
          <w:sz w:val="21"/>
          <w:szCs w:val="21"/>
          <w:highlight w:val="none"/>
        </w:rPr>
        <w:t>各供应商应仔细阅读河南省公共资源交易中心网站“公共服务--办事指南”专区的《新交易平台使用手册（培训资料）》”。</w:t>
      </w:r>
    </w:p>
    <w:p w14:paraId="16E9BA74">
      <w:pPr>
        <w:pStyle w:val="52"/>
        <w:spacing w:line="460" w:lineRule="exact"/>
        <w:ind w:firstLine="480" w:firstLineChars="200"/>
        <w:jc w:val="center"/>
        <w:outlineLvl w:val="9"/>
        <w:rPr>
          <w:rFonts w:hint="eastAsia" w:ascii="宋体" w:hAnsi="宋体" w:eastAsia="宋体" w:cs="宋体"/>
          <w:color w:val="auto"/>
          <w:highlight w:val="none"/>
        </w:rPr>
      </w:pPr>
      <w:bookmarkStart w:id="135" w:name="_Toc13196"/>
      <w:bookmarkStart w:id="136" w:name="_Toc21262"/>
      <w:bookmarkStart w:id="137" w:name="_Toc27507"/>
      <w:bookmarkStart w:id="138" w:name="_Toc29932"/>
      <w:bookmarkStart w:id="139" w:name="_Toc24151"/>
      <w:bookmarkStart w:id="140" w:name="_Toc30550"/>
      <w:r>
        <w:rPr>
          <w:rFonts w:hint="eastAsia" w:ascii="宋体" w:hAnsi="宋体" w:eastAsia="宋体" w:cs="宋体"/>
          <w:color w:val="auto"/>
          <w:highlight w:val="none"/>
        </w:rPr>
        <w:t>（六）成交结果</w:t>
      </w:r>
      <w:bookmarkEnd w:id="133"/>
      <w:bookmarkEnd w:id="134"/>
      <w:bookmarkEnd w:id="135"/>
      <w:bookmarkEnd w:id="136"/>
      <w:bookmarkEnd w:id="137"/>
      <w:bookmarkEnd w:id="138"/>
      <w:bookmarkEnd w:id="139"/>
      <w:bookmarkEnd w:id="140"/>
    </w:p>
    <w:p w14:paraId="53ACC583">
      <w:pPr>
        <w:pStyle w:val="4"/>
        <w:spacing w:line="460" w:lineRule="exact"/>
        <w:ind w:firstLine="420" w:firstLineChars="200"/>
        <w:rPr>
          <w:rFonts w:hint="eastAsia" w:ascii="宋体" w:hAnsi="宋体" w:eastAsia="宋体" w:cs="宋体"/>
          <w:color w:val="auto"/>
          <w:sz w:val="21"/>
          <w:szCs w:val="21"/>
          <w:highlight w:val="none"/>
        </w:rPr>
      </w:pPr>
      <w:bookmarkStart w:id="141" w:name="_Toc29915"/>
      <w:bookmarkStart w:id="142" w:name="_Toc1318"/>
      <w:bookmarkStart w:id="143" w:name="_Toc19647850"/>
      <w:bookmarkStart w:id="144" w:name="_Toc22018"/>
      <w:r>
        <w:rPr>
          <w:rFonts w:hint="eastAsia" w:ascii="宋体" w:hAnsi="宋体" w:eastAsia="宋体" w:cs="宋体"/>
          <w:color w:val="auto"/>
          <w:sz w:val="21"/>
          <w:szCs w:val="21"/>
          <w:highlight w:val="none"/>
        </w:rPr>
        <w:t>6.1 磋商小组</w:t>
      </w:r>
      <w:bookmarkEnd w:id="141"/>
      <w:bookmarkEnd w:id="142"/>
      <w:bookmarkEnd w:id="143"/>
      <w:bookmarkEnd w:id="144"/>
    </w:p>
    <w:p w14:paraId="180B7D3D">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评审会议由采购人依法组建的磋商小组负责。磋商小组会由采购人的代表和有关技术、经济等方面的专家组成，成员人数为3人，其中技术、经济等方面的专家2人，采购人代表1人。</w:t>
      </w:r>
    </w:p>
    <w:p w14:paraId="35DA2595">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磋商小组成员有下列情形之一的，应当回避：</w:t>
      </w:r>
    </w:p>
    <w:p w14:paraId="78A17929">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（1）参加政府采购活动前三年内，与供应商存在劳动关系，或者担任过供应商的董事、监事，或者是供应商的控股股东或实际控制人；</w:t>
      </w:r>
    </w:p>
    <w:p w14:paraId="7F9F0319">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（2）与供应商的法定代表人或者负责人有夫妻、直系血亲、三代以内旁系血亲或者近姻亲关系；</w:t>
      </w:r>
    </w:p>
    <w:p w14:paraId="3B370FFE">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（3）与供应商有其他可能影响政府采购活动公平、公正进行的关系；</w:t>
      </w:r>
    </w:p>
    <w:p w14:paraId="345DD93D">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（4）磋商小组发现本人与参加政府采购活动的供应商有利害关系的，应当主动提出回避。采购人或者采购代理机构发现磋商小组与参加政府采购活动的供应商有利害关系的，应当要求其回避；</w:t>
      </w:r>
    </w:p>
    <w:p w14:paraId="318E5A18">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（5）各级财政部门政府采购监督管理工作人员，不得作为磋商小组参与政府采购项目的评审活动。</w:t>
      </w:r>
    </w:p>
    <w:p w14:paraId="26F51BB7">
      <w:pPr>
        <w:pStyle w:val="4"/>
        <w:spacing w:line="460" w:lineRule="exact"/>
        <w:ind w:firstLine="420" w:firstLineChars="200"/>
        <w:rPr>
          <w:rFonts w:hint="eastAsia" w:ascii="宋体" w:hAnsi="宋体" w:eastAsia="宋体" w:cs="宋体"/>
          <w:color w:val="auto"/>
          <w:sz w:val="21"/>
          <w:szCs w:val="21"/>
          <w:highlight w:val="none"/>
        </w:rPr>
      </w:pPr>
      <w:bookmarkStart w:id="145" w:name="_Toc13391"/>
      <w:bookmarkStart w:id="146" w:name="_Toc1859"/>
      <w:bookmarkStart w:id="147" w:name="_Toc19647851"/>
      <w:bookmarkStart w:id="148" w:name="_Toc11419"/>
      <w:r>
        <w:rPr>
          <w:rFonts w:hint="eastAsia" w:ascii="宋体" w:hAnsi="宋体" w:eastAsia="宋体" w:cs="宋体"/>
          <w:color w:val="auto"/>
          <w:sz w:val="21"/>
          <w:szCs w:val="21"/>
          <w:highlight w:val="none"/>
        </w:rPr>
        <w:t>6.2 评审原则</w:t>
      </w:r>
      <w:bookmarkEnd w:id="145"/>
      <w:bookmarkEnd w:id="146"/>
      <w:bookmarkEnd w:id="147"/>
      <w:bookmarkEnd w:id="148"/>
    </w:p>
    <w:p w14:paraId="33AFE6D7">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评审活动遵循公平、公正、科学和择优的原则。</w:t>
      </w:r>
    </w:p>
    <w:p w14:paraId="39C322F7">
      <w:pPr>
        <w:pStyle w:val="4"/>
        <w:spacing w:line="460" w:lineRule="exact"/>
        <w:ind w:firstLine="420" w:firstLineChars="200"/>
        <w:rPr>
          <w:rFonts w:hint="eastAsia" w:ascii="宋体" w:hAnsi="宋体" w:eastAsia="宋体" w:cs="宋体"/>
          <w:color w:val="auto"/>
          <w:sz w:val="21"/>
          <w:szCs w:val="21"/>
          <w:highlight w:val="none"/>
        </w:rPr>
      </w:pPr>
      <w:bookmarkStart w:id="149" w:name="_Toc12684"/>
      <w:bookmarkStart w:id="150" w:name="_Toc6648"/>
      <w:bookmarkStart w:id="151" w:name="_Toc32133"/>
      <w:bookmarkStart w:id="152" w:name="_Toc19647852"/>
      <w:r>
        <w:rPr>
          <w:rFonts w:hint="eastAsia" w:ascii="宋体" w:hAnsi="宋体" w:eastAsia="宋体" w:cs="宋体"/>
          <w:color w:val="auto"/>
          <w:sz w:val="21"/>
          <w:szCs w:val="21"/>
          <w:highlight w:val="none"/>
        </w:rPr>
        <w:t xml:space="preserve">6.3 </w:t>
      </w:r>
      <w:bookmarkEnd w:id="149"/>
      <w:bookmarkEnd w:id="150"/>
      <w:bookmarkEnd w:id="151"/>
      <w:r>
        <w:rPr>
          <w:rFonts w:hint="eastAsia" w:ascii="宋体" w:hAnsi="宋体" w:eastAsia="宋体" w:cs="宋体"/>
          <w:color w:val="auto"/>
          <w:sz w:val="21"/>
          <w:szCs w:val="21"/>
          <w:highlight w:val="none"/>
        </w:rPr>
        <w:t>评审</w:t>
      </w:r>
      <w:bookmarkEnd w:id="152"/>
    </w:p>
    <w:p w14:paraId="5A8984A3">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磋商小组成员按照第三章“磋商办法”规定的方法、评审因素、标准和程序对响应文件进行评审。第三章“磋商办法”没有规定的方法、评审因素和标准，不作为评审依据。</w:t>
      </w:r>
    </w:p>
    <w:p w14:paraId="73F569C8">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6.3.1 磋商小组熟悉磋商文件。 </w:t>
      </w:r>
    </w:p>
    <w:p w14:paraId="47C60E68">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6.3.2 磋商小组推选组长，讨论、通过磋商工作流程和磋商要点。 </w:t>
      </w:r>
    </w:p>
    <w:p w14:paraId="48FA1D5F">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6.3.3 资格评审：磋商小组依据磋商文件第三章评审办法规定，对供应商进行资格审查，以确定磋商供应商是否具备参与磋商的资格。 </w:t>
      </w:r>
    </w:p>
    <w:p w14:paraId="074C6CCA">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6.3.4 符合性评审：资格评审结束后，磋商小组依据磋商文件第三章评审办法规定，对通过资格评审的供应商进行符合性审查，以确定供应商响应文件是否实质性响应本项目磋商文件的要求。 </w:t>
      </w:r>
    </w:p>
    <w:p w14:paraId="149F6180">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6.3.5 磋商小组就有关商务、技术、报价等内容与供应商分别进行磋商，在磋商中，磋商的任何一方不得透露与磋商有关的其他供应商的技术资料、价格信息或者其他与磋商有关的信息。 </w:t>
      </w:r>
    </w:p>
    <w:p w14:paraId="3AF8E015">
      <w:pPr>
        <w:pStyle w:val="4"/>
        <w:spacing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6.3.6 磋商小组对符合采购需求的供应商进行报价（最后报价作为进行综合评分时报价得分的评分依据）；</w:t>
      </w:r>
    </w:p>
    <w:p w14:paraId="097428E8">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供应商只有通过资格评审、符合性评审后方可进入下一轮报价；供应商在规定的时间内提交最后报价；供应商未在规定的时间内提交最后报价的，即为未进行最后报价，视同退出磋商（供应商对所参加磋商项目根据市场行情自主报价，分二次报价，情况特殊,经磋商小组根据磋商现场情况，可以要求供应商适当进行多轮报价）。 </w:t>
      </w:r>
    </w:p>
    <w:p w14:paraId="0381CAE1">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6.3.7 磋商结束后，由磋商小组按照第三章评审办法规定的标准对通过资格评审、符合性评审的供应商的响应文件分别进行综合评分并排序。 </w:t>
      </w:r>
    </w:p>
    <w:p w14:paraId="50CB54B7">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6.3.8 综合评分结束后，磋商小组编写评审报告，根据综合评分情况，按照评审得分由高到低的顺序向采购人推荐成交候选供应商。</w:t>
      </w:r>
    </w:p>
    <w:p w14:paraId="6363FBCC">
      <w:pPr>
        <w:pStyle w:val="4"/>
        <w:spacing w:line="460" w:lineRule="exact"/>
        <w:ind w:firstLine="420" w:firstLineChars="200"/>
        <w:rPr>
          <w:rFonts w:hint="eastAsia" w:ascii="宋体" w:hAnsi="宋体" w:eastAsia="宋体" w:cs="宋体"/>
          <w:color w:val="auto"/>
          <w:sz w:val="21"/>
          <w:szCs w:val="21"/>
          <w:highlight w:val="none"/>
        </w:rPr>
      </w:pPr>
    </w:p>
    <w:p w14:paraId="3138DCE2">
      <w:pPr>
        <w:pStyle w:val="4"/>
        <w:spacing w:line="460" w:lineRule="exact"/>
        <w:ind w:firstLine="420" w:firstLineChars="200"/>
        <w:rPr>
          <w:rFonts w:hint="eastAsia" w:ascii="宋体" w:hAnsi="宋体" w:eastAsia="宋体" w:cs="宋体"/>
          <w:color w:val="auto"/>
          <w:sz w:val="21"/>
          <w:szCs w:val="21"/>
          <w:highlight w:val="none"/>
        </w:rPr>
      </w:pPr>
    </w:p>
    <w:p w14:paraId="037C80F6">
      <w:pPr>
        <w:pStyle w:val="52"/>
        <w:spacing w:line="460" w:lineRule="exact"/>
        <w:ind w:firstLine="480" w:firstLineChars="200"/>
        <w:jc w:val="center"/>
        <w:outlineLvl w:val="9"/>
        <w:rPr>
          <w:rFonts w:hint="eastAsia" w:ascii="宋体" w:hAnsi="宋体" w:eastAsia="宋体" w:cs="宋体"/>
          <w:color w:val="auto"/>
          <w:highlight w:val="none"/>
        </w:rPr>
      </w:pPr>
      <w:bookmarkStart w:id="153" w:name="_Toc30372"/>
      <w:bookmarkStart w:id="154" w:name="_Toc12007"/>
      <w:bookmarkStart w:id="155" w:name="_Toc9610"/>
      <w:bookmarkStart w:id="156" w:name="_Toc31775"/>
      <w:bookmarkStart w:id="157" w:name="_Toc31169"/>
      <w:bookmarkStart w:id="158" w:name="_Toc3082"/>
      <w:bookmarkStart w:id="159" w:name="_Toc24236"/>
      <w:bookmarkStart w:id="160" w:name="_Toc28369"/>
      <w:r>
        <w:rPr>
          <w:rFonts w:hint="eastAsia" w:ascii="宋体" w:hAnsi="宋体" w:eastAsia="宋体" w:cs="宋体"/>
          <w:color w:val="auto"/>
          <w:highlight w:val="none"/>
        </w:rPr>
        <w:t>（七）合同</w:t>
      </w:r>
      <w:bookmarkEnd w:id="153"/>
      <w:bookmarkEnd w:id="154"/>
      <w:bookmarkEnd w:id="155"/>
      <w:bookmarkEnd w:id="156"/>
      <w:bookmarkEnd w:id="157"/>
      <w:bookmarkEnd w:id="158"/>
      <w:bookmarkEnd w:id="159"/>
      <w:r>
        <w:rPr>
          <w:rFonts w:hint="eastAsia" w:ascii="宋体" w:hAnsi="宋体" w:eastAsia="宋体" w:cs="宋体"/>
          <w:color w:val="auto"/>
          <w:highlight w:val="none"/>
        </w:rPr>
        <w:t>授予</w:t>
      </w:r>
      <w:bookmarkEnd w:id="160"/>
    </w:p>
    <w:p w14:paraId="7136BE84">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定标方式</w:t>
      </w:r>
    </w:p>
    <w:p w14:paraId="123C1F64">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除供应商须知前附表规定磋商小组直接确定成交人外，采购人依据磋商小组推荐的成交候选人确定成交人，磋商小组推荐成交候选人的人数见供应商须知前附表。</w:t>
      </w:r>
    </w:p>
    <w:p w14:paraId="12A08F09">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成交通知</w:t>
      </w:r>
    </w:p>
    <w:p w14:paraId="5FA8CAD4">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在本章第3.3 款规定的磋商有效期内，采购人以书面形式向成交人发出成交通知书，同时将成交结果通知未成交的供应商。</w:t>
      </w:r>
    </w:p>
    <w:p w14:paraId="3CAD660A">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履约担保</w:t>
      </w:r>
    </w:p>
    <w:p w14:paraId="10905566">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成交人应按供应商须知前附表规定的金额、担保形式和竞争性磋商文件第四章“合同条款及格式”规定的履约担保格式向采购人提交履约担保。联合体成交的，其履约担保由牵头人递交，并应符合供应商须知前附表规定的金额、担保形式和竞争性磋商文件第四章“合同条款及格式”规定的履约担保格式要求。</w:t>
      </w:r>
    </w:p>
    <w:p w14:paraId="79695741">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成交人不能按本章第7.3.1 项要求提交履约担保的，视为放弃，给采购人造成的损失的，成交人还应当予以赔偿。</w:t>
      </w:r>
    </w:p>
    <w:p w14:paraId="14E77B43">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签订合同</w:t>
      </w:r>
    </w:p>
    <w:p w14:paraId="6851A344">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 采购人和成交人应当自成交通知书发出之日起</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 天内，根据竞争性磋商文件和成交人的响应文件订立书面合同。成交人无正当理由拒签合同的，采购人取消其成交资格；给采购人造成的损失的，成交人还应当予以赔偿。</w:t>
      </w:r>
    </w:p>
    <w:p w14:paraId="18819BD6">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发出成交通知书后，采购人无正当理由拒签合同的，且给成交人造成损失的，还应当赔偿损失。</w:t>
      </w:r>
    </w:p>
    <w:p w14:paraId="01E7D849">
      <w:pPr>
        <w:pStyle w:val="52"/>
        <w:spacing w:line="460" w:lineRule="exact"/>
        <w:ind w:firstLine="480" w:firstLineChars="200"/>
        <w:jc w:val="center"/>
        <w:outlineLvl w:val="9"/>
        <w:rPr>
          <w:rFonts w:hint="eastAsia" w:ascii="宋体" w:hAnsi="宋体" w:eastAsia="宋体" w:cs="宋体"/>
          <w:color w:val="auto"/>
          <w:highlight w:val="none"/>
        </w:rPr>
      </w:pPr>
      <w:bookmarkStart w:id="161" w:name="_Toc14649"/>
      <w:bookmarkStart w:id="162" w:name="_Toc10230"/>
      <w:bookmarkStart w:id="163" w:name="_Toc8469"/>
      <w:bookmarkStart w:id="164" w:name="_Toc20610"/>
      <w:bookmarkStart w:id="165" w:name="_Toc30595"/>
      <w:bookmarkStart w:id="166" w:name="_Toc14894"/>
      <w:bookmarkStart w:id="167" w:name="_Toc16045"/>
      <w:bookmarkStart w:id="168" w:name="_Toc32276"/>
      <w:r>
        <w:rPr>
          <w:rFonts w:hint="eastAsia" w:ascii="宋体" w:hAnsi="宋体" w:eastAsia="宋体" w:cs="宋体"/>
          <w:color w:val="auto"/>
          <w:highlight w:val="none"/>
        </w:rPr>
        <w:t>（八）</w:t>
      </w:r>
      <w:bookmarkEnd w:id="161"/>
      <w:bookmarkEnd w:id="162"/>
      <w:bookmarkEnd w:id="163"/>
      <w:bookmarkEnd w:id="164"/>
      <w:bookmarkEnd w:id="165"/>
      <w:bookmarkEnd w:id="166"/>
      <w:bookmarkEnd w:id="167"/>
      <w:r>
        <w:rPr>
          <w:rFonts w:hint="eastAsia" w:ascii="宋体" w:hAnsi="宋体" w:eastAsia="宋体" w:cs="宋体"/>
          <w:color w:val="auto"/>
          <w:highlight w:val="none"/>
        </w:rPr>
        <w:t>重新采购和不再采购</w:t>
      </w:r>
      <w:bookmarkEnd w:id="168"/>
    </w:p>
    <w:p w14:paraId="4354026E">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重新采购</w:t>
      </w:r>
    </w:p>
    <w:p w14:paraId="0E0F8EAA">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有下列情形之一的，采购人将重新采购：</w:t>
      </w:r>
    </w:p>
    <w:p w14:paraId="1237B6B3">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（1）提交响应文件，供应商少于3个的；</w:t>
      </w:r>
    </w:p>
    <w:p w14:paraId="2031AB2E">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3B5D4331">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（3）采购人应当确定排名第一的候选人为成交人。排名第一的候选人放弃成交，采购人可以确定排名第二的候选人为成交人，也可以重新采购。</w:t>
      </w:r>
    </w:p>
    <w:p w14:paraId="0DA921CA">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不再采购</w:t>
      </w:r>
    </w:p>
    <w:p w14:paraId="66D2AAD5">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重新采购后供应商仍少于3个或者所有资格被否决的，属于必须审批或核准的工程建设项目，经原审批或核准部门批准后不再进行采购。</w:t>
      </w:r>
    </w:p>
    <w:p w14:paraId="6876FBC8">
      <w:pPr>
        <w:pStyle w:val="52"/>
        <w:spacing w:line="460" w:lineRule="exact"/>
        <w:ind w:firstLine="480" w:firstLineChars="200"/>
        <w:jc w:val="center"/>
        <w:outlineLvl w:val="9"/>
        <w:rPr>
          <w:rFonts w:hint="eastAsia" w:ascii="宋体" w:hAnsi="宋体" w:eastAsia="宋体" w:cs="宋体"/>
          <w:color w:val="auto"/>
          <w:highlight w:val="none"/>
        </w:rPr>
      </w:pPr>
      <w:bookmarkStart w:id="169" w:name="_Toc22467"/>
      <w:r>
        <w:rPr>
          <w:rFonts w:hint="eastAsia" w:ascii="宋体" w:hAnsi="宋体" w:eastAsia="宋体" w:cs="宋体"/>
          <w:color w:val="auto"/>
          <w:highlight w:val="none"/>
        </w:rPr>
        <w:t>（九）纪律和监督</w:t>
      </w:r>
      <w:bookmarkEnd w:id="169"/>
    </w:p>
    <w:p w14:paraId="790ECCCA">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对采购人的纪律要求</w:t>
      </w:r>
    </w:p>
    <w:p w14:paraId="23FB4B2E">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采购人不得泄漏采购活动中应当保密的情况和资料，不得与供应商串通损害国家利益、社会公共利益或者他人合法权益。</w:t>
      </w:r>
    </w:p>
    <w:p w14:paraId="4F9E3F11">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对供应商的纪律要求</w:t>
      </w:r>
    </w:p>
    <w:p w14:paraId="405C32D2">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供应商不得相互串通磋商或者与采购人串通磋商，不得向采购人或者磋商小组成员行贿谋取成交，不得以他人名义磋商或者以其他方式弄虚作假骗取成交；供应商不得以任何方式干扰、影响评审工作。</w:t>
      </w:r>
    </w:p>
    <w:p w14:paraId="443A862F">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对磋商小组成员的纪律要求</w:t>
      </w:r>
    </w:p>
    <w:p w14:paraId="331E7F38">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成员不得收受供应商及他人的财物或者其他好处，不得向供应商及他人透漏对响应文件的评审和比较、成交候选人的推荐情况以及磋商有关的其他情况。在磋商活动中，磋商小组成员不得擅离职守，影响磋商程序正常进行，不得使用第三章“磋商办法”没有规定的评审因素和标准进行磋商。</w:t>
      </w:r>
    </w:p>
    <w:p w14:paraId="118729F3">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对与评审活动有关的工作人员的纪律要求</w:t>
      </w:r>
    </w:p>
    <w:p w14:paraId="63DEA117">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49E9B800">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 质疑的提出与接收</w:t>
      </w:r>
    </w:p>
    <w:p w14:paraId="58F310CA">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9.5.1 供应商认为</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过程和成交结果使自己的权益受到损害的，可以根据《中华人民共和国政府采购法》、《中华人民共和国政府采购法实施条例》、《政府采购竞争性磋商采购方式暂行办法》和《政府采购质疑和投诉办法》等有关规定，依法向采购人或其委托的采购代理机构提出质疑。</w:t>
      </w:r>
    </w:p>
    <w:p w14:paraId="588D891A">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9.5.2 质疑供应商应按照财政部门制定的《政府采购质疑函范本》格式（可从财政部官方网站下载）和《政府采购质疑和投诉办法》的要求，在法定质疑期内以书面形式提出质疑，针对同一采购程序环节的质疑应一次性提出。超出法定质疑期的、重复提出的、分次提出的或内容、形式不符合《政府采购质疑和投诉办法》的，质疑供应商将依法承担不利后果。</w:t>
      </w:r>
    </w:p>
    <w:p w14:paraId="360ACBD6">
      <w:pPr>
        <w:pStyle w:val="52"/>
        <w:spacing w:line="460" w:lineRule="exact"/>
        <w:ind w:firstLine="480" w:firstLineChars="200"/>
        <w:jc w:val="center"/>
        <w:outlineLvl w:val="9"/>
        <w:rPr>
          <w:rFonts w:hint="eastAsia" w:ascii="宋体" w:hAnsi="宋体" w:eastAsia="宋体" w:cs="宋体"/>
          <w:color w:val="auto"/>
          <w:highlight w:val="none"/>
        </w:rPr>
      </w:pPr>
      <w:bookmarkStart w:id="170" w:name="_Toc5183"/>
      <w:r>
        <w:rPr>
          <w:rFonts w:hint="eastAsia" w:ascii="宋体" w:hAnsi="宋体" w:eastAsia="宋体" w:cs="宋体"/>
          <w:color w:val="auto"/>
          <w:highlight w:val="none"/>
        </w:rPr>
        <w:t>（十）需要补充的其他内容</w:t>
      </w:r>
      <w:bookmarkEnd w:id="170"/>
    </w:p>
    <w:p w14:paraId="3678B3CF">
      <w:pPr>
        <w:pStyle w:val="4"/>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需要补充的其他内容：见供应商须知前附表。</w:t>
      </w:r>
    </w:p>
    <w:p w14:paraId="7670B49F">
      <w:pPr>
        <w:pStyle w:val="45"/>
        <w:spacing w:line="460" w:lineRule="exact"/>
        <w:rPr>
          <w:rFonts w:hint="eastAsia" w:ascii="宋体" w:hAnsi="宋体" w:eastAsia="宋体" w:cs="宋体"/>
          <w:color w:val="auto"/>
          <w:szCs w:val="24"/>
          <w:highlight w:val="none"/>
        </w:rPr>
      </w:pPr>
      <w:r>
        <w:rPr>
          <w:rFonts w:hint="eastAsia" w:ascii="宋体" w:hAnsi="宋体" w:eastAsia="宋体" w:cs="宋体"/>
          <w:color w:val="auto"/>
          <w:kern w:val="0"/>
          <w:sz w:val="21"/>
          <w:highlight w:val="none"/>
        </w:rPr>
        <w:br w:type="page"/>
      </w:r>
      <w:r>
        <w:rPr>
          <w:rFonts w:hint="eastAsia" w:ascii="宋体" w:hAnsi="宋体" w:eastAsia="宋体" w:cs="宋体"/>
          <w:color w:val="auto"/>
          <w:kern w:val="0"/>
          <w:sz w:val="21"/>
          <w:highlight w:val="none"/>
        </w:rPr>
        <w:t>附件1：</w:t>
      </w:r>
    </w:p>
    <w:p w14:paraId="1B012EC4">
      <w:pPr>
        <w:pStyle w:val="53"/>
        <w:spacing w:line="460" w:lineRule="exact"/>
        <w:ind w:firstLine="640"/>
        <w:jc w:val="center"/>
        <w:rPr>
          <w:rFonts w:hint="eastAsia" w:ascii="宋体" w:hAnsi="宋体" w:eastAsia="宋体" w:cs="宋体"/>
          <w:b/>
          <w:bCs/>
          <w:color w:val="auto"/>
          <w:sz w:val="32"/>
          <w:szCs w:val="32"/>
          <w:highlight w:val="none"/>
          <w:lang w:val="en-US" w:eastAsia="zh-CN" w:bidi="ar-SA"/>
        </w:rPr>
      </w:pPr>
      <w:bookmarkStart w:id="171" w:name="bookmark22"/>
      <w:bookmarkStart w:id="172" w:name="bookmark24"/>
      <w:bookmarkStart w:id="173" w:name="bookmark23"/>
      <w:r>
        <w:rPr>
          <w:rFonts w:hint="eastAsia" w:ascii="宋体" w:hAnsi="宋体" w:eastAsia="宋体" w:cs="宋体"/>
          <w:b/>
          <w:bCs/>
          <w:color w:val="auto"/>
          <w:sz w:val="28"/>
          <w:szCs w:val="28"/>
          <w:highlight w:val="none"/>
          <w:lang w:val="en-US" w:eastAsia="zh-CN" w:bidi="ar-SA"/>
        </w:rPr>
        <w:t>河南省政府采购合同融资政策告知函</w:t>
      </w:r>
      <w:bookmarkEnd w:id="171"/>
      <w:bookmarkEnd w:id="172"/>
      <w:bookmarkEnd w:id="173"/>
    </w:p>
    <w:p w14:paraId="08FD682F">
      <w:pPr>
        <w:pStyle w:val="53"/>
        <w:spacing w:line="460" w:lineRule="exact"/>
        <w:ind w:firstLine="64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各供应商：</w:t>
      </w:r>
    </w:p>
    <w:p w14:paraId="66753560">
      <w:pPr>
        <w:pStyle w:val="53"/>
        <w:spacing w:line="460" w:lineRule="exact"/>
        <w:ind w:firstLine="64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欢迎贵公司参与河南省政府采购活动！</w:t>
      </w:r>
    </w:p>
    <w:p w14:paraId="516BAEBC">
      <w:pPr>
        <w:pStyle w:val="53"/>
        <w:spacing w:line="460" w:lineRule="exact"/>
        <w:ind w:firstLine="64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政府采购合同融资是河南省财政厅支持中小微企业发展，针对参与政府采购活动的供应商融资难、融资贵问题推出的一项融资政策。贵公司若成为本次政府采购项目的成交供应商，可持政府采购合同向金融机构申请贷款，无需抵押、担保，融资机构将根据《河南省政府采购合同融资工作实施方案》（豫财购〔2017〕10号），按照双方自愿的原则提供便捷、优惠的贷款服务。</w:t>
      </w:r>
    </w:p>
    <w:p w14:paraId="0621F11F">
      <w:pPr>
        <w:pStyle w:val="53"/>
        <w:spacing w:line="460" w:lineRule="exact"/>
        <w:ind w:firstLine="64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贷款渠道和提供贷款的金融机构，可在河南省政府采购网 </w:t>
      </w:r>
      <w:r>
        <w:rPr>
          <w:rFonts w:hint="eastAsia" w:ascii="宋体" w:hAnsi="宋体" w:eastAsia="宋体" w:cs="宋体"/>
          <w:color w:val="auto"/>
          <w:kern w:val="0"/>
          <w:sz w:val="21"/>
          <w:szCs w:val="21"/>
          <w:highlight w:val="none"/>
          <w:lang w:val="zh-CN" w:eastAsia="zh-CN" w:bidi="ar-SA"/>
        </w:rPr>
        <w:t>“河南</w:t>
      </w:r>
      <w:r>
        <w:rPr>
          <w:rFonts w:hint="eastAsia" w:ascii="宋体" w:hAnsi="宋体" w:eastAsia="宋体" w:cs="宋体"/>
          <w:color w:val="auto"/>
          <w:kern w:val="0"/>
          <w:sz w:val="21"/>
          <w:szCs w:val="21"/>
          <w:highlight w:val="none"/>
          <w:lang w:val="en-US" w:eastAsia="zh-CN" w:bidi="ar-SA"/>
        </w:rPr>
        <w:t>省政府采购合同融资平台”查询联系。</w:t>
      </w:r>
    </w:p>
    <w:p w14:paraId="762F2387">
      <w:pPr>
        <w:rPr>
          <w:rFonts w:hint="eastAsia" w:ascii="宋体" w:hAnsi="宋体" w:eastAsia="宋体" w:cs="宋体"/>
          <w:color w:val="auto"/>
          <w:kern w:val="0"/>
          <w:highlight w:val="none"/>
        </w:rPr>
      </w:pPr>
      <w:r>
        <w:rPr>
          <w:rFonts w:hint="eastAsia" w:ascii="宋体" w:hAnsi="宋体" w:eastAsia="宋体" w:cs="宋体"/>
          <w:color w:val="auto"/>
          <w:kern w:val="0"/>
          <w:highlight w:val="none"/>
        </w:rPr>
        <w:br w:type="page"/>
      </w:r>
    </w:p>
    <w:p w14:paraId="5F0EE342">
      <w:pPr>
        <w:pStyle w:val="48"/>
        <w:pageBreakBefore w:val="0"/>
        <w:widowControl w:val="0"/>
        <w:kinsoku/>
        <w:wordWrap/>
        <w:overflowPunct/>
        <w:topLinePunct w:val="0"/>
        <w:autoSpaceDE/>
        <w:autoSpaceDN/>
        <w:bidi w:val="0"/>
        <w:snapToGrid/>
        <w:spacing w:line="460" w:lineRule="exact"/>
        <w:outlineLvl w:val="9"/>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 w:val="21"/>
          <w:szCs w:val="24"/>
          <w:highlight w:val="none"/>
          <w:lang w:val="en-US" w:eastAsia="zh-CN" w:bidi="ar-SA"/>
        </w:rPr>
        <w:t>附件2：</w:t>
      </w:r>
    </w:p>
    <w:p w14:paraId="31265FB6">
      <w:pPr>
        <w:pStyle w:val="10"/>
        <w:spacing w:before="81" w:line="212" w:lineRule="auto"/>
        <w:ind w:left="313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4"/>
          <w:sz w:val="21"/>
          <w:szCs w:val="21"/>
          <w:highlight w:val="none"/>
          <w:lang w:eastAsia="zh-CN"/>
        </w:rPr>
        <w:t>统计上大中小微型企业划分标准</w:t>
      </w:r>
    </w:p>
    <w:tbl>
      <w:tblPr>
        <w:tblStyle w:val="66"/>
        <w:tblW w:w="9414" w:type="dxa"/>
        <w:tblInd w:w="5" w:type="dxa"/>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1420"/>
        <w:gridCol w:w="1473"/>
        <w:gridCol w:w="757"/>
        <w:gridCol w:w="1213"/>
        <w:gridCol w:w="1825"/>
        <w:gridCol w:w="1700"/>
        <w:gridCol w:w="1026"/>
      </w:tblGrid>
      <w:tr w14:paraId="287B3D2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50" w:hRule="atLeast"/>
        </w:trPr>
        <w:tc>
          <w:tcPr>
            <w:tcW w:w="1420" w:type="dxa"/>
            <w:tcBorders>
              <w:bottom w:val="single" w:color="4F81BD" w:sz="2" w:space="0"/>
            </w:tcBorders>
            <w:shd w:val="clear" w:color="auto" w:fill="4F81BD"/>
            <w:noWrap w:val="0"/>
            <w:vAlign w:val="top"/>
          </w:tcPr>
          <w:p w14:paraId="3A5A22E2">
            <w:pPr>
              <w:pStyle w:val="65"/>
              <w:spacing w:before="224" w:line="220" w:lineRule="auto"/>
              <w:ind w:left="319"/>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行业名称</w:t>
            </w:r>
          </w:p>
        </w:tc>
        <w:tc>
          <w:tcPr>
            <w:tcW w:w="1473" w:type="dxa"/>
            <w:tcBorders>
              <w:bottom w:val="single" w:color="4F81BD" w:sz="2" w:space="0"/>
            </w:tcBorders>
            <w:shd w:val="clear" w:color="auto" w:fill="4F81BD"/>
            <w:noWrap w:val="0"/>
            <w:vAlign w:val="top"/>
          </w:tcPr>
          <w:p w14:paraId="4FD3A45B">
            <w:pPr>
              <w:pStyle w:val="65"/>
              <w:spacing w:before="224" w:line="220" w:lineRule="auto"/>
              <w:ind w:left="343"/>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指标名称</w:t>
            </w:r>
          </w:p>
        </w:tc>
        <w:tc>
          <w:tcPr>
            <w:tcW w:w="757" w:type="dxa"/>
            <w:tcBorders>
              <w:bottom w:val="single" w:color="4F81BD" w:sz="2" w:space="0"/>
            </w:tcBorders>
            <w:shd w:val="clear" w:color="auto" w:fill="4F81BD"/>
            <w:noWrap w:val="0"/>
            <w:vAlign w:val="top"/>
          </w:tcPr>
          <w:p w14:paraId="2D53DCF2">
            <w:pPr>
              <w:pStyle w:val="65"/>
              <w:spacing w:before="68" w:line="312" w:lineRule="exact"/>
              <w:ind w:left="179"/>
              <w:rPr>
                <w:rFonts w:hint="eastAsia" w:ascii="宋体" w:hAnsi="宋体" w:eastAsia="宋体" w:cs="宋体"/>
                <w:color w:val="auto"/>
                <w:sz w:val="18"/>
                <w:szCs w:val="18"/>
                <w:highlight w:val="none"/>
              </w:rPr>
            </w:pPr>
            <w:r>
              <w:rPr>
                <w:rFonts w:hint="eastAsia" w:ascii="宋体" w:hAnsi="宋体" w:eastAsia="宋体" w:cs="宋体"/>
                <w:color w:val="auto"/>
                <w:spacing w:val="4"/>
                <w:position w:val="10"/>
                <w:sz w:val="18"/>
                <w:szCs w:val="18"/>
                <w:highlight w:val="none"/>
              </w:rPr>
              <w:t>计量</w:t>
            </w:r>
          </w:p>
          <w:p w14:paraId="44352F1A">
            <w:pPr>
              <w:pStyle w:val="65"/>
              <w:spacing w:line="220" w:lineRule="auto"/>
              <w:ind w:left="180"/>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单位</w:t>
            </w:r>
          </w:p>
        </w:tc>
        <w:tc>
          <w:tcPr>
            <w:tcW w:w="1213" w:type="dxa"/>
            <w:tcBorders>
              <w:bottom w:val="single" w:color="4F81BD" w:sz="2" w:space="0"/>
            </w:tcBorders>
            <w:shd w:val="clear" w:color="auto" w:fill="4F81BD"/>
            <w:noWrap w:val="0"/>
            <w:vAlign w:val="top"/>
          </w:tcPr>
          <w:p w14:paraId="62FB8480">
            <w:pPr>
              <w:pStyle w:val="65"/>
              <w:spacing w:before="224" w:line="220" w:lineRule="auto"/>
              <w:ind w:left="413"/>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大型</w:t>
            </w:r>
          </w:p>
        </w:tc>
        <w:tc>
          <w:tcPr>
            <w:tcW w:w="1825" w:type="dxa"/>
            <w:tcBorders>
              <w:bottom w:val="single" w:color="4F81BD" w:sz="2" w:space="0"/>
            </w:tcBorders>
            <w:shd w:val="clear" w:color="auto" w:fill="4F81BD"/>
            <w:noWrap w:val="0"/>
            <w:vAlign w:val="top"/>
          </w:tcPr>
          <w:p w14:paraId="3CF31231">
            <w:pPr>
              <w:pStyle w:val="65"/>
              <w:spacing w:before="224" w:line="220" w:lineRule="auto"/>
              <w:ind w:left="734"/>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中型</w:t>
            </w:r>
          </w:p>
        </w:tc>
        <w:tc>
          <w:tcPr>
            <w:tcW w:w="1700" w:type="dxa"/>
            <w:tcBorders>
              <w:bottom w:val="single" w:color="4F81BD" w:sz="2" w:space="0"/>
            </w:tcBorders>
            <w:shd w:val="clear" w:color="auto" w:fill="4F81BD"/>
            <w:noWrap w:val="0"/>
            <w:vAlign w:val="top"/>
          </w:tcPr>
          <w:p w14:paraId="2CE0439A">
            <w:pPr>
              <w:pStyle w:val="65"/>
              <w:spacing w:before="223" w:line="222" w:lineRule="auto"/>
              <w:ind w:left="661"/>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小型</w:t>
            </w:r>
          </w:p>
        </w:tc>
        <w:tc>
          <w:tcPr>
            <w:tcW w:w="1026" w:type="dxa"/>
            <w:tcBorders>
              <w:bottom w:val="single" w:color="4F81BD" w:sz="2" w:space="0"/>
            </w:tcBorders>
            <w:shd w:val="clear" w:color="auto" w:fill="4F81BD"/>
            <w:noWrap w:val="0"/>
            <w:vAlign w:val="top"/>
          </w:tcPr>
          <w:p w14:paraId="46187B6B">
            <w:pPr>
              <w:pStyle w:val="65"/>
              <w:spacing w:before="223" w:line="220" w:lineRule="auto"/>
              <w:ind w:left="318"/>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微型</w:t>
            </w:r>
          </w:p>
        </w:tc>
      </w:tr>
      <w:tr w14:paraId="4F80A4D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77" w:hRule="atLeast"/>
        </w:trPr>
        <w:tc>
          <w:tcPr>
            <w:tcW w:w="1420" w:type="dxa"/>
            <w:tcBorders>
              <w:top w:val="single" w:color="4F81BD" w:sz="2" w:space="0"/>
            </w:tcBorders>
            <w:shd w:val="clear" w:color="auto" w:fill="B8CCE4"/>
            <w:noWrap w:val="0"/>
            <w:vAlign w:val="top"/>
          </w:tcPr>
          <w:p w14:paraId="2FBA5161">
            <w:pPr>
              <w:pStyle w:val="65"/>
              <w:spacing w:before="82" w:line="274" w:lineRule="auto"/>
              <w:ind w:left="516" w:right="162" w:hanging="394"/>
              <w:rPr>
                <w:rFonts w:hint="eastAsia" w:ascii="宋体" w:hAnsi="宋体" w:eastAsia="宋体" w:cs="宋体"/>
                <w:color w:val="auto"/>
                <w:sz w:val="18"/>
                <w:szCs w:val="1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page">
                        <wp:posOffset>6350</wp:posOffset>
                      </wp:positionH>
                      <wp:positionV relativeFrom="page">
                        <wp:posOffset>-13335</wp:posOffset>
                      </wp:positionV>
                      <wp:extent cx="889000" cy="27940"/>
                      <wp:effectExtent l="0" t="0" r="6350" b="635"/>
                      <wp:wrapNone/>
                      <wp:docPr id="9" name="矩形 9"/>
                      <wp:cNvGraphicFramePr/>
                      <a:graphic xmlns:a="http://schemas.openxmlformats.org/drawingml/2006/main">
                        <a:graphicData uri="http://schemas.microsoft.com/office/word/2010/wordprocessingShape">
                          <wps:wsp>
                            <wps:cNvSpPr/>
                            <wps:spPr>
                              <a:xfrm>
                                <a:off x="0" y="0"/>
                                <a:ext cx="889000" cy="279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0.5pt;margin-top:-1.05pt;height:2.2pt;width:70pt;mso-position-horizontal-relative:page;mso-position-vertical-relative:page;z-index:251664384;mso-width-relative:page;mso-height-relative:page;" fillcolor="#FFFFFF" filled="t" stroked="f" coordsize="21600,21600" o:gfxdata="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fPJ70wAA&#10;AAYBAAAPAAAAAAAAAAEAIAAAACIAAABkcnMvZG93bnJldi54bWxQSwECFAAUAAAACACHTuJAy7I+&#10;KrEBAABdAwAADgAAAAAAAAABACAAAAAiAQAAZHJzL2Uyb0RvYy54bWxQSwUGAAAAAAYABgBZAQAA&#10;RQUAAAAA&#10;">
                      <v:fill on="t" focussize="0,0"/>
                      <v:stroke on="f"/>
                      <v:imagedata o:title=""/>
                      <o:lock v:ext="edit" aspectratio="f"/>
                    </v:rect>
                  </w:pict>
                </mc:Fallback>
              </mc:AlternateContent>
            </w:r>
            <w:r>
              <w:rPr>
                <w:rFonts w:hint="eastAsia" w:ascii="宋体" w:hAnsi="宋体" w:eastAsia="宋体" w:cs="宋体"/>
                <w:color w:val="auto"/>
                <w:spacing w:val="7"/>
                <w:sz w:val="18"/>
                <w:szCs w:val="18"/>
                <w:highlight w:val="none"/>
              </w:rPr>
              <w:t>农、林、牧、</w:t>
            </w:r>
            <w:r>
              <w:rPr>
                <w:rFonts w:hint="eastAsia" w:ascii="宋体" w:hAnsi="宋体" w:eastAsia="宋体" w:cs="宋体"/>
                <w:color w:val="auto"/>
                <w:spacing w:val="2"/>
                <w:sz w:val="18"/>
                <w:szCs w:val="18"/>
                <w:highlight w:val="none"/>
              </w:rPr>
              <w:t xml:space="preserve"> </w:t>
            </w:r>
            <w:r>
              <w:rPr>
                <w:rFonts w:hint="eastAsia" w:ascii="宋体" w:hAnsi="宋体" w:eastAsia="宋体" w:cs="宋体"/>
                <w:color w:val="auto"/>
                <w:spacing w:val="3"/>
                <w:sz w:val="18"/>
                <w:szCs w:val="18"/>
                <w:highlight w:val="none"/>
              </w:rPr>
              <w:t>渔业</w:t>
            </w:r>
          </w:p>
        </w:tc>
        <w:tc>
          <w:tcPr>
            <w:tcW w:w="1473" w:type="dxa"/>
            <w:tcBorders>
              <w:top w:val="single" w:color="4F81BD" w:sz="2" w:space="0"/>
            </w:tcBorders>
            <w:shd w:val="clear" w:color="auto" w:fill="B8CCE4"/>
            <w:noWrap w:val="0"/>
            <w:vAlign w:val="top"/>
          </w:tcPr>
          <w:p w14:paraId="326F4896">
            <w:pPr>
              <w:pStyle w:val="65"/>
              <w:spacing w:before="238" w:line="220" w:lineRule="auto"/>
              <w:ind w:left="200"/>
              <w:rPr>
                <w:rFonts w:hint="eastAsia" w:ascii="宋体" w:hAnsi="宋体" w:eastAsia="宋体" w:cs="宋体"/>
                <w:color w:val="auto"/>
                <w:sz w:val="18"/>
                <w:szCs w:val="1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page">
                        <wp:posOffset>20955</wp:posOffset>
                      </wp:positionH>
                      <wp:positionV relativeFrom="page">
                        <wp:posOffset>-13335</wp:posOffset>
                      </wp:positionV>
                      <wp:extent cx="908685" cy="27940"/>
                      <wp:effectExtent l="0" t="0" r="5715" b="635"/>
                      <wp:wrapNone/>
                      <wp:docPr id="12" name="矩形 12"/>
                      <wp:cNvGraphicFramePr/>
                      <a:graphic xmlns:a="http://schemas.openxmlformats.org/drawingml/2006/main">
                        <a:graphicData uri="http://schemas.microsoft.com/office/word/2010/wordprocessingShape">
                          <wps:wsp>
                            <wps:cNvSpPr/>
                            <wps:spPr>
                              <a:xfrm>
                                <a:off x="0" y="0"/>
                                <a:ext cx="908685" cy="279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65pt;margin-top:-1.05pt;height:2.2pt;width:71.55pt;mso-position-horizontal-relative:page;mso-position-vertical-relative:page;z-index:251665408;mso-width-relative:page;mso-height-relative:page;" fillcolor="#FFFFFF" filled="t" stroked="f" coordsize="21600,21600" o:gfxdata="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7H1x7U&#10;AAAABgEAAA8AAAAAAAAAAQAgAAAAIgAAAGRycy9kb3ducmV2LnhtbFBLAQIUABQAAAAIAIdO4kBX&#10;hPFhsgEAAF8DAAAOAAAAAAAAAAEAIAAAACMBAABkcnMvZTJvRG9jLnhtbFBLBQYAAAAABgAGAFkB&#10;AABHBQAAAAA=&#10;">
                      <v:fill on="t" focussize="0,0"/>
                      <v:stroke on="f"/>
                      <v:imagedata o:title=""/>
                      <o:lock v:ext="edit" aspectratio="f"/>
                    </v:rect>
                  </w:pict>
                </mc:Fallback>
              </mc:AlternateContent>
            </w:r>
            <w:r>
              <w:rPr>
                <w:rFonts w:hint="eastAsia" w:ascii="宋体" w:hAnsi="宋体" w:eastAsia="宋体" w:cs="宋体"/>
                <w:color w:val="auto"/>
                <w:spacing w:val="9"/>
                <w:sz w:val="18"/>
                <w:szCs w:val="18"/>
                <w:highlight w:val="none"/>
              </w:rPr>
              <w:t>营业收入(Y)</w:t>
            </w:r>
          </w:p>
        </w:tc>
        <w:tc>
          <w:tcPr>
            <w:tcW w:w="757" w:type="dxa"/>
            <w:tcBorders>
              <w:top w:val="single" w:color="4F81BD" w:sz="2" w:space="0"/>
            </w:tcBorders>
            <w:shd w:val="clear" w:color="auto" w:fill="B8CCE4"/>
            <w:noWrap w:val="0"/>
            <w:vAlign w:val="top"/>
          </w:tcPr>
          <w:p w14:paraId="7AC96722">
            <w:pPr>
              <w:pStyle w:val="65"/>
              <w:spacing w:before="239"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page">
                        <wp:posOffset>21590</wp:posOffset>
                      </wp:positionH>
                      <wp:positionV relativeFrom="page">
                        <wp:posOffset>-13335</wp:posOffset>
                      </wp:positionV>
                      <wp:extent cx="454660" cy="27940"/>
                      <wp:effectExtent l="0" t="0" r="2540" b="635"/>
                      <wp:wrapNone/>
                      <wp:docPr id="3" name="矩形 3"/>
                      <wp:cNvGraphicFramePr/>
                      <a:graphic xmlns:a="http://schemas.openxmlformats.org/drawingml/2006/main">
                        <a:graphicData uri="http://schemas.microsoft.com/office/word/2010/wordprocessingShape">
                          <wps:wsp>
                            <wps:cNvSpPr/>
                            <wps:spPr>
                              <a:xfrm>
                                <a:off x="0" y="0"/>
                                <a:ext cx="454660" cy="279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pt;margin-top:-1.05pt;height:2.2pt;width:35.8pt;mso-position-horizontal-relative:page;mso-position-vertical-relative:page;z-index:251661312;mso-width-relative:page;mso-height-relative:page;" fillcolor="#FFFFFF" filled="t" stroked="f" coordsize="21600,21600" o:gfxdata="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be+9zU&#10;AAAABQEAAA8AAAAAAAAAAQAgAAAAIgAAAGRycy9kb3ducmV2LnhtbFBLAQIUABQAAAAIAIdO4kDU&#10;TkFlsgEAAF0DAAAOAAAAAAAAAAEAIAAAACMBAABkcnMvZTJvRG9jLnhtbFBLBQYAAAAABgAGAFkB&#10;AABHBQAAAAA=&#10;">
                      <v:fill on="t" focussize="0,0"/>
                      <v:stroke on="f"/>
                      <v:imagedata o:title=""/>
                      <o:lock v:ext="edit" aspectratio="f"/>
                    </v:rect>
                  </w:pict>
                </mc:Fallback>
              </mc:AlternateContent>
            </w:r>
            <w:r>
              <w:rPr>
                <w:rFonts w:hint="eastAsia" w:ascii="宋体" w:hAnsi="宋体" w:eastAsia="宋体" w:cs="宋体"/>
                <w:color w:val="auto"/>
                <w:spacing w:val="1"/>
                <w:sz w:val="18"/>
                <w:szCs w:val="18"/>
                <w:highlight w:val="none"/>
              </w:rPr>
              <w:t>万元</w:t>
            </w:r>
          </w:p>
        </w:tc>
        <w:tc>
          <w:tcPr>
            <w:tcW w:w="1213" w:type="dxa"/>
            <w:tcBorders>
              <w:top w:val="single" w:color="4F81BD" w:sz="2" w:space="0"/>
            </w:tcBorders>
            <w:shd w:val="clear" w:color="auto" w:fill="B8CCE4"/>
            <w:noWrap w:val="0"/>
            <w:vAlign w:val="top"/>
          </w:tcPr>
          <w:p w14:paraId="6AA3553C">
            <w:pPr>
              <w:pStyle w:val="65"/>
              <w:spacing w:before="238" w:line="238" w:lineRule="auto"/>
              <w:ind w:left="211"/>
              <w:rPr>
                <w:rFonts w:hint="eastAsia" w:ascii="宋体" w:hAnsi="宋体" w:eastAsia="宋体" w:cs="宋体"/>
                <w:color w:val="auto"/>
                <w:sz w:val="18"/>
                <w:szCs w:val="1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page">
                        <wp:posOffset>22225</wp:posOffset>
                      </wp:positionH>
                      <wp:positionV relativeFrom="page">
                        <wp:posOffset>-13335</wp:posOffset>
                      </wp:positionV>
                      <wp:extent cx="744220" cy="27940"/>
                      <wp:effectExtent l="0" t="0" r="17780" b="635"/>
                      <wp:wrapNone/>
                      <wp:docPr id="10" name="矩形 10"/>
                      <wp:cNvGraphicFramePr/>
                      <a:graphic xmlns:a="http://schemas.openxmlformats.org/drawingml/2006/main">
                        <a:graphicData uri="http://schemas.microsoft.com/office/word/2010/wordprocessingShape">
                          <wps:wsp>
                            <wps:cNvSpPr/>
                            <wps:spPr>
                              <a:xfrm>
                                <a:off x="0" y="0"/>
                                <a:ext cx="744220" cy="279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5pt;margin-top:-1.05pt;height:2.2pt;width:58.6pt;mso-position-horizontal-relative:page;mso-position-vertical-relative:page;z-index:251662336;mso-width-relative:page;mso-height-relative:page;" fillcolor="#FFFFFF" filled="t" stroked="f" coordsize="21600,21600" o:gfxdata="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kSXwc1AAA&#10;AAYBAAAPAAAAAAAAAAEAIAAAACIAAABkcnMvZG93bnJldi54bWxQSwECFAAUAAAACACHTuJA+i2+&#10;K7ABAABfAwAADgAAAAAAAAABACAAAAAjAQAAZHJzL2Uyb0RvYy54bWxQSwUGAAAAAAYABgBZAQAA&#10;RQUAAAAA&#10;">
                      <v:fill on="t" focussize="0,0"/>
                      <v:stroke on="f"/>
                      <v:imagedata o:title=""/>
                      <o:lock v:ext="edit" aspectratio="f"/>
                    </v:rect>
                  </w:pict>
                </mc:Fallback>
              </mc:AlternateContent>
            </w:r>
            <w:r>
              <w:rPr>
                <w:rFonts w:hint="eastAsia" w:ascii="宋体" w:hAnsi="宋体" w:eastAsia="宋体" w:cs="宋体"/>
                <w:color w:val="auto"/>
                <w:spacing w:val="7"/>
                <w:sz w:val="18"/>
                <w:szCs w:val="18"/>
                <w:highlight w:val="none"/>
              </w:rPr>
              <w:t>Y≥20000</w:t>
            </w:r>
          </w:p>
        </w:tc>
        <w:tc>
          <w:tcPr>
            <w:tcW w:w="1825" w:type="dxa"/>
            <w:tcBorders>
              <w:top w:val="single" w:color="4F81BD" w:sz="2" w:space="0"/>
            </w:tcBorders>
            <w:shd w:val="clear" w:color="auto" w:fill="B8CCE4"/>
            <w:noWrap w:val="0"/>
            <w:vAlign w:val="top"/>
          </w:tcPr>
          <w:p w14:paraId="2B09A8FB">
            <w:pPr>
              <w:pStyle w:val="65"/>
              <w:spacing w:before="238" w:line="236" w:lineRule="auto"/>
              <w:ind w:left="279"/>
              <w:rPr>
                <w:rFonts w:hint="eastAsia" w:ascii="宋体" w:hAnsi="宋体" w:eastAsia="宋体" w:cs="宋体"/>
                <w:color w:val="auto"/>
                <w:sz w:val="18"/>
                <w:szCs w:val="1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page">
                        <wp:posOffset>23495</wp:posOffset>
                      </wp:positionH>
                      <wp:positionV relativeFrom="page">
                        <wp:posOffset>-13335</wp:posOffset>
                      </wp:positionV>
                      <wp:extent cx="1132840" cy="27940"/>
                      <wp:effectExtent l="0" t="0" r="10160" b="635"/>
                      <wp:wrapNone/>
                      <wp:docPr id="11" name="矩形 11"/>
                      <wp:cNvGraphicFramePr/>
                      <a:graphic xmlns:a="http://schemas.openxmlformats.org/drawingml/2006/main">
                        <a:graphicData uri="http://schemas.microsoft.com/office/word/2010/wordprocessingShape">
                          <wps:wsp>
                            <wps:cNvSpPr/>
                            <wps:spPr>
                              <a:xfrm>
                                <a:off x="0" y="0"/>
                                <a:ext cx="1132840" cy="279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85pt;margin-top:-1.05pt;height:2.2pt;width:89.2pt;mso-position-horizontal-relative:page;mso-position-vertical-relative:page;z-index:251663360;mso-width-relative:page;mso-height-relative:page;" fillcolor="#FFFFFF" filled="t" stroked="f" coordsize="21600,21600" o:gfxdata="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NdWX7TAAAA&#10;BgEAAA8AAAAAAAAAAQAgAAAAIgAAAGRycy9kb3ducmV2LnhtbFBLAQIUABQAAAAIAIdO4kA6KBMz&#10;sAEAAGADAAAOAAAAAAAAAAEAIAAAACIBAABkcnMvZTJvRG9jLnhtbFBLBQYAAAAABgAGAFkBAABE&#10;BQAAAAA=&#10;">
                      <v:fill on="t" focussize="0,0"/>
                      <v:stroke on="f"/>
                      <v:imagedata o:title=""/>
                      <o:lock v:ext="edit" aspectratio="f"/>
                    </v:rect>
                  </w:pict>
                </mc:Fallback>
              </mc:AlternateContent>
            </w:r>
            <w:r>
              <w:rPr>
                <w:rFonts w:hint="eastAsia" w:ascii="宋体" w:hAnsi="宋体" w:eastAsia="宋体" w:cs="宋体"/>
                <w:color w:val="auto"/>
                <w:spacing w:val="7"/>
                <w:sz w:val="18"/>
                <w:szCs w:val="18"/>
                <w:highlight w:val="none"/>
              </w:rPr>
              <w:t>500≤Y＜20000</w:t>
            </w:r>
          </w:p>
        </w:tc>
        <w:tc>
          <w:tcPr>
            <w:tcW w:w="1700" w:type="dxa"/>
            <w:tcBorders>
              <w:top w:val="single" w:color="4F81BD" w:sz="2" w:space="0"/>
            </w:tcBorders>
            <w:shd w:val="clear" w:color="auto" w:fill="B8CCE4"/>
            <w:noWrap w:val="0"/>
            <w:vAlign w:val="top"/>
          </w:tcPr>
          <w:p w14:paraId="70332E46">
            <w:pPr>
              <w:pStyle w:val="65"/>
              <w:spacing w:before="238" w:line="236" w:lineRule="auto"/>
              <w:ind w:left="367"/>
              <w:rPr>
                <w:rFonts w:hint="eastAsia" w:ascii="宋体" w:hAnsi="宋体" w:eastAsia="宋体" w:cs="宋体"/>
                <w:color w:val="auto"/>
                <w:sz w:val="18"/>
                <w:szCs w:val="1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page">
                        <wp:posOffset>24130</wp:posOffset>
                      </wp:positionH>
                      <wp:positionV relativeFrom="page">
                        <wp:posOffset>-13335</wp:posOffset>
                      </wp:positionV>
                      <wp:extent cx="1053465" cy="27940"/>
                      <wp:effectExtent l="0" t="0" r="13335" b="635"/>
                      <wp:wrapNone/>
                      <wp:docPr id="14" name="矩形 14"/>
                      <wp:cNvGraphicFramePr/>
                      <a:graphic xmlns:a="http://schemas.openxmlformats.org/drawingml/2006/main">
                        <a:graphicData uri="http://schemas.microsoft.com/office/word/2010/wordprocessingShape">
                          <wps:wsp>
                            <wps:cNvSpPr/>
                            <wps:spPr>
                              <a:xfrm>
                                <a:off x="0" y="0"/>
                                <a:ext cx="1053465" cy="279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pt;margin-top:-1.05pt;height:2.2pt;width:82.95pt;mso-position-horizontal-relative:page;mso-position-vertical-relative:page;z-index:251660288;mso-width-relative:page;mso-height-relative:page;" fillcolor="#FFFFFF" filled="t" stroked="f" coordsize="21600,21600" o:gfxdata="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W5oRj&#10;1AAAAAYBAAAPAAAAAAAAAAEAIAAAACIAAABkcnMvZG93bnJldi54bWxQSwECFAAUAAAACACHTuJA&#10;TG4KOLMBAABgAwAADgAAAAAAAAABACAAAAAjAQAAZHJzL2Uyb0RvYy54bWxQSwUGAAAAAAYABgBZ&#10;AQAASAUAAAAA&#10;">
                      <v:fill on="t" focussize="0,0"/>
                      <v:stroke on="f"/>
                      <v:imagedata o:title=""/>
                      <o:lock v:ext="edit" aspectratio="f"/>
                    </v:rect>
                  </w:pict>
                </mc:Fallback>
              </mc:AlternateContent>
            </w:r>
            <w:r>
              <w:rPr>
                <w:rFonts w:hint="eastAsia" w:ascii="宋体" w:hAnsi="宋体" w:eastAsia="宋体" w:cs="宋体"/>
                <w:color w:val="auto"/>
                <w:spacing w:val="7"/>
                <w:sz w:val="18"/>
                <w:szCs w:val="18"/>
                <w:highlight w:val="none"/>
              </w:rPr>
              <w:t>50≤Y＜500</w:t>
            </w:r>
          </w:p>
        </w:tc>
        <w:tc>
          <w:tcPr>
            <w:tcW w:w="1026" w:type="dxa"/>
            <w:tcBorders>
              <w:top w:val="single" w:color="4F81BD" w:sz="2" w:space="0"/>
            </w:tcBorders>
            <w:shd w:val="clear" w:color="auto" w:fill="B8CCE4"/>
            <w:noWrap w:val="0"/>
            <w:vAlign w:val="top"/>
          </w:tcPr>
          <w:p w14:paraId="4328F63A">
            <w:pPr>
              <w:pStyle w:val="65"/>
              <w:spacing w:before="238"/>
              <w:ind w:left="267"/>
              <w:rPr>
                <w:rFonts w:hint="eastAsia" w:ascii="宋体" w:hAnsi="宋体" w:eastAsia="宋体" w:cs="宋体"/>
                <w:color w:val="auto"/>
                <w:sz w:val="18"/>
                <w:szCs w:val="1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page">
                        <wp:posOffset>26035</wp:posOffset>
                      </wp:positionH>
                      <wp:positionV relativeFrom="page">
                        <wp:posOffset>-13335</wp:posOffset>
                      </wp:positionV>
                      <wp:extent cx="620395" cy="27940"/>
                      <wp:effectExtent l="0" t="0" r="8255" b="635"/>
                      <wp:wrapNone/>
                      <wp:docPr id="13" name="矩形 13"/>
                      <wp:cNvGraphicFramePr/>
                      <a:graphic xmlns:a="http://schemas.openxmlformats.org/drawingml/2006/main">
                        <a:graphicData uri="http://schemas.microsoft.com/office/word/2010/wordprocessingShape">
                          <wps:wsp>
                            <wps:cNvSpPr/>
                            <wps:spPr>
                              <a:xfrm>
                                <a:off x="0" y="0"/>
                                <a:ext cx="620395" cy="279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05pt;margin-top:-1.05pt;height:2.2pt;width:48.85pt;mso-position-horizontal-relative:page;mso-position-vertical-relative:page;z-index:251659264;mso-width-relative:page;mso-height-relative:page;" fillcolor="#FFFFFF" filled="t" stroked="f" coordsize="21600,21600" o:gfxdata="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Gipft&#10;1QAAAAYBAAAPAAAAAAAAAAEAIAAAACIAAABkcnMvZG93bnJldi54bWxQSwECFAAUAAAACACHTuJA&#10;UqZq2bIBAABfAwAADgAAAAAAAAABACAAAAAkAQAAZHJzL2Uyb0RvYy54bWxQSwUGAAAAAAYABgBZ&#10;AQAASAUAAAAA&#10;">
                      <v:fill on="t" focussize="0,0"/>
                      <v:stroke on="f"/>
                      <v:imagedata o:title=""/>
                      <o:lock v:ext="edit" aspectratio="f"/>
                    </v:rect>
                  </w:pict>
                </mc:Fallback>
              </mc:AlternateContent>
            </w:r>
            <w:r>
              <w:rPr>
                <w:rFonts w:hint="eastAsia" w:ascii="宋体" w:hAnsi="宋体" w:eastAsia="宋体" w:cs="宋体"/>
                <w:color w:val="auto"/>
                <w:spacing w:val="6"/>
                <w:sz w:val="18"/>
                <w:szCs w:val="18"/>
                <w:highlight w:val="none"/>
              </w:rPr>
              <w:t>Y＜50</w:t>
            </w:r>
          </w:p>
        </w:tc>
      </w:tr>
      <w:tr w14:paraId="3B0C91E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410" w:hRule="atLeast"/>
        </w:trPr>
        <w:tc>
          <w:tcPr>
            <w:tcW w:w="1420" w:type="dxa"/>
            <w:vMerge w:val="restart"/>
            <w:tcBorders>
              <w:bottom w:val="nil"/>
            </w:tcBorders>
            <w:noWrap w:val="0"/>
            <w:vAlign w:val="top"/>
          </w:tcPr>
          <w:p w14:paraId="3FAC7926">
            <w:pPr>
              <w:pStyle w:val="65"/>
              <w:spacing w:before="276" w:line="232" w:lineRule="auto"/>
              <w:ind w:left="414"/>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工业</w:t>
            </w:r>
            <w:r>
              <w:rPr>
                <w:rFonts w:hint="eastAsia" w:ascii="宋体" w:hAnsi="宋体" w:eastAsia="宋体" w:cs="宋体"/>
                <w:color w:val="auto"/>
                <w:spacing w:val="39"/>
                <w:sz w:val="18"/>
                <w:szCs w:val="18"/>
                <w:highlight w:val="none"/>
              </w:rPr>
              <w:t xml:space="preserve"> </w:t>
            </w:r>
            <w:r>
              <w:rPr>
                <w:rFonts w:hint="eastAsia" w:ascii="宋体" w:hAnsi="宋体" w:eastAsia="宋体" w:cs="宋体"/>
                <w:color w:val="auto"/>
                <w:spacing w:val="1"/>
                <w:sz w:val="18"/>
                <w:szCs w:val="18"/>
                <w:highlight w:val="none"/>
              </w:rPr>
              <w:t>*</w:t>
            </w:r>
          </w:p>
        </w:tc>
        <w:tc>
          <w:tcPr>
            <w:tcW w:w="1473" w:type="dxa"/>
            <w:noWrap w:val="0"/>
            <w:vAlign w:val="top"/>
          </w:tcPr>
          <w:p w14:paraId="143CA9FB">
            <w:pPr>
              <w:pStyle w:val="65"/>
              <w:spacing w:before="72" w:line="220" w:lineRule="auto"/>
              <w:ind w:left="197"/>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从业人员(X)</w:t>
            </w:r>
          </w:p>
        </w:tc>
        <w:tc>
          <w:tcPr>
            <w:tcW w:w="757" w:type="dxa"/>
            <w:noWrap w:val="0"/>
            <w:vAlign w:val="top"/>
          </w:tcPr>
          <w:p w14:paraId="4A83BA66">
            <w:pPr>
              <w:pStyle w:val="65"/>
              <w:spacing w:before="72" w:line="222" w:lineRule="auto"/>
              <w:ind w:left="27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13" w:type="dxa"/>
            <w:noWrap w:val="0"/>
            <w:vAlign w:val="top"/>
          </w:tcPr>
          <w:p w14:paraId="604BF1F4">
            <w:pPr>
              <w:pStyle w:val="65"/>
              <w:spacing w:before="72" w:line="238" w:lineRule="auto"/>
              <w:ind w:left="262"/>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X≥1000</w:t>
            </w:r>
          </w:p>
        </w:tc>
        <w:tc>
          <w:tcPr>
            <w:tcW w:w="1825" w:type="dxa"/>
            <w:noWrap w:val="0"/>
            <w:vAlign w:val="top"/>
          </w:tcPr>
          <w:p w14:paraId="6C2D35B3">
            <w:pPr>
              <w:pStyle w:val="65"/>
              <w:spacing w:before="72" w:line="236" w:lineRule="auto"/>
              <w:ind w:left="32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300≤X＜1000</w:t>
            </w:r>
          </w:p>
        </w:tc>
        <w:tc>
          <w:tcPr>
            <w:tcW w:w="1700" w:type="dxa"/>
            <w:noWrap w:val="0"/>
            <w:vAlign w:val="top"/>
          </w:tcPr>
          <w:p w14:paraId="5B90CCF8">
            <w:pPr>
              <w:pStyle w:val="65"/>
              <w:spacing w:before="72" w:line="236" w:lineRule="auto"/>
              <w:ind w:left="36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20≤X＜300</w:t>
            </w:r>
          </w:p>
        </w:tc>
        <w:tc>
          <w:tcPr>
            <w:tcW w:w="1026" w:type="dxa"/>
            <w:noWrap w:val="0"/>
            <w:vAlign w:val="top"/>
          </w:tcPr>
          <w:p w14:paraId="4D559840">
            <w:pPr>
              <w:pStyle w:val="65"/>
              <w:spacing w:before="72"/>
              <w:ind w:left="26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X＜20</w:t>
            </w:r>
          </w:p>
        </w:tc>
      </w:tr>
      <w:tr w14:paraId="1979EB7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0" w:hRule="atLeast"/>
        </w:trPr>
        <w:tc>
          <w:tcPr>
            <w:tcW w:w="1420" w:type="dxa"/>
            <w:vMerge w:val="continue"/>
            <w:tcBorders>
              <w:top w:val="nil"/>
            </w:tcBorders>
            <w:shd w:val="clear" w:color="auto" w:fill="auto"/>
            <w:noWrap w:val="0"/>
            <w:vAlign w:val="top"/>
          </w:tcPr>
          <w:p w14:paraId="2BE6903F">
            <w:pPr>
              <w:rPr>
                <w:rFonts w:hint="eastAsia" w:ascii="宋体" w:hAnsi="宋体" w:eastAsia="宋体" w:cs="宋体"/>
                <w:color w:val="auto"/>
                <w:highlight w:val="none"/>
              </w:rPr>
            </w:pPr>
          </w:p>
        </w:tc>
        <w:tc>
          <w:tcPr>
            <w:tcW w:w="1473" w:type="dxa"/>
            <w:shd w:val="clear" w:color="auto" w:fill="B8CCE4"/>
            <w:noWrap w:val="0"/>
            <w:vAlign w:val="top"/>
          </w:tcPr>
          <w:p w14:paraId="2CCA4DA7">
            <w:pPr>
              <w:pStyle w:val="65"/>
              <w:spacing w:before="57" w:line="220" w:lineRule="auto"/>
              <w:ind w:left="20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营业收入(Y)</w:t>
            </w:r>
          </w:p>
        </w:tc>
        <w:tc>
          <w:tcPr>
            <w:tcW w:w="757" w:type="dxa"/>
            <w:shd w:val="clear" w:color="auto" w:fill="B8CCE4"/>
            <w:noWrap w:val="0"/>
            <w:vAlign w:val="top"/>
          </w:tcPr>
          <w:p w14:paraId="2124C64E">
            <w:pPr>
              <w:pStyle w:val="65"/>
              <w:spacing w:before="58"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shd w:val="clear" w:color="auto" w:fill="B8CCE4"/>
            <w:noWrap w:val="0"/>
            <w:vAlign w:val="top"/>
          </w:tcPr>
          <w:p w14:paraId="051935CE">
            <w:pPr>
              <w:pStyle w:val="65"/>
              <w:spacing w:before="57" w:line="238" w:lineRule="auto"/>
              <w:ind w:left="21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Y≥40000</w:t>
            </w:r>
          </w:p>
        </w:tc>
        <w:tc>
          <w:tcPr>
            <w:tcW w:w="1825" w:type="dxa"/>
            <w:shd w:val="clear" w:color="auto" w:fill="B8CCE4"/>
            <w:noWrap w:val="0"/>
            <w:vAlign w:val="top"/>
          </w:tcPr>
          <w:p w14:paraId="7B89DF39">
            <w:pPr>
              <w:pStyle w:val="65"/>
              <w:spacing w:before="58" w:line="236" w:lineRule="auto"/>
              <w:ind w:left="22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2000≤Y＜40000</w:t>
            </w:r>
          </w:p>
        </w:tc>
        <w:tc>
          <w:tcPr>
            <w:tcW w:w="1700" w:type="dxa"/>
            <w:shd w:val="clear" w:color="auto" w:fill="B8CCE4"/>
            <w:noWrap w:val="0"/>
            <w:vAlign w:val="top"/>
          </w:tcPr>
          <w:p w14:paraId="7028DB04">
            <w:pPr>
              <w:pStyle w:val="65"/>
              <w:spacing w:before="58" w:line="236"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300≤Y＜2000</w:t>
            </w:r>
          </w:p>
        </w:tc>
        <w:tc>
          <w:tcPr>
            <w:tcW w:w="1026" w:type="dxa"/>
            <w:shd w:val="clear" w:color="auto" w:fill="B8CCE4"/>
            <w:noWrap w:val="0"/>
            <w:vAlign w:val="top"/>
          </w:tcPr>
          <w:p w14:paraId="25103D5D">
            <w:pPr>
              <w:pStyle w:val="65"/>
              <w:spacing w:before="57"/>
              <w:ind w:left="21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Y＜300</w:t>
            </w:r>
          </w:p>
        </w:tc>
      </w:tr>
      <w:tr w14:paraId="2589C33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3" w:hRule="atLeast"/>
        </w:trPr>
        <w:tc>
          <w:tcPr>
            <w:tcW w:w="1420" w:type="dxa"/>
            <w:vMerge w:val="restart"/>
            <w:tcBorders>
              <w:bottom w:val="nil"/>
            </w:tcBorders>
            <w:noWrap w:val="0"/>
            <w:vAlign w:val="top"/>
          </w:tcPr>
          <w:p w14:paraId="27620CD5">
            <w:pPr>
              <w:pStyle w:val="65"/>
              <w:spacing w:before="275" w:line="220" w:lineRule="auto"/>
              <w:ind w:left="41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建筑业</w:t>
            </w:r>
          </w:p>
        </w:tc>
        <w:tc>
          <w:tcPr>
            <w:tcW w:w="1473" w:type="dxa"/>
            <w:noWrap w:val="0"/>
            <w:vAlign w:val="top"/>
          </w:tcPr>
          <w:p w14:paraId="4B7E6DEB">
            <w:pPr>
              <w:pStyle w:val="65"/>
              <w:spacing w:before="73" w:line="220" w:lineRule="auto"/>
              <w:ind w:left="20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营业收入(Y)</w:t>
            </w:r>
          </w:p>
        </w:tc>
        <w:tc>
          <w:tcPr>
            <w:tcW w:w="757" w:type="dxa"/>
            <w:noWrap w:val="0"/>
            <w:vAlign w:val="top"/>
          </w:tcPr>
          <w:p w14:paraId="6896CD08">
            <w:pPr>
              <w:pStyle w:val="65"/>
              <w:spacing w:before="74"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noWrap w:val="0"/>
            <w:vAlign w:val="top"/>
          </w:tcPr>
          <w:p w14:paraId="1A3AB792">
            <w:pPr>
              <w:pStyle w:val="65"/>
              <w:spacing w:before="73" w:line="238" w:lineRule="auto"/>
              <w:ind w:left="21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Y≥80000</w:t>
            </w:r>
          </w:p>
        </w:tc>
        <w:tc>
          <w:tcPr>
            <w:tcW w:w="1825" w:type="dxa"/>
            <w:noWrap w:val="0"/>
            <w:vAlign w:val="top"/>
          </w:tcPr>
          <w:p w14:paraId="12A77B62">
            <w:pPr>
              <w:pStyle w:val="65"/>
              <w:spacing w:before="73" w:line="236" w:lineRule="auto"/>
              <w:ind w:left="229"/>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6000≤Y＜80000</w:t>
            </w:r>
          </w:p>
        </w:tc>
        <w:tc>
          <w:tcPr>
            <w:tcW w:w="1700" w:type="dxa"/>
            <w:noWrap w:val="0"/>
            <w:vAlign w:val="top"/>
          </w:tcPr>
          <w:p w14:paraId="7CA29C95">
            <w:pPr>
              <w:pStyle w:val="65"/>
              <w:spacing w:before="73" w:line="236"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300≤Y＜6000</w:t>
            </w:r>
          </w:p>
        </w:tc>
        <w:tc>
          <w:tcPr>
            <w:tcW w:w="1026" w:type="dxa"/>
            <w:noWrap w:val="0"/>
            <w:vAlign w:val="top"/>
          </w:tcPr>
          <w:p w14:paraId="7AD37749">
            <w:pPr>
              <w:pStyle w:val="65"/>
              <w:spacing w:before="73"/>
              <w:ind w:left="21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Y＜300</w:t>
            </w:r>
          </w:p>
        </w:tc>
      </w:tr>
      <w:tr w14:paraId="16F5155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6" w:hRule="atLeast"/>
        </w:trPr>
        <w:tc>
          <w:tcPr>
            <w:tcW w:w="1420" w:type="dxa"/>
            <w:vMerge w:val="continue"/>
            <w:tcBorders>
              <w:top w:val="nil"/>
            </w:tcBorders>
            <w:shd w:val="clear" w:color="auto" w:fill="auto"/>
            <w:noWrap w:val="0"/>
            <w:vAlign w:val="top"/>
          </w:tcPr>
          <w:p w14:paraId="2C027C84">
            <w:pPr>
              <w:rPr>
                <w:rFonts w:hint="eastAsia" w:ascii="宋体" w:hAnsi="宋体" w:eastAsia="宋体" w:cs="宋体"/>
                <w:color w:val="auto"/>
                <w:highlight w:val="none"/>
              </w:rPr>
            </w:pPr>
          </w:p>
        </w:tc>
        <w:tc>
          <w:tcPr>
            <w:tcW w:w="1473" w:type="dxa"/>
            <w:shd w:val="clear" w:color="auto" w:fill="B8CCE4"/>
            <w:noWrap w:val="0"/>
            <w:vAlign w:val="top"/>
          </w:tcPr>
          <w:p w14:paraId="13E67FE7">
            <w:pPr>
              <w:pStyle w:val="65"/>
              <w:spacing w:before="85" w:line="220" w:lineRule="auto"/>
              <w:ind w:left="202"/>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资产总额(Z)</w:t>
            </w:r>
          </w:p>
        </w:tc>
        <w:tc>
          <w:tcPr>
            <w:tcW w:w="757" w:type="dxa"/>
            <w:shd w:val="clear" w:color="auto" w:fill="B8CCE4"/>
            <w:noWrap w:val="0"/>
            <w:vAlign w:val="top"/>
          </w:tcPr>
          <w:p w14:paraId="516DAEA0">
            <w:pPr>
              <w:pStyle w:val="65"/>
              <w:spacing w:before="86"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shd w:val="clear" w:color="auto" w:fill="B8CCE4"/>
            <w:noWrap w:val="0"/>
            <w:vAlign w:val="top"/>
          </w:tcPr>
          <w:p w14:paraId="0D2204D6">
            <w:pPr>
              <w:pStyle w:val="65"/>
              <w:spacing w:before="85" w:line="238" w:lineRule="auto"/>
              <w:ind w:left="213"/>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Z≥80000</w:t>
            </w:r>
          </w:p>
        </w:tc>
        <w:tc>
          <w:tcPr>
            <w:tcW w:w="1825" w:type="dxa"/>
            <w:shd w:val="clear" w:color="auto" w:fill="B8CCE4"/>
            <w:noWrap w:val="0"/>
            <w:vAlign w:val="top"/>
          </w:tcPr>
          <w:p w14:paraId="47F42D92">
            <w:pPr>
              <w:pStyle w:val="65"/>
              <w:spacing w:before="86" w:line="236" w:lineRule="auto"/>
              <w:ind w:left="23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5000≤Z＜80000</w:t>
            </w:r>
          </w:p>
        </w:tc>
        <w:tc>
          <w:tcPr>
            <w:tcW w:w="1700" w:type="dxa"/>
            <w:shd w:val="clear" w:color="auto" w:fill="B8CCE4"/>
            <w:noWrap w:val="0"/>
            <w:vAlign w:val="top"/>
          </w:tcPr>
          <w:p w14:paraId="6CA9DA9A">
            <w:pPr>
              <w:pStyle w:val="65"/>
              <w:spacing w:before="86" w:line="236"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300≤Z＜5000</w:t>
            </w:r>
          </w:p>
        </w:tc>
        <w:tc>
          <w:tcPr>
            <w:tcW w:w="1026" w:type="dxa"/>
            <w:shd w:val="clear" w:color="auto" w:fill="B8CCE4"/>
            <w:noWrap w:val="0"/>
            <w:vAlign w:val="top"/>
          </w:tcPr>
          <w:p w14:paraId="5C2D04CA">
            <w:pPr>
              <w:pStyle w:val="65"/>
              <w:spacing w:before="86"/>
              <w:ind w:left="219"/>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Z＜300</w:t>
            </w:r>
          </w:p>
        </w:tc>
      </w:tr>
      <w:tr w14:paraId="0FA30CA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410" w:hRule="atLeast"/>
        </w:trPr>
        <w:tc>
          <w:tcPr>
            <w:tcW w:w="1420" w:type="dxa"/>
            <w:vMerge w:val="restart"/>
            <w:tcBorders>
              <w:bottom w:val="nil"/>
            </w:tcBorders>
            <w:noWrap w:val="0"/>
            <w:vAlign w:val="top"/>
          </w:tcPr>
          <w:p w14:paraId="0014547C">
            <w:pPr>
              <w:pStyle w:val="65"/>
              <w:spacing w:before="297" w:line="220" w:lineRule="auto"/>
              <w:ind w:left="416"/>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批发业</w:t>
            </w:r>
          </w:p>
        </w:tc>
        <w:tc>
          <w:tcPr>
            <w:tcW w:w="1473" w:type="dxa"/>
            <w:noWrap w:val="0"/>
            <w:vAlign w:val="top"/>
          </w:tcPr>
          <w:p w14:paraId="5ED329FC">
            <w:pPr>
              <w:pStyle w:val="65"/>
              <w:spacing w:before="93" w:line="220" w:lineRule="auto"/>
              <w:ind w:left="197"/>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从业人员(X)</w:t>
            </w:r>
          </w:p>
        </w:tc>
        <w:tc>
          <w:tcPr>
            <w:tcW w:w="757" w:type="dxa"/>
            <w:noWrap w:val="0"/>
            <w:vAlign w:val="top"/>
          </w:tcPr>
          <w:p w14:paraId="0642A7D8">
            <w:pPr>
              <w:pStyle w:val="65"/>
              <w:spacing w:before="93" w:line="222" w:lineRule="auto"/>
              <w:ind w:left="27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13" w:type="dxa"/>
            <w:noWrap w:val="0"/>
            <w:vAlign w:val="top"/>
          </w:tcPr>
          <w:p w14:paraId="4242210B">
            <w:pPr>
              <w:pStyle w:val="65"/>
              <w:spacing w:before="93" w:line="238" w:lineRule="auto"/>
              <w:ind w:left="310"/>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X≥200</w:t>
            </w:r>
          </w:p>
        </w:tc>
        <w:tc>
          <w:tcPr>
            <w:tcW w:w="1825" w:type="dxa"/>
            <w:noWrap w:val="0"/>
            <w:vAlign w:val="top"/>
          </w:tcPr>
          <w:p w14:paraId="0E6464DE">
            <w:pPr>
              <w:pStyle w:val="65"/>
              <w:spacing w:before="93" w:line="236" w:lineRule="auto"/>
              <w:ind w:left="42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20≤X＜200</w:t>
            </w:r>
          </w:p>
        </w:tc>
        <w:tc>
          <w:tcPr>
            <w:tcW w:w="1700" w:type="dxa"/>
            <w:noWrap w:val="0"/>
            <w:vAlign w:val="top"/>
          </w:tcPr>
          <w:p w14:paraId="3B737D55">
            <w:pPr>
              <w:pStyle w:val="65"/>
              <w:spacing w:before="93" w:line="236" w:lineRule="auto"/>
              <w:ind w:left="46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5≤X＜20</w:t>
            </w:r>
          </w:p>
        </w:tc>
        <w:tc>
          <w:tcPr>
            <w:tcW w:w="1026" w:type="dxa"/>
            <w:noWrap w:val="0"/>
            <w:vAlign w:val="top"/>
          </w:tcPr>
          <w:p w14:paraId="4AD226C1">
            <w:pPr>
              <w:pStyle w:val="65"/>
              <w:spacing w:before="93"/>
              <w:ind w:left="316"/>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X＜5</w:t>
            </w:r>
          </w:p>
        </w:tc>
      </w:tr>
      <w:tr w14:paraId="54FE614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1" w:hRule="atLeast"/>
        </w:trPr>
        <w:tc>
          <w:tcPr>
            <w:tcW w:w="1420" w:type="dxa"/>
            <w:vMerge w:val="continue"/>
            <w:tcBorders>
              <w:top w:val="nil"/>
            </w:tcBorders>
            <w:shd w:val="clear" w:color="auto" w:fill="auto"/>
            <w:noWrap w:val="0"/>
            <w:vAlign w:val="top"/>
          </w:tcPr>
          <w:p w14:paraId="36E6E855">
            <w:pPr>
              <w:rPr>
                <w:rFonts w:hint="eastAsia" w:ascii="宋体" w:hAnsi="宋体" w:eastAsia="宋体" w:cs="宋体"/>
                <w:color w:val="auto"/>
                <w:highlight w:val="none"/>
              </w:rPr>
            </w:pPr>
          </w:p>
        </w:tc>
        <w:tc>
          <w:tcPr>
            <w:tcW w:w="1473" w:type="dxa"/>
            <w:shd w:val="clear" w:color="auto" w:fill="B8CCE4"/>
            <w:noWrap w:val="0"/>
            <w:vAlign w:val="top"/>
          </w:tcPr>
          <w:p w14:paraId="1D56372D">
            <w:pPr>
              <w:pStyle w:val="65"/>
              <w:spacing w:before="79" w:line="220" w:lineRule="auto"/>
              <w:ind w:left="20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营业收入(Y)</w:t>
            </w:r>
          </w:p>
        </w:tc>
        <w:tc>
          <w:tcPr>
            <w:tcW w:w="757" w:type="dxa"/>
            <w:shd w:val="clear" w:color="auto" w:fill="B8CCE4"/>
            <w:noWrap w:val="0"/>
            <w:vAlign w:val="top"/>
          </w:tcPr>
          <w:p w14:paraId="24565F59">
            <w:pPr>
              <w:pStyle w:val="65"/>
              <w:spacing w:before="80"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shd w:val="clear" w:color="auto" w:fill="B8CCE4"/>
            <w:noWrap w:val="0"/>
            <w:vAlign w:val="top"/>
          </w:tcPr>
          <w:p w14:paraId="1BB811B1">
            <w:pPr>
              <w:pStyle w:val="65"/>
              <w:spacing w:before="79" w:line="238" w:lineRule="auto"/>
              <w:ind w:left="21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Y≥40000</w:t>
            </w:r>
          </w:p>
        </w:tc>
        <w:tc>
          <w:tcPr>
            <w:tcW w:w="1825" w:type="dxa"/>
            <w:shd w:val="clear" w:color="auto" w:fill="B8CCE4"/>
            <w:noWrap w:val="0"/>
            <w:vAlign w:val="top"/>
          </w:tcPr>
          <w:p w14:paraId="14D9E972">
            <w:pPr>
              <w:pStyle w:val="65"/>
              <w:spacing w:before="79" w:line="236" w:lineRule="auto"/>
              <w:ind w:left="23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5000≤Y＜40000</w:t>
            </w:r>
          </w:p>
        </w:tc>
        <w:tc>
          <w:tcPr>
            <w:tcW w:w="1700" w:type="dxa"/>
            <w:shd w:val="clear" w:color="auto" w:fill="B8CCE4"/>
            <w:noWrap w:val="0"/>
            <w:vAlign w:val="top"/>
          </w:tcPr>
          <w:p w14:paraId="4995DC05">
            <w:pPr>
              <w:pStyle w:val="65"/>
              <w:spacing w:before="79" w:line="236" w:lineRule="auto"/>
              <w:ind w:left="230"/>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1000≤Y＜5000</w:t>
            </w:r>
          </w:p>
        </w:tc>
        <w:tc>
          <w:tcPr>
            <w:tcW w:w="1026" w:type="dxa"/>
            <w:shd w:val="clear" w:color="auto" w:fill="B8CCE4"/>
            <w:noWrap w:val="0"/>
            <w:vAlign w:val="top"/>
          </w:tcPr>
          <w:p w14:paraId="58B6B198">
            <w:pPr>
              <w:pStyle w:val="65"/>
              <w:spacing w:before="79"/>
              <w:ind w:left="168"/>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Y＜1000</w:t>
            </w:r>
          </w:p>
        </w:tc>
      </w:tr>
      <w:tr w14:paraId="757A3B0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3" w:hRule="atLeast"/>
        </w:trPr>
        <w:tc>
          <w:tcPr>
            <w:tcW w:w="1420" w:type="dxa"/>
            <w:vMerge w:val="restart"/>
            <w:tcBorders>
              <w:bottom w:val="nil"/>
            </w:tcBorders>
            <w:noWrap w:val="0"/>
            <w:vAlign w:val="top"/>
          </w:tcPr>
          <w:p w14:paraId="62D402C3">
            <w:pPr>
              <w:pStyle w:val="65"/>
              <w:spacing w:before="295" w:line="220" w:lineRule="auto"/>
              <w:ind w:left="418"/>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零售业</w:t>
            </w:r>
          </w:p>
        </w:tc>
        <w:tc>
          <w:tcPr>
            <w:tcW w:w="1473" w:type="dxa"/>
            <w:noWrap w:val="0"/>
            <w:vAlign w:val="top"/>
          </w:tcPr>
          <w:p w14:paraId="1BBB6B72">
            <w:pPr>
              <w:pStyle w:val="65"/>
              <w:spacing w:before="94" w:line="220" w:lineRule="auto"/>
              <w:ind w:left="197"/>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从业人员(X)</w:t>
            </w:r>
          </w:p>
        </w:tc>
        <w:tc>
          <w:tcPr>
            <w:tcW w:w="757" w:type="dxa"/>
            <w:noWrap w:val="0"/>
            <w:vAlign w:val="top"/>
          </w:tcPr>
          <w:p w14:paraId="695882CF">
            <w:pPr>
              <w:pStyle w:val="65"/>
              <w:spacing w:before="94" w:line="222" w:lineRule="auto"/>
              <w:ind w:left="27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13" w:type="dxa"/>
            <w:noWrap w:val="0"/>
            <w:vAlign w:val="top"/>
          </w:tcPr>
          <w:p w14:paraId="198C8DEB">
            <w:pPr>
              <w:pStyle w:val="65"/>
              <w:spacing w:before="93" w:line="238" w:lineRule="auto"/>
              <w:ind w:left="310"/>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X≥300</w:t>
            </w:r>
          </w:p>
        </w:tc>
        <w:tc>
          <w:tcPr>
            <w:tcW w:w="1825" w:type="dxa"/>
            <w:noWrap w:val="0"/>
            <w:vAlign w:val="top"/>
          </w:tcPr>
          <w:p w14:paraId="5ECA46E3">
            <w:pPr>
              <w:pStyle w:val="65"/>
              <w:spacing w:before="94" w:line="236" w:lineRule="auto"/>
              <w:ind w:left="428"/>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50≤X＜300</w:t>
            </w:r>
          </w:p>
        </w:tc>
        <w:tc>
          <w:tcPr>
            <w:tcW w:w="1700" w:type="dxa"/>
            <w:noWrap w:val="0"/>
            <w:vAlign w:val="top"/>
          </w:tcPr>
          <w:p w14:paraId="6BE503FC">
            <w:pPr>
              <w:pStyle w:val="65"/>
              <w:spacing w:before="94" w:line="236" w:lineRule="auto"/>
              <w:ind w:left="425"/>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10≤X＜50</w:t>
            </w:r>
          </w:p>
        </w:tc>
        <w:tc>
          <w:tcPr>
            <w:tcW w:w="1026" w:type="dxa"/>
            <w:noWrap w:val="0"/>
            <w:vAlign w:val="top"/>
          </w:tcPr>
          <w:p w14:paraId="5800B0CF">
            <w:pPr>
              <w:pStyle w:val="65"/>
              <w:spacing w:before="94"/>
              <w:ind w:left="26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X＜10</w:t>
            </w:r>
          </w:p>
        </w:tc>
      </w:tr>
      <w:tr w14:paraId="6D3EA07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94" w:hRule="atLeast"/>
        </w:trPr>
        <w:tc>
          <w:tcPr>
            <w:tcW w:w="1420" w:type="dxa"/>
            <w:vMerge w:val="continue"/>
            <w:tcBorders>
              <w:top w:val="nil"/>
            </w:tcBorders>
            <w:shd w:val="clear" w:color="auto" w:fill="auto"/>
            <w:noWrap w:val="0"/>
            <w:vAlign w:val="top"/>
          </w:tcPr>
          <w:p w14:paraId="18FAC558">
            <w:pPr>
              <w:rPr>
                <w:rFonts w:hint="eastAsia" w:ascii="宋体" w:hAnsi="宋体" w:eastAsia="宋体" w:cs="宋体"/>
                <w:color w:val="auto"/>
                <w:highlight w:val="none"/>
              </w:rPr>
            </w:pPr>
          </w:p>
        </w:tc>
        <w:tc>
          <w:tcPr>
            <w:tcW w:w="1473" w:type="dxa"/>
            <w:shd w:val="clear" w:color="auto" w:fill="B8CCE4"/>
            <w:noWrap w:val="0"/>
            <w:vAlign w:val="top"/>
          </w:tcPr>
          <w:p w14:paraId="201CCD8A">
            <w:pPr>
              <w:pStyle w:val="65"/>
              <w:spacing w:before="106" w:line="220" w:lineRule="auto"/>
              <w:ind w:left="20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营业收入(Y)</w:t>
            </w:r>
          </w:p>
        </w:tc>
        <w:tc>
          <w:tcPr>
            <w:tcW w:w="757" w:type="dxa"/>
            <w:shd w:val="clear" w:color="auto" w:fill="B8CCE4"/>
            <w:noWrap w:val="0"/>
            <w:vAlign w:val="top"/>
          </w:tcPr>
          <w:p w14:paraId="52428AD6">
            <w:pPr>
              <w:pStyle w:val="65"/>
              <w:spacing w:before="107"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shd w:val="clear" w:color="auto" w:fill="B8CCE4"/>
            <w:noWrap w:val="0"/>
            <w:vAlign w:val="top"/>
          </w:tcPr>
          <w:p w14:paraId="2F736068">
            <w:pPr>
              <w:pStyle w:val="65"/>
              <w:spacing w:before="106" w:line="238" w:lineRule="auto"/>
              <w:ind w:left="21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Y≥20000</w:t>
            </w:r>
          </w:p>
        </w:tc>
        <w:tc>
          <w:tcPr>
            <w:tcW w:w="1825" w:type="dxa"/>
            <w:shd w:val="clear" w:color="auto" w:fill="B8CCE4"/>
            <w:noWrap w:val="0"/>
            <w:vAlign w:val="top"/>
          </w:tcPr>
          <w:p w14:paraId="1B56D5CC">
            <w:pPr>
              <w:pStyle w:val="65"/>
              <w:spacing w:before="107" w:line="236" w:lineRule="auto"/>
              <w:ind w:left="27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500≤Y＜20000</w:t>
            </w:r>
          </w:p>
        </w:tc>
        <w:tc>
          <w:tcPr>
            <w:tcW w:w="1700" w:type="dxa"/>
            <w:shd w:val="clear" w:color="auto" w:fill="B8CCE4"/>
            <w:noWrap w:val="0"/>
            <w:vAlign w:val="top"/>
          </w:tcPr>
          <w:p w14:paraId="64D1A266">
            <w:pPr>
              <w:pStyle w:val="65"/>
              <w:spacing w:before="107" w:line="236" w:lineRule="auto"/>
              <w:ind w:left="329"/>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100≤Y＜500</w:t>
            </w:r>
          </w:p>
        </w:tc>
        <w:tc>
          <w:tcPr>
            <w:tcW w:w="1026" w:type="dxa"/>
            <w:shd w:val="clear" w:color="auto" w:fill="B8CCE4"/>
            <w:noWrap w:val="0"/>
            <w:vAlign w:val="top"/>
          </w:tcPr>
          <w:p w14:paraId="6DA851CB">
            <w:pPr>
              <w:pStyle w:val="65"/>
              <w:spacing w:before="106"/>
              <w:ind w:left="21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Y＜100</w:t>
            </w:r>
          </w:p>
        </w:tc>
      </w:tr>
      <w:tr w14:paraId="1FB25B8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410" w:hRule="atLeast"/>
        </w:trPr>
        <w:tc>
          <w:tcPr>
            <w:tcW w:w="1420" w:type="dxa"/>
            <w:vMerge w:val="restart"/>
            <w:tcBorders>
              <w:bottom w:val="nil"/>
            </w:tcBorders>
            <w:noWrap w:val="0"/>
            <w:vAlign w:val="top"/>
          </w:tcPr>
          <w:p w14:paraId="1311EBF3">
            <w:pPr>
              <w:spacing w:line="249" w:lineRule="auto"/>
              <w:rPr>
                <w:rFonts w:hint="eastAsia" w:ascii="宋体" w:hAnsi="宋体" w:eastAsia="宋体" w:cs="宋体"/>
                <w:color w:val="auto"/>
                <w:highlight w:val="none"/>
              </w:rPr>
            </w:pPr>
          </w:p>
          <w:p w14:paraId="0BC8E333">
            <w:pPr>
              <w:pStyle w:val="65"/>
              <w:spacing w:before="59" w:line="220"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交通运输业</w:t>
            </w:r>
            <w:r>
              <w:rPr>
                <w:rFonts w:hint="eastAsia" w:ascii="宋体" w:hAnsi="宋体" w:eastAsia="宋体" w:cs="宋体"/>
                <w:color w:val="auto"/>
                <w:spacing w:val="41"/>
                <w:sz w:val="18"/>
                <w:szCs w:val="18"/>
                <w:highlight w:val="none"/>
              </w:rPr>
              <w:t xml:space="preserve"> </w:t>
            </w:r>
            <w:r>
              <w:rPr>
                <w:rFonts w:hint="eastAsia" w:ascii="宋体" w:hAnsi="宋体" w:eastAsia="宋体" w:cs="宋体"/>
                <w:color w:val="auto"/>
                <w:spacing w:val="8"/>
                <w:sz w:val="18"/>
                <w:szCs w:val="18"/>
                <w:highlight w:val="none"/>
              </w:rPr>
              <w:t>*</w:t>
            </w:r>
          </w:p>
        </w:tc>
        <w:tc>
          <w:tcPr>
            <w:tcW w:w="1473" w:type="dxa"/>
            <w:noWrap w:val="0"/>
            <w:vAlign w:val="top"/>
          </w:tcPr>
          <w:p w14:paraId="260FEC38">
            <w:pPr>
              <w:pStyle w:val="65"/>
              <w:spacing w:before="106" w:line="220" w:lineRule="auto"/>
              <w:ind w:left="197"/>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从业人员(X)</w:t>
            </w:r>
          </w:p>
        </w:tc>
        <w:tc>
          <w:tcPr>
            <w:tcW w:w="757" w:type="dxa"/>
            <w:noWrap w:val="0"/>
            <w:vAlign w:val="top"/>
          </w:tcPr>
          <w:p w14:paraId="118995DF">
            <w:pPr>
              <w:pStyle w:val="65"/>
              <w:spacing w:before="106" w:line="222" w:lineRule="auto"/>
              <w:ind w:left="27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13" w:type="dxa"/>
            <w:noWrap w:val="0"/>
            <w:vAlign w:val="top"/>
          </w:tcPr>
          <w:p w14:paraId="1644DE44">
            <w:pPr>
              <w:pStyle w:val="65"/>
              <w:spacing w:before="105" w:line="238" w:lineRule="auto"/>
              <w:ind w:left="262"/>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X≥1000</w:t>
            </w:r>
          </w:p>
        </w:tc>
        <w:tc>
          <w:tcPr>
            <w:tcW w:w="1825" w:type="dxa"/>
            <w:noWrap w:val="0"/>
            <w:vAlign w:val="top"/>
          </w:tcPr>
          <w:p w14:paraId="682ED026">
            <w:pPr>
              <w:pStyle w:val="65"/>
              <w:spacing w:before="106" w:line="236" w:lineRule="auto"/>
              <w:ind w:left="32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300≤X＜1000</w:t>
            </w:r>
          </w:p>
        </w:tc>
        <w:tc>
          <w:tcPr>
            <w:tcW w:w="1700" w:type="dxa"/>
            <w:noWrap w:val="0"/>
            <w:vAlign w:val="top"/>
          </w:tcPr>
          <w:p w14:paraId="0334A7B0">
            <w:pPr>
              <w:pStyle w:val="65"/>
              <w:spacing w:before="106" w:line="236" w:lineRule="auto"/>
              <w:ind w:left="36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20≤X＜300</w:t>
            </w:r>
          </w:p>
        </w:tc>
        <w:tc>
          <w:tcPr>
            <w:tcW w:w="1026" w:type="dxa"/>
            <w:noWrap w:val="0"/>
            <w:vAlign w:val="top"/>
          </w:tcPr>
          <w:p w14:paraId="0CC28769">
            <w:pPr>
              <w:pStyle w:val="65"/>
              <w:spacing w:before="105"/>
              <w:ind w:left="26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X＜20</w:t>
            </w:r>
          </w:p>
        </w:tc>
      </w:tr>
      <w:tr w14:paraId="245D5BB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8" w:hRule="atLeast"/>
        </w:trPr>
        <w:tc>
          <w:tcPr>
            <w:tcW w:w="1420" w:type="dxa"/>
            <w:vMerge w:val="continue"/>
            <w:tcBorders>
              <w:top w:val="nil"/>
            </w:tcBorders>
            <w:shd w:val="clear" w:color="auto" w:fill="auto"/>
            <w:noWrap w:val="0"/>
            <w:vAlign w:val="top"/>
          </w:tcPr>
          <w:p w14:paraId="06CDC857">
            <w:pPr>
              <w:rPr>
                <w:rFonts w:hint="eastAsia" w:ascii="宋体" w:hAnsi="宋体" w:eastAsia="宋体" w:cs="宋体"/>
                <w:color w:val="auto"/>
                <w:highlight w:val="none"/>
              </w:rPr>
            </w:pPr>
          </w:p>
        </w:tc>
        <w:tc>
          <w:tcPr>
            <w:tcW w:w="1473" w:type="dxa"/>
            <w:shd w:val="clear" w:color="auto" w:fill="B8CCE4"/>
            <w:noWrap w:val="0"/>
            <w:vAlign w:val="top"/>
          </w:tcPr>
          <w:p w14:paraId="71A25E8B">
            <w:pPr>
              <w:pStyle w:val="65"/>
              <w:spacing w:before="91" w:line="220" w:lineRule="auto"/>
              <w:ind w:left="20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营业收入(Y)</w:t>
            </w:r>
          </w:p>
        </w:tc>
        <w:tc>
          <w:tcPr>
            <w:tcW w:w="757" w:type="dxa"/>
            <w:shd w:val="clear" w:color="auto" w:fill="B8CCE4"/>
            <w:noWrap w:val="0"/>
            <w:vAlign w:val="top"/>
          </w:tcPr>
          <w:p w14:paraId="41BF7BD2">
            <w:pPr>
              <w:pStyle w:val="65"/>
              <w:spacing w:before="92"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shd w:val="clear" w:color="auto" w:fill="B8CCE4"/>
            <w:noWrap w:val="0"/>
            <w:vAlign w:val="top"/>
          </w:tcPr>
          <w:p w14:paraId="48D260A4">
            <w:pPr>
              <w:pStyle w:val="65"/>
              <w:spacing w:before="91" w:line="238" w:lineRule="auto"/>
              <w:ind w:left="21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Y≥30000</w:t>
            </w:r>
          </w:p>
        </w:tc>
        <w:tc>
          <w:tcPr>
            <w:tcW w:w="1825" w:type="dxa"/>
            <w:shd w:val="clear" w:color="auto" w:fill="B8CCE4"/>
            <w:noWrap w:val="0"/>
            <w:vAlign w:val="top"/>
          </w:tcPr>
          <w:p w14:paraId="633ABE68">
            <w:pPr>
              <w:pStyle w:val="65"/>
              <w:spacing w:before="91" w:line="236" w:lineRule="auto"/>
              <w:ind w:left="23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3000≤Y＜30000</w:t>
            </w:r>
          </w:p>
        </w:tc>
        <w:tc>
          <w:tcPr>
            <w:tcW w:w="1700" w:type="dxa"/>
            <w:shd w:val="clear" w:color="auto" w:fill="B8CCE4"/>
            <w:noWrap w:val="0"/>
            <w:vAlign w:val="top"/>
          </w:tcPr>
          <w:p w14:paraId="43FDC58C">
            <w:pPr>
              <w:pStyle w:val="65"/>
              <w:spacing w:before="91" w:line="236" w:lineRule="auto"/>
              <w:ind w:left="267"/>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200≤Y＜3000</w:t>
            </w:r>
          </w:p>
        </w:tc>
        <w:tc>
          <w:tcPr>
            <w:tcW w:w="1026" w:type="dxa"/>
            <w:shd w:val="clear" w:color="auto" w:fill="B8CCE4"/>
            <w:noWrap w:val="0"/>
            <w:vAlign w:val="top"/>
          </w:tcPr>
          <w:p w14:paraId="5B79A776">
            <w:pPr>
              <w:pStyle w:val="65"/>
              <w:spacing w:before="91"/>
              <w:ind w:left="21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Y＜200</w:t>
            </w:r>
          </w:p>
        </w:tc>
      </w:tr>
      <w:tr w14:paraId="4DC17E3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3" w:hRule="atLeast"/>
        </w:trPr>
        <w:tc>
          <w:tcPr>
            <w:tcW w:w="1420" w:type="dxa"/>
            <w:vMerge w:val="restart"/>
            <w:tcBorders>
              <w:bottom w:val="nil"/>
            </w:tcBorders>
            <w:noWrap w:val="0"/>
            <w:vAlign w:val="top"/>
          </w:tcPr>
          <w:p w14:paraId="373A8EF1">
            <w:pPr>
              <w:spacing w:line="241" w:lineRule="auto"/>
              <w:rPr>
                <w:rFonts w:hint="eastAsia" w:ascii="宋体" w:hAnsi="宋体" w:eastAsia="宋体" w:cs="宋体"/>
                <w:color w:val="auto"/>
                <w:highlight w:val="none"/>
              </w:rPr>
            </w:pPr>
          </w:p>
          <w:p w14:paraId="79329DF8">
            <w:pPr>
              <w:pStyle w:val="65"/>
              <w:spacing w:before="58" w:line="220" w:lineRule="auto"/>
              <w:ind w:left="366"/>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仓储业*</w:t>
            </w:r>
          </w:p>
        </w:tc>
        <w:tc>
          <w:tcPr>
            <w:tcW w:w="1473" w:type="dxa"/>
            <w:noWrap w:val="0"/>
            <w:vAlign w:val="top"/>
          </w:tcPr>
          <w:p w14:paraId="31889B5E">
            <w:pPr>
              <w:pStyle w:val="65"/>
              <w:spacing w:before="99" w:line="220" w:lineRule="auto"/>
              <w:ind w:left="197"/>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从业人员(X)</w:t>
            </w:r>
          </w:p>
        </w:tc>
        <w:tc>
          <w:tcPr>
            <w:tcW w:w="757" w:type="dxa"/>
            <w:noWrap w:val="0"/>
            <w:vAlign w:val="top"/>
          </w:tcPr>
          <w:p w14:paraId="082C08FE">
            <w:pPr>
              <w:pStyle w:val="65"/>
              <w:spacing w:before="99" w:line="222" w:lineRule="auto"/>
              <w:ind w:left="27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13" w:type="dxa"/>
            <w:noWrap w:val="0"/>
            <w:vAlign w:val="top"/>
          </w:tcPr>
          <w:p w14:paraId="0329F5BA">
            <w:pPr>
              <w:pStyle w:val="65"/>
              <w:spacing w:before="98" w:line="238" w:lineRule="auto"/>
              <w:ind w:left="310"/>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X≥200</w:t>
            </w:r>
          </w:p>
        </w:tc>
        <w:tc>
          <w:tcPr>
            <w:tcW w:w="1825" w:type="dxa"/>
            <w:noWrap w:val="0"/>
            <w:vAlign w:val="top"/>
          </w:tcPr>
          <w:p w14:paraId="528A45A1">
            <w:pPr>
              <w:pStyle w:val="65"/>
              <w:spacing w:before="99" w:line="236" w:lineRule="auto"/>
              <w:ind w:left="38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100≤X＜200</w:t>
            </w:r>
          </w:p>
        </w:tc>
        <w:tc>
          <w:tcPr>
            <w:tcW w:w="1700" w:type="dxa"/>
            <w:noWrap w:val="0"/>
            <w:vAlign w:val="top"/>
          </w:tcPr>
          <w:p w14:paraId="194B3353">
            <w:pPr>
              <w:pStyle w:val="65"/>
              <w:spacing w:before="99" w:line="236" w:lineRule="auto"/>
              <w:ind w:left="36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20≤X＜100</w:t>
            </w:r>
          </w:p>
        </w:tc>
        <w:tc>
          <w:tcPr>
            <w:tcW w:w="1026" w:type="dxa"/>
            <w:noWrap w:val="0"/>
            <w:vAlign w:val="top"/>
          </w:tcPr>
          <w:p w14:paraId="6FCADEDA">
            <w:pPr>
              <w:pStyle w:val="65"/>
              <w:spacing w:before="99"/>
              <w:ind w:left="26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X＜20</w:t>
            </w:r>
          </w:p>
        </w:tc>
      </w:tr>
      <w:tr w14:paraId="26DB1CF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94" w:hRule="atLeast"/>
        </w:trPr>
        <w:tc>
          <w:tcPr>
            <w:tcW w:w="1420" w:type="dxa"/>
            <w:vMerge w:val="continue"/>
            <w:tcBorders>
              <w:top w:val="nil"/>
            </w:tcBorders>
            <w:shd w:val="clear" w:color="auto" w:fill="auto"/>
            <w:noWrap w:val="0"/>
            <w:vAlign w:val="top"/>
          </w:tcPr>
          <w:p w14:paraId="24EDAA75">
            <w:pPr>
              <w:rPr>
                <w:rFonts w:hint="eastAsia" w:ascii="宋体" w:hAnsi="宋体" w:eastAsia="宋体" w:cs="宋体"/>
                <w:color w:val="auto"/>
                <w:highlight w:val="none"/>
              </w:rPr>
            </w:pPr>
          </w:p>
        </w:tc>
        <w:tc>
          <w:tcPr>
            <w:tcW w:w="1473" w:type="dxa"/>
            <w:shd w:val="clear" w:color="auto" w:fill="B8CCE4"/>
            <w:noWrap w:val="0"/>
            <w:vAlign w:val="top"/>
          </w:tcPr>
          <w:p w14:paraId="25000CFF">
            <w:pPr>
              <w:pStyle w:val="65"/>
              <w:spacing w:before="111" w:line="220" w:lineRule="auto"/>
              <w:ind w:left="20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营业收入(Y)</w:t>
            </w:r>
          </w:p>
        </w:tc>
        <w:tc>
          <w:tcPr>
            <w:tcW w:w="757" w:type="dxa"/>
            <w:shd w:val="clear" w:color="auto" w:fill="B8CCE4"/>
            <w:noWrap w:val="0"/>
            <w:vAlign w:val="top"/>
          </w:tcPr>
          <w:p w14:paraId="2A8ECA99">
            <w:pPr>
              <w:pStyle w:val="65"/>
              <w:spacing w:before="112"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shd w:val="clear" w:color="auto" w:fill="B8CCE4"/>
            <w:noWrap w:val="0"/>
            <w:vAlign w:val="top"/>
          </w:tcPr>
          <w:p w14:paraId="48C4AD54">
            <w:pPr>
              <w:pStyle w:val="65"/>
              <w:spacing w:before="111" w:line="238" w:lineRule="auto"/>
              <w:ind w:left="21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Y≥30000</w:t>
            </w:r>
          </w:p>
        </w:tc>
        <w:tc>
          <w:tcPr>
            <w:tcW w:w="1825" w:type="dxa"/>
            <w:shd w:val="clear" w:color="auto" w:fill="B8CCE4"/>
            <w:noWrap w:val="0"/>
            <w:vAlign w:val="top"/>
          </w:tcPr>
          <w:p w14:paraId="040361EC">
            <w:pPr>
              <w:pStyle w:val="65"/>
              <w:spacing w:before="112" w:line="236" w:lineRule="auto"/>
              <w:ind w:left="24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1000≤Y＜30000</w:t>
            </w:r>
          </w:p>
        </w:tc>
        <w:tc>
          <w:tcPr>
            <w:tcW w:w="1700" w:type="dxa"/>
            <w:shd w:val="clear" w:color="auto" w:fill="B8CCE4"/>
            <w:noWrap w:val="0"/>
            <w:vAlign w:val="top"/>
          </w:tcPr>
          <w:p w14:paraId="66CD42DA">
            <w:pPr>
              <w:pStyle w:val="65"/>
              <w:spacing w:before="112" w:line="236" w:lineRule="auto"/>
              <w:ind w:left="122"/>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100≤Y＜1000</w:t>
            </w:r>
          </w:p>
        </w:tc>
        <w:tc>
          <w:tcPr>
            <w:tcW w:w="1026" w:type="dxa"/>
            <w:shd w:val="clear" w:color="auto" w:fill="B8CCE4"/>
            <w:noWrap w:val="0"/>
            <w:vAlign w:val="top"/>
          </w:tcPr>
          <w:p w14:paraId="507F000C">
            <w:pPr>
              <w:pStyle w:val="65"/>
              <w:spacing w:before="111"/>
              <w:ind w:left="21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Y＜100</w:t>
            </w:r>
          </w:p>
        </w:tc>
      </w:tr>
      <w:tr w14:paraId="30ED7B0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410" w:hRule="atLeast"/>
        </w:trPr>
        <w:tc>
          <w:tcPr>
            <w:tcW w:w="1420" w:type="dxa"/>
            <w:vMerge w:val="restart"/>
            <w:tcBorders>
              <w:bottom w:val="nil"/>
            </w:tcBorders>
            <w:noWrap w:val="0"/>
            <w:vAlign w:val="top"/>
          </w:tcPr>
          <w:p w14:paraId="4CBDC994">
            <w:pPr>
              <w:spacing w:line="255" w:lineRule="auto"/>
              <w:rPr>
                <w:rFonts w:hint="eastAsia" w:ascii="宋体" w:hAnsi="宋体" w:eastAsia="宋体" w:cs="宋体"/>
                <w:color w:val="auto"/>
                <w:highlight w:val="none"/>
              </w:rPr>
            </w:pPr>
          </w:p>
          <w:p w14:paraId="38F37663">
            <w:pPr>
              <w:pStyle w:val="65"/>
              <w:spacing w:before="58" w:line="221" w:lineRule="auto"/>
              <w:ind w:left="430"/>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邮政业</w:t>
            </w:r>
          </w:p>
        </w:tc>
        <w:tc>
          <w:tcPr>
            <w:tcW w:w="1473" w:type="dxa"/>
            <w:noWrap w:val="0"/>
            <w:vAlign w:val="top"/>
          </w:tcPr>
          <w:p w14:paraId="1AE7ED3D">
            <w:pPr>
              <w:pStyle w:val="65"/>
              <w:spacing w:before="111" w:line="220" w:lineRule="auto"/>
              <w:ind w:left="197"/>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从业人员(X)</w:t>
            </w:r>
          </w:p>
        </w:tc>
        <w:tc>
          <w:tcPr>
            <w:tcW w:w="757" w:type="dxa"/>
            <w:noWrap w:val="0"/>
            <w:vAlign w:val="top"/>
          </w:tcPr>
          <w:p w14:paraId="525ECB24">
            <w:pPr>
              <w:pStyle w:val="65"/>
              <w:spacing w:before="111" w:line="222" w:lineRule="auto"/>
              <w:ind w:left="27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13" w:type="dxa"/>
            <w:noWrap w:val="0"/>
            <w:vAlign w:val="top"/>
          </w:tcPr>
          <w:p w14:paraId="391E3C79">
            <w:pPr>
              <w:pStyle w:val="65"/>
              <w:spacing w:before="110" w:line="238" w:lineRule="auto"/>
              <w:ind w:left="262"/>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X≥1000</w:t>
            </w:r>
          </w:p>
        </w:tc>
        <w:tc>
          <w:tcPr>
            <w:tcW w:w="1825" w:type="dxa"/>
            <w:noWrap w:val="0"/>
            <w:vAlign w:val="top"/>
          </w:tcPr>
          <w:p w14:paraId="6AD66CB3">
            <w:pPr>
              <w:pStyle w:val="65"/>
              <w:spacing w:before="111" w:line="236" w:lineRule="auto"/>
              <w:ind w:left="32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300≤X＜1000</w:t>
            </w:r>
          </w:p>
        </w:tc>
        <w:tc>
          <w:tcPr>
            <w:tcW w:w="1700" w:type="dxa"/>
            <w:noWrap w:val="0"/>
            <w:vAlign w:val="top"/>
          </w:tcPr>
          <w:p w14:paraId="3D7FE430">
            <w:pPr>
              <w:pStyle w:val="65"/>
              <w:spacing w:before="111" w:line="236" w:lineRule="auto"/>
              <w:ind w:left="36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20≤X＜300</w:t>
            </w:r>
          </w:p>
        </w:tc>
        <w:tc>
          <w:tcPr>
            <w:tcW w:w="1026" w:type="dxa"/>
            <w:noWrap w:val="0"/>
            <w:vAlign w:val="top"/>
          </w:tcPr>
          <w:p w14:paraId="503715F2">
            <w:pPr>
              <w:pStyle w:val="65"/>
              <w:spacing w:before="110"/>
              <w:ind w:left="26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X＜20</w:t>
            </w:r>
          </w:p>
        </w:tc>
      </w:tr>
      <w:tr w14:paraId="5D023DF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8" w:hRule="atLeast"/>
        </w:trPr>
        <w:tc>
          <w:tcPr>
            <w:tcW w:w="1420" w:type="dxa"/>
            <w:vMerge w:val="continue"/>
            <w:tcBorders>
              <w:top w:val="nil"/>
            </w:tcBorders>
            <w:shd w:val="clear" w:color="auto" w:fill="auto"/>
            <w:noWrap w:val="0"/>
            <w:vAlign w:val="top"/>
          </w:tcPr>
          <w:p w14:paraId="4E27F3AC">
            <w:pPr>
              <w:rPr>
                <w:rFonts w:hint="eastAsia" w:ascii="宋体" w:hAnsi="宋体" w:eastAsia="宋体" w:cs="宋体"/>
                <w:color w:val="auto"/>
                <w:highlight w:val="none"/>
              </w:rPr>
            </w:pPr>
          </w:p>
        </w:tc>
        <w:tc>
          <w:tcPr>
            <w:tcW w:w="1473" w:type="dxa"/>
            <w:shd w:val="clear" w:color="auto" w:fill="B8CCE4"/>
            <w:noWrap w:val="0"/>
            <w:vAlign w:val="top"/>
          </w:tcPr>
          <w:p w14:paraId="3654DF24">
            <w:pPr>
              <w:pStyle w:val="65"/>
              <w:spacing w:before="96" w:line="220" w:lineRule="auto"/>
              <w:ind w:left="20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营业收入(Y)</w:t>
            </w:r>
          </w:p>
        </w:tc>
        <w:tc>
          <w:tcPr>
            <w:tcW w:w="757" w:type="dxa"/>
            <w:shd w:val="clear" w:color="auto" w:fill="B8CCE4"/>
            <w:noWrap w:val="0"/>
            <w:vAlign w:val="top"/>
          </w:tcPr>
          <w:p w14:paraId="0CDC55A2">
            <w:pPr>
              <w:pStyle w:val="65"/>
              <w:spacing w:before="97"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shd w:val="clear" w:color="auto" w:fill="B8CCE4"/>
            <w:noWrap w:val="0"/>
            <w:vAlign w:val="top"/>
          </w:tcPr>
          <w:p w14:paraId="5C90156C">
            <w:pPr>
              <w:pStyle w:val="65"/>
              <w:spacing w:before="96" w:line="238" w:lineRule="auto"/>
              <w:ind w:left="21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Y≥30000</w:t>
            </w:r>
          </w:p>
        </w:tc>
        <w:tc>
          <w:tcPr>
            <w:tcW w:w="1825" w:type="dxa"/>
            <w:shd w:val="clear" w:color="auto" w:fill="B8CCE4"/>
            <w:noWrap w:val="0"/>
            <w:vAlign w:val="top"/>
          </w:tcPr>
          <w:p w14:paraId="5D45077B">
            <w:pPr>
              <w:pStyle w:val="65"/>
              <w:spacing w:before="96" w:line="236" w:lineRule="auto"/>
              <w:ind w:left="22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2000≤Y＜30000</w:t>
            </w:r>
          </w:p>
        </w:tc>
        <w:tc>
          <w:tcPr>
            <w:tcW w:w="1700" w:type="dxa"/>
            <w:shd w:val="clear" w:color="auto" w:fill="B8CCE4"/>
            <w:noWrap w:val="0"/>
            <w:vAlign w:val="top"/>
          </w:tcPr>
          <w:p w14:paraId="6BBE1AAC">
            <w:pPr>
              <w:pStyle w:val="65"/>
              <w:spacing w:before="96" w:line="236"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100≤Y＜2000</w:t>
            </w:r>
          </w:p>
        </w:tc>
        <w:tc>
          <w:tcPr>
            <w:tcW w:w="1026" w:type="dxa"/>
            <w:shd w:val="clear" w:color="auto" w:fill="B8CCE4"/>
            <w:noWrap w:val="0"/>
            <w:vAlign w:val="top"/>
          </w:tcPr>
          <w:p w14:paraId="56C3CD1D">
            <w:pPr>
              <w:pStyle w:val="65"/>
              <w:spacing w:before="96"/>
              <w:ind w:left="21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Y＜100</w:t>
            </w:r>
          </w:p>
        </w:tc>
      </w:tr>
      <w:tr w14:paraId="1B9703F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8" w:hRule="atLeast"/>
        </w:trPr>
        <w:tc>
          <w:tcPr>
            <w:tcW w:w="1420" w:type="dxa"/>
            <w:vMerge w:val="restart"/>
            <w:tcBorders>
              <w:bottom w:val="nil"/>
            </w:tcBorders>
            <w:noWrap w:val="0"/>
            <w:vAlign w:val="top"/>
          </w:tcPr>
          <w:p w14:paraId="1655C3E9">
            <w:pPr>
              <w:spacing w:line="245" w:lineRule="auto"/>
              <w:rPr>
                <w:rFonts w:hint="eastAsia" w:ascii="宋体" w:hAnsi="宋体" w:eastAsia="宋体" w:cs="宋体"/>
                <w:color w:val="auto"/>
                <w:highlight w:val="none"/>
              </w:rPr>
            </w:pPr>
          </w:p>
          <w:p w14:paraId="2C0CE138">
            <w:pPr>
              <w:pStyle w:val="65"/>
              <w:spacing w:before="59" w:line="220" w:lineRule="auto"/>
              <w:ind w:left="416"/>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住宿业</w:t>
            </w:r>
          </w:p>
        </w:tc>
        <w:tc>
          <w:tcPr>
            <w:tcW w:w="1473" w:type="dxa"/>
            <w:noWrap w:val="0"/>
            <w:vAlign w:val="top"/>
          </w:tcPr>
          <w:p w14:paraId="35AA8A6F">
            <w:pPr>
              <w:pStyle w:val="65"/>
              <w:spacing w:before="104" w:line="220" w:lineRule="auto"/>
              <w:ind w:left="197"/>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从业人员(X)</w:t>
            </w:r>
          </w:p>
        </w:tc>
        <w:tc>
          <w:tcPr>
            <w:tcW w:w="757" w:type="dxa"/>
            <w:noWrap w:val="0"/>
            <w:vAlign w:val="top"/>
          </w:tcPr>
          <w:p w14:paraId="19E52702">
            <w:pPr>
              <w:pStyle w:val="65"/>
              <w:spacing w:before="104" w:line="222" w:lineRule="auto"/>
              <w:ind w:left="27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13" w:type="dxa"/>
            <w:noWrap w:val="0"/>
            <w:vAlign w:val="top"/>
          </w:tcPr>
          <w:p w14:paraId="4F71FD01">
            <w:pPr>
              <w:pStyle w:val="65"/>
              <w:spacing w:before="103" w:line="238" w:lineRule="auto"/>
              <w:ind w:left="310"/>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X≥300</w:t>
            </w:r>
          </w:p>
        </w:tc>
        <w:tc>
          <w:tcPr>
            <w:tcW w:w="1825" w:type="dxa"/>
            <w:noWrap w:val="0"/>
            <w:vAlign w:val="top"/>
          </w:tcPr>
          <w:p w14:paraId="632B3E25">
            <w:pPr>
              <w:pStyle w:val="65"/>
              <w:spacing w:before="104" w:line="236" w:lineRule="auto"/>
              <w:ind w:left="38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100≤X＜300</w:t>
            </w:r>
          </w:p>
        </w:tc>
        <w:tc>
          <w:tcPr>
            <w:tcW w:w="1700" w:type="dxa"/>
            <w:noWrap w:val="0"/>
            <w:vAlign w:val="top"/>
          </w:tcPr>
          <w:p w14:paraId="4B6A75A0">
            <w:pPr>
              <w:pStyle w:val="65"/>
              <w:spacing w:before="104" w:line="236" w:lineRule="auto"/>
              <w:ind w:left="37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10≤X＜100</w:t>
            </w:r>
          </w:p>
        </w:tc>
        <w:tc>
          <w:tcPr>
            <w:tcW w:w="1026" w:type="dxa"/>
            <w:noWrap w:val="0"/>
            <w:vAlign w:val="top"/>
          </w:tcPr>
          <w:p w14:paraId="5570EE07">
            <w:pPr>
              <w:pStyle w:val="65"/>
              <w:spacing w:before="104"/>
              <w:ind w:left="26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X＜10</w:t>
            </w:r>
          </w:p>
        </w:tc>
      </w:tr>
      <w:tr w14:paraId="6E0E43B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6" w:hRule="atLeast"/>
        </w:trPr>
        <w:tc>
          <w:tcPr>
            <w:tcW w:w="1420" w:type="dxa"/>
            <w:vMerge w:val="continue"/>
            <w:tcBorders>
              <w:top w:val="nil"/>
            </w:tcBorders>
            <w:shd w:val="clear" w:color="auto" w:fill="auto"/>
            <w:noWrap w:val="0"/>
            <w:vAlign w:val="top"/>
          </w:tcPr>
          <w:p w14:paraId="4540855D">
            <w:pPr>
              <w:rPr>
                <w:rFonts w:hint="eastAsia" w:ascii="宋体" w:hAnsi="宋体" w:eastAsia="宋体" w:cs="宋体"/>
                <w:color w:val="auto"/>
                <w:highlight w:val="none"/>
              </w:rPr>
            </w:pPr>
          </w:p>
        </w:tc>
        <w:tc>
          <w:tcPr>
            <w:tcW w:w="1473" w:type="dxa"/>
            <w:shd w:val="clear" w:color="auto" w:fill="B8CCE4"/>
            <w:noWrap w:val="0"/>
            <w:vAlign w:val="top"/>
          </w:tcPr>
          <w:p w14:paraId="66027361">
            <w:pPr>
              <w:pStyle w:val="65"/>
              <w:spacing w:before="111" w:line="220" w:lineRule="auto"/>
              <w:ind w:left="20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营业收入(Y)</w:t>
            </w:r>
          </w:p>
        </w:tc>
        <w:tc>
          <w:tcPr>
            <w:tcW w:w="757" w:type="dxa"/>
            <w:shd w:val="clear" w:color="auto" w:fill="B8CCE4"/>
            <w:noWrap w:val="0"/>
            <w:vAlign w:val="top"/>
          </w:tcPr>
          <w:p w14:paraId="21BE428D">
            <w:pPr>
              <w:pStyle w:val="65"/>
              <w:spacing w:before="112"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shd w:val="clear" w:color="auto" w:fill="B8CCE4"/>
            <w:noWrap w:val="0"/>
            <w:vAlign w:val="top"/>
          </w:tcPr>
          <w:p w14:paraId="5EB70D56">
            <w:pPr>
              <w:pStyle w:val="65"/>
              <w:spacing w:before="111" w:line="238" w:lineRule="auto"/>
              <w:ind w:left="21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Y≥10000</w:t>
            </w:r>
          </w:p>
        </w:tc>
        <w:tc>
          <w:tcPr>
            <w:tcW w:w="1825" w:type="dxa"/>
            <w:shd w:val="clear" w:color="auto" w:fill="B8CCE4"/>
            <w:noWrap w:val="0"/>
            <w:vAlign w:val="top"/>
          </w:tcPr>
          <w:p w14:paraId="0C1E4205">
            <w:pPr>
              <w:pStyle w:val="65"/>
              <w:spacing w:before="112" w:line="236" w:lineRule="auto"/>
              <w:ind w:left="22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2000≤Y＜10000</w:t>
            </w:r>
          </w:p>
        </w:tc>
        <w:tc>
          <w:tcPr>
            <w:tcW w:w="1700" w:type="dxa"/>
            <w:shd w:val="clear" w:color="auto" w:fill="B8CCE4"/>
            <w:noWrap w:val="0"/>
            <w:vAlign w:val="top"/>
          </w:tcPr>
          <w:p w14:paraId="736F61BE">
            <w:pPr>
              <w:pStyle w:val="65"/>
              <w:spacing w:before="112" w:line="236"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100≤Y＜2000</w:t>
            </w:r>
          </w:p>
        </w:tc>
        <w:tc>
          <w:tcPr>
            <w:tcW w:w="1026" w:type="dxa"/>
            <w:shd w:val="clear" w:color="auto" w:fill="B8CCE4"/>
            <w:noWrap w:val="0"/>
            <w:vAlign w:val="top"/>
          </w:tcPr>
          <w:p w14:paraId="41B1D588">
            <w:pPr>
              <w:pStyle w:val="65"/>
              <w:spacing w:before="112"/>
              <w:ind w:left="21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Y＜100</w:t>
            </w:r>
          </w:p>
        </w:tc>
      </w:tr>
      <w:tr w14:paraId="7FD372A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410" w:hRule="atLeast"/>
        </w:trPr>
        <w:tc>
          <w:tcPr>
            <w:tcW w:w="1420" w:type="dxa"/>
            <w:vMerge w:val="restart"/>
            <w:tcBorders>
              <w:bottom w:val="nil"/>
            </w:tcBorders>
            <w:noWrap w:val="0"/>
            <w:vAlign w:val="top"/>
          </w:tcPr>
          <w:p w14:paraId="58D65B98">
            <w:pPr>
              <w:spacing w:line="262" w:lineRule="auto"/>
              <w:rPr>
                <w:rFonts w:hint="eastAsia" w:ascii="宋体" w:hAnsi="宋体" w:eastAsia="宋体" w:cs="宋体"/>
                <w:color w:val="auto"/>
                <w:highlight w:val="none"/>
              </w:rPr>
            </w:pPr>
          </w:p>
          <w:p w14:paraId="598A15EA">
            <w:pPr>
              <w:pStyle w:val="65"/>
              <w:spacing w:before="59" w:line="220" w:lineRule="auto"/>
              <w:ind w:left="418"/>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餐饮业</w:t>
            </w:r>
          </w:p>
        </w:tc>
        <w:tc>
          <w:tcPr>
            <w:tcW w:w="1473" w:type="dxa"/>
            <w:noWrap w:val="0"/>
            <w:vAlign w:val="top"/>
          </w:tcPr>
          <w:p w14:paraId="61249E3B">
            <w:pPr>
              <w:pStyle w:val="65"/>
              <w:spacing w:before="119" w:line="220" w:lineRule="auto"/>
              <w:ind w:left="197"/>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从业人员(X)</w:t>
            </w:r>
          </w:p>
        </w:tc>
        <w:tc>
          <w:tcPr>
            <w:tcW w:w="757" w:type="dxa"/>
            <w:noWrap w:val="0"/>
            <w:vAlign w:val="top"/>
          </w:tcPr>
          <w:p w14:paraId="6C42A77E">
            <w:pPr>
              <w:pStyle w:val="65"/>
              <w:spacing w:before="119" w:line="222" w:lineRule="auto"/>
              <w:ind w:left="27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13" w:type="dxa"/>
            <w:noWrap w:val="0"/>
            <w:vAlign w:val="top"/>
          </w:tcPr>
          <w:p w14:paraId="19BA3363">
            <w:pPr>
              <w:pStyle w:val="65"/>
              <w:spacing w:before="119" w:line="238" w:lineRule="auto"/>
              <w:ind w:left="310"/>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X≥300</w:t>
            </w:r>
          </w:p>
        </w:tc>
        <w:tc>
          <w:tcPr>
            <w:tcW w:w="1825" w:type="dxa"/>
            <w:noWrap w:val="0"/>
            <w:vAlign w:val="top"/>
          </w:tcPr>
          <w:p w14:paraId="537DBF09">
            <w:pPr>
              <w:pStyle w:val="65"/>
              <w:spacing w:before="119" w:line="236" w:lineRule="auto"/>
              <w:ind w:left="38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100≤X＜300</w:t>
            </w:r>
          </w:p>
        </w:tc>
        <w:tc>
          <w:tcPr>
            <w:tcW w:w="1700" w:type="dxa"/>
            <w:noWrap w:val="0"/>
            <w:vAlign w:val="top"/>
          </w:tcPr>
          <w:p w14:paraId="089248B0">
            <w:pPr>
              <w:pStyle w:val="65"/>
              <w:spacing w:before="119" w:line="236" w:lineRule="auto"/>
              <w:ind w:left="37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10≤X＜100</w:t>
            </w:r>
          </w:p>
        </w:tc>
        <w:tc>
          <w:tcPr>
            <w:tcW w:w="1026" w:type="dxa"/>
            <w:noWrap w:val="0"/>
            <w:vAlign w:val="top"/>
          </w:tcPr>
          <w:p w14:paraId="6462E081">
            <w:pPr>
              <w:pStyle w:val="65"/>
              <w:spacing w:before="119"/>
              <w:ind w:left="26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X＜10</w:t>
            </w:r>
          </w:p>
        </w:tc>
      </w:tr>
      <w:tr w14:paraId="5EC958C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8" w:hRule="atLeast"/>
        </w:trPr>
        <w:tc>
          <w:tcPr>
            <w:tcW w:w="1420" w:type="dxa"/>
            <w:vMerge w:val="continue"/>
            <w:tcBorders>
              <w:top w:val="nil"/>
            </w:tcBorders>
            <w:shd w:val="clear" w:color="auto" w:fill="auto"/>
            <w:noWrap w:val="0"/>
            <w:vAlign w:val="top"/>
          </w:tcPr>
          <w:p w14:paraId="2A2D2B9A">
            <w:pPr>
              <w:rPr>
                <w:rFonts w:hint="eastAsia" w:ascii="宋体" w:hAnsi="宋体" w:eastAsia="宋体" w:cs="宋体"/>
                <w:color w:val="auto"/>
                <w:highlight w:val="none"/>
              </w:rPr>
            </w:pPr>
          </w:p>
        </w:tc>
        <w:tc>
          <w:tcPr>
            <w:tcW w:w="1473" w:type="dxa"/>
            <w:shd w:val="clear" w:color="auto" w:fill="B8CCE4"/>
            <w:noWrap w:val="0"/>
            <w:vAlign w:val="top"/>
          </w:tcPr>
          <w:p w14:paraId="4FB4E52D">
            <w:pPr>
              <w:pStyle w:val="65"/>
              <w:spacing w:before="104" w:line="220" w:lineRule="auto"/>
              <w:ind w:left="20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营业收入(Y)</w:t>
            </w:r>
          </w:p>
        </w:tc>
        <w:tc>
          <w:tcPr>
            <w:tcW w:w="757" w:type="dxa"/>
            <w:shd w:val="clear" w:color="auto" w:fill="B8CCE4"/>
            <w:noWrap w:val="0"/>
            <w:vAlign w:val="top"/>
          </w:tcPr>
          <w:p w14:paraId="7ADE6AD3">
            <w:pPr>
              <w:pStyle w:val="65"/>
              <w:spacing w:before="105"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shd w:val="clear" w:color="auto" w:fill="B8CCE4"/>
            <w:noWrap w:val="0"/>
            <w:vAlign w:val="top"/>
          </w:tcPr>
          <w:p w14:paraId="4FB37EC1">
            <w:pPr>
              <w:pStyle w:val="65"/>
              <w:spacing w:before="104" w:line="238" w:lineRule="auto"/>
              <w:ind w:left="21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Y≥10000</w:t>
            </w:r>
          </w:p>
        </w:tc>
        <w:tc>
          <w:tcPr>
            <w:tcW w:w="1825" w:type="dxa"/>
            <w:shd w:val="clear" w:color="auto" w:fill="B8CCE4"/>
            <w:noWrap w:val="0"/>
            <w:vAlign w:val="top"/>
          </w:tcPr>
          <w:p w14:paraId="76DF3507">
            <w:pPr>
              <w:pStyle w:val="65"/>
              <w:spacing w:before="105" w:line="236" w:lineRule="auto"/>
              <w:ind w:left="22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2000≤Y＜10000</w:t>
            </w:r>
          </w:p>
        </w:tc>
        <w:tc>
          <w:tcPr>
            <w:tcW w:w="1700" w:type="dxa"/>
            <w:shd w:val="clear" w:color="auto" w:fill="B8CCE4"/>
            <w:noWrap w:val="0"/>
            <w:vAlign w:val="top"/>
          </w:tcPr>
          <w:p w14:paraId="62E41BBF">
            <w:pPr>
              <w:pStyle w:val="65"/>
              <w:spacing w:before="105" w:line="236"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100≤Y＜2000</w:t>
            </w:r>
          </w:p>
        </w:tc>
        <w:tc>
          <w:tcPr>
            <w:tcW w:w="1026" w:type="dxa"/>
            <w:shd w:val="clear" w:color="auto" w:fill="B8CCE4"/>
            <w:noWrap w:val="0"/>
            <w:vAlign w:val="top"/>
          </w:tcPr>
          <w:p w14:paraId="6C88927F">
            <w:pPr>
              <w:pStyle w:val="65"/>
              <w:spacing w:before="104"/>
              <w:ind w:left="21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Y＜100</w:t>
            </w:r>
          </w:p>
        </w:tc>
      </w:tr>
      <w:tr w14:paraId="1F96A93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7" w:hRule="atLeast"/>
        </w:trPr>
        <w:tc>
          <w:tcPr>
            <w:tcW w:w="1420" w:type="dxa"/>
            <w:vMerge w:val="restart"/>
            <w:tcBorders>
              <w:bottom w:val="nil"/>
            </w:tcBorders>
            <w:noWrap w:val="0"/>
            <w:vAlign w:val="top"/>
          </w:tcPr>
          <w:p w14:paraId="6A431FB1">
            <w:pPr>
              <w:spacing w:line="254" w:lineRule="auto"/>
              <w:rPr>
                <w:rFonts w:hint="eastAsia" w:ascii="宋体" w:hAnsi="宋体" w:eastAsia="宋体" w:cs="宋体"/>
                <w:color w:val="auto"/>
                <w:highlight w:val="none"/>
              </w:rPr>
            </w:pPr>
          </w:p>
          <w:p w14:paraId="177F0EA8">
            <w:pPr>
              <w:pStyle w:val="65"/>
              <w:spacing w:before="58" w:line="219" w:lineRule="auto"/>
              <w:ind w:left="119"/>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信息传输业</w:t>
            </w:r>
            <w:r>
              <w:rPr>
                <w:rFonts w:hint="eastAsia" w:ascii="宋体" w:hAnsi="宋体" w:eastAsia="宋体" w:cs="宋体"/>
                <w:color w:val="auto"/>
                <w:spacing w:val="39"/>
                <w:sz w:val="18"/>
                <w:szCs w:val="18"/>
                <w:highlight w:val="none"/>
              </w:rPr>
              <w:t xml:space="preserve"> </w:t>
            </w:r>
            <w:r>
              <w:rPr>
                <w:rFonts w:hint="eastAsia" w:ascii="宋体" w:hAnsi="宋体" w:eastAsia="宋体" w:cs="宋体"/>
                <w:color w:val="auto"/>
                <w:spacing w:val="9"/>
                <w:sz w:val="18"/>
                <w:szCs w:val="18"/>
                <w:highlight w:val="none"/>
              </w:rPr>
              <w:t>*</w:t>
            </w:r>
          </w:p>
        </w:tc>
        <w:tc>
          <w:tcPr>
            <w:tcW w:w="1473" w:type="dxa"/>
            <w:noWrap w:val="0"/>
            <w:vAlign w:val="top"/>
          </w:tcPr>
          <w:p w14:paraId="579894C2">
            <w:pPr>
              <w:pStyle w:val="65"/>
              <w:spacing w:before="113" w:line="220" w:lineRule="auto"/>
              <w:ind w:left="197"/>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从业人员(X)</w:t>
            </w:r>
          </w:p>
        </w:tc>
        <w:tc>
          <w:tcPr>
            <w:tcW w:w="757" w:type="dxa"/>
            <w:noWrap w:val="0"/>
            <w:vAlign w:val="top"/>
          </w:tcPr>
          <w:p w14:paraId="1AD6C636">
            <w:pPr>
              <w:pStyle w:val="65"/>
              <w:spacing w:before="113" w:line="222" w:lineRule="auto"/>
              <w:ind w:left="27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13" w:type="dxa"/>
            <w:noWrap w:val="0"/>
            <w:vAlign w:val="top"/>
          </w:tcPr>
          <w:p w14:paraId="72978ACE">
            <w:pPr>
              <w:pStyle w:val="65"/>
              <w:spacing w:before="112" w:line="238" w:lineRule="auto"/>
              <w:ind w:left="262"/>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X≥2000</w:t>
            </w:r>
          </w:p>
        </w:tc>
        <w:tc>
          <w:tcPr>
            <w:tcW w:w="1825" w:type="dxa"/>
            <w:noWrap w:val="0"/>
            <w:vAlign w:val="top"/>
          </w:tcPr>
          <w:p w14:paraId="633B9808">
            <w:pPr>
              <w:pStyle w:val="65"/>
              <w:spacing w:before="112" w:line="236" w:lineRule="auto"/>
              <w:ind w:left="339"/>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100≤X＜2000</w:t>
            </w:r>
          </w:p>
        </w:tc>
        <w:tc>
          <w:tcPr>
            <w:tcW w:w="1700" w:type="dxa"/>
            <w:noWrap w:val="0"/>
            <w:vAlign w:val="top"/>
          </w:tcPr>
          <w:p w14:paraId="3BB9655C">
            <w:pPr>
              <w:pStyle w:val="65"/>
              <w:spacing w:before="112" w:line="236" w:lineRule="auto"/>
              <w:ind w:left="37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10≤X＜100</w:t>
            </w:r>
          </w:p>
        </w:tc>
        <w:tc>
          <w:tcPr>
            <w:tcW w:w="1026" w:type="dxa"/>
            <w:noWrap w:val="0"/>
            <w:vAlign w:val="top"/>
          </w:tcPr>
          <w:p w14:paraId="3A279571">
            <w:pPr>
              <w:pStyle w:val="65"/>
              <w:spacing w:before="112"/>
              <w:ind w:left="26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X＜10</w:t>
            </w:r>
          </w:p>
        </w:tc>
      </w:tr>
      <w:tr w14:paraId="6E87666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6" w:hRule="atLeast"/>
        </w:trPr>
        <w:tc>
          <w:tcPr>
            <w:tcW w:w="1420" w:type="dxa"/>
            <w:vMerge w:val="continue"/>
            <w:tcBorders>
              <w:top w:val="nil"/>
            </w:tcBorders>
            <w:shd w:val="clear" w:color="auto" w:fill="auto"/>
            <w:noWrap w:val="0"/>
            <w:vAlign w:val="top"/>
          </w:tcPr>
          <w:p w14:paraId="5DA791D5">
            <w:pPr>
              <w:rPr>
                <w:rFonts w:hint="eastAsia" w:ascii="宋体" w:hAnsi="宋体" w:eastAsia="宋体" w:cs="宋体"/>
                <w:color w:val="auto"/>
                <w:highlight w:val="none"/>
              </w:rPr>
            </w:pPr>
          </w:p>
        </w:tc>
        <w:tc>
          <w:tcPr>
            <w:tcW w:w="1473" w:type="dxa"/>
            <w:shd w:val="clear" w:color="auto" w:fill="B8CCE4"/>
            <w:noWrap w:val="0"/>
            <w:vAlign w:val="top"/>
          </w:tcPr>
          <w:p w14:paraId="7CE7032A">
            <w:pPr>
              <w:pStyle w:val="65"/>
              <w:spacing w:before="120" w:line="220" w:lineRule="auto"/>
              <w:ind w:left="20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营业收入(Y)</w:t>
            </w:r>
          </w:p>
        </w:tc>
        <w:tc>
          <w:tcPr>
            <w:tcW w:w="757" w:type="dxa"/>
            <w:shd w:val="clear" w:color="auto" w:fill="B8CCE4"/>
            <w:noWrap w:val="0"/>
            <w:vAlign w:val="top"/>
          </w:tcPr>
          <w:p w14:paraId="460ED426">
            <w:pPr>
              <w:pStyle w:val="65"/>
              <w:spacing w:before="121"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shd w:val="clear" w:color="auto" w:fill="B8CCE4"/>
            <w:noWrap w:val="0"/>
            <w:vAlign w:val="top"/>
          </w:tcPr>
          <w:p w14:paraId="5F55A9F3">
            <w:pPr>
              <w:pStyle w:val="65"/>
              <w:spacing w:before="120" w:line="238" w:lineRule="auto"/>
              <w:ind w:left="163"/>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Y≥100000</w:t>
            </w:r>
          </w:p>
        </w:tc>
        <w:tc>
          <w:tcPr>
            <w:tcW w:w="1825" w:type="dxa"/>
            <w:shd w:val="clear" w:color="auto" w:fill="B8CCE4"/>
            <w:noWrap w:val="0"/>
            <w:vAlign w:val="top"/>
          </w:tcPr>
          <w:p w14:paraId="00EB9017">
            <w:pPr>
              <w:pStyle w:val="65"/>
              <w:spacing w:before="121" w:line="236" w:lineRule="auto"/>
              <w:ind w:left="190"/>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1000≤Y＜100000</w:t>
            </w:r>
          </w:p>
        </w:tc>
        <w:tc>
          <w:tcPr>
            <w:tcW w:w="1700" w:type="dxa"/>
            <w:shd w:val="clear" w:color="auto" w:fill="B8CCE4"/>
            <w:noWrap w:val="0"/>
            <w:vAlign w:val="top"/>
          </w:tcPr>
          <w:p w14:paraId="3BCDE21C">
            <w:pPr>
              <w:pStyle w:val="65"/>
              <w:spacing w:before="121" w:line="236" w:lineRule="auto"/>
              <w:ind w:left="122"/>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100≤Y＜1000</w:t>
            </w:r>
          </w:p>
        </w:tc>
        <w:tc>
          <w:tcPr>
            <w:tcW w:w="1026" w:type="dxa"/>
            <w:shd w:val="clear" w:color="auto" w:fill="B8CCE4"/>
            <w:noWrap w:val="0"/>
            <w:vAlign w:val="top"/>
          </w:tcPr>
          <w:p w14:paraId="68E660CB">
            <w:pPr>
              <w:pStyle w:val="65"/>
              <w:spacing w:before="121"/>
              <w:ind w:left="21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Y＜100</w:t>
            </w:r>
          </w:p>
        </w:tc>
      </w:tr>
      <w:tr w14:paraId="0D08B0E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47" w:hRule="atLeast"/>
        </w:trPr>
        <w:tc>
          <w:tcPr>
            <w:tcW w:w="1420" w:type="dxa"/>
            <w:vMerge w:val="restart"/>
            <w:tcBorders>
              <w:bottom w:val="nil"/>
            </w:tcBorders>
            <w:noWrap w:val="0"/>
            <w:vAlign w:val="top"/>
          </w:tcPr>
          <w:p w14:paraId="748F001D">
            <w:pPr>
              <w:pStyle w:val="65"/>
              <w:spacing w:before="130" w:line="270" w:lineRule="auto"/>
              <w:ind w:left="516" w:right="75" w:hanging="404"/>
              <w:rPr>
                <w:rFonts w:hint="eastAsia" w:ascii="宋体" w:hAnsi="宋体" w:eastAsia="宋体" w:cs="宋体"/>
                <w:color w:val="auto"/>
                <w:sz w:val="18"/>
                <w:szCs w:val="18"/>
                <w:highlight w:val="none"/>
                <w:lang w:eastAsia="zh-CN"/>
              </w:rPr>
            </w:pPr>
            <w:r>
              <w:rPr>
                <w:rFonts w:hint="eastAsia" w:ascii="宋体" w:hAnsi="宋体" w:eastAsia="宋体" w:cs="宋体"/>
                <w:color w:val="auto"/>
                <w:spacing w:val="-14"/>
                <w:w w:val="92"/>
                <w:sz w:val="18"/>
                <w:szCs w:val="18"/>
                <w:highlight w:val="none"/>
                <w:lang w:eastAsia="zh-CN"/>
              </w:rPr>
              <w:t>软件和信息技术服</w:t>
            </w:r>
            <w:r>
              <w:rPr>
                <w:rFonts w:hint="eastAsia" w:ascii="宋体" w:hAnsi="宋体" w:eastAsia="宋体" w:cs="宋体"/>
                <w:color w:val="auto"/>
                <w:spacing w:val="8"/>
                <w:sz w:val="18"/>
                <w:szCs w:val="18"/>
                <w:highlight w:val="none"/>
                <w:lang w:eastAsia="zh-CN"/>
              </w:rPr>
              <w:t xml:space="preserve"> </w:t>
            </w:r>
            <w:r>
              <w:rPr>
                <w:rFonts w:hint="eastAsia" w:ascii="宋体" w:hAnsi="宋体" w:eastAsia="宋体" w:cs="宋体"/>
                <w:color w:val="auto"/>
                <w:spacing w:val="2"/>
                <w:sz w:val="18"/>
                <w:szCs w:val="18"/>
                <w:highlight w:val="none"/>
                <w:lang w:eastAsia="zh-CN"/>
              </w:rPr>
              <w:t>务业</w:t>
            </w:r>
          </w:p>
        </w:tc>
        <w:tc>
          <w:tcPr>
            <w:tcW w:w="1473" w:type="dxa"/>
            <w:noWrap w:val="0"/>
            <w:vAlign w:val="top"/>
          </w:tcPr>
          <w:p w14:paraId="305E667A">
            <w:pPr>
              <w:pStyle w:val="65"/>
              <w:spacing w:before="107" w:line="220" w:lineRule="auto"/>
              <w:ind w:left="197"/>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从业人员(X)</w:t>
            </w:r>
          </w:p>
        </w:tc>
        <w:tc>
          <w:tcPr>
            <w:tcW w:w="757" w:type="dxa"/>
            <w:noWrap w:val="0"/>
            <w:vAlign w:val="top"/>
          </w:tcPr>
          <w:p w14:paraId="0D440AA5">
            <w:pPr>
              <w:pStyle w:val="65"/>
              <w:spacing w:before="107" w:line="222" w:lineRule="auto"/>
              <w:ind w:left="27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13" w:type="dxa"/>
            <w:noWrap w:val="0"/>
            <w:vAlign w:val="top"/>
          </w:tcPr>
          <w:p w14:paraId="743204A0">
            <w:pPr>
              <w:pStyle w:val="65"/>
              <w:spacing w:before="106" w:line="236" w:lineRule="auto"/>
              <w:ind w:left="310"/>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X≥300</w:t>
            </w:r>
          </w:p>
        </w:tc>
        <w:tc>
          <w:tcPr>
            <w:tcW w:w="1825" w:type="dxa"/>
            <w:noWrap w:val="0"/>
            <w:vAlign w:val="top"/>
          </w:tcPr>
          <w:p w14:paraId="69DCDA61">
            <w:pPr>
              <w:pStyle w:val="65"/>
              <w:spacing w:before="106" w:line="236" w:lineRule="auto"/>
              <w:ind w:left="38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100≤X＜300</w:t>
            </w:r>
          </w:p>
        </w:tc>
        <w:tc>
          <w:tcPr>
            <w:tcW w:w="1700" w:type="dxa"/>
            <w:noWrap w:val="0"/>
            <w:vAlign w:val="top"/>
          </w:tcPr>
          <w:p w14:paraId="327D4175">
            <w:pPr>
              <w:pStyle w:val="65"/>
              <w:spacing w:before="106" w:line="236" w:lineRule="auto"/>
              <w:ind w:left="37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10≤X＜100</w:t>
            </w:r>
          </w:p>
        </w:tc>
        <w:tc>
          <w:tcPr>
            <w:tcW w:w="1026" w:type="dxa"/>
            <w:noWrap w:val="0"/>
            <w:vAlign w:val="top"/>
          </w:tcPr>
          <w:p w14:paraId="5F22E9BC">
            <w:pPr>
              <w:pStyle w:val="65"/>
              <w:spacing w:before="106" w:line="236" w:lineRule="auto"/>
              <w:ind w:left="26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X＜10</w:t>
            </w:r>
          </w:p>
        </w:tc>
      </w:tr>
      <w:tr w14:paraId="75F713F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49" w:hRule="atLeast"/>
        </w:trPr>
        <w:tc>
          <w:tcPr>
            <w:tcW w:w="1420" w:type="dxa"/>
            <w:vMerge w:val="continue"/>
            <w:tcBorders>
              <w:top w:val="nil"/>
            </w:tcBorders>
            <w:shd w:val="clear" w:color="auto" w:fill="auto"/>
            <w:noWrap w:val="0"/>
            <w:vAlign w:val="top"/>
          </w:tcPr>
          <w:p w14:paraId="558547BE">
            <w:pPr>
              <w:rPr>
                <w:rFonts w:hint="eastAsia" w:ascii="宋体" w:hAnsi="宋体" w:eastAsia="宋体" w:cs="宋体"/>
                <w:color w:val="auto"/>
                <w:highlight w:val="none"/>
              </w:rPr>
            </w:pPr>
          </w:p>
        </w:tc>
        <w:tc>
          <w:tcPr>
            <w:tcW w:w="1473" w:type="dxa"/>
            <w:shd w:val="clear" w:color="auto" w:fill="B8CCE4"/>
            <w:noWrap w:val="0"/>
            <w:vAlign w:val="top"/>
          </w:tcPr>
          <w:p w14:paraId="1C9210AF">
            <w:pPr>
              <w:pStyle w:val="65"/>
              <w:spacing w:before="109" w:line="220" w:lineRule="auto"/>
              <w:ind w:left="20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营业收入(Y)</w:t>
            </w:r>
          </w:p>
        </w:tc>
        <w:tc>
          <w:tcPr>
            <w:tcW w:w="757" w:type="dxa"/>
            <w:shd w:val="clear" w:color="auto" w:fill="B8CCE4"/>
            <w:noWrap w:val="0"/>
            <w:vAlign w:val="top"/>
          </w:tcPr>
          <w:p w14:paraId="54809E2F">
            <w:pPr>
              <w:pStyle w:val="65"/>
              <w:spacing w:before="110"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shd w:val="clear" w:color="auto" w:fill="B8CCE4"/>
            <w:noWrap w:val="0"/>
            <w:vAlign w:val="top"/>
          </w:tcPr>
          <w:p w14:paraId="00251C2C">
            <w:pPr>
              <w:pStyle w:val="65"/>
              <w:spacing w:before="109" w:line="235" w:lineRule="auto"/>
              <w:ind w:left="21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Y≥10000</w:t>
            </w:r>
          </w:p>
        </w:tc>
        <w:tc>
          <w:tcPr>
            <w:tcW w:w="1825" w:type="dxa"/>
            <w:shd w:val="clear" w:color="auto" w:fill="B8CCE4"/>
            <w:noWrap w:val="0"/>
            <w:vAlign w:val="top"/>
          </w:tcPr>
          <w:p w14:paraId="78C961E0">
            <w:pPr>
              <w:pStyle w:val="65"/>
              <w:spacing w:before="109" w:line="235" w:lineRule="auto"/>
              <w:ind w:left="24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1000≤Y＜10000</w:t>
            </w:r>
          </w:p>
        </w:tc>
        <w:tc>
          <w:tcPr>
            <w:tcW w:w="1700" w:type="dxa"/>
            <w:shd w:val="clear" w:color="auto" w:fill="B8CCE4"/>
            <w:noWrap w:val="0"/>
            <w:vAlign w:val="top"/>
          </w:tcPr>
          <w:p w14:paraId="2DF0183A">
            <w:pPr>
              <w:pStyle w:val="65"/>
              <w:spacing w:before="109" w:line="235" w:lineRule="auto"/>
              <w:ind w:left="31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50≤Y＜1000</w:t>
            </w:r>
          </w:p>
        </w:tc>
        <w:tc>
          <w:tcPr>
            <w:tcW w:w="1026" w:type="dxa"/>
            <w:shd w:val="clear" w:color="auto" w:fill="B8CCE4"/>
            <w:noWrap w:val="0"/>
            <w:vAlign w:val="top"/>
          </w:tcPr>
          <w:p w14:paraId="59B65C3B">
            <w:pPr>
              <w:pStyle w:val="65"/>
              <w:spacing w:before="109" w:line="235" w:lineRule="auto"/>
              <w:ind w:left="26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Y＜50</w:t>
            </w:r>
          </w:p>
        </w:tc>
      </w:tr>
      <w:tr w14:paraId="35FAFDF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47" w:hRule="atLeast"/>
        </w:trPr>
        <w:tc>
          <w:tcPr>
            <w:tcW w:w="1420" w:type="dxa"/>
            <w:vMerge w:val="restart"/>
            <w:tcBorders>
              <w:bottom w:val="nil"/>
            </w:tcBorders>
            <w:noWrap w:val="0"/>
            <w:vAlign w:val="top"/>
          </w:tcPr>
          <w:p w14:paraId="364AA74C">
            <w:pPr>
              <w:pStyle w:val="65"/>
              <w:spacing w:before="135" w:line="270" w:lineRule="auto"/>
              <w:ind w:left="617" w:right="136" w:hanging="494"/>
              <w:rPr>
                <w:rFonts w:hint="eastAsia" w:ascii="宋体" w:hAnsi="宋体" w:eastAsia="宋体" w:cs="宋体"/>
                <w:color w:val="auto"/>
                <w:sz w:val="18"/>
                <w:szCs w:val="18"/>
                <w:highlight w:val="none"/>
              </w:rPr>
            </w:pPr>
            <w:r>
              <w:rPr>
                <w:rFonts w:hint="eastAsia" w:ascii="宋体" w:hAnsi="宋体" w:eastAsia="宋体" w:cs="宋体"/>
                <w:color w:val="auto"/>
                <w:spacing w:val="11"/>
                <w:sz w:val="18"/>
                <w:szCs w:val="18"/>
                <w:highlight w:val="none"/>
              </w:rPr>
              <w:t>房地产开发经</w:t>
            </w:r>
            <w:r>
              <w:rPr>
                <w:rFonts w:hint="eastAsia" w:ascii="宋体" w:hAnsi="宋体" w:eastAsia="宋体" w:cs="宋体"/>
                <w:color w:val="auto"/>
                <w:spacing w:val="3"/>
                <w:sz w:val="18"/>
                <w:szCs w:val="18"/>
                <w:highlight w:val="none"/>
              </w:rPr>
              <w:t xml:space="preserve"> </w:t>
            </w:r>
            <w:r>
              <w:rPr>
                <w:rFonts w:hint="eastAsia" w:ascii="宋体" w:hAnsi="宋体" w:eastAsia="宋体" w:cs="宋体"/>
                <w:color w:val="auto"/>
                <w:sz w:val="18"/>
                <w:szCs w:val="18"/>
                <w:highlight w:val="none"/>
              </w:rPr>
              <w:t>营</w:t>
            </w:r>
          </w:p>
        </w:tc>
        <w:tc>
          <w:tcPr>
            <w:tcW w:w="1473" w:type="dxa"/>
            <w:noWrap w:val="0"/>
            <w:vAlign w:val="top"/>
          </w:tcPr>
          <w:p w14:paraId="2721384E">
            <w:pPr>
              <w:pStyle w:val="65"/>
              <w:spacing w:before="110" w:line="220" w:lineRule="auto"/>
              <w:ind w:left="20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营业收入(Y)</w:t>
            </w:r>
          </w:p>
        </w:tc>
        <w:tc>
          <w:tcPr>
            <w:tcW w:w="757" w:type="dxa"/>
            <w:noWrap w:val="0"/>
            <w:vAlign w:val="top"/>
          </w:tcPr>
          <w:p w14:paraId="0277CB13">
            <w:pPr>
              <w:pStyle w:val="65"/>
              <w:spacing w:before="111"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noWrap w:val="0"/>
            <w:vAlign w:val="top"/>
          </w:tcPr>
          <w:p w14:paraId="28EF2DB6">
            <w:pPr>
              <w:pStyle w:val="65"/>
              <w:spacing w:before="110" w:line="232" w:lineRule="auto"/>
              <w:ind w:left="163"/>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Y≥200000</w:t>
            </w:r>
          </w:p>
        </w:tc>
        <w:tc>
          <w:tcPr>
            <w:tcW w:w="1825" w:type="dxa"/>
            <w:noWrap w:val="0"/>
            <w:vAlign w:val="top"/>
          </w:tcPr>
          <w:p w14:paraId="171F7FC0">
            <w:pPr>
              <w:pStyle w:val="65"/>
              <w:spacing w:before="110" w:line="232" w:lineRule="auto"/>
              <w:ind w:left="190"/>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1000≤Y＜200000</w:t>
            </w:r>
          </w:p>
        </w:tc>
        <w:tc>
          <w:tcPr>
            <w:tcW w:w="1700" w:type="dxa"/>
            <w:noWrap w:val="0"/>
            <w:vAlign w:val="top"/>
          </w:tcPr>
          <w:p w14:paraId="217BB299">
            <w:pPr>
              <w:pStyle w:val="65"/>
              <w:spacing w:before="110" w:line="232"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100≤Y＜1000</w:t>
            </w:r>
          </w:p>
        </w:tc>
        <w:tc>
          <w:tcPr>
            <w:tcW w:w="1026" w:type="dxa"/>
            <w:noWrap w:val="0"/>
            <w:vAlign w:val="top"/>
          </w:tcPr>
          <w:p w14:paraId="5DC2EB85">
            <w:pPr>
              <w:pStyle w:val="65"/>
              <w:spacing w:before="110" w:line="232" w:lineRule="auto"/>
              <w:ind w:left="21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Y＜100</w:t>
            </w:r>
          </w:p>
        </w:tc>
      </w:tr>
      <w:tr w14:paraId="2511092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49" w:hRule="atLeast"/>
        </w:trPr>
        <w:tc>
          <w:tcPr>
            <w:tcW w:w="1420" w:type="dxa"/>
            <w:vMerge w:val="continue"/>
            <w:tcBorders>
              <w:top w:val="nil"/>
            </w:tcBorders>
            <w:shd w:val="clear" w:color="auto" w:fill="auto"/>
            <w:noWrap w:val="0"/>
            <w:vAlign w:val="top"/>
          </w:tcPr>
          <w:p w14:paraId="1A7B1E2F">
            <w:pPr>
              <w:rPr>
                <w:rFonts w:hint="eastAsia" w:ascii="宋体" w:hAnsi="宋体" w:eastAsia="宋体" w:cs="宋体"/>
                <w:color w:val="auto"/>
                <w:highlight w:val="none"/>
              </w:rPr>
            </w:pPr>
          </w:p>
        </w:tc>
        <w:tc>
          <w:tcPr>
            <w:tcW w:w="1473" w:type="dxa"/>
            <w:shd w:val="clear" w:color="auto" w:fill="B8CCE4"/>
            <w:noWrap w:val="0"/>
            <w:vAlign w:val="top"/>
          </w:tcPr>
          <w:p w14:paraId="2E26F279">
            <w:pPr>
              <w:pStyle w:val="65"/>
              <w:spacing w:before="113" w:line="220" w:lineRule="auto"/>
              <w:ind w:left="202"/>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资产总额(Z)</w:t>
            </w:r>
          </w:p>
        </w:tc>
        <w:tc>
          <w:tcPr>
            <w:tcW w:w="757" w:type="dxa"/>
            <w:shd w:val="clear" w:color="auto" w:fill="B8CCE4"/>
            <w:noWrap w:val="0"/>
            <w:vAlign w:val="top"/>
          </w:tcPr>
          <w:p w14:paraId="7159AA5A">
            <w:pPr>
              <w:pStyle w:val="65"/>
              <w:spacing w:before="114"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shd w:val="clear" w:color="auto" w:fill="B8CCE4"/>
            <w:noWrap w:val="0"/>
            <w:vAlign w:val="top"/>
          </w:tcPr>
          <w:p w14:paraId="7E3EE752">
            <w:pPr>
              <w:pStyle w:val="65"/>
              <w:spacing w:before="113" w:line="231" w:lineRule="auto"/>
              <w:ind w:left="213"/>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Z≥10000</w:t>
            </w:r>
          </w:p>
        </w:tc>
        <w:tc>
          <w:tcPr>
            <w:tcW w:w="1825" w:type="dxa"/>
            <w:shd w:val="clear" w:color="auto" w:fill="B8CCE4"/>
            <w:noWrap w:val="0"/>
            <w:vAlign w:val="top"/>
          </w:tcPr>
          <w:p w14:paraId="598C3997">
            <w:pPr>
              <w:pStyle w:val="65"/>
              <w:spacing w:before="113" w:line="231" w:lineRule="auto"/>
              <w:ind w:left="23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5000≤Z＜10000</w:t>
            </w:r>
          </w:p>
        </w:tc>
        <w:tc>
          <w:tcPr>
            <w:tcW w:w="1700" w:type="dxa"/>
            <w:shd w:val="clear" w:color="auto" w:fill="B8CCE4"/>
            <w:noWrap w:val="0"/>
            <w:vAlign w:val="top"/>
          </w:tcPr>
          <w:p w14:paraId="04C4D505">
            <w:pPr>
              <w:pStyle w:val="65"/>
              <w:spacing w:before="113" w:line="231" w:lineRule="auto"/>
              <w:ind w:left="11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2000≤Z＜5000</w:t>
            </w:r>
          </w:p>
        </w:tc>
        <w:tc>
          <w:tcPr>
            <w:tcW w:w="1026" w:type="dxa"/>
            <w:shd w:val="clear" w:color="auto" w:fill="B8CCE4"/>
            <w:noWrap w:val="0"/>
            <w:vAlign w:val="top"/>
          </w:tcPr>
          <w:p w14:paraId="68DA1EE1">
            <w:pPr>
              <w:pStyle w:val="65"/>
              <w:spacing w:before="113" w:line="231" w:lineRule="auto"/>
              <w:ind w:left="171"/>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Z＜2000</w:t>
            </w:r>
          </w:p>
        </w:tc>
      </w:tr>
      <w:tr w14:paraId="4F593E2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50" w:hRule="atLeast"/>
        </w:trPr>
        <w:tc>
          <w:tcPr>
            <w:tcW w:w="1420" w:type="dxa"/>
            <w:vMerge w:val="restart"/>
            <w:tcBorders>
              <w:bottom w:val="nil"/>
            </w:tcBorders>
            <w:noWrap w:val="0"/>
            <w:vAlign w:val="top"/>
          </w:tcPr>
          <w:p w14:paraId="24B2278E">
            <w:pPr>
              <w:pStyle w:val="65"/>
              <w:spacing w:before="295" w:line="220" w:lineRule="auto"/>
              <w:ind w:left="319"/>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物业管理</w:t>
            </w:r>
          </w:p>
        </w:tc>
        <w:tc>
          <w:tcPr>
            <w:tcW w:w="1473" w:type="dxa"/>
            <w:noWrap w:val="0"/>
            <w:vAlign w:val="top"/>
          </w:tcPr>
          <w:p w14:paraId="25D4BA00">
            <w:pPr>
              <w:pStyle w:val="65"/>
              <w:spacing w:before="115" w:line="220" w:lineRule="auto"/>
              <w:ind w:left="197"/>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从业人员(X)</w:t>
            </w:r>
          </w:p>
        </w:tc>
        <w:tc>
          <w:tcPr>
            <w:tcW w:w="757" w:type="dxa"/>
            <w:noWrap w:val="0"/>
            <w:vAlign w:val="top"/>
          </w:tcPr>
          <w:p w14:paraId="697C85F5">
            <w:pPr>
              <w:pStyle w:val="65"/>
              <w:spacing w:before="115" w:line="222" w:lineRule="auto"/>
              <w:ind w:left="27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13" w:type="dxa"/>
            <w:noWrap w:val="0"/>
            <w:vAlign w:val="top"/>
          </w:tcPr>
          <w:p w14:paraId="73ACFCFD">
            <w:pPr>
              <w:pStyle w:val="65"/>
              <w:spacing w:before="114" w:line="231" w:lineRule="auto"/>
              <w:ind w:left="262"/>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X≥1000</w:t>
            </w:r>
          </w:p>
        </w:tc>
        <w:tc>
          <w:tcPr>
            <w:tcW w:w="1825" w:type="dxa"/>
            <w:noWrap w:val="0"/>
            <w:vAlign w:val="top"/>
          </w:tcPr>
          <w:p w14:paraId="37070F7E">
            <w:pPr>
              <w:pStyle w:val="65"/>
              <w:spacing w:before="114" w:line="231" w:lineRule="auto"/>
              <w:ind w:left="32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300≤X＜1000</w:t>
            </w:r>
          </w:p>
        </w:tc>
        <w:tc>
          <w:tcPr>
            <w:tcW w:w="1700" w:type="dxa"/>
            <w:noWrap w:val="0"/>
            <w:vAlign w:val="top"/>
          </w:tcPr>
          <w:p w14:paraId="46EFA76F">
            <w:pPr>
              <w:pStyle w:val="65"/>
              <w:spacing w:before="114" w:line="231" w:lineRule="auto"/>
              <w:ind w:left="329"/>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100≤X＜300</w:t>
            </w:r>
          </w:p>
        </w:tc>
        <w:tc>
          <w:tcPr>
            <w:tcW w:w="1026" w:type="dxa"/>
            <w:noWrap w:val="0"/>
            <w:vAlign w:val="top"/>
          </w:tcPr>
          <w:p w14:paraId="796F0D5F">
            <w:pPr>
              <w:pStyle w:val="65"/>
              <w:spacing w:before="114" w:line="231" w:lineRule="auto"/>
              <w:ind w:left="21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X＜100</w:t>
            </w:r>
          </w:p>
        </w:tc>
      </w:tr>
      <w:tr w14:paraId="2BCB3AE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53" w:hRule="atLeast"/>
        </w:trPr>
        <w:tc>
          <w:tcPr>
            <w:tcW w:w="1420" w:type="dxa"/>
            <w:vMerge w:val="continue"/>
            <w:tcBorders>
              <w:top w:val="nil"/>
            </w:tcBorders>
            <w:shd w:val="clear" w:color="auto" w:fill="auto"/>
            <w:noWrap w:val="0"/>
            <w:vAlign w:val="top"/>
          </w:tcPr>
          <w:p w14:paraId="6F07BD12">
            <w:pPr>
              <w:rPr>
                <w:rFonts w:hint="eastAsia" w:ascii="宋体" w:hAnsi="宋体" w:eastAsia="宋体" w:cs="宋体"/>
                <w:color w:val="auto"/>
                <w:highlight w:val="none"/>
              </w:rPr>
            </w:pPr>
          </w:p>
        </w:tc>
        <w:tc>
          <w:tcPr>
            <w:tcW w:w="1473" w:type="dxa"/>
            <w:shd w:val="clear" w:color="auto" w:fill="B8CCE4"/>
            <w:noWrap w:val="0"/>
            <w:vAlign w:val="top"/>
          </w:tcPr>
          <w:p w14:paraId="2F9B85FE">
            <w:pPr>
              <w:pStyle w:val="65"/>
              <w:spacing w:before="115" w:line="220" w:lineRule="auto"/>
              <w:ind w:left="20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营业收入(Y)</w:t>
            </w:r>
          </w:p>
        </w:tc>
        <w:tc>
          <w:tcPr>
            <w:tcW w:w="757" w:type="dxa"/>
            <w:shd w:val="clear" w:color="auto" w:fill="B8CCE4"/>
            <w:noWrap w:val="0"/>
            <w:vAlign w:val="top"/>
          </w:tcPr>
          <w:p w14:paraId="20403906">
            <w:pPr>
              <w:pStyle w:val="65"/>
              <w:spacing w:before="115"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shd w:val="clear" w:color="auto" w:fill="B8CCE4"/>
            <w:noWrap w:val="0"/>
            <w:vAlign w:val="top"/>
          </w:tcPr>
          <w:p w14:paraId="53D82836">
            <w:pPr>
              <w:pStyle w:val="65"/>
              <w:spacing w:before="115" w:line="233" w:lineRule="auto"/>
              <w:ind w:left="261"/>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Y≥5000</w:t>
            </w:r>
          </w:p>
        </w:tc>
        <w:tc>
          <w:tcPr>
            <w:tcW w:w="1825" w:type="dxa"/>
            <w:shd w:val="clear" w:color="auto" w:fill="B8CCE4"/>
            <w:noWrap w:val="0"/>
            <w:vAlign w:val="top"/>
          </w:tcPr>
          <w:p w14:paraId="4BDA5AEF">
            <w:pPr>
              <w:pStyle w:val="65"/>
              <w:spacing w:before="115" w:line="233" w:lineRule="auto"/>
              <w:ind w:left="289"/>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1000≤Y＜5000</w:t>
            </w:r>
          </w:p>
        </w:tc>
        <w:tc>
          <w:tcPr>
            <w:tcW w:w="1700" w:type="dxa"/>
            <w:shd w:val="clear" w:color="auto" w:fill="B8CCE4"/>
            <w:noWrap w:val="0"/>
            <w:vAlign w:val="top"/>
          </w:tcPr>
          <w:p w14:paraId="43CC6E0E">
            <w:pPr>
              <w:pStyle w:val="65"/>
              <w:spacing w:before="115" w:line="233"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500≤Y＜1000</w:t>
            </w:r>
          </w:p>
        </w:tc>
        <w:tc>
          <w:tcPr>
            <w:tcW w:w="1026" w:type="dxa"/>
            <w:shd w:val="clear" w:color="auto" w:fill="B8CCE4"/>
            <w:noWrap w:val="0"/>
            <w:vAlign w:val="top"/>
          </w:tcPr>
          <w:p w14:paraId="5EFE7B8C">
            <w:pPr>
              <w:pStyle w:val="65"/>
              <w:spacing w:before="115" w:line="233" w:lineRule="auto"/>
              <w:ind w:left="21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Y＜500</w:t>
            </w:r>
          </w:p>
        </w:tc>
      </w:tr>
      <w:tr w14:paraId="0648832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49" w:hRule="atLeast"/>
        </w:trPr>
        <w:tc>
          <w:tcPr>
            <w:tcW w:w="1420" w:type="dxa"/>
            <w:vMerge w:val="restart"/>
            <w:tcBorders>
              <w:bottom w:val="nil"/>
            </w:tcBorders>
            <w:noWrap w:val="0"/>
            <w:vAlign w:val="top"/>
          </w:tcPr>
          <w:p w14:paraId="644D5A31">
            <w:pPr>
              <w:pStyle w:val="65"/>
              <w:spacing w:before="136" w:line="270" w:lineRule="auto"/>
              <w:ind w:left="516" w:right="136" w:hanging="393"/>
              <w:rPr>
                <w:rFonts w:hint="eastAsia" w:ascii="宋体" w:hAnsi="宋体" w:eastAsia="宋体" w:cs="宋体"/>
                <w:color w:val="auto"/>
                <w:sz w:val="18"/>
                <w:szCs w:val="18"/>
                <w:highlight w:val="none"/>
              </w:rPr>
            </w:pPr>
            <w:r>
              <w:rPr>
                <w:rFonts w:hint="eastAsia" w:ascii="宋体" w:hAnsi="宋体" w:eastAsia="宋体" w:cs="宋体"/>
                <w:color w:val="auto"/>
                <w:spacing w:val="11"/>
                <w:sz w:val="18"/>
                <w:szCs w:val="18"/>
                <w:highlight w:val="none"/>
              </w:rPr>
              <w:t>租赁和商务服</w:t>
            </w:r>
            <w:r>
              <w:rPr>
                <w:rFonts w:hint="eastAsia" w:ascii="宋体" w:hAnsi="宋体" w:eastAsia="宋体" w:cs="宋体"/>
                <w:color w:val="auto"/>
                <w:spacing w:val="2"/>
                <w:sz w:val="18"/>
                <w:szCs w:val="18"/>
                <w:highlight w:val="none"/>
              </w:rPr>
              <w:t>务业</w:t>
            </w:r>
          </w:p>
        </w:tc>
        <w:tc>
          <w:tcPr>
            <w:tcW w:w="1473" w:type="dxa"/>
            <w:noWrap w:val="0"/>
            <w:vAlign w:val="top"/>
          </w:tcPr>
          <w:p w14:paraId="4E99129A">
            <w:pPr>
              <w:pStyle w:val="65"/>
              <w:spacing w:before="112" w:line="220" w:lineRule="auto"/>
              <w:ind w:left="197"/>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从业人员(X)</w:t>
            </w:r>
          </w:p>
        </w:tc>
        <w:tc>
          <w:tcPr>
            <w:tcW w:w="757" w:type="dxa"/>
            <w:noWrap w:val="0"/>
            <w:vAlign w:val="top"/>
          </w:tcPr>
          <w:p w14:paraId="3C1D0C27">
            <w:pPr>
              <w:pStyle w:val="65"/>
              <w:spacing w:before="112" w:line="222" w:lineRule="auto"/>
              <w:ind w:left="27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13" w:type="dxa"/>
            <w:noWrap w:val="0"/>
            <w:vAlign w:val="top"/>
          </w:tcPr>
          <w:p w14:paraId="705A356D">
            <w:pPr>
              <w:pStyle w:val="65"/>
              <w:spacing w:before="112" w:line="232" w:lineRule="auto"/>
              <w:ind w:left="310"/>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X≥300</w:t>
            </w:r>
          </w:p>
        </w:tc>
        <w:tc>
          <w:tcPr>
            <w:tcW w:w="1825" w:type="dxa"/>
            <w:noWrap w:val="0"/>
            <w:vAlign w:val="top"/>
          </w:tcPr>
          <w:p w14:paraId="4A4E6467">
            <w:pPr>
              <w:pStyle w:val="65"/>
              <w:spacing w:before="112" w:line="232" w:lineRule="auto"/>
              <w:ind w:left="38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100≤X＜300</w:t>
            </w:r>
          </w:p>
        </w:tc>
        <w:tc>
          <w:tcPr>
            <w:tcW w:w="1700" w:type="dxa"/>
            <w:noWrap w:val="0"/>
            <w:vAlign w:val="top"/>
          </w:tcPr>
          <w:p w14:paraId="3A7291FB">
            <w:pPr>
              <w:pStyle w:val="65"/>
              <w:spacing w:before="112" w:line="232" w:lineRule="auto"/>
              <w:ind w:left="37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10≤X＜100</w:t>
            </w:r>
          </w:p>
        </w:tc>
        <w:tc>
          <w:tcPr>
            <w:tcW w:w="1026" w:type="dxa"/>
            <w:noWrap w:val="0"/>
            <w:vAlign w:val="top"/>
          </w:tcPr>
          <w:p w14:paraId="124C5A67">
            <w:pPr>
              <w:pStyle w:val="65"/>
              <w:spacing w:before="112" w:line="232" w:lineRule="auto"/>
              <w:ind w:left="26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X＜10</w:t>
            </w:r>
          </w:p>
        </w:tc>
      </w:tr>
      <w:tr w14:paraId="7AD1546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53" w:hRule="atLeast"/>
        </w:trPr>
        <w:tc>
          <w:tcPr>
            <w:tcW w:w="1420" w:type="dxa"/>
            <w:vMerge w:val="continue"/>
            <w:tcBorders>
              <w:top w:val="nil"/>
            </w:tcBorders>
            <w:shd w:val="clear" w:color="auto" w:fill="auto"/>
            <w:noWrap w:val="0"/>
            <w:vAlign w:val="top"/>
          </w:tcPr>
          <w:p w14:paraId="0820E46A">
            <w:pPr>
              <w:rPr>
                <w:rFonts w:hint="eastAsia" w:ascii="宋体" w:hAnsi="宋体" w:eastAsia="宋体" w:cs="宋体"/>
                <w:color w:val="auto"/>
                <w:highlight w:val="none"/>
              </w:rPr>
            </w:pPr>
          </w:p>
        </w:tc>
        <w:tc>
          <w:tcPr>
            <w:tcW w:w="1473" w:type="dxa"/>
            <w:shd w:val="clear" w:color="auto" w:fill="B8CCE4"/>
            <w:noWrap w:val="0"/>
            <w:vAlign w:val="top"/>
          </w:tcPr>
          <w:p w14:paraId="73A3DDD4">
            <w:pPr>
              <w:pStyle w:val="65"/>
              <w:spacing w:before="113" w:line="220" w:lineRule="auto"/>
              <w:ind w:left="202"/>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资产总额(Z)</w:t>
            </w:r>
          </w:p>
        </w:tc>
        <w:tc>
          <w:tcPr>
            <w:tcW w:w="757" w:type="dxa"/>
            <w:shd w:val="clear" w:color="auto" w:fill="B8CCE4"/>
            <w:noWrap w:val="0"/>
            <w:vAlign w:val="top"/>
          </w:tcPr>
          <w:p w14:paraId="4FE5AE18">
            <w:pPr>
              <w:pStyle w:val="65"/>
              <w:spacing w:before="113" w:line="220" w:lineRule="auto"/>
              <w:ind w:left="18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万元</w:t>
            </w:r>
          </w:p>
        </w:tc>
        <w:tc>
          <w:tcPr>
            <w:tcW w:w="1213" w:type="dxa"/>
            <w:shd w:val="clear" w:color="auto" w:fill="B8CCE4"/>
            <w:noWrap w:val="0"/>
            <w:vAlign w:val="top"/>
          </w:tcPr>
          <w:p w14:paraId="2A494F06">
            <w:pPr>
              <w:pStyle w:val="65"/>
              <w:spacing w:before="113" w:line="235" w:lineRule="auto"/>
              <w:ind w:left="165"/>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Z≥120000</w:t>
            </w:r>
          </w:p>
        </w:tc>
        <w:tc>
          <w:tcPr>
            <w:tcW w:w="1825" w:type="dxa"/>
            <w:shd w:val="clear" w:color="auto" w:fill="B8CCE4"/>
            <w:noWrap w:val="0"/>
            <w:vAlign w:val="top"/>
          </w:tcPr>
          <w:p w14:paraId="0F48C71C">
            <w:pPr>
              <w:pStyle w:val="65"/>
              <w:spacing w:before="113" w:line="235" w:lineRule="auto"/>
              <w:ind w:left="17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8000≤Z＜120000</w:t>
            </w:r>
          </w:p>
        </w:tc>
        <w:tc>
          <w:tcPr>
            <w:tcW w:w="1700" w:type="dxa"/>
            <w:shd w:val="clear" w:color="auto" w:fill="B8CCE4"/>
            <w:noWrap w:val="0"/>
            <w:vAlign w:val="top"/>
          </w:tcPr>
          <w:p w14:paraId="3871CA74">
            <w:pPr>
              <w:pStyle w:val="65"/>
              <w:spacing w:before="113" w:line="235" w:lineRule="auto"/>
              <w:ind w:left="122"/>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100≤Z＜8000</w:t>
            </w:r>
          </w:p>
        </w:tc>
        <w:tc>
          <w:tcPr>
            <w:tcW w:w="1026" w:type="dxa"/>
            <w:shd w:val="clear" w:color="auto" w:fill="B8CCE4"/>
            <w:noWrap w:val="0"/>
            <w:vAlign w:val="top"/>
          </w:tcPr>
          <w:p w14:paraId="12111C1B">
            <w:pPr>
              <w:pStyle w:val="65"/>
              <w:spacing w:before="113" w:line="235" w:lineRule="auto"/>
              <w:ind w:left="219"/>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Z＜100</w:t>
            </w:r>
          </w:p>
        </w:tc>
      </w:tr>
      <w:tr w14:paraId="7CFE3EF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58" w:hRule="atLeast"/>
        </w:trPr>
        <w:tc>
          <w:tcPr>
            <w:tcW w:w="1420" w:type="dxa"/>
            <w:noWrap w:val="0"/>
            <w:vAlign w:val="top"/>
          </w:tcPr>
          <w:p w14:paraId="2E3C925D">
            <w:pPr>
              <w:pStyle w:val="65"/>
              <w:spacing w:before="93" w:line="276" w:lineRule="auto"/>
              <w:ind w:left="510" w:right="136" w:hanging="387"/>
              <w:rPr>
                <w:rFonts w:hint="eastAsia" w:ascii="宋体" w:hAnsi="宋体" w:eastAsia="宋体" w:cs="宋体"/>
                <w:color w:val="auto"/>
                <w:sz w:val="18"/>
                <w:szCs w:val="18"/>
                <w:highlight w:val="none"/>
              </w:rPr>
            </w:pPr>
            <w:r>
              <w:rPr>
                <w:rFonts w:hint="eastAsia" w:ascii="宋体" w:hAnsi="宋体" w:eastAsia="宋体" w:cs="宋体"/>
                <w:color w:val="auto"/>
                <w:spacing w:val="11"/>
                <w:sz w:val="18"/>
                <w:szCs w:val="18"/>
                <w:highlight w:val="none"/>
              </w:rPr>
              <w:t>其他未列明行</w:t>
            </w:r>
            <w:r>
              <w:rPr>
                <w:rFonts w:hint="eastAsia" w:ascii="宋体" w:hAnsi="宋体" w:eastAsia="宋体" w:cs="宋体"/>
                <w:color w:val="auto"/>
                <w:spacing w:val="3"/>
                <w:sz w:val="18"/>
                <w:szCs w:val="18"/>
                <w:highlight w:val="none"/>
              </w:rPr>
              <w:t xml:space="preserve"> </w:t>
            </w:r>
            <w:r>
              <w:rPr>
                <w:rFonts w:hint="eastAsia" w:ascii="宋体" w:hAnsi="宋体" w:eastAsia="宋体" w:cs="宋体"/>
                <w:color w:val="auto"/>
                <w:spacing w:val="-4"/>
                <w:sz w:val="18"/>
                <w:szCs w:val="18"/>
                <w:highlight w:val="none"/>
              </w:rPr>
              <w:t>业</w:t>
            </w:r>
            <w:r>
              <w:rPr>
                <w:rFonts w:hint="eastAsia" w:ascii="宋体" w:hAnsi="宋体" w:eastAsia="宋体" w:cs="宋体"/>
                <w:color w:val="auto"/>
                <w:spacing w:val="36"/>
                <w:w w:val="101"/>
                <w:sz w:val="18"/>
                <w:szCs w:val="18"/>
                <w:highlight w:val="none"/>
              </w:rPr>
              <w:t xml:space="preserve"> </w:t>
            </w:r>
            <w:r>
              <w:rPr>
                <w:rFonts w:hint="eastAsia" w:ascii="宋体" w:hAnsi="宋体" w:eastAsia="宋体" w:cs="宋体"/>
                <w:color w:val="auto"/>
                <w:spacing w:val="-4"/>
                <w:sz w:val="18"/>
                <w:szCs w:val="18"/>
                <w:highlight w:val="none"/>
              </w:rPr>
              <w:t>*</w:t>
            </w:r>
          </w:p>
        </w:tc>
        <w:tc>
          <w:tcPr>
            <w:tcW w:w="1473" w:type="dxa"/>
            <w:noWrap w:val="0"/>
            <w:vAlign w:val="top"/>
          </w:tcPr>
          <w:p w14:paraId="3CE8A563">
            <w:pPr>
              <w:pStyle w:val="65"/>
              <w:spacing w:before="250" w:line="220" w:lineRule="auto"/>
              <w:ind w:left="197"/>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从业人员(X)</w:t>
            </w:r>
          </w:p>
        </w:tc>
        <w:tc>
          <w:tcPr>
            <w:tcW w:w="757" w:type="dxa"/>
            <w:noWrap w:val="0"/>
            <w:vAlign w:val="top"/>
          </w:tcPr>
          <w:p w14:paraId="4AD9F8DA">
            <w:pPr>
              <w:pStyle w:val="65"/>
              <w:spacing w:before="250" w:line="222" w:lineRule="auto"/>
              <w:ind w:left="27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13" w:type="dxa"/>
            <w:noWrap w:val="0"/>
            <w:vAlign w:val="top"/>
          </w:tcPr>
          <w:p w14:paraId="1F1B5AAD">
            <w:pPr>
              <w:pStyle w:val="65"/>
              <w:spacing w:before="249" w:line="238" w:lineRule="auto"/>
              <w:ind w:left="310"/>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X≥300</w:t>
            </w:r>
          </w:p>
        </w:tc>
        <w:tc>
          <w:tcPr>
            <w:tcW w:w="1825" w:type="dxa"/>
            <w:noWrap w:val="0"/>
            <w:vAlign w:val="top"/>
          </w:tcPr>
          <w:p w14:paraId="2BB3A2A0">
            <w:pPr>
              <w:pStyle w:val="65"/>
              <w:spacing w:before="249" w:line="236" w:lineRule="auto"/>
              <w:ind w:left="38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100≤X＜300</w:t>
            </w:r>
          </w:p>
        </w:tc>
        <w:tc>
          <w:tcPr>
            <w:tcW w:w="1700" w:type="dxa"/>
            <w:noWrap w:val="0"/>
            <w:vAlign w:val="top"/>
          </w:tcPr>
          <w:p w14:paraId="03EE4F6F">
            <w:pPr>
              <w:pStyle w:val="65"/>
              <w:spacing w:before="249" w:line="236" w:lineRule="auto"/>
              <w:ind w:left="37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10≤X＜100</w:t>
            </w:r>
          </w:p>
        </w:tc>
        <w:tc>
          <w:tcPr>
            <w:tcW w:w="1026" w:type="dxa"/>
            <w:noWrap w:val="0"/>
            <w:vAlign w:val="top"/>
          </w:tcPr>
          <w:p w14:paraId="0C6F4258">
            <w:pPr>
              <w:pStyle w:val="65"/>
              <w:spacing w:before="249"/>
              <w:ind w:left="26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X＜10</w:t>
            </w:r>
          </w:p>
        </w:tc>
      </w:tr>
    </w:tbl>
    <w:p w14:paraId="34E6E9F3">
      <w:pPr>
        <w:pStyle w:val="53"/>
        <w:spacing w:line="460" w:lineRule="exact"/>
        <w:ind w:firstLine="64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说明：1. 大型、中型和小型企业须同时满足所列指标的下限，否则下划一档；</w:t>
      </w:r>
    </w:p>
    <w:p w14:paraId="7EB39DA2">
      <w:pPr>
        <w:pStyle w:val="53"/>
        <w:spacing w:line="460" w:lineRule="exact"/>
        <w:ind w:firstLine="64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微型企业只须满足所列指标中的一项即可。</w:t>
      </w:r>
    </w:p>
    <w:p w14:paraId="3333F400">
      <w:pPr>
        <w:pStyle w:val="53"/>
        <w:spacing w:line="460" w:lineRule="exact"/>
        <w:ind w:firstLine="64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 附表中各行业的范围以《国民经济行业分类》（GB/T4754-2017）为准。带*的项为行业组合类别 ，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 以及房地产中介服务，其他房地产业等，不包括自有房地产经营活动。</w:t>
      </w:r>
    </w:p>
    <w:p w14:paraId="573EF6ED">
      <w:pPr>
        <w:pStyle w:val="53"/>
        <w:spacing w:line="460" w:lineRule="exact"/>
        <w:ind w:firstLine="64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 企业划分指标以现行统计制度为准。</w:t>
      </w:r>
    </w:p>
    <w:p w14:paraId="38FD5240">
      <w:pPr>
        <w:pStyle w:val="53"/>
        <w:spacing w:line="460" w:lineRule="exact"/>
        <w:ind w:firstLine="64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（1）从业人员，是指期末从业人员数，没有期末从业人员数的，采用全年平均人员数代替。</w:t>
      </w:r>
    </w:p>
    <w:p w14:paraId="21C2AC13">
      <w:pPr>
        <w:pStyle w:val="53"/>
        <w:spacing w:line="460" w:lineRule="exact"/>
        <w:ind w:firstLine="64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（2）营业收入，工业、建筑业、限额以上批发和零售业、限额以上住宿和餐饮业以及其他设置主营业务收入指标的行业， 采用主营业务收入； 限额以下批 发与零售业企业采用商品销售额代替；限额以下住宿与餐饮业企业采用营业额代替；农、林、牧、渔业企业采用营业总收入代替；其他未设置主营业务收入的行业，采用营业收入指标。</w:t>
      </w:r>
    </w:p>
    <w:p w14:paraId="736C80B1">
      <w:pPr>
        <w:pStyle w:val="53"/>
        <w:spacing w:line="460" w:lineRule="exact"/>
        <w:ind w:firstLine="64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（3）资产总额，采用资产总计代替。</w:t>
      </w:r>
    </w:p>
    <w:p w14:paraId="1BBBAF47">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br w:type="page"/>
      </w:r>
      <w:bookmarkStart w:id="174" w:name="_Toc21414"/>
      <w:bookmarkStart w:id="175" w:name="_Toc31928"/>
      <w:bookmarkStart w:id="176" w:name="_Toc29586"/>
      <w:bookmarkStart w:id="177" w:name="_Toc12473"/>
      <w:bookmarkStart w:id="178" w:name="_Toc20674"/>
      <w:bookmarkStart w:id="179" w:name="_Toc28170"/>
      <w:bookmarkStart w:id="180" w:name="_Toc9211"/>
      <w:r>
        <w:rPr>
          <w:rFonts w:hint="eastAsia" w:ascii="宋体" w:hAnsi="宋体" w:eastAsia="宋体" w:cs="宋体"/>
          <w:color w:val="auto"/>
          <w:kern w:val="0"/>
          <w:sz w:val="21"/>
          <w:szCs w:val="24"/>
          <w:highlight w:val="none"/>
          <w:lang w:val="en-US" w:eastAsia="zh-CN" w:bidi="ar-SA"/>
        </w:rPr>
        <w:t>附件3：磋商记录表</w:t>
      </w:r>
      <w:bookmarkEnd w:id="174"/>
      <w:bookmarkEnd w:id="175"/>
      <w:bookmarkEnd w:id="176"/>
      <w:bookmarkEnd w:id="177"/>
      <w:bookmarkEnd w:id="178"/>
      <w:bookmarkEnd w:id="179"/>
      <w:bookmarkEnd w:id="180"/>
    </w:p>
    <w:p w14:paraId="6DFF7BA3">
      <w:pPr>
        <w:widowControl/>
        <w:spacing w:line="360" w:lineRule="auto"/>
        <w:ind w:firstLine="420" w:firstLineChars="200"/>
        <w:jc w:val="left"/>
        <w:rPr>
          <w:rFonts w:hint="eastAsia" w:ascii="宋体" w:hAnsi="宋体" w:eastAsia="宋体" w:cs="宋体"/>
          <w:color w:val="auto"/>
          <w:highlight w:val="none"/>
        </w:rPr>
      </w:pPr>
    </w:p>
    <w:p w14:paraId="1F58A13A">
      <w:pPr>
        <w:pStyle w:val="53"/>
        <w:spacing w:line="460" w:lineRule="exact"/>
        <w:ind w:firstLine="640"/>
        <w:jc w:val="center"/>
        <w:rPr>
          <w:rFonts w:hint="eastAsia" w:ascii="宋体" w:hAnsi="宋体" w:eastAsia="宋体" w:cs="宋体"/>
          <w:b/>
          <w:bCs/>
          <w:color w:val="auto"/>
          <w:sz w:val="28"/>
          <w:szCs w:val="28"/>
          <w:highlight w:val="none"/>
          <w:lang w:val="en-US" w:eastAsia="zh-CN" w:bidi="ar-SA"/>
        </w:rPr>
      </w:pPr>
      <w:bookmarkStart w:id="181" w:name="_Toc26190"/>
      <w:bookmarkStart w:id="182" w:name="_Toc1851"/>
      <w:r>
        <w:rPr>
          <w:rFonts w:hint="eastAsia" w:ascii="宋体" w:hAnsi="宋体" w:eastAsia="宋体" w:cs="宋体"/>
          <w:b/>
          <w:bCs/>
          <w:color w:val="auto"/>
          <w:sz w:val="28"/>
          <w:szCs w:val="28"/>
          <w:highlight w:val="none"/>
          <w:lang w:val="en-US" w:eastAsia="zh-CN" w:bidi="ar-SA"/>
        </w:rPr>
        <w:t>磋商记录表</w:t>
      </w:r>
      <w:bookmarkEnd w:id="181"/>
      <w:bookmarkEnd w:id="182"/>
    </w:p>
    <w:p w14:paraId="2F6B347B">
      <w:pPr>
        <w:spacing w:line="275" w:lineRule="exact"/>
        <w:rPr>
          <w:rFonts w:hint="eastAsia" w:ascii="宋体" w:hAnsi="宋体" w:eastAsia="宋体" w:cs="宋体"/>
          <w:color w:val="auto"/>
          <w:sz w:val="20"/>
          <w:szCs w:val="20"/>
          <w:highlight w:val="none"/>
        </w:rPr>
      </w:pPr>
    </w:p>
    <w:p w14:paraId="77B0C63E">
      <w:pPr>
        <w:pStyle w:val="5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磋商时间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分</w:t>
      </w:r>
    </w:p>
    <w:tbl>
      <w:tblPr>
        <w:tblStyle w:val="29"/>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69"/>
        <w:gridCol w:w="1187"/>
        <w:gridCol w:w="1064"/>
        <w:gridCol w:w="1112"/>
        <w:gridCol w:w="1135"/>
        <w:gridCol w:w="1376"/>
        <w:gridCol w:w="892"/>
      </w:tblGrid>
      <w:tr w14:paraId="07C6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59" w:type="dxa"/>
            <w:vAlign w:val="center"/>
          </w:tcPr>
          <w:p w14:paraId="786235BC">
            <w:pPr>
              <w:pStyle w:val="5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序号</w:t>
            </w:r>
          </w:p>
        </w:tc>
        <w:tc>
          <w:tcPr>
            <w:tcW w:w="1169" w:type="dxa"/>
            <w:vAlign w:val="center"/>
          </w:tcPr>
          <w:p w14:paraId="384D198D">
            <w:pPr>
              <w:pStyle w:val="5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w:t>
            </w:r>
          </w:p>
        </w:tc>
        <w:tc>
          <w:tcPr>
            <w:tcW w:w="1187" w:type="dxa"/>
            <w:vAlign w:val="center"/>
          </w:tcPr>
          <w:p w14:paraId="01F5E3BA">
            <w:pPr>
              <w:pStyle w:val="5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磋商报价</w:t>
            </w:r>
          </w:p>
        </w:tc>
        <w:tc>
          <w:tcPr>
            <w:tcW w:w="1064" w:type="dxa"/>
            <w:vAlign w:val="center"/>
          </w:tcPr>
          <w:p w14:paraId="4F1D895C">
            <w:pPr>
              <w:pStyle w:val="5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项目经理</w:t>
            </w:r>
          </w:p>
        </w:tc>
        <w:tc>
          <w:tcPr>
            <w:tcW w:w="1112" w:type="dxa"/>
            <w:vAlign w:val="center"/>
          </w:tcPr>
          <w:p w14:paraId="10FA2686">
            <w:pPr>
              <w:pStyle w:val="5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磋商工期</w:t>
            </w:r>
          </w:p>
        </w:tc>
        <w:tc>
          <w:tcPr>
            <w:tcW w:w="1135" w:type="dxa"/>
            <w:vAlign w:val="center"/>
          </w:tcPr>
          <w:p w14:paraId="791CF5B9">
            <w:pPr>
              <w:pStyle w:val="5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磋商质量</w:t>
            </w:r>
          </w:p>
        </w:tc>
        <w:tc>
          <w:tcPr>
            <w:tcW w:w="1376" w:type="dxa"/>
            <w:vAlign w:val="center"/>
          </w:tcPr>
          <w:p w14:paraId="4C4AE014">
            <w:pPr>
              <w:pStyle w:val="5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供应商代表签名</w:t>
            </w:r>
          </w:p>
        </w:tc>
        <w:tc>
          <w:tcPr>
            <w:tcW w:w="892" w:type="dxa"/>
            <w:vAlign w:val="center"/>
          </w:tcPr>
          <w:p w14:paraId="50C4E3B1">
            <w:pPr>
              <w:pStyle w:val="5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r>
      <w:tr w14:paraId="08DE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59" w:type="dxa"/>
          </w:tcPr>
          <w:p w14:paraId="4744BB71">
            <w:pPr>
              <w:pStyle w:val="54"/>
              <w:rPr>
                <w:rFonts w:hint="eastAsia" w:ascii="宋体" w:hAnsi="宋体" w:eastAsia="宋体" w:cs="宋体"/>
                <w:color w:val="auto"/>
                <w:highlight w:val="none"/>
              </w:rPr>
            </w:pPr>
          </w:p>
        </w:tc>
        <w:tc>
          <w:tcPr>
            <w:tcW w:w="1169" w:type="dxa"/>
          </w:tcPr>
          <w:p w14:paraId="050CE9DB">
            <w:pPr>
              <w:pStyle w:val="54"/>
              <w:rPr>
                <w:rFonts w:hint="eastAsia" w:ascii="宋体" w:hAnsi="宋体" w:eastAsia="宋体" w:cs="宋体"/>
                <w:color w:val="auto"/>
                <w:highlight w:val="none"/>
              </w:rPr>
            </w:pPr>
          </w:p>
        </w:tc>
        <w:tc>
          <w:tcPr>
            <w:tcW w:w="1187" w:type="dxa"/>
          </w:tcPr>
          <w:p w14:paraId="18DC33B1">
            <w:pPr>
              <w:pStyle w:val="54"/>
              <w:rPr>
                <w:rFonts w:hint="eastAsia" w:ascii="宋体" w:hAnsi="宋体" w:eastAsia="宋体" w:cs="宋体"/>
                <w:color w:val="auto"/>
                <w:highlight w:val="none"/>
              </w:rPr>
            </w:pPr>
          </w:p>
        </w:tc>
        <w:tc>
          <w:tcPr>
            <w:tcW w:w="1064" w:type="dxa"/>
          </w:tcPr>
          <w:p w14:paraId="1DDF6CA9">
            <w:pPr>
              <w:pStyle w:val="54"/>
              <w:rPr>
                <w:rFonts w:hint="eastAsia" w:ascii="宋体" w:hAnsi="宋体" w:eastAsia="宋体" w:cs="宋体"/>
                <w:color w:val="auto"/>
                <w:highlight w:val="none"/>
              </w:rPr>
            </w:pPr>
          </w:p>
        </w:tc>
        <w:tc>
          <w:tcPr>
            <w:tcW w:w="1112" w:type="dxa"/>
          </w:tcPr>
          <w:p w14:paraId="0700E77C">
            <w:pPr>
              <w:pStyle w:val="54"/>
              <w:rPr>
                <w:rFonts w:hint="eastAsia" w:ascii="宋体" w:hAnsi="宋体" w:eastAsia="宋体" w:cs="宋体"/>
                <w:color w:val="auto"/>
                <w:highlight w:val="none"/>
              </w:rPr>
            </w:pPr>
          </w:p>
        </w:tc>
        <w:tc>
          <w:tcPr>
            <w:tcW w:w="1135" w:type="dxa"/>
          </w:tcPr>
          <w:p w14:paraId="64CD7F6A">
            <w:pPr>
              <w:pStyle w:val="54"/>
              <w:rPr>
                <w:rFonts w:hint="eastAsia" w:ascii="宋体" w:hAnsi="宋体" w:eastAsia="宋体" w:cs="宋体"/>
                <w:color w:val="auto"/>
                <w:highlight w:val="none"/>
              </w:rPr>
            </w:pPr>
          </w:p>
        </w:tc>
        <w:tc>
          <w:tcPr>
            <w:tcW w:w="1376" w:type="dxa"/>
          </w:tcPr>
          <w:p w14:paraId="30DF19CE">
            <w:pPr>
              <w:pStyle w:val="54"/>
              <w:rPr>
                <w:rFonts w:hint="eastAsia" w:ascii="宋体" w:hAnsi="宋体" w:eastAsia="宋体" w:cs="宋体"/>
                <w:color w:val="auto"/>
                <w:highlight w:val="none"/>
              </w:rPr>
            </w:pPr>
          </w:p>
        </w:tc>
        <w:tc>
          <w:tcPr>
            <w:tcW w:w="892" w:type="dxa"/>
          </w:tcPr>
          <w:p w14:paraId="0CCDC047">
            <w:pPr>
              <w:pStyle w:val="54"/>
              <w:rPr>
                <w:rFonts w:hint="eastAsia" w:ascii="宋体" w:hAnsi="宋体" w:eastAsia="宋体" w:cs="宋体"/>
                <w:color w:val="auto"/>
                <w:highlight w:val="none"/>
              </w:rPr>
            </w:pPr>
          </w:p>
        </w:tc>
      </w:tr>
      <w:tr w14:paraId="0451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9" w:type="dxa"/>
          </w:tcPr>
          <w:p w14:paraId="203156DB">
            <w:pPr>
              <w:pStyle w:val="54"/>
              <w:rPr>
                <w:rFonts w:hint="eastAsia" w:ascii="宋体" w:hAnsi="宋体" w:eastAsia="宋体" w:cs="宋体"/>
                <w:color w:val="auto"/>
                <w:highlight w:val="none"/>
              </w:rPr>
            </w:pPr>
          </w:p>
        </w:tc>
        <w:tc>
          <w:tcPr>
            <w:tcW w:w="1169" w:type="dxa"/>
          </w:tcPr>
          <w:p w14:paraId="25CA8608">
            <w:pPr>
              <w:pStyle w:val="54"/>
              <w:rPr>
                <w:rFonts w:hint="eastAsia" w:ascii="宋体" w:hAnsi="宋体" w:eastAsia="宋体" w:cs="宋体"/>
                <w:color w:val="auto"/>
                <w:highlight w:val="none"/>
              </w:rPr>
            </w:pPr>
          </w:p>
        </w:tc>
        <w:tc>
          <w:tcPr>
            <w:tcW w:w="1187" w:type="dxa"/>
          </w:tcPr>
          <w:p w14:paraId="3268EEED">
            <w:pPr>
              <w:pStyle w:val="54"/>
              <w:rPr>
                <w:rFonts w:hint="eastAsia" w:ascii="宋体" w:hAnsi="宋体" w:eastAsia="宋体" w:cs="宋体"/>
                <w:color w:val="auto"/>
                <w:highlight w:val="none"/>
              </w:rPr>
            </w:pPr>
          </w:p>
        </w:tc>
        <w:tc>
          <w:tcPr>
            <w:tcW w:w="1064" w:type="dxa"/>
          </w:tcPr>
          <w:p w14:paraId="3D8141E9">
            <w:pPr>
              <w:pStyle w:val="54"/>
              <w:rPr>
                <w:rFonts w:hint="eastAsia" w:ascii="宋体" w:hAnsi="宋体" w:eastAsia="宋体" w:cs="宋体"/>
                <w:color w:val="auto"/>
                <w:highlight w:val="none"/>
              </w:rPr>
            </w:pPr>
          </w:p>
        </w:tc>
        <w:tc>
          <w:tcPr>
            <w:tcW w:w="1112" w:type="dxa"/>
          </w:tcPr>
          <w:p w14:paraId="368E189C">
            <w:pPr>
              <w:pStyle w:val="54"/>
              <w:rPr>
                <w:rFonts w:hint="eastAsia" w:ascii="宋体" w:hAnsi="宋体" w:eastAsia="宋体" w:cs="宋体"/>
                <w:color w:val="auto"/>
                <w:highlight w:val="none"/>
              </w:rPr>
            </w:pPr>
          </w:p>
        </w:tc>
        <w:tc>
          <w:tcPr>
            <w:tcW w:w="1135" w:type="dxa"/>
          </w:tcPr>
          <w:p w14:paraId="74197D7A">
            <w:pPr>
              <w:pStyle w:val="54"/>
              <w:rPr>
                <w:rFonts w:hint="eastAsia" w:ascii="宋体" w:hAnsi="宋体" w:eastAsia="宋体" w:cs="宋体"/>
                <w:color w:val="auto"/>
                <w:highlight w:val="none"/>
              </w:rPr>
            </w:pPr>
          </w:p>
        </w:tc>
        <w:tc>
          <w:tcPr>
            <w:tcW w:w="1376" w:type="dxa"/>
          </w:tcPr>
          <w:p w14:paraId="1DCD1DF5">
            <w:pPr>
              <w:pStyle w:val="54"/>
              <w:rPr>
                <w:rFonts w:hint="eastAsia" w:ascii="宋体" w:hAnsi="宋体" w:eastAsia="宋体" w:cs="宋体"/>
                <w:color w:val="auto"/>
                <w:highlight w:val="none"/>
              </w:rPr>
            </w:pPr>
          </w:p>
        </w:tc>
        <w:tc>
          <w:tcPr>
            <w:tcW w:w="892" w:type="dxa"/>
          </w:tcPr>
          <w:p w14:paraId="2017978D">
            <w:pPr>
              <w:pStyle w:val="54"/>
              <w:rPr>
                <w:rFonts w:hint="eastAsia" w:ascii="宋体" w:hAnsi="宋体" w:eastAsia="宋体" w:cs="宋体"/>
                <w:color w:val="auto"/>
                <w:highlight w:val="none"/>
              </w:rPr>
            </w:pPr>
          </w:p>
        </w:tc>
      </w:tr>
      <w:tr w14:paraId="26A8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9" w:type="dxa"/>
          </w:tcPr>
          <w:p w14:paraId="597F9717">
            <w:pPr>
              <w:pStyle w:val="54"/>
              <w:rPr>
                <w:rFonts w:hint="eastAsia" w:ascii="宋体" w:hAnsi="宋体" w:eastAsia="宋体" w:cs="宋体"/>
                <w:color w:val="auto"/>
                <w:highlight w:val="none"/>
              </w:rPr>
            </w:pPr>
          </w:p>
        </w:tc>
        <w:tc>
          <w:tcPr>
            <w:tcW w:w="1169" w:type="dxa"/>
          </w:tcPr>
          <w:p w14:paraId="0262570D">
            <w:pPr>
              <w:pStyle w:val="54"/>
              <w:rPr>
                <w:rFonts w:hint="eastAsia" w:ascii="宋体" w:hAnsi="宋体" w:eastAsia="宋体" w:cs="宋体"/>
                <w:color w:val="auto"/>
                <w:highlight w:val="none"/>
              </w:rPr>
            </w:pPr>
          </w:p>
        </w:tc>
        <w:tc>
          <w:tcPr>
            <w:tcW w:w="1187" w:type="dxa"/>
          </w:tcPr>
          <w:p w14:paraId="54794C91">
            <w:pPr>
              <w:pStyle w:val="54"/>
              <w:rPr>
                <w:rFonts w:hint="eastAsia" w:ascii="宋体" w:hAnsi="宋体" w:eastAsia="宋体" w:cs="宋体"/>
                <w:color w:val="auto"/>
                <w:highlight w:val="none"/>
              </w:rPr>
            </w:pPr>
          </w:p>
        </w:tc>
        <w:tc>
          <w:tcPr>
            <w:tcW w:w="1064" w:type="dxa"/>
          </w:tcPr>
          <w:p w14:paraId="44E3E4E9">
            <w:pPr>
              <w:pStyle w:val="54"/>
              <w:rPr>
                <w:rFonts w:hint="eastAsia" w:ascii="宋体" w:hAnsi="宋体" w:eastAsia="宋体" w:cs="宋体"/>
                <w:color w:val="auto"/>
                <w:highlight w:val="none"/>
              </w:rPr>
            </w:pPr>
          </w:p>
        </w:tc>
        <w:tc>
          <w:tcPr>
            <w:tcW w:w="1112" w:type="dxa"/>
          </w:tcPr>
          <w:p w14:paraId="7A69A6F1">
            <w:pPr>
              <w:pStyle w:val="54"/>
              <w:rPr>
                <w:rFonts w:hint="eastAsia" w:ascii="宋体" w:hAnsi="宋体" w:eastAsia="宋体" w:cs="宋体"/>
                <w:color w:val="auto"/>
                <w:highlight w:val="none"/>
              </w:rPr>
            </w:pPr>
          </w:p>
        </w:tc>
        <w:tc>
          <w:tcPr>
            <w:tcW w:w="1135" w:type="dxa"/>
          </w:tcPr>
          <w:p w14:paraId="346920FB">
            <w:pPr>
              <w:pStyle w:val="54"/>
              <w:rPr>
                <w:rFonts w:hint="eastAsia" w:ascii="宋体" w:hAnsi="宋体" w:eastAsia="宋体" w:cs="宋体"/>
                <w:color w:val="auto"/>
                <w:highlight w:val="none"/>
              </w:rPr>
            </w:pPr>
          </w:p>
        </w:tc>
        <w:tc>
          <w:tcPr>
            <w:tcW w:w="1376" w:type="dxa"/>
          </w:tcPr>
          <w:p w14:paraId="3F382D83">
            <w:pPr>
              <w:pStyle w:val="54"/>
              <w:rPr>
                <w:rFonts w:hint="eastAsia" w:ascii="宋体" w:hAnsi="宋体" w:eastAsia="宋体" w:cs="宋体"/>
                <w:color w:val="auto"/>
                <w:highlight w:val="none"/>
              </w:rPr>
            </w:pPr>
          </w:p>
        </w:tc>
        <w:tc>
          <w:tcPr>
            <w:tcW w:w="892" w:type="dxa"/>
          </w:tcPr>
          <w:p w14:paraId="079A4E56">
            <w:pPr>
              <w:pStyle w:val="54"/>
              <w:rPr>
                <w:rFonts w:hint="eastAsia" w:ascii="宋体" w:hAnsi="宋体" w:eastAsia="宋体" w:cs="宋体"/>
                <w:color w:val="auto"/>
                <w:highlight w:val="none"/>
              </w:rPr>
            </w:pPr>
          </w:p>
        </w:tc>
      </w:tr>
      <w:tr w14:paraId="4939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9" w:type="dxa"/>
          </w:tcPr>
          <w:p w14:paraId="15AA3A00">
            <w:pPr>
              <w:pStyle w:val="54"/>
              <w:rPr>
                <w:rFonts w:hint="eastAsia" w:ascii="宋体" w:hAnsi="宋体" w:eastAsia="宋体" w:cs="宋体"/>
                <w:color w:val="auto"/>
                <w:highlight w:val="none"/>
              </w:rPr>
            </w:pPr>
          </w:p>
        </w:tc>
        <w:tc>
          <w:tcPr>
            <w:tcW w:w="1169" w:type="dxa"/>
          </w:tcPr>
          <w:p w14:paraId="58288630">
            <w:pPr>
              <w:pStyle w:val="54"/>
              <w:rPr>
                <w:rFonts w:hint="eastAsia" w:ascii="宋体" w:hAnsi="宋体" w:eastAsia="宋体" w:cs="宋体"/>
                <w:color w:val="auto"/>
                <w:highlight w:val="none"/>
              </w:rPr>
            </w:pPr>
          </w:p>
        </w:tc>
        <w:tc>
          <w:tcPr>
            <w:tcW w:w="1187" w:type="dxa"/>
          </w:tcPr>
          <w:p w14:paraId="784CC0E1">
            <w:pPr>
              <w:pStyle w:val="54"/>
              <w:rPr>
                <w:rFonts w:hint="eastAsia" w:ascii="宋体" w:hAnsi="宋体" w:eastAsia="宋体" w:cs="宋体"/>
                <w:color w:val="auto"/>
                <w:highlight w:val="none"/>
              </w:rPr>
            </w:pPr>
          </w:p>
        </w:tc>
        <w:tc>
          <w:tcPr>
            <w:tcW w:w="1064" w:type="dxa"/>
          </w:tcPr>
          <w:p w14:paraId="2014B968">
            <w:pPr>
              <w:pStyle w:val="54"/>
              <w:rPr>
                <w:rFonts w:hint="eastAsia" w:ascii="宋体" w:hAnsi="宋体" w:eastAsia="宋体" w:cs="宋体"/>
                <w:color w:val="auto"/>
                <w:highlight w:val="none"/>
              </w:rPr>
            </w:pPr>
          </w:p>
        </w:tc>
        <w:tc>
          <w:tcPr>
            <w:tcW w:w="1112" w:type="dxa"/>
          </w:tcPr>
          <w:p w14:paraId="5C42DEC0">
            <w:pPr>
              <w:pStyle w:val="54"/>
              <w:rPr>
                <w:rFonts w:hint="eastAsia" w:ascii="宋体" w:hAnsi="宋体" w:eastAsia="宋体" w:cs="宋体"/>
                <w:color w:val="auto"/>
                <w:highlight w:val="none"/>
              </w:rPr>
            </w:pPr>
          </w:p>
        </w:tc>
        <w:tc>
          <w:tcPr>
            <w:tcW w:w="1135" w:type="dxa"/>
          </w:tcPr>
          <w:p w14:paraId="7714DB07">
            <w:pPr>
              <w:pStyle w:val="54"/>
              <w:rPr>
                <w:rFonts w:hint="eastAsia" w:ascii="宋体" w:hAnsi="宋体" w:eastAsia="宋体" w:cs="宋体"/>
                <w:color w:val="auto"/>
                <w:highlight w:val="none"/>
              </w:rPr>
            </w:pPr>
          </w:p>
        </w:tc>
        <w:tc>
          <w:tcPr>
            <w:tcW w:w="1376" w:type="dxa"/>
          </w:tcPr>
          <w:p w14:paraId="725E02B5">
            <w:pPr>
              <w:pStyle w:val="54"/>
              <w:rPr>
                <w:rFonts w:hint="eastAsia" w:ascii="宋体" w:hAnsi="宋体" w:eastAsia="宋体" w:cs="宋体"/>
                <w:color w:val="auto"/>
                <w:highlight w:val="none"/>
              </w:rPr>
            </w:pPr>
          </w:p>
        </w:tc>
        <w:tc>
          <w:tcPr>
            <w:tcW w:w="892" w:type="dxa"/>
          </w:tcPr>
          <w:p w14:paraId="042DBD82">
            <w:pPr>
              <w:pStyle w:val="54"/>
              <w:rPr>
                <w:rFonts w:hint="eastAsia" w:ascii="宋体" w:hAnsi="宋体" w:eastAsia="宋体" w:cs="宋体"/>
                <w:color w:val="auto"/>
                <w:highlight w:val="none"/>
              </w:rPr>
            </w:pPr>
          </w:p>
        </w:tc>
      </w:tr>
      <w:tr w14:paraId="3145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9" w:type="dxa"/>
          </w:tcPr>
          <w:p w14:paraId="2742EAD0">
            <w:pPr>
              <w:pStyle w:val="54"/>
              <w:rPr>
                <w:rFonts w:hint="eastAsia" w:ascii="宋体" w:hAnsi="宋体" w:eastAsia="宋体" w:cs="宋体"/>
                <w:color w:val="auto"/>
                <w:highlight w:val="none"/>
              </w:rPr>
            </w:pPr>
          </w:p>
        </w:tc>
        <w:tc>
          <w:tcPr>
            <w:tcW w:w="1169" w:type="dxa"/>
          </w:tcPr>
          <w:p w14:paraId="4E622E1D">
            <w:pPr>
              <w:pStyle w:val="54"/>
              <w:rPr>
                <w:rFonts w:hint="eastAsia" w:ascii="宋体" w:hAnsi="宋体" w:eastAsia="宋体" w:cs="宋体"/>
                <w:color w:val="auto"/>
                <w:highlight w:val="none"/>
              </w:rPr>
            </w:pPr>
          </w:p>
        </w:tc>
        <w:tc>
          <w:tcPr>
            <w:tcW w:w="1187" w:type="dxa"/>
          </w:tcPr>
          <w:p w14:paraId="466B670B">
            <w:pPr>
              <w:pStyle w:val="54"/>
              <w:rPr>
                <w:rFonts w:hint="eastAsia" w:ascii="宋体" w:hAnsi="宋体" w:eastAsia="宋体" w:cs="宋体"/>
                <w:color w:val="auto"/>
                <w:highlight w:val="none"/>
              </w:rPr>
            </w:pPr>
          </w:p>
        </w:tc>
        <w:tc>
          <w:tcPr>
            <w:tcW w:w="1064" w:type="dxa"/>
          </w:tcPr>
          <w:p w14:paraId="15DA395A">
            <w:pPr>
              <w:pStyle w:val="54"/>
              <w:rPr>
                <w:rFonts w:hint="eastAsia" w:ascii="宋体" w:hAnsi="宋体" w:eastAsia="宋体" w:cs="宋体"/>
                <w:color w:val="auto"/>
                <w:highlight w:val="none"/>
              </w:rPr>
            </w:pPr>
          </w:p>
        </w:tc>
        <w:tc>
          <w:tcPr>
            <w:tcW w:w="1112" w:type="dxa"/>
          </w:tcPr>
          <w:p w14:paraId="5EC22AD0">
            <w:pPr>
              <w:pStyle w:val="54"/>
              <w:rPr>
                <w:rFonts w:hint="eastAsia" w:ascii="宋体" w:hAnsi="宋体" w:eastAsia="宋体" w:cs="宋体"/>
                <w:color w:val="auto"/>
                <w:highlight w:val="none"/>
              </w:rPr>
            </w:pPr>
          </w:p>
        </w:tc>
        <w:tc>
          <w:tcPr>
            <w:tcW w:w="1135" w:type="dxa"/>
          </w:tcPr>
          <w:p w14:paraId="0E96F2F9">
            <w:pPr>
              <w:pStyle w:val="54"/>
              <w:rPr>
                <w:rFonts w:hint="eastAsia" w:ascii="宋体" w:hAnsi="宋体" w:eastAsia="宋体" w:cs="宋体"/>
                <w:color w:val="auto"/>
                <w:highlight w:val="none"/>
              </w:rPr>
            </w:pPr>
          </w:p>
        </w:tc>
        <w:tc>
          <w:tcPr>
            <w:tcW w:w="1376" w:type="dxa"/>
          </w:tcPr>
          <w:p w14:paraId="1FFE3435">
            <w:pPr>
              <w:pStyle w:val="54"/>
              <w:rPr>
                <w:rFonts w:hint="eastAsia" w:ascii="宋体" w:hAnsi="宋体" w:eastAsia="宋体" w:cs="宋体"/>
                <w:color w:val="auto"/>
                <w:highlight w:val="none"/>
              </w:rPr>
            </w:pPr>
          </w:p>
        </w:tc>
        <w:tc>
          <w:tcPr>
            <w:tcW w:w="892" w:type="dxa"/>
          </w:tcPr>
          <w:p w14:paraId="4F48C891">
            <w:pPr>
              <w:pStyle w:val="54"/>
              <w:rPr>
                <w:rFonts w:hint="eastAsia" w:ascii="宋体" w:hAnsi="宋体" w:eastAsia="宋体" w:cs="宋体"/>
                <w:color w:val="auto"/>
                <w:highlight w:val="none"/>
              </w:rPr>
            </w:pPr>
          </w:p>
        </w:tc>
      </w:tr>
      <w:tr w14:paraId="0AF0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9" w:type="dxa"/>
          </w:tcPr>
          <w:p w14:paraId="469A6D52">
            <w:pPr>
              <w:pStyle w:val="54"/>
              <w:rPr>
                <w:rFonts w:hint="eastAsia" w:ascii="宋体" w:hAnsi="宋体" w:eastAsia="宋体" w:cs="宋体"/>
                <w:color w:val="auto"/>
                <w:highlight w:val="none"/>
              </w:rPr>
            </w:pPr>
          </w:p>
        </w:tc>
        <w:tc>
          <w:tcPr>
            <w:tcW w:w="1169" w:type="dxa"/>
          </w:tcPr>
          <w:p w14:paraId="48069C5E">
            <w:pPr>
              <w:pStyle w:val="54"/>
              <w:rPr>
                <w:rFonts w:hint="eastAsia" w:ascii="宋体" w:hAnsi="宋体" w:eastAsia="宋体" w:cs="宋体"/>
                <w:color w:val="auto"/>
                <w:highlight w:val="none"/>
              </w:rPr>
            </w:pPr>
          </w:p>
        </w:tc>
        <w:tc>
          <w:tcPr>
            <w:tcW w:w="1187" w:type="dxa"/>
          </w:tcPr>
          <w:p w14:paraId="67C1D8EB">
            <w:pPr>
              <w:pStyle w:val="54"/>
              <w:rPr>
                <w:rFonts w:hint="eastAsia" w:ascii="宋体" w:hAnsi="宋体" w:eastAsia="宋体" w:cs="宋体"/>
                <w:color w:val="auto"/>
                <w:highlight w:val="none"/>
              </w:rPr>
            </w:pPr>
          </w:p>
        </w:tc>
        <w:tc>
          <w:tcPr>
            <w:tcW w:w="1064" w:type="dxa"/>
          </w:tcPr>
          <w:p w14:paraId="7479B42E">
            <w:pPr>
              <w:pStyle w:val="54"/>
              <w:rPr>
                <w:rFonts w:hint="eastAsia" w:ascii="宋体" w:hAnsi="宋体" w:eastAsia="宋体" w:cs="宋体"/>
                <w:color w:val="auto"/>
                <w:highlight w:val="none"/>
              </w:rPr>
            </w:pPr>
          </w:p>
        </w:tc>
        <w:tc>
          <w:tcPr>
            <w:tcW w:w="1112" w:type="dxa"/>
          </w:tcPr>
          <w:p w14:paraId="0A8E2499">
            <w:pPr>
              <w:pStyle w:val="54"/>
              <w:rPr>
                <w:rFonts w:hint="eastAsia" w:ascii="宋体" w:hAnsi="宋体" w:eastAsia="宋体" w:cs="宋体"/>
                <w:color w:val="auto"/>
                <w:highlight w:val="none"/>
              </w:rPr>
            </w:pPr>
          </w:p>
        </w:tc>
        <w:tc>
          <w:tcPr>
            <w:tcW w:w="1135" w:type="dxa"/>
          </w:tcPr>
          <w:p w14:paraId="70C608C0">
            <w:pPr>
              <w:pStyle w:val="54"/>
              <w:rPr>
                <w:rFonts w:hint="eastAsia" w:ascii="宋体" w:hAnsi="宋体" w:eastAsia="宋体" w:cs="宋体"/>
                <w:color w:val="auto"/>
                <w:highlight w:val="none"/>
              </w:rPr>
            </w:pPr>
          </w:p>
        </w:tc>
        <w:tc>
          <w:tcPr>
            <w:tcW w:w="1376" w:type="dxa"/>
          </w:tcPr>
          <w:p w14:paraId="45DE2A50">
            <w:pPr>
              <w:pStyle w:val="54"/>
              <w:rPr>
                <w:rFonts w:hint="eastAsia" w:ascii="宋体" w:hAnsi="宋体" w:eastAsia="宋体" w:cs="宋体"/>
                <w:color w:val="auto"/>
                <w:highlight w:val="none"/>
              </w:rPr>
            </w:pPr>
          </w:p>
        </w:tc>
        <w:tc>
          <w:tcPr>
            <w:tcW w:w="892" w:type="dxa"/>
          </w:tcPr>
          <w:p w14:paraId="48930AF5">
            <w:pPr>
              <w:pStyle w:val="54"/>
              <w:rPr>
                <w:rFonts w:hint="eastAsia" w:ascii="宋体" w:hAnsi="宋体" w:eastAsia="宋体" w:cs="宋体"/>
                <w:color w:val="auto"/>
                <w:highlight w:val="none"/>
              </w:rPr>
            </w:pPr>
          </w:p>
        </w:tc>
      </w:tr>
      <w:tr w14:paraId="72D1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9" w:type="dxa"/>
          </w:tcPr>
          <w:p w14:paraId="5FB212F7">
            <w:pPr>
              <w:pStyle w:val="54"/>
              <w:rPr>
                <w:rFonts w:hint="eastAsia" w:ascii="宋体" w:hAnsi="宋体" w:eastAsia="宋体" w:cs="宋体"/>
                <w:color w:val="auto"/>
                <w:highlight w:val="none"/>
              </w:rPr>
            </w:pPr>
          </w:p>
        </w:tc>
        <w:tc>
          <w:tcPr>
            <w:tcW w:w="1169" w:type="dxa"/>
          </w:tcPr>
          <w:p w14:paraId="06380376">
            <w:pPr>
              <w:pStyle w:val="54"/>
              <w:rPr>
                <w:rFonts w:hint="eastAsia" w:ascii="宋体" w:hAnsi="宋体" w:eastAsia="宋体" w:cs="宋体"/>
                <w:color w:val="auto"/>
                <w:highlight w:val="none"/>
              </w:rPr>
            </w:pPr>
          </w:p>
        </w:tc>
        <w:tc>
          <w:tcPr>
            <w:tcW w:w="1187" w:type="dxa"/>
          </w:tcPr>
          <w:p w14:paraId="6AAA421A">
            <w:pPr>
              <w:pStyle w:val="54"/>
              <w:rPr>
                <w:rFonts w:hint="eastAsia" w:ascii="宋体" w:hAnsi="宋体" w:eastAsia="宋体" w:cs="宋体"/>
                <w:color w:val="auto"/>
                <w:highlight w:val="none"/>
              </w:rPr>
            </w:pPr>
          </w:p>
        </w:tc>
        <w:tc>
          <w:tcPr>
            <w:tcW w:w="1064" w:type="dxa"/>
          </w:tcPr>
          <w:p w14:paraId="1FAC9130">
            <w:pPr>
              <w:pStyle w:val="54"/>
              <w:rPr>
                <w:rFonts w:hint="eastAsia" w:ascii="宋体" w:hAnsi="宋体" w:eastAsia="宋体" w:cs="宋体"/>
                <w:color w:val="auto"/>
                <w:highlight w:val="none"/>
              </w:rPr>
            </w:pPr>
          </w:p>
        </w:tc>
        <w:tc>
          <w:tcPr>
            <w:tcW w:w="1112" w:type="dxa"/>
          </w:tcPr>
          <w:p w14:paraId="0CB3EA0A">
            <w:pPr>
              <w:pStyle w:val="54"/>
              <w:rPr>
                <w:rFonts w:hint="eastAsia" w:ascii="宋体" w:hAnsi="宋体" w:eastAsia="宋体" w:cs="宋体"/>
                <w:color w:val="auto"/>
                <w:highlight w:val="none"/>
              </w:rPr>
            </w:pPr>
          </w:p>
        </w:tc>
        <w:tc>
          <w:tcPr>
            <w:tcW w:w="1135" w:type="dxa"/>
          </w:tcPr>
          <w:p w14:paraId="69BD34FF">
            <w:pPr>
              <w:pStyle w:val="54"/>
              <w:rPr>
                <w:rFonts w:hint="eastAsia" w:ascii="宋体" w:hAnsi="宋体" w:eastAsia="宋体" w:cs="宋体"/>
                <w:color w:val="auto"/>
                <w:highlight w:val="none"/>
              </w:rPr>
            </w:pPr>
          </w:p>
        </w:tc>
        <w:tc>
          <w:tcPr>
            <w:tcW w:w="1376" w:type="dxa"/>
          </w:tcPr>
          <w:p w14:paraId="3D22A455">
            <w:pPr>
              <w:pStyle w:val="54"/>
              <w:rPr>
                <w:rFonts w:hint="eastAsia" w:ascii="宋体" w:hAnsi="宋体" w:eastAsia="宋体" w:cs="宋体"/>
                <w:color w:val="auto"/>
                <w:highlight w:val="none"/>
              </w:rPr>
            </w:pPr>
          </w:p>
        </w:tc>
        <w:tc>
          <w:tcPr>
            <w:tcW w:w="892" w:type="dxa"/>
          </w:tcPr>
          <w:p w14:paraId="6F052CD0">
            <w:pPr>
              <w:pStyle w:val="54"/>
              <w:rPr>
                <w:rFonts w:hint="eastAsia" w:ascii="宋体" w:hAnsi="宋体" w:eastAsia="宋体" w:cs="宋体"/>
                <w:color w:val="auto"/>
                <w:highlight w:val="none"/>
              </w:rPr>
            </w:pPr>
          </w:p>
        </w:tc>
      </w:tr>
      <w:tr w14:paraId="5219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9" w:type="dxa"/>
          </w:tcPr>
          <w:p w14:paraId="0E850D43">
            <w:pPr>
              <w:pStyle w:val="54"/>
              <w:rPr>
                <w:rFonts w:hint="eastAsia" w:ascii="宋体" w:hAnsi="宋体" w:eastAsia="宋体" w:cs="宋体"/>
                <w:color w:val="auto"/>
                <w:highlight w:val="none"/>
              </w:rPr>
            </w:pPr>
          </w:p>
        </w:tc>
        <w:tc>
          <w:tcPr>
            <w:tcW w:w="1169" w:type="dxa"/>
          </w:tcPr>
          <w:p w14:paraId="6B8956FD">
            <w:pPr>
              <w:pStyle w:val="54"/>
              <w:rPr>
                <w:rFonts w:hint="eastAsia" w:ascii="宋体" w:hAnsi="宋体" w:eastAsia="宋体" w:cs="宋体"/>
                <w:color w:val="auto"/>
                <w:highlight w:val="none"/>
              </w:rPr>
            </w:pPr>
          </w:p>
        </w:tc>
        <w:tc>
          <w:tcPr>
            <w:tcW w:w="1187" w:type="dxa"/>
          </w:tcPr>
          <w:p w14:paraId="646B325B">
            <w:pPr>
              <w:pStyle w:val="54"/>
              <w:rPr>
                <w:rFonts w:hint="eastAsia" w:ascii="宋体" w:hAnsi="宋体" w:eastAsia="宋体" w:cs="宋体"/>
                <w:color w:val="auto"/>
                <w:highlight w:val="none"/>
              </w:rPr>
            </w:pPr>
          </w:p>
        </w:tc>
        <w:tc>
          <w:tcPr>
            <w:tcW w:w="1064" w:type="dxa"/>
          </w:tcPr>
          <w:p w14:paraId="32FEBAC7">
            <w:pPr>
              <w:pStyle w:val="54"/>
              <w:rPr>
                <w:rFonts w:hint="eastAsia" w:ascii="宋体" w:hAnsi="宋体" w:eastAsia="宋体" w:cs="宋体"/>
                <w:color w:val="auto"/>
                <w:highlight w:val="none"/>
              </w:rPr>
            </w:pPr>
          </w:p>
        </w:tc>
        <w:tc>
          <w:tcPr>
            <w:tcW w:w="1112" w:type="dxa"/>
          </w:tcPr>
          <w:p w14:paraId="6D380AC9">
            <w:pPr>
              <w:pStyle w:val="54"/>
              <w:rPr>
                <w:rFonts w:hint="eastAsia" w:ascii="宋体" w:hAnsi="宋体" w:eastAsia="宋体" w:cs="宋体"/>
                <w:color w:val="auto"/>
                <w:highlight w:val="none"/>
              </w:rPr>
            </w:pPr>
          </w:p>
        </w:tc>
        <w:tc>
          <w:tcPr>
            <w:tcW w:w="1135" w:type="dxa"/>
          </w:tcPr>
          <w:p w14:paraId="0D08E009">
            <w:pPr>
              <w:pStyle w:val="54"/>
              <w:rPr>
                <w:rFonts w:hint="eastAsia" w:ascii="宋体" w:hAnsi="宋体" w:eastAsia="宋体" w:cs="宋体"/>
                <w:color w:val="auto"/>
                <w:highlight w:val="none"/>
              </w:rPr>
            </w:pPr>
          </w:p>
        </w:tc>
        <w:tc>
          <w:tcPr>
            <w:tcW w:w="1376" w:type="dxa"/>
          </w:tcPr>
          <w:p w14:paraId="6017D6A6">
            <w:pPr>
              <w:pStyle w:val="54"/>
              <w:rPr>
                <w:rFonts w:hint="eastAsia" w:ascii="宋体" w:hAnsi="宋体" w:eastAsia="宋体" w:cs="宋体"/>
                <w:color w:val="auto"/>
                <w:highlight w:val="none"/>
              </w:rPr>
            </w:pPr>
          </w:p>
        </w:tc>
        <w:tc>
          <w:tcPr>
            <w:tcW w:w="892" w:type="dxa"/>
          </w:tcPr>
          <w:p w14:paraId="6AC2EF10">
            <w:pPr>
              <w:pStyle w:val="54"/>
              <w:rPr>
                <w:rFonts w:hint="eastAsia" w:ascii="宋体" w:hAnsi="宋体" w:eastAsia="宋体" w:cs="宋体"/>
                <w:color w:val="auto"/>
                <w:highlight w:val="none"/>
              </w:rPr>
            </w:pPr>
          </w:p>
        </w:tc>
      </w:tr>
      <w:tr w14:paraId="0D1E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9" w:type="dxa"/>
          </w:tcPr>
          <w:p w14:paraId="187CD048">
            <w:pPr>
              <w:pStyle w:val="54"/>
              <w:rPr>
                <w:rFonts w:hint="eastAsia" w:ascii="宋体" w:hAnsi="宋体" w:eastAsia="宋体" w:cs="宋体"/>
                <w:color w:val="auto"/>
                <w:highlight w:val="none"/>
              </w:rPr>
            </w:pPr>
          </w:p>
        </w:tc>
        <w:tc>
          <w:tcPr>
            <w:tcW w:w="1169" w:type="dxa"/>
          </w:tcPr>
          <w:p w14:paraId="742EF35F">
            <w:pPr>
              <w:pStyle w:val="54"/>
              <w:rPr>
                <w:rFonts w:hint="eastAsia" w:ascii="宋体" w:hAnsi="宋体" w:eastAsia="宋体" w:cs="宋体"/>
                <w:color w:val="auto"/>
                <w:highlight w:val="none"/>
              </w:rPr>
            </w:pPr>
          </w:p>
        </w:tc>
        <w:tc>
          <w:tcPr>
            <w:tcW w:w="1187" w:type="dxa"/>
          </w:tcPr>
          <w:p w14:paraId="277503C9">
            <w:pPr>
              <w:pStyle w:val="54"/>
              <w:rPr>
                <w:rFonts w:hint="eastAsia" w:ascii="宋体" w:hAnsi="宋体" w:eastAsia="宋体" w:cs="宋体"/>
                <w:color w:val="auto"/>
                <w:highlight w:val="none"/>
              </w:rPr>
            </w:pPr>
          </w:p>
        </w:tc>
        <w:tc>
          <w:tcPr>
            <w:tcW w:w="1064" w:type="dxa"/>
          </w:tcPr>
          <w:p w14:paraId="0145A897">
            <w:pPr>
              <w:pStyle w:val="54"/>
              <w:rPr>
                <w:rFonts w:hint="eastAsia" w:ascii="宋体" w:hAnsi="宋体" w:eastAsia="宋体" w:cs="宋体"/>
                <w:color w:val="auto"/>
                <w:highlight w:val="none"/>
              </w:rPr>
            </w:pPr>
          </w:p>
        </w:tc>
        <w:tc>
          <w:tcPr>
            <w:tcW w:w="1112" w:type="dxa"/>
          </w:tcPr>
          <w:p w14:paraId="334B0844">
            <w:pPr>
              <w:pStyle w:val="54"/>
              <w:rPr>
                <w:rFonts w:hint="eastAsia" w:ascii="宋体" w:hAnsi="宋体" w:eastAsia="宋体" w:cs="宋体"/>
                <w:color w:val="auto"/>
                <w:highlight w:val="none"/>
              </w:rPr>
            </w:pPr>
          </w:p>
        </w:tc>
        <w:tc>
          <w:tcPr>
            <w:tcW w:w="1135" w:type="dxa"/>
          </w:tcPr>
          <w:p w14:paraId="4797B298">
            <w:pPr>
              <w:pStyle w:val="54"/>
              <w:rPr>
                <w:rFonts w:hint="eastAsia" w:ascii="宋体" w:hAnsi="宋体" w:eastAsia="宋体" w:cs="宋体"/>
                <w:color w:val="auto"/>
                <w:highlight w:val="none"/>
              </w:rPr>
            </w:pPr>
          </w:p>
        </w:tc>
        <w:tc>
          <w:tcPr>
            <w:tcW w:w="1376" w:type="dxa"/>
          </w:tcPr>
          <w:p w14:paraId="6F49327B">
            <w:pPr>
              <w:pStyle w:val="54"/>
              <w:rPr>
                <w:rFonts w:hint="eastAsia" w:ascii="宋体" w:hAnsi="宋体" w:eastAsia="宋体" w:cs="宋体"/>
                <w:color w:val="auto"/>
                <w:highlight w:val="none"/>
              </w:rPr>
            </w:pPr>
          </w:p>
        </w:tc>
        <w:tc>
          <w:tcPr>
            <w:tcW w:w="892" w:type="dxa"/>
          </w:tcPr>
          <w:p w14:paraId="3725DD3B">
            <w:pPr>
              <w:pStyle w:val="54"/>
              <w:rPr>
                <w:rFonts w:hint="eastAsia" w:ascii="宋体" w:hAnsi="宋体" w:eastAsia="宋体" w:cs="宋体"/>
                <w:color w:val="auto"/>
                <w:highlight w:val="none"/>
              </w:rPr>
            </w:pPr>
          </w:p>
        </w:tc>
      </w:tr>
      <w:tr w14:paraId="57E6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315" w:type="dxa"/>
            <w:gridSpan w:val="3"/>
            <w:vAlign w:val="center"/>
          </w:tcPr>
          <w:p w14:paraId="7FE61D63">
            <w:pPr>
              <w:pStyle w:val="54"/>
              <w:jc w:val="center"/>
              <w:rPr>
                <w:rFonts w:hint="eastAsia" w:ascii="宋体" w:hAnsi="宋体" w:eastAsia="宋体" w:cs="宋体"/>
                <w:color w:val="auto"/>
                <w:highlight w:val="none"/>
              </w:rPr>
            </w:pPr>
            <w:r>
              <w:rPr>
                <w:rFonts w:hint="eastAsia" w:ascii="宋体" w:hAnsi="宋体" w:eastAsia="宋体" w:cs="宋体"/>
                <w:color w:val="auto"/>
                <w:sz w:val="21"/>
                <w:highlight w:val="none"/>
              </w:rPr>
              <w:t>最高限价</w:t>
            </w:r>
          </w:p>
        </w:tc>
        <w:tc>
          <w:tcPr>
            <w:tcW w:w="5579" w:type="dxa"/>
            <w:gridSpan w:val="5"/>
            <w:vAlign w:val="center"/>
          </w:tcPr>
          <w:p w14:paraId="309C8776">
            <w:pPr>
              <w:pStyle w:val="54"/>
              <w:rPr>
                <w:rFonts w:hint="eastAsia" w:ascii="宋体" w:hAnsi="宋体" w:eastAsia="宋体" w:cs="宋体"/>
                <w:color w:val="auto"/>
                <w:highlight w:val="none"/>
              </w:rPr>
            </w:pPr>
          </w:p>
        </w:tc>
      </w:tr>
    </w:tbl>
    <w:p w14:paraId="4E284032">
      <w:pPr>
        <w:pStyle w:val="54"/>
        <w:rPr>
          <w:rFonts w:hint="eastAsia" w:ascii="宋体" w:hAnsi="宋体" w:eastAsia="宋体" w:cs="宋体"/>
          <w:color w:val="auto"/>
          <w:highlight w:val="none"/>
        </w:rPr>
      </w:pPr>
    </w:p>
    <w:p w14:paraId="5CA19A0D">
      <w:pPr>
        <w:pStyle w:val="54"/>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采购人代表：</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记录人</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监标人</w:t>
      </w:r>
      <w:r>
        <w:rPr>
          <w:rFonts w:hint="eastAsia" w:ascii="宋体" w:hAnsi="宋体" w:eastAsia="宋体" w:cs="宋体"/>
          <w:color w:val="auto"/>
          <w:sz w:val="21"/>
          <w:highlight w:val="none"/>
          <w:u w:val="single"/>
        </w:rPr>
        <w:t xml:space="preserve">        </w:t>
      </w:r>
    </w:p>
    <w:p w14:paraId="5DFD755E">
      <w:pPr>
        <w:pStyle w:val="54"/>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p>
    <w:p w14:paraId="57EB6909">
      <w:pPr>
        <w:pStyle w:val="54"/>
        <w:jc w:val="right"/>
        <w:rPr>
          <w:rFonts w:hint="eastAsia" w:ascii="宋体" w:hAnsi="宋体" w:eastAsia="宋体" w:cs="宋体"/>
          <w:color w:val="auto"/>
          <w:sz w:val="21"/>
          <w:highlight w:val="none"/>
        </w:rPr>
      </w:pP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w:t>
      </w:r>
    </w:p>
    <w:p w14:paraId="251FF076">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46E0638F">
      <w:pPr>
        <w:widowControl/>
        <w:spacing w:line="360" w:lineRule="auto"/>
        <w:ind w:firstLine="420" w:firstLineChars="200"/>
        <w:jc w:val="left"/>
        <w:rPr>
          <w:rFonts w:hint="eastAsia" w:ascii="宋体" w:hAnsi="宋体" w:eastAsia="宋体" w:cs="宋体"/>
          <w:color w:val="auto"/>
          <w:kern w:val="0"/>
          <w:highlight w:val="none"/>
        </w:rPr>
      </w:pPr>
      <w:bookmarkStart w:id="183" w:name="_Toc21376"/>
      <w:bookmarkStart w:id="184" w:name="_Toc9354"/>
      <w:bookmarkStart w:id="185" w:name="_Toc5031"/>
      <w:bookmarkStart w:id="186" w:name="_Toc26184"/>
      <w:bookmarkStart w:id="187" w:name="_Toc16424"/>
      <w:bookmarkStart w:id="188" w:name="_Toc133"/>
      <w:bookmarkStart w:id="189" w:name="_Toc29269"/>
      <w:r>
        <w:rPr>
          <w:rFonts w:hint="eastAsia" w:ascii="宋体" w:hAnsi="宋体" w:eastAsia="宋体" w:cs="宋体"/>
          <w:color w:val="auto"/>
          <w:kern w:val="0"/>
          <w:highlight w:val="none"/>
        </w:rPr>
        <w:t>附件</w:t>
      </w: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rPr>
        <w:t>：问题澄清通知</w:t>
      </w:r>
      <w:bookmarkEnd w:id="183"/>
      <w:bookmarkEnd w:id="184"/>
      <w:bookmarkEnd w:id="185"/>
      <w:bookmarkEnd w:id="186"/>
      <w:bookmarkEnd w:id="187"/>
      <w:bookmarkEnd w:id="188"/>
      <w:bookmarkEnd w:id="189"/>
    </w:p>
    <w:p w14:paraId="685D432A">
      <w:pPr>
        <w:pStyle w:val="53"/>
        <w:spacing w:line="460" w:lineRule="exact"/>
        <w:ind w:firstLine="640"/>
        <w:jc w:val="center"/>
        <w:rPr>
          <w:rFonts w:hint="eastAsia" w:ascii="宋体" w:hAnsi="宋体" w:eastAsia="宋体" w:cs="宋体"/>
          <w:b/>
          <w:bCs/>
          <w:color w:val="auto"/>
          <w:sz w:val="28"/>
          <w:szCs w:val="28"/>
          <w:highlight w:val="none"/>
          <w:lang w:val="en-US" w:eastAsia="zh-CN" w:bidi="ar-SA"/>
        </w:rPr>
      </w:pPr>
      <w:bookmarkStart w:id="190" w:name="_Toc14897"/>
      <w:bookmarkStart w:id="191" w:name="_Toc30760"/>
      <w:r>
        <w:rPr>
          <w:rFonts w:hint="eastAsia" w:ascii="宋体" w:hAnsi="宋体" w:eastAsia="宋体" w:cs="宋体"/>
          <w:b/>
          <w:bCs/>
          <w:color w:val="auto"/>
          <w:sz w:val="28"/>
          <w:szCs w:val="28"/>
          <w:highlight w:val="none"/>
          <w:lang w:val="en-US" w:eastAsia="zh-CN" w:bidi="ar-SA"/>
        </w:rPr>
        <w:t>问题澄清通知</w:t>
      </w:r>
      <w:bookmarkEnd w:id="190"/>
      <w:bookmarkEnd w:id="191"/>
    </w:p>
    <w:p w14:paraId="20249E99">
      <w:pPr>
        <w:widowControl/>
        <w:spacing w:line="360" w:lineRule="auto"/>
        <w:ind w:firstLine="420" w:firstLineChars="200"/>
        <w:jc w:val="center"/>
        <w:rPr>
          <w:rFonts w:hint="eastAsia" w:ascii="宋体" w:hAnsi="宋体" w:eastAsia="宋体" w:cs="宋体"/>
          <w:color w:val="auto"/>
          <w:highlight w:val="none"/>
        </w:rPr>
      </w:pPr>
      <w:bookmarkStart w:id="192" w:name="_Toc2059"/>
      <w:bookmarkStart w:id="193" w:name="_Toc4888"/>
      <w:r>
        <w:rPr>
          <w:rFonts w:hint="eastAsia" w:ascii="宋体" w:hAnsi="宋体" w:eastAsia="宋体" w:cs="宋体"/>
          <w:color w:val="auto"/>
          <w:highlight w:val="none"/>
        </w:rPr>
        <w:t>编号：</w:t>
      </w:r>
      <w:bookmarkEnd w:id="192"/>
      <w:bookmarkEnd w:id="193"/>
    </w:p>
    <w:p w14:paraId="5E6F1CA8">
      <w:pPr>
        <w:widowControl/>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w:t>
      </w:r>
    </w:p>
    <w:p w14:paraId="262977E5">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磋商小组对你方的响应文件进行了仔细的审查，现需你方对下列问题以书面形式予以澄清：</w:t>
      </w:r>
    </w:p>
    <w:p w14:paraId="7ACF3460">
      <w:pPr>
        <w:widowControl/>
        <w:spacing w:line="360" w:lineRule="auto"/>
        <w:jc w:val="left"/>
        <w:rPr>
          <w:rFonts w:hint="eastAsia" w:ascii="宋体" w:hAnsi="宋体" w:eastAsia="宋体" w:cs="宋体"/>
          <w:color w:val="auto"/>
          <w:highlight w:val="none"/>
        </w:rPr>
      </w:pPr>
    </w:p>
    <w:p w14:paraId="71290C89">
      <w:pPr>
        <w:widowControl/>
        <w:spacing w:line="360" w:lineRule="auto"/>
        <w:ind w:firstLine="420" w:firstLineChars="200"/>
        <w:jc w:val="left"/>
        <w:rPr>
          <w:rFonts w:hint="eastAsia" w:ascii="宋体" w:hAnsi="宋体" w:eastAsia="宋体" w:cs="宋体"/>
          <w:color w:val="auto"/>
          <w:highlight w:val="none"/>
        </w:rPr>
      </w:pPr>
      <w:bookmarkStart w:id="194" w:name="_Toc21255"/>
      <w:bookmarkStart w:id="195" w:name="_Toc22303"/>
      <w:r>
        <w:rPr>
          <w:rFonts w:hint="eastAsia" w:ascii="宋体" w:hAnsi="宋体" w:eastAsia="宋体" w:cs="宋体"/>
          <w:color w:val="auto"/>
          <w:highlight w:val="none"/>
        </w:rPr>
        <w:t>1.</w:t>
      </w:r>
      <w:bookmarkEnd w:id="194"/>
      <w:bookmarkEnd w:id="195"/>
    </w:p>
    <w:p w14:paraId="38A38051">
      <w:pPr>
        <w:widowControl/>
        <w:spacing w:line="360" w:lineRule="auto"/>
        <w:ind w:firstLine="420" w:firstLineChars="200"/>
        <w:jc w:val="left"/>
        <w:rPr>
          <w:rFonts w:hint="eastAsia" w:ascii="宋体" w:hAnsi="宋体" w:eastAsia="宋体" w:cs="宋体"/>
          <w:color w:val="auto"/>
          <w:highlight w:val="none"/>
        </w:rPr>
      </w:pPr>
      <w:bookmarkStart w:id="196" w:name="_Toc20694"/>
      <w:bookmarkStart w:id="197" w:name="_Toc5185"/>
      <w:r>
        <w:rPr>
          <w:rFonts w:hint="eastAsia" w:ascii="宋体" w:hAnsi="宋体" w:eastAsia="宋体" w:cs="宋体"/>
          <w:color w:val="auto"/>
          <w:highlight w:val="none"/>
        </w:rPr>
        <w:t>2.</w:t>
      </w:r>
      <w:bookmarkEnd w:id="196"/>
      <w:bookmarkEnd w:id="197"/>
    </w:p>
    <w:p w14:paraId="63054327">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48D5D499">
      <w:pPr>
        <w:widowControl/>
        <w:spacing w:line="360" w:lineRule="auto"/>
        <w:ind w:left="210" w:leftChars="10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请将上述问题的澄清、说明、或补正于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时前递交至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（详细地址）或传真至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（传真号码）。采用传真方式的，应在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时前将原件递交至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（详细地址）。</w:t>
      </w:r>
    </w:p>
    <w:p w14:paraId="2257B496">
      <w:pPr>
        <w:widowControl/>
        <w:spacing w:line="360" w:lineRule="auto"/>
        <w:ind w:firstLine="420" w:firstLineChars="200"/>
        <w:jc w:val="right"/>
        <w:rPr>
          <w:rFonts w:hint="eastAsia" w:ascii="宋体" w:hAnsi="宋体" w:eastAsia="宋体" w:cs="宋体"/>
          <w:color w:val="auto"/>
          <w:highlight w:val="none"/>
        </w:rPr>
      </w:pPr>
    </w:p>
    <w:p w14:paraId="4DD5E92D">
      <w:pPr>
        <w:widowControl/>
        <w:spacing w:line="360" w:lineRule="auto"/>
        <w:ind w:firstLine="420" w:firstLineChars="200"/>
        <w:jc w:val="right"/>
        <w:rPr>
          <w:rFonts w:hint="eastAsia" w:ascii="宋体" w:hAnsi="宋体" w:eastAsia="宋体" w:cs="宋体"/>
          <w:color w:val="auto"/>
          <w:highlight w:val="none"/>
        </w:rPr>
      </w:pPr>
    </w:p>
    <w:p w14:paraId="6170BE87">
      <w:pPr>
        <w:widowControl/>
        <w:spacing w:line="360" w:lineRule="auto"/>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磋商小组授权的采购人或采购代理机构：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（签字或盖章）</w:t>
      </w:r>
    </w:p>
    <w:p w14:paraId="19310595">
      <w:pPr>
        <w:widowControl/>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bookmarkStart w:id="198" w:name="_Toc17737"/>
      <w:bookmarkStart w:id="199" w:name="_Toc27315"/>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bookmarkEnd w:id="198"/>
      <w:bookmarkEnd w:id="199"/>
    </w:p>
    <w:p w14:paraId="40A99288">
      <w:pPr>
        <w:widowControl/>
        <w:spacing w:line="360" w:lineRule="auto"/>
        <w:ind w:firstLine="480" w:firstLineChars="200"/>
        <w:jc w:val="left"/>
        <w:rPr>
          <w:rFonts w:hint="eastAsia" w:ascii="宋体" w:hAnsi="宋体" w:eastAsia="宋体" w:cs="宋体"/>
          <w:color w:val="auto"/>
          <w:sz w:val="24"/>
          <w:highlight w:val="none"/>
        </w:rPr>
      </w:pPr>
    </w:p>
    <w:p w14:paraId="58AB89BB">
      <w:pPr>
        <w:widowControl/>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Start w:id="200" w:name="_Toc14335"/>
      <w:bookmarkStart w:id="201" w:name="_Toc22502"/>
      <w:bookmarkStart w:id="202" w:name="_Toc16248"/>
      <w:bookmarkStart w:id="203" w:name="_Toc6207"/>
      <w:bookmarkStart w:id="204" w:name="_Toc17744"/>
      <w:bookmarkStart w:id="205" w:name="_Toc16346"/>
      <w:bookmarkStart w:id="206" w:name="_Toc368"/>
      <w:r>
        <w:rPr>
          <w:rFonts w:hint="eastAsia" w:ascii="宋体" w:hAnsi="宋体" w:eastAsia="宋体" w:cs="宋体"/>
          <w:color w:val="auto"/>
          <w:kern w:val="0"/>
          <w:highlight w:val="none"/>
        </w:rPr>
        <w:t>附件</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：问题的澄清</w:t>
      </w:r>
      <w:bookmarkEnd w:id="200"/>
      <w:bookmarkEnd w:id="201"/>
      <w:bookmarkEnd w:id="202"/>
      <w:bookmarkEnd w:id="203"/>
      <w:bookmarkEnd w:id="204"/>
      <w:bookmarkEnd w:id="205"/>
      <w:bookmarkEnd w:id="206"/>
    </w:p>
    <w:p w14:paraId="2629FF9B">
      <w:pPr>
        <w:pStyle w:val="53"/>
        <w:spacing w:line="460" w:lineRule="exact"/>
        <w:ind w:firstLine="640"/>
        <w:jc w:val="center"/>
        <w:rPr>
          <w:rFonts w:hint="eastAsia" w:ascii="宋体" w:hAnsi="宋体" w:eastAsia="宋体" w:cs="宋体"/>
          <w:b/>
          <w:bCs/>
          <w:color w:val="auto"/>
          <w:sz w:val="28"/>
          <w:szCs w:val="28"/>
          <w:highlight w:val="none"/>
          <w:lang w:val="en-US" w:eastAsia="zh-CN" w:bidi="ar-SA"/>
        </w:rPr>
      </w:pPr>
      <w:bookmarkStart w:id="207" w:name="_Toc4699"/>
      <w:bookmarkStart w:id="208" w:name="_Toc30131"/>
      <w:r>
        <w:rPr>
          <w:rFonts w:hint="eastAsia" w:ascii="宋体" w:hAnsi="宋体" w:eastAsia="宋体" w:cs="宋体"/>
          <w:b/>
          <w:bCs/>
          <w:color w:val="auto"/>
          <w:sz w:val="28"/>
          <w:szCs w:val="28"/>
          <w:highlight w:val="none"/>
          <w:lang w:val="en-US" w:eastAsia="zh-CN" w:bidi="ar-SA"/>
        </w:rPr>
        <w:t>问题的澄清</w:t>
      </w:r>
      <w:bookmarkEnd w:id="207"/>
      <w:bookmarkEnd w:id="208"/>
    </w:p>
    <w:p w14:paraId="3C6450DD">
      <w:pPr>
        <w:pStyle w:val="49"/>
        <w:rPr>
          <w:rFonts w:hint="eastAsia" w:ascii="宋体" w:hAnsi="宋体" w:eastAsia="宋体" w:cs="宋体"/>
          <w:color w:val="auto"/>
          <w:highlight w:val="none"/>
        </w:rPr>
      </w:pPr>
    </w:p>
    <w:p w14:paraId="4DC1776D">
      <w:pPr>
        <w:widowControl/>
        <w:spacing w:line="360" w:lineRule="auto"/>
        <w:ind w:firstLine="420" w:firstLineChars="200"/>
        <w:jc w:val="center"/>
        <w:rPr>
          <w:rFonts w:hint="eastAsia" w:ascii="宋体" w:hAnsi="宋体" w:eastAsia="宋体" w:cs="宋体"/>
          <w:color w:val="auto"/>
          <w:highlight w:val="none"/>
        </w:rPr>
      </w:pPr>
      <w:bookmarkStart w:id="209" w:name="_Toc13934"/>
      <w:bookmarkStart w:id="210" w:name="_Toc7018"/>
      <w:r>
        <w:rPr>
          <w:rFonts w:hint="eastAsia" w:ascii="宋体" w:hAnsi="宋体" w:eastAsia="宋体" w:cs="宋体"/>
          <w:color w:val="auto"/>
          <w:highlight w:val="none"/>
        </w:rPr>
        <w:t>编号：</w:t>
      </w:r>
      <w:bookmarkEnd w:id="209"/>
      <w:bookmarkEnd w:id="210"/>
    </w:p>
    <w:p w14:paraId="56537D5E">
      <w:pPr>
        <w:pStyle w:val="49"/>
        <w:rPr>
          <w:rFonts w:hint="eastAsia" w:ascii="宋体" w:hAnsi="宋体" w:eastAsia="宋体" w:cs="宋体"/>
          <w:color w:val="auto"/>
          <w:highlight w:val="none"/>
        </w:rPr>
      </w:pPr>
    </w:p>
    <w:p w14:paraId="2470442C">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（项目名称）磋商小组：</w:t>
      </w:r>
    </w:p>
    <w:p w14:paraId="2DDBF80E">
      <w:pPr>
        <w:pStyle w:val="49"/>
        <w:rPr>
          <w:rFonts w:hint="eastAsia" w:ascii="宋体" w:hAnsi="宋体" w:eastAsia="宋体" w:cs="宋体"/>
          <w:color w:val="auto"/>
          <w:highlight w:val="none"/>
        </w:rPr>
      </w:pPr>
    </w:p>
    <w:p w14:paraId="6762AA80">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问题澄清通知（编号：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）已收悉，现澄清如下：</w:t>
      </w:r>
    </w:p>
    <w:p w14:paraId="6F8FD049">
      <w:pPr>
        <w:widowControl/>
        <w:spacing w:line="360" w:lineRule="auto"/>
        <w:ind w:firstLine="420" w:firstLineChars="200"/>
        <w:jc w:val="left"/>
        <w:rPr>
          <w:rFonts w:hint="eastAsia" w:ascii="宋体" w:hAnsi="宋体" w:eastAsia="宋体" w:cs="宋体"/>
          <w:color w:val="auto"/>
          <w:highlight w:val="none"/>
        </w:rPr>
      </w:pPr>
      <w:bookmarkStart w:id="211" w:name="_Toc24304"/>
      <w:bookmarkStart w:id="212" w:name="_Toc4317"/>
      <w:r>
        <w:rPr>
          <w:rFonts w:hint="eastAsia" w:ascii="宋体" w:hAnsi="宋体" w:eastAsia="宋体" w:cs="宋体"/>
          <w:color w:val="auto"/>
          <w:highlight w:val="none"/>
        </w:rPr>
        <w:t>1.</w:t>
      </w:r>
      <w:bookmarkEnd w:id="211"/>
      <w:bookmarkEnd w:id="212"/>
    </w:p>
    <w:p w14:paraId="52F8FC7A">
      <w:pPr>
        <w:widowControl/>
        <w:spacing w:line="360" w:lineRule="auto"/>
        <w:ind w:firstLine="420" w:firstLineChars="200"/>
        <w:jc w:val="left"/>
        <w:rPr>
          <w:rFonts w:hint="eastAsia" w:ascii="宋体" w:hAnsi="宋体" w:eastAsia="宋体" w:cs="宋体"/>
          <w:color w:val="auto"/>
          <w:highlight w:val="none"/>
        </w:rPr>
      </w:pPr>
      <w:bookmarkStart w:id="213" w:name="_Toc8517"/>
      <w:bookmarkStart w:id="214" w:name="_Toc460"/>
      <w:r>
        <w:rPr>
          <w:rFonts w:hint="eastAsia" w:ascii="宋体" w:hAnsi="宋体" w:eastAsia="宋体" w:cs="宋体"/>
          <w:color w:val="auto"/>
          <w:highlight w:val="none"/>
        </w:rPr>
        <w:t>2.</w:t>
      </w:r>
      <w:bookmarkEnd w:id="213"/>
      <w:bookmarkEnd w:id="214"/>
    </w:p>
    <w:p w14:paraId="5073D835">
      <w:pPr>
        <w:pStyle w:val="51"/>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上述问题澄清、说明和补正，不改变我方响应文件的实质性内容，构成我方响应文件的组成部分。</w:t>
      </w:r>
    </w:p>
    <w:p w14:paraId="7D6933E3">
      <w:pPr>
        <w:widowControl/>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EEA5C73">
      <w:pPr>
        <w:widowControl/>
        <w:spacing w:line="360" w:lineRule="auto"/>
        <w:ind w:firstLine="420" w:firstLineChars="200"/>
        <w:jc w:val="center"/>
        <w:rPr>
          <w:rFonts w:hint="eastAsia" w:ascii="宋体" w:hAnsi="宋体" w:eastAsia="宋体" w:cs="宋体"/>
          <w:color w:val="auto"/>
          <w:highlight w:val="none"/>
        </w:rPr>
      </w:pPr>
    </w:p>
    <w:p w14:paraId="3B1F2B7D">
      <w:pPr>
        <w:widowControl/>
        <w:spacing w:line="360" w:lineRule="auto"/>
        <w:ind w:firstLine="420" w:firstLineChars="200"/>
        <w:jc w:val="center"/>
        <w:rPr>
          <w:rFonts w:hint="eastAsia" w:ascii="宋体" w:hAnsi="宋体" w:eastAsia="宋体" w:cs="宋体"/>
          <w:color w:val="auto"/>
          <w:highlight w:val="none"/>
        </w:rPr>
      </w:pPr>
      <w:bookmarkStart w:id="215" w:name="_Toc28324"/>
      <w:bookmarkStart w:id="216" w:name="_Toc30177"/>
      <w:r>
        <w:rPr>
          <w:rFonts w:hint="eastAsia" w:ascii="宋体" w:hAnsi="宋体" w:eastAsia="宋体" w:cs="宋体"/>
          <w:color w:val="auto"/>
          <w:highlight w:val="none"/>
        </w:rPr>
        <w:t xml:space="preserve">                           供应商：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（全称）</w:t>
      </w:r>
      <w:bookmarkEnd w:id="215"/>
      <w:bookmarkEnd w:id="216"/>
    </w:p>
    <w:p w14:paraId="0D9E3C45">
      <w:pPr>
        <w:widowControl/>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217" w:name="_Toc30660"/>
      <w:bookmarkStart w:id="218" w:name="_Toc3780"/>
      <w:r>
        <w:rPr>
          <w:rFonts w:hint="eastAsia" w:ascii="宋体" w:hAnsi="宋体" w:eastAsia="宋体" w:cs="宋体"/>
          <w:color w:val="auto"/>
          <w:highlight w:val="none"/>
        </w:rPr>
        <w:t xml:space="preserve">  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bookmarkEnd w:id="217"/>
      <w:bookmarkEnd w:id="218"/>
    </w:p>
    <w:p w14:paraId="3A411A73">
      <w:pPr>
        <w:widowControl/>
        <w:spacing w:line="360" w:lineRule="auto"/>
        <w:ind w:firstLine="420" w:firstLineChars="200"/>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bookmarkStart w:id="219" w:name="_Toc32610"/>
      <w:bookmarkStart w:id="220" w:name="_Toc1435"/>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bookmarkEnd w:id="219"/>
      <w:bookmarkEnd w:id="220"/>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CE08C46">
      <w:pPr>
        <w:rPr>
          <w:rFonts w:hint="eastAsia" w:ascii="宋体" w:hAnsi="宋体" w:eastAsia="宋体" w:cs="宋体"/>
          <w:color w:val="auto"/>
          <w:highlight w:val="none"/>
        </w:rPr>
      </w:pPr>
      <w:bookmarkStart w:id="221" w:name="_Toc11196"/>
      <w:bookmarkStart w:id="222" w:name="_Toc21044"/>
      <w:bookmarkStart w:id="223" w:name="_Toc22019"/>
      <w:r>
        <w:rPr>
          <w:rFonts w:hint="eastAsia" w:ascii="宋体" w:hAnsi="宋体" w:eastAsia="宋体" w:cs="宋体"/>
          <w:color w:val="auto"/>
          <w:highlight w:val="none"/>
        </w:rPr>
        <w:br w:type="page"/>
      </w:r>
    </w:p>
    <w:p w14:paraId="2ED304D2">
      <w:pPr>
        <w:widowControl/>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附件</w:t>
      </w: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rPr>
        <w:t>：</w:t>
      </w:r>
      <w:bookmarkEnd w:id="221"/>
      <w:bookmarkEnd w:id="222"/>
      <w:bookmarkEnd w:id="223"/>
      <w:r>
        <w:rPr>
          <w:rFonts w:hint="eastAsia" w:ascii="宋体" w:hAnsi="宋体" w:eastAsia="宋体" w:cs="宋体"/>
          <w:color w:val="auto"/>
          <w:kern w:val="0"/>
          <w:highlight w:val="none"/>
        </w:rPr>
        <w:t>成交通知书</w:t>
      </w:r>
    </w:p>
    <w:p w14:paraId="3C367C1F">
      <w:pPr>
        <w:jc w:val="center"/>
        <w:rPr>
          <w:rFonts w:hint="eastAsia" w:ascii="宋体" w:hAnsi="宋体" w:eastAsia="宋体" w:cs="宋体"/>
          <w:color w:val="auto"/>
          <w:highlight w:val="none"/>
        </w:rPr>
      </w:pPr>
    </w:p>
    <w:p w14:paraId="1E8C6B0B">
      <w:pPr>
        <w:rPr>
          <w:rFonts w:hint="eastAsia" w:ascii="宋体" w:hAnsi="宋体" w:eastAsia="宋体" w:cs="宋体"/>
          <w:color w:val="auto"/>
          <w:highlight w:val="none"/>
        </w:rPr>
      </w:pPr>
    </w:p>
    <w:p w14:paraId="2F76A06B">
      <w:pPr>
        <w:pStyle w:val="53"/>
        <w:spacing w:line="460" w:lineRule="exact"/>
        <w:ind w:firstLine="640"/>
        <w:jc w:val="center"/>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成交通知书</w:t>
      </w:r>
    </w:p>
    <w:p w14:paraId="70BCF16C">
      <w:pPr>
        <w:pStyle w:val="51"/>
        <w:rPr>
          <w:rFonts w:hint="eastAsia" w:ascii="宋体" w:hAnsi="宋体" w:eastAsia="宋体" w:cs="宋体"/>
          <w:color w:val="auto"/>
          <w:highlight w:val="none"/>
        </w:rPr>
      </w:pPr>
    </w:p>
    <w:p w14:paraId="7A0A2D61">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（成交人名称）：</w:t>
      </w:r>
    </w:p>
    <w:p w14:paraId="79D3B581">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你方于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（磋商日期）所递交的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（项目名称）工程的响应文件已被我方接受，被确定为成交人。</w:t>
      </w:r>
    </w:p>
    <w:p w14:paraId="59260A8F">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成交价：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BA2A7EA">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成交工期：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22CDC08">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项目经理：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w:t>
      </w:r>
    </w:p>
    <w:p w14:paraId="39363950">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请你方在接到本通知书后的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日内到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（指定地点）与我方签订合同，并按竞争性磋商文件第二章“供应商须知</w:t>
      </w:r>
      <w:r>
        <w:rPr>
          <w:rFonts w:hint="eastAsia" w:ascii="宋体" w:hAnsi="宋体" w:eastAsia="宋体" w:cs="宋体"/>
          <w:color w:val="auto"/>
          <w:highlight w:val="none"/>
          <w:lang w:val="en-US" w:eastAsia="zh-CN"/>
        </w:rPr>
        <w:t>前附表</w:t>
      </w:r>
      <w:r>
        <w:rPr>
          <w:rFonts w:hint="eastAsia" w:ascii="宋体" w:hAnsi="宋体" w:eastAsia="宋体" w:cs="宋体"/>
          <w:color w:val="auto"/>
          <w:highlight w:val="none"/>
        </w:rPr>
        <w:t>”规定向我方提交履约保证金。</w:t>
      </w:r>
    </w:p>
    <w:p w14:paraId="4B61A1F4">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特此通知。</w:t>
      </w:r>
    </w:p>
    <w:p w14:paraId="04162402">
      <w:pPr>
        <w:spacing w:line="500" w:lineRule="exact"/>
        <w:ind w:firstLine="420" w:firstLineChars="200"/>
        <w:rPr>
          <w:rFonts w:hint="eastAsia" w:ascii="宋体" w:hAnsi="宋体" w:eastAsia="宋体" w:cs="宋体"/>
          <w:color w:val="auto"/>
          <w:highlight w:val="none"/>
        </w:rPr>
      </w:pPr>
    </w:p>
    <w:p w14:paraId="68375E30">
      <w:pPr>
        <w:spacing w:line="500" w:lineRule="exact"/>
        <w:ind w:left="2940" w:leftChars="140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606E55C8">
      <w:pPr>
        <w:spacing w:line="500" w:lineRule="exact"/>
        <w:ind w:left="2940" w:leftChars="140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16189F6E">
      <w:pPr>
        <w:spacing w:line="500" w:lineRule="exact"/>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8FAF9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41471F7">
      <w:pPr>
        <w:widowControl/>
        <w:spacing w:line="360" w:lineRule="auto"/>
        <w:ind w:firstLine="420" w:firstLineChars="200"/>
        <w:jc w:val="left"/>
        <w:rPr>
          <w:rFonts w:hint="eastAsia" w:ascii="宋体" w:hAnsi="宋体" w:eastAsia="宋体" w:cs="宋体"/>
          <w:color w:val="auto"/>
          <w:kern w:val="0"/>
          <w:highlight w:val="none"/>
        </w:rPr>
      </w:pPr>
      <w:bookmarkStart w:id="224" w:name="_Toc4348"/>
      <w:bookmarkStart w:id="225" w:name="_Toc7191"/>
      <w:bookmarkStart w:id="226" w:name="_Toc32513"/>
      <w:r>
        <w:rPr>
          <w:rFonts w:hint="eastAsia" w:ascii="宋体" w:hAnsi="宋体" w:eastAsia="宋体" w:cs="宋体"/>
          <w:color w:val="auto"/>
          <w:kern w:val="0"/>
          <w:highlight w:val="none"/>
        </w:rPr>
        <w:t>附件</w:t>
      </w:r>
      <w:r>
        <w:rPr>
          <w:rFonts w:hint="eastAsia" w:ascii="宋体" w:hAnsi="宋体" w:eastAsia="宋体" w:cs="宋体"/>
          <w:color w:val="auto"/>
          <w:kern w:val="0"/>
          <w:highlight w:val="none"/>
          <w:lang w:val="en-US" w:eastAsia="zh-CN"/>
        </w:rPr>
        <w:t>7</w:t>
      </w:r>
      <w:r>
        <w:rPr>
          <w:rFonts w:hint="eastAsia" w:ascii="宋体" w:hAnsi="宋体" w:eastAsia="宋体" w:cs="宋体"/>
          <w:color w:val="auto"/>
          <w:kern w:val="0"/>
          <w:highlight w:val="none"/>
        </w:rPr>
        <w:t>：成交结果通知书</w:t>
      </w:r>
      <w:bookmarkEnd w:id="224"/>
      <w:bookmarkEnd w:id="225"/>
      <w:bookmarkEnd w:id="226"/>
    </w:p>
    <w:p w14:paraId="6262B9A2">
      <w:pPr>
        <w:jc w:val="center"/>
        <w:rPr>
          <w:rFonts w:hint="eastAsia" w:ascii="宋体" w:hAnsi="宋体" w:eastAsia="宋体" w:cs="宋体"/>
          <w:color w:val="auto"/>
          <w:highlight w:val="none"/>
        </w:rPr>
      </w:pPr>
    </w:p>
    <w:p w14:paraId="0C125E73">
      <w:pPr>
        <w:rPr>
          <w:rFonts w:hint="eastAsia" w:ascii="宋体" w:hAnsi="宋体" w:eastAsia="宋体" w:cs="宋体"/>
          <w:color w:val="auto"/>
          <w:highlight w:val="none"/>
        </w:rPr>
      </w:pPr>
    </w:p>
    <w:p w14:paraId="1C8BEFEA">
      <w:pPr>
        <w:pStyle w:val="53"/>
        <w:spacing w:line="460" w:lineRule="exact"/>
        <w:ind w:firstLine="640"/>
        <w:jc w:val="center"/>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成交结果通知书</w:t>
      </w:r>
    </w:p>
    <w:p w14:paraId="1A3554C3">
      <w:pPr>
        <w:pStyle w:val="53"/>
        <w:spacing w:line="460" w:lineRule="exact"/>
        <w:ind w:firstLine="640"/>
        <w:jc w:val="center"/>
        <w:rPr>
          <w:rFonts w:hint="eastAsia" w:ascii="宋体" w:hAnsi="宋体" w:eastAsia="宋体" w:cs="宋体"/>
          <w:b/>
          <w:bCs/>
          <w:color w:val="auto"/>
          <w:sz w:val="28"/>
          <w:szCs w:val="28"/>
          <w:highlight w:val="none"/>
          <w:lang w:val="en-US" w:eastAsia="zh-CN" w:bidi="ar-SA"/>
        </w:rPr>
      </w:pPr>
    </w:p>
    <w:p w14:paraId="193F4AAE">
      <w:pPr>
        <w:pStyle w:val="51"/>
        <w:rPr>
          <w:rFonts w:hint="eastAsia" w:ascii="宋体" w:hAnsi="宋体" w:eastAsia="宋体" w:cs="宋体"/>
          <w:color w:val="auto"/>
          <w:highlight w:val="none"/>
        </w:rPr>
      </w:pPr>
    </w:p>
    <w:p w14:paraId="360068FF">
      <w:pPr>
        <w:pStyle w:val="51"/>
        <w:rPr>
          <w:rFonts w:hint="eastAsia" w:ascii="宋体" w:hAnsi="宋体" w:eastAsia="宋体" w:cs="宋体"/>
          <w:color w:val="auto"/>
          <w:highlight w:val="none"/>
        </w:rPr>
      </w:pPr>
    </w:p>
    <w:p w14:paraId="5CCDDF8C">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（未成交人名称）：</w:t>
      </w:r>
    </w:p>
    <w:p w14:paraId="32B11A93">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我方已接受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（成交人名称）于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（磋商日期）所递交的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（项目名称）工程的响应文件，确定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（成交人名称）为成交人。</w:t>
      </w:r>
    </w:p>
    <w:p w14:paraId="643EB052">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感谢你单位对磋商项目的参与！</w:t>
      </w:r>
    </w:p>
    <w:p w14:paraId="538FAAD8">
      <w:pPr>
        <w:spacing w:line="500" w:lineRule="exact"/>
        <w:ind w:firstLine="420" w:firstLineChars="200"/>
        <w:rPr>
          <w:rFonts w:hint="eastAsia" w:ascii="宋体" w:hAnsi="宋体" w:eastAsia="宋体" w:cs="宋体"/>
          <w:color w:val="auto"/>
          <w:highlight w:val="none"/>
        </w:rPr>
      </w:pPr>
    </w:p>
    <w:p w14:paraId="1E18D237">
      <w:pPr>
        <w:spacing w:line="500" w:lineRule="exact"/>
        <w:ind w:left="2940" w:leftChars="140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7B5C4556">
      <w:pPr>
        <w:spacing w:line="500" w:lineRule="exact"/>
        <w:ind w:left="1260" w:leftChars="600"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B6D238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2111D1">
      <w:pPr>
        <w:widowControl/>
        <w:spacing w:line="360" w:lineRule="auto"/>
        <w:ind w:firstLine="420" w:firstLineChars="200"/>
        <w:jc w:val="left"/>
        <w:rPr>
          <w:rFonts w:hint="eastAsia" w:ascii="宋体" w:hAnsi="宋体" w:eastAsia="宋体" w:cs="宋体"/>
          <w:color w:val="auto"/>
          <w:kern w:val="0"/>
          <w:highlight w:val="none"/>
        </w:rPr>
      </w:pPr>
      <w:bookmarkStart w:id="227" w:name="_Toc23303"/>
      <w:bookmarkStart w:id="228" w:name="_Toc20055"/>
      <w:bookmarkStart w:id="229" w:name="_Toc14875"/>
      <w:r>
        <w:rPr>
          <w:rFonts w:hint="eastAsia" w:ascii="宋体" w:hAnsi="宋体" w:eastAsia="宋体" w:cs="宋体"/>
          <w:color w:val="auto"/>
          <w:kern w:val="0"/>
          <w:highlight w:val="none"/>
        </w:rPr>
        <w:t>附件</w:t>
      </w:r>
      <w:r>
        <w:rPr>
          <w:rFonts w:hint="eastAsia" w:ascii="宋体" w:hAnsi="宋体" w:eastAsia="宋体" w:cs="宋体"/>
          <w:color w:val="auto"/>
          <w:kern w:val="0"/>
          <w:highlight w:val="none"/>
          <w:lang w:val="en-US" w:eastAsia="zh-CN"/>
        </w:rPr>
        <w:t>8</w:t>
      </w:r>
      <w:r>
        <w:rPr>
          <w:rFonts w:hint="eastAsia" w:ascii="宋体" w:hAnsi="宋体" w:eastAsia="宋体" w:cs="宋体"/>
          <w:color w:val="auto"/>
          <w:kern w:val="0"/>
          <w:highlight w:val="none"/>
        </w:rPr>
        <w:t>：确认通知</w:t>
      </w:r>
      <w:bookmarkEnd w:id="227"/>
      <w:bookmarkEnd w:id="228"/>
      <w:bookmarkEnd w:id="229"/>
    </w:p>
    <w:p w14:paraId="3E7CCFEA">
      <w:pPr>
        <w:jc w:val="center"/>
        <w:rPr>
          <w:rFonts w:hint="eastAsia" w:ascii="宋体" w:hAnsi="宋体" w:eastAsia="宋体" w:cs="宋体"/>
          <w:color w:val="auto"/>
          <w:highlight w:val="none"/>
        </w:rPr>
      </w:pPr>
    </w:p>
    <w:p w14:paraId="3148845B">
      <w:pPr>
        <w:rPr>
          <w:rFonts w:hint="eastAsia" w:ascii="宋体" w:hAnsi="宋体" w:eastAsia="宋体" w:cs="宋体"/>
          <w:color w:val="auto"/>
          <w:highlight w:val="none"/>
        </w:rPr>
      </w:pPr>
    </w:p>
    <w:p w14:paraId="2F48ECD8">
      <w:pPr>
        <w:pStyle w:val="53"/>
        <w:spacing w:line="460" w:lineRule="exact"/>
        <w:ind w:firstLine="640"/>
        <w:jc w:val="center"/>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确认通知</w:t>
      </w:r>
    </w:p>
    <w:p w14:paraId="53AE9E28">
      <w:pPr>
        <w:pStyle w:val="51"/>
        <w:rPr>
          <w:rFonts w:hint="eastAsia" w:ascii="宋体" w:hAnsi="宋体" w:eastAsia="宋体" w:cs="宋体"/>
          <w:color w:val="auto"/>
          <w:highlight w:val="none"/>
        </w:rPr>
      </w:pPr>
    </w:p>
    <w:p w14:paraId="5485F511">
      <w:pPr>
        <w:pStyle w:val="51"/>
        <w:rPr>
          <w:rFonts w:hint="eastAsia" w:ascii="宋体" w:hAnsi="宋体" w:eastAsia="宋体" w:cs="宋体"/>
          <w:color w:val="auto"/>
          <w:highlight w:val="none"/>
        </w:rPr>
      </w:pPr>
    </w:p>
    <w:p w14:paraId="6F8C8D97">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（采购人名称）：</w:t>
      </w:r>
    </w:p>
    <w:p w14:paraId="28AE90BA">
      <w:pPr>
        <w:pStyle w:val="51"/>
        <w:rPr>
          <w:rFonts w:hint="eastAsia" w:ascii="宋体" w:hAnsi="宋体" w:eastAsia="宋体" w:cs="宋体"/>
          <w:color w:val="auto"/>
          <w:highlight w:val="none"/>
        </w:rPr>
      </w:pPr>
    </w:p>
    <w:p w14:paraId="6DFFCBA5">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你方于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日发出的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（项目名称）关于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竞争性磋商文件的澄清/修改 的通知，我方已于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日收到。</w:t>
      </w:r>
    </w:p>
    <w:p w14:paraId="7D50082C">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特此确认！</w:t>
      </w:r>
    </w:p>
    <w:p w14:paraId="67EFAA74">
      <w:pPr>
        <w:spacing w:line="500" w:lineRule="exact"/>
        <w:ind w:firstLine="420" w:firstLineChars="200"/>
        <w:rPr>
          <w:rFonts w:hint="eastAsia" w:ascii="宋体" w:hAnsi="宋体" w:eastAsia="宋体" w:cs="宋体"/>
          <w:color w:val="auto"/>
          <w:highlight w:val="none"/>
        </w:rPr>
      </w:pPr>
    </w:p>
    <w:p w14:paraId="63BFD3BF">
      <w:pPr>
        <w:spacing w:line="500" w:lineRule="exact"/>
        <w:ind w:left="3360" w:leftChars="1600"/>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3864F0DE">
      <w:pPr>
        <w:spacing w:line="500" w:lineRule="exact"/>
        <w:ind w:left="3360" w:leftChars="1600"/>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67A08018">
      <w:pPr>
        <w:spacing w:line="500" w:lineRule="exact"/>
        <w:ind w:left="1260" w:leftChars="600"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521D4AF4">
      <w:pPr>
        <w:jc w:val="center"/>
        <w:outlineLvl w:val="0"/>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br w:type="page"/>
      </w:r>
      <w:bookmarkEnd w:id="8"/>
      <w:bookmarkEnd w:id="9"/>
      <w:bookmarkEnd w:id="10"/>
      <w:bookmarkEnd w:id="11"/>
      <w:bookmarkEnd w:id="12"/>
      <w:bookmarkEnd w:id="13"/>
      <w:bookmarkEnd w:id="14"/>
      <w:bookmarkEnd w:id="15"/>
      <w:bookmarkEnd w:id="22"/>
      <w:bookmarkEnd w:id="23"/>
      <w:bookmarkEnd w:id="24"/>
      <w:bookmarkEnd w:id="25"/>
      <w:bookmarkStart w:id="230" w:name="_Toc1985"/>
      <w:bookmarkStart w:id="231" w:name="_Toc152042375"/>
      <w:bookmarkStart w:id="232" w:name="_Toc19628"/>
      <w:bookmarkStart w:id="233" w:name="_Toc144974565"/>
      <w:bookmarkStart w:id="234" w:name="_Toc152045598"/>
      <w:r>
        <w:rPr>
          <w:rFonts w:hint="eastAsia" w:ascii="宋体" w:hAnsi="宋体" w:eastAsia="宋体" w:cs="宋体"/>
          <w:b/>
          <w:bCs/>
          <w:color w:val="auto"/>
          <w:sz w:val="32"/>
          <w:szCs w:val="32"/>
          <w:highlight w:val="none"/>
        </w:rPr>
        <w:t>第三章</w:t>
      </w:r>
      <w:bookmarkEnd w:id="230"/>
      <w:r>
        <w:rPr>
          <w:rFonts w:hint="eastAsia" w:ascii="宋体" w:hAnsi="宋体" w:eastAsia="宋体" w:cs="宋体"/>
          <w:b/>
          <w:bCs/>
          <w:color w:val="auto"/>
          <w:sz w:val="32"/>
          <w:szCs w:val="32"/>
          <w:highlight w:val="none"/>
        </w:rPr>
        <w:t xml:space="preserve">  磋商办法（综合评分法）</w:t>
      </w:r>
      <w:bookmarkEnd w:id="231"/>
      <w:bookmarkEnd w:id="232"/>
      <w:bookmarkEnd w:id="233"/>
      <w:bookmarkEnd w:id="234"/>
      <w:bookmarkStart w:id="235" w:name="_Toc353268936"/>
      <w:bookmarkStart w:id="236" w:name="_Toc334033063"/>
      <w:bookmarkStart w:id="237" w:name="_Toc496867159"/>
      <w:bookmarkStart w:id="238" w:name="_Toc389632240"/>
      <w:bookmarkStart w:id="239" w:name="_Toc413834358"/>
    </w:p>
    <w:p w14:paraId="7C9ED8FF">
      <w:pPr>
        <w:outlineLvl w:val="1"/>
        <w:rPr>
          <w:rFonts w:hint="eastAsia" w:ascii="宋体" w:hAnsi="宋体" w:eastAsia="宋体" w:cs="宋体"/>
          <w:b/>
          <w:bCs/>
          <w:color w:val="auto"/>
          <w:highlight w:val="none"/>
        </w:rPr>
      </w:pPr>
      <w:bookmarkStart w:id="240" w:name="_Toc19282"/>
      <w:bookmarkStart w:id="241" w:name="_Toc32529"/>
      <w:bookmarkStart w:id="242" w:name="_Toc26352"/>
      <w:bookmarkStart w:id="243" w:name="_Toc12215"/>
      <w:bookmarkStart w:id="244" w:name="_Toc22398"/>
      <w:r>
        <w:rPr>
          <w:rFonts w:hint="eastAsia" w:ascii="宋体" w:hAnsi="宋体" w:eastAsia="宋体" w:cs="宋体"/>
          <w:b/>
          <w:bCs/>
          <w:color w:val="auto"/>
          <w:highlight w:val="none"/>
        </w:rPr>
        <w:t>磋商办法前附表</w:t>
      </w:r>
      <w:bookmarkEnd w:id="235"/>
      <w:bookmarkEnd w:id="240"/>
      <w:bookmarkEnd w:id="241"/>
      <w:bookmarkEnd w:id="242"/>
      <w:bookmarkEnd w:id="243"/>
      <w:bookmarkEnd w:id="244"/>
    </w:p>
    <w:tbl>
      <w:tblPr>
        <w:tblStyle w:val="28"/>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485"/>
        <w:gridCol w:w="1910"/>
        <w:gridCol w:w="5146"/>
      </w:tblGrid>
      <w:tr w14:paraId="2B26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497" w:type="dxa"/>
            <w:gridSpan w:val="2"/>
            <w:vAlign w:val="center"/>
          </w:tcPr>
          <w:p w14:paraId="4D4F0931">
            <w:pPr>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910" w:type="dxa"/>
            <w:vAlign w:val="center"/>
          </w:tcPr>
          <w:p w14:paraId="4ED97A59">
            <w:pPr>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5146" w:type="dxa"/>
            <w:vAlign w:val="center"/>
          </w:tcPr>
          <w:p w14:paraId="2E312C02">
            <w:pPr>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61F9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dxa"/>
            <w:vMerge w:val="restart"/>
            <w:vAlign w:val="center"/>
          </w:tcPr>
          <w:p w14:paraId="394E7FE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485" w:type="dxa"/>
            <w:vMerge w:val="restart"/>
            <w:vAlign w:val="center"/>
          </w:tcPr>
          <w:p w14:paraId="51378021">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w:t>
            </w:r>
          </w:p>
          <w:p w14:paraId="0BC48BB6">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c>
          <w:tcPr>
            <w:tcW w:w="1910" w:type="dxa"/>
            <w:vAlign w:val="center"/>
          </w:tcPr>
          <w:p w14:paraId="4BF7FDD9">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标书雷同性分析</w:t>
            </w:r>
          </w:p>
        </w:tc>
        <w:tc>
          <w:tcPr>
            <w:tcW w:w="5146" w:type="dxa"/>
            <w:vAlign w:val="center"/>
          </w:tcPr>
          <w:p w14:paraId="073F2EFF">
            <w:pPr>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投标（响应）文件制作机器码不能一致</w:t>
            </w:r>
            <w:r>
              <w:rPr>
                <w:rFonts w:hint="eastAsia" w:ascii="宋体" w:hAnsi="宋体" w:eastAsia="宋体" w:cs="宋体"/>
                <w:color w:val="auto"/>
                <w:sz w:val="21"/>
                <w:szCs w:val="21"/>
                <w:highlight w:val="none"/>
                <w:lang w:eastAsia="zh-CN"/>
              </w:rPr>
              <w:t>；</w:t>
            </w:r>
          </w:p>
        </w:tc>
      </w:tr>
      <w:tr w14:paraId="6525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dxa"/>
            <w:vMerge w:val="continue"/>
            <w:vAlign w:val="center"/>
          </w:tcPr>
          <w:p w14:paraId="42671318">
            <w:pPr>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33A93A38">
            <w:pPr>
              <w:spacing w:line="460" w:lineRule="exact"/>
              <w:jc w:val="center"/>
              <w:rPr>
                <w:rFonts w:hint="eastAsia" w:ascii="宋体" w:hAnsi="宋体" w:eastAsia="宋体" w:cs="宋体"/>
                <w:color w:val="auto"/>
                <w:sz w:val="21"/>
                <w:szCs w:val="21"/>
                <w:highlight w:val="none"/>
              </w:rPr>
            </w:pPr>
          </w:p>
        </w:tc>
        <w:tc>
          <w:tcPr>
            <w:tcW w:w="1910" w:type="dxa"/>
            <w:vAlign w:val="center"/>
          </w:tcPr>
          <w:p w14:paraId="545BDE65">
            <w:pPr>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供应商名称</w:t>
            </w:r>
          </w:p>
        </w:tc>
        <w:tc>
          <w:tcPr>
            <w:tcW w:w="5146" w:type="dxa"/>
            <w:vAlign w:val="center"/>
          </w:tcPr>
          <w:p w14:paraId="60AC6ED7">
            <w:pPr>
              <w:spacing w:line="4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与营业执照、资质证书、安全生产许可证一致；</w:t>
            </w:r>
          </w:p>
        </w:tc>
      </w:tr>
      <w:tr w14:paraId="4097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12" w:type="dxa"/>
            <w:vMerge w:val="continue"/>
          </w:tcPr>
          <w:p w14:paraId="2D3A03F4">
            <w:pPr>
              <w:spacing w:line="460" w:lineRule="exact"/>
              <w:rPr>
                <w:rFonts w:hint="eastAsia" w:ascii="宋体" w:hAnsi="宋体" w:eastAsia="宋体" w:cs="宋体"/>
                <w:color w:val="auto"/>
                <w:sz w:val="21"/>
                <w:szCs w:val="21"/>
                <w:highlight w:val="none"/>
              </w:rPr>
            </w:pPr>
          </w:p>
        </w:tc>
        <w:tc>
          <w:tcPr>
            <w:tcW w:w="1485" w:type="dxa"/>
            <w:vMerge w:val="continue"/>
          </w:tcPr>
          <w:p w14:paraId="1E8CEE1A">
            <w:pPr>
              <w:spacing w:line="460" w:lineRule="exact"/>
              <w:rPr>
                <w:rFonts w:hint="eastAsia" w:ascii="宋体" w:hAnsi="宋体" w:eastAsia="宋体" w:cs="宋体"/>
                <w:color w:val="auto"/>
                <w:sz w:val="21"/>
                <w:szCs w:val="21"/>
                <w:highlight w:val="none"/>
              </w:rPr>
            </w:pPr>
          </w:p>
        </w:tc>
        <w:tc>
          <w:tcPr>
            <w:tcW w:w="1910" w:type="dxa"/>
            <w:vAlign w:val="center"/>
          </w:tcPr>
          <w:p w14:paraId="7D95D860">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报价函及报价函</w:t>
            </w:r>
          </w:p>
          <w:p w14:paraId="63163DD6">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附录签字签章</w:t>
            </w:r>
          </w:p>
        </w:tc>
        <w:tc>
          <w:tcPr>
            <w:tcW w:w="5146" w:type="dxa"/>
            <w:vAlign w:val="center"/>
          </w:tcPr>
          <w:p w14:paraId="26F5DC15">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加盖供应商电子签章，并有法定代表人或其委托代理人签字或电子签章；</w:t>
            </w:r>
          </w:p>
        </w:tc>
      </w:tr>
      <w:tr w14:paraId="0D88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dxa"/>
            <w:vMerge w:val="continue"/>
          </w:tcPr>
          <w:p w14:paraId="0AB9D6E2">
            <w:pPr>
              <w:spacing w:line="460" w:lineRule="exact"/>
              <w:rPr>
                <w:rFonts w:hint="eastAsia" w:ascii="宋体" w:hAnsi="宋体" w:eastAsia="宋体" w:cs="宋体"/>
                <w:color w:val="auto"/>
                <w:sz w:val="21"/>
                <w:szCs w:val="21"/>
                <w:highlight w:val="none"/>
              </w:rPr>
            </w:pPr>
          </w:p>
        </w:tc>
        <w:tc>
          <w:tcPr>
            <w:tcW w:w="1485" w:type="dxa"/>
            <w:vMerge w:val="continue"/>
          </w:tcPr>
          <w:p w14:paraId="3D073BFA">
            <w:pPr>
              <w:spacing w:line="460" w:lineRule="exact"/>
              <w:rPr>
                <w:rFonts w:hint="eastAsia" w:ascii="宋体" w:hAnsi="宋体" w:eastAsia="宋体" w:cs="宋体"/>
                <w:color w:val="auto"/>
                <w:sz w:val="21"/>
                <w:szCs w:val="21"/>
                <w:highlight w:val="none"/>
              </w:rPr>
            </w:pPr>
          </w:p>
        </w:tc>
        <w:tc>
          <w:tcPr>
            <w:tcW w:w="1910" w:type="dxa"/>
            <w:vAlign w:val="center"/>
          </w:tcPr>
          <w:p w14:paraId="7248F9CE">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5146" w:type="dxa"/>
            <w:vAlign w:val="center"/>
          </w:tcPr>
          <w:p w14:paraId="2CBF3A64">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只有一个有效报价；</w:t>
            </w:r>
          </w:p>
        </w:tc>
      </w:tr>
      <w:tr w14:paraId="111A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12" w:type="dxa"/>
            <w:vMerge w:val="restart"/>
            <w:vAlign w:val="center"/>
          </w:tcPr>
          <w:p w14:paraId="76186C1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485" w:type="dxa"/>
            <w:vMerge w:val="restart"/>
            <w:vAlign w:val="center"/>
          </w:tcPr>
          <w:p w14:paraId="0BBDB97A">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w:t>
            </w:r>
          </w:p>
          <w:p w14:paraId="5529EA24">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c>
          <w:tcPr>
            <w:tcW w:w="1910" w:type="dxa"/>
            <w:vAlign w:val="center"/>
          </w:tcPr>
          <w:p w14:paraId="580660A1">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《中华人民共和国政府采购法》第二十二条规定</w:t>
            </w:r>
          </w:p>
        </w:tc>
        <w:tc>
          <w:tcPr>
            <w:tcW w:w="5146" w:type="dxa"/>
            <w:vAlign w:val="center"/>
          </w:tcPr>
          <w:p w14:paraId="6DE33A8F">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符合第二章“供应商须知”第1.4.1项规定；</w:t>
            </w:r>
          </w:p>
          <w:p w14:paraId="6B4C63AD">
            <w:pPr>
              <w:pStyle w:val="45"/>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是否需要提交原件：否</w:t>
            </w:r>
          </w:p>
        </w:tc>
      </w:tr>
      <w:tr w14:paraId="0785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12" w:type="dxa"/>
            <w:vMerge w:val="continue"/>
            <w:vAlign w:val="center"/>
          </w:tcPr>
          <w:p w14:paraId="78A9ED3C">
            <w:pPr>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274C6738">
            <w:pPr>
              <w:spacing w:line="460" w:lineRule="exact"/>
              <w:jc w:val="center"/>
              <w:rPr>
                <w:rFonts w:hint="eastAsia" w:ascii="宋体" w:hAnsi="宋体" w:eastAsia="宋体" w:cs="宋体"/>
                <w:color w:val="auto"/>
                <w:sz w:val="21"/>
                <w:szCs w:val="21"/>
                <w:highlight w:val="none"/>
              </w:rPr>
            </w:pPr>
          </w:p>
        </w:tc>
        <w:tc>
          <w:tcPr>
            <w:tcW w:w="1910" w:type="dxa"/>
            <w:vAlign w:val="center"/>
          </w:tcPr>
          <w:p w14:paraId="032368EF">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营业执照</w:t>
            </w:r>
          </w:p>
        </w:tc>
        <w:tc>
          <w:tcPr>
            <w:tcW w:w="5146" w:type="dxa"/>
            <w:vAlign w:val="center"/>
          </w:tcPr>
          <w:p w14:paraId="65C6FD0B">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符合第二章“供应商须知”第1.4.1项规定；</w:t>
            </w:r>
          </w:p>
          <w:p w14:paraId="7EB50036">
            <w:pPr>
              <w:pStyle w:val="45"/>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是否需要提交原件：否</w:t>
            </w:r>
          </w:p>
        </w:tc>
      </w:tr>
      <w:tr w14:paraId="00EE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12" w:type="dxa"/>
            <w:vMerge w:val="continue"/>
            <w:vAlign w:val="center"/>
          </w:tcPr>
          <w:p w14:paraId="6C52F275">
            <w:pPr>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477AF43E">
            <w:pPr>
              <w:spacing w:line="460" w:lineRule="exact"/>
              <w:jc w:val="center"/>
              <w:rPr>
                <w:rFonts w:hint="eastAsia" w:ascii="宋体" w:hAnsi="宋体" w:eastAsia="宋体" w:cs="宋体"/>
                <w:color w:val="auto"/>
                <w:sz w:val="21"/>
                <w:szCs w:val="21"/>
                <w:highlight w:val="none"/>
              </w:rPr>
            </w:pPr>
          </w:p>
        </w:tc>
        <w:tc>
          <w:tcPr>
            <w:tcW w:w="1910" w:type="dxa"/>
            <w:vAlign w:val="center"/>
          </w:tcPr>
          <w:p w14:paraId="750F3830">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资质证书</w:t>
            </w:r>
          </w:p>
        </w:tc>
        <w:tc>
          <w:tcPr>
            <w:tcW w:w="5146" w:type="dxa"/>
          </w:tcPr>
          <w:p w14:paraId="2828A046">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符合第二章“供应商须知”第1.4.1项规定；</w:t>
            </w:r>
          </w:p>
          <w:p w14:paraId="2A431ED8">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是否需要提交原件：否</w:t>
            </w:r>
          </w:p>
        </w:tc>
      </w:tr>
      <w:tr w14:paraId="358E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2" w:type="dxa"/>
            <w:vMerge w:val="continue"/>
            <w:vAlign w:val="center"/>
          </w:tcPr>
          <w:p w14:paraId="0AEF3ED5">
            <w:pPr>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6BF267F8">
            <w:pPr>
              <w:spacing w:line="460" w:lineRule="exact"/>
              <w:rPr>
                <w:rFonts w:hint="eastAsia" w:ascii="宋体" w:hAnsi="宋体" w:eastAsia="宋体" w:cs="宋体"/>
                <w:color w:val="auto"/>
                <w:sz w:val="21"/>
                <w:szCs w:val="21"/>
                <w:highlight w:val="none"/>
              </w:rPr>
            </w:pPr>
          </w:p>
        </w:tc>
        <w:tc>
          <w:tcPr>
            <w:tcW w:w="1910" w:type="dxa"/>
            <w:vAlign w:val="center"/>
          </w:tcPr>
          <w:p w14:paraId="7E713945">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安全生产许可证</w:t>
            </w:r>
          </w:p>
        </w:tc>
        <w:tc>
          <w:tcPr>
            <w:tcW w:w="5146" w:type="dxa"/>
            <w:vAlign w:val="center"/>
          </w:tcPr>
          <w:p w14:paraId="03A941CC">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符合第二章“供应商须知”第1.4.1项规定；</w:t>
            </w:r>
          </w:p>
          <w:p w14:paraId="1BFE248F">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是否需要提交原件：否</w:t>
            </w:r>
          </w:p>
        </w:tc>
      </w:tr>
      <w:tr w14:paraId="0E9A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12" w:type="dxa"/>
            <w:vMerge w:val="continue"/>
            <w:vAlign w:val="center"/>
          </w:tcPr>
          <w:p w14:paraId="319BF94C">
            <w:pPr>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153B9DA0">
            <w:pPr>
              <w:spacing w:line="460" w:lineRule="exact"/>
              <w:rPr>
                <w:rFonts w:hint="eastAsia" w:ascii="宋体" w:hAnsi="宋体" w:eastAsia="宋体" w:cs="宋体"/>
                <w:color w:val="auto"/>
                <w:sz w:val="21"/>
                <w:szCs w:val="21"/>
                <w:highlight w:val="none"/>
              </w:rPr>
            </w:pPr>
          </w:p>
        </w:tc>
        <w:tc>
          <w:tcPr>
            <w:tcW w:w="1910" w:type="dxa"/>
            <w:vAlign w:val="center"/>
          </w:tcPr>
          <w:p w14:paraId="0E971F70">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5146" w:type="dxa"/>
            <w:vAlign w:val="center"/>
          </w:tcPr>
          <w:p w14:paraId="6831400D">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符合第二章“供应商须知”第1.4.1项规定；</w:t>
            </w:r>
          </w:p>
          <w:p w14:paraId="0AF8919D">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是否需要提交原件：否</w:t>
            </w:r>
          </w:p>
        </w:tc>
      </w:tr>
      <w:tr w14:paraId="386F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12" w:type="dxa"/>
            <w:vMerge w:val="continue"/>
            <w:vAlign w:val="center"/>
          </w:tcPr>
          <w:p w14:paraId="147E8CCD">
            <w:pPr>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53644B0D">
            <w:pPr>
              <w:spacing w:line="460" w:lineRule="exact"/>
              <w:rPr>
                <w:rFonts w:hint="eastAsia" w:ascii="宋体" w:hAnsi="宋体" w:eastAsia="宋体" w:cs="宋体"/>
                <w:color w:val="auto"/>
                <w:sz w:val="21"/>
                <w:szCs w:val="21"/>
                <w:highlight w:val="none"/>
              </w:rPr>
            </w:pPr>
          </w:p>
        </w:tc>
        <w:tc>
          <w:tcPr>
            <w:tcW w:w="1910" w:type="dxa"/>
            <w:vAlign w:val="center"/>
          </w:tcPr>
          <w:p w14:paraId="1A45BED1">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c>
          <w:tcPr>
            <w:tcW w:w="5146" w:type="dxa"/>
          </w:tcPr>
          <w:p w14:paraId="3A147619">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符合第二章“供应商须知”第1.4.1项规定；</w:t>
            </w:r>
          </w:p>
          <w:p w14:paraId="23DF9FE6">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是否需要提交原件：否</w:t>
            </w:r>
          </w:p>
        </w:tc>
      </w:tr>
      <w:tr w14:paraId="51B7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12" w:type="dxa"/>
            <w:vMerge w:val="continue"/>
            <w:vAlign w:val="center"/>
          </w:tcPr>
          <w:p w14:paraId="14CE7CE9">
            <w:pPr>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080AAB4F">
            <w:pPr>
              <w:spacing w:line="460" w:lineRule="exact"/>
              <w:rPr>
                <w:rFonts w:hint="eastAsia" w:ascii="宋体" w:hAnsi="宋体" w:eastAsia="宋体" w:cs="宋体"/>
                <w:color w:val="auto"/>
                <w:sz w:val="21"/>
                <w:szCs w:val="21"/>
                <w:highlight w:val="none"/>
              </w:rPr>
            </w:pPr>
          </w:p>
        </w:tc>
        <w:tc>
          <w:tcPr>
            <w:tcW w:w="1910" w:type="dxa"/>
            <w:vAlign w:val="center"/>
          </w:tcPr>
          <w:p w14:paraId="5656650A">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5146" w:type="dxa"/>
          </w:tcPr>
          <w:p w14:paraId="3AD08C0F">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符合第二章“供应商须知”第1.4.1项规定；</w:t>
            </w:r>
          </w:p>
          <w:p w14:paraId="6B1E8835">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是否需要提交原件：否</w:t>
            </w:r>
          </w:p>
        </w:tc>
      </w:tr>
      <w:tr w14:paraId="2813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12" w:type="dxa"/>
            <w:vMerge w:val="restart"/>
            <w:vAlign w:val="center"/>
          </w:tcPr>
          <w:p w14:paraId="68FFBBEF">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485" w:type="dxa"/>
            <w:vMerge w:val="restart"/>
            <w:vAlign w:val="center"/>
          </w:tcPr>
          <w:p w14:paraId="73DE23B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w:t>
            </w:r>
          </w:p>
          <w:p w14:paraId="08AFD9DE">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c>
          <w:tcPr>
            <w:tcW w:w="1910" w:type="dxa"/>
            <w:vAlign w:val="center"/>
          </w:tcPr>
          <w:p w14:paraId="67E40A58">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磋商范围</w:t>
            </w:r>
          </w:p>
        </w:tc>
        <w:tc>
          <w:tcPr>
            <w:tcW w:w="5146" w:type="dxa"/>
            <w:vAlign w:val="center"/>
          </w:tcPr>
          <w:p w14:paraId="41F98737">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符合第二章“供应商须知”第1.3.1项规定；</w:t>
            </w:r>
          </w:p>
        </w:tc>
      </w:tr>
      <w:tr w14:paraId="6C64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12" w:type="dxa"/>
            <w:vMerge w:val="continue"/>
          </w:tcPr>
          <w:p w14:paraId="396D69AA">
            <w:pPr>
              <w:spacing w:line="460" w:lineRule="exact"/>
              <w:rPr>
                <w:rFonts w:hint="eastAsia" w:ascii="宋体" w:hAnsi="宋体" w:eastAsia="宋体" w:cs="宋体"/>
                <w:color w:val="auto"/>
                <w:sz w:val="21"/>
                <w:szCs w:val="21"/>
                <w:highlight w:val="none"/>
              </w:rPr>
            </w:pPr>
          </w:p>
        </w:tc>
        <w:tc>
          <w:tcPr>
            <w:tcW w:w="1485" w:type="dxa"/>
            <w:vMerge w:val="continue"/>
          </w:tcPr>
          <w:p w14:paraId="3EC7C1A8">
            <w:pPr>
              <w:spacing w:line="460" w:lineRule="exact"/>
              <w:rPr>
                <w:rFonts w:hint="eastAsia" w:ascii="宋体" w:hAnsi="宋体" w:eastAsia="宋体" w:cs="宋体"/>
                <w:color w:val="auto"/>
                <w:sz w:val="21"/>
                <w:szCs w:val="21"/>
                <w:highlight w:val="none"/>
              </w:rPr>
            </w:pPr>
          </w:p>
        </w:tc>
        <w:tc>
          <w:tcPr>
            <w:tcW w:w="1910" w:type="dxa"/>
            <w:vAlign w:val="center"/>
          </w:tcPr>
          <w:p w14:paraId="251A201F">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磋商工期</w:t>
            </w:r>
          </w:p>
        </w:tc>
        <w:tc>
          <w:tcPr>
            <w:tcW w:w="5146" w:type="dxa"/>
            <w:vAlign w:val="center"/>
          </w:tcPr>
          <w:p w14:paraId="0424B499">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符合第二章“供应商须知”第1.3.2项规定；</w:t>
            </w:r>
          </w:p>
        </w:tc>
      </w:tr>
      <w:tr w14:paraId="0D99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12" w:type="dxa"/>
            <w:vMerge w:val="continue"/>
          </w:tcPr>
          <w:p w14:paraId="6A5F01BC">
            <w:pPr>
              <w:spacing w:line="460" w:lineRule="exact"/>
              <w:rPr>
                <w:rFonts w:hint="eastAsia" w:ascii="宋体" w:hAnsi="宋体" w:eastAsia="宋体" w:cs="宋体"/>
                <w:color w:val="auto"/>
                <w:sz w:val="21"/>
                <w:szCs w:val="21"/>
                <w:highlight w:val="none"/>
              </w:rPr>
            </w:pPr>
          </w:p>
        </w:tc>
        <w:tc>
          <w:tcPr>
            <w:tcW w:w="1485" w:type="dxa"/>
            <w:vMerge w:val="continue"/>
          </w:tcPr>
          <w:p w14:paraId="37810D7A">
            <w:pPr>
              <w:spacing w:line="460" w:lineRule="exact"/>
              <w:rPr>
                <w:rFonts w:hint="eastAsia" w:ascii="宋体" w:hAnsi="宋体" w:eastAsia="宋体" w:cs="宋体"/>
                <w:color w:val="auto"/>
                <w:sz w:val="21"/>
                <w:szCs w:val="21"/>
                <w:highlight w:val="none"/>
              </w:rPr>
            </w:pPr>
          </w:p>
        </w:tc>
        <w:tc>
          <w:tcPr>
            <w:tcW w:w="1910" w:type="dxa"/>
            <w:vAlign w:val="center"/>
          </w:tcPr>
          <w:p w14:paraId="592B218A">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磋商质量</w:t>
            </w:r>
          </w:p>
        </w:tc>
        <w:tc>
          <w:tcPr>
            <w:tcW w:w="5146" w:type="dxa"/>
            <w:vAlign w:val="center"/>
          </w:tcPr>
          <w:p w14:paraId="4C1DEF2E">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符合第二章“供应商须知”第1.3.3项规定；</w:t>
            </w:r>
          </w:p>
        </w:tc>
      </w:tr>
      <w:tr w14:paraId="0DAE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12" w:type="dxa"/>
            <w:vMerge w:val="continue"/>
          </w:tcPr>
          <w:p w14:paraId="21C62D73">
            <w:pPr>
              <w:spacing w:line="460" w:lineRule="exact"/>
              <w:rPr>
                <w:rFonts w:hint="eastAsia" w:ascii="宋体" w:hAnsi="宋体" w:eastAsia="宋体" w:cs="宋体"/>
                <w:color w:val="auto"/>
                <w:sz w:val="21"/>
                <w:szCs w:val="21"/>
                <w:highlight w:val="none"/>
              </w:rPr>
            </w:pPr>
          </w:p>
        </w:tc>
        <w:tc>
          <w:tcPr>
            <w:tcW w:w="1485" w:type="dxa"/>
            <w:vMerge w:val="continue"/>
          </w:tcPr>
          <w:p w14:paraId="05F10FFC">
            <w:pPr>
              <w:spacing w:line="460" w:lineRule="exact"/>
              <w:rPr>
                <w:rFonts w:hint="eastAsia" w:ascii="宋体" w:hAnsi="宋体" w:eastAsia="宋体" w:cs="宋体"/>
                <w:color w:val="auto"/>
                <w:sz w:val="21"/>
                <w:szCs w:val="21"/>
                <w:highlight w:val="none"/>
              </w:rPr>
            </w:pPr>
          </w:p>
        </w:tc>
        <w:tc>
          <w:tcPr>
            <w:tcW w:w="1910" w:type="dxa"/>
            <w:vAlign w:val="center"/>
          </w:tcPr>
          <w:p w14:paraId="63724389">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质保期</w:t>
            </w:r>
          </w:p>
        </w:tc>
        <w:tc>
          <w:tcPr>
            <w:tcW w:w="5146" w:type="dxa"/>
            <w:vAlign w:val="center"/>
          </w:tcPr>
          <w:p w14:paraId="1741D042">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项规定；</w:t>
            </w:r>
          </w:p>
        </w:tc>
      </w:tr>
      <w:tr w14:paraId="69B1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12" w:type="dxa"/>
            <w:vMerge w:val="continue"/>
          </w:tcPr>
          <w:p w14:paraId="2F040EF7">
            <w:pPr>
              <w:spacing w:line="460" w:lineRule="exact"/>
              <w:rPr>
                <w:rFonts w:hint="eastAsia" w:ascii="宋体" w:hAnsi="宋体" w:eastAsia="宋体" w:cs="宋体"/>
                <w:color w:val="auto"/>
                <w:sz w:val="21"/>
                <w:szCs w:val="21"/>
                <w:highlight w:val="none"/>
              </w:rPr>
            </w:pPr>
          </w:p>
        </w:tc>
        <w:tc>
          <w:tcPr>
            <w:tcW w:w="1485" w:type="dxa"/>
            <w:vMerge w:val="continue"/>
          </w:tcPr>
          <w:p w14:paraId="0E228694">
            <w:pPr>
              <w:spacing w:line="460" w:lineRule="exact"/>
              <w:rPr>
                <w:rFonts w:hint="eastAsia" w:ascii="宋体" w:hAnsi="宋体" w:eastAsia="宋体" w:cs="宋体"/>
                <w:color w:val="auto"/>
                <w:sz w:val="21"/>
                <w:szCs w:val="21"/>
                <w:highlight w:val="none"/>
              </w:rPr>
            </w:pPr>
          </w:p>
        </w:tc>
        <w:tc>
          <w:tcPr>
            <w:tcW w:w="1910" w:type="dxa"/>
            <w:vAlign w:val="center"/>
          </w:tcPr>
          <w:p w14:paraId="76AEF226">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磋商有效期</w:t>
            </w:r>
          </w:p>
        </w:tc>
        <w:tc>
          <w:tcPr>
            <w:tcW w:w="5146" w:type="dxa"/>
            <w:vAlign w:val="center"/>
          </w:tcPr>
          <w:p w14:paraId="0A1262F0">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符合第二章“供应商须知”第3.3.1项规定；</w:t>
            </w:r>
          </w:p>
        </w:tc>
      </w:tr>
      <w:tr w14:paraId="59C6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2" w:type="dxa"/>
            <w:vMerge w:val="continue"/>
          </w:tcPr>
          <w:p w14:paraId="4DC60157">
            <w:pPr>
              <w:spacing w:line="460" w:lineRule="exact"/>
              <w:rPr>
                <w:rFonts w:hint="eastAsia" w:ascii="宋体" w:hAnsi="宋体" w:eastAsia="宋体" w:cs="宋体"/>
                <w:color w:val="auto"/>
                <w:sz w:val="21"/>
                <w:szCs w:val="21"/>
                <w:highlight w:val="none"/>
              </w:rPr>
            </w:pPr>
          </w:p>
        </w:tc>
        <w:tc>
          <w:tcPr>
            <w:tcW w:w="1485" w:type="dxa"/>
            <w:vMerge w:val="continue"/>
          </w:tcPr>
          <w:p w14:paraId="3633165F">
            <w:pPr>
              <w:spacing w:line="460" w:lineRule="exact"/>
              <w:rPr>
                <w:rFonts w:hint="eastAsia" w:ascii="宋体" w:hAnsi="宋体" w:eastAsia="宋体" w:cs="宋体"/>
                <w:color w:val="auto"/>
                <w:sz w:val="21"/>
                <w:szCs w:val="21"/>
                <w:highlight w:val="none"/>
              </w:rPr>
            </w:pPr>
          </w:p>
        </w:tc>
        <w:tc>
          <w:tcPr>
            <w:tcW w:w="1910" w:type="dxa"/>
            <w:vAlign w:val="center"/>
          </w:tcPr>
          <w:p w14:paraId="64E4D089">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权利和义务</w:t>
            </w:r>
          </w:p>
        </w:tc>
        <w:tc>
          <w:tcPr>
            <w:tcW w:w="5146" w:type="dxa"/>
            <w:vAlign w:val="center"/>
          </w:tcPr>
          <w:p w14:paraId="6936A048">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符合竞争性磋商文件第四章“合同条款及格式”；</w:t>
            </w:r>
          </w:p>
        </w:tc>
      </w:tr>
      <w:tr w14:paraId="0F54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2" w:type="dxa"/>
            <w:vMerge w:val="continue"/>
          </w:tcPr>
          <w:p w14:paraId="5D358E29">
            <w:pPr>
              <w:spacing w:line="460" w:lineRule="exact"/>
              <w:rPr>
                <w:rFonts w:hint="eastAsia" w:ascii="宋体" w:hAnsi="宋体" w:eastAsia="宋体" w:cs="宋体"/>
                <w:color w:val="auto"/>
                <w:sz w:val="21"/>
                <w:szCs w:val="21"/>
                <w:highlight w:val="none"/>
              </w:rPr>
            </w:pPr>
          </w:p>
        </w:tc>
        <w:tc>
          <w:tcPr>
            <w:tcW w:w="1485" w:type="dxa"/>
            <w:vMerge w:val="continue"/>
          </w:tcPr>
          <w:p w14:paraId="112101E7">
            <w:pPr>
              <w:spacing w:line="460" w:lineRule="exact"/>
              <w:rPr>
                <w:rFonts w:hint="eastAsia" w:ascii="宋体" w:hAnsi="宋体" w:eastAsia="宋体" w:cs="宋体"/>
                <w:color w:val="auto"/>
                <w:sz w:val="21"/>
                <w:szCs w:val="21"/>
                <w:highlight w:val="none"/>
              </w:rPr>
            </w:pPr>
          </w:p>
        </w:tc>
        <w:tc>
          <w:tcPr>
            <w:tcW w:w="1910" w:type="dxa"/>
            <w:vAlign w:val="center"/>
          </w:tcPr>
          <w:p w14:paraId="265FC08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已标价工程量清单</w:t>
            </w:r>
          </w:p>
        </w:tc>
        <w:tc>
          <w:tcPr>
            <w:tcW w:w="5146" w:type="dxa"/>
            <w:vAlign w:val="center"/>
          </w:tcPr>
          <w:p w14:paraId="1401E8A9">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符合竞争性磋商文件第五章“工程量清单”给出的子目编码、子目名称、子目特征、计量单位和工程量；</w:t>
            </w:r>
          </w:p>
        </w:tc>
      </w:tr>
      <w:tr w14:paraId="55AE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2" w:type="dxa"/>
            <w:vMerge w:val="continue"/>
          </w:tcPr>
          <w:p w14:paraId="07A34A7C">
            <w:pPr>
              <w:spacing w:line="460" w:lineRule="exact"/>
              <w:rPr>
                <w:rFonts w:hint="eastAsia" w:ascii="宋体" w:hAnsi="宋体" w:eastAsia="宋体" w:cs="宋体"/>
                <w:color w:val="auto"/>
                <w:sz w:val="21"/>
                <w:szCs w:val="21"/>
                <w:highlight w:val="none"/>
              </w:rPr>
            </w:pPr>
          </w:p>
        </w:tc>
        <w:tc>
          <w:tcPr>
            <w:tcW w:w="1485" w:type="dxa"/>
            <w:vMerge w:val="continue"/>
          </w:tcPr>
          <w:p w14:paraId="240F96B1">
            <w:pPr>
              <w:spacing w:line="460" w:lineRule="exact"/>
              <w:rPr>
                <w:rFonts w:hint="eastAsia" w:ascii="宋体" w:hAnsi="宋体" w:eastAsia="宋体" w:cs="宋体"/>
                <w:color w:val="auto"/>
                <w:sz w:val="21"/>
                <w:szCs w:val="21"/>
                <w:highlight w:val="none"/>
              </w:rPr>
            </w:pPr>
          </w:p>
        </w:tc>
        <w:tc>
          <w:tcPr>
            <w:tcW w:w="1910" w:type="dxa"/>
            <w:vAlign w:val="center"/>
          </w:tcPr>
          <w:p w14:paraId="18AB2E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146" w:type="dxa"/>
            <w:vAlign w:val="center"/>
          </w:tcPr>
          <w:p w14:paraId="607B0BC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符合竞争性磋商文件第七章“技术标准和要求”；</w:t>
            </w:r>
          </w:p>
        </w:tc>
      </w:tr>
      <w:tr w14:paraId="162D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2" w:type="dxa"/>
            <w:vMerge w:val="continue"/>
          </w:tcPr>
          <w:p w14:paraId="68AA3543">
            <w:pPr>
              <w:spacing w:line="460" w:lineRule="exact"/>
              <w:rPr>
                <w:rFonts w:hint="eastAsia" w:ascii="宋体" w:hAnsi="宋体" w:eastAsia="宋体" w:cs="宋体"/>
                <w:color w:val="auto"/>
                <w:sz w:val="21"/>
                <w:szCs w:val="21"/>
                <w:highlight w:val="none"/>
              </w:rPr>
            </w:pPr>
          </w:p>
        </w:tc>
        <w:tc>
          <w:tcPr>
            <w:tcW w:w="1485" w:type="dxa"/>
            <w:vMerge w:val="continue"/>
          </w:tcPr>
          <w:p w14:paraId="13FB48C9">
            <w:pPr>
              <w:spacing w:line="460" w:lineRule="exact"/>
              <w:rPr>
                <w:rFonts w:hint="eastAsia" w:ascii="宋体" w:hAnsi="宋体" w:eastAsia="宋体" w:cs="宋体"/>
                <w:color w:val="auto"/>
                <w:sz w:val="21"/>
                <w:szCs w:val="21"/>
                <w:highlight w:val="none"/>
              </w:rPr>
            </w:pPr>
          </w:p>
        </w:tc>
        <w:tc>
          <w:tcPr>
            <w:tcW w:w="1910" w:type="dxa"/>
            <w:vAlign w:val="center"/>
          </w:tcPr>
          <w:p w14:paraId="4450A2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tc>
        <w:tc>
          <w:tcPr>
            <w:tcW w:w="5146" w:type="dxa"/>
            <w:vAlign w:val="center"/>
          </w:tcPr>
          <w:p w14:paraId="45BA347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975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2" w:type="dxa"/>
            <w:vAlign w:val="center"/>
          </w:tcPr>
          <w:p w14:paraId="09226418">
            <w:pPr>
              <w:pStyle w:val="55"/>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485" w:type="dxa"/>
            <w:vAlign w:val="center"/>
          </w:tcPr>
          <w:p w14:paraId="04A6F013">
            <w:pPr>
              <w:pStyle w:val="55"/>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7056" w:type="dxa"/>
            <w:gridSpan w:val="2"/>
            <w:vAlign w:val="center"/>
          </w:tcPr>
          <w:p w14:paraId="25E65715">
            <w:pPr>
              <w:pStyle w:val="55"/>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1B26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012" w:type="dxa"/>
            <w:vAlign w:val="center"/>
          </w:tcPr>
          <w:p w14:paraId="5567AAD8">
            <w:pPr>
              <w:pStyle w:val="55"/>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485" w:type="dxa"/>
            <w:vAlign w:val="center"/>
          </w:tcPr>
          <w:p w14:paraId="6F11D935">
            <w:pPr>
              <w:pStyle w:val="55"/>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分值组成</w:t>
            </w:r>
          </w:p>
          <w:p w14:paraId="62D262E6">
            <w:pPr>
              <w:pStyle w:val="55"/>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（总分100分）</w:t>
            </w:r>
          </w:p>
        </w:tc>
        <w:tc>
          <w:tcPr>
            <w:tcW w:w="7056" w:type="dxa"/>
            <w:gridSpan w:val="2"/>
            <w:vAlign w:val="center"/>
          </w:tcPr>
          <w:p w14:paraId="394C11C0">
            <w:pPr>
              <w:pStyle w:val="55"/>
              <w:spacing w:line="4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商务部分</w:t>
            </w:r>
            <w:r>
              <w:rPr>
                <w:rFonts w:hint="eastAsia" w:ascii="宋体" w:hAnsi="宋体" w:eastAsia="宋体" w:cs="宋体"/>
                <w:color w:val="auto"/>
                <w:sz w:val="21"/>
                <w:szCs w:val="21"/>
                <w:highlight w:val="none"/>
              </w:rPr>
              <w:t>：30分</w:t>
            </w:r>
          </w:p>
          <w:p w14:paraId="3B0E16EA">
            <w:pPr>
              <w:pStyle w:val="55"/>
              <w:spacing w:line="4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技术部分</w:t>
            </w:r>
            <w:r>
              <w:rPr>
                <w:rFonts w:hint="eastAsia" w:ascii="宋体" w:hAnsi="宋体" w:eastAsia="宋体" w:cs="宋体"/>
                <w:color w:val="auto"/>
                <w:sz w:val="21"/>
                <w:szCs w:val="21"/>
                <w:highlight w:val="none"/>
              </w:rPr>
              <w:t>：40分</w:t>
            </w:r>
          </w:p>
          <w:p w14:paraId="44579E5F">
            <w:pPr>
              <w:pStyle w:val="55"/>
              <w:spacing w:line="460" w:lineRule="exact"/>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综合部分：</w:t>
            </w:r>
            <w:r>
              <w:rPr>
                <w:rFonts w:hint="eastAsia" w:ascii="宋体" w:hAnsi="宋体" w:eastAsia="宋体" w:cs="宋体"/>
                <w:color w:val="auto"/>
                <w:sz w:val="21"/>
                <w:szCs w:val="21"/>
                <w:highlight w:val="none"/>
                <w:lang w:val="en-US" w:eastAsia="zh-CN"/>
              </w:rPr>
              <w:t>30分</w:t>
            </w:r>
          </w:p>
        </w:tc>
      </w:tr>
      <w:tr w14:paraId="63F0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12" w:type="dxa"/>
            <w:vAlign w:val="center"/>
          </w:tcPr>
          <w:p w14:paraId="5159D8D3">
            <w:pPr>
              <w:pStyle w:val="55"/>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485" w:type="dxa"/>
            <w:vAlign w:val="center"/>
          </w:tcPr>
          <w:p w14:paraId="465208A6">
            <w:pPr>
              <w:pStyle w:val="55"/>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7056" w:type="dxa"/>
            <w:gridSpan w:val="2"/>
            <w:vAlign w:val="center"/>
          </w:tcPr>
          <w:p w14:paraId="54B18039">
            <w:pPr>
              <w:pStyle w:val="55"/>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368F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012" w:type="dxa"/>
            <w:vAlign w:val="center"/>
          </w:tcPr>
          <w:p w14:paraId="1D47B0FE">
            <w:pPr>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2.2.2</w:t>
            </w:r>
          </w:p>
        </w:tc>
        <w:tc>
          <w:tcPr>
            <w:tcW w:w="1485" w:type="dxa"/>
            <w:vAlign w:val="center"/>
          </w:tcPr>
          <w:p w14:paraId="12BCD1AD">
            <w:pPr>
              <w:pStyle w:val="55"/>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磋商基准价计算方法</w:t>
            </w:r>
          </w:p>
        </w:tc>
        <w:tc>
          <w:tcPr>
            <w:tcW w:w="7056" w:type="dxa"/>
            <w:gridSpan w:val="2"/>
            <w:vAlign w:val="center"/>
          </w:tcPr>
          <w:p w14:paraId="74253ED6">
            <w:pPr>
              <w:pStyle w:val="49"/>
              <w:spacing w:line="46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有效供应商是指通过形式评审、资格评审、响应性评审的供应商。</w:t>
            </w:r>
          </w:p>
          <w:p w14:paraId="3CB52462">
            <w:pPr>
              <w:spacing w:line="460" w:lineRule="exact"/>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磋商基准价的确定：有效供应商的</w:t>
            </w:r>
            <w:r>
              <w:rPr>
                <w:rFonts w:hint="eastAsia" w:ascii="宋体" w:hAnsi="宋体" w:cs="宋体"/>
                <w:bCs/>
                <w:color w:val="auto"/>
                <w:kern w:val="0"/>
                <w:sz w:val="21"/>
                <w:szCs w:val="21"/>
                <w:highlight w:val="none"/>
                <w:lang w:eastAsia="zh-CN"/>
              </w:rPr>
              <w:t>价格扣除后的</w:t>
            </w:r>
            <w:r>
              <w:rPr>
                <w:rFonts w:hint="eastAsia" w:ascii="宋体" w:hAnsi="宋体" w:eastAsia="宋体" w:cs="宋体"/>
                <w:bCs/>
                <w:color w:val="auto"/>
                <w:kern w:val="0"/>
                <w:sz w:val="21"/>
                <w:szCs w:val="21"/>
                <w:highlight w:val="none"/>
              </w:rPr>
              <w:t>最低报价作为磋商基准价。</w:t>
            </w:r>
          </w:p>
        </w:tc>
      </w:tr>
      <w:tr w14:paraId="2D47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12" w:type="dxa"/>
            <w:vAlign w:val="center"/>
          </w:tcPr>
          <w:p w14:paraId="0BEC01E7">
            <w:pPr>
              <w:pStyle w:val="55"/>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p w14:paraId="21190273">
            <w:pPr>
              <w:pStyle w:val="55"/>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85" w:type="dxa"/>
            <w:vAlign w:val="center"/>
          </w:tcPr>
          <w:p w14:paraId="15AA5CCD">
            <w:pPr>
              <w:pStyle w:val="55"/>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商务部分</w:t>
            </w:r>
            <w:r>
              <w:rPr>
                <w:rFonts w:hint="eastAsia" w:ascii="宋体" w:hAnsi="宋体" w:eastAsia="宋体" w:cs="宋体"/>
                <w:color w:val="auto"/>
                <w:sz w:val="21"/>
                <w:szCs w:val="21"/>
                <w:highlight w:val="none"/>
              </w:rPr>
              <w:t>评分</w:t>
            </w:r>
          </w:p>
          <w:p w14:paraId="24504B55">
            <w:pPr>
              <w:pStyle w:val="55"/>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标准30分</w:t>
            </w:r>
          </w:p>
        </w:tc>
        <w:tc>
          <w:tcPr>
            <w:tcW w:w="7056" w:type="dxa"/>
            <w:gridSpan w:val="2"/>
            <w:vAlign w:val="center"/>
          </w:tcPr>
          <w:p w14:paraId="28F89DBD">
            <w:pPr>
              <w:pStyle w:val="49"/>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计算方法如下：</w:t>
            </w:r>
          </w:p>
          <w:p w14:paraId="4819A324">
            <w:pPr>
              <w:pStyle w:val="49"/>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（1）评审原则：报价应在实质性响应竞争性磋商文件要求的基础上，以报价的高低和合理性作为评分依据。</w:t>
            </w:r>
          </w:p>
          <w:p w14:paraId="04DBED72">
            <w:pPr>
              <w:pStyle w:val="49"/>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（2）评审方法：磋商报价得分=磋商基准价/磋商报价×30</w:t>
            </w:r>
          </w:p>
          <w:p w14:paraId="4E3FCF5A">
            <w:pPr>
              <w:pStyle w:val="49"/>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21ED5EF">
            <w:pPr>
              <w:pStyle w:val="49"/>
              <w:spacing w:line="4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①</w:t>
            </w:r>
            <w:r>
              <w:rPr>
                <w:rFonts w:hint="eastAsia" w:ascii="宋体" w:hAnsi="宋体" w:eastAsia="宋体" w:cs="宋体"/>
                <w:color w:val="auto"/>
                <w:sz w:val="21"/>
                <w:szCs w:val="21"/>
                <w:highlight w:val="none"/>
              </w:rPr>
              <w:t>对满足价格扣除条件且在响应文件中提交了《中小企业声明函》、《残疾人福利性单位声明函》或省级以上监狱管理局、戒毒管理局（含新疆生产建设兵团）出具的属于监狱企业的证明文件的供应商，</w:t>
            </w:r>
            <w:r>
              <w:rPr>
                <w:rFonts w:hint="eastAsia" w:ascii="宋体" w:hAnsi="宋体" w:eastAsia="宋体" w:cs="宋体"/>
                <w:b/>
                <w:bCs/>
                <w:color w:val="auto"/>
                <w:sz w:val="21"/>
                <w:szCs w:val="21"/>
                <w:highlight w:val="none"/>
              </w:rPr>
              <w:t>其最后磋商报价扣除3%后参与评审</w:t>
            </w:r>
            <w:r>
              <w:rPr>
                <w:rFonts w:hint="eastAsia" w:ascii="宋体" w:hAnsi="宋体" w:eastAsia="宋体" w:cs="宋体"/>
                <w:color w:val="auto"/>
                <w:sz w:val="21"/>
                <w:szCs w:val="21"/>
                <w:highlight w:val="none"/>
              </w:rPr>
              <w:t>。对于同时属于小微企业、监狱企业或残疾人福利性单位的，不重复进行磋商报价扣除。</w:t>
            </w:r>
          </w:p>
          <w:p w14:paraId="4917BC1D">
            <w:pPr>
              <w:pStyle w:val="49"/>
              <w:spacing w:line="4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②</w:t>
            </w:r>
            <w:r>
              <w:rPr>
                <w:rFonts w:hint="eastAsia" w:ascii="宋体" w:hAnsi="宋体" w:eastAsia="宋体" w:cs="宋体"/>
                <w:color w:val="auto"/>
                <w:sz w:val="21"/>
                <w:szCs w:val="21"/>
                <w:highlight w:val="none"/>
              </w:rPr>
              <w:t>在磋商过程中，磋商小组认为供应商的磋商报价明显低于其他磋商报价，使其磋商报价可能低于其个别成本的，磋商小组应当对其质询，并要求该供应商作出书面说明和提供相关的证明材料；该供应商不能合理说明或提供证明材料的，按无效标处理。</w:t>
            </w:r>
          </w:p>
        </w:tc>
      </w:tr>
      <w:tr w14:paraId="2A05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12" w:type="dxa"/>
            <w:vMerge w:val="restart"/>
            <w:vAlign w:val="center"/>
          </w:tcPr>
          <w:p w14:paraId="43F5AC9A">
            <w:pPr>
              <w:pStyle w:val="55"/>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p w14:paraId="60F18543">
            <w:pPr>
              <w:pStyle w:val="55"/>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85" w:type="dxa"/>
            <w:vMerge w:val="restart"/>
            <w:vAlign w:val="center"/>
          </w:tcPr>
          <w:p w14:paraId="05112403">
            <w:pPr>
              <w:pStyle w:val="55"/>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技术部分评分标准40分</w:t>
            </w:r>
          </w:p>
        </w:tc>
        <w:tc>
          <w:tcPr>
            <w:tcW w:w="1910" w:type="dxa"/>
            <w:shd w:val="clear" w:color="auto" w:fill="auto"/>
            <w:vAlign w:val="center"/>
          </w:tcPr>
          <w:p w14:paraId="5BEB0AF1">
            <w:pPr>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施工方案与技术措施（</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146" w:type="dxa"/>
            <w:shd w:val="clear" w:color="auto" w:fill="auto"/>
            <w:vAlign w:val="center"/>
          </w:tcPr>
          <w:p w14:paraId="20109745">
            <w:pPr>
              <w:widowControl/>
              <w:autoSpaceDE w:val="0"/>
              <w:autoSpaceDN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(1）施工方案（含工程特点、施工重点与难点、施工工序及绿色施工）总体安排合理，有科学先进的施工工艺技术措施和施工办法，对施工难点有先进和合理的建议得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w:t>
            </w:r>
          </w:p>
          <w:p w14:paraId="750D3F7D">
            <w:pPr>
              <w:widowControl/>
              <w:autoSpaceDE w:val="0"/>
              <w:autoSpaceDN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）施工方案总体安排基本合理，施工工艺技术措施和施工办法一般，对施工难点有较合理的建议得</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p>
          <w:p w14:paraId="5EFA5379">
            <w:pPr>
              <w:widowControl/>
              <w:autoSpaceDE w:val="0"/>
              <w:autoSpaceDN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）施工方案与技术措施仅做简单描述，对施工难点无合理的建议得</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w:t>
            </w:r>
          </w:p>
          <w:p w14:paraId="3EEBB6EC">
            <w:pPr>
              <w:pStyle w:val="49"/>
              <w:spacing w:line="4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）缺项的，得</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分。</w:t>
            </w:r>
          </w:p>
        </w:tc>
      </w:tr>
      <w:tr w14:paraId="5414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12" w:type="dxa"/>
            <w:vMerge w:val="continue"/>
            <w:vAlign w:val="center"/>
          </w:tcPr>
          <w:p w14:paraId="199098CB">
            <w:pPr>
              <w:pStyle w:val="55"/>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1A1FB374">
            <w:pPr>
              <w:pStyle w:val="55"/>
              <w:spacing w:line="460" w:lineRule="exact"/>
              <w:jc w:val="center"/>
              <w:rPr>
                <w:rFonts w:hint="eastAsia" w:ascii="宋体" w:hAnsi="宋体" w:eastAsia="宋体" w:cs="宋体"/>
                <w:color w:val="auto"/>
                <w:sz w:val="21"/>
                <w:szCs w:val="21"/>
                <w:highlight w:val="none"/>
              </w:rPr>
            </w:pPr>
          </w:p>
        </w:tc>
        <w:tc>
          <w:tcPr>
            <w:tcW w:w="1910" w:type="dxa"/>
            <w:vAlign w:val="center"/>
          </w:tcPr>
          <w:p w14:paraId="4F2EC3B0">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确保工期的技术组织措施（</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146" w:type="dxa"/>
            <w:vAlign w:val="center"/>
          </w:tcPr>
          <w:p w14:paraId="1F27C6F8">
            <w:pPr>
              <w:widowControl/>
              <w:autoSpaceDE w:val="0"/>
              <w:autoSpaceDN w:val="0"/>
              <w:spacing w:line="360" w:lineRule="auto"/>
              <w:jc w:val="left"/>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(1）方案科学、合理、安全，考虑周全，措施到位，针对性强，完全能够满足招标工程的施工需求</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关键</w:t>
            </w:r>
            <w:r>
              <w:rPr>
                <w:rFonts w:hint="eastAsia" w:ascii="宋体" w:hAnsi="宋体" w:eastAsia="宋体" w:cs="宋体"/>
                <w:color w:val="auto"/>
                <w:sz w:val="21"/>
                <w:szCs w:val="21"/>
                <w:highlight w:val="none"/>
                <w:lang w:val="en-US" w:eastAsia="zh-CN" w:bidi="ar"/>
              </w:rPr>
              <w:t>时间节点</w:t>
            </w:r>
            <w:r>
              <w:rPr>
                <w:rFonts w:hint="eastAsia" w:ascii="宋体" w:hAnsi="宋体" w:eastAsia="宋体" w:cs="宋体"/>
                <w:color w:val="auto"/>
                <w:sz w:val="21"/>
                <w:szCs w:val="21"/>
                <w:highlight w:val="none"/>
                <w:lang w:bidi="ar"/>
              </w:rPr>
              <w:t>清晰、准确、完整、计划编制合理、可行、满足</w:t>
            </w:r>
            <w:r>
              <w:rPr>
                <w:rFonts w:hint="eastAsia" w:ascii="宋体" w:hAnsi="宋体" w:eastAsia="宋体" w:cs="宋体"/>
                <w:color w:val="auto"/>
                <w:sz w:val="21"/>
                <w:szCs w:val="21"/>
                <w:highlight w:val="none"/>
                <w:lang w:val="en-US" w:eastAsia="zh-CN" w:bidi="ar"/>
              </w:rPr>
              <w:t>磋商</w:t>
            </w:r>
            <w:r>
              <w:rPr>
                <w:rFonts w:hint="eastAsia" w:ascii="宋体" w:hAnsi="宋体" w:eastAsia="宋体" w:cs="宋体"/>
                <w:color w:val="auto"/>
                <w:sz w:val="21"/>
                <w:szCs w:val="21"/>
                <w:highlight w:val="none"/>
                <w:lang w:bidi="ar"/>
              </w:rPr>
              <w:t>文件对工期的要求</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得10</w:t>
            </w:r>
            <w:r>
              <w:rPr>
                <w:rFonts w:hint="eastAsia" w:ascii="宋体" w:hAnsi="宋体" w:eastAsia="宋体" w:cs="宋体"/>
                <w:color w:val="auto"/>
                <w:sz w:val="21"/>
                <w:szCs w:val="21"/>
                <w:highlight w:val="none"/>
                <w:lang w:bidi="ar"/>
              </w:rPr>
              <w:t>分</w:t>
            </w:r>
            <w:r>
              <w:rPr>
                <w:rFonts w:hint="eastAsia" w:ascii="宋体" w:hAnsi="宋体" w:eastAsia="宋体" w:cs="宋体"/>
                <w:color w:val="auto"/>
                <w:sz w:val="21"/>
                <w:szCs w:val="21"/>
                <w:highlight w:val="none"/>
                <w:lang w:eastAsia="zh-CN" w:bidi="ar"/>
              </w:rPr>
              <w:t>；</w:t>
            </w:r>
          </w:p>
          <w:p w14:paraId="5F32C26D">
            <w:pPr>
              <w:widowControl/>
              <w:autoSpaceDE w:val="0"/>
              <w:autoSpaceDN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）方案科学、合理、安全，考虑基本周全，措施基本到位，针对性一般，关键</w:t>
            </w:r>
            <w:r>
              <w:rPr>
                <w:rFonts w:hint="eastAsia" w:ascii="宋体" w:hAnsi="宋体" w:eastAsia="宋体" w:cs="宋体"/>
                <w:color w:val="auto"/>
                <w:sz w:val="21"/>
                <w:szCs w:val="21"/>
                <w:highlight w:val="none"/>
                <w:lang w:val="en-US" w:eastAsia="zh-CN" w:bidi="ar"/>
              </w:rPr>
              <w:t>时间节点基本</w:t>
            </w:r>
            <w:r>
              <w:rPr>
                <w:rFonts w:hint="eastAsia" w:ascii="宋体" w:hAnsi="宋体" w:eastAsia="宋体" w:cs="宋体"/>
                <w:color w:val="auto"/>
                <w:sz w:val="21"/>
                <w:szCs w:val="21"/>
                <w:highlight w:val="none"/>
                <w:lang w:bidi="ar"/>
              </w:rPr>
              <w:t>清晰、准确、完整、计划编制</w:t>
            </w:r>
            <w:r>
              <w:rPr>
                <w:rFonts w:hint="eastAsia" w:ascii="宋体" w:hAnsi="宋体" w:eastAsia="宋体" w:cs="宋体"/>
                <w:color w:val="auto"/>
                <w:sz w:val="21"/>
                <w:szCs w:val="21"/>
                <w:highlight w:val="none"/>
                <w:lang w:val="en-US" w:eastAsia="zh-CN" w:bidi="ar"/>
              </w:rPr>
              <w:t>基本</w:t>
            </w:r>
            <w:r>
              <w:rPr>
                <w:rFonts w:hint="eastAsia" w:ascii="宋体" w:hAnsi="宋体" w:eastAsia="宋体" w:cs="宋体"/>
                <w:color w:val="auto"/>
                <w:sz w:val="21"/>
                <w:szCs w:val="21"/>
                <w:highlight w:val="none"/>
                <w:lang w:bidi="ar"/>
              </w:rPr>
              <w:t>合理、可行、</w:t>
            </w:r>
            <w:r>
              <w:rPr>
                <w:rFonts w:hint="eastAsia" w:ascii="宋体" w:hAnsi="宋体" w:eastAsia="宋体" w:cs="宋体"/>
                <w:color w:val="auto"/>
                <w:sz w:val="21"/>
                <w:szCs w:val="21"/>
                <w:highlight w:val="none"/>
                <w:lang w:val="en-US" w:eastAsia="zh-CN" w:bidi="ar"/>
              </w:rPr>
              <w:t>基本</w:t>
            </w:r>
            <w:r>
              <w:rPr>
                <w:rFonts w:hint="eastAsia" w:ascii="宋体" w:hAnsi="宋体" w:eastAsia="宋体" w:cs="宋体"/>
                <w:color w:val="auto"/>
                <w:sz w:val="21"/>
                <w:szCs w:val="21"/>
                <w:highlight w:val="none"/>
                <w:lang w:bidi="ar"/>
              </w:rPr>
              <w:t>满足磋商文件对工期的要求</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得6</w:t>
            </w:r>
            <w:r>
              <w:rPr>
                <w:rFonts w:hint="eastAsia" w:ascii="宋体" w:hAnsi="宋体" w:eastAsia="宋体" w:cs="宋体"/>
                <w:color w:val="auto"/>
                <w:sz w:val="21"/>
                <w:szCs w:val="21"/>
                <w:highlight w:val="none"/>
                <w:lang w:bidi="ar"/>
              </w:rPr>
              <w:t>分；</w:t>
            </w:r>
          </w:p>
          <w:p w14:paraId="1B01A3A6">
            <w:pPr>
              <w:widowControl/>
              <w:autoSpaceDE w:val="0"/>
              <w:autoSpaceDN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）方案不太科学、合理、安全，考虑不太周全，措施不够到位，针对性不强，关键</w:t>
            </w:r>
            <w:r>
              <w:rPr>
                <w:rFonts w:hint="eastAsia" w:ascii="宋体" w:hAnsi="宋体" w:eastAsia="宋体" w:cs="宋体"/>
                <w:color w:val="auto"/>
                <w:sz w:val="21"/>
                <w:szCs w:val="21"/>
                <w:highlight w:val="none"/>
                <w:lang w:val="en-US" w:eastAsia="zh-CN" w:bidi="ar"/>
              </w:rPr>
              <w:t>时间节点不够</w:t>
            </w:r>
            <w:r>
              <w:rPr>
                <w:rFonts w:hint="eastAsia" w:ascii="宋体" w:hAnsi="宋体" w:eastAsia="宋体" w:cs="宋体"/>
                <w:color w:val="auto"/>
                <w:sz w:val="21"/>
                <w:szCs w:val="21"/>
                <w:highlight w:val="none"/>
                <w:lang w:bidi="ar"/>
              </w:rPr>
              <w:t>清晰、准确、完整、计划编制</w:t>
            </w:r>
            <w:r>
              <w:rPr>
                <w:rFonts w:hint="eastAsia" w:ascii="宋体" w:hAnsi="宋体" w:eastAsia="宋体" w:cs="宋体"/>
                <w:color w:val="auto"/>
                <w:sz w:val="21"/>
                <w:szCs w:val="21"/>
                <w:highlight w:val="none"/>
                <w:lang w:val="en-US" w:eastAsia="zh-CN" w:bidi="ar"/>
              </w:rPr>
              <w:t>不够</w:t>
            </w:r>
            <w:r>
              <w:rPr>
                <w:rFonts w:hint="eastAsia" w:ascii="宋体" w:hAnsi="宋体" w:eastAsia="宋体" w:cs="宋体"/>
                <w:color w:val="auto"/>
                <w:sz w:val="21"/>
                <w:szCs w:val="21"/>
                <w:highlight w:val="none"/>
                <w:lang w:bidi="ar"/>
              </w:rPr>
              <w:t>合理、可行、</w:t>
            </w:r>
            <w:r>
              <w:rPr>
                <w:rFonts w:hint="eastAsia" w:ascii="宋体" w:hAnsi="宋体" w:eastAsia="宋体" w:cs="宋体"/>
                <w:color w:val="auto"/>
                <w:sz w:val="21"/>
                <w:szCs w:val="21"/>
                <w:highlight w:val="none"/>
                <w:lang w:val="en-US" w:eastAsia="zh-CN" w:bidi="ar"/>
              </w:rPr>
              <w:t>不能全部</w:t>
            </w:r>
            <w:r>
              <w:rPr>
                <w:rFonts w:hint="eastAsia" w:ascii="宋体" w:hAnsi="宋体" w:eastAsia="宋体" w:cs="宋体"/>
                <w:color w:val="auto"/>
                <w:sz w:val="21"/>
                <w:szCs w:val="21"/>
                <w:highlight w:val="none"/>
                <w:lang w:bidi="ar"/>
              </w:rPr>
              <w:t>满足磋商文件对工期的要求</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有多方面需要进一步完善或提高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得2</w:t>
            </w:r>
            <w:r>
              <w:rPr>
                <w:rFonts w:hint="eastAsia" w:ascii="宋体" w:hAnsi="宋体" w:eastAsia="宋体" w:cs="宋体"/>
                <w:color w:val="auto"/>
                <w:sz w:val="21"/>
                <w:szCs w:val="21"/>
                <w:highlight w:val="none"/>
                <w:lang w:bidi="ar"/>
              </w:rPr>
              <w:t>分；</w:t>
            </w:r>
          </w:p>
          <w:p w14:paraId="46B15FEF">
            <w:pPr>
              <w:pStyle w:val="49"/>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）缺项的，得</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分。</w:t>
            </w:r>
          </w:p>
        </w:tc>
      </w:tr>
      <w:tr w14:paraId="000B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12" w:type="dxa"/>
            <w:vMerge w:val="continue"/>
            <w:vAlign w:val="center"/>
          </w:tcPr>
          <w:p w14:paraId="5D1083D8">
            <w:pPr>
              <w:pStyle w:val="55"/>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2EC1D9BE">
            <w:pPr>
              <w:pStyle w:val="55"/>
              <w:spacing w:line="460" w:lineRule="exact"/>
              <w:jc w:val="center"/>
              <w:rPr>
                <w:rFonts w:hint="eastAsia" w:ascii="宋体" w:hAnsi="宋体" w:eastAsia="宋体" w:cs="宋体"/>
                <w:color w:val="auto"/>
                <w:sz w:val="21"/>
                <w:szCs w:val="21"/>
                <w:highlight w:val="none"/>
              </w:rPr>
            </w:pPr>
          </w:p>
        </w:tc>
        <w:tc>
          <w:tcPr>
            <w:tcW w:w="1910" w:type="dxa"/>
            <w:vAlign w:val="center"/>
          </w:tcPr>
          <w:p w14:paraId="7F5F65D0">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安全管理体系与措施（</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rPr>
              <w:t>）</w:t>
            </w:r>
          </w:p>
        </w:tc>
        <w:tc>
          <w:tcPr>
            <w:tcW w:w="5146" w:type="dxa"/>
            <w:vAlign w:val="center"/>
          </w:tcPr>
          <w:p w14:paraId="681AB16A">
            <w:pPr>
              <w:autoSpaceDE w:val="0"/>
              <w:autoSpaceDN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(1）施工安全生产保障体系健全，安全管理制度完善，安全管理目标具体全员安全责任制明确，现场安全管理组织机构、人员配备满足国家规定要求。安全技术方案措施科学合理、先进可行</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得4</w:t>
            </w:r>
            <w:r>
              <w:rPr>
                <w:rFonts w:hint="eastAsia" w:ascii="宋体" w:hAnsi="宋体" w:eastAsia="宋体" w:cs="宋体"/>
                <w:color w:val="auto"/>
                <w:sz w:val="21"/>
                <w:szCs w:val="21"/>
                <w:highlight w:val="none"/>
                <w:lang w:bidi="ar"/>
              </w:rPr>
              <w:t>分</w:t>
            </w:r>
            <w:r>
              <w:rPr>
                <w:rFonts w:hint="eastAsia" w:ascii="宋体" w:hAnsi="宋体" w:eastAsia="宋体" w:cs="宋体"/>
                <w:color w:val="auto"/>
                <w:sz w:val="21"/>
                <w:szCs w:val="21"/>
                <w:highlight w:val="none"/>
                <w:lang w:eastAsia="zh-CN" w:bidi="ar"/>
              </w:rPr>
              <w:t>；</w:t>
            </w:r>
          </w:p>
          <w:p w14:paraId="73535198">
            <w:pPr>
              <w:widowControl/>
              <w:autoSpaceDE w:val="0"/>
              <w:autoSpaceDN w:val="0"/>
              <w:spacing w:line="360" w:lineRule="auto"/>
              <w:jc w:val="left"/>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(2）有施工安全生产保障体系、安全责任制和安全管理制度，现场安全管理机构、人员配备满足国家规定。安全技术方案、措施基本可行</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得2</w:t>
            </w:r>
            <w:r>
              <w:rPr>
                <w:rFonts w:hint="eastAsia" w:ascii="宋体" w:hAnsi="宋体" w:eastAsia="宋体" w:cs="宋体"/>
                <w:color w:val="auto"/>
                <w:sz w:val="21"/>
                <w:szCs w:val="21"/>
                <w:highlight w:val="none"/>
                <w:lang w:bidi="ar"/>
              </w:rPr>
              <w:t>分</w:t>
            </w:r>
            <w:r>
              <w:rPr>
                <w:rFonts w:hint="eastAsia" w:ascii="宋体" w:hAnsi="宋体" w:eastAsia="宋体" w:cs="宋体"/>
                <w:color w:val="auto"/>
                <w:sz w:val="21"/>
                <w:szCs w:val="21"/>
                <w:highlight w:val="none"/>
                <w:lang w:eastAsia="zh-CN" w:bidi="ar"/>
              </w:rPr>
              <w:t>；</w:t>
            </w:r>
          </w:p>
          <w:p w14:paraId="7C223739">
            <w:pPr>
              <w:pStyle w:val="49"/>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缺项的，得</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分。</w:t>
            </w:r>
          </w:p>
        </w:tc>
      </w:tr>
      <w:tr w14:paraId="0441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12" w:type="dxa"/>
            <w:vMerge w:val="continue"/>
            <w:vAlign w:val="center"/>
          </w:tcPr>
          <w:p w14:paraId="565F0505">
            <w:pPr>
              <w:pStyle w:val="55"/>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1267D016">
            <w:pPr>
              <w:pStyle w:val="55"/>
              <w:spacing w:line="460" w:lineRule="exact"/>
              <w:jc w:val="center"/>
              <w:rPr>
                <w:rFonts w:hint="eastAsia" w:ascii="宋体" w:hAnsi="宋体" w:eastAsia="宋体" w:cs="宋体"/>
                <w:color w:val="auto"/>
                <w:sz w:val="21"/>
                <w:szCs w:val="21"/>
                <w:highlight w:val="none"/>
              </w:rPr>
            </w:pPr>
          </w:p>
        </w:tc>
        <w:tc>
          <w:tcPr>
            <w:tcW w:w="1910" w:type="dxa"/>
            <w:vAlign w:val="center"/>
          </w:tcPr>
          <w:p w14:paraId="34B0ABBE">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文明施工、环境保护管理体系及施工现场扬尘治理措施（</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146" w:type="dxa"/>
            <w:vAlign w:val="center"/>
          </w:tcPr>
          <w:p w14:paraId="19F978AC">
            <w:pPr>
              <w:autoSpaceDE w:val="0"/>
              <w:autoSpaceDN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(1）创安全文明标准化工地目标明确，有针对项目实际情况，科学可行的创建计划和符合相关标准、规范、规程的创建保证措施和安全文明措施费用投入使用计划，现场施工区、生活区、教学区等设置科学规范，符合有关文明施工、健康卫生的规定。施工现场扬尘治理措施符合河南省</w:t>
            </w:r>
            <w:r>
              <w:rPr>
                <w:rFonts w:hint="eastAsia" w:ascii="宋体" w:hAnsi="宋体" w:eastAsia="宋体" w:cs="宋体"/>
                <w:color w:val="auto"/>
                <w:sz w:val="21"/>
                <w:szCs w:val="21"/>
                <w:highlight w:val="none"/>
                <w:lang w:val="en-US" w:eastAsia="zh-CN" w:bidi="ar"/>
              </w:rPr>
              <w:t>最新</w:t>
            </w:r>
            <w:r>
              <w:rPr>
                <w:rFonts w:hint="eastAsia" w:ascii="宋体" w:hAnsi="宋体" w:eastAsia="宋体" w:cs="宋体"/>
                <w:color w:val="auto"/>
                <w:sz w:val="21"/>
                <w:szCs w:val="21"/>
                <w:highlight w:val="none"/>
                <w:lang w:bidi="ar"/>
              </w:rPr>
              <w:t>规定，防治方案科学、先进</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对周边学校既有设施、绿化等成品进行全方位防护措施，采取方案得当，</w:t>
            </w:r>
            <w:r>
              <w:rPr>
                <w:rFonts w:hint="eastAsia" w:ascii="宋体" w:hAnsi="宋体" w:eastAsia="宋体" w:cs="宋体"/>
                <w:color w:val="auto"/>
                <w:sz w:val="21"/>
                <w:szCs w:val="21"/>
                <w:highlight w:val="none"/>
                <w:lang w:bidi="ar"/>
              </w:rPr>
              <w:t>得</w:t>
            </w:r>
            <w:r>
              <w:rPr>
                <w:rFonts w:hint="eastAsia" w:ascii="宋体" w:hAnsi="宋体" w:eastAsia="宋体" w:cs="宋体"/>
                <w:color w:val="auto"/>
                <w:sz w:val="21"/>
                <w:szCs w:val="21"/>
                <w:highlight w:val="none"/>
                <w:lang w:val="en-US" w:eastAsia="zh-CN" w:bidi="ar"/>
              </w:rPr>
              <w:t>5分；</w:t>
            </w:r>
          </w:p>
          <w:p w14:paraId="251EBF6B">
            <w:pPr>
              <w:widowControl/>
              <w:autoSpaceDE w:val="0"/>
              <w:autoSpaceDN w:val="0"/>
              <w:spacing w:line="360" w:lineRule="auto"/>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(2）有安全文明标准化工地创建目标计划和创建措施，有安全文明措施费用投入使用计划，现场施工区、生活区、教学区等设置符合有关文明施工、健康卫生的规定。施工现场扬尘治理措施基本达到河南省</w:t>
            </w:r>
            <w:r>
              <w:rPr>
                <w:rFonts w:hint="eastAsia" w:ascii="宋体" w:hAnsi="宋体" w:eastAsia="宋体" w:cs="宋体"/>
                <w:color w:val="auto"/>
                <w:sz w:val="21"/>
                <w:szCs w:val="21"/>
                <w:highlight w:val="none"/>
                <w:lang w:val="en-US" w:eastAsia="zh-CN" w:bidi="ar"/>
              </w:rPr>
              <w:t>最新</w:t>
            </w:r>
            <w:r>
              <w:rPr>
                <w:rFonts w:hint="eastAsia" w:ascii="宋体" w:hAnsi="宋体" w:eastAsia="宋体" w:cs="宋体"/>
                <w:color w:val="auto"/>
                <w:sz w:val="21"/>
                <w:szCs w:val="21"/>
                <w:highlight w:val="none"/>
                <w:lang w:bidi="ar"/>
              </w:rPr>
              <w:t>规定，有防治方案</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对周边学校既有设施、绿化等成品有防护措施，</w:t>
            </w:r>
            <w:r>
              <w:rPr>
                <w:rFonts w:hint="eastAsia" w:ascii="宋体" w:hAnsi="宋体" w:eastAsia="宋体" w:cs="宋体"/>
                <w:color w:val="auto"/>
                <w:sz w:val="21"/>
                <w:szCs w:val="21"/>
                <w:highlight w:val="none"/>
                <w:lang w:bidi="ar"/>
              </w:rPr>
              <w:t>得</w:t>
            </w:r>
            <w:r>
              <w:rPr>
                <w:rFonts w:hint="eastAsia" w:ascii="宋体" w:hAnsi="宋体" w:eastAsia="宋体" w:cs="宋体"/>
                <w:color w:val="auto"/>
                <w:sz w:val="21"/>
                <w:szCs w:val="21"/>
                <w:highlight w:val="none"/>
                <w:lang w:val="en-US" w:eastAsia="zh-CN" w:bidi="ar"/>
              </w:rPr>
              <w:t>3分；</w:t>
            </w:r>
          </w:p>
          <w:p w14:paraId="7886A5DC">
            <w:pPr>
              <w:pStyle w:val="49"/>
              <w:spacing w:line="460" w:lineRule="exact"/>
              <w:rPr>
                <w:rFonts w:hint="eastAsia" w:ascii="宋体" w:hAnsi="宋体" w:eastAsia="宋体" w:cs="宋体"/>
                <w:color w:val="auto"/>
                <w:sz w:val="21"/>
                <w:szCs w:val="21"/>
                <w:highlight w:val="none"/>
                <w:lang w:eastAsia="zh-CN"/>
              </w:rPr>
            </w:pPr>
            <w:bookmarkStart w:id="245" w:name="_Toc10075"/>
            <w:r>
              <w:rPr>
                <w:rFonts w:hint="eastAsia" w:ascii="宋体" w:hAnsi="宋体" w:eastAsia="宋体" w:cs="宋体"/>
                <w:b w:val="0"/>
                <w:bCs w:val="0"/>
                <w:color w:val="auto"/>
                <w:kern w:val="2"/>
                <w:sz w:val="21"/>
                <w:szCs w:val="21"/>
                <w:highlight w:val="none"/>
                <w:lang w:val="en-US" w:eastAsia="zh-CN" w:bidi="ar"/>
              </w:rPr>
              <w:t>(3）缺项的，得0分。</w:t>
            </w:r>
            <w:bookmarkEnd w:id="245"/>
          </w:p>
        </w:tc>
      </w:tr>
      <w:tr w14:paraId="4ED9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12" w:type="dxa"/>
            <w:vMerge w:val="continue"/>
            <w:vAlign w:val="center"/>
          </w:tcPr>
          <w:p w14:paraId="599C96C5">
            <w:pPr>
              <w:pStyle w:val="55"/>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0664B18C">
            <w:pPr>
              <w:pStyle w:val="55"/>
              <w:spacing w:line="460" w:lineRule="exact"/>
              <w:jc w:val="center"/>
              <w:rPr>
                <w:rFonts w:hint="eastAsia" w:ascii="宋体" w:hAnsi="宋体" w:eastAsia="宋体" w:cs="宋体"/>
                <w:bCs/>
                <w:color w:val="auto"/>
                <w:sz w:val="21"/>
                <w:szCs w:val="21"/>
                <w:highlight w:val="none"/>
              </w:rPr>
            </w:pPr>
          </w:p>
        </w:tc>
        <w:tc>
          <w:tcPr>
            <w:tcW w:w="1910" w:type="dxa"/>
            <w:vAlign w:val="center"/>
          </w:tcPr>
          <w:p w14:paraId="31510B0B">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拟投入资源配备计划（</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146" w:type="dxa"/>
            <w:vAlign w:val="center"/>
          </w:tcPr>
          <w:p w14:paraId="17DE810A">
            <w:pPr>
              <w:widowControl/>
              <w:numPr>
                <w:ilvl w:val="0"/>
                <w:numId w:val="3"/>
              </w:numPr>
              <w:autoSpaceDE w:val="0"/>
              <w:autoSpaceDN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机械、劳动力、主要物资配备计划与进度计划呼应，完全满足施工需要，调配投入计划合理、准确的，得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w:t>
            </w:r>
            <w:r>
              <w:rPr>
                <w:rFonts w:hint="eastAsia" w:ascii="宋体" w:hAnsi="宋体" w:eastAsia="宋体" w:cs="宋体"/>
                <w:color w:val="auto"/>
                <w:sz w:val="21"/>
                <w:szCs w:val="21"/>
                <w:highlight w:val="none"/>
                <w:lang w:eastAsia="zh-CN" w:bidi="ar"/>
              </w:rPr>
              <w:t>；</w:t>
            </w:r>
          </w:p>
          <w:p w14:paraId="6A4C544A">
            <w:pPr>
              <w:widowControl/>
              <w:numPr>
                <w:ilvl w:val="0"/>
                <w:numId w:val="3"/>
              </w:numPr>
              <w:autoSpaceDE w:val="0"/>
              <w:autoSpaceDN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机械、劳动力、主要物资配备与进度计划呼应，基本满足施工需要，调配投入计划较合理、准确的，得</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eastAsia="宋体" w:cs="宋体"/>
                <w:color w:val="auto"/>
                <w:sz w:val="21"/>
                <w:szCs w:val="21"/>
                <w:highlight w:val="none"/>
                <w:lang w:eastAsia="zh-CN" w:bidi="ar"/>
              </w:rPr>
              <w:t>；</w:t>
            </w:r>
          </w:p>
          <w:p w14:paraId="54E959EE">
            <w:pPr>
              <w:pStyle w:val="49"/>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机械、劳动力、主要物资配备不合理、不准确的，缺项的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得</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分</w:t>
            </w:r>
            <w:r>
              <w:rPr>
                <w:rFonts w:hint="eastAsia" w:ascii="宋体" w:hAnsi="宋体" w:eastAsia="宋体" w:cs="宋体"/>
                <w:color w:val="auto"/>
                <w:sz w:val="21"/>
                <w:szCs w:val="21"/>
                <w:highlight w:val="none"/>
                <w:lang w:eastAsia="zh-CN" w:bidi="ar"/>
              </w:rPr>
              <w:t>；</w:t>
            </w:r>
          </w:p>
        </w:tc>
      </w:tr>
      <w:tr w14:paraId="7750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12" w:type="dxa"/>
            <w:vMerge w:val="continue"/>
            <w:vAlign w:val="center"/>
          </w:tcPr>
          <w:p w14:paraId="1B9B3262">
            <w:pPr>
              <w:pStyle w:val="55"/>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3A96DA2E">
            <w:pPr>
              <w:pStyle w:val="55"/>
              <w:spacing w:line="460" w:lineRule="exact"/>
              <w:jc w:val="center"/>
              <w:rPr>
                <w:rFonts w:hint="eastAsia" w:ascii="宋体" w:hAnsi="宋体" w:eastAsia="宋体" w:cs="宋体"/>
                <w:color w:val="auto"/>
                <w:sz w:val="21"/>
                <w:szCs w:val="21"/>
                <w:highlight w:val="none"/>
              </w:rPr>
            </w:pPr>
          </w:p>
        </w:tc>
        <w:tc>
          <w:tcPr>
            <w:tcW w:w="1910" w:type="dxa"/>
            <w:vAlign w:val="center"/>
          </w:tcPr>
          <w:p w14:paraId="10AAB4EA">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装修材料质量（</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146" w:type="dxa"/>
            <w:vAlign w:val="center"/>
          </w:tcPr>
          <w:p w14:paraId="412FCE31">
            <w:pPr>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根据供应商拟选用的装修材料（墙外立面涂料、防水等）品牌、质量及环保性能等进行打分：</w:t>
            </w:r>
          </w:p>
          <w:p w14:paraId="76949978">
            <w:pPr>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(1）选用材料质量卓越，耐用性强，工艺精湛；环保性能优于国家标准，通过权威认证，有害物质趋近于零，绿色安全，得5分；</w:t>
            </w:r>
          </w:p>
          <w:p w14:paraId="64C8D512">
            <w:pPr>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(2）选用材料质量稳定，耐用性较好，满足日常使用需求；环保性能达到国家标准，有害物质含量低，对环境影响较小，得3分；</w:t>
            </w:r>
          </w:p>
          <w:p w14:paraId="16492098">
            <w:pPr>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(3）选用材料质量仅满足基础使用，存在耐用性不足等问题；环保性能仅达国家标准最低要求，有害物质含量较高，得1分；</w:t>
            </w:r>
          </w:p>
          <w:p w14:paraId="4F96F348">
            <w:pPr>
              <w:pStyle w:val="49"/>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(4）缺项的，得0分。</w:t>
            </w:r>
          </w:p>
        </w:tc>
      </w:tr>
      <w:tr w14:paraId="2D2C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12" w:type="dxa"/>
            <w:vMerge w:val="continue"/>
            <w:vAlign w:val="center"/>
          </w:tcPr>
          <w:p w14:paraId="1D3FC503">
            <w:pPr>
              <w:pStyle w:val="55"/>
              <w:spacing w:line="460" w:lineRule="exact"/>
              <w:rPr>
                <w:rFonts w:hint="eastAsia" w:ascii="宋体" w:hAnsi="宋体" w:eastAsia="宋体" w:cs="宋体"/>
                <w:color w:val="auto"/>
                <w:sz w:val="21"/>
                <w:szCs w:val="21"/>
                <w:highlight w:val="none"/>
              </w:rPr>
            </w:pPr>
          </w:p>
        </w:tc>
        <w:tc>
          <w:tcPr>
            <w:tcW w:w="1485" w:type="dxa"/>
            <w:vMerge w:val="continue"/>
            <w:vAlign w:val="center"/>
          </w:tcPr>
          <w:p w14:paraId="53CD0201">
            <w:pPr>
              <w:pStyle w:val="55"/>
              <w:spacing w:line="460" w:lineRule="exact"/>
              <w:rPr>
                <w:rFonts w:hint="eastAsia" w:ascii="宋体" w:hAnsi="宋体" w:eastAsia="宋体" w:cs="宋体"/>
                <w:color w:val="auto"/>
                <w:sz w:val="21"/>
                <w:szCs w:val="21"/>
                <w:highlight w:val="none"/>
              </w:rPr>
            </w:pPr>
          </w:p>
        </w:tc>
        <w:tc>
          <w:tcPr>
            <w:tcW w:w="1910" w:type="dxa"/>
            <w:vAlign w:val="center"/>
          </w:tcPr>
          <w:p w14:paraId="55840C9F">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质量管理体系与措施（</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146" w:type="dxa"/>
            <w:vAlign w:val="center"/>
          </w:tcPr>
          <w:p w14:paraId="44BFD518">
            <w:pPr>
              <w:keepNext w:val="0"/>
              <w:keepLines w:val="0"/>
              <w:pageBreakBefore w:val="0"/>
              <w:kinsoku/>
              <w:overflowPunct/>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rPr>
              <w:t>组织机构形式合理，有完善的指挥系统、质量监控系统、联络协调系统，对项目提出先进、可行、具体的保证措施</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1ACF3A4E">
            <w:pPr>
              <w:keepNext w:val="0"/>
              <w:keepLines w:val="0"/>
              <w:pageBreakBefore w:val="0"/>
              <w:kinsoku/>
              <w:overflowPunct/>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rPr>
              <w:t>组织机构形式基本合理，有较完善的指挥系统、质量监控系统、联络协调系统，对项目提出的保证措施较一般</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D64C766">
            <w:pPr>
              <w:keepNext w:val="0"/>
              <w:keepLines w:val="0"/>
              <w:pageBreakBefore w:val="0"/>
              <w:kinsoku/>
              <w:overflowPunct/>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
              </w:rPr>
              <w:t>(3）</w:t>
            </w:r>
            <w:r>
              <w:rPr>
                <w:rFonts w:hint="eastAsia" w:ascii="宋体" w:hAnsi="宋体" w:eastAsia="宋体" w:cs="宋体"/>
                <w:color w:val="auto"/>
                <w:sz w:val="21"/>
                <w:szCs w:val="21"/>
                <w:highlight w:val="none"/>
              </w:rPr>
              <w:t>组织机构形式过于简单，确保工程质量的技术组织措施较差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分； </w:t>
            </w:r>
          </w:p>
          <w:p w14:paraId="1796E5EB">
            <w:pPr>
              <w:pStyle w:val="49"/>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
              </w:rPr>
              <w:t>(4）</w:t>
            </w:r>
            <w:r>
              <w:rPr>
                <w:rFonts w:hint="eastAsia" w:ascii="宋体" w:hAnsi="宋体" w:eastAsia="宋体" w:cs="宋体"/>
                <w:color w:val="auto"/>
                <w:sz w:val="21"/>
                <w:szCs w:val="21"/>
                <w:highlight w:val="none"/>
              </w:rPr>
              <w:t>缺项</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得0分。</w:t>
            </w:r>
          </w:p>
        </w:tc>
      </w:tr>
      <w:tr w14:paraId="4D94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12" w:type="dxa"/>
            <w:vMerge w:val="continue"/>
            <w:vAlign w:val="center"/>
          </w:tcPr>
          <w:p w14:paraId="4C246EEA">
            <w:pPr>
              <w:pStyle w:val="55"/>
              <w:spacing w:line="460" w:lineRule="exact"/>
              <w:rPr>
                <w:rFonts w:hint="eastAsia" w:ascii="宋体" w:hAnsi="宋体" w:eastAsia="宋体" w:cs="宋体"/>
                <w:color w:val="auto"/>
                <w:sz w:val="21"/>
                <w:szCs w:val="21"/>
                <w:highlight w:val="none"/>
              </w:rPr>
            </w:pPr>
          </w:p>
        </w:tc>
        <w:tc>
          <w:tcPr>
            <w:tcW w:w="1485" w:type="dxa"/>
            <w:vMerge w:val="continue"/>
            <w:vAlign w:val="center"/>
          </w:tcPr>
          <w:p w14:paraId="50F5B5E1">
            <w:pPr>
              <w:pStyle w:val="55"/>
              <w:spacing w:line="460" w:lineRule="exact"/>
              <w:rPr>
                <w:rFonts w:hint="eastAsia" w:ascii="宋体" w:hAnsi="宋体" w:eastAsia="宋体" w:cs="宋体"/>
                <w:color w:val="auto"/>
                <w:sz w:val="21"/>
                <w:szCs w:val="21"/>
                <w:highlight w:val="none"/>
              </w:rPr>
            </w:pPr>
          </w:p>
        </w:tc>
        <w:tc>
          <w:tcPr>
            <w:tcW w:w="1910" w:type="dxa"/>
            <w:vAlign w:val="center"/>
          </w:tcPr>
          <w:p w14:paraId="28486143">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风险管理措施</w:t>
            </w:r>
          </w:p>
          <w:p w14:paraId="0D58E8C7">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146" w:type="dxa"/>
            <w:vAlign w:val="center"/>
          </w:tcPr>
          <w:p w14:paraId="1EC69E0C">
            <w:pPr>
              <w:autoSpaceDE w:val="0"/>
              <w:autoSpaceDN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（1）风险防控管理措施齐全，风险预控符合规范要求，风险控制要点定位准确，各阶段风险控制及应急措施得力</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得</w:t>
            </w:r>
            <w:r>
              <w:rPr>
                <w:rFonts w:hint="eastAsia" w:ascii="宋体" w:hAnsi="宋体" w:eastAsia="宋体" w:cs="宋体"/>
                <w:color w:val="auto"/>
                <w:sz w:val="21"/>
                <w:szCs w:val="21"/>
                <w:highlight w:val="none"/>
                <w:lang w:val="en-US" w:eastAsia="zh-CN" w:bidi="ar"/>
              </w:rPr>
              <w:t>3分；</w:t>
            </w:r>
          </w:p>
          <w:p w14:paraId="649C905D">
            <w:pPr>
              <w:autoSpaceDE w:val="0"/>
              <w:autoSpaceDN w:val="0"/>
              <w:spacing w:line="360" w:lineRule="auto"/>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（2）风险防控管理措施基本齐全，风险预控符合规范要求，风险控制要点定位基本准确，有各阶段风险控制及应急措施</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得</w:t>
            </w:r>
            <w:r>
              <w:rPr>
                <w:rFonts w:hint="eastAsia" w:ascii="宋体" w:hAnsi="宋体" w:eastAsia="宋体" w:cs="宋体"/>
                <w:color w:val="auto"/>
                <w:sz w:val="21"/>
                <w:szCs w:val="21"/>
                <w:highlight w:val="none"/>
                <w:lang w:val="en-US" w:eastAsia="zh-CN" w:bidi="ar"/>
              </w:rPr>
              <w:t>1分；</w:t>
            </w:r>
          </w:p>
          <w:p w14:paraId="37D4A5FD">
            <w:pPr>
              <w:pStyle w:val="49"/>
              <w:spacing w:line="460" w:lineRule="exact"/>
              <w:rPr>
                <w:rFonts w:hint="eastAsia" w:ascii="宋体" w:hAnsi="宋体" w:eastAsia="宋体" w:cs="宋体"/>
                <w:color w:val="auto"/>
                <w:sz w:val="21"/>
                <w:szCs w:val="21"/>
                <w:highlight w:val="none"/>
                <w:lang w:eastAsia="zh-CN"/>
              </w:rPr>
            </w:pPr>
            <w:bookmarkStart w:id="246" w:name="_Toc6707"/>
            <w:r>
              <w:rPr>
                <w:rFonts w:hint="eastAsia" w:ascii="宋体" w:hAnsi="宋体" w:eastAsia="宋体" w:cs="宋体"/>
                <w:b w:val="0"/>
                <w:bCs w:val="0"/>
                <w:color w:val="auto"/>
                <w:kern w:val="2"/>
                <w:sz w:val="21"/>
                <w:szCs w:val="21"/>
                <w:highlight w:val="none"/>
                <w:lang w:val="en-US" w:eastAsia="zh-CN" w:bidi="ar"/>
              </w:rPr>
              <w:t>(3）缺项的，得0分。</w:t>
            </w:r>
            <w:bookmarkEnd w:id="246"/>
          </w:p>
        </w:tc>
      </w:tr>
      <w:tr w14:paraId="0839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12" w:type="dxa"/>
            <w:vMerge w:val="restart"/>
            <w:vAlign w:val="center"/>
          </w:tcPr>
          <w:p w14:paraId="6869D0F0">
            <w:pPr>
              <w:pStyle w:val="55"/>
              <w:spacing w:line="460" w:lineRule="exact"/>
              <w:jc w:val="center"/>
              <w:rPr>
                <w:rFonts w:hint="eastAsia" w:ascii="宋体" w:hAnsi="宋体" w:eastAsia="宋体" w:cs="宋体"/>
                <w:color w:val="auto"/>
                <w:sz w:val="21"/>
                <w:szCs w:val="21"/>
                <w:highlight w:val="none"/>
              </w:rPr>
            </w:pPr>
          </w:p>
          <w:p w14:paraId="428CB8A3">
            <w:pPr>
              <w:pStyle w:val="55"/>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p w14:paraId="35E1F6E5">
            <w:pPr>
              <w:pStyle w:val="55"/>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85" w:type="dxa"/>
            <w:vMerge w:val="restart"/>
            <w:vAlign w:val="center"/>
          </w:tcPr>
          <w:p w14:paraId="31FDE88F">
            <w:pPr>
              <w:pStyle w:val="55"/>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综合部分</w:t>
            </w:r>
            <w:r>
              <w:rPr>
                <w:rFonts w:hint="eastAsia" w:ascii="宋体" w:hAnsi="宋体" w:eastAsia="宋体" w:cs="宋体"/>
                <w:bCs/>
                <w:color w:val="auto"/>
                <w:sz w:val="21"/>
                <w:szCs w:val="21"/>
                <w:highlight w:val="none"/>
              </w:rPr>
              <w:t>评分标准</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tc>
        <w:tc>
          <w:tcPr>
            <w:tcW w:w="1910" w:type="dxa"/>
            <w:vAlign w:val="center"/>
          </w:tcPr>
          <w:p w14:paraId="125F47E8">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企业业绩要求</w:t>
            </w:r>
          </w:p>
          <w:p w14:paraId="75EA63D9">
            <w:pPr>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5146" w:type="dxa"/>
            <w:vAlign w:val="center"/>
          </w:tcPr>
          <w:p w14:paraId="15B6E789">
            <w:pPr>
              <w:widowControl/>
              <w:spacing w:line="420" w:lineRule="exact"/>
              <w:jc w:val="left"/>
              <w:outlineLvl w:val="3"/>
              <w:rPr>
                <w:rFonts w:hint="eastAsia" w:ascii="宋体" w:hAnsi="宋体" w:eastAsia="宋体" w:cs="宋体"/>
                <w:b w:val="0"/>
                <w:bCs w:val="0"/>
                <w:color w:val="auto"/>
                <w:highlight w:val="none"/>
              </w:rPr>
            </w:pPr>
            <w:r>
              <w:rPr>
                <w:rFonts w:hint="eastAsia" w:ascii="宋体" w:hAnsi="宋体" w:eastAsia="宋体" w:cs="宋体"/>
                <w:color w:val="auto"/>
                <w:kern w:val="0"/>
                <w:sz w:val="21"/>
                <w:szCs w:val="21"/>
                <w:highlight w:val="none"/>
                <w:lang w:bidi="ar"/>
              </w:rPr>
              <w:t>供应商具有202</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年</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月1日以来（以竣工时间为准）类似建筑工程施工业绩（含装饰装修工程），每提供一项得2分，本项最高得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sz w:val="21"/>
                <w:szCs w:val="21"/>
                <w:highlight w:val="none"/>
                <w:lang w:val="en-US" w:eastAsia="zh-CN" w:bidi="ar"/>
              </w:rPr>
              <w:t>（须提供合同协议书、中标（成交）通知书、中标（成交）公告截图、竣工验收证明材料的扫描件）</w:t>
            </w:r>
          </w:p>
          <w:p w14:paraId="4B8847F3">
            <w:pPr>
              <w:spacing w:line="460" w:lineRule="exact"/>
              <w:ind w:left="33"/>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highlight w:val="none"/>
                <w:lang w:bidi="ar"/>
              </w:rPr>
              <w:t>项目经理业绩和企业业绩不得重复计算。</w:t>
            </w:r>
          </w:p>
        </w:tc>
      </w:tr>
      <w:tr w14:paraId="4F58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012" w:type="dxa"/>
            <w:vMerge w:val="continue"/>
            <w:vAlign w:val="center"/>
          </w:tcPr>
          <w:p w14:paraId="7FEE9B13">
            <w:pPr>
              <w:pStyle w:val="55"/>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44B8D522">
            <w:pPr>
              <w:pStyle w:val="55"/>
              <w:spacing w:line="460" w:lineRule="exact"/>
              <w:jc w:val="center"/>
              <w:rPr>
                <w:rFonts w:hint="eastAsia" w:ascii="宋体" w:hAnsi="宋体" w:eastAsia="宋体" w:cs="宋体"/>
                <w:bCs/>
                <w:color w:val="auto"/>
                <w:sz w:val="21"/>
                <w:szCs w:val="21"/>
                <w:highlight w:val="none"/>
              </w:rPr>
            </w:pPr>
          </w:p>
        </w:tc>
        <w:tc>
          <w:tcPr>
            <w:tcW w:w="1910" w:type="dxa"/>
            <w:vAlign w:val="center"/>
          </w:tcPr>
          <w:p w14:paraId="144B55E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项目经理业绩</w:t>
            </w:r>
          </w:p>
          <w:p w14:paraId="0403289A">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146" w:type="dxa"/>
            <w:vAlign w:val="center"/>
          </w:tcPr>
          <w:p w14:paraId="5FF3FCAB">
            <w:pPr>
              <w:widowControl/>
              <w:spacing w:line="420" w:lineRule="exact"/>
              <w:jc w:val="left"/>
              <w:outlineLvl w:val="3"/>
              <w:rPr>
                <w:rFonts w:hint="eastAsia" w:ascii="宋体" w:hAnsi="宋体" w:eastAsia="宋体" w:cs="宋体"/>
                <w:b w:val="0"/>
                <w:bCs w:val="0"/>
                <w:color w:val="auto"/>
                <w:highlight w:val="none"/>
              </w:rPr>
            </w:pPr>
            <w:r>
              <w:rPr>
                <w:rFonts w:hint="eastAsia" w:ascii="宋体" w:hAnsi="宋体" w:eastAsia="宋体" w:cs="宋体"/>
                <w:color w:val="auto"/>
                <w:sz w:val="21"/>
                <w:szCs w:val="21"/>
                <w:highlight w:val="none"/>
                <w:lang w:bidi="ar"/>
              </w:rPr>
              <w:t>拟派项目经理202</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月1日以来（以竣工时间为准）类似建筑工程施工业绩（含装饰装修工程），每提供一项得</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分，本项最高得</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eastAsia="宋体" w:cs="宋体"/>
                <w:color w:val="auto"/>
                <w:sz w:val="21"/>
                <w:szCs w:val="21"/>
                <w:highlight w:val="none"/>
                <w:lang w:val="en-US" w:eastAsia="zh-CN" w:bidi="ar"/>
              </w:rPr>
              <w:t>（须提供合同协议书、中标（成交）通知书、中标（成交）公告截图、竣工验收证明材料的扫描件）</w:t>
            </w:r>
          </w:p>
          <w:p w14:paraId="3571FC6F">
            <w:pPr>
              <w:widowControl/>
              <w:autoSpaceDE w:val="0"/>
              <w:autoSpaceDN w:val="0"/>
              <w:spacing w:line="42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highlight w:val="none"/>
                <w:lang w:bidi="ar"/>
              </w:rPr>
              <w:t>项目经理业绩和企业业绩不得重复计算。</w:t>
            </w:r>
          </w:p>
        </w:tc>
      </w:tr>
      <w:tr w14:paraId="2A54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2" w:type="dxa"/>
            <w:vMerge w:val="continue"/>
            <w:vAlign w:val="center"/>
          </w:tcPr>
          <w:p w14:paraId="7ED4A903">
            <w:pPr>
              <w:pStyle w:val="55"/>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08DEC41A">
            <w:pPr>
              <w:pStyle w:val="55"/>
              <w:spacing w:line="460" w:lineRule="exact"/>
              <w:jc w:val="center"/>
              <w:rPr>
                <w:rFonts w:hint="eastAsia" w:ascii="宋体" w:hAnsi="宋体" w:eastAsia="宋体" w:cs="宋体"/>
                <w:color w:val="auto"/>
                <w:sz w:val="21"/>
                <w:szCs w:val="21"/>
                <w:highlight w:val="none"/>
              </w:rPr>
            </w:pPr>
          </w:p>
        </w:tc>
        <w:tc>
          <w:tcPr>
            <w:tcW w:w="1910" w:type="dxa"/>
            <w:vAlign w:val="center"/>
          </w:tcPr>
          <w:p w14:paraId="1DA1D3C4">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企业三大体系认证</w:t>
            </w:r>
          </w:p>
          <w:p w14:paraId="18EB5E6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5146" w:type="dxa"/>
            <w:vAlign w:val="center"/>
          </w:tcPr>
          <w:p w14:paraId="6CA090AE">
            <w:pPr>
              <w:spacing w:line="46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sz w:val="21"/>
                <w:szCs w:val="21"/>
                <w:highlight w:val="none"/>
                <w:lang w:eastAsia="zh-CN"/>
              </w:rPr>
              <w:t>为体现磋商供应商质量管理的方针目标，有效地开展各项质量管理活动，磋商供应商可提供自己通过(质量管理体系认证，环境管理体系认证证书，职业健康安全管理体系认证书)扫描件及下述要求的查询截图。全国认证认可信息公共服务平台，对各体系认证进行查询并附查询结果的截图，且查询结果的内容状态显示有效（文件中附截图）。三证齐全的，得</w:t>
            </w:r>
            <w:r>
              <w:rPr>
                <w:rFonts w:hint="eastAsia" w:ascii="宋体" w:hAnsi="宋体" w:eastAsia="宋体" w:cs="宋体"/>
                <w:color w:val="auto"/>
                <w:sz w:val="21"/>
                <w:szCs w:val="21"/>
                <w:highlight w:val="none"/>
                <w:lang w:val="en-US" w:eastAsia="zh-CN"/>
              </w:rPr>
              <w:t>3分，缺少任</w:t>
            </w:r>
            <w:r>
              <w:rPr>
                <w:rFonts w:hint="eastAsia" w:ascii="宋体" w:hAnsi="宋体" w:eastAsia="宋体" w:cs="宋体"/>
                <w:color w:val="auto"/>
                <w:sz w:val="21"/>
                <w:szCs w:val="21"/>
                <w:highlight w:val="none"/>
                <w:lang w:eastAsia="zh-CN"/>
              </w:rPr>
              <w:t>一证书的，</w:t>
            </w:r>
            <w:r>
              <w:rPr>
                <w:rFonts w:hint="eastAsia" w:ascii="宋体" w:hAnsi="宋体" w:eastAsia="宋体" w:cs="宋体"/>
                <w:color w:val="auto"/>
                <w:sz w:val="21"/>
                <w:szCs w:val="21"/>
                <w:highlight w:val="none"/>
                <w:lang w:val="en-US" w:eastAsia="zh-CN"/>
              </w:rPr>
              <w:t>扣</w:t>
            </w:r>
            <w:r>
              <w:rPr>
                <w:rFonts w:hint="eastAsia" w:ascii="宋体" w:hAnsi="宋体" w:eastAsia="宋体" w:cs="宋体"/>
                <w:color w:val="auto"/>
                <w:sz w:val="21"/>
                <w:szCs w:val="21"/>
                <w:highlight w:val="none"/>
                <w:lang w:eastAsia="zh-CN"/>
              </w:rPr>
              <w:t>1分，扣完为止。</w:t>
            </w:r>
          </w:p>
        </w:tc>
      </w:tr>
      <w:tr w14:paraId="4ECC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012" w:type="dxa"/>
            <w:vMerge w:val="continue"/>
            <w:vAlign w:val="center"/>
          </w:tcPr>
          <w:p w14:paraId="47E4A4E0">
            <w:pPr>
              <w:pStyle w:val="55"/>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0F058060">
            <w:pPr>
              <w:pStyle w:val="55"/>
              <w:spacing w:line="460" w:lineRule="exact"/>
              <w:jc w:val="center"/>
              <w:rPr>
                <w:rFonts w:hint="eastAsia" w:ascii="宋体" w:hAnsi="宋体" w:eastAsia="宋体" w:cs="宋体"/>
                <w:color w:val="auto"/>
                <w:sz w:val="21"/>
                <w:szCs w:val="21"/>
                <w:highlight w:val="none"/>
              </w:rPr>
            </w:pPr>
          </w:p>
        </w:tc>
        <w:tc>
          <w:tcPr>
            <w:tcW w:w="1910" w:type="dxa"/>
            <w:vAlign w:val="center"/>
          </w:tcPr>
          <w:p w14:paraId="7D94FB2B">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管理机构</w:t>
            </w:r>
          </w:p>
          <w:p w14:paraId="73373A0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5146" w:type="dxa"/>
            <w:vAlign w:val="center"/>
          </w:tcPr>
          <w:p w14:paraId="22552DB7">
            <w:pPr>
              <w:widowControl/>
              <w:wordWrap/>
              <w:topLinePunct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（1）技术负责人具有相关专业高级及以上职称者得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分（缺项得0分）</w:t>
            </w:r>
            <w:r>
              <w:rPr>
                <w:rFonts w:hint="eastAsia" w:ascii="宋体" w:hAnsi="宋体" w:eastAsia="宋体" w:cs="宋体"/>
                <w:color w:val="auto"/>
                <w:sz w:val="21"/>
                <w:szCs w:val="21"/>
                <w:highlight w:val="none"/>
                <w:lang w:eastAsia="zh-CN"/>
              </w:rPr>
              <w:t>；</w:t>
            </w:r>
          </w:p>
          <w:p w14:paraId="121EA3CF">
            <w:pPr>
              <w:widowControl/>
              <w:wordWrap/>
              <w:topLinePunct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（2）施工员、材料员、资料员、质量员（质检员）、安全员、造价人员配备齐全并具有相应的岗位证或资格证得2分（缺项得0分）</w:t>
            </w:r>
            <w:r>
              <w:rPr>
                <w:rFonts w:hint="eastAsia" w:ascii="宋体" w:hAnsi="宋体" w:eastAsia="宋体" w:cs="宋体"/>
                <w:color w:val="auto"/>
                <w:sz w:val="21"/>
                <w:szCs w:val="21"/>
                <w:highlight w:val="none"/>
                <w:lang w:eastAsia="zh-CN"/>
              </w:rPr>
              <w:t>；</w:t>
            </w:r>
          </w:p>
          <w:p w14:paraId="4F44DCA3">
            <w:pPr>
              <w:widowControl/>
              <w:wordWrap/>
              <w:topLinePunct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提供各关键岗位人员（项目经理、技术负责人及施工员、材料员、资料员、质量员（质检员）、安全员、造价人员等相关技术人员）的在岗、更换、履职尽责承诺的，根据其全面、详实、可行、合法有效的书面保证技术措施落实到位的承诺和落实不到位的处理承诺，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分（缺项得0分）</w:t>
            </w:r>
            <w:r>
              <w:rPr>
                <w:rFonts w:hint="eastAsia" w:ascii="宋体" w:hAnsi="宋体" w:eastAsia="宋体" w:cs="宋体"/>
                <w:color w:val="auto"/>
                <w:sz w:val="21"/>
                <w:szCs w:val="21"/>
                <w:highlight w:val="none"/>
                <w:lang w:eastAsia="zh-CN"/>
              </w:rPr>
              <w:t>。</w:t>
            </w:r>
          </w:p>
          <w:p w14:paraId="4B2357D0">
            <w:pPr>
              <w:widowControl/>
              <w:wordWrap/>
              <w:topLinePunct w:val="0"/>
              <w:spacing w:line="420" w:lineRule="exact"/>
              <w:jc w:val="left"/>
              <w:rPr>
                <w:rFonts w:hint="eastAsia" w:ascii="宋体" w:hAnsi="宋体" w:eastAsia="宋体" w:cs="宋体"/>
                <w:b w:val="0"/>
                <w:bCs w:val="0"/>
                <w:color w:val="auto"/>
                <w:highlight w:val="none"/>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以上所有人员应取得岗位证书或其他能够证明职业能力的材料，</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rPr>
              <w:t>需提供劳动合同及202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月以来任意</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个月在本单位交纳的养老保险证明</w:t>
            </w:r>
            <w:r>
              <w:rPr>
                <w:rFonts w:hint="eastAsia" w:ascii="宋体" w:hAnsi="宋体" w:eastAsia="宋体" w:cs="宋体"/>
                <w:color w:val="auto"/>
                <w:sz w:val="21"/>
                <w:szCs w:val="21"/>
                <w:highlight w:val="none"/>
              </w:rPr>
              <w:t>。</w:t>
            </w:r>
          </w:p>
        </w:tc>
      </w:tr>
      <w:tr w14:paraId="2E0A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012" w:type="dxa"/>
            <w:vMerge w:val="continue"/>
            <w:vAlign w:val="center"/>
          </w:tcPr>
          <w:p w14:paraId="56510E11">
            <w:pPr>
              <w:pStyle w:val="55"/>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2725A0B5">
            <w:pPr>
              <w:pStyle w:val="55"/>
              <w:spacing w:line="460" w:lineRule="exact"/>
              <w:jc w:val="center"/>
              <w:rPr>
                <w:rFonts w:hint="eastAsia" w:ascii="宋体" w:hAnsi="宋体" w:eastAsia="宋体" w:cs="宋体"/>
                <w:color w:val="auto"/>
                <w:sz w:val="21"/>
                <w:szCs w:val="21"/>
                <w:highlight w:val="none"/>
              </w:rPr>
            </w:pPr>
          </w:p>
        </w:tc>
        <w:tc>
          <w:tcPr>
            <w:tcW w:w="1910" w:type="dxa"/>
            <w:vAlign w:val="center"/>
          </w:tcPr>
          <w:p w14:paraId="66C03CD4">
            <w:pPr>
              <w:widowControl/>
              <w:wordWrap/>
              <w:topLinePunct w:val="0"/>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环保清单产品（2分）</w:t>
            </w:r>
          </w:p>
        </w:tc>
        <w:tc>
          <w:tcPr>
            <w:tcW w:w="5146" w:type="dxa"/>
            <w:vAlign w:val="center"/>
          </w:tcPr>
          <w:p w14:paraId="52852627">
            <w:pPr>
              <w:widowControl/>
              <w:wordWrap/>
              <w:topLinePunct w:val="0"/>
              <w:spacing w:line="42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所投材料墙面涂料、防水涂料为“环境标志产品政府采购品目清单”内的产品的，每有一项加1分，最高加2分</w:t>
            </w:r>
            <w:r>
              <w:rPr>
                <w:rFonts w:hint="eastAsia" w:ascii="宋体" w:hAnsi="宋体" w:eastAsia="宋体" w:cs="宋体"/>
                <w:color w:val="auto"/>
                <w:highlight w:val="none"/>
                <w:lang w:eastAsia="zh-CN"/>
              </w:rPr>
              <w:t>。</w:t>
            </w:r>
          </w:p>
          <w:p w14:paraId="6ED73B7E">
            <w:pPr>
              <w:widowControl/>
              <w:wordWrap/>
              <w:topLinePunct w:val="0"/>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投标供应商须在</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文件中附该产品在环境标志产品政府采购品目清单所在页的复印件，及国家确定的认证机构出具的、处于有效期之内的《中国环境标志产品认证证书》复印件， 否则评标委员会有权不予认可。清单可在中华人民共和国财 政部网站（http://www.mof.gov.cn）、中国政府采购网（ht tp://www.ccgp.gov.cn/）查阅。</w:t>
            </w:r>
          </w:p>
        </w:tc>
      </w:tr>
      <w:tr w14:paraId="480C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12" w:type="dxa"/>
            <w:vMerge w:val="continue"/>
            <w:vAlign w:val="center"/>
          </w:tcPr>
          <w:p w14:paraId="2430B15F">
            <w:pPr>
              <w:pStyle w:val="55"/>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673FFD1E">
            <w:pPr>
              <w:pStyle w:val="55"/>
              <w:spacing w:line="460" w:lineRule="exact"/>
              <w:jc w:val="center"/>
              <w:rPr>
                <w:rFonts w:hint="eastAsia" w:ascii="宋体" w:hAnsi="宋体" w:eastAsia="宋体" w:cs="宋体"/>
                <w:color w:val="auto"/>
                <w:sz w:val="21"/>
                <w:szCs w:val="21"/>
                <w:highlight w:val="none"/>
              </w:rPr>
            </w:pPr>
          </w:p>
        </w:tc>
        <w:tc>
          <w:tcPr>
            <w:tcW w:w="1910" w:type="dxa"/>
            <w:vAlign w:val="center"/>
          </w:tcPr>
          <w:p w14:paraId="440D2176">
            <w:pPr>
              <w:numPr>
                <w:ilvl w:val="0"/>
                <w:numId w:val="0"/>
              </w:numPr>
              <w:spacing w:line="460" w:lineRule="exact"/>
              <w:jc w:val="both"/>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其他服务承诺及合理化建议（</w:t>
            </w:r>
            <w:r>
              <w:rPr>
                <w:rFonts w:hint="eastAsia" w:ascii="宋体" w:hAnsi="宋体" w:eastAsia="宋体" w:cs="宋体"/>
                <w:color w:val="auto"/>
                <w:highlight w:val="none"/>
                <w:lang w:val="en-US" w:eastAsia="zh-CN" w:bidi="ar"/>
              </w:rPr>
              <w:t>5</w:t>
            </w:r>
            <w:r>
              <w:rPr>
                <w:rFonts w:hint="eastAsia" w:ascii="宋体" w:hAnsi="宋体" w:eastAsia="宋体" w:cs="宋体"/>
                <w:color w:val="auto"/>
                <w:highlight w:val="none"/>
                <w:lang w:bidi="ar"/>
              </w:rPr>
              <w:t>分）</w:t>
            </w:r>
          </w:p>
          <w:p w14:paraId="0DEA7AE4">
            <w:pPr>
              <w:spacing w:line="460" w:lineRule="exact"/>
              <w:jc w:val="center"/>
              <w:rPr>
                <w:rFonts w:hint="eastAsia" w:ascii="宋体" w:hAnsi="宋体" w:eastAsia="宋体" w:cs="宋体"/>
                <w:color w:val="auto"/>
                <w:sz w:val="21"/>
                <w:szCs w:val="21"/>
                <w:highlight w:val="none"/>
              </w:rPr>
            </w:pPr>
          </w:p>
        </w:tc>
        <w:tc>
          <w:tcPr>
            <w:tcW w:w="5146" w:type="dxa"/>
            <w:vAlign w:val="center"/>
          </w:tcPr>
          <w:p w14:paraId="02548AF4">
            <w:pPr>
              <w:widowControl/>
              <w:wordWrap/>
              <w:topLinePunct w:val="0"/>
              <w:spacing w:line="42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（1）承诺在施工期间不拖欠农民工工资，有支付农民工工资专项保证金，并有违背承诺时的自罚措施，得2分；</w:t>
            </w:r>
          </w:p>
          <w:p w14:paraId="66D2A411">
            <w:pPr>
              <w:widowControl/>
              <w:wordWrap/>
              <w:topLinePunct w:val="0"/>
              <w:spacing w:line="42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（2）合理化建议：根据本项目的特点、重点、难点提出合理性的建议，得1分；</w:t>
            </w:r>
          </w:p>
          <w:p w14:paraId="7C918182">
            <w:pPr>
              <w:widowControl/>
              <w:wordWrap/>
              <w:topLinePunct w:val="0"/>
              <w:spacing w:line="42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（3）承诺根据采购人实际情况，及时调整施工时间及施工方案（如：雨季施工、夜间施工），得2分；</w:t>
            </w:r>
          </w:p>
          <w:p w14:paraId="0DD2C5CE">
            <w:pPr>
              <w:widowControl/>
              <w:wordWrap/>
              <w:topLinePunct w:val="0"/>
              <w:spacing w:line="42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（4）以上缺项得0分。</w:t>
            </w:r>
          </w:p>
        </w:tc>
      </w:tr>
      <w:tr w14:paraId="2C49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1012" w:type="dxa"/>
            <w:vMerge w:val="continue"/>
            <w:vAlign w:val="center"/>
          </w:tcPr>
          <w:p w14:paraId="623ABA88">
            <w:pPr>
              <w:pStyle w:val="55"/>
              <w:spacing w:line="460" w:lineRule="exact"/>
              <w:jc w:val="center"/>
              <w:rPr>
                <w:rFonts w:hint="eastAsia" w:ascii="宋体" w:hAnsi="宋体" w:eastAsia="宋体" w:cs="宋体"/>
                <w:color w:val="auto"/>
                <w:sz w:val="21"/>
                <w:szCs w:val="21"/>
                <w:highlight w:val="none"/>
              </w:rPr>
            </w:pPr>
          </w:p>
        </w:tc>
        <w:tc>
          <w:tcPr>
            <w:tcW w:w="1485" w:type="dxa"/>
            <w:vMerge w:val="continue"/>
            <w:vAlign w:val="center"/>
          </w:tcPr>
          <w:p w14:paraId="6C3601D5">
            <w:pPr>
              <w:pStyle w:val="55"/>
              <w:spacing w:line="460" w:lineRule="exact"/>
              <w:jc w:val="center"/>
              <w:rPr>
                <w:rFonts w:hint="eastAsia" w:ascii="宋体" w:hAnsi="宋体" w:eastAsia="宋体" w:cs="宋体"/>
                <w:color w:val="auto"/>
                <w:sz w:val="21"/>
                <w:szCs w:val="21"/>
                <w:highlight w:val="none"/>
              </w:rPr>
            </w:pPr>
          </w:p>
        </w:tc>
        <w:tc>
          <w:tcPr>
            <w:tcW w:w="1910" w:type="dxa"/>
            <w:vAlign w:val="center"/>
          </w:tcPr>
          <w:p w14:paraId="2CF1FCFE">
            <w:pPr>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服务承诺（</w:t>
            </w:r>
            <w:r>
              <w:rPr>
                <w:rFonts w:hint="eastAsia" w:ascii="宋体" w:hAnsi="宋体" w:eastAsia="宋体" w:cs="宋体"/>
                <w:color w:val="auto"/>
                <w:sz w:val="21"/>
                <w:szCs w:val="21"/>
                <w:highlight w:val="none"/>
                <w:lang w:val="en-US" w:eastAsia="zh-CN"/>
              </w:rPr>
              <w:t>5分）</w:t>
            </w:r>
          </w:p>
        </w:tc>
        <w:tc>
          <w:tcPr>
            <w:tcW w:w="5146" w:type="dxa"/>
            <w:vAlign w:val="center"/>
          </w:tcPr>
          <w:p w14:paraId="33D53544">
            <w:pPr>
              <w:widowControl/>
              <w:wordWrap/>
              <w:topLinePunct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（1）全面完善且可落地，承诺条款完整涵盖装修材料质保期限（如涂料、防水等具体品类质保年限）、施工工艺保修范围（墙外立面等）、环保指标保障（甲醛 / 苯含量达标承诺）、48小时内故障响应机制及维修标准；保障措施包含「报修受理→现场勘查→方案制定→维修实施→二次验收→档案归档」全流程闭环，明确保修期外维护方案（含分项收费标准、定期巡检计划及增值服务清单），实现质量问题可追溯、责任可界定、服务可量化，得5分。</w:t>
            </w:r>
          </w:p>
          <w:p w14:paraId="1C0F45A5">
            <w:pPr>
              <w:widowControl/>
              <w:wordWrap/>
              <w:topLinePunct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框架合理但需优化，有基础服务流程（报修渠道、响应时效承诺），保障措施具备可行性但存在细节缺失（如：未明确防水工程最低保修年限、材料质保期标注笼统、处理流程未细化），可满足日常维修需求但缺乏特殊场景（如遇到极端天气、大面积墙皮脱落）应急预案，得3分。​</w:t>
            </w:r>
          </w:p>
          <w:p w14:paraId="611CB281">
            <w:pPr>
              <w:widowControl/>
              <w:wordWrap/>
              <w:topLinePunct w:val="0"/>
              <w:spacing w:line="420" w:lineRule="exact"/>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rPr>
              <w:t>（3）模糊笼统或存缺陷承诺表述仅泛化提及「承担装修质量责任」，未具体界定保修范围、响应机制（无具体报修渠道、处理时限承诺）；保障措施缺乏实操性（如保修期外收费无计价依据、重大质量问题处理流程空白），关键环节（如装修污染超标治理责任、保修期内返工材料损耗承担方）存在逻辑漏洞或条款缺失，难以形成有效质量保障，或质量保障条款完全缺失，得0分。</w:t>
            </w:r>
          </w:p>
        </w:tc>
      </w:tr>
      <w:tr w14:paraId="58A6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3" w:type="dxa"/>
            <w:gridSpan w:val="4"/>
            <w:vAlign w:val="center"/>
          </w:tcPr>
          <w:p w14:paraId="705C696B">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CFE3C06">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1、供应商综合得分=</w:t>
            </w:r>
            <w:r>
              <w:rPr>
                <w:rFonts w:hint="eastAsia" w:ascii="宋体" w:hAnsi="宋体" w:eastAsia="宋体" w:cs="宋体"/>
                <w:color w:val="auto"/>
                <w:sz w:val="21"/>
                <w:szCs w:val="21"/>
                <w:highlight w:val="none"/>
                <w:lang w:eastAsia="zh-CN"/>
              </w:rPr>
              <w:t>商务部分</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eastAsia="zh-CN"/>
              </w:rPr>
              <w:t>技术部分</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eastAsia="zh-CN"/>
              </w:rPr>
              <w:t>综合部分</w:t>
            </w:r>
            <w:r>
              <w:rPr>
                <w:rFonts w:hint="eastAsia" w:ascii="宋体" w:hAnsi="宋体" w:eastAsia="宋体" w:cs="宋体"/>
                <w:color w:val="auto"/>
                <w:sz w:val="21"/>
                <w:szCs w:val="21"/>
                <w:highlight w:val="none"/>
              </w:rPr>
              <w:t>得分；</w:t>
            </w:r>
          </w:p>
          <w:p w14:paraId="4B8AC90E">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2、在磋商小组成员完成供应商综合得分的汇总后，取算术平均值，作为该供应商的最终得分；</w:t>
            </w:r>
          </w:p>
          <w:p w14:paraId="59EF4B18">
            <w:pPr>
              <w:autoSpaceDE w:val="0"/>
              <w:autoSpaceDN w:val="0"/>
              <w:adjustRightInd w:val="0"/>
              <w:spacing w:before="50"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3、本办法计算过程中分值按四舍五入保留两位小数，最终结果按四舍五入保留两位小数。</w:t>
            </w:r>
          </w:p>
        </w:tc>
      </w:tr>
    </w:tbl>
    <w:p w14:paraId="1740C03E">
      <w:pPr>
        <w:spacing w:line="460" w:lineRule="exact"/>
        <w:rPr>
          <w:rFonts w:hint="eastAsia" w:ascii="宋体" w:hAnsi="宋体" w:eastAsia="宋体" w:cs="宋体"/>
          <w:color w:val="auto"/>
          <w:highlight w:val="none"/>
        </w:rPr>
      </w:pPr>
      <w:bookmarkStart w:id="247" w:name="_Toc27261"/>
      <w:r>
        <w:rPr>
          <w:rFonts w:hint="eastAsia" w:ascii="宋体" w:hAnsi="宋体" w:eastAsia="宋体" w:cs="宋体"/>
          <w:color w:val="auto"/>
          <w:highlight w:val="none"/>
        </w:rPr>
        <w:br w:type="page"/>
      </w:r>
      <w:r>
        <w:rPr>
          <w:rFonts w:hint="eastAsia" w:ascii="宋体" w:hAnsi="宋体" w:eastAsia="宋体" w:cs="宋体"/>
          <w:color w:val="auto"/>
          <w:highlight w:val="none"/>
        </w:rPr>
        <w:t>1. 评审方法</w:t>
      </w:r>
      <w:bookmarkEnd w:id="236"/>
      <w:bookmarkEnd w:id="237"/>
      <w:bookmarkEnd w:id="238"/>
      <w:bookmarkEnd w:id="239"/>
      <w:bookmarkEnd w:id="247"/>
    </w:p>
    <w:p w14:paraId="0C1C7263">
      <w:pPr>
        <w:autoSpaceDE w:val="0"/>
        <w:autoSpaceDN w:val="0"/>
        <w:adjustRightInd w:val="0"/>
        <w:spacing w:line="460" w:lineRule="exact"/>
        <w:ind w:firstLine="420" w:firstLineChars="200"/>
        <w:jc w:val="left"/>
        <w:rPr>
          <w:rFonts w:hint="eastAsia" w:ascii="宋体" w:hAnsi="宋体" w:eastAsia="宋体" w:cs="宋体"/>
          <w:color w:val="auto"/>
          <w:kern w:val="0"/>
          <w:highlight w:val="none"/>
        </w:rPr>
      </w:pPr>
      <w:bookmarkStart w:id="248" w:name="_Toc389632241"/>
      <w:bookmarkStart w:id="249" w:name="_Toc496867160"/>
      <w:bookmarkStart w:id="250" w:name="_Toc413834359"/>
      <w:bookmarkStart w:id="251" w:name="_Toc334033064"/>
      <w:bookmarkStart w:id="252" w:name="_Toc10620"/>
      <w:bookmarkStart w:id="253" w:name="_Toc12681"/>
      <w:r>
        <w:rPr>
          <w:rFonts w:hint="eastAsia" w:ascii="宋体" w:hAnsi="宋体" w:eastAsia="宋体" w:cs="宋体"/>
          <w:color w:val="auto"/>
          <w:highlight w:val="none"/>
        </w:rPr>
        <w:t>本次磋商采用综合评分法。磋商小组成员会对满足竞争性磋商文件实质性要求的响应文件，按照本章第2.2款规定的评分标准进行打分，并按得分由高到低顺序推荐成交候选人</w:t>
      </w:r>
      <w:r>
        <w:rPr>
          <w:rFonts w:hint="eastAsia" w:ascii="宋体" w:hAnsi="宋体" w:eastAsia="宋体" w:cs="宋体"/>
          <w:color w:val="auto"/>
          <w:kern w:val="0"/>
          <w:highlight w:val="none"/>
        </w:rPr>
        <w:t>，但磋商报价低于其成本的除外。综合评分相等时，以磋商报价低的优先；磋商报价也相等的，</w:t>
      </w:r>
      <w:r>
        <w:rPr>
          <w:rFonts w:hint="eastAsia" w:ascii="宋体" w:hAnsi="宋体" w:eastAsia="宋体" w:cs="宋体"/>
          <w:color w:val="auto"/>
          <w:highlight w:val="none"/>
        </w:rPr>
        <w:t>磋商小组择优推荐</w:t>
      </w:r>
      <w:r>
        <w:rPr>
          <w:rFonts w:hint="eastAsia" w:ascii="宋体" w:hAnsi="宋体" w:eastAsia="宋体" w:cs="宋体"/>
          <w:color w:val="auto"/>
          <w:kern w:val="0"/>
          <w:highlight w:val="none"/>
        </w:rPr>
        <w:t>。</w:t>
      </w:r>
    </w:p>
    <w:p w14:paraId="37D6C70B">
      <w:pPr>
        <w:spacing w:line="460" w:lineRule="exact"/>
        <w:rPr>
          <w:rFonts w:hint="eastAsia" w:ascii="宋体" w:hAnsi="宋体" w:eastAsia="宋体" w:cs="宋体"/>
          <w:color w:val="auto"/>
          <w:highlight w:val="none"/>
        </w:rPr>
      </w:pPr>
      <w:r>
        <w:rPr>
          <w:rFonts w:hint="eastAsia" w:ascii="宋体" w:hAnsi="宋体" w:eastAsia="宋体" w:cs="宋体"/>
          <w:color w:val="auto"/>
          <w:highlight w:val="none"/>
        </w:rPr>
        <w:t>2. 磋商标准</w:t>
      </w:r>
      <w:bookmarkEnd w:id="248"/>
      <w:bookmarkEnd w:id="249"/>
      <w:bookmarkEnd w:id="250"/>
      <w:bookmarkEnd w:id="251"/>
      <w:bookmarkEnd w:id="252"/>
      <w:bookmarkEnd w:id="253"/>
    </w:p>
    <w:p w14:paraId="77CBC4C6">
      <w:pPr>
        <w:spacing w:line="460" w:lineRule="exact"/>
        <w:rPr>
          <w:rFonts w:hint="eastAsia" w:ascii="宋体" w:hAnsi="宋体" w:eastAsia="宋体" w:cs="宋体"/>
          <w:color w:val="auto"/>
          <w:highlight w:val="none"/>
        </w:rPr>
      </w:pPr>
      <w:bookmarkStart w:id="254" w:name="_Toc28126"/>
      <w:bookmarkStart w:id="255" w:name="_Toc334033065"/>
      <w:bookmarkStart w:id="256" w:name="_Toc389632242"/>
      <w:bookmarkStart w:id="257" w:name="_Toc7362"/>
      <w:bookmarkStart w:id="258" w:name="_Toc496867161"/>
      <w:bookmarkStart w:id="259" w:name="_Toc413834360"/>
      <w:r>
        <w:rPr>
          <w:rFonts w:hint="eastAsia" w:ascii="宋体" w:hAnsi="宋体" w:eastAsia="宋体" w:cs="宋体"/>
          <w:color w:val="auto"/>
          <w:highlight w:val="none"/>
        </w:rPr>
        <w:t>2.1 初步评审标准</w:t>
      </w:r>
      <w:bookmarkEnd w:id="254"/>
      <w:bookmarkEnd w:id="255"/>
      <w:bookmarkEnd w:id="256"/>
      <w:bookmarkEnd w:id="257"/>
      <w:bookmarkEnd w:id="258"/>
      <w:bookmarkEnd w:id="259"/>
    </w:p>
    <w:p w14:paraId="254E8974">
      <w:pPr>
        <w:autoSpaceDE w:val="0"/>
        <w:autoSpaceDN w:val="0"/>
        <w:adjustRightInd w:val="0"/>
        <w:spacing w:line="460" w:lineRule="exact"/>
        <w:ind w:left="540" w:left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2.1.1 形式评审标准：见磋商办法前附表。</w:t>
      </w:r>
    </w:p>
    <w:p w14:paraId="48F8455A">
      <w:pPr>
        <w:autoSpaceDE w:val="0"/>
        <w:autoSpaceDN w:val="0"/>
        <w:adjustRightInd w:val="0"/>
        <w:spacing w:line="460" w:lineRule="exact"/>
        <w:ind w:left="540" w:left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2.1.2 资格评审标准：见磋商办法前附表。</w:t>
      </w:r>
    </w:p>
    <w:p w14:paraId="13E3E98E">
      <w:pPr>
        <w:autoSpaceDE w:val="0"/>
        <w:autoSpaceDN w:val="0"/>
        <w:adjustRightInd w:val="0"/>
        <w:spacing w:line="460" w:lineRule="exact"/>
        <w:ind w:left="540" w:left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2.1.3 响应性评审标准：见磋商办法前附表。</w:t>
      </w:r>
    </w:p>
    <w:p w14:paraId="78698FE7">
      <w:pPr>
        <w:spacing w:line="460" w:lineRule="exact"/>
        <w:rPr>
          <w:rFonts w:hint="eastAsia" w:ascii="宋体" w:hAnsi="宋体" w:eastAsia="宋体" w:cs="宋体"/>
          <w:color w:val="auto"/>
          <w:highlight w:val="none"/>
        </w:rPr>
      </w:pPr>
      <w:bookmarkStart w:id="260" w:name="_Toc413834361"/>
      <w:bookmarkStart w:id="261" w:name="_Toc496867162"/>
      <w:bookmarkStart w:id="262" w:name="_Toc21730"/>
      <w:bookmarkStart w:id="263" w:name="_Toc961"/>
      <w:bookmarkStart w:id="264" w:name="_Toc334033066"/>
      <w:bookmarkStart w:id="265" w:name="_Toc389632243"/>
      <w:r>
        <w:rPr>
          <w:rFonts w:hint="eastAsia" w:ascii="宋体" w:hAnsi="宋体" w:eastAsia="宋体" w:cs="宋体"/>
          <w:color w:val="auto"/>
          <w:highlight w:val="none"/>
        </w:rPr>
        <w:t>2.2 分值构成与评分标准</w:t>
      </w:r>
      <w:bookmarkEnd w:id="260"/>
      <w:bookmarkEnd w:id="261"/>
      <w:bookmarkEnd w:id="262"/>
      <w:bookmarkEnd w:id="263"/>
      <w:bookmarkEnd w:id="264"/>
      <w:bookmarkEnd w:id="265"/>
    </w:p>
    <w:p w14:paraId="0D1F4BC6">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2.2.1 分值构成</w:t>
      </w:r>
    </w:p>
    <w:p w14:paraId="31C81020">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bookmarkStart w:id="266" w:name="OLE_LINK10"/>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eastAsia="zh-CN"/>
        </w:rPr>
        <w:t>商务部分</w:t>
      </w:r>
      <w:r>
        <w:rPr>
          <w:rFonts w:hint="eastAsia" w:ascii="宋体" w:hAnsi="宋体" w:eastAsia="宋体" w:cs="宋体"/>
          <w:color w:val="auto"/>
          <w:kern w:val="0"/>
          <w:highlight w:val="none"/>
        </w:rPr>
        <w:t>：见磋商办法前附表；</w:t>
      </w:r>
    </w:p>
    <w:p w14:paraId="0C8BFE5A">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lang w:eastAsia="zh-CN"/>
        </w:rPr>
        <w:t>技术部分</w:t>
      </w:r>
      <w:r>
        <w:rPr>
          <w:rFonts w:hint="eastAsia" w:ascii="宋体" w:hAnsi="宋体" w:eastAsia="宋体" w:cs="宋体"/>
          <w:color w:val="auto"/>
          <w:kern w:val="0"/>
          <w:highlight w:val="none"/>
        </w:rPr>
        <w:t>：见磋商办法前附表；</w:t>
      </w:r>
    </w:p>
    <w:p w14:paraId="35FB639C">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r>
        <w:rPr>
          <w:rFonts w:hint="eastAsia" w:ascii="宋体" w:hAnsi="宋体" w:eastAsia="宋体" w:cs="宋体"/>
          <w:bCs/>
          <w:color w:val="auto"/>
          <w:highlight w:val="none"/>
          <w:lang w:eastAsia="zh-CN"/>
        </w:rPr>
        <w:t>综合部分</w:t>
      </w:r>
      <w:r>
        <w:rPr>
          <w:rFonts w:hint="eastAsia" w:ascii="宋体" w:hAnsi="宋体" w:eastAsia="宋体" w:cs="宋体"/>
          <w:color w:val="auto"/>
          <w:kern w:val="0"/>
          <w:highlight w:val="none"/>
        </w:rPr>
        <w:t>：见磋商办法前附表；</w:t>
      </w:r>
    </w:p>
    <w:bookmarkEnd w:id="266"/>
    <w:p w14:paraId="2112092C">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2.2.2 磋商基准价计算</w:t>
      </w:r>
    </w:p>
    <w:p w14:paraId="77939781">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磋商基准价计算方法：见磋商办法前附表。</w:t>
      </w:r>
    </w:p>
    <w:p w14:paraId="750A4093">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2.2.3 评分标准</w:t>
      </w:r>
    </w:p>
    <w:p w14:paraId="5DA28DC9">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bookmarkStart w:id="267" w:name="_Toc334033067"/>
      <w:bookmarkStart w:id="268" w:name="_Toc389632244"/>
      <w:bookmarkStart w:id="269" w:name="_Toc413834362"/>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eastAsia="zh-CN"/>
        </w:rPr>
        <w:t>商务部分</w:t>
      </w:r>
      <w:r>
        <w:rPr>
          <w:rFonts w:hint="eastAsia" w:ascii="宋体" w:hAnsi="宋体" w:eastAsia="宋体" w:cs="宋体"/>
          <w:color w:val="auto"/>
          <w:kern w:val="0"/>
          <w:highlight w:val="none"/>
        </w:rPr>
        <w:t>：见磋商办法前附表；</w:t>
      </w:r>
    </w:p>
    <w:p w14:paraId="7C6BDAD0">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lang w:eastAsia="zh-CN"/>
        </w:rPr>
        <w:t>技术部分</w:t>
      </w:r>
      <w:r>
        <w:rPr>
          <w:rFonts w:hint="eastAsia" w:ascii="宋体" w:hAnsi="宋体" w:eastAsia="宋体" w:cs="宋体"/>
          <w:color w:val="auto"/>
          <w:kern w:val="0"/>
          <w:highlight w:val="none"/>
        </w:rPr>
        <w:t>：见磋商办法前附表；</w:t>
      </w:r>
    </w:p>
    <w:p w14:paraId="15810116">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r>
        <w:rPr>
          <w:rFonts w:hint="eastAsia" w:ascii="宋体" w:hAnsi="宋体" w:eastAsia="宋体" w:cs="宋体"/>
          <w:bCs/>
          <w:color w:val="auto"/>
          <w:highlight w:val="none"/>
          <w:lang w:eastAsia="zh-CN"/>
        </w:rPr>
        <w:t>综合部分</w:t>
      </w:r>
      <w:r>
        <w:rPr>
          <w:rFonts w:hint="eastAsia" w:ascii="宋体" w:hAnsi="宋体" w:eastAsia="宋体" w:cs="宋体"/>
          <w:color w:val="auto"/>
          <w:kern w:val="0"/>
          <w:highlight w:val="none"/>
        </w:rPr>
        <w:t>：见磋商办法前附表；</w:t>
      </w:r>
    </w:p>
    <w:p w14:paraId="03BA0F7A">
      <w:pPr>
        <w:spacing w:line="460" w:lineRule="exact"/>
        <w:rPr>
          <w:rFonts w:hint="eastAsia" w:ascii="宋体" w:hAnsi="宋体" w:eastAsia="宋体" w:cs="宋体"/>
          <w:color w:val="auto"/>
          <w:highlight w:val="none"/>
        </w:rPr>
      </w:pPr>
      <w:bookmarkStart w:id="270" w:name="_Toc496867163"/>
      <w:bookmarkStart w:id="271" w:name="_Toc6780"/>
      <w:bookmarkStart w:id="272" w:name="_Toc23555"/>
      <w:r>
        <w:rPr>
          <w:rFonts w:hint="eastAsia" w:ascii="宋体" w:hAnsi="宋体" w:eastAsia="宋体" w:cs="宋体"/>
          <w:color w:val="auto"/>
          <w:highlight w:val="none"/>
        </w:rPr>
        <w:t>3. 评审程序</w:t>
      </w:r>
      <w:bookmarkEnd w:id="267"/>
      <w:bookmarkEnd w:id="268"/>
      <w:bookmarkEnd w:id="269"/>
      <w:bookmarkEnd w:id="270"/>
      <w:bookmarkEnd w:id="271"/>
      <w:bookmarkEnd w:id="272"/>
    </w:p>
    <w:p w14:paraId="7EFE45E7">
      <w:pPr>
        <w:spacing w:line="460" w:lineRule="exact"/>
        <w:rPr>
          <w:rFonts w:hint="eastAsia" w:ascii="宋体" w:hAnsi="宋体" w:eastAsia="宋体" w:cs="宋体"/>
          <w:color w:val="auto"/>
          <w:highlight w:val="none"/>
        </w:rPr>
      </w:pPr>
      <w:bookmarkStart w:id="273" w:name="_Toc152045605"/>
      <w:bookmarkStart w:id="274" w:name="_Toc11698"/>
      <w:bookmarkStart w:id="275" w:name="_Toc152042382"/>
      <w:bookmarkStart w:id="276" w:name="_Toc144974572"/>
      <w:bookmarkStart w:id="277" w:name="_Toc31853"/>
      <w:bookmarkStart w:id="278" w:name="_Toc9194"/>
      <w:bookmarkStart w:id="279" w:name="_Toc496867164"/>
      <w:bookmarkStart w:id="280" w:name="_Toc389632246"/>
      <w:bookmarkStart w:id="281" w:name="_Toc413834364"/>
      <w:bookmarkStart w:id="282" w:name="_Toc334033069"/>
      <w:r>
        <w:rPr>
          <w:rFonts w:hint="eastAsia" w:ascii="宋体" w:hAnsi="宋体" w:eastAsia="宋体" w:cs="宋体"/>
          <w:color w:val="auto"/>
          <w:highlight w:val="none"/>
        </w:rPr>
        <w:t>3.1 初步评审</w:t>
      </w:r>
      <w:bookmarkEnd w:id="273"/>
      <w:bookmarkEnd w:id="274"/>
      <w:bookmarkEnd w:id="275"/>
      <w:bookmarkEnd w:id="276"/>
      <w:bookmarkEnd w:id="277"/>
      <w:bookmarkEnd w:id="278"/>
      <w:bookmarkEnd w:id="279"/>
    </w:p>
    <w:p w14:paraId="5A86514C">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3.1.1磋商小组根据供应商提交“磋商办法前附表”规定的资料，进行核验。磋商小组依据本章第2.1款规定的标准对响应文件进行初步评审。有一项不符合评审标准的，其磋商予以否决。</w:t>
      </w:r>
    </w:p>
    <w:p w14:paraId="24B1CA7D">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3.1.2供应商有以下情形之一的，其磋商予以否决：</w:t>
      </w:r>
    </w:p>
    <w:p w14:paraId="2F8776D1">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（1）第二章“供应商须知”第1.4.3项规定的任何一种情形的；</w:t>
      </w:r>
    </w:p>
    <w:p w14:paraId="1CCC1992">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（2）串通磋商或弄虚作假或有其他违法行为的；</w:t>
      </w:r>
    </w:p>
    <w:p w14:paraId="68710DF9">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（3）不按磋商小组要求澄清、说明或补正的；</w:t>
      </w:r>
    </w:p>
    <w:p w14:paraId="72F6F579">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3.1.3磋商报价有算术错误的，磋商小组按以下原则对磋商报价进行修正，修正的价格经供应商书面确认后具有约束力。供应商不接受修正价格的，其磋商予以否决。</w:t>
      </w:r>
    </w:p>
    <w:p w14:paraId="4B2E93A2">
      <w:pPr>
        <w:autoSpaceDE w:val="0"/>
        <w:autoSpaceDN w:val="0"/>
        <w:adjustRightInd w:val="0"/>
        <w:spacing w:line="4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（1）响应文件中报价函内容与响应文件中相应内容不一致的，以报价函为准；</w:t>
      </w:r>
    </w:p>
    <w:p w14:paraId="78EBD855">
      <w:pPr>
        <w:autoSpaceDE w:val="0"/>
        <w:autoSpaceDN w:val="0"/>
        <w:adjustRightInd w:val="0"/>
        <w:spacing w:line="4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（2）大写金额和小写金额不一致的，以大写金额为准；</w:t>
      </w:r>
    </w:p>
    <w:p w14:paraId="58B5C9E5">
      <w:pPr>
        <w:autoSpaceDE w:val="0"/>
        <w:autoSpaceDN w:val="0"/>
        <w:adjustRightInd w:val="0"/>
        <w:spacing w:line="4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（3）单价金额小数点或者百分比有明显错位的，以磋商一览表的总价为准，并修改单价；</w:t>
      </w:r>
    </w:p>
    <w:p w14:paraId="1F72DD94">
      <w:pPr>
        <w:autoSpaceDE w:val="0"/>
        <w:autoSpaceDN w:val="0"/>
        <w:adjustRightInd w:val="0"/>
        <w:spacing w:line="4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（4）总价金额与按单价汇总金额不一致的，以单价金额计算结果为准；</w:t>
      </w:r>
    </w:p>
    <w:p w14:paraId="55CFA41D">
      <w:pPr>
        <w:autoSpaceDE w:val="0"/>
        <w:autoSpaceDN w:val="0"/>
        <w:adjustRightInd w:val="0"/>
        <w:spacing w:line="4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（5）同时出现两种以上不一致的，按照前款规定的顺序修正。</w:t>
      </w:r>
    </w:p>
    <w:p w14:paraId="78EC9F47">
      <w:pPr>
        <w:spacing w:line="460" w:lineRule="exact"/>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3.1.4</w:t>
      </w:r>
      <w:r>
        <w:rPr>
          <w:rFonts w:hint="eastAsia" w:ascii="宋体" w:hAnsi="宋体" w:eastAsia="宋体" w:cs="宋体"/>
          <w:b/>
          <w:bCs/>
          <w:color w:val="auto"/>
          <w:highlight w:val="none"/>
          <w:lang w:eastAsia="zh-CN"/>
        </w:rPr>
        <w:t>磋商中出现下列情形之一的，磋商小组</w:t>
      </w:r>
      <w:r>
        <w:rPr>
          <w:rFonts w:hint="eastAsia" w:ascii="宋体" w:hAnsi="宋体" w:eastAsia="宋体" w:cs="宋体"/>
          <w:b/>
          <w:bCs/>
          <w:color w:val="auto"/>
          <w:highlight w:val="none"/>
          <w:lang w:val="en" w:eastAsia="zh-CN"/>
        </w:rPr>
        <w:t>应当启动异常低价投标（响应）审查程序：</w:t>
      </w:r>
    </w:p>
    <w:p w14:paraId="63C567FF">
      <w:pPr>
        <w:autoSpaceDE w:val="0"/>
        <w:autoSpaceDN w:val="0"/>
        <w:adjustRightInd w:val="0"/>
        <w:spacing w:line="460" w:lineRule="exact"/>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eastAsia="zh-CN"/>
        </w:rPr>
        <w:t>1）</w:t>
      </w:r>
      <w:r>
        <w:rPr>
          <w:rFonts w:hint="eastAsia" w:ascii="宋体" w:hAnsi="宋体" w:eastAsia="宋体" w:cs="宋体"/>
          <w:color w:val="auto"/>
          <w:kern w:val="0"/>
          <w:highlight w:val="none"/>
          <w:lang w:val="en-US" w:eastAsia="zh-CN"/>
        </w:rPr>
        <w:t>投标（响应）报价低于全部通过符合性审查供应商投标（响应）报价平均值50%的，即投标（响应）报价&lt;全部通过符合性审查供应商投标（响应）报价平均值×50%；</w:t>
      </w:r>
    </w:p>
    <w:p w14:paraId="608CA434">
      <w:pPr>
        <w:autoSpaceDE w:val="0"/>
        <w:autoSpaceDN w:val="0"/>
        <w:adjustRightInd w:val="0"/>
        <w:spacing w:line="460" w:lineRule="exact"/>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投标（响应）报价低于通过符合性审查的次低报价供应商投标（响应）报价50%的，即投标（响应）报价&lt;通过符合性审查的次低报价供应商投标（响应）报价×50%；</w:t>
      </w:r>
    </w:p>
    <w:p w14:paraId="6F80427E">
      <w:pPr>
        <w:autoSpaceDE w:val="0"/>
        <w:autoSpaceDN w:val="0"/>
        <w:adjustRightInd w:val="0"/>
        <w:spacing w:line="460" w:lineRule="exact"/>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投标（响应）报价低于采购项目最高限价45%的，即投标（响应）报价&lt;采购项目最高限价×45%；</w:t>
      </w:r>
    </w:p>
    <w:p w14:paraId="717EEF12">
      <w:pPr>
        <w:autoSpaceDE w:val="0"/>
        <w:autoSpaceDN w:val="0"/>
        <w:adjustRightInd w:val="0"/>
        <w:spacing w:line="460" w:lineRule="exact"/>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eastAsia="zh-CN"/>
        </w:rPr>
        <w:t>）磋商小组</w:t>
      </w:r>
      <w:r>
        <w:rPr>
          <w:rFonts w:hint="eastAsia" w:ascii="宋体" w:hAnsi="宋体" w:eastAsia="宋体" w:cs="宋体"/>
          <w:color w:val="auto"/>
          <w:kern w:val="0"/>
          <w:highlight w:val="none"/>
          <w:lang w:val="en-US" w:eastAsia="zh-CN"/>
        </w:rPr>
        <w:t>认为供应商报价过低，有可能影响产品质量或者不能诚信履约的其他情形。</w:t>
      </w:r>
    </w:p>
    <w:p w14:paraId="57C90D31">
      <w:pPr>
        <w:autoSpaceDE w:val="0"/>
        <w:autoSpaceDN w:val="0"/>
        <w:adjustRightInd w:val="0"/>
        <w:spacing w:line="460" w:lineRule="exact"/>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相关法律法规对供应商报价有规定的，从其规定。</w:t>
      </w:r>
    </w:p>
    <w:p w14:paraId="30175D61">
      <w:pPr>
        <w:autoSpaceDE w:val="0"/>
        <w:autoSpaceDN w:val="0"/>
        <w:adjustRightInd w:val="0"/>
        <w:spacing w:line="460" w:lineRule="exact"/>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3.1.5.磋商小组启动异常低价响应审查后，属于前述第1项至第4项情形的，磋商小组将通过交易系统向该供应商发出通知，要求该供应商通过交易系统（接到通知后30分钟内）提供书面说明，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41AC0C47">
      <w:pPr>
        <w:autoSpaceDE w:val="0"/>
        <w:autoSpaceDN w:val="0"/>
        <w:adjustRightInd w:val="0"/>
        <w:spacing w:line="460" w:lineRule="exact"/>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0EE472BF">
      <w:pPr>
        <w:autoSpaceDE w:val="0"/>
        <w:autoSpaceDN w:val="0"/>
        <w:adjustRightInd w:val="0"/>
        <w:spacing w:line="460" w:lineRule="exact"/>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供应商的书面说明材料应当加盖供应商单位及法定代表人（或负责人）的电子签章，否则无效。</w:t>
      </w:r>
    </w:p>
    <w:p w14:paraId="300CEE18">
      <w:pPr>
        <w:spacing w:line="460" w:lineRule="exact"/>
        <w:rPr>
          <w:rFonts w:hint="eastAsia" w:ascii="宋体" w:hAnsi="宋体" w:eastAsia="宋体" w:cs="宋体"/>
          <w:color w:val="auto"/>
          <w:highlight w:val="none"/>
        </w:rPr>
      </w:pPr>
      <w:bookmarkStart w:id="283" w:name="_Toc496867165"/>
      <w:bookmarkStart w:id="284" w:name="_Toc27852"/>
      <w:bookmarkStart w:id="285" w:name="_Toc3125"/>
      <w:r>
        <w:rPr>
          <w:rFonts w:hint="eastAsia" w:ascii="宋体" w:hAnsi="宋体" w:eastAsia="宋体" w:cs="宋体"/>
          <w:color w:val="auto"/>
          <w:highlight w:val="none"/>
        </w:rPr>
        <w:t>3.2 详细</w:t>
      </w:r>
      <w:bookmarkEnd w:id="280"/>
      <w:bookmarkEnd w:id="281"/>
      <w:bookmarkEnd w:id="282"/>
      <w:bookmarkEnd w:id="283"/>
      <w:r>
        <w:rPr>
          <w:rFonts w:hint="eastAsia" w:ascii="宋体" w:hAnsi="宋体" w:eastAsia="宋体" w:cs="宋体"/>
          <w:color w:val="auto"/>
          <w:highlight w:val="none"/>
        </w:rPr>
        <w:t>磋商</w:t>
      </w:r>
      <w:bookmarkEnd w:id="284"/>
      <w:bookmarkEnd w:id="285"/>
    </w:p>
    <w:p w14:paraId="69D8B9C3">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3.2.1 磋商小组按本章第2.2款规定的量化因素和分值进行打分，并计算出综合评估得分。</w:t>
      </w:r>
    </w:p>
    <w:p w14:paraId="19554026">
      <w:pPr>
        <w:autoSpaceDE w:val="0"/>
        <w:autoSpaceDN w:val="0"/>
        <w:adjustRightInd w:val="0"/>
        <w:spacing w:line="4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（1）按本</w:t>
      </w:r>
      <w:r>
        <w:rPr>
          <w:rFonts w:hint="eastAsia" w:ascii="宋体" w:hAnsi="宋体" w:eastAsia="宋体" w:cs="宋体"/>
          <w:color w:val="auto"/>
          <w:highlight w:val="none"/>
        </w:rPr>
        <w:t>章第2.2.3（1）规定的评</w:t>
      </w:r>
      <w:r>
        <w:rPr>
          <w:rFonts w:hint="eastAsia" w:ascii="宋体" w:hAnsi="宋体" w:eastAsia="宋体" w:cs="宋体"/>
          <w:color w:val="auto"/>
          <w:kern w:val="0"/>
          <w:highlight w:val="none"/>
        </w:rPr>
        <w:t>审因素和分值对</w:t>
      </w:r>
      <w:r>
        <w:rPr>
          <w:rFonts w:hint="eastAsia" w:ascii="宋体" w:hAnsi="宋体" w:eastAsia="宋体" w:cs="宋体"/>
          <w:color w:val="auto"/>
          <w:kern w:val="0"/>
          <w:highlight w:val="none"/>
          <w:lang w:eastAsia="zh-CN"/>
        </w:rPr>
        <w:t>商务部分</w:t>
      </w:r>
      <w:r>
        <w:rPr>
          <w:rFonts w:hint="eastAsia" w:ascii="宋体" w:hAnsi="宋体" w:eastAsia="宋体" w:cs="宋体"/>
          <w:color w:val="auto"/>
          <w:kern w:val="0"/>
          <w:highlight w:val="none"/>
        </w:rPr>
        <w:t>计算出得分A；</w:t>
      </w:r>
    </w:p>
    <w:p w14:paraId="0871ED01">
      <w:pPr>
        <w:autoSpaceDE w:val="0"/>
        <w:autoSpaceDN w:val="0"/>
        <w:adjustRightInd w:val="0"/>
        <w:spacing w:line="4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（2）按本</w:t>
      </w:r>
      <w:r>
        <w:rPr>
          <w:rFonts w:hint="eastAsia" w:ascii="宋体" w:hAnsi="宋体" w:eastAsia="宋体" w:cs="宋体"/>
          <w:color w:val="auto"/>
          <w:highlight w:val="none"/>
        </w:rPr>
        <w:t>章</w:t>
      </w:r>
      <w:r>
        <w:rPr>
          <w:rFonts w:hint="eastAsia" w:ascii="宋体" w:hAnsi="宋体" w:eastAsia="宋体" w:cs="宋体"/>
          <w:color w:val="auto"/>
          <w:kern w:val="0"/>
          <w:highlight w:val="none"/>
        </w:rPr>
        <w:t>第2.2.3（2）规定的评审因素和分值对</w:t>
      </w:r>
      <w:r>
        <w:rPr>
          <w:rFonts w:hint="eastAsia" w:ascii="宋体" w:hAnsi="宋体" w:eastAsia="宋体" w:cs="宋体"/>
          <w:color w:val="auto"/>
          <w:kern w:val="0"/>
          <w:highlight w:val="none"/>
          <w:lang w:eastAsia="zh-CN"/>
        </w:rPr>
        <w:t>技术部分</w:t>
      </w:r>
      <w:r>
        <w:rPr>
          <w:rFonts w:hint="eastAsia" w:ascii="宋体" w:hAnsi="宋体" w:eastAsia="宋体" w:cs="宋体"/>
          <w:color w:val="auto"/>
          <w:kern w:val="0"/>
          <w:highlight w:val="none"/>
        </w:rPr>
        <w:t>计算出得分B；</w:t>
      </w:r>
    </w:p>
    <w:p w14:paraId="5D9B23EC">
      <w:pPr>
        <w:autoSpaceDE w:val="0"/>
        <w:autoSpaceDN w:val="0"/>
        <w:adjustRightInd w:val="0"/>
        <w:spacing w:line="4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（3）按本章第2.2.3（3）规定的评审因素和分值对</w:t>
      </w:r>
      <w:r>
        <w:rPr>
          <w:rFonts w:hint="eastAsia" w:ascii="宋体" w:hAnsi="宋体" w:eastAsia="宋体" w:cs="宋体"/>
          <w:color w:val="auto"/>
          <w:kern w:val="0"/>
          <w:highlight w:val="none"/>
          <w:lang w:eastAsia="zh-CN"/>
        </w:rPr>
        <w:t>综合部分</w:t>
      </w:r>
      <w:r>
        <w:rPr>
          <w:rFonts w:hint="eastAsia" w:ascii="宋体" w:hAnsi="宋体" w:eastAsia="宋体" w:cs="宋体"/>
          <w:color w:val="auto"/>
          <w:kern w:val="0"/>
          <w:highlight w:val="none"/>
        </w:rPr>
        <w:t>计算出得分C；</w:t>
      </w:r>
    </w:p>
    <w:p w14:paraId="69061A6D">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3.2.2 </w:t>
      </w:r>
      <w:r>
        <w:rPr>
          <w:rFonts w:hint="eastAsia" w:ascii="宋体" w:hAnsi="宋体" w:eastAsia="宋体" w:cs="宋体"/>
          <w:color w:val="auto"/>
          <w:spacing w:val="-4"/>
          <w:kern w:val="0"/>
          <w:highlight w:val="none"/>
        </w:rPr>
        <w:t>本办法计算过程中分值按四舍五入保留两位小数，最终结果按四舍五入保留两位小数。</w:t>
      </w:r>
    </w:p>
    <w:p w14:paraId="11F92876">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3.2.3 供应商得分=A+B+C。</w:t>
      </w:r>
    </w:p>
    <w:p w14:paraId="58B4490B">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3.2.4 磋商小组发现供应商的报价明显低于其他磋商报价，或者在设有标底或</w:t>
      </w:r>
      <w:r>
        <w:rPr>
          <w:rFonts w:hint="eastAsia" w:ascii="宋体" w:hAnsi="宋体" w:eastAsia="宋体" w:cs="宋体"/>
          <w:color w:val="auto"/>
          <w:highlight w:val="none"/>
        </w:rPr>
        <w:t>最高限价</w:t>
      </w:r>
      <w:r>
        <w:rPr>
          <w:rFonts w:hint="eastAsia" w:ascii="宋体" w:hAnsi="宋体" w:eastAsia="宋体" w:cs="宋体"/>
          <w:color w:val="auto"/>
          <w:kern w:val="0"/>
          <w:highlight w:val="none"/>
        </w:rPr>
        <w:t>时明显低于标底或最高限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A73EE7A">
      <w:pPr>
        <w:spacing w:line="460" w:lineRule="exact"/>
        <w:rPr>
          <w:rFonts w:hint="eastAsia" w:ascii="宋体" w:hAnsi="宋体" w:eastAsia="宋体" w:cs="宋体"/>
          <w:color w:val="auto"/>
          <w:highlight w:val="none"/>
        </w:rPr>
      </w:pPr>
      <w:bookmarkStart w:id="286" w:name="_Toc389632247"/>
      <w:bookmarkStart w:id="287" w:name="_Toc7081"/>
      <w:bookmarkStart w:id="288" w:name="_Toc334033070"/>
      <w:bookmarkStart w:id="289" w:name="_Toc496867166"/>
      <w:bookmarkStart w:id="290" w:name="_Toc413834365"/>
      <w:bookmarkStart w:id="291" w:name="_Toc32590"/>
      <w:r>
        <w:rPr>
          <w:rFonts w:hint="eastAsia" w:ascii="宋体" w:hAnsi="宋体" w:eastAsia="宋体" w:cs="宋体"/>
          <w:color w:val="auto"/>
          <w:highlight w:val="none"/>
        </w:rPr>
        <w:t>3.3 响应文件的澄清和补正</w:t>
      </w:r>
      <w:bookmarkEnd w:id="286"/>
      <w:bookmarkEnd w:id="287"/>
      <w:bookmarkEnd w:id="288"/>
      <w:bookmarkEnd w:id="289"/>
      <w:bookmarkEnd w:id="290"/>
      <w:bookmarkEnd w:id="291"/>
    </w:p>
    <w:p w14:paraId="1D167A25">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3.3.1 在评审过程中，磋商小组可以书面形式要求供应商对所提交响应文件中不明确的内容进行书面澄清或说明，或者对细微偏差进行补正。磋商小组不接受供应商主动提出的澄清、说明或补正。</w:t>
      </w:r>
    </w:p>
    <w:p w14:paraId="22A8492A">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3.3.2 澄清、说明和补正不得改变响应文件的实质性内容（算术性错误修正的除外）。供应商的书面澄清、说明和补正属于响应文件的组成部分。</w:t>
      </w:r>
    </w:p>
    <w:p w14:paraId="49D862DB">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3.3.3 磋商小组对供应商提交的澄清、说明或补正有疑问的，可以要求供应商进一步澄清、说明或补正，直至满足磋商小组的要求，供应商拒绝澄清、说明和补正的按无效标处理。</w:t>
      </w:r>
    </w:p>
    <w:p w14:paraId="14E7D771">
      <w:pPr>
        <w:spacing w:line="460" w:lineRule="exact"/>
        <w:rPr>
          <w:rFonts w:hint="eastAsia" w:ascii="宋体" w:hAnsi="宋体" w:eastAsia="宋体" w:cs="宋体"/>
          <w:color w:val="auto"/>
          <w:highlight w:val="none"/>
        </w:rPr>
      </w:pPr>
      <w:bookmarkStart w:id="292" w:name="_Toc21405"/>
      <w:bookmarkStart w:id="293" w:name="_Toc334033071"/>
      <w:bookmarkStart w:id="294" w:name="_Toc20997"/>
      <w:bookmarkStart w:id="295" w:name="_Toc413834366"/>
      <w:bookmarkStart w:id="296" w:name="_Toc496867167"/>
      <w:bookmarkStart w:id="297" w:name="_Toc389632248"/>
      <w:r>
        <w:rPr>
          <w:rFonts w:hint="eastAsia" w:ascii="宋体" w:hAnsi="宋体" w:eastAsia="宋体" w:cs="宋体"/>
          <w:color w:val="auto"/>
          <w:highlight w:val="none"/>
        </w:rPr>
        <w:t>3.4 磋商结果</w:t>
      </w:r>
      <w:bookmarkEnd w:id="292"/>
      <w:bookmarkEnd w:id="293"/>
      <w:bookmarkEnd w:id="294"/>
      <w:bookmarkEnd w:id="295"/>
      <w:bookmarkEnd w:id="296"/>
      <w:bookmarkEnd w:id="297"/>
    </w:p>
    <w:p w14:paraId="76FE6328">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3.4.1 除第二章“供应商须知”前附表授权直接确定成交人外，磋商小组按照得分由高到低的顺序推荐成交候选人。</w:t>
      </w:r>
    </w:p>
    <w:p w14:paraId="79EE95F8">
      <w:pPr>
        <w:autoSpaceDE w:val="0"/>
        <w:autoSpaceDN w:val="0"/>
        <w:adjustRightInd w:val="0"/>
        <w:spacing w:line="460" w:lineRule="exact"/>
        <w:ind w:firstLine="539" w:firstLineChars="257"/>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3.4.2 磋商小组完成磋商后，应当向采购人提交书面磋商报告。</w:t>
      </w:r>
    </w:p>
    <w:p w14:paraId="75E8CF26">
      <w:pPr>
        <w:adjustRightInd w:val="0"/>
        <w:snapToGrid w:val="0"/>
        <w:spacing w:line="460" w:lineRule="exact"/>
        <w:ind w:firstLine="420" w:firstLineChars="200"/>
        <w:jc w:val="center"/>
        <w:outlineLvl w:val="0"/>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br w:type="page"/>
      </w:r>
      <w:bookmarkStart w:id="298" w:name="_Toc7301"/>
      <w:bookmarkStart w:id="299" w:name="_Toc20632"/>
      <w:bookmarkStart w:id="300" w:name="_Toc17952"/>
      <w:bookmarkStart w:id="301" w:name="_Toc152045766"/>
      <w:bookmarkStart w:id="302" w:name="_Toc144974736"/>
      <w:bookmarkStart w:id="303" w:name="_Toc152042545"/>
      <w:bookmarkStart w:id="304" w:name="_Toc179632784"/>
      <w:r>
        <w:rPr>
          <w:rFonts w:hint="eastAsia" w:ascii="宋体" w:hAnsi="宋体" w:eastAsia="宋体" w:cs="宋体"/>
          <w:b/>
          <w:bCs/>
          <w:color w:val="auto"/>
          <w:sz w:val="32"/>
          <w:szCs w:val="32"/>
          <w:highlight w:val="none"/>
        </w:rPr>
        <w:t>第四章  合同条款及格式</w:t>
      </w:r>
      <w:bookmarkEnd w:id="298"/>
      <w:bookmarkEnd w:id="299"/>
      <w:bookmarkEnd w:id="300"/>
    </w:p>
    <w:p w14:paraId="445E7AB2">
      <w:pPr>
        <w:spacing w:line="360" w:lineRule="exact"/>
        <w:ind w:left="420" w:leftChars="200"/>
        <w:jc w:val="center"/>
        <w:rPr>
          <w:rFonts w:hint="eastAsia" w:ascii="宋体" w:hAnsi="宋体" w:eastAsia="宋体" w:cs="宋体"/>
          <w:color w:val="auto"/>
          <w:highlight w:val="none"/>
        </w:rPr>
      </w:pPr>
    </w:p>
    <w:bookmarkEnd w:id="301"/>
    <w:bookmarkEnd w:id="302"/>
    <w:bookmarkEnd w:id="303"/>
    <w:bookmarkEnd w:id="304"/>
    <w:p w14:paraId="20136963">
      <w:pPr>
        <w:jc w:val="center"/>
        <w:rPr>
          <w:rFonts w:hint="eastAsia" w:ascii="宋体" w:hAnsi="宋体" w:eastAsia="宋体" w:cs="宋体"/>
          <w:color w:val="auto"/>
          <w:highlight w:val="none"/>
        </w:rPr>
      </w:pPr>
      <w:bookmarkStart w:id="305" w:name="_Toc152045786"/>
      <w:bookmarkStart w:id="306" w:name="_Toc152042575"/>
      <w:bookmarkStart w:id="307" w:name="_Toc144974855"/>
      <w:r>
        <w:rPr>
          <w:rFonts w:hint="eastAsia" w:ascii="宋体" w:hAnsi="宋体" w:eastAsia="宋体" w:cs="宋体"/>
          <w:color w:val="auto"/>
          <w:sz w:val="24"/>
          <w:szCs w:val="24"/>
          <w:highlight w:val="none"/>
        </w:rPr>
        <w:t>参考《建设工程施工合同（示范文本）》（GF—2017—0201）</w:t>
      </w:r>
    </w:p>
    <w:p w14:paraId="0DA5AA76">
      <w:pPr>
        <w:jc w:val="center"/>
        <w:rPr>
          <w:rFonts w:hint="eastAsia" w:ascii="宋体" w:hAnsi="宋体" w:eastAsia="宋体" w:cs="宋体"/>
          <w:color w:val="auto"/>
          <w:sz w:val="24"/>
          <w:szCs w:val="24"/>
          <w:highlight w:val="none"/>
        </w:rPr>
      </w:pPr>
    </w:p>
    <w:p w14:paraId="58EB6528">
      <w:pPr>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t>说明：</w:t>
      </w:r>
    </w:p>
    <w:p w14:paraId="04D0D20C">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本合同格式为主要合同条款及基本要求，采购人保留在最终签订本合同前根据实际情况对合同条款进行调整的权利。</w:t>
      </w:r>
    </w:p>
    <w:p w14:paraId="4176AE1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DA63369">
      <w:pPr>
        <w:pageBreakBefore w:val="0"/>
        <w:kinsoku/>
        <w:wordWrap/>
        <w:overflowPunct/>
        <w:bidi w:val="0"/>
        <w:spacing w:line="460" w:lineRule="exact"/>
        <w:ind w:firstLine="422" w:firstLineChars="200"/>
        <w:jc w:val="center"/>
        <w:textAlignment w:val="auto"/>
        <w:rPr>
          <w:rFonts w:hint="eastAsia" w:ascii="宋体" w:hAnsi="宋体" w:eastAsia="宋体" w:cs="宋体"/>
          <w:b/>
          <w:bCs/>
          <w:color w:val="auto"/>
          <w:sz w:val="21"/>
          <w:szCs w:val="21"/>
          <w:highlight w:val="none"/>
        </w:rPr>
      </w:pPr>
    </w:p>
    <w:p w14:paraId="6CB14FB4">
      <w:pPr>
        <w:pStyle w:val="7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  明</w:t>
      </w:r>
    </w:p>
    <w:p w14:paraId="5D8EFFA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64CEA33A">
      <w:pPr>
        <w:spacing w:line="360" w:lineRule="auto"/>
        <w:ind w:firstLine="420" w:firstLineChars="200"/>
        <w:outlineLvl w:val="0"/>
        <w:rPr>
          <w:rFonts w:hint="eastAsia" w:ascii="宋体" w:hAnsi="宋体" w:eastAsia="宋体" w:cs="宋体"/>
          <w:bCs/>
          <w:color w:val="auto"/>
          <w:sz w:val="21"/>
          <w:szCs w:val="21"/>
          <w:highlight w:val="none"/>
        </w:rPr>
      </w:pPr>
      <w:bookmarkStart w:id="308" w:name="_Toc8323"/>
      <w:bookmarkStart w:id="309" w:name="_Toc19986"/>
      <w:bookmarkStart w:id="310" w:name="_Toc4282"/>
      <w:bookmarkStart w:id="311" w:name="_Toc764"/>
      <w:bookmarkStart w:id="312" w:name="_Toc21765"/>
      <w:bookmarkStart w:id="313" w:name="_Toc11635"/>
      <w:r>
        <w:rPr>
          <w:rFonts w:hint="eastAsia" w:ascii="宋体" w:hAnsi="宋体" w:eastAsia="宋体" w:cs="宋体"/>
          <w:bCs/>
          <w:color w:val="auto"/>
          <w:sz w:val="21"/>
          <w:szCs w:val="21"/>
          <w:highlight w:val="none"/>
        </w:rPr>
        <w:t>一、《示范文本》的组成</w:t>
      </w:r>
      <w:bookmarkEnd w:id="308"/>
      <w:bookmarkEnd w:id="309"/>
      <w:bookmarkEnd w:id="310"/>
      <w:bookmarkEnd w:id="311"/>
      <w:bookmarkEnd w:id="312"/>
      <w:bookmarkEnd w:id="313"/>
    </w:p>
    <w:p w14:paraId="0D606B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《示范文本》由合同协议书、通用合同条款和专用合同条款三部分组成。</w:t>
      </w:r>
    </w:p>
    <w:p w14:paraId="446F5343">
      <w:pPr>
        <w:spacing w:line="360" w:lineRule="auto"/>
        <w:ind w:firstLine="420" w:firstLineChars="200"/>
        <w:outlineLvl w:val="0"/>
        <w:rPr>
          <w:rFonts w:hint="eastAsia" w:ascii="宋体" w:hAnsi="宋体" w:eastAsia="宋体" w:cs="宋体"/>
          <w:color w:val="auto"/>
          <w:sz w:val="21"/>
          <w:szCs w:val="21"/>
          <w:highlight w:val="none"/>
        </w:rPr>
      </w:pPr>
      <w:bookmarkStart w:id="314" w:name="_Toc4247"/>
      <w:bookmarkStart w:id="315" w:name="_Toc17069"/>
      <w:bookmarkStart w:id="316" w:name="_Toc25113"/>
      <w:bookmarkStart w:id="317" w:name="_Toc10022"/>
      <w:bookmarkStart w:id="318" w:name="_Toc31357"/>
      <w:r>
        <w:rPr>
          <w:rFonts w:hint="eastAsia" w:ascii="宋体" w:hAnsi="宋体" w:eastAsia="宋体" w:cs="宋体"/>
          <w:color w:val="auto"/>
          <w:sz w:val="21"/>
          <w:szCs w:val="21"/>
          <w:highlight w:val="none"/>
        </w:rPr>
        <w:t>（一）合同协议书</w:t>
      </w:r>
      <w:bookmarkEnd w:id="314"/>
      <w:bookmarkEnd w:id="315"/>
      <w:bookmarkEnd w:id="316"/>
      <w:bookmarkEnd w:id="317"/>
      <w:bookmarkEnd w:id="318"/>
    </w:p>
    <w:p w14:paraId="75B03BE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57295398">
      <w:pPr>
        <w:spacing w:line="360" w:lineRule="auto"/>
        <w:ind w:firstLine="420" w:firstLineChars="200"/>
        <w:outlineLvl w:val="0"/>
        <w:rPr>
          <w:rFonts w:hint="eastAsia" w:ascii="宋体" w:hAnsi="宋体" w:eastAsia="宋体" w:cs="宋体"/>
          <w:color w:val="auto"/>
          <w:sz w:val="21"/>
          <w:szCs w:val="21"/>
          <w:highlight w:val="none"/>
        </w:rPr>
      </w:pPr>
      <w:bookmarkStart w:id="319" w:name="_Toc2667"/>
      <w:bookmarkStart w:id="320" w:name="_Toc5224"/>
      <w:bookmarkStart w:id="321" w:name="_Toc21108"/>
      <w:bookmarkStart w:id="322" w:name="_Toc29147"/>
      <w:bookmarkStart w:id="323" w:name="_Toc28580"/>
      <w:bookmarkStart w:id="324" w:name="_Toc5699"/>
      <w:r>
        <w:rPr>
          <w:rFonts w:hint="eastAsia" w:ascii="宋体" w:hAnsi="宋体" w:eastAsia="宋体" w:cs="宋体"/>
          <w:color w:val="auto"/>
          <w:sz w:val="21"/>
          <w:szCs w:val="21"/>
          <w:highlight w:val="none"/>
        </w:rPr>
        <w:t>（二）通用合同条款</w:t>
      </w:r>
      <w:bookmarkEnd w:id="319"/>
      <w:bookmarkEnd w:id="320"/>
      <w:bookmarkEnd w:id="321"/>
      <w:bookmarkEnd w:id="322"/>
      <w:bookmarkEnd w:id="323"/>
      <w:bookmarkEnd w:id="324"/>
    </w:p>
    <w:p w14:paraId="2DF1003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通用合同条款是合同当事人根据《中华人民共和国建筑法》、《中华人民共和国合同法》等法律法规的规定，就工程建设的实施及相关事项，对合同当事人的权利义务作出的原则性约定。</w:t>
      </w:r>
    </w:p>
    <w:p w14:paraId="5F77CDE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0EDB6B23">
      <w:pPr>
        <w:spacing w:line="360" w:lineRule="auto"/>
        <w:ind w:firstLine="420" w:firstLineChars="200"/>
        <w:outlineLvl w:val="0"/>
        <w:rPr>
          <w:rFonts w:hint="eastAsia" w:ascii="宋体" w:hAnsi="宋体" w:eastAsia="宋体" w:cs="宋体"/>
          <w:color w:val="auto"/>
          <w:sz w:val="21"/>
          <w:szCs w:val="21"/>
          <w:highlight w:val="none"/>
        </w:rPr>
      </w:pPr>
      <w:bookmarkStart w:id="325" w:name="_Toc31527"/>
      <w:bookmarkStart w:id="326" w:name="_Toc30045"/>
      <w:bookmarkStart w:id="327" w:name="_Toc27738"/>
      <w:bookmarkStart w:id="328" w:name="_Toc21217"/>
      <w:bookmarkStart w:id="329" w:name="_Toc3212"/>
      <w:bookmarkStart w:id="330" w:name="_Toc26535"/>
      <w:r>
        <w:rPr>
          <w:rFonts w:hint="eastAsia" w:ascii="宋体" w:hAnsi="宋体" w:eastAsia="宋体" w:cs="宋体"/>
          <w:color w:val="auto"/>
          <w:sz w:val="21"/>
          <w:szCs w:val="21"/>
          <w:highlight w:val="none"/>
        </w:rPr>
        <w:t>（三）专用合同条款</w:t>
      </w:r>
      <w:bookmarkEnd w:id="325"/>
      <w:bookmarkEnd w:id="326"/>
      <w:bookmarkEnd w:id="327"/>
      <w:bookmarkEnd w:id="328"/>
      <w:bookmarkEnd w:id="329"/>
      <w:bookmarkEnd w:id="330"/>
    </w:p>
    <w:p w14:paraId="69D444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27182FEB">
      <w:pPr>
        <w:spacing w:line="360" w:lineRule="auto"/>
        <w:ind w:right="25" w:rightChars="1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1.专用合同条款的编号应与相应的通用合同条款的编号一致；</w:t>
      </w:r>
    </w:p>
    <w:p w14:paraId="44342A5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2.合同当事人可以通过对专用合同条款的修改，满足具体建设工程的特殊要求，避免直接修改通用合同条款；</w:t>
      </w:r>
    </w:p>
    <w:p w14:paraId="7EA7D4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3.在专用合同条款中有横道线的地方，合同当事人可针对相应的通用合同条款进行细化、完善、补充、修改或另行约定；如无细化、完善、补充、修改或另行约定，则填写“无”或划“/”。</w:t>
      </w:r>
    </w:p>
    <w:p w14:paraId="15398B88">
      <w:pPr>
        <w:spacing w:line="360" w:lineRule="auto"/>
        <w:ind w:firstLine="420" w:firstLineChars="200"/>
        <w:outlineLvl w:val="0"/>
        <w:rPr>
          <w:rFonts w:hint="eastAsia" w:ascii="宋体" w:hAnsi="宋体" w:eastAsia="宋体" w:cs="宋体"/>
          <w:b/>
          <w:color w:val="auto"/>
          <w:sz w:val="21"/>
          <w:szCs w:val="21"/>
          <w:highlight w:val="none"/>
        </w:rPr>
      </w:pPr>
      <w:bookmarkStart w:id="331" w:name="_Toc18434"/>
      <w:bookmarkStart w:id="332" w:name="_Toc25425"/>
      <w:bookmarkStart w:id="333" w:name="_Toc11816"/>
      <w:bookmarkStart w:id="334" w:name="_Toc25932"/>
      <w:bookmarkStart w:id="335" w:name="_Toc18441"/>
      <w:bookmarkStart w:id="336" w:name="_Toc30604"/>
      <w:r>
        <w:rPr>
          <w:rFonts w:hint="eastAsia" w:ascii="宋体" w:hAnsi="宋体" w:eastAsia="宋体" w:cs="宋体"/>
          <w:bCs/>
          <w:color w:val="auto"/>
          <w:sz w:val="21"/>
          <w:szCs w:val="21"/>
          <w:highlight w:val="none"/>
        </w:rPr>
        <w:t>二、《示范文本》的性质和适用范围</w:t>
      </w:r>
      <w:bookmarkEnd w:id="331"/>
      <w:bookmarkEnd w:id="332"/>
      <w:bookmarkEnd w:id="333"/>
      <w:bookmarkEnd w:id="334"/>
      <w:bookmarkEnd w:id="335"/>
      <w:bookmarkEnd w:id="336"/>
    </w:p>
    <w:p w14:paraId="52A35A3B">
      <w:pPr>
        <w:pageBreakBefore w:val="0"/>
        <w:kinsoku/>
        <w:wordWrap/>
        <w:overflowPunct/>
        <w:bidi w:val="0"/>
        <w:spacing w:line="460" w:lineRule="exact"/>
        <w:ind w:firstLine="420" w:firstLineChars="200"/>
        <w:jc w:val="center"/>
        <w:textAlignment w:val="auto"/>
        <w:outlineLvl w:val="1"/>
        <w:rPr>
          <w:rFonts w:hint="eastAsia" w:ascii="宋体" w:hAnsi="宋体" w:eastAsia="宋体" w:cs="宋体"/>
          <w:color w:val="auto"/>
          <w:sz w:val="21"/>
          <w:szCs w:val="21"/>
          <w:highlight w:val="none"/>
        </w:rPr>
      </w:pPr>
      <w:bookmarkStart w:id="337" w:name="_Toc20452"/>
      <w:r>
        <w:rPr>
          <w:rFonts w:hint="eastAsia" w:ascii="宋体" w:hAnsi="宋体" w:eastAsia="宋体" w:cs="宋体"/>
          <w:color w:val="auto"/>
          <w:sz w:val="21"/>
          <w:szCs w:val="21"/>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bookmarkEnd w:id="337"/>
    </w:p>
    <w:p w14:paraId="1CA42D5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D42F111">
      <w:pPr>
        <w:pageBreakBefore w:val="0"/>
        <w:kinsoku/>
        <w:wordWrap/>
        <w:overflowPunct/>
        <w:bidi w:val="0"/>
        <w:spacing w:line="460" w:lineRule="exact"/>
        <w:ind w:firstLine="422" w:firstLineChars="200"/>
        <w:jc w:val="center"/>
        <w:textAlignment w:val="auto"/>
        <w:outlineLvl w:val="1"/>
        <w:rPr>
          <w:rFonts w:hint="eastAsia" w:ascii="宋体" w:hAnsi="宋体" w:eastAsia="宋体" w:cs="宋体"/>
          <w:b/>
          <w:bCs/>
          <w:color w:val="auto"/>
          <w:sz w:val="21"/>
          <w:szCs w:val="21"/>
          <w:highlight w:val="none"/>
        </w:rPr>
      </w:pPr>
      <w:bookmarkStart w:id="338" w:name="_Toc15043"/>
      <w:r>
        <w:rPr>
          <w:rFonts w:hint="eastAsia" w:ascii="宋体" w:hAnsi="宋体" w:eastAsia="宋体" w:cs="宋体"/>
          <w:b/>
          <w:bCs/>
          <w:color w:val="auto"/>
          <w:sz w:val="21"/>
          <w:szCs w:val="21"/>
          <w:highlight w:val="none"/>
        </w:rPr>
        <w:t>第一部分  合同协议书</w:t>
      </w:r>
      <w:bookmarkEnd w:id="338"/>
    </w:p>
    <w:p w14:paraId="605881C2">
      <w:pPr>
        <w:pageBreakBefore w:val="0"/>
        <w:kinsoku/>
        <w:wordWrap/>
        <w:overflowPunct/>
        <w:bidi w:val="0"/>
        <w:spacing w:line="460" w:lineRule="exact"/>
        <w:ind w:firstLine="422" w:firstLineChars="200"/>
        <w:textAlignment w:val="auto"/>
        <w:rPr>
          <w:rFonts w:hint="eastAsia" w:ascii="宋体" w:hAnsi="宋体" w:eastAsia="宋体" w:cs="宋体"/>
          <w:b/>
          <w:color w:val="auto"/>
          <w:sz w:val="21"/>
          <w:szCs w:val="21"/>
          <w:highlight w:val="none"/>
        </w:rPr>
      </w:pPr>
    </w:p>
    <w:p w14:paraId="4DCDFE70">
      <w:pPr>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河南工业和信息化职业学院</w:t>
      </w:r>
    </w:p>
    <w:p w14:paraId="090FCE61">
      <w:pPr>
        <w:spacing w:line="44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lang w:val="en-US" w:eastAsia="zh-CN"/>
        </w:rPr>
        <w:t xml:space="preserve">                        </w:t>
      </w:r>
    </w:p>
    <w:p w14:paraId="5C73C09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根据《中华人民共和国合同法》、《中华人民共和国建筑法》及有关法律规定，遵循平等、自愿、公平和诚实信用的原则，双方就</w:t>
      </w:r>
      <w:r>
        <w:rPr>
          <w:rFonts w:hint="eastAsia" w:ascii="宋体" w:hAnsi="宋体" w:eastAsia="宋体" w:cs="宋体"/>
          <w:color w:val="auto"/>
          <w:szCs w:val="21"/>
          <w:highlight w:val="none"/>
          <w:u w:val="single"/>
        </w:rPr>
        <w:t>河南工业和信息化职业学院4#学生公寓外部维修项目</w:t>
      </w:r>
      <w:r>
        <w:rPr>
          <w:rFonts w:hint="eastAsia" w:ascii="宋体" w:hAnsi="宋体" w:eastAsia="宋体" w:cs="宋体"/>
          <w:color w:val="auto"/>
          <w:szCs w:val="21"/>
          <w:highlight w:val="none"/>
        </w:rPr>
        <w:t>及有关事项协商一致，共同达成如下协议：</w:t>
      </w:r>
    </w:p>
    <w:p w14:paraId="42AFA068">
      <w:pPr>
        <w:pStyle w:val="6"/>
        <w:spacing w:before="120" w:after="120" w:line="440" w:lineRule="exact"/>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w:t>
      </w:r>
      <w:bookmarkStart w:id="339" w:name="_Toc351203481"/>
      <w:r>
        <w:rPr>
          <w:rFonts w:hint="eastAsia" w:ascii="宋体" w:hAnsi="宋体" w:eastAsia="宋体" w:cs="宋体"/>
          <w:b w:val="0"/>
          <w:color w:val="auto"/>
          <w:sz w:val="21"/>
          <w:szCs w:val="21"/>
          <w:highlight w:val="none"/>
        </w:rPr>
        <w:t>一、工程概况</w:t>
      </w:r>
      <w:bookmarkEnd w:id="339"/>
    </w:p>
    <w:p w14:paraId="614A373A">
      <w:pPr>
        <w:spacing w:line="440" w:lineRule="exact"/>
        <w:ind w:firstLine="411" w:firstLineChars="196"/>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1.工程名称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河南工业和信息化职业学院4#学生公寓外部维修项目</w:t>
      </w:r>
      <w:r>
        <w:rPr>
          <w:rFonts w:hint="eastAsia" w:ascii="宋体" w:hAnsi="宋体" w:eastAsia="宋体" w:cs="宋体"/>
          <w:color w:val="auto"/>
          <w:szCs w:val="21"/>
          <w:highlight w:val="none"/>
        </w:rPr>
        <w:t>。</w:t>
      </w:r>
    </w:p>
    <w:p w14:paraId="25935540">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2.工程地点：</w:t>
      </w:r>
      <w:r>
        <w:rPr>
          <w:rFonts w:hint="eastAsia" w:ascii="宋体" w:hAnsi="宋体" w:eastAsia="宋体" w:cs="宋体"/>
          <w:bCs/>
          <w:color w:val="auto"/>
          <w:szCs w:val="21"/>
          <w:highlight w:val="none"/>
          <w:u w:val="single"/>
        </w:rPr>
        <w:t xml:space="preserve"> 河南工业和信息化职业学院 </w:t>
      </w:r>
      <w:r>
        <w:rPr>
          <w:rFonts w:hint="eastAsia" w:ascii="宋体" w:hAnsi="宋体" w:eastAsia="宋体" w:cs="宋体"/>
          <w:color w:val="auto"/>
          <w:szCs w:val="21"/>
          <w:highlight w:val="none"/>
        </w:rPr>
        <w:t>。</w:t>
      </w:r>
    </w:p>
    <w:p w14:paraId="74C980B4">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3.工程立项批准文号：</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p>
    <w:p w14:paraId="253BEB06">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4.资金来源：</w:t>
      </w:r>
      <w:r>
        <w:rPr>
          <w:rFonts w:hint="eastAsia" w:ascii="宋体" w:hAnsi="宋体" w:eastAsia="宋体" w:cs="宋体"/>
          <w:bCs/>
          <w:color w:val="auto"/>
          <w:szCs w:val="21"/>
          <w:highlight w:val="none"/>
          <w:u w:val="single"/>
        </w:rPr>
        <w:t>财政资金</w:t>
      </w:r>
      <w:r>
        <w:rPr>
          <w:rFonts w:hint="eastAsia" w:ascii="宋体" w:hAnsi="宋体" w:eastAsia="宋体" w:cs="宋体"/>
          <w:bCs/>
          <w:color w:val="auto"/>
          <w:szCs w:val="21"/>
          <w:highlight w:val="none"/>
        </w:rPr>
        <w:t>。</w:t>
      </w:r>
    </w:p>
    <w:p w14:paraId="17BB2D85">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5.工程内容：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p>
    <w:p w14:paraId="343FF1D1">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6.工程承包范围：</w:t>
      </w:r>
      <w:r>
        <w:rPr>
          <w:rFonts w:hint="eastAsia" w:ascii="宋体" w:hAnsi="宋体" w:eastAsia="宋体" w:cs="宋体"/>
          <w:bCs/>
          <w:color w:val="auto"/>
          <w:szCs w:val="21"/>
          <w:highlight w:val="none"/>
          <w:u w:val="single"/>
        </w:rPr>
        <w:t>本项目竞争性磋商文件、工程量清单、图纸、工程量清单答疑（如有）及补充说明（如有）包含的全部工作内容</w:t>
      </w:r>
      <w:r>
        <w:rPr>
          <w:rFonts w:hint="eastAsia" w:ascii="宋体" w:hAnsi="宋体" w:eastAsia="宋体" w:cs="宋体"/>
          <w:color w:val="auto"/>
          <w:sz w:val="21"/>
          <w:szCs w:val="21"/>
          <w:highlight w:val="none"/>
        </w:rPr>
        <w:t>。</w:t>
      </w:r>
    </w:p>
    <w:p w14:paraId="30EA6534">
      <w:pPr>
        <w:pStyle w:val="6"/>
        <w:spacing w:before="120" w:after="120" w:line="440" w:lineRule="exact"/>
        <w:jc w:val="both"/>
        <w:rPr>
          <w:rFonts w:hint="eastAsia" w:ascii="宋体" w:hAnsi="宋体" w:eastAsia="宋体" w:cs="宋体"/>
          <w:b w:val="0"/>
          <w:color w:val="auto"/>
          <w:sz w:val="21"/>
          <w:szCs w:val="21"/>
          <w:highlight w:val="none"/>
        </w:rPr>
      </w:pPr>
      <w:bookmarkStart w:id="340" w:name="_Toc351203482"/>
      <w:r>
        <w:rPr>
          <w:rFonts w:hint="eastAsia" w:ascii="宋体" w:hAnsi="宋体" w:eastAsia="宋体" w:cs="宋体"/>
          <w:b w:val="0"/>
          <w:color w:val="auto"/>
          <w:sz w:val="21"/>
          <w:szCs w:val="21"/>
          <w:highlight w:val="none"/>
        </w:rPr>
        <w:t>二、合同工期</w:t>
      </w:r>
      <w:bookmarkEnd w:id="340"/>
    </w:p>
    <w:p w14:paraId="0B5F873C">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计划开工日期：</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日。</w:t>
      </w:r>
    </w:p>
    <w:p w14:paraId="5E884193">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日。</w:t>
      </w:r>
    </w:p>
    <w:p w14:paraId="39EE0208">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工期总日历天数：</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75日历</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天。工期总日历天数与根据前述计划开竣工日期计算的工期天数不一致的，以工期总日历天数为准。</w:t>
      </w:r>
    </w:p>
    <w:p w14:paraId="005C7B05">
      <w:pPr>
        <w:pStyle w:val="6"/>
        <w:spacing w:before="120" w:after="120" w:line="440" w:lineRule="exact"/>
        <w:jc w:val="both"/>
        <w:rPr>
          <w:rFonts w:hint="eastAsia" w:ascii="宋体" w:hAnsi="宋体" w:eastAsia="宋体" w:cs="宋体"/>
          <w:b w:val="0"/>
          <w:color w:val="auto"/>
          <w:sz w:val="21"/>
          <w:szCs w:val="21"/>
          <w:highlight w:val="none"/>
        </w:rPr>
      </w:pPr>
      <w:bookmarkStart w:id="341" w:name="_Toc351203483"/>
      <w:r>
        <w:rPr>
          <w:rFonts w:hint="eastAsia" w:ascii="宋体" w:hAnsi="宋体" w:eastAsia="宋体" w:cs="宋体"/>
          <w:b w:val="0"/>
          <w:color w:val="auto"/>
          <w:sz w:val="21"/>
          <w:szCs w:val="21"/>
          <w:highlight w:val="none"/>
        </w:rPr>
        <w:t>三、质量标准</w:t>
      </w:r>
      <w:bookmarkEnd w:id="341"/>
    </w:p>
    <w:p w14:paraId="58E6C9DE">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符合国家现行规范和标准，达到合格工程标准。</w:t>
      </w:r>
    </w:p>
    <w:p w14:paraId="7E47F3DA">
      <w:pPr>
        <w:pStyle w:val="6"/>
        <w:spacing w:before="120" w:after="120" w:line="440" w:lineRule="exact"/>
        <w:jc w:val="both"/>
        <w:rPr>
          <w:rFonts w:hint="eastAsia" w:ascii="宋体" w:hAnsi="宋体" w:eastAsia="宋体" w:cs="宋体"/>
          <w:b w:val="0"/>
          <w:color w:val="auto"/>
          <w:sz w:val="21"/>
          <w:szCs w:val="21"/>
          <w:highlight w:val="none"/>
        </w:rPr>
      </w:pPr>
      <w:bookmarkStart w:id="342" w:name="_Toc351203484"/>
      <w:r>
        <w:rPr>
          <w:rFonts w:hint="eastAsia" w:ascii="宋体" w:hAnsi="宋体" w:eastAsia="宋体" w:cs="宋体"/>
          <w:b w:val="0"/>
          <w:color w:val="auto"/>
          <w:sz w:val="21"/>
          <w:szCs w:val="21"/>
          <w:highlight w:val="none"/>
        </w:rPr>
        <w:t>四、签约合同价与合同价格形式</w:t>
      </w:r>
      <w:bookmarkEnd w:id="342"/>
      <w:r>
        <w:rPr>
          <w:rFonts w:hint="eastAsia" w:ascii="宋体" w:hAnsi="宋体" w:eastAsia="宋体" w:cs="宋体"/>
          <w:b w:val="0"/>
          <w:color w:val="auto"/>
          <w:sz w:val="21"/>
          <w:szCs w:val="21"/>
          <w:highlight w:val="none"/>
        </w:rPr>
        <w:tab/>
      </w:r>
    </w:p>
    <w:p w14:paraId="595C91AF">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1.签约合同价为：</w:t>
      </w:r>
    </w:p>
    <w:p w14:paraId="20203EAF">
      <w:pPr>
        <w:spacing w:line="44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sz w:val="21"/>
          <w:szCs w:val="21"/>
          <w:highlight w:val="none"/>
          <w:u w:val="single"/>
          <w:lang w:val="en-US" w:eastAsia="zh-CN" w:bidi="ar"/>
        </w:rPr>
        <w:t xml:space="preserve"> </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元)；</w:t>
      </w:r>
    </w:p>
    <w:p w14:paraId="7D237CB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2.合同价格形式：</w:t>
      </w:r>
      <w:r>
        <w:rPr>
          <w:rFonts w:hint="eastAsia" w:ascii="宋体" w:hAnsi="宋体" w:eastAsia="宋体" w:cs="宋体"/>
          <w:color w:val="auto"/>
          <w:szCs w:val="21"/>
          <w:highlight w:val="none"/>
          <w:u w:val="single"/>
          <w:lang w:val="en-US" w:eastAsia="zh-CN"/>
        </w:rPr>
        <w:t>固定</w:t>
      </w:r>
      <w:r>
        <w:rPr>
          <w:rFonts w:hint="eastAsia" w:ascii="宋体" w:hAnsi="宋体" w:eastAsia="宋体" w:cs="宋体"/>
          <w:color w:val="auto"/>
          <w:szCs w:val="21"/>
          <w:highlight w:val="none"/>
          <w:u w:val="single"/>
        </w:rPr>
        <w:t>单价+签证+变更</w:t>
      </w:r>
      <w:r>
        <w:rPr>
          <w:rFonts w:hint="eastAsia" w:ascii="宋体" w:hAnsi="宋体" w:eastAsia="宋体" w:cs="宋体"/>
          <w:color w:val="auto"/>
          <w:szCs w:val="21"/>
          <w:highlight w:val="none"/>
        </w:rPr>
        <w:t>。</w:t>
      </w:r>
    </w:p>
    <w:p w14:paraId="0CEEC02E">
      <w:pPr>
        <w:pStyle w:val="6"/>
        <w:spacing w:before="120" w:after="120" w:line="440" w:lineRule="exact"/>
        <w:jc w:val="both"/>
        <w:rPr>
          <w:rFonts w:hint="eastAsia" w:ascii="宋体" w:hAnsi="宋体" w:eastAsia="宋体" w:cs="宋体"/>
          <w:b w:val="0"/>
          <w:color w:val="auto"/>
          <w:sz w:val="21"/>
          <w:szCs w:val="21"/>
          <w:highlight w:val="none"/>
        </w:rPr>
      </w:pPr>
      <w:bookmarkStart w:id="343" w:name="_Toc351203485"/>
      <w:r>
        <w:rPr>
          <w:rFonts w:hint="eastAsia" w:ascii="宋体" w:hAnsi="宋体" w:eastAsia="宋体" w:cs="宋体"/>
          <w:b w:val="0"/>
          <w:color w:val="auto"/>
          <w:sz w:val="21"/>
          <w:szCs w:val="21"/>
          <w:highlight w:val="none"/>
        </w:rPr>
        <w:t>五、</w:t>
      </w:r>
      <w:bookmarkEnd w:id="343"/>
      <w:r>
        <w:rPr>
          <w:rFonts w:hint="eastAsia" w:ascii="宋体" w:hAnsi="宋体" w:eastAsia="宋体" w:cs="宋体"/>
          <w:b w:val="0"/>
          <w:color w:val="auto"/>
          <w:sz w:val="21"/>
          <w:szCs w:val="21"/>
          <w:highlight w:val="none"/>
        </w:rPr>
        <w:t>项目经理</w:t>
      </w:r>
    </w:p>
    <w:p w14:paraId="4CADB48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承包人项目经理：</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7C22A083">
      <w:pPr>
        <w:pStyle w:val="6"/>
        <w:spacing w:before="120" w:after="120" w:line="440" w:lineRule="exact"/>
        <w:jc w:val="both"/>
        <w:rPr>
          <w:rFonts w:hint="eastAsia" w:ascii="宋体" w:hAnsi="宋体" w:eastAsia="宋体" w:cs="宋体"/>
          <w:b w:val="0"/>
          <w:color w:val="auto"/>
          <w:sz w:val="21"/>
          <w:szCs w:val="21"/>
          <w:highlight w:val="none"/>
        </w:rPr>
      </w:pPr>
      <w:bookmarkStart w:id="344" w:name="_Toc351203486"/>
      <w:r>
        <w:rPr>
          <w:rFonts w:hint="eastAsia" w:ascii="宋体" w:hAnsi="宋体" w:eastAsia="宋体" w:cs="宋体"/>
          <w:b w:val="0"/>
          <w:color w:val="auto"/>
          <w:sz w:val="21"/>
          <w:szCs w:val="21"/>
          <w:highlight w:val="none"/>
        </w:rPr>
        <w:t>六、合同文件构成</w:t>
      </w:r>
      <w:bookmarkEnd w:id="344"/>
    </w:p>
    <w:p w14:paraId="27C6CE5C">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本协议书与下列文件一起构成合同文件：</w:t>
      </w:r>
    </w:p>
    <w:p w14:paraId="0BE8C6AD">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（1）中标通知书（如果有）；</w:t>
      </w:r>
    </w:p>
    <w:p w14:paraId="75C9B264">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（2）投标函及其附录（如果有）； </w:t>
      </w:r>
    </w:p>
    <w:p w14:paraId="75B8FF05">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（3）专用合同条款及其附件；</w:t>
      </w:r>
    </w:p>
    <w:p w14:paraId="04AE3638">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（4）通用合同条款；</w:t>
      </w:r>
    </w:p>
    <w:p w14:paraId="59271B99">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（5）技术标准和要求；</w:t>
      </w:r>
    </w:p>
    <w:p w14:paraId="55A6F962">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（6）图纸；</w:t>
      </w:r>
    </w:p>
    <w:p w14:paraId="0BC7251A">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（7）已标价工程量清单或预算书；</w:t>
      </w:r>
    </w:p>
    <w:p w14:paraId="7C9E9D4B">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（8）其他合同文件</w:t>
      </w:r>
      <w:r>
        <w:rPr>
          <w:rFonts w:hint="eastAsia" w:ascii="宋体" w:hAnsi="宋体" w:eastAsia="宋体" w:cs="宋体"/>
          <w:color w:val="auto"/>
          <w:kern w:val="0"/>
          <w:szCs w:val="21"/>
          <w:highlight w:val="none"/>
        </w:rPr>
        <w:t>（包括招标文件及附件、投标文件及附件）</w:t>
      </w:r>
      <w:r>
        <w:rPr>
          <w:rFonts w:hint="eastAsia" w:ascii="宋体" w:hAnsi="宋体" w:eastAsia="宋体" w:cs="宋体"/>
          <w:color w:val="auto"/>
          <w:szCs w:val="21"/>
          <w:highlight w:val="none"/>
        </w:rPr>
        <w:t>。</w:t>
      </w:r>
    </w:p>
    <w:p w14:paraId="5B533E7E">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w:t>
      </w:r>
    </w:p>
    <w:p w14:paraId="06050442">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761BE2FB">
      <w:pPr>
        <w:pStyle w:val="6"/>
        <w:spacing w:before="120" w:after="120" w:line="440" w:lineRule="exact"/>
        <w:jc w:val="both"/>
        <w:rPr>
          <w:rFonts w:hint="eastAsia" w:ascii="宋体" w:hAnsi="宋体" w:eastAsia="宋体" w:cs="宋体"/>
          <w:b w:val="0"/>
          <w:color w:val="auto"/>
          <w:sz w:val="21"/>
          <w:szCs w:val="21"/>
          <w:highlight w:val="none"/>
        </w:rPr>
      </w:pPr>
      <w:bookmarkStart w:id="345" w:name="_Toc351203487"/>
      <w:r>
        <w:rPr>
          <w:rFonts w:hint="eastAsia" w:ascii="宋体" w:hAnsi="宋体" w:eastAsia="宋体" w:cs="宋体"/>
          <w:b w:val="0"/>
          <w:color w:val="auto"/>
          <w:sz w:val="21"/>
          <w:szCs w:val="21"/>
          <w:highlight w:val="none"/>
        </w:rPr>
        <w:t>七、承诺</w:t>
      </w:r>
      <w:bookmarkEnd w:id="345"/>
    </w:p>
    <w:p w14:paraId="2B29A201">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1.发包人承诺按照法律规定履行项目审批手续、筹集工程建设资金并按照合同约定的期限和方式支付合同价款。</w:t>
      </w:r>
    </w:p>
    <w:p w14:paraId="0AE9101B">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1C489E51">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3.发包人和承包人通过招投标形式签订合同的，双方理解并承诺不再就同一工程另行签订与合同实质性内容相背离的协议。</w:t>
      </w:r>
    </w:p>
    <w:p w14:paraId="4AD56D94">
      <w:pPr>
        <w:spacing w:line="440" w:lineRule="exact"/>
        <w:rPr>
          <w:rFonts w:hint="eastAsia" w:ascii="宋体" w:hAnsi="宋体" w:eastAsia="宋体" w:cs="宋体"/>
          <w:bCs/>
          <w:color w:val="auto"/>
          <w:szCs w:val="21"/>
          <w:highlight w:val="none"/>
        </w:rPr>
      </w:pPr>
      <w:bookmarkStart w:id="346" w:name="_Toc351203488"/>
      <w:r>
        <w:rPr>
          <w:rFonts w:hint="eastAsia" w:ascii="宋体" w:hAnsi="宋体" w:eastAsia="宋体" w:cs="宋体"/>
          <w:b w:val="0"/>
          <w:bCs/>
          <w:color w:val="auto"/>
          <w:kern w:val="2"/>
          <w:sz w:val="21"/>
          <w:szCs w:val="21"/>
          <w:highlight w:val="none"/>
          <w:lang w:val="en-US" w:eastAsia="zh-CN" w:bidi="ar-SA"/>
        </w:rPr>
        <w:t>八、词语含义</w:t>
      </w:r>
      <w:bookmarkEnd w:id="346"/>
    </w:p>
    <w:p w14:paraId="1B2AB877">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本协议书中词语含义与第二部分通用合同条款中赋予的含义相同。</w:t>
      </w:r>
    </w:p>
    <w:p w14:paraId="7CAECA87">
      <w:pPr>
        <w:pStyle w:val="6"/>
        <w:spacing w:before="120" w:after="120" w:line="440" w:lineRule="exact"/>
        <w:jc w:val="both"/>
        <w:rPr>
          <w:rFonts w:hint="eastAsia" w:ascii="宋体" w:hAnsi="宋体" w:eastAsia="宋体" w:cs="宋体"/>
          <w:b w:val="0"/>
          <w:color w:val="auto"/>
          <w:sz w:val="21"/>
          <w:szCs w:val="21"/>
          <w:highlight w:val="none"/>
        </w:rPr>
      </w:pPr>
      <w:bookmarkStart w:id="347" w:name="_Toc351203489"/>
      <w:r>
        <w:rPr>
          <w:rFonts w:hint="eastAsia" w:ascii="宋体" w:hAnsi="宋体" w:eastAsia="宋体" w:cs="宋体"/>
          <w:b w:val="0"/>
          <w:color w:val="auto"/>
          <w:sz w:val="21"/>
          <w:szCs w:val="21"/>
          <w:highlight w:val="none"/>
        </w:rPr>
        <w:t>九、签订时间</w:t>
      </w:r>
      <w:bookmarkEnd w:id="347"/>
    </w:p>
    <w:p w14:paraId="7B59757E">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本合同于</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日签订。</w:t>
      </w:r>
    </w:p>
    <w:p w14:paraId="341AFE8C">
      <w:pPr>
        <w:pStyle w:val="6"/>
        <w:spacing w:before="120" w:after="120" w:line="440" w:lineRule="exact"/>
        <w:jc w:val="both"/>
        <w:rPr>
          <w:rFonts w:hint="eastAsia" w:ascii="宋体" w:hAnsi="宋体" w:eastAsia="宋体" w:cs="宋体"/>
          <w:b w:val="0"/>
          <w:color w:val="auto"/>
          <w:sz w:val="21"/>
          <w:szCs w:val="21"/>
          <w:highlight w:val="none"/>
        </w:rPr>
      </w:pPr>
      <w:bookmarkStart w:id="348" w:name="_Toc351203490"/>
      <w:r>
        <w:rPr>
          <w:rFonts w:hint="eastAsia" w:ascii="宋体" w:hAnsi="宋体" w:eastAsia="宋体" w:cs="宋体"/>
          <w:b w:val="0"/>
          <w:color w:val="auto"/>
          <w:sz w:val="21"/>
          <w:szCs w:val="21"/>
          <w:highlight w:val="none"/>
        </w:rPr>
        <w:t>十、签订地点</w:t>
      </w:r>
      <w:bookmarkEnd w:id="348"/>
    </w:p>
    <w:p w14:paraId="03E08A4D">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本合同在</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河南工业和信息化职业学院</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签订。</w:t>
      </w:r>
    </w:p>
    <w:p w14:paraId="54ACA59D">
      <w:pPr>
        <w:pStyle w:val="6"/>
        <w:spacing w:before="120" w:after="120" w:line="440" w:lineRule="exact"/>
        <w:jc w:val="both"/>
        <w:rPr>
          <w:rFonts w:hint="eastAsia" w:ascii="宋体" w:hAnsi="宋体" w:eastAsia="宋体" w:cs="宋体"/>
          <w:b w:val="0"/>
          <w:color w:val="auto"/>
          <w:sz w:val="21"/>
          <w:szCs w:val="21"/>
          <w:highlight w:val="none"/>
        </w:rPr>
      </w:pPr>
      <w:bookmarkStart w:id="349" w:name="_Toc351203491"/>
      <w:r>
        <w:rPr>
          <w:rFonts w:hint="eastAsia" w:ascii="宋体" w:hAnsi="宋体" w:eastAsia="宋体" w:cs="宋体"/>
          <w:b w:val="0"/>
          <w:color w:val="auto"/>
          <w:sz w:val="21"/>
          <w:szCs w:val="21"/>
          <w:highlight w:val="none"/>
        </w:rPr>
        <w:t>十一、补充协议</w:t>
      </w:r>
      <w:bookmarkEnd w:id="349"/>
    </w:p>
    <w:p w14:paraId="0231542D">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合同未尽事宜，合同当事人另行签订补充协议，补充协议是合同的组成部分。</w:t>
      </w:r>
    </w:p>
    <w:p w14:paraId="20F6912D">
      <w:pPr>
        <w:pStyle w:val="6"/>
        <w:spacing w:before="120" w:after="120" w:line="440" w:lineRule="exact"/>
        <w:jc w:val="both"/>
        <w:rPr>
          <w:rFonts w:hint="eastAsia" w:ascii="宋体" w:hAnsi="宋体" w:eastAsia="宋体" w:cs="宋体"/>
          <w:b w:val="0"/>
          <w:color w:val="auto"/>
          <w:sz w:val="21"/>
          <w:szCs w:val="21"/>
          <w:highlight w:val="none"/>
        </w:rPr>
      </w:pPr>
      <w:bookmarkStart w:id="350" w:name="_Toc351203492"/>
      <w:r>
        <w:rPr>
          <w:rFonts w:hint="eastAsia" w:ascii="宋体" w:hAnsi="宋体" w:eastAsia="宋体" w:cs="宋体"/>
          <w:b w:val="0"/>
          <w:color w:val="auto"/>
          <w:sz w:val="21"/>
          <w:szCs w:val="21"/>
          <w:highlight w:val="none"/>
        </w:rPr>
        <w:t>十二、合同生效</w:t>
      </w:r>
      <w:bookmarkEnd w:id="350"/>
    </w:p>
    <w:p w14:paraId="0839EA6A">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本合同自</w:t>
      </w:r>
      <w:r>
        <w:rPr>
          <w:rFonts w:hint="eastAsia" w:ascii="宋体" w:hAnsi="宋体" w:eastAsia="宋体" w:cs="宋体"/>
          <w:color w:val="auto"/>
          <w:szCs w:val="21"/>
          <w:highlight w:val="none"/>
          <w:u w:val="single"/>
        </w:rPr>
        <w:t>发包人和承包人的法定代表人或其委托代理人在合同协议书上签字并盖单位章后</w:t>
      </w:r>
      <w:r>
        <w:rPr>
          <w:rFonts w:hint="eastAsia" w:ascii="宋体" w:hAnsi="宋体" w:eastAsia="宋体" w:cs="宋体"/>
          <w:bCs/>
          <w:color w:val="auto"/>
          <w:szCs w:val="21"/>
          <w:highlight w:val="none"/>
        </w:rPr>
        <w:t>生效。</w:t>
      </w:r>
    </w:p>
    <w:p w14:paraId="3E9A6EFB">
      <w:pPr>
        <w:pStyle w:val="6"/>
        <w:spacing w:before="120" w:after="120" w:line="440" w:lineRule="exact"/>
        <w:jc w:val="both"/>
        <w:rPr>
          <w:rFonts w:hint="eastAsia" w:ascii="宋体" w:hAnsi="宋体" w:eastAsia="宋体" w:cs="宋体"/>
          <w:b w:val="0"/>
          <w:color w:val="auto"/>
          <w:sz w:val="21"/>
          <w:szCs w:val="21"/>
          <w:highlight w:val="none"/>
        </w:rPr>
      </w:pPr>
      <w:bookmarkStart w:id="351" w:name="_Toc351203493"/>
      <w:r>
        <w:rPr>
          <w:rFonts w:hint="eastAsia" w:ascii="宋体" w:hAnsi="宋体" w:eastAsia="宋体" w:cs="宋体"/>
          <w:b w:val="0"/>
          <w:color w:val="auto"/>
          <w:sz w:val="21"/>
          <w:szCs w:val="21"/>
          <w:highlight w:val="none"/>
        </w:rPr>
        <w:t>十三、合同份数</w:t>
      </w:r>
      <w:bookmarkEnd w:id="351"/>
    </w:p>
    <w:p w14:paraId="066D73EE">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本合同一式</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捌</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份，均具有同等法律效力，发包人执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肆</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份，承包人执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肆</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w:t>
      </w:r>
    </w:p>
    <w:p w14:paraId="78DEF75F">
      <w:pPr>
        <w:spacing w:line="440" w:lineRule="exact"/>
        <w:rPr>
          <w:rFonts w:hint="eastAsia" w:ascii="宋体" w:hAnsi="宋体" w:eastAsia="宋体" w:cs="宋体"/>
          <w:bCs/>
          <w:color w:val="auto"/>
          <w:szCs w:val="21"/>
          <w:highlight w:val="none"/>
        </w:rPr>
      </w:pPr>
    </w:p>
    <w:p w14:paraId="6D9257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发包人：  (公章)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承包人：  (公章)</w:t>
      </w:r>
    </w:p>
    <w:p w14:paraId="4B7566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u w:val="single"/>
        </w:rPr>
      </w:pPr>
    </w:p>
    <w:p w14:paraId="330BF1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法定代表人或其委托代理人：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法定代表人或其委托代理人：</w:t>
      </w:r>
    </w:p>
    <w:p w14:paraId="2EFAC8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（签字）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（签字）</w:t>
      </w:r>
    </w:p>
    <w:p w14:paraId="08EFFD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u w:val="single"/>
        </w:rPr>
      </w:pPr>
    </w:p>
    <w:p w14:paraId="1C10B632">
      <w:pPr>
        <w:keepNext w:val="0"/>
        <w:keepLines w:val="0"/>
        <w:pageBreakBefore w:val="0"/>
        <w:widowControl w:val="0"/>
        <w:tabs>
          <w:tab w:val="left" w:pos="441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组织机构代码：</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组织机构代码：</w:t>
      </w:r>
      <w:r>
        <w:rPr>
          <w:rFonts w:hint="eastAsia" w:ascii="宋体" w:hAnsi="宋体" w:eastAsia="宋体" w:cs="宋体"/>
          <w:color w:val="auto"/>
          <w:szCs w:val="21"/>
          <w:highlight w:val="none"/>
          <w:u w:val="single"/>
          <w:lang w:val="en-US" w:eastAsia="zh-CN"/>
        </w:rPr>
        <w:t xml:space="preserve">                    </w:t>
      </w:r>
    </w:p>
    <w:p w14:paraId="7C3A77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000000"/>
          <w:spacing w:val="-20"/>
          <w:w w:val="90"/>
          <w:szCs w:val="21"/>
          <w:highlight w:val="none"/>
          <w:u w:val="singl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lang w:val="en-US" w:eastAsia="zh-CN"/>
        </w:rPr>
        <w:t xml:space="preserve">                        </w:t>
      </w:r>
    </w:p>
    <w:p w14:paraId="41FE17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lang w:val="en-US" w:eastAsia="zh-CN"/>
        </w:rPr>
        <w:t xml:space="preserve">                        </w:t>
      </w:r>
    </w:p>
    <w:p w14:paraId="070CB0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lang w:val="en-US" w:eastAsia="zh-CN"/>
        </w:rPr>
        <w:t xml:space="preserve">                     </w:t>
      </w:r>
    </w:p>
    <w:p w14:paraId="7D811C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9CBDF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lang w:val="en-US" w:eastAsia="zh-CN"/>
        </w:rPr>
        <w:t xml:space="preserve">                          </w:t>
      </w:r>
    </w:p>
    <w:p w14:paraId="32CB9A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249CAB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2655B8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67CC628">
      <w:pPr>
        <w:pageBreakBefore w:val="0"/>
        <w:kinsoku/>
        <w:wordWrap/>
        <w:overflowPunct/>
        <w:bidi w:val="0"/>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账  号：</w:t>
      </w:r>
      <w:r>
        <w:rPr>
          <w:rFonts w:hint="eastAsia" w:ascii="宋体" w:hAnsi="宋体" w:eastAsia="宋体" w:cs="宋体"/>
          <w:color w:val="auto"/>
          <w:szCs w:val="21"/>
          <w:highlight w:val="none"/>
          <w:u w:val="single"/>
          <w:lang w:val="en-US" w:eastAsia="zh-CN"/>
        </w:rPr>
        <w:t xml:space="preserve">                          </w:t>
      </w:r>
    </w:p>
    <w:p w14:paraId="2DF3FE04">
      <w:pPr>
        <w:pStyle w:val="67"/>
        <w:pageBreakBefore w:val="0"/>
        <w:kinsoku/>
        <w:wordWrap/>
        <w:overflowPunct/>
        <w:bidi w:val="0"/>
        <w:spacing w:line="460" w:lineRule="exact"/>
        <w:ind w:left="0" w:right="8" w:rightChars="4"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br w:type="page"/>
      </w:r>
    </w:p>
    <w:p w14:paraId="64062087">
      <w:pPr>
        <w:pageBreakBefore w:val="0"/>
        <w:kinsoku/>
        <w:wordWrap/>
        <w:overflowPunct/>
        <w:bidi w:val="0"/>
        <w:spacing w:line="460" w:lineRule="exact"/>
        <w:ind w:firstLine="422" w:firstLineChars="200"/>
        <w:jc w:val="center"/>
        <w:textAlignment w:val="auto"/>
        <w:outlineLvl w:val="1"/>
        <w:rPr>
          <w:rFonts w:hint="eastAsia" w:ascii="宋体" w:hAnsi="宋体" w:eastAsia="宋体" w:cs="宋体"/>
          <w:b/>
          <w:bCs/>
          <w:color w:val="auto"/>
          <w:sz w:val="21"/>
          <w:szCs w:val="21"/>
          <w:highlight w:val="none"/>
        </w:rPr>
      </w:pPr>
      <w:bookmarkStart w:id="352" w:name="_Toc351203494"/>
      <w:bookmarkStart w:id="353" w:name="_Toc24764"/>
      <w:bookmarkStart w:id="354" w:name="_Toc57191482"/>
      <w:bookmarkStart w:id="355" w:name="_Toc19410"/>
      <w:bookmarkStart w:id="356" w:name="_Toc1904"/>
      <w:bookmarkStart w:id="357" w:name="_Toc14690"/>
      <w:r>
        <w:rPr>
          <w:rFonts w:hint="eastAsia" w:ascii="宋体" w:hAnsi="宋体" w:eastAsia="宋体" w:cs="宋体"/>
          <w:b/>
          <w:bCs/>
          <w:color w:val="auto"/>
          <w:sz w:val="21"/>
          <w:szCs w:val="21"/>
          <w:highlight w:val="none"/>
        </w:rPr>
        <w:t>第二部分 通用合同条款</w:t>
      </w:r>
      <w:bookmarkEnd w:id="352"/>
      <w:bookmarkStart w:id="358" w:name="_Toc337558727"/>
      <w:r>
        <w:rPr>
          <w:rFonts w:hint="eastAsia" w:ascii="宋体" w:hAnsi="宋体" w:eastAsia="宋体" w:cs="宋体"/>
          <w:b/>
          <w:bCs/>
          <w:color w:val="auto"/>
          <w:sz w:val="21"/>
          <w:szCs w:val="21"/>
          <w:highlight w:val="none"/>
        </w:rPr>
        <w:t>(略)</w:t>
      </w:r>
      <w:bookmarkEnd w:id="353"/>
      <w:bookmarkEnd w:id="354"/>
      <w:bookmarkEnd w:id="355"/>
      <w:bookmarkEnd w:id="356"/>
      <w:bookmarkEnd w:id="357"/>
      <w:bookmarkEnd w:id="358"/>
    </w:p>
    <w:p w14:paraId="52F7CD26">
      <w:pPr>
        <w:pageBreakBefore w:val="0"/>
        <w:kinsoku/>
        <w:wordWrap/>
        <w:overflowPunct/>
        <w:bidi w:val="0"/>
        <w:spacing w:line="460" w:lineRule="exact"/>
        <w:ind w:firstLine="422" w:firstLineChars="200"/>
        <w:jc w:val="center"/>
        <w:textAlignment w:val="auto"/>
        <w:outlineLvl w:val="1"/>
        <w:rPr>
          <w:rFonts w:hint="eastAsia" w:ascii="宋体" w:hAnsi="宋体" w:eastAsia="宋体" w:cs="宋体"/>
          <w:b/>
          <w:bCs/>
          <w:color w:val="auto"/>
          <w:sz w:val="21"/>
          <w:szCs w:val="21"/>
          <w:highlight w:val="none"/>
        </w:rPr>
      </w:pPr>
      <w:bookmarkStart w:id="359" w:name="_Toc5222"/>
      <w:bookmarkStart w:id="360" w:name="_Toc14989"/>
      <w:bookmarkStart w:id="361" w:name="_Toc57191483"/>
      <w:bookmarkStart w:id="362" w:name="_Toc572"/>
      <w:bookmarkStart w:id="363" w:name="_Toc11623"/>
      <w:r>
        <w:rPr>
          <w:rFonts w:hint="eastAsia" w:ascii="宋体" w:hAnsi="宋体" w:eastAsia="宋体" w:cs="宋体"/>
          <w:b/>
          <w:bCs/>
          <w:color w:val="auto"/>
          <w:sz w:val="21"/>
          <w:szCs w:val="21"/>
          <w:highlight w:val="none"/>
        </w:rPr>
        <w:t>第三部分 专用合同条款</w:t>
      </w:r>
      <w:bookmarkEnd w:id="359"/>
      <w:bookmarkEnd w:id="360"/>
      <w:bookmarkEnd w:id="361"/>
      <w:bookmarkEnd w:id="362"/>
      <w:bookmarkEnd w:id="363"/>
    </w:p>
    <w:p w14:paraId="3CD85FA2">
      <w:pPr>
        <w:pStyle w:val="3"/>
        <w:spacing w:line="360" w:lineRule="auto"/>
        <w:rPr>
          <w:rFonts w:hint="eastAsia" w:ascii="宋体" w:hAnsi="宋体" w:eastAsia="宋体" w:cs="宋体"/>
          <w:color w:val="auto"/>
          <w:sz w:val="21"/>
          <w:szCs w:val="21"/>
          <w:highlight w:val="none"/>
        </w:rPr>
      </w:pPr>
      <w:bookmarkStart w:id="364" w:name="_Toc4668"/>
      <w:bookmarkStart w:id="365" w:name="_Toc8767"/>
      <w:bookmarkStart w:id="366" w:name="_Toc13847"/>
      <w:r>
        <w:rPr>
          <w:rFonts w:hint="eastAsia" w:ascii="宋体" w:hAnsi="宋体" w:eastAsia="宋体" w:cs="宋体"/>
          <w:color w:val="auto"/>
          <w:sz w:val="21"/>
          <w:szCs w:val="21"/>
          <w:highlight w:val="none"/>
        </w:rPr>
        <w:t>1、一般约定</w:t>
      </w:r>
      <w:bookmarkEnd w:id="364"/>
      <w:bookmarkEnd w:id="365"/>
      <w:bookmarkEnd w:id="366"/>
    </w:p>
    <w:p w14:paraId="3326E2E8">
      <w:pPr>
        <w:pStyle w:val="5"/>
        <w:rPr>
          <w:rFonts w:hint="eastAsia" w:ascii="宋体" w:hAnsi="宋体" w:eastAsia="宋体" w:cs="宋体"/>
          <w:color w:val="auto"/>
          <w:sz w:val="21"/>
          <w:szCs w:val="21"/>
          <w:highlight w:val="none"/>
        </w:rPr>
      </w:pPr>
      <w:bookmarkStart w:id="367" w:name="_Toc211766789"/>
      <w:bookmarkStart w:id="368" w:name="_Toc452584323"/>
      <w:bookmarkStart w:id="369" w:name="_Toc14468"/>
      <w:bookmarkStart w:id="370" w:name="_Toc11630"/>
      <w:bookmarkStart w:id="371" w:name="_Toc24298"/>
      <w:bookmarkStart w:id="372" w:name="_Toc213122659"/>
      <w:r>
        <w:rPr>
          <w:rFonts w:hint="eastAsia" w:ascii="宋体" w:hAnsi="宋体" w:eastAsia="宋体" w:cs="宋体"/>
          <w:color w:val="auto"/>
          <w:sz w:val="21"/>
          <w:szCs w:val="21"/>
          <w:highlight w:val="none"/>
        </w:rPr>
        <w:t>1.1词语定义</w:t>
      </w:r>
      <w:bookmarkEnd w:id="367"/>
      <w:bookmarkEnd w:id="368"/>
      <w:bookmarkEnd w:id="369"/>
      <w:bookmarkEnd w:id="370"/>
      <w:bookmarkEnd w:id="371"/>
      <w:bookmarkEnd w:id="372"/>
    </w:p>
    <w:p w14:paraId="7E02428F">
      <w:pPr>
        <w:pStyle w:val="4"/>
        <w:spacing w:line="360" w:lineRule="auto"/>
        <w:ind w:firstLine="105" w:firstLineChars="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1.1.2合同当事人员</w:t>
      </w:r>
    </w:p>
    <w:p w14:paraId="1337EC08">
      <w:pPr>
        <w:pStyle w:val="4"/>
        <w:spacing w:line="360" w:lineRule="auto"/>
        <w:ind w:firstLine="48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1.1.2.1发包人：</w:t>
      </w:r>
      <w:r>
        <w:rPr>
          <w:rFonts w:hint="eastAsia" w:ascii="宋体" w:hAnsi="宋体" w:eastAsia="宋体" w:cs="宋体"/>
          <w:bCs/>
          <w:color w:val="auto"/>
          <w:sz w:val="21"/>
          <w:szCs w:val="21"/>
          <w:highlight w:val="none"/>
          <w:u w:val="single"/>
        </w:rPr>
        <w:t>河南工业和信息化职业学院</w:t>
      </w:r>
    </w:p>
    <w:p w14:paraId="4C95F160">
      <w:pPr>
        <w:pStyle w:val="4"/>
        <w:spacing w:line="360" w:lineRule="auto"/>
        <w:ind w:firstLine="480"/>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1.1.2.2承包人:</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u w:val="single"/>
          <w:lang w:val="en-US" w:eastAsia="zh-CN"/>
        </w:rPr>
        <w:t xml:space="preserve">                        </w:t>
      </w:r>
    </w:p>
    <w:p w14:paraId="777C8B8B">
      <w:pPr>
        <w:pStyle w:val="4"/>
        <w:spacing w:line="360" w:lineRule="auto"/>
        <w:ind w:firstLine="105" w:firstLineChars="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1.1.3工程和设备</w:t>
      </w:r>
    </w:p>
    <w:p w14:paraId="270F5A85">
      <w:pPr>
        <w:pStyle w:val="4"/>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1.1.3.1永久工程: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p>
    <w:p w14:paraId="47020B80">
      <w:pPr>
        <w:pStyle w:val="4"/>
        <w:spacing w:line="360" w:lineRule="auto"/>
        <w:ind w:firstLine="48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1.1.3.2临时工程: </w:t>
      </w:r>
      <w:r>
        <w:rPr>
          <w:rFonts w:hint="eastAsia" w:ascii="宋体" w:hAnsi="宋体" w:eastAsia="宋体" w:cs="宋体"/>
          <w:bCs/>
          <w:color w:val="auto"/>
          <w:sz w:val="21"/>
          <w:szCs w:val="21"/>
          <w:highlight w:val="none"/>
          <w:u w:val="single"/>
        </w:rPr>
        <w:t xml:space="preserve">  无  </w:t>
      </w:r>
    </w:p>
    <w:p w14:paraId="3A9C8747">
      <w:pPr>
        <w:pStyle w:val="4"/>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1.1.3.9 永久占地包括：</w:t>
      </w:r>
      <w:r>
        <w:rPr>
          <w:rFonts w:hint="eastAsia" w:ascii="宋体" w:hAnsi="宋体" w:eastAsia="宋体" w:cs="宋体"/>
          <w:bCs/>
          <w:color w:val="auto"/>
          <w:sz w:val="21"/>
          <w:szCs w:val="21"/>
          <w:highlight w:val="none"/>
          <w:u w:val="single"/>
        </w:rPr>
        <w:t xml:space="preserve">  本项目建设所占用地  </w:t>
      </w:r>
      <w:r>
        <w:rPr>
          <w:rFonts w:hint="eastAsia" w:ascii="宋体" w:hAnsi="宋体" w:eastAsia="宋体" w:cs="宋体"/>
          <w:bCs/>
          <w:color w:val="auto"/>
          <w:sz w:val="21"/>
          <w:szCs w:val="21"/>
          <w:highlight w:val="none"/>
        </w:rPr>
        <w:t>。</w:t>
      </w:r>
    </w:p>
    <w:p w14:paraId="3D323A55">
      <w:pPr>
        <w:pStyle w:val="4"/>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1.1.3.10 临时占地包括：</w:t>
      </w:r>
      <w:r>
        <w:rPr>
          <w:rFonts w:hint="eastAsia" w:ascii="宋体" w:hAnsi="宋体" w:eastAsia="宋体" w:cs="宋体"/>
          <w:bCs/>
          <w:color w:val="auto"/>
          <w:sz w:val="21"/>
          <w:szCs w:val="21"/>
          <w:highlight w:val="none"/>
          <w:u w:val="single"/>
        </w:rPr>
        <w:t xml:space="preserve"> 施工所需占用的临时用地  </w:t>
      </w:r>
      <w:r>
        <w:rPr>
          <w:rFonts w:hint="eastAsia" w:ascii="宋体" w:hAnsi="宋体" w:eastAsia="宋体" w:cs="宋体"/>
          <w:bCs/>
          <w:color w:val="auto"/>
          <w:sz w:val="21"/>
          <w:szCs w:val="21"/>
          <w:highlight w:val="none"/>
        </w:rPr>
        <w:t xml:space="preserve"> </w:t>
      </w:r>
    </w:p>
    <w:p w14:paraId="6CD92B41">
      <w:pPr>
        <w:pStyle w:val="5"/>
        <w:rPr>
          <w:rFonts w:hint="eastAsia" w:ascii="宋体" w:hAnsi="宋体" w:eastAsia="宋体" w:cs="宋体"/>
          <w:color w:val="auto"/>
          <w:sz w:val="21"/>
          <w:szCs w:val="21"/>
          <w:highlight w:val="none"/>
        </w:rPr>
      </w:pPr>
      <w:bookmarkStart w:id="373" w:name="_Toc14678"/>
      <w:bookmarkStart w:id="374" w:name="_Toc16639"/>
      <w:bookmarkStart w:id="375" w:name="_Toc211766790"/>
      <w:bookmarkStart w:id="376" w:name="_Toc5764"/>
      <w:bookmarkStart w:id="377" w:name="_Toc213122660"/>
      <w:bookmarkStart w:id="378" w:name="_Toc452584324"/>
      <w:r>
        <w:rPr>
          <w:rFonts w:hint="eastAsia" w:ascii="宋体" w:hAnsi="宋体" w:eastAsia="宋体" w:cs="宋体"/>
          <w:color w:val="auto"/>
          <w:sz w:val="21"/>
          <w:szCs w:val="21"/>
          <w:highlight w:val="none"/>
        </w:rPr>
        <w:t>1.2 语言文字</w:t>
      </w:r>
      <w:bookmarkEnd w:id="373"/>
      <w:bookmarkEnd w:id="374"/>
      <w:bookmarkEnd w:id="375"/>
      <w:bookmarkEnd w:id="376"/>
      <w:bookmarkEnd w:id="377"/>
      <w:bookmarkEnd w:id="378"/>
    </w:p>
    <w:p w14:paraId="2CB61B9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除专用术语外，合同使用的语言文字为中文。必要时专用术语应附有中文注释。</w:t>
      </w:r>
    </w:p>
    <w:p w14:paraId="7C613300">
      <w:pPr>
        <w:pStyle w:val="5"/>
        <w:rPr>
          <w:rFonts w:hint="eastAsia" w:ascii="宋体" w:hAnsi="宋体" w:eastAsia="宋体" w:cs="宋体"/>
          <w:color w:val="auto"/>
          <w:sz w:val="21"/>
          <w:szCs w:val="21"/>
          <w:highlight w:val="none"/>
        </w:rPr>
      </w:pPr>
      <w:bookmarkStart w:id="379" w:name="_Toc31496"/>
      <w:bookmarkStart w:id="380" w:name="_Toc213122661"/>
      <w:bookmarkStart w:id="381" w:name="_Toc452584325"/>
      <w:bookmarkStart w:id="382" w:name="_Toc7327"/>
      <w:bookmarkStart w:id="383" w:name="_Toc211766791"/>
      <w:bookmarkStart w:id="384" w:name="_Toc17146"/>
      <w:r>
        <w:rPr>
          <w:rFonts w:hint="eastAsia" w:ascii="宋体" w:hAnsi="宋体" w:eastAsia="宋体" w:cs="宋体"/>
          <w:color w:val="auto"/>
          <w:sz w:val="21"/>
          <w:szCs w:val="21"/>
          <w:highlight w:val="none"/>
        </w:rPr>
        <w:t>1.3 法律</w:t>
      </w:r>
      <w:bookmarkEnd w:id="379"/>
      <w:bookmarkEnd w:id="380"/>
      <w:bookmarkEnd w:id="381"/>
      <w:bookmarkEnd w:id="382"/>
      <w:bookmarkEnd w:id="383"/>
      <w:bookmarkEnd w:id="384"/>
    </w:p>
    <w:p w14:paraId="38A2D34E">
      <w:pPr>
        <w:pStyle w:val="4"/>
        <w:spacing w:line="360" w:lineRule="auto"/>
        <w:ind w:firstLine="319" w:firstLineChars="1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1.3.1适用法律和法规、需要明示的法律、行政规定：</w:t>
      </w:r>
      <w:r>
        <w:rPr>
          <w:rFonts w:hint="eastAsia" w:ascii="宋体" w:hAnsi="宋体" w:eastAsia="宋体" w:cs="宋体"/>
          <w:bCs/>
          <w:color w:val="auto"/>
          <w:sz w:val="21"/>
          <w:szCs w:val="21"/>
          <w:highlight w:val="none"/>
          <w:u w:val="single"/>
        </w:rPr>
        <w:t>国家现行有关法律、法规，规章和河南省及焦作市现行有关法规，规章和规范性文件均对本合同有约束力。</w:t>
      </w:r>
    </w:p>
    <w:p w14:paraId="15AD3D94">
      <w:pPr>
        <w:pStyle w:val="5"/>
        <w:rPr>
          <w:rFonts w:hint="eastAsia" w:ascii="宋体" w:hAnsi="宋体" w:eastAsia="宋体" w:cs="宋体"/>
          <w:color w:val="auto"/>
          <w:sz w:val="21"/>
          <w:szCs w:val="21"/>
          <w:highlight w:val="none"/>
        </w:rPr>
      </w:pPr>
      <w:bookmarkStart w:id="385" w:name="_Toc31274"/>
      <w:bookmarkStart w:id="386" w:name="_Toc16947"/>
      <w:bookmarkStart w:id="387" w:name="_Toc15554"/>
      <w:r>
        <w:rPr>
          <w:rFonts w:hint="eastAsia" w:ascii="宋体" w:hAnsi="宋体" w:eastAsia="宋体" w:cs="宋体"/>
          <w:color w:val="auto"/>
          <w:sz w:val="21"/>
          <w:szCs w:val="21"/>
          <w:highlight w:val="none"/>
        </w:rPr>
        <w:t>1.4标准和规范</w:t>
      </w:r>
      <w:bookmarkEnd w:id="385"/>
      <w:bookmarkEnd w:id="386"/>
      <w:bookmarkEnd w:id="387"/>
    </w:p>
    <w:p w14:paraId="28F7DD0B">
      <w:pPr>
        <w:pStyle w:val="4"/>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1.4.1适用标准、规范的名称：</w:t>
      </w:r>
      <w:r>
        <w:rPr>
          <w:rStyle w:val="71"/>
          <w:rFonts w:hint="eastAsia" w:ascii="宋体" w:hAnsi="宋体" w:eastAsia="宋体" w:cs="宋体"/>
          <w:color w:val="auto"/>
          <w:sz w:val="21"/>
          <w:szCs w:val="21"/>
          <w:highlight w:val="none"/>
        </w:rPr>
        <w:t>国家、行业及地方现行的与本工程建设有关的标准和规范。</w:t>
      </w:r>
    </w:p>
    <w:p w14:paraId="381D7A6E">
      <w:pPr>
        <w:pStyle w:val="4"/>
        <w:spacing w:line="360" w:lineRule="auto"/>
        <w:ind w:firstLine="424" w:firstLineChars="202"/>
        <w:rPr>
          <w:rStyle w:val="71"/>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1.4.2发包人提供标准、规范的时间：</w:t>
      </w:r>
      <w:r>
        <w:rPr>
          <w:rStyle w:val="71"/>
          <w:rFonts w:hint="eastAsia" w:ascii="宋体" w:hAnsi="宋体" w:eastAsia="宋体" w:cs="宋体"/>
          <w:color w:val="auto"/>
          <w:sz w:val="21"/>
          <w:szCs w:val="21"/>
          <w:highlight w:val="none"/>
        </w:rPr>
        <w:t>由承包人自行解决。</w:t>
      </w:r>
    </w:p>
    <w:p w14:paraId="5C2C2A3E">
      <w:pPr>
        <w:pStyle w:val="4"/>
        <w:spacing w:line="360" w:lineRule="auto"/>
        <w:ind w:firstLine="420" w:firstLineChars="200"/>
        <w:rPr>
          <w:rStyle w:val="71"/>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1.4.3国内没有相应标准、规范时的约定：</w:t>
      </w:r>
      <w:r>
        <w:rPr>
          <w:rStyle w:val="71"/>
          <w:rFonts w:hint="eastAsia" w:ascii="宋体" w:hAnsi="宋体" w:eastAsia="宋体" w:cs="宋体"/>
          <w:color w:val="auto"/>
          <w:sz w:val="21"/>
          <w:szCs w:val="21"/>
          <w:highlight w:val="none"/>
        </w:rPr>
        <w:t>和设计单位协商解决。</w:t>
      </w:r>
    </w:p>
    <w:p w14:paraId="37CCB0DF">
      <w:pPr>
        <w:pStyle w:val="4"/>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1.4.4发包人对工程的技术标准和功能要求的特殊要求：</w:t>
      </w:r>
      <w:r>
        <w:rPr>
          <w:rFonts w:hint="eastAsia" w:ascii="宋体" w:hAnsi="宋体" w:eastAsia="宋体" w:cs="宋体"/>
          <w:color w:val="auto"/>
          <w:sz w:val="21"/>
          <w:szCs w:val="21"/>
          <w:highlight w:val="none"/>
          <w:u w:val="single"/>
        </w:rPr>
        <w:t>国家或行业如有新的技术标准和功能要求，则要求从新。</w:t>
      </w:r>
    </w:p>
    <w:p w14:paraId="1D8265B4">
      <w:pPr>
        <w:pStyle w:val="4"/>
        <w:spacing w:line="360" w:lineRule="auto"/>
        <w:ind w:firstLine="420" w:firstLineChars="200"/>
        <w:rPr>
          <w:rStyle w:val="71"/>
          <w:rFonts w:hint="eastAsia" w:ascii="宋体" w:hAnsi="宋体" w:eastAsia="宋体" w:cs="宋体"/>
          <w:color w:val="auto"/>
          <w:sz w:val="21"/>
          <w:szCs w:val="21"/>
          <w:highlight w:val="none"/>
        </w:rPr>
      </w:pPr>
    </w:p>
    <w:p w14:paraId="30F677EB">
      <w:pPr>
        <w:pStyle w:val="5"/>
        <w:rPr>
          <w:rFonts w:hint="eastAsia" w:ascii="宋体" w:hAnsi="宋体" w:eastAsia="宋体" w:cs="宋体"/>
          <w:color w:val="auto"/>
          <w:sz w:val="21"/>
          <w:szCs w:val="21"/>
          <w:highlight w:val="none"/>
        </w:rPr>
      </w:pPr>
      <w:bookmarkStart w:id="388" w:name="_Toc452584326"/>
      <w:bookmarkStart w:id="389" w:name="_Toc211766792"/>
      <w:bookmarkStart w:id="390" w:name="_Toc213122662"/>
      <w:bookmarkStart w:id="391" w:name="_Toc32203"/>
      <w:bookmarkStart w:id="392" w:name="_Toc9985"/>
      <w:bookmarkStart w:id="393" w:name="_Toc13863"/>
      <w:r>
        <w:rPr>
          <w:rFonts w:hint="eastAsia" w:ascii="宋体" w:hAnsi="宋体" w:eastAsia="宋体" w:cs="宋体"/>
          <w:color w:val="auto"/>
          <w:sz w:val="21"/>
          <w:szCs w:val="21"/>
          <w:highlight w:val="none"/>
        </w:rPr>
        <w:t>1.5合同文件优先顺序</w:t>
      </w:r>
      <w:bookmarkEnd w:id="388"/>
      <w:bookmarkEnd w:id="389"/>
      <w:bookmarkEnd w:id="390"/>
      <w:bookmarkEnd w:id="391"/>
      <w:bookmarkEnd w:id="392"/>
      <w:bookmarkEnd w:id="393"/>
    </w:p>
    <w:p w14:paraId="37788328">
      <w:pPr>
        <w:pStyle w:val="4"/>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合同文件及解释顺序：</w:t>
      </w:r>
      <w:r>
        <w:rPr>
          <w:rFonts w:hint="eastAsia" w:ascii="宋体" w:hAnsi="宋体" w:eastAsia="宋体" w:cs="宋体"/>
          <w:color w:val="auto"/>
          <w:sz w:val="21"/>
          <w:szCs w:val="21"/>
          <w:highlight w:val="none"/>
          <w:u w:val="single"/>
        </w:rPr>
        <w:t>（1）合同协议书（2）中标通知书（3）投标函及投标函附录（4）专用合同条款（5）通用合同条款（6）招标文件及其附件（7）技术标准和要求（8）图纸（9）已标价工程量清单（10）其他合同文件。</w:t>
      </w:r>
    </w:p>
    <w:p w14:paraId="02B10679">
      <w:pPr>
        <w:pStyle w:val="4"/>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合同履行中，发包人承包人有关工程的洽商、变更等书面协议或文件是为本合同的组成部分。属于同一类内容的文件，应以最新签署的为准。</w:t>
      </w:r>
    </w:p>
    <w:p w14:paraId="2539D38D">
      <w:pPr>
        <w:pStyle w:val="5"/>
        <w:rPr>
          <w:rFonts w:hint="eastAsia" w:ascii="宋体" w:hAnsi="宋体" w:eastAsia="宋体" w:cs="宋体"/>
          <w:color w:val="auto"/>
          <w:sz w:val="21"/>
          <w:szCs w:val="21"/>
          <w:highlight w:val="none"/>
        </w:rPr>
      </w:pPr>
      <w:bookmarkStart w:id="394" w:name="_Toc213122664"/>
      <w:bookmarkStart w:id="395" w:name="_Toc452584328"/>
      <w:bookmarkStart w:id="396" w:name="_Toc1257"/>
      <w:bookmarkStart w:id="397" w:name="_Toc20079"/>
      <w:bookmarkStart w:id="398" w:name="_Toc211766794"/>
      <w:bookmarkStart w:id="399" w:name="_Toc22469"/>
      <w:r>
        <w:rPr>
          <w:rFonts w:hint="eastAsia" w:ascii="宋体" w:hAnsi="宋体" w:eastAsia="宋体" w:cs="宋体"/>
          <w:color w:val="auto"/>
          <w:sz w:val="21"/>
          <w:szCs w:val="21"/>
          <w:highlight w:val="none"/>
        </w:rPr>
        <w:t>1.6图纸和承包人文件</w:t>
      </w:r>
      <w:bookmarkEnd w:id="394"/>
      <w:bookmarkEnd w:id="395"/>
      <w:bookmarkEnd w:id="396"/>
      <w:bookmarkEnd w:id="397"/>
      <w:bookmarkEnd w:id="398"/>
      <w:bookmarkEnd w:id="399"/>
    </w:p>
    <w:p w14:paraId="350ABF15">
      <w:pPr>
        <w:widowControl/>
        <w:spacing w:line="360" w:lineRule="auto"/>
        <w:ind w:firstLine="420" w:firstLineChars="200"/>
        <w:rPr>
          <w:rStyle w:val="71"/>
          <w:rFonts w:hint="eastAsia" w:ascii="宋体" w:hAnsi="宋体" w:eastAsia="宋体" w:cs="宋体"/>
          <w:color w:val="auto"/>
          <w:sz w:val="21"/>
          <w:szCs w:val="21"/>
          <w:highlight w:val="none"/>
        </w:rPr>
      </w:pPr>
      <w:r>
        <w:rPr>
          <w:rStyle w:val="71"/>
          <w:rFonts w:hint="eastAsia" w:ascii="宋体" w:hAnsi="宋体" w:eastAsia="宋体" w:cs="宋体"/>
          <w:color w:val="auto"/>
          <w:sz w:val="21"/>
          <w:szCs w:val="21"/>
          <w:highlight w:val="none"/>
        </w:rPr>
        <w:t>1.6.1 图纸的提供</w:t>
      </w:r>
    </w:p>
    <w:p w14:paraId="789FE8E5">
      <w:pPr>
        <w:widowControl/>
        <w:spacing w:line="360" w:lineRule="auto"/>
        <w:ind w:firstLine="420" w:firstLineChars="200"/>
        <w:rPr>
          <w:rStyle w:val="71"/>
          <w:rFonts w:hint="eastAsia" w:ascii="宋体" w:hAnsi="宋体" w:eastAsia="宋体" w:cs="宋体"/>
          <w:color w:val="auto"/>
          <w:sz w:val="21"/>
          <w:szCs w:val="21"/>
          <w:highlight w:val="none"/>
        </w:rPr>
      </w:pPr>
      <w:r>
        <w:rPr>
          <w:rStyle w:val="71"/>
          <w:rFonts w:hint="eastAsia" w:ascii="宋体" w:hAnsi="宋体" w:eastAsia="宋体" w:cs="宋体"/>
          <w:color w:val="auto"/>
          <w:sz w:val="21"/>
          <w:szCs w:val="21"/>
          <w:highlight w:val="none"/>
        </w:rPr>
        <w:t>发包人向承包人提供图纸的期限：开工3日前；</w:t>
      </w:r>
    </w:p>
    <w:p w14:paraId="43981611">
      <w:pPr>
        <w:widowControl/>
        <w:spacing w:line="360" w:lineRule="auto"/>
        <w:ind w:firstLine="420" w:firstLineChars="200"/>
        <w:rPr>
          <w:rStyle w:val="71"/>
          <w:rFonts w:hint="eastAsia" w:ascii="宋体" w:hAnsi="宋体" w:eastAsia="宋体" w:cs="宋体"/>
          <w:color w:val="auto"/>
          <w:sz w:val="21"/>
          <w:szCs w:val="21"/>
          <w:highlight w:val="none"/>
        </w:rPr>
      </w:pPr>
      <w:r>
        <w:rPr>
          <w:rStyle w:val="71"/>
          <w:rFonts w:hint="eastAsia" w:ascii="宋体" w:hAnsi="宋体" w:eastAsia="宋体" w:cs="宋体"/>
          <w:color w:val="auto"/>
          <w:sz w:val="21"/>
          <w:szCs w:val="21"/>
          <w:highlight w:val="none"/>
        </w:rPr>
        <w:t>发包人向承包人提供图纸的数量：  肆套；</w:t>
      </w:r>
    </w:p>
    <w:p w14:paraId="233CD84B">
      <w:pPr>
        <w:widowControl/>
        <w:spacing w:line="360" w:lineRule="auto"/>
        <w:ind w:firstLine="420" w:firstLineChars="200"/>
        <w:rPr>
          <w:rStyle w:val="71"/>
          <w:rFonts w:hint="eastAsia" w:ascii="宋体" w:hAnsi="宋体" w:eastAsia="宋体" w:cs="宋体"/>
          <w:color w:val="auto"/>
          <w:sz w:val="21"/>
          <w:szCs w:val="21"/>
          <w:highlight w:val="none"/>
        </w:rPr>
      </w:pPr>
      <w:r>
        <w:rPr>
          <w:rStyle w:val="71"/>
          <w:rFonts w:hint="eastAsia" w:ascii="宋体" w:hAnsi="宋体" w:eastAsia="宋体" w:cs="宋体"/>
          <w:color w:val="auto"/>
          <w:sz w:val="21"/>
          <w:szCs w:val="21"/>
          <w:highlight w:val="none"/>
        </w:rPr>
        <w:t>发包人向承包人提供图纸的内容：   设计方提供的施工图纸及技术资料  。</w:t>
      </w:r>
    </w:p>
    <w:p w14:paraId="115F0D00">
      <w:pPr>
        <w:pStyle w:val="4"/>
        <w:spacing w:line="360" w:lineRule="auto"/>
        <w:ind w:firstLine="420" w:firstLineChars="200"/>
        <w:rPr>
          <w:rStyle w:val="71"/>
          <w:rFonts w:hint="eastAsia" w:ascii="宋体" w:hAnsi="宋体" w:eastAsia="宋体" w:cs="宋体"/>
          <w:color w:val="auto"/>
          <w:sz w:val="21"/>
          <w:szCs w:val="21"/>
          <w:highlight w:val="none"/>
        </w:rPr>
      </w:pPr>
      <w:r>
        <w:rPr>
          <w:rStyle w:val="71"/>
          <w:rFonts w:hint="eastAsia" w:ascii="宋体" w:hAnsi="宋体" w:eastAsia="宋体" w:cs="宋体"/>
          <w:color w:val="auto"/>
          <w:sz w:val="21"/>
          <w:szCs w:val="21"/>
          <w:highlight w:val="none"/>
        </w:rPr>
        <w:t>1.6.4承包人文件：</w:t>
      </w:r>
    </w:p>
    <w:p w14:paraId="24FDD063">
      <w:pPr>
        <w:pStyle w:val="4"/>
        <w:spacing w:line="360" w:lineRule="auto"/>
        <w:ind w:firstLine="420" w:firstLineChars="200"/>
        <w:rPr>
          <w:rStyle w:val="71"/>
          <w:rFonts w:hint="eastAsia" w:ascii="宋体" w:hAnsi="宋体" w:eastAsia="宋体" w:cs="宋体"/>
          <w:color w:val="auto"/>
          <w:sz w:val="21"/>
          <w:szCs w:val="21"/>
          <w:highlight w:val="none"/>
        </w:rPr>
      </w:pPr>
      <w:r>
        <w:rPr>
          <w:rStyle w:val="71"/>
          <w:rFonts w:hint="eastAsia" w:ascii="宋体" w:hAnsi="宋体" w:eastAsia="宋体" w:cs="宋体"/>
          <w:color w:val="auto"/>
          <w:sz w:val="21"/>
          <w:szCs w:val="21"/>
          <w:highlight w:val="none"/>
        </w:rPr>
        <w:t>需要由承包人提供的文件，包括:经监理审批的施工组织设计、施工总进度计划表、详细的分部分项施工计划、专项工程施工方案；</w:t>
      </w:r>
    </w:p>
    <w:p w14:paraId="30192673">
      <w:pPr>
        <w:pStyle w:val="4"/>
        <w:spacing w:line="360" w:lineRule="auto"/>
        <w:ind w:firstLine="420" w:firstLineChars="200"/>
        <w:rPr>
          <w:rStyle w:val="71"/>
          <w:rFonts w:hint="eastAsia" w:ascii="宋体" w:hAnsi="宋体" w:eastAsia="宋体" w:cs="宋体"/>
          <w:color w:val="auto"/>
          <w:sz w:val="21"/>
          <w:szCs w:val="21"/>
          <w:highlight w:val="none"/>
        </w:rPr>
      </w:pPr>
      <w:r>
        <w:rPr>
          <w:rStyle w:val="71"/>
          <w:rFonts w:hint="eastAsia" w:ascii="宋体" w:hAnsi="宋体" w:eastAsia="宋体" w:cs="宋体"/>
          <w:color w:val="auto"/>
          <w:sz w:val="21"/>
          <w:szCs w:val="21"/>
          <w:highlight w:val="none"/>
        </w:rPr>
        <w:t>承包人提供的文件的期限为：    开工3日前             ；</w:t>
      </w:r>
    </w:p>
    <w:p w14:paraId="1A90CCD4">
      <w:pPr>
        <w:pStyle w:val="4"/>
        <w:spacing w:line="360" w:lineRule="auto"/>
        <w:ind w:firstLine="420" w:firstLineChars="200"/>
        <w:rPr>
          <w:rStyle w:val="71"/>
          <w:rFonts w:hint="eastAsia" w:ascii="宋体" w:hAnsi="宋体" w:eastAsia="宋体" w:cs="宋体"/>
          <w:color w:val="auto"/>
          <w:sz w:val="21"/>
          <w:szCs w:val="21"/>
          <w:highlight w:val="none"/>
        </w:rPr>
      </w:pPr>
      <w:r>
        <w:rPr>
          <w:rStyle w:val="71"/>
          <w:rFonts w:hint="eastAsia" w:ascii="宋体" w:hAnsi="宋体" w:eastAsia="宋体" w:cs="宋体"/>
          <w:color w:val="auto"/>
          <w:sz w:val="21"/>
          <w:szCs w:val="21"/>
          <w:highlight w:val="none"/>
        </w:rPr>
        <w:t>承包人提供的文件的数量为：陆套（含电子文档壹套） ；</w:t>
      </w:r>
    </w:p>
    <w:p w14:paraId="3819167A">
      <w:pPr>
        <w:pStyle w:val="4"/>
        <w:spacing w:line="360" w:lineRule="auto"/>
        <w:ind w:firstLine="420" w:firstLineChars="200"/>
        <w:rPr>
          <w:rStyle w:val="71"/>
          <w:rFonts w:hint="eastAsia" w:ascii="宋体" w:hAnsi="宋体" w:eastAsia="宋体" w:cs="宋体"/>
          <w:color w:val="auto"/>
          <w:sz w:val="21"/>
          <w:szCs w:val="21"/>
          <w:highlight w:val="none"/>
        </w:rPr>
      </w:pPr>
      <w:r>
        <w:rPr>
          <w:rStyle w:val="71"/>
          <w:rFonts w:hint="eastAsia" w:ascii="宋体" w:hAnsi="宋体" w:eastAsia="宋体" w:cs="宋体"/>
          <w:color w:val="auto"/>
          <w:sz w:val="21"/>
          <w:szCs w:val="21"/>
          <w:highlight w:val="none"/>
        </w:rPr>
        <w:t>承包人提供的文件的形式为： 书面形式及电子文档；</w:t>
      </w:r>
    </w:p>
    <w:p w14:paraId="73927251">
      <w:pPr>
        <w:pStyle w:val="4"/>
        <w:spacing w:line="360" w:lineRule="auto"/>
        <w:ind w:firstLine="420" w:firstLineChars="200"/>
        <w:rPr>
          <w:rStyle w:val="71"/>
          <w:rFonts w:hint="eastAsia" w:ascii="宋体" w:hAnsi="宋体" w:eastAsia="宋体" w:cs="宋体"/>
          <w:color w:val="auto"/>
          <w:sz w:val="21"/>
          <w:szCs w:val="21"/>
          <w:highlight w:val="none"/>
        </w:rPr>
      </w:pPr>
      <w:r>
        <w:rPr>
          <w:rStyle w:val="71"/>
          <w:rFonts w:hint="eastAsia" w:ascii="宋体" w:hAnsi="宋体" w:eastAsia="宋体" w:cs="宋体"/>
          <w:color w:val="auto"/>
          <w:sz w:val="21"/>
          <w:szCs w:val="21"/>
          <w:highlight w:val="none"/>
        </w:rPr>
        <w:t>发包人审批承包人文件的期限： 收到文件后七日  。</w:t>
      </w:r>
    </w:p>
    <w:p w14:paraId="5F3B7CE0">
      <w:pPr>
        <w:pStyle w:val="4"/>
        <w:spacing w:line="360" w:lineRule="auto"/>
        <w:ind w:firstLine="420" w:firstLineChars="200"/>
        <w:rPr>
          <w:rStyle w:val="71"/>
          <w:rFonts w:hint="eastAsia" w:ascii="宋体" w:hAnsi="宋体" w:eastAsia="宋体" w:cs="宋体"/>
          <w:color w:val="auto"/>
          <w:sz w:val="21"/>
          <w:szCs w:val="21"/>
          <w:highlight w:val="none"/>
        </w:rPr>
      </w:pPr>
      <w:r>
        <w:rPr>
          <w:rStyle w:val="71"/>
          <w:rFonts w:hint="eastAsia" w:ascii="宋体" w:hAnsi="宋体" w:eastAsia="宋体" w:cs="宋体"/>
          <w:color w:val="auto"/>
          <w:sz w:val="21"/>
          <w:szCs w:val="21"/>
          <w:highlight w:val="none"/>
        </w:rPr>
        <w:t>1.6.5 现场图纸准备</w:t>
      </w:r>
    </w:p>
    <w:p w14:paraId="54F12EC4">
      <w:pPr>
        <w:pStyle w:val="4"/>
        <w:spacing w:line="360" w:lineRule="auto"/>
        <w:ind w:firstLine="420" w:firstLineChars="200"/>
        <w:rPr>
          <w:rStyle w:val="71"/>
          <w:rFonts w:hint="eastAsia" w:ascii="宋体" w:hAnsi="宋体" w:eastAsia="宋体" w:cs="宋体"/>
          <w:color w:val="auto"/>
          <w:sz w:val="21"/>
          <w:szCs w:val="21"/>
          <w:highlight w:val="none"/>
        </w:rPr>
      </w:pPr>
      <w:r>
        <w:rPr>
          <w:rStyle w:val="71"/>
          <w:rFonts w:hint="eastAsia" w:ascii="宋体" w:hAnsi="宋体" w:eastAsia="宋体" w:cs="宋体"/>
          <w:color w:val="auto"/>
          <w:sz w:val="21"/>
          <w:szCs w:val="21"/>
          <w:highlight w:val="none"/>
        </w:rPr>
        <w:t>关于现场图纸准备的约定： 施工现场保留壹套完整图纸供发包人、监理人及有关人员使用  。</w:t>
      </w:r>
    </w:p>
    <w:p w14:paraId="08560BE4">
      <w:pPr>
        <w:spacing w:line="360" w:lineRule="auto"/>
        <w:ind w:firstLine="420" w:firstLineChars="200"/>
        <w:rPr>
          <w:rStyle w:val="71"/>
          <w:rFonts w:hint="eastAsia" w:ascii="宋体" w:hAnsi="宋体" w:eastAsia="宋体" w:cs="宋体"/>
          <w:color w:val="auto"/>
          <w:sz w:val="21"/>
          <w:szCs w:val="21"/>
          <w:highlight w:val="none"/>
        </w:rPr>
      </w:pPr>
    </w:p>
    <w:p w14:paraId="7D9E72A2">
      <w:pPr>
        <w:pStyle w:val="5"/>
        <w:rPr>
          <w:rFonts w:hint="eastAsia" w:ascii="宋体" w:hAnsi="宋体" w:eastAsia="宋体" w:cs="宋体"/>
          <w:color w:val="auto"/>
          <w:sz w:val="21"/>
          <w:szCs w:val="21"/>
          <w:highlight w:val="none"/>
        </w:rPr>
      </w:pPr>
      <w:bookmarkStart w:id="400" w:name="_Toc7889"/>
      <w:bookmarkStart w:id="401" w:name="_Toc14298"/>
      <w:bookmarkStart w:id="402" w:name="_Toc452584329"/>
      <w:bookmarkStart w:id="403" w:name="_Toc14932"/>
      <w:bookmarkStart w:id="404" w:name="_Toc211766795"/>
      <w:bookmarkStart w:id="405" w:name="_Toc213122665"/>
      <w:r>
        <w:rPr>
          <w:rFonts w:hint="eastAsia" w:ascii="宋体" w:hAnsi="宋体" w:eastAsia="宋体" w:cs="宋体"/>
          <w:color w:val="auto"/>
          <w:sz w:val="21"/>
          <w:szCs w:val="21"/>
          <w:highlight w:val="none"/>
        </w:rPr>
        <w:t>1.7 联络</w:t>
      </w:r>
      <w:bookmarkEnd w:id="400"/>
      <w:bookmarkEnd w:id="401"/>
      <w:bookmarkEnd w:id="402"/>
      <w:bookmarkEnd w:id="403"/>
      <w:bookmarkEnd w:id="404"/>
      <w:bookmarkEnd w:id="405"/>
    </w:p>
    <w:p w14:paraId="03719B6E">
      <w:pPr>
        <w:widowControl/>
        <w:spacing w:line="360" w:lineRule="auto"/>
        <w:ind w:firstLine="600"/>
        <w:rPr>
          <w:rFonts w:hint="eastAsia" w:ascii="宋体" w:hAnsi="宋体" w:eastAsia="宋体" w:cs="宋体"/>
          <w:color w:val="auto"/>
          <w:kern w:val="0"/>
          <w:szCs w:val="21"/>
          <w:highlight w:val="none"/>
        </w:rPr>
      </w:pPr>
      <w:bookmarkStart w:id="406" w:name="_Toc452584330"/>
      <w:bookmarkStart w:id="407" w:name="_Toc211766796"/>
      <w:bookmarkStart w:id="408" w:name="_Toc213122666"/>
      <w:r>
        <w:rPr>
          <w:rFonts w:hint="eastAsia" w:ascii="宋体" w:hAnsi="宋体" w:eastAsia="宋体" w:cs="宋体"/>
          <w:color w:val="auto"/>
          <w:kern w:val="0"/>
          <w:szCs w:val="21"/>
          <w:highlight w:val="none"/>
        </w:rPr>
        <w:t>1.7.2 发包人接收文件的地点：</w:t>
      </w:r>
      <w:r>
        <w:rPr>
          <w:rFonts w:hint="eastAsia" w:ascii="宋体" w:hAnsi="宋体" w:eastAsia="宋体" w:cs="宋体"/>
          <w:color w:val="auto"/>
          <w:kern w:val="0"/>
          <w:szCs w:val="21"/>
          <w:highlight w:val="none"/>
          <w:u w:val="single"/>
        </w:rPr>
        <w:t xml:space="preserve">  河南工业和信息化职业学院 </w:t>
      </w:r>
      <w:r>
        <w:rPr>
          <w:rFonts w:hint="eastAsia" w:ascii="宋体" w:hAnsi="宋体" w:eastAsia="宋体" w:cs="宋体"/>
          <w:color w:val="auto"/>
          <w:kern w:val="0"/>
          <w:szCs w:val="21"/>
          <w:highlight w:val="none"/>
        </w:rPr>
        <w:t xml:space="preserve">； </w:t>
      </w:r>
    </w:p>
    <w:p w14:paraId="73413DDD">
      <w:pPr>
        <w:widowControl/>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发包人指定的接收人为：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CA0DC76">
      <w:pPr>
        <w:widowControl/>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承包人接收文件的地点：</w:t>
      </w:r>
      <w:r>
        <w:rPr>
          <w:rFonts w:hint="eastAsia" w:ascii="宋体" w:hAnsi="宋体" w:eastAsia="宋体" w:cs="宋体"/>
          <w:color w:val="auto"/>
          <w:kern w:val="0"/>
          <w:szCs w:val="21"/>
          <w:highlight w:val="none"/>
          <w:u w:val="single"/>
        </w:rPr>
        <w:t xml:space="preserve"> 河南工业和信息化职业学院 </w:t>
      </w:r>
      <w:r>
        <w:rPr>
          <w:rFonts w:hint="eastAsia" w:ascii="宋体" w:hAnsi="宋体" w:eastAsia="宋体" w:cs="宋体"/>
          <w:color w:val="auto"/>
          <w:kern w:val="0"/>
          <w:szCs w:val="21"/>
          <w:highlight w:val="none"/>
        </w:rPr>
        <w:t xml:space="preserve">； </w:t>
      </w:r>
    </w:p>
    <w:p w14:paraId="70E32657">
      <w:pPr>
        <w:widowControl/>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承包人指定的接收人为：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D6D576B">
      <w:pPr>
        <w:widowControl/>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监理人接收文件的地点：</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河南工业和信息化职业学院</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BE569E0">
      <w:pPr>
        <w:widowControl/>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监理人指定的接收人为：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7CFE268F">
      <w:pPr>
        <w:widowControl/>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 交通运输</w:t>
      </w:r>
    </w:p>
    <w:p w14:paraId="26A51C9E">
      <w:pPr>
        <w:widowControl/>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0B5B909F">
      <w:pPr>
        <w:widowControl/>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关于出入现场的权利的约定：</w:t>
      </w:r>
      <w:r>
        <w:rPr>
          <w:rFonts w:hint="eastAsia" w:ascii="宋体" w:hAnsi="宋体" w:eastAsia="宋体" w:cs="宋体"/>
          <w:color w:val="auto"/>
          <w:kern w:val="0"/>
          <w:szCs w:val="21"/>
          <w:highlight w:val="none"/>
          <w:u w:val="single"/>
        </w:rPr>
        <w:t xml:space="preserve">     按河南工业和信息化职业学院保卫处的要求  。</w:t>
      </w:r>
    </w:p>
    <w:p w14:paraId="7386928F">
      <w:pPr>
        <w:widowControl/>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1.10.3 场内交通</w:t>
      </w:r>
    </w:p>
    <w:p w14:paraId="1752F66D">
      <w:pPr>
        <w:widowControl/>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 xml:space="preserve"> </w:t>
      </w:r>
    </w:p>
    <w:p w14:paraId="3D023C42">
      <w:pPr>
        <w:widowControl/>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 xml:space="preserve">。  </w:t>
      </w:r>
    </w:p>
    <w:p w14:paraId="427EEEE3">
      <w:pPr>
        <w:widowControl/>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1.10.4超大件和超重件的运输</w:t>
      </w:r>
    </w:p>
    <w:p w14:paraId="12E1FF01">
      <w:pPr>
        <w:widowControl/>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运输超大件或超重件所需的道路和桥梁临时加固改造费用和其他有关费用由</w:t>
      </w:r>
      <w:r>
        <w:rPr>
          <w:rFonts w:hint="eastAsia" w:ascii="宋体" w:hAnsi="宋体" w:eastAsia="宋体" w:cs="宋体"/>
          <w:color w:val="auto"/>
          <w:kern w:val="0"/>
          <w:szCs w:val="21"/>
          <w:highlight w:val="none"/>
          <w:u w:val="single"/>
        </w:rPr>
        <w:t xml:space="preserve">     乙方  </w:t>
      </w:r>
      <w:r>
        <w:rPr>
          <w:rFonts w:hint="eastAsia" w:ascii="宋体" w:hAnsi="宋体" w:eastAsia="宋体" w:cs="宋体"/>
          <w:color w:val="auto"/>
          <w:kern w:val="0"/>
          <w:szCs w:val="21"/>
          <w:highlight w:val="none"/>
        </w:rPr>
        <w:t>承担。</w:t>
      </w:r>
    </w:p>
    <w:p w14:paraId="2ADE8EA2">
      <w:pPr>
        <w:widowControl/>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 知识产权</w:t>
      </w:r>
    </w:p>
    <w:p w14:paraId="1A49BCA3">
      <w:pPr>
        <w:widowControl/>
        <w:spacing w:line="360" w:lineRule="auto"/>
        <w:ind w:firstLine="6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highlight w:val="none"/>
          <w:u w:val="single"/>
        </w:rPr>
        <w:t xml:space="preserve">   执行通用条款           </w:t>
      </w:r>
    </w:p>
    <w:p w14:paraId="00000A1D">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w:t>
      </w:r>
      <w:r>
        <w:rPr>
          <w:rFonts w:hint="eastAsia" w:ascii="宋体" w:hAnsi="宋体" w:eastAsia="宋体" w:cs="宋体"/>
          <w:color w:val="auto"/>
          <w:kern w:val="0"/>
          <w:szCs w:val="21"/>
          <w:highlight w:val="none"/>
          <w:u w:val="single"/>
        </w:rPr>
        <w:t xml:space="preserve">承包人不得擅自出借、出卖图纸    </w:t>
      </w:r>
      <w:r>
        <w:rPr>
          <w:rFonts w:hint="eastAsia" w:ascii="宋体" w:hAnsi="宋体" w:eastAsia="宋体" w:cs="宋体"/>
          <w:color w:val="auto"/>
          <w:kern w:val="0"/>
          <w:szCs w:val="21"/>
          <w:highlight w:val="none"/>
        </w:rPr>
        <w:t>。</w:t>
      </w:r>
    </w:p>
    <w:p w14:paraId="04C6A717">
      <w:pPr>
        <w:widowControl/>
        <w:spacing w:line="360" w:lineRule="auto"/>
        <w:ind w:left="596" w:leftChars="28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关于承包人为实施工程所编制文件的著作权的归属：</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32434743">
      <w:pPr>
        <w:widowControl/>
        <w:spacing w:line="360" w:lineRule="auto"/>
        <w:ind w:firstLine="600"/>
        <w:rPr>
          <w:rFonts w:hint="eastAsia" w:ascii="宋体" w:hAnsi="宋体" w:eastAsia="宋体" w:cs="宋体"/>
          <w:color w:val="auto"/>
          <w:kern w:val="0"/>
          <w:szCs w:val="21"/>
          <w:highlight w:val="none"/>
          <w:u w:val="single"/>
          <w:shd w:val="clear" w:color="auto" w:fill="FFFFFF"/>
        </w:rPr>
      </w:pPr>
      <w:r>
        <w:rPr>
          <w:rFonts w:hint="eastAsia" w:ascii="宋体" w:hAnsi="宋体" w:eastAsia="宋体" w:cs="宋体"/>
          <w:color w:val="auto"/>
          <w:kern w:val="0"/>
          <w:szCs w:val="21"/>
          <w:highlight w:val="none"/>
        </w:rPr>
        <w:t>关于承包人提供的上述文件的使用限制的要求：</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1954EED6">
      <w:pPr>
        <w:widowControl/>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承包人在施工过程中所采用的专利、专有技术、技术秘密的使用费的承担方式：</w:t>
      </w:r>
      <w:r>
        <w:rPr>
          <w:rFonts w:hint="eastAsia" w:ascii="宋体" w:hAnsi="宋体" w:eastAsia="宋体" w:cs="宋体"/>
          <w:color w:val="auto"/>
          <w:kern w:val="0"/>
          <w:szCs w:val="21"/>
          <w:highlight w:val="none"/>
          <w:u w:val="single"/>
        </w:rPr>
        <w:t xml:space="preserve">    承包人自己承担       </w:t>
      </w:r>
      <w:r>
        <w:rPr>
          <w:rFonts w:hint="eastAsia" w:ascii="宋体" w:hAnsi="宋体" w:eastAsia="宋体" w:cs="宋体"/>
          <w:color w:val="auto"/>
          <w:kern w:val="0"/>
          <w:szCs w:val="21"/>
          <w:highlight w:val="none"/>
        </w:rPr>
        <w:t>。</w:t>
      </w:r>
    </w:p>
    <w:p w14:paraId="388C5C3C">
      <w:pPr>
        <w:widowControl/>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1.13工程量清单错误的修正</w:t>
      </w:r>
    </w:p>
    <w:p w14:paraId="17F1F46D">
      <w:pPr>
        <w:widowControl/>
        <w:spacing w:line="360" w:lineRule="auto"/>
        <w:ind w:firstLine="6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出现工程量清单错误时，是否调整合同价格：</w:t>
      </w:r>
      <w:r>
        <w:rPr>
          <w:rFonts w:hint="eastAsia" w:ascii="宋体" w:hAnsi="宋体" w:eastAsia="宋体" w:cs="宋体"/>
          <w:color w:val="auto"/>
          <w:kern w:val="0"/>
          <w:szCs w:val="21"/>
          <w:highlight w:val="none"/>
          <w:u w:val="single"/>
        </w:rPr>
        <w:t xml:space="preserve">施工单位于合同订立后30日历天内，自行检查工程量清单的错漏，并向业主方书面提出调整合同价格申请。逾期未提出, 清单工程量不再增加  </w:t>
      </w:r>
      <w:r>
        <w:rPr>
          <w:rFonts w:hint="eastAsia" w:ascii="宋体" w:hAnsi="宋体" w:eastAsia="宋体" w:cs="宋体"/>
          <w:color w:val="auto"/>
          <w:kern w:val="0"/>
          <w:szCs w:val="21"/>
          <w:highlight w:val="none"/>
        </w:rPr>
        <w:t>。</w:t>
      </w:r>
    </w:p>
    <w:bookmarkEnd w:id="406"/>
    <w:bookmarkEnd w:id="407"/>
    <w:bookmarkEnd w:id="408"/>
    <w:p w14:paraId="1DD8A0EF">
      <w:pPr>
        <w:pStyle w:val="3"/>
        <w:spacing w:line="360" w:lineRule="auto"/>
        <w:rPr>
          <w:rFonts w:hint="eastAsia" w:ascii="宋体" w:hAnsi="宋体" w:eastAsia="宋体" w:cs="宋体"/>
          <w:color w:val="auto"/>
          <w:sz w:val="21"/>
          <w:szCs w:val="21"/>
          <w:highlight w:val="none"/>
        </w:rPr>
      </w:pPr>
      <w:bookmarkStart w:id="409" w:name="_Toc211766797"/>
      <w:bookmarkStart w:id="410" w:name="_Toc452584331"/>
      <w:bookmarkStart w:id="411" w:name="_Toc11805"/>
      <w:bookmarkStart w:id="412" w:name="_Toc4209"/>
      <w:bookmarkStart w:id="413" w:name="_Toc213122667"/>
      <w:bookmarkStart w:id="414" w:name="_Toc14271"/>
      <w:r>
        <w:rPr>
          <w:rFonts w:hint="eastAsia" w:ascii="宋体" w:hAnsi="宋体" w:eastAsia="宋体" w:cs="宋体"/>
          <w:color w:val="auto"/>
          <w:sz w:val="21"/>
          <w:szCs w:val="21"/>
          <w:highlight w:val="none"/>
        </w:rPr>
        <w:t>2、发包人</w:t>
      </w:r>
      <w:bookmarkEnd w:id="409"/>
      <w:bookmarkEnd w:id="410"/>
      <w:bookmarkEnd w:id="411"/>
      <w:bookmarkEnd w:id="412"/>
      <w:bookmarkEnd w:id="413"/>
      <w:bookmarkEnd w:id="414"/>
    </w:p>
    <w:p w14:paraId="32DC1732">
      <w:pPr>
        <w:pStyle w:val="4"/>
        <w:spacing w:line="360" w:lineRule="auto"/>
        <w:ind w:firstLine="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2.2发包人代表</w:t>
      </w:r>
    </w:p>
    <w:p w14:paraId="4E9F2509">
      <w:pPr>
        <w:pStyle w:val="4"/>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姓名：         身份证号：              职务：         联系电话：               </w:t>
      </w:r>
    </w:p>
    <w:p w14:paraId="3C760AFB">
      <w:pPr>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发包人对发包人代表的授权范围如下： 1、负责合同约定施工范围的工程管理；2、督促指导监理工程师行使职权；3、监督施工工序及组织相关验收； 4、按照河南工业和信息化职业学院有关规定，代表发包人处理与本工程建设相关的事宜；5、涉及到工程量和工程价款变更、施工工期延长、工程竣工验收、竣工结算资料等必须加盖发包人印章，才视为发包人实际认可。</w:t>
      </w:r>
    </w:p>
    <w:p w14:paraId="23B08556">
      <w:pPr>
        <w:widowControl/>
        <w:spacing w:after="120"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 施工现场、施工条件和基础资料的提供</w:t>
      </w:r>
    </w:p>
    <w:p w14:paraId="52CD0842">
      <w:pPr>
        <w:widowControl/>
        <w:spacing w:line="360" w:lineRule="auto"/>
        <w:ind w:firstLine="600"/>
        <w:rPr>
          <w:rFonts w:hint="eastAsia" w:ascii="宋体" w:hAnsi="宋体" w:eastAsia="宋体" w:cs="宋体"/>
          <w:color w:val="auto"/>
          <w:kern w:val="0"/>
          <w:szCs w:val="21"/>
          <w:highlight w:val="none"/>
        </w:rPr>
      </w:pPr>
      <w:bookmarkStart w:id="415" w:name="_Toc213122669"/>
      <w:bookmarkStart w:id="416" w:name="_Toc452584333"/>
      <w:r>
        <w:rPr>
          <w:rFonts w:hint="eastAsia" w:ascii="宋体" w:hAnsi="宋体" w:eastAsia="宋体" w:cs="宋体"/>
          <w:color w:val="auto"/>
          <w:kern w:val="0"/>
          <w:szCs w:val="21"/>
          <w:highlight w:val="none"/>
        </w:rPr>
        <w:t>2.4.1 提供施工现场</w:t>
      </w:r>
    </w:p>
    <w:p w14:paraId="025B8A8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关于发包人移交施工现场的期限要求：</w:t>
      </w:r>
      <w:r>
        <w:rPr>
          <w:rFonts w:hint="eastAsia" w:ascii="宋体" w:hAnsi="宋体" w:eastAsia="宋体" w:cs="宋体"/>
          <w:color w:val="auto"/>
          <w:kern w:val="0"/>
          <w:szCs w:val="21"/>
          <w:highlight w:val="none"/>
          <w:u w:val="single"/>
        </w:rPr>
        <w:t xml:space="preserve"> 执行通用条款  </w:t>
      </w:r>
      <w:r>
        <w:rPr>
          <w:rFonts w:hint="eastAsia" w:ascii="宋体" w:hAnsi="宋体" w:eastAsia="宋体" w:cs="宋体"/>
          <w:color w:val="auto"/>
          <w:kern w:val="0"/>
          <w:szCs w:val="21"/>
          <w:highlight w:val="none"/>
        </w:rPr>
        <w:t>。</w:t>
      </w:r>
    </w:p>
    <w:p w14:paraId="1DB95BEE">
      <w:pPr>
        <w:widowControl/>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3DD8C859">
      <w:pPr>
        <w:widowControl/>
        <w:spacing w:line="360" w:lineRule="auto"/>
        <w:ind w:firstLine="6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关于发包人应负责提供施工所需要的条件，包括：</w:t>
      </w:r>
      <w:r>
        <w:rPr>
          <w:rFonts w:hint="eastAsia" w:ascii="宋体" w:hAnsi="宋体" w:eastAsia="宋体" w:cs="宋体"/>
          <w:color w:val="auto"/>
          <w:kern w:val="0"/>
          <w:szCs w:val="21"/>
          <w:highlight w:val="none"/>
          <w:u w:val="single"/>
        </w:rPr>
        <w:t xml:space="preserve">  /      </w:t>
      </w:r>
    </w:p>
    <w:p w14:paraId="2E82AC76">
      <w:pPr>
        <w:widowControl/>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 资金来源证明及支付担保</w:t>
      </w:r>
    </w:p>
    <w:p w14:paraId="7E4B4972">
      <w:pPr>
        <w:widowControl/>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发包人提供资金来源证明的期限要求：</w:t>
      </w:r>
      <w:r>
        <w:rPr>
          <w:rFonts w:hint="eastAsia" w:ascii="宋体" w:hAnsi="宋体" w:eastAsia="宋体" w:cs="宋体"/>
          <w:color w:val="auto"/>
          <w:kern w:val="0"/>
          <w:szCs w:val="21"/>
          <w:highlight w:val="none"/>
          <w:u w:val="single"/>
        </w:rPr>
        <w:t xml:space="preserve">      无      </w:t>
      </w:r>
    </w:p>
    <w:p w14:paraId="3E24900B">
      <w:pPr>
        <w:widowControl/>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发包人是否提供支付担保：</w:t>
      </w:r>
      <w:r>
        <w:rPr>
          <w:rFonts w:hint="eastAsia" w:ascii="宋体" w:hAnsi="宋体" w:eastAsia="宋体" w:cs="宋体"/>
          <w:color w:val="auto"/>
          <w:kern w:val="0"/>
          <w:szCs w:val="21"/>
          <w:highlight w:val="none"/>
          <w:u w:val="single"/>
        </w:rPr>
        <w:t xml:space="preserve">           不提供     </w:t>
      </w:r>
    </w:p>
    <w:p w14:paraId="3AD7219F">
      <w:pPr>
        <w:widowControl/>
        <w:spacing w:line="360" w:lineRule="auto"/>
        <w:ind w:firstLine="6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发包人提供支付担保的形式：</w:t>
      </w:r>
      <w:r>
        <w:rPr>
          <w:rFonts w:hint="eastAsia" w:ascii="宋体" w:hAnsi="宋体" w:eastAsia="宋体" w:cs="宋体"/>
          <w:color w:val="auto"/>
          <w:kern w:val="0"/>
          <w:szCs w:val="21"/>
          <w:highlight w:val="none"/>
          <w:u w:val="single"/>
        </w:rPr>
        <w:t xml:space="preserve">     无        </w:t>
      </w:r>
    </w:p>
    <w:p w14:paraId="0241FC04">
      <w:pPr>
        <w:keepNext/>
        <w:keepLines/>
        <w:spacing w:before="120" w:after="120" w:line="360" w:lineRule="auto"/>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承包人</w:t>
      </w:r>
    </w:p>
    <w:p w14:paraId="6DDE6850">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承包人的一般义务</w:t>
      </w:r>
    </w:p>
    <w:p w14:paraId="66BCE717">
      <w:pPr>
        <w:pageBreakBefore w:val="0"/>
        <w:widowControl/>
        <w:kinsoku/>
        <w:wordWrap/>
        <w:overflowPunct/>
        <w:topLinePunct w:val="0"/>
        <w:bidi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（1）承包人提交的竣工资料的内容：</w:t>
      </w:r>
      <w:r>
        <w:rPr>
          <w:rFonts w:hint="eastAsia" w:ascii="宋体" w:hAnsi="宋体" w:eastAsia="宋体" w:cs="宋体"/>
          <w:color w:val="auto"/>
          <w:kern w:val="0"/>
          <w:szCs w:val="21"/>
          <w:highlight w:val="none"/>
          <w:u w:val="single"/>
        </w:rPr>
        <w:t xml:space="preserve">  承包人向发包人提交完整的竣工资料及电子文档，并达到发包人资料档案管理要求    </w:t>
      </w:r>
    </w:p>
    <w:p w14:paraId="4D6A1587">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eastAsia="宋体" w:cs="宋体"/>
          <w:color w:val="auto"/>
          <w:kern w:val="0"/>
          <w:szCs w:val="21"/>
          <w:highlight w:val="none"/>
          <w:u w:val="single"/>
        </w:rPr>
        <w:t xml:space="preserve">          三套         </w:t>
      </w:r>
    </w:p>
    <w:p w14:paraId="4B98A3CA">
      <w:pPr>
        <w:pageBreakBefore w:val="0"/>
        <w:widowControl/>
        <w:kinsoku/>
        <w:wordWrap/>
        <w:overflowPunct/>
        <w:topLinePunct w:val="0"/>
        <w:bidi w:val="0"/>
        <w:spacing w:line="360" w:lineRule="auto"/>
        <w:ind w:left="63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承包人提交的竣工资料的费用承担：</w:t>
      </w:r>
      <w:r>
        <w:rPr>
          <w:rFonts w:hint="eastAsia" w:ascii="宋体" w:hAnsi="宋体" w:eastAsia="宋体" w:cs="宋体"/>
          <w:color w:val="auto"/>
          <w:kern w:val="0"/>
          <w:szCs w:val="21"/>
          <w:highlight w:val="none"/>
          <w:u w:val="single"/>
        </w:rPr>
        <w:t xml:space="preserve">     由承包人承担               </w:t>
      </w:r>
    </w:p>
    <w:p w14:paraId="58E95E03">
      <w:pPr>
        <w:pageBreakBefore w:val="0"/>
        <w:widowControl/>
        <w:kinsoku/>
        <w:wordWrap/>
        <w:overflowPunct/>
        <w:topLinePunct w:val="0"/>
        <w:bidi w:val="0"/>
        <w:spacing w:line="360" w:lineRule="auto"/>
        <w:ind w:left="63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 xml:space="preserve">工程竣工验收合格后1个月内      </w:t>
      </w:r>
    </w:p>
    <w:p w14:paraId="6EB71D93">
      <w:pPr>
        <w:pageBreakBefore w:val="0"/>
        <w:widowControl/>
        <w:kinsoku/>
        <w:wordWrap/>
        <w:overflowPunct/>
        <w:topLinePunct w:val="0"/>
        <w:bidi w:val="0"/>
        <w:spacing w:line="360" w:lineRule="auto"/>
        <w:ind w:firstLine="4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承包人提交的竣工资料形式要求：</w:t>
      </w:r>
      <w:r>
        <w:rPr>
          <w:rFonts w:hint="eastAsia" w:ascii="宋体" w:hAnsi="宋体" w:eastAsia="宋体" w:cs="宋体"/>
          <w:color w:val="auto"/>
          <w:kern w:val="0"/>
          <w:szCs w:val="21"/>
          <w:highlight w:val="none"/>
          <w:u w:val="single"/>
        </w:rPr>
        <w:t xml:space="preserve">  电子版一套，纸质二套       </w:t>
      </w:r>
    </w:p>
    <w:p w14:paraId="495DEC27">
      <w:pPr>
        <w:pStyle w:val="4"/>
        <w:pageBreakBefore w:val="0"/>
        <w:kinsoku/>
        <w:wordWrap/>
        <w:overflowPunct/>
        <w:topLinePunct w:val="0"/>
        <w:bidi w:val="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（2）应提供计划、报表的名称及完成时间：</w:t>
      </w:r>
      <w:r>
        <w:rPr>
          <w:rFonts w:hint="eastAsia" w:ascii="宋体" w:hAnsi="宋体" w:eastAsia="宋体" w:cs="宋体"/>
          <w:color w:val="auto"/>
          <w:sz w:val="21"/>
          <w:szCs w:val="21"/>
          <w:highlight w:val="none"/>
          <w:u w:val="single"/>
        </w:rPr>
        <w:t>开工前7日提交施工组织设计、总进度计划、施工机械和人员使用计划、主要材料供应计划；每月25日提供下月计划（计划包括工程进度、资金、人员、材料设备、施工机械等计划），每月4日前提交上月完成的工程量清单，各一式陆份，提交后7日内经监理工程师审核和发包人确认后返还承包人一份。</w:t>
      </w:r>
    </w:p>
    <w:p w14:paraId="79DA3348">
      <w:pPr>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（3）施工场清洁卫生的要求：</w:t>
      </w:r>
      <w:r>
        <w:rPr>
          <w:rFonts w:hint="eastAsia" w:ascii="宋体" w:hAnsi="宋体" w:eastAsia="宋体" w:cs="宋体"/>
          <w:color w:val="auto"/>
          <w:szCs w:val="21"/>
          <w:highlight w:val="none"/>
          <w:u w:val="single"/>
        </w:rPr>
        <w:t>达到文明施工标准化工地要求，施工场地随时清洁，文明施工，做到工完场清。</w:t>
      </w:r>
    </w:p>
    <w:p w14:paraId="2D6B67B7">
      <w:pPr>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农民工保护及工资支付：承包人应按国家规定为包括民工在内的所有工人提供劳动保护，严格按照国家、省、市及地方政府和行政主管部门的有关规定，建立健全与政府行政主管部门联网的农民工支付系统，及时支付民工劳动报酬、不得拖欠或克扣。承包人不得以任何发包人的责任（如未按时支付工程款）为理由延期支付民工劳动报酬。若因承包人未按时支付民工劳动报酬导致民工有可能停工、闹事、投诉、曝光等不利影响的，由承包人负责。</w:t>
      </w:r>
    </w:p>
    <w:p w14:paraId="633EBE93">
      <w:pPr>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（5）承包人应履行的其他义务：</w:t>
      </w:r>
    </w:p>
    <w:p w14:paraId="3DAA1B7B">
      <w:pPr>
        <w:pageBreakBefore w:val="0"/>
        <w:kinsoku/>
        <w:wordWrap/>
        <w:overflowPunct/>
        <w:topLinePunct w:val="0"/>
        <w:bidi w:val="0"/>
        <w:spacing w:line="360" w:lineRule="auto"/>
        <w:ind w:firstLine="422" w:firstLineChars="20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1）施工单位应安装符合计量要求的水电计量用具，施工用电、用水按表计量，费用由承包人承担，由承包人指派专人配合发包人的计量工作，</w:t>
      </w:r>
      <w:r>
        <w:rPr>
          <w:rFonts w:hint="eastAsia" w:ascii="宋体" w:hAnsi="宋体" w:cs="宋体"/>
          <w:b/>
          <w:bCs/>
          <w:color w:val="auto"/>
          <w:kern w:val="0"/>
          <w:szCs w:val="21"/>
          <w:highlight w:val="none"/>
          <w:u w:val="single"/>
          <w:lang w:val="en-US" w:eastAsia="zh-CN"/>
        </w:rPr>
        <w:t>项目完工后</w:t>
      </w:r>
      <w:r>
        <w:rPr>
          <w:rFonts w:hint="eastAsia" w:ascii="宋体" w:hAnsi="宋体" w:eastAsia="宋体" w:cs="宋体"/>
          <w:b/>
          <w:bCs/>
          <w:color w:val="auto"/>
          <w:kern w:val="0"/>
          <w:szCs w:val="21"/>
          <w:highlight w:val="none"/>
          <w:u w:val="single"/>
        </w:rPr>
        <w:t>水电费</w:t>
      </w:r>
      <w:r>
        <w:rPr>
          <w:rFonts w:hint="eastAsia" w:ascii="宋体" w:hAnsi="宋体" w:cs="宋体"/>
          <w:b/>
          <w:bCs/>
          <w:color w:val="auto"/>
          <w:kern w:val="0"/>
          <w:szCs w:val="21"/>
          <w:highlight w:val="none"/>
          <w:u w:val="single"/>
          <w:lang w:val="en-US" w:eastAsia="zh-CN"/>
        </w:rPr>
        <w:t>据实一次性支付</w:t>
      </w:r>
      <w:r>
        <w:rPr>
          <w:rFonts w:hint="eastAsia" w:ascii="宋体" w:hAnsi="宋体" w:eastAsia="宋体" w:cs="宋体"/>
          <w:b/>
          <w:bCs/>
          <w:color w:val="auto"/>
          <w:kern w:val="0"/>
          <w:szCs w:val="21"/>
          <w:highlight w:val="none"/>
          <w:u w:val="single"/>
        </w:rPr>
        <w:t>。</w:t>
      </w:r>
    </w:p>
    <w:p w14:paraId="4A4C3AF7">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2）承包人自行承担施工工作人员的食宿问题。</w:t>
      </w:r>
    </w:p>
    <w:p w14:paraId="40CD8B9A">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3）承包人负责协调施工过程中各种关系，确保工程顺利进行，费用自理。</w:t>
      </w:r>
    </w:p>
    <w:p w14:paraId="21800790">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4）承包人应始终采取各种合理的预防措施，防止承包人员或其内部发生任何非法的、骚动的或无序的行为，以保持安定，保护现场及第三人的财产和人身安全。</w:t>
      </w:r>
    </w:p>
    <w:p w14:paraId="6931DD18">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5）工程竣工后一个月内承包人向发包人提交完整的竣工资料及电子文档，由发包人整理、汇总并移交至项目所在地政府有关部门等工作。</w:t>
      </w:r>
    </w:p>
    <w:p w14:paraId="4A9B80F0">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6）服从发包人及监理人对现场施工的统一管理、安排和要求，同意并履行发包人及监理人的相关管理规定，由此发生的费用已经包括在合同总价款中。</w:t>
      </w:r>
    </w:p>
    <w:p w14:paraId="0FB6A303">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7）按时参加与工程施工、管理、监管、审批等有关的会议，完善资料和档案管理。</w:t>
      </w:r>
    </w:p>
    <w:p w14:paraId="4B387C3D">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8）承包人应当对在施工场地或者附近实施与合同工程有关的其他工作的独立承包人履行管理、协调、配合、照管和服务义务，由此发生的费用已经包括在合同总价款中。</w:t>
      </w:r>
    </w:p>
    <w:p w14:paraId="29ACE3FD">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9）承包人在交工前做好对已完工程的成品保护并承担费用。</w:t>
      </w:r>
    </w:p>
    <w:p w14:paraId="6119578B">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10）承包人须按监理人、发包人指令筹备、迎接各种检查，费用自理，该费用已经包括在承包人的合同总价款中，同时承包人不得以此为由提高合同价款，追索误工损失。</w:t>
      </w:r>
    </w:p>
    <w:p w14:paraId="22F5A740">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11）承包人应处理好与相邻施工单位的施工接口关系，否则，发包人有权要求承包人整改或另行指定其他单位来完成相关配合工作，其发生的费用从承包人的工程进度款中扣除，并不需要承包人同意；</w:t>
      </w:r>
    </w:p>
    <w:p w14:paraId="734BD020">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12）承包人承担本工程施工范围内的全部安全保卫和所有照明工作并承担相应费用。</w:t>
      </w:r>
    </w:p>
    <w:p w14:paraId="58D8B3ED">
      <w:pPr>
        <w:pageBreakBefore w:val="0"/>
        <w:kinsoku/>
        <w:wordWrap/>
        <w:overflowPunct/>
        <w:topLinePunct w:val="0"/>
        <w:bidi w:val="0"/>
        <w:spacing w:line="360" w:lineRule="auto"/>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承包人应采取有效措施，设专职安全保卫人员，确保施工安全。自承包人进场施工至向发包人移交工程期间，发生的一切质量（安全）事故，造成的人员及财产损失均由承包人负责处理并承担责任。</w:t>
      </w:r>
    </w:p>
    <w:p w14:paraId="02055A59">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13）承包人负责办理有关施工场地交通、环卫、环保、噪声、排污、城管等部门手续和现场周边协调，费用承包人自理，该费用已经包括在合同总价款中。</w:t>
      </w:r>
    </w:p>
    <w:p w14:paraId="713C132A">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14）承包人承担政府有关主管部门检查、或要求设置的工程效果图、宣传图册、公益广告等的制作、安装及维护费用，该费用包括在合同总价款中。</w:t>
      </w:r>
    </w:p>
    <w:p w14:paraId="3F662F35">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15）办理工程质量监督备案手续需要的社保、工程保险等均由承包人承担费用，并提供齐全有效的书面文件，以顺利完成备案手续。</w:t>
      </w:r>
    </w:p>
    <w:p w14:paraId="78015B4D">
      <w:pPr>
        <w:pageBreakBefore w:val="0"/>
        <w:kinsoku/>
        <w:wordWrap/>
        <w:overflowPunct/>
        <w:topLinePunct w:val="0"/>
        <w:bidi w:val="0"/>
        <w:spacing w:line="360" w:lineRule="auto"/>
        <w:ind w:firstLine="422" w:firstLineChars="20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16）遵守河南省、焦作市关于扬尘、环境治理、污染防治的要求及管理办法，并承担相应费用和责任。承包人承诺：不以此为由，要求发包人增加费用，该费用已包含在合同总价款中。</w:t>
      </w:r>
    </w:p>
    <w:p w14:paraId="0D4938D3">
      <w:pPr>
        <w:pageBreakBefore w:val="0"/>
        <w:kinsoku/>
        <w:wordWrap/>
        <w:overflowPunct/>
        <w:topLinePunct w:val="0"/>
        <w:bidi w:val="0"/>
        <w:spacing w:line="360" w:lineRule="auto"/>
        <w:ind w:firstLine="422" w:firstLineChars="20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17)所有现场余土建筑垃圾清运至校外,该部分费用已包含在合同工期及合同总价款中。</w:t>
      </w:r>
    </w:p>
    <w:p w14:paraId="703F1A7F">
      <w:pPr>
        <w:pageBreakBefore w:val="0"/>
        <w:widowControl/>
        <w:kinsoku/>
        <w:wordWrap/>
        <w:overflowPunct/>
        <w:topLinePunct w:val="0"/>
        <w:bidi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u w:val="single"/>
        </w:rPr>
        <w:t>18）免费为发包人和监理人各提供一间符合办公条件的现场办公用房及配套家具、设备。</w:t>
      </w:r>
    </w:p>
    <w:p w14:paraId="6E34A1D5">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项目经理</w:t>
      </w:r>
    </w:p>
    <w:p w14:paraId="745D367C">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w:t>
      </w:r>
    </w:p>
    <w:p w14:paraId="7524C3E2">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7FA2720">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10ACBF8">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建造师执业资格等级：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 xml:space="preserve">； </w:t>
      </w:r>
    </w:p>
    <w:p w14:paraId="5A3A76B7">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建造师注册证书号：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C9D94ED">
      <w:pPr>
        <w:pageBreakBefore w:val="0"/>
        <w:kinsoku/>
        <w:wordWrap/>
        <w:overflowPunct/>
        <w:topLinePunct w:val="0"/>
        <w:bidi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20895CF4">
      <w:pPr>
        <w:pageBreakBefore w:val="0"/>
        <w:kinsoku/>
        <w:wordWrap/>
        <w:overflowPunct/>
        <w:topLinePunct w:val="0"/>
        <w:bidi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51F560F">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5B1EF996">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5DFF7DB">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20"/>
          <w:kern w:val="0"/>
          <w:szCs w:val="21"/>
          <w:highlight w:val="none"/>
          <w:u w:val="single"/>
        </w:rPr>
        <w:t xml:space="preserve">/ </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6FFB97DE">
      <w:pPr>
        <w:pageBreakBefore w:val="0"/>
        <w:widowControl/>
        <w:kinsoku/>
        <w:wordWrap/>
        <w:overflowPunct/>
        <w:topLinePunct w:val="0"/>
        <w:bidi w:val="0"/>
        <w:spacing w:line="360" w:lineRule="auto"/>
        <w:ind w:firstLine="600"/>
        <w:rPr>
          <w:rFonts w:hint="eastAsia" w:ascii="宋体" w:hAnsi="宋体" w:eastAsia="宋体" w:cs="宋体"/>
          <w:color w:val="auto"/>
          <w:spacing w:val="-20"/>
          <w:kern w:val="0"/>
          <w:szCs w:val="21"/>
          <w:highlight w:val="none"/>
        </w:rPr>
      </w:pPr>
      <w:r>
        <w:rPr>
          <w:rFonts w:hint="eastAsia" w:ascii="宋体" w:hAnsi="宋体" w:eastAsia="宋体" w:cs="宋体"/>
          <w:color w:val="auto"/>
          <w:kern w:val="0"/>
          <w:szCs w:val="21"/>
          <w:highlight w:val="none"/>
        </w:rPr>
        <w:t xml:space="preserve">承包人对项目经理的授权范围如下： </w:t>
      </w:r>
      <w:r>
        <w:rPr>
          <w:rFonts w:hint="eastAsia" w:ascii="宋体" w:hAnsi="宋体" w:eastAsia="宋体" w:cs="宋体"/>
          <w:color w:val="auto"/>
          <w:spacing w:val="-20"/>
          <w:kern w:val="0"/>
          <w:szCs w:val="21"/>
          <w:highlight w:val="none"/>
          <w:u w:val="single"/>
        </w:rPr>
        <w:t xml:space="preserve">    /    </w:t>
      </w:r>
      <w:r>
        <w:rPr>
          <w:rFonts w:hint="eastAsia" w:ascii="宋体" w:hAnsi="宋体" w:eastAsia="宋体" w:cs="宋体"/>
          <w:color w:val="auto"/>
          <w:spacing w:val="-20"/>
          <w:kern w:val="0"/>
          <w:szCs w:val="21"/>
          <w:highlight w:val="none"/>
        </w:rPr>
        <w:t>。</w:t>
      </w:r>
    </w:p>
    <w:p w14:paraId="5901015D">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关于项目经理和技术负责人每月在施工现场的时间要求：</w:t>
      </w:r>
      <w:r>
        <w:rPr>
          <w:rFonts w:hint="eastAsia" w:ascii="宋体" w:hAnsi="宋体" w:eastAsia="宋体" w:cs="宋体"/>
          <w:color w:val="auto"/>
          <w:kern w:val="0"/>
          <w:szCs w:val="21"/>
          <w:highlight w:val="none"/>
          <w:u w:val="single"/>
        </w:rPr>
        <w:t xml:space="preserve"> 每月不少于21天        </w:t>
      </w:r>
    </w:p>
    <w:p w14:paraId="4D315D5A">
      <w:pPr>
        <w:pageBreakBefore w:val="0"/>
        <w:kinsoku/>
        <w:wordWrap/>
        <w:overflowPunct/>
        <w:topLinePunct w:val="0"/>
        <w:bidi w:val="0"/>
        <w:spacing w:line="360" w:lineRule="auto"/>
        <w:ind w:left="594" w:leftChars="283"/>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 xml:space="preserve"> </w:t>
      </w:r>
    </w:p>
    <w:p w14:paraId="7F813055">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项目经理、技术负责人未经批准，擅自离开施工现场的违约责任：</w:t>
      </w:r>
      <w:r>
        <w:rPr>
          <w:rFonts w:hint="eastAsia" w:ascii="宋体" w:hAnsi="宋体" w:eastAsia="宋体" w:cs="宋体"/>
          <w:color w:val="auto"/>
          <w:kern w:val="0"/>
          <w:szCs w:val="21"/>
          <w:highlight w:val="none"/>
          <w:u w:val="single"/>
        </w:rPr>
        <w:t>每发现壹次，支付违约金</w:t>
      </w:r>
      <w:r>
        <w:rPr>
          <w:rFonts w:hint="eastAsia" w:ascii="宋体" w:hAnsi="宋体" w:eastAsia="宋体" w:cs="宋体"/>
          <w:color w:val="auto"/>
          <w:kern w:val="0"/>
          <w:szCs w:val="21"/>
          <w:highlight w:val="none"/>
          <w:u w:val="single"/>
          <w:lang w:val="en-US" w:eastAsia="zh-CN"/>
        </w:rPr>
        <w:t>200</w:t>
      </w:r>
      <w:r>
        <w:rPr>
          <w:rFonts w:hint="eastAsia" w:ascii="宋体" w:hAnsi="宋体" w:eastAsia="宋体" w:cs="宋体"/>
          <w:color w:val="auto"/>
          <w:kern w:val="0"/>
          <w:szCs w:val="21"/>
          <w:highlight w:val="none"/>
          <w:u w:val="single"/>
        </w:rPr>
        <w:t>元。（若连续两天及以上擅自离开施工现场的，每天支付违约金</w:t>
      </w:r>
      <w:r>
        <w:rPr>
          <w:rFonts w:hint="eastAsia" w:ascii="宋体" w:hAnsi="宋体" w:eastAsia="宋体" w:cs="宋体"/>
          <w:color w:val="auto"/>
          <w:kern w:val="0"/>
          <w:szCs w:val="21"/>
          <w:highlight w:val="none"/>
          <w:u w:val="single"/>
          <w:lang w:val="en-US" w:eastAsia="zh-CN"/>
        </w:rPr>
        <w:t>500</w:t>
      </w:r>
      <w:r>
        <w:rPr>
          <w:rFonts w:hint="eastAsia" w:ascii="宋体" w:hAnsi="宋体" w:eastAsia="宋体" w:cs="宋体"/>
          <w:color w:val="auto"/>
          <w:kern w:val="0"/>
          <w:szCs w:val="21"/>
          <w:highlight w:val="none"/>
          <w:u w:val="single"/>
        </w:rPr>
        <w:t xml:space="preserve">元）。 </w:t>
      </w:r>
    </w:p>
    <w:p w14:paraId="31930C91">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3.2.3 承包人擅自更换项目经理的违约责任：</w:t>
      </w:r>
      <w:r>
        <w:rPr>
          <w:rFonts w:hint="eastAsia" w:ascii="宋体" w:hAnsi="宋体" w:eastAsia="宋体" w:cs="宋体"/>
          <w:color w:val="auto"/>
          <w:kern w:val="0"/>
          <w:szCs w:val="21"/>
          <w:highlight w:val="none"/>
          <w:u w:val="single"/>
        </w:rPr>
        <w:t xml:space="preserve"> 承包人确因不可抗因素更换项目经理或技术负责人，由承包人提出书面申请，经发包人同意后，可允许更换。承包人未经发包人同意擅自更换项目经理或技术负责人的，视为违约，每更换壹人次，承包人向发包人支付违约金1万元，该项违约金可从工程款中扣除。经发包人同意更换的项目经理和技术负责人，要有同等级资质及业绩。</w:t>
      </w:r>
    </w:p>
    <w:p w14:paraId="28EAA469">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3.2.4 承包人无正当理由拒绝更换项目经理的违约责任：</w:t>
      </w:r>
      <w:r>
        <w:rPr>
          <w:rFonts w:hint="eastAsia" w:ascii="宋体" w:hAnsi="宋体" w:eastAsia="宋体" w:cs="宋体"/>
          <w:color w:val="auto"/>
          <w:kern w:val="0"/>
          <w:szCs w:val="21"/>
          <w:highlight w:val="none"/>
          <w:u w:val="single"/>
        </w:rPr>
        <w:t xml:space="preserve"> 发包人或监理人认为承包人项目经理或技术负责人无法胜任工作，可随时提出更换。承包人拒绝更换的，视为违约，应向发包人支付违约金</w:t>
      </w:r>
      <w:r>
        <w:rPr>
          <w:rFonts w:hint="eastAsia" w:ascii="宋体" w:hAnsi="宋体" w:eastAsia="宋体" w:cs="宋体"/>
          <w:color w:val="auto"/>
          <w:kern w:val="0"/>
          <w:szCs w:val="21"/>
          <w:highlight w:val="none"/>
          <w:u w:val="single"/>
          <w:lang w:val="en-US" w:eastAsia="zh-CN"/>
        </w:rPr>
        <w:t>1</w:t>
      </w:r>
      <w:r>
        <w:rPr>
          <w:rFonts w:hint="eastAsia" w:ascii="宋体" w:hAnsi="宋体" w:eastAsia="宋体" w:cs="宋体"/>
          <w:color w:val="auto"/>
          <w:kern w:val="0"/>
          <w:szCs w:val="21"/>
          <w:highlight w:val="none"/>
          <w:u w:val="single"/>
        </w:rPr>
        <w:t xml:space="preserve">万元，该项违约金可从工程款中扣除，同时承包人须承担继续更换的责任。  </w:t>
      </w:r>
    </w:p>
    <w:p w14:paraId="40B27C35">
      <w:pPr>
        <w:pageBreakBefore w:val="0"/>
        <w:widowControl/>
        <w:kinsoku/>
        <w:wordWrap/>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承包人人员</w:t>
      </w:r>
    </w:p>
    <w:p w14:paraId="27B8F7F5">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 承包人提交项目管理机构及施工现场管理人员安排报告的期限：</w:t>
      </w:r>
      <w:r>
        <w:rPr>
          <w:rFonts w:hint="eastAsia" w:ascii="宋体" w:hAnsi="宋体" w:eastAsia="宋体" w:cs="宋体"/>
          <w:color w:val="auto"/>
          <w:kern w:val="0"/>
          <w:szCs w:val="21"/>
          <w:highlight w:val="none"/>
          <w:u w:val="single"/>
        </w:rPr>
        <w:t xml:space="preserve">    开工七日前               </w:t>
      </w:r>
    </w:p>
    <w:p w14:paraId="4F3839E2">
      <w:pPr>
        <w:pageBreakBefore w:val="0"/>
        <w:kinsoku/>
        <w:wordWrap/>
        <w:overflowPunct/>
        <w:topLinePunct w:val="0"/>
        <w:bidi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3.3.3 </w:t>
      </w:r>
      <w:r>
        <w:rPr>
          <w:rFonts w:hint="eastAsia" w:ascii="宋体" w:hAnsi="宋体" w:eastAsia="宋体" w:cs="宋体"/>
          <w:color w:val="auto"/>
          <w:kern w:val="0"/>
          <w:szCs w:val="21"/>
          <w:highlight w:val="none"/>
        </w:rPr>
        <w:t>承包人无正当理由拒绝撤换主要施工管理人员（主要施工管理人员指施工员、安全员、质检员、材料员、资料员、造价员，下同）的违约责任：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处以违约金</w:t>
      </w:r>
      <w:r>
        <w:rPr>
          <w:rFonts w:hint="eastAsia" w:ascii="宋体" w:hAnsi="宋体" w:eastAsia="宋体" w:cs="宋体"/>
          <w:color w:val="auto"/>
          <w:kern w:val="0"/>
          <w:szCs w:val="21"/>
          <w:highlight w:val="none"/>
          <w:u w:val="single"/>
          <w:lang w:val="en-US" w:eastAsia="zh-CN"/>
        </w:rPr>
        <w:t>500</w:t>
      </w:r>
      <w:r>
        <w:rPr>
          <w:rFonts w:hint="eastAsia" w:ascii="宋体" w:hAnsi="宋体" w:eastAsia="宋体" w:cs="宋体"/>
          <w:color w:val="auto"/>
          <w:kern w:val="0"/>
          <w:szCs w:val="21"/>
          <w:highlight w:val="none"/>
          <w:u w:val="single"/>
        </w:rPr>
        <w:t xml:space="preserve">元，该项违约金可在工程款中扣除 </w:t>
      </w:r>
      <w:r>
        <w:rPr>
          <w:rFonts w:hint="eastAsia" w:ascii="宋体" w:hAnsi="宋体" w:eastAsia="宋体" w:cs="宋体"/>
          <w:color w:val="auto"/>
          <w:szCs w:val="21"/>
          <w:highlight w:val="none"/>
        </w:rPr>
        <w:t>。</w:t>
      </w:r>
    </w:p>
    <w:p w14:paraId="28A0BAA0">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3.3.4 承包人主要施工管理人员离开施工现场的批准要求： </w:t>
      </w:r>
      <w:r>
        <w:rPr>
          <w:rFonts w:hint="eastAsia" w:ascii="宋体" w:hAnsi="宋体" w:eastAsia="宋体" w:cs="宋体"/>
          <w:color w:val="auto"/>
          <w:kern w:val="0"/>
          <w:szCs w:val="21"/>
          <w:highlight w:val="none"/>
          <w:u w:val="single"/>
        </w:rPr>
        <w:t xml:space="preserve"> 每月离开施工现场的时间不得超过5天；离开施工现场需发包人或监理人书面同意后方可离开。      </w:t>
      </w:r>
    </w:p>
    <w:p w14:paraId="6856A98D">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3.3.5承包人擅自更换主要施工管理人员的违约责任：</w:t>
      </w:r>
      <w:r>
        <w:rPr>
          <w:rFonts w:hint="eastAsia" w:ascii="宋体" w:hAnsi="宋体" w:eastAsia="宋体" w:cs="宋体"/>
          <w:color w:val="auto"/>
          <w:kern w:val="0"/>
          <w:szCs w:val="21"/>
          <w:highlight w:val="none"/>
          <w:u w:val="single"/>
        </w:rPr>
        <w:t xml:space="preserve">  每更换壹人处以违约金</w:t>
      </w:r>
      <w:r>
        <w:rPr>
          <w:rFonts w:hint="eastAsia" w:ascii="宋体" w:hAnsi="宋体" w:eastAsia="宋体" w:cs="宋体"/>
          <w:color w:val="auto"/>
          <w:kern w:val="0"/>
          <w:szCs w:val="21"/>
          <w:highlight w:val="none"/>
          <w:u w:val="single"/>
          <w:lang w:val="en-US" w:eastAsia="zh-CN"/>
        </w:rPr>
        <w:t>500</w:t>
      </w:r>
      <w:r>
        <w:rPr>
          <w:rFonts w:hint="eastAsia" w:ascii="宋体" w:hAnsi="宋体" w:eastAsia="宋体" w:cs="宋体"/>
          <w:color w:val="auto"/>
          <w:kern w:val="0"/>
          <w:szCs w:val="21"/>
          <w:highlight w:val="none"/>
          <w:u w:val="single"/>
        </w:rPr>
        <w:t xml:space="preserve">元，该项违约金在可工程款中扣除     </w:t>
      </w:r>
    </w:p>
    <w:p w14:paraId="174412DC">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承包人主要施工管理人员擅自离开施工现场的违约责任：</w:t>
      </w:r>
      <w:r>
        <w:rPr>
          <w:rFonts w:hint="eastAsia" w:ascii="宋体" w:hAnsi="宋体" w:eastAsia="宋体" w:cs="宋体"/>
          <w:color w:val="auto"/>
          <w:kern w:val="0"/>
          <w:szCs w:val="21"/>
          <w:highlight w:val="none"/>
          <w:u w:val="single"/>
        </w:rPr>
        <w:t xml:space="preserve"> 每发现壹次，支付违约金</w:t>
      </w:r>
      <w:r>
        <w:rPr>
          <w:rFonts w:hint="eastAsia" w:ascii="宋体" w:hAnsi="宋体" w:eastAsia="宋体" w:cs="宋体"/>
          <w:color w:val="auto"/>
          <w:kern w:val="0"/>
          <w:szCs w:val="21"/>
          <w:highlight w:val="none"/>
          <w:u w:val="single"/>
          <w:lang w:val="en-US" w:eastAsia="zh-CN"/>
        </w:rPr>
        <w:t>100</w:t>
      </w:r>
      <w:r>
        <w:rPr>
          <w:rFonts w:hint="eastAsia" w:ascii="宋体" w:hAnsi="宋体" w:eastAsia="宋体" w:cs="宋体"/>
          <w:color w:val="auto"/>
          <w:kern w:val="0"/>
          <w:szCs w:val="21"/>
          <w:highlight w:val="none"/>
          <w:u w:val="single"/>
        </w:rPr>
        <w:t>元，可以累加计算（若连续两天及以上擅自离开施工现场的，每天支付违约金</w:t>
      </w:r>
      <w:r>
        <w:rPr>
          <w:rFonts w:hint="eastAsia" w:ascii="宋体" w:hAnsi="宋体" w:eastAsia="宋体" w:cs="宋体"/>
          <w:color w:val="auto"/>
          <w:kern w:val="0"/>
          <w:szCs w:val="21"/>
          <w:highlight w:val="none"/>
          <w:u w:val="single"/>
          <w:lang w:val="en-US" w:eastAsia="zh-CN"/>
        </w:rPr>
        <w:t>300</w:t>
      </w:r>
      <w:r>
        <w:rPr>
          <w:rFonts w:hint="eastAsia" w:ascii="宋体" w:hAnsi="宋体" w:eastAsia="宋体" w:cs="宋体"/>
          <w:color w:val="auto"/>
          <w:kern w:val="0"/>
          <w:szCs w:val="21"/>
          <w:highlight w:val="none"/>
          <w:u w:val="single"/>
        </w:rPr>
        <w:t xml:space="preserve">元）。 </w:t>
      </w:r>
    </w:p>
    <w:p w14:paraId="5AD4DD5E">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 分包</w:t>
      </w:r>
    </w:p>
    <w:p w14:paraId="6802E90A">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26111FBF">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禁止分包的工程包括：</w:t>
      </w:r>
      <w:r>
        <w:rPr>
          <w:rFonts w:hint="eastAsia" w:ascii="宋体" w:hAnsi="宋体" w:eastAsia="宋体" w:cs="宋体"/>
          <w:color w:val="auto"/>
          <w:kern w:val="0"/>
          <w:szCs w:val="21"/>
          <w:highlight w:val="none"/>
          <w:u w:val="single"/>
        </w:rPr>
        <w:t xml:space="preserve">    本工程严禁分包   </w:t>
      </w:r>
      <w:r>
        <w:rPr>
          <w:rFonts w:hint="eastAsia" w:ascii="宋体" w:hAnsi="宋体" w:eastAsia="宋体" w:cs="宋体"/>
          <w:color w:val="auto"/>
          <w:kern w:val="0"/>
          <w:szCs w:val="21"/>
          <w:highlight w:val="none"/>
        </w:rPr>
        <w:t>。</w:t>
      </w:r>
    </w:p>
    <w:p w14:paraId="53AC5246">
      <w:pPr>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主体结构、关键性工作的范围：</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17C4F38C">
      <w:pPr>
        <w:pageBreakBefore w:val="0"/>
        <w:widowControl/>
        <w:kinsoku/>
        <w:wordWrap/>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3.5.2分包的确定</w:t>
      </w:r>
    </w:p>
    <w:p w14:paraId="305F7B75">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允许分包的专业工程包括：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8708DC1">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344B76E7">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关于分包合同价款支付的约定：</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061FA6D1">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 工程照管与成品、半成品保护</w:t>
      </w:r>
    </w:p>
    <w:p w14:paraId="00B1FFF1">
      <w:pPr>
        <w:pageBreakBefore w:val="0"/>
        <w:widowControl/>
        <w:kinsoku/>
        <w:wordWrap/>
        <w:overflowPunct/>
        <w:topLinePunct w:val="0"/>
        <w:bidi w:val="0"/>
        <w:spacing w:before="120"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（1）承包人负责照管工程及工程相关的材料、工程设备的起始时间：</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61FBC336">
      <w:pPr>
        <w:pageBreakBefore w:val="0"/>
        <w:kinsoku/>
        <w:wordWrap/>
        <w:overflowPunct/>
        <w:topLinePunct w:val="0"/>
        <w:bidi w:val="0"/>
        <w:spacing w:line="360" w:lineRule="auto"/>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（2）已完成工程成品保护的特殊要求及费用承担：已完工未交付发包人之前，负责</w:t>
      </w:r>
      <w:r>
        <w:rPr>
          <w:rFonts w:hint="eastAsia" w:ascii="宋体" w:hAnsi="宋体" w:eastAsia="宋体" w:cs="宋体"/>
          <w:color w:val="auto"/>
          <w:szCs w:val="21"/>
          <w:highlight w:val="none"/>
          <w:u w:val="single"/>
        </w:rPr>
        <w:t>做好工程的成品保护工作，保护期间发生损坏，承包人自费予以修复。发包人要求承包人采取特殊措施保护的工程部位，发生时双方协商解决。</w:t>
      </w:r>
    </w:p>
    <w:p w14:paraId="43F42183">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 履约担保</w:t>
      </w:r>
    </w:p>
    <w:p w14:paraId="684D26FC">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承包人是否提供履约担保：</w:t>
      </w:r>
      <w:r>
        <w:rPr>
          <w:rFonts w:hint="eastAsia" w:ascii="宋体" w:hAnsi="宋体" w:eastAsia="宋体" w:cs="宋体"/>
          <w:color w:val="auto"/>
          <w:kern w:val="0"/>
          <w:szCs w:val="21"/>
          <w:highlight w:val="none"/>
          <w:u w:val="single"/>
        </w:rPr>
        <w:t xml:space="preserve">       提供        </w:t>
      </w:r>
      <w:r>
        <w:rPr>
          <w:rFonts w:hint="eastAsia" w:ascii="宋体" w:hAnsi="宋体" w:eastAsia="宋体" w:cs="宋体"/>
          <w:color w:val="auto"/>
          <w:kern w:val="0"/>
          <w:szCs w:val="21"/>
          <w:highlight w:val="none"/>
        </w:rPr>
        <w:t>。</w:t>
      </w:r>
    </w:p>
    <w:p w14:paraId="3FEAC8EC">
      <w:pPr>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承包人提供履约担保的形式、金额及期限的：</w:t>
      </w:r>
      <w:r>
        <w:rPr>
          <w:rFonts w:hint="eastAsia" w:ascii="宋体" w:hAnsi="宋体" w:eastAsia="宋体" w:cs="宋体"/>
          <w:color w:val="auto"/>
          <w:kern w:val="0"/>
          <w:szCs w:val="21"/>
          <w:highlight w:val="none"/>
          <w:u w:val="single"/>
        </w:rPr>
        <w:t xml:space="preserve">  承包人需在签订合同前，以符合招标文件要求的形式，提交中标价的</w:t>
      </w:r>
      <w:r>
        <w:rPr>
          <w:rFonts w:hint="eastAsia" w:ascii="宋体" w:hAnsi="宋体" w:cs="宋体"/>
          <w:color w:val="auto"/>
          <w:kern w:val="0"/>
          <w:szCs w:val="21"/>
          <w:highlight w:val="none"/>
          <w:u w:val="single"/>
          <w:lang w:val="en-US" w:eastAsia="zh-CN"/>
        </w:rPr>
        <w:t>10</w:t>
      </w:r>
      <w:r>
        <w:rPr>
          <w:rFonts w:hint="eastAsia" w:ascii="宋体" w:hAnsi="宋体" w:eastAsia="宋体" w:cs="宋体"/>
          <w:color w:val="auto"/>
          <w:kern w:val="0"/>
          <w:szCs w:val="21"/>
          <w:highlight w:val="none"/>
          <w:u w:val="single"/>
        </w:rPr>
        <w:t xml:space="preserve">%作为履约担保，待工程竣工验收合格后，扣除违约金部分后7日内无息退还 </w:t>
      </w:r>
      <w:r>
        <w:rPr>
          <w:rFonts w:hint="eastAsia" w:ascii="宋体" w:hAnsi="宋体" w:eastAsia="宋体" w:cs="宋体"/>
          <w:color w:val="auto"/>
          <w:kern w:val="0"/>
          <w:szCs w:val="21"/>
          <w:highlight w:val="none"/>
        </w:rPr>
        <w:t>。</w:t>
      </w:r>
    </w:p>
    <w:p w14:paraId="5A1BE385">
      <w:pPr>
        <w:pageBreakBefore w:val="0"/>
        <w:kinsoku/>
        <w:wordWrap/>
        <w:overflowPunct/>
        <w:topLinePunct w:val="0"/>
        <w:bidi w:val="0"/>
        <w:spacing w:line="360" w:lineRule="auto"/>
        <w:rPr>
          <w:rFonts w:hint="eastAsia" w:ascii="宋体" w:hAnsi="宋体" w:eastAsia="宋体" w:cs="宋体"/>
          <w:color w:val="auto"/>
          <w:szCs w:val="21"/>
          <w:highlight w:val="none"/>
        </w:rPr>
      </w:pPr>
    </w:p>
    <w:bookmarkEnd w:id="415"/>
    <w:bookmarkEnd w:id="416"/>
    <w:p w14:paraId="2F2E3DB6">
      <w:pPr>
        <w:keepNext/>
        <w:keepLines/>
        <w:pageBreakBefore w:val="0"/>
        <w:kinsoku/>
        <w:wordWrap/>
        <w:overflowPunct/>
        <w:topLinePunct w:val="0"/>
        <w:bidi w:val="0"/>
        <w:spacing w:before="120" w:after="120" w:line="360" w:lineRule="auto"/>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4. 监理人</w:t>
      </w:r>
    </w:p>
    <w:p w14:paraId="38F8E162">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4.1监理人的一般规定</w:t>
      </w:r>
    </w:p>
    <w:p w14:paraId="2A8CA8F5">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关于监理人的监理内容：</w:t>
      </w:r>
      <w:r>
        <w:rPr>
          <w:rFonts w:hint="eastAsia" w:ascii="宋体" w:hAnsi="宋体" w:eastAsia="宋体" w:cs="宋体"/>
          <w:color w:val="auto"/>
          <w:kern w:val="0"/>
          <w:szCs w:val="21"/>
          <w:highlight w:val="none"/>
          <w:u w:val="single"/>
        </w:rPr>
        <w:t xml:space="preserve">  见监理合同          </w:t>
      </w:r>
      <w:r>
        <w:rPr>
          <w:rFonts w:hint="eastAsia" w:ascii="宋体" w:hAnsi="宋体" w:eastAsia="宋体" w:cs="宋体"/>
          <w:color w:val="auto"/>
          <w:kern w:val="0"/>
          <w:szCs w:val="21"/>
          <w:highlight w:val="none"/>
        </w:rPr>
        <w:t>。</w:t>
      </w:r>
    </w:p>
    <w:p w14:paraId="78A10867">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关于监理人的监理权限：</w:t>
      </w:r>
      <w:r>
        <w:rPr>
          <w:rFonts w:hint="eastAsia" w:ascii="宋体" w:hAnsi="宋体" w:eastAsia="宋体" w:cs="宋体"/>
          <w:color w:val="auto"/>
          <w:kern w:val="0"/>
          <w:szCs w:val="21"/>
          <w:highlight w:val="none"/>
          <w:u w:val="single"/>
        </w:rPr>
        <w:t xml:space="preserve">   见监理合同         </w:t>
      </w:r>
      <w:r>
        <w:rPr>
          <w:rFonts w:hint="eastAsia" w:ascii="宋体" w:hAnsi="宋体" w:eastAsia="宋体" w:cs="宋体"/>
          <w:color w:val="auto"/>
          <w:kern w:val="0"/>
          <w:szCs w:val="21"/>
          <w:highlight w:val="none"/>
        </w:rPr>
        <w:t>。</w:t>
      </w:r>
    </w:p>
    <w:p w14:paraId="5460FC4B">
      <w:pPr>
        <w:pageBreakBefore w:val="0"/>
        <w:widowControl/>
        <w:kinsoku/>
        <w:wordWrap/>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关于监理人在施工现场的办公场所、生活场所的提供和费用承担的约定：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2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29A200C">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 监理人员</w:t>
      </w:r>
    </w:p>
    <w:p w14:paraId="6D103DE5">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总监理工程师：</w:t>
      </w:r>
    </w:p>
    <w:p w14:paraId="38B7AEC2">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     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 </w:t>
      </w:r>
      <w:r>
        <w:rPr>
          <w:rFonts w:hint="eastAsia" w:ascii="宋体" w:hAnsi="宋体" w:eastAsia="宋体" w:cs="宋体"/>
          <w:color w:val="auto"/>
          <w:kern w:val="0"/>
          <w:szCs w:val="21"/>
          <w:highlight w:val="none"/>
        </w:rPr>
        <w:t>；</w:t>
      </w:r>
    </w:p>
    <w:p w14:paraId="43A0887B">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1AAD8BAB">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监理工程师执业资格证书号：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2ED2581">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3631321A">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 </w:t>
      </w:r>
      <w:r>
        <w:rPr>
          <w:rFonts w:hint="eastAsia" w:ascii="宋体" w:hAnsi="宋体" w:eastAsia="宋体" w:cs="宋体"/>
          <w:color w:val="auto"/>
          <w:kern w:val="0"/>
          <w:szCs w:val="21"/>
          <w:highlight w:val="none"/>
        </w:rPr>
        <w:t>；</w:t>
      </w:r>
    </w:p>
    <w:p w14:paraId="63B9602B">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8B88206">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关于监理人的其他约定：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59F32E6F">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4.4 商定或确定</w:t>
      </w:r>
    </w:p>
    <w:p w14:paraId="55A00150">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在发包人和承包人不能通过协商达成一致意见时，发包人授权监理人对以下事项进行确定：</w:t>
      </w:r>
    </w:p>
    <w:p w14:paraId="5AB29983">
      <w:pPr>
        <w:pageBreakBefore w:val="0"/>
        <w:widowControl/>
        <w:kinsoku/>
        <w:wordWrap/>
        <w:overflowPunct/>
        <w:topLinePunct w:val="0"/>
        <w:bidi w:val="0"/>
        <w:snapToGrid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544472E9">
      <w:pPr>
        <w:pageBreakBefore w:val="0"/>
        <w:widowControl/>
        <w:kinsoku/>
        <w:wordWrap/>
        <w:overflowPunct/>
        <w:topLinePunct w:val="0"/>
        <w:bidi w:val="0"/>
        <w:snapToGrid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38E71CB3">
      <w:pPr>
        <w:pageBreakBefore w:val="0"/>
        <w:widowControl/>
        <w:kinsoku/>
        <w:wordWrap/>
        <w:overflowPunct/>
        <w:topLinePunct w:val="0"/>
        <w:bidi w:val="0"/>
        <w:snapToGrid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37E5D88A">
      <w:pPr>
        <w:keepNext/>
        <w:keepLines/>
        <w:pageBreakBefore w:val="0"/>
        <w:kinsoku/>
        <w:wordWrap/>
        <w:overflowPunct/>
        <w:topLinePunct w:val="0"/>
        <w:bidi w:val="0"/>
        <w:spacing w:before="120" w:after="120" w:line="360" w:lineRule="auto"/>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 工程质量 </w:t>
      </w:r>
    </w:p>
    <w:p w14:paraId="00B3D5EB">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 质量要求</w:t>
      </w:r>
    </w:p>
    <w:p w14:paraId="167E09C5">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5.1.1 特殊质量标准和要求：</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 xml:space="preserve"> </w:t>
      </w:r>
    </w:p>
    <w:p w14:paraId="7062D4D8">
      <w:pPr>
        <w:keepNext/>
        <w:keepLines/>
        <w:pageBreakBefore w:val="0"/>
        <w:kinsoku/>
        <w:wordWrap/>
        <w:overflowPunct/>
        <w:topLinePunct w:val="0"/>
        <w:bidi w:val="0"/>
        <w:spacing w:before="120" w:after="120" w:line="360" w:lineRule="auto"/>
        <w:outlineLvl w:val="3"/>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关于工程奖项的约定：</w:t>
      </w:r>
      <w:r>
        <w:rPr>
          <w:rFonts w:hint="eastAsia" w:ascii="宋体" w:hAnsi="宋体" w:eastAsia="宋体" w:cs="宋体"/>
          <w:color w:val="auto"/>
          <w:szCs w:val="21"/>
          <w:highlight w:val="none"/>
          <w:u w:val="single"/>
        </w:rPr>
        <w:t xml:space="preserve">        /            </w:t>
      </w:r>
      <w:r>
        <w:rPr>
          <w:rFonts w:hint="eastAsia" w:ascii="宋体" w:hAnsi="宋体" w:eastAsia="宋体" w:cs="宋体"/>
          <w:b/>
          <w:bCs/>
          <w:color w:val="auto"/>
          <w:szCs w:val="21"/>
          <w:highlight w:val="none"/>
        </w:rPr>
        <w:t>。</w:t>
      </w:r>
    </w:p>
    <w:p w14:paraId="1C45338A">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5.3 隐蔽工程检查</w:t>
      </w:r>
    </w:p>
    <w:p w14:paraId="71AC2770">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5.3.2承包人提前通知监理人隐蔽工程检查的期限的约定：</w:t>
      </w:r>
      <w:r>
        <w:rPr>
          <w:rFonts w:hint="eastAsia" w:ascii="宋体" w:hAnsi="宋体" w:eastAsia="宋体" w:cs="宋体"/>
          <w:color w:val="auto"/>
          <w:kern w:val="0"/>
          <w:szCs w:val="21"/>
          <w:highlight w:val="none"/>
          <w:u w:val="single"/>
        </w:rPr>
        <w:t xml:space="preserve"> 48小时      </w:t>
      </w:r>
      <w:r>
        <w:rPr>
          <w:rFonts w:hint="eastAsia" w:ascii="宋体" w:hAnsi="宋体" w:eastAsia="宋体" w:cs="宋体"/>
          <w:color w:val="auto"/>
          <w:kern w:val="0"/>
          <w:szCs w:val="21"/>
          <w:highlight w:val="none"/>
        </w:rPr>
        <w:t>。</w:t>
      </w:r>
    </w:p>
    <w:p w14:paraId="0B15E867">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监理人不能按时进行检查时，应提前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5CECEE4E">
      <w:pPr>
        <w:pStyle w:val="3"/>
        <w:pageBreakBefore w:val="0"/>
        <w:kinsoku/>
        <w:wordWrap/>
        <w:overflowPunct/>
        <w:topLinePunct w:val="0"/>
        <w:bidi w:val="0"/>
        <w:spacing w:line="360" w:lineRule="auto"/>
        <w:rPr>
          <w:rFonts w:hint="eastAsia" w:ascii="宋体" w:hAnsi="宋体" w:eastAsia="宋体" w:cs="宋体"/>
          <w:color w:val="auto"/>
          <w:sz w:val="21"/>
          <w:szCs w:val="21"/>
          <w:highlight w:val="none"/>
        </w:rPr>
      </w:pPr>
      <w:bookmarkStart w:id="417" w:name="_Toc19159"/>
      <w:bookmarkStart w:id="418" w:name="_Toc16790"/>
      <w:bookmarkStart w:id="419" w:name="_Toc25891"/>
      <w:r>
        <w:rPr>
          <w:rFonts w:hint="eastAsia" w:ascii="宋体" w:hAnsi="宋体" w:eastAsia="宋体" w:cs="宋体"/>
          <w:b w:val="0"/>
          <w:color w:val="auto"/>
          <w:kern w:val="0"/>
          <w:sz w:val="21"/>
          <w:szCs w:val="21"/>
          <w:highlight w:val="none"/>
        </w:rPr>
        <w:t>关于延期最长不得超过：</w:t>
      </w:r>
      <w:r>
        <w:rPr>
          <w:rFonts w:hint="eastAsia" w:ascii="宋体" w:hAnsi="宋体" w:eastAsia="宋体" w:cs="宋体"/>
          <w:b w:val="0"/>
          <w:color w:val="auto"/>
          <w:kern w:val="0"/>
          <w:sz w:val="21"/>
          <w:szCs w:val="21"/>
          <w:highlight w:val="none"/>
          <w:u w:val="single"/>
        </w:rPr>
        <w:t xml:space="preserve">   48      </w:t>
      </w:r>
      <w:r>
        <w:rPr>
          <w:rFonts w:hint="eastAsia" w:ascii="宋体" w:hAnsi="宋体" w:eastAsia="宋体" w:cs="宋体"/>
          <w:b w:val="0"/>
          <w:color w:val="auto"/>
          <w:kern w:val="0"/>
          <w:sz w:val="21"/>
          <w:szCs w:val="21"/>
          <w:highlight w:val="none"/>
        </w:rPr>
        <w:t>小时。</w:t>
      </w:r>
      <w:bookmarkEnd w:id="417"/>
      <w:bookmarkEnd w:id="418"/>
      <w:bookmarkEnd w:id="419"/>
    </w:p>
    <w:p w14:paraId="03AD8C91">
      <w:pPr>
        <w:keepNext/>
        <w:keepLines/>
        <w:pageBreakBefore w:val="0"/>
        <w:kinsoku/>
        <w:wordWrap/>
        <w:overflowPunct/>
        <w:topLinePunct w:val="0"/>
        <w:bidi w:val="0"/>
        <w:spacing w:before="120" w:after="120" w:line="360" w:lineRule="auto"/>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安全文明施工与环境保护</w:t>
      </w:r>
    </w:p>
    <w:p w14:paraId="63158CFC">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6.1安全文明施工</w:t>
      </w:r>
    </w:p>
    <w:p w14:paraId="6EA9FBCC">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6.1.1 项目安全生产的达标目标及相应事项的约定：</w:t>
      </w:r>
    </w:p>
    <w:p w14:paraId="4CB4E0EF">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(1)遵守国家和工程所在地有关安全生产的要求。</w:t>
      </w:r>
    </w:p>
    <w:p w14:paraId="654A38F6">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(2)承包人应在工程施工、竣工、交付及修补任何缺陷的过程中履行安全职责，执行监理人有关安全工作的指示，并在工程施工、竣工、交付及修补任何缺陷的过程中，编制施工安全措施计划报送监理人审批。</w:t>
      </w:r>
    </w:p>
    <w:p w14:paraId="47892470">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(3)承包人应按监理人的指示制定应对灾害的紧急预案，报送监理人审批。承包人还应按预案做好安全检查，配置必要的救助物资和器材，切实保护好有关人员的人身和财产安全。</w:t>
      </w:r>
    </w:p>
    <w:p w14:paraId="7A89CAF3">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(4)承包人的安全作业环境及安全施工措施所需费用由承包人承担，该费用已包括在合同总价款中。</w:t>
      </w:r>
    </w:p>
    <w:p w14:paraId="21761335">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(5)承包人应对其履行合同所雇佣的全部人员的安全事故承担全部责任及全部费用。</w:t>
      </w:r>
    </w:p>
    <w:p w14:paraId="3EE30293">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(6)由于承包人原因在施工场地内及其毗邻地带造成的第三者人员伤亡和财产损失，由承包人负责赔偿并承担全部费用。</w:t>
      </w:r>
    </w:p>
    <w:p w14:paraId="7EAD97DA">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(7)现场所有建筑、生活垃圾由承包人负责统一管理、及时清运至校外。工程移交时必须做到施工场地整洁干净。</w:t>
      </w:r>
    </w:p>
    <w:p w14:paraId="1F0AE085">
      <w:pPr>
        <w:pageBreakBefore w:val="0"/>
        <w:kinsoku/>
        <w:wordWrap/>
        <w:overflowPunct/>
        <w:topLinePunct w:val="0"/>
        <w:bidi w:val="0"/>
        <w:spacing w:line="360" w:lineRule="auto"/>
        <w:ind w:firstLine="42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(8)承包人对施工现场的安全生产负总责。承包人在工地现场必须配备符合规范规定数量的专职安全员；安全员必须持证上岗。</w:t>
      </w:r>
    </w:p>
    <w:p w14:paraId="74876827">
      <w:pPr>
        <w:pageBreakBefore w:val="0"/>
        <w:kinsoku/>
        <w:wordWrap/>
        <w:overflowPunct/>
        <w:topLinePunct w:val="0"/>
        <w:bidi w:val="0"/>
        <w:spacing w:line="360" w:lineRule="auto"/>
        <w:ind w:firstLine="422" w:firstLineChars="200"/>
        <w:jc w:val="left"/>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9）承包人对施工人员的来源认真进行甄别，向发包人和监理单位详细上报所有人员的身份信息（含是否有违法违纪记录、是否有被公安机关处置记录、是否有失信记录、宗教信仰情况等），承包人需对施工人员加强管理，严禁在校园内从事非法传教等违法违纪活动。</w:t>
      </w:r>
    </w:p>
    <w:p w14:paraId="3EE821D8">
      <w:pPr>
        <w:pageBreakBefore w:val="0"/>
        <w:kinsoku/>
        <w:wordWrap/>
        <w:overflowPunct/>
        <w:topLinePunct w:val="0"/>
        <w:autoSpaceDE w:val="0"/>
        <w:autoSpaceDN w:val="0"/>
        <w:bidi w:val="0"/>
        <w:adjustRightInd w:val="0"/>
        <w:spacing w:line="360" w:lineRule="auto"/>
        <w:ind w:firstLine="422" w:firstLineChars="200"/>
        <w:jc w:val="left"/>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以上(1）至（9）项如发生费用，该费用均由承包人承担，且该费用已包含在承包人的合同总价款中。</w:t>
      </w:r>
    </w:p>
    <w:p w14:paraId="71CF816B">
      <w:pPr>
        <w:pageBreakBefore w:val="0"/>
        <w:widowControl/>
        <w:kinsoku/>
        <w:wordWrap/>
        <w:overflowPunct/>
        <w:topLinePunct w:val="0"/>
        <w:bidi w:val="0"/>
        <w:spacing w:line="360" w:lineRule="auto"/>
        <w:ind w:left="105" w:hanging="105" w:hangingChars="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6.1.4 关于治安保卫的特别约定：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000000"/>
          <w:kern w:val="0"/>
          <w:szCs w:val="21"/>
          <w:highlight w:val="none"/>
          <w:u w:val="single"/>
          <w:lang w:val="en-US" w:eastAsia="zh-CN"/>
        </w:rPr>
        <w:t>符合学校保卫处的相关规定。</w:t>
      </w:r>
    </w:p>
    <w:p w14:paraId="1724686E">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关于编制施工场地治安管理计划的约定：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bCs/>
          <w:color w:val="auto"/>
          <w:kern w:val="0"/>
          <w:szCs w:val="21"/>
          <w:highlight w:val="none"/>
          <w:u w:val="single"/>
        </w:rPr>
        <w:t xml:space="preserve">开工三日前提供施工场地治安管理计划 </w:t>
      </w:r>
      <w:r>
        <w:rPr>
          <w:rFonts w:hint="eastAsia" w:ascii="宋体" w:hAnsi="宋体" w:eastAsia="宋体" w:cs="宋体"/>
          <w:color w:val="auto"/>
          <w:kern w:val="0"/>
          <w:szCs w:val="21"/>
          <w:highlight w:val="none"/>
        </w:rPr>
        <w:t>。</w:t>
      </w:r>
    </w:p>
    <w:p w14:paraId="7F2A69C7">
      <w:pPr>
        <w:pageBreakBefore w:val="0"/>
        <w:widowControl/>
        <w:tabs>
          <w:tab w:val="left" w:pos="3770"/>
        </w:tabs>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6.1.5 文明施工</w:t>
      </w:r>
      <w:r>
        <w:rPr>
          <w:rFonts w:hint="eastAsia" w:ascii="宋体" w:hAnsi="宋体" w:eastAsia="宋体" w:cs="宋体"/>
          <w:color w:val="auto"/>
          <w:kern w:val="0"/>
          <w:szCs w:val="21"/>
          <w:highlight w:val="none"/>
        </w:rPr>
        <w:tab/>
      </w:r>
    </w:p>
    <w:p w14:paraId="11725B9E">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合同当事人对文明施工的要求：</w:t>
      </w:r>
      <w:r>
        <w:rPr>
          <w:rFonts w:hint="eastAsia" w:ascii="宋体" w:hAnsi="宋体" w:eastAsia="宋体" w:cs="宋体"/>
          <w:color w:val="auto"/>
          <w:kern w:val="0"/>
          <w:szCs w:val="21"/>
          <w:highlight w:val="none"/>
          <w:u w:val="single"/>
        </w:rPr>
        <w:t xml:space="preserve"> 按河南省及焦作市相关规定执行   </w:t>
      </w:r>
      <w:r>
        <w:rPr>
          <w:rFonts w:hint="eastAsia" w:ascii="宋体" w:hAnsi="宋体" w:eastAsia="宋体" w:cs="宋体"/>
          <w:color w:val="auto"/>
          <w:kern w:val="0"/>
          <w:szCs w:val="21"/>
          <w:highlight w:val="none"/>
        </w:rPr>
        <w:t>。</w:t>
      </w:r>
    </w:p>
    <w:p w14:paraId="24A28C4E">
      <w:pPr>
        <w:pageBreakBefore w:val="0"/>
        <w:kinsoku/>
        <w:wordWrap/>
        <w:overflowPunct/>
        <w:topLinePunct w:val="0"/>
        <w:autoSpaceDE w:val="0"/>
        <w:autoSpaceDN w:val="0"/>
        <w:bidi w:val="0"/>
        <w:adjustRightInd w:val="0"/>
        <w:spacing w:line="360" w:lineRule="auto"/>
        <w:ind w:firstLine="422" w:firstLineChars="200"/>
        <w:jc w:val="left"/>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在施工期间对环境主要影响是机械噪声和废水、废渣、尘埃、灰尘等，对此承包人应采取相应的防治措施和严格管理，严格控制污染物排放，污染物排放前必须处理，达到排污标准后再排放。施工完毕后，承包人应遵照监理工程师的指示及时将被破坏的场地进行清理、修正，并根据实际情况将场地恢复，其费用已包含在合同总价款中。施工过程中产生的建筑垃圾由承包人按照焦作市的相关规定进行处理并承担相关费用。施工期间严格执行河南省城市房屋建筑和市政基础设施工程及道路扬尘污染防治标准和河南省及焦作市重污染天气应急预案，其费用已包含在合同总价款中。</w:t>
      </w:r>
    </w:p>
    <w:p w14:paraId="400EA4C4">
      <w:pPr>
        <w:pageBreakBefore w:val="0"/>
        <w:kinsoku/>
        <w:wordWrap/>
        <w:overflowPunct/>
        <w:topLinePunct w:val="0"/>
        <w:autoSpaceDE w:val="0"/>
        <w:autoSpaceDN w:val="0"/>
        <w:bidi w:val="0"/>
        <w:adjustRightIn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u w:val="single"/>
        </w:rPr>
        <w:t>承包人具体负责施工扬尘的防治工作。在施工前，承包人应结合项目特点及实际情况，编制扬尘防治专项方案，并负责组织落实。施工期间承包人配备专职扬尘防治人员和专职保洁人员。因承包人扬尘污染防治措施不力，造成发包人受到处罚的，发包人所有的损失费用由承包人承担，并根据情节严重情况，承包人对发包人支付0.5万-1万元的违约金，该费用可从承包人工程款中扣除。</w:t>
      </w:r>
    </w:p>
    <w:p w14:paraId="21485DFE">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6.1.6 关于安全文明施工费支付比例和支付期限的约定：</w:t>
      </w:r>
      <w:r>
        <w:rPr>
          <w:rFonts w:hint="eastAsia" w:ascii="宋体" w:hAnsi="宋体" w:eastAsia="宋体" w:cs="宋体"/>
          <w:color w:val="auto"/>
          <w:kern w:val="0"/>
          <w:szCs w:val="21"/>
          <w:highlight w:val="none"/>
          <w:u w:val="single"/>
        </w:rPr>
        <w:t xml:space="preserve"> 纳入合同总价支付，该费用已包含在合同总价款中</w:t>
      </w:r>
      <w:r>
        <w:rPr>
          <w:rFonts w:hint="eastAsia" w:ascii="宋体" w:hAnsi="宋体" w:eastAsia="宋体" w:cs="宋体"/>
          <w:color w:val="auto"/>
          <w:kern w:val="0"/>
          <w:szCs w:val="21"/>
          <w:highlight w:val="none"/>
        </w:rPr>
        <w:t>。</w:t>
      </w:r>
    </w:p>
    <w:p w14:paraId="071AEE52">
      <w:pPr>
        <w:pageBreakBefore w:val="0"/>
        <w:widowControl/>
        <w:kinsoku/>
        <w:wordWrap/>
        <w:overflowPunct/>
        <w:topLinePunct w:val="0"/>
        <w:bidi w:val="0"/>
        <w:spacing w:line="360" w:lineRule="auto"/>
        <w:ind w:firstLine="316" w:firstLineChars="15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 工期和进度</w:t>
      </w:r>
    </w:p>
    <w:p w14:paraId="59CFADA6">
      <w:pPr>
        <w:pageBreakBefore w:val="0"/>
        <w:widowControl/>
        <w:kinsoku/>
        <w:wordWrap/>
        <w:overflowPunct/>
        <w:topLinePunct w:val="0"/>
        <w:bidi w:val="0"/>
        <w:spacing w:after="120"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7.1 施工组织设计</w:t>
      </w:r>
    </w:p>
    <w:p w14:paraId="1B8AE808">
      <w:pPr>
        <w:pageBreakBefore w:val="0"/>
        <w:widowControl/>
        <w:kinsoku/>
        <w:wordWrap/>
        <w:overflowPunct/>
        <w:topLinePunct w:val="0"/>
        <w:bidi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7.1.1 合同当事人约定的施工组织设计应包括的其他内容：</w:t>
      </w:r>
      <w:r>
        <w:rPr>
          <w:rFonts w:hint="eastAsia" w:ascii="宋体" w:hAnsi="宋体" w:eastAsia="宋体" w:cs="宋体"/>
          <w:color w:val="auto"/>
          <w:kern w:val="0"/>
          <w:szCs w:val="21"/>
          <w:highlight w:val="none"/>
          <w:u w:val="single"/>
        </w:rPr>
        <w:t xml:space="preserve"> 按招标文件约定，招标文件无约定的按通用条款或双方另行约定  </w:t>
      </w:r>
      <w:r>
        <w:rPr>
          <w:rFonts w:hint="eastAsia" w:ascii="宋体" w:hAnsi="宋体" w:eastAsia="宋体" w:cs="宋体"/>
          <w:color w:val="auto"/>
          <w:kern w:val="0"/>
          <w:szCs w:val="21"/>
          <w:highlight w:val="none"/>
        </w:rPr>
        <w:t>。</w:t>
      </w:r>
    </w:p>
    <w:p w14:paraId="44772DA3">
      <w:pPr>
        <w:pageBreakBefore w:val="0"/>
        <w:widowControl/>
        <w:kinsoku/>
        <w:wordWrap/>
        <w:overflowPunct/>
        <w:topLinePunct w:val="0"/>
        <w:bidi w:val="0"/>
        <w:snapToGrid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7.1.2 施工组织设计的提交和修改</w:t>
      </w:r>
    </w:p>
    <w:p w14:paraId="7FDCCF61">
      <w:pPr>
        <w:pageBreakBefore w:val="0"/>
        <w:widowControl/>
        <w:kinsoku/>
        <w:wordWrap/>
        <w:overflowPunct/>
        <w:topLinePunct w:val="0"/>
        <w:bidi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承包人提交详细施工组织设计的期限的约定：</w:t>
      </w:r>
      <w:r>
        <w:rPr>
          <w:rFonts w:hint="eastAsia" w:ascii="宋体" w:hAnsi="宋体" w:eastAsia="宋体" w:cs="宋体"/>
          <w:color w:val="auto"/>
          <w:kern w:val="0"/>
          <w:szCs w:val="21"/>
          <w:highlight w:val="none"/>
          <w:u w:val="single"/>
        </w:rPr>
        <w:t xml:space="preserve">  承包人进场前一周内，须向监理和发包人提交完整详实的施工组织设计，由发包人组织论证，承包人根据论证意见修改其施工组织设计后，经监理审批，承包人按照文件和规范组织施工。 </w:t>
      </w:r>
      <w:r>
        <w:rPr>
          <w:rFonts w:hint="eastAsia" w:ascii="宋体" w:hAnsi="宋体" w:eastAsia="宋体" w:cs="宋体"/>
          <w:color w:val="auto"/>
          <w:kern w:val="0"/>
          <w:szCs w:val="21"/>
          <w:highlight w:val="none"/>
        </w:rPr>
        <w:t>。</w:t>
      </w:r>
    </w:p>
    <w:p w14:paraId="27F3B550">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发包人和监理人在收到详细的施工组织设计后确认或提出修改意见的期限：</w:t>
      </w:r>
      <w:r>
        <w:rPr>
          <w:rFonts w:hint="eastAsia" w:ascii="宋体" w:hAnsi="宋体" w:eastAsia="宋体" w:cs="宋体"/>
          <w:color w:val="auto"/>
          <w:kern w:val="0"/>
          <w:szCs w:val="21"/>
          <w:highlight w:val="none"/>
          <w:u w:val="single"/>
        </w:rPr>
        <w:t xml:space="preserve"> 收到后7天内            </w:t>
      </w:r>
      <w:r>
        <w:rPr>
          <w:rFonts w:hint="eastAsia" w:ascii="宋体" w:hAnsi="宋体" w:eastAsia="宋体" w:cs="宋体"/>
          <w:color w:val="auto"/>
          <w:kern w:val="0"/>
          <w:szCs w:val="21"/>
          <w:highlight w:val="none"/>
        </w:rPr>
        <w:t>。</w:t>
      </w:r>
    </w:p>
    <w:p w14:paraId="7DEBBF83">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施工进度计划</w:t>
      </w:r>
    </w:p>
    <w:p w14:paraId="4378857F">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7.2.2 施工进度计划的修订</w:t>
      </w:r>
    </w:p>
    <w:p w14:paraId="2C657801">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发包人和监理人在收到修订的施工进度计划后确认或提出修改意见的期限：</w:t>
      </w:r>
      <w:r>
        <w:rPr>
          <w:rFonts w:hint="eastAsia" w:ascii="宋体" w:hAnsi="宋体" w:eastAsia="宋体" w:cs="宋体"/>
          <w:color w:val="auto"/>
          <w:kern w:val="0"/>
          <w:szCs w:val="21"/>
          <w:highlight w:val="none"/>
          <w:u w:val="single"/>
        </w:rPr>
        <w:t xml:space="preserve">    收到后7天内     </w:t>
      </w:r>
      <w:r>
        <w:rPr>
          <w:rFonts w:hint="eastAsia" w:ascii="宋体" w:hAnsi="宋体" w:eastAsia="宋体" w:cs="宋体"/>
          <w:color w:val="auto"/>
          <w:kern w:val="0"/>
          <w:szCs w:val="21"/>
          <w:highlight w:val="none"/>
        </w:rPr>
        <w:t>。</w:t>
      </w:r>
    </w:p>
    <w:p w14:paraId="32345097">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开工</w:t>
      </w:r>
    </w:p>
    <w:p w14:paraId="7E111D19">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38E28A63">
      <w:pPr>
        <w:pageBreakBefore w:val="0"/>
        <w:widowControl/>
        <w:kinsoku/>
        <w:wordWrap/>
        <w:overflowPunct/>
        <w:topLinePunct w:val="0"/>
        <w:bidi w:val="0"/>
        <w:spacing w:line="360" w:lineRule="auto"/>
        <w:ind w:firstLine="315" w:firstLineChars="150"/>
        <w:jc w:val="left"/>
        <w:rPr>
          <w:rFonts w:hint="eastAsia" w:ascii="宋体" w:hAnsi="宋体" w:eastAsia="宋体" w:cs="宋体"/>
          <w:color w:val="auto"/>
          <w:kern w:val="0"/>
          <w:szCs w:val="21"/>
          <w:highlight w:val="none"/>
          <w:u w:val="single"/>
          <w:shd w:val="clear" w:color="auto" w:fill="FFFFFF"/>
        </w:rPr>
      </w:pPr>
      <w:r>
        <w:rPr>
          <w:rFonts w:hint="eastAsia" w:ascii="宋体" w:hAnsi="宋体" w:eastAsia="宋体" w:cs="宋体"/>
          <w:color w:val="auto"/>
          <w:kern w:val="0"/>
          <w:szCs w:val="21"/>
          <w:highlight w:val="none"/>
        </w:rPr>
        <w:t>关于承包人提交工程开工报审表的期限：</w:t>
      </w:r>
      <w:r>
        <w:rPr>
          <w:rFonts w:hint="eastAsia" w:ascii="宋体" w:hAnsi="宋体" w:eastAsia="宋体" w:cs="宋体"/>
          <w:color w:val="auto"/>
          <w:kern w:val="0"/>
          <w:szCs w:val="21"/>
          <w:highlight w:val="none"/>
          <w:u w:val="single"/>
        </w:rPr>
        <w:t>开工前7日</w:t>
      </w:r>
    </w:p>
    <w:p w14:paraId="15F3141C">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关于发包人应完成的其他开工准备工作及期限：</w:t>
      </w:r>
      <w:r>
        <w:rPr>
          <w:rFonts w:hint="eastAsia" w:ascii="宋体" w:hAnsi="宋体" w:eastAsia="宋体" w:cs="宋体"/>
          <w:color w:val="auto"/>
          <w:kern w:val="0"/>
          <w:szCs w:val="21"/>
          <w:highlight w:val="none"/>
          <w:u w:val="single"/>
        </w:rPr>
        <w:t xml:space="preserve"> 根据工程开工需要，及时提供      </w:t>
      </w:r>
      <w:r>
        <w:rPr>
          <w:rFonts w:hint="eastAsia" w:ascii="宋体" w:hAnsi="宋体" w:eastAsia="宋体" w:cs="宋体"/>
          <w:color w:val="auto"/>
          <w:kern w:val="0"/>
          <w:szCs w:val="21"/>
          <w:highlight w:val="none"/>
        </w:rPr>
        <w:t>。</w:t>
      </w:r>
    </w:p>
    <w:p w14:paraId="6E4EFBAB">
      <w:pPr>
        <w:pageBreakBefore w:val="0"/>
        <w:widowControl/>
        <w:kinsoku/>
        <w:wordWrap/>
        <w:overflowPunct/>
        <w:topLinePunct w:val="0"/>
        <w:bidi w:val="0"/>
        <w:spacing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关于承包人应完成的其他开工准备工作及期限：</w:t>
      </w:r>
      <w:r>
        <w:rPr>
          <w:rFonts w:hint="eastAsia" w:ascii="宋体" w:hAnsi="宋体" w:eastAsia="宋体" w:cs="宋体"/>
          <w:color w:val="auto"/>
          <w:kern w:val="0"/>
          <w:szCs w:val="21"/>
          <w:highlight w:val="none"/>
          <w:u w:val="single"/>
        </w:rPr>
        <w:t xml:space="preserve">   开工前开工手续办理及人员、设备进场         </w:t>
      </w:r>
      <w:r>
        <w:rPr>
          <w:rFonts w:hint="eastAsia" w:ascii="宋体" w:hAnsi="宋体" w:eastAsia="宋体" w:cs="宋体"/>
          <w:color w:val="auto"/>
          <w:kern w:val="0"/>
          <w:szCs w:val="21"/>
          <w:highlight w:val="none"/>
        </w:rPr>
        <w:t xml:space="preserve"> 。</w:t>
      </w:r>
    </w:p>
    <w:p w14:paraId="56FEE6B5">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7.3.2开工通知</w:t>
      </w:r>
    </w:p>
    <w:p w14:paraId="46BBD1E7">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因发包人原因造成监理人未能在计划开工日期之日起</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天内发出开工通知的，承包人有权提出价格调整要求，或者解除合同。</w:t>
      </w:r>
    </w:p>
    <w:p w14:paraId="1F8CF9D7">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7.4 测量放线</w:t>
      </w:r>
    </w:p>
    <w:p w14:paraId="17E48AD3">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7.4.1发包人通过监理人向承包人提供测量基准点、基准线和水准点及其书面资料的期限：</w:t>
      </w:r>
      <w:r>
        <w:rPr>
          <w:rFonts w:hint="eastAsia" w:ascii="宋体" w:hAnsi="宋体" w:eastAsia="宋体" w:cs="宋体"/>
          <w:color w:val="auto"/>
          <w:kern w:val="0"/>
          <w:szCs w:val="21"/>
          <w:highlight w:val="none"/>
          <w:u w:val="single"/>
        </w:rPr>
        <w:t xml:space="preserve">     开工前7日内   </w:t>
      </w:r>
      <w:r>
        <w:rPr>
          <w:rFonts w:hint="eastAsia" w:ascii="宋体" w:hAnsi="宋体" w:eastAsia="宋体" w:cs="宋体"/>
          <w:color w:val="auto"/>
          <w:kern w:val="0"/>
          <w:szCs w:val="21"/>
          <w:highlight w:val="none"/>
        </w:rPr>
        <w:t>。</w:t>
      </w:r>
    </w:p>
    <w:p w14:paraId="605919D7">
      <w:pPr>
        <w:pageBreakBefore w:val="0"/>
        <w:kinsoku/>
        <w:wordWrap/>
        <w:overflowPunct/>
        <w:topLinePunct w:val="0"/>
        <w:bidi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7.4.2承包人报监理人审批施工控制控制网资料的期限：</w:t>
      </w:r>
      <w:r>
        <w:rPr>
          <w:rFonts w:hint="eastAsia" w:ascii="宋体" w:hAnsi="宋体" w:eastAsia="宋体" w:cs="宋体"/>
          <w:color w:val="auto"/>
          <w:szCs w:val="21"/>
          <w:highlight w:val="none"/>
          <w:u w:val="single"/>
        </w:rPr>
        <w:t xml:space="preserve"> 发出开工通知后3天。</w:t>
      </w:r>
    </w:p>
    <w:p w14:paraId="12662ADD">
      <w:pPr>
        <w:pageBreakBefore w:val="0"/>
        <w:widowControl/>
        <w:kinsoku/>
        <w:wordWrap/>
        <w:overflowPunct/>
        <w:topLinePunct w:val="0"/>
        <w:bidi w:val="0"/>
        <w:spacing w:after="120" w:line="360" w:lineRule="auto"/>
        <w:rPr>
          <w:rFonts w:hint="eastAsia" w:ascii="宋体" w:hAnsi="宋体" w:eastAsia="宋体" w:cs="宋体"/>
          <w:color w:val="auto"/>
          <w:kern w:val="0"/>
          <w:szCs w:val="21"/>
          <w:highlight w:val="none"/>
        </w:rPr>
      </w:pPr>
    </w:p>
    <w:p w14:paraId="3913C67D">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 工期延误</w:t>
      </w:r>
    </w:p>
    <w:p w14:paraId="4B67DD0D">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w:t>
      </w:r>
    </w:p>
    <w:p w14:paraId="26B7FFE5">
      <w:pPr>
        <w:pageBreakBefore w:val="0"/>
        <w:kinsoku/>
        <w:wordWrap/>
        <w:overflowPunct/>
        <w:topLinePunct w:val="0"/>
        <w:bidi w:val="0"/>
        <w:spacing w:line="360" w:lineRule="auto"/>
        <w:ind w:left="1" w:firstLine="470" w:firstLineChars="224"/>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（1）因发包人原因导致工期延误的其他情形：</w:t>
      </w:r>
      <w:r>
        <w:rPr>
          <w:rFonts w:hint="eastAsia" w:ascii="宋体" w:hAnsi="宋体" w:eastAsia="宋体" w:cs="宋体"/>
          <w:color w:val="auto"/>
          <w:szCs w:val="21"/>
          <w:highlight w:val="none"/>
          <w:u w:val="single"/>
        </w:rPr>
        <w:t>重大设计变更和经监理工程师及发包人确认的情况；招标人提供的地下管网，地下构筑物等资料与现场实际情况不符而增加的工期；由于自然及社会因素（含政府禁令）造成的不可抗力原因而影响工程施工时</w:t>
      </w:r>
      <w:r>
        <w:rPr>
          <w:rFonts w:hint="eastAsia" w:ascii="宋体" w:hAnsi="宋体" w:cs="宋体"/>
          <w:color w:val="auto"/>
          <w:szCs w:val="21"/>
          <w:highlight w:val="none"/>
          <w:u w:val="single"/>
          <w:lang w:eastAsia="zh-CN"/>
        </w:rPr>
        <w:t>。</w:t>
      </w:r>
      <w:r>
        <w:rPr>
          <w:rFonts w:hint="eastAsia" w:ascii="宋体" w:hAnsi="宋体" w:eastAsia="宋体" w:cs="宋体"/>
          <w:color w:val="auto"/>
          <w:kern w:val="0"/>
          <w:szCs w:val="21"/>
          <w:highlight w:val="none"/>
          <w:u w:val="single"/>
        </w:rPr>
        <w:t xml:space="preserve">此延误工期须在发生后七天内办理签证，逾期不予认可     </w:t>
      </w:r>
    </w:p>
    <w:p w14:paraId="19520C0E">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14A32084">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因承包人原因造成工期延误，逾期竣工违约金的计算方法为：</w:t>
      </w:r>
      <w:r>
        <w:rPr>
          <w:rFonts w:hint="eastAsia" w:ascii="宋体" w:hAnsi="宋体" w:eastAsia="宋体" w:cs="宋体"/>
          <w:color w:val="auto"/>
          <w:kern w:val="0"/>
          <w:szCs w:val="21"/>
          <w:highlight w:val="none"/>
          <w:lang w:val="en-US" w:eastAsia="zh-CN"/>
        </w:rPr>
        <w:t xml:space="preserve"> </w:t>
      </w:r>
    </w:p>
    <w:p w14:paraId="76571DC4">
      <w:pPr>
        <w:pageBreakBefore w:val="0"/>
        <w:widowControl/>
        <w:kinsoku/>
        <w:wordWrap/>
        <w:overflowPunct/>
        <w:topLinePunct w:val="0"/>
        <w:bidi w:val="0"/>
        <w:spacing w:line="360" w:lineRule="auto"/>
        <w:ind w:firstLine="600"/>
        <w:jc w:val="left"/>
        <w:rPr>
          <w:rFonts w:hint="eastAsia" w:ascii="宋体" w:hAnsi="宋体" w:eastAsia="宋体" w:cs="宋体"/>
          <w:b/>
          <w:bCs/>
          <w:color w:val="auto"/>
          <w:kern w:val="0"/>
          <w:szCs w:val="21"/>
          <w:highlight w:val="none"/>
          <w:u w:val="single"/>
          <w:lang w:val="en-US" w:eastAsia="zh-CN"/>
        </w:rPr>
      </w:pP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u w:val="single"/>
          <w:lang w:val="en-US" w:eastAsia="zh-CN"/>
        </w:rPr>
        <w:t xml:space="preserve"> 因承包人原因造成工期延误，逾期竣工违约金的计算方法为：承包人必须按其响应文件中承诺的工期及合同双方确认的增减工期如期竣工。若因承包人原因造成不能按期竣工的，承包人应承担因其拖延工期给发包人所带来的损失费，损失费的计算方法：按合同</w:t>
      </w:r>
      <w:r>
        <w:rPr>
          <w:rFonts w:hint="eastAsia" w:ascii="宋体" w:hAnsi="宋体" w:cs="宋体"/>
          <w:b/>
          <w:bCs/>
          <w:color w:val="auto"/>
          <w:kern w:val="0"/>
          <w:szCs w:val="21"/>
          <w:highlight w:val="none"/>
          <w:u w:val="single"/>
          <w:lang w:val="en-US" w:eastAsia="zh-CN"/>
        </w:rPr>
        <w:t>总</w:t>
      </w:r>
      <w:r>
        <w:rPr>
          <w:rFonts w:hint="eastAsia" w:ascii="宋体" w:hAnsi="宋体" w:eastAsia="宋体" w:cs="宋体"/>
          <w:b/>
          <w:bCs/>
          <w:color w:val="auto"/>
          <w:kern w:val="0"/>
          <w:szCs w:val="21"/>
          <w:highlight w:val="none"/>
          <w:u w:val="single"/>
          <w:lang w:val="en-US" w:eastAsia="zh-CN"/>
        </w:rPr>
        <w:t xml:space="preserve">价的千分之一/天向发包人支付违约金  </w:t>
      </w:r>
    </w:p>
    <w:p w14:paraId="1254B67D">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u w:val="single"/>
        </w:rPr>
      </w:pPr>
      <w:r>
        <w:rPr>
          <w:rFonts w:hint="eastAsia" w:ascii="宋体" w:hAnsi="宋体" w:eastAsia="宋体" w:cs="宋体"/>
          <w:b/>
          <w:bCs/>
          <w:color w:val="auto"/>
          <w:kern w:val="0"/>
          <w:szCs w:val="21"/>
          <w:highlight w:val="none"/>
          <w:u w:val="single"/>
        </w:rPr>
        <w:t>工期延误超过30日的，发包人有权单方解除合同。发包人选择继续履行合同的，承包人按上述约定支付违约金；发包人解除合同的，承包人应按照合同总价款的10%向发包人支付违约金。</w:t>
      </w:r>
      <w:r>
        <w:rPr>
          <w:rFonts w:hint="eastAsia" w:ascii="宋体" w:hAnsi="宋体" w:eastAsia="宋体" w:cs="宋体"/>
          <w:color w:val="auto"/>
          <w:kern w:val="0"/>
          <w:szCs w:val="21"/>
          <w:highlight w:val="none"/>
          <w:u w:val="single"/>
        </w:rPr>
        <w:t xml:space="preserve"> </w:t>
      </w:r>
    </w:p>
    <w:p w14:paraId="32C80775">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因承包人原因造成工期延误，逾期竣工违约金的上限：</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p w14:paraId="21E36690">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7.6 不利物质条件</w:t>
      </w:r>
    </w:p>
    <w:p w14:paraId="00509991">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不利物质条件的其他情形和有关约定：</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3FE7008E">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7.7异常恶劣的气候条件</w:t>
      </w:r>
    </w:p>
    <w:p w14:paraId="3F9E231A">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发包人和承包人同意以下情形视为异常恶劣的气候条件：</w:t>
      </w:r>
    </w:p>
    <w:p w14:paraId="635CB6D8">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u w:val="single"/>
        </w:rPr>
        <w:t xml:space="preserve">  风力八级以上        </w:t>
      </w:r>
    </w:p>
    <w:p w14:paraId="18D4B829">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xml:space="preserve">  暴雨天气（一日内降雨量达50mm及以上）          </w:t>
      </w:r>
    </w:p>
    <w:p w14:paraId="1E21A325">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u w:val="single"/>
        </w:rPr>
        <w:t xml:space="preserve">  大雪（日降雪量50mm及以上）天气及环境污染治理            </w:t>
      </w:r>
    </w:p>
    <w:p w14:paraId="39B00650">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7.9 提前竣工的奖励</w:t>
      </w:r>
    </w:p>
    <w:p w14:paraId="09710DAD">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7.9.2提前竣工的奖励：</w:t>
      </w:r>
      <w:r>
        <w:rPr>
          <w:rFonts w:hint="eastAsia" w:ascii="宋体" w:hAnsi="宋体" w:eastAsia="宋体" w:cs="宋体"/>
          <w:color w:val="auto"/>
          <w:kern w:val="0"/>
          <w:szCs w:val="21"/>
          <w:highlight w:val="none"/>
          <w:u w:val="single"/>
        </w:rPr>
        <w:t xml:space="preserve">          /     </w:t>
      </w:r>
    </w:p>
    <w:p w14:paraId="3FCD02BA">
      <w:pPr>
        <w:keepNext/>
        <w:keepLines/>
        <w:pageBreakBefore w:val="0"/>
        <w:kinsoku/>
        <w:wordWrap/>
        <w:overflowPunct/>
        <w:topLinePunct w:val="0"/>
        <w:bidi w:val="0"/>
        <w:spacing w:before="120" w:after="120" w:line="360" w:lineRule="auto"/>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材料与设备</w:t>
      </w:r>
    </w:p>
    <w:p w14:paraId="3ACD6193">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8.4材料与工程设备的保管与使用</w:t>
      </w:r>
    </w:p>
    <w:p w14:paraId="6B48E1E8">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u w:val="single"/>
          <w:shd w:val="clear" w:color="auto" w:fill="00FFFF"/>
        </w:rPr>
      </w:pPr>
      <w:r>
        <w:rPr>
          <w:rFonts w:hint="eastAsia" w:ascii="宋体" w:hAnsi="宋体" w:eastAsia="宋体" w:cs="宋体"/>
          <w:color w:val="auto"/>
          <w:kern w:val="0"/>
          <w:szCs w:val="21"/>
          <w:highlight w:val="none"/>
        </w:rPr>
        <w:t xml:space="preserve">    8.4.1发包人供应的材料设备的保管费用的承担：</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rPr>
        <w:t xml:space="preserve"> </w:t>
      </w:r>
    </w:p>
    <w:p w14:paraId="748CF7AD">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8.6 样品</w:t>
      </w:r>
    </w:p>
    <w:p w14:paraId="05AF37A4">
      <w:pPr>
        <w:pageBreakBefore w:val="0"/>
        <w:widowControl/>
        <w:kinsoku/>
        <w:wordWrap/>
        <w:overflowPunct/>
        <w:topLinePunct w:val="0"/>
        <w:bidi w:val="0"/>
        <w:snapToGrid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8.6.1</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样品的报送与封存</w:t>
      </w:r>
    </w:p>
    <w:p w14:paraId="7713AF14">
      <w:pPr>
        <w:pageBreakBefore w:val="0"/>
        <w:widowControl/>
        <w:kinsoku/>
        <w:wordWrap/>
        <w:overflowPunct/>
        <w:topLinePunct w:val="0"/>
        <w:bidi w:val="0"/>
        <w:spacing w:line="360" w:lineRule="auto"/>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    需要承包人报送样品的材料或工程设备，样品的种类、名称、规格、数量要求：</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 xml:space="preserve">承包人按设计图纸和有关标准要求采购所需的材料，需至少提前15天向发包人和监理提供样品，经发包人和监理认可后方可进场，承包人对进场后的材料负责保管，若有丢失和损坏，由承包人承担所有损失。  </w:t>
      </w:r>
    </w:p>
    <w:p w14:paraId="287CEF30">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8.8 施工设备和临时设施</w:t>
      </w:r>
    </w:p>
    <w:p w14:paraId="176602CD">
      <w:pPr>
        <w:pageBreakBefore w:val="0"/>
        <w:widowControl/>
        <w:kinsoku/>
        <w:wordWrap/>
        <w:overflowPunct/>
        <w:topLinePunct w:val="0"/>
        <w:bidi w:val="0"/>
        <w:snapToGrid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8.8.1 承包人提供的施工设备和临时设施</w:t>
      </w:r>
    </w:p>
    <w:p w14:paraId="4D198E56">
      <w:pPr>
        <w:pageBreakBefore w:val="0"/>
        <w:widowControl/>
        <w:kinsoku/>
        <w:wordWrap/>
        <w:overflowPunct/>
        <w:topLinePunct w:val="0"/>
        <w:bidi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关于修建临时设施费用承担的约定：</w:t>
      </w:r>
      <w:r>
        <w:rPr>
          <w:rFonts w:hint="eastAsia" w:ascii="宋体" w:hAnsi="宋体" w:eastAsia="宋体" w:cs="宋体"/>
          <w:color w:val="auto"/>
          <w:kern w:val="0"/>
          <w:szCs w:val="21"/>
          <w:highlight w:val="none"/>
          <w:u w:val="single"/>
        </w:rPr>
        <w:t xml:space="preserve">   承包人承担      </w:t>
      </w:r>
    </w:p>
    <w:p w14:paraId="02DBAD41">
      <w:pPr>
        <w:keepNext/>
        <w:keepLines/>
        <w:pageBreakBefore w:val="0"/>
        <w:kinsoku/>
        <w:wordWrap/>
        <w:overflowPunct/>
        <w:topLinePunct w:val="0"/>
        <w:bidi w:val="0"/>
        <w:spacing w:before="120" w:after="120" w:line="360" w:lineRule="auto"/>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9. 试验与检验</w:t>
      </w:r>
    </w:p>
    <w:p w14:paraId="4EF0BA66">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9.1试验设备与试验人员</w:t>
      </w:r>
    </w:p>
    <w:p w14:paraId="52E674E0">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9.1.2 试验设备</w:t>
      </w:r>
    </w:p>
    <w:p w14:paraId="027714F7">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施工现场需要配置的试验场所：</w:t>
      </w:r>
      <w:r>
        <w:rPr>
          <w:rFonts w:hint="eastAsia" w:ascii="宋体" w:hAnsi="宋体" w:eastAsia="宋体" w:cs="宋体"/>
          <w:color w:val="auto"/>
          <w:kern w:val="0"/>
          <w:szCs w:val="21"/>
          <w:highlight w:val="none"/>
          <w:u w:val="single"/>
        </w:rPr>
        <w:t xml:space="preserve"> 由承包人根据需要自行承担，该费用已包含在合同总价款中  </w:t>
      </w:r>
      <w:r>
        <w:rPr>
          <w:rFonts w:hint="eastAsia" w:ascii="宋体" w:hAnsi="宋体" w:eastAsia="宋体" w:cs="宋体"/>
          <w:color w:val="auto"/>
          <w:kern w:val="0"/>
          <w:szCs w:val="21"/>
          <w:highlight w:val="none"/>
        </w:rPr>
        <w:t xml:space="preserve"> </w:t>
      </w:r>
    </w:p>
    <w:p w14:paraId="19DDD1B4">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施工现场需要配备的试验设备：</w:t>
      </w:r>
      <w:r>
        <w:rPr>
          <w:rFonts w:hint="eastAsia" w:ascii="宋体" w:hAnsi="宋体" w:eastAsia="宋体" w:cs="宋体"/>
          <w:color w:val="auto"/>
          <w:kern w:val="0"/>
          <w:szCs w:val="21"/>
          <w:highlight w:val="none"/>
          <w:u w:val="single"/>
        </w:rPr>
        <w:t xml:space="preserve"> 由承包人根据需要自行承担，该费用已包含在合同总价款中 </w:t>
      </w:r>
    </w:p>
    <w:p w14:paraId="70EB9C18">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施工现场需要具备的其他试验条件：</w:t>
      </w:r>
      <w:r>
        <w:rPr>
          <w:rFonts w:hint="eastAsia" w:ascii="宋体" w:hAnsi="宋体" w:eastAsia="宋体" w:cs="宋体"/>
          <w:color w:val="auto"/>
          <w:kern w:val="0"/>
          <w:szCs w:val="21"/>
          <w:highlight w:val="none"/>
          <w:u w:val="single"/>
        </w:rPr>
        <w:t xml:space="preserve"> 由承包人根据需要自行承担，该费用已包含在合同总价款中 </w:t>
      </w:r>
    </w:p>
    <w:p w14:paraId="38C06B1D">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现场工艺试验 </w:t>
      </w:r>
    </w:p>
    <w:p w14:paraId="3296A546">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现场工艺试验的有关约定：</w:t>
      </w:r>
      <w:r>
        <w:rPr>
          <w:rFonts w:hint="eastAsia" w:ascii="宋体" w:hAnsi="宋体" w:eastAsia="宋体" w:cs="宋体"/>
          <w:color w:val="auto"/>
          <w:kern w:val="0"/>
          <w:szCs w:val="21"/>
          <w:highlight w:val="none"/>
          <w:u w:val="single"/>
        </w:rPr>
        <w:t xml:space="preserve">   根据施工组织设计执行   </w:t>
      </w:r>
    </w:p>
    <w:p w14:paraId="68598C86">
      <w:pPr>
        <w:keepNext/>
        <w:keepLines/>
        <w:pageBreakBefore w:val="0"/>
        <w:kinsoku/>
        <w:wordWrap/>
        <w:overflowPunct/>
        <w:topLinePunct w:val="0"/>
        <w:bidi w:val="0"/>
        <w:spacing w:before="120" w:after="120" w:line="360" w:lineRule="auto"/>
        <w:outlineLvl w:val="3"/>
        <w:rPr>
          <w:rFonts w:hint="eastAsia" w:ascii="宋体" w:hAnsi="宋体" w:eastAsia="宋体" w:cs="宋体"/>
          <w:color w:val="auto"/>
          <w:szCs w:val="21"/>
          <w:highlight w:val="none"/>
        </w:rPr>
      </w:pPr>
      <w:bookmarkStart w:id="420" w:name="_Toc351203646"/>
      <w:bookmarkStart w:id="421" w:name="_Toc267251474"/>
      <w:bookmarkStart w:id="422" w:name="_Toc267251470"/>
      <w:bookmarkStart w:id="423" w:name="_Toc267251476"/>
      <w:bookmarkStart w:id="424" w:name="_Toc267251475"/>
      <w:bookmarkStart w:id="425" w:name="_Toc267251473"/>
      <w:bookmarkStart w:id="426" w:name="_Toc280868709"/>
      <w:bookmarkStart w:id="427" w:name="_Toc267251471"/>
      <w:bookmarkStart w:id="428" w:name="_Toc267251472"/>
      <w:r>
        <w:rPr>
          <w:rFonts w:hint="eastAsia" w:ascii="宋体" w:hAnsi="宋体" w:eastAsia="宋体" w:cs="宋体"/>
          <w:color w:val="auto"/>
          <w:szCs w:val="21"/>
          <w:highlight w:val="none"/>
        </w:rPr>
        <w:t>10. 变更</w:t>
      </w:r>
    </w:p>
    <w:p w14:paraId="1BB6090E">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10.1变更的范围</w:t>
      </w:r>
    </w:p>
    <w:p w14:paraId="17FBC22D">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关于变更的范围的约定：</w:t>
      </w:r>
      <w:r>
        <w:rPr>
          <w:rFonts w:hint="eastAsia" w:ascii="宋体" w:hAnsi="宋体" w:eastAsia="宋体" w:cs="宋体"/>
          <w:color w:val="auto"/>
          <w:kern w:val="0"/>
          <w:szCs w:val="21"/>
          <w:highlight w:val="none"/>
          <w:u w:val="single"/>
        </w:rPr>
        <w:t xml:space="preserve">        /             </w:t>
      </w:r>
    </w:p>
    <w:p w14:paraId="59C5F3FD">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p>
    <w:p w14:paraId="48851409">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10.4 变更估价</w:t>
      </w:r>
    </w:p>
    <w:p w14:paraId="27F78D2B">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10.4.1 变更估价原则</w:t>
      </w:r>
    </w:p>
    <w:p w14:paraId="767FC8D4">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关于变更估价的约定: </w:t>
      </w:r>
      <w:r>
        <w:rPr>
          <w:rFonts w:hint="eastAsia" w:ascii="宋体" w:hAnsi="宋体" w:eastAsia="宋体" w:cs="宋体"/>
          <w:color w:val="auto"/>
          <w:kern w:val="0"/>
          <w:szCs w:val="21"/>
          <w:highlight w:val="none"/>
          <w:u w:val="single"/>
        </w:rPr>
        <w:t xml:space="preserve"> ①合同中有相同或类似工程项目单价的，可以参照合同中相同或类似项目的综合单价计算确定。</w:t>
      </w:r>
    </w:p>
    <w:p w14:paraId="02ADBC80">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②合同中没有类似工程项目综合单价的，由承包人根据合同中约定的组价原则或参考“计价依据”提出适当的单价，经发包人或其委托的工程造价咨询单位审定后，作为结算的依据。</w:t>
      </w:r>
    </w:p>
    <w:p w14:paraId="51BD85ED">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③变更部分的结算价执行承包人投标时的报价。</w:t>
      </w:r>
    </w:p>
    <w:p w14:paraId="2EF97768">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以上重新组价的综合单价不能高于按河南省和焦作市现行工程造价计价规则和计价依据规定计算的价格。</w:t>
      </w:r>
    </w:p>
    <w:p w14:paraId="7E05C5F4">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fldChar w:fldCharType="begin"/>
      </w:r>
      <w:r>
        <w:rPr>
          <w:rFonts w:hint="eastAsia" w:ascii="宋体" w:hAnsi="宋体" w:eastAsia="宋体" w:cs="宋体"/>
          <w:color w:val="auto"/>
          <w:kern w:val="0"/>
          <w:szCs w:val="21"/>
          <w:highlight w:val="none"/>
          <w:u w:val="single"/>
        </w:rPr>
        <w:instrText xml:space="preserve"> eq \o\ac(</w:instrText>
      </w:r>
      <w:r>
        <w:rPr>
          <w:rFonts w:hint="eastAsia" w:ascii="宋体" w:hAnsi="宋体" w:eastAsia="宋体" w:cs="宋体"/>
          <w:color w:val="auto"/>
          <w:kern w:val="0"/>
          <w:position w:val="-4"/>
          <w:sz w:val="31"/>
          <w:szCs w:val="21"/>
          <w:highlight w:val="none"/>
          <w:u w:val="single"/>
        </w:rPr>
        <w:instrText xml:space="preserve">○</w:instrText>
      </w:r>
      <w:r>
        <w:rPr>
          <w:rFonts w:hint="eastAsia" w:ascii="宋体" w:hAnsi="宋体" w:eastAsia="宋体" w:cs="宋体"/>
          <w:color w:val="auto"/>
          <w:kern w:val="0"/>
          <w:szCs w:val="21"/>
          <w:highlight w:val="none"/>
          <w:u w:val="single"/>
        </w:rPr>
        <w:instrText xml:space="preserve">,</w:instrText>
      </w:r>
      <w:r>
        <w:rPr>
          <w:rFonts w:hint="eastAsia" w:ascii="宋体" w:hAnsi="宋体" w:eastAsia="宋体" w:cs="宋体"/>
          <w:color w:val="auto"/>
          <w:kern w:val="0"/>
          <w:szCs w:val="21"/>
          <w:highlight w:val="none"/>
        </w:rPr>
        <w:instrText xml:space="preserve">4</w:instrText>
      </w:r>
      <w:r>
        <w:rPr>
          <w:rFonts w:hint="eastAsia" w:ascii="宋体" w:hAnsi="宋体" w:eastAsia="宋体" w:cs="宋体"/>
          <w:color w:val="auto"/>
          <w:kern w:val="0"/>
          <w:szCs w:val="21"/>
          <w:highlight w:val="none"/>
          <w:u w:val="single"/>
        </w:rPr>
        <w:instrText xml:space="preserve">)</w:instrText>
      </w:r>
      <w:r>
        <w:rPr>
          <w:rFonts w:hint="eastAsia" w:ascii="宋体" w:hAnsi="宋体" w:eastAsia="宋体" w:cs="宋体"/>
          <w:color w:val="auto"/>
          <w:kern w:val="0"/>
          <w:szCs w:val="21"/>
          <w:highlight w:val="none"/>
          <w:u w:val="single"/>
        </w:rPr>
        <w:fldChar w:fldCharType="end"/>
      </w:r>
      <w:r>
        <w:rPr>
          <w:rFonts w:hint="eastAsia" w:ascii="宋体" w:hAnsi="宋体" w:eastAsia="宋体" w:cs="宋体"/>
          <w:color w:val="auto"/>
          <w:kern w:val="0"/>
          <w:szCs w:val="21"/>
          <w:highlight w:val="none"/>
          <w:u w:val="single"/>
        </w:rPr>
        <w:t>重新组价的优惠率:若参照河南省预算定额</w:t>
      </w:r>
      <w:r>
        <w:rPr>
          <w:rFonts w:hint="eastAsia" w:ascii="宋体" w:hAnsi="宋体" w:cs="宋体"/>
          <w:color w:val="auto"/>
          <w:kern w:val="0"/>
          <w:szCs w:val="21"/>
          <w:highlight w:val="none"/>
          <w:u w:val="single"/>
          <w:lang w:val="en-US" w:eastAsia="zh-CN"/>
        </w:rPr>
        <w:t>25</w:t>
      </w:r>
      <w:r>
        <w:rPr>
          <w:rFonts w:hint="eastAsia" w:ascii="宋体" w:hAnsi="宋体" w:eastAsia="宋体" w:cs="宋体"/>
          <w:color w:val="auto"/>
          <w:kern w:val="0"/>
          <w:szCs w:val="21"/>
          <w:highlight w:val="none"/>
          <w:u w:val="single"/>
        </w:rPr>
        <w:t>版组价,优惠率取5%和中标价/招标控制价中的较大值。</w:t>
      </w:r>
    </w:p>
    <w:p w14:paraId="78AA5D67">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10.5承包人的合理化建议</w:t>
      </w:r>
    </w:p>
    <w:p w14:paraId="7A9FA5CC">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监理人审查承包人合理化建议的期限：</w:t>
      </w:r>
      <w:r>
        <w:rPr>
          <w:rFonts w:hint="eastAsia" w:ascii="宋体" w:hAnsi="宋体" w:eastAsia="宋体" w:cs="宋体"/>
          <w:color w:val="auto"/>
          <w:kern w:val="0"/>
          <w:szCs w:val="21"/>
          <w:highlight w:val="none"/>
          <w:u w:val="single"/>
        </w:rPr>
        <w:t xml:space="preserve">   48小时       </w:t>
      </w:r>
    </w:p>
    <w:p w14:paraId="738DC4C8">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发包人审批承包人合理化建议的期限：</w:t>
      </w:r>
      <w:r>
        <w:rPr>
          <w:rFonts w:hint="eastAsia" w:ascii="宋体" w:hAnsi="宋体" w:eastAsia="宋体" w:cs="宋体"/>
          <w:color w:val="auto"/>
          <w:kern w:val="0"/>
          <w:szCs w:val="21"/>
          <w:highlight w:val="none"/>
          <w:u w:val="single"/>
        </w:rPr>
        <w:t xml:space="preserve">    48小时     </w:t>
      </w:r>
    </w:p>
    <w:p w14:paraId="52311B6C">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承包人提出的合理化建议降低了合同价格或者提高了工程经济效益的奖励的方法和金额为：</w:t>
      </w:r>
      <w:r>
        <w:rPr>
          <w:rFonts w:hint="eastAsia" w:ascii="宋体" w:hAnsi="宋体" w:eastAsia="宋体" w:cs="宋体"/>
          <w:color w:val="auto"/>
          <w:kern w:val="0"/>
          <w:szCs w:val="21"/>
          <w:highlight w:val="none"/>
          <w:u w:val="single"/>
        </w:rPr>
        <w:t xml:space="preserve">      /     </w:t>
      </w:r>
    </w:p>
    <w:p w14:paraId="015FE404">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10.7 暂估价</w:t>
      </w:r>
    </w:p>
    <w:p w14:paraId="4B5F445C">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暂估价材料和工程设备的明细详见附件11：《暂估价一览表》。</w:t>
      </w:r>
    </w:p>
    <w:p w14:paraId="568D0C6D">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10.7.1 依法必须招标的暂估价项目</w:t>
      </w:r>
    </w:p>
    <w:p w14:paraId="1A28F680">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对于依法必须招标的暂估价项目的确认和批准采取第</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种方式确定。</w:t>
      </w:r>
    </w:p>
    <w:p w14:paraId="3131A171">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10.7.2 不属于依法必须招标的暂估价项目</w:t>
      </w:r>
    </w:p>
    <w:p w14:paraId="6606667B">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对于不属于依法必须招标的暂估价项目的确认和批准采取第</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种方式确定。</w:t>
      </w:r>
    </w:p>
    <w:p w14:paraId="3D32C78F">
      <w:pPr>
        <w:widowControl/>
        <w:spacing w:line="360" w:lineRule="auto"/>
        <w:ind w:firstLine="6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第1种方式：对于不属于依法必须招标的暂估价项目，按本项约定确认和批准：</w:t>
      </w:r>
    </w:p>
    <w:p w14:paraId="52C602D8">
      <w:pPr>
        <w:widowControl/>
        <w:spacing w:line="360" w:lineRule="auto"/>
        <w:ind w:firstLine="6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7E816C9">
      <w:pPr>
        <w:widowControl/>
        <w:spacing w:line="360" w:lineRule="auto"/>
        <w:ind w:firstLine="6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（2）发包人认为承包人确定的供应商、分包人无法满足工程质量或合同要求的，发包人可以要求承包人重新确定暂估价项目的供应商、分包人</w:t>
      </w:r>
      <w:r>
        <w:rPr>
          <w:rFonts w:hint="eastAsia" w:ascii="宋体" w:hAnsi="宋体" w:cs="宋体"/>
          <w:color w:val="auto"/>
          <w:kern w:val="0"/>
          <w:szCs w:val="21"/>
          <w:highlight w:val="none"/>
          <w:lang w:eastAsia="zh-CN"/>
        </w:rPr>
        <w:t>；</w:t>
      </w:r>
    </w:p>
    <w:p w14:paraId="6DB56C7F">
      <w:pPr>
        <w:widowControl/>
        <w:spacing w:line="360" w:lineRule="auto"/>
        <w:ind w:firstLine="6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（3）承包人应当在签订暂估价合同后7天内，将暂估价合同副本报送发包人留存。</w:t>
      </w:r>
    </w:p>
    <w:p w14:paraId="01C99AF8">
      <w:pPr>
        <w:widowControl/>
        <w:spacing w:line="360" w:lineRule="auto"/>
        <w:ind w:firstLine="6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第2种方式：承包人按照第10.7.1项〔依法必须招标的暂估价项目〕约定的第1种方式确定暂估价项目。</w:t>
      </w:r>
    </w:p>
    <w:p w14:paraId="0BD9A85A">
      <w:pPr>
        <w:widowControl/>
        <w:spacing w:line="360" w:lineRule="auto"/>
        <w:ind w:firstLine="6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第3种方式：承包人直接实施的暂估价项目</w:t>
      </w:r>
    </w:p>
    <w:p w14:paraId="2E097507">
      <w:pPr>
        <w:widowControl/>
        <w:spacing w:line="360" w:lineRule="auto"/>
        <w:ind w:firstLine="6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14:paraId="71376E70">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承包人直接实施的暂估价项目的约定：</w:t>
      </w:r>
      <w:r>
        <w:rPr>
          <w:rFonts w:hint="eastAsia" w:ascii="宋体" w:hAnsi="宋体" w:eastAsia="宋体" w:cs="宋体"/>
          <w:color w:val="auto"/>
          <w:kern w:val="0"/>
          <w:szCs w:val="21"/>
          <w:highlight w:val="none"/>
          <w:u w:val="single"/>
        </w:rPr>
        <w:t xml:space="preserve"> 另行约定     </w:t>
      </w:r>
    </w:p>
    <w:p w14:paraId="1FA1FF1A">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10.8 暂列金额</w:t>
      </w:r>
    </w:p>
    <w:p w14:paraId="1266D4D7">
      <w:pPr>
        <w:pageBreakBefore w:val="0"/>
        <w:widowControl/>
        <w:kinsoku/>
        <w:wordWrap/>
        <w:overflowPunct/>
        <w:topLinePunct w:val="0"/>
        <w:bidi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    合同当事人关于暂列金额使用的约定：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 xml:space="preserve">暂列金额归发包人所有，工程中发生时使用  </w:t>
      </w:r>
    </w:p>
    <w:p w14:paraId="43D5F425">
      <w:pPr>
        <w:keepNext/>
        <w:keepLines/>
        <w:pageBreakBefore w:val="0"/>
        <w:kinsoku/>
        <w:wordWrap/>
        <w:overflowPunct/>
        <w:topLinePunct w:val="0"/>
        <w:bidi w:val="0"/>
        <w:spacing w:before="120" w:after="120" w:line="360" w:lineRule="auto"/>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价格调整</w:t>
      </w:r>
    </w:p>
    <w:p w14:paraId="54D832BB">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 市场价格波动引起的调整</w:t>
      </w:r>
    </w:p>
    <w:p w14:paraId="59A29F51">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eastAsia="宋体" w:cs="宋体"/>
          <w:color w:val="auto"/>
          <w:kern w:val="0"/>
          <w:szCs w:val="21"/>
          <w:highlight w:val="none"/>
          <w:u w:val="single"/>
        </w:rPr>
        <w:t xml:space="preserve">  调整  </w:t>
      </w:r>
    </w:p>
    <w:p w14:paraId="33B3C726">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因市场价格波动调整合同价格，采用以下第</w:t>
      </w:r>
      <w:r>
        <w:rPr>
          <w:rFonts w:hint="eastAsia" w:ascii="宋体" w:hAnsi="宋体" w:eastAsia="宋体" w:cs="宋体"/>
          <w:color w:val="auto"/>
          <w:kern w:val="0"/>
          <w:szCs w:val="21"/>
          <w:highlight w:val="none"/>
          <w:u w:val="single"/>
        </w:rPr>
        <w:t xml:space="preserve">    3  </w:t>
      </w:r>
      <w:r>
        <w:rPr>
          <w:rFonts w:hint="eastAsia" w:ascii="宋体" w:hAnsi="宋体" w:eastAsia="宋体" w:cs="宋体"/>
          <w:color w:val="auto"/>
          <w:kern w:val="0"/>
          <w:szCs w:val="21"/>
          <w:highlight w:val="none"/>
        </w:rPr>
        <w:t>种方式对合同价格进行调整：</w:t>
      </w:r>
    </w:p>
    <w:p w14:paraId="4204FFC0">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第1种方式：采用价格指数进行价格调整。</w:t>
      </w:r>
    </w:p>
    <w:p w14:paraId="3995DCD7">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关于各可调因子、定值和变值权重，以及基本价格指数及其来源的约定：</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 xml:space="preserve">；  </w:t>
      </w:r>
    </w:p>
    <w:p w14:paraId="3540E8AE">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第2种方式：采用造价信息进行价格调整。</w:t>
      </w:r>
    </w:p>
    <w:p w14:paraId="4CD4F1B8">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（2）关于基准价格的约定：</w:t>
      </w:r>
      <w:r>
        <w:rPr>
          <w:rFonts w:hint="eastAsia" w:ascii="宋体" w:hAnsi="宋体" w:eastAsia="宋体" w:cs="宋体"/>
          <w:color w:val="auto"/>
          <w:kern w:val="0"/>
          <w:szCs w:val="21"/>
          <w:highlight w:val="none"/>
          <w:u w:val="single"/>
        </w:rPr>
        <w:t xml:space="preserve">     / .</w:t>
      </w:r>
    </w:p>
    <w:p w14:paraId="75E11B9D">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%时，或材料单价跌幅以已标价工程量清单或预算书中载明材料单价为基础超过</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%时，其超过部分据实调整。</w:t>
      </w:r>
    </w:p>
    <w:p w14:paraId="224334DB">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%时，材料单价涨幅以已标价工程量清单或预算书中载明材料单价为基础超过</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%时，其超过部分据实调整。</w:t>
      </w:r>
    </w:p>
    <w:p w14:paraId="687DCCDF">
      <w:pPr>
        <w:pageBreakBefore w:val="0"/>
        <w:widowControl/>
        <w:kinsoku/>
        <w:wordWrap/>
        <w:overflowPunct/>
        <w:topLinePunct w:val="0"/>
        <w:bidi w:val="0"/>
        <w:spacing w:line="360" w:lineRule="auto"/>
        <w:ind w:firstLine="64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%时，其超过部分据实调整。</w:t>
      </w:r>
    </w:p>
    <w:p w14:paraId="2F198A16">
      <w:pPr>
        <w:pageBreakBefore w:val="0"/>
        <w:widowControl/>
        <w:kinsoku/>
        <w:wordWrap/>
        <w:overflowPunct/>
        <w:topLinePunct w:val="0"/>
        <w:bidi w:val="0"/>
        <w:spacing w:line="360" w:lineRule="auto"/>
        <w:ind w:firstLine="64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第3种方式：其他价格调整方式：</w:t>
      </w:r>
    </w:p>
    <w:p w14:paraId="6ECAA21D">
      <w:pPr>
        <w:pageBreakBefore w:val="0"/>
        <w:widowControl/>
        <w:kinsoku/>
        <w:wordWrap/>
        <w:overflowPunct/>
        <w:topLinePunct w:val="0"/>
        <w:bidi w:val="0"/>
        <w:spacing w:line="360" w:lineRule="auto"/>
        <w:ind w:firstLine="64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１、可调价材料</w:t>
      </w:r>
    </w:p>
    <w:p w14:paraId="6F5F05C3">
      <w:pPr>
        <w:pageBreakBefore w:val="0"/>
        <w:widowControl/>
        <w:kinsoku/>
        <w:wordWrap/>
        <w:overflowPunct/>
        <w:topLinePunct w:val="0"/>
        <w:bidi w:val="0"/>
        <w:spacing w:line="360" w:lineRule="auto"/>
        <w:ind w:firstLine="64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（１）基准价格以《焦作市标准造价信息》202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年第</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期不含税价格为准。</w:t>
      </w:r>
    </w:p>
    <w:p w14:paraId="47672BED">
      <w:pPr>
        <w:pageBreakBefore w:val="0"/>
        <w:widowControl/>
        <w:kinsoku/>
        <w:wordWrap/>
        <w:overflowPunct/>
        <w:topLinePunct w:val="0"/>
        <w:bidi w:val="0"/>
        <w:spacing w:line="360" w:lineRule="auto"/>
        <w:ind w:firstLine="64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（2）可调价材料为钢材、窗、水泥、砂、石、砌块、混凝土、预拌砂浆、混凝土（或水泥）预制构配件、电缆、电线。</w:t>
      </w:r>
    </w:p>
    <w:p w14:paraId="335B2D09">
      <w:pPr>
        <w:pageBreakBefore w:val="0"/>
        <w:widowControl/>
        <w:kinsoku/>
        <w:wordWrap/>
        <w:overflowPunct/>
        <w:topLinePunct w:val="0"/>
        <w:bidi w:val="0"/>
        <w:spacing w:line="360" w:lineRule="auto"/>
        <w:ind w:firstLine="64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（3）施工期《焦作市标准造价信息》中可调价材料不含税价格与基准价格相比，若价格变动幅度在±5%（含±5%）以内时不予调整；价格变动幅度在±5%以外时，对超出±5%以上部分，予以调整。          </w:t>
      </w:r>
    </w:p>
    <w:p w14:paraId="61A7D3BD">
      <w:pPr>
        <w:pageBreakBefore w:val="0"/>
        <w:widowControl/>
        <w:kinsoku/>
        <w:wordWrap/>
        <w:overflowPunct/>
        <w:topLinePunct w:val="0"/>
        <w:bidi w:val="0"/>
        <w:spacing w:line="360" w:lineRule="auto"/>
        <w:ind w:firstLine="64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非因发包人原因致工期逾期，逾期期间，如以上材料价格下降，据以上价格调差原则调整合同价款，如遇材料价格上涨，则不予调整，仍执行原合同价。</w:t>
      </w:r>
    </w:p>
    <w:p w14:paraId="1BC22A1A">
      <w:pPr>
        <w:pageBreakBefore w:val="0"/>
        <w:widowControl/>
        <w:kinsoku/>
        <w:wordWrap/>
        <w:overflowPunct/>
        <w:topLinePunct w:val="0"/>
        <w:bidi w:val="0"/>
        <w:spacing w:line="360" w:lineRule="auto"/>
        <w:ind w:firstLine="64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２、不调价材料</w:t>
      </w:r>
    </w:p>
    <w:p w14:paraId="3D848AE0">
      <w:pPr>
        <w:pageBreakBefore w:val="0"/>
        <w:widowControl/>
        <w:kinsoku/>
        <w:wordWrap/>
        <w:overflowPunct/>
        <w:topLinePunct w:val="0"/>
        <w:bidi w:val="0"/>
        <w:spacing w:line="360" w:lineRule="auto"/>
        <w:ind w:firstLine="64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其余材料在施工过程和结算时均不进行价格调整。投标人在满足图纸文件技术要求的基础上自主报价。《焦作市标准造价信息》202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年第</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期没有的按市场询价计入。</w:t>
      </w:r>
    </w:p>
    <w:p w14:paraId="3444CF40">
      <w:pPr>
        <w:pageBreakBefore w:val="0"/>
        <w:widowControl/>
        <w:kinsoku/>
        <w:wordWrap/>
        <w:overflowPunct/>
        <w:topLinePunct w:val="0"/>
        <w:bidi w:val="0"/>
        <w:spacing w:line="360" w:lineRule="auto"/>
        <w:ind w:firstLine="645"/>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12. 合同价格、计量与支付</w:t>
      </w:r>
    </w:p>
    <w:p w14:paraId="51DA240E">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合同价格形式</w:t>
      </w:r>
    </w:p>
    <w:p w14:paraId="313139DF">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1、单价合同。</w:t>
      </w:r>
    </w:p>
    <w:p w14:paraId="3C4215BC">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综合单价包含的风险范围：</w:t>
      </w:r>
      <w:r>
        <w:rPr>
          <w:rFonts w:hint="eastAsia" w:ascii="宋体" w:hAnsi="宋体" w:eastAsia="宋体" w:cs="宋体"/>
          <w:color w:val="auto"/>
          <w:kern w:val="0"/>
          <w:szCs w:val="21"/>
          <w:highlight w:val="none"/>
          <w:u w:val="single"/>
        </w:rPr>
        <w:t xml:space="preserve">  各种因素引起的材料（指专用条款11.1以外的材料）价格、施工机械使用费、管理费、利润等变化及风险因素；非承包人原因，停水、停电、二次搬运、施工场地不足、成品保护等可能出现因素影响施工所增加的费用。        </w:t>
      </w:r>
    </w:p>
    <w:p w14:paraId="69B61F39">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风险费用的计算方法：</w:t>
      </w:r>
      <w:r>
        <w:rPr>
          <w:rFonts w:hint="eastAsia" w:ascii="宋体" w:hAnsi="宋体" w:eastAsia="宋体" w:cs="宋体"/>
          <w:color w:val="auto"/>
          <w:kern w:val="0"/>
          <w:szCs w:val="21"/>
          <w:highlight w:val="none"/>
          <w:u w:val="single"/>
        </w:rPr>
        <w:t xml:space="preserve"> 承包人已综合考虑到签约合同总价款中 </w:t>
      </w:r>
    </w:p>
    <w:p w14:paraId="21E755E4">
      <w:pPr>
        <w:pageBreakBefore w:val="0"/>
        <w:widowControl/>
        <w:kinsoku/>
        <w:wordWrap/>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风险范围以外合同价格的调整方法：</w:t>
      </w:r>
      <w:r>
        <w:rPr>
          <w:rFonts w:hint="eastAsia" w:ascii="宋体" w:hAnsi="宋体" w:eastAsia="宋体" w:cs="宋体"/>
          <w:color w:val="auto"/>
          <w:kern w:val="0"/>
          <w:szCs w:val="21"/>
          <w:highlight w:val="none"/>
          <w:u w:val="single"/>
        </w:rPr>
        <w:t xml:space="preserve"> 变更：见专用合同条款第10款约定  </w:t>
      </w:r>
    </w:p>
    <w:p w14:paraId="2AC4429E">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2、总价合同。</w:t>
      </w:r>
    </w:p>
    <w:p w14:paraId="0E1D38D7">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总价包含的风险范围：</w:t>
      </w:r>
      <w:r>
        <w:rPr>
          <w:rFonts w:hint="eastAsia" w:ascii="宋体" w:hAnsi="宋体" w:eastAsia="宋体" w:cs="宋体"/>
          <w:color w:val="auto"/>
          <w:kern w:val="0"/>
          <w:szCs w:val="21"/>
          <w:highlight w:val="none"/>
          <w:u w:val="single"/>
        </w:rPr>
        <w:t xml:space="preserve">     /    </w:t>
      </w:r>
    </w:p>
    <w:p w14:paraId="136A6269">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风险费用的计算方法：</w:t>
      </w:r>
      <w:r>
        <w:rPr>
          <w:rFonts w:hint="eastAsia" w:ascii="宋体" w:hAnsi="宋体" w:eastAsia="宋体" w:cs="宋体"/>
          <w:color w:val="auto"/>
          <w:kern w:val="0"/>
          <w:szCs w:val="21"/>
          <w:highlight w:val="none"/>
          <w:u w:val="single"/>
        </w:rPr>
        <w:t xml:space="preserve">    /   </w:t>
      </w:r>
    </w:p>
    <w:p w14:paraId="2AD1E7B4">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风险范围以外合同价格的调整方法：</w:t>
      </w:r>
      <w:r>
        <w:rPr>
          <w:rFonts w:hint="eastAsia" w:ascii="宋体" w:hAnsi="宋体" w:eastAsia="宋体" w:cs="宋体"/>
          <w:color w:val="auto"/>
          <w:kern w:val="0"/>
          <w:szCs w:val="21"/>
          <w:highlight w:val="none"/>
          <w:u w:val="single"/>
        </w:rPr>
        <w:t xml:space="preserve">    /    </w:t>
      </w:r>
    </w:p>
    <w:p w14:paraId="577BD8FD">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3、其他价格方式：</w:t>
      </w:r>
      <w:r>
        <w:rPr>
          <w:rFonts w:hint="eastAsia" w:ascii="宋体" w:hAnsi="宋体" w:eastAsia="宋体" w:cs="宋体"/>
          <w:color w:val="auto"/>
          <w:kern w:val="0"/>
          <w:szCs w:val="21"/>
          <w:highlight w:val="none"/>
          <w:u w:val="single"/>
        </w:rPr>
        <w:t xml:space="preserve">   /     </w:t>
      </w:r>
    </w:p>
    <w:p w14:paraId="4A316ED6">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预付款</w:t>
      </w:r>
    </w:p>
    <w:p w14:paraId="012FE35D">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12.2.1 预付款的支付</w:t>
      </w:r>
    </w:p>
    <w:p w14:paraId="58C85013">
      <w:pPr>
        <w:pageBreakBefore w:val="0"/>
        <w:widowControl/>
        <w:kinsoku/>
        <w:wordWrap/>
        <w:overflowPunct/>
        <w:topLinePunct w:val="0"/>
        <w:bidi w:val="0"/>
        <w:spacing w:line="360" w:lineRule="auto"/>
        <w:ind w:left="596" w:leftChars="284"/>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预付款支付比例或金额：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0FDE0C4C">
      <w:pPr>
        <w:pageBreakBefore w:val="0"/>
        <w:widowControl/>
        <w:kinsoku/>
        <w:wordWrap/>
        <w:overflowPunct/>
        <w:topLinePunct w:val="0"/>
        <w:bidi w:val="0"/>
        <w:spacing w:line="360" w:lineRule="auto"/>
        <w:ind w:left="596" w:leftChars="28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预付款支付期限：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5A2DD235">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预付款扣回的方式：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400030D5">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12.2.2 预付款担保</w:t>
      </w:r>
    </w:p>
    <w:p w14:paraId="27EA4B62">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承包人提交预付款担保的期限：</w:t>
      </w:r>
      <w:r>
        <w:rPr>
          <w:rFonts w:hint="eastAsia" w:ascii="宋体" w:hAnsi="宋体" w:eastAsia="宋体" w:cs="宋体"/>
          <w:color w:val="auto"/>
          <w:kern w:val="0"/>
          <w:szCs w:val="21"/>
          <w:highlight w:val="none"/>
          <w:u w:val="single"/>
        </w:rPr>
        <w:t xml:space="preserve">  /     </w:t>
      </w:r>
    </w:p>
    <w:p w14:paraId="32450C99">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预付款担保的形式为：</w:t>
      </w:r>
      <w:r>
        <w:rPr>
          <w:rFonts w:hint="eastAsia" w:ascii="宋体" w:hAnsi="宋体" w:eastAsia="宋体" w:cs="宋体"/>
          <w:color w:val="auto"/>
          <w:kern w:val="0"/>
          <w:szCs w:val="21"/>
          <w:highlight w:val="none"/>
          <w:u w:val="single"/>
        </w:rPr>
        <w:t xml:space="preserve">    /     </w:t>
      </w:r>
    </w:p>
    <w:p w14:paraId="118BE647">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计量</w:t>
      </w:r>
    </w:p>
    <w:p w14:paraId="3B618D97">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0C57F175">
      <w:pPr>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工程量计算</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rPr>
        <w:t>《建设工程工程量清单计价标准》（GB/T 50500-2024）、《房屋建筑与装饰工程工程量计算标准》（GB/T 50854-2024）</w:t>
      </w:r>
      <w:r>
        <w:rPr>
          <w:rFonts w:hint="eastAsia" w:ascii="宋体" w:hAnsi="宋体" w:eastAsia="宋体" w:cs="宋体"/>
          <w:color w:val="auto"/>
          <w:kern w:val="0"/>
          <w:szCs w:val="21"/>
          <w:highlight w:val="none"/>
          <w:u w:val="single"/>
        </w:rPr>
        <w:t xml:space="preserve">   </w:t>
      </w:r>
    </w:p>
    <w:p w14:paraId="2244D01C">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6EB4C328">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关于计量周期的约定：</w:t>
      </w:r>
      <w:r>
        <w:rPr>
          <w:rFonts w:hint="eastAsia" w:ascii="宋体" w:hAnsi="宋体" w:eastAsia="宋体" w:cs="宋体"/>
          <w:color w:val="auto"/>
          <w:kern w:val="0"/>
          <w:szCs w:val="21"/>
          <w:highlight w:val="none"/>
          <w:u w:val="single"/>
        </w:rPr>
        <w:t xml:space="preserve">  按照付款节点计量，但不作为结算的依据 。</w:t>
      </w:r>
    </w:p>
    <w:p w14:paraId="031D8061">
      <w:pPr>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按约定的计量节点，向监理人提交已完工程量的报告。监理人接到报告后核实已完工程数量，并在计量24小时前通知承包人，承包人为计量提供便利条件并派人参加，并同时应通知发包人。承包人无正当理由不参加计量，监理人自行进行，计量结果视为有效，作为工程价款支付的依据。监理人不按约定时间通知承包人，使承包人不能参加计量，计量结果无效。</w:t>
      </w:r>
    </w:p>
    <w:p w14:paraId="64A3245F">
      <w:pPr>
        <w:pageBreakBefore w:val="0"/>
        <w:kinsoku/>
        <w:wordWrap/>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有下列情况之一的，不予计量：</w:t>
      </w:r>
    </w:p>
    <w:p w14:paraId="45AD28CE">
      <w:pPr>
        <w:pageBreakBefore w:val="0"/>
        <w:numPr>
          <w:ilvl w:val="0"/>
          <w:numId w:val="4"/>
        </w:numPr>
        <w:tabs>
          <w:tab w:val="left" w:pos="900"/>
        </w:tabs>
        <w:kinsoku/>
        <w:wordWrap/>
        <w:overflowPunct/>
        <w:topLinePunct w:val="0"/>
        <w:bidi w:val="0"/>
        <w:spacing w:line="360" w:lineRule="auto"/>
        <w:ind w:left="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无计量资料或计量资料不完整者；</w:t>
      </w:r>
    </w:p>
    <w:p w14:paraId="247CC1E2">
      <w:pPr>
        <w:pageBreakBefore w:val="0"/>
        <w:numPr>
          <w:ilvl w:val="0"/>
          <w:numId w:val="4"/>
        </w:numPr>
        <w:tabs>
          <w:tab w:val="left" w:pos="900"/>
        </w:tabs>
        <w:kinsoku/>
        <w:wordWrap/>
        <w:overflowPunct/>
        <w:topLinePunct w:val="0"/>
        <w:bidi w:val="0"/>
        <w:spacing w:line="360" w:lineRule="auto"/>
        <w:ind w:left="9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无当期已完工程施工资料或当期施工资料不完整者；</w:t>
      </w:r>
    </w:p>
    <w:p w14:paraId="7EE03D47">
      <w:pPr>
        <w:pageBreakBefore w:val="0"/>
        <w:numPr>
          <w:ilvl w:val="0"/>
          <w:numId w:val="4"/>
        </w:numPr>
        <w:tabs>
          <w:tab w:val="left" w:pos="900"/>
        </w:tabs>
        <w:kinsoku/>
        <w:wordWrap/>
        <w:overflowPunct/>
        <w:topLinePunct w:val="0"/>
        <w:bidi w:val="0"/>
        <w:spacing w:line="360" w:lineRule="auto"/>
        <w:ind w:left="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因施工错误而增加的工程量；</w:t>
      </w:r>
    </w:p>
    <w:p w14:paraId="16D5EA30">
      <w:pPr>
        <w:pageBreakBefore w:val="0"/>
        <w:numPr>
          <w:ilvl w:val="0"/>
          <w:numId w:val="4"/>
        </w:numPr>
        <w:tabs>
          <w:tab w:val="left" w:pos="900"/>
        </w:tabs>
        <w:kinsoku/>
        <w:wordWrap/>
        <w:overflowPunct/>
        <w:topLinePunct w:val="0"/>
        <w:bidi w:val="0"/>
        <w:spacing w:line="360" w:lineRule="auto"/>
        <w:ind w:left="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工程量计算不符合相关计算规则；</w:t>
      </w:r>
    </w:p>
    <w:p w14:paraId="7867185A">
      <w:pPr>
        <w:pageBreakBefore w:val="0"/>
        <w:numPr>
          <w:ilvl w:val="0"/>
          <w:numId w:val="4"/>
        </w:numPr>
        <w:tabs>
          <w:tab w:val="left" w:pos="900"/>
        </w:tabs>
        <w:kinsoku/>
        <w:wordWrap/>
        <w:overflowPunct/>
        <w:topLinePunct w:val="0"/>
        <w:bidi w:val="0"/>
        <w:spacing w:line="360" w:lineRule="auto"/>
        <w:ind w:left="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隐蔽工程未经监理工程师检查签证者；</w:t>
      </w:r>
    </w:p>
    <w:p w14:paraId="39D98B53">
      <w:pPr>
        <w:pageBreakBefore w:val="0"/>
        <w:numPr>
          <w:ilvl w:val="0"/>
          <w:numId w:val="4"/>
        </w:numPr>
        <w:tabs>
          <w:tab w:val="left" w:pos="900"/>
        </w:tabs>
        <w:kinsoku/>
        <w:wordWrap/>
        <w:overflowPunct/>
        <w:topLinePunct w:val="0"/>
        <w:bidi w:val="0"/>
        <w:spacing w:line="360" w:lineRule="auto"/>
        <w:ind w:left="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工程质量不合格须返工或待处理者；</w:t>
      </w:r>
    </w:p>
    <w:p w14:paraId="76225457">
      <w:pPr>
        <w:pageBreakBefore w:val="0"/>
        <w:numPr>
          <w:ilvl w:val="0"/>
          <w:numId w:val="4"/>
        </w:numPr>
        <w:tabs>
          <w:tab w:val="left" w:pos="900"/>
        </w:tabs>
        <w:kinsoku/>
        <w:wordWrap/>
        <w:overflowPunct/>
        <w:topLinePunct w:val="0"/>
        <w:bidi w:val="0"/>
        <w:spacing w:line="360" w:lineRule="auto"/>
        <w:ind w:left="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未按有关质量检查管理办法进行检查，未填写相应工程质量检查证者；</w:t>
      </w:r>
    </w:p>
    <w:p w14:paraId="6C939E37">
      <w:pPr>
        <w:pageBreakBefore w:val="0"/>
        <w:numPr>
          <w:ilvl w:val="0"/>
          <w:numId w:val="4"/>
        </w:numPr>
        <w:tabs>
          <w:tab w:val="left" w:pos="900"/>
        </w:tabs>
        <w:kinsoku/>
        <w:wordWrap/>
        <w:overflowPunct/>
        <w:topLinePunct w:val="0"/>
        <w:bidi w:val="0"/>
        <w:spacing w:line="360" w:lineRule="auto"/>
        <w:ind w:left="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成品、半成品、设备等缺少应有的实验鉴定资料或合格证，材料未按规定实验，并未被确认为合格者；</w:t>
      </w:r>
    </w:p>
    <w:p w14:paraId="1BEDDCE2">
      <w:pPr>
        <w:pageBreakBefore w:val="0"/>
        <w:numPr>
          <w:ilvl w:val="0"/>
          <w:numId w:val="4"/>
        </w:numPr>
        <w:tabs>
          <w:tab w:val="left" w:pos="900"/>
        </w:tabs>
        <w:kinsoku/>
        <w:wordWrap/>
        <w:overflowPunct/>
        <w:topLinePunct w:val="0"/>
        <w:bidi w:val="0"/>
        <w:spacing w:line="360" w:lineRule="auto"/>
        <w:ind w:left="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合同外项目费用未按发包人制定的有关的规定办理手续，补充预算未经审批者。</w:t>
      </w:r>
    </w:p>
    <w:p w14:paraId="3A3FCE5C">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4DDEF01C">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关于单价合同计量的约定：</w:t>
      </w:r>
      <w:r>
        <w:rPr>
          <w:rFonts w:hint="eastAsia" w:ascii="宋体" w:hAnsi="宋体" w:eastAsia="宋体" w:cs="宋体"/>
          <w:color w:val="auto"/>
          <w:kern w:val="0"/>
          <w:szCs w:val="21"/>
          <w:highlight w:val="none"/>
          <w:u w:val="single"/>
        </w:rPr>
        <w:t xml:space="preserve">    按照合同约定   </w:t>
      </w:r>
    </w:p>
    <w:p w14:paraId="688B16FA">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12.3.4 总价合同的计量</w:t>
      </w:r>
    </w:p>
    <w:p w14:paraId="302E29BD">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关于总价合同计量的约定：</w:t>
      </w:r>
      <w:r>
        <w:rPr>
          <w:rFonts w:hint="eastAsia" w:ascii="宋体" w:hAnsi="宋体" w:eastAsia="宋体" w:cs="宋体"/>
          <w:color w:val="auto"/>
          <w:kern w:val="0"/>
          <w:szCs w:val="21"/>
          <w:highlight w:val="none"/>
          <w:u w:val="single"/>
        </w:rPr>
        <w:t xml:space="preserve">   不适用     </w:t>
      </w:r>
    </w:p>
    <w:p w14:paraId="45805286">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12.3.5总价合同采用支付分解表计量支付的，是否适用第12.3.4 项〔总价合同的计量〕约定进行计量：</w:t>
      </w:r>
      <w:r>
        <w:rPr>
          <w:rFonts w:hint="eastAsia" w:ascii="宋体" w:hAnsi="宋体" w:eastAsia="宋体" w:cs="宋体"/>
          <w:color w:val="auto"/>
          <w:kern w:val="0"/>
          <w:szCs w:val="21"/>
          <w:highlight w:val="none"/>
          <w:u w:val="single"/>
        </w:rPr>
        <w:t xml:space="preserve"> 不适用 </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2437A501">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12.3.6 其他价格形式合同的计量</w:t>
      </w:r>
    </w:p>
    <w:p w14:paraId="382ED87E">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其他价格形式的计量方式和程序：</w:t>
      </w:r>
      <w:r>
        <w:rPr>
          <w:rFonts w:hint="eastAsia" w:ascii="宋体" w:hAnsi="宋体" w:eastAsia="宋体" w:cs="宋体"/>
          <w:color w:val="auto"/>
          <w:kern w:val="0"/>
          <w:szCs w:val="21"/>
          <w:highlight w:val="none"/>
          <w:u w:val="single"/>
        </w:rPr>
        <w:t xml:space="preserve">  不适用   </w:t>
      </w:r>
    </w:p>
    <w:p w14:paraId="0C4E22E8">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工程进度款支付</w:t>
      </w:r>
    </w:p>
    <w:p w14:paraId="407BD9E4">
      <w:pPr>
        <w:pageBreakBefore w:val="0"/>
        <w:widowControl/>
        <w:kinsoku/>
        <w:wordWrap/>
        <w:overflowPunct/>
        <w:topLinePunct w:val="0"/>
        <w:bidi w:val="0"/>
        <w:spacing w:line="360" w:lineRule="auto"/>
        <w:ind w:firstLine="60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12.4.1 付款周期</w:t>
      </w:r>
    </w:p>
    <w:p w14:paraId="3BD15C82">
      <w:pPr>
        <w:pStyle w:val="1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616"/>
        <w:textAlignment w:val="baseline"/>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rPr>
        <w:t>（1）关于付款周期的约定：</w:t>
      </w:r>
      <w:r>
        <w:rPr>
          <w:rFonts w:hint="eastAsia" w:ascii="宋体" w:hAnsi="宋体" w:eastAsia="宋体" w:cs="宋体"/>
          <w:color w:val="auto"/>
          <w:kern w:val="2"/>
          <w:sz w:val="21"/>
          <w:szCs w:val="21"/>
          <w:highlight w:val="none"/>
          <w:u w:val="single"/>
          <w:lang w:val="en-US" w:eastAsia="zh-CN" w:bidi="ar-SA"/>
        </w:rPr>
        <w:t xml:space="preserve"> 本宿舍楼维修改造项目工程款按工程施工进度分阶段支付，付款流程均为乙方按约定提交付款申请及对应完工证明、合规票据等资料，经监理、全过程造价咨询、甲方审核确认无误后，在15个工作日内支付相应款项，具体付款节点及比例如下：</w:t>
      </w:r>
    </w:p>
    <w:p w14:paraId="2E3BA2D5">
      <w:pPr>
        <w:pStyle w:val="1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616"/>
        <w:textAlignment w:val="baseline"/>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1.预付款：合同签订生效且乙方进场施工、完成施工准备工作后，支付至合同总价的30%；预付款需支付至共管账户。</w:t>
      </w:r>
    </w:p>
    <w:p w14:paraId="1F567B29">
      <w:pPr>
        <w:pStyle w:val="1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616"/>
        <w:textAlignment w:val="baseline"/>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主体维修改造进度款：宿舍楼外墙体修缮、屋顶防水升级改造，花架翻新，使用钢化玻璃封闭阳台，阳台内部墙面翻新处理等主体维修改造工程全部完成，经监理、全过程造价咨询、甲方审核无误后，支付至合同总价的85%（含已付预付款）；</w:t>
      </w:r>
    </w:p>
    <w:p w14:paraId="6922504E">
      <w:pPr>
        <w:pStyle w:val="1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616"/>
        <w:textAlignment w:val="baseline"/>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3.竣工结算款：项目竣工经采购人委托具备相应资质的第三方机构按合同约定标准进行验收，验收合格后，由成交人递交竣工结算报告及完整的结算资料，经采购人委托具有资质的造价审核机构进行审核后确定结算金额，在双方对审核结果签章认可后的30日内，收到乙方结算总价3%质保金后，全额支付至竣工结算总价的100%，质保期结束后无息退还。   </w:t>
      </w:r>
    </w:p>
    <w:p w14:paraId="0E0B0C43">
      <w:pPr>
        <w:pageBreakBefore w:val="0"/>
        <w:tabs>
          <w:tab w:val="left" w:pos="394"/>
        </w:tabs>
        <w:kinsoku/>
        <w:wordWrap/>
        <w:overflowPunct/>
        <w:topLinePunct w:val="0"/>
        <w:bidi w:val="0"/>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（2）进度付款申请单</w:t>
      </w:r>
    </w:p>
    <w:p w14:paraId="310DFEE7">
      <w:pPr>
        <w:pageBreakBefore w:val="0"/>
        <w:tabs>
          <w:tab w:val="left" w:pos="394"/>
        </w:tabs>
        <w:kinsoku/>
        <w:wordWrap/>
        <w:overflowPunct/>
        <w:topLinePunct w:val="0"/>
        <w:bidi w:val="0"/>
        <w:adjustRightInd w:val="0"/>
        <w:spacing w:line="360" w:lineRule="auto"/>
        <w:ind w:firstLine="420" w:firstLineChars="2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进度付款申请单的份数：  一式陆份。</w:t>
      </w:r>
    </w:p>
    <w:p w14:paraId="25752028">
      <w:pPr>
        <w:pageBreakBefore w:val="0"/>
        <w:tabs>
          <w:tab w:val="left" w:pos="394"/>
        </w:tabs>
        <w:kinsoku/>
        <w:wordWrap/>
        <w:overflowPunct/>
        <w:topLinePunct w:val="0"/>
        <w:bidi w:val="0"/>
        <w:adjustRightInd w:val="0"/>
        <w:spacing w:line="360" w:lineRule="auto"/>
        <w:ind w:firstLine="424" w:firstLineChars="202"/>
        <w:textAlignment w:val="baseline"/>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进度付款申请单的内容：</w:t>
      </w:r>
      <w:r>
        <w:rPr>
          <w:rFonts w:hint="eastAsia" w:ascii="宋体" w:hAnsi="宋体" w:eastAsia="宋体" w:cs="宋体"/>
          <w:color w:val="auto"/>
          <w:szCs w:val="21"/>
          <w:highlight w:val="none"/>
          <w:u w:val="none"/>
        </w:rPr>
        <w:t>（1）付款次数和编号（2）截至本次付款周期末已实施工程的价款（3）本次扣减的质量保证金（4）根据合同应增加和扣减的其他金额。</w:t>
      </w:r>
    </w:p>
    <w:p w14:paraId="3924C8C5">
      <w:pPr>
        <w:pageBreakBefore w:val="0"/>
        <w:tabs>
          <w:tab w:val="left" w:pos="394"/>
        </w:tabs>
        <w:kinsoku/>
        <w:wordWrap/>
        <w:overflowPunct/>
        <w:topLinePunct w:val="0"/>
        <w:bidi w:val="0"/>
        <w:adjustRightInd w:val="0"/>
        <w:spacing w:line="360" w:lineRule="auto"/>
        <w:ind w:firstLine="424" w:firstLineChars="202"/>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kern w:val="0"/>
          <w:szCs w:val="21"/>
          <w:highlight w:val="none"/>
          <w:u w:val="none"/>
          <w:lang w:val="en-US" w:eastAsia="zh-CN"/>
        </w:rPr>
        <w:t>3</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kern w:val="0"/>
          <w:szCs w:val="21"/>
          <w:highlight w:val="none"/>
          <w:u w:val="single"/>
          <w:lang w:eastAsia="zh-CN"/>
        </w:rPr>
        <w:t>第一次工程款支付前，中标人须</w:t>
      </w:r>
      <w:r>
        <w:rPr>
          <w:rFonts w:hint="eastAsia" w:ascii="宋体" w:hAnsi="宋体" w:eastAsia="宋体" w:cs="宋体"/>
          <w:color w:val="auto"/>
          <w:kern w:val="0"/>
          <w:szCs w:val="21"/>
          <w:highlight w:val="none"/>
          <w:u w:val="single"/>
        </w:rPr>
        <w:t>严格按照国家、省、市及地方政府和行政主管部门的有关规定，建立健全与政府行政主管部门联网的农民工支付系统，</w:t>
      </w:r>
      <w:r>
        <w:rPr>
          <w:rFonts w:hint="eastAsia" w:ascii="宋体" w:hAnsi="宋体" w:eastAsia="宋体" w:cs="宋体"/>
          <w:color w:val="auto"/>
          <w:kern w:val="0"/>
          <w:szCs w:val="21"/>
          <w:highlight w:val="none"/>
          <w:u w:val="single"/>
          <w:lang w:eastAsia="zh-CN"/>
        </w:rPr>
        <w:t>并承诺</w:t>
      </w:r>
      <w:r>
        <w:rPr>
          <w:rFonts w:hint="eastAsia" w:ascii="宋体" w:hAnsi="宋体" w:eastAsia="宋体" w:cs="宋体"/>
          <w:color w:val="auto"/>
          <w:kern w:val="0"/>
          <w:szCs w:val="21"/>
          <w:highlight w:val="none"/>
          <w:u w:val="single"/>
        </w:rPr>
        <w:t>及时支付民工劳动报酬、不得拖欠或克扣</w:t>
      </w:r>
      <w:r>
        <w:rPr>
          <w:rFonts w:hint="eastAsia" w:ascii="宋体" w:hAnsi="宋体" w:eastAsia="宋体" w:cs="宋体"/>
          <w:color w:val="auto"/>
          <w:szCs w:val="21"/>
          <w:highlight w:val="none"/>
          <w:u w:val="single"/>
        </w:rPr>
        <w:t>。</w:t>
      </w:r>
    </w:p>
    <w:p w14:paraId="52F4DAA5">
      <w:pPr>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u w:val="single"/>
        </w:rPr>
      </w:pPr>
    </w:p>
    <w:p w14:paraId="48093D08">
      <w:pPr>
        <w:keepNext/>
        <w:keepLines/>
        <w:pageBreakBefore w:val="0"/>
        <w:kinsoku/>
        <w:wordWrap/>
        <w:overflowPunct/>
        <w:topLinePunct w:val="0"/>
        <w:bidi w:val="0"/>
        <w:spacing w:before="120" w:after="120" w:line="360" w:lineRule="auto"/>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验收和工程试车</w:t>
      </w:r>
    </w:p>
    <w:p w14:paraId="16B78D1C">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分部分项工程验收</w:t>
      </w:r>
    </w:p>
    <w:p w14:paraId="117A7BDC">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13.1.2监理人不能按时进行验收时，应提前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202CCD7B">
      <w:pPr>
        <w:pageBreakBefore w:val="0"/>
        <w:widowControl/>
        <w:kinsoku/>
        <w:wordWrap/>
        <w:overflowPunct/>
        <w:topLinePunct w:val="0"/>
        <w:bidi w:val="0"/>
        <w:spacing w:line="360" w:lineRule="auto"/>
        <w:ind w:firstLine="600"/>
        <w:jc w:val="left"/>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关于延期最长不得超过：</w:t>
      </w:r>
      <w:r>
        <w:rPr>
          <w:rFonts w:hint="eastAsia" w:ascii="宋体" w:hAnsi="宋体" w:eastAsia="宋体" w:cs="宋体"/>
          <w:color w:val="auto"/>
          <w:kern w:val="0"/>
          <w:szCs w:val="21"/>
          <w:highlight w:val="none"/>
          <w:u w:val="single"/>
        </w:rPr>
        <w:t xml:space="preserve">    48    </w:t>
      </w:r>
      <w:r>
        <w:rPr>
          <w:rFonts w:hint="eastAsia" w:ascii="宋体" w:hAnsi="宋体" w:eastAsia="宋体" w:cs="宋体"/>
          <w:color w:val="auto"/>
          <w:kern w:val="0"/>
          <w:szCs w:val="21"/>
          <w:highlight w:val="none"/>
        </w:rPr>
        <w:t>小时。</w:t>
      </w:r>
    </w:p>
    <w:p w14:paraId="178D68B0">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竣工验收</w:t>
      </w:r>
    </w:p>
    <w:p w14:paraId="4E408083">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13.2.2竣工验收程序</w:t>
      </w:r>
    </w:p>
    <w:p w14:paraId="65AF1AFB">
      <w:pPr>
        <w:pageBreakBefore w:val="0"/>
        <w:widowControl/>
        <w:kinsoku/>
        <w:wordWrap/>
        <w:overflowPunct/>
        <w:topLinePunct w:val="0"/>
        <w:bidi w:val="0"/>
        <w:spacing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关于竣工验收程序的约定：</w:t>
      </w:r>
      <w:r>
        <w:rPr>
          <w:rFonts w:hint="eastAsia" w:ascii="宋体" w:hAnsi="宋体" w:eastAsia="宋体" w:cs="宋体"/>
          <w:color w:val="auto"/>
          <w:kern w:val="0"/>
          <w:szCs w:val="21"/>
          <w:highlight w:val="none"/>
          <w:u w:val="single"/>
        </w:rPr>
        <w:t xml:space="preserve"> 工程竣工验收时，采购人委托具备相应资质的第三方机构按合同约定标准进行验收，验收服务费用为本项目中标价的0.65%（含税），该费用由成交供应商承担，并于验收合格且收到验收机构开具的合规发票后，成交供应商应在15个工作日内将费用一次性支付至验收机构指定账户  </w:t>
      </w:r>
    </w:p>
    <w:p w14:paraId="1DD7EE16">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发包人不按照本项约定组织竣工验收、颁发工程接收证书的违约金的计算方法：</w:t>
      </w:r>
      <w:r>
        <w:rPr>
          <w:rFonts w:hint="eastAsia" w:ascii="宋体" w:hAnsi="宋体" w:eastAsia="宋体" w:cs="宋体"/>
          <w:color w:val="auto"/>
          <w:kern w:val="0"/>
          <w:szCs w:val="21"/>
          <w:highlight w:val="none"/>
          <w:u w:val="single"/>
        </w:rPr>
        <w:t xml:space="preserve">     /      </w:t>
      </w:r>
    </w:p>
    <w:p w14:paraId="2B5AE071">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13.2.5移交、接收全部与部分工程</w:t>
      </w:r>
    </w:p>
    <w:p w14:paraId="72A46979">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承包人向发包人移交工程的期限：</w:t>
      </w:r>
      <w:r>
        <w:rPr>
          <w:rFonts w:hint="eastAsia" w:ascii="宋体" w:hAnsi="宋体" w:eastAsia="宋体" w:cs="宋体"/>
          <w:color w:val="auto"/>
          <w:kern w:val="0"/>
          <w:szCs w:val="21"/>
          <w:highlight w:val="none"/>
          <w:u w:val="single"/>
        </w:rPr>
        <w:t xml:space="preserve">  执行通用条款        </w:t>
      </w:r>
      <w:r>
        <w:rPr>
          <w:rFonts w:hint="eastAsia" w:ascii="宋体" w:hAnsi="宋体" w:eastAsia="宋体" w:cs="宋体"/>
          <w:color w:val="auto"/>
          <w:kern w:val="0"/>
          <w:szCs w:val="21"/>
          <w:highlight w:val="none"/>
        </w:rPr>
        <w:t>。</w:t>
      </w:r>
    </w:p>
    <w:p w14:paraId="245083F5">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发包人未按本合同约定接收全部或部分工程的，违约金的计算方法为：</w:t>
      </w:r>
      <w:r>
        <w:rPr>
          <w:rFonts w:hint="eastAsia" w:ascii="宋体" w:hAnsi="宋体" w:eastAsia="宋体" w:cs="宋体"/>
          <w:color w:val="auto"/>
          <w:kern w:val="0"/>
          <w:szCs w:val="21"/>
          <w:highlight w:val="none"/>
          <w:u w:val="single"/>
        </w:rPr>
        <w:t xml:space="preserve">   执行通用条款                 </w:t>
      </w:r>
    </w:p>
    <w:p w14:paraId="61148343">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承包人未按时移交工程的，违约金的计算方法为：</w:t>
      </w:r>
      <w:r>
        <w:rPr>
          <w:rFonts w:hint="eastAsia" w:ascii="宋体" w:hAnsi="宋体" w:eastAsia="宋体" w:cs="宋体"/>
          <w:color w:val="auto"/>
          <w:kern w:val="0"/>
          <w:szCs w:val="21"/>
          <w:highlight w:val="none"/>
          <w:u w:val="single"/>
        </w:rPr>
        <w:t xml:space="preserve">   执行通用条款        </w:t>
      </w:r>
    </w:p>
    <w:p w14:paraId="406AE9CF">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工程试车</w:t>
      </w:r>
    </w:p>
    <w:p w14:paraId="56216F49">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13.3.1 试车程序</w:t>
      </w:r>
    </w:p>
    <w:p w14:paraId="587C045B">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工程试车内容：</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709C8CD0">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（1）单机无负荷试车费用由</w:t>
      </w:r>
      <w:r>
        <w:rPr>
          <w:rFonts w:hint="eastAsia" w:ascii="宋体" w:hAnsi="宋体" w:eastAsia="宋体" w:cs="宋体"/>
          <w:color w:val="auto"/>
          <w:kern w:val="0"/>
          <w:szCs w:val="21"/>
          <w:highlight w:val="none"/>
          <w:u w:val="single"/>
        </w:rPr>
        <w:t xml:space="preserve">   承包人   </w:t>
      </w:r>
      <w:r>
        <w:rPr>
          <w:rFonts w:hint="eastAsia" w:ascii="宋体" w:hAnsi="宋体" w:eastAsia="宋体" w:cs="宋体"/>
          <w:color w:val="auto"/>
          <w:kern w:val="0"/>
          <w:szCs w:val="21"/>
          <w:highlight w:val="none"/>
        </w:rPr>
        <w:t>承担；</w:t>
      </w:r>
    </w:p>
    <w:p w14:paraId="6A56450F">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（2）无负荷联动试车费用由</w:t>
      </w:r>
      <w:r>
        <w:rPr>
          <w:rFonts w:hint="eastAsia" w:ascii="宋体" w:hAnsi="宋体" w:eastAsia="宋体" w:cs="宋体"/>
          <w:color w:val="auto"/>
          <w:kern w:val="0"/>
          <w:szCs w:val="21"/>
          <w:highlight w:val="none"/>
          <w:u w:val="single"/>
        </w:rPr>
        <w:t xml:space="preserve">  承包人   </w:t>
      </w:r>
      <w:r>
        <w:rPr>
          <w:rFonts w:hint="eastAsia" w:ascii="宋体" w:hAnsi="宋体" w:eastAsia="宋体" w:cs="宋体"/>
          <w:color w:val="auto"/>
          <w:kern w:val="0"/>
          <w:szCs w:val="21"/>
          <w:highlight w:val="none"/>
        </w:rPr>
        <w:t>承担。</w:t>
      </w:r>
    </w:p>
    <w:p w14:paraId="57FC3227">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13.3.3 投料试车</w:t>
      </w:r>
    </w:p>
    <w:p w14:paraId="3A457F08">
      <w:pPr>
        <w:pageBreakBefore w:val="0"/>
        <w:widowControl/>
        <w:kinsoku/>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关于投料试车相关事项的约定：</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72EA012C">
      <w:pPr>
        <w:pageBreakBefore w:val="0"/>
        <w:widowControl/>
        <w:kinsoku/>
        <w:wordWrap/>
        <w:overflowPunct/>
        <w:topLinePunct w:val="0"/>
        <w:bidi w:val="0"/>
        <w:spacing w:after="120" w:line="360" w:lineRule="auto"/>
        <w:ind w:firstLine="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 竣工退场</w:t>
      </w:r>
    </w:p>
    <w:p w14:paraId="52F5EB7A">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13.6.1 竣工退场</w:t>
      </w:r>
    </w:p>
    <w:p w14:paraId="5D2A2549">
      <w:pPr>
        <w:pageBreakBefore w:val="0"/>
        <w:widowControl/>
        <w:kinsoku/>
        <w:wordWrap/>
        <w:overflowPunct/>
        <w:topLinePunct w:val="0"/>
        <w:bidi w:val="0"/>
        <w:spacing w:line="360" w:lineRule="auto"/>
        <w:ind w:firstLine="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承包人完成竣工退场的期限：</w:t>
      </w:r>
      <w:r>
        <w:rPr>
          <w:rFonts w:hint="eastAsia" w:ascii="宋体" w:hAnsi="宋体" w:eastAsia="宋体" w:cs="宋体"/>
          <w:color w:val="auto"/>
          <w:kern w:val="0"/>
          <w:szCs w:val="21"/>
          <w:highlight w:val="none"/>
          <w:u w:val="single"/>
          <w:shd w:val="clear" w:color="auto" w:fill="FFFFFF"/>
        </w:rPr>
        <w:t xml:space="preserve"> 颁发工程接收证书后3天内</w:t>
      </w:r>
      <w:r>
        <w:rPr>
          <w:rFonts w:hint="eastAsia" w:ascii="宋体" w:hAnsi="宋体" w:eastAsia="宋体" w:cs="宋体"/>
          <w:color w:val="auto"/>
          <w:kern w:val="0"/>
          <w:szCs w:val="21"/>
          <w:highlight w:val="none"/>
          <w:shd w:val="clear" w:color="auto" w:fill="FFFFFF"/>
        </w:rPr>
        <w:t>。</w:t>
      </w:r>
    </w:p>
    <w:bookmarkEnd w:id="420"/>
    <w:bookmarkEnd w:id="421"/>
    <w:bookmarkEnd w:id="422"/>
    <w:bookmarkEnd w:id="423"/>
    <w:bookmarkEnd w:id="424"/>
    <w:bookmarkEnd w:id="425"/>
    <w:bookmarkEnd w:id="426"/>
    <w:bookmarkEnd w:id="427"/>
    <w:bookmarkEnd w:id="428"/>
    <w:p w14:paraId="3551DC16">
      <w:pPr>
        <w:keepNext/>
        <w:keepLines/>
        <w:pageBreakBefore w:val="0"/>
        <w:kinsoku/>
        <w:wordWrap/>
        <w:overflowPunct/>
        <w:topLinePunct w:val="0"/>
        <w:bidi w:val="0"/>
        <w:spacing w:before="120" w:after="120" w:line="360" w:lineRule="auto"/>
        <w:outlineLvl w:val="3"/>
        <w:rPr>
          <w:rFonts w:hint="eastAsia" w:ascii="宋体" w:hAnsi="宋体" w:eastAsia="宋体" w:cs="宋体"/>
          <w:color w:val="auto"/>
          <w:szCs w:val="21"/>
          <w:highlight w:val="none"/>
        </w:rPr>
      </w:pPr>
      <w:bookmarkStart w:id="429" w:name="_Toc267251498"/>
      <w:bookmarkStart w:id="430" w:name="_Toc267251502"/>
      <w:bookmarkStart w:id="431" w:name="_Toc267251489"/>
      <w:bookmarkStart w:id="432" w:name="_Toc267251488"/>
      <w:bookmarkStart w:id="433" w:name="_Toc267251491"/>
      <w:bookmarkStart w:id="434" w:name="_Toc267251492"/>
      <w:bookmarkStart w:id="435" w:name="_Toc267251507"/>
      <w:bookmarkStart w:id="436" w:name="_Toc267251499"/>
      <w:bookmarkStart w:id="437" w:name="_Toc267251506"/>
      <w:bookmarkStart w:id="438" w:name="_Toc267251514"/>
      <w:bookmarkStart w:id="439" w:name="_Toc267251486"/>
      <w:bookmarkStart w:id="440" w:name="_Toc267251513"/>
      <w:bookmarkStart w:id="441" w:name="_Toc267251509"/>
      <w:bookmarkStart w:id="442" w:name="_Toc267251503"/>
      <w:bookmarkStart w:id="443" w:name="_Toc267251493"/>
      <w:bookmarkStart w:id="444" w:name="_Toc267251490"/>
      <w:bookmarkStart w:id="445" w:name="_Toc267251504"/>
      <w:bookmarkStart w:id="446" w:name="_Toc267251497"/>
      <w:bookmarkStart w:id="447" w:name="_Toc267251511"/>
      <w:bookmarkStart w:id="448" w:name="_Toc267251495"/>
      <w:bookmarkStart w:id="449" w:name="_Toc267251515"/>
      <w:bookmarkStart w:id="450" w:name="_Toc267251496"/>
      <w:bookmarkStart w:id="451" w:name="_Toc267251508"/>
      <w:bookmarkStart w:id="452" w:name="_Toc267251494"/>
      <w:bookmarkStart w:id="453" w:name="_Toc267251501"/>
      <w:bookmarkStart w:id="454" w:name="_Toc267251510"/>
      <w:r>
        <w:rPr>
          <w:rFonts w:hint="eastAsia" w:ascii="宋体" w:hAnsi="宋体" w:eastAsia="宋体" w:cs="宋体"/>
          <w:color w:val="auto"/>
          <w:szCs w:val="21"/>
          <w:highlight w:val="none"/>
        </w:rPr>
        <w:t>14. 竣工结算</w:t>
      </w:r>
    </w:p>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14:paraId="26C6F585">
      <w:pPr>
        <w:pageBreakBefore w:val="0"/>
        <w:kinsoku/>
        <w:wordWrap/>
        <w:overflowPunct/>
        <w:topLinePunct w:val="0"/>
        <w:bidi w:val="0"/>
        <w:spacing w:after="120" w:line="360" w:lineRule="auto"/>
        <w:ind w:firstLine="420" w:firstLineChars="200"/>
        <w:rPr>
          <w:rFonts w:hint="eastAsia" w:ascii="宋体" w:hAnsi="宋体" w:eastAsia="宋体" w:cs="宋体"/>
          <w:color w:val="auto"/>
          <w:szCs w:val="21"/>
          <w:highlight w:val="none"/>
        </w:rPr>
      </w:pPr>
      <w:bookmarkStart w:id="455" w:name="_Toc351203652"/>
      <w:r>
        <w:rPr>
          <w:rFonts w:hint="eastAsia" w:ascii="宋体" w:hAnsi="宋体" w:eastAsia="宋体" w:cs="宋体"/>
          <w:color w:val="auto"/>
          <w:szCs w:val="21"/>
          <w:highlight w:val="none"/>
        </w:rPr>
        <w:t>14.1 竣工结算申请</w:t>
      </w:r>
    </w:p>
    <w:p w14:paraId="6C88C935">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承包人提交竣工结算申请单的期限：</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颁发竣工验收证书28日内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92D1057">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竣工结算申请单应包括的内容：</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按照发包人规定的结算要求执行</w:t>
      </w:r>
      <w:r>
        <w:rPr>
          <w:rFonts w:hint="eastAsia" w:ascii="宋体" w:hAnsi="宋体" w:eastAsia="宋体" w:cs="宋体"/>
          <w:color w:val="auto"/>
          <w:szCs w:val="21"/>
          <w:highlight w:val="none"/>
          <w:u w:val="single"/>
        </w:rPr>
        <w:t xml:space="preserve">  。</w:t>
      </w:r>
    </w:p>
    <w:p w14:paraId="36E6C235">
      <w:pPr>
        <w:pageBreakBefore w:val="0"/>
        <w:kinsoku/>
        <w:wordWrap/>
        <w:overflowPunct/>
        <w:topLinePunct w:val="0"/>
        <w:bidi w:val="0"/>
        <w:spacing w:after="120" w:line="360" w:lineRule="auto"/>
        <w:ind w:firstLine="420" w:firstLineChars="200"/>
        <w:outlineLvl w:val="0"/>
        <w:rPr>
          <w:rFonts w:hint="eastAsia" w:ascii="宋体" w:hAnsi="宋体" w:eastAsia="宋体" w:cs="宋体"/>
          <w:color w:val="auto"/>
          <w:szCs w:val="21"/>
          <w:highlight w:val="none"/>
        </w:rPr>
      </w:pPr>
      <w:bookmarkStart w:id="456" w:name="_Toc15106"/>
      <w:bookmarkStart w:id="457" w:name="_Toc36066906"/>
      <w:bookmarkStart w:id="458" w:name="_Toc500745185"/>
      <w:bookmarkStart w:id="459" w:name="_Toc36066648"/>
      <w:bookmarkStart w:id="460" w:name="_Toc516215075"/>
      <w:bookmarkStart w:id="461" w:name="_Toc500856297"/>
      <w:bookmarkStart w:id="462" w:name="_Toc36066364"/>
      <w:bookmarkStart w:id="463" w:name="_Toc16298"/>
      <w:bookmarkStart w:id="464" w:name="_Toc234"/>
      <w:bookmarkStart w:id="465" w:name="_Toc501717157"/>
      <w:bookmarkStart w:id="466" w:name="_Toc90964145"/>
      <w:r>
        <w:rPr>
          <w:rFonts w:hint="eastAsia" w:ascii="宋体" w:hAnsi="宋体" w:eastAsia="宋体" w:cs="宋体"/>
          <w:color w:val="auto"/>
          <w:szCs w:val="21"/>
          <w:highlight w:val="none"/>
        </w:rPr>
        <w:t>14.2 竣工结算审核</w:t>
      </w:r>
      <w:bookmarkEnd w:id="456"/>
      <w:bookmarkEnd w:id="457"/>
      <w:bookmarkEnd w:id="458"/>
      <w:bookmarkEnd w:id="459"/>
      <w:bookmarkEnd w:id="460"/>
      <w:bookmarkEnd w:id="461"/>
      <w:bookmarkEnd w:id="462"/>
      <w:bookmarkEnd w:id="463"/>
      <w:bookmarkEnd w:id="464"/>
      <w:bookmarkEnd w:id="465"/>
      <w:bookmarkEnd w:id="466"/>
    </w:p>
    <w:p w14:paraId="5DD5D129">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发包人审批竣工付款申请单的期限：</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双方协商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277B126">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双方协商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E91B9B8">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关于竣工付款证书异议部分复核的方式和程序：</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发包人委托工程中介机构审核的，审减金额超出审定金额5%时，超出部分的审核费用由承包人承担</w:t>
      </w:r>
      <w:r>
        <w:rPr>
          <w:rFonts w:hint="eastAsia" w:ascii="宋体" w:hAnsi="宋体" w:eastAsia="宋体" w:cs="宋体"/>
          <w:color w:val="auto"/>
          <w:szCs w:val="21"/>
          <w:highlight w:val="none"/>
        </w:rPr>
        <w:t>。</w:t>
      </w:r>
    </w:p>
    <w:p w14:paraId="0AF35107">
      <w:pPr>
        <w:pageBreakBefore w:val="0"/>
        <w:kinsoku/>
        <w:wordWrap/>
        <w:overflowPunct/>
        <w:topLinePunct w:val="0"/>
        <w:bidi w:val="0"/>
        <w:spacing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 最终结清</w:t>
      </w:r>
    </w:p>
    <w:p w14:paraId="1CE55D1E">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1D51DED3">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b/>
          <w:color w:val="auto"/>
          <w:szCs w:val="21"/>
          <w:highlight w:val="none"/>
          <w:u w:val="single"/>
        </w:rPr>
        <w:t xml:space="preserve"> 陆份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A0F8640">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缺陷期满7天内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69D7AF1">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14.4.2 最终结清证书和支付</w:t>
      </w:r>
    </w:p>
    <w:p w14:paraId="6900DED1">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（1）发包人完成最终结清申请单的审批并颁发最终结清证书的期限：</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收到申请56天内</w:t>
      </w:r>
      <w:r>
        <w:rPr>
          <w:rFonts w:hint="eastAsia" w:ascii="宋体" w:hAnsi="宋体" w:eastAsia="宋体" w:cs="宋体"/>
          <w:color w:val="auto"/>
          <w:szCs w:val="21"/>
          <w:highlight w:val="none"/>
        </w:rPr>
        <w:t>。</w:t>
      </w:r>
    </w:p>
    <w:p w14:paraId="77443E55">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（2）发包人完成支付的期限：</w:t>
      </w:r>
      <w:r>
        <w:rPr>
          <w:rFonts w:hint="eastAsia" w:ascii="宋体" w:hAnsi="宋体" w:eastAsia="宋体" w:cs="宋体"/>
          <w:b/>
          <w:color w:val="auto"/>
          <w:szCs w:val="21"/>
          <w:highlight w:val="none"/>
          <w:u w:val="single"/>
        </w:rPr>
        <w:t>申请签发后56天内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BE96AE8">
      <w:pPr>
        <w:keepNext/>
        <w:keepLines/>
        <w:pageBreakBefore w:val="0"/>
        <w:kinsoku/>
        <w:wordWrap/>
        <w:overflowPunct/>
        <w:topLinePunct w:val="0"/>
        <w:bidi w:val="0"/>
        <w:spacing w:before="120" w:after="120" w:line="360" w:lineRule="auto"/>
        <w:outlineLvl w:val="3"/>
        <w:rPr>
          <w:rFonts w:hint="eastAsia" w:ascii="宋体" w:hAnsi="宋体" w:eastAsia="宋体" w:cs="宋体"/>
          <w:bCs/>
          <w:color w:val="auto"/>
          <w:szCs w:val="21"/>
          <w:highlight w:val="none"/>
        </w:rPr>
      </w:pPr>
      <w:bookmarkStart w:id="467" w:name="_Toc351203647"/>
      <w:r>
        <w:rPr>
          <w:rFonts w:hint="eastAsia" w:ascii="宋体" w:hAnsi="宋体" w:eastAsia="宋体" w:cs="宋体"/>
          <w:bCs/>
          <w:color w:val="auto"/>
          <w:szCs w:val="21"/>
          <w:highlight w:val="none"/>
        </w:rPr>
        <w:t>15. 缺陷责任期与保修</w:t>
      </w:r>
      <w:bookmarkEnd w:id="467"/>
    </w:p>
    <w:p w14:paraId="64E360C4">
      <w:pPr>
        <w:pageBreakBefore w:val="0"/>
        <w:kinsoku/>
        <w:wordWrap/>
        <w:overflowPunct/>
        <w:topLinePunct w:val="0"/>
        <w:bidi w:val="0"/>
        <w:spacing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15.2缺陷责任期</w:t>
      </w:r>
    </w:p>
    <w:p w14:paraId="1C1D8D96">
      <w:pPr>
        <w:pageBreakBefore w:val="0"/>
        <w:kinsoku/>
        <w:wordWrap/>
        <w:overflowPunct/>
        <w:topLinePunct w:val="0"/>
        <w:bidi w:val="0"/>
        <w:spacing w:line="360" w:lineRule="auto"/>
        <w:ind w:firstLine="420" w:firstLineChars="200"/>
        <w:jc w:val="left"/>
        <w:outlineLvl w:val="0"/>
        <w:rPr>
          <w:rFonts w:hint="eastAsia" w:ascii="宋体" w:hAnsi="宋体" w:eastAsia="宋体" w:cs="宋体"/>
          <w:color w:val="auto"/>
          <w:szCs w:val="21"/>
          <w:highlight w:val="none"/>
        </w:rPr>
      </w:pPr>
      <w:bookmarkStart w:id="468" w:name="_Toc2918"/>
      <w:bookmarkStart w:id="469" w:name="_Toc36066365"/>
      <w:bookmarkStart w:id="470" w:name="_Toc36066649"/>
      <w:bookmarkStart w:id="471" w:name="_Toc22565"/>
      <w:bookmarkStart w:id="472" w:name="_Toc25486"/>
      <w:bookmarkStart w:id="473" w:name="_Toc36066907"/>
      <w:r>
        <w:rPr>
          <w:rFonts w:hint="eastAsia" w:ascii="宋体" w:hAnsi="宋体" w:eastAsia="宋体" w:cs="宋体"/>
          <w:color w:val="auto"/>
          <w:szCs w:val="21"/>
          <w:highlight w:val="none"/>
        </w:rPr>
        <w:t>缺陷责任期的具体期限：</w:t>
      </w:r>
      <w:r>
        <w:rPr>
          <w:rFonts w:hint="eastAsia" w:ascii="宋体" w:hAnsi="宋体" w:eastAsia="宋体" w:cs="宋体"/>
          <w:b/>
          <w:bCs/>
          <w:color w:val="auto"/>
          <w:szCs w:val="21"/>
          <w:highlight w:val="none"/>
          <w:u w:val="single"/>
        </w:rPr>
        <w:t xml:space="preserve">  自竣工验收合格后</w:t>
      </w:r>
      <w:r>
        <w:rPr>
          <w:rFonts w:hint="eastAsia" w:ascii="宋体" w:hAnsi="宋体" w:eastAsia="宋体" w:cs="宋体"/>
          <w:b/>
          <w:bCs/>
          <w:color w:val="auto"/>
          <w:szCs w:val="21"/>
          <w:highlight w:val="none"/>
          <w:u w:val="single"/>
          <w:lang w:val="en-US" w:eastAsia="zh-CN"/>
        </w:rPr>
        <w:t>24</w:t>
      </w:r>
      <w:r>
        <w:rPr>
          <w:rFonts w:hint="eastAsia" w:ascii="宋体" w:hAnsi="宋体" w:eastAsia="宋体" w:cs="宋体"/>
          <w:b/>
          <w:bCs/>
          <w:color w:val="auto"/>
          <w:szCs w:val="21"/>
          <w:highlight w:val="none"/>
          <w:u w:val="single"/>
        </w:rPr>
        <w:t xml:space="preserve">个月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468"/>
      <w:bookmarkEnd w:id="469"/>
      <w:bookmarkEnd w:id="470"/>
      <w:bookmarkEnd w:id="471"/>
      <w:bookmarkEnd w:id="472"/>
      <w:bookmarkEnd w:id="473"/>
    </w:p>
    <w:p w14:paraId="1C6988E4">
      <w:pPr>
        <w:pageBreakBefore w:val="0"/>
        <w:kinsoku/>
        <w:wordWrap/>
        <w:overflowPunct/>
        <w:topLinePunct w:val="0"/>
        <w:bidi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474" w:name="_Toc90964146"/>
      <w:bookmarkStart w:id="475" w:name="_Toc501717158"/>
      <w:bookmarkStart w:id="476" w:name="_Toc500745186"/>
      <w:bookmarkStart w:id="477" w:name="_Toc516215076"/>
      <w:bookmarkStart w:id="478" w:name="_Toc500856298"/>
      <w:r>
        <w:rPr>
          <w:rFonts w:hint="eastAsia" w:ascii="宋体" w:hAnsi="宋体" w:eastAsia="宋体" w:cs="宋体"/>
          <w:color w:val="auto"/>
          <w:szCs w:val="21"/>
          <w:highlight w:val="none"/>
        </w:rPr>
        <w:t>15.3 质量保证金</w:t>
      </w:r>
      <w:bookmarkEnd w:id="474"/>
      <w:bookmarkEnd w:id="475"/>
      <w:bookmarkEnd w:id="476"/>
      <w:bookmarkEnd w:id="477"/>
      <w:bookmarkEnd w:id="478"/>
    </w:p>
    <w:p w14:paraId="7DE3A9F2">
      <w:pPr>
        <w:pageBreakBefore w:val="0"/>
        <w:kinsoku/>
        <w:wordWrap/>
        <w:overflowPunct/>
        <w:topLinePunct w:val="0"/>
        <w:bidi w:val="0"/>
        <w:spacing w:line="360" w:lineRule="auto"/>
        <w:ind w:firstLine="420" w:firstLineChars="200"/>
        <w:jc w:val="left"/>
        <w:outlineLvl w:val="0"/>
        <w:rPr>
          <w:rFonts w:hint="eastAsia" w:ascii="宋体" w:hAnsi="宋体" w:eastAsia="宋体" w:cs="宋体"/>
          <w:color w:val="auto"/>
          <w:szCs w:val="21"/>
          <w:highlight w:val="none"/>
        </w:rPr>
      </w:pPr>
      <w:bookmarkStart w:id="479" w:name="_Toc36066908"/>
      <w:bookmarkStart w:id="480" w:name="_Toc7090"/>
      <w:bookmarkStart w:id="481" w:name="_Toc18863"/>
      <w:bookmarkStart w:id="482" w:name="_Toc36066650"/>
      <w:bookmarkStart w:id="483" w:name="_Toc36066366"/>
      <w:bookmarkStart w:id="484" w:name="_Toc2744"/>
      <w:r>
        <w:rPr>
          <w:rFonts w:hint="eastAsia" w:ascii="宋体" w:hAnsi="宋体" w:eastAsia="宋体" w:cs="宋体"/>
          <w:color w:val="auto"/>
          <w:szCs w:val="21"/>
          <w:highlight w:val="none"/>
        </w:rPr>
        <w:t>关于是否扣留质量保证金的约定：</w:t>
      </w:r>
      <w:r>
        <w:rPr>
          <w:rFonts w:hint="eastAsia" w:ascii="宋体" w:hAnsi="宋体" w:eastAsia="宋体" w:cs="宋体"/>
          <w:color w:val="auto"/>
          <w:szCs w:val="21"/>
          <w:highlight w:val="none"/>
          <w:u w:val="single"/>
        </w:rPr>
        <w:t xml:space="preserve"> 扣留    </w:t>
      </w:r>
      <w:r>
        <w:rPr>
          <w:rFonts w:hint="eastAsia" w:ascii="宋体" w:hAnsi="宋体" w:eastAsia="宋体" w:cs="宋体"/>
          <w:color w:val="auto"/>
          <w:szCs w:val="21"/>
          <w:highlight w:val="none"/>
        </w:rPr>
        <w:t>。</w:t>
      </w:r>
      <w:bookmarkEnd w:id="479"/>
      <w:bookmarkEnd w:id="480"/>
      <w:bookmarkEnd w:id="481"/>
      <w:bookmarkEnd w:id="482"/>
      <w:bookmarkEnd w:id="483"/>
      <w:bookmarkEnd w:id="484"/>
      <w:bookmarkStart w:id="485" w:name="_Toc500856299"/>
      <w:bookmarkStart w:id="486" w:name="_Toc90964147"/>
      <w:bookmarkStart w:id="487" w:name="_Toc501717159"/>
      <w:bookmarkStart w:id="488" w:name="_Toc500745187"/>
      <w:bookmarkStart w:id="489" w:name="_Toc516215077"/>
    </w:p>
    <w:p w14:paraId="20CE0EAA">
      <w:pPr>
        <w:pageBreakBefore w:val="0"/>
        <w:kinsoku/>
        <w:wordWrap/>
        <w:overflowPunct/>
        <w:topLinePunct w:val="0"/>
        <w:bidi w:val="0"/>
        <w:spacing w:line="360" w:lineRule="auto"/>
        <w:ind w:firstLine="420" w:firstLineChars="200"/>
        <w:jc w:val="left"/>
        <w:outlineLvl w:val="0"/>
        <w:rPr>
          <w:rFonts w:hint="eastAsia" w:ascii="宋体" w:hAnsi="宋体" w:eastAsia="宋体" w:cs="宋体"/>
          <w:color w:val="auto"/>
          <w:szCs w:val="21"/>
          <w:highlight w:val="none"/>
        </w:rPr>
      </w:pPr>
      <w:bookmarkStart w:id="490" w:name="_Toc15"/>
      <w:bookmarkStart w:id="491" w:name="_Toc20198"/>
      <w:bookmarkStart w:id="492" w:name="_Toc27274"/>
      <w:bookmarkStart w:id="493" w:name="_Toc36066367"/>
      <w:bookmarkStart w:id="494" w:name="_Toc36066651"/>
      <w:bookmarkStart w:id="495" w:name="_Toc36066909"/>
      <w:r>
        <w:rPr>
          <w:rFonts w:hint="eastAsia" w:ascii="宋体" w:hAnsi="宋体" w:eastAsia="宋体" w:cs="宋体"/>
          <w:color w:val="auto"/>
          <w:szCs w:val="21"/>
          <w:highlight w:val="none"/>
        </w:rPr>
        <w:t>15.3.1 承包人提供质量保证金的方式</w:t>
      </w:r>
      <w:bookmarkEnd w:id="485"/>
      <w:bookmarkEnd w:id="486"/>
      <w:bookmarkEnd w:id="487"/>
      <w:bookmarkEnd w:id="488"/>
      <w:bookmarkEnd w:id="489"/>
      <w:bookmarkEnd w:id="490"/>
      <w:bookmarkEnd w:id="491"/>
      <w:bookmarkEnd w:id="492"/>
      <w:bookmarkEnd w:id="493"/>
      <w:bookmarkEnd w:id="494"/>
      <w:bookmarkEnd w:id="495"/>
    </w:p>
    <w:p w14:paraId="180F1E13">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质量保证金采用以下第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w:t>
      </w:r>
    </w:p>
    <w:p w14:paraId="406A6595">
      <w:pPr>
        <w:pageBreakBefore w:val="0"/>
        <w:kinsoku/>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（1）质量保证金保函，保证金额为：</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 xml:space="preserve">； </w:t>
      </w:r>
    </w:p>
    <w:p w14:paraId="1FA85997">
      <w:pPr>
        <w:pageBreakBefore w:val="0"/>
        <w:kinsoku/>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xml:space="preserve">   3  </w:t>
      </w:r>
      <w:r>
        <w:rPr>
          <w:rFonts w:hint="eastAsia" w:ascii="宋体" w:hAnsi="宋体" w:eastAsia="宋体" w:cs="宋体"/>
          <w:color w:val="auto"/>
          <w:kern w:val="0"/>
          <w:szCs w:val="21"/>
          <w:highlight w:val="none"/>
        </w:rPr>
        <w:t>%的工程款；</w:t>
      </w:r>
    </w:p>
    <w:p w14:paraId="44535E90">
      <w:pPr>
        <w:pageBreakBefore w:val="0"/>
        <w:kinsoku/>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（3）其他方式:</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015BC2A4">
      <w:pPr>
        <w:pageBreakBefore w:val="0"/>
        <w:kinsoku/>
        <w:wordWrap/>
        <w:overflowPunct/>
        <w:topLinePunct w:val="0"/>
        <w:bidi w:val="0"/>
        <w:spacing w:line="360" w:lineRule="auto"/>
        <w:ind w:firstLine="420" w:firstLineChars="200"/>
        <w:jc w:val="left"/>
        <w:outlineLvl w:val="0"/>
        <w:rPr>
          <w:rFonts w:hint="eastAsia" w:ascii="宋体" w:hAnsi="宋体" w:eastAsia="宋体" w:cs="宋体"/>
          <w:color w:val="auto"/>
          <w:szCs w:val="21"/>
          <w:highlight w:val="none"/>
        </w:rPr>
      </w:pPr>
      <w:bookmarkStart w:id="496" w:name="_Toc1578"/>
      <w:bookmarkStart w:id="497" w:name="_Toc22015"/>
      <w:bookmarkStart w:id="498" w:name="_Toc501717160"/>
      <w:bookmarkStart w:id="499" w:name="_Toc516215078"/>
      <w:bookmarkStart w:id="500" w:name="_Toc36066910"/>
      <w:bookmarkStart w:id="501" w:name="_Toc500856300"/>
      <w:bookmarkStart w:id="502" w:name="_Toc500745188"/>
      <w:bookmarkStart w:id="503" w:name="_Toc16073"/>
      <w:bookmarkStart w:id="504" w:name="_Toc36066652"/>
      <w:bookmarkStart w:id="505" w:name="_Toc36066368"/>
      <w:bookmarkStart w:id="506" w:name="_Toc90964148"/>
      <w:r>
        <w:rPr>
          <w:rFonts w:hint="eastAsia" w:ascii="宋体" w:hAnsi="宋体" w:eastAsia="宋体" w:cs="宋体"/>
          <w:color w:val="auto"/>
          <w:szCs w:val="21"/>
          <w:highlight w:val="none"/>
        </w:rPr>
        <w:t>15.3.2 质量保证金的扣留</w:t>
      </w:r>
      <w:bookmarkEnd w:id="496"/>
      <w:bookmarkEnd w:id="497"/>
      <w:bookmarkEnd w:id="498"/>
      <w:bookmarkEnd w:id="499"/>
      <w:bookmarkEnd w:id="500"/>
      <w:bookmarkEnd w:id="501"/>
      <w:bookmarkEnd w:id="502"/>
      <w:bookmarkEnd w:id="503"/>
      <w:bookmarkEnd w:id="504"/>
      <w:bookmarkEnd w:id="505"/>
      <w:r>
        <w:rPr>
          <w:rFonts w:hint="eastAsia" w:ascii="宋体" w:hAnsi="宋体" w:eastAsia="宋体" w:cs="宋体"/>
          <w:color w:val="auto"/>
          <w:szCs w:val="21"/>
          <w:highlight w:val="none"/>
        </w:rPr>
        <w:t xml:space="preserve"> </w:t>
      </w:r>
      <w:bookmarkEnd w:id="506"/>
    </w:p>
    <w:p w14:paraId="5DF9ADBF">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质量保证金的扣留采取以下第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w:t>
      </w:r>
    </w:p>
    <w:p w14:paraId="4157C76D">
      <w:pPr>
        <w:pageBreakBefore w:val="0"/>
        <w:kinsoku/>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（1）在支付工程进度款时逐次扣留，在此情形下，质量保证金的计算基数不包括预付款的支付、扣回以及价格调整的金额；</w:t>
      </w:r>
    </w:p>
    <w:p w14:paraId="17AE683D">
      <w:pPr>
        <w:pageBreakBefore w:val="0"/>
        <w:kinsoku/>
        <w:wordWrap/>
        <w:overflowPunct/>
        <w:topLinePunct w:val="0"/>
        <w:autoSpaceDE w:val="0"/>
        <w:autoSpaceDN w:val="0"/>
        <w:bidi w:val="0"/>
        <w:adjustRightInd w:val="0"/>
        <w:spacing w:line="360" w:lineRule="auto"/>
        <w:ind w:firstLine="420" w:firstLineChars="200"/>
        <w:jc w:val="left"/>
        <w:outlineLvl w:val="0"/>
        <w:rPr>
          <w:rFonts w:hint="eastAsia" w:ascii="宋体" w:hAnsi="宋体" w:eastAsia="宋体" w:cs="宋体"/>
          <w:color w:val="auto"/>
          <w:kern w:val="0"/>
          <w:szCs w:val="21"/>
          <w:highlight w:val="none"/>
        </w:rPr>
      </w:pPr>
      <w:bookmarkStart w:id="507" w:name="_Toc36066653"/>
      <w:bookmarkStart w:id="508" w:name="_Toc24130"/>
      <w:bookmarkStart w:id="509" w:name="_Toc500856301"/>
      <w:bookmarkStart w:id="510" w:name="_Toc501717161"/>
      <w:bookmarkStart w:id="511" w:name="_Toc500745189"/>
      <w:bookmarkStart w:id="512" w:name="_Toc36066369"/>
      <w:bookmarkStart w:id="513" w:name="_Toc15752"/>
      <w:bookmarkStart w:id="514" w:name="_Toc36066911"/>
      <w:bookmarkStart w:id="515" w:name="_Toc16759"/>
      <w:bookmarkStart w:id="516" w:name="_Toc516215079"/>
      <w:bookmarkStart w:id="517" w:name="_Toc90964149"/>
      <w:r>
        <w:rPr>
          <w:rFonts w:hint="eastAsia" w:ascii="宋体" w:hAnsi="宋体" w:eastAsia="宋体" w:cs="宋体"/>
          <w:color w:val="auto"/>
          <w:kern w:val="0"/>
          <w:szCs w:val="21"/>
          <w:highlight w:val="none"/>
        </w:rPr>
        <w:t>（2）工程竣工结算时一次性扣留质量保证金；</w:t>
      </w:r>
      <w:bookmarkEnd w:id="507"/>
      <w:bookmarkEnd w:id="508"/>
      <w:bookmarkEnd w:id="509"/>
      <w:bookmarkEnd w:id="510"/>
      <w:bookmarkEnd w:id="511"/>
      <w:bookmarkEnd w:id="512"/>
      <w:bookmarkEnd w:id="513"/>
      <w:bookmarkEnd w:id="514"/>
      <w:bookmarkEnd w:id="515"/>
      <w:bookmarkEnd w:id="516"/>
      <w:bookmarkEnd w:id="517"/>
    </w:p>
    <w:p w14:paraId="06DF4B8B">
      <w:pPr>
        <w:pageBreakBefore w:val="0"/>
        <w:kinsoku/>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（3）其他扣留方式:</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010ACA29">
      <w:pPr>
        <w:pageBreakBefore w:val="0"/>
        <w:kinsoku/>
        <w:wordWrap/>
        <w:overflowPunct/>
        <w:topLinePunct w:val="0"/>
        <w:bidi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关于质量保证金的补充约定：</w:t>
      </w:r>
      <w:r>
        <w:rPr>
          <w:rFonts w:hint="eastAsia" w:ascii="宋体" w:hAnsi="宋体" w:eastAsia="宋体" w:cs="宋体"/>
          <w:color w:val="auto"/>
          <w:sz w:val="22"/>
          <w:szCs w:val="22"/>
          <w:highlight w:val="none"/>
          <w:u w:val="single"/>
        </w:rPr>
        <w:t>按工程价款结算总额的3%，在工程结算时</w:t>
      </w:r>
      <w:r>
        <w:rPr>
          <w:rFonts w:hint="eastAsia" w:ascii="宋体" w:hAnsi="宋体" w:eastAsia="宋体" w:cs="宋体"/>
          <w:color w:val="auto"/>
          <w:sz w:val="22"/>
          <w:szCs w:val="22"/>
          <w:highlight w:val="none"/>
          <w:u w:val="single"/>
          <w:lang w:val="en-US" w:eastAsia="zh-CN"/>
        </w:rPr>
        <w:t>由承包人单独缴纳</w:t>
      </w:r>
      <w:r>
        <w:rPr>
          <w:rFonts w:hint="eastAsia" w:ascii="宋体" w:hAnsi="宋体" w:eastAsia="宋体" w:cs="宋体"/>
          <w:color w:val="auto"/>
          <w:sz w:val="22"/>
          <w:szCs w:val="22"/>
          <w:highlight w:val="none"/>
          <w:u w:val="single"/>
        </w:rPr>
        <w:t>结算总额的3%当做质保金。发包人在</w:t>
      </w:r>
      <w:r>
        <w:rPr>
          <w:rFonts w:hint="eastAsia" w:ascii="宋体" w:hAnsi="宋体" w:eastAsia="宋体" w:cs="宋体"/>
          <w:color w:val="auto"/>
          <w:sz w:val="22"/>
          <w:szCs w:val="22"/>
          <w:highlight w:val="none"/>
          <w:u w:val="single"/>
          <w:lang w:val="en-US" w:eastAsia="zh-CN"/>
        </w:rPr>
        <w:t>二</w:t>
      </w:r>
      <w:r>
        <w:rPr>
          <w:rFonts w:hint="eastAsia" w:ascii="宋体" w:hAnsi="宋体" w:eastAsia="宋体" w:cs="宋体"/>
          <w:color w:val="auto"/>
          <w:sz w:val="22"/>
          <w:szCs w:val="22"/>
          <w:highlight w:val="none"/>
          <w:u w:val="single"/>
        </w:rPr>
        <w:t>年质保期结束后，如无质量问题后14天，无息退还质量保修金。</w:t>
      </w:r>
    </w:p>
    <w:p w14:paraId="28B8A0DF">
      <w:pPr>
        <w:pageBreakBefore w:val="0"/>
        <w:kinsoku/>
        <w:wordWrap/>
        <w:overflowPunct/>
        <w:topLinePunct w:val="0"/>
        <w:bidi w:val="0"/>
        <w:spacing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15.4保修</w:t>
      </w:r>
    </w:p>
    <w:p w14:paraId="0E278EE1">
      <w:pPr>
        <w:pageBreakBefore w:val="0"/>
        <w:kinsoku/>
        <w:wordWrap/>
        <w:overflowPunct/>
        <w:topLinePunct w:val="0"/>
        <w:bidi w:val="0"/>
        <w:spacing w:line="360" w:lineRule="auto"/>
        <w:ind w:firstLine="409"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15.4.1 保修责任</w:t>
      </w:r>
    </w:p>
    <w:p w14:paraId="17E0AE8A">
      <w:pPr>
        <w:pageBreakBefore w:val="0"/>
        <w:widowControl/>
        <w:kinsoku/>
        <w:wordWrap/>
        <w:overflowPunct/>
        <w:topLinePunct w:val="0"/>
        <w:bidi w:val="0"/>
        <w:spacing w:line="360" w:lineRule="auto"/>
        <w:ind w:firstLine="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工程保修期为：</w:t>
      </w:r>
      <w:r>
        <w:rPr>
          <w:rFonts w:hint="eastAsia" w:ascii="宋体" w:hAnsi="宋体" w:eastAsia="宋体" w:cs="宋体"/>
          <w:color w:val="auto"/>
          <w:kern w:val="0"/>
          <w:szCs w:val="21"/>
          <w:highlight w:val="none"/>
          <w:u w:val="single"/>
        </w:rPr>
        <w:t xml:space="preserve">  地基基础工程和主体结构工程为设计文件规定的工程合理使用年限；</w:t>
      </w:r>
      <w:r>
        <w:rPr>
          <w:rFonts w:hint="eastAsia" w:ascii="宋体" w:hAnsi="宋体" w:eastAsia="宋体" w:cs="宋体"/>
          <w:color w:val="auto"/>
          <w:szCs w:val="21"/>
          <w:highlight w:val="none"/>
          <w:u w:val="single"/>
        </w:rPr>
        <w:t xml:space="preserve">防水、防漏责任期限为5年；给排水管道、电气管线责任期限为2年；供冷、供暖责任期限为两个供暖期及供冷期；装修责任期限为2年   </w:t>
      </w:r>
      <w:r>
        <w:rPr>
          <w:rFonts w:hint="eastAsia" w:ascii="宋体" w:hAnsi="宋体" w:eastAsia="宋体" w:cs="宋体"/>
          <w:color w:val="auto"/>
          <w:szCs w:val="21"/>
          <w:highlight w:val="none"/>
        </w:rPr>
        <w:t>。</w:t>
      </w:r>
    </w:p>
    <w:p w14:paraId="2B6CA57B">
      <w:pPr>
        <w:pageBreakBefore w:val="0"/>
        <w:kinsoku/>
        <w:wordWrap/>
        <w:overflowPunct/>
        <w:topLinePunct w:val="0"/>
        <w:bidi w:val="0"/>
        <w:spacing w:line="360" w:lineRule="auto"/>
        <w:ind w:firstLine="409"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 修复通知</w:t>
      </w:r>
    </w:p>
    <w:p w14:paraId="3080723F">
      <w:pPr>
        <w:keepNext/>
        <w:keepLines/>
        <w:pageBreakBefore w:val="0"/>
        <w:kinsoku/>
        <w:wordWrap/>
        <w:overflowPunct/>
        <w:topLinePunct w:val="0"/>
        <w:bidi w:val="0"/>
        <w:spacing w:before="120" w:after="120" w:line="360" w:lineRule="auto"/>
        <w:outlineLvl w:val="3"/>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rPr>
        <w:t>承包人收到保修通知并到达工程现场的合理时间</w:t>
      </w:r>
      <w:r>
        <w:rPr>
          <w:rFonts w:hint="eastAsia" w:ascii="宋体" w:hAnsi="宋体" w:eastAsia="宋体" w:cs="宋体"/>
          <w:b/>
          <w:bCs/>
          <w:color w:val="auto"/>
          <w:kern w:val="0"/>
          <w:szCs w:val="21"/>
          <w:highlight w:val="none"/>
          <w:u w:val="single"/>
        </w:rPr>
        <w:t xml:space="preserve">  24小时内  。</w:t>
      </w:r>
    </w:p>
    <w:p w14:paraId="365FA171">
      <w:pPr>
        <w:keepNext/>
        <w:keepLines/>
        <w:pageBreakBefore w:val="0"/>
        <w:kinsoku/>
        <w:wordWrap/>
        <w:overflowPunct/>
        <w:topLinePunct w:val="0"/>
        <w:bidi w:val="0"/>
        <w:spacing w:before="120" w:after="120" w:line="360" w:lineRule="auto"/>
        <w:outlineLvl w:val="3"/>
        <w:rPr>
          <w:rFonts w:hint="eastAsia" w:ascii="宋体" w:hAnsi="宋体" w:eastAsia="宋体" w:cs="宋体"/>
          <w:bCs/>
          <w:color w:val="auto"/>
          <w:szCs w:val="21"/>
          <w:highlight w:val="none"/>
        </w:rPr>
      </w:pPr>
      <w:bookmarkStart w:id="518" w:name="_Toc351203648"/>
      <w:r>
        <w:rPr>
          <w:rFonts w:hint="eastAsia" w:ascii="宋体" w:hAnsi="宋体" w:eastAsia="宋体" w:cs="宋体"/>
          <w:bCs/>
          <w:color w:val="auto"/>
          <w:szCs w:val="21"/>
          <w:highlight w:val="none"/>
        </w:rPr>
        <w:t>16. 违约</w:t>
      </w:r>
      <w:bookmarkEnd w:id="518"/>
    </w:p>
    <w:p w14:paraId="4DD874B5">
      <w:pPr>
        <w:pageBreakBefore w:val="0"/>
        <w:kinsoku/>
        <w:wordWrap/>
        <w:overflowPunct/>
        <w:topLinePunct w:val="0"/>
        <w:bidi w:val="0"/>
        <w:spacing w:after="120" w:line="360" w:lineRule="auto"/>
        <w:ind w:firstLine="420" w:firstLineChars="200"/>
        <w:outlineLvl w:val="0"/>
        <w:rPr>
          <w:rFonts w:hint="eastAsia" w:ascii="宋体" w:hAnsi="宋体" w:eastAsia="宋体" w:cs="宋体"/>
          <w:color w:val="auto"/>
          <w:szCs w:val="21"/>
          <w:highlight w:val="none"/>
        </w:rPr>
      </w:pPr>
      <w:bookmarkStart w:id="519" w:name="_Toc500745190"/>
      <w:bookmarkStart w:id="520" w:name="_Toc12578"/>
      <w:bookmarkStart w:id="521" w:name="_Toc1930"/>
      <w:bookmarkStart w:id="522" w:name="_Toc36066654"/>
      <w:bookmarkStart w:id="523" w:name="_Toc90964150"/>
      <w:bookmarkStart w:id="524" w:name="_Toc500856302"/>
      <w:bookmarkStart w:id="525" w:name="_Toc36066912"/>
      <w:bookmarkStart w:id="526" w:name="_Toc501717162"/>
      <w:bookmarkStart w:id="527" w:name="_Toc36066370"/>
      <w:bookmarkStart w:id="528" w:name="_Toc2818"/>
      <w:bookmarkStart w:id="529" w:name="_Toc516215080"/>
      <w:r>
        <w:rPr>
          <w:rFonts w:hint="eastAsia" w:ascii="宋体" w:hAnsi="宋体" w:eastAsia="宋体" w:cs="宋体"/>
          <w:color w:val="auto"/>
          <w:szCs w:val="21"/>
          <w:highlight w:val="none"/>
        </w:rPr>
        <w:t>16.1 发包人违约</w:t>
      </w:r>
      <w:bookmarkEnd w:id="519"/>
      <w:bookmarkEnd w:id="520"/>
      <w:bookmarkEnd w:id="521"/>
      <w:bookmarkEnd w:id="522"/>
      <w:bookmarkEnd w:id="523"/>
      <w:bookmarkEnd w:id="524"/>
      <w:bookmarkEnd w:id="525"/>
      <w:bookmarkEnd w:id="526"/>
      <w:bookmarkEnd w:id="527"/>
      <w:bookmarkEnd w:id="528"/>
      <w:bookmarkEnd w:id="529"/>
    </w:p>
    <w:p w14:paraId="535DCBAA">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16.1.1发包人违约的情形</w:t>
      </w:r>
    </w:p>
    <w:p w14:paraId="214A6CA0">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发包人违约的其他情形：</w:t>
      </w:r>
      <w:r>
        <w:rPr>
          <w:rFonts w:hint="eastAsia" w:ascii="宋体" w:hAnsi="宋体" w:eastAsia="宋体" w:cs="宋体"/>
          <w:color w:val="auto"/>
          <w:kern w:val="0"/>
          <w:szCs w:val="21"/>
          <w:highlight w:val="none"/>
          <w:u w:val="single"/>
        </w:rPr>
        <w:t xml:space="preserve">       无      。</w:t>
      </w:r>
    </w:p>
    <w:p w14:paraId="75A3D258">
      <w:pPr>
        <w:pageBreakBefore w:val="0"/>
        <w:kinsoku/>
        <w:wordWrap/>
        <w:overflowPunct/>
        <w:topLinePunct w:val="0"/>
        <w:bidi w:val="0"/>
        <w:spacing w:line="360" w:lineRule="auto"/>
        <w:ind w:left="1050" w:hanging="1050" w:hangingChars="5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16.1.2 发包人违约的责任</w:t>
      </w:r>
    </w:p>
    <w:p w14:paraId="055801ED">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发包人违约责任的承担方式和计算方法：</w:t>
      </w:r>
    </w:p>
    <w:p w14:paraId="61DDE7E0">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（1）因发包人原因未能在计划开工日期前7天内下达开工通知的违约责任：</w:t>
      </w:r>
      <w:r>
        <w:rPr>
          <w:rFonts w:hint="eastAsia" w:ascii="宋体" w:hAnsi="宋体" w:eastAsia="宋体" w:cs="宋体"/>
          <w:color w:val="auto"/>
          <w:kern w:val="0"/>
          <w:szCs w:val="21"/>
          <w:highlight w:val="none"/>
          <w:u w:val="single"/>
        </w:rPr>
        <w:t xml:space="preserve"> /        </w:t>
      </w:r>
    </w:p>
    <w:p w14:paraId="6A51FEC7">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（2）因发包人原因未能按合同约定支付合同价款的违约责任：</w:t>
      </w:r>
      <w:r>
        <w:rPr>
          <w:rFonts w:hint="eastAsia" w:ascii="宋体" w:hAnsi="宋体" w:eastAsia="宋体" w:cs="宋体"/>
          <w:color w:val="auto"/>
          <w:kern w:val="0"/>
          <w:szCs w:val="21"/>
          <w:highlight w:val="none"/>
          <w:u w:val="single"/>
        </w:rPr>
        <w:t xml:space="preserve">  /  </w:t>
      </w:r>
    </w:p>
    <w:p w14:paraId="5C141CE0">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（3）发包人违反第10.1款〔变更的范围〕第（2）项约定，自行实施被取消的工作或转由他人实施的违约责任：</w:t>
      </w:r>
      <w:r>
        <w:rPr>
          <w:rFonts w:hint="eastAsia" w:ascii="宋体" w:hAnsi="宋体" w:eastAsia="宋体" w:cs="宋体"/>
          <w:color w:val="auto"/>
          <w:kern w:val="0"/>
          <w:szCs w:val="21"/>
          <w:highlight w:val="none"/>
          <w:u w:val="single"/>
        </w:rPr>
        <w:t xml:space="preserve">    /</w:t>
      </w:r>
    </w:p>
    <w:p w14:paraId="0597BD3A">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093723C3">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（5）因发包人违反合同约定造成暂停施工的违约责任：</w:t>
      </w:r>
      <w:r>
        <w:rPr>
          <w:rFonts w:hint="eastAsia" w:ascii="宋体" w:hAnsi="宋体" w:eastAsia="宋体" w:cs="宋体"/>
          <w:color w:val="auto"/>
          <w:kern w:val="0"/>
          <w:szCs w:val="21"/>
          <w:highlight w:val="none"/>
          <w:u w:val="single"/>
        </w:rPr>
        <w:t xml:space="preserve">  /   。</w:t>
      </w:r>
    </w:p>
    <w:p w14:paraId="31A04843">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（6）发包人无正当理由没有在约定期限内发出复工指示，导致承包人无法复工的违约责任：</w:t>
      </w:r>
      <w:r>
        <w:rPr>
          <w:rFonts w:hint="eastAsia" w:ascii="宋体" w:hAnsi="宋体" w:eastAsia="宋体" w:cs="宋体"/>
          <w:color w:val="auto"/>
          <w:kern w:val="0"/>
          <w:szCs w:val="21"/>
          <w:highlight w:val="none"/>
          <w:u w:val="single"/>
        </w:rPr>
        <w:t xml:space="preserve">    执行通用条款   </w:t>
      </w:r>
      <w:r>
        <w:rPr>
          <w:rFonts w:hint="eastAsia" w:ascii="宋体" w:hAnsi="宋体" w:eastAsia="宋体" w:cs="宋体"/>
          <w:color w:val="auto"/>
          <w:kern w:val="0"/>
          <w:szCs w:val="21"/>
          <w:highlight w:val="none"/>
        </w:rPr>
        <w:t>。</w:t>
      </w:r>
    </w:p>
    <w:p w14:paraId="101936D5">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（7）其他：</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02986199">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16.1.3 因发包人违约解除合同</w:t>
      </w:r>
    </w:p>
    <w:p w14:paraId="30775430">
      <w:pPr>
        <w:pageBreakBefore w:val="0"/>
        <w:kinsoku/>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承包人按16.1.1项〔发包人违约的情形〕约定暂停施工满</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天后发包人仍不纠正其违约行为并致使合同目的不能实现的，承包人有权解除合同。</w:t>
      </w:r>
    </w:p>
    <w:p w14:paraId="2ECB81FF">
      <w:pPr>
        <w:pageBreakBefore w:val="0"/>
        <w:kinsoku/>
        <w:wordWrap/>
        <w:overflowPunct/>
        <w:topLinePunct w:val="0"/>
        <w:bidi w:val="0"/>
        <w:spacing w:after="120" w:line="360" w:lineRule="auto"/>
        <w:ind w:firstLine="420" w:firstLineChars="200"/>
        <w:outlineLvl w:val="0"/>
        <w:rPr>
          <w:rFonts w:hint="eastAsia" w:ascii="宋体" w:hAnsi="宋体" w:eastAsia="宋体" w:cs="宋体"/>
          <w:color w:val="auto"/>
          <w:szCs w:val="21"/>
          <w:highlight w:val="none"/>
        </w:rPr>
      </w:pPr>
      <w:bookmarkStart w:id="530" w:name="_Toc500856303"/>
      <w:bookmarkStart w:id="531" w:name="_Toc90964151"/>
      <w:bookmarkStart w:id="532" w:name="_Toc36066655"/>
      <w:bookmarkStart w:id="533" w:name="_Toc8111"/>
      <w:bookmarkStart w:id="534" w:name="_Toc26274"/>
      <w:bookmarkStart w:id="535" w:name="_Toc7711"/>
      <w:bookmarkStart w:id="536" w:name="_Toc516215081"/>
      <w:bookmarkStart w:id="537" w:name="_Toc500745191"/>
      <w:bookmarkStart w:id="538" w:name="_Toc501717163"/>
      <w:bookmarkStart w:id="539" w:name="_Toc36066371"/>
      <w:bookmarkStart w:id="540" w:name="_Toc36066913"/>
      <w:r>
        <w:rPr>
          <w:rFonts w:hint="eastAsia" w:ascii="宋体" w:hAnsi="宋体" w:eastAsia="宋体" w:cs="宋体"/>
          <w:color w:val="auto"/>
          <w:szCs w:val="21"/>
          <w:highlight w:val="none"/>
        </w:rPr>
        <w:t>16.2 承包人违约</w:t>
      </w:r>
      <w:bookmarkEnd w:id="530"/>
      <w:bookmarkEnd w:id="531"/>
      <w:bookmarkEnd w:id="532"/>
      <w:bookmarkEnd w:id="533"/>
      <w:bookmarkEnd w:id="534"/>
      <w:bookmarkEnd w:id="535"/>
      <w:bookmarkEnd w:id="536"/>
      <w:bookmarkEnd w:id="537"/>
      <w:bookmarkEnd w:id="538"/>
      <w:bookmarkEnd w:id="539"/>
      <w:bookmarkEnd w:id="540"/>
    </w:p>
    <w:p w14:paraId="351938F6">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16.2.1 承包人违约的情形</w:t>
      </w:r>
    </w:p>
    <w:p w14:paraId="68F1B49F">
      <w:pPr>
        <w:pageBreakBefore w:val="0"/>
        <w:kinsoku/>
        <w:wordWrap/>
        <w:overflowPunct/>
        <w:topLinePunct w:val="0"/>
        <w:autoSpaceDE w:val="0"/>
        <w:autoSpaceDN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本工程完成时间应服从合同工期的总体要求，如果因承包人原因导致实际进度与监理审批后的进度计划不符，承包人无措施或无法按工期完工或质量无法达到合同要求的，发包人有权对未完工程指定第三方施工，承包人必须无条件服从和配合，此部分工程费用由发包人按实际发生费用从承包人的工程款中扣除，并加收10%的管理费；同时，发包人有权单方解除合同，并扣除承包人履约保证金，承包人无条件退场。</w:t>
      </w:r>
    </w:p>
    <w:p w14:paraId="024D6827">
      <w:pPr>
        <w:pageBreakBefore w:val="0"/>
        <w:kinsoku/>
        <w:wordWrap/>
        <w:overflowPunct/>
        <w:topLinePunct w:val="0"/>
        <w:autoSpaceDE w:val="0"/>
        <w:autoSpaceDN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2）承包人出现资金不到位、劳资纠纷、材料供应中断等情况，造成连续5天以上停工或累计停工10天以上，且无正当理由及明确可行措施的，发包人有权单方解除合同，并扣除承包人履约保证金，承包人无条件退场；</w:t>
      </w:r>
    </w:p>
    <w:p w14:paraId="375B7246">
      <w:pPr>
        <w:pageBreakBefore w:val="0"/>
        <w:kinsoku/>
        <w:wordWrap/>
        <w:overflowPunct/>
        <w:topLinePunct w:val="0"/>
        <w:autoSpaceDE w:val="0"/>
        <w:autoSpaceDN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工程竣工验收合格后30天内，承包人必须将符合发包人要求的竣工资料提交给发包人，否则，延迟1-10天，承包人每天向发包人支付0.1万元的违约金；延迟超过10天以上者，承包人每天向发包人支付0.2万元的违约金，也可从承包人剩余工程款中扣除。</w:t>
      </w:r>
    </w:p>
    <w:p w14:paraId="3649D21C">
      <w:pPr>
        <w:pageBreakBefore w:val="0"/>
        <w:kinsoku/>
        <w:wordWrap/>
        <w:overflowPunct/>
        <w:topLinePunct w:val="0"/>
        <w:autoSpaceDE w:val="0"/>
        <w:autoSpaceDN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4）如因工程质量问题不能按时交付，承包人应按行业主管部门或发包方要求在30日内自费完成整改；若承包人怠于整改或经整改一次后验收仍不合格时，发包人有权单方解除合同、拒付工程款，承包人需向发包人支付违约金3万元并扣除全部履约保证金，并赔偿发包人因此受到的损失。</w:t>
      </w:r>
    </w:p>
    <w:p w14:paraId="3AA265EB">
      <w:pPr>
        <w:pageBreakBefore w:val="0"/>
        <w:kinsoku/>
        <w:wordWrap/>
        <w:overflowPunct/>
        <w:topLinePunct w:val="0"/>
        <w:autoSpaceDE w:val="0"/>
        <w:autoSpaceDN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（5）承包人不得对外转包或分包工程，否则发包人有权单方解除合同、停付工程款，承包人需向发包人支付违约金3万元并扣除全部履约保证金，并赔偿发包人因此受到的损失。</w:t>
      </w:r>
    </w:p>
    <w:p w14:paraId="720EAAA8">
      <w:pPr>
        <w:pageBreakBefore w:val="0"/>
        <w:kinsoku/>
        <w:wordWrap/>
        <w:overflowPunct/>
        <w:topLinePunct w:val="0"/>
        <w:autoSpaceDE w:val="0"/>
        <w:autoSpaceDN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6）在本协议履行过程中，无论任何原因造成如罢工游行、堵门堵路、扯条幅等影响发包人利益或者损坏发包人形象的行为，每次承包人须向发包人支付3万元违约金并承担相关法律责任；受到报纸、电视、网络等媒体的曝光或政府有关主管部门的通报批评，每次承包人须向发包人支付5万元违约金并承担相关法律责任。违约金由发包人从承包人工程款中扣除。若经过劝阻仍不停止罢工、堵门堵路、扯条幅等行为，发包人有权单方解除合同，并拒付一切款项。</w:t>
      </w:r>
    </w:p>
    <w:p w14:paraId="68466341">
      <w:pPr>
        <w:pageBreakBefore w:val="0"/>
        <w:kinsoku/>
        <w:wordWrap/>
        <w:overflowPunct/>
        <w:topLinePunct w:val="0"/>
        <w:bidi w:val="0"/>
        <w:spacing w:line="360" w:lineRule="auto"/>
        <w:ind w:firstLine="422" w:firstLineChars="20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7）一旦合同解除，承包人须在3日内撤场，并协助发包人办理有关手续，逾期每日支付0.5万元违约金，违约金由发包人从承包人工程款中扣除；超过10日的视为承包人放弃场地内一切财产和权益，发包人有权自行处理。</w:t>
      </w:r>
    </w:p>
    <w:p w14:paraId="60D6982C">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16.2.2承包人违约的责任:</w:t>
      </w:r>
    </w:p>
    <w:p w14:paraId="607E9F22">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承包人违约责任的承担方式和计算方法：</w:t>
      </w:r>
      <w:r>
        <w:rPr>
          <w:rFonts w:hint="eastAsia" w:ascii="宋体" w:hAnsi="宋体" w:eastAsia="宋体" w:cs="宋体"/>
          <w:b/>
          <w:bCs/>
          <w:color w:val="auto"/>
          <w:kern w:val="0"/>
          <w:szCs w:val="21"/>
          <w:highlight w:val="none"/>
          <w:u w:val="single"/>
        </w:rPr>
        <w:t>工程质量因不符合合同规定或行业主管部门要求负责无偿修理或返工。由于修理返工或承包方其他原因造成工程竣工交付时间延期，工期、质量、安全保证金予以扣除</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 xml:space="preserve">    </w:t>
      </w:r>
    </w:p>
    <w:p w14:paraId="6798979D">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16.2.3 因承包人违约解除合同</w:t>
      </w:r>
    </w:p>
    <w:p w14:paraId="2B49E79F">
      <w:pPr>
        <w:pageBreakBefore w:val="0"/>
        <w:kinsoku/>
        <w:wordWrap/>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关于承包人违约解除合同的特别约定：</w:t>
      </w:r>
      <w:r>
        <w:rPr>
          <w:rFonts w:hint="eastAsia" w:ascii="宋体" w:hAnsi="宋体" w:eastAsia="宋体" w:cs="宋体"/>
          <w:b/>
          <w:color w:val="auto"/>
          <w:szCs w:val="21"/>
          <w:highlight w:val="none"/>
          <w:u w:val="single"/>
        </w:rPr>
        <w:t>按通用条款执行</w:t>
      </w:r>
      <w:r>
        <w:rPr>
          <w:rFonts w:hint="eastAsia" w:ascii="宋体" w:hAnsi="宋体" w:eastAsia="宋体" w:cs="宋体"/>
          <w:color w:val="auto"/>
          <w:kern w:val="0"/>
          <w:szCs w:val="21"/>
          <w:highlight w:val="none"/>
        </w:rPr>
        <w:t>。</w:t>
      </w:r>
    </w:p>
    <w:p w14:paraId="0D081DA2">
      <w:pPr>
        <w:pageBreakBefore w:val="0"/>
        <w:kinsoku/>
        <w:wordWrap/>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b/>
          <w:color w:val="auto"/>
          <w:szCs w:val="21"/>
          <w:highlight w:val="none"/>
          <w:u w:val="single"/>
        </w:rPr>
        <w:t>另行协商</w:t>
      </w:r>
      <w:r>
        <w:rPr>
          <w:rFonts w:hint="eastAsia" w:ascii="宋体" w:hAnsi="宋体" w:eastAsia="宋体" w:cs="宋体"/>
          <w:color w:val="auto"/>
          <w:kern w:val="0"/>
          <w:szCs w:val="21"/>
          <w:highlight w:val="none"/>
        </w:rPr>
        <w:t>。</w:t>
      </w:r>
    </w:p>
    <w:p w14:paraId="49FA12E7">
      <w:pPr>
        <w:keepNext/>
        <w:keepLines/>
        <w:pageBreakBefore w:val="0"/>
        <w:kinsoku/>
        <w:wordWrap/>
        <w:overflowPunct/>
        <w:topLinePunct w:val="0"/>
        <w:bidi w:val="0"/>
        <w:spacing w:before="120" w:after="120" w:line="360" w:lineRule="auto"/>
        <w:outlineLvl w:val="3"/>
        <w:rPr>
          <w:rFonts w:hint="eastAsia" w:ascii="宋体" w:hAnsi="宋体" w:eastAsia="宋体" w:cs="宋体"/>
          <w:bCs/>
          <w:color w:val="auto"/>
          <w:szCs w:val="21"/>
          <w:highlight w:val="none"/>
        </w:rPr>
      </w:pPr>
      <w:bookmarkStart w:id="541" w:name="_Toc351203649"/>
      <w:r>
        <w:rPr>
          <w:rFonts w:hint="eastAsia" w:ascii="宋体" w:hAnsi="宋体" w:eastAsia="宋体" w:cs="宋体"/>
          <w:bCs/>
          <w:color w:val="auto"/>
          <w:szCs w:val="21"/>
          <w:highlight w:val="none"/>
        </w:rPr>
        <w:t>17. 不可抗力</w:t>
      </w:r>
      <w:bookmarkEnd w:id="541"/>
      <w:r>
        <w:rPr>
          <w:rFonts w:hint="eastAsia" w:ascii="宋体" w:hAnsi="宋体" w:eastAsia="宋体" w:cs="宋体"/>
          <w:bCs/>
          <w:color w:val="auto"/>
          <w:szCs w:val="21"/>
          <w:highlight w:val="none"/>
        </w:rPr>
        <w:t xml:space="preserve"> </w:t>
      </w:r>
    </w:p>
    <w:p w14:paraId="793EC6C1">
      <w:pPr>
        <w:pageBreakBefore w:val="0"/>
        <w:kinsoku/>
        <w:wordWrap/>
        <w:overflowPunct/>
        <w:topLinePunct w:val="0"/>
        <w:bidi w:val="0"/>
        <w:spacing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不可抗力的确认</w:t>
      </w:r>
    </w:p>
    <w:p w14:paraId="65A1C26C">
      <w:pPr>
        <w:pageBreakBefore w:val="0"/>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 xml:space="preserve"> 专用条款7.6规定的异常恶劣气候、国家政策调整    </w:t>
      </w:r>
      <w:r>
        <w:rPr>
          <w:rFonts w:hint="eastAsia" w:ascii="宋体" w:hAnsi="宋体" w:eastAsia="宋体" w:cs="宋体"/>
          <w:b/>
          <w:color w:val="auto"/>
          <w:kern w:val="0"/>
          <w:szCs w:val="21"/>
          <w:highlight w:val="none"/>
        </w:rPr>
        <w:t>。</w:t>
      </w:r>
    </w:p>
    <w:p w14:paraId="54A9B516">
      <w:pPr>
        <w:pageBreakBefore w:val="0"/>
        <w:kinsoku/>
        <w:wordWrap/>
        <w:overflowPunct/>
        <w:topLinePunct w:val="0"/>
        <w:bidi w:val="0"/>
        <w:spacing w:after="120" w:line="360" w:lineRule="auto"/>
        <w:ind w:firstLine="420" w:firstLineChars="200"/>
        <w:outlineLvl w:val="0"/>
        <w:rPr>
          <w:rFonts w:hint="eastAsia" w:ascii="宋体" w:hAnsi="宋体" w:eastAsia="宋体" w:cs="宋体"/>
          <w:color w:val="auto"/>
          <w:szCs w:val="21"/>
          <w:highlight w:val="none"/>
        </w:rPr>
      </w:pPr>
      <w:bookmarkStart w:id="542" w:name="_Toc36066914"/>
      <w:bookmarkStart w:id="543" w:name="_Toc19640"/>
      <w:bookmarkStart w:id="544" w:name="_Toc283"/>
      <w:bookmarkStart w:id="545" w:name="_Toc501717164"/>
      <w:bookmarkStart w:id="546" w:name="_Toc25613"/>
      <w:bookmarkStart w:id="547" w:name="_Toc500745192"/>
      <w:bookmarkStart w:id="548" w:name="_Toc516215082"/>
      <w:bookmarkStart w:id="549" w:name="_Toc36066372"/>
      <w:bookmarkStart w:id="550" w:name="_Toc500856304"/>
      <w:bookmarkStart w:id="551" w:name="_Toc90964152"/>
      <w:bookmarkStart w:id="552" w:name="_Toc36066656"/>
      <w:r>
        <w:rPr>
          <w:rFonts w:hint="eastAsia" w:ascii="宋体" w:hAnsi="宋体" w:eastAsia="宋体" w:cs="宋体"/>
          <w:color w:val="auto"/>
          <w:szCs w:val="21"/>
          <w:highlight w:val="none"/>
        </w:rPr>
        <w:t>17.4 因不可抗力解除合同</w:t>
      </w:r>
      <w:bookmarkEnd w:id="542"/>
      <w:bookmarkEnd w:id="543"/>
      <w:bookmarkEnd w:id="544"/>
      <w:bookmarkEnd w:id="545"/>
      <w:bookmarkEnd w:id="546"/>
      <w:bookmarkEnd w:id="547"/>
      <w:bookmarkEnd w:id="548"/>
      <w:bookmarkEnd w:id="549"/>
      <w:bookmarkEnd w:id="550"/>
      <w:bookmarkEnd w:id="551"/>
      <w:bookmarkEnd w:id="552"/>
    </w:p>
    <w:p w14:paraId="56B3EDB6">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60 </w:t>
      </w:r>
      <w:r>
        <w:rPr>
          <w:rFonts w:hint="eastAsia" w:ascii="宋体" w:hAnsi="宋体" w:eastAsia="宋体" w:cs="宋体"/>
          <w:color w:val="auto"/>
          <w:szCs w:val="21"/>
          <w:highlight w:val="none"/>
        </w:rPr>
        <w:t>天内完成款项的支付。</w:t>
      </w:r>
    </w:p>
    <w:p w14:paraId="7786A92E">
      <w:pPr>
        <w:keepNext/>
        <w:keepLines/>
        <w:pageBreakBefore w:val="0"/>
        <w:kinsoku/>
        <w:wordWrap/>
        <w:overflowPunct/>
        <w:topLinePunct w:val="0"/>
        <w:bidi w:val="0"/>
        <w:spacing w:before="120" w:after="120" w:line="360" w:lineRule="auto"/>
        <w:outlineLvl w:val="3"/>
        <w:rPr>
          <w:rFonts w:hint="eastAsia" w:ascii="宋体" w:hAnsi="宋体" w:eastAsia="宋体" w:cs="宋体"/>
          <w:bCs/>
          <w:color w:val="auto"/>
          <w:szCs w:val="21"/>
          <w:highlight w:val="none"/>
        </w:rPr>
      </w:pPr>
      <w:bookmarkStart w:id="553" w:name="_Toc351203650"/>
      <w:r>
        <w:rPr>
          <w:rFonts w:hint="eastAsia" w:ascii="宋体" w:hAnsi="宋体" w:eastAsia="宋体" w:cs="宋体"/>
          <w:bCs/>
          <w:color w:val="auto"/>
          <w:szCs w:val="21"/>
          <w:highlight w:val="none"/>
        </w:rPr>
        <w:t>18. 保险</w:t>
      </w:r>
      <w:bookmarkEnd w:id="553"/>
    </w:p>
    <w:p w14:paraId="52A775A8">
      <w:pPr>
        <w:pageBreakBefore w:val="0"/>
        <w:kinsoku/>
        <w:wordWrap/>
        <w:overflowPunct/>
        <w:topLinePunct w:val="0"/>
        <w:bidi w:val="0"/>
        <w:spacing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工程保险</w:t>
      </w:r>
    </w:p>
    <w:p w14:paraId="551A13B1">
      <w:pPr>
        <w:pageBreakBefore w:val="0"/>
        <w:kinsoku/>
        <w:wordWrap/>
        <w:overflowPunct/>
        <w:topLinePunct w:val="0"/>
        <w:bidi w:val="0"/>
        <w:spacing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关于工程保险的特别约定：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bCs/>
          <w:color w:val="auto"/>
          <w:kern w:val="0"/>
          <w:szCs w:val="21"/>
          <w:highlight w:val="none"/>
          <w:u w:val="single"/>
        </w:rPr>
        <w:t>按照通用条款约定执行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ED95E4E">
      <w:pPr>
        <w:pageBreakBefore w:val="0"/>
        <w:kinsoku/>
        <w:wordWrap/>
        <w:overflowPunct/>
        <w:topLinePunct w:val="0"/>
        <w:bidi w:val="0"/>
        <w:spacing w:after="120" w:line="360" w:lineRule="auto"/>
        <w:ind w:firstLine="420" w:firstLineChars="200"/>
        <w:outlineLvl w:val="0"/>
        <w:rPr>
          <w:rFonts w:hint="eastAsia" w:ascii="宋体" w:hAnsi="宋体" w:eastAsia="宋体" w:cs="宋体"/>
          <w:color w:val="auto"/>
          <w:szCs w:val="21"/>
          <w:highlight w:val="none"/>
        </w:rPr>
      </w:pPr>
      <w:bookmarkStart w:id="554" w:name="_Toc26010"/>
      <w:bookmarkStart w:id="555" w:name="_Toc500745193"/>
      <w:bookmarkStart w:id="556" w:name="_Toc36066373"/>
      <w:bookmarkStart w:id="557" w:name="_Toc125"/>
      <w:bookmarkStart w:id="558" w:name="_Toc501717165"/>
      <w:bookmarkStart w:id="559" w:name="_Toc36066657"/>
      <w:bookmarkStart w:id="560" w:name="_Toc36066915"/>
      <w:bookmarkStart w:id="561" w:name="_Toc4327"/>
      <w:bookmarkStart w:id="562" w:name="_Toc90964153"/>
      <w:bookmarkStart w:id="563" w:name="_Toc516215083"/>
      <w:bookmarkStart w:id="564" w:name="_Toc500856305"/>
      <w:r>
        <w:rPr>
          <w:rFonts w:hint="eastAsia" w:ascii="宋体" w:hAnsi="宋体" w:eastAsia="宋体" w:cs="宋体"/>
          <w:color w:val="auto"/>
          <w:szCs w:val="21"/>
          <w:highlight w:val="none"/>
        </w:rPr>
        <w:t>18.3 其他保险</w:t>
      </w:r>
      <w:bookmarkEnd w:id="554"/>
      <w:bookmarkEnd w:id="555"/>
      <w:bookmarkEnd w:id="556"/>
      <w:bookmarkEnd w:id="557"/>
      <w:bookmarkEnd w:id="558"/>
      <w:bookmarkEnd w:id="559"/>
      <w:bookmarkEnd w:id="560"/>
      <w:bookmarkEnd w:id="561"/>
      <w:bookmarkEnd w:id="562"/>
      <w:bookmarkEnd w:id="563"/>
      <w:bookmarkEnd w:id="564"/>
    </w:p>
    <w:p w14:paraId="5812E0F7">
      <w:pPr>
        <w:pageBreakBefore w:val="0"/>
        <w:kinsoku/>
        <w:wordWrap/>
        <w:overflowPunct/>
        <w:topLinePunct w:val="0"/>
        <w:bidi w:val="0"/>
        <w:spacing w:after="120" w:line="360" w:lineRule="auto"/>
        <w:ind w:firstLine="420" w:firstLineChars="200"/>
        <w:outlineLvl w:val="0"/>
        <w:rPr>
          <w:rFonts w:hint="eastAsia" w:ascii="宋体" w:hAnsi="宋体" w:eastAsia="宋体" w:cs="宋体"/>
          <w:color w:val="auto"/>
          <w:kern w:val="0"/>
          <w:szCs w:val="21"/>
          <w:highlight w:val="none"/>
        </w:rPr>
      </w:pPr>
      <w:bookmarkStart w:id="565" w:name="_Toc8041"/>
      <w:bookmarkStart w:id="566" w:name="_Toc22216"/>
      <w:bookmarkStart w:id="567" w:name="_Toc13173"/>
      <w:r>
        <w:rPr>
          <w:rFonts w:hint="eastAsia" w:ascii="宋体" w:hAnsi="宋体" w:eastAsia="宋体" w:cs="宋体"/>
          <w:color w:val="auto"/>
          <w:szCs w:val="21"/>
          <w:highlight w:val="none"/>
        </w:rPr>
        <w:t>关于其他保险的约定：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bCs/>
          <w:color w:val="auto"/>
          <w:kern w:val="0"/>
          <w:szCs w:val="21"/>
          <w:highlight w:val="none"/>
          <w:u w:val="single"/>
        </w:rPr>
        <w:t>按照双方合同具体约定执行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bookmarkEnd w:id="565"/>
      <w:bookmarkEnd w:id="566"/>
      <w:bookmarkEnd w:id="567"/>
    </w:p>
    <w:p w14:paraId="1B4C82DF">
      <w:pPr>
        <w:pageBreakBefore w:val="0"/>
        <w:kinsoku/>
        <w:wordWrap/>
        <w:overflowPunct/>
        <w:topLinePunct w:val="0"/>
        <w:bidi w:val="0"/>
        <w:spacing w:after="120" w:line="360" w:lineRule="auto"/>
        <w:ind w:firstLine="420" w:firstLineChars="200"/>
        <w:outlineLvl w:val="0"/>
        <w:rPr>
          <w:rFonts w:hint="eastAsia" w:ascii="宋体" w:hAnsi="宋体" w:eastAsia="宋体" w:cs="宋体"/>
          <w:color w:val="auto"/>
          <w:szCs w:val="21"/>
          <w:highlight w:val="none"/>
          <w:u w:val="single"/>
        </w:rPr>
      </w:pPr>
      <w:bookmarkStart w:id="568" w:name="_Toc27618"/>
      <w:bookmarkStart w:id="569" w:name="_Toc21134"/>
      <w:bookmarkStart w:id="570" w:name="_Toc11840"/>
      <w:r>
        <w:rPr>
          <w:rFonts w:hint="eastAsia" w:ascii="宋体" w:hAnsi="宋体" w:eastAsia="宋体" w:cs="宋体"/>
          <w:color w:val="auto"/>
          <w:szCs w:val="21"/>
          <w:highlight w:val="none"/>
        </w:rPr>
        <w:t>承包人是否应为其施工设备等办理财产保险：</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w:t>
      </w:r>
      <w:bookmarkEnd w:id="568"/>
      <w:bookmarkEnd w:id="569"/>
      <w:bookmarkEnd w:id="570"/>
    </w:p>
    <w:p w14:paraId="2ABAE3AD">
      <w:pPr>
        <w:pageBreakBefore w:val="0"/>
        <w:kinsoku/>
        <w:wordWrap/>
        <w:overflowPunct/>
        <w:topLinePunct w:val="0"/>
        <w:bidi w:val="0"/>
        <w:spacing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18.7 通知义务</w:t>
      </w:r>
    </w:p>
    <w:p w14:paraId="6504252D">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关于变更保险合同时的通知义务的约定：</w:t>
      </w:r>
      <w:r>
        <w:rPr>
          <w:rFonts w:hint="eastAsia" w:ascii="宋体" w:hAnsi="宋体" w:eastAsia="宋体" w:cs="宋体"/>
          <w:color w:val="auto"/>
          <w:szCs w:val="21"/>
          <w:highlight w:val="none"/>
          <w:u w:val="single"/>
        </w:rPr>
        <w:t xml:space="preserve">   /。</w:t>
      </w:r>
    </w:p>
    <w:p w14:paraId="0EF01F6F">
      <w:pPr>
        <w:keepNext/>
        <w:keepLines/>
        <w:pageBreakBefore w:val="0"/>
        <w:kinsoku/>
        <w:wordWrap/>
        <w:overflowPunct/>
        <w:topLinePunct w:val="0"/>
        <w:bidi w:val="0"/>
        <w:spacing w:before="120" w:after="120" w:line="360" w:lineRule="auto"/>
        <w:outlineLvl w:val="3"/>
        <w:rPr>
          <w:rFonts w:hint="eastAsia" w:ascii="宋体" w:hAnsi="宋体" w:eastAsia="宋体" w:cs="宋体"/>
          <w:bCs/>
          <w:color w:val="auto"/>
          <w:szCs w:val="21"/>
          <w:highlight w:val="none"/>
        </w:rPr>
      </w:pPr>
      <w:bookmarkStart w:id="571" w:name="_Toc351203651"/>
      <w:r>
        <w:rPr>
          <w:rFonts w:hint="eastAsia" w:ascii="宋体" w:hAnsi="宋体" w:eastAsia="宋体" w:cs="宋体"/>
          <w:bCs/>
          <w:color w:val="auto"/>
          <w:szCs w:val="21"/>
          <w:highlight w:val="none"/>
        </w:rPr>
        <w:t>20. 争议解决</w:t>
      </w:r>
      <w:bookmarkEnd w:id="571"/>
    </w:p>
    <w:p w14:paraId="1CDD9FAB">
      <w:pPr>
        <w:pageBreakBefore w:val="0"/>
        <w:kinsoku/>
        <w:wordWrap/>
        <w:overflowPunct/>
        <w:topLinePunct w:val="0"/>
        <w:bidi w:val="0"/>
        <w:spacing w:after="120" w:line="360" w:lineRule="auto"/>
        <w:ind w:firstLine="420" w:firstLineChars="200"/>
        <w:outlineLvl w:val="0"/>
        <w:rPr>
          <w:rFonts w:hint="eastAsia" w:ascii="宋体" w:hAnsi="宋体" w:eastAsia="宋体" w:cs="宋体"/>
          <w:color w:val="auto"/>
          <w:szCs w:val="21"/>
          <w:highlight w:val="none"/>
        </w:rPr>
      </w:pPr>
      <w:bookmarkStart w:id="572" w:name="_Toc6838"/>
      <w:bookmarkStart w:id="573" w:name="_Toc501717166"/>
      <w:bookmarkStart w:id="574" w:name="_Toc20926"/>
      <w:bookmarkStart w:id="575" w:name="_Toc36066374"/>
      <w:bookmarkStart w:id="576" w:name="_Toc17132"/>
      <w:bookmarkStart w:id="577" w:name="_Toc500856306"/>
      <w:bookmarkStart w:id="578" w:name="_Toc36066916"/>
      <w:bookmarkStart w:id="579" w:name="_Toc90964154"/>
      <w:bookmarkStart w:id="580" w:name="_Toc36066658"/>
      <w:bookmarkStart w:id="581" w:name="_Toc516215084"/>
      <w:bookmarkStart w:id="582" w:name="_Toc500745194"/>
      <w:r>
        <w:rPr>
          <w:rFonts w:hint="eastAsia" w:ascii="宋体" w:hAnsi="宋体" w:eastAsia="宋体" w:cs="宋体"/>
          <w:color w:val="auto"/>
          <w:szCs w:val="21"/>
          <w:highlight w:val="none"/>
        </w:rPr>
        <w:t>20.3 争议评审</w:t>
      </w:r>
      <w:bookmarkEnd w:id="572"/>
      <w:bookmarkEnd w:id="573"/>
      <w:bookmarkEnd w:id="574"/>
      <w:bookmarkEnd w:id="575"/>
      <w:bookmarkEnd w:id="576"/>
      <w:bookmarkEnd w:id="577"/>
      <w:bookmarkEnd w:id="578"/>
      <w:bookmarkEnd w:id="579"/>
      <w:bookmarkEnd w:id="580"/>
      <w:bookmarkEnd w:id="581"/>
      <w:bookmarkEnd w:id="582"/>
    </w:p>
    <w:p w14:paraId="1FF1D4B9">
      <w:pPr>
        <w:pageBreakBefore w:val="0"/>
        <w:kinsoku/>
        <w:wordWrap/>
        <w:overflowPunct/>
        <w:topLinePunct w:val="0"/>
        <w:bidi w:val="0"/>
        <w:spacing w:line="360" w:lineRule="auto"/>
        <w:ind w:left="149" w:leftChars="71" w:firstLine="315" w:firstLineChars="1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color w:val="auto"/>
          <w:szCs w:val="21"/>
          <w:highlight w:val="none"/>
          <w:u w:val="single"/>
        </w:rPr>
        <w:t xml:space="preserve">  / 。</w:t>
      </w:r>
    </w:p>
    <w:p w14:paraId="506E4C5E">
      <w:pPr>
        <w:pageBreakBefore w:val="0"/>
        <w:kinsoku/>
        <w:wordWrap/>
        <w:overflowPunct/>
        <w:topLinePunct w:val="0"/>
        <w:bidi w:val="0"/>
        <w:spacing w:line="360" w:lineRule="auto"/>
        <w:ind w:firstLine="420" w:firstLineChars="200"/>
        <w:jc w:val="left"/>
        <w:outlineLvl w:val="0"/>
        <w:rPr>
          <w:rFonts w:hint="eastAsia" w:ascii="宋体" w:hAnsi="宋体" w:eastAsia="宋体" w:cs="宋体"/>
          <w:color w:val="auto"/>
          <w:szCs w:val="21"/>
          <w:highlight w:val="none"/>
        </w:rPr>
      </w:pPr>
      <w:bookmarkStart w:id="583" w:name="_Toc500745195"/>
      <w:bookmarkStart w:id="584" w:name="_Toc500856307"/>
      <w:bookmarkStart w:id="585" w:name="_Toc32457"/>
      <w:bookmarkStart w:id="586" w:name="_Toc36066659"/>
      <w:bookmarkStart w:id="587" w:name="_Toc36066917"/>
      <w:bookmarkStart w:id="588" w:name="_Toc23326"/>
      <w:bookmarkStart w:id="589" w:name="_Toc501717167"/>
      <w:bookmarkStart w:id="590" w:name="_Toc90964155"/>
      <w:bookmarkStart w:id="591" w:name="_Toc21393"/>
      <w:bookmarkStart w:id="592" w:name="_Toc516215085"/>
      <w:bookmarkStart w:id="593" w:name="_Toc36066375"/>
      <w:r>
        <w:rPr>
          <w:rFonts w:hint="eastAsia" w:ascii="宋体" w:hAnsi="宋体" w:eastAsia="宋体" w:cs="宋体"/>
          <w:color w:val="auto"/>
          <w:szCs w:val="21"/>
          <w:highlight w:val="none"/>
        </w:rPr>
        <w:t>20.3.1 争议评审小组的确定</w:t>
      </w:r>
      <w:bookmarkEnd w:id="583"/>
      <w:bookmarkEnd w:id="584"/>
      <w:bookmarkEnd w:id="585"/>
      <w:bookmarkEnd w:id="586"/>
      <w:bookmarkEnd w:id="587"/>
      <w:bookmarkEnd w:id="588"/>
      <w:bookmarkEnd w:id="589"/>
      <w:bookmarkEnd w:id="590"/>
      <w:bookmarkEnd w:id="591"/>
      <w:bookmarkEnd w:id="592"/>
      <w:bookmarkEnd w:id="593"/>
    </w:p>
    <w:p w14:paraId="4AC49A15">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争议评审小组成员的确定：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2A8B191">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选定争议评审员的期限：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8580597">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争议评审小组成员的报酬承担方式：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47FF842">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A897635">
      <w:pPr>
        <w:pageBreakBefore w:val="0"/>
        <w:kinsoku/>
        <w:wordWrap/>
        <w:overflowPunct/>
        <w:topLinePunct w:val="0"/>
        <w:autoSpaceDE w:val="0"/>
        <w:autoSpaceDN w:val="0"/>
        <w:bidi w:val="0"/>
        <w:adjustRightInd w:val="0"/>
        <w:spacing w:line="360" w:lineRule="auto"/>
        <w:ind w:firstLine="420" w:firstLineChars="200"/>
        <w:jc w:val="left"/>
        <w:outlineLvl w:val="0"/>
        <w:rPr>
          <w:rFonts w:hint="eastAsia" w:ascii="宋体" w:hAnsi="宋体" w:eastAsia="宋体" w:cs="宋体"/>
          <w:color w:val="auto"/>
          <w:kern w:val="0"/>
          <w:szCs w:val="21"/>
          <w:highlight w:val="none"/>
        </w:rPr>
      </w:pPr>
      <w:bookmarkStart w:id="594" w:name="_Toc36066660"/>
      <w:bookmarkStart w:id="595" w:name="_Toc12679"/>
      <w:bookmarkStart w:id="596" w:name="_Toc36066376"/>
      <w:bookmarkStart w:id="597" w:name="_Toc36066918"/>
      <w:bookmarkStart w:id="598" w:name="_Toc90964156"/>
      <w:bookmarkStart w:id="599" w:name="_Toc500745196"/>
      <w:bookmarkStart w:id="600" w:name="_Toc500856308"/>
      <w:bookmarkStart w:id="601" w:name="_Toc644"/>
      <w:bookmarkStart w:id="602" w:name="_Toc12283"/>
      <w:bookmarkStart w:id="603" w:name="_Toc516215086"/>
      <w:bookmarkStart w:id="604" w:name="_Toc501717168"/>
      <w:r>
        <w:rPr>
          <w:rFonts w:hint="eastAsia" w:ascii="宋体" w:hAnsi="宋体" w:eastAsia="宋体" w:cs="宋体"/>
          <w:color w:val="auto"/>
          <w:kern w:val="0"/>
          <w:szCs w:val="21"/>
          <w:highlight w:val="none"/>
        </w:rPr>
        <w:t>20.3.2 争议评审小组的决定</w:t>
      </w:r>
      <w:bookmarkEnd w:id="594"/>
      <w:bookmarkEnd w:id="595"/>
      <w:bookmarkEnd w:id="596"/>
      <w:bookmarkEnd w:id="597"/>
      <w:bookmarkEnd w:id="598"/>
      <w:bookmarkEnd w:id="599"/>
      <w:bookmarkEnd w:id="600"/>
      <w:bookmarkEnd w:id="601"/>
      <w:bookmarkEnd w:id="602"/>
      <w:bookmarkEnd w:id="603"/>
      <w:bookmarkEnd w:id="604"/>
    </w:p>
    <w:p w14:paraId="17F84048">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合同当事人关于本项的约定：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225A188">
      <w:pPr>
        <w:pageBreakBefore w:val="0"/>
        <w:kinsoku/>
        <w:wordWrap/>
        <w:overflowPunct/>
        <w:topLinePunct w:val="0"/>
        <w:bidi w:val="0"/>
        <w:spacing w:after="120" w:line="360" w:lineRule="auto"/>
        <w:ind w:firstLine="420" w:firstLineChars="200"/>
        <w:outlineLvl w:val="0"/>
        <w:rPr>
          <w:rFonts w:hint="eastAsia" w:ascii="宋体" w:hAnsi="宋体" w:eastAsia="宋体" w:cs="宋体"/>
          <w:color w:val="auto"/>
          <w:szCs w:val="21"/>
          <w:highlight w:val="none"/>
        </w:rPr>
      </w:pPr>
      <w:bookmarkStart w:id="605" w:name="_Toc516215087"/>
      <w:bookmarkStart w:id="606" w:name="_Toc90964157"/>
      <w:bookmarkStart w:id="607" w:name="_Toc10845"/>
      <w:bookmarkStart w:id="608" w:name="_Toc501717169"/>
      <w:bookmarkStart w:id="609" w:name="_Toc500856309"/>
      <w:bookmarkStart w:id="610" w:name="_Toc36066919"/>
      <w:bookmarkStart w:id="611" w:name="_Toc500745197"/>
      <w:bookmarkStart w:id="612" w:name="_Toc5373"/>
      <w:bookmarkStart w:id="613" w:name="_Toc36066661"/>
      <w:bookmarkStart w:id="614" w:name="_Toc36066377"/>
      <w:bookmarkStart w:id="615" w:name="_Toc9359"/>
      <w:r>
        <w:rPr>
          <w:rFonts w:hint="eastAsia" w:ascii="宋体" w:hAnsi="宋体" w:eastAsia="宋体" w:cs="宋体"/>
          <w:color w:val="auto"/>
          <w:szCs w:val="21"/>
          <w:highlight w:val="none"/>
        </w:rPr>
        <w:t>20.4仲裁或诉讼</w:t>
      </w:r>
      <w:bookmarkEnd w:id="605"/>
      <w:bookmarkEnd w:id="606"/>
      <w:bookmarkEnd w:id="607"/>
      <w:bookmarkEnd w:id="608"/>
      <w:bookmarkEnd w:id="609"/>
      <w:bookmarkEnd w:id="610"/>
      <w:bookmarkEnd w:id="611"/>
      <w:bookmarkEnd w:id="612"/>
      <w:bookmarkEnd w:id="613"/>
      <w:bookmarkEnd w:id="614"/>
      <w:bookmarkEnd w:id="615"/>
    </w:p>
    <w:p w14:paraId="38C8F569">
      <w:pPr>
        <w:pageBreakBefore w:val="0"/>
        <w:kinsoku/>
        <w:wordWrap/>
        <w:overflowPunct/>
        <w:topLinePunct w:val="0"/>
        <w:bidi w:val="0"/>
        <w:spacing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14:paraId="5170A603">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14:paraId="5FC6001F">
      <w:pPr>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工程所在地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p>
    <w:p w14:paraId="3384A5C6">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 xml:space="preserve">补充条款： </w:t>
      </w:r>
    </w:p>
    <w:p w14:paraId="0784EF55">
      <w:pPr>
        <w:pageBreakBefore w:val="0"/>
        <w:kinsoku/>
        <w:wordWrap/>
        <w:overflowPunct/>
        <w:topLinePunct w:val="0"/>
        <w:bidi w:val="0"/>
        <w:adjustRightInd w:val="0"/>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承包人应根据发包人以书面通知方式确认的每笔应得款项金额向发包人提交其认可的合法完税建安增值税发票，发包人在收到合法完税建安增值税发票后向承包人付款。如承包人未能及时提供合法完税建安增值税发票，则发包人的付款将顺延至其收到合法完税建安增值税发票，延迟付款产生的任何责任均由承包人承担。</w:t>
      </w:r>
    </w:p>
    <w:p w14:paraId="799880C3">
      <w:pPr>
        <w:pageBreakBefore w:val="0"/>
        <w:kinsoku/>
        <w:wordWrap/>
        <w:overflowPunct/>
        <w:topLinePunct w:val="0"/>
        <w:bidi w:val="0"/>
        <w:adjustRightInd w:val="0"/>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（2）承包人必须按时支付农民工工资，不得拖欠或克扣，否则，发包人有权不予支付工程款，并对承包人处以工程结算总额5%的违约处罚，发包人有权将违约处罚款项从承包人工程款中直接扣除。</w:t>
      </w:r>
    </w:p>
    <w:p w14:paraId="50972D37">
      <w:pPr>
        <w:pageBreakBefore w:val="0"/>
        <w:kinsoku/>
        <w:wordWrap/>
        <w:overflowPunct/>
        <w:topLinePunct w:val="0"/>
        <w:bidi w:val="0"/>
        <w:adjustRightInd w:val="0"/>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承包人违反合同约定采购和使用不合格的材料和工程设备以及发现施工中质量问题的违约责任：①每发现一个质量问题，承包人将承担1万元的违约金，由发包人从其工程款内扣除；每发现一个批次质量问题，承包人将承担2万元的违约金，由发包人从其工程款内扣除。承担违约金后，无条件返工至质量合格。②若发现不合格材料和工程设备用于工程中，承包人无条件返工且费用自理,同时承包人将承担1万元/项次的违约金；若发现假冒伪劣材料用于工程中，承包人将承担3万元/项次的违约金。以上违约金，由发包人从其工程款内扣除，承包人无条件返工且费用自理。</w:t>
      </w:r>
      <w:r>
        <w:rPr>
          <w:rFonts w:hint="eastAsia" w:ascii="宋体" w:hAnsi="宋体" w:eastAsia="宋体" w:cs="宋体"/>
          <w:b/>
          <w:color w:val="auto"/>
          <w:szCs w:val="21"/>
          <w:highlight w:val="none"/>
          <w:u w:val="single"/>
        </w:rPr>
        <w:fldChar w:fldCharType="begin"/>
      </w:r>
      <w:r>
        <w:rPr>
          <w:rFonts w:hint="eastAsia" w:ascii="宋体" w:hAnsi="宋体" w:eastAsia="宋体" w:cs="宋体"/>
          <w:b/>
          <w:color w:val="auto"/>
          <w:szCs w:val="21"/>
          <w:highlight w:val="none"/>
          <w:u w:val="single"/>
        </w:rPr>
        <w:instrText xml:space="preserve"> = 3 \* GB3 </w:instrText>
      </w:r>
      <w:r>
        <w:rPr>
          <w:rFonts w:hint="eastAsia" w:ascii="宋体" w:hAnsi="宋体" w:eastAsia="宋体" w:cs="宋体"/>
          <w:b/>
          <w:color w:val="auto"/>
          <w:szCs w:val="21"/>
          <w:highlight w:val="none"/>
          <w:u w:val="single"/>
        </w:rPr>
        <w:fldChar w:fldCharType="separate"/>
      </w:r>
      <w:r>
        <w:rPr>
          <w:rFonts w:hint="eastAsia" w:ascii="宋体" w:hAnsi="宋体" w:eastAsia="宋体" w:cs="宋体"/>
          <w:b/>
          <w:color w:val="auto"/>
          <w:szCs w:val="21"/>
          <w:highlight w:val="none"/>
          <w:u w:val="single"/>
        </w:rPr>
        <w:t>③</w:t>
      </w:r>
      <w:r>
        <w:rPr>
          <w:rFonts w:hint="eastAsia" w:ascii="宋体" w:hAnsi="宋体" w:eastAsia="宋体" w:cs="宋体"/>
          <w:b/>
          <w:color w:val="auto"/>
          <w:szCs w:val="21"/>
          <w:highlight w:val="none"/>
          <w:u w:val="single"/>
        </w:rPr>
        <w:fldChar w:fldCharType="end"/>
      </w:r>
      <w:r>
        <w:rPr>
          <w:rFonts w:hint="eastAsia" w:ascii="宋体" w:hAnsi="宋体" w:eastAsia="宋体" w:cs="宋体"/>
          <w:b/>
          <w:color w:val="auto"/>
          <w:szCs w:val="21"/>
          <w:highlight w:val="none"/>
          <w:u w:val="single"/>
        </w:rPr>
        <w:t>若三次以上（含三次）发现承包人采用假冒伪劣材料或不合格材料，发包人有权单方解除合同，由此造成的一切损失由承包人承担。</w:t>
      </w:r>
    </w:p>
    <w:p w14:paraId="0160ECF6">
      <w:pPr>
        <w:pageBreakBefore w:val="0"/>
        <w:kinsoku/>
        <w:wordWrap/>
        <w:overflowPunct/>
        <w:topLinePunct w:val="0"/>
        <w:bidi w:val="0"/>
        <w:adjustRightInd w:val="0"/>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4）由承包人采购的主要材料品牌、进货渠道与质量必须得到发包人和监理单位书面确认认可；购置的材料在使用前必须按规定检验，其规格、标准、质量须符合设计要求并能满足工程需要，并由行业主管部门的书面认可。</w:t>
      </w:r>
    </w:p>
    <w:p w14:paraId="0A60671F">
      <w:pPr>
        <w:pageBreakBefore w:val="0"/>
        <w:kinsoku/>
        <w:wordWrap/>
        <w:overflowPunct/>
        <w:topLinePunct w:val="0"/>
        <w:bidi w:val="0"/>
        <w:adjustRightInd w:val="0"/>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5）若合同履行过程中，承包人未按工程进度及相关质量要求进行材料采购、进场和施工，发包人有权将承包人未按要求采购的材料自主采购，发包人采购费用按招标控制价中该项材料价格全额扣除，承包人承担违约责任，违约金为该项扣除费用的15%，违约金可以从承包人工程款中扣除。</w:t>
      </w:r>
    </w:p>
    <w:p w14:paraId="04359B92">
      <w:pPr>
        <w:pageBreakBefore w:val="0"/>
        <w:kinsoku/>
        <w:wordWrap/>
        <w:overflowPunct/>
        <w:topLinePunct w:val="0"/>
        <w:bidi w:val="0"/>
        <w:adjustRightInd w:val="0"/>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（6）承包人未经批准，私自将已按照合同约定进入施工现场的材料或设备撤离施工现场的违约责任：每发现一次，承包人承担违约金5万元，该费用从承包人工程款中扣除，并重新组织进场。</w:t>
      </w:r>
    </w:p>
    <w:p w14:paraId="3CF3FF17">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7）承包人在缺陷责任期及养护期内，未能在合理期限内对有缺陷材料进行更换，或拒绝按发包人要求进行更换或修复的违约责任：每发生一次，承包人将承担违约金0.5万元，发包人进行更换或修复的费用由承包人承担，从承包人质量保证金中扣除。</w:t>
      </w:r>
    </w:p>
    <w:p w14:paraId="7B27BF15">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（8）承包人违反发包人制定的各项现场管理制度的违约责任：按河南工业和信息化职业学院相关管理制度的规定办理。</w:t>
      </w:r>
    </w:p>
    <w:p w14:paraId="35116172">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9）承包人在任何情况下不得以发包人工程款支付情况等理由作为抗辩而不配合发包人进行工程竣工验收，不出具、交付竣工验收备案资料；否则，承包人向发包人支付合同总额10%的违约金，从承包人工程款中扣除，且承包人承担继续进行工程竣工验收及交付竣工验收备案资料的责任。</w:t>
      </w:r>
    </w:p>
    <w:p w14:paraId="1C6C3801">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10）承包人应精心组织好施工，服从管理，主动接受发包人及监理单位及行业主管部门检查，如果承包人在施工中无法保证施工进度、工程质量和安全文明，发包人有权指定由其他单位完成部分工作以便满足工程进度和施工质量要求,由此产生的费用由承包人承担。</w:t>
      </w:r>
    </w:p>
    <w:p w14:paraId="50A79E79">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（11）因承包人责任造成人身伤害事故或发生诉讼纠纷案件，在案件尚未结案之前，发包人有权暂缓支付涉案数额的工程款。</w:t>
      </w:r>
    </w:p>
    <w:p w14:paraId="11C3A80E">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12）承包人负责整理和提交的竣工验收资料的时间期限须满足工程竣工验收时间要求，应当符合工程所在地建设行政主管部门、城市建设档案管理机构和发包人和行业主管部门的要求，保证通过竣工验收。因承包人未按时提交竣工验收资料而延迟工程竣工验收的，每延迟1-10天，承包人每天向发包人支付1万元的违约金；延迟超过10天以上者，承包人每天向发包人支付2万元的违约金，从承包人工程款中扣除。</w:t>
      </w:r>
    </w:p>
    <w:p w14:paraId="52D28E42">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13）根据现有施工场地及随着施工进度出现的一切实际情况，承包人已充分考虑必须发生和可能发生的所有费用已包含在合同总价款中，包括但不限于：材料、设备的购置；材料、设备的存储堆放（含发包人供材料）、运输、保管；夜间施工；赶工措施；限电限水拉闸（应有相应的应急供水供电专项措施）；已完工程的成品保护；与其他分包工程之间的协调配合；工程变更造成的窝工；多家单位交叉施工等情况。</w:t>
      </w:r>
    </w:p>
    <w:p w14:paraId="0215AD20">
      <w:pPr>
        <w:pageBreakBefore w:val="0"/>
        <w:widowControl/>
        <w:kinsoku/>
        <w:wordWrap/>
        <w:overflowPunct/>
        <w:topLinePunct w:val="0"/>
        <w:bidi w:val="0"/>
        <w:spacing w:line="360" w:lineRule="auto"/>
        <w:ind w:firstLine="422" w:firstLineChars="200"/>
        <w:jc w:val="left"/>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（14）施工单位应每月25日前报当月已完工程量清单、已完工程价款；下月拟完工程量清单、拟完工程价款。</w:t>
      </w:r>
    </w:p>
    <w:p w14:paraId="64C10701">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（15）未尽事宜按招标文件和承包人投标时的承诺执行。</w:t>
      </w:r>
    </w:p>
    <w:p w14:paraId="563E3E89">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（16）发包人可按承包人下列任一通信信息向承包人发送通知：</w:t>
      </w:r>
    </w:p>
    <w:p w14:paraId="13973868">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 xml:space="preserve">联 系 人：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 xml:space="preserve">       </w:t>
      </w:r>
    </w:p>
    <w:p w14:paraId="462835B3">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 xml:space="preserve">电    话：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 xml:space="preserve">   传真：          </w:t>
      </w:r>
    </w:p>
    <w:p w14:paraId="2956E321">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电子信箱：</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 xml:space="preserve">               </w:t>
      </w:r>
    </w:p>
    <w:p w14:paraId="21426F07">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 xml:space="preserve">通信地址：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 xml:space="preserve">                         </w:t>
      </w:r>
    </w:p>
    <w:p w14:paraId="04AEBBC9">
      <w:pPr>
        <w:pageBreakBefore w:val="0"/>
        <w:kinsoku/>
        <w:wordWrap/>
        <w:overflowPunct/>
        <w:topLinePunct w:val="0"/>
        <w:bidi w:val="0"/>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若承包人所留上述信息不准确或在变更前未书面通知发包人，导致发包人传真无法发送或所发电子邮件被退回或所发信件被退回，则电子邮件或信件被退回之日仍视为通知送达承包人之日。</w:t>
      </w:r>
    </w:p>
    <w:p w14:paraId="19D859A4">
      <w:pPr>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司法机关或仲裁机构亦可按上述送达地址、联系方式等向承包人送达相关（法律）文书，接收方无人签收、拒收或其他原因导致被退回的，则（法律）文书退回之日仍视为通知送达承包人之日。</w:t>
      </w:r>
    </w:p>
    <w:bookmarkEnd w:id="455"/>
    <w:p w14:paraId="6AA47AB4">
      <w:pPr>
        <w:pageBreakBefore w:val="0"/>
        <w:kinsoku/>
        <w:wordWrap/>
        <w:overflowPunct/>
        <w:topLinePunct w:val="0"/>
        <w:bidi w:val="0"/>
        <w:adjustRightInd w:val="0"/>
        <w:spacing w:after="60" w:line="360" w:lineRule="auto"/>
        <w:ind w:left="63" w:leftChars="30" w:right="63" w:rightChars="30"/>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附件</w:t>
      </w:r>
    </w:p>
    <w:p w14:paraId="2CB9780F">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合同附件：</w:t>
      </w:r>
    </w:p>
    <w:p w14:paraId="10B82958">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45AC666F">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77B8BDDA">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34C78D8C">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54D5E702">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041D6413">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1D7B63E0">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713F8682">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附件8：履约担保格式</w:t>
      </w:r>
    </w:p>
    <w:p w14:paraId="0919DAF1">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附件9：预付款担保格式</w:t>
      </w:r>
    </w:p>
    <w:p w14:paraId="77FADEAE">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附件10：支付担保格式</w:t>
      </w:r>
    </w:p>
    <w:p w14:paraId="681E6896">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附件11：暂估价一览表</w:t>
      </w:r>
    </w:p>
    <w:p w14:paraId="52DAC13D">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sectPr>
          <w:footerReference r:id="rId3" w:type="default"/>
          <w:footerReference r:id="rId4" w:type="even"/>
          <w:pgSz w:w="11906" w:h="16838"/>
          <w:pgMar w:top="1418" w:right="1555" w:bottom="1418" w:left="1531" w:header="851" w:footer="992" w:gutter="0"/>
          <w:pgNumType w:fmt="decimal"/>
          <w:cols w:space="720" w:num="1"/>
          <w:titlePg/>
          <w:docGrid w:type="lines" w:linePitch="312" w:charSpace="0"/>
        </w:sectPr>
      </w:pPr>
      <w:r>
        <w:rPr>
          <w:rFonts w:hint="eastAsia" w:ascii="宋体" w:hAnsi="宋体" w:eastAsia="宋体" w:cs="宋体"/>
          <w:color w:val="auto"/>
          <w:sz w:val="21"/>
          <w:szCs w:val="21"/>
          <w:highlight w:val="none"/>
        </w:rPr>
        <w:t>附件12：建设工程廉政责任书</w:t>
      </w:r>
    </w:p>
    <w:p w14:paraId="12D5FDFA">
      <w:pPr>
        <w:spacing w:beforeLines="50" w:afterLines="50"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735C20C9">
      <w:pPr>
        <w:spacing w:beforeLines="5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28"/>
        <w:tblW w:w="14460"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01"/>
        <w:gridCol w:w="977"/>
        <w:gridCol w:w="1995"/>
        <w:gridCol w:w="2410"/>
        <w:gridCol w:w="1690"/>
        <w:gridCol w:w="840"/>
        <w:gridCol w:w="1050"/>
        <w:gridCol w:w="1796"/>
        <w:gridCol w:w="851"/>
        <w:gridCol w:w="850"/>
      </w:tblGrid>
      <w:tr w14:paraId="7225C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001" w:type="dxa"/>
            <w:tcBorders>
              <w:top w:val="single" w:color="auto" w:sz="12" w:space="0"/>
              <w:bottom w:val="double" w:color="auto" w:sz="6" w:space="0"/>
            </w:tcBorders>
            <w:noWrap w:val="0"/>
            <w:vAlign w:val="center"/>
          </w:tcPr>
          <w:p w14:paraId="493AA71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单位工程名称</w:t>
            </w:r>
          </w:p>
        </w:tc>
        <w:tc>
          <w:tcPr>
            <w:tcW w:w="977" w:type="dxa"/>
            <w:tcBorders>
              <w:top w:val="single" w:color="auto" w:sz="12" w:space="0"/>
              <w:bottom w:val="double" w:color="auto" w:sz="6" w:space="0"/>
            </w:tcBorders>
            <w:noWrap w:val="0"/>
            <w:vAlign w:val="center"/>
          </w:tcPr>
          <w:p w14:paraId="29B3D24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建设规模</w:t>
            </w:r>
          </w:p>
        </w:tc>
        <w:tc>
          <w:tcPr>
            <w:tcW w:w="1995" w:type="dxa"/>
            <w:tcBorders>
              <w:top w:val="single" w:color="auto" w:sz="12" w:space="0"/>
              <w:bottom w:val="double" w:color="auto" w:sz="6" w:space="0"/>
            </w:tcBorders>
            <w:noWrap w:val="0"/>
            <w:vAlign w:val="center"/>
          </w:tcPr>
          <w:p w14:paraId="135C3DE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建筑面积(平方米)</w:t>
            </w:r>
          </w:p>
        </w:tc>
        <w:tc>
          <w:tcPr>
            <w:tcW w:w="2410" w:type="dxa"/>
            <w:tcBorders>
              <w:top w:val="single" w:color="auto" w:sz="12" w:space="0"/>
              <w:bottom w:val="double" w:color="auto" w:sz="6" w:space="0"/>
            </w:tcBorders>
            <w:noWrap w:val="0"/>
            <w:vAlign w:val="center"/>
          </w:tcPr>
          <w:p w14:paraId="295D0A0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结构形式</w:t>
            </w:r>
          </w:p>
        </w:tc>
        <w:tc>
          <w:tcPr>
            <w:tcW w:w="1690" w:type="dxa"/>
            <w:tcBorders>
              <w:top w:val="single" w:color="auto" w:sz="12" w:space="0"/>
              <w:bottom w:val="double" w:color="auto" w:sz="6" w:space="0"/>
            </w:tcBorders>
            <w:noWrap w:val="0"/>
            <w:vAlign w:val="center"/>
          </w:tcPr>
          <w:p w14:paraId="40FEC16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层数</w:t>
            </w:r>
          </w:p>
        </w:tc>
        <w:tc>
          <w:tcPr>
            <w:tcW w:w="840" w:type="dxa"/>
            <w:tcBorders>
              <w:top w:val="single" w:color="auto" w:sz="12" w:space="0"/>
              <w:bottom w:val="double" w:color="auto" w:sz="6" w:space="0"/>
            </w:tcBorders>
            <w:noWrap w:val="0"/>
            <w:vAlign w:val="center"/>
          </w:tcPr>
          <w:p w14:paraId="3138D96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生产能力</w:t>
            </w:r>
          </w:p>
        </w:tc>
        <w:tc>
          <w:tcPr>
            <w:tcW w:w="1050" w:type="dxa"/>
            <w:tcBorders>
              <w:top w:val="single" w:color="auto" w:sz="12" w:space="0"/>
              <w:bottom w:val="double" w:color="auto" w:sz="6" w:space="0"/>
            </w:tcBorders>
            <w:noWrap w:val="0"/>
            <w:vAlign w:val="center"/>
          </w:tcPr>
          <w:p w14:paraId="6FB8BAC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设备安装内容</w:t>
            </w:r>
          </w:p>
        </w:tc>
        <w:tc>
          <w:tcPr>
            <w:tcW w:w="1796" w:type="dxa"/>
            <w:tcBorders>
              <w:top w:val="single" w:color="auto" w:sz="12" w:space="0"/>
              <w:bottom w:val="double" w:color="auto" w:sz="6" w:space="0"/>
            </w:tcBorders>
            <w:noWrap w:val="0"/>
            <w:vAlign w:val="center"/>
          </w:tcPr>
          <w:p w14:paraId="68001AB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合同价格（元）</w:t>
            </w:r>
          </w:p>
        </w:tc>
        <w:tc>
          <w:tcPr>
            <w:tcW w:w="851" w:type="dxa"/>
            <w:tcBorders>
              <w:top w:val="single" w:color="auto" w:sz="12" w:space="0"/>
              <w:bottom w:val="double" w:color="auto" w:sz="6" w:space="0"/>
            </w:tcBorders>
            <w:noWrap w:val="0"/>
            <w:vAlign w:val="center"/>
          </w:tcPr>
          <w:p w14:paraId="51AFA74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开工日期</w:t>
            </w:r>
          </w:p>
        </w:tc>
        <w:tc>
          <w:tcPr>
            <w:tcW w:w="850" w:type="dxa"/>
            <w:tcBorders>
              <w:top w:val="single" w:color="auto" w:sz="12" w:space="0"/>
              <w:bottom w:val="double" w:color="auto" w:sz="6" w:space="0"/>
            </w:tcBorders>
            <w:noWrap w:val="0"/>
            <w:vAlign w:val="center"/>
          </w:tcPr>
          <w:p w14:paraId="730B113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竣工日期</w:t>
            </w:r>
          </w:p>
        </w:tc>
      </w:tr>
      <w:tr w14:paraId="093A0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001" w:type="dxa"/>
            <w:tcBorders>
              <w:top w:val="double" w:color="auto" w:sz="6" w:space="0"/>
              <w:bottom w:val="single" w:color="auto" w:sz="6" w:space="0"/>
            </w:tcBorders>
            <w:noWrap w:val="0"/>
            <w:vAlign w:val="center"/>
          </w:tcPr>
          <w:p w14:paraId="315C4F8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77" w:type="dxa"/>
            <w:tcBorders>
              <w:top w:val="double" w:color="auto" w:sz="6" w:space="0"/>
              <w:bottom w:val="single" w:color="auto" w:sz="6" w:space="0"/>
            </w:tcBorders>
            <w:noWrap w:val="0"/>
            <w:vAlign w:val="center"/>
          </w:tcPr>
          <w:p w14:paraId="10C866BE">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95" w:type="dxa"/>
            <w:tcBorders>
              <w:top w:val="double" w:color="auto" w:sz="6" w:space="0"/>
              <w:bottom w:val="single" w:color="auto" w:sz="6" w:space="0"/>
            </w:tcBorders>
            <w:noWrap w:val="0"/>
            <w:vAlign w:val="center"/>
          </w:tcPr>
          <w:p w14:paraId="767F89D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2410" w:type="dxa"/>
            <w:tcBorders>
              <w:top w:val="double" w:color="auto" w:sz="6" w:space="0"/>
              <w:bottom w:val="single" w:color="auto" w:sz="6" w:space="0"/>
            </w:tcBorders>
            <w:noWrap w:val="0"/>
            <w:vAlign w:val="center"/>
          </w:tcPr>
          <w:p w14:paraId="168C3D0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90" w:type="dxa"/>
            <w:tcBorders>
              <w:top w:val="double" w:color="auto" w:sz="6" w:space="0"/>
              <w:bottom w:val="single" w:color="auto" w:sz="6" w:space="0"/>
            </w:tcBorders>
            <w:noWrap w:val="0"/>
            <w:vAlign w:val="center"/>
          </w:tcPr>
          <w:p w14:paraId="6628851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40" w:type="dxa"/>
            <w:tcBorders>
              <w:top w:val="double" w:color="auto" w:sz="6" w:space="0"/>
              <w:bottom w:val="single" w:color="auto" w:sz="6" w:space="0"/>
            </w:tcBorders>
            <w:noWrap w:val="0"/>
            <w:vAlign w:val="center"/>
          </w:tcPr>
          <w:p w14:paraId="716C93A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50" w:type="dxa"/>
            <w:tcBorders>
              <w:top w:val="double" w:color="auto" w:sz="6" w:space="0"/>
              <w:bottom w:val="single" w:color="auto" w:sz="6" w:space="0"/>
            </w:tcBorders>
            <w:noWrap w:val="0"/>
            <w:vAlign w:val="center"/>
          </w:tcPr>
          <w:p w14:paraId="1A7E6F7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6" w:type="dxa"/>
            <w:tcBorders>
              <w:top w:val="double" w:color="auto" w:sz="6" w:space="0"/>
              <w:bottom w:val="single" w:color="auto" w:sz="6" w:space="0"/>
            </w:tcBorders>
            <w:noWrap w:val="0"/>
            <w:vAlign w:val="center"/>
          </w:tcPr>
          <w:p w14:paraId="4C5BE8BF">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tcBorders>
              <w:top w:val="double" w:color="auto" w:sz="6" w:space="0"/>
              <w:bottom w:val="single" w:color="auto" w:sz="6" w:space="0"/>
            </w:tcBorders>
            <w:noWrap w:val="0"/>
            <w:vAlign w:val="center"/>
          </w:tcPr>
          <w:p w14:paraId="723CF4A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0" w:type="dxa"/>
            <w:tcBorders>
              <w:top w:val="double" w:color="auto" w:sz="6" w:space="0"/>
              <w:bottom w:val="single" w:color="auto" w:sz="6" w:space="0"/>
            </w:tcBorders>
            <w:noWrap w:val="0"/>
            <w:vAlign w:val="center"/>
          </w:tcPr>
          <w:p w14:paraId="7AA4ECB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3C76C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001" w:type="dxa"/>
            <w:tcBorders>
              <w:top w:val="nil"/>
            </w:tcBorders>
            <w:noWrap w:val="0"/>
            <w:vAlign w:val="center"/>
          </w:tcPr>
          <w:p w14:paraId="3B3CFB7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77" w:type="dxa"/>
            <w:tcBorders>
              <w:top w:val="nil"/>
            </w:tcBorders>
            <w:noWrap w:val="0"/>
            <w:vAlign w:val="center"/>
          </w:tcPr>
          <w:p w14:paraId="376D728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95" w:type="dxa"/>
            <w:tcBorders>
              <w:top w:val="nil"/>
            </w:tcBorders>
            <w:noWrap w:val="0"/>
            <w:vAlign w:val="center"/>
          </w:tcPr>
          <w:p w14:paraId="44AD4B54">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2410" w:type="dxa"/>
            <w:tcBorders>
              <w:top w:val="nil"/>
            </w:tcBorders>
            <w:noWrap w:val="0"/>
            <w:vAlign w:val="center"/>
          </w:tcPr>
          <w:p w14:paraId="77DC885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90" w:type="dxa"/>
            <w:tcBorders>
              <w:top w:val="nil"/>
            </w:tcBorders>
            <w:noWrap w:val="0"/>
            <w:vAlign w:val="center"/>
          </w:tcPr>
          <w:p w14:paraId="08809D9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40" w:type="dxa"/>
            <w:tcBorders>
              <w:top w:val="nil"/>
            </w:tcBorders>
            <w:noWrap w:val="0"/>
            <w:vAlign w:val="center"/>
          </w:tcPr>
          <w:p w14:paraId="56A4650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50" w:type="dxa"/>
            <w:tcBorders>
              <w:top w:val="nil"/>
            </w:tcBorders>
            <w:noWrap w:val="0"/>
            <w:vAlign w:val="center"/>
          </w:tcPr>
          <w:p w14:paraId="2832146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6" w:type="dxa"/>
            <w:tcBorders>
              <w:top w:val="nil"/>
            </w:tcBorders>
            <w:noWrap w:val="0"/>
            <w:vAlign w:val="center"/>
          </w:tcPr>
          <w:p w14:paraId="2A19E42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tcBorders>
              <w:top w:val="nil"/>
            </w:tcBorders>
            <w:noWrap w:val="0"/>
            <w:vAlign w:val="center"/>
          </w:tcPr>
          <w:p w14:paraId="6BD5080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0" w:type="dxa"/>
            <w:tcBorders>
              <w:top w:val="nil"/>
            </w:tcBorders>
            <w:noWrap w:val="0"/>
            <w:vAlign w:val="center"/>
          </w:tcPr>
          <w:p w14:paraId="131F97C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91E4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001" w:type="dxa"/>
            <w:tcBorders>
              <w:top w:val="nil"/>
            </w:tcBorders>
            <w:noWrap w:val="0"/>
            <w:vAlign w:val="center"/>
          </w:tcPr>
          <w:p w14:paraId="76D51E1F">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77" w:type="dxa"/>
            <w:tcBorders>
              <w:top w:val="nil"/>
            </w:tcBorders>
            <w:noWrap w:val="0"/>
            <w:vAlign w:val="center"/>
          </w:tcPr>
          <w:p w14:paraId="34E3D48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95" w:type="dxa"/>
            <w:tcBorders>
              <w:top w:val="nil"/>
            </w:tcBorders>
            <w:noWrap w:val="0"/>
            <w:vAlign w:val="center"/>
          </w:tcPr>
          <w:p w14:paraId="283849CF">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2410" w:type="dxa"/>
            <w:tcBorders>
              <w:top w:val="nil"/>
            </w:tcBorders>
            <w:noWrap w:val="0"/>
            <w:vAlign w:val="center"/>
          </w:tcPr>
          <w:p w14:paraId="7AA4BB4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90" w:type="dxa"/>
            <w:tcBorders>
              <w:top w:val="nil"/>
            </w:tcBorders>
            <w:noWrap w:val="0"/>
            <w:vAlign w:val="center"/>
          </w:tcPr>
          <w:p w14:paraId="52459B4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40" w:type="dxa"/>
            <w:tcBorders>
              <w:top w:val="nil"/>
            </w:tcBorders>
            <w:noWrap w:val="0"/>
            <w:vAlign w:val="center"/>
          </w:tcPr>
          <w:p w14:paraId="63BC35C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50" w:type="dxa"/>
            <w:tcBorders>
              <w:top w:val="nil"/>
            </w:tcBorders>
            <w:noWrap w:val="0"/>
            <w:vAlign w:val="center"/>
          </w:tcPr>
          <w:p w14:paraId="79BDB09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6" w:type="dxa"/>
            <w:tcBorders>
              <w:top w:val="nil"/>
            </w:tcBorders>
            <w:noWrap w:val="0"/>
            <w:vAlign w:val="center"/>
          </w:tcPr>
          <w:p w14:paraId="2412AE4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tcBorders>
              <w:top w:val="nil"/>
            </w:tcBorders>
            <w:noWrap w:val="0"/>
            <w:vAlign w:val="center"/>
          </w:tcPr>
          <w:p w14:paraId="44A199F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0" w:type="dxa"/>
            <w:tcBorders>
              <w:top w:val="nil"/>
            </w:tcBorders>
            <w:noWrap w:val="0"/>
            <w:vAlign w:val="center"/>
          </w:tcPr>
          <w:p w14:paraId="4DF68D2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B993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001" w:type="dxa"/>
            <w:noWrap w:val="0"/>
            <w:vAlign w:val="center"/>
          </w:tcPr>
          <w:p w14:paraId="1679D66E">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77" w:type="dxa"/>
            <w:noWrap w:val="0"/>
            <w:vAlign w:val="center"/>
          </w:tcPr>
          <w:p w14:paraId="1C77DB2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95" w:type="dxa"/>
            <w:noWrap w:val="0"/>
            <w:vAlign w:val="center"/>
          </w:tcPr>
          <w:p w14:paraId="0DE7B38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2410" w:type="dxa"/>
            <w:noWrap w:val="0"/>
            <w:vAlign w:val="center"/>
          </w:tcPr>
          <w:p w14:paraId="7ECDE41F">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90" w:type="dxa"/>
            <w:noWrap w:val="0"/>
            <w:vAlign w:val="center"/>
          </w:tcPr>
          <w:p w14:paraId="0A54B39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40" w:type="dxa"/>
            <w:noWrap w:val="0"/>
            <w:vAlign w:val="center"/>
          </w:tcPr>
          <w:p w14:paraId="1D362174">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50" w:type="dxa"/>
            <w:noWrap w:val="0"/>
            <w:vAlign w:val="center"/>
          </w:tcPr>
          <w:p w14:paraId="2515D01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6" w:type="dxa"/>
            <w:noWrap w:val="0"/>
            <w:vAlign w:val="center"/>
          </w:tcPr>
          <w:p w14:paraId="23EDC58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center"/>
          </w:tcPr>
          <w:p w14:paraId="67A251A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0" w:type="dxa"/>
            <w:noWrap w:val="0"/>
            <w:vAlign w:val="center"/>
          </w:tcPr>
          <w:p w14:paraId="6CB22914">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64E4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001" w:type="dxa"/>
            <w:tcBorders>
              <w:top w:val="nil"/>
            </w:tcBorders>
            <w:noWrap w:val="0"/>
            <w:vAlign w:val="center"/>
          </w:tcPr>
          <w:p w14:paraId="003D228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77" w:type="dxa"/>
            <w:tcBorders>
              <w:top w:val="nil"/>
            </w:tcBorders>
            <w:noWrap w:val="0"/>
            <w:vAlign w:val="center"/>
          </w:tcPr>
          <w:p w14:paraId="0B6F9A7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95" w:type="dxa"/>
            <w:tcBorders>
              <w:top w:val="nil"/>
            </w:tcBorders>
            <w:noWrap w:val="0"/>
            <w:vAlign w:val="center"/>
          </w:tcPr>
          <w:p w14:paraId="39EA673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2410" w:type="dxa"/>
            <w:tcBorders>
              <w:top w:val="nil"/>
            </w:tcBorders>
            <w:noWrap w:val="0"/>
            <w:vAlign w:val="center"/>
          </w:tcPr>
          <w:p w14:paraId="174DB92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90" w:type="dxa"/>
            <w:tcBorders>
              <w:top w:val="nil"/>
            </w:tcBorders>
            <w:noWrap w:val="0"/>
            <w:vAlign w:val="center"/>
          </w:tcPr>
          <w:p w14:paraId="3CC4D37F">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40" w:type="dxa"/>
            <w:tcBorders>
              <w:top w:val="nil"/>
            </w:tcBorders>
            <w:noWrap w:val="0"/>
            <w:vAlign w:val="center"/>
          </w:tcPr>
          <w:p w14:paraId="2773567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50" w:type="dxa"/>
            <w:tcBorders>
              <w:top w:val="nil"/>
            </w:tcBorders>
            <w:noWrap w:val="0"/>
            <w:vAlign w:val="center"/>
          </w:tcPr>
          <w:p w14:paraId="45B2AFA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6" w:type="dxa"/>
            <w:tcBorders>
              <w:top w:val="nil"/>
            </w:tcBorders>
            <w:noWrap w:val="0"/>
            <w:vAlign w:val="center"/>
          </w:tcPr>
          <w:p w14:paraId="551D03D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tcBorders>
              <w:top w:val="nil"/>
            </w:tcBorders>
            <w:noWrap w:val="0"/>
            <w:vAlign w:val="center"/>
          </w:tcPr>
          <w:p w14:paraId="184DDF5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0" w:type="dxa"/>
            <w:tcBorders>
              <w:top w:val="nil"/>
            </w:tcBorders>
            <w:noWrap w:val="0"/>
            <w:vAlign w:val="center"/>
          </w:tcPr>
          <w:p w14:paraId="2C5C93F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CD2C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001" w:type="dxa"/>
            <w:noWrap w:val="0"/>
            <w:vAlign w:val="center"/>
          </w:tcPr>
          <w:p w14:paraId="6143F16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77" w:type="dxa"/>
            <w:noWrap w:val="0"/>
            <w:vAlign w:val="center"/>
          </w:tcPr>
          <w:p w14:paraId="40B21DC4">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95" w:type="dxa"/>
            <w:noWrap w:val="0"/>
            <w:vAlign w:val="center"/>
          </w:tcPr>
          <w:p w14:paraId="01844E2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2410" w:type="dxa"/>
            <w:noWrap w:val="0"/>
            <w:vAlign w:val="center"/>
          </w:tcPr>
          <w:p w14:paraId="03ED203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90" w:type="dxa"/>
            <w:noWrap w:val="0"/>
            <w:vAlign w:val="center"/>
          </w:tcPr>
          <w:p w14:paraId="5EAD3E3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40" w:type="dxa"/>
            <w:noWrap w:val="0"/>
            <w:vAlign w:val="center"/>
          </w:tcPr>
          <w:p w14:paraId="7C529A9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50" w:type="dxa"/>
            <w:noWrap w:val="0"/>
            <w:vAlign w:val="center"/>
          </w:tcPr>
          <w:p w14:paraId="09A49BF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6" w:type="dxa"/>
            <w:noWrap w:val="0"/>
            <w:vAlign w:val="center"/>
          </w:tcPr>
          <w:p w14:paraId="0D97113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center"/>
          </w:tcPr>
          <w:p w14:paraId="3FEC4A9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0" w:type="dxa"/>
            <w:noWrap w:val="0"/>
            <w:vAlign w:val="center"/>
          </w:tcPr>
          <w:p w14:paraId="0437638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6FA43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001" w:type="dxa"/>
            <w:tcBorders>
              <w:top w:val="nil"/>
            </w:tcBorders>
            <w:noWrap w:val="0"/>
            <w:vAlign w:val="center"/>
          </w:tcPr>
          <w:p w14:paraId="2F40EB9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77" w:type="dxa"/>
            <w:tcBorders>
              <w:top w:val="nil"/>
            </w:tcBorders>
            <w:noWrap w:val="0"/>
            <w:vAlign w:val="center"/>
          </w:tcPr>
          <w:p w14:paraId="061F3E6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95" w:type="dxa"/>
            <w:tcBorders>
              <w:top w:val="nil"/>
            </w:tcBorders>
            <w:noWrap w:val="0"/>
            <w:vAlign w:val="center"/>
          </w:tcPr>
          <w:p w14:paraId="5800F58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2410" w:type="dxa"/>
            <w:tcBorders>
              <w:top w:val="nil"/>
            </w:tcBorders>
            <w:noWrap w:val="0"/>
            <w:vAlign w:val="center"/>
          </w:tcPr>
          <w:p w14:paraId="31431BB4">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90" w:type="dxa"/>
            <w:tcBorders>
              <w:top w:val="nil"/>
            </w:tcBorders>
            <w:noWrap w:val="0"/>
            <w:vAlign w:val="center"/>
          </w:tcPr>
          <w:p w14:paraId="257446F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40" w:type="dxa"/>
            <w:tcBorders>
              <w:top w:val="nil"/>
            </w:tcBorders>
            <w:noWrap w:val="0"/>
            <w:vAlign w:val="center"/>
          </w:tcPr>
          <w:p w14:paraId="24A9C11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50" w:type="dxa"/>
            <w:tcBorders>
              <w:top w:val="nil"/>
            </w:tcBorders>
            <w:noWrap w:val="0"/>
            <w:vAlign w:val="center"/>
          </w:tcPr>
          <w:p w14:paraId="42F4623E">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6" w:type="dxa"/>
            <w:tcBorders>
              <w:top w:val="nil"/>
            </w:tcBorders>
            <w:noWrap w:val="0"/>
            <w:vAlign w:val="center"/>
          </w:tcPr>
          <w:p w14:paraId="753BA6E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tcBorders>
              <w:top w:val="nil"/>
            </w:tcBorders>
            <w:noWrap w:val="0"/>
            <w:vAlign w:val="center"/>
          </w:tcPr>
          <w:p w14:paraId="4489030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0" w:type="dxa"/>
            <w:tcBorders>
              <w:top w:val="nil"/>
            </w:tcBorders>
            <w:noWrap w:val="0"/>
            <w:vAlign w:val="center"/>
          </w:tcPr>
          <w:p w14:paraId="39416A1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62DFF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trPr>
        <w:tc>
          <w:tcPr>
            <w:tcW w:w="2001" w:type="dxa"/>
            <w:noWrap w:val="0"/>
            <w:vAlign w:val="center"/>
          </w:tcPr>
          <w:p w14:paraId="279E936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77" w:type="dxa"/>
            <w:noWrap w:val="0"/>
            <w:vAlign w:val="center"/>
          </w:tcPr>
          <w:p w14:paraId="67ED426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95" w:type="dxa"/>
            <w:noWrap w:val="0"/>
            <w:vAlign w:val="center"/>
          </w:tcPr>
          <w:p w14:paraId="1AB3EAB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2410" w:type="dxa"/>
            <w:noWrap w:val="0"/>
            <w:vAlign w:val="center"/>
          </w:tcPr>
          <w:p w14:paraId="4512327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90" w:type="dxa"/>
            <w:noWrap w:val="0"/>
            <w:vAlign w:val="center"/>
          </w:tcPr>
          <w:p w14:paraId="7D6062F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40" w:type="dxa"/>
            <w:noWrap w:val="0"/>
            <w:vAlign w:val="center"/>
          </w:tcPr>
          <w:p w14:paraId="73AE88D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50" w:type="dxa"/>
            <w:noWrap w:val="0"/>
            <w:vAlign w:val="center"/>
          </w:tcPr>
          <w:p w14:paraId="2B70A28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6" w:type="dxa"/>
            <w:noWrap w:val="0"/>
            <w:vAlign w:val="center"/>
          </w:tcPr>
          <w:p w14:paraId="7D7D736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center"/>
          </w:tcPr>
          <w:p w14:paraId="7C09DD0E">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0" w:type="dxa"/>
            <w:noWrap w:val="0"/>
            <w:vAlign w:val="center"/>
          </w:tcPr>
          <w:p w14:paraId="36FE8749">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42F7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001" w:type="dxa"/>
            <w:tcBorders>
              <w:top w:val="nil"/>
            </w:tcBorders>
            <w:noWrap w:val="0"/>
            <w:vAlign w:val="center"/>
          </w:tcPr>
          <w:p w14:paraId="7EF392D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77" w:type="dxa"/>
            <w:tcBorders>
              <w:top w:val="nil"/>
            </w:tcBorders>
            <w:noWrap w:val="0"/>
            <w:vAlign w:val="center"/>
          </w:tcPr>
          <w:p w14:paraId="29E8DE3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95" w:type="dxa"/>
            <w:tcBorders>
              <w:top w:val="nil"/>
            </w:tcBorders>
            <w:noWrap w:val="0"/>
            <w:vAlign w:val="center"/>
          </w:tcPr>
          <w:p w14:paraId="1EFD60F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2410" w:type="dxa"/>
            <w:tcBorders>
              <w:top w:val="nil"/>
            </w:tcBorders>
            <w:noWrap w:val="0"/>
            <w:vAlign w:val="center"/>
          </w:tcPr>
          <w:p w14:paraId="6E83C05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90" w:type="dxa"/>
            <w:tcBorders>
              <w:top w:val="nil"/>
            </w:tcBorders>
            <w:noWrap w:val="0"/>
            <w:vAlign w:val="center"/>
          </w:tcPr>
          <w:p w14:paraId="38F8AA3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40" w:type="dxa"/>
            <w:tcBorders>
              <w:top w:val="nil"/>
            </w:tcBorders>
            <w:noWrap w:val="0"/>
            <w:vAlign w:val="center"/>
          </w:tcPr>
          <w:p w14:paraId="49C7AB2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50" w:type="dxa"/>
            <w:tcBorders>
              <w:top w:val="nil"/>
            </w:tcBorders>
            <w:noWrap w:val="0"/>
            <w:vAlign w:val="center"/>
          </w:tcPr>
          <w:p w14:paraId="44615CE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6" w:type="dxa"/>
            <w:tcBorders>
              <w:top w:val="nil"/>
            </w:tcBorders>
            <w:noWrap w:val="0"/>
            <w:vAlign w:val="center"/>
          </w:tcPr>
          <w:p w14:paraId="6B018784">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tcBorders>
              <w:top w:val="nil"/>
            </w:tcBorders>
            <w:noWrap w:val="0"/>
            <w:vAlign w:val="center"/>
          </w:tcPr>
          <w:p w14:paraId="70BF6CF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0" w:type="dxa"/>
            <w:tcBorders>
              <w:top w:val="nil"/>
            </w:tcBorders>
            <w:noWrap w:val="0"/>
            <w:vAlign w:val="center"/>
          </w:tcPr>
          <w:p w14:paraId="315DB959">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bl>
    <w:p w14:paraId="0A868E3A">
      <w:pPr>
        <w:spacing w:line="440" w:lineRule="exact"/>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0A15551D">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616" w:name="_Toc296891265"/>
      <w:bookmarkStart w:id="617" w:name="_Toc296503225"/>
      <w:bookmarkStart w:id="618" w:name="_Toc296944564"/>
      <w:bookmarkStart w:id="619" w:name="_Toc296346726"/>
      <w:bookmarkStart w:id="620" w:name="_Toc296891053"/>
      <w:bookmarkStart w:id="621" w:name="_Toc267261692"/>
      <w:bookmarkStart w:id="622" w:name="_Toc296347224"/>
      <w:r>
        <w:rPr>
          <w:rFonts w:hint="eastAsia" w:ascii="宋体" w:hAnsi="宋体" w:eastAsia="宋体" w:cs="宋体"/>
          <w:color w:val="auto"/>
          <w:sz w:val="21"/>
          <w:szCs w:val="21"/>
          <w:highlight w:val="none"/>
        </w:rPr>
        <w:t>件2：</w:t>
      </w:r>
    </w:p>
    <w:bookmarkEnd w:id="616"/>
    <w:bookmarkEnd w:id="617"/>
    <w:bookmarkEnd w:id="618"/>
    <w:bookmarkEnd w:id="619"/>
    <w:bookmarkEnd w:id="620"/>
    <w:bookmarkEnd w:id="621"/>
    <w:bookmarkEnd w:id="622"/>
    <w:p w14:paraId="4D06119E">
      <w:pPr>
        <w:spacing w:beforeLines="5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28"/>
        <w:tblW w:w="9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4"/>
        <w:gridCol w:w="1791"/>
        <w:gridCol w:w="1418"/>
        <w:gridCol w:w="940"/>
        <w:gridCol w:w="965"/>
        <w:gridCol w:w="1044"/>
        <w:gridCol w:w="799"/>
        <w:gridCol w:w="851"/>
        <w:gridCol w:w="825"/>
        <w:gridCol w:w="652"/>
      </w:tblGrid>
      <w:tr w14:paraId="5F82A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4" w:type="dxa"/>
            <w:tcBorders>
              <w:top w:val="single" w:color="auto" w:sz="12" w:space="0"/>
              <w:bottom w:val="double" w:color="auto" w:sz="6" w:space="0"/>
            </w:tcBorders>
            <w:noWrap w:val="0"/>
            <w:vAlign w:val="center"/>
          </w:tcPr>
          <w:p w14:paraId="44EE9BA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791" w:type="dxa"/>
            <w:tcBorders>
              <w:top w:val="single" w:color="auto" w:sz="12" w:space="0"/>
              <w:bottom w:val="double" w:color="auto" w:sz="6" w:space="0"/>
            </w:tcBorders>
            <w:noWrap w:val="0"/>
            <w:vAlign w:val="center"/>
          </w:tcPr>
          <w:p w14:paraId="0FC7E61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材料、设备品种</w:t>
            </w:r>
          </w:p>
        </w:tc>
        <w:tc>
          <w:tcPr>
            <w:tcW w:w="1418" w:type="dxa"/>
            <w:tcBorders>
              <w:top w:val="single" w:color="auto" w:sz="12" w:space="0"/>
              <w:bottom w:val="double" w:color="auto" w:sz="6" w:space="0"/>
            </w:tcBorders>
            <w:noWrap w:val="0"/>
            <w:vAlign w:val="center"/>
          </w:tcPr>
          <w:p w14:paraId="145D311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规格型号</w:t>
            </w:r>
          </w:p>
        </w:tc>
        <w:tc>
          <w:tcPr>
            <w:tcW w:w="940" w:type="dxa"/>
            <w:tcBorders>
              <w:top w:val="single" w:color="auto" w:sz="12" w:space="0"/>
              <w:bottom w:val="double" w:color="auto" w:sz="6" w:space="0"/>
            </w:tcBorders>
            <w:noWrap w:val="0"/>
            <w:vAlign w:val="center"/>
          </w:tcPr>
          <w:p w14:paraId="6DE7379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965" w:type="dxa"/>
            <w:tcBorders>
              <w:top w:val="single" w:color="auto" w:sz="12" w:space="0"/>
              <w:bottom w:val="double" w:color="auto" w:sz="6" w:space="0"/>
            </w:tcBorders>
            <w:noWrap w:val="0"/>
            <w:vAlign w:val="center"/>
          </w:tcPr>
          <w:p w14:paraId="50A0FCC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044" w:type="dxa"/>
            <w:tcBorders>
              <w:top w:val="single" w:color="auto" w:sz="12" w:space="0"/>
              <w:bottom w:val="double" w:color="auto" w:sz="6" w:space="0"/>
            </w:tcBorders>
            <w:noWrap w:val="0"/>
            <w:vAlign w:val="center"/>
          </w:tcPr>
          <w:p w14:paraId="68AF0EE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单价（元）</w:t>
            </w:r>
          </w:p>
        </w:tc>
        <w:tc>
          <w:tcPr>
            <w:tcW w:w="799" w:type="dxa"/>
            <w:tcBorders>
              <w:top w:val="single" w:color="auto" w:sz="12" w:space="0"/>
              <w:bottom w:val="double" w:color="auto" w:sz="6" w:space="0"/>
            </w:tcBorders>
            <w:noWrap w:val="0"/>
            <w:vAlign w:val="center"/>
          </w:tcPr>
          <w:p w14:paraId="3961268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质量等级</w:t>
            </w:r>
          </w:p>
        </w:tc>
        <w:tc>
          <w:tcPr>
            <w:tcW w:w="851" w:type="dxa"/>
            <w:tcBorders>
              <w:top w:val="single" w:color="auto" w:sz="12" w:space="0"/>
              <w:bottom w:val="double" w:color="auto" w:sz="6" w:space="0"/>
            </w:tcBorders>
            <w:noWrap w:val="0"/>
            <w:vAlign w:val="center"/>
          </w:tcPr>
          <w:p w14:paraId="4E4FA6A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供应时间</w:t>
            </w:r>
          </w:p>
        </w:tc>
        <w:tc>
          <w:tcPr>
            <w:tcW w:w="825" w:type="dxa"/>
            <w:tcBorders>
              <w:top w:val="single" w:color="auto" w:sz="12" w:space="0"/>
              <w:bottom w:val="double" w:color="auto" w:sz="6" w:space="0"/>
            </w:tcBorders>
            <w:noWrap w:val="0"/>
            <w:vAlign w:val="center"/>
          </w:tcPr>
          <w:p w14:paraId="2E1CF84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送达地点</w:t>
            </w:r>
          </w:p>
        </w:tc>
        <w:tc>
          <w:tcPr>
            <w:tcW w:w="652" w:type="dxa"/>
            <w:tcBorders>
              <w:top w:val="single" w:color="auto" w:sz="12" w:space="0"/>
              <w:bottom w:val="double" w:color="auto" w:sz="6" w:space="0"/>
            </w:tcBorders>
            <w:noWrap w:val="0"/>
            <w:vAlign w:val="center"/>
          </w:tcPr>
          <w:p w14:paraId="079D78F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082B1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tcBorders>
              <w:top w:val="double" w:color="auto" w:sz="6" w:space="0"/>
              <w:bottom w:val="single" w:color="auto" w:sz="6" w:space="0"/>
            </w:tcBorders>
            <w:noWrap w:val="0"/>
            <w:vAlign w:val="center"/>
          </w:tcPr>
          <w:p w14:paraId="74224D2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1" w:type="dxa"/>
            <w:tcBorders>
              <w:top w:val="double" w:color="auto" w:sz="6" w:space="0"/>
              <w:bottom w:val="single" w:color="auto" w:sz="6" w:space="0"/>
            </w:tcBorders>
            <w:noWrap w:val="0"/>
            <w:vAlign w:val="center"/>
          </w:tcPr>
          <w:p w14:paraId="781AC0B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tcBorders>
              <w:top w:val="double" w:color="auto" w:sz="6" w:space="0"/>
              <w:bottom w:val="single" w:color="auto" w:sz="6" w:space="0"/>
            </w:tcBorders>
            <w:noWrap w:val="0"/>
            <w:vAlign w:val="center"/>
          </w:tcPr>
          <w:p w14:paraId="1062727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tcBorders>
              <w:top w:val="double" w:color="auto" w:sz="6" w:space="0"/>
              <w:bottom w:val="single" w:color="auto" w:sz="6" w:space="0"/>
            </w:tcBorders>
            <w:noWrap w:val="0"/>
            <w:vAlign w:val="center"/>
          </w:tcPr>
          <w:p w14:paraId="5686B79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tcBorders>
              <w:top w:val="double" w:color="auto" w:sz="6" w:space="0"/>
              <w:bottom w:val="single" w:color="auto" w:sz="6" w:space="0"/>
            </w:tcBorders>
            <w:noWrap w:val="0"/>
            <w:vAlign w:val="center"/>
          </w:tcPr>
          <w:p w14:paraId="44D2173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44" w:type="dxa"/>
            <w:tcBorders>
              <w:top w:val="double" w:color="auto" w:sz="6" w:space="0"/>
              <w:bottom w:val="single" w:color="auto" w:sz="6" w:space="0"/>
            </w:tcBorders>
            <w:noWrap w:val="0"/>
            <w:vAlign w:val="center"/>
          </w:tcPr>
          <w:p w14:paraId="6BFDF5FE">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99" w:type="dxa"/>
            <w:tcBorders>
              <w:top w:val="double" w:color="auto" w:sz="6" w:space="0"/>
              <w:bottom w:val="single" w:color="auto" w:sz="6" w:space="0"/>
            </w:tcBorders>
            <w:noWrap w:val="0"/>
            <w:vAlign w:val="center"/>
          </w:tcPr>
          <w:p w14:paraId="312DB86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tcBorders>
              <w:top w:val="double" w:color="auto" w:sz="6" w:space="0"/>
              <w:bottom w:val="single" w:color="auto" w:sz="6" w:space="0"/>
            </w:tcBorders>
            <w:noWrap w:val="0"/>
            <w:vAlign w:val="center"/>
          </w:tcPr>
          <w:p w14:paraId="37BA838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25" w:type="dxa"/>
            <w:tcBorders>
              <w:top w:val="double" w:color="auto" w:sz="6" w:space="0"/>
              <w:bottom w:val="single" w:color="auto" w:sz="6" w:space="0"/>
            </w:tcBorders>
            <w:noWrap w:val="0"/>
            <w:vAlign w:val="center"/>
          </w:tcPr>
          <w:p w14:paraId="01852CFE">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652" w:type="dxa"/>
            <w:tcBorders>
              <w:top w:val="double" w:color="auto" w:sz="6" w:space="0"/>
              <w:bottom w:val="single" w:color="auto" w:sz="6" w:space="0"/>
            </w:tcBorders>
            <w:noWrap w:val="0"/>
            <w:vAlign w:val="center"/>
          </w:tcPr>
          <w:p w14:paraId="1ADD789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08D0E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tcBorders>
              <w:top w:val="nil"/>
            </w:tcBorders>
            <w:noWrap w:val="0"/>
            <w:vAlign w:val="center"/>
          </w:tcPr>
          <w:p w14:paraId="4E48CE1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1" w:type="dxa"/>
            <w:tcBorders>
              <w:top w:val="nil"/>
            </w:tcBorders>
            <w:noWrap w:val="0"/>
            <w:vAlign w:val="center"/>
          </w:tcPr>
          <w:p w14:paraId="12226B9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tcBorders>
              <w:top w:val="nil"/>
            </w:tcBorders>
            <w:noWrap w:val="0"/>
            <w:vAlign w:val="center"/>
          </w:tcPr>
          <w:p w14:paraId="6E41C00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tcBorders>
              <w:top w:val="nil"/>
            </w:tcBorders>
            <w:noWrap w:val="0"/>
            <w:vAlign w:val="center"/>
          </w:tcPr>
          <w:p w14:paraId="49DBD1A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tcBorders>
              <w:top w:val="nil"/>
            </w:tcBorders>
            <w:noWrap w:val="0"/>
            <w:vAlign w:val="center"/>
          </w:tcPr>
          <w:p w14:paraId="25851AD4">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44" w:type="dxa"/>
            <w:tcBorders>
              <w:top w:val="nil"/>
            </w:tcBorders>
            <w:noWrap w:val="0"/>
            <w:vAlign w:val="center"/>
          </w:tcPr>
          <w:p w14:paraId="03A59B0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99" w:type="dxa"/>
            <w:tcBorders>
              <w:top w:val="nil"/>
            </w:tcBorders>
            <w:noWrap w:val="0"/>
            <w:vAlign w:val="center"/>
          </w:tcPr>
          <w:p w14:paraId="784F4DF9">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tcBorders>
              <w:top w:val="nil"/>
            </w:tcBorders>
            <w:noWrap w:val="0"/>
            <w:vAlign w:val="center"/>
          </w:tcPr>
          <w:p w14:paraId="0C7DF514">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25" w:type="dxa"/>
            <w:tcBorders>
              <w:top w:val="nil"/>
            </w:tcBorders>
            <w:noWrap w:val="0"/>
            <w:vAlign w:val="center"/>
          </w:tcPr>
          <w:p w14:paraId="0AA5A8B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652" w:type="dxa"/>
            <w:tcBorders>
              <w:top w:val="nil"/>
            </w:tcBorders>
            <w:noWrap w:val="0"/>
            <w:vAlign w:val="center"/>
          </w:tcPr>
          <w:p w14:paraId="00D9C49F">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89E4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742FFD7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1" w:type="dxa"/>
            <w:noWrap w:val="0"/>
            <w:vAlign w:val="center"/>
          </w:tcPr>
          <w:p w14:paraId="53615FF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22C949D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noWrap w:val="0"/>
            <w:vAlign w:val="center"/>
          </w:tcPr>
          <w:p w14:paraId="12B0A97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noWrap w:val="0"/>
            <w:vAlign w:val="center"/>
          </w:tcPr>
          <w:p w14:paraId="6BA1529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44" w:type="dxa"/>
            <w:noWrap w:val="0"/>
            <w:vAlign w:val="center"/>
          </w:tcPr>
          <w:p w14:paraId="76C1742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99" w:type="dxa"/>
            <w:noWrap w:val="0"/>
            <w:vAlign w:val="center"/>
          </w:tcPr>
          <w:p w14:paraId="581DA5F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center"/>
          </w:tcPr>
          <w:p w14:paraId="69B1797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25" w:type="dxa"/>
            <w:noWrap w:val="0"/>
            <w:vAlign w:val="center"/>
          </w:tcPr>
          <w:p w14:paraId="2D10D5E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652" w:type="dxa"/>
            <w:noWrap w:val="0"/>
            <w:vAlign w:val="center"/>
          </w:tcPr>
          <w:p w14:paraId="5D2C1CBE">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0BAD7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7F61330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1" w:type="dxa"/>
            <w:noWrap w:val="0"/>
            <w:vAlign w:val="center"/>
          </w:tcPr>
          <w:p w14:paraId="60363C5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331BF75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noWrap w:val="0"/>
            <w:vAlign w:val="center"/>
          </w:tcPr>
          <w:p w14:paraId="46511FF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noWrap w:val="0"/>
            <w:vAlign w:val="center"/>
          </w:tcPr>
          <w:p w14:paraId="652C176E">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44" w:type="dxa"/>
            <w:noWrap w:val="0"/>
            <w:vAlign w:val="center"/>
          </w:tcPr>
          <w:p w14:paraId="6895C64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99" w:type="dxa"/>
            <w:noWrap w:val="0"/>
            <w:vAlign w:val="center"/>
          </w:tcPr>
          <w:p w14:paraId="0FB080B4">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center"/>
          </w:tcPr>
          <w:p w14:paraId="2974719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25" w:type="dxa"/>
            <w:noWrap w:val="0"/>
            <w:vAlign w:val="center"/>
          </w:tcPr>
          <w:p w14:paraId="2BBC044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652" w:type="dxa"/>
            <w:noWrap w:val="0"/>
            <w:vAlign w:val="center"/>
          </w:tcPr>
          <w:p w14:paraId="6A9985C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28A6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04F1DEB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1" w:type="dxa"/>
            <w:noWrap w:val="0"/>
            <w:vAlign w:val="center"/>
          </w:tcPr>
          <w:p w14:paraId="31752F34">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5C695A9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noWrap w:val="0"/>
            <w:vAlign w:val="center"/>
          </w:tcPr>
          <w:p w14:paraId="449DE00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noWrap w:val="0"/>
            <w:vAlign w:val="center"/>
          </w:tcPr>
          <w:p w14:paraId="3C14F25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44" w:type="dxa"/>
            <w:noWrap w:val="0"/>
            <w:vAlign w:val="center"/>
          </w:tcPr>
          <w:p w14:paraId="1D2969F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99" w:type="dxa"/>
            <w:noWrap w:val="0"/>
            <w:vAlign w:val="center"/>
          </w:tcPr>
          <w:p w14:paraId="1C9F88A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center"/>
          </w:tcPr>
          <w:p w14:paraId="18C32EA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25" w:type="dxa"/>
            <w:noWrap w:val="0"/>
            <w:vAlign w:val="center"/>
          </w:tcPr>
          <w:p w14:paraId="06FDC6C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652" w:type="dxa"/>
            <w:noWrap w:val="0"/>
            <w:vAlign w:val="center"/>
          </w:tcPr>
          <w:p w14:paraId="3510C0D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2C6E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172DDFA9">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1" w:type="dxa"/>
            <w:noWrap w:val="0"/>
            <w:vAlign w:val="center"/>
          </w:tcPr>
          <w:p w14:paraId="20F563F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29F3ED0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noWrap w:val="0"/>
            <w:vAlign w:val="center"/>
          </w:tcPr>
          <w:p w14:paraId="7D77BB04">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noWrap w:val="0"/>
            <w:vAlign w:val="center"/>
          </w:tcPr>
          <w:p w14:paraId="0D2EB84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44" w:type="dxa"/>
            <w:noWrap w:val="0"/>
            <w:vAlign w:val="center"/>
          </w:tcPr>
          <w:p w14:paraId="5C5DBAE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99" w:type="dxa"/>
            <w:noWrap w:val="0"/>
            <w:vAlign w:val="center"/>
          </w:tcPr>
          <w:p w14:paraId="50B3953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center"/>
          </w:tcPr>
          <w:p w14:paraId="4D057FC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25" w:type="dxa"/>
            <w:noWrap w:val="0"/>
            <w:vAlign w:val="center"/>
          </w:tcPr>
          <w:p w14:paraId="2115E39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652" w:type="dxa"/>
            <w:noWrap w:val="0"/>
            <w:vAlign w:val="center"/>
          </w:tcPr>
          <w:p w14:paraId="69C4536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DA79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123AA3F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1" w:type="dxa"/>
            <w:noWrap w:val="0"/>
            <w:vAlign w:val="center"/>
          </w:tcPr>
          <w:p w14:paraId="09B8BE9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22A1968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noWrap w:val="0"/>
            <w:vAlign w:val="center"/>
          </w:tcPr>
          <w:p w14:paraId="33C30E6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noWrap w:val="0"/>
            <w:vAlign w:val="center"/>
          </w:tcPr>
          <w:p w14:paraId="1AC0797F">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44" w:type="dxa"/>
            <w:noWrap w:val="0"/>
            <w:vAlign w:val="center"/>
          </w:tcPr>
          <w:p w14:paraId="2ED789C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99" w:type="dxa"/>
            <w:noWrap w:val="0"/>
            <w:vAlign w:val="center"/>
          </w:tcPr>
          <w:p w14:paraId="57EB02D4">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center"/>
          </w:tcPr>
          <w:p w14:paraId="059866A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25" w:type="dxa"/>
            <w:noWrap w:val="0"/>
            <w:vAlign w:val="center"/>
          </w:tcPr>
          <w:p w14:paraId="01C362A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652" w:type="dxa"/>
            <w:noWrap w:val="0"/>
            <w:vAlign w:val="center"/>
          </w:tcPr>
          <w:p w14:paraId="54CCDE2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7E5A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6B8236B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1" w:type="dxa"/>
            <w:noWrap w:val="0"/>
            <w:vAlign w:val="center"/>
          </w:tcPr>
          <w:p w14:paraId="2EB774BF">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03EE8B4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noWrap w:val="0"/>
            <w:vAlign w:val="center"/>
          </w:tcPr>
          <w:p w14:paraId="585EF94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noWrap w:val="0"/>
            <w:vAlign w:val="center"/>
          </w:tcPr>
          <w:p w14:paraId="402CB64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44" w:type="dxa"/>
            <w:noWrap w:val="0"/>
            <w:vAlign w:val="center"/>
          </w:tcPr>
          <w:p w14:paraId="7E64CA0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99" w:type="dxa"/>
            <w:noWrap w:val="0"/>
            <w:vAlign w:val="center"/>
          </w:tcPr>
          <w:p w14:paraId="79448B9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center"/>
          </w:tcPr>
          <w:p w14:paraId="34DC893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25" w:type="dxa"/>
            <w:noWrap w:val="0"/>
            <w:vAlign w:val="center"/>
          </w:tcPr>
          <w:p w14:paraId="5995823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652" w:type="dxa"/>
            <w:noWrap w:val="0"/>
            <w:vAlign w:val="center"/>
          </w:tcPr>
          <w:p w14:paraId="613BD62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2266F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1EFEEC93">
            <w:pPr>
              <w:jc w:val="center"/>
              <w:rPr>
                <w:rFonts w:hint="eastAsia" w:ascii="宋体" w:hAnsi="宋体" w:eastAsia="宋体" w:cs="宋体"/>
                <w:color w:val="auto"/>
                <w:sz w:val="21"/>
                <w:szCs w:val="21"/>
                <w:highlight w:val="none"/>
              </w:rPr>
            </w:pPr>
          </w:p>
        </w:tc>
        <w:tc>
          <w:tcPr>
            <w:tcW w:w="1791" w:type="dxa"/>
            <w:noWrap w:val="0"/>
            <w:vAlign w:val="center"/>
          </w:tcPr>
          <w:p w14:paraId="7F93967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64E5306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noWrap w:val="0"/>
            <w:vAlign w:val="center"/>
          </w:tcPr>
          <w:p w14:paraId="45525B3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noWrap w:val="0"/>
            <w:vAlign w:val="center"/>
          </w:tcPr>
          <w:p w14:paraId="7E7B1F14">
            <w:pPr>
              <w:jc w:val="center"/>
              <w:rPr>
                <w:rFonts w:hint="eastAsia" w:ascii="宋体" w:hAnsi="宋体" w:eastAsia="宋体" w:cs="宋体"/>
                <w:color w:val="auto"/>
                <w:sz w:val="21"/>
                <w:szCs w:val="21"/>
                <w:highlight w:val="none"/>
              </w:rPr>
            </w:pPr>
          </w:p>
        </w:tc>
        <w:tc>
          <w:tcPr>
            <w:tcW w:w="1044" w:type="dxa"/>
            <w:noWrap w:val="0"/>
            <w:vAlign w:val="center"/>
          </w:tcPr>
          <w:p w14:paraId="0D5A0AF2">
            <w:pPr>
              <w:jc w:val="center"/>
              <w:rPr>
                <w:rFonts w:hint="eastAsia" w:ascii="宋体" w:hAnsi="宋体" w:eastAsia="宋体" w:cs="宋体"/>
                <w:color w:val="auto"/>
                <w:sz w:val="21"/>
                <w:szCs w:val="21"/>
                <w:highlight w:val="none"/>
              </w:rPr>
            </w:pPr>
          </w:p>
        </w:tc>
        <w:tc>
          <w:tcPr>
            <w:tcW w:w="799" w:type="dxa"/>
            <w:noWrap w:val="0"/>
            <w:vAlign w:val="center"/>
          </w:tcPr>
          <w:p w14:paraId="22FC594C">
            <w:pPr>
              <w:jc w:val="center"/>
              <w:rPr>
                <w:rFonts w:hint="eastAsia" w:ascii="宋体" w:hAnsi="宋体" w:eastAsia="宋体" w:cs="宋体"/>
                <w:color w:val="auto"/>
                <w:sz w:val="21"/>
                <w:szCs w:val="21"/>
                <w:highlight w:val="none"/>
              </w:rPr>
            </w:pPr>
          </w:p>
        </w:tc>
        <w:tc>
          <w:tcPr>
            <w:tcW w:w="851" w:type="dxa"/>
            <w:noWrap w:val="0"/>
            <w:vAlign w:val="center"/>
          </w:tcPr>
          <w:p w14:paraId="139F92CD">
            <w:pPr>
              <w:jc w:val="center"/>
              <w:rPr>
                <w:rFonts w:hint="eastAsia" w:ascii="宋体" w:hAnsi="宋体" w:eastAsia="宋体" w:cs="宋体"/>
                <w:color w:val="auto"/>
                <w:sz w:val="21"/>
                <w:szCs w:val="21"/>
                <w:highlight w:val="none"/>
              </w:rPr>
            </w:pPr>
          </w:p>
        </w:tc>
        <w:tc>
          <w:tcPr>
            <w:tcW w:w="825" w:type="dxa"/>
            <w:noWrap w:val="0"/>
            <w:vAlign w:val="center"/>
          </w:tcPr>
          <w:p w14:paraId="6AB8AF61">
            <w:pPr>
              <w:jc w:val="center"/>
              <w:rPr>
                <w:rFonts w:hint="eastAsia" w:ascii="宋体" w:hAnsi="宋体" w:eastAsia="宋体" w:cs="宋体"/>
                <w:color w:val="auto"/>
                <w:sz w:val="21"/>
                <w:szCs w:val="21"/>
                <w:highlight w:val="none"/>
              </w:rPr>
            </w:pPr>
          </w:p>
        </w:tc>
        <w:tc>
          <w:tcPr>
            <w:tcW w:w="652" w:type="dxa"/>
            <w:noWrap w:val="0"/>
            <w:vAlign w:val="center"/>
          </w:tcPr>
          <w:p w14:paraId="7F31EDEA">
            <w:pPr>
              <w:jc w:val="center"/>
              <w:rPr>
                <w:rFonts w:hint="eastAsia" w:ascii="宋体" w:hAnsi="宋体" w:eastAsia="宋体" w:cs="宋体"/>
                <w:color w:val="auto"/>
                <w:sz w:val="21"/>
                <w:szCs w:val="21"/>
                <w:highlight w:val="none"/>
              </w:rPr>
            </w:pPr>
          </w:p>
        </w:tc>
      </w:tr>
      <w:tr w14:paraId="4A426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61BEE84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91" w:type="dxa"/>
            <w:noWrap w:val="0"/>
            <w:vAlign w:val="center"/>
          </w:tcPr>
          <w:p w14:paraId="2A826B0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3C946DD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noWrap w:val="0"/>
            <w:vAlign w:val="center"/>
          </w:tcPr>
          <w:p w14:paraId="00AF39EF">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noWrap w:val="0"/>
            <w:vAlign w:val="center"/>
          </w:tcPr>
          <w:p w14:paraId="51A3B58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044" w:type="dxa"/>
            <w:noWrap w:val="0"/>
            <w:vAlign w:val="center"/>
          </w:tcPr>
          <w:p w14:paraId="3A25327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99" w:type="dxa"/>
            <w:noWrap w:val="0"/>
            <w:vAlign w:val="center"/>
          </w:tcPr>
          <w:p w14:paraId="1F84B1A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center"/>
          </w:tcPr>
          <w:p w14:paraId="7AB0367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25" w:type="dxa"/>
            <w:noWrap w:val="0"/>
            <w:vAlign w:val="center"/>
          </w:tcPr>
          <w:p w14:paraId="069A3E99">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652" w:type="dxa"/>
            <w:noWrap w:val="0"/>
            <w:vAlign w:val="center"/>
          </w:tcPr>
          <w:p w14:paraId="38F8EE74">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63980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14538A2B">
            <w:pPr>
              <w:jc w:val="center"/>
              <w:rPr>
                <w:rFonts w:hint="eastAsia" w:ascii="宋体" w:hAnsi="宋体" w:eastAsia="宋体" w:cs="宋体"/>
                <w:color w:val="auto"/>
                <w:sz w:val="21"/>
                <w:szCs w:val="21"/>
                <w:highlight w:val="none"/>
              </w:rPr>
            </w:pPr>
          </w:p>
        </w:tc>
        <w:tc>
          <w:tcPr>
            <w:tcW w:w="1791" w:type="dxa"/>
            <w:noWrap w:val="0"/>
            <w:vAlign w:val="center"/>
          </w:tcPr>
          <w:p w14:paraId="653A727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751AFEB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noWrap w:val="0"/>
            <w:vAlign w:val="center"/>
          </w:tcPr>
          <w:p w14:paraId="15FAD4D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noWrap w:val="0"/>
            <w:vAlign w:val="center"/>
          </w:tcPr>
          <w:p w14:paraId="7A9B6F26">
            <w:pPr>
              <w:jc w:val="center"/>
              <w:rPr>
                <w:rFonts w:hint="eastAsia" w:ascii="宋体" w:hAnsi="宋体" w:eastAsia="宋体" w:cs="宋体"/>
                <w:color w:val="auto"/>
                <w:sz w:val="21"/>
                <w:szCs w:val="21"/>
                <w:highlight w:val="none"/>
              </w:rPr>
            </w:pPr>
          </w:p>
        </w:tc>
        <w:tc>
          <w:tcPr>
            <w:tcW w:w="1044" w:type="dxa"/>
            <w:noWrap w:val="0"/>
            <w:vAlign w:val="center"/>
          </w:tcPr>
          <w:p w14:paraId="3E56C255">
            <w:pPr>
              <w:jc w:val="center"/>
              <w:rPr>
                <w:rFonts w:hint="eastAsia" w:ascii="宋体" w:hAnsi="宋体" w:eastAsia="宋体" w:cs="宋体"/>
                <w:color w:val="auto"/>
                <w:sz w:val="21"/>
                <w:szCs w:val="21"/>
                <w:highlight w:val="none"/>
              </w:rPr>
            </w:pPr>
          </w:p>
        </w:tc>
        <w:tc>
          <w:tcPr>
            <w:tcW w:w="799" w:type="dxa"/>
            <w:noWrap w:val="0"/>
            <w:vAlign w:val="center"/>
          </w:tcPr>
          <w:p w14:paraId="7F7D1C1B">
            <w:pPr>
              <w:jc w:val="center"/>
              <w:rPr>
                <w:rFonts w:hint="eastAsia" w:ascii="宋体" w:hAnsi="宋体" w:eastAsia="宋体" w:cs="宋体"/>
                <w:color w:val="auto"/>
                <w:sz w:val="21"/>
                <w:szCs w:val="21"/>
                <w:highlight w:val="none"/>
              </w:rPr>
            </w:pPr>
          </w:p>
        </w:tc>
        <w:tc>
          <w:tcPr>
            <w:tcW w:w="851" w:type="dxa"/>
            <w:noWrap w:val="0"/>
            <w:vAlign w:val="center"/>
          </w:tcPr>
          <w:p w14:paraId="02F7EB85">
            <w:pPr>
              <w:jc w:val="center"/>
              <w:rPr>
                <w:rFonts w:hint="eastAsia" w:ascii="宋体" w:hAnsi="宋体" w:eastAsia="宋体" w:cs="宋体"/>
                <w:color w:val="auto"/>
                <w:sz w:val="21"/>
                <w:szCs w:val="21"/>
                <w:highlight w:val="none"/>
              </w:rPr>
            </w:pPr>
          </w:p>
        </w:tc>
        <w:tc>
          <w:tcPr>
            <w:tcW w:w="825" w:type="dxa"/>
            <w:noWrap w:val="0"/>
            <w:vAlign w:val="center"/>
          </w:tcPr>
          <w:p w14:paraId="538028E7">
            <w:pPr>
              <w:jc w:val="center"/>
              <w:rPr>
                <w:rFonts w:hint="eastAsia" w:ascii="宋体" w:hAnsi="宋体" w:eastAsia="宋体" w:cs="宋体"/>
                <w:color w:val="auto"/>
                <w:sz w:val="21"/>
                <w:szCs w:val="21"/>
                <w:highlight w:val="none"/>
              </w:rPr>
            </w:pPr>
          </w:p>
        </w:tc>
        <w:tc>
          <w:tcPr>
            <w:tcW w:w="652" w:type="dxa"/>
            <w:noWrap w:val="0"/>
            <w:vAlign w:val="center"/>
          </w:tcPr>
          <w:p w14:paraId="34D7F3A0">
            <w:pPr>
              <w:jc w:val="center"/>
              <w:rPr>
                <w:rFonts w:hint="eastAsia" w:ascii="宋体" w:hAnsi="宋体" w:eastAsia="宋体" w:cs="宋体"/>
                <w:color w:val="auto"/>
                <w:sz w:val="21"/>
                <w:szCs w:val="21"/>
                <w:highlight w:val="none"/>
              </w:rPr>
            </w:pPr>
          </w:p>
        </w:tc>
      </w:tr>
      <w:tr w14:paraId="34685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152C4FB5">
            <w:pPr>
              <w:jc w:val="center"/>
              <w:rPr>
                <w:rFonts w:hint="eastAsia" w:ascii="宋体" w:hAnsi="宋体" w:eastAsia="宋体" w:cs="宋体"/>
                <w:color w:val="auto"/>
                <w:sz w:val="21"/>
                <w:szCs w:val="21"/>
                <w:highlight w:val="none"/>
              </w:rPr>
            </w:pPr>
          </w:p>
        </w:tc>
        <w:tc>
          <w:tcPr>
            <w:tcW w:w="1791" w:type="dxa"/>
            <w:noWrap w:val="0"/>
            <w:vAlign w:val="center"/>
          </w:tcPr>
          <w:p w14:paraId="3870078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73E56A1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noWrap w:val="0"/>
            <w:vAlign w:val="center"/>
          </w:tcPr>
          <w:p w14:paraId="3CC04B3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noWrap w:val="0"/>
            <w:vAlign w:val="center"/>
          </w:tcPr>
          <w:p w14:paraId="404CA19C">
            <w:pPr>
              <w:jc w:val="center"/>
              <w:rPr>
                <w:rFonts w:hint="eastAsia" w:ascii="宋体" w:hAnsi="宋体" w:eastAsia="宋体" w:cs="宋体"/>
                <w:color w:val="auto"/>
                <w:sz w:val="21"/>
                <w:szCs w:val="21"/>
                <w:highlight w:val="none"/>
              </w:rPr>
            </w:pPr>
          </w:p>
        </w:tc>
        <w:tc>
          <w:tcPr>
            <w:tcW w:w="1044" w:type="dxa"/>
            <w:noWrap w:val="0"/>
            <w:vAlign w:val="center"/>
          </w:tcPr>
          <w:p w14:paraId="5A69F0F4">
            <w:pPr>
              <w:jc w:val="center"/>
              <w:rPr>
                <w:rFonts w:hint="eastAsia" w:ascii="宋体" w:hAnsi="宋体" w:eastAsia="宋体" w:cs="宋体"/>
                <w:color w:val="auto"/>
                <w:sz w:val="21"/>
                <w:szCs w:val="21"/>
                <w:highlight w:val="none"/>
              </w:rPr>
            </w:pPr>
          </w:p>
        </w:tc>
        <w:tc>
          <w:tcPr>
            <w:tcW w:w="799" w:type="dxa"/>
            <w:noWrap w:val="0"/>
            <w:vAlign w:val="center"/>
          </w:tcPr>
          <w:p w14:paraId="5538C1B0">
            <w:pPr>
              <w:jc w:val="center"/>
              <w:rPr>
                <w:rFonts w:hint="eastAsia" w:ascii="宋体" w:hAnsi="宋体" w:eastAsia="宋体" w:cs="宋体"/>
                <w:color w:val="auto"/>
                <w:sz w:val="21"/>
                <w:szCs w:val="21"/>
                <w:highlight w:val="none"/>
              </w:rPr>
            </w:pPr>
          </w:p>
        </w:tc>
        <w:tc>
          <w:tcPr>
            <w:tcW w:w="851" w:type="dxa"/>
            <w:noWrap w:val="0"/>
            <w:vAlign w:val="center"/>
          </w:tcPr>
          <w:p w14:paraId="6280AE35">
            <w:pPr>
              <w:jc w:val="center"/>
              <w:rPr>
                <w:rFonts w:hint="eastAsia" w:ascii="宋体" w:hAnsi="宋体" w:eastAsia="宋体" w:cs="宋体"/>
                <w:color w:val="auto"/>
                <w:sz w:val="21"/>
                <w:szCs w:val="21"/>
                <w:highlight w:val="none"/>
              </w:rPr>
            </w:pPr>
          </w:p>
        </w:tc>
        <w:tc>
          <w:tcPr>
            <w:tcW w:w="825" w:type="dxa"/>
            <w:noWrap w:val="0"/>
            <w:vAlign w:val="center"/>
          </w:tcPr>
          <w:p w14:paraId="4A2C3E59">
            <w:pPr>
              <w:jc w:val="center"/>
              <w:rPr>
                <w:rFonts w:hint="eastAsia" w:ascii="宋体" w:hAnsi="宋体" w:eastAsia="宋体" w:cs="宋体"/>
                <w:color w:val="auto"/>
                <w:sz w:val="21"/>
                <w:szCs w:val="21"/>
                <w:highlight w:val="none"/>
              </w:rPr>
            </w:pPr>
          </w:p>
        </w:tc>
        <w:tc>
          <w:tcPr>
            <w:tcW w:w="652" w:type="dxa"/>
            <w:noWrap w:val="0"/>
            <w:vAlign w:val="center"/>
          </w:tcPr>
          <w:p w14:paraId="4282B4A4">
            <w:pPr>
              <w:jc w:val="center"/>
              <w:rPr>
                <w:rFonts w:hint="eastAsia" w:ascii="宋体" w:hAnsi="宋体" w:eastAsia="宋体" w:cs="宋体"/>
                <w:color w:val="auto"/>
                <w:sz w:val="21"/>
                <w:szCs w:val="21"/>
                <w:highlight w:val="none"/>
              </w:rPr>
            </w:pPr>
          </w:p>
        </w:tc>
      </w:tr>
      <w:tr w14:paraId="714A4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74D05DB8">
            <w:pPr>
              <w:jc w:val="center"/>
              <w:rPr>
                <w:rFonts w:hint="eastAsia" w:ascii="宋体" w:hAnsi="宋体" w:eastAsia="宋体" w:cs="宋体"/>
                <w:color w:val="auto"/>
                <w:sz w:val="21"/>
                <w:szCs w:val="21"/>
                <w:highlight w:val="none"/>
              </w:rPr>
            </w:pPr>
          </w:p>
        </w:tc>
        <w:tc>
          <w:tcPr>
            <w:tcW w:w="1791" w:type="dxa"/>
            <w:noWrap w:val="0"/>
            <w:vAlign w:val="center"/>
          </w:tcPr>
          <w:p w14:paraId="03A997C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27593DC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noWrap w:val="0"/>
            <w:vAlign w:val="center"/>
          </w:tcPr>
          <w:p w14:paraId="512DF7B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noWrap w:val="0"/>
            <w:vAlign w:val="center"/>
          </w:tcPr>
          <w:p w14:paraId="45B2B1E1">
            <w:pPr>
              <w:jc w:val="center"/>
              <w:rPr>
                <w:rFonts w:hint="eastAsia" w:ascii="宋体" w:hAnsi="宋体" w:eastAsia="宋体" w:cs="宋体"/>
                <w:color w:val="auto"/>
                <w:sz w:val="21"/>
                <w:szCs w:val="21"/>
                <w:highlight w:val="none"/>
              </w:rPr>
            </w:pPr>
          </w:p>
        </w:tc>
        <w:tc>
          <w:tcPr>
            <w:tcW w:w="1044" w:type="dxa"/>
            <w:noWrap w:val="0"/>
            <w:vAlign w:val="center"/>
          </w:tcPr>
          <w:p w14:paraId="62B6E65A">
            <w:pPr>
              <w:jc w:val="center"/>
              <w:rPr>
                <w:rFonts w:hint="eastAsia" w:ascii="宋体" w:hAnsi="宋体" w:eastAsia="宋体" w:cs="宋体"/>
                <w:color w:val="auto"/>
                <w:sz w:val="21"/>
                <w:szCs w:val="21"/>
                <w:highlight w:val="none"/>
              </w:rPr>
            </w:pPr>
          </w:p>
        </w:tc>
        <w:tc>
          <w:tcPr>
            <w:tcW w:w="799" w:type="dxa"/>
            <w:noWrap w:val="0"/>
            <w:vAlign w:val="center"/>
          </w:tcPr>
          <w:p w14:paraId="738F7244">
            <w:pPr>
              <w:jc w:val="center"/>
              <w:rPr>
                <w:rFonts w:hint="eastAsia" w:ascii="宋体" w:hAnsi="宋体" w:eastAsia="宋体" w:cs="宋体"/>
                <w:color w:val="auto"/>
                <w:sz w:val="21"/>
                <w:szCs w:val="21"/>
                <w:highlight w:val="none"/>
              </w:rPr>
            </w:pPr>
          </w:p>
        </w:tc>
        <w:tc>
          <w:tcPr>
            <w:tcW w:w="851" w:type="dxa"/>
            <w:noWrap w:val="0"/>
            <w:vAlign w:val="center"/>
          </w:tcPr>
          <w:p w14:paraId="4D3BCBA2">
            <w:pPr>
              <w:jc w:val="center"/>
              <w:rPr>
                <w:rFonts w:hint="eastAsia" w:ascii="宋体" w:hAnsi="宋体" w:eastAsia="宋体" w:cs="宋体"/>
                <w:color w:val="auto"/>
                <w:sz w:val="21"/>
                <w:szCs w:val="21"/>
                <w:highlight w:val="none"/>
              </w:rPr>
            </w:pPr>
          </w:p>
        </w:tc>
        <w:tc>
          <w:tcPr>
            <w:tcW w:w="825" w:type="dxa"/>
            <w:noWrap w:val="0"/>
            <w:vAlign w:val="center"/>
          </w:tcPr>
          <w:p w14:paraId="6AD909ED">
            <w:pPr>
              <w:jc w:val="center"/>
              <w:rPr>
                <w:rFonts w:hint="eastAsia" w:ascii="宋体" w:hAnsi="宋体" w:eastAsia="宋体" w:cs="宋体"/>
                <w:color w:val="auto"/>
                <w:sz w:val="21"/>
                <w:szCs w:val="21"/>
                <w:highlight w:val="none"/>
              </w:rPr>
            </w:pPr>
          </w:p>
        </w:tc>
        <w:tc>
          <w:tcPr>
            <w:tcW w:w="652" w:type="dxa"/>
            <w:noWrap w:val="0"/>
            <w:vAlign w:val="center"/>
          </w:tcPr>
          <w:p w14:paraId="7A9C42B6">
            <w:pPr>
              <w:jc w:val="center"/>
              <w:rPr>
                <w:rFonts w:hint="eastAsia" w:ascii="宋体" w:hAnsi="宋体" w:eastAsia="宋体" w:cs="宋体"/>
                <w:color w:val="auto"/>
                <w:sz w:val="21"/>
                <w:szCs w:val="21"/>
                <w:highlight w:val="none"/>
              </w:rPr>
            </w:pPr>
          </w:p>
        </w:tc>
      </w:tr>
      <w:tr w14:paraId="254CA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6145AE77">
            <w:pPr>
              <w:jc w:val="center"/>
              <w:rPr>
                <w:rFonts w:hint="eastAsia" w:ascii="宋体" w:hAnsi="宋体" w:eastAsia="宋体" w:cs="宋体"/>
                <w:color w:val="auto"/>
                <w:sz w:val="21"/>
                <w:szCs w:val="21"/>
                <w:highlight w:val="none"/>
              </w:rPr>
            </w:pPr>
          </w:p>
        </w:tc>
        <w:tc>
          <w:tcPr>
            <w:tcW w:w="1791" w:type="dxa"/>
            <w:noWrap w:val="0"/>
            <w:vAlign w:val="center"/>
          </w:tcPr>
          <w:p w14:paraId="3144430E">
            <w:pPr>
              <w:jc w:val="center"/>
              <w:rPr>
                <w:rFonts w:hint="eastAsia" w:ascii="宋体" w:hAnsi="宋体" w:eastAsia="宋体" w:cs="宋体"/>
                <w:color w:val="auto"/>
                <w:sz w:val="21"/>
                <w:szCs w:val="21"/>
                <w:highlight w:val="none"/>
              </w:rPr>
            </w:pPr>
          </w:p>
        </w:tc>
        <w:tc>
          <w:tcPr>
            <w:tcW w:w="1418" w:type="dxa"/>
            <w:noWrap w:val="0"/>
            <w:vAlign w:val="center"/>
          </w:tcPr>
          <w:p w14:paraId="7FE77A28">
            <w:pPr>
              <w:jc w:val="center"/>
              <w:rPr>
                <w:rFonts w:hint="eastAsia" w:ascii="宋体" w:hAnsi="宋体" w:eastAsia="宋体" w:cs="宋体"/>
                <w:color w:val="auto"/>
                <w:sz w:val="21"/>
                <w:szCs w:val="21"/>
                <w:highlight w:val="none"/>
              </w:rPr>
            </w:pPr>
          </w:p>
        </w:tc>
        <w:tc>
          <w:tcPr>
            <w:tcW w:w="940" w:type="dxa"/>
            <w:noWrap w:val="0"/>
            <w:vAlign w:val="center"/>
          </w:tcPr>
          <w:p w14:paraId="22E3FF74">
            <w:pPr>
              <w:jc w:val="center"/>
              <w:rPr>
                <w:rFonts w:hint="eastAsia" w:ascii="宋体" w:hAnsi="宋体" w:eastAsia="宋体" w:cs="宋体"/>
                <w:color w:val="auto"/>
                <w:sz w:val="21"/>
                <w:szCs w:val="21"/>
                <w:highlight w:val="none"/>
              </w:rPr>
            </w:pPr>
          </w:p>
        </w:tc>
        <w:tc>
          <w:tcPr>
            <w:tcW w:w="965" w:type="dxa"/>
            <w:noWrap w:val="0"/>
            <w:vAlign w:val="center"/>
          </w:tcPr>
          <w:p w14:paraId="12D791E8">
            <w:pPr>
              <w:jc w:val="center"/>
              <w:rPr>
                <w:rFonts w:hint="eastAsia" w:ascii="宋体" w:hAnsi="宋体" w:eastAsia="宋体" w:cs="宋体"/>
                <w:color w:val="auto"/>
                <w:sz w:val="21"/>
                <w:szCs w:val="21"/>
                <w:highlight w:val="none"/>
              </w:rPr>
            </w:pPr>
          </w:p>
        </w:tc>
        <w:tc>
          <w:tcPr>
            <w:tcW w:w="1044" w:type="dxa"/>
            <w:noWrap w:val="0"/>
            <w:vAlign w:val="center"/>
          </w:tcPr>
          <w:p w14:paraId="3FD2892A">
            <w:pPr>
              <w:jc w:val="center"/>
              <w:rPr>
                <w:rFonts w:hint="eastAsia" w:ascii="宋体" w:hAnsi="宋体" w:eastAsia="宋体" w:cs="宋体"/>
                <w:color w:val="auto"/>
                <w:sz w:val="21"/>
                <w:szCs w:val="21"/>
                <w:highlight w:val="none"/>
              </w:rPr>
            </w:pPr>
          </w:p>
        </w:tc>
        <w:tc>
          <w:tcPr>
            <w:tcW w:w="799" w:type="dxa"/>
            <w:noWrap w:val="0"/>
            <w:vAlign w:val="center"/>
          </w:tcPr>
          <w:p w14:paraId="1A1D7715">
            <w:pPr>
              <w:jc w:val="center"/>
              <w:rPr>
                <w:rFonts w:hint="eastAsia" w:ascii="宋体" w:hAnsi="宋体" w:eastAsia="宋体" w:cs="宋体"/>
                <w:color w:val="auto"/>
                <w:sz w:val="21"/>
                <w:szCs w:val="21"/>
                <w:highlight w:val="none"/>
              </w:rPr>
            </w:pPr>
          </w:p>
        </w:tc>
        <w:tc>
          <w:tcPr>
            <w:tcW w:w="851" w:type="dxa"/>
            <w:noWrap w:val="0"/>
            <w:vAlign w:val="center"/>
          </w:tcPr>
          <w:p w14:paraId="25920FAE">
            <w:pPr>
              <w:jc w:val="center"/>
              <w:rPr>
                <w:rFonts w:hint="eastAsia" w:ascii="宋体" w:hAnsi="宋体" w:eastAsia="宋体" w:cs="宋体"/>
                <w:color w:val="auto"/>
                <w:sz w:val="21"/>
                <w:szCs w:val="21"/>
                <w:highlight w:val="none"/>
              </w:rPr>
            </w:pPr>
          </w:p>
        </w:tc>
        <w:tc>
          <w:tcPr>
            <w:tcW w:w="825" w:type="dxa"/>
            <w:noWrap w:val="0"/>
            <w:vAlign w:val="center"/>
          </w:tcPr>
          <w:p w14:paraId="194AB4D3">
            <w:pPr>
              <w:jc w:val="center"/>
              <w:rPr>
                <w:rFonts w:hint="eastAsia" w:ascii="宋体" w:hAnsi="宋体" w:eastAsia="宋体" w:cs="宋体"/>
                <w:color w:val="auto"/>
                <w:sz w:val="21"/>
                <w:szCs w:val="21"/>
                <w:highlight w:val="none"/>
              </w:rPr>
            </w:pPr>
          </w:p>
        </w:tc>
        <w:tc>
          <w:tcPr>
            <w:tcW w:w="652" w:type="dxa"/>
            <w:noWrap w:val="0"/>
            <w:vAlign w:val="center"/>
          </w:tcPr>
          <w:p w14:paraId="62933A38">
            <w:pPr>
              <w:jc w:val="center"/>
              <w:rPr>
                <w:rFonts w:hint="eastAsia" w:ascii="宋体" w:hAnsi="宋体" w:eastAsia="宋体" w:cs="宋体"/>
                <w:color w:val="auto"/>
                <w:sz w:val="21"/>
                <w:szCs w:val="21"/>
                <w:highlight w:val="none"/>
              </w:rPr>
            </w:pPr>
          </w:p>
        </w:tc>
      </w:tr>
      <w:tr w14:paraId="6A327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685ED547">
            <w:pPr>
              <w:jc w:val="center"/>
              <w:rPr>
                <w:rFonts w:hint="eastAsia" w:ascii="宋体" w:hAnsi="宋体" w:eastAsia="宋体" w:cs="宋体"/>
                <w:color w:val="auto"/>
                <w:sz w:val="21"/>
                <w:szCs w:val="21"/>
                <w:highlight w:val="none"/>
              </w:rPr>
            </w:pPr>
          </w:p>
        </w:tc>
        <w:tc>
          <w:tcPr>
            <w:tcW w:w="1791" w:type="dxa"/>
            <w:noWrap w:val="0"/>
            <w:vAlign w:val="center"/>
          </w:tcPr>
          <w:p w14:paraId="3BA741E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62A7359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noWrap w:val="0"/>
            <w:vAlign w:val="center"/>
          </w:tcPr>
          <w:p w14:paraId="3F6F309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noWrap w:val="0"/>
            <w:vAlign w:val="center"/>
          </w:tcPr>
          <w:p w14:paraId="71198C31">
            <w:pPr>
              <w:jc w:val="center"/>
              <w:rPr>
                <w:rFonts w:hint="eastAsia" w:ascii="宋体" w:hAnsi="宋体" w:eastAsia="宋体" w:cs="宋体"/>
                <w:color w:val="auto"/>
                <w:sz w:val="21"/>
                <w:szCs w:val="21"/>
                <w:highlight w:val="none"/>
              </w:rPr>
            </w:pPr>
          </w:p>
        </w:tc>
        <w:tc>
          <w:tcPr>
            <w:tcW w:w="1044" w:type="dxa"/>
            <w:noWrap w:val="0"/>
            <w:vAlign w:val="center"/>
          </w:tcPr>
          <w:p w14:paraId="609BC9F0">
            <w:pPr>
              <w:jc w:val="center"/>
              <w:rPr>
                <w:rFonts w:hint="eastAsia" w:ascii="宋体" w:hAnsi="宋体" w:eastAsia="宋体" w:cs="宋体"/>
                <w:color w:val="auto"/>
                <w:sz w:val="21"/>
                <w:szCs w:val="21"/>
                <w:highlight w:val="none"/>
              </w:rPr>
            </w:pPr>
          </w:p>
        </w:tc>
        <w:tc>
          <w:tcPr>
            <w:tcW w:w="799" w:type="dxa"/>
            <w:noWrap w:val="0"/>
            <w:vAlign w:val="center"/>
          </w:tcPr>
          <w:p w14:paraId="182E2DC1">
            <w:pPr>
              <w:jc w:val="center"/>
              <w:rPr>
                <w:rFonts w:hint="eastAsia" w:ascii="宋体" w:hAnsi="宋体" w:eastAsia="宋体" w:cs="宋体"/>
                <w:color w:val="auto"/>
                <w:sz w:val="21"/>
                <w:szCs w:val="21"/>
                <w:highlight w:val="none"/>
              </w:rPr>
            </w:pPr>
          </w:p>
        </w:tc>
        <w:tc>
          <w:tcPr>
            <w:tcW w:w="851" w:type="dxa"/>
            <w:noWrap w:val="0"/>
            <w:vAlign w:val="center"/>
          </w:tcPr>
          <w:p w14:paraId="4ABD5253">
            <w:pPr>
              <w:jc w:val="center"/>
              <w:rPr>
                <w:rFonts w:hint="eastAsia" w:ascii="宋体" w:hAnsi="宋体" w:eastAsia="宋体" w:cs="宋体"/>
                <w:color w:val="auto"/>
                <w:sz w:val="21"/>
                <w:szCs w:val="21"/>
                <w:highlight w:val="none"/>
              </w:rPr>
            </w:pPr>
          </w:p>
        </w:tc>
        <w:tc>
          <w:tcPr>
            <w:tcW w:w="825" w:type="dxa"/>
            <w:noWrap w:val="0"/>
            <w:vAlign w:val="center"/>
          </w:tcPr>
          <w:p w14:paraId="139F20D7">
            <w:pPr>
              <w:jc w:val="center"/>
              <w:rPr>
                <w:rFonts w:hint="eastAsia" w:ascii="宋体" w:hAnsi="宋体" w:eastAsia="宋体" w:cs="宋体"/>
                <w:color w:val="auto"/>
                <w:sz w:val="21"/>
                <w:szCs w:val="21"/>
                <w:highlight w:val="none"/>
              </w:rPr>
            </w:pPr>
          </w:p>
        </w:tc>
        <w:tc>
          <w:tcPr>
            <w:tcW w:w="652" w:type="dxa"/>
            <w:noWrap w:val="0"/>
            <w:vAlign w:val="center"/>
          </w:tcPr>
          <w:p w14:paraId="3925664C">
            <w:pPr>
              <w:jc w:val="center"/>
              <w:rPr>
                <w:rFonts w:hint="eastAsia" w:ascii="宋体" w:hAnsi="宋体" w:eastAsia="宋体" w:cs="宋体"/>
                <w:color w:val="auto"/>
                <w:sz w:val="21"/>
                <w:szCs w:val="21"/>
                <w:highlight w:val="none"/>
              </w:rPr>
            </w:pPr>
          </w:p>
        </w:tc>
      </w:tr>
      <w:tr w14:paraId="70D6F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26E75AC8">
            <w:pPr>
              <w:jc w:val="center"/>
              <w:rPr>
                <w:rFonts w:hint="eastAsia" w:ascii="宋体" w:hAnsi="宋体" w:eastAsia="宋体" w:cs="宋体"/>
                <w:color w:val="auto"/>
                <w:sz w:val="21"/>
                <w:szCs w:val="21"/>
                <w:highlight w:val="none"/>
              </w:rPr>
            </w:pPr>
          </w:p>
        </w:tc>
        <w:tc>
          <w:tcPr>
            <w:tcW w:w="1791" w:type="dxa"/>
            <w:noWrap w:val="0"/>
            <w:vAlign w:val="center"/>
          </w:tcPr>
          <w:p w14:paraId="71EB616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1544456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0" w:type="dxa"/>
            <w:noWrap w:val="0"/>
            <w:vAlign w:val="center"/>
          </w:tcPr>
          <w:p w14:paraId="2D8AD30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65" w:type="dxa"/>
            <w:noWrap w:val="0"/>
            <w:vAlign w:val="center"/>
          </w:tcPr>
          <w:p w14:paraId="454492A2">
            <w:pPr>
              <w:jc w:val="center"/>
              <w:rPr>
                <w:rFonts w:hint="eastAsia" w:ascii="宋体" w:hAnsi="宋体" w:eastAsia="宋体" w:cs="宋体"/>
                <w:color w:val="auto"/>
                <w:sz w:val="21"/>
                <w:szCs w:val="21"/>
                <w:highlight w:val="none"/>
              </w:rPr>
            </w:pPr>
          </w:p>
        </w:tc>
        <w:tc>
          <w:tcPr>
            <w:tcW w:w="1044" w:type="dxa"/>
            <w:noWrap w:val="0"/>
            <w:vAlign w:val="center"/>
          </w:tcPr>
          <w:p w14:paraId="1BF7A840">
            <w:pPr>
              <w:jc w:val="center"/>
              <w:rPr>
                <w:rFonts w:hint="eastAsia" w:ascii="宋体" w:hAnsi="宋体" w:eastAsia="宋体" w:cs="宋体"/>
                <w:color w:val="auto"/>
                <w:sz w:val="21"/>
                <w:szCs w:val="21"/>
                <w:highlight w:val="none"/>
              </w:rPr>
            </w:pPr>
          </w:p>
        </w:tc>
        <w:tc>
          <w:tcPr>
            <w:tcW w:w="799" w:type="dxa"/>
            <w:noWrap w:val="0"/>
            <w:vAlign w:val="center"/>
          </w:tcPr>
          <w:p w14:paraId="5EF97A2A">
            <w:pPr>
              <w:jc w:val="center"/>
              <w:rPr>
                <w:rFonts w:hint="eastAsia" w:ascii="宋体" w:hAnsi="宋体" w:eastAsia="宋体" w:cs="宋体"/>
                <w:color w:val="auto"/>
                <w:sz w:val="21"/>
                <w:szCs w:val="21"/>
                <w:highlight w:val="none"/>
              </w:rPr>
            </w:pPr>
          </w:p>
        </w:tc>
        <w:tc>
          <w:tcPr>
            <w:tcW w:w="851" w:type="dxa"/>
            <w:noWrap w:val="0"/>
            <w:vAlign w:val="center"/>
          </w:tcPr>
          <w:p w14:paraId="6455F366">
            <w:pPr>
              <w:jc w:val="center"/>
              <w:rPr>
                <w:rFonts w:hint="eastAsia" w:ascii="宋体" w:hAnsi="宋体" w:eastAsia="宋体" w:cs="宋体"/>
                <w:color w:val="auto"/>
                <w:sz w:val="21"/>
                <w:szCs w:val="21"/>
                <w:highlight w:val="none"/>
              </w:rPr>
            </w:pPr>
          </w:p>
        </w:tc>
        <w:tc>
          <w:tcPr>
            <w:tcW w:w="825" w:type="dxa"/>
            <w:noWrap w:val="0"/>
            <w:vAlign w:val="center"/>
          </w:tcPr>
          <w:p w14:paraId="6270E22F">
            <w:pPr>
              <w:jc w:val="center"/>
              <w:rPr>
                <w:rFonts w:hint="eastAsia" w:ascii="宋体" w:hAnsi="宋体" w:eastAsia="宋体" w:cs="宋体"/>
                <w:color w:val="auto"/>
                <w:sz w:val="21"/>
                <w:szCs w:val="21"/>
                <w:highlight w:val="none"/>
              </w:rPr>
            </w:pPr>
          </w:p>
        </w:tc>
        <w:tc>
          <w:tcPr>
            <w:tcW w:w="652" w:type="dxa"/>
            <w:noWrap w:val="0"/>
            <w:vAlign w:val="center"/>
          </w:tcPr>
          <w:p w14:paraId="412608F4">
            <w:pPr>
              <w:jc w:val="center"/>
              <w:rPr>
                <w:rFonts w:hint="eastAsia" w:ascii="宋体" w:hAnsi="宋体" w:eastAsia="宋体" w:cs="宋体"/>
                <w:color w:val="auto"/>
                <w:sz w:val="21"/>
                <w:szCs w:val="21"/>
                <w:highlight w:val="none"/>
              </w:rPr>
            </w:pPr>
          </w:p>
        </w:tc>
      </w:tr>
      <w:tr w14:paraId="77FF2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3576F1E2">
            <w:pPr>
              <w:jc w:val="center"/>
              <w:rPr>
                <w:rFonts w:hint="eastAsia" w:ascii="宋体" w:hAnsi="宋体" w:eastAsia="宋体" w:cs="宋体"/>
                <w:color w:val="auto"/>
                <w:sz w:val="21"/>
                <w:szCs w:val="21"/>
                <w:highlight w:val="none"/>
              </w:rPr>
            </w:pPr>
          </w:p>
        </w:tc>
        <w:tc>
          <w:tcPr>
            <w:tcW w:w="1791" w:type="dxa"/>
            <w:noWrap w:val="0"/>
            <w:vAlign w:val="center"/>
          </w:tcPr>
          <w:p w14:paraId="383700F9">
            <w:pPr>
              <w:jc w:val="center"/>
              <w:rPr>
                <w:rFonts w:hint="eastAsia" w:ascii="宋体" w:hAnsi="宋体" w:eastAsia="宋体" w:cs="宋体"/>
                <w:color w:val="auto"/>
                <w:sz w:val="21"/>
                <w:szCs w:val="21"/>
                <w:highlight w:val="none"/>
              </w:rPr>
            </w:pPr>
          </w:p>
        </w:tc>
        <w:tc>
          <w:tcPr>
            <w:tcW w:w="1418" w:type="dxa"/>
            <w:noWrap w:val="0"/>
            <w:vAlign w:val="center"/>
          </w:tcPr>
          <w:p w14:paraId="6A4B04FB">
            <w:pPr>
              <w:jc w:val="center"/>
              <w:rPr>
                <w:rFonts w:hint="eastAsia" w:ascii="宋体" w:hAnsi="宋体" w:eastAsia="宋体" w:cs="宋体"/>
                <w:color w:val="auto"/>
                <w:sz w:val="21"/>
                <w:szCs w:val="21"/>
                <w:highlight w:val="none"/>
              </w:rPr>
            </w:pPr>
          </w:p>
        </w:tc>
        <w:tc>
          <w:tcPr>
            <w:tcW w:w="940" w:type="dxa"/>
            <w:noWrap w:val="0"/>
            <w:vAlign w:val="center"/>
          </w:tcPr>
          <w:p w14:paraId="705DEE8A">
            <w:pPr>
              <w:jc w:val="center"/>
              <w:rPr>
                <w:rFonts w:hint="eastAsia" w:ascii="宋体" w:hAnsi="宋体" w:eastAsia="宋体" w:cs="宋体"/>
                <w:color w:val="auto"/>
                <w:sz w:val="21"/>
                <w:szCs w:val="21"/>
                <w:highlight w:val="none"/>
              </w:rPr>
            </w:pPr>
          </w:p>
        </w:tc>
        <w:tc>
          <w:tcPr>
            <w:tcW w:w="965" w:type="dxa"/>
            <w:noWrap w:val="0"/>
            <w:vAlign w:val="center"/>
          </w:tcPr>
          <w:p w14:paraId="3A1522EB">
            <w:pPr>
              <w:jc w:val="center"/>
              <w:rPr>
                <w:rFonts w:hint="eastAsia" w:ascii="宋体" w:hAnsi="宋体" w:eastAsia="宋体" w:cs="宋体"/>
                <w:color w:val="auto"/>
                <w:sz w:val="21"/>
                <w:szCs w:val="21"/>
                <w:highlight w:val="none"/>
              </w:rPr>
            </w:pPr>
          </w:p>
        </w:tc>
        <w:tc>
          <w:tcPr>
            <w:tcW w:w="1044" w:type="dxa"/>
            <w:noWrap w:val="0"/>
            <w:vAlign w:val="center"/>
          </w:tcPr>
          <w:p w14:paraId="746713AC">
            <w:pPr>
              <w:jc w:val="center"/>
              <w:rPr>
                <w:rFonts w:hint="eastAsia" w:ascii="宋体" w:hAnsi="宋体" w:eastAsia="宋体" w:cs="宋体"/>
                <w:color w:val="auto"/>
                <w:sz w:val="21"/>
                <w:szCs w:val="21"/>
                <w:highlight w:val="none"/>
              </w:rPr>
            </w:pPr>
          </w:p>
        </w:tc>
        <w:tc>
          <w:tcPr>
            <w:tcW w:w="799" w:type="dxa"/>
            <w:noWrap w:val="0"/>
            <w:vAlign w:val="center"/>
          </w:tcPr>
          <w:p w14:paraId="4C0E66F5">
            <w:pPr>
              <w:jc w:val="center"/>
              <w:rPr>
                <w:rFonts w:hint="eastAsia" w:ascii="宋体" w:hAnsi="宋体" w:eastAsia="宋体" w:cs="宋体"/>
                <w:color w:val="auto"/>
                <w:sz w:val="21"/>
                <w:szCs w:val="21"/>
                <w:highlight w:val="none"/>
              </w:rPr>
            </w:pPr>
          </w:p>
        </w:tc>
        <w:tc>
          <w:tcPr>
            <w:tcW w:w="851" w:type="dxa"/>
            <w:noWrap w:val="0"/>
            <w:vAlign w:val="center"/>
          </w:tcPr>
          <w:p w14:paraId="0C5AF680">
            <w:pPr>
              <w:jc w:val="center"/>
              <w:rPr>
                <w:rFonts w:hint="eastAsia" w:ascii="宋体" w:hAnsi="宋体" w:eastAsia="宋体" w:cs="宋体"/>
                <w:color w:val="auto"/>
                <w:sz w:val="21"/>
                <w:szCs w:val="21"/>
                <w:highlight w:val="none"/>
              </w:rPr>
            </w:pPr>
          </w:p>
        </w:tc>
        <w:tc>
          <w:tcPr>
            <w:tcW w:w="825" w:type="dxa"/>
            <w:noWrap w:val="0"/>
            <w:vAlign w:val="center"/>
          </w:tcPr>
          <w:p w14:paraId="241E2ED1">
            <w:pPr>
              <w:jc w:val="center"/>
              <w:rPr>
                <w:rFonts w:hint="eastAsia" w:ascii="宋体" w:hAnsi="宋体" w:eastAsia="宋体" w:cs="宋体"/>
                <w:color w:val="auto"/>
                <w:sz w:val="21"/>
                <w:szCs w:val="21"/>
                <w:highlight w:val="none"/>
              </w:rPr>
            </w:pPr>
          </w:p>
        </w:tc>
        <w:tc>
          <w:tcPr>
            <w:tcW w:w="652" w:type="dxa"/>
            <w:noWrap w:val="0"/>
            <w:vAlign w:val="center"/>
          </w:tcPr>
          <w:p w14:paraId="2CAF6FFC">
            <w:pPr>
              <w:jc w:val="center"/>
              <w:rPr>
                <w:rFonts w:hint="eastAsia" w:ascii="宋体" w:hAnsi="宋体" w:eastAsia="宋体" w:cs="宋体"/>
                <w:color w:val="auto"/>
                <w:sz w:val="21"/>
                <w:szCs w:val="21"/>
                <w:highlight w:val="none"/>
              </w:rPr>
            </w:pPr>
          </w:p>
        </w:tc>
      </w:tr>
      <w:tr w14:paraId="5E859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4" w:type="dxa"/>
            <w:noWrap w:val="0"/>
            <w:vAlign w:val="center"/>
          </w:tcPr>
          <w:p w14:paraId="235F5C52">
            <w:pPr>
              <w:jc w:val="center"/>
              <w:rPr>
                <w:rFonts w:hint="eastAsia" w:ascii="宋体" w:hAnsi="宋体" w:eastAsia="宋体" w:cs="宋体"/>
                <w:color w:val="auto"/>
                <w:sz w:val="21"/>
                <w:szCs w:val="21"/>
                <w:highlight w:val="none"/>
              </w:rPr>
            </w:pPr>
          </w:p>
        </w:tc>
        <w:tc>
          <w:tcPr>
            <w:tcW w:w="1791" w:type="dxa"/>
            <w:noWrap w:val="0"/>
            <w:vAlign w:val="center"/>
          </w:tcPr>
          <w:p w14:paraId="129B86AA">
            <w:pPr>
              <w:jc w:val="center"/>
              <w:rPr>
                <w:rFonts w:hint="eastAsia" w:ascii="宋体" w:hAnsi="宋体" w:eastAsia="宋体" w:cs="宋体"/>
                <w:color w:val="auto"/>
                <w:sz w:val="21"/>
                <w:szCs w:val="21"/>
                <w:highlight w:val="none"/>
              </w:rPr>
            </w:pPr>
          </w:p>
        </w:tc>
        <w:tc>
          <w:tcPr>
            <w:tcW w:w="1418" w:type="dxa"/>
            <w:noWrap w:val="0"/>
            <w:vAlign w:val="center"/>
          </w:tcPr>
          <w:p w14:paraId="74CB1B68">
            <w:pPr>
              <w:jc w:val="center"/>
              <w:rPr>
                <w:rFonts w:hint="eastAsia" w:ascii="宋体" w:hAnsi="宋体" w:eastAsia="宋体" w:cs="宋体"/>
                <w:color w:val="auto"/>
                <w:sz w:val="21"/>
                <w:szCs w:val="21"/>
                <w:highlight w:val="none"/>
              </w:rPr>
            </w:pPr>
          </w:p>
        </w:tc>
        <w:tc>
          <w:tcPr>
            <w:tcW w:w="940" w:type="dxa"/>
            <w:noWrap w:val="0"/>
            <w:vAlign w:val="center"/>
          </w:tcPr>
          <w:p w14:paraId="6302138B">
            <w:pPr>
              <w:jc w:val="center"/>
              <w:rPr>
                <w:rFonts w:hint="eastAsia" w:ascii="宋体" w:hAnsi="宋体" w:eastAsia="宋体" w:cs="宋体"/>
                <w:color w:val="auto"/>
                <w:sz w:val="21"/>
                <w:szCs w:val="21"/>
                <w:highlight w:val="none"/>
              </w:rPr>
            </w:pPr>
          </w:p>
        </w:tc>
        <w:tc>
          <w:tcPr>
            <w:tcW w:w="965" w:type="dxa"/>
            <w:noWrap w:val="0"/>
            <w:vAlign w:val="center"/>
          </w:tcPr>
          <w:p w14:paraId="04E32642">
            <w:pPr>
              <w:jc w:val="center"/>
              <w:rPr>
                <w:rFonts w:hint="eastAsia" w:ascii="宋体" w:hAnsi="宋体" w:eastAsia="宋体" w:cs="宋体"/>
                <w:color w:val="auto"/>
                <w:sz w:val="21"/>
                <w:szCs w:val="21"/>
                <w:highlight w:val="none"/>
              </w:rPr>
            </w:pPr>
          </w:p>
        </w:tc>
        <w:tc>
          <w:tcPr>
            <w:tcW w:w="1044" w:type="dxa"/>
            <w:noWrap w:val="0"/>
            <w:vAlign w:val="center"/>
          </w:tcPr>
          <w:p w14:paraId="1FD9906F">
            <w:pPr>
              <w:jc w:val="center"/>
              <w:rPr>
                <w:rFonts w:hint="eastAsia" w:ascii="宋体" w:hAnsi="宋体" w:eastAsia="宋体" w:cs="宋体"/>
                <w:color w:val="auto"/>
                <w:sz w:val="21"/>
                <w:szCs w:val="21"/>
                <w:highlight w:val="none"/>
              </w:rPr>
            </w:pPr>
          </w:p>
        </w:tc>
        <w:tc>
          <w:tcPr>
            <w:tcW w:w="799" w:type="dxa"/>
            <w:noWrap w:val="0"/>
            <w:vAlign w:val="center"/>
          </w:tcPr>
          <w:p w14:paraId="4A458619">
            <w:pPr>
              <w:jc w:val="center"/>
              <w:rPr>
                <w:rFonts w:hint="eastAsia" w:ascii="宋体" w:hAnsi="宋体" w:eastAsia="宋体" w:cs="宋体"/>
                <w:color w:val="auto"/>
                <w:sz w:val="21"/>
                <w:szCs w:val="21"/>
                <w:highlight w:val="none"/>
              </w:rPr>
            </w:pPr>
          </w:p>
        </w:tc>
        <w:tc>
          <w:tcPr>
            <w:tcW w:w="851" w:type="dxa"/>
            <w:noWrap w:val="0"/>
            <w:vAlign w:val="center"/>
          </w:tcPr>
          <w:p w14:paraId="3491BC0E">
            <w:pPr>
              <w:jc w:val="center"/>
              <w:rPr>
                <w:rFonts w:hint="eastAsia" w:ascii="宋体" w:hAnsi="宋体" w:eastAsia="宋体" w:cs="宋体"/>
                <w:color w:val="auto"/>
                <w:sz w:val="21"/>
                <w:szCs w:val="21"/>
                <w:highlight w:val="none"/>
              </w:rPr>
            </w:pPr>
          </w:p>
        </w:tc>
        <w:tc>
          <w:tcPr>
            <w:tcW w:w="825" w:type="dxa"/>
            <w:noWrap w:val="0"/>
            <w:vAlign w:val="center"/>
          </w:tcPr>
          <w:p w14:paraId="108E0F55">
            <w:pPr>
              <w:jc w:val="center"/>
              <w:rPr>
                <w:rFonts w:hint="eastAsia" w:ascii="宋体" w:hAnsi="宋体" w:eastAsia="宋体" w:cs="宋体"/>
                <w:color w:val="auto"/>
                <w:sz w:val="21"/>
                <w:szCs w:val="21"/>
                <w:highlight w:val="none"/>
              </w:rPr>
            </w:pPr>
          </w:p>
        </w:tc>
        <w:tc>
          <w:tcPr>
            <w:tcW w:w="652" w:type="dxa"/>
            <w:noWrap w:val="0"/>
            <w:vAlign w:val="center"/>
          </w:tcPr>
          <w:p w14:paraId="3368DA0C">
            <w:pPr>
              <w:jc w:val="center"/>
              <w:rPr>
                <w:rFonts w:hint="eastAsia" w:ascii="宋体" w:hAnsi="宋体" w:eastAsia="宋体" w:cs="宋体"/>
                <w:color w:val="auto"/>
                <w:sz w:val="21"/>
                <w:szCs w:val="21"/>
                <w:highlight w:val="none"/>
              </w:rPr>
            </w:pPr>
          </w:p>
        </w:tc>
      </w:tr>
    </w:tbl>
    <w:p w14:paraId="0F97A4E3">
      <w:pPr>
        <w:widowControl/>
        <w:spacing w:line="440" w:lineRule="atLeast"/>
        <w:rPr>
          <w:rFonts w:hint="eastAsia" w:ascii="宋体" w:hAnsi="宋体" w:eastAsia="宋体" w:cs="宋体"/>
          <w:color w:val="auto"/>
          <w:kern w:val="0"/>
          <w:sz w:val="21"/>
          <w:szCs w:val="21"/>
          <w:highlight w:val="none"/>
        </w:rPr>
      </w:pPr>
    </w:p>
    <w:p w14:paraId="78BEE4D4">
      <w:pPr>
        <w:widowControl/>
        <w:spacing w:line="440" w:lineRule="atLeast"/>
        <w:rPr>
          <w:rFonts w:hint="eastAsia" w:ascii="宋体" w:hAnsi="宋体" w:eastAsia="宋体" w:cs="宋体"/>
          <w:color w:val="auto"/>
          <w:kern w:val="0"/>
          <w:sz w:val="21"/>
          <w:szCs w:val="21"/>
          <w:highlight w:val="none"/>
        </w:rPr>
      </w:pPr>
    </w:p>
    <w:p w14:paraId="3C4399B0">
      <w:pPr>
        <w:widowControl/>
        <w:spacing w:line="440" w:lineRule="atLeas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附件3：    </w:t>
      </w:r>
    </w:p>
    <w:p w14:paraId="12BD93F1">
      <w:pPr>
        <w:widowControl/>
        <w:spacing w:before="156" w:after="156" w:line="4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工程质量保修书</w:t>
      </w:r>
    </w:p>
    <w:p w14:paraId="1FD8F820">
      <w:pPr>
        <w:keepNext w:val="0"/>
        <w:keepLines w:val="0"/>
        <w:pageBreakBefore w:val="0"/>
        <w:widowControl/>
        <w:kinsoku/>
        <w:wordWrap/>
        <w:overflowPunct/>
        <w:topLinePunct w:val="0"/>
        <w:autoSpaceDE/>
        <w:autoSpaceDN/>
        <w:bidi w:val="0"/>
        <w:adjustRightInd/>
        <w:snapToGrid/>
        <w:spacing w:line="360" w:lineRule="auto"/>
        <w:ind w:firstLine="692"/>
        <w:textAlignment w:val="auto"/>
        <w:rPr>
          <w:rFonts w:hint="eastAsia" w:ascii="宋体" w:hAnsi="宋体" w:eastAsia="宋体" w:cs="宋体"/>
          <w:b/>
          <w:bCs/>
          <w:color w:val="auto"/>
          <w:kern w:val="0"/>
          <w:sz w:val="21"/>
          <w:szCs w:val="21"/>
          <w:highlight w:val="none"/>
          <w:u w:val="single"/>
        </w:rPr>
      </w:pPr>
      <w:r>
        <w:rPr>
          <w:rFonts w:hint="eastAsia" w:ascii="宋体" w:hAnsi="宋体" w:eastAsia="宋体" w:cs="宋体"/>
          <w:color w:val="auto"/>
          <w:kern w:val="0"/>
          <w:sz w:val="21"/>
          <w:szCs w:val="21"/>
          <w:highlight w:val="none"/>
        </w:rPr>
        <w:t>发包人（全称）：</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21B83DA4">
      <w:pPr>
        <w:keepNext w:val="0"/>
        <w:keepLines w:val="0"/>
        <w:pageBreakBefore w:val="0"/>
        <w:widowControl/>
        <w:kinsoku/>
        <w:wordWrap/>
        <w:overflowPunct/>
        <w:topLinePunct w:val="0"/>
        <w:autoSpaceDE/>
        <w:autoSpaceDN/>
        <w:bidi w:val="0"/>
        <w:adjustRightInd/>
        <w:snapToGrid/>
        <w:spacing w:line="360" w:lineRule="auto"/>
        <w:ind w:firstLine="69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承包人（全称）</w:t>
      </w:r>
      <w:r>
        <w:rPr>
          <w:rFonts w:hint="eastAsia" w:ascii="宋体" w:hAnsi="宋体" w:eastAsia="宋体" w:cs="宋体"/>
          <w:color w:val="auto"/>
          <w:kern w:val="0"/>
          <w:sz w:val="21"/>
          <w:szCs w:val="21"/>
          <w:highlight w:val="none"/>
          <w:u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2AC2234F">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发包人和承包人根据《中华人民共和国建筑法》和《建设工程质量管理条例》，经协商一致就</w:t>
      </w:r>
      <w:r>
        <w:rPr>
          <w:rFonts w:hint="eastAsia" w:ascii="宋体" w:hAnsi="宋体" w:eastAsia="宋体" w:cs="宋体"/>
          <w:color w:val="auto"/>
          <w:kern w:val="0"/>
          <w:sz w:val="21"/>
          <w:szCs w:val="21"/>
          <w:highlight w:val="none"/>
          <w:u w:val="single"/>
        </w:rPr>
        <w:t xml:space="preserve"> 河南工业和信息化职业学院4#学生公寓外部维修项目 </w:t>
      </w:r>
      <w:r>
        <w:rPr>
          <w:rFonts w:hint="eastAsia" w:ascii="宋体" w:hAnsi="宋体" w:eastAsia="宋体" w:cs="宋体"/>
          <w:color w:val="auto"/>
          <w:kern w:val="0"/>
          <w:sz w:val="21"/>
          <w:szCs w:val="21"/>
          <w:highlight w:val="none"/>
        </w:rPr>
        <w:t>（工程全称）签订工程质量保修书。</w:t>
      </w:r>
    </w:p>
    <w:p w14:paraId="18D266B1">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一、工程质量保修范围和内容</w:t>
      </w:r>
    </w:p>
    <w:p w14:paraId="69EDBE68">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承包人在质量保修期内，按照有关法律规定和合同约定，承担工程质量保修责任。</w:t>
      </w:r>
    </w:p>
    <w:p w14:paraId="6D75581E">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515F6DB">
      <w:pPr>
        <w:widowControl/>
        <w:spacing w:line="360" w:lineRule="auto"/>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u w:val="single"/>
          <w:lang w:val="en-US" w:eastAsia="zh-CN"/>
        </w:rPr>
        <w:t xml:space="preserve">                           </w:t>
      </w:r>
    </w:p>
    <w:p w14:paraId="4E9A023B">
      <w:pPr>
        <w:widowControl/>
        <w:spacing w:line="360" w:lineRule="auto"/>
        <w:rPr>
          <w:rFonts w:hint="eastAsia" w:ascii="宋体" w:hAnsi="宋体" w:eastAsia="宋体" w:cs="宋体"/>
          <w:color w:val="auto"/>
          <w:kern w:val="0"/>
          <w:sz w:val="21"/>
          <w:szCs w:val="21"/>
          <w:highlight w:val="none"/>
        </w:rPr>
      </w:pPr>
    </w:p>
    <w:p w14:paraId="18BC2EA5">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 xml:space="preserve">  </w:t>
      </w:r>
      <w:r>
        <w:rPr>
          <w:rFonts w:hint="eastAsia" w:ascii="宋体" w:hAnsi="宋体" w:eastAsia="宋体" w:cs="宋体"/>
          <w:color w:val="auto"/>
          <w:kern w:val="0"/>
          <w:sz w:val="21"/>
          <w:szCs w:val="21"/>
          <w:highlight w:val="none"/>
        </w:rPr>
        <w:t>二、质量保修期</w:t>
      </w:r>
    </w:p>
    <w:p w14:paraId="6D58EC02">
      <w:pPr>
        <w:widowControl/>
        <w:spacing w:line="360" w:lineRule="auto"/>
        <w:ind w:firstLine="6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根据《建设工程质量管理条例》及有关规定，工程的质量保修期如下：</w:t>
      </w:r>
    </w:p>
    <w:p w14:paraId="603B534C">
      <w:pPr>
        <w:widowControl/>
        <w:ind w:firstLine="6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1．地基基础工程和主体结构工程为设计文件规定的工程合理使用年限；</w:t>
      </w:r>
    </w:p>
    <w:p w14:paraId="46C7BD27">
      <w:pPr>
        <w:widowControl/>
        <w:spacing w:line="360" w:lineRule="auto"/>
        <w:ind w:firstLine="6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2．屋面防水工程、有防水要求的卫生间、房间和外墙面的防渗为</w:t>
      </w:r>
      <w:r>
        <w:rPr>
          <w:rFonts w:hint="eastAsia" w:ascii="宋体" w:hAnsi="宋体" w:eastAsia="宋体" w:cs="宋体"/>
          <w:color w:val="auto"/>
          <w:kern w:val="0"/>
          <w:sz w:val="21"/>
          <w:szCs w:val="21"/>
          <w:highlight w:val="none"/>
          <w:u w:val="single"/>
        </w:rPr>
        <w:t xml:space="preserve">   5 </w:t>
      </w:r>
      <w:r>
        <w:rPr>
          <w:rFonts w:hint="eastAsia" w:ascii="宋体" w:hAnsi="宋体" w:eastAsia="宋体" w:cs="宋体"/>
          <w:color w:val="auto"/>
          <w:kern w:val="0"/>
          <w:sz w:val="21"/>
          <w:szCs w:val="21"/>
          <w:highlight w:val="none"/>
        </w:rPr>
        <w:t>年；</w:t>
      </w:r>
    </w:p>
    <w:p w14:paraId="54C50C69">
      <w:pPr>
        <w:widowControl/>
        <w:spacing w:line="360" w:lineRule="auto"/>
        <w:ind w:left="420" w:firstLine="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3．装修工程为</w:t>
      </w:r>
      <w:r>
        <w:rPr>
          <w:rFonts w:hint="eastAsia" w:ascii="宋体" w:hAnsi="宋体" w:eastAsia="宋体" w:cs="宋体"/>
          <w:color w:val="auto"/>
          <w:kern w:val="0"/>
          <w:sz w:val="21"/>
          <w:szCs w:val="21"/>
          <w:highlight w:val="none"/>
          <w:u w:val="single"/>
        </w:rPr>
        <w:t xml:space="preserve"> 2  </w:t>
      </w:r>
      <w:r>
        <w:rPr>
          <w:rFonts w:hint="eastAsia" w:ascii="宋体" w:hAnsi="宋体" w:eastAsia="宋体" w:cs="宋体"/>
          <w:color w:val="auto"/>
          <w:kern w:val="0"/>
          <w:sz w:val="21"/>
          <w:szCs w:val="21"/>
          <w:highlight w:val="none"/>
        </w:rPr>
        <w:t>年；</w:t>
      </w:r>
    </w:p>
    <w:p w14:paraId="00F8ECC8">
      <w:pPr>
        <w:widowControl/>
        <w:spacing w:line="360" w:lineRule="auto"/>
        <w:ind w:left="420" w:firstLine="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4．电气管线、给排水管道、设备安装工程为</w:t>
      </w:r>
      <w:r>
        <w:rPr>
          <w:rFonts w:hint="eastAsia" w:ascii="宋体" w:hAnsi="宋体" w:eastAsia="宋体" w:cs="宋体"/>
          <w:color w:val="auto"/>
          <w:kern w:val="0"/>
          <w:sz w:val="21"/>
          <w:szCs w:val="21"/>
          <w:highlight w:val="none"/>
          <w:u w:val="single"/>
        </w:rPr>
        <w:t xml:space="preserve">  2   </w:t>
      </w:r>
      <w:r>
        <w:rPr>
          <w:rFonts w:hint="eastAsia" w:ascii="宋体" w:hAnsi="宋体" w:eastAsia="宋体" w:cs="宋体"/>
          <w:color w:val="auto"/>
          <w:kern w:val="0"/>
          <w:sz w:val="21"/>
          <w:szCs w:val="21"/>
          <w:highlight w:val="none"/>
        </w:rPr>
        <w:t>年；</w:t>
      </w:r>
    </w:p>
    <w:p w14:paraId="6CADF0E4">
      <w:pPr>
        <w:widowControl/>
        <w:spacing w:line="360" w:lineRule="auto"/>
        <w:ind w:left="420" w:firstLine="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5．供热与供冷系统为</w:t>
      </w:r>
      <w:r>
        <w:rPr>
          <w:rFonts w:hint="eastAsia" w:ascii="宋体" w:hAnsi="宋体" w:eastAsia="宋体" w:cs="宋体"/>
          <w:color w:val="auto"/>
          <w:kern w:val="0"/>
          <w:sz w:val="21"/>
          <w:szCs w:val="21"/>
          <w:highlight w:val="none"/>
          <w:u w:val="single"/>
        </w:rPr>
        <w:t xml:space="preserve">  2  </w:t>
      </w:r>
      <w:r>
        <w:rPr>
          <w:rFonts w:hint="eastAsia" w:ascii="宋体" w:hAnsi="宋体" w:eastAsia="宋体" w:cs="宋体"/>
          <w:color w:val="auto"/>
          <w:kern w:val="0"/>
          <w:sz w:val="21"/>
          <w:szCs w:val="21"/>
          <w:highlight w:val="none"/>
        </w:rPr>
        <w:t>个采暖期、供冷期；</w:t>
      </w:r>
    </w:p>
    <w:p w14:paraId="745CA44F">
      <w:pPr>
        <w:widowControl/>
        <w:spacing w:line="360" w:lineRule="auto"/>
        <w:ind w:left="420" w:firstLine="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6．住宅小区内的给排水设施、道路等配套工程为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年；</w:t>
      </w:r>
    </w:p>
    <w:p w14:paraId="3F755866">
      <w:pPr>
        <w:widowControl/>
        <w:spacing w:line="360" w:lineRule="auto"/>
        <w:ind w:left="420" w:firstLine="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7．其他项目保修期限约定如下：</w:t>
      </w:r>
    </w:p>
    <w:p w14:paraId="1D0133BD">
      <w:pPr>
        <w:widowControl/>
        <w:spacing w:line="360" w:lineRule="auto"/>
        <w:ind w:firstLine="6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执行招标文件条款                             </w:t>
      </w:r>
      <w:r>
        <w:rPr>
          <w:rFonts w:hint="eastAsia" w:ascii="宋体" w:hAnsi="宋体" w:eastAsia="宋体" w:cs="宋体"/>
          <w:color w:val="auto"/>
          <w:kern w:val="0"/>
          <w:sz w:val="21"/>
          <w:szCs w:val="21"/>
          <w:highlight w:val="none"/>
        </w:rPr>
        <w:t>。</w:t>
      </w:r>
    </w:p>
    <w:p w14:paraId="2B651135">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质量保修期自工程竣工验收合格之日起计算。</w:t>
      </w:r>
    </w:p>
    <w:p w14:paraId="3042CBA0">
      <w:pPr>
        <w:widowControl/>
        <w:spacing w:line="360" w:lineRule="auto"/>
        <w:ind w:firstLine="6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三、缺陷责任期</w:t>
      </w:r>
    </w:p>
    <w:p w14:paraId="38022A33">
      <w:pPr>
        <w:widowControl/>
        <w:spacing w:line="360" w:lineRule="auto"/>
        <w:ind w:firstLine="6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工程缺陷责任期为</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24</w:t>
      </w:r>
      <w:r>
        <w:rPr>
          <w:rFonts w:hint="eastAsia" w:ascii="宋体" w:hAnsi="宋体" w:eastAsia="宋体" w:cs="宋体"/>
          <w:color w:val="auto"/>
          <w:kern w:val="0"/>
          <w:sz w:val="21"/>
          <w:szCs w:val="21"/>
          <w:highlight w:val="none"/>
        </w:rPr>
        <w:t>个月，缺陷责任期自工程竣工验收合格之日起计算。单位工程先于全部工程进行验收，单位工程缺陷责任期自单位工程验收合格之日起算。</w:t>
      </w:r>
    </w:p>
    <w:p w14:paraId="27C23793">
      <w:pPr>
        <w:widowControl/>
        <w:spacing w:line="360" w:lineRule="auto"/>
        <w:ind w:firstLine="6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缺陷责任期终止后，发包人应退还剩余的质量保证金。</w:t>
      </w:r>
    </w:p>
    <w:p w14:paraId="4C162DF0">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四、质量保修责任</w:t>
      </w:r>
    </w:p>
    <w:p w14:paraId="1F8526F8">
      <w:pPr>
        <w:widowControl/>
        <w:spacing w:line="360" w:lineRule="auto"/>
        <w:ind w:left="105" w:firstLine="61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1．属于保修范围、内容的项目，承包人应当在接到保修通知之日起7天内派人保修。承包人不在约定期限内派人保修的，发包人可以委托他人修理。</w:t>
      </w:r>
    </w:p>
    <w:p w14:paraId="5C72353D">
      <w:pPr>
        <w:widowControl/>
        <w:spacing w:line="360" w:lineRule="auto"/>
        <w:ind w:left="105" w:firstLine="61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2．发生紧急事故需抢修的，承包人在接到事故通知后，应当立即到达事故现场抢修。</w:t>
      </w:r>
    </w:p>
    <w:p w14:paraId="15465F09">
      <w:pPr>
        <w:widowControl/>
        <w:spacing w:line="360" w:lineRule="auto"/>
        <w:ind w:left="105" w:firstLine="61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20F0F20">
      <w:pPr>
        <w:widowControl/>
        <w:spacing w:line="360" w:lineRule="auto"/>
        <w:ind w:left="420" w:firstLine="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4．质量保修完成后，由发包人组织验收。</w:t>
      </w:r>
    </w:p>
    <w:p w14:paraId="3ACC1BF5">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五、保修费用</w:t>
      </w:r>
    </w:p>
    <w:p w14:paraId="256E7B7F">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保修费用由造成质量缺陷的责任方承担。</w:t>
      </w:r>
    </w:p>
    <w:p w14:paraId="18885449">
      <w:pPr>
        <w:widowControl/>
        <w:spacing w:line="360" w:lineRule="auto"/>
        <w:ind w:firstLine="600"/>
        <w:jc w:val="left"/>
        <w:rPr>
          <w:rFonts w:hint="eastAsia" w:ascii="宋体" w:hAnsi="宋体" w:eastAsia="宋体" w:cs="宋体"/>
          <w:color w:val="auto"/>
          <w:kern w:val="0"/>
          <w:sz w:val="21"/>
          <w:szCs w:val="21"/>
          <w:highlight w:val="none"/>
          <w:u w:val="single"/>
        </w:rPr>
      </w:pPr>
      <w:r>
        <w:rPr>
          <w:rFonts w:hint="eastAsia" w:ascii="宋体" w:hAnsi="宋体" w:eastAsia="宋体" w:cs="宋体"/>
          <w:b/>
          <w:bCs/>
          <w:color w:val="auto"/>
          <w:kern w:val="0"/>
          <w:sz w:val="21"/>
          <w:szCs w:val="21"/>
          <w:highlight w:val="none"/>
        </w:rPr>
        <w:t>六</w:t>
      </w:r>
      <w:r>
        <w:rPr>
          <w:rFonts w:hint="eastAsia" w:ascii="宋体" w:hAnsi="宋体" w:eastAsia="宋体" w:cs="宋体"/>
          <w:color w:val="auto"/>
          <w:kern w:val="0"/>
          <w:sz w:val="21"/>
          <w:szCs w:val="21"/>
          <w:highlight w:val="none"/>
        </w:rPr>
        <w:t>、双方约定的其他工程质量保修事项：</w:t>
      </w:r>
      <w:r>
        <w:rPr>
          <w:rFonts w:hint="eastAsia" w:ascii="宋体" w:hAnsi="宋体" w:eastAsia="宋体" w:cs="宋体"/>
          <w:color w:val="auto"/>
          <w:kern w:val="0"/>
          <w:sz w:val="21"/>
          <w:szCs w:val="21"/>
          <w:highlight w:val="none"/>
          <w:u w:val="single"/>
        </w:rPr>
        <w:t xml:space="preserve"> 执行招标文件条款   </w:t>
      </w:r>
    </w:p>
    <w:p w14:paraId="6ED13284">
      <w:pPr>
        <w:widowControl/>
        <w:spacing w:line="360" w:lineRule="auto"/>
        <w:ind w:firstLine="57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工程质量保修书由发包人、承包人在工程竣工验收前共同签署，作为施工合同附件，其有效期限至保修期满。</w:t>
      </w:r>
    </w:p>
    <w:p w14:paraId="092CE433">
      <w:pPr>
        <w:widowControl/>
        <w:spacing w:line="360" w:lineRule="auto"/>
        <w:ind w:firstLine="570"/>
        <w:rPr>
          <w:rFonts w:hint="eastAsia" w:ascii="宋体" w:hAnsi="宋体" w:eastAsia="宋体" w:cs="宋体"/>
          <w:color w:val="auto"/>
          <w:kern w:val="0"/>
          <w:sz w:val="21"/>
          <w:szCs w:val="21"/>
          <w:highlight w:val="none"/>
        </w:rPr>
      </w:pPr>
    </w:p>
    <w:p w14:paraId="1358E171">
      <w:pPr>
        <w:widowControl/>
        <w:spacing w:line="360" w:lineRule="auto"/>
        <w:ind w:firstLine="570"/>
        <w:rPr>
          <w:rFonts w:hint="eastAsia" w:ascii="宋体" w:hAnsi="宋体" w:eastAsia="宋体" w:cs="宋体"/>
          <w:color w:val="auto"/>
          <w:kern w:val="0"/>
          <w:sz w:val="21"/>
          <w:szCs w:val="21"/>
          <w:highlight w:val="none"/>
        </w:rPr>
      </w:pPr>
    </w:p>
    <w:p w14:paraId="0E5E45A6">
      <w:pPr>
        <w:widowControl/>
        <w:spacing w:line="360" w:lineRule="auto"/>
        <w:ind w:firstLine="570"/>
        <w:rPr>
          <w:rFonts w:hint="eastAsia" w:ascii="宋体" w:hAnsi="宋体" w:eastAsia="宋体" w:cs="宋体"/>
          <w:color w:val="auto"/>
          <w:kern w:val="0"/>
          <w:sz w:val="21"/>
          <w:szCs w:val="21"/>
          <w:highlight w:val="none"/>
        </w:rPr>
      </w:pPr>
    </w:p>
    <w:p w14:paraId="1FA623D5">
      <w:pPr>
        <w:widowControl/>
        <w:spacing w:line="360" w:lineRule="auto"/>
        <w:ind w:firstLine="570"/>
        <w:rPr>
          <w:rFonts w:hint="eastAsia" w:ascii="宋体" w:hAnsi="宋体" w:eastAsia="宋体" w:cs="宋体"/>
          <w:color w:val="auto"/>
          <w:kern w:val="0"/>
          <w:sz w:val="21"/>
          <w:szCs w:val="21"/>
          <w:highlight w:val="none"/>
        </w:rPr>
      </w:pPr>
    </w:p>
    <w:p w14:paraId="7F74407A">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发包人(公章)：</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承包人(公章)：</w:t>
      </w:r>
      <w:r>
        <w:rPr>
          <w:rFonts w:hint="eastAsia" w:ascii="宋体" w:hAnsi="宋体" w:eastAsia="宋体" w:cs="宋体"/>
          <w:color w:val="auto"/>
          <w:kern w:val="0"/>
          <w:sz w:val="21"/>
          <w:szCs w:val="21"/>
          <w:highlight w:val="none"/>
          <w:u w:val="single"/>
        </w:rPr>
        <w:t xml:space="preserve">             </w:t>
      </w:r>
    </w:p>
    <w:p w14:paraId="681F7AF2">
      <w:pPr>
        <w:keepNext w:val="0"/>
        <w:keepLines w:val="0"/>
        <w:pageBreakBefore w:val="0"/>
        <w:widowControl/>
        <w:kinsoku/>
        <w:wordWrap/>
        <w:overflowPunct/>
        <w:topLinePunct w:val="0"/>
        <w:autoSpaceDE/>
        <w:autoSpaceDN/>
        <w:bidi w:val="0"/>
        <w:adjustRightInd/>
        <w:snapToGrid/>
        <w:spacing w:line="360" w:lineRule="auto"/>
        <w:ind w:left="3780" w:leftChars="0" w:hanging="3780" w:hangingChars="18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70278B60">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法定代表人(签字)：</w:t>
      </w:r>
      <w:r>
        <w:rPr>
          <w:rFonts w:hint="eastAsia" w:ascii="宋体" w:hAnsi="宋体" w:eastAsia="宋体" w:cs="宋体"/>
          <w:color w:val="auto"/>
          <w:kern w:val="0"/>
          <w:sz w:val="21"/>
          <w:szCs w:val="21"/>
          <w:highlight w:val="none"/>
          <w:u w:val="single"/>
        </w:rPr>
        <w:t xml:space="preserve">        </w:t>
      </w:r>
    </w:p>
    <w:p w14:paraId="6601FB59">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委托代理人(签字)：</w:t>
      </w:r>
      <w:r>
        <w:rPr>
          <w:rFonts w:hint="eastAsia" w:ascii="宋体" w:hAnsi="宋体" w:eastAsia="宋体" w:cs="宋体"/>
          <w:color w:val="auto"/>
          <w:kern w:val="0"/>
          <w:sz w:val="21"/>
          <w:szCs w:val="21"/>
          <w:highlight w:val="none"/>
          <w:u w:val="single"/>
        </w:rPr>
        <w:t xml:space="preserve">        </w:t>
      </w:r>
    </w:p>
    <w:p w14:paraId="21412B6E">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463CC50F">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5B75A9FF">
      <w:pPr>
        <w:keepNext w:val="0"/>
        <w:keepLines w:val="0"/>
        <w:pageBreakBefore w:val="0"/>
        <w:widowControl/>
        <w:kinsoku/>
        <w:wordWrap/>
        <w:overflowPunct/>
        <w:topLinePunct w:val="0"/>
        <w:autoSpaceDE/>
        <w:autoSpaceDN/>
        <w:bidi w:val="0"/>
        <w:adjustRightInd/>
        <w:snapToGrid/>
        <w:spacing w:line="360" w:lineRule="auto"/>
        <w:ind w:left="3780" w:leftChars="0" w:hanging="3780" w:hangingChars="18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color w:val="auto"/>
          <w:kern w:val="0"/>
          <w:sz w:val="21"/>
          <w:szCs w:val="21"/>
          <w:highlight w:val="none"/>
          <w:u w:val="none"/>
        </w:rPr>
        <w:t xml:space="preserve"> </w:t>
      </w:r>
      <w:r>
        <w:rPr>
          <w:rFonts w:hint="eastAsia" w:ascii="宋体" w:hAnsi="宋体" w:eastAsia="宋体" w:cs="宋体"/>
          <w:color w:val="auto"/>
          <w:kern w:val="0"/>
          <w:sz w:val="21"/>
          <w:szCs w:val="21"/>
          <w:highlight w:val="none"/>
          <w:u w:val="none"/>
          <w:lang w:val="en-US" w:eastAsia="zh-CN"/>
        </w:rPr>
        <w:t xml:space="preserve">       </w:t>
      </w:r>
    </w:p>
    <w:p w14:paraId="17791952">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lang w:val="en-US" w:eastAsia="zh-CN"/>
        </w:rPr>
        <w:t xml:space="preserve">                     </w:t>
      </w:r>
    </w:p>
    <w:p w14:paraId="0C9AD0D6">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p>
    <w:p w14:paraId="09C95AAF">
      <w:pPr>
        <w:widowControl/>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br w:type="page"/>
      </w:r>
      <w:r>
        <w:rPr>
          <w:rFonts w:hint="eastAsia" w:ascii="宋体" w:hAnsi="宋体" w:eastAsia="宋体" w:cs="宋体"/>
          <w:color w:val="auto"/>
          <w:kern w:val="0"/>
          <w:sz w:val="21"/>
          <w:szCs w:val="21"/>
          <w:highlight w:val="none"/>
        </w:rPr>
        <w:t>附件4：</w:t>
      </w:r>
    </w:p>
    <w:p w14:paraId="7C9909C4">
      <w:pPr>
        <w:spacing w:beforeLines="5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28"/>
        <w:tblW w:w="87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97"/>
        <w:gridCol w:w="1240"/>
        <w:gridCol w:w="1408"/>
        <w:gridCol w:w="1207"/>
        <w:gridCol w:w="1409"/>
        <w:gridCol w:w="1619"/>
      </w:tblGrid>
      <w:tr w14:paraId="13264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atLeast"/>
          <w:jc w:val="center"/>
        </w:trPr>
        <w:tc>
          <w:tcPr>
            <w:tcW w:w="1897" w:type="dxa"/>
            <w:tcBorders>
              <w:top w:val="single" w:color="auto" w:sz="12" w:space="0"/>
              <w:bottom w:val="double" w:color="auto" w:sz="6" w:space="0"/>
            </w:tcBorders>
            <w:noWrap w:val="0"/>
            <w:vAlign w:val="center"/>
          </w:tcPr>
          <w:p w14:paraId="5BFE76E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文件名称</w:t>
            </w:r>
          </w:p>
        </w:tc>
        <w:tc>
          <w:tcPr>
            <w:tcW w:w="1240" w:type="dxa"/>
            <w:tcBorders>
              <w:top w:val="single" w:color="auto" w:sz="12" w:space="0"/>
              <w:bottom w:val="double" w:color="auto" w:sz="6" w:space="0"/>
            </w:tcBorders>
            <w:noWrap w:val="0"/>
            <w:vAlign w:val="center"/>
          </w:tcPr>
          <w:p w14:paraId="4D02F03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套数</w:t>
            </w:r>
          </w:p>
        </w:tc>
        <w:tc>
          <w:tcPr>
            <w:tcW w:w="1408" w:type="dxa"/>
            <w:tcBorders>
              <w:top w:val="single" w:color="auto" w:sz="12" w:space="0"/>
              <w:bottom w:val="double" w:color="auto" w:sz="6" w:space="0"/>
            </w:tcBorders>
            <w:noWrap w:val="0"/>
            <w:vAlign w:val="center"/>
          </w:tcPr>
          <w:p w14:paraId="74525CD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费用（元）</w:t>
            </w:r>
          </w:p>
        </w:tc>
        <w:tc>
          <w:tcPr>
            <w:tcW w:w="1207" w:type="dxa"/>
            <w:tcBorders>
              <w:top w:val="single" w:color="auto" w:sz="12" w:space="0"/>
              <w:bottom w:val="double" w:color="auto" w:sz="6" w:space="0"/>
            </w:tcBorders>
            <w:noWrap w:val="0"/>
            <w:vAlign w:val="center"/>
          </w:tcPr>
          <w:p w14:paraId="7767C8C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w:t>
            </w:r>
          </w:p>
        </w:tc>
        <w:tc>
          <w:tcPr>
            <w:tcW w:w="1409" w:type="dxa"/>
            <w:tcBorders>
              <w:top w:val="single" w:color="auto" w:sz="12" w:space="0"/>
              <w:bottom w:val="double" w:color="auto" w:sz="6" w:space="0"/>
            </w:tcBorders>
            <w:noWrap w:val="0"/>
            <w:vAlign w:val="top"/>
          </w:tcPr>
          <w:p w14:paraId="1B66029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619" w:type="dxa"/>
            <w:tcBorders>
              <w:top w:val="single" w:color="auto" w:sz="12" w:space="0"/>
              <w:bottom w:val="double" w:color="auto" w:sz="6" w:space="0"/>
            </w:tcBorders>
            <w:noWrap w:val="0"/>
            <w:vAlign w:val="top"/>
          </w:tcPr>
          <w:p w14:paraId="4BF9AE0E">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2BD30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4" w:hRule="atLeast"/>
          <w:jc w:val="center"/>
        </w:trPr>
        <w:tc>
          <w:tcPr>
            <w:tcW w:w="1897" w:type="dxa"/>
            <w:tcBorders>
              <w:top w:val="double" w:color="auto" w:sz="6" w:space="0"/>
              <w:bottom w:val="single" w:color="auto" w:sz="6" w:space="0"/>
            </w:tcBorders>
            <w:noWrap w:val="0"/>
            <w:vAlign w:val="center"/>
          </w:tcPr>
          <w:p w14:paraId="47B2F15E">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40" w:type="dxa"/>
            <w:tcBorders>
              <w:top w:val="double" w:color="auto" w:sz="6" w:space="0"/>
              <w:bottom w:val="single" w:color="auto" w:sz="6" w:space="0"/>
            </w:tcBorders>
            <w:noWrap w:val="0"/>
            <w:vAlign w:val="center"/>
          </w:tcPr>
          <w:p w14:paraId="080C7D5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8" w:type="dxa"/>
            <w:tcBorders>
              <w:top w:val="double" w:color="auto" w:sz="6" w:space="0"/>
              <w:bottom w:val="single" w:color="auto" w:sz="6" w:space="0"/>
            </w:tcBorders>
            <w:noWrap w:val="0"/>
            <w:vAlign w:val="center"/>
          </w:tcPr>
          <w:p w14:paraId="49C53E6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07" w:type="dxa"/>
            <w:tcBorders>
              <w:top w:val="double" w:color="auto" w:sz="6" w:space="0"/>
              <w:bottom w:val="single" w:color="auto" w:sz="6" w:space="0"/>
            </w:tcBorders>
            <w:noWrap w:val="0"/>
            <w:vAlign w:val="center"/>
          </w:tcPr>
          <w:p w14:paraId="53CE60E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9" w:type="dxa"/>
            <w:tcBorders>
              <w:top w:val="double" w:color="auto" w:sz="6" w:space="0"/>
              <w:bottom w:val="single" w:color="auto" w:sz="6" w:space="0"/>
            </w:tcBorders>
            <w:noWrap w:val="0"/>
            <w:vAlign w:val="center"/>
          </w:tcPr>
          <w:p w14:paraId="6DA2862F">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19" w:type="dxa"/>
            <w:tcBorders>
              <w:top w:val="double" w:color="auto" w:sz="6" w:space="0"/>
              <w:bottom w:val="single" w:color="auto" w:sz="6" w:space="0"/>
            </w:tcBorders>
            <w:noWrap w:val="0"/>
            <w:vAlign w:val="center"/>
          </w:tcPr>
          <w:p w14:paraId="3360D28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7473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97" w:type="dxa"/>
            <w:tcBorders>
              <w:top w:val="nil"/>
            </w:tcBorders>
            <w:noWrap w:val="0"/>
            <w:vAlign w:val="center"/>
          </w:tcPr>
          <w:p w14:paraId="028E612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40" w:type="dxa"/>
            <w:tcBorders>
              <w:top w:val="nil"/>
            </w:tcBorders>
            <w:noWrap w:val="0"/>
            <w:vAlign w:val="center"/>
          </w:tcPr>
          <w:p w14:paraId="78D136C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8" w:type="dxa"/>
            <w:tcBorders>
              <w:top w:val="nil"/>
            </w:tcBorders>
            <w:noWrap w:val="0"/>
            <w:vAlign w:val="center"/>
          </w:tcPr>
          <w:p w14:paraId="056D26B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07" w:type="dxa"/>
            <w:tcBorders>
              <w:top w:val="nil"/>
            </w:tcBorders>
            <w:noWrap w:val="0"/>
            <w:vAlign w:val="center"/>
          </w:tcPr>
          <w:p w14:paraId="6CCCE93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9" w:type="dxa"/>
            <w:tcBorders>
              <w:top w:val="nil"/>
            </w:tcBorders>
            <w:noWrap w:val="0"/>
            <w:vAlign w:val="center"/>
          </w:tcPr>
          <w:p w14:paraId="4BC2AB6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19" w:type="dxa"/>
            <w:tcBorders>
              <w:top w:val="nil"/>
            </w:tcBorders>
            <w:noWrap w:val="0"/>
            <w:vAlign w:val="center"/>
          </w:tcPr>
          <w:p w14:paraId="2429507F">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FEAF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97" w:type="dxa"/>
            <w:noWrap w:val="0"/>
            <w:vAlign w:val="center"/>
          </w:tcPr>
          <w:p w14:paraId="72DB9DB9">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40" w:type="dxa"/>
            <w:noWrap w:val="0"/>
            <w:vAlign w:val="center"/>
          </w:tcPr>
          <w:p w14:paraId="65E3B96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8" w:type="dxa"/>
            <w:noWrap w:val="0"/>
            <w:vAlign w:val="center"/>
          </w:tcPr>
          <w:p w14:paraId="11180D0E">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07" w:type="dxa"/>
            <w:noWrap w:val="0"/>
            <w:vAlign w:val="center"/>
          </w:tcPr>
          <w:p w14:paraId="013A817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9" w:type="dxa"/>
            <w:noWrap w:val="0"/>
            <w:vAlign w:val="center"/>
          </w:tcPr>
          <w:p w14:paraId="2B9E0E6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19" w:type="dxa"/>
            <w:noWrap w:val="0"/>
            <w:vAlign w:val="center"/>
          </w:tcPr>
          <w:p w14:paraId="64586D4E">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25DE2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97" w:type="dxa"/>
            <w:noWrap w:val="0"/>
            <w:vAlign w:val="center"/>
          </w:tcPr>
          <w:p w14:paraId="48E33A4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40" w:type="dxa"/>
            <w:noWrap w:val="0"/>
            <w:vAlign w:val="center"/>
          </w:tcPr>
          <w:p w14:paraId="755841B9">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8" w:type="dxa"/>
            <w:noWrap w:val="0"/>
            <w:vAlign w:val="center"/>
          </w:tcPr>
          <w:p w14:paraId="683FD9E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07" w:type="dxa"/>
            <w:noWrap w:val="0"/>
            <w:vAlign w:val="center"/>
          </w:tcPr>
          <w:p w14:paraId="2AF7563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9" w:type="dxa"/>
            <w:noWrap w:val="0"/>
            <w:vAlign w:val="center"/>
          </w:tcPr>
          <w:p w14:paraId="7BF3429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19" w:type="dxa"/>
            <w:noWrap w:val="0"/>
            <w:vAlign w:val="center"/>
          </w:tcPr>
          <w:p w14:paraId="2DCC208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0C73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97" w:type="dxa"/>
            <w:noWrap w:val="0"/>
            <w:vAlign w:val="center"/>
          </w:tcPr>
          <w:p w14:paraId="7DEF39F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40" w:type="dxa"/>
            <w:noWrap w:val="0"/>
            <w:vAlign w:val="center"/>
          </w:tcPr>
          <w:p w14:paraId="211439FE">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8" w:type="dxa"/>
            <w:noWrap w:val="0"/>
            <w:vAlign w:val="center"/>
          </w:tcPr>
          <w:p w14:paraId="58ED0099">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07" w:type="dxa"/>
            <w:noWrap w:val="0"/>
            <w:vAlign w:val="center"/>
          </w:tcPr>
          <w:p w14:paraId="04BC15F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9" w:type="dxa"/>
            <w:noWrap w:val="0"/>
            <w:vAlign w:val="center"/>
          </w:tcPr>
          <w:p w14:paraId="32AD235D">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19" w:type="dxa"/>
            <w:noWrap w:val="0"/>
            <w:vAlign w:val="center"/>
          </w:tcPr>
          <w:p w14:paraId="0EAA5336">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06959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97" w:type="dxa"/>
            <w:noWrap w:val="0"/>
            <w:vAlign w:val="center"/>
          </w:tcPr>
          <w:p w14:paraId="282E763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40" w:type="dxa"/>
            <w:noWrap w:val="0"/>
            <w:vAlign w:val="center"/>
          </w:tcPr>
          <w:p w14:paraId="37959347">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8" w:type="dxa"/>
            <w:noWrap w:val="0"/>
            <w:vAlign w:val="center"/>
          </w:tcPr>
          <w:p w14:paraId="1AD93959">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07" w:type="dxa"/>
            <w:noWrap w:val="0"/>
            <w:vAlign w:val="center"/>
          </w:tcPr>
          <w:p w14:paraId="1C6DF6C9">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9" w:type="dxa"/>
            <w:noWrap w:val="0"/>
            <w:vAlign w:val="center"/>
          </w:tcPr>
          <w:p w14:paraId="3AE9CA6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19" w:type="dxa"/>
            <w:noWrap w:val="0"/>
            <w:vAlign w:val="center"/>
          </w:tcPr>
          <w:p w14:paraId="42C4739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3AF61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97" w:type="dxa"/>
            <w:noWrap w:val="0"/>
            <w:vAlign w:val="center"/>
          </w:tcPr>
          <w:p w14:paraId="6B239CE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40" w:type="dxa"/>
            <w:noWrap w:val="0"/>
            <w:vAlign w:val="center"/>
          </w:tcPr>
          <w:p w14:paraId="78ADF76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8" w:type="dxa"/>
            <w:noWrap w:val="0"/>
            <w:vAlign w:val="center"/>
          </w:tcPr>
          <w:p w14:paraId="3D2265C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07" w:type="dxa"/>
            <w:noWrap w:val="0"/>
            <w:vAlign w:val="center"/>
          </w:tcPr>
          <w:p w14:paraId="7ED1E3EE">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9" w:type="dxa"/>
            <w:noWrap w:val="0"/>
            <w:vAlign w:val="center"/>
          </w:tcPr>
          <w:p w14:paraId="5ED741B0">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19" w:type="dxa"/>
            <w:noWrap w:val="0"/>
            <w:vAlign w:val="center"/>
          </w:tcPr>
          <w:p w14:paraId="5FAF776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FEBC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97" w:type="dxa"/>
            <w:noWrap w:val="0"/>
            <w:vAlign w:val="center"/>
          </w:tcPr>
          <w:p w14:paraId="2F5A525E">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40" w:type="dxa"/>
            <w:noWrap w:val="0"/>
            <w:vAlign w:val="center"/>
          </w:tcPr>
          <w:p w14:paraId="6A37DAB5">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8" w:type="dxa"/>
            <w:noWrap w:val="0"/>
            <w:vAlign w:val="center"/>
          </w:tcPr>
          <w:p w14:paraId="590F380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07" w:type="dxa"/>
            <w:noWrap w:val="0"/>
            <w:vAlign w:val="center"/>
          </w:tcPr>
          <w:p w14:paraId="41BB56B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9" w:type="dxa"/>
            <w:noWrap w:val="0"/>
            <w:vAlign w:val="center"/>
          </w:tcPr>
          <w:p w14:paraId="2DB5456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19" w:type="dxa"/>
            <w:noWrap w:val="0"/>
            <w:vAlign w:val="center"/>
          </w:tcPr>
          <w:p w14:paraId="699242F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36AE2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897" w:type="dxa"/>
            <w:noWrap w:val="0"/>
            <w:vAlign w:val="top"/>
          </w:tcPr>
          <w:p w14:paraId="2E3C61BF">
            <w:pPr>
              <w:rPr>
                <w:rFonts w:hint="eastAsia" w:ascii="宋体" w:hAnsi="宋体" w:eastAsia="宋体" w:cs="宋体"/>
                <w:color w:val="auto"/>
                <w:sz w:val="21"/>
                <w:szCs w:val="21"/>
                <w:highlight w:val="none"/>
              </w:rPr>
            </w:pPr>
          </w:p>
        </w:tc>
        <w:tc>
          <w:tcPr>
            <w:tcW w:w="1240" w:type="dxa"/>
            <w:noWrap w:val="0"/>
            <w:vAlign w:val="top"/>
          </w:tcPr>
          <w:p w14:paraId="13D70617">
            <w:pPr>
              <w:rPr>
                <w:rFonts w:hint="eastAsia" w:ascii="宋体" w:hAnsi="宋体" w:eastAsia="宋体" w:cs="宋体"/>
                <w:color w:val="auto"/>
                <w:sz w:val="21"/>
                <w:szCs w:val="21"/>
                <w:highlight w:val="none"/>
              </w:rPr>
            </w:pPr>
          </w:p>
        </w:tc>
        <w:tc>
          <w:tcPr>
            <w:tcW w:w="1408" w:type="dxa"/>
            <w:noWrap w:val="0"/>
            <w:vAlign w:val="top"/>
          </w:tcPr>
          <w:p w14:paraId="709B90D9">
            <w:pPr>
              <w:rPr>
                <w:rFonts w:hint="eastAsia" w:ascii="宋体" w:hAnsi="宋体" w:eastAsia="宋体" w:cs="宋体"/>
                <w:color w:val="auto"/>
                <w:sz w:val="21"/>
                <w:szCs w:val="21"/>
                <w:highlight w:val="none"/>
              </w:rPr>
            </w:pPr>
          </w:p>
        </w:tc>
        <w:tc>
          <w:tcPr>
            <w:tcW w:w="1207" w:type="dxa"/>
            <w:noWrap w:val="0"/>
            <w:vAlign w:val="top"/>
          </w:tcPr>
          <w:p w14:paraId="0F827032">
            <w:pPr>
              <w:rPr>
                <w:rFonts w:hint="eastAsia" w:ascii="宋体" w:hAnsi="宋体" w:eastAsia="宋体" w:cs="宋体"/>
                <w:color w:val="auto"/>
                <w:sz w:val="21"/>
                <w:szCs w:val="21"/>
                <w:highlight w:val="none"/>
              </w:rPr>
            </w:pPr>
          </w:p>
        </w:tc>
        <w:tc>
          <w:tcPr>
            <w:tcW w:w="1409" w:type="dxa"/>
            <w:noWrap w:val="0"/>
            <w:vAlign w:val="top"/>
          </w:tcPr>
          <w:p w14:paraId="56C625EC">
            <w:pPr>
              <w:rPr>
                <w:rFonts w:hint="eastAsia" w:ascii="宋体" w:hAnsi="宋体" w:eastAsia="宋体" w:cs="宋体"/>
                <w:color w:val="auto"/>
                <w:sz w:val="21"/>
                <w:szCs w:val="21"/>
                <w:highlight w:val="none"/>
              </w:rPr>
            </w:pPr>
          </w:p>
        </w:tc>
        <w:tc>
          <w:tcPr>
            <w:tcW w:w="1619" w:type="dxa"/>
            <w:noWrap w:val="0"/>
            <w:vAlign w:val="top"/>
          </w:tcPr>
          <w:p w14:paraId="7A8E6A0B">
            <w:pPr>
              <w:rPr>
                <w:rFonts w:hint="eastAsia" w:ascii="宋体" w:hAnsi="宋体" w:eastAsia="宋体" w:cs="宋体"/>
                <w:color w:val="auto"/>
                <w:sz w:val="21"/>
                <w:szCs w:val="21"/>
                <w:highlight w:val="none"/>
              </w:rPr>
            </w:pPr>
          </w:p>
        </w:tc>
      </w:tr>
      <w:tr w14:paraId="794C8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97" w:type="dxa"/>
            <w:noWrap w:val="0"/>
            <w:vAlign w:val="center"/>
          </w:tcPr>
          <w:p w14:paraId="5D9504B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40" w:type="dxa"/>
            <w:noWrap w:val="0"/>
            <w:vAlign w:val="center"/>
          </w:tcPr>
          <w:p w14:paraId="50DAA47A">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8" w:type="dxa"/>
            <w:noWrap w:val="0"/>
            <w:vAlign w:val="center"/>
          </w:tcPr>
          <w:p w14:paraId="1CA52718">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07" w:type="dxa"/>
            <w:noWrap w:val="0"/>
            <w:vAlign w:val="center"/>
          </w:tcPr>
          <w:p w14:paraId="601DCF01">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09" w:type="dxa"/>
            <w:noWrap w:val="0"/>
            <w:vAlign w:val="center"/>
          </w:tcPr>
          <w:p w14:paraId="028C1FDF">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619" w:type="dxa"/>
            <w:noWrap w:val="0"/>
            <w:vAlign w:val="center"/>
          </w:tcPr>
          <w:p w14:paraId="1DB9354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FC7E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897" w:type="dxa"/>
            <w:noWrap w:val="0"/>
            <w:vAlign w:val="top"/>
          </w:tcPr>
          <w:p w14:paraId="47BB4EC4">
            <w:pPr>
              <w:rPr>
                <w:rFonts w:hint="eastAsia" w:ascii="宋体" w:hAnsi="宋体" w:eastAsia="宋体" w:cs="宋体"/>
                <w:color w:val="auto"/>
                <w:sz w:val="21"/>
                <w:szCs w:val="21"/>
                <w:highlight w:val="none"/>
              </w:rPr>
            </w:pPr>
          </w:p>
        </w:tc>
        <w:tc>
          <w:tcPr>
            <w:tcW w:w="1240" w:type="dxa"/>
            <w:noWrap w:val="0"/>
            <w:vAlign w:val="top"/>
          </w:tcPr>
          <w:p w14:paraId="7B8DEA17">
            <w:pPr>
              <w:rPr>
                <w:rFonts w:hint="eastAsia" w:ascii="宋体" w:hAnsi="宋体" w:eastAsia="宋体" w:cs="宋体"/>
                <w:color w:val="auto"/>
                <w:sz w:val="21"/>
                <w:szCs w:val="21"/>
                <w:highlight w:val="none"/>
              </w:rPr>
            </w:pPr>
          </w:p>
        </w:tc>
        <w:tc>
          <w:tcPr>
            <w:tcW w:w="1408" w:type="dxa"/>
            <w:noWrap w:val="0"/>
            <w:vAlign w:val="top"/>
          </w:tcPr>
          <w:p w14:paraId="3526F276">
            <w:pPr>
              <w:rPr>
                <w:rFonts w:hint="eastAsia" w:ascii="宋体" w:hAnsi="宋体" w:eastAsia="宋体" w:cs="宋体"/>
                <w:color w:val="auto"/>
                <w:sz w:val="21"/>
                <w:szCs w:val="21"/>
                <w:highlight w:val="none"/>
              </w:rPr>
            </w:pPr>
          </w:p>
        </w:tc>
        <w:tc>
          <w:tcPr>
            <w:tcW w:w="1207" w:type="dxa"/>
            <w:noWrap w:val="0"/>
            <w:vAlign w:val="top"/>
          </w:tcPr>
          <w:p w14:paraId="5EF55333">
            <w:pPr>
              <w:rPr>
                <w:rFonts w:hint="eastAsia" w:ascii="宋体" w:hAnsi="宋体" w:eastAsia="宋体" w:cs="宋体"/>
                <w:color w:val="auto"/>
                <w:sz w:val="21"/>
                <w:szCs w:val="21"/>
                <w:highlight w:val="none"/>
              </w:rPr>
            </w:pPr>
          </w:p>
        </w:tc>
        <w:tc>
          <w:tcPr>
            <w:tcW w:w="1409" w:type="dxa"/>
            <w:noWrap w:val="0"/>
            <w:vAlign w:val="top"/>
          </w:tcPr>
          <w:p w14:paraId="0E918DB9">
            <w:pPr>
              <w:rPr>
                <w:rFonts w:hint="eastAsia" w:ascii="宋体" w:hAnsi="宋体" w:eastAsia="宋体" w:cs="宋体"/>
                <w:color w:val="auto"/>
                <w:sz w:val="21"/>
                <w:szCs w:val="21"/>
                <w:highlight w:val="none"/>
              </w:rPr>
            </w:pPr>
          </w:p>
        </w:tc>
        <w:tc>
          <w:tcPr>
            <w:tcW w:w="1619" w:type="dxa"/>
            <w:noWrap w:val="0"/>
            <w:vAlign w:val="top"/>
          </w:tcPr>
          <w:p w14:paraId="0D1AFE6F">
            <w:pPr>
              <w:rPr>
                <w:rFonts w:hint="eastAsia" w:ascii="宋体" w:hAnsi="宋体" w:eastAsia="宋体" w:cs="宋体"/>
                <w:color w:val="auto"/>
                <w:sz w:val="21"/>
                <w:szCs w:val="21"/>
                <w:highlight w:val="none"/>
              </w:rPr>
            </w:pPr>
          </w:p>
        </w:tc>
      </w:tr>
      <w:tr w14:paraId="4E323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897" w:type="dxa"/>
            <w:noWrap w:val="0"/>
            <w:vAlign w:val="top"/>
          </w:tcPr>
          <w:p w14:paraId="4BFAD4AD">
            <w:pPr>
              <w:rPr>
                <w:rFonts w:hint="eastAsia" w:ascii="宋体" w:hAnsi="宋体" w:eastAsia="宋体" w:cs="宋体"/>
                <w:color w:val="auto"/>
                <w:sz w:val="21"/>
                <w:szCs w:val="21"/>
                <w:highlight w:val="none"/>
              </w:rPr>
            </w:pPr>
          </w:p>
        </w:tc>
        <w:tc>
          <w:tcPr>
            <w:tcW w:w="1240" w:type="dxa"/>
            <w:noWrap w:val="0"/>
            <w:vAlign w:val="top"/>
          </w:tcPr>
          <w:p w14:paraId="6445CFA3">
            <w:pPr>
              <w:rPr>
                <w:rFonts w:hint="eastAsia" w:ascii="宋体" w:hAnsi="宋体" w:eastAsia="宋体" w:cs="宋体"/>
                <w:color w:val="auto"/>
                <w:sz w:val="21"/>
                <w:szCs w:val="21"/>
                <w:highlight w:val="none"/>
              </w:rPr>
            </w:pPr>
          </w:p>
        </w:tc>
        <w:tc>
          <w:tcPr>
            <w:tcW w:w="1408" w:type="dxa"/>
            <w:noWrap w:val="0"/>
            <w:vAlign w:val="top"/>
          </w:tcPr>
          <w:p w14:paraId="71B45E1E">
            <w:pPr>
              <w:rPr>
                <w:rFonts w:hint="eastAsia" w:ascii="宋体" w:hAnsi="宋体" w:eastAsia="宋体" w:cs="宋体"/>
                <w:color w:val="auto"/>
                <w:sz w:val="21"/>
                <w:szCs w:val="21"/>
                <w:highlight w:val="none"/>
              </w:rPr>
            </w:pPr>
          </w:p>
        </w:tc>
        <w:tc>
          <w:tcPr>
            <w:tcW w:w="1207" w:type="dxa"/>
            <w:noWrap w:val="0"/>
            <w:vAlign w:val="top"/>
          </w:tcPr>
          <w:p w14:paraId="05785160">
            <w:pPr>
              <w:rPr>
                <w:rFonts w:hint="eastAsia" w:ascii="宋体" w:hAnsi="宋体" w:eastAsia="宋体" w:cs="宋体"/>
                <w:color w:val="auto"/>
                <w:sz w:val="21"/>
                <w:szCs w:val="21"/>
                <w:highlight w:val="none"/>
              </w:rPr>
            </w:pPr>
          </w:p>
        </w:tc>
        <w:tc>
          <w:tcPr>
            <w:tcW w:w="1409" w:type="dxa"/>
            <w:noWrap w:val="0"/>
            <w:vAlign w:val="top"/>
          </w:tcPr>
          <w:p w14:paraId="786E3A54">
            <w:pPr>
              <w:rPr>
                <w:rFonts w:hint="eastAsia" w:ascii="宋体" w:hAnsi="宋体" w:eastAsia="宋体" w:cs="宋体"/>
                <w:color w:val="auto"/>
                <w:sz w:val="21"/>
                <w:szCs w:val="21"/>
                <w:highlight w:val="none"/>
              </w:rPr>
            </w:pPr>
          </w:p>
        </w:tc>
        <w:tc>
          <w:tcPr>
            <w:tcW w:w="1619" w:type="dxa"/>
            <w:noWrap w:val="0"/>
            <w:vAlign w:val="top"/>
          </w:tcPr>
          <w:p w14:paraId="26A6AD27">
            <w:pPr>
              <w:rPr>
                <w:rFonts w:hint="eastAsia" w:ascii="宋体" w:hAnsi="宋体" w:eastAsia="宋体" w:cs="宋体"/>
                <w:color w:val="auto"/>
                <w:sz w:val="21"/>
                <w:szCs w:val="21"/>
                <w:highlight w:val="none"/>
              </w:rPr>
            </w:pPr>
          </w:p>
        </w:tc>
      </w:tr>
      <w:tr w14:paraId="27A6E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897" w:type="dxa"/>
            <w:noWrap w:val="0"/>
            <w:vAlign w:val="top"/>
          </w:tcPr>
          <w:p w14:paraId="40A6DA5C">
            <w:pPr>
              <w:rPr>
                <w:rFonts w:hint="eastAsia" w:ascii="宋体" w:hAnsi="宋体" w:eastAsia="宋体" w:cs="宋体"/>
                <w:color w:val="auto"/>
                <w:sz w:val="21"/>
                <w:szCs w:val="21"/>
                <w:highlight w:val="none"/>
              </w:rPr>
            </w:pPr>
          </w:p>
        </w:tc>
        <w:tc>
          <w:tcPr>
            <w:tcW w:w="1240" w:type="dxa"/>
            <w:noWrap w:val="0"/>
            <w:vAlign w:val="top"/>
          </w:tcPr>
          <w:p w14:paraId="6F9692A8">
            <w:pPr>
              <w:rPr>
                <w:rFonts w:hint="eastAsia" w:ascii="宋体" w:hAnsi="宋体" w:eastAsia="宋体" w:cs="宋体"/>
                <w:color w:val="auto"/>
                <w:sz w:val="21"/>
                <w:szCs w:val="21"/>
                <w:highlight w:val="none"/>
              </w:rPr>
            </w:pPr>
          </w:p>
        </w:tc>
        <w:tc>
          <w:tcPr>
            <w:tcW w:w="1408" w:type="dxa"/>
            <w:noWrap w:val="0"/>
            <w:vAlign w:val="top"/>
          </w:tcPr>
          <w:p w14:paraId="67EF408D">
            <w:pPr>
              <w:rPr>
                <w:rFonts w:hint="eastAsia" w:ascii="宋体" w:hAnsi="宋体" w:eastAsia="宋体" w:cs="宋体"/>
                <w:color w:val="auto"/>
                <w:sz w:val="21"/>
                <w:szCs w:val="21"/>
                <w:highlight w:val="none"/>
              </w:rPr>
            </w:pPr>
          </w:p>
        </w:tc>
        <w:tc>
          <w:tcPr>
            <w:tcW w:w="1207" w:type="dxa"/>
            <w:noWrap w:val="0"/>
            <w:vAlign w:val="top"/>
          </w:tcPr>
          <w:p w14:paraId="327A4C94">
            <w:pPr>
              <w:rPr>
                <w:rFonts w:hint="eastAsia" w:ascii="宋体" w:hAnsi="宋体" w:eastAsia="宋体" w:cs="宋体"/>
                <w:color w:val="auto"/>
                <w:sz w:val="21"/>
                <w:szCs w:val="21"/>
                <w:highlight w:val="none"/>
              </w:rPr>
            </w:pPr>
          </w:p>
        </w:tc>
        <w:tc>
          <w:tcPr>
            <w:tcW w:w="1409" w:type="dxa"/>
            <w:noWrap w:val="0"/>
            <w:vAlign w:val="top"/>
          </w:tcPr>
          <w:p w14:paraId="3FB1B473">
            <w:pPr>
              <w:rPr>
                <w:rFonts w:hint="eastAsia" w:ascii="宋体" w:hAnsi="宋体" w:eastAsia="宋体" w:cs="宋体"/>
                <w:color w:val="auto"/>
                <w:sz w:val="21"/>
                <w:szCs w:val="21"/>
                <w:highlight w:val="none"/>
              </w:rPr>
            </w:pPr>
          </w:p>
        </w:tc>
        <w:tc>
          <w:tcPr>
            <w:tcW w:w="1619" w:type="dxa"/>
            <w:noWrap w:val="0"/>
            <w:vAlign w:val="top"/>
          </w:tcPr>
          <w:p w14:paraId="0E50653D">
            <w:pPr>
              <w:rPr>
                <w:rFonts w:hint="eastAsia" w:ascii="宋体" w:hAnsi="宋体" w:eastAsia="宋体" w:cs="宋体"/>
                <w:color w:val="auto"/>
                <w:sz w:val="21"/>
                <w:szCs w:val="21"/>
                <w:highlight w:val="none"/>
              </w:rPr>
            </w:pPr>
          </w:p>
        </w:tc>
      </w:tr>
      <w:tr w14:paraId="4179D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897" w:type="dxa"/>
            <w:noWrap w:val="0"/>
            <w:vAlign w:val="top"/>
          </w:tcPr>
          <w:p w14:paraId="4702C193">
            <w:pPr>
              <w:rPr>
                <w:rFonts w:hint="eastAsia" w:ascii="宋体" w:hAnsi="宋体" w:eastAsia="宋体" w:cs="宋体"/>
                <w:color w:val="auto"/>
                <w:sz w:val="21"/>
                <w:szCs w:val="21"/>
                <w:highlight w:val="none"/>
              </w:rPr>
            </w:pPr>
          </w:p>
        </w:tc>
        <w:tc>
          <w:tcPr>
            <w:tcW w:w="1240" w:type="dxa"/>
            <w:noWrap w:val="0"/>
            <w:vAlign w:val="top"/>
          </w:tcPr>
          <w:p w14:paraId="3D9394BC">
            <w:pPr>
              <w:rPr>
                <w:rFonts w:hint="eastAsia" w:ascii="宋体" w:hAnsi="宋体" w:eastAsia="宋体" w:cs="宋体"/>
                <w:color w:val="auto"/>
                <w:sz w:val="21"/>
                <w:szCs w:val="21"/>
                <w:highlight w:val="none"/>
              </w:rPr>
            </w:pPr>
          </w:p>
        </w:tc>
        <w:tc>
          <w:tcPr>
            <w:tcW w:w="1408" w:type="dxa"/>
            <w:noWrap w:val="0"/>
            <w:vAlign w:val="top"/>
          </w:tcPr>
          <w:p w14:paraId="05508471">
            <w:pPr>
              <w:rPr>
                <w:rFonts w:hint="eastAsia" w:ascii="宋体" w:hAnsi="宋体" w:eastAsia="宋体" w:cs="宋体"/>
                <w:color w:val="auto"/>
                <w:sz w:val="21"/>
                <w:szCs w:val="21"/>
                <w:highlight w:val="none"/>
              </w:rPr>
            </w:pPr>
          </w:p>
        </w:tc>
        <w:tc>
          <w:tcPr>
            <w:tcW w:w="1207" w:type="dxa"/>
            <w:noWrap w:val="0"/>
            <w:vAlign w:val="top"/>
          </w:tcPr>
          <w:p w14:paraId="2BB70DD3">
            <w:pPr>
              <w:rPr>
                <w:rFonts w:hint="eastAsia" w:ascii="宋体" w:hAnsi="宋体" w:eastAsia="宋体" w:cs="宋体"/>
                <w:color w:val="auto"/>
                <w:sz w:val="21"/>
                <w:szCs w:val="21"/>
                <w:highlight w:val="none"/>
              </w:rPr>
            </w:pPr>
          </w:p>
        </w:tc>
        <w:tc>
          <w:tcPr>
            <w:tcW w:w="1409" w:type="dxa"/>
            <w:noWrap w:val="0"/>
            <w:vAlign w:val="top"/>
          </w:tcPr>
          <w:p w14:paraId="1AA2C080">
            <w:pPr>
              <w:rPr>
                <w:rFonts w:hint="eastAsia" w:ascii="宋体" w:hAnsi="宋体" w:eastAsia="宋体" w:cs="宋体"/>
                <w:color w:val="auto"/>
                <w:sz w:val="21"/>
                <w:szCs w:val="21"/>
                <w:highlight w:val="none"/>
              </w:rPr>
            </w:pPr>
          </w:p>
        </w:tc>
        <w:tc>
          <w:tcPr>
            <w:tcW w:w="1619" w:type="dxa"/>
            <w:noWrap w:val="0"/>
            <w:vAlign w:val="top"/>
          </w:tcPr>
          <w:p w14:paraId="27A682ED">
            <w:pPr>
              <w:rPr>
                <w:rFonts w:hint="eastAsia" w:ascii="宋体" w:hAnsi="宋体" w:eastAsia="宋体" w:cs="宋体"/>
                <w:color w:val="auto"/>
                <w:sz w:val="21"/>
                <w:szCs w:val="21"/>
                <w:highlight w:val="none"/>
              </w:rPr>
            </w:pPr>
          </w:p>
        </w:tc>
      </w:tr>
      <w:tr w14:paraId="22A50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897" w:type="dxa"/>
            <w:noWrap w:val="0"/>
            <w:vAlign w:val="top"/>
          </w:tcPr>
          <w:p w14:paraId="59DC781A">
            <w:pPr>
              <w:rPr>
                <w:rFonts w:hint="eastAsia" w:ascii="宋体" w:hAnsi="宋体" w:eastAsia="宋体" w:cs="宋体"/>
                <w:color w:val="auto"/>
                <w:sz w:val="21"/>
                <w:szCs w:val="21"/>
                <w:highlight w:val="none"/>
              </w:rPr>
            </w:pPr>
          </w:p>
        </w:tc>
        <w:tc>
          <w:tcPr>
            <w:tcW w:w="1240" w:type="dxa"/>
            <w:noWrap w:val="0"/>
            <w:vAlign w:val="top"/>
          </w:tcPr>
          <w:p w14:paraId="6A113144">
            <w:pPr>
              <w:rPr>
                <w:rFonts w:hint="eastAsia" w:ascii="宋体" w:hAnsi="宋体" w:eastAsia="宋体" w:cs="宋体"/>
                <w:color w:val="auto"/>
                <w:sz w:val="21"/>
                <w:szCs w:val="21"/>
                <w:highlight w:val="none"/>
              </w:rPr>
            </w:pPr>
          </w:p>
        </w:tc>
        <w:tc>
          <w:tcPr>
            <w:tcW w:w="1408" w:type="dxa"/>
            <w:noWrap w:val="0"/>
            <w:vAlign w:val="top"/>
          </w:tcPr>
          <w:p w14:paraId="28755AEE">
            <w:pPr>
              <w:rPr>
                <w:rFonts w:hint="eastAsia" w:ascii="宋体" w:hAnsi="宋体" w:eastAsia="宋体" w:cs="宋体"/>
                <w:color w:val="auto"/>
                <w:sz w:val="21"/>
                <w:szCs w:val="21"/>
                <w:highlight w:val="none"/>
              </w:rPr>
            </w:pPr>
          </w:p>
        </w:tc>
        <w:tc>
          <w:tcPr>
            <w:tcW w:w="1207" w:type="dxa"/>
            <w:noWrap w:val="0"/>
            <w:vAlign w:val="top"/>
          </w:tcPr>
          <w:p w14:paraId="31947AEA">
            <w:pPr>
              <w:rPr>
                <w:rFonts w:hint="eastAsia" w:ascii="宋体" w:hAnsi="宋体" w:eastAsia="宋体" w:cs="宋体"/>
                <w:color w:val="auto"/>
                <w:sz w:val="21"/>
                <w:szCs w:val="21"/>
                <w:highlight w:val="none"/>
              </w:rPr>
            </w:pPr>
          </w:p>
        </w:tc>
        <w:tc>
          <w:tcPr>
            <w:tcW w:w="1409" w:type="dxa"/>
            <w:noWrap w:val="0"/>
            <w:vAlign w:val="top"/>
          </w:tcPr>
          <w:p w14:paraId="6CCA7FBF">
            <w:pPr>
              <w:rPr>
                <w:rFonts w:hint="eastAsia" w:ascii="宋体" w:hAnsi="宋体" w:eastAsia="宋体" w:cs="宋体"/>
                <w:color w:val="auto"/>
                <w:sz w:val="21"/>
                <w:szCs w:val="21"/>
                <w:highlight w:val="none"/>
              </w:rPr>
            </w:pPr>
          </w:p>
        </w:tc>
        <w:tc>
          <w:tcPr>
            <w:tcW w:w="1619" w:type="dxa"/>
            <w:noWrap w:val="0"/>
            <w:vAlign w:val="top"/>
          </w:tcPr>
          <w:p w14:paraId="0C995AF6">
            <w:pPr>
              <w:rPr>
                <w:rFonts w:hint="eastAsia" w:ascii="宋体" w:hAnsi="宋体" w:eastAsia="宋体" w:cs="宋体"/>
                <w:color w:val="auto"/>
                <w:sz w:val="21"/>
                <w:szCs w:val="21"/>
                <w:highlight w:val="none"/>
              </w:rPr>
            </w:pPr>
          </w:p>
        </w:tc>
      </w:tr>
      <w:tr w14:paraId="74E5A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897" w:type="dxa"/>
            <w:noWrap w:val="0"/>
            <w:vAlign w:val="top"/>
          </w:tcPr>
          <w:p w14:paraId="560FB5DD">
            <w:pPr>
              <w:rPr>
                <w:rFonts w:hint="eastAsia" w:ascii="宋体" w:hAnsi="宋体" w:eastAsia="宋体" w:cs="宋体"/>
                <w:color w:val="auto"/>
                <w:sz w:val="21"/>
                <w:szCs w:val="21"/>
                <w:highlight w:val="none"/>
              </w:rPr>
            </w:pPr>
          </w:p>
        </w:tc>
        <w:tc>
          <w:tcPr>
            <w:tcW w:w="1240" w:type="dxa"/>
            <w:noWrap w:val="0"/>
            <w:vAlign w:val="top"/>
          </w:tcPr>
          <w:p w14:paraId="1AD84F88">
            <w:pPr>
              <w:rPr>
                <w:rFonts w:hint="eastAsia" w:ascii="宋体" w:hAnsi="宋体" w:eastAsia="宋体" w:cs="宋体"/>
                <w:color w:val="auto"/>
                <w:sz w:val="21"/>
                <w:szCs w:val="21"/>
                <w:highlight w:val="none"/>
              </w:rPr>
            </w:pPr>
          </w:p>
        </w:tc>
        <w:tc>
          <w:tcPr>
            <w:tcW w:w="1408" w:type="dxa"/>
            <w:noWrap w:val="0"/>
            <w:vAlign w:val="top"/>
          </w:tcPr>
          <w:p w14:paraId="6E72529E">
            <w:pPr>
              <w:rPr>
                <w:rFonts w:hint="eastAsia" w:ascii="宋体" w:hAnsi="宋体" w:eastAsia="宋体" w:cs="宋体"/>
                <w:color w:val="auto"/>
                <w:sz w:val="21"/>
                <w:szCs w:val="21"/>
                <w:highlight w:val="none"/>
              </w:rPr>
            </w:pPr>
          </w:p>
        </w:tc>
        <w:tc>
          <w:tcPr>
            <w:tcW w:w="1207" w:type="dxa"/>
            <w:noWrap w:val="0"/>
            <w:vAlign w:val="top"/>
          </w:tcPr>
          <w:p w14:paraId="5F779216">
            <w:pPr>
              <w:rPr>
                <w:rFonts w:hint="eastAsia" w:ascii="宋体" w:hAnsi="宋体" w:eastAsia="宋体" w:cs="宋体"/>
                <w:color w:val="auto"/>
                <w:sz w:val="21"/>
                <w:szCs w:val="21"/>
                <w:highlight w:val="none"/>
              </w:rPr>
            </w:pPr>
          </w:p>
        </w:tc>
        <w:tc>
          <w:tcPr>
            <w:tcW w:w="1409" w:type="dxa"/>
            <w:noWrap w:val="0"/>
            <w:vAlign w:val="top"/>
          </w:tcPr>
          <w:p w14:paraId="43C8A59F">
            <w:pPr>
              <w:rPr>
                <w:rFonts w:hint="eastAsia" w:ascii="宋体" w:hAnsi="宋体" w:eastAsia="宋体" w:cs="宋体"/>
                <w:color w:val="auto"/>
                <w:sz w:val="21"/>
                <w:szCs w:val="21"/>
                <w:highlight w:val="none"/>
              </w:rPr>
            </w:pPr>
          </w:p>
        </w:tc>
        <w:tc>
          <w:tcPr>
            <w:tcW w:w="1619" w:type="dxa"/>
            <w:noWrap w:val="0"/>
            <w:vAlign w:val="top"/>
          </w:tcPr>
          <w:p w14:paraId="78BD9A24">
            <w:pPr>
              <w:rPr>
                <w:rFonts w:hint="eastAsia" w:ascii="宋体" w:hAnsi="宋体" w:eastAsia="宋体" w:cs="宋体"/>
                <w:color w:val="auto"/>
                <w:sz w:val="21"/>
                <w:szCs w:val="21"/>
                <w:highlight w:val="none"/>
              </w:rPr>
            </w:pPr>
          </w:p>
        </w:tc>
      </w:tr>
      <w:tr w14:paraId="3C5CE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897" w:type="dxa"/>
            <w:noWrap w:val="0"/>
            <w:vAlign w:val="top"/>
          </w:tcPr>
          <w:p w14:paraId="6B1C73D1">
            <w:pPr>
              <w:rPr>
                <w:rFonts w:hint="eastAsia" w:ascii="宋体" w:hAnsi="宋体" w:eastAsia="宋体" w:cs="宋体"/>
                <w:color w:val="auto"/>
                <w:sz w:val="21"/>
                <w:szCs w:val="21"/>
                <w:highlight w:val="none"/>
              </w:rPr>
            </w:pPr>
          </w:p>
        </w:tc>
        <w:tc>
          <w:tcPr>
            <w:tcW w:w="1240" w:type="dxa"/>
            <w:noWrap w:val="0"/>
            <w:vAlign w:val="top"/>
          </w:tcPr>
          <w:p w14:paraId="1461CD6D">
            <w:pPr>
              <w:rPr>
                <w:rFonts w:hint="eastAsia" w:ascii="宋体" w:hAnsi="宋体" w:eastAsia="宋体" w:cs="宋体"/>
                <w:color w:val="auto"/>
                <w:sz w:val="21"/>
                <w:szCs w:val="21"/>
                <w:highlight w:val="none"/>
              </w:rPr>
            </w:pPr>
          </w:p>
        </w:tc>
        <w:tc>
          <w:tcPr>
            <w:tcW w:w="1408" w:type="dxa"/>
            <w:noWrap w:val="0"/>
            <w:vAlign w:val="top"/>
          </w:tcPr>
          <w:p w14:paraId="220F454A">
            <w:pPr>
              <w:rPr>
                <w:rFonts w:hint="eastAsia" w:ascii="宋体" w:hAnsi="宋体" w:eastAsia="宋体" w:cs="宋体"/>
                <w:color w:val="auto"/>
                <w:sz w:val="21"/>
                <w:szCs w:val="21"/>
                <w:highlight w:val="none"/>
              </w:rPr>
            </w:pPr>
          </w:p>
        </w:tc>
        <w:tc>
          <w:tcPr>
            <w:tcW w:w="1207" w:type="dxa"/>
            <w:noWrap w:val="0"/>
            <w:vAlign w:val="top"/>
          </w:tcPr>
          <w:p w14:paraId="318ADE26">
            <w:pPr>
              <w:rPr>
                <w:rFonts w:hint="eastAsia" w:ascii="宋体" w:hAnsi="宋体" w:eastAsia="宋体" w:cs="宋体"/>
                <w:color w:val="auto"/>
                <w:sz w:val="21"/>
                <w:szCs w:val="21"/>
                <w:highlight w:val="none"/>
              </w:rPr>
            </w:pPr>
          </w:p>
        </w:tc>
        <w:tc>
          <w:tcPr>
            <w:tcW w:w="1409" w:type="dxa"/>
            <w:noWrap w:val="0"/>
            <w:vAlign w:val="top"/>
          </w:tcPr>
          <w:p w14:paraId="0B08BE7A">
            <w:pPr>
              <w:rPr>
                <w:rFonts w:hint="eastAsia" w:ascii="宋体" w:hAnsi="宋体" w:eastAsia="宋体" w:cs="宋体"/>
                <w:color w:val="auto"/>
                <w:sz w:val="21"/>
                <w:szCs w:val="21"/>
                <w:highlight w:val="none"/>
              </w:rPr>
            </w:pPr>
          </w:p>
        </w:tc>
        <w:tc>
          <w:tcPr>
            <w:tcW w:w="1619" w:type="dxa"/>
            <w:noWrap w:val="0"/>
            <w:vAlign w:val="top"/>
          </w:tcPr>
          <w:p w14:paraId="31DADE00">
            <w:pPr>
              <w:rPr>
                <w:rFonts w:hint="eastAsia" w:ascii="宋体" w:hAnsi="宋体" w:eastAsia="宋体" w:cs="宋体"/>
                <w:color w:val="auto"/>
                <w:sz w:val="21"/>
                <w:szCs w:val="21"/>
                <w:highlight w:val="none"/>
              </w:rPr>
            </w:pPr>
          </w:p>
        </w:tc>
      </w:tr>
      <w:tr w14:paraId="5B336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897" w:type="dxa"/>
            <w:noWrap w:val="0"/>
            <w:vAlign w:val="top"/>
          </w:tcPr>
          <w:p w14:paraId="596DEAB0">
            <w:pPr>
              <w:rPr>
                <w:rFonts w:hint="eastAsia" w:ascii="宋体" w:hAnsi="宋体" w:eastAsia="宋体" w:cs="宋体"/>
                <w:color w:val="auto"/>
                <w:sz w:val="21"/>
                <w:szCs w:val="21"/>
                <w:highlight w:val="none"/>
              </w:rPr>
            </w:pPr>
          </w:p>
        </w:tc>
        <w:tc>
          <w:tcPr>
            <w:tcW w:w="1240" w:type="dxa"/>
            <w:noWrap w:val="0"/>
            <w:vAlign w:val="top"/>
          </w:tcPr>
          <w:p w14:paraId="78B207E0">
            <w:pPr>
              <w:rPr>
                <w:rFonts w:hint="eastAsia" w:ascii="宋体" w:hAnsi="宋体" w:eastAsia="宋体" w:cs="宋体"/>
                <w:color w:val="auto"/>
                <w:sz w:val="21"/>
                <w:szCs w:val="21"/>
                <w:highlight w:val="none"/>
              </w:rPr>
            </w:pPr>
          </w:p>
        </w:tc>
        <w:tc>
          <w:tcPr>
            <w:tcW w:w="1408" w:type="dxa"/>
            <w:noWrap w:val="0"/>
            <w:vAlign w:val="top"/>
          </w:tcPr>
          <w:p w14:paraId="19E05C43">
            <w:pPr>
              <w:rPr>
                <w:rFonts w:hint="eastAsia" w:ascii="宋体" w:hAnsi="宋体" w:eastAsia="宋体" w:cs="宋体"/>
                <w:color w:val="auto"/>
                <w:sz w:val="21"/>
                <w:szCs w:val="21"/>
                <w:highlight w:val="none"/>
              </w:rPr>
            </w:pPr>
          </w:p>
        </w:tc>
        <w:tc>
          <w:tcPr>
            <w:tcW w:w="1207" w:type="dxa"/>
            <w:noWrap w:val="0"/>
            <w:vAlign w:val="top"/>
          </w:tcPr>
          <w:p w14:paraId="0792D975">
            <w:pPr>
              <w:rPr>
                <w:rFonts w:hint="eastAsia" w:ascii="宋体" w:hAnsi="宋体" w:eastAsia="宋体" w:cs="宋体"/>
                <w:color w:val="auto"/>
                <w:sz w:val="21"/>
                <w:szCs w:val="21"/>
                <w:highlight w:val="none"/>
              </w:rPr>
            </w:pPr>
          </w:p>
        </w:tc>
        <w:tc>
          <w:tcPr>
            <w:tcW w:w="1409" w:type="dxa"/>
            <w:noWrap w:val="0"/>
            <w:vAlign w:val="top"/>
          </w:tcPr>
          <w:p w14:paraId="6BFFCE9E">
            <w:pPr>
              <w:rPr>
                <w:rFonts w:hint="eastAsia" w:ascii="宋体" w:hAnsi="宋体" w:eastAsia="宋体" w:cs="宋体"/>
                <w:color w:val="auto"/>
                <w:sz w:val="21"/>
                <w:szCs w:val="21"/>
                <w:highlight w:val="none"/>
              </w:rPr>
            </w:pPr>
          </w:p>
        </w:tc>
        <w:tc>
          <w:tcPr>
            <w:tcW w:w="1619" w:type="dxa"/>
            <w:noWrap w:val="0"/>
            <w:vAlign w:val="top"/>
          </w:tcPr>
          <w:p w14:paraId="5977FC9E">
            <w:pPr>
              <w:rPr>
                <w:rFonts w:hint="eastAsia" w:ascii="宋体" w:hAnsi="宋体" w:eastAsia="宋体" w:cs="宋体"/>
                <w:color w:val="auto"/>
                <w:sz w:val="21"/>
                <w:szCs w:val="21"/>
                <w:highlight w:val="none"/>
              </w:rPr>
            </w:pPr>
          </w:p>
        </w:tc>
      </w:tr>
    </w:tbl>
    <w:p w14:paraId="0E70066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623" w:name="_Toc296346728"/>
      <w:bookmarkStart w:id="624" w:name="_Toc296503227"/>
      <w:bookmarkStart w:id="625" w:name="_Toc296347226"/>
      <w:bookmarkStart w:id="626" w:name="_Toc296891267"/>
      <w:bookmarkStart w:id="627" w:name="_Toc267261698"/>
      <w:bookmarkStart w:id="628" w:name="_Toc296944566"/>
      <w:bookmarkStart w:id="629" w:name="_Toc296891055"/>
      <w:r>
        <w:rPr>
          <w:rFonts w:hint="eastAsia" w:ascii="宋体" w:hAnsi="宋体" w:eastAsia="宋体" w:cs="宋体"/>
          <w:color w:val="auto"/>
          <w:sz w:val="21"/>
          <w:szCs w:val="21"/>
          <w:highlight w:val="none"/>
        </w:rPr>
        <w:t>件5：</w:t>
      </w:r>
    </w:p>
    <w:bookmarkEnd w:id="623"/>
    <w:bookmarkEnd w:id="624"/>
    <w:bookmarkEnd w:id="625"/>
    <w:bookmarkEnd w:id="626"/>
    <w:bookmarkEnd w:id="627"/>
    <w:bookmarkEnd w:id="628"/>
    <w:bookmarkEnd w:id="629"/>
    <w:p w14:paraId="7DDC3B2F">
      <w:pPr>
        <w:spacing w:beforeLines="5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28"/>
        <w:tblW w:w="100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60"/>
        <w:gridCol w:w="1365"/>
        <w:gridCol w:w="1482"/>
        <w:gridCol w:w="1058"/>
        <w:gridCol w:w="880"/>
        <w:gridCol w:w="1020"/>
        <w:gridCol w:w="1556"/>
        <w:gridCol w:w="1020"/>
        <w:gridCol w:w="921"/>
      </w:tblGrid>
      <w:tr w14:paraId="44E8C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60" w:type="dxa"/>
            <w:tcBorders>
              <w:top w:val="single" w:color="auto" w:sz="12" w:space="0"/>
              <w:bottom w:val="double" w:color="auto" w:sz="6" w:space="0"/>
            </w:tcBorders>
            <w:noWrap w:val="0"/>
            <w:vAlign w:val="center"/>
          </w:tcPr>
          <w:p w14:paraId="5D3479D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365" w:type="dxa"/>
            <w:tcBorders>
              <w:top w:val="single" w:color="auto" w:sz="12" w:space="0"/>
              <w:bottom w:val="double" w:color="auto" w:sz="6" w:space="0"/>
            </w:tcBorders>
            <w:noWrap w:val="0"/>
            <w:vAlign w:val="center"/>
          </w:tcPr>
          <w:p w14:paraId="5E7AB68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机械或设备名称</w:t>
            </w:r>
          </w:p>
        </w:tc>
        <w:tc>
          <w:tcPr>
            <w:tcW w:w="1482" w:type="dxa"/>
            <w:tcBorders>
              <w:top w:val="single" w:color="auto" w:sz="12" w:space="0"/>
              <w:bottom w:val="double" w:color="auto" w:sz="6" w:space="0"/>
            </w:tcBorders>
            <w:noWrap w:val="0"/>
            <w:vAlign w:val="center"/>
          </w:tcPr>
          <w:p w14:paraId="4D4A5A9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规格型号</w:t>
            </w:r>
          </w:p>
        </w:tc>
        <w:tc>
          <w:tcPr>
            <w:tcW w:w="1058" w:type="dxa"/>
            <w:tcBorders>
              <w:top w:val="single" w:color="auto" w:sz="12" w:space="0"/>
              <w:bottom w:val="double" w:color="auto" w:sz="6" w:space="0"/>
            </w:tcBorders>
            <w:noWrap w:val="0"/>
            <w:vAlign w:val="center"/>
          </w:tcPr>
          <w:p w14:paraId="01CF5C0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880" w:type="dxa"/>
            <w:tcBorders>
              <w:top w:val="single" w:color="auto" w:sz="12" w:space="0"/>
              <w:bottom w:val="double" w:color="auto" w:sz="6" w:space="0"/>
            </w:tcBorders>
            <w:noWrap w:val="0"/>
            <w:vAlign w:val="center"/>
          </w:tcPr>
          <w:p w14:paraId="5DF85E0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产地</w:t>
            </w:r>
          </w:p>
        </w:tc>
        <w:tc>
          <w:tcPr>
            <w:tcW w:w="1020" w:type="dxa"/>
            <w:tcBorders>
              <w:top w:val="single" w:color="auto" w:sz="12" w:space="0"/>
              <w:bottom w:val="double" w:color="auto" w:sz="6" w:space="0"/>
            </w:tcBorders>
            <w:noWrap w:val="0"/>
            <w:vAlign w:val="center"/>
          </w:tcPr>
          <w:p w14:paraId="3F7E93D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制造年份</w:t>
            </w:r>
          </w:p>
        </w:tc>
        <w:tc>
          <w:tcPr>
            <w:tcW w:w="1556" w:type="dxa"/>
            <w:tcBorders>
              <w:top w:val="single" w:color="auto" w:sz="12" w:space="0"/>
              <w:bottom w:val="double" w:color="auto" w:sz="6" w:space="0"/>
            </w:tcBorders>
            <w:noWrap w:val="0"/>
            <w:vAlign w:val="center"/>
          </w:tcPr>
          <w:p w14:paraId="3880E28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额定功率(kW)</w:t>
            </w:r>
          </w:p>
        </w:tc>
        <w:tc>
          <w:tcPr>
            <w:tcW w:w="1020" w:type="dxa"/>
            <w:tcBorders>
              <w:top w:val="single" w:color="auto" w:sz="12" w:space="0"/>
              <w:bottom w:val="double" w:color="auto" w:sz="6" w:space="0"/>
            </w:tcBorders>
            <w:noWrap w:val="0"/>
            <w:vAlign w:val="center"/>
          </w:tcPr>
          <w:p w14:paraId="5B3C2FE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生产能力</w:t>
            </w:r>
          </w:p>
        </w:tc>
        <w:tc>
          <w:tcPr>
            <w:tcW w:w="921" w:type="dxa"/>
            <w:tcBorders>
              <w:top w:val="single" w:color="auto" w:sz="12" w:space="0"/>
              <w:bottom w:val="double" w:color="auto" w:sz="6" w:space="0"/>
            </w:tcBorders>
            <w:noWrap w:val="0"/>
            <w:vAlign w:val="center"/>
          </w:tcPr>
          <w:p w14:paraId="0D29972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4427E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tcBorders>
              <w:top w:val="double" w:color="auto" w:sz="6" w:space="0"/>
              <w:bottom w:val="single" w:color="auto" w:sz="6" w:space="0"/>
            </w:tcBorders>
            <w:noWrap w:val="0"/>
            <w:vAlign w:val="center"/>
          </w:tcPr>
          <w:p w14:paraId="4DFBEE04">
            <w:pPr>
              <w:spacing w:line="360" w:lineRule="auto"/>
              <w:jc w:val="center"/>
              <w:rPr>
                <w:rFonts w:hint="eastAsia" w:ascii="宋体" w:hAnsi="宋体" w:eastAsia="宋体" w:cs="宋体"/>
                <w:color w:val="auto"/>
                <w:sz w:val="21"/>
                <w:szCs w:val="21"/>
                <w:highlight w:val="none"/>
              </w:rPr>
            </w:pPr>
          </w:p>
        </w:tc>
        <w:tc>
          <w:tcPr>
            <w:tcW w:w="1365" w:type="dxa"/>
            <w:tcBorders>
              <w:top w:val="double" w:color="auto" w:sz="6" w:space="0"/>
              <w:bottom w:val="single" w:color="auto" w:sz="6" w:space="0"/>
            </w:tcBorders>
            <w:noWrap w:val="0"/>
            <w:vAlign w:val="center"/>
          </w:tcPr>
          <w:p w14:paraId="5BDC2866">
            <w:pPr>
              <w:spacing w:line="440" w:lineRule="exact"/>
              <w:jc w:val="center"/>
              <w:rPr>
                <w:rFonts w:hint="eastAsia" w:ascii="宋体" w:hAnsi="宋体" w:eastAsia="宋体" w:cs="宋体"/>
                <w:color w:val="auto"/>
                <w:sz w:val="21"/>
                <w:szCs w:val="21"/>
                <w:highlight w:val="none"/>
              </w:rPr>
            </w:pPr>
          </w:p>
        </w:tc>
        <w:tc>
          <w:tcPr>
            <w:tcW w:w="1482" w:type="dxa"/>
            <w:tcBorders>
              <w:top w:val="double" w:color="auto" w:sz="6" w:space="0"/>
              <w:bottom w:val="single" w:color="auto" w:sz="6" w:space="0"/>
            </w:tcBorders>
            <w:noWrap w:val="0"/>
            <w:vAlign w:val="center"/>
          </w:tcPr>
          <w:p w14:paraId="2797C7D1">
            <w:pPr>
              <w:spacing w:line="440" w:lineRule="exact"/>
              <w:jc w:val="center"/>
              <w:rPr>
                <w:rFonts w:hint="eastAsia" w:ascii="宋体" w:hAnsi="宋体" w:eastAsia="宋体" w:cs="宋体"/>
                <w:color w:val="auto"/>
                <w:sz w:val="21"/>
                <w:szCs w:val="21"/>
                <w:highlight w:val="none"/>
              </w:rPr>
            </w:pPr>
          </w:p>
        </w:tc>
        <w:tc>
          <w:tcPr>
            <w:tcW w:w="1058" w:type="dxa"/>
            <w:tcBorders>
              <w:top w:val="double" w:color="auto" w:sz="6" w:space="0"/>
              <w:bottom w:val="single" w:color="auto" w:sz="6" w:space="0"/>
            </w:tcBorders>
            <w:noWrap w:val="0"/>
            <w:vAlign w:val="center"/>
          </w:tcPr>
          <w:p w14:paraId="0AC2DF2A">
            <w:pPr>
              <w:spacing w:line="440" w:lineRule="exact"/>
              <w:jc w:val="center"/>
              <w:rPr>
                <w:rFonts w:hint="eastAsia" w:ascii="宋体" w:hAnsi="宋体" w:eastAsia="宋体" w:cs="宋体"/>
                <w:color w:val="auto"/>
                <w:sz w:val="21"/>
                <w:szCs w:val="21"/>
                <w:highlight w:val="none"/>
              </w:rPr>
            </w:pPr>
          </w:p>
        </w:tc>
        <w:tc>
          <w:tcPr>
            <w:tcW w:w="880" w:type="dxa"/>
            <w:tcBorders>
              <w:top w:val="double" w:color="auto" w:sz="6" w:space="0"/>
              <w:bottom w:val="single" w:color="auto" w:sz="6" w:space="0"/>
            </w:tcBorders>
            <w:noWrap w:val="0"/>
            <w:vAlign w:val="center"/>
          </w:tcPr>
          <w:p w14:paraId="3993BEEA">
            <w:pPr>
              <w:spacing w:line="440" w:lineRule="exact"/>
              <w:jc w:val="center"/>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noWrap w:val="0"/>
            <w:vAlign w:val="center"/>
          </w:tcPr>
          <w:p w14:paraId="6FF37E9E">
            <w:pPr>
              <w:spacing w:line="440" w:lineRule="exact"/>
              <w:jc w:val="center"/>
              <w:rPr>
                <w:rFonts w:hint="eastAsia" w:ascii="宋体" w:hAnsi="宋体" w:eastAsia="宋体" w:cs="宋体"/>
                <w:color w:val="auto"/>
                <w:sz w:val="21"/>
                <w:szCs w:val="21"/>
                <w:highlight w:val="none"/>
              </w:rPr>
            </w:pPr>
          </w:p>
        </w:tc>
        <w:tc>
          <w:tcPr>
            <w:tcW w:w="1556" w:type="dxa"/>
            <w:tcBorders>
              <w:top w:val="double" w:color="auto" w:sz="6" w:space="0"/>
              <w:bottom w:val="single" w:color="auto" w:sz="6" w:space="0"/>
            </w:tcBorders>
            <w:noWrap w:val="0"/>
            <w:vAlign w:val="center"/>
          </w:tcPr>
          <w:p w14:paraId="4927713A">
            <w:pPr>
              <w:spacing w:line="440" w:lineRule="exact"/>
              <w:jc w:val="center"/>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noWrap w:val="0"/>
            <w:vAlign w:val="center"/>
          </w:tcPr>
          <w:p w14:paraId="039020C6">
            <w:pPr>
              <w:spacing w:line="360" w:lineRule="auto"/>
              <w:jc w:val="center"/>
              <w:rPr>
                <w:rFonts w:hint="eastAsia" w:ascii="宋体" w:hAnsi="宋体" w:eastAsia="宋体" w:cs="宋体"/>
                <w:color w:val="auto"/>
                <w:sz w:val="21"/>
                <w:szCs w:val="21"/>
                <w:highlight w:val="none"/>
              </w:rPr>
            </w:pPr>
          </w:p>
        </w:tc>
        <w:tc>
          <w:tcPr>
            <w:tcW w:w="921" w:type="dxa"/>
            <w:tcBorders>
              <w:top w:val="double" w:color="auto" w:sz="6" w:space="0"/>
              <w:bottom w:val="single" w:color="auto" w:sz="6" w:space="0"/>
            </w:tcBorders>
            <w:noWrap w:val="0"/>
            <w:vAlign w:val="center"/>
          </w:tcPr>
          <w:p w14:paraId="5BD034AA">
            <w:pPr>
              <w:keepNext/>
              <w:widowControl/>
              <w:spacing w:before="100" w:beforeAutospacing="1" w:afterAutospacing="1" w:line="440" w:lineRule="exact"/>
              <w:ind w:left="63" w:right="63"/>
              <w:jc w:val="left"/>
              <w:rPr>
                <w:rFonts w:hint="eastAsia" w:ascii="宋体" w:hAnsi="宋体" w:eastAsia="宋体" w:cs="宋体"/>
                <w:color w:val="auto"/>
                <w:kern w:val="0"/>
                <w:sz w:val="21"/>
                <w:szCs w:val="21"/>
                <w:highlight w:val="none"/>
              </w:rPr>
            </w:pPr>
          </w:p>
        </w:tc>
      </w:tr>
      <w:tr w14:paraId="5899F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tcBorders>
              <w:top w:val="nil"/>
            </w:tcBorders>
            <w:noWrap w:val="0"/>
            <w:vAlign w:val="center"/>
          </w:tcPr>
          <w:p w14:paraId="104FE38A">
            <w:pPr>
              <w:spacing w:line="360" w:lineRule="auto"/>
              <w:jc w:val="center"/>
              <w:rPr>
                <w:rFonts w:hint="eastAsia" w:ascii="宋体" w:hAnsi="宋体" w:eastAsia="宋体" w:cs="宋体"/>
                <w:color w:val="auto"/>
                <w:sz w:val="21"/>
                <w:szCs w:val="21"/>
                <w:highlight w:val="none"/>
              </w:rPr>
            </w:pPr>
          </w:p>
        </w:tc>
        <w:tc>
          <w:tcPr>
            <w:tcW w:w="1365" w:type="dxa"/>
            <w:tcBorders>
              <w:top w:val="nil"/>
            </w:tcBorders>
            <w:noWrap w:val="0"/>
            <w:vAlign w:val="center"/>
          </w:tcPr>
          <w:p w14:paraId="2CD5400C">
            <w:pPr>
              <w:spacing w:line="440" w:lineRule="exact"/>
              <w:rPr>
                <w:rFonts w:hint="eastAsia" w:ascii="宋体" w:hAnsi="宋体" w:eastAsia="宋体" w:cs="宋体"/>
                <w:color w:val="auto"/>
                <w:sz w:val="21"/>
                <w:szCs w:val="21"/>
                <w:highlight w:val="none"/>
              </w:rPr>
            </w:pPr>
          </w:p>
        </w:tc>
        <w:tc>
          <w:tcPr>
            <w:tcW w:w="1482" w:type="dxa"/>
            <w:tcBorders>
              <w:top w:val="nil"/>
            </w:tcBorders>
            <w:noWrap w:val="0"/>
            <w:vAlign w:val="center"/>
          </w:tcPr>
          <w:p w14:paraId="44EE638E">
            <w:pPr>
              <w:spacing w:line="440" w:lineRule="exact"/>
              <w:jc w:val="center"/>
              <w:rPr>
                <w:rFonts w:hint="eastAsia" w:ascii="宋体" w:hAnsi="宋体" w:eastAsia="宋体" w:cs="宋体"/>
                <w:color w:val="auto"/>
                <w:sz w:val="21"/>
                <w:szCs w:val="21"/>
                <w:highlight w:val="none"/>
              </w:rPr>
            </w:pPr>
          </w:p>
        </w:tc>
        <w:tc>
          <w:tcPr>
            <w:tcW w:w="1058" w:type="dxa"/>
            <w:tcBorders>
              <w:top w:val="nil"/>
            </w:tcBorders>
            <w:noWrap w:val="0"/>
            <w:vAlign w:val="center"/>
          </w:tcPr>
          <w:p w14:paraId="292E68F6">
            <w:pPr>
              <w:spacing w:line="440" w:lineRule="exact"/>
              <w:jc w:val="center"/>
              <w:rPr>
                <w:rFonts w:hint="eastAsia" w:ascii="宋体" w:hAnsi="宋体" w:eastAsia="宋体" w:cs="宋体"/>
                <w:color w:val="auto"/>
                <w:sz w:val="21"/>
                <w:szCs w:val="21"/>
                <w:highlight w:val="none"/>
              </w:rPr>
            </w:pPr>
          </w:p>
        </w:tc>
        <w:tc>
          <w:tcPr>
            <w:tcW w:w="880" w:type="dxa"/>
            <w:tcBorders>
              <w:top w:val="nil"/>
            </w:tcBorders>
            <w:noWrap w:val="0"/>
            <w:vAlign w:val="center"/>
          </w:tcPr>
          <w:p w14:paraId="4C9124E2">
            <w:pPr>
              <w:spacing w:line="440" w:lineRule="exact"/>
              <w:jc w:val="center"/>
              <w:rPr>
                <w:rFonts w:hint="eastAsia" w:ascii="宋体" w:hAnsi="宋体" w:eastAsia="宋体" w:cs="宋体"/>
                <w:color w:val="auto"/>
                <w:sz w:val="21"/>
                <w:szCs w:val="21"/>
                <w:highlight w:val="none"/>
              </w:rPr>
            </w:pPr>
          </w:p>
        </w:tc>
        <w:tc>
          <w:tcPr>
            <w:tcW w:w="1020" w:type="dxa"/>
            <w:tcBorders>
              <w:top w:val="nil"/>
            </w:tcBorders>
            <w:noWrap w:val="0"/>
            <w:vAlign w:val="center"/>
          </w:tcPr>
          <w:p w14:paraId="51B6AF4A">
            <w:pPr>
              <w:spacing w:line="440" w:lineRule="exact"/>
              <w:jc w:val="center"/>
              <w:rPr>
                <w:rFonts w:hint="eastAsia" w:ascii="宋体" w:hAnsi="宋体" w:eastAsia="宋体" w:cs="宋体"/>
                <w:color w:val="auto"/>
                <w:sz w:val="21"/>
                <w:szCs w:val="21"/>
                <w:highlight w:val="none"/>
              </w:rPr>
            </w:pPr>
          </w:p>
        </w:tc>
        <w:tc>
          <w:tcPr>
            <w:tcW w:w="1556" w:type="dxa"/>
            <w:tcBorders>
              <w:top w:val="nil"/>
            </w:tcBorders>
            <w:noWrap w:val="0"/>
            <w:vAlign w:val="center"/>
          </w:tcPr>
          <w:p w14:paraId="5EBB2EE8">
            <w:pPr>
              <w:spacing w:line="440" w:lineRule="exact"/>
              <w:jc w:val="center"/>
              <w:rPr>
                <w:rFonts w:hint="eastAsia" w:ascii="宋体" w:hAnsi="宋体" w:eastAsia="宋体" w:cs="宋体"/>
                <w:color w:val="auto"/>
                <w:sz w:val="21"/>
                <w:szCs w:val="21"/>
                <w:highlight w:val="none"/>
              </w:rPr>
            </w:pPr>
          </w:p>
        </w:tc>
        <w:tc>
          <w:tcPr>
            <w:tcW w:w="1020" w:type="dxa"/>
            <w:tcBorders>
              <w:top w:val="nil"/>
            </w:tcBorders>
            <w:noWrap w:val="0"/>
            <w:vAlign w:val="center"/>
          </w:tcPr>
          <w:p w14:paraId="03A3C76B">
            <w:pPr>
              <w:spacing w:line="360" w:lineRule="auto"/>
              <w:jc w:val="center"/>
              <w:rPr>
                <w:rFonts w:hint="eastAsia" w:ascii="宋体" w:hAnsi="宋体" w:eastAsia="宋体" w:cs="宋体"/>
                <w:color w:val="auto"/>
                <w:sz w:val="21"/>
                <w:szCs w:val="21"/>
                <w:highlight w:val="none"/>
              </w:rPr>
            </w:pPr>
          </w:p>
        </w:tc>
        <w:tc>
          <w:tcPr>
            <w:tcW w:w="921" w:type="dxa"/>
            <w:tcBorders>
              <w:top w:val="nil"/>
            </w:tcBorders>
            <w:noWrap w:val="0"/>
            <w:vAlign w:val="center"/>
          </w:tcPr>
          <w:p w14:paraId="1A63AED4">
            <w:pPr>
              <w:keepNext/>
              <w:widowControl/>
              <w:spacing w:before="100" w:beforeAutospacing="1" w:afterAutospacing="1" w:line="440" w:lineRule="exact"/>
              <w:ind w:left="63" w:right="63"/>
              <w:jc w:val="left"/>
              <w:rPr>
                <w:rFonts w:hint="eastAsia" w:ascii="宋体" w:hAnsi="宋体" w:eastAsia="宋体" w:cs="宋体"/>
                <w:color w:val="auto"/>
                <w:kern w:val="0"/>
                <w:sz w:val="21"/>
                <w:szCs w:val="21"/>
                <w:highlight w:val="none"/>
              </w:rPr>
            </w:pPr>
          </w:p>
        </w:tc>
      </w:tr>
      <w:tr w14:paraId="3691F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6C453DDB">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79CB414D">
            <w:pPr>
              <w:spacing w:line="440" w:lineRule="exact"/>
              <w:jc w:val="center"/>
              <w:rPr>
                <w:rFonts w:hint="eastAsia" w:ascii="宋体" w:hAnsi="宋体" w:eastAsia="宋体" w:cs="宋体"/>
                <w:color w:val="auto"/>
                <w:sz w:val="21"/>
                <w:szCs w:val="21"/>
                <w:highlight w:val="none"/>
              </w:rPr>
            </w:pPr>
          </w:p>
        </w:tc>
        <w:tc>
          <w:tcPr>
            <w:tcW w:w="1482" w:type="dxa"/>
            <w:noWrap w:val="0"/>
            <w:vAlign w:val="center"/>
          </w:tcPr>
          <w:p w14:paraId="7F5F867E">
            <w:pPr>
              <w:spacing w:line="440" w:lineRule="exact"/>
              <w:jc w:val="center"/>
              <w:rPr>
                <w:rFonts w:hint="eastAsia" w:ascii="宋体" w:hAnsi="宋体" w:eastAsia="宋体" w:cs="宋体"/>
                <w:color w:val="auto"/>
                <w:sz w:val="21"/>
                <w:szCs w:val="21"/>
                <w:highlight w:val="none"/>
              </w:rPr>
            </w:pPr>
          </w:p>
        </w:tc>
        <w:tc>
          <w:tcPr>
            <w:tcW w:w="1058" w:type="dxa"/>
            <w:noWrap w:val="0"/>
            <w:vAlign w:val="center"/>
          </w:tcPr>
          <w:p w14:paraId="75310AD8">
            <w:pPr>
              <w:spacing w:line="440" w:lineRule="exact"/>
              <w:jc w:val="center"/>
              <w:rPr>
                <w:rFonts w:hint="eastAsia" w:ascii="宋体" w:hAnsi="宋体" w:eastAsia="宋体" w:cs="宋体"/>
                <w:color w:val="auto"/>
                <w:sz w:val="21"/>
                <w:szCs w:val="21"/>
                <w:highlight w:val="none"/>
              </w:rPr>
            </w:pPr>
          </w:p>
        </w:tc>
        <w:tc>
          <w:tcPr>
            <w:tcW w:w="880" w:type="dxa"/>
            <w:noWrap w:val="0"/>
            <w:vAlign w:val="center"/>
          </w:tcPr>
          <w:p w14:paraId="4AE05708">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291E28B4">
            <w:pPr>
              <w:spacing w:line="440" w:lineRule="exact"/>
              <w:rPr>
                <w:rFonts w:hint="eastAsia" w:ascii="宋体" w:hAnsi="宋体" w:eastAsia="宋体" w:cs="宋体"/>
                <w:color w:val="auto"/>
                <w:sz w:val="21"/>
                <w:szCs w:val="21"/>
                <w:highlight w:val="none"/>
              </w:rPr>
            </w:pPr>
          </w:p>
        </w:tc>
        <w:tc>
          <w:tcPr>
            <w:tcW w:w="1556" w:type="dxa"/>
            <w:noWrap w:val="0"/>
            <w:vAlign w:val="center"/>
          </w:tcPr>
          <w:p w14:paraId="41C411DC">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34044CB0">
            <w:pPr>
              <w:spacing w:line="360" w:lineRule="auto"/>
              <w:jc w:val="center"/>
              <w:rPr>
                <w:rFonts w:hint="eastAsia" w:ascii="宋体" w:hAnsi="宋体" w:eastAsia="宋体" w:cs="宋体"/>
                <w:color w:val="auto"/>
                <w:sz w:val="21"/>
                <w:szCs w:val="21"/>
                <w:highlight w:val="none"/>
              </w:rPr>
            </w:pPr>
          </w:p>
        </w:tc>
        <w:tc>
          <w:tcPr>
            <w:tcW w:w="921" w:type="dxa"/>
            <w:noWrap w:val="0"/>
            <w:vAlign w:val="center"/>
          </w:tcPr>
          <w:p w14:paraId="47A05EB1">
            <w:pPr>
              <w:keepNext/>
              <w:widowControl/>
              <w:spacing w:before="100" w:beforeAutospacing="1" w:afterAutospacing="1" w:line="440" w:lineRule="exact"/>
              <w:ind w:left="63" w:right="63"/>
              <w:jc w:val="left"/>
              <w:rPr>
                <w:rFonts w:hint="eastAsia" w:ascii="宋体" w:hAnsi="宋体" w:eastAsia="宋体" w:cs="宋体"/>
                <w:color w:val="auto"/>
                <w:kern w:val="0"/>
                <w:sz w:val="21"/>
                <w:szCs w:val="21"/>
                <w:highlight w:val="none"/>
              </w:rPr>
            </w:pPr>
          </w:p>
        </w:tc>
      </w:tr>
      <w:tr w14:paraId="21BBC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5FAFB4F2">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179569CB">
            <w:pPr>
              <w:spacing w:line="440" w:lineRule="exact"/>
              <w:jc w:val="center"/>
              <w:rPr>
                <w:rFonts w:hint="eastAsia" w:ascii="宋体" w:hAnsi="宋体" w:eastAsia="宋体" w:cs="宋体"/>
                <w:color w:val="auto"/>
                <w:sz w:val="21"/>
                <w:szCs w:val="21"/>
                <w:highlight w:val="none"/>
              </w:rPr>
            </w:pPr>
          </w:p>
        </w:tc>
        <w:tc>
          <w:tcPr>
            <w:tcW w:w="1482" w:type="dxa"/>
            <w:noWrap w:val="0"/>
            <w:vAlign w:val="center"/>
          </w:tcPr>
          <w:p w14:paraId="3C8F6E0B">
            <w:pPr>
              <w:spacing w:line="440" w:lineRule="exact"/>
              <w:jc w:val="center"/>
              <w:rPr>
                <w:rFonts w:hint="eastAsia" w:ascii="宋体" w:hAnsi="宋体" w:eastAsia="宋体" w:cs="宋体"/>
                <w:color w:val="auto"/>
                <w:sz w:val="21"/>
                <w:szCs w:val="21"/>
                <w:highlight w:val="none"/>
              </w:rPr>
            </w:pPr>
          </w:p>
        </w:tc>
        <w:tc>
          <w:tcPr>
            <w:tcW w:w="1058" w:type="dxa"/>
            <w:noWrap w:val="0"/>
            <w:vAlign w:val="center"/>
          </w:tcPr>
          <w:p w14:paraId="288B203B">
            <w:pPr>
              <w:spacing w:line="440" w:lineRule="exact"/>
              <w:jc w:val="center"/>
              <w:rPr>
                <w:rFonts w:hint="eastAsia" w:ascii="宋体" w:hAnsi="宋体" w:eastAsia="宋体" w:cs="宋体"/>
                <w:color w:val="auto"/>
                <w:sz w:val="21"/>
                <w:szCs w:val="21"/>
                <w:highlight w:val="none"/>
              </w:rPr>
            </w:pPr>
          </w:p>
        </w:tc>
        <w:tc>
          <w:tcPr>
            <w:tcW w:w="880" w:type="dxa"/>
            <w:noWrap w:val="0"/>
            <w:vAlign w:val="center"/>
          </w:tcPr>
          <w:p w14:paraId="62D4B9B4">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0A9D80FB">
            <w:pPr>
              <w:spacing w:line="440" w:lineRule="exact"/>
              <w:jc w:val="center"/>
              <w:rPr>
                <w:rFonts w:hint="eastAsia" w:ascii="宋体" w:hAnsi="宋体" w:eastAsia="宋体" w:cs="宋体"/>
                <w:color w:val="auto"/>
                <w:sz w:val="21"/>
                <w:szCs w:val="21"/>
                <w:highlight w:val="none"/>
              </w:rPr>
            </w:pPr>
          </w:p>
        </w:tc>
        <w:tc>
          <w:tcPr>
            <w:tcW w:w="1556" w:type="dxa"/>
            <w:noWrap w:val="0"/>
            <w:vAlign w:val="center"/>
          </w:tcPr>
          <w:p w14:paraId="416658E2">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280637BC">
            <w:pPr>
              <w:spacing w:line="360" w:lineRule="auto"/>
              <w:jc w:val="center"/>
              <w:rPr>
                <w:rFonts w:hint="eastAsia" w:ascii="宋体" w:hAnsi="宋体" w:eastAsia="宋体" w:cs="宋体"/>
                <w:color w:val="auto"/>
                <w:sz w:val="21"/>
                <w:szCs w:val="21"/>
                <w:highlight w:val="none"/>
              </w:rPr>
            </w:pPr>
          </w:p>
        </w:tc>
        <w:tc>
          <w:tcPr>
            <w:tcW w:w="921" w:type="dxa"/>
            <w:noWrap w:val="0"/>
            <w:vAlign w:val="center"/>
          </w:tcPr>
          <w:p w14:paraId="2F000E19">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0964B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57E5CAA4">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52C421B4">
            <w:pPr>
              <w:spacing w:line="440" w:lineRule="exact"/>
              <w:jc w:val="center"/>
              <w:rPr>
                <w:rFonts w:hint="eastAsia" w:ascii="宋体" w:hAnsi="宋体" w:eastAsia="宋体" w:cs="宋体"/>
                <w:color w:val="auto"/>
                <w:sz w:val="21"/>
                <w:szCs w:val="21"/>
                <w:highlight w:val="none"/>
              </w:rPr>
            </w:pPr>
          </w:p>
        </w:tc>
        <w:tc>
          <w:tcPr>
            <w:tcW w:w="1482" w:type="dxa"/>
            <w:noWrap w:val="0"/>
            <w:vAlign w:val="center"/>
          </w:tcPr>
          <w:p w14:paraId="7AD2BA9E">
            <w:pPr>
              <w:spacing w:line="440" w:lineRule="exact"/>
              <w:jc w:val="center"/>
              <w:rPr>
                <w:rFonts w:hint="eastAsia" w:ascii="宋体" w:hAnsi="宋体" w:eastAsia="宋体" w:cs="宋体"/>
                <w:color w:val="auto"/>
                <w:sz w:val="21"/>
                <w:szCs w:val="21"/>
                <w:highlight w:val="none"/>
              </w:rPr>
            </w:pPr>
          </w:p>
        </w:tc>
        <w:tc>
          <w:tcPr>
            <w:tcW w:w="1058" w:type="dxa"/>
            <w:noWrap w:val="0"/>
            <w:vAlign w:val="center"/>
          </w:tcPr>
          <w:p w14:paraId="067B1E3E">
            <w:pPr>
              <w:spacing w:line="440" w:lineRule="exact"/>
              <w:jc w:val="center"/>
              <w:rPr>
                <w:rFonts w:hint="eastAsia" w:ascii="宋体" w:hAnsi="宋体" w:eastAsia="宋体" w:cs="宋体"/>
                <w:color w:val="auto"/>
                <w:sz w:val="21"/>
                <w:szCs w:val="21"/>
                <w:highlight w:val="none"/>
              </w:rPr>
            </w:pPr>
          </w:p>
        </w:tc>
        <w:tc>
          <w:tcPr>
            <w:tcW w:w="880" w:type="dxa"/>
            <w:noWrap w:val="0"/>
            <w:vAlign w:val="center"/>
          </w:tcPr>
          <w:p w14:paraId="56165AA0">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00BDE006">
            <w:pPr>
              <w:spacing w:line="440" w:lineRule="exact"/>
              <w:jc w:val="center"/>
              <w:rPr>
                <w:rFonts w:hint="eastAsia" w:ascii="宋体" w:hAnsi="宋体" w:eastAsia="宋体" w:cs="宋体"/>
                <w:color w:val="auto"/>
                <w:sz w:val="21"/>
                <w:szCs w:val="21"/>
                <w:highlight w:val="none"/>
              </w:rPr>
            </w:pPr>
          </w:p>
        </w:tc>
        <w:tc>
          <w:tcPr>
            <w:tcW w:w="1556" w:type="dxa"/>
            <w:noWrap w:val="0"/>
            <w:vAlign w:val="center"/>
          </w:tcPr>
          <w:p w14:paraId="3B2C6F90">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3B409AE7">
            <w:pPr>
              <w:spacing w:line="360" w:lineRule="auto"/>
              <w:jc w:val="center"/>
              <w:rPr>
                <w:rFonts w:hint="eastAsia" w:ascii="宋体" w:hAnsi="宋体" w:eastAsia="宋体" w:cs="宋体"/>
                <w:color w:val="auto"/>
                <w:sz w:val="21"/>
                <w:szCs w:val="21"/>
                <w:highlight w:val="none"/>
              </w:rPr>
            </w:pPr>
          </w:p>
        </w:tc>
        <w:tc>
          <w:tcPr>
            <w:tcW w:w="921" w:type="dxa"/>
            <w:noWrap w:val="0"/>
            <w:vAlign w:val="center"/>
          </w:tcPr>
          <w:p w14:paraId="68F92C32">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3726E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5D640AF1">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778F70FE">
            <w:pPr>
              <w:spacing w:line="440" w:lineRule="exact"/>
              <w:jc w:val="center"/>
              <w:rPr>
                <w:rFonts w:hint="eastAsia" w:ascii="宋体" w:hAnsi="宋体" w:eastAsia="宋体" w:cs="宋体"/>
                <w:color w:val="auto"/>
                <w:sz w:val="21"/>
                <w:szCs w:val="21"/>
                <w:highlight w:val="none"/>
              </w:rPr>
            </w:pPr>
          </w:p>
        </w:tc>
        <w:tc>
          <w:tcPr>
            <w:tcW w:w="1482" w:type="dxa"/>
            <w:noWrap w:val="0"/>
            <w:vAlign w:val="center"/>
          </w:tcPr>
          <w:p w14:paraId="069CC901">
            <w:pPr>
              <w:spacing w:line="440" w:lineRule="exact"/>
              <w:jc w:val="center"/>
              <w:rPr>
                <w:rFonts w:hint="eastAsia" w:ascii="宋体" w:hAnsi="宋体" w:eastAsia="宋体" w:cs="宋体"/>
                <w:color w:val="auto"/>
                <w:sz w:val="21"/>
                <w:szCs w:val="21"/>
                <w:highlight w:val="none"/>
              </w:rPr>
            </w:pPr>
          </w:p>
        </w:tc>
        <w:tc>
          <w:tcPr>
            <w:tcW w:w="1058" w:type="dxa"/>
            <w:noWrap w:val="0"/>
            <w:vAlign w:val="center"/>
          </w:tcPr>
          <w:p w14:paraId="37858F7B">
            <w:pPr>
              <w:spacing w:line="440" w:lineRule="exact"/>
              <w:jc w:val="center"/>
              <w:rPr>
                <w:rFonts w:hint="eastAsia" w:ascii="宋体" w:hAnsi="宋体" w:eastAsia="宋体" w:cs="宋体"/>
                <w:color w:val="auto"/>
                <w:sz w:val="21"/>
                <w:szCs w:val="21"/>
                <w:highlight w:val="none"/>
              </w:rPr>
            </w:pPr>
          </w:p>
        </w:tc>
        <w:tc>
          <w:tcPr>
            <w:tcW w:w="880" w:type="dxa"/>
            <w:noWrap w:val="0"/>
            <w:vAlign w:val="center"/>
          </w:tcPr>
          <w:p w14:paraId="689F1A99">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4288FED8">
            <w:pPr>
              <w:spacing w:line="440" w:lineRule="exact"/>
              <w:jc w:val="center"/>
              <w:rPr>
                <w:rFonts w:hint="eastAsia" w:ascii="宋体" w:hAnsi="宋体" w:eastAsia="宋体" w:cs="宋体"/>
                <w:color w:val="auto"/>
                <w:sz w:val="21"/>
                <w:szCs w:val="21"/>
                <w:highlight w:val="none"/>
              </w:rPr>
            </w:pPr>
          </w:p>
        </w:tc>
        <w:tc>
          <w:tcPr>
            <w:tcW w:w="1556" w:type="dxa"/>
            <w:noWrap w:val="0"/>
            <w:vAlign w:val="center"/>
          </w:tcPr>
          <w:p w14:paraId="0F3ECB21">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4152B3AB">
            <w:pPr>
              <w:spacing w:line="360" w:lineRule="auto"/>
              <w:jc w:val="center"/>
              <w:rPr>
                <w:rFonts w:hint="eastAsia" w:ascii="宋体" w:hAnsi="宋体" w:eastAsia="宋体" w:cs="宋体"/>
                <w:color w:val="auto"/>
                <w:sz w:val="21"/>
                <w:szCs w:val="21"/>
                <w:highlight w:val="none"/>
              </w:rPr>
            </w:pPr>
          </w:p>
        </w:tc>
        <w:tc>
          <w:tcPr>
            <w:tcW w:w="921" w:type="dxa"/>
            <w:noWrap w:val="0"/>
            <w:vAlign w:val="center"/>
          </w:tcPr>
          <w:p w14:paraId="6CD306B9">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8AD3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18AA4812">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2F2D45FA">
            <w:pPr>
              <w:spacing w:line="440" w:lineRule="exact"/>
              <w:jc w:val="center"/>
              <w:rPr>
                <w:rFonts w:hint="eastAsia" w:ascii="宋体" w:hAnsi="宋体" w:eastAsia="宋体" w:cs="宋体"/>
                <w:color w:val="auto"/>
                <w:sz w:val="21"/>
                <w:szCs w:val="21"/>
                <w:highlight w:val="none"/>
              </w:rPr>
            </w:pPr>
          </w:p>
        </w:tc>
        <w:tc>
          <w:tcPr>
            <w:tcW w:w="1482" w:type="dxa"/>
            <w:noWrap w:val="0"/>
            <w:vAlign w:val="center"/>
          </w:tcPr>
          <w:p w14:paraId="29B55459">
            <w:pPr>
              <w:spacing w:line="440" w:lineRule="exact"/>
              <w:jc w:val="center"/>
              <w:rPr>
                <w:rFonts w:hint="eastAsia" w:ascii="宋体" w:hAnsi="宋体" w:eastAsia="宋体" w:cs="宋体"/>
                <w:color w:val="auto"/>
                <w:sz w:val="21"/>
                <w:szCs w:val="21"/>
                <w:highlight w:val="none"/>
              </w:rPr>
            </w:pPr>
          </w:p>
        </w:tc>
        <w:tc>
          <w:tcPr>
            <w:tcW w:w="1058" w:type="dxa"/>
            <w:noWrap w:val="0"/>
            <w:vAlign w:val="center"/>
          </w:tcPr>
          <w:p w14:paraId="668E7D45">
            <w:pPr>
              <w:spacing w:line="440" w:lineRule="exact"/>
              <w:jc w:val="center"/>
              <w:rPr>
                <w:rFonts w:hint="eastAsia" w:ascii="宋体" w:hAnsi="宋体" w:eastAsia="宋体" w:cs="宋体"/>
                <w:color w:val="auto"/>
                <w:sz w:val="21"/>
                <w:szCs w:val="21"/>
                <w:highlight w:val="none"/>
              </w:rPr>
            </w:pPr>
          </w:p>
        </w:tc>
        <w:tc>
          <w:tcPr>
            <w:tcW w:w="880" w:type="dxa"/>
            <w:noWrap w:val="0"/>
            <w:vAlign w:val="center"/>
          </w:tcPr>
          <w:p w14:paraId="521C1ABE">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1D67431F">
            <w:pPr>
              <w:spacing w:line="440" w:lineRule="exact"/>
              <w:jc w:val="center"/>
              <w:rPr>
                <w:rFonts w:hint="eastAsia" w:ascii="宋体" w:hAnsi="宋体" w:eastAsia="宋体" w:cs="宋体"/>
                <w:color w:val="auto"/>
                <w:sz w:val="21"/>
                <w:szCs w:val="21"/>
                <w:highlight w:val="none"/>
              </w:rPr>
            </w:pPr>
          </w:p>
        </w:tc>
        <w:tc>
          <w:tcPr>
            <w:tcW w:w="1556" w:type="dxa"/>
            <w:noWrap w:val="0"/>
            <w:vAlign w:val="center"/>
          </w:tcPr>
          <w:p w14:paraId="5A9F7CC2">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75058748">
            <w:pPr>
              <w:spacing w:line="360" w:lineRule="auto"/>
              <w:jc w:val="center"/>
              <w:rPr>
                <w:rFonts w:hint="eastAsia" w:ascii="宋体" w:hAnsi="宋体" w:eastAsia="宋体" w:cs="宋体"/>
                <w:color w:val="auto"/>
                <w:sz w:val="21"/>
                <w:szCs w:val="21"/>
                <w:highlight w:val="none"/>
              </w:rPr>
            </w:pPr>
          </w:p>
        </w:tc>
        <w:tc>
          <w:tcPr>
            <w:tcW w:w="921" w:type="dxa"/>
            <w:noWrap w:val="0"/>
            <w:vAlign w:val="center"/>
          </w:tcPr>
          <w:p w14:paraId="543D6D73">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65D6C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59D164EE">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1F58356E">
            <w:pPr>
              <w:spacing w:line="440" w:lineRule="exact"/>
              <w:jc w:val="center"/>
              <w:rPr>
                <w:rFonts w:hint="eastAsia" w:ascii="宋体" w:hAnsi="宋体" w:eastAsia="宋体" w:cs="宋体"/>
                <w:color w:val="auto"/>
                <w:sz w:val="21"/>
                <w:szCs w:val="21"/>
                <w:highlight w:val="none"/>
              </w:rPr>
            </w:pPr>
          </w:p>
        </w:tc>
        <w:tc>
          <w:tcPr>
            <w:tcW w:w="1482" w:type="dxa"/>
            <w:noWrap w:val="0"/>
            <w:vAlign w:val="center"/>
          </w:tcPr>
          <w:p w14:paraId="2EA3F0D6">
            <w:pPr>
              <w:spacing w:line="440" w:lineRule="exact"/>
              <w:jc w:val="center"/>
              <w:rPr>
                <w:rFonts w:hint="eastAsia" w:ascii="宋体" w:hAnsi="宋体" w:eastAsia="宋体" w:cs="宋体"/>
                <w:color w:val="auto"/>
                <w:sz w:val="21"/>
                <w:szCs w:val="21"/>
                <w:highlight w:val="none"/>
              </w:rPr>
            </w:pPr>
          </w:p>
        </w:tc>
        <w:tc>
          <w:tcPr>
            <w:tcW w:w="1058" w:type="dxa"/>
            <w:noWrap w:val="0"/>
            <w:vAlign w:val="center"/>
          </w:tcPr>
          <w:p w14:paraId="05AC94CA">
            <w:pPr>
              <w:spacing w:line="440" w:lineRule="exact"/>
              <w:jc w:val="center"/>
              <w:rPr>
                <w:rFonts w:hint="eastAsia" w:ascii="宋体" w:hAnsi="宋体" w:eastAsia="宋体" w:cs="宋体"/>
                <w:color w:val="auto"/>
                <w:sz w:val="21"/>
                <w:szCs w:val="21"/>
                <w:highlight w:val="none"/>
              </w:rPr>
            </w:pPr>
          </w:p>
        </w:tc>
        <w:tc>
          <w:tcPr>
            <w:tcW w:w="880" w:type="dxa"/>
            <w:noWrap w:val="0"/>
            <w:vAlign w:val="center"/>
          </w:tcPr>
          <w:p w14:paraId="7FC64A5C">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41C874BD">
            <w:pPr>
              <w:spacing w:line="440" w:lineRule="exact"/>
              <w:jc w:val="center"/>
              <w:rPr>
                <w:rFonts w:hint="eastAsia" w:ascii="宋体" w:hAnsi="宋体" w:eastAsia="宋体" w:cs="宋体"/>
                <w:color w:val="auto"/>
                <w:sz w:val="21"/>
                <w:szCs w:val="21"/>
                <w:highlight w:val="none"/>
              </w:rPr>
            </w:pPr>
          </w:p>
        </w:tc>
        <w:tc>
          <w:tcPr>
            <w:tcW w:w="1556" w:type="dxa"/>
            <w:noWrap w:val="0"/>
            <w:vAlign w:val="center"/>
          </w:tcPr>
          <w:p w14:paraId="1C97D233">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2A0C8D3A">
            <w:pPr>
              <w:spacing w:line="360" w:lineRule="auto"/>
              <w:jc w:val="center"/>
              <w:rPr>
                <w:rFonts w:hint="eastAsia" w:ascii="宋体" w:hAnsi="宋体" w:eastAsia="宋体" w:cs="宋体"/>
                <w:color w:val="auto"/>
                <w:sz w:val="21"/>
                <w:szCs w:val="21"/>
                <w:highlight w:val="none"/>
              </w:rPr>
            </w:pPr>
          </w:p>
        </w:tc>
        <w:tc>
          <w:tcPr>
            <w:tcW w:w="921" w:type="dxa"/>
            <w:noWrap w:val="0"/>
            <w:vAlign w:val="center"/>
          </w:tcPr>
          <w:p w14:paraId="5A36BF8C">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2C194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34FD03FE">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53275C1E">
            <w:pPr>
              <w:spacing w:line="440" w:lineRule="exact"/>
              <w:jc w:val="center"/>
              <w:rPr>
                <w:rFonts w:hint="eastAsia" w:ascii="宋体" w:hAnsi="宋体" w:eastAsia="宋体" w:cs="宋体"/>
                <w:color w:val="auto"/>
                <w:sz w:val="21"/>
                <w:szCs w:val="21"/>
                <w:highlight w:val="none"/>
              </w:rPr>
            </w:pPr>
          </w:p>
        </w:tc>
        <w:tc>
          <w:tcPr>
            <w:tcW w:w="1482" w:type="dxa"/>
            <w:noWrap w:val="0"/>
            <w:vAlign w:val="center"/>
          </w:tcPr>
          <w:p w14:paraId="528092F9">
            <w:pPr>
              <w:spacing w:line="440" w:lineRule="exact"/>
              <w:jc w:val="center"/>
              <w:rPr>
                <w:rFonts w:hint="eastAsia" w:ascii="宋体" w:hAnsi="宋体" w:eastAsia="宋体" w:cs="宋体"/>
                <w:color w:val="auto"/>
                <w:sz w:val="21"/>
                <w:szCs w:val="21"/>
                <w:highlight w:val="none"/>
              </w:rPr>
            </w:pPr>
          </w:p>
        </w:tc>
        <w:tc>
          <w:tcPr>
            <w:tcW w:w="1058" w:type="dxa"/>
            <w:noWrap w:val="0"/>
            <w:vAlign w:val="center"/>
          </w:tcPr>
          <w:p w14:paraId="1DADE915">
            <w:pPr>
              <w:spacing w:line="440" w:lineRule="exact"/>
              <w:jc w:val="center"/>
              <w:rPr>
                <w:rFonts w:hint="eastAsia" w:ascii="宋体" w:hAnsi="宋体" w:eastAsia="宋体" w:cs="宋体"/>
                <w:color w:val="auto"/>
                <w:sz w:val="21"/>
                <w:szCs w:val="21"/>
                <w:highlight w:val="none"/>
              </w:rPr>
            </w:pPr>
          </w:p>
        </w:tc>
        <w:tc>
          <w:tcPr>
            <w:tcW w:w="880" w:type="dxa"/>
            <w:noWrap w:val="0"/>
            <w:vAlign w:val="center"/>
          </w:tcPr>
          <w:p w14:paraId="30DABF24">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0BDD3C5B">
            <w:pPr>
              <w:spacing w:line="440" w:lineRule="exact"/>
              <w:jc w:val="center"/>
              <w:rPr>
                <w:rFonts w:hint="eastAsia" w:ascii="宋体" w:hAnsi="宋体" w:eastAsia="宋体" w:cs="宋体"/>
                <w:color w:val="auto"/>
                <w:sz w:val="21"/>
                <w:szCs w:val="21"/>
                <w:highlight w:val="none"/>
              </w:rPr>
            </w:pPr>
          </w:p>
        </w:tc>
        <w:tc>
          <w:tcPr>
            <w:tcW w:w="1556" w:type="dxa"/>
            <w:noWrap w:val="0"/>
            <w:vAlign w:val="center"/>
          </w:tcPr>
          <w:p w14:paraId="313CFD61">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0045EE16">
            <w:pPr>
              <w:spacing w:line="360" w:lineRule="auto"/>
              <w:jc w:val="center"/>
              <w:rPr>
                <w:rFonts w:hint="eastAsia" w:ascii="宋体" w:hAnsi="宋体" w:eastAsia="宋体" w:cs="宋体"/>
                <w:color w:val="auto"/>
                <w:sz w:val="21"/>
                <w:szCs w:val="21"/>
                <w:highlight w:val="none"/>
              </w:rPr>
            </w:pPr>
          </w:p>
        </w:tc>
        <w:tc>
          <w:tcPr>
            <w:tcW w:w="921" w:type="dxa"/>
            <w:noWrap w:val="0"/>
            <w:vAlign w:val="top"/>
          </w:tcPr>
          <w:p w14:paraId="2BB7C490">
            <w:pPr>
              <w:rPr>
                <w:rFonts w:hint="eastAsia" w:ascii="宋体" w:hAnsi="宋体" w:eastAsia="宋体" w:cs="宋体"/>
                <w:color w:val="auto"/>
                <w:sz w:val="21"/>
                <w:szCs w:val="21"/>
                <w:highlight w:val="none"/>
              </w:rPr>
            </w:pPr>
          </w:p>
        </w:tc>
      </w:tr>
      <w:tr w14:paraId="145EA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72DC7A28">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7EB2F446">
            <w:pPr>
              <w:spacing w:line="440" w:lineRule="exact"/>
              <w:jc w:val="center"/>
              <w:rPr>
                <w:rFonts w:hint="eastAsia" w:ascii="宋体" w:hAnsi="宋体" w:eastAsia="宋体" w:cs="宋体"/>
                <w:color w:val="auto"/>
                <w:sz w:val="21"/>
                <w:szCs w:val="21"/>
                <w:highlight w:val="none"/>
              </w:rPr>
            </w:pPr>
          </w:p>
        </w:tc>
        <w:tc>
          <w:tcPr>
            <w:tcW w:w="1482" w:type="dxa"/>
            <w:noWrap w:val="0"/>
            <w:vAlign w:val="center"/>
          </w:tcPr>
          <w:p w14:paraId="45D1C753">
            <w:pPr>
              <w:spacing w:line="440" w:lineRule="exact"/>
              <w:jc w:val="center"/>
              <w:rPr>
                <w:rFonts w:hint="eastAsia" w:ascii="宋体" w:hAnsi="宋体" w:eastAsia="宋体" w:cs="宋体"/>
                <w:color w:val="auto"/>
                <w:sz w:val="21"/>
                <w:szCs w:val="21"/>
                <w:highlight w:val="none"/>
              </w:rPr>
            </w:pPr>
          </w:p>
        </w:tc>
        <w:tc>
          <w:tcPr>
            <w:tcW w:w="1058" w:type="dxa"/>
            <w:noWrap w:val="0"/>
            <w:vAlign w:val="center"/>
          </w:tcPr>
          <w:p w14:paraId="2CB380ED">
            <w:pPr>
              <w:spacing w:line="440" w:lineRule="exact"/>
              <w:jc w:val="center"/>
              <w:rPr>
                <w:rFonts w:hint="eastAsia" w:ascii="宋体" w:hAnsi="宋体" w:eastAsia="宋体" w:cs="宋体"/>
                <w:color w:val="auto"/>
                <w:sz w:val="21"/>
                <w:szCs w:val="21"/>
                <w:highlight w:val="none"/>
              </w:rPr>
            </w:pPr>
          </w:p>
        </w:tc>
        <w:tc>
          <w:tcPr>
            <w:tcW w:w="880" w:type="dxa"/>
            <w:noWrap w:val="0"/>
            <w:vAlign w:val="center"/>
          </w:tcPr>
          <w:p w14:paraId="7C7A7AC1">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1A96D97B">
            <w:pPr>
              <w:spacing w:line="440" w:lineRule="exact"/>
              <w:jc w:val="center"/>
              <w:rPr>
                <w:rFonts w:hint="eastAsia" w:ascii="宋体" w:hAnsi="宋体" w:eastAsia="宋体" w:cs="宋体"/>
                <w:color w:val="auto"/>
                <w:sz w:val="21"/>
                <w:szCs w:val="21"/>
                <w:highlight w:val="none"/>
              </w:rPr>
            </w:pPr>
          </w:p>
        </w:tc>
        <w:tc>
          <w:tcPr>
            <w:tcW w:w="1556" w:type="dxa"/>
            <w:noWrap w:val="0"/>
            <w:vAlign w:val="center"/>
          </w:tcPr>
          <w:p w14:paraId="7C17C7FC">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10F5B5FE">
            <w:pPr>
              <w:spacing w:line="360" w:lineRule="auto"/>
              <w:jc w:val="center"/>
              <w:rPr>
                <w:rFonts w:hint="eastAsia" w:ascii="宋体" w:hAnsi="宋体" w:eastAsia="宋体" w:cs="宋体"/>
                <w:color w:val="auto"/>
                <w:sz w:val="21"/>
                <w:szCs w:val="21"/>
                <w:highlight w:val="none"/>
              </w:rPr>
            </w:pPr>
          </w:p>
        </w:tc>
        <w:tc>
          <w:tcPr>
            <w:tcW w:w="921" w:type="dxa"/>
            <w:noWrap w:val="0"/>
            <w:vAlign w:val="center"/>
          </w:tcPr>
          <w:p w14:paraId="47EE121B">
            <w:pPr>
              <w:keepNext/>
              <w:adjustRightInd w:val="0"/>
              <w:spacing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026BC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4E92CB1D">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558DB02C">
            <w:pPr>
              <w:spacing w:line="440" w:lineRule="exact"/>
              <w:jc w:val="center"/>
              <w:rPr>
                <w:rFonts w:hint="eastAsia" w:ascii="宋体" w:hAnsi="宋体" w:eastAsia="宋体" w:cs="宋体"/>
                <w:color w:val="auto"/>
                <w:sz w:val="21"/>
                <w:szCs w:val="21"/>
                <w:highlight w:val="none"/>
              </w:rPr>
            </w:pPr>
          </w:p>
        </w:tc>
        <w:tc>
          <w:tcPr>
            <w:tcW w:w="1482" w:type="dxa"/>
            <w:noWrap w:val="0"/>
            <w:vAlign w:val="center"/>
          </w:tcPr>
          <w:p w14:paraId="43262FC9">
            <w:pPr>
              <w:spacing w:line="440" w:lineRule="exact"/>
              <w:jc w:val="center"/>
              <w:rPr>
                <w:rFonts w:hint="eastAsia" w:ascii="宋体" w:hAnsi="宋体" w:eastAsia="宋体" w:cs="宋体"/>
                <w:color w:val="auto"/>
                <w:sz w:val="21"/>
                <w:szCs w:val="21"/>
                <w:highlight w:val="none"/>
              </w:rPr>
            </w:pPr>
          </w:p>
        </w:tc>
        <w:tc>
          <w:tcPr>
            <w:tcW w:w="1058" w:type="dxa"/>
            <w:noWrap w:val="0"/>
            <w:vAlign w:val="center"/>
          </w:tcPr>
          <w:p w14:paraId="60A9ED22">
            <w:pPr>
              <w:spacing w:line="440" w:lineRule="exact"/>
              <w:jc w:val="center"/>
              <w:rPr>
                <w:rFonts w:hint="eastAsia" w:ascii="宋体" w:hAnsi="宋体" w:eastAsia="宋体" w:cs="宋体"/>
                <w:color w:val="auto"/>
                <w:sz w:val="21"/>
                <w:szCs w:val="21"/>
                <w:highlight w:val="none"/>
              </w:rPr>
            </w:pPr>
          </w:p>
        </w:tc>
        <w:tc>
          <w:tcPr>
            <w:tcW w:w="880" w:type="dxa"/>
            <w:noWrap w:val="0"/>
            <w:vAlign w:val="center"/>
          </w:tcPr>
          <w:p w14:paraId="6A3FD096">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47ECDD97">
            <w:pPr>
              <w:spacing w:line="440" w:lineRule="exact"/>
              <w:jc w:val="center"/>
              <w:rPr>
                <w:rFonts w:hint="eastAsia" w:ascii="宋体" w:hAnsi="宋体" w:eastAsia="宋体" w:cs="宋体"/>
                <w:color w:val="auto"/>
                <w:sz w:val="21"/>
                <w:szCs w:val="21"/>
                <w:highlight w:val="none"/>
              </w:rPr>
            </w:pPr>
          </w:p>
        </w:tc>
        <w:tc>
          <w:tcPr>
            <w:tcW w:w="1556" w:type="dxa"/>
            <w:noWrap w:val="0"/>
            <w:vAlign w:val="center"/>
          </w:tcPr>
          <w:p w14:paraId="39961FFC">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113B9FDA">
            <w:pPr>
              <w:spacing w:line="360" w:lineRule="auto"/>
              <w:jc w:val="center"/>
              <w:rPr>
                <w:rFonts w:hint="eastAsia" w:ascii="宋体" w:hAnsi="宋体" w:eastAsia="宋体" w:cs="宋体"/>
                <w:color w:val="auto"/>
                <w:sz w:val="21"/>
                <w:szCs w:val="21"/>
                <w:highlight w:val="none"/>
              </w:rPr>
            </w:pPr>
          </w:p>
        </w:tc>
        <w:tc>
          <w:tcPr>
            <w:tcW w:w="921" w:type="dxa"/>
            <w:noWrap w:val="0"/>
            <w:vAlign w:val="top"/>
          </w:tcPr>
          <w:p w14:paraId="7B274E4C">
            <w:pPr>
              <w:rPr>
                <w:rFonts w:hint="eastAsia" w:ascii="宋体" w:hAnsi="宋体" w:eastAsia="宋体" w:cs="宋体"/>
                <w:color w:val="auto"/>
                <w:sz w:val="21"/>
                <w:szCs w:val="21"/>
                <w:highlight w:val="none"/>
              </w:rPr>
            </w:pPr>
          </w:p>
        </w:tc>
      </w:tr>
      <w:tr w14:paraId="4D4F4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16A94379">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2114E2D2">
            <w:pPr>
              <w:spacing w:line="440" w:lineRule="exact"/>
              <w:jc w:val="center"/>
              <w:rPr>
                <w:rFonts w:hint="eastAsia" w:ascii="宋体" w:hAnsi="宋体" w:eastAsia="宋体" w:cs="宋体"/>
                <w:color w:val="auto"/>
                <w:sz w:val="21"/>
                <w:szCs w:val="21"/>
                <w:highlight w:val="none"/>
              </w:rPr>
            </w:pPr>
          </w:p>
        </w:tc>
        <w:tc>
          <w:tcPr>
            <w:tcW w:w="1482" w:type="dxa"/>
            <w:noWrap w:val="0"/>
            <w:vAlign w:val="center"/>
          </w:tcPr>
          <w:p w14:paraId="2F263310">
            <w:pPr>
              <w:spacing w:line="440" w:lineRule="exact"/>
              <w:jc w:val="center"/>
              <w:rPr>
                <w:rFonts w:hint="eastAsia" w:ascii="宋体" w:hAnsi="宋体" w:eastAsia="宋体" w:cs="宋体"/>
                <w:color w:val="auto"/>
                <w:sz w:val="21"/>
                <w:szCs w:val="21"/>
                <w:highlight w:val="none"/>
              </w:rPr>
            </w:pPr>
          </w:p>
        </w:tc>
        <w:tc>
          <w:tcPr>
            <w:tcW w:w="1058" w:type="dxa"/>
            <w:noWrap w:val="0"/>
            <w:vAlign w:val="center"/>
          </w:tcPr>
          <w:p w14:paraId="4DDFBC99">
            <w:pPr>
              <w:spacing w:line="440" w:lineRule="exact"/>
              <w:jc w:val="center"/>
              <w:rPr>
                <w:rFonts w:hint="eastAsia" w:ascii="宋体" w:hAnsi="宋体" w:eastAsia="宋体" w:cs="宋体"/>
                <w:color w:val="auto"/>
                <w:sz w:val="21"/>
                <w:szCs w:val="21"/>
                <w:highlight w:val="none"/>
              </w:rPr>
            </w:pPr>
          </w:p>
        </w:tc>
        <w:tc>
          <w:tcPr>
            <w:tcW w:w="880" w:type="dxa"/>
            <w:noWrap w:val="0"/>
            <w:vAlign w:val="center"/>
          </w:tcPr>
          <w:p w14:paraId="238F1B2E">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208F296C">
            <w:pPr>
              <w:spacing w:line="440" w:lineRule="exact"/>
              <w:jc w:val="center"/>
              <w:rPr>
                <w:rFonts w:hint="eastAsia" w:ascii="宋体" w:hAnsi="宋体" w:eastAsia="宋体" w:cs="宋体"/>
                <w:color w:val="auto"/>
                <w:sz w:val="21"/>
                <w:szCs w:val="21"/>
                <w:highlight w:val="none"/>
              </w:rPr>
            </w:pPr>
          </w:p>
        </w:tc>
        <w:tc>
          <w:tcPr>
            <w:tcW w:w="1556" w:type="dxa"/>
            <w:noWrap w:val="0"/>
            <w:vAlign w:val="center"/>
          </w:tcPr>
          <w:p w14:paraId="305A2601">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7E6CF53A">
            <w:pPr>
              <w:spacing w:line="360" w:lineRule="auto"/>
              <w:jc w:val="center"/>
              <w:rPr>
                <w:rFonts w:hint="eastAsia" w:ascii="宋体" w:hAnsi="宋体" w:eastAsia="宋体" w:cs="宋体"/>
                <w:color w:val="auto"/>
                <w:sz w:val="21"/>
                <w:szCs w:val="21"/>
                <w:highlight w:val="none"/>
              </w:rPr>
            </w:pPr>
          </w:p>
        </w:tc>
        <w:tc>
          <w:tcPr>
            <w:tcW w:w="921" w:type="dxa"/>
            <w:noWrap w:val="0"/>
            <w:vAlign w:val="top"/>
          </w:tcPr>
          <w:p w14:paraId="7799F076">
            <w:pPr>
              <w:rPr>
                <w:rFonts w:hint="eastAsia" w:ascii="宋体" w:hAnsi="宋体" w:eastAsia="宋体" w:cs="宋体"/>
                <w:color w:val="auto"/>
                <w:sz w:val="21"/>
                <w:szCs w:val="21"/>
                <w:highlight w:val="none"/>
              </w:rPr>
            </w:pPr>
          </w:p>
        </w:tc>
      </w:tr>
      <w:tr w14:paraId="1170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6F6988DA">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4394EDA9">
            <w:pPr>
              <w:spacing w:line="440" w:lineRule="exact"/>
              <w:jc w:val="center"/>
              <w:rPr>
                <w:rFonts w:hint="eastAsia" w:ascii="宋体" w:hAnsi="宋体" w:eastAsia="宋体" w:cs="宋体"/>
                <w:color w:val="auto"/>
                <w:sz w:val="21"/>
                <w:szCs w:val="21"/>
                <w:highlight w:val="none"/>
              </w:rPr>
            </w:pPr>
          </w:p>
        </w:tc>
        <w:tc>
          <w:tcPr>
            <w:tcW w:w="1482" w:type="dxa"/>
            <w:noWrap w:val="0"/>
            <w:vAlign w:val="center"/>
          </w:tcPr>
          <w:p w14:paraId="772B35BE">
            <w:pPr>
              <w:spacing w:line="440" w:lineRule="exact"/>
              <w:jc w:val="center"/>
              <w:rPr>
                <w:rFonts w:hint="eastAsia" w:ascii="宋体" w:hAnsi="宋体" w:eastAsia="宋体" w:cs="宋体"/>
                <w:color w:val="auto"/>
                <w:sz w:val="21"/>
                <w:szCs w:val="21"/>
                <w:highlight w:val="none"/>
              </w:rPr>
            </w:pPr>
          </w:p>
        </w:tc>
        <w:tc>
          <w:tcPr>
            <w:tcW w:w="1058" w:type="dxa"/>
            <w:noWrap w:val="0"/>
            <w:vAlign w:val="center"/>
          </w:tcPr>
          <w:p w14:paraId="51E26F63">
            <w:pPr>
              <w:spacing w:line="440" w:lineRule="exact"/>
              <w:jc w:val="center"/>
              <w:rPr>
                <w:rFonts w:hint="eastAsia" w:ascii="宋体" w:hAnsi="宋体" w:eastAsia="宋体" w:cs="宋体"/>
                <w:color w:val="auto"/>
                <w:sz w:val="21"/>
                <w:szCs w:val="21"/>
                <w:highlight w:val="none"/>
              </w:rPr>
            </w:pPr>
          </w:p>
        </w:tc>
        <w:tc>
          <w:tcPr>
            <w:tcW w:w="880" w:type="dxa"/>
            <w:noWrap w:val="0"/>
            <w:vAlign w:val="center"/>
          </w:tcPr>
          <w:p w14:paraId="61615FBC">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16EDB96C">
            <w:pPr>
              <w:spacing w:line="440" w:lineRule="exact"/>
              <w:jc w:val="center"/>
              <w:rPr>
                <w:rFonts w:hint="eastAsia" w:ascii="宋体" w:hAnsi="宋体" w:eastAsia="宋体" w:cs="宋体"/>
                <w:color w:val="auto"/>
                <w:sz w:val="21"/>
                <w:szCs w:val="21"/>
                <w:highlight w:val="none"/>
              </w:rPr>
            </w:pPr>
          </w:p>
        </w:tc>
        <w:tc>
          <w:tcPr>
            <w:tcW w:w="1556" w:type="dxa"/>
            <w:noWrap w:val="0"/>
            <w:vAlign w:val="center"/>
          </w:tcPr>
          <w:p w14:paraId="152D4D11">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061CA059">
            <w:pPr>
              <w:spacing w:line="360" w:lineRule="auto"/>
              <w:jc w:val="center"/>
              <w:rPr>
                <w:rFonts w:hint="eastAsia" w:ascii="宋体" w:hAnsi="宋体" w:eastAsia="宋体" w:cs="宋体"/>
                <w:color w:val="auto"/>
                <w:sz w:val="21"/>
                <w:szCs w:val="21"/>
                <w:highlight w:val="none"/>
              </w:rPr>
            </w:pPr>
          </w:p>
        </w:tc>
        <w:tc>
          <w:tcPr>
            <w:tcW w:w="921" w:type="dxa"/>
            <w:noWrap w:val="0"/>
            <w:vAlign w:val="top"/>
          </w:tcPr>
          <w:p w14:paraId="74D0A8F9">
            <w:pPr>
              <w:rPr>
                <w:rFonts w:hint="eastAsia" w:ascii="宋体" w:hAnsi="宋体" w:eastAsia="宋体" w:cs="宋体"/>
                <w:color w:val="auto"/>
                <w:sz w:val="21"/>
                <w:szCs w:val="21"/>
                <w:highlight w:val="none"/>
              </w:rPr>
            </w:pPr>
          </w:p>
        </w:tc>
      </w:tr>
      <w:tr w14:paraId="5C876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6C0EAAB8">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03A0B593">
            <w:pPr>
              <w:spacing w:line="440" w:lineRule="exact"/>
              <w:jc w:val="center"/>
              <w:rPr>
                <w:rFonts w:hint="eastAsia" w:ascii="宋体" w:hAnsi="宋体" w:eastAsia="宋体" w:cs="宋体"/>
                <w:color w:val="auto"/>
                <w:sz w:val="21"/>
                <w:szCs w:val="21"/>
                <w:highlight w:val="none"/>
              </w:rPr>
            </w:pPr>
          </w:p>
        </w:tc>
        <w:tc>
          <w:tcPr>
            <w:tcW w:w="1482" w:type="dxa"/>
            <w:noWrap w:val="0"/>
            <w:vAlign w:val="center"/>
          </w:tcPr>
          <w:p w14:paraId="08210933">
            <w:pPr>
              <w:spacing w:line="440" w:lineRule="exact"/>
              <w:jc w:val="center"/>
              <w:rPr>
                <w:rFonts w:hint="eastAsia" w:ascii="宋体" w:hAnsi="宋体" w:eastAsia="宋体" w:cs="宋体"/>
                <w:color w:val="auto"/>
                <w:sz w:val="21"/>
                <w:szCs w:val="21"/>
                <w:highlight w:val="none"/>
              </w:rPr>
            </w:pPr>
          </w:p>
        </w:tc>
        <w:tc>
          <w:tcPr>
            <w:tcW w:w="1058" w:type="dxa"/>
            <w:noWrap w:val="0"/>
            <w:vAlign w:val="center"/>
          </w:tcPr>
          <w:p w14:paraId="4C0E6F16">
            <w:pPr>
              <w:spacing w:line="440" w:lineRule="exact"/>
              <w:jc w:val="center"/>
              <w:rPr>
                <w:rFonts w:hint="eastAsia" w:ascii="宋体" w:hAnsi="宋体" w:eastAsia="宋体" w:cs="宋体"/>
                <w:color w:val="auto"/>
                <w:sz w:val="21"/>
                <w:szCs w:val="21"/>
                <w:highlight w:val="none"/>
              </w:rPr>
            </w:pPr>
          </w:p>
        </w:tc>
        <w:tc>
          <w:tcPr>
            <w:tcW w:w="880" w:type="dxa"/>
            <w:noWrap w:val="0"/>
            <w:vAlign w:val="center"/>
          </w:tcPr>
          <w:p w14:paraId="1924E2FE">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1B466731">
            <w:pPr>
              <w:spacing w:line="440" w:lineRule="exact"/>
              <w:jc w:val="center"/>
              <w:rPr>
                <w:rFonts w:hint="eastAsia" w:ascii="宋体" w:hAnsi="宋体" w:eastAsia="宋体" w:cs="宋体"/>
                <w:color w:val="auto"/>
                <w:sz w:val="21"/>
                <w:szCs w:val="21"/>
                <w:highlight w:val="none"/>
              </w:rPr>
            </w:pPr>
          </w:p>
        </w:tc>
        <w:tc>
          <w:tcPr>
            <w:tcW w:w="1556" w:type="dxa"/>
            <w:noWrap w:val="0"/>
            <w:vAlign w:val="center"/>
          </w:tcPr>
          <w:p w14:paraId="7E33DE1E">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5C523D4D">
            <w:pPr>
              <w:spacing w:line="360" w:lineRule="auto"/>
              <w:jc w:val="center"/>
              <w:rPr>
                <w:rFonts w:hint="eastAsia" w:ascii="宋体" w:hAnsi="宋体" w:eastAsia="宋体" w:cs="宋体"/>
                <w:color w:val="auto"/>
                <w:sz w:val="21"/>
                <w:szCs w:val="21"/>
                <w:highlight w:val="none"/>
              </w:rPr>
            </w:pPr>
          </w:p>
        </w:tc>
        <w:tc>
          <w:tcPr>
            <w:tcW w:w="921" w:type="dxa"/>
            <w:noWrap w:val="0"/>
            <w:vAlign w:val="top"/>
          </w:tcPr>
          <w:p w14:paraId="3CD227BD">
            <w:pPr>
              <w:rPr>
                <w:rFonts w:hint="eastAsia" w:ascii="宋体" w:hAnsi="宋体" w:eastAsia="宋体" w:cs="宋体"/>
                <w:color w:val="auto"/>
                <w:sz w:val="21"/>
                <w:szCs w:val="21"/>
                <w:highlight w:val="none"/>
              </w:rPr>
            </w:pPr>
          </w:p>
        </w:tc>
      </w:tr>
      <w:tr w14:paraId="00E30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3651088B">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7FDFDAE1">
            <w:pPr>
              <w:spacing w:line="440" w:lineRule="exact"/>
              <w:jc w:val="center"/>
              <w:rPr>
                <w:rFonts w:hint="eastAsia" w:ascii="宋体" w:hAnsi="宋体" w:eastAsia="宋体" w:cs="宋体"/>
                <w:color w:val="auto"/>
                <w:sz w:val="21"/>
                <w:szCs w:val="21"/>
                <w:highlight w:val="none"/>
              </w:rPr>
            </w:pPr>
          </w:p>
        </w:tc>
        <w:tc>
          <w:tcPr>
            <w:tcW w:w="1482" w:type="dxa"/>
            <w:noWrap w:val="0"/>
            <w:vAlign w:val="center"/>
          </w:tcPr>
          <w:p w14:paraId="3FDB9437">
            <w:pPr>
              <w:spacing w:line="440" w:lineRule="exact"/>
              <w:jc w:val="center"/>
              <w:rPr>
                <w:rFonts w:hint="eastAsia" w:ascii="宋体" w:hAnsi="宋体" w:eastAsia="宋体" w:cs="宋体"/>
                <w:color w:val="auto"/>
                <w:sz w:val="21"/>
                <w:szCs w:val="21"/>
                <w:highlight w:val="none"/>
              </w:rPr>
            </w:pPr>
          </w:p>
        </w:tc>
        <w:tc>
          <w:tcPr>
            <w:tcW w:w="1058" w:type="dxa"/>
            <w:noWrap w:val="0"/>
            <w:vAlign w:val="center"/>
          </w:tcPr>
          <w:p w14:paraId="77D983B0">
            <w:pPr>
              <w:spacing w:line="440" w:lineRule="exact"/>
              <w:jc w:val="center"/>
              <w:rPr>
                <w:rFonts w:hint="eastAsia" w:ascii="宋体" w:hAnsi="宋体" w:eastAsia="宋体" w:cs="宋体"/>
                <w:color w:val="auto"/>
                <w:sz w:val="21"/>
                <w:szCs w:val="21"/>
                <w:highlight w:val="none"/>
              </w:rPr>
            </w:pPr>
          </w:p>
        </w:tc>
        <w:tc>
          <w:tcPr>
            <w:tcW w:w="880" w:type="dxa"/>
            <w:noWrap w:val="0"/>
            <w:vAlign w:val="center"/>
          </w:tcPr>
          <w:p w14:paraId="520C5FB0">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77031C9A">
            <w:pPr>
              <w:spacing w:line="440" w:lineRule="exact"/>
              <w:jc w:val="center"/>
              <w:rPr>
                <w:rFonts w:hint="eastAsia" w:ascii="宋体" w:hAnsi="宋体" w:eastAsia="宋体" w:cs="宋体"/>
                <w:color w:val="auto"/>
                <w:sz w:val="21"/>
                <w:szCs w:val="21"/>
                <w:highlight w:val="none"/>
              </w:rPr>
            </w:pPr>
          </w:p>
        </w:tc>
        <w:tc>
          <w:tcPr>
            <w:tcW w:w="1556" w:type="dxa"/>
            <w:noWrap w:val="0"/>
            <w:vAlign w:val="center"/>
          </w:tcPr>
          <w:p w14:paraId="2EDAAE04">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6388BDF3">
            <w:pPr>
              <w:spacing w:line="360" w:lineRule="auto"/>
              <w:jc w:val="center"/>
              <w:rPr>
                <w:rFonts w:hint="eastAsia" w:ascii="宋体" w:hAnsi="宋体" w:eastAsia="宋体" w:cs="宋体"/>
                <w:color w:val="auto"/>
                <w:sz w:val="21"/>
                <w:szCs w:val="21"/>
                <w:highlight w:val="none"/>
              </w:rPr>
            </w:pPr>
          </w:p>
        </w:tc>
        <w:tc>
          <w:tcPr>
            <w:tcW w:w="921" w:type="dxa"/>
            <w:noWrap w:val="0"/>
            <w:vAlign w:val="top"/>
          </w:tcPr>
          <w:p w14:paraId="45367F06">
            <w:pPr>
              <w:rPr>
                <w:rFonts w:hint="eastAsia" w:ascii="宋体" w:hAnsi="宋体" w:eastAsia="宋体" w:cs="宋体"/>
                <w:color w:val="auto"/>
                <w:sz w:val="21"/>
                <w:szCs w:val="21"/>
                <w:highlight w:val="none"/>
              </w:rPr>
            </w:pPr>
          </w:p>
        </w:tc>
      </w:tr>
      <w:tr w14:paraId="6E42E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6703714D">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23D5EF82">
            <w:pPr>
              <w:spacing w:line="440" w:lineRule="exact"/>
              <w:jc w:val="center"/>
              <w:rPr>
                <w:rFonts w:hint="eastAsia" w:ascii="宋体" w:hAnsi="宋体" w:eastAsia="宋体" w:cs="宋体"/>
                <w:color w:val="auto"/>
                <w:sz w:val="21"/>
                <w:szCs w:val="21"/>
                <w:highlight w:val="none"/>
              </w:rPr>
            </w:pPr>
          </w:p>
        </w:tc>
        <w:tc>
          <w:tcPr>
            <w:tcW w:w="1482" w:type="dxa"/>
            <w:noWrap w:val="0"/>
            <w:vAlign w:val="center"/>
          </w:tcPr>
          <w:p w14:paraId="74300A88">
            <w:pPr>
              <w:spacing w:line="360" w:lineRule="auto"/>
              <w:jc w:val="center"/>
              <w:rPr>
                <w:rFonts w:hint="eastAsia" w:ascii="宋体" w:hAnsi="宋体" w:eastAsia="宋体" w:cs="宋体"/>
                <w:color w:val="auto"/>
                <w:sz w:val="21"/>
                <w:szCs w:val="21"/>
                <w:highlight w:val="none"/>
              </w:rPr>
            </w:pPr>
          </w:p>
        </w:tc>
        <w:tc>
          <w:tcPr>
            <w:tcW w:w="1058" w:type="dxa"/>
            <w:noWrap w:val="0"/>
            <w:vAlign w:val="center"/>
          </w:tcPr>
          <w:p w14:paraId="5264CCC0">
            <w:pPr>
              <w:spacing w:line="440" w:lineRule="exact"/>
              <w:jc w:val="center"/>
              <w:rPr>
                <w:rFonts w:hint="eastAsia" w:ascii="宋体" w:hAnsi="宋体" w:eastAsia="宋体" w:cs="宋体"/>
                <w:color w:val="auto"/>
                <w:sz w:val="21"/>
                <w:szCs w:val="21"/>
                <w:highlight w:val="none"/>
              </w:rPr>
            </w:pPr>
          </w:p>
        </w:tc>
        <w:tc>
          <w:tcPr>
            <w:tcW w:w="880" w:type="dxa"/>
            <w:noWrap w:val="0"/>
            <w:vAlign w:val="center"/>
          </w:tcPr>
          <w:p w14:paraId="1A6A6C19">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6E64EC5D">
            <w:pPr>
              <w:spacing w:line="440" w:lineRule="exact"/>
              <w:jc w:val="center"/>
              <w:rPr>
                <w:rFonts w:hint="eastAsia" w:ascii="宋体" w:hAnsi="宋体" w:eastAsia="宋体" w:cs="宋体"/>
                <w:color w:val="auto"/>
                <w:sz w:val="21"/>
                <w:szCs w:val="21"/>
                <w:highlight w:val="none"/>
              </w:rPr>
            </w:pPr>
          </w:p>
        </w:tc>
        <w:tc>
          <w:tcPr>
            <w:tcW w:w="1556" w:type="dxa"/>
            <w:noWrap w:val="0"/>
            <w:vAlign w:val="center"/>
          </w:tcPr>
          <w:p w14:paraId="644E9AE2">
            <w:pPr>
              <w:spacing w:line="440" w:lineRule="exact"/>
              <w:jc w:val="center"/>
              <w:rPr>
                <w:rFonts w:hint="eastAsia" w:ascii="宋体" w:hAnsi="宋体" w:eastAsia="宋体" w:cs="宋体"/>
                <w:color w:val="auto"/>
                <w:sz w:val="21"/>
                <w:szCs w:val="21"/>
                <w:highlight w:val="none"/>
              </w:rPr>
            </w:pPr>
          </w:p>
        </w:tc>
        <w:tc>
          <w:tcPr>
            <w:tcW w:w="1020" w:type="dxa"/>
            <w:noWrap w:val="0"/>
            <w:vAlign w:val="center"/>
          </w:tcPr>
          <w:p w14:paraId="2CE9A72F">
            <w:pPr>
              <w:spacing w:line="360" w:lineRule="auto"/>
              <w:jc w:val="center"/>
              <w:rPr>
                <w:rFonts w:hint="eastAsia" w:ascii="宋体" w:hAnsi="宋体" w:eastAsia="宋体" w:cs="宋体"/>
                <w:color w:val="auto"/>
                <w:sz w:val="21"/>
                <w:szCs w:val="21"/>
                <w:highlight w:val="none"/>
              </w:rPr>
            </w:pPr>
          </w:p>
        </w:tc>
        <w:tc>
          <w:tcPr>
            <w:tcW w:w="921" w:type="dxa"/>
            <w:noWrap w:val="0"/>
            <w:vAlign w:val="top"/>
          </w:tcPr>
          <w:p w14:paraId="2E6D0C42">
            <w:pPr>
              <w:rPr>
                <w:rFonts w:hint="eastAsia" w:ascii="宋体" w:hAnsi="宋体" w:eastAsia="宋体" w:cs="宋体"/>
                <w:color w:val="auto"/>
                <w:sz w:val="21"/>
                <w:szCs w:val="21"/>
                <w:highlight w:val="none"/>
              </w:rPr>
            </w:pPr>
          </w:p>
        </w:tc>
      </w:tr>
      <w:tr w14:paraId="74FFA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60" w:type="dxa"/>
            <w:noWrap w:val="0"/>
            <w:vAlign w:val="center"/>
          </w:tcPr>
          <w:p w14:paraId="228C0401">
            <w:pPr>
              <w:spacing w:line="360" w:lineRule="auto"/>
              <w:jc w:val="center"/>
              <w:rPr>
                <w:rFonts w:hint="eastAsia" w:ascii="宋体" w:hAnsi="宋体" w:eastAsia="宋体" w:cs="宋体"/>
                <w:color w:val="auto"/>
                <w:sz w:val="21"/>
                <w:szCs w:val="21"/>
                <w:highlight w:val="none"/>
              </w:rPr>
            </w:pPr>
          </w:p>
        </w:tc>
        <w:tc>
          <w:tcPr>
            <w:tcW w:w="1365" w:type="dxa"/>
            <w:noWrap w:val="0"/>
            <w:vAlign w:val="center"/>
          </w:tcPr>
          <w:p w14:paraId="7170823D">
            <w:pPr>
              <w:spacing w:line="360" w:lineRule="auto"/>
              <w:jc w:val="center"/>
              <w:rPr>
                <w:rFonts w:hint="eastAsia" w:ascii="宋体" w:hAnsi="宋体" w:eastAsia="宋体" w:cs="宋体"/>
                <w:color w:val="auto"/>
                <w:sz w:val="21"/>
                <w:szCs w:val="21"/>
                <w:highlight w:val="none"/>
              </w:rPr>
            </w:pPr>
          </w:p>
        </w:tc>
        <w:tc>
          <w:tcPr>
            <w:tcW w:w="1482" w:type="dxa"/>
            <w:noWrap w:val="0"/>
            <w:vAlign w:val="center"/>
          </w:tcPr>
          <w:p w14:paraId="45715316">
            <w:pPr>
              <w:spacing w:line="360" w:lineRule="auto"/>
              <w:jc w:val="center"/>
              <w:rPr>
                <w:rFonts w:hint="eastAsia" w:ascii="宋体" w:hAnsi="宋体" w:eastAsia="宋体" w:cs="宋体"/>
                <w:color w:val="auto"/>
                <w:sz w:val="21"/>
                <w:szCs w:val="21"/>
                <w:highlight w:val="none"/>
              </w:rPr>
            </w:pPr>
          </w:p>
        </w:tc>
        <w:tc>
          <w:tcPr>
            <w:tcW w:w="1058" w:type="dxa"/>
            <w:noWrap w:val="0"/>
            <w:vAlign w:val="center"/>
          </w:tcPr>
          <w:p w14:paraId="545642A2">
            <w:pPr>
              <w:jc w:val="center"/>
              <w:rPr>
                <w:rFonts w:hint="eastAsia" w:ascii="宋体" w:hAnsi="宋体" w:eastAsia="宋体" w:cs="宋体"/>
                <w:color w:val="auto"/>
                <w:sz w:val="21"/>
                <w:szCs w:val="21"/>
                <w:highlight w:val="none"/>
              </w:rPr>
            </w:pPr>
          </w:p>
        </w:tc>
        <w:tc>
          <w:tcPr>
            <w:tcW w:w="880" w:type="dxa"/>
            <w:noWrap w:val="0"/>
            <w:vAlign w:val="center"/>
          </w:tcPr>
          <w:p w14:paraId="6CB70DB9">
            <w:pPr>
              <w:spacing w:line="360" w:lineRule="auto"/>
              <w:jc w:val="center"/>
              <w:rPr>
                <w:rFonts w:hint="eastAsia" w:ascii="宋体" w:hAnsi="宋体" w:eastAsia="宋体" w:cs="宋体"/>
                <w:color w:val="auto"/>
                <w:sz w:val="21"/>
                <w:szCs w:val="21"/>
                <w:highlight w:val="none"/>
              </w:rPr>
            </w:pPr>
          </w:p>
        </w:tc>
        <w:tc>
          <w:tcPr>
            <w:tcW w:w="1020" w:type="dxa"/>
            <w:noWrap w:val="0"/>
            <w:vAlign w:val="center"/>
          </w:tcPr>
          <w:p w14:paraId="5CEFB367">
            <w:pPr>
              <w:spacing w:line="360" w:lineRule="auto"/>
              <w:jc w:val="center"/>
              <w:rPr>
                <w:rFonts w:hint="eastAsia" w:ascii="宋体" w:hAnsi="宋体" w:eastAsia="宋体" w:cs="宋体"/>
                <w:color w:val="auto"/>
                <w:sz w:val="21"/>
                <w:szCs w:val="21"/>
                <w:highlight w:val="none"/>
              </w:rPr>
            </w:pPr>
          </w:p>
        </w:tc>
        <w:tc>
          <w:tcPr>
            <w:tcW w:w="1556" w:type="dxa"/>
            <w:noWrap w:val="0"/>
            <w:vAlign w:val="center"/>
          </w:tcPr>
          <w:p w14:paraId="5A145857">
            <w:pPr>
              <w:spacing w:line="360" w:lineRule="auto"/>
              <w:jc w:val="center"/>
              <w:rPr>
                <w:rFonts w:hint="eastAsia" w:ascii="宋体" w:hAnsi="宋体" w:eastAsia="宋体" w:cs="宋体"/>
                <w:color w:val="auto"/>
                <w:sz w:val="21"/>
                <w:szCs w:val="21"/>
                <w:highlight w:val="none"/>
              </w:rPr>
            </w:pPr>
          </w:p>
        </w:tc>
        <w:tc>
          <w:tcPr>
            <w:tcW w:w="1020" w:type="dxa"/>
            <w:noWrap w:val="0"/>
            <w:vAlign w:val="center"/>
          </w:tcPr>
          <w:p w14:paraId="14751A18">
            <w:pPr>
              <w:spacing w:line="360" w:lineRule="auto"/>
              <w:jc w:val="center"/>
              <w:rPr>
                <w:rFonts w:hint="eastAsia" w:ascii="宋体" w:hAnsi="宋体" w:eastAsia="宋体" w:cs="宋体"/>
                <w:color w:val="auto"/>
                <w:sz w:val="21"/>
                <w:szCs w:val="21"/>
                <w:highlight w:val="none"/>
              </w:rPr>
            </w:pPr>
          </w:p>
        </w:tc>
        <w:tc>
          <w:tcPr>
            <w:tcW w:w="921" w:type="dxa"/>
            <w:noWrap w:val="0"/>
            <w:vAlign w:val="top"/>
          </w:tcPr>
          <w:p w14:paraId="0A7BACB4">
            <w:pPr>
              <w:rPr>
                <w:rFonts w:hint="eastAsia" w:ascii="宋体" w:hAnsi="宋体" w:eastAsia="宋体" w:cs="宋体"/>
                <w:color w:val="auto"/>
                <w:sz w:val="21"/>
                <w:szCs w:val="21"/>
                <w:highlight w:val="none"/>
              </w:rPr>
            </w:pPr>
          </w:p>
        </w:tc>
      </w:tr>
    </w:tbl>
    <w:p w14:paraId="00C25F6C">
      <w:pPr>
        <w:widowControl/>
        <w:spacing w:line="440" w:lineRule="atLeast"/>
        <w:rPr>
          <w:rFonts w:hint="eastAsia" w:ascii="宋体" w:hAnsi="宋体" w:eastAsia="宋体" w:cs="宋体"/>
          <w:color w:val="auto"/>
          <w:kern w:val="0"/>
          <w:sz w:val="21"/>
          <w:szCs w:val="21"/>
          <w:highlight w:val="none"/>
        </w:rPr>
      </w:pPr>
    </w:p>
    <w:p w14:paraId="370FD8DE">
      <w:pPr>
        <w:widowControl/>
        <w:spacing w:line="440" w:lineRule="atLeast"/>
        <w:rPr>
          <w:rFonts w:hint="eastAsia" w:ascii="宋体" w:hAnsi="宋体" w:eastAsia="宋体" w:cs="宋体"/>
          <w:color w:val="auto"/>
          <w:kern w:val="0"/>
          <w:sz w:val="21"/>
          <w:szCs w:val="21"/>
          <w:highlight w:val="none"/>
        </w:rPr>
      </w:pPr>
    </w:p>
    <w:p w14:paraId="51FE67E2">
      <w:pPr>
        <w:widowControl/>
        <w:spacing w:line="440" w:lineRule="atLeas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r>
        <w:rPr>
          <w:rFonts w:hint="eastAsia" w:ascii="宋体" w:hAnsi="宋体" w:eastAsia="宋体" w:cs="宋体"/>
          <w:color w:val="auto"/>
          <w:kern w:val="0"/>
          <w:sz w:val="21"/>
          <w:szCs w:val="21"/>
          <w:highlight w:val="none"/>
        </w:rPr>
        <w:t>附件6：</w:t>
      </w:r>
    </w:p>
    <w:p w14:paraId="2276C326">
      <w:pPr>
        <w:spacing w:beforeLines="5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2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941"/>
        <w:gridCol w:w="1817"/>
        <w:gridCol w:w="3762"/>
      </w:tblGrid>
      <w:tr w14:paraId="64498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95DBC2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p>
        </w:tc>
        <w:tc>
          <w:tcPr>
            <w:tcW w:w="1418" w:type="dxa"/>
            <w:tcBorders>
              <w:top w:val="single" w:color="auto" w:sz="12" w:space="0"/>
              <w:bottom w:val="double" w:color="auto" w:sz="6" w:space="0"/>
            </w:tcBorders>
            <w:noWrap w:val="0"/>
            <w:vAlign w:val="center"/>
          </w:tcPr>
          <w:p w14:paraId="1C38FDF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941" w:type="dxa"/>
            <w:tcBorders>
              <w:top w:val="single" w:color="auto" w:sz="12" w:space="0"/>
              <w:bottom w:val="double" w:color="auto" w:sz="6" w:space="0"/>
            </w:tcBorders>
            <w:noWrap w:val="0"/>
            <w:vAlign w:val="center"/>
          </w:tcPr>
          <w:p w14:paraId="059CB25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职务</w:t>
            </w:r>
          </w:p>
        </w:tc>
        <w:tc>
          <w:tcPr>
            <w:tcW w:w="1817" w:type="dxa"/>
            <w:tcBorders>
              <w:top w:val="single" w:color="auto" w:sz="12" w:space="0"/>
              <w:bottom w:val="double" w:color="auto" w:sz="6" w:space="0"/>
            </w:tcBorders>
            <w:noWrap w:val="0"/>
            <w:vAlign w:val="center"/>
          </w:tcPr>
          <w:p w14:paraId="5E5940D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职称</w:t>
            </w:r>
          </w:p>
        </w:tc>
        <w:tc>
          <w:tcPr>
            <w:tcW w:w="3762" w:type="dxa"/>
            <w:tcBorders>
              <w:top w:val="single" w:color="auto" w:sz="12" w:space="0"/>
              <w:bottom w:val="double" w:color="auto" w:sz="6" w:space="0"/>
            </w:tcBorders>
            <w:noWrap w:val="0"/>
            <w:vAlign w:val="center"/>
          </w:tcPr>
          <w:p w14:paraId="390CDEE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主要资历、经验及承担过的项目</w:t>
            </w:r>
          </w:p>
        </w:tc>
      </w:tr>
      <w:tr w14:paraId="4E52F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5C4F95E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一、总部人员</w:t>
            </w:r>
          </w:p>
        </w:tc>
      </w:tr>
      <w:tr w14:paraId="2A006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6D3CCA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项目主管</w:t>
            </w:r>
          </w:p>
        </w:tc>
        <w:tc>
          <w:tcPr>
            <w:tcW w:w="1418" w:type="dxa"/>
            <w:tcBorders>
              <w:top w:val="nil"/>
            </w:tcBorders>
            <w:noWrap w:val="0"/>
            <w:vAlign w:val="center"/>
          </w:tcPr>
          <w:p w14:paraId="5CFF651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tcBorders>
              <w:top w:val="nil"/>
            </w:tcBorders>
            <w:noWrap w:val="0"/>
            <w:vAlign w:val="center"/>
          </w:tcPr>
          <w:p w14:paraId="1A21521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tcBorders>
              <w:top w:val="nil"/>
            </w:tcBorders>
            <w:noWrap w:val="0"/>
            <w:vAlign w:val="center"/>
          </w:tcPr>
          <w:p w14:paraId="78A8B95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tcBorders>
              <w:top w:val="nil"/>
            </w:tcBorders>
            <w:noWrap w:val="0"/>
            <w:vAlign w:val="center"/>
          </w:tcPr>
          <w:p w14:paraId="696A58D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6E8EF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5CA2B26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5150A8B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4AB5D1C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2479D6A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4EB88AB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D359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A5D857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其他人员</w:t>
            </w:r>
          </w:p>
        </w:tc>
        <w:tc>
          <w:tcPr>
            <w:tcW w:w="1418" w:type="dxa"/>
            <w:noWrap w:val="0"/>
            <w:vAlign w:val="center"/>
          </w:tcPr>
          <w:p w14:paraId="779176B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533E211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4AD8BC1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454F43B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C227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BF49F6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6510CE2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01996A7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10D3CF0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10EB1A4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0163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F37187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二、现场人员</w:t>
            </w:r>
          </w:p>
        </w:tc>
      </w:tr>
      <w:tr w14:paraId="0D0F2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F816EC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项目经理</w:t>
            </w:r>
          </w:p>
        </w:tc>
        <w:tc>
          <w:tcPr>
            <w:tcW w:w="1418" w:type="dxa"/>
            <w:noWrap w:val="0"/>
            <w:vAlign w:val="center"/>
          </w:tcPr>
          <w:p w14:paraId="5A8B83D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0E44CA3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79FBABC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146B1D2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22209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B89555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技术负责人</w:t>
            </w:r>
          </w:p>
        </w:tc>
        <w:tc>
          <w:tcPr>
            <w:tcW w:w="1418" w:type="dxa"/>
            <w:noWrap w:val="0"/>
            <w:vAlign w:val="center"/>
          </w:tcPr>
          <w:p w14:paraId="0326F94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7A8CED0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50D3610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3695617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3359E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1CD822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造价管理</w:t>
            </w:r>
          </w:p>
        </w:tc>
        <w:tc>
          <w:tcPr>
            <w:tcW w:w="1418" w:type="dxa"/>
            <w:noWrap w:val="0"/>
            <w:vAlign w:val="center"/>
          </w:tcPr>
          <w:p w14:paraId="01C37FA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6B2DF5A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4F88297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38DD8D6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0F959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F108B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质量管理</w:t>
            </w:r>
          </w:p>
        </w:tc>
        <w:tc>
          <w:tcPr>
            <w:tcW w:w="1418" w:type="dxa"/>
            <w:noWrap w:val="0"/>
            <w:vAlign w:val="center"/>
          </w:tcPr>
          <w:p w14:paraId="670D0E9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245DEFD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4DAAE67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5B266BA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AA3C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55406C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材料管理</w:t>
            </w:r>
          </w:p>
        </w:tc>
        <w:tc>
          <w:tcPr>
            <w:tcW w:w="1418" w:type="dxa"/>
            <w:noWrap w:val="0"/>
            <w:vAlign w:val="center"/>
          </w:tcPr>
          <w:p w14:paraId="60F0819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20EF353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512A514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256A9C6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6B0F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6E841B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计划管理</w:t>
            </w:r>
          </w:p>
        </w:tc>
        <w:tc>
          <w:tcPr>
            <w:tcW w:w="1418" w:type="dxa"/>
            <w:noWrap w:val="0"/>
            <w:vAlign w:val="center"/>
          </w:tcPr>
          <w:p w14:paraId="1ACC1C6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3D17658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0A54CCE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195B8FD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D239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42C198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安全管理</w:t>
            </w:r>
          </w:p>
        </w:tc>
        <w:tc>
          <w:tcPr>
            <w:tcW w:w="1418" w:type="dxa"/>
            <w:noWrap w:val="0"/>
            <w:vAlign w:val="center"/>
          </w:tcPr>
          <w:p w14:paraId="26C9A12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45D6EEF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2A68ECE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75A2D4F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010AE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0FC2B5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资料管理</w:t>
            </w:r>
          </w:p>
        </w:tc>
        <w:tc>
          <w:tcPr>
            <w:tcW w:w="1418" w:type="dxa"/>
            <w:noWrap w:val="0"/>
            <w:vAlign w:val="center"/>
          </w:tcPr>
          <w:p w14:paraId="61F63CD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6DF4BDA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6DE0FD3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05749BF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DD40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929B09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其他人员</w:t>
            </w:r>
          </w:p>
        </w:tc>
        <w:tc>
          <w:tcPr>
            <w:tcW w:w="1418" w:type="dxa"/>
            <w:noWrap w:val="0"/>
            <w:vAlign w:val="center"/>
          </w:tcPr>
          <w:p w14:paraId="50A6D10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6A27BD0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694A533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79041E8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FD83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B80B2CE">
            <w:pPr>
              <w:rPr>
                <w:rFonts w:hint="eastAsia" w:ascii="宋体" w:hAnsi="宋体" w:eastAsia="宋体" w:cs="宋体"/>
                <w:color w:val="auto"/>
                <w:sz w:val="21"/>
                <w:szCs w:val="21"/>
                <w:highlight w:val="none"/>
              </w:rPr>
            </w:pPr>
          </w:p>
        </w:tc>
        <w:tc>
          <w:tcPr>
            <w:tcW w:w="1418" w:type="dxa"/>
            <w:tcBorders>
              <w:bottom w:val="nil"/>
            </w:tcBorders>
            <w:noWrap w:val="0"/>
            <w:vAlign w:val="center"/>
          </w:tcPr>
          <w:p w14:paraId="168E492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tcBorders>
              <w:bottom w:val="nil"/>
            </w:tcBorders>
            <w:noWrap w:val="0"/>
            <w:vAlign w:val="center"/>
          </w:tcPr>
          <w:p w14:paraId="602337B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tcBorders>
              <w:bottom w:val="nil"/>
            </w:tcBorders>
            <w:noWrap w:val="0"/>
            <w:vAlign w:val="center"/>
          </w:tcPr>
          <w:p w14:paraId="3A53306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tcBorders>
              <w:bottom w:val="nil"/>
            </w:tcBorders>
            <w:noWrap w:val="0"/>
            <w:vAlign w:val="center"/>
          </w:tcPr>
          <w:p w14:paraId="6209A3A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D994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451B6FB">
            <w:pPr>
              <w:rPr>
                <w:rFonts w:hint="eastAsia" w:ascii="宋体" w:hAnsi="宋体" w:eastAsia="宋体" w:cs="宋体"/>
                <w:color w:val="auto"/>
                <w:sz w:val="21"/>
                <w:szCs w:val="21"/>
                <w:highlight w:val="none"/>
              </w:rPr>
            </w:pPr>
          </w:p>
        </w:tc>
        <w:tc>
          <w:tcPr>
            <w:tcW w:w="1418" w:type="dxa"/>
            <w:noWrap w:val="0"/>
            <w:vAlign w:val="center"/>
          </w:tcPr>
          <w:p w14:paraId="4F2B694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30D73D0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26970AB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5BFC311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00069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0FADCD6">
            <w:pPr>
              <w:rPr>
                <w:rFonts w:hint="eastAsia" w:ascii="宋体" w:hAnsi="宋体" w:eastAsia="宋体" w:cs="宋体"/>
                <w:color w:val="auto"/>
                <w:sz w:val="21"/>
                <w:szCs w:val="21"/>
                <w:highlight w:val="none"/>
              </w:rPr>
            </w:pPr>
          </w:p>
        </w:tc>
        <w:tc>
          <w:tcPr>
            <w:tcW w:w="1418" w:type="dxa"/>
            <w:noWrap w:val="0"/>
            <w:vAlign w:val="center"/>
          </w:tcPr>
          <w:p w14:paraId="0A92923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0EE69C6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658FF20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799C085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37D15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141D522">
            <w:pPr>
              <w:rPr>
                <w:rFonts w:hint="eastAsia" w:ascii="宋体" w:hAnsi="宋体" w:eastAsia="宋体" w:cs="宋体"/>
                <w:color w:val="auto"/>
                <w:sz w:val="21"/>
                <w:szCs w:val="21"/>
                <w:highlight w:val="none"/>
              </w:rPr>
            </w:pPr>
          </w:p>
        </w:tc>
        <w:tc>
          <w:tcPr>
            <w:tcW w:w="1418" w:type="dxa"/>
            <w:noWrap w:val="0"/>
            <w:vAlign w:val="center"/>
          </w:tcPr>
          <w:p w14:paraId="40AF337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noWrap w:val="0"/>
            <w:vAlign w:val="center"/>
          </w:tcPr>
          <w:p w14:paraId="5E1B5F5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noWrap w:val="0"/>
            <w:vAlign w:val="center"/>
          </w:tcPr>
          <w:p w14:paraId="3A25256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noWrap w:val="0"/>
            <w:vAlign w:val="center"/>
          </w:tcPr>
          <w:p w14:paraId="195CAC8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A1A8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44878C00">
            <w:pPr>
              <w:rPr>
                <w:rFonts w:hint="eastAsia" w:ascii="宋体" w:hAnsi="宋体" w:eastAsia="宋体" w:cs="宋体"/>
                <w:color w:val="auto"/>
                <w:sz w:val="21"/>
                <w:szCs w:val="21"/>
                <w:highlight w:val="none"/>
              </w:rPr>
            </w:pPr>
          </w:p>
        </w:tc>
        <w:tc>
          <w:tcPr>
            <w:tcW w:w="1418" w:type="dxa"/>
            <w:tcBorders>
              <w:bottom w:val="single" w:color="auto" w:sz="12" w:space="0"/>
            </w:tcBorders>
            <w:noWrap w:val="0"/>
            <w:vAlign w:val="center"/>
          </w:tcPr>
          <w:p w14:paraId="2B64E7F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941" w:type="dxa"/>
            <w:tcBorders>
              <w:bottom w:val="single" w:color="auto" w:sz="12" w:space="0"/>
            </w:tcBorders>
            <w:noWrap w:val="0"/>
            <w:vAlign w:val="center"/>
          </w:tcPr>
          <w:p w14:paraId="4EDBF5B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817" w:type="dxa"/>
            <w:tcBorders>
              <w:bottom w:val="single" w:color="auto" w:sz="12" w:space="0"/>
            </w:tcBorders>
            <w:noWrap w:val="0"/>
            <w:vAlign w:val="center"/>
          </w:tcPr>
          <w:p w14:paraId="2FF84C6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3762" w:type="dxa"/>
            <w:tcBorders>
              <w:bottom w:val="single" w:color="auto" w:sz="12" w:space="0"/>
            </w:tcBorders>
            <w:noWrap w:val="0"/>
            <w:vAlign w:val="center"/>
          </w:tcPr>
          <w:p w14:paraId="3113ECE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bl>
    <w:p w14:paraId="51297292">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630" w:name="_Toc296347228"/>
      <w:bookmarkStart w:id="631" w:name="_Toc296891057"/>
      <w:bookmarkStart w:id="632" w:name="_Toc296944568"/>
      <w:bookmarkStart w:id="633" w:name="_Toc296346730"/>
      <w:bookmarkStart w:id="634" w:name="_Toc296503229"/>
      <w:bookmarkStart w:id="635" w:name="_Toc296891269"/>
      <w:r>
        <w:rPr>
          <w:rFonts w:hint="eastAsia" w:ascii="宋体" w:hAnsi="宋体" w:eastAsia="宋体" w:cs="宋体"/>
          <w:color w:val="auto"/>
          <w:sz w:val="21"/>
          <w:szCs w:val="21"/>
          <w:highlight w:val="none"/>
        </w:rPr>
        <w:t>件7：</w:t>
      </w:r>
    </w:p>
    <w:bookmarkEnd w:id="630"/>
    <w:bookmarkEnd w:id="631"/>
    <w:bookmarkEnd w:id="632"/>
    <w:bookmarkEnd w:id="633"/>
    <w:bookmarkEnd w:id="634"/>
    <w:bookmarkEnd w:id="635"/>
    <w:p w14:paraId="0238F512">
      <w:pPr>
        <w:spacing w:beforeLines="50" w:afterLines="50" w:line="440" w:lineRule="exact"/>
        <w:jc w:val="center"/>
        <w:rPr>
          <w:rFonts w:hint="eastAsia" w:ascii="宋体" w:hAnsi="宋体" w:eastAsia="宋体" w:cs="宋体"/>
          <w:color w:val="auto"/>
          <w:sz w:val="21"/>
          <w:szCs w:val="21"/>
          <w:highlight w:val="none"/>
        </w:rPr>
      </w:pPr>
      <w:bookmarkStart w:id="636" w:name="_Toc267261701"/>
      <w:r>
        <w:rPr>
          <w:rFonts w:hint="eastAsia" w:ascii="宋体" w:hAnsi="宋体" w:eastAsia="宋体" w:cs="宋体"/>
          <w:color w:val="auto"/>
          <w:sz w:val="21"/>
          <w:szCs w:val="21"/>
          <w:highlight w:val="none"/>
        </w:rPr>
        <w:t>分包人主要施工管理人员表</w:t>
      </w:r>
    </w:p>
    <w:tbl>
      <w:tblPr>
        <w:tblStyle w:val="2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279C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BAD9E8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p>
        </w:tc>
        <w:tc>
          <w:tcPr>
            <w:tcW w:w="1418" w:type="dxa"/>
            <w:tcBorders>
              <w:top w:val="single" w:color="auto" w:sz="12" w:space="0"/>
              <w:bottom w:val="double" w:color="auto" w:sz="6" w:space="0"/>
            </w:tcBorders>
            <w:noWrap w:val="0"/>
            <w:vAlign w:val="center"/>
          </w:tcPr>
          <w:p w14:paraId="7EAB7F5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1134" w:type="dxa"/>
            <w:tcBorders>
              <w:top w:val="single" w:color="auto" w:sz="12" w:space="0"/>
              <w:bottom w:val="double" w:color="auto" w:sz="6" w:space="0"/>
            </w:tcBorders>
            <w:noWrap w:val="0"/>
            <w:vAlign w:val="center"/>
          </w:tcPr>
          <w:p w14:paraId="0014260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职务</w:t>
            </w:r>
          </w:p>
        </w:tc>
        <w:tc>
          <w:tcPr>
            <w:tcW w:w="1134" w:type="dxa"/>
            <w:tcBorders>
              <w:top w:val="single" w:color="auto" w:sz="12" w:space="0"/>
              <w:bottom w:val="double" w:color="auto" w:sz="6" w:space="0"/>
            </w:tcBorders>
            <w:noWrap w:val="0"/>
            <w:vAlign w:val="center"/>
          </w:tcPr>
          <w:p w14:paraId="0FAAE91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职称</w:t>
            </w:r>
          </w:p>
        </w:tc>
        <w:tc>
          <w:tcPr>
            <w:tcW w:w="4252" w:type="dxa"/>
            <w:tcBorders>
              <w:top w:val="single" w:color="auto" w:sz="12" w:space="0"/>
              <w:bottom w:val="double" w:color="auto" w:sz="6" w:space="0"/>
            </w:tcBorders>
            <w:noWrap w:val="0"/>
            <w:vAlign w:val="center"/>
          </w:tcPr>
          <w:p w14:paraId="1EBCF19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主要资历、经验及承担过的项目</w:t>
            </w:r>
          </w:p>
        </w:tc>
      </w:tr>
      <w:tr w14:paraId="6A19D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1A34688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一、总部人员</w:t>
            </w:r>
          </w:p>
        </w:tc>
      </w:tr>
      <w:tr w14:paraId="5D0E7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BE2C9A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项目主管</w:t>
            </w:r>
          </w:p>
        </w:tc>
        <w:tc>
          <w:tcPr>
            <w:tcW w:w="1418" w:type="dxa"/>
            <w:tcBorders>
              <w:top w:val="nil"/>
            </w:tcBorders>
            <w:noWrap w:val="0"/>
            <w:vAlign w:val="center"/>
          </w:tcPr>
          <w:p w14:paraId="2E24B79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tcBorders>
              <w:top w:val="nil"/>
            </w:tcBorders>
            <w:noWrap w:val="0"/>
            <w:vAlign w:val="center"/>
          </w:tcPr>
          <w:p w14:paraId="20BC141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tcBorders>
              <w:top w:val="nil"/>
            </w:tcBorders>
            <w:noWrap w:val="0"/>
            <w:vAlign w:val="center"/>
          </w:tcPr>
          <w:p w14:paraId="7F51B1B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tcBorders>
              <w:top w:val="nil"/>
            </w:tcBorders>
            <w:noWrap w:val="0"/>
            <w:vAlign w:val="center"/>
          </w:tcPr>
          <w:p w14:paraId="26ED6DF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62696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5F696A4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38377F8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2E26A6D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53CE598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1604CAE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FB23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D4CA3C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其他人员</w:t>
            </w:r>
          </w:p>
        </w:tc>
        <w:tc>
          <w:tcPr>
            <w:tcW w:w="1418" w:type="dxa"/>
            <w:noWrap w:val="0"/>
            <w:vAlign w:val="center"/>
          </w:tcPr>
          <w:p w14:paraId="05AAB2E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7E5ACB5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4C12242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4B91E85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2800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70B901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center"/>
          </w:tcPr>
          <w:p w14:paraId="28ADAD8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4C363D3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30BB744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350F0F7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04C9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15CC63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二、现场人员</w:t>
            </w:r>
          </w:p>
        </w:tc>
      </w:tr>
      <w:tr w14:paraId="29890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60A63B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项目经理</w:t>
            </w:r>
          </w:p>
        </w:tc>
        <w:tc>
          <w:tcPr>
            <w:tcW w:w="1418" w:type="dxa"/>
            <w:noWrap w:val="0"/>
            <w:vAlign w:val="center"/>
          </w:tcPr>
          <w:p w14:paraId="6C10666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4F72A5C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40D3674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6C98BAE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7848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72758B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项目副经理</w:t>
            </w:r>
          </w:p>
        </w:tc>
        <w:tc>
          <w:tcPr>
            <w:tcW w:w="1418" w:type="dxa"/>
            <w:noWrap w:val="0"/>
            <w:vAlign w:val="center"/>
          </w:tcPr>
          <w:p w14:paraId="7EDD9DC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1C450F1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37DFB8D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00AB471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4FA5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A68CE6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技术负责人</w:t>
            </w:r>
          </w:p>
        </w:tc>
        <w:tc>
          <w:tcPr>
            <w:tcW w:w="1418" w:type="dxa"/>
            <w:noWrap w:val="0"/>
            <w:vAlign w:val="center"/>
          </w:tcPr>
          <w:p w14:paraId="3A07718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22D2820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63AC84D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4E76595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0FBD6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76852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造价管理</w:t>
            </w:r>
          </w:p>
        </w:tc>
        <w:tc>
          <w:tcPr>
            <w:tcW w:w="1418" w:type="dxa"/>
            <w:noWrap w:val="0"/>
            <w:vAlign w:val="center"/>
          </w:tcPr>
          <w:p w14:paraId="03D0F10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4ECE0BC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75135CC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6F92574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2F49A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D3E5E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质量管理</w:t>
            </w:r>
          </w:p>
        </w:tc>
        <w:tc>
          <w:tcPr>
            <w:tcW w:w="1418" w:type="dxa"/>
            <w:noWrap w:val="0"/>
            <w:vAlign w:val="center"/>
          </w:tcPr>
          <w:p w14:paraId="5DEB3BD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0FBC6FD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6AB3AE6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093D03A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77EF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6BD8AD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材料管理</w:t>
            </w:r>
          </w:p>
        </w:tc>
        <w:tc>
          <w:tcPr>
            <w:tcW w:w="1418" w:type="dxa"/>
            <w:noWrap w:val="0"/>
            <w:vAlign w:val="center"/>
          </w:tcPr>
          <w:p w14:paraId="7E89480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0FE9A40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7E1C2C3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349DF27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F2DF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C05992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计划管理</w:t>
            </w:r>
          </w:p>
        </w:tc>
        <w:tc>
          <w:tcPr>
            <w:tcW w:w="1418" w:type="dxa"/>
            <w:noWrap w:val="0"/>
            <w:vAlign w:val="center"/>
          </w:tcPr>
          <w:p w14:paraId="177BC80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4AD2C0E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581F9B7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675D8DE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AEB3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2955BB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安全管理</w:t>
            </w:r>
          </w:p>
        </w:tc>
        <w:tc>
          <w:tcPr>
            <w:tcW w:w="1418" w:type="dxa"/>
            <w:noWrap w:val="0"/>
            <w:vAlign w:val="center"/>
          </w:tcPr>
          <w:p w14:paraId="558DC33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714577F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4FB51C0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47A8185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602A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8FFA08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其他人员</w:t>
            </w:r>
          </w:p>
        </w:tc>
        <w:tc>
          <w:tcPr>
            <w:tcW w:w="1418" w:type="dxa"/>
            <w:noWrap w:val="0"/>
            <w:vAlign w:val="center"/>
          </w:tcPr>
          <w:p w14:paraId="4A6E799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0A06806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3DCEBDE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53E0703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1BB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C008A17">
            <w:pPr>
              <w:rPr>
                <w:rFonts w:hint="eastAsia" w:ascii="宋体" w:hAnsi="宋体" w:eastAsia="宋体" w:cs="宋体"/>
                <w:color w:val="auto"/>
                <w:sz w:val="21"/>
                <w:szCs w:val="21"/>
                <w:highlight w:val="none"/>
              </w:rPr>
            </w:pPr>
          </w:p>
        </w:tc>
        <w:tc>
          <w:tcPr>
            <w:tcW w:w="1418" w:type="dxa"/>
            <w:tcBorders>
              <w:bottom w:val="nil"/>
            </w:tcBorders>
            <w:noWrap w:val="0"/>
            <w:vAlign w:val="center"/>
          </w:tcPr>
          <w:p w14:paraId="138836F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tcBorders>
              <w:bottom w:val="nil"/>
            </w:tcBorders>
            <w:noWrap w:val="0"/>
            <w:vAlign w:val="center"/>
          </w:tcPr>
          <w:p w14:paraId="3E6EA9D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tcBorders>
              <w:bottom w:val="nil"/>
            </w:tcBorders>
            <w:noWrap w:val="0"/>
            <w:vAlign w:val="center"/>
          </w:tcPr>
          <w:p w14:paraId="222B164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tcBorders>
              <w:bottom w:val="nil"/>
            </w:tcBorders>
            <w:noWrap w:val="0"/>
            <w:vAlign w:val="center"/>
          </w:tcPr>
          <w:p w14:paraId="1C238F7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3D7B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7039AE4">
            <w:pPr>
              <w:rPr>
                <w:rFonts w:hint="eastAsia" w:ascii="宋体" w:hAnsi="宋体" w:eastAsia="宋体" w:cs="宋体"/>
                <w:color w:val="auto"/>
                <w:sz w:val="21"/>
                <w:szCs w:val="21"/>
                <w:highlight w:val="none"/>
              </w:rPr>
            </w:pPr>
          </w:p>
        </w:tc>
        <w:tc>
          <w:tcPr>
            <w:tcW w:w="1418" w:type="dxa"/>
            <w:noWrap w:val="0"/>
            <w:vAlign w:val="center"/>
          </w:tcPr>
          <w:p w14:paraId="770EBD3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4EC9BB1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1D8B642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42CC7A1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086AD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AEFCD0C">
            <w:pPr>
              <w:rPr>
                <w:rFonts w:hint="eastAsia" w:ascii="宋体" w:hAnsi="宋体" w:eastAsia="宋体" w:cs="宋体"/>
                <w:color w:val="auto"/>
                <w:sz w:val="21"/>
                <w:szCs w:val="21"/>
                <w:highlight w:val="none"/>
              </w:rPr>
            </w:pPr>
          </w:p>
        </w:tc>
        <w:tc>
          <w:tcPr>
            <w:tcW w:w="1418" w:type="dxa"/>
            <w:noWrap w:val="0"/>
            <w:vAlign w:val="center"/>
          </w:tcPr>
          <w:p w14:paraId="665BF91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6E12075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32B79A7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62EC388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6477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ABA4EDB">
            <w:pPr>
              <w:rPr>
                <w:rFonts w:hint="eastAsia" w:ascii="宋体" w:hAnsi="宋体" w:eastAsia="宋体" w:cs="宋体"/>
                <w:color w:val="auto"/>
                <w:sz w:val="21"/>
                <w:szCs w:val="21"/>
                <w:highlight w:val="none"/>
              </w:rPr>
            </w:pPr>
          </w:p>
        </w:tc>
        <w:tc>
          <w:tcPr>
            <w:tcW w:w="1418" w:type="dxa"/>
            <w:noWrap w:val="0"/>
            <w:vAlign w:val="center"/>
          </w:tcPr>
          <w:p w14:paraId="46A8784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2256BF6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noWrap w:val="0"/>
            <w:vAlign w:val="center"/>
          </w:tcPr>
          <w:p w14:paraId="07AB629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noWrap w:val="0"/>
            <w:vAlign w:val="center"/>
          </w:tcPr>
          <w:p w14:paraId="4559906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413F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43F1A5E7">
            <w:pPr>
              <w:rPr>
                <w:rFonts w:hint="eastAsia" w:ascii="宋体" w:hAnsi="宋体" w:eastAsia="宋体" w:cs="宋体"/>
                <w:color w:val="auto"/>
                <w:sz w:val="21"/>
                <w:szCs w:val="21"/>
                <w:highlight w:val="none"/>
              </w:rPr>
            </w:pPr>
          </w:p>
        </w:tc>
        <w:tc>
          <w:tcPr>
            <w:tcW w:w="1418" w:type="dxa"/>
            <w:tcBorders>
              <w:bottom w:val="single" w:color="auto" w:sz="12" w:space="0"/>
            </w:tcBorders>
            <w:noWrap w:val="0"/>
            <w:vAlign w:val="center"/>
          </w:tcPr>
          <w:p w14:paraId="3BC348F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tcBorders>
              <w:bottom w:val="single" w:color="auto" w:sz="12" w:space="0"/>
            </w:tcBorders>
            <w:noWrap w:val="0"/>
            <w:vAlign w:val="center"/>
          </w:tcPr>
          <w:p w14:paraId="534E45D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134" w:type="dxa"/>
            <w:tcBorders>
              <w:bottom w:val="single" w:color="auto" w:sz="12" w:space="0"/>
            </w:tcBorders>
            <w:noWrap w:val="0"/>
            <w:vAlign w:val="center"/>
          </w:tcPr>
          <w:p w14:paraId="7AB1D6D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252" w:type="dxa"/>
            <w:tcBorders>
              <w:bottom w:val="single" w:color="auto" w:sz="12" w:space="0"/>
            </w:tcBorders>
            <w:noWrap w:val="0"/>
            <w:vAlign w:val="center"/>
          </w:tcPr>
          <w:p w14:paraId="4D98ABB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bl>
    <w:p w14:paraId="1F023C1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637" w:name="_Toc296944570"/>
      <w:bookmarkStart w:id="638" w:name="_Toc296891271"/>
      <w:bookmarkStart w:id="639" w:name="_Toc296891059"/>
      <w:bookmarkStart w:id="640" w:name="_Toc296347230"/>
      <w:bookmarkStart w:id="641" w:name="_Toc296346732"/>
      <w:bookmarkStart w:id="642" w:name="_Toc296503231"/>
      <w:r>
        <w:rPr>
          <w:rFonts w:hint="eastAsia" w:ascii="宋体" w:hAnsi="宋体" w:eastAsia="宋体" w:cs="宋体"/>
          <w:color w:val="auto"/>
          <w:sz w:val="21"/>
          <w:szCs w:val="21"/>
          <w:highlight w:val="none"/>
        </w:rPr>
        <w:t>件8：</w:t>
      </w:r>
    </w:p>
    <w:bookmarkEnd w:id="636"/>
    <w:bookmarkEnd w:id="637"/>
    <w:bookmarkEnd w:id="638"/>
    <w:bookmarkEnd w:id="639"/>
    <w:bookmarkEnd w:id="640"/>
    <w:bookmarkEnd w:id="641"/>
    <w:bookmarkEnd w:id="642"/>
    <w:p w14:paraId="56370F35">
      <w:pPr>
        <w:spacing w:beforeLines="5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p w14:paraId="7BDC790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w:t>
      </w:r>
    </w:p>
    <w:p w14:paraId="4F87342A">
      <w:pPr>
        <w:spacing w:line="440" w:lineRule="exact"/>
        <w:rPr>
          <w:rFonts w:hint="eastAsia" w:ascii="宋体" w:hAnsi="宋体" w:eastAsia="宋体" w:cs="宋体"/>
          <w:color w:val="auto"/>
          <w:sz w:val="21"/>
          <w:szCs w:val="21"/>
          <w:highlight w:val="none"/>
        </w:rPr>
      </w:pPr>
    </w:p>
    <w:p w14:paraId="351A77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（发包人名称，以下简称“发包人”）与</w:t>
      </w:r>
    </w:p>
    <w:p w14:paraId="2D6E1C7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（工程名称）施工及有关事项协商一致共同签订《建设工程施工合同》。我方愿意无条件地、不可撤销地就承包人履行与你方签订的合同，向你方提供连带责任担保。 </w:t>
      </w:r>
    </w:p>
    <w:p w14:paraId="1160C15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E26BE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担保有效期自你方与承包人签订的合同生效之日起至你方签发或应签发工程接收证书之日止。</w:t>
      </w:r>
    </w:p>
    <w:p w14:paraId="21D0E9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在本担保有效期内，因承包人违反合同约定的义务给你方造成经济损失时，我方在收到你方以书面形式提出的在担保金额内的赔偿要求后，在7天内无条件支付。</w:t>
      </w:r>
    </w:p>
    <w:p w14:paraId="2B3BBB5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你方和承包人按合同约定变更合同时，我方承担本担保规定的义务不变。</w:t>
      </w:r>
    </w:p>
    <w:p w14:paraId="07E194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01E81C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02DC88AF">
      <w:pPr>
        <w:spacing w:line="360" w:lineRule="auto"/>
        <w:rPr>
          <w:rFonts w:hint="eastAsia" w:ascii="宋体" w:hAnsi="宋体" w:eastAsia="宋体" w:cs="宋体"/>
          <w:color w:val="auto"/>
          <w:sz w:val="21"/>
          <w:szCs w:val="21"/>
          <w:highlight w:val="none"/>
        </w:rPr>
      </w:pPr>
    </w:p>
    <w:p w14:paraId="596E62F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（盖单位公章）</w:t>
      </w:r>
    </w:p>
    <w:p w14:paraId="1AE164E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1916FF1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50CD856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6B0D919E">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42D989A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060D5C56">
      <w:pPr>
        <w:spacing w:line="360" w:lineRule="auto"/>
        <w:jc w:val="left"/>
        <w:rPr>
          <w:rFonts w:hint="eastAsia" w:ascii="宋体" w:hAnsi="宋体" w:eastAsia="宋体" w:cs="宋体"/>
          <w:color w:val="auto"/>
          <w:sz w:val="21"/>
          <w:szCs w:val="21"/>
          <w:highlight w:val="none"/>
          <w:u w:val="single"/>
        </w:rPr>
      </w:pPr>
    </w:p>
    <w:p w14:paraId="54D0F35E">
      <w:pPr>
        <w:spacing w:line="360" w:lineRule="auto"/>
        <w:ind w:left="1329"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1A8DA4D">
      <w:pPr>
        <w:spacing w:line="360" w:lineRule="auto"/>
        <w:ind w:left="1899" w:hanging="1329" w:hangingChars="633"/>
        <w:rPr>
          <w:rFonts w:hint="eastAsia" w:ascii="宋体" w:hAnsi="宋体" w:eastAsia="宋体" w:cs="宋体"/>
          <w:color w:val="auto"/>
          <w:sz w:val="21"/>
          <w:szCs w:val="21"/>
          <w:highlight w:val="none"/>
        </w:rPr>
      </w:pPr>
    </w:p>
    <w:p w14:paraId="7A903CBB">
      <w:pPr>
        <w:spacing w:line="360" w:lineRule="auto"/>
        <w:ind w:left="1899" w:hanging="1329" w:hangingChars="633"/>
        <w:rPr>
          <w:rFonts w:hint="eastAsia" w:ascii="宋体" w:hAnsi="宋体" w:eastAsia="宋体" w:cs="宋体"/>
          <w:color w:val="auto"/>
          <w:sz w:val="21"/>
          <w:szCs w:val="21"/>
          <w:highlight w:val="none"/>
        </w:rPr>
      </w:pPr>
    </w:p>
    <w:p w14:paraId="6DEEFE9F">
      <w:pPr>
        <w:spacing w:line="360" w:lineRule="auto"/>
        <w:ind w:left="1899" w:hanging="1329" w:hangingChars="633"/>
        <w:rPr>
          <w:rFonts w:hint="eastAsia" w:ascii="宋体" w:hAnsi="宋体" w:eastAsia="宋体" w:cs="宋体"/>
          <w:color w:val="auto"/>
          <w:sz w:val="21"/>
          <w:szCs w:val="21"/>
          <w:highlight w:val="none"/>
        </w:rPr>
      </w:pPr>
    </w:p>
    <w:p w14:paraId="5E72F253">
      <w:pPr>
        <w:spacing w:line="360" w:lineRule="auto"/>
        <w:ind w:left="1899" w:hanging="1329" w:hangingChars="633"/>
        <w:rPr>
          <w:rFonts w:hint="eastAsia" w:ascii="宋体" w:hAnsi="宋体" w:eastAsia="宋体" w:cs="宋体"/>
          <w:color w:val="auto"/>
          <w:sz w:val="21"/>
          <w:szCs w:val="21"/>
          <w:highlight w:val="none"/>
        </w:rPr>
      </w:pPr>
    </w:p>
    <w:p w14:paraId="7B65831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643" w:name="_Toc296346733"/>
      <w:bookmarkStart w:id="644" w:name="_Toc296891060"/>
      <w:bookmarkStart w:id="645" w:name="_Toc267261702"/>
      <w:bookmarkStart w:id="646" w:name="_Toc296891272"/>
      <w:bookmarkStart w:id="647" w:name="_Toc296944571"/>
      <w:bookmarkStart w:id="648" w:name="_Toc296347231"/>
      <w:bookmarkStart w:id="649" w:name="_Toc296503232"/>
      <w:r>
        <w:rPr>
          <w:rFonts w:hint="eastAsia" w:ascii="宋体" w:hAnsi="宋体" w:eastAsia="宋体" w:cs="宋体"/>
          <w:color w:val="auto"/>
          <w:sz w:val="21"/>
          <w:szCs w:val="21"/>
          <w:highlight w:val="none"/>
        </w:rPr>
        <w:t>件9 ：</w:t>
      </w:r>
    </w:p>
    <w:bookmarkEnd w:id="643"/>
    <w:bookmarkEnd w:id="644"/>
    <w:bookmarkEnd w:id="645"/>
    <w:bookmarkEnd w:id="646"/>
    <w:bookmarkEnd w:id="647"/>
    <w:bookmarkEnd w:id="648"/>
    <w:bookmarkEnd w:id="649"/>
    <w:p w14:paraId="771DD07A">
      <w:pPr>
        <w:spacing w:beforeLines="5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7FCDD13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231589C5">
      <w:pPr>
        <w:spacing w:line="360" w:lineRule="auto"/>
        <w:rPr>
          <w:rFonts w:hint="eastAsia" w:ascii="宋体" w:hAnsi="宋体" w:eastAsia="宋体" w:cs="宋体"/>
          <w:color w:val="auto"/>
          <w:sz w:val="21"/>
          <w:szCs w:val="21"/>
          <w:highlight w:val="none"/>
        </w:rPr>
      </w:pPr>
    </w:p>
    <w:p w14:paraId="5E114FB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p>
    <w:p w14:paraId="0F41C7E4">
      <w:pPr>
        <w:spacing w:line="360" w:lineRule="auto"/>
        <w:outlineLvl w:val="0"/>
        <w:rPr>
          <w:rFonts w:hint="eastAsia" w:ascii="宋体" w:hAnsi="宋体" w:eastAsia="宋体" w:cs="宋体"/>
          <w:color w:val="auto"/>
          <w:sz w:val="21"/>
          <w:szCs w:val="21"/>
          <w:highlight w:val="none"/>
        </w:rPr>
      </w:pPr>
      <w:bookmarkStart w:id="650" w:name="_Toc90964164"/>
      <w:r>
        <w:rPr>
          <w:rFonts w:hint="eastAsia" w:ascii="宋体" w:hAnsi="宋体" w:eastAsia="宋体" w:cs="宋体"/>
          <w:color w:val="auto"/>
          <w:sz w:val="21"/>
          <w:szCs w:val="21"/>
          <w:highlight w:val="none"/>
          <w:u w:val="single"/>
        </w:rPr>
        <w:t xml:space="preserve">                        </w:t>
      </w:r>
      <w:bookmarkStart w:id="651" w:name="_Toc32044"/>
      <w:bookmarkStart w:id="652" w:name="_Toc516215094"/>
      <w:bookmarkStart w:id="653" w:name="_Toc2465"/>
      <w:bookmarkStart w:id="654" w:name="_Toc36066926"/>
      <w:bookmarkStart w:id="655" w:name="_Toc4251"/>
      <w:bookmarkStart w:id="656" w:name="_Toc500856316"/>
      <w:bookmarkStart w:id="657" w:name="_Toc36066668"/>
      <w:bookmarkStart w:id="658" w:name="_Toc501717176"/>
      <w:bookmarkStart w:id="659" w:name="_Toc36066384"/>
      <w:bookmarkStart w:id="660" w:name="_Toc500745204"/>
      <w:r>
        <w:rPr>
          <w:rFonts w:hint="eastAsia" w:ascii="宋体" w:hAnsi="宋体" w:eastAsia="宋体" w:cs="宋体"/>
          <w:color w:val="auto"/>
          <w:sz w:val="21"/>
          <w:szCs w:val="21"/>
          <w:highlight w:val="none"/>
        </w:rPr>
        <w:t>（发包人名称）（以下简称“发包人”）</w:t>
      </w:r>
      <w:bookmarkEnd w:id="650"/>
      <w:bookmarkEnd w:id="651"/>
      <w:bookmarkEnd w:id="652"/>
      <w:bookmarkEnd w:id="653"/>
      <w:bookmarkEnd w:id="654"/>
      <w:bookmarkEnd w:id="655"/>
      <w:bookmarkEnd w:id="656"/>
      <w:bookmarkEnd w:id="657"/>
      <w:bookmarkEnd w:id="658"/>
      <w:bookmarkEnd w:id="659"/>
      <w:bookmarkEnd w:id="660"/>
    </w:p>
    <w:p w14:paraId="6075D48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26A851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15CE5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14AFADC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BDD915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2FEFEFD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7496C94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10307F04">
      <w:pPr>
        <w:spacing w:line="360" w:lineRule="auto"/>
        <w:rPr>
          <w:rFonts w:hint="eastAsia" w:ascii="宋体" w:hAnsi="宋体" w:eastAsia="宋体" w:cs="宋体"/>
          <w:color w:val="auto"/>
          <w:sz w:val="21"/>
          <w:szCs w:val="21"/>
          <w:highlight w:val="none"/>
        </w:rPr>
      </w:pPr>
    </w:p>
    <w:p w14:paraId="7FB4AEAC">
      <w:pPr>
        <w:spacing w:line="360" w:lineRule="auto"/>
        <w:rPr>
          <w:rFonts w:hint="eastAsia" w:ascii="宋体" w:hAnsi="宋体" w:eastAsia="宋体" w:cs="宋体"/>
          <w:color w:val="auto"/>
          <w:sz w:val="21"/>
          <w:szCs w:val="21"/>
          <w:highlight w:val="none"/>
        </w:rPr>
      </w:pPr>
    </w:p>
    <w:p w14:paraId="633015D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（盖单位公章）</w:t>
      </w:r>
    </w:p>
    <w:p w14:paraId="62DB9BF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3427BE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4F8B2FE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6B9052D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055BA6DA">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0BCC5A0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5F33B1D">
      <w:pPr>
        <w:spacing w:line="360" w:lineRule="auto"/>
        <w:rPr>
          <w:rFonts w:hint="eastAsia" w:ascii="宋体" w:hAnsi="宋体" w:eastAsia="宋体" w:cs="宋体"/>
          <w:color w:val="auto"/>
          <w:sz w:val="21"/>
          <w:szCs w:val="21"/>
          <w:highlight w:val="none"/>
          <w:u w:val="single"/>
        </w:rPr>
      </w:pPr>
    </w:p>
    <w:p w14:paraId="10F229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863422C">
      <w:pPr>
        <w:spacing w:line="44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w:t>
      </w:r>
      <w:bookmarkStart w:id="661" w:name="_Toc296346734"/>
      <w:bookmarkStart w:id="662" w:name="_Toc296891273"/>
      <w:bookmarkStart w:id="663" w:name="_Toc296891061"/>
      <w:bookmarkStart w:id="664" w:name="_Toc296503233"/>
      <w:bookmarkStart w:id="665" w:name="_Toc296347232"/>
      <w:bookmarkStart w:id="666" w:name="_Toc296944572"/>
      <w:r>
        <w:rPr>
          <w:rFonts w:hint="eastAsia" w:ascii="宋体" w:hAnsi="宋体" w:eastAsia="宋体" w:cs="宋体"/>
          <w:color w:val="auto"/>
          <w:sz w:val="21"/>
          <w:szCs w:val="21"/>
          <w:highlight w:val="none"/>
        </w:rPr>
        <w:t xml:space="preserve">件10:  </w:t>
      </w:r>
    </w:p>
    <w:bookmarkEnd w:id="661"/>
    <w:bookmarkEnd w:id="662"/>
    <w:bookmarkEnd w:id="663"/>
    <w:bookmarkEnd w:id="664"/>
    <w:bookmarkEnd w:id="665"/>
    <w:bookmarkEnd w:id="666"/>
    <w:p w14:paraId="29498047">
      <w:pPr>
        <w:spacing w:beforeLines="5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16F059E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3264310B">
      <w:pPr>
        <w:spacing w:line="440" w:lineRule="exact"/>
        <w:jc w:val="left"/>
        <w:rPr>
          <w:rFonts w:hint="eastAsia" w:ascii="宋体" w:hAnsi="宋体" w:eastAsia="宋体" w:cs="宋体"/>
          <w:color w:val="auto"/>
          <w:sz w:val="21"/>
          <w:szCs w:val="21"/>
          <w:highlight w:val="none"/>
        </w:rPr>
      </w:pPr>
    </w:p>
    <w:p w14:paraId="109E10B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427EBF1">
      <w:pPr>
        <w:spacing w:line="400" w:lineRule="exact"/>
        <w:ind w:firstLine="420" w:firstLineChars="200"/>
        <w:jc w:val="left"/>
        <w:outlineLvl w:val="0"/>
        <w:rPr>
          <w:rFonts w:hint="eastAsia" w:ascii="宋体" w:hAnsi="宋体" w:eastAsia="宋体" w:cs="宋体"/>
          <w:color w:val="auto"/>
          <w:sz w:val="21"/>
          <w:szCs w:val="21"/>
          <w:highlight w:val="none"/>
        </w:rPr>
      </w:pPr>
      <w:bookmarkStart w:id="667" w:name="_Toc500745205"/>
      <w:bookmarkStart w:id="668" w:name="_Toc36066927"/>
      <w:bookmarkStart w:id="669" w:name="_Toc8146"/>
      <w:bookmarkStart w:id="670" w:name="_Toc501717177"/>
      <w:bookmarkStart w:id="671" w:name="_Toc500856317"/>
      <w:bookmarkStart w:id="672" w:name="_Toc24778"/>
      <w:bookmarkStart w:id="673" w:name="_Toc90964165"/>
      <w:bookmarkStart w:id="674" w:name="_Toc516215095"/>
      <w:bookmarkStart w:id="675" w:name="_Toc36066385"/>
      <w:bookmarkStart w:id="676" w:name="_Toc18790"/>
      <w:bookmarkStart w:id="677" w:name="_Toc36066669"/>
      <w:r>
        <w:rPr>
          <w:rFonts w:hint="eastAsia" w:ascii="宋体" w:hAnsi="宋体" w:eastAsia="宋体" w:cs="宋体"/>
          <w:color w:val="auto"/>
          <w:sz w:val="21"/>
          <w:szCs w:val="21"/>
          <w:highlight w:val="none"/>
        </w:rPr>
        <w:t>一、保证的范围及保证金额</w:t>
      </w:r>
      <w:bookmarkEnd w:id="667"/>
      <w:bookmarkEnd w:id="668"/>
      <w:bookmarkEnd w:id="669"/>
      <w:bookmarkEnd w:id="670"/>
      <w:bookmarkEnd w:id="671"/>
      <w:bookmarkEnd w:id="672"/>
      <w:bookmarkEnd w:id="673"/>
      <w:bookmarkEnd w:id="674"/>
      <w:bookmarkEnd w:id="675"/>
      <w:bookmarkEnd w:id="676"/>
      <w:bookmarkEnd w:id="677"/>
    </w:p>
    <w:p w14:paraId="66F9A7F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2855C7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08E9EBB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A34F4E">
      <w:pPr>
        <w:spacing w:line="400" w:lineRule="exact"/>
        <w:ind w:firstLine="420" w:firstLineChars="200"/>
        <w:jc w:val="left"/>
        <w:outlineLvl w:val="0"/>
        <w:rPr>
          <w:rFonts w:hint="eastAsia" w:ascii="宋体" w:hAnsi="宋体" w:eastAsia="宋体" w:cs="宋体"/>
          <w:color w:val="auto"/>
          <w:sz w:val="21"/>
          <w:szCs w:val="21"/>
          <w:highlight w:val="none"/>
        </w:rPr>
      </w:pPr>
      <w:bookmarkStart w:id="678" w:name="_Toc90964166"/>
      <w:bookmarkStart w:id="679" w:name="_Toc500745206"/>
      <w:bookmarkStart w:id="680" w:name="_Toc516215096"/>
      <w:bookmarkStart w:id="681" w:name="_Toc36066386"/>
      <w:bookmarkStart w:id="682" w:name="_Toc20422"/>
      <w:bookmarkStart w:id="683" w:name="_Toc22261"/>
      <w:bookmarkStart w:id="684" w:name="_Toc501717178"/>
      <w:bookmarkStart w:id="685" w:name="_Toc36066928"/>
      <w:bookmarkStart w:id="686" w:name="_Toc36066670"/>
      <w:bookmarkStart w:id="687" w:name="_Toc12418"/>
      <w:bookmarkStart w:id="688" w:name="_Toc500856318"/>
      <w:r>
        <w:rPr>
          <w:rFonts w:hint="eastAsia" w:ascii="宋体" w:hAnsi="宋体" w:eastAsia="宋体" w:cs="宋体"/>
          <w:color w:val="auto"/>
          <w:sz w:val="21"/>
          <w:szCs w:val="21"/>
          <w:highlight w:val="none"/>
        </w:rPr>
        <w:t>二、保证的方式及保证期间</w:t>
      </w:r>
      <w:bookmarkEnd w:id="678"/>
      <w:bookmarkEnd w:id="679"/>
      <w:bookmarkEnd w:id="680"/>
      <w:bookmarkEnd w:id="681"/>
      <w:bookmarkEnd w:id="682"/>
      <w:bookmarkEnd w:id="683"/>
      <w:bookmarkEnd w:id="684"/>
      <w:bookmarkEnd w:id="685"/>
      <w:bookmarkEnd w:id="686"/>
      <w:bookmarkEnd w:id="687"/>
      <w:bookmarkEnd w:id="688"/>
    </w:p>
    <w:p w14:paraId="1190C9E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6120FF1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DACB5E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6AA84BFF">
      <w:pPr>
        <w:spacing w:line="400" w:lineRule="exact"/>
        <w:ind w:firstLine="420" w:firstLineChars="200"/>
        <w:jc w:val="left"/>
        <w:outlineLvl w:val="0"/>
        <w:rPr>
          <w:rFonts w:hint="eastAsia" w:ascii="宋体" w:hAnsi="宋体" w:eastAsia="宋体" w:cs="宋体"/>
          <w:color w:val="auto"/>
          <w:sz w:val="21"/>
          <w:szCs w:val="21"/>
          <w:highlight w:val="none"/>
        </w:rPr>
      </w:pPr>
      <w:bookmarkStart w:id="689" w:name="_Toc516215097"/>
      <w:bookmarkStart w:id="690" w:name="_Toc90964167"/>
      <w:bookmarkStart w:id="691" w:name="_Toc501717179"/>
      <w:bookmarkStart w:id="692" w:name="_Toc500856319"/>
      <w:bookmarkStart w:id="693" w:name="_Toc18638"/>
      <w:bookmarkStart w:id="694" w:name="_Toc36066671"/>
      <w:bookmarkStart w:id="695" w:name="_Toc500745207"/>
      <w:bookmarkStart w:id="696" w:name="_Toc36066929"/>
      <w:bookmarkStart w:id="697" w:name="_Toc31950"/>
      <w:bookmarkStart w:id="698" w:name="_Toc5600"/>
      <w:bookmarkStart w:id="699" w:name="_Toc36066387"/>
      <w:r>
        <w:rPr>
          <w:rFonts w:hint="eastAsia" w:ascii="宋体" w:hAnsi="宋体" w:eastAsia="宋体" w:cs="宋体"/>
          <w:color w:val="auto"/>
          <w:sz w:val="21"/>
          <w:szCs w:val="21"/>
          <w:highlight w:val="none"/>
        </w:rPr>
        <w:t>三、承担保证责任的形式</w:t>
      </w:r>
      <w:bookmarkEnd w:id="689"/>
      <w:bookmarkEnd w:id="690"/>
      <w:bookmarkEnd w:id="691"/>
      <w:bookmarkEnd w:id="692"/>
      <w:bookmarkEnd w:id="693"/>
      <w:bookmarkEnd w:id="694"/>
      <w:bookmarkEnd w:id="695"/>
      <w:bookmarkEnd w:id="696"/>
      <w:bookmarkEnd w:id="697"/>
      <w:bookmarkEnd w:id="698"/>
      <w:bookmarkEnd w:id="699"/>
    </w:p>
    <w:p w14:paraId="34A1FEA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64DD258D">
      <w:pPr>
        <w:spacing w:line="400" w:lineRule="exact"/>
        <w:ind w:firstLine="420" w:firstLineChars="200"/>
        <w:jc w:val="left"/>
        <w:outlineLvl w:val="0"/>
        <w:rPr>
          <w:rFonts w:hint="eastAsia" w:ascii="宋体" w:hAnsi="宋体" w:eastAsia="宋体" w:cs="宋体"/>
          <w:color w:val="auto"/>
          <w:sz w:val="21"/>
          <w:szCs w:val="21"/>
          <w:highlight w:val="none"/>
        </w:rPr>
      </w:pPr>
      <w:bookmarkStart w:id="700" w:name="_Toc90964168"/>
      <w:bookmarkStart w:id="701" w:name="_Toc500745208"/>
      <w:bookmarkStart w:id="702" w:name="_Toc516215098"/>
      <w:bookmarkStart w:id="703" w:name="_Toc36066930"/>
      <w:bookmarkStart w:id="704" w:name="_Toc32252"/>
      <w:bookmarkStart w:id="705" w:name="_Toc36066672"/>
      <w:bookmarkStart w:id="706" w:name="_Toc500856320"/>
      <w:bookmarkStart w:id="707" w:name="_Toc17408"/>
      <w:bookmarkStart w:id="708" w:name="_Toc501717180"/>
      <w:bookmarkStart w:id="709" w:name="_Toc30666"/>
      <w:bookmarkStart w:id="710" w:name="_Toc36066388"/>
      <w:r>
        <w:rPr>
          <w:rFonts w:hint="eastAsia" w:ascii="宋体" w:hAnsi="宋体" w:eastAsia="宋体" w:cs="宋体"/>
          <w:color w:val="auto"/>
          <w:sz w:val="21"/>
          <w:szCs w:val="21"/>
          <w:highlight w:val="none"/>
        </w:rPr>
        <w:t>四、代偿的安排</w:t>
      </w:r>
      <w:bookmarkEnd w:id="700"/>
      <w:bookmarkEnd w:id="701"/>
      <w:bookmarkEnd w:id="702"/>
      <w:bookmarkEnd w:id="703"/>
      <w:bookmarkEnd w:id="704"/>
      <w:bookmarkEnd w:id="705"/>
      <w:bookmarkEnd w:id="706"/>
      <w:bookmarkEnd w:id="707"/>
      <w:bookmarkEnd w:id="708"/>
      <w:bookmarkEnd w:id="709"/>
      <w:bookmarkEnd w:id="710"/>
    </w:p>
    <w:p w14:paraId="0E9A77E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5FF0383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189D64A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2179FD7F">
      <w:pPr>
        <w:spacing w:line="400" w:lineRule="exact"/>
        <w:ind w:firstLine="420" w:firstLineChars="200"/>
        <w:jc w:val="left"/>
        <w:outlineLvl w:val="0"/>
        <w:rPr>
          <w:rFonts w:hint="eastAsia" w:ascii="宋体" w:hAnsi="宋体" w:eastAsia="宋体" w:cs="宋体"/>
          <w:color w:val="auto"/>
          <w:sz w:val="21"/>
          <w:szCs w:val="21"/>
          <w:highlight w:val="none"/>
        </w:rPr>
      </w:pPr>
      <w:bookmarkStart w:id="711" w:name="_Toc36066389"/>
      <w:bookmarkStart w:id="712" w:name="_Toc500745209"/>
      <w:bookmarkStart w:id="713" w:name="_Toc36066673"/>
      <w:bookmarkStart w:id="714" w:name="_Toc501717181"/>
      <w:bookmarkStart w:id="715" w:name="_Toc500856321"/>
      <w:bookmarkStart w:id="716" w:name="_Toc25806"/>
      <w:bookmarkStart w:id="717" w:name="_Toc90964169"/>
      <w:bookmarkStart w:id="718" w:name="_Toc13753"/>
      <w:bookmarkStart w:id="719" w:name="_Toc516215099"/>
      <w:bookmarkStart w:id="720" w:name="_Toc14043"/>
      <w:bookmarkStart w:id="721" w:name="_Toc36066931"/>
      <w:r>
        <w:rPr>
          <w:rFonts w:hint="eastAsia" w:ascii="宋体" w:hAnsi="宋体" w:eastAsia="宋体" w:cs="宋体"/>
          <w:color w:val="auto"/>
          <w:sz w:val="21"/>
          <w:szCs w:val="21"/>
          <w:highlight w:val="none"/>
        </w:rPr>
        <w:t>五、保证责任的解除</w:t>
      </w:r>
      <w:bookmarkEnd w:id="711"/>
      <w:bookmarkEnd w:id="712"/>
      <w:bookmarkEnd w:id="713"/>
      <w:bookmarkEnd w:id="714"/>
      <w:bookmarkEnd w:id="715"/>
      <w:bookmarkEnd w:id="716"/>
      <w:bookmarkEnd w:id="717"/>
      <w:bookmarkEnd w:id="718"/>
      <w:bookmarkEnd w:id="719"/>
      <w:bookmarkEnd w:id="720"/>
      <w:bookmarkEnd w:id="721"/>
    </w:p>
    <w:p w14:paraId="342761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4AAD071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2848B80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3409408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3017D35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5EA13075">
      <w:pPr>
        <w:spacing w:line="400" w:lineRule="exact"/>
        <w:ind w:firstLine="420" w:firstLineChars="200"/>
        <w:jc w:val="left"/>
        <w:outlineLvl w:val="0"/>
        <w:rPr>
          <w:rFonts w:hint="eastAsia" w:ascii="宋体" w:hAnsi="宋体" w:eastAsia="宋体" w:cs="宋体"/>
          <w:color w:val="auto"/>
          <w:sz w:val="21"/>
          <w:szCs w:val="21"/>
          <w:highlight w:val="none"/>
        </w:rPr>
      </w:pPr>
      <w:bookmarkStart w:id="722" w:name="_Toc516215100"/>
      <w:bookmarkStart w:id="723" w:name="_Toc10168"/>
      <w:bookmarkStart w:id="724" w:name="_Toc36066674"/>
      <w:bookmarkStart w:id="725" w:name="_Toc36066932"/>
      <w:bookmarkStart w:id="726" w:name="_Toc36066390"/>
      <w:bookmarkStart w:id="727" w:name="_Toc90964170"/>
      <w:bookmarkStart w:id="728" w:name="_Toc501717182"/>
      <w:bookmarkStart w:id="729" w:name="_Toc20954"/>
      <w:bookmarkStart w:id="730" w:name="_Toc24290"/>
      <w:bookmarkStart w:id="731" w:name="_Toc500856322"/>
      <w:bookmarkStart w:id="732" w:name="_Toc500745210"/>
      <w:r>
        <w:rPr>
          <w:rFonts w:hint="eastAsia" w:ascii="宋体" w:hAnsi="宋体" w:eastAsia="宋体" w:cs="宋体"/>
          <w:color w:val="auto"/>
          <w:sz w:val="21"/>
          <w:szCs w:val="21"/>
          <w:highlight w:val="none"/>
        </w:rPr>
        <w:t>六、免责条款</w:t>
      </w:r>
      <w:bookmarkEnd w:id="722"/>
      <w:bookmarkEnd w:id="723"/>
      <w:bookmarkEnd w:id="724"/>
      <w:bookmarkEnd w:id="725"/>
      <w:bookmarkEnd w:id="726"/>
      <w:bookmarkEnd w:id="727"/>
      <w:bookmarkEnd w:id="728"/>
      <w:bookmarkEnd w:id="729"/>
      <w:bookmarkEnd w:id="730"/>
      <w:bookmarkEnd w:id="731"/>
      <w:bookmarkEnd w:id="732"/>
    </w:p>
    <w:p w14:paraId="4B8C789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5DC95DE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6ECD24C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27C3F1A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77C8AB05">
      <w:pPr>
        <w:spacing w:line="400" w:lineRule="exact"/>
        <w:ind w:firstLine="420" w:firstLineChars="200"/>
        <w:jc w:val="left"/>
        <w:outlineLvl w:val="0"/>
        <w:rPr>
          <w:rFonts w:hint="eastAsia" w:ascii="宋体" w:hAnsi="宋体" w:eastAsia="宋体" w:cs="宋体"/>
          <w:color w:val="auto"/>
          <w:sz w:val="21"/>
          <w:szCs w:val="21"/>
          <w:highlight w:val="none"/>
        </w:rPr>
      </w:pPr>
      <w:bookmarkStart w:id="733" w:name="_Toc36066391"/>
      <w:bookmarkStart w:id="734" w:name="_Toc14557"/>
      <w:bookmarkStart w:id="735" w:name="_Toc90964171"/>
      <w:bookmarkStart w:id="736" w:name="_Toc500745211"/>
      <w:bookmarkStart w:id="737" w:name="_Toc36066933"/>
      <w:bookmarkStart w:id="738" w:name="_Toc36066675"/>
      <w:bookmarkStart w:id="739" w:name="_Toc5514"/>
      <w:bookmarkStart w:id="740" w:name="_Toc501717183"/>
      <w:bookmarkStart w:id="741" w:name="_Toc516215101"/>
      <w:bookmarkStart w:id="742" w:name="_Toc6965"/>
      <w:bookmarkStart w:id="743" w:name="_Toc500856323"/>
      <w:r>
        <w:rPr>
          <w:rFonts w:hint="eastAsia" w:ascii="宋体" w:hAnsi="宋体" w:eastAsia="宋体" w:cs="宋体"/>
          <w:color w:val="auto"/>
          <w:sz w:val="21"/>
          <w:szCs w:val="21"/>
          <w:highlight w:val="none"/>
        </w:rPr>
        <w:t>七、争议解决</w:t>
      </w:r>
      <w:bookmarkEnd w:id="733"/>
      <w:bookmarkEnd w:id="734"/>
      <w:bookmarkEnd w:id="735"/>
      <w:bookmarkEnd w:id="736"/>
      <w:bookmarkEnd w:id="737"/>
      <w:bookmarkEnd w:id="738"/>
      <w:bookmarkEnd w:id="739"/>
      <w:bookmarkEnd w:id="740"/>
      <w:bookmarkEnd w:id="741"/>
      <w:bookmarkEnd w:id="742"/>
      <w:bookmarkEnd w:id="743"/>
    </w:p>
    <w:p w14:paraId="0774E471">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41ADC43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4DEEFC95">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19C0403F">
      <w:pPr>
        <w:spacing w:line="400" w:lineRule="exact"/>
        <w:ind w:firstLine="420" w:firstLineChars="200"/>
        <w:jc w:val="left"/>
        <w:outlineLvl w:val="0"/>
        <w:rPr>
          <w:rFonts w:hint="eastAsia" w:ascii="宋体" w:hAnsi="宋体" w:eastAsia="宋体" w:cs="宋体"/>
          <w:color w:val="auto"/>
          <w:sz w:val="21"/>
          <w:szCs w:val="21"/>
          <w:highlight w:val="none"/>
        </w:rPr>
      </w:pPr>
      <w:bookmarkStart w:id="744" w:name="_Toc36066934"/>
      <w:bookmarkStart w:id="745" w:name="_Toc23055"/>
      <w:bookmarkStart w:id="746" w:name="_Toc501717184"/>
      <w:bookmarkStart w:id="747" w:name="_Toc516215102"/>
      <w:bookmarkStart w:id="748" w:name="_Toc500856324"/>
      <w:bookmarkStart w:id="749" w:name="_Toc36066676"/>
      <w:bookmarkStart w:id="750" w:name="_Toc26228"/>
      <w:bookmarkStart w:id="751" w:name="_Toc90964172"/>
      <w:bookmarkStart w:id="752" w:name="_Toc500745212"/>
      <w:bookmarkStart w:id="753" w:name="_Toc36066392"/>
      <w:bookmarkStart w:id="754" w:name="_Toc4687"/>
      <w:r>
        <w:rPr>
          <w:rFonts w:hint="eastAsia" w:ascii="宋体" w:hAnsi="宋体" w:eastAsia="宋体" w:cs="宋体"/>
          <w:color w:val="auto"/>
          <w:sz w:val="21"/>
          <w:szCs w:val="21"/>
          <w:highlight w:val="none"/>
        </w:rPr>
        <w:t>八、保函的生效</w:t>
      </w:r>
      <w:bookmarkEnd w:id="744"/>
      <w:bookmarkEnd w:id="745"/>
      <w:bookmarkEnd w:id="746"/>
      <w:bookmarkEnd w:id="747"/>
      <w:bookmarkEnd w:id="748"/>
      <w:bookmarkEnd w:id="749"/>
      <w:bookmarkEnd w:id="750"/>
      <w:bookmarkEnd w:id="751"/>
      <w:bookmarkEnd w:id="752"/>
      <w:bookmarkEnd w:id="753"/>
      <w:bookmarkEnd w:id="754"/>
    </w:p>
    <w:p w14:paraId="7413C32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5FB460F3">
      <w:pPr>
        <w:spacing w:line="360" w:lineRule="auto"/>
        <w:ind w:firstLine="420" w:firstLineChars="200"/>
        <w:jc w:val="left"/>
        <w:rPr>
          <w:rFonts w:hint="eastAsia" w:ascii="宋体" w:hAnsi="宋体" w:eastAsia="宋体" w:cs="宋体"/>
          <w:color w:val="auto"/>
          <w:sz w:val="21"/>
          <w:szCs w:val="21"/>
          <w:highlight w:val="none"/>
        </w:rPr>
      </w:pPr>
    </w:p>
    <w:p w14:paraId="33E3FF59">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18D8ECFB">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775E586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6B5FEBF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D3BA27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4DB007C4">
      <w:pPr>
        <w:spacing w:line="360" w:lineRule="auto"/>
        <w:ind w:right="150" w:firstLine="420" w:firstLineChars="200"/>
        <w:jc w:val="left"/>
        <w:rPr>
          <w:rFonts w:hint="eastAsia" w:ascii="宋体" w:hAnsi="宋体" w:eastAsia="宋体" w:cs="宋体"/>
          <w:color w:val="auto"/>
          <w:sz w:val="21"/>
          <w:szCs w:val="21"/>
          <w:highlight w:val="none"/>
          <w:u w:val="single"/>
        </w:rPr>
      </w:pPr>
    </w:p>
    <w:p w14:paraId="5E8B5AB1">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47D55B7">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附件11：</w:t>
      </w:r>
    </w:p>
    <w:p w14:paraId="4E78DA0F">
      <w:pPr>
        <w:spacing w:beforeLines="50" w:afterLines="50" w:line="440" w:lineRule="exact"/>
        <w:jc w:val="center"/>
        <w:outlineLvl w:val="0"/>
        <w:rPr>
          <w:rFonts w:hint="eastAsia" w:ascii="宋体" w:hAnsi="宋体" w:eastAsia="宋体" w:cs="宋体"/>
          <w:color w:val="auto"/>
          <w:sz w:val="21"/>
          <w:szCs w:val="21"/>
          <w:highlight w:val="none"/>
        </w:rPr>
      </w:pPr>
      <w:bookmarkStart w:id="755" w:name="_Toc516215103"/>
      <w:bookmarkStart w:id="756" w:name="_Toc6778"/>
      <w:bookmarkStart w:id="757" w:name="_Toc19327"/>
      <w:bookmarkStart w:id="758" w:name="_Toc500856325"/>
      <w:bookmarkStart w:id="759" w:name="_Toc501717185"/>
      <w:bookmarkStart w:id="760" w:name="_Toc90964173"/>
      <w:bookmarkStart w:id="761" w:name="_Toc27588"/>
      <w:bookmarkStart w:id="762" w:name="_Toc36066935"/>
      <w:bookmarkStart w:id="763" w:name="_Toc36066393"/>
      <w:bookmarkStart w:id="764" w:name="_Toc500745213"/>
      <w:bookmarkStart w:id="765" w:name="_Toc36066677"/>
      <w:r>
        <w:rPr>
          <w:rFonts w:hint="eastAsia" w:ascii="宋体" w:hAnsi="宋体" w:eastAsia="宋体" w:cs="宋体"/>
          <w:color w:val="auto"/>
          <w:sz w:val="21"/>
          <w:szCs w:val="21"/>
          <w:highlight w:val="none"/>
        </w:rPr>
        <w:t>11-1：材料暂估价表</w:t>
      </w:r>
      <w:bookmarkEnd w:id="755"/>
      <w:bookmarkEnd w:id="756"/>
      <w:bookmarkEnd w:id="757"/>
      <w:bookmarkEnd w:id="758"/>
      <w:bookmarkEnd w:id="759"/>
      <w:bookmarkEnd w:id="760"/>
      <w:bookmarkEnd w:id="761"/>
      <w:bookmarkEnd w:id="762"/>
      <w:bookmarkEnd w:id="763"/>
      <w:bookmarkEnd w:id="764"/>
      <w:bookmarkEnd w:id="765"/>
    </w:p>
    <w:tbl>
      <w:tblPr>
        <w:tblStyle w:val="2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4355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E69374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984" w:type="dxa"/>
            <w:tcBorders>
              <w:top w:val="single" w:color="auto" w:sz="12" w:space="0"/>
              <w:bottom w:val="double" w:color="auto" w:sz="6" w:space="0"/>
            </w:tcBorders>
            <w:noWrap w:val="0"/>
            <w:vAlign w:val="top"/>
          </w:tcPr>
          <w:p w14:paraId="5D2DD23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851" w:type="dxa"/>
            <w:tcBorders>
              <w:top w:val="single" w:color="auto" w:sz="12" w:space="0"/>
              <w:bottom w:val="double" w:color="auto" w:sz="6" w:space="0"/>
            </w:tcBorders>
            <w:noWrap w:val="0"/>
            <w:vAlign w:val="top"/>
          </w:tcPr>
          <w:p w14:paraId="5673C1F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774" w:type="dxa"/>
            <w:tcBorders>
              <w:top w:val="single" w:color="auto" w:sz="12" w:space="0"/>
              <w:bottom w:val="double" w:color="auto" w:sz="6" w:space="0"/>
            </w:tcBorders>
            <w:noWrap w:val="0"/>
            <w:vAlign w:val="top"/>
          </w:tcPr>
          <w:p w14:paraId="7C38E0A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352" w:type="dxa"/>
            <w:tcBorders>
              <w:top w:val="single" w:color="auto" w:sz="12" w:space="0"/>
              <w:bottom w:val="double" w:color="auto" w:sz="6" w:space="0"/>
            </w:tcBorders>
            <w:noWrap w:val="0"/>
            <w:vAlign w:val="top"/>
          </w:tcPr>
          <w:p w14:paraId="3090913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单价（元）</w:t>
            </w:r>
          </w:p>
        </w:tc>
        <w:tc>
          <w:tcPr>
            <w:tcW w:w="1418" w:type="dxa"/>
            <w:tcBorders>
              <w:top w:val="single" w:color="auto" w:sz="12" w:space="0"/>
              <w:bottom w:val="double" w:color="auto" w:sz="6" w:space="0"/>
            </w:tcBorders>
            <w:noWrap w:val="0"/>
            <w:vAlign w:val="top"/>
          </w:tcPr>
          <w:p w14:paraId="26E4825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合价（元）</w:t>
            </w:r>
          </w:p>
        </w:tc>
        <w:tc>
          <w:tcPr>
            <w:tcW w:w="1701" w:type="dxa"/>
            <w:tcBorders>
              <w:top w:val="single" w:color="auto" w:sz="12" w:space="0"/>
              <w:bottom w:val="double" w:color="auto" w:sz="6" w:space="0"/>
            </w:tcBorders>
            <w:noWrap w:val="0"/>
            <w:vAlign w:val="top"/>
          </w:tcPr>
          <w:p w14:paraId="5E779BF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72DA7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7E9CC04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tcBorders>
              <w:top w:val="double" w:color="auto" w:sz="6" w:space="0"/>
              <w:bottom w:val="single" w:color="auto" w:sz="6" w:space="0"/>
            </w:tcBorders>
            <w:noWrap w:val="0"/>
            <w:vAlign w:val="top"/>
          </w:tcPr>
          <w:p w14:paraId="251452B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tcBorders>
              <w:top w:val="double" w:color="auto" w:sz="6" w:space="0"/>
              <w:bottom w:val="single" w:color="auto" w:sz="6" w:space="0"/>
            </w:tcBorders>
            <w:noWrap w:val="0"/>
            <w:vAlign w:val="top"/>
          </w:tcPr>
          <w:p w14:paraId="6C905C4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tcBorders>
              <w:top w:val="double" w:color="auto" w:sz="6" w:space="0"/>
              <w:bottom w:val="single" w:color="auto" w:sz="6" w:space="0"/>
            </w:tcBorders>
            <w:noWrap w:val="0"/>
            <w:vAlign w:val="top"/>
          </w:tcPr>
          <w:p w14:paraId="79E8537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tcBorders>
              <w:top w:val="double" w:color="auto" w:sz="6" w:space="0"/>
              <w:bottom w:val="single" w:color="auto" w:sz="6" w:space="0"/>
            </w:tcBorders>
            <w:noWrap w:val="0"/>
            <w:vAlign w:val="top"/>
          </w:tcPr>
          <w:p w14:paraId="6CFED3C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tcBorders>
              <w:top w:val="double" w:color="auto" w:sz="6" w:space="0"/>
              <w:bottom w:val="single" w:color="auto" w:sz="6" w:space="0"/>
            </w:tcBorders>
            <w:noWrap w:val="0"/>
            <w:vAlign w:val="top"/>
          </w:tcPr>
          <w:p w14:paraId="4CE6999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tcBorders>
              <w:top w:val="double" w:color="auto" w:sz="6" w:space="0"/>
              <w:bottom w:val="single" w:color="auto" w:sz="6" w:space="0"/>
            </w:tcBorders>
            <w:noWrap w:val="0"/>
            <w:vAlign w:val="top"/>
          </w:tcPr>
          <w:p w14:paraId="604E56C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21F9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8B4CB6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tcBorders>
              <w:top w:val="nil"/>
            </w:tcBorders>
            <w:noWrap w:val="0"/>
            <w:vAlign w:val="top"/>
          </w:tcPr>
          <w:p w14:paraId="27654C5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tcBorders>
              <w:top w:val="nil"/>
            </w:tcBorders>
            <w:noWrap w:val="0"/>
            <w:vAlign w:val="top"/>
          </w:tcPr>
          <w:p w14:paraId="1E54C11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tcBorders>
              <w:top w:val="nil"/>
            </w:tcBorders>
            <w:noWrap w:val="0"/>
            <w:vAlign w:val="top"/>
          </w:tcPr>
          <w:p w14:paraId="697D303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tcBorders>
              <w:top w:val="nil"/>
            </w:tcBorders>
            <w:noWrap w:val="0"/>
            <w:vAlign w:val="top"/>
          </w:tcPr>
          <w:p w14:paraId="0EAB37D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tcBorders>
              <w:top w:val="nil"/>
            </w:tcBorders>
            <w:noWrap w:val="0"/>
            <w:vAlign w:val="top"/>
          </w:tcPr>
          <w:p w14:paraId="002BA52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tcBorders>
              <w:top w:val="nil"/>
            </w:tcBorders>
            <w:noWrap w:val="0"/>
            <w:vAlign w:val="top"/>
          </w:tcPr>
          <w:p w14:paraId="395CFAC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256FF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AE5DE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5733176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7FD8A26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40B8E1A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792969B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5CDF148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75292A9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272D8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38FF28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290DC66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3C699A2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3A9B2A7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25D567E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032D9E6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44C1A48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E1E2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3F4946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0AF7B05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75BC88C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4878A94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5C2FECC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3018C73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5A629D2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97E8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5144D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40B6C7D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71F8247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7D7F777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6699E9E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691C2F6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5A0C20A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6CF4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3BC5D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11521E0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6533527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17BA206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738C711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0C30F55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5EC707A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FEDF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F345E2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3C0392C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39786FF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09F85EE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15882D2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596C9F9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6562DB8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41EA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51F16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27243C9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0130EB9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6A9F1A2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4D686BD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0AE737E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4291906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30360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B3883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1C449E2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12DDE71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4FD81F3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28EF382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23A6B7C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272B131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766C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6249D9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243F1B3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24655AD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27C142A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765AC75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0B4E6E0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50573C0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9233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95C67B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0431E91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6BECA3B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122E9B2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4463D47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08F36A9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3DF9A4E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1C0C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D504C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4E2314E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671B56A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6E91423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6145DCC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060CB30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30324C6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9CE1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A25C84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06C7AD8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168FDD7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54BBE00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16DCEAA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6A9E085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26089E9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DED2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327FD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64946E9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7BA38DB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4DBEC60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43CD193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3597A00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0499927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2B9E9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B34FA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3D2DB5C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76A58E6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083DBB5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2277C00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5F2ED0A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4FD8A57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53E3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FB80C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401687E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4185886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1C9B32F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65006F2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55CC504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092DFC2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6A32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3DBF0A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3E8C34C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1B2B708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790D811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157298E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2A1D928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37B8F5A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295BC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A5021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532AFEF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73A6CEA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1ED0BFC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13E7F6C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7441FCF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49DFF4C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1947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96989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4B0BD64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62D6322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15FD110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77259C0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795D79A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38D1AB7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bl>
    <w:p w14:paraId="2857763A">
      <w:pPr>
        <w:spacing w:beforeLines="50" w:afterLines="50" w:line="440" w:lineRule="exact"/>
        <w:rPr>
          <w:rFonts w:hint="eastAsia" w:ascii="宋体" w:hAnsi="宋体" w:eastAsia="宋体" w:cs="宋体"/>
          <w:color w:val="auto"/>
          <w:sz w:val="21"/>
          <w:szCs w:val="21"/>
          <w:highlight w:val="none"/>
        </w:rPr>
      </w:pPr>
    </w:p>
    <w:p w14:paraId="42F4F46D">
      <w:pPr>
        <w:adjustRightInd w:val="0"/>
        <w:spacing w:after="60" w:line="360" w:lineRule="atLeast"/>
        <w:ind w:left="63" w:leftChars="30" w:right="63" w:rightChars="30"/>
        <w:jc w:val="center"/>
        <w:textAlignment w:val="baseline"/>
        <w:rPr>
          <w:rFonts w:hint="eastAsia" w:ascii="宋体" w:hAnsi="宋体" w:eastAsia="宋体" w:cs="宋体"/>
          <w:color w:val="auto"/>
          <w:kern w:val="0"/>
          <w:sz w:val="21"/>
          <w:szCs w:val="21"/>
          <w:highlight w:val="none"/>
        </w:rPr>
      </w:pPr>
    </w:p>
    <w:p w14:paraId="28E71055">
      <w:pPr>
        <w:spacing w:beforeLines="50" w:afterLines="50" w:line="440" w:lineRule="exact"/>
        <w:jc w:val="center"/>
        <w:rPr>
          <w:rFonts w:hint="eastAsia" w:ascii="宋体" w:hAnsi="宋体" w:eastAsia="宋体" w:cs="宋体"/>
          <w:color w:val="auto"/>
          <w:sz w:val="21"/>
          <w:szCs w:val="21"/>
          <w:highlight w:val="none"/>
        </w:rPr>
      </w:pPr>
    </w:p>
    <w:p w14:paraId="1EF57F9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0D0F93C">
      <w:pPr>
        <w:spacing w:beforeLines="5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2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B761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D47DF7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984" w:type="dxa"/>
            <w:tcBorders>
              <w:top w:val="single" w:color="auto" w:sz="12" w:space="0"/>
              <w:bottom w:val="double" w:color="auto" w:sz="6" w:space="0"/>
            </w:tcBorders>
            <w:noWrap w:val="0"/>
            <w:vAlign w:val="top"/>
          </w:tcPr>
          <w:p w14:paraId="60B6431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851" w:type="dxa"/>
            <w:tcBorders>
              <w:top w:val="single" w:color="auto" w:sz="12" w:space="0"/>
              <w:bottom w:val="double" w:color="auto" w:sz="6" w:space="0"/>
            </w:tcBorders>
            <w:noWrap w:val="0"/>
            <w:vAlign w:val="top"/>
          </w:tcPr>
          <w:p w14:paraId="4AEE519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774" w:type="dxa"/>
            <w:tcBorders>
              <w:top w:val="single" w:color="auto" w:sz="12" w:space="0"/>
              <w:bottom w:val="double" w:color="auto" w:sz="6" w:space="0"/>
            </w:tcBorders>
            <w:noWrap w:val="0"/>
            <w:vAlign w:val="top"/>
          </w:tcPr>
          <w:p w14:paraId="0700243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352" w:type="dxa"/>
            <w:tcBorders>
              <w:top w:val="single" w:color="auto" w:sz="12" w:space="0"/>
              <w:bottom w:val="double" w:color="auto" w:sz="6" w:space="0"/>
            </w:tcBorders>
            <w:noWrap w:val="0"/>
            <w:vAlign w:val="top"/>
          </w:tcPr>
          <w:p w14:paraId="5AF115F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单价（元）</w:t>
            </w:r>
          </w:p>
        </w:tc>
        <w:tc>
          <w:tcPr>
            <w:tcW w:w="1418" w:type="dxa"/>
            <w:tcBorders>
              <w:top w:val="single" w:color="auto" w:sz="12" w:space="0"/>
              <w:bottom w:val="double" w:color="auto" w:sz="6" w:space="0"/>
            </w:tcBorders>
            <w:noWrap w:val="0"/>
            <w:vAlign w:val="top"/>
          </w:tcPr>
          <w:p w14:paraId="7EA7DE0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合价（元）</w:t>
            </w:r>
          </w:p>
        </w:tc>
        <w:tc>
          <w:tcPr>
            <w:tcW w:w="1701" w:type="dxa"/>
            <w:tcBorders>
              <w:top w:val="single" w:color="auto" w:sz="12" w:space="0"/>
              <w:bottom w:val="double" w:color="auto" w:sz="6" w:space="0"/>
            </w:tcBorders>
            <w:noWrap w:val="0"/>
            <w:vAlign w:val="top"/>
          </w:tcPr>
          <w:p w14:paraId="2043066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48A66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0C61092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tcBorders>
              <w:top w:val="double" w:color="auto" w:sz="6" w:space="0"/>
              <w:bottom w:val="single" w:color="auto" w:sz="6" w:space="0"/>
            </w:tcBorders>
            <w:noWrap w:val="0"/>
            <w:vAlign w:val="top"/>
          </w:tcPr>
          <w:p w14:paraId="6C35C50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tcBorders>
              <w:top w:val="double" w:color="auto" w:sz="6" w:space="0"/>
              <w:bottom w:val="single" w:color="auto" w:sz="6" w:space="0"/>
            </w:tcBorders>
            <w:noWrap w:val="0"/>
            <w:vAlign w:val="top"/>
          </w:tcPr>
          <w:p w14:paraId="76E9B5B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tcBorders>
              <w:top w:val="double" w:color="auto" w:sz="6" w:space="0"/>
              <w:bottom w:val="single" w:color="auto" w:sz="6" w:space="0"/>
            </w:tcBorders>
            <w:noWrap w:val="0"/>
            <w:vAlign w:val="top"/>
          </w:tcPr>
          <w:p w14:paraId="0D1BBE2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tcBorders>
              <w:top w:val="double" w:color="auto" w:sz="6" w:space="0"/>
              <w:bottom w:val="single" w:color="auto" w:sz="6" w:space="0"/>
            </w:tcBorders>
            <w:noWrap w:val="0"/>
            <w:vAlign w:val="top"/>
          </w:tcPr>
          <w:p w14:paraId="61A49D3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tcBorders>
              <w:top w:val="double" w:color="auto" w:sz="6" w:space="0"/>
              <w:bottom w:val="single" w:color="auto" w:sz="6" w:space="0"/>
            </w:tcBorders>
            <w:noWrap w:val="0"/>
            <w:vAlign w:val="top"/>
          </w:tcPr>
          <w:p w14:paraId="54F2703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tcBorders>
              <w:top w:val="double" w:color="auto" w:sz="6" w:space="0"/>
              <w:bottom w:val="single" w:color="auto" w:sz="6" w:space="0"/>
            </w:tcBorders>
            <w:noWrap w:val="0"/>
            <w:vAlign w:val="top"/>
          </w:tcPr>
          <w:p w14:paraId="632EC4C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6B89B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2BA7C8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tcBorders>
              <w:top w:val="nil"/>
            </w:tcBorders>
            <w:noWrap w:val="0"/>
            <w:vAlign w:val="top"/>
          </w:tcPr>
          <w:p w14:paraId="29CABBF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tcBorders>
              <w:top w:val="nil"/>
            </w:tcBorders>
            <w:noWrap w:val="0"/>
            <w:vAlign w:val="top"/>
          </w:tcPr>
          <w:p w14:paraId="6F4BD84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tcBorders>
              <w:top w:val="nil"/>
            </w:tcBorders>
            <w:noWrap w:val="0"/>
            <w:vAlign w:val="top"/>
          </w:tcPr>
          <w:p w14:paraId="14F92B9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tcBorders>
              <w:top w:val="nil"/>
            </w:tcBorders>
            <w:noWrap w:val="0"/>
            <w:vAlign w:val="top"/>
          </w:tcPr>
          <w:p w14:paraId="18EA66B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tcBorders>
              <w:top w:val="nil"/>
            </w:tcBorders>
            <w:noWrap w:val="0"/>
            <w:vAlign w:val="top"/>
          </w:tcPr>
          <w:p w14:paraId="51CE304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tcBorders>
              <w:top w:val="nil"/>
            </w:tcBorders>
            <w:noWrap w:val="0"/>
            <w:vAlign w:val="top"/>
          </w:tcPr>
          <w:p w14:paraId="53443DA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877A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229E39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07913BC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0EF39BB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62D90E8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2153FE9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326C27E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3180272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6216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A61D95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23CDEE7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7A6C954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3C004F7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2916FF4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53CAD8D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45F27DB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0A0B0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27EE1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16201C6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5A869B8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3640297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5857051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6A6B642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0805D68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6DC9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3DE56C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16BE015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606A189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58BADE5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5A6D928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0C57784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0307FED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399A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8164C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106B1D4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169AC58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2235B52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0DF14DF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1D86701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72D5D71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6A6AC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EA5BB0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0CD7AAD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2E3058D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3041F2B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5E2D29D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1931736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221E072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DBC9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1080F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2C4E547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2753F81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27EE6CA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2BEA020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20CCAB5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5B62C27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DFF0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8B66A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5FD8BAE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6F6F5C5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1401679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1026134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7674154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5A513FF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A0E2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2DF1A3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0D937E4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7708D45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2C057F0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45B6E77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2675760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020A552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687F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7A4DA2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1B80191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561CAC9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52B98F6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1D17FD1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329FAB0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495FC15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3D22C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DFFCC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68A6981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5E3538B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7B33289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10B82C8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6CF82EE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4DC542E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540D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3E04F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49F1B68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401085F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145863F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0043A58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74E5087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6AC473F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C568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CA241D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42FABCD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56E3946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7D6DC6E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14A247B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1CD2B47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087B655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764F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D76A80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1D18867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41EE88D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7A06FBC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42CF8D4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0FA166A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3A1BA71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60C34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53FA0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3C7F587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7406AC8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081C611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21D2CB3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19CDB51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57D0B59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B48C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C5787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4651120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13AB248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62FCDE5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7B987F8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321BCE8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2F2C3DE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648A6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C049F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6C67374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243CD26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59B28D2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2359E31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5DC8B9B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6C8189D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3EBB5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0BF1E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53918C1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2885789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2827506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0A98617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2EA56A9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6FE74E1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3F0A0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67F03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0A85194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772EDF3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092A620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5218D89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33FDB63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67CC111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46A8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9D094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2B5EA2F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851" w:type="dxa"/>
            <w:noWrap w:val="0"/>
            <w:vAlign w:val="top"/>
          </w:tcPr>
          <w:p w14:paraId="436EBB9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774" w:type="dxa"/>
            <w:noWrap w:val="0"/>
            <w:vAlign w:val="top"/>
          </w:tcPr>
          <w:p w14:paraId="5ED8453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352" w:type="dxa"/>
            <w:noWrap w:val="0"/>
            <w:vAlign w:val="top"/>
          </w:tcPr>
          <w:p w14:paraId="2A73FF5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418" w:type="dxa"/>
            <w:noWrap w:val="0"/>
            <w:vAlign w:val="top"/>
          </w:tcPr>
          <w:p w14:paraId="37BB362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701" w:type="dxa"/>
            <w:noWrap w:val="0"/>
            <w:vAlign w:val="top"/>
          </w:tcPr>
          <w:p w14:paraId="2DF79F0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bl>
    <w:p w14:paraId="184A48ED">
      <w:pPr>
        <w:spacing w:line="440" w:lineRule="exact"/>
        <w:rPr>
          <w:rFonts w:hint="eastAsia" w:ascii="宋体" w:hAnsi="宋体" w:eastAsia="宋体" w:cs="宋体"/>
          <w:color w:val="auto"/>
          <w:sz w:val="21"/>
          <w:szCs w:val="21"/>
          <w:highlight w:val="none"/>
        </w:rPr>
      </w:pPr>
    </w:p>
    <w:p w14:paraId="0B324C64">
      <w:pPr>
        <w:spacing w:beforeLines="5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11-3：专业工程暂估价表</w:t>
      </w:r>
    </w:p>
    <w:tbl>
      <w:tblPr>
        <w:tblStyle w:val="28"/>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AF93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single" w:color="auto" w:sz="12" w:space="0"/>
              <w:bottom w:val="double" w:color="auto" w:sz="6" w:space="0"/>
            </w:tcBorders>
            <w:noWrap w:val="0"/>
            <w:vAlign w:val="top"/>
          </w:tcPr>
          <w:p w14:paraId="11AC2C5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984" w:type="dxa"/>
            <w:tcBorders>
              <w:top w:val="single" w:color="auto" w:sz="12" w:space="0"/>
              <w:bottom w:val="double" w:color="auto" w:sz="6" w:space="0"/>
            </w:tcBorders>
            <w:noWrap w:val="0"/>
            <w:vAlign w:val="top"/>
          </w:tcPr>
          <w:p w14:paraId="27552AE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专业工程名称</w:t>
            </w:r>
          </w:p>
        </w:tc>
        <w:tc>
          <w:tcPr>
            <w:tcW w:w="4678" w:type="dxa"/>
            <w:tcBorders>
              <w:top w:val="single" w:color="auto" w:sz="12" w:space="0"/>
              <w:bottom w:val="double" w:color="auto" w:sz="6" w:space="0"/>
            </w:tcBorders>
            <w:noWrap w:val="0"/>
            <w:vAlign w:val="top"/>
          </w:tcPr>
          <w:p w14:paraId="52FA80D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工程内容</w:t>
            </w:r>
          </w:p>
        </w:tc>
        <w:tc>
          <w:tcPr>
            <w:tcW w:w="1276" w:type="dxa"/>
            <w:tcBorders>
              <w:top w:val="single" w:color="auto" w:sz="12" w:space="0"/>
              <w:bottom w:val="double" w:color="auto" w:sz="6" w:space="0"/>
            </w:tcBorders>
            <w:noWrap w:val="0"/>
            <w:vAlign w:val="top"/>
          </w:tcPr>
          <w:p w14:paraId="663B5C3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金额</w:t>
            </w:r>
          </w:p>
        </w:tc>
      </w:tr>
      <w:tr w14:paraId="1D87E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double" w:color="auto" w:sz="6" w:space="0"/>
              <w:bottom w:val="single" w:color="auto" w:sz="6" w:space="0"/>
            </w:tcBorders>
            <w:noWrap w:val="0"/>
            <w:vAlign w:val="top"/>
          </w:tcPr>
          <w:p w14:paraId="68F4820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tcBorders>
              <w:top w:val="double" w:color="auto" w:sz="6" w:space="0"/>
              <w:bottom w:val="single" w:color="auto" w:sz="6" w:space="0"/>
            </w:tcBorders>
            <w:noWrap w:val="0"/>
            <w:vAlign w:val="top"/>
          </w:tcPr>
          <w:p w14:paraId="08BC562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tcBorders>
              <w:top w:val="double" w:color="auto" w:sz="6" w:space="0"/>
              <w:bottom w:val="single" w:color="auto" w:sz="6" w:space="0"/>
            </w:tcBorders>
            <w:noWrap w:val="0"/>
            <w:vAlign w:val="top"/>
          </w:tcPr>
          <w:p w14:paraId="75FF6E9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tcBorders>
              <w:top w:val="double" w:color="auto" w:sz="6" w:space="0"/>
              <w:bottom w:val="single" w:color="auto" w:sz="6" w:space="0"/>
            </w:tcBorders>
            <w:noWrap w:val="0"/>
            <w:vAlign w:val="top"/>
          </w:tcPr>
          <w:p w14:paraId="102D167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2636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noWrap w:val="0"/>
            <w:vAlign w:val="top"/>
          </w:tcPr>
          <w:p w14:paraId="04FFD66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tcBorders>
              <w:top w:val="nil"/>
            </w:tcBorders>
            <w:noWrap w:val="0"/>
            <w:vAlign w:val="top"/>
          </w:tcPr>
          <w:p w14:paraId="169D4DD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tcBorders>
              <w:top w:val="nil"/>
            </w:tcBorders>
            <w:noWrap w:val="0"/>
            <w:vAlign w:val="top"/>
          </w:tcPr>
          <w:p w14:paraId="6C295E8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tcBorders>
              <w:top w:val="nil"/>
            </w:tcBorders>
            <w:noWrap w:val="0"/>
            <w:vAlign w:val="top"/>
          </w:tcPr>
          <w:p w14:paraId="6AD125C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DCFD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noWrap w:val="0"/>
            <w:vAlign w:val="top"/>
          </w:tcPr>
          <w:p w14:paraId="7795229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tcBorders>
              <w:top w:val="nil"/>
            </w:tcBorders>
            <w:noWrap w:val="0"/>
            <w:vAlign w:val="top"/>
          </w:tcPr>
          <w:p w14:paraId="50A5A79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tcBorders>
              <w:top w:val="nil"/>
            </w:tcBorders>
            <w:noWrap w:val="0"/>
            <w:vAlign w:val="top"/>
          </w:tcPr>
          <w:p w14:paraId="7F1C358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tcBorders>
              <w:top w:val="nil"/>
            </w:tcBorders>
            <w:noWrap w:val="0"/>
            <w:vAlign w:val="top"/>
          </w:tcPr>
          <w:p w14:paraId="2F61BA4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337A1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728E4DD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7A96577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5F0D323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5802493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50E10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06D98AA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6B716D5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66306DB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11791BB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2897F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7050865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4EC4FD1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20C92DA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6E053DF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7F4A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239F7FE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6DC6C2A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2FA4B08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0E41B89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19A6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5C7C9F6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00BBB51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709DF4B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6CB6922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2CD95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3D55C10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26F225D0">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1EECC59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49D7896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327C8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2F27C77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75C6019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4F5C7EB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66D4081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3383B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2B794D1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1F0A296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4A75640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0B68B56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3A984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69EF6B2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1532CC8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0A0AB39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20CCC3F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07EA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2F0E4D49">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4DA30BF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3EA9B0B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7716823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282EC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4AE551D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5FF7F15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1A22CE0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54EA23AC">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0B42D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2CEF54A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64B4EB2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5D59001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30067F4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A69C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4D4F954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7F49B76E">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7C0DB92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43E9555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4C23D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52F3BDA6">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2068250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1070BFA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6639FC98">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7B35B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2EA399D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67544F2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2689624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69087A0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023A5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4544DB1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7C258063">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61CF47DD">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7E45B3C2">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09FA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53AB78F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6DC1F8C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27A74614">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3DD7A51F">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685E1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373526FA">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984" w:type="dxa"/>
            <w:noWrap w:val="0"/>
            <w:vAlign w:val="top"/>
          </w:tcPr>
          <w:p w14:paraId="25C8090B">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4678" w:type="dxa"/>
            <w:noWrap w:val="0"/>
            <w:vAlign w:val="top"/>
          </w:tcPr>
          <w:p w14:paraId="70781195">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c>
          <w:tcPr>
            <w:tcW w:w="1276" w:type="dxa"/>
            <w:noWrap w:val="0"/>
            <w:vAlign w:val="top"/>
          </w:tcPr>
          <w:p w14:paraId="00AE1671">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p>
        </w:tc>
      </w:tr>
      <w:tr w14:paraId="1ABFE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817" w:type="dxa"/>
            <w:gridSpan w:val="4"/>
            <w:noWrap w:val="0"/>
            <w:vAlign w:val="top"/>
          </w:tcPr>
          <w:p w14:paraId="27B2A547">
            <w:pPr>
              <w:keepNext/>
              <w:adjustRightInd w:val="0"/>
              <w:spacing w:after="60" w:line="440" w:lineRule="exact"/>
              <w:ind w:left="63" w:leftChars="30" w:right="63" w:rightChars="3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小计：</w:t>
            </w:r>
          </w:p>
        </w:tc>
      </w:tr>
    </w:tbl>
    <w:p w14:paraId="2AD61246">
      <w:pPr>
        <w:spacing w:line="239" w:lineRule="auto"/>
        <w:rPr>
          <w:rFonts w:hint="eastAsia" w:ascii="宋体" w:hAnsi="宋体" w:eastAsia="宋体" w:cs="宋体"/>
          <w:color w:val="auto"/>
          <w:sz w:val="21"/>
          <w:szCs w:val="21"/>
          <w:highlight w:val="none"/>
        </w:rPr>
      </w:pPr>
    </w:p>
    <w:p w14:paraId="7596398F">
      <w:pPr>
        <w:adjustRightInd w:val="0"/>
        <w:spacing w:after="60" w:line="360" w:lineRule="atLeast"/>
        <w:ind w:left="63" w:leftChars="30" w:right="63" w:rightChars="30"/>
        <w:jc w:val="center"/>
        <w:textAlignment w:val="baseline"/>
        <w:rPr>
          <w:rFonts w:hint="eastAsia" w:ascii="宋体" w:hAnsi="宋体" w:eastAsia="宋体" w:cs="宋体"/>
          <w:color w:val="auto"/>
          <w:kern w:val="0"/>
          <w:sz w:val="21"/>
          <w:szCs w:val="21"/>
          <w:highlight w:val="none"/>
        </w:rPr>
      </w:pPr>
    </w:p>
    <w:p w14:paraId="74905147">
      <w:pPr>
        <w:spacing w:line="239" w:lineRule="auto"/>
        <w:rPr>
          <w:rFonts w:hint="eastAsia" w:ascii="宋体" w:hAnsi="宋体" w:eastAsia="宋体" w:cs="宋体"/>
          <w:color w:val="auto"/>
          <w:sz w:val="21"/>
          <w:szCs w:val="21"/>
          <w:highlight w:val="none"/>
        </w:rPr>
      </w:pPr>
    </w:p>
    <w:p w14:paraId="3C7200C9">
      <w:pPr>
        <w:spacing w:line="239" w:lineRule="auto"/>
        <w:rPr>
          <w:rFonts w:hint="eastAsia" w:ascii="宋体" w:hAnsi="宋体" w:eastAsia="宋体" w:cs="宋体"/>
          <w:color w:val="auto"/>
          <w:sz w:val="21"/>
          <w:szCs w:val="21"/>
          <w:highlight w:val="none"/>
        </w:rPr>
      </w:pPr>
    </w:p>
    <w:p w14:paraId="4A8B69E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2944C13">
      <w:pPr>
        <w:spacing w:line="239"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附件12：建设工程廉政责任书</w:t>
      </w:r>
    </w:p>
    <w:p w14:paraId="3C6BF228">
      <w:pPr>
        <w:spacing w:line="200" w:lineRule="exact"/>
        <w:rPr>
          <w:rFonts w:hint="eastAsia" w:ascii="宋体" w:hAnsi="宋体" w:eastAsia="宋体" w:cs="宋体"/>
          <w:color w:val="auto"/>
          <w:sz w:val="21"/>
          <w:szCs w:val="21"/>
          <w:highlight w:val="none"/>
        </w:rPr>
      </w:pPr>
    </w:p>
    <w:p w14:paraId="00989EC9">
      <w:pPr>
        <w:spacing w:line="360" w:lineRule="auto"/>
        <w:jc w:val="center"/>
        <w:rPr>
          <w:rFonts w:hint="eastAsia" w:ascii="宋体" w:hAnsi="宋体" w:eastAsia="宋体" w:cs="宋体"/>
          <w:b/>
          <w:bCs/>
          <w:color w:val="auto"/>
          <w:sz w:val="21"/>
          <w:szCs w:val="21"/>
          <w:highlight w:val="none"/>
        </w:rPr>
      </w:pPr>
      <w:bookmarkStart w:id="766" w:name="_Toc353012946"/>
      <w:bookmarkStart w:id="767" w:name="_Toc371020147"/>
      <w:bookmarkStart w:id="768" w:name="_Toc353212424"/>
      <w:bookmarkStart w:id="769" w:name="_Toc370727457"/>
      <w:bookmarkStart w:id="770" w:name="_Toc409023177"/>
      <w:bookmarkStart w:id="771" w:name="_Toc371429628"/>
      <w:bookmarkStart w:id="772" w:name="_Toc332740249"/>
      <w:r>
        <w:rPr>
          <w:rFonts w:hint="eastAsia" w:ascii="宋体" w:hAnsi="宋体" w:eastAsia="宋体" w:cs="宋体"/>
          <w:b/>
          <w:bCs/>
          <w:color w:val="auto"/>
          <w:sz w:val="21"/>
          <w:szCs w:val="21"/>
          <w:highlight w:val="none"/>
        </w:rPr>
        <w:t>建设工程廉政责任书</w:t>
      </w:r>
      <w:bookmarkEnd w:id="766"/>
      <w:bookmarkEnd w:id="767"/>
      <w:bookmarkEnd w:id="768"/>
      <w:bookmarkEnd w:id="769"/>
      <w:bookmarkEnd w:id="770"/>
      <w:bookmarkEnd w:id="771"/>
      <w:bookmarkEnd w:id="772"/>
    </w:p>
    <w:p w14:paraId="225EEBC4">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647D226">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F50C6BE">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FE86041">
      <w:pPr>
        <w:topLinePunct/>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一、双方的责任</w:t>
      </w:r>
    </w:p>
    <w:p w14:paraId="61262118">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1.1应严格遵守国家关于建设工程的有关法律、法规，相关政策，以及廉政建设的各项规定。</w:t>
      </w:r>
    </w:p>
    <w:p w14:paraId="7B1B59A8">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严格执行合同文件，自觉按合同办事。</w:t>
      </w:r>
    </w:p>
    <w:p w14:paraId="07E8C247">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各项活动必须坚持公开、公平、公正、诚信、透明的原则（除法律法规另有规定者外），不得为获取不正当的利益，损害国家、集体和对方利益，不得违反建设工程管理的规章制度。</w:t>
      </w:r>
    </w:p>
    <w:p w14:paraId="263AED9B">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1.4发现对方在业务活动中有违规、违纪、违法行为的，应及时提醒对方，情节严重的，应向其上级主管部门或纪检监察、司法等有关机关举报。</w:t>
      </w:r>
    </w:p>
    <w:p w14:paraId="3D502706">
      <w:pPr>
        <w:topLinePunct/>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二、发包人责任</w:t>
      </w:r>
    </w:p>
    <w:p w14:paraId="5DC68045">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发包人的领导和从事该建设工程项目的工作人员，在工程建设的事前、事中、事后应遵守以下规定：</w:t>
      </w:r>
    </w:p>
    <w:p w14:paraId="367D64E0">
      <w:pPr>
        <w:topLinePunct/>
        <w:spacing w:line="360" w:lineRule="auto"/>
        <w:ind w:firstLine="525" w:firstLineChars="250"/>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pacing w:val="-4"/>
          <w:sz w:val="21"/>
          <w:szCs w:val="21"/>
          <w:highlight w:val="none"/>
        </w:rPr>
        <w:t>不得向承包人和相关单位索要或接受回扣、礼金、有价证券、贵重物品和好处费、感谢费等。</w:t>
      </w:r>
    </w:p>
    <w:p w14:paraId="49C744A8">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2.2不得在承包人和相关单位报销任何应由发包人或个人支付的费用。</w:t>
      </w:r>
    </w:p>
    <w:p w14:paraId="18BEC753">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2.3不得要求、暗示或接受承包人和相关单位为个人装修住房、婚丧嫁娶、配偶子女的工作安排以及出国(境)、旅游等提供方便。</w:t>
      </w:r>
    </w:p>
    <w:p w14:paraId="28ABBC22">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2.4不得参加有可能影响公正执行公务的承包人和相关单位的宴请、健身、娱乐等活动。</w:t>
      </w:r>
    </w:p>
    <w:p w14:paraId="3FE03F87">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2.5不得向承包人和相关单位介绍或为配偶、子女、亲属参与同发包人工程建设管理合同有关的业务活动；不得以任何理由要求承包人和相关单位使用某种产品、材料和设备。</w:t>
      </w:r>
    </w:p>
    <w:p w14:paraId="7607FAE9">
      <w:pPr>
        <w:topLinePunct/>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三、承包人责任</w:t>
      </w:r>
    </w:p>
    <w:p w14:paraId="40FDC8F3">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应与发包人保持正常的业务交往，按照有关法律法规和程序开展业务工作，严格执行工程建设的有关方针、政策，执行工程建设强制性标准，并遵守以下规定：</w:t>
      </w:r>
    </w:p>
    <w:p w14:paraId="15EDD454">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3.1不得以任何理由向发包人及其工作人员索要、接受或赠送礼金、有价证券、贵重物品及回扣、好处费、感谢费等。</w:t>
      </w:r>
    </w:p>
    <w:p w14:paraId="6329DC46">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不得以任何理由为发包人和相关单位报销应由对方或个人支付的费用。</w:t>
      </w:r>
    </w:p>
    <w:p w14:paraId="0FF4053A">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3.3不得接受或暗示为发包人、相关单位或个人装修住房、婚丧嫁娶、配偶子女的工作安排以及出国(境)、旅游等提供方便。</w:t>
      </w:r>
    </w:p>
    <w:p w14:paraId="5F523D02">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3.4不得以任何理由为发包人、相关单位或个人组织有可能影响公正执行公务的宴请、健身、娱乐等活动。</w:t>
      </w:r>
    </w:p>
    <w:p w14:paraId="6BAEC0F6">
      <w:pPr>
        <w:topLinePunct/>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四、违约责任</w:t>
      </w:r>
    </w:p>
    <w:p w14:paraId="16AE999A">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4.1发包人工作人员有违反本责任书第一、二条责任行为的，依据有关法律、法规给予处理；涉嫌犯罪的，移交司法机关追究刑事责任；给承包人单位造成经济损失的，应予以赔偿。</w:t>
      </w:r>
    </w:p>
    <w:p w14:paraId="0FF33EEE">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4.2承包人工作人员有违反本责任书第一、三条责任行为的，依据有关法律法规处理；涉嫌犯罪的，移交司法机关追究刑事责任；给发包人单位造成经济损失的，应予以赔偿。</w:t>
      </w:r>
    </w:p>
    <w:p w14:paraId="3F73D432">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4.3本责任书作为建设工程合同的组成部分，与建设工程合同具有同等法律效力。经双方签署后立即生效。</w:t>
      </w:r>
    </w:p>
    <w:p w14:paraId="09DA88AB">
      <w:pPr>
        <w:topLinePunct/>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五、责任书有效期</w:t>
      </w:r>
    </w:p>
    <w:p w14:paraId="6FB449F7">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本责任书的有效期为双方签署之日起至该工程项目竣工验收合格时止。</w:t>
      </w:r>
    </w:p>
    <w:p w14:paraId="65F6DF9F">
      <w:pPr>
        <w:topLinePunct/>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六、责任书份数</w:t>
      </w:r>
    </w:p>
    <w:p w14:paraId="4A05F4B0">
      <w:pPr>
        <w:topLinePunct/>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本责任书一式二份，发包人承包人各执一份，具有同等效力。</w:t>
      </w:r>
    </w:p>
    <w:p w14:paraId="436F2A9F">
      <w:pPr>
        <w:topLinePunct/>
        <w:spacing w:line="360" w:lineRule="auto"/>
        <w:ind w:firstLine="525" w:firstLineChars="250"/>
        <w:rPr>
          <w:rFonts w:hint="eastAsia" w:ascii="宋体" w:hAnsi="宋体" w:eastAsia="宋体" w:cs="宋体"/>
          <w:color w:val="auto"/>
          <w:sz w:val="21"/>
          <w:szCs w:val="21"/>
          <w:highlight w:val="none"/>
        </w:rPr>
      </w:pPr>
    </w:p>
    <w:p w14:paraId="42147794">
      <w:pPr>
        <w:spacing w:line="430" w:lineRule="exact"/>
        <w:rPr>
          <w:rFonts w:hint="eastAsia" w:ascii="宋体" w:hAnsi="宋体" w:eastAsia="宋体" w:cs="宋体"/>
          <w:color w:val="auto"/>
          <w:sz w:val="21"/>
          <w:szCs w:val="21"/>
          <w:highlight w:val="none"/>
          <w:u w:val="single"/>
        </w:rPr>
      </w:pPr>
    </w:p>
    <w:p w14:paraId="67CAD8AD">
      <w:pPr>
        <w:spacing w:line="430" w:lineRule="exact"/>
        <w:rPr>
          <w:rFonts w:hint="eastAsia" w:ascii="宋体" w:hAnsi="宋体" w:eastAsia="宋体" w:cs="宋体"/>
          <w:color w:val="auto"/>
          <w:sz w:val="21"/>
          <w:szCs w:val="21"/>
          <w:highlight w:val="none"/>
          <w:u w:val="single"/>
        </w:rPr>
      </w:pPr>
    </w:p>
    <w:p w14:paraId="1022FD60">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w:t>
      </w:r>
      <w:r>
        <w:rPr>
          <w:rFonts w:hint="eastAsia" w:ascii="宋体" w:hAnsi="宋体" w:eastAsia="宋体" w:cs="宋体"/>
          <w:color w:val="auto"/>
          <w:kern w:val="0"/>
          <w:sz w:val="21"/>
          <w:szCs w:val="21"/>
          <w:highlight w:val="none"/>
          <w:u w:val="single"/>
        </w:rPr>
        <w:t xml:space="preserve">    （公章）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承包人：：</w:t>
      </w:r>
      <w:r>
        <w:rPr>
          <w:rFonts w:hint="eastAsia" w:ascii="宋体" w:hAnsi="宋体" w:eastAsia="宋体" w:cs="宋体"/>
          <w:color w:val="auto"/>
          <w:kern w:val="0"/>
          <w:sz w:val="21"/>
          <w:szCs w:val="21"/>
          <w:highlight w:val="none"/>
          <w:u w:val="single"/>
        </w:rPr>
        <w:t xml:space="preserve">    （公章）       </w:t>
      </w:r>
    </w:p>
    <w:p w14:paraId="4F1D2768">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法定代表人</w:t>
      </w:r>
    </w:p>
    <w:p w14:paraId="050027D2">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或其委托代理人：</w:t>
      </w:r>
      <w:r>
        <w:rPr>
          <w:rFonts w:hint="eastAsia" w:ascii="宋体" w:hAnsi="宋体" w:eastAsia="宋体" w:cs="宋体"/>
          <w:color w:val="auto"/>
          <w:kern w:val="0"/>
          <w:sz w:val="21"/>
          <w:szCs w:val="21"/>
          <w:highlight w:val="none"/>
          <w:u w:val="single"/>
        </w:rPr>
        <w:t xml:space="preserve">    （签字）</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或其委托代理人：</w:t>
      </w:r>
      <w:r>
        <w:rPr>
          <w:rFonts w:hint="eastAsia" w:ascii="宋体" w:hAnsi="宋体" w:eastAsia="宋体" w:cs="宋体"/>
          <w:color w:val="auto"/>
          <w:kern w:val="0"/>
          <w:sz w:val="21"/>
          <w:szCs w:val="21"/>
          <w:highlight w:val="none"/>
          <w:u w:val="single"/>
        </w:rPr>
        <w:t xml:space="preserve">     （签字）</w:t>
      </w:r>
    </w:p>
    <w:p w14:paraId="5C3E3E4A">
      <w:pPr>
        <w:keepNext w:val="0"/>
        <w:keepLines w:val="0"/>
        <w:pageBreakBefore w:val="0"/>
        <w:widowControl w:val="0"/>
        <w:tabs>
          <w:tab w:val="left" w:pos="4410"/>
        </w:tabs>
        <w:kinsoku/>
        <w:wordWrap/>
        <w:overflowPunct/>
        <w:topLinePunct w:val="0"/>
        <w:autoSpaceDE/>
        <w:autoSpaceDN/>
        <w:bidi w:val="0"/>
        <w:adjustRightInd/>
        <w:snapToGrid/>
        <w:spacing w:line="360" w:lineRule="auto"/>
        <w:ind w:left="0" w:right="0" w:hanging="3780" w:hangingChars="18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组织机构代码：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组织机构代码 ：</w:t>
      </w:r>
      <w:r>
        <w:rPr>
          <w:rFonts w:hint="eastAsia" w:ascii="宋体" w:hAnsi="宋体" w:eastAsia="宋体" w:cs="宋体"/>
          <w:color w:val="auto"/>
          <w:sz w:val="21"/>
          <w:szCs w:val="21"/>
          <w:highlight w:val="none"/>
          <w:u w:val="none"/>
        </w:rPr>
        <w:t xml:space="preserve">                </w:t>
      </w:r>
    </w:p>
    <w:p w14:paraId="2D878145">
      <w:pPr>
        <w:keepNext w:val="0"/>
        <w:keepLines w:val="0"/>
        <w:pageBreakBefore w:val="0"/>
        <w:widowControl w:val="0"/>
        <w:tabs>
          <w:tab w:val="left" w:pos="4410"/>
        </w:tabs>
        <w:kinsoku/>
        <w:wordWrap/>
        <w:overflowPunct/>
        <w:topLinePunct w:val="0"/>
        <w:autoSpaceDE/>
        <w:autoSpaceDN/>
        <w:bidi w:val="0"/>
        <w:adjustRightInd/>
        <w:snapToGrid/>
        <w:spacing w:line="360" w:lineRule="auto"/>
        <w:ind w:left="0" w:right="0" w:hanging="3780" w:hangingChars="18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
    <w:p w14:paraId="17968D28">
      <w:pPr>
        <w:keepNext w:val="0"/>
        <w:keepLines w:val="0"/>
        <w:pageBreakBefore w:val="0"/>
        <w:widowControl w:val="0"/>
        <w:tabs>
          <w:tab w:val="left" w:pos="4410"/>
        </w:tabs>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pacing w:val="-20"/>
          <w:w w:val="90"/>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pacing w:val="-20"/>
          <w:w w:val="90"/>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pacing w:val="-20"/>
          <w:w w:val="90"/>
          <w:sz w:val="21"/>
          <w:szCs w:val="21"/>
          <w:highlight w:val="none"/>
          <w:u w:val="single"/>
        </w:rPr>
        <w:t xml:space="preserve"> </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20"/>
          <w:sz w:val="21"/>
          <w:szCs w:val="21"/>
          <w:highlight w:val="none"/>
          <w:lang w:val="en-US" w:eastAsia="zh-CN"/>
        </w:rPr>
        <w:t xml:space="preserve">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pacing w:val="-20"/>
          <w:w w:val="90"/>
          <w:sz w:val="21"/>
          <w:szCs w:val="21"/>
          <w:highlight w:val="none"/>
          <w:u w:val="single"/>
        </w:rPr>
        <w:t xml:space="preserve"> </w:t>
      </w:r>
    </w:p>
    <w:p w14:paraId="3F144D6A">
      <w:pPr>
        <w:keepNext w:val="0"/>
        <w:keepLines w:val="0"/>
        <w:pageBreakBefore w:val="0"/>
        <w:widowControl w:val="0"/>
        <w:tabs>
          <w:tab w:val="left" w:pos="4410"/>
        </w:tabs>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8A9BC1B">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293C3CD8">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p w14:paraId="1C8DD16F">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5D8E65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CDF35DB">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FBDFE96">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 xml:space="preserve">           </w:t>
      </w:r>
    </w:p>
    <w:p w14:paraId="176328AD">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en-US" w:eastAsia="zh-CN"/>
        </w:rPr>
        <w:t xml:space="preserve">                      </w:t>
      </w:r>
    </w:p>
    <w:p w14:paraId="205599BD">
      <w:pPr>
        <w:pageBreakBefore w:val="0"/>
        <w:kinsoku/>
        <w:wordWrap/>
        <w:overflowPunct/>
        <w:bidi w:val="0"/>
        <w:spacing w:line="460" w:lineRule="exact"/>
        <w:ind w:firstLine="420" w:firstLineChars="200"/>
        <w:textAlignment w:val="auto"/>
        <w:rPr>
          <w:rFonts w:hint="eastAsia" w:ascii="宋体" w:hAnsi="宋体" w:eastAsia="宋体" w:cs="宋体"/>
          <w:color w:val="auto"/>
          <w:sz w:val="21"/>
          <w:szCs w:val="21"/>
          <w:highlight w:val="none"/>
        </w:rPr>
      </w:pPr>
    </w:p>
    <w:p w14:paraId="768428A8">
      <w:pPr>
        <w:spacing w:line="360" w:lineRule="auto"/>
        <w:jc w:val="center"/>
        <w:outlineLvl w:val="0"/>
        <w:rPr>
          <w:rFonts w:hint="eastAsia" w:ascii="宋体" w:hAnsi="宋体" w:eastAsia="宋体" w:cs="宋体"/>
          <w:b/>
          <w:bCs/>
          <w:color w:val="auto"/>
          <w:sz w:val="32"/>
          <w:szCs w:val="32"/>
          <w:highlight w:val="none"/>
        </w:rPr>
      </w:pPr>
      <w:bookmarkStart w:id="773" w:name="_Toc12187"/>
      <w:r>
        <w:rPr>
          <w:rFonts w:hint="eastAsia" w:ascii="宋体" w:hAnsi="宋体" w:eastAsia="宋体" w:cs="宋体"/>
          <w:b/>
          <w:bCs/>
          <w:color w:val="auto"/>
          <w:sz w:val="32"/>
          <w:szCs w:val="32"/>
          <w:highlight w:val="none"/>
        </w:rPr>
        <w:t>第五章  工程量清单</w:t>
      </w:r>
      <w:bookmarkEnd w:id="773"/>
    </w:p>
    <w:p w14:paraId="28F3FEC0">
      <w:pPr>
        <w:jc w:val="center"/>
        <w:rPr>
          <w:rFonts w:hint="eastAsia" w:ascii="宋体" w:hAnsi="宋体" w:eastAsia="宋体" w:cs="宋体"/>
          <w:color w:val="auto"/>
          <w:highlight w:val="none"/>
        </w:rPr>
      </w:pPr>
      <w:bookmarkStart w:id="774" w:name="_Toc16018"/>
    </w:p>
    <w:p w14:paraId="63278803">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（另附）</w:t>
      </w:r>
    </w:p>
    <w:p w14:paraId="220E71DD">
      <w:pPr>
        <w:jc w:val="center"/>
        <w:rPr>
          <w:rFonts w:hint="eastAsia" w:ascii="宋体" w:hAnsi="宋体" w:eastAsia="宋体" w:cs="宋体"/>
          <w:color w:val="auto"/>
          <w:highlight w:val="none"/>
        </w:rPr>
      </w:pPr>
    </w:p>
    <w:p w14:paraId="388F5A8B">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305"/>
    <w:bookmarkEnd w:id="306"/>
    <w:bookmarkEnd w:id="307"/>
    <w:bookmarkEnd w:id="774"/>
    <w:p w14:paraId="68B74A20">
      <w:pPr>
        <w:pStyle w:val="49"/>
        <w:numPr>
          <w:ilvl w:val="0"/>
          <w:numId w:val="5"/>
        </w:numPr>
        <w:jc w:val="center"/>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 xml:space="preserve"> </w:t>
      </w:r>
      <w:bookmarkStart w:id="775" w:name="_Toc3568"/>
      <w:r>
        <w:rPr>
          <w:rFonts w:hint="eastAsia" w:ascii="宋体" w:hAnsi="宋体" w:eastAsia="宋体" w:cs="宋体"/>
          <w:b/>
          <w:bCs/>
          <w:color w:val="auto"/>
          <w:sz w:val="32"/>
          <w:szCs w:val="32"/>
          <w:highlight w:val="none"/>
          <w:lang w:val="en-US" w:eastAsia="zh-CN"/>
        </w:rPr>
        <w:t>图纸</w:t>
      </w:r>
      <w:bookmarkEnd w:id="775"/>
    </w:p>
    <w:p w14:paraId="3E42B23E">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（另附）</w:t>
      </w:r>
    </w:p>
    <w:p w14:paraId="316CC25E">
      <w:pPr>
        <w:pStyle w:val="47"/>
        <w:numPr>
          <w:ilvl w:val="0"/>
          <w:numId w:val="0"/>
        </w:numPr>
        <w:wordWrap w:val="0"/>
        <w:rPr>
          <w:rFonts w:hint="eastAsia" w:ascii="宋体" w:hAnsi="宋体" w:eastAsia="宋体" w:cs="宋体"/>
          <w:color w:val="auto"/>
          <w:highlight w:val="none"/>
          <w:lang w:val="en-US" w:eastAsia="zh-CN"/>
        </w:rPr>
      </w:pPr>
    </w:p>
    <w:p w14:paraId="39F8D4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32"/>
          <w:szCs w:val="32"/>
          <w:highlight w:val="none"/>
        </w:rPr>
      </w:pPr>
      <w:bookmarkStart w:id="776" w:name="_Toc7700"/>
      <w:bookmarkStart w:id="777" w:name="_Toc9889"/>
      <w:bookmarkStart w:id="778" w:name="_Toc12827"/>
      <w:bookmarkStart w:id="779" w:name="_Toc30426"/>
      <w:bookmarkStart w:id="780" w:name="_Toc21485"/>
      <w:bookmarkStart w:id="781" w:name="_Toc6867"/>
      <w:bookmarkStart w:id="782" w:name="_Toc27397"/>
      <w:bookmarkStart w:id="783" w:name="_Toc9500"/>
      <w:r>
        <w:rPr>
          <w:rFonts w:hint="eastAsia" w:ascii="宋体" w:hAnsi="宋体" w:eastAsia="宋体" w:cs="宋体"/>
          <w:b/>
          <w:bCs/>
          <w:color w:val="auto"/>
          <w:sz w:val="32"/>
          <w:szCs w:val="32"/>
          <w:highlight w:val="none"/>
        </w:rPr>
        <w:br w:type="page"/>
      </w:r>
    </w:p>
    <w:p w14:paraId="6315C27D">
      <w:pPr>
        <w:spacing w:line="360" w:lineRule="auto"/>
        <w:jc w:val="center"/>
        <w:outlineLvl w:val="0"/>
        <w:rPr>
          <w:rFonts w:hint="eastAsia" w:ascii="宋体" w:hAnsi="宋体" w:eastAsia="宋体" w:cs="宋体"/>
          <w:b/>
          <w:bCs/>
          <w:color w:val="auto"/>
          <w:sz w:val="32"/>
          <w:szCs w:val="32"/>
          <w:highlight w:val="none"/>
        </w:rPr>
      </w:pPr>
      <w:bookmarkStart w:id="784" w:name="_Toc17875"/>
      <w:r>
        <w:rPr>
          <w:rFonts w:hint="eastAsia" w:ascii="宋体" w:hAnsi="宋体" w:eastAsia="宋体" w:cs="宋体"/>
          <w:b/>
          <w:bCs/>
          <w:color w:val="auto"/>
          <w:sz w:val="32"/>
          <w:szCs w:val="32"/>
          <w:highlight w:val="none"/>
        </w:rPr>
        <w:t>第七章  技术标准和要求</w:t>
      </w:r>
      <w:bookmarkEnd w:id="776"/>
      <w:bookmarkEnd w:id="777"/>
      <w:bookmarkEnd w:id="778"/>
      <w:bookmarkEnd w:id="779"/>
      <w:bookmarkEnd w:id="780"/>
      <w:bookmarkEnd w:id="781"/>
      <w:bookmarkEnd w:id="782"/>
      <w:bookmarkEnd w:id="783"/>
      <w:bookmarkEnd w:id="784"/>
    </w:p>
    <w:p w14:paraId="289E224E">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 适用的规范、标准和规程 </w:t>
      </w:r>
    </w:p>
    <w:p w14:paraId="16CC8D33">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 本工程适用现行国家、行业和地方规范、标准和规程。构成合同文件的任何内容与适用的规范、标准和规程之间出现矛盾，施工人应书面要求发包人予以澄清。 </w:t>
      </w:r>
    </w:p>
    <w:p w14:paraId="753407C1">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 </w:t>
      </w:r>
    </w:p>
    <w:p w14:paraId="4A6BA006">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施工验收规范 </w:t>
      </w:r>
    </w:p>
    <w:p w14:paraId="43FF6C40">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本工程执行国家现行的与本工程有关的施工、验收规范等。 </w:t>
      </w:r>
    </w:p>
    <w:p w14:paraId="385510FD">
      <w:pPr>
        <w:keepNext w:val="0"/>
        <w:keepLines w:val="0"/>
        <w:pageBreakBefore w:val="0"/>
        <w:widowControl w:val="0"/>
        <w:numPr>
          <w:ilvl w:val="0"/>
          <w:numId w:val="6"/>
        </w:numPr>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技术要求</w:t>
      </w:r>
    </w:p>
    <w:p w14:paraId="667C2C23">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3.1一般规定</w:t>
      </w:r>
    </w:p>
    <w:p w14:paraId="44CA9D03">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7CD06777">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合同中约定的任何响应人应予遵照执行的国家规范、规程和标准都指他们各自的最新版本。如果在构成本工程规范和技术说明的任何内容与任何现行国家规范、规程和标准包括他们适用的修改之间出现相互矛盾之处或不一致的指示，响应人应按照其中要求最严格的标准执行。材料、施工工艺和本工程都应依照本工程规范和技术说明以及相关国家规范、规程和标准的最新版本；或把最新版本的要求当作对响应人工作的最起码要求，而执行更高的标准。</w:t>
      </w:r>
    </w:p>
    <w:p w14:paraId="055E99DC">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3.3未尽项均执行现行规范及标准,以上规范如有变化，以最新发布的为准。</w:t>
      </w:r>
    </w:p>
    <w:p w14:paraId="12348CB5">
      <w:pPr>
        <w:keepNext w:val="0"/>
        <w:keepLines w:val="0"/>
        <w:pageBreakBefore w:val="0"/>
        <w:widowControl w:val="0"/>
        <w:numPr>
          <w:ilvl w:val="0"/>
          <w:numId w:val="6"/>
        </w:numPr>
        <w:kinsoku/>
        <w:wordWrap/>
        <w:overflowPunct/>
        <w:topLinePunct/>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现行有效的主要设计和施工验收规范索引</w:t>
      </w:r>
    </w:p>
    <w:p w14:paraId="6D6EE76F">
      <w:pPr>
        <w:keepNext w:val="0"/>
        <w:keepLines w:val="0"/>
        <w:pageBreakBefore w:val="0"/>
        <w:widowControl w:val="0"/>
        <w:numPr>
          <w:ilvl w:val="0"/>
          <w:numId w:val="6"/>
        </w:numPr>
        <w:kinsoku/>
        <w:wordWrap/>
        <w:overflowPunct/>
        <w:topLinePunct/>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施工要求</w:t>
      </w:r>
    </w:p>
    <w:p w14:paraId="3B603549">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采用环保型材料，所有隐蔽工程在覆盖前必须会同使用单位、监理（如有）、管理方进行现场验收并签字认可，否则该部分工程不予认可。</w:t>
      </w:r>
    </w:p>
    <w:p w14:paraId="4AC26D9F">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 主要质量检验评定标准 </w:t>
      </w:r>
    </w:p>
    <w:p w14:paraId="364A9C7E">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本工程执行国家现行的与本工程有关的质量检验评定标准。 </w:t>
      </w:r>
    </w:p>
    <w:p w14:paraId="07FA1EA0">
      <w:pPr>
        <w:keepNext w:val="0"/>
        <w:keepLines w:val="0"/>
        <w:pageBreakBefore w:val="0"/>
        <w:widowControl w:val="0"/>
        <w:numPr>
          <w:ilvl w:val="0"/>
          <w:numId w:val="7"/>
        </w:numPr>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履约验收 </w:t>
      </w:r>
    </w:p>
    <w:p w14:paraId="682C2E65">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采购人根据国家有关规定、采购文件、成交供应商的响应文件、合同约定的内容和工程施工及验收规范进行验收。验收后填写《验收报告》，作为付款依据。 </w:t>
      </w:r>
    </w:p>
    <w:p w14:paraId="5091C8C4">
      <w:pPr>
        <w:keepNext w:val="0"/>
        <w:keepLines w:val="0"/>
        <w:pageBreakBefore w:val="0"/>
        <w:widowControl w:val="0"/>
        <w:numPr>
          <w:ilvl w:val="0"/>
          <w:numId w:val="7"/>
        </w:numPr>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其他 </w:t>
      </w:r>
    </w:p>
    <w:p w14:paraId="7E02D029">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8.1 </w:t>
      </w:r>
      <w:r>
        <w:rPr>
          <w:rFonts w:hint="eastAsia" w:ascii="宋体" w:hAnsi="宋体" w:eastAsia="宋体" w:cs="宋体"/>
          <w:b/>
          <w:bCs/>
          <w:color w:val="auto"/>
          <w:sz w:val="21"/>
          <w:szCs w:val="21"/>
          <w:highlight w:val="none"/>
          <w:lang w:val="en-US" w:eastAsia="zh-CN"/>
        </w:rPr>
        <w:t>本项目实行项目经理和项目部主要管理人员实名制，建设工期内项目经理和项目部主要管理人员必须保证在本工程开展工作，原则上不允许变更，如有特殊原因确需变更的，请遵照《河南省规范项目经理和项目总监任职行为的若干规定（试行）》和合同相关内容执行。</w:t>
      </w:r>
    </w:p>
    <w:p w14:paraId="56B19301">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 成交人负责协调与村民及周边外部关系</w:t>
      </w:r>
    </w:p>
    <w:p w14:paraId="0A7AD709">
      <w:pPr>
        <w:keepNext w:val="0"/>
        <w:keepLines w:val="0"/>
        <w:pageBreakBefore w:val="0"/>
        <w:widowControl w:val="0"/>
        <w:kinsoku/>
        <w:wordWrap/>
        <w:overflowPunct/>
        <w:topLinePunct/>
        <w:autoSpaceDE/>
        <w:autoSpaceDN/>
        <w:bidi w:val="0"/>
        <w:adjustRightInd/>
        <w:snapToGrid/>
        <w:spacing w:line="4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074" w:name="_GoBack"/>
      <w:bookmarkEnd w:id="1074"/>
    </w:p>
    <w:p w14:paraId="6BCF728D">
      <w:pPr>
        <w:spacing w:line="360" w:lineRule="auto"/>
        <w:jc w:val="center"/>
        <w:outlineLvl w:val="0"/>
        <w:rPr>
          <w:rFonts w:hint="eastAsia" w:ascii="宋体" w:hAnsi="宋体" w:eastAsia="宋体" w:cs="宋体"/>
          <w:b/>
          <w:bCs/>
          <w:color w:val="auto"/>
          <w:sz w:val="32"/>
          <w:szCs w:val="32"/>
          <w:highlight w:val="none"/>
        </w:rPr>
      </w:pPr>
      <w:bookmarkStart w:id="785" w:name="_Toc29743"/>
      <w:bookmarkStart w:id="786" w:name="_Toc2841"/>
      <w:r>
        <w:rPr>
          <w:rFonts w:hint="eastAsia" w:ascii="宋体" w:hAnsi="宋体" w:eastAsia="宋体" w:cs="宋体"/>
          <w:b/>
          <w:bCs/>
          <w:color w:val="auto"/>
          <w:sz w:val="32"/>
          <w:szCs w:val="32"/>
          <w:highlight w:val="none"/>
        </w:rPr>
        <w:t>第八章  响应文件格式</w:t>
      </w:r>
      <w:bookmarkEnd w:id="785"/>
      <w:bookmarkEnd w:id="786"/>
    </w:p>
    <w:p w14:paraId="374516A1">
      <w:pPr>
        <w:spacing w:line="360" w:lineRule="auto"/>
        <w:rPr>
          <w:rFonts w:hint="eastAsia" w:ascii="宋体" w:hAnsi="宋体" w:eastAsia="宋体" w:cs="宋体"/>
          <w:color w:val="auto"/>
          <w:highlight w:val="none"/>
        </w:rPr>
      </w:pPr>
    </w:p>
    <w:p w14:paraId="5E2C28BC">
      <w:pPr>
        <w:spacing w:line="360" w:lineRule="auto"/>
        <w:jc w:val="center"/>
        <w:rPr>
          <w:rFonts w:hint="eastAsia" w:ascii="宋体" w:hAnsi="宋体" w:eastAsia="宋体" w:cs="宋体"/>
          <w:color w:val="auto"/>
          <w:highlight w:val="none"/>
        </w:rPr>
      </w:pPr>
    </w:p>
    <w:p w14:paraId="68F33CD2">
      <w:pPr>
        <w:spacing w:line="360" w:lineRule="auto"/>
        <w:jc w:val="center"/>
        <w:rPr>
          <w:rFonts w:hint="eastAsia" w:ascii="宋体" w:hAnsi="宋体" w:eastAsia="宋体" w:cs="宋体"/>
          <w:color w:val="auto"/>
          <w:highlight w:val="none"/>
        </w:rPr>
      </w:pPr>
    </w:p>
    <w:p w14:paraId="0BAED6CB">
      <w:pPr>
        <w:pStyle w:val="45"/>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F3A9F1">
      <w:pPr>
        <w:spacing w:line="360" w:lineRule="auto"/>
        <w:jc w:val="center"/>
        <w:rPr>
          <w:rFonts w:hint="eastAsia" w:ascii="宋体" w:hAnsi="宋体" w:eastAsia="宋体" w:cs="宋体"/>
          <w:color w:val="auto"/>
          <w:highlight w:val="none"/>
          <w:u w:val="single"/>
        </w:rPr>
      </w:pPr>
    </w:p>
    <w:p w14:paraId="7E8A01C5">
      <w:pPr>
        <w:pStyle w:val="45"/>
        <w:rPr>
          <w:rFonts w:hint="eastAsia" w:ascii="宋体" w:hAnsi="宋体" w:eastAsia="宋体" w:cs="宋体"/>
          <w:color w:val="auto"/>
          <w:highlight w:val="none"/>
        </w:rPr>
      </w:pPr>
    </w:p>
    <w:p w14:paraId="2A0A7B1A">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u w:val="single"/>
        </w:rPr>
        <w:t>（项目名称）</w:t>
      </w:r>
    </w:p>
    <w:p w14:paraId="7D74DA96">
      <w:pPr>
        <w:spacing w:line="360" w:lineRule="auto"/>
        <w:jc w:val="center"/>
        <w:rPr>
          <w:rFonts w:hint="eastAsia" w:ascii="宋体" w:hAnsi="宋体" w:eastAsia="宋体" w:cs="宋体"/>
          <w:color w:val="auto"/>
          <w:sz w:val="20"/>
          <w:szCs w:val="20"/>
          <w:highlight w:val="none"/>
        </w:rPr>
      </w:pPr>
    </w:p>
    <w:p w14:paraId="37DFCB26">
      <w:pPr>
        <w:spacing w:line="360" w:lineRule="auto"/>
        <w:jc w:val="center"/>
        <w:rPr>
          <w:rFonts w:hint="eastAsia" w:ascii="宋体" w:hAnsi="宋体" w:eastAsia="宋体" w:cs="宋体"/>
          <w:color w:val="auto"/>
          <w:sz w:val="20"/>
          <w:szCs w:val="20"/>
          <w:highlight w:val="none"/>
        </w:rPr>
      </w:pPr>
    </w:p>
    <w:p w14:paraId="178E7F09">
      <w:pPr>
        <w:spacing w:line="360" w:lineRule="auto"/>
        <w:rPr>
          <w:rFonts w:hint="eastAsia" w:ascii="宋体" w:hAnsi="宋体" w:eastAsia="宋体" w:cs="宋体"/>
          <w:color w:val="auto"/>
          <w:sz w:val="20"/>
          <w:szCs w:val="20"/>
          <w:highlight w:val="none"/>
        </w:rPr>
      </w:pPr>
    </w:p>
    <w:p w14:paraId="6A7BCA47">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响  应  文  件</w:t>
      </w:r>
    </w:p>
    <w:p w14:paraId="15C0D3F9">
      <w:pPr>
        <w:spacing w:line="360" w:lineRule="auto"/>
        <w:jc w:val="center"/>
        <w:rPr>
          <w:rFonts w:hint="eastAsia" w:ascii="宋体" w:hAnsi="宋体" w:eastAsia="宋体" w:cs="宋体"/>
          <w:color w:val="auto"/>
          <w:sz w:val="28"/>
          <w:szCs w:val="28"/>
          <w:highlight w:val="none"/>
          <w:lang w:eastAsia="zh-CN"/>
        </w:rPr>
      </w:pPr>
    </w:p>
    <w:p w14:paraId="2E6B8A8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项目</w:t>
      </w:r>
      <w:r>
        <w:rPr>
          <w:rFonts w:hint="eastAsia" w:ascii="宋体" w:hAnsi="宋体" w:eastAsia="宋体" w:cs="宋体"/>
          <w:color w:val="auto"/>
          <w:sz w:val="28"/>
          <w:szCs w:val="28"/>
          <w:highlight w:val="none"/>
        </w:rPr>
        <w:t>编号：</w:t>
      </w:r>
    </w:p>
    <w:p w14:paraId="4B93D888">
      <w:pPr>
        <w:spacing w:line="360" w:lineRule="auto"/>
        <w:rPr>
          <w:rFonts w:hint="eastAsia" w:ascii="宋体" w:hAnsi="宋体" w:eastAsia="宋体" w:cs="宋体"/>
          <w:color w:val="auto"/>
          <w:sz w:val="28"/>
          <w:szCs w:val="28"/>
          <w:highlight w:val="none"/>
        </w:rPr>
      </w:pPr>
    </w:p>
    <w:p w14:paraId="74CF7720">
      <w:pPr>
        <w:spacing w:line="360" w:lineRule="auto"/>
        <w:rPr>
          <w:rFonts w:hint="eastAsia" w:ascii="宋体" w:hAnsi="宋体" w:eastAsia="宋体" w:cs="宋体"/>
          <w:color w:val="auto"/>
          <w:sz w:val="28"/>
          <w:szCs w:val="28"/>
          <w:highlight w:val="none"/>
        </w:rPr>
      </w:pPr>
    </w:p>
    <w:p w14:paraId="10A423C3">
      <w:pPr>
        <w:spacing w:line="360" w:lineRule="auto"/>
        <w:rPr>
          <w:rFonts w:hint="eastAsia" w:ascii="宋体" w:hAnsi="宋体" w:eastAsia="宋体" w:cs="宋体"/>
          <w:color w:val="auto"/>
          <w:sz w:val="28"/>
          <w:szCs w:val="28"/>
          <w:highlight w:val="none"/>
        </w:rPr>
      </w:pPr>
    </w:p>
    <w:p w14:paraId="235CF344">
      <w:pPr>
        <w:spacing w:line="360" w:lineRule="auto"/>
        <w:rPr>
          <w:rFonts w:hint="eastAsia" w:ascii="宋体" w:hAnsi="宋体" w:eastAsia="宋体" w:cs="宋体"/>
          <w:color w:val="auto"/>
          <w:sz w:val="28"/>
          <w:szCs w:val="28"/>
          <w:highlight w:val="none"/>
        </w:rPr>
      </w:pPr>
    </w:p>
    <w:p w14:paraId="3A8DD1EE">
      <w:pPr>
        <w:spacing w:line="360" w:lineRule="auto"/>
        <w:rPr>
          <w:rFonts w:hint="eastAsia" w:ascii="宋体" w:hAnsi="宋体" w:eastAsia="宋体" w:cs="宋体"/>
          <w:color w:val="auto"/>
          <w:sz w:val="28"/>
          <w:szCs w:val="28"/>
          <w:highlight w:val="none"/>
        </w:rPr>
      </w:pPr>
    </w:p>
    <w:p w14:paraId="0119BD69">
      <w:pPr>
        <w:spacing w:line="360" w:lineRule="auto"/>
        <w:rPr>
          <w:rFonts w:hint="eastAsia" w:ascii="宋体" w:hAnsi="宋体" w:eastAsia="宋体" w:cs="宋体"/>
          <w:color w:val="auto"/>
          <w:sz w:val="28"/>
          <w:szCs w:val="28"/>
          <w:highlight w:val="none"/>
        </w:rPr>
      </w:pPr>
    </w:p>
    <w:p w14:paraId="166394C0">
      <w:pPr>
        <w:spacing w:line="360" w:lineRule="auto"/>
        <w:rPr>
          <w:rFonts w:hint="eastAsia" w:ascii="宋体" w:hAnsi="宋体" w:eastAsia="宋体" w:cs="宋体"/>
          <w:color w:val="auto"/>
          <w:sz w:val="28"/>
          <w:szCs w:val="28"/>
          <w:highlight w:val="none"/>
        </w:rPr>
      </w:pPr>
    </w:p>
    <w:p w14:paraId="02C9FE0B">
      <w:pPr>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（电子签章）</w:t>
      </w:r>
    </w:p>
    <w:p w14:paraId="3ACD65D0">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（签字或电子签章）</w:t>
      </w:r>
    </w:p>
    <w:p w14:paraId="1613658A">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9622DD6">
      <w:pPr>
        <w:spacing w:line="360" w:lineRule="auto"/>
        <w:jc w:val="center"/>
        <w:rPr>
          <w:rFonts w:hint="eastAsia" w:ascii="宋体" w:hAnsi="宋体" w:eastAsia="宋体" w:cs="宋体"/>
          <w:b/>
          <w:bCs/>
          <w:color w:val="auto"/>
          <w:sz w:val="28"/>
          <w:szCs w:val="28"/>
          <w:highlight w:val="none"/>
        </w:rPr>
      </w:pPr>
      <w:bookmarkStart w:id="787" w:name="_Toc144974856"/>
      <w:bookmarkStart w:id="788" w:name="_Toc21241"/>
      <w:bookmarkStart w:id="789" w:name="_Toc152045787"/>
      <w:bookmarkStart w:id="790" w:name="_Toc179632807"/>
      <w:bookmarkStart w:id="791" w:name="_Toc152042576"/>
      <w:r>
        <w:rPr>
          <w:rFonts w:hint="eastAsia" w:ascii="宋体" w:hAnsi="宋体" w:eastAsia="宋体" w:cs="宋体"/>
          <w:b/>
          <w:bCs/>
          <w:color w:val="auto"/>
          <w:sz w:val="28"/>
          <w:szCs w:val="28"/>
          <w:highlight w:val="none"/>
        </w:rPr>
        <w:br w:type="page"/>
      </w:r>
    </w:p>
    <w:p w14:paraId="7E49BBB6">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    录</w:t>
      </w:r>
      <w:bookmarkEnd w:id="787"/>
      <w:bookmarkEnd w:id="788"/>
      <w:bookmarkEnd w:id="789"/>
      <w:bookmarkEnd w:id="790"/>
      <w:bookmarkEnd w:id="791"/>
    </w:p>
    <w:p w14:paraId="038C0264">
      <w:pPr>
        <w:spacing w:line="360" w:lineRule="auto"/>
        <w:rPr>
          <w:rFonts w:hint="eastAsia" w:ascii="宋体" w:hAnsi="宋体" w:eastAsia="宋体" w:cs="宋体"/>
          <w:color w:val="auto"/>
          <w:highlight w:val="none"/>
        </w:rPr>
      </w:pPr>
    </w:p>
    <w:p w14:paraId="6C5A49A8">
      <w:pPr>
        <w:spacing w:line="289" w:lineRule="exact"/>
        <w:rPr>
          <w:rFonts w:hint="eastAsia" w:ascii="宋体" w:hAnsi="宋体" w:eastAsia="宋体" w:cs="宋体"/>
          <w:color w:val="auto"/>
          <w:sz w:val="20"/>
          <w:szCs w:val="20"/>
          <w:highlight w:val="none"/>
        </w:rPr>
      </w:pPr>
    </w:p>
    <w:p w14:paraId="164E451B">
      <w:pPr>
        <w:spacing w:line="44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一、报价函及报价函附录</w:t>
      </w:r>
    </w:p>
    <w:p w14:paraId="1CEDE93A">
      <w:pPr>
        <w:spacing w:line="44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二、法定代表人身份证明</w:t>
      </w:r>
    </w:p>
    <w:p w14:paraId="050083BB">
      <w:pPr>
        <w:spacing w:line="44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三、授权委托书</w:t>
      </w:r>
    </w:p>
    <w:p w14:paraId="6431E419">
      <w:pPr>
        <w:spacing w:line="44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四、磋商承诺书</w:t>
      </w:r>
    </w:p>
    <w:p w14:paraId="1E010BA2">
      <w:pPr>
        <w:spacing w:line="44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五、已标价工程量清单</w:t>
      </w:r>
    </w:p>
    <w:p w14:paraId="144FEFC0">
      <w:pPr>
        <w:spacing w:line="44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六、施工组织设计</w:t>
      </w:r>
    </w:p>
    <w:p w14:paraId="6600B7AB">
      <w:pPr>
        <w:spacing w:line="44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七、项目管理机构</w:t>
      </w:r>
    </w:p>
    <w:p w14:paraId="16748EB9">
      <w:pPr>
        <w:spacing w:line="44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八、资格审查资料</w:t>
      </w:r>
    </w:p>
    <w:p w14:paraId="5A7F134E">
      <w:pPr>
        <w:spacing w:line="44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九、类似项目情况表</w:t>
      </w:r>
    </w:p>
    <w:p w14:paraId="21F8FD0C">
      <w:pPr>
        <w:spacing w:line="440" w:lineRule="exact"/>
        <w:ind w:firstLine="42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十、服务承诺</w:t>
      </w:r>
    </w:p>
    <w:p w14:paraId="6537B3E1">
      <w:pPr>
        <w:spacing w:line="44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十一、</w:t>
      </w:r>
      <w:r>
        <w:rPr>
          <w:rFonts w:hint="eastAsia" w:ascii="宋体" w:hAnsi="宋体" w:eastAsia="宋体" w:cs="宋体"/>
          <w:bCs/>
          <w:color w:val="auto"/>
          <w:highlight w:val="none"/>
        </w:rPr>
        <w:t>供应商认为有必要提供的其他资料</w:t>
      </w:r>
    </w:p>
    <w:p w14:paraId="17B0878B">
      <w:pPr>
        <w:spacing w:line="44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十</w:t>
      </w:r>
      <w:r>
        <w:rPr>
          <w:rFonts w:hint="eastAsia" w:ascii="宋体" w:hAnsi="宋体" w:eastAsia="宋体" w:cs="宋体"/>
          <w:bCs/>
          <w:color w:val="auto"/>
          <w:highlight w:val="none"/>
          <w:lang w:val="en-US" w:eastAsia="zh-CN"/>
        </w:rPr>
        <w:t>二</w:t>
      </w:r>
      <w:r>
        <w:rPr>
          <w:rFonts w:hint="eastAsia" w:ascii="宋体" w:hAnsi="宋体" w:eastAsia="宋体" w:cs="宋体"/>
          <w:bCs/>
          <w:color w:val="auto"/>
          <w:highlight w:val="none"/>
        </w:rPr>
        <w:t>、中小微企业证明</w:t>
      </w:r>
    </w:p>
    <w:p w14:paraId="4828A65F">
      <w:pPr>
        <w:spacing w:line="360" w:lineRule="auto"/>
        <w:rPr>
          <w:rFonts w:hint="eastAsia" w:ascii="宋体" w:hAnsi="宋体" w:eastAsia="宋体" w:cs="宋体"/>
          <w:color w:val="auto"/>
          <w:highlight w:val="none"/>
        </w:rPr>
      </w:pPr>
    </w:p>
    <w:p w14:paraId="7899CEE8">
      <w:pPr>
        <w:spacing w:line="500" w:lineRule="exact"/>
        <w:ind w:firstLine="840" w:firstLineChars="400"/>
        <w:rPr>
          <w:rFonts w:hint="eastAsia" w:ascii="宋体" w:hAnsi="宋体" w:eastAsia="宋体" w:cs="宋体"/>
          <w:color w:val="auto"/>
          <w:highlight w:val="none"/>
        </w:rPr>
      </w:pPr>
    </w:p>
    <w:p w14:paraId="11A80D8A">
      <w:pPr>
        <w:spacing w:line="289"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633D1E98">
      <w:pPr>
        <w:pStyle w:val="56"/>
        <w:spacing w:before="0" w:line="360" w:lineRule="auto"/>
        <w:jc w:val="center"/>
        <w:rPr>
          <w:rFonts w:hint="eastAsia" w:ascii="宋体" w:hAnsi="宋体" w:eastAsia="宋体" w:cs="宋体"/>
          <w:color w:val="auto"/>
          <w:highlight w:val="none"/>
        </w:rPr>
      </w:pPr>
      <w:bookmarkStart w:id="792" w:name="_Toc15103"/>
      <w:bookmarkStart w:id="793" w:name="_Toc30980"/>
      <w:bookmarkStart w:id="794" w:name="_Toc152045791"/>
      <w:bookmarkStart w:id="795" w:name="_Toc179632811"/>
      <w:bookmarkStart w:id="796" w:name="_Toc144974860"/>
      <w:bookmarkStart w:id="797" w:name="_Toc152042580"/>
      <w:r>
        <w:rPr>
          <w:rFonts w:hint="eastAsia" w:ascii="宋体" w:hAnsi="宋体" w:eastAsia="宋体" w:cs="宋体"/>
          <w:color w:val="auto"/>
          <w:highlight w:val="none"/>
        </w:rPr>
        <w:t>一、报价函及报价函附录</w:t>
      </w:r>
      <w:bookmarkEnd w:id="792"/>
    </w:p>
    <w:p w14:paraId="6842FD97">
      <w:pPr>
        <w:spacing w:line="360" w:lineRule="auto"/>
        <w:jc w:val="center"/>
        <w:outlineLvl w:val="2"/>
        <w:rPr>
          <w:rFonts w:hint="eastAsia" w:ascii="宋体" w:hAnsi="宋体" w:eastAsia="宋体" w:cs="宋体"/>
          <w:b/>
          <w:bCs/>
          <w:color w:val="auto"/>
          <w:sz w:val="24"/>
          <w:szCs w:val="24"/>
          <w:highlight w:val="none"/>
        </w:rPr>
      </w:pPr>
      <w:bookmarkStart w:id="798" w:name="_Toc13588"/>
      <w:bookmarkStart w:id="799" w:name="_Toc23428"/>
      <w:r>
        <w:rPr>
          <w:rFonts w:hint="eastAsia" w:ascii="宋体" w:hAnsi="宋体" w:eastAsia="宋体" w:cs="宋体"/>
          <w:b/>
          <w:bCs/>
          <w:color w:val="auto"/>
          <w:sz w:val="24"/>
          <w:szCs w:val="24"/>
          <w:highlight w:val="none"/>
        </w:rPr>
        <w:t>（一）报价函</w:t>
      </w:r>
      <w:bookmarkEnd w:id="798"/>
      <w:bookmarkEnd w:id="799"/>
    </w:p>
    <w:p w14:paraId="06DBA41B">
      <w:pPr>
        <w:spacing w:line="440" w:lineRule="exact"/>
        <w:ind w:firstLine="315" w:firstLineChars="150"/>
        <w:rPr>
          <w:rFonts w:hint="eastAsia" w:ascii="宋体" w:hAnsi="宋体" w:eastAsia="宋体" w:cs="宋体"/>
          <w:color w:val="auto"/>
          <w:highlight w:val="none"/>
          <w:lang w:val="en-GB"/>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（采购人名称）：</w:t>
      </w:r>
    </w:p>
    <w:p w14:paraId="0AAF216E">
      <w:pPr>
        <w:spacing w:line="440" w:lineRule="exact"/>
        <w:rPr>
          <w:rFonts w:hint="eastAsia" w:ascii="宋体" w:hAnsi="宋体" w:eastAsia="宋体" w:cs="宋体"/>
          <w:color w:val="auto"/>
          <w:highlight w:val="none"/>
        </w:rPr>
      </w:pPr>
    </w:p>
    <w:p w14:paraId="61C0067E">
      <w:pPr>
        <w:numPr>
          <w:ilvl w:val="0"/>
          <w:numId w:val="8"/>
        </w:num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我方已仔细研究了</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竞争性磋商文件的全部内容，愿意以磋商报价人民币（大写：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元</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工期为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磋商质量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7E52F43">
      <w:pPr>
        <w:numPr>
          <w:ilvl w:val="0"/>
          <w:numId w:val="8"/>
        </w:num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我方承诺在磋商有效期内不修改、撤销响应文件。</w:t>
      </w:r>
    </w:p>
    <w:p w14:paraId="3E297EAB">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3．如我方成交：</w:t>
      </w:r>
    </w:p>
    <w:p w14:paraId="6E239B43">
      <w:pPr>
        <w:spacing w:line="440" w:lineRule="exact"/>
        <w:ind w:firstLine="718" w:firstLineChars="342"/>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（1）我方承诺在收到成交通知书后，在成交通知书规定的期限内与你方签订合同。</w:t>
      </w:r>
    </w:p>
    <w:p w14:paraId="4B6DF845">
      <w:pPr>
        <w:spacing w:line="440" w:lineRule="exact"/>
        <w:ind w:firstLine="718" w:firstLineChars="342"/>
        <w:rPr>
          <w:rFonts w:hint="eastAsia" w:ascii="宋体" w:hAnsi="宋体" w:eastAsia="宋体" w:cs="宋体"/>
          <w:color w:val="auto"/>
          <w:highlight w:val="none"/>
        </w:rPr>
      </w:pPr>
      <w:r>
        <w:rPr>
          <w:rFonts w:hint="eastAsia" w:ascii="宋体" w:hAnsi="宋体" w:eastAsia="宋体" w:cs="宋体"/>
          <w:color w:val="auto"/>
          <w:highlight w:val="none"/>
        </w:rPr>
        <w:t>（2）随同本报价函递交的报价函附录属于合同文件的组成部分。</w:t>
      </w:r>
    </w:p>
    <w:p w14:paraId="4B713AF3">
      <w:pPr>
        <w:spacing w:line="440" w:lineRule="exact"/>
        <w:ind w:firstLine="718" w:firstLineChars="342"/>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）我方承诺在合同约定的期限内完成并移交全部合同内容。</w:t>
      </w:r>
    </w:p>
    <w:p w14:paraId="56641642">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4．我方在此声明，所递交的响应文件及有关资料内容完整、真实和准确。</w:t>
      </w:r>
    </w:p>
    <w:p w14:paraId="5770DBC4">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（其他补充说明）。</w:t>
      </w:r>
    </w:p>
    <w:p w14:paraId="61EB1CF9">
      <w:pPr>
        <w:spacing w:line="560" w:lineRule="exact"/>
        <w:rPr>
          <w:rFonts w:hint="eastAsia" w:ascii="宋体" w:hAnsi="宋体" w:eastAsia="宋体" w:cs="宋体"/>
          <w:color w:val="auto"/>
          <w:highlight w:val="none"/>
        </w:rPr>
      </w:pPr>
    </w:p>
    <w:p w14:paraId="6BCF763F">
      <w:pPr>
        <w:autoSpaceDE w:val="0"/>
        <w:autoSpaceDN w:val="0"/>
        <w:adjustRightInd w:val="0"/>
        <w:spacing w:line="400" w:lineRule="exact"/>
        <w:ind w:left="2940" w:leftChars="1400"/>
        <w:rPr>
          <w:rFonts w:hint="eastAsia" w:ascii="宋体" w:hAnsi="宋体" w:eastAsia="宋体" w:cs="宋体"/>
          <w:color w:val="auto"/>
          <w:kern w:val="0"/>
          <w:highlight w:val="none"/>
        </w:rPr>
      </w:pPr>
      <w:r>
        <w:rPr>
          <w:rFonts w:hint="eastAsia" w:ascii="宋体" w:hAnsi="宋体" w:eastAsia="宋体" w:cs="宋体"/>
          <w:color w:val="auto"/>
          <w:kern w:val="0"/>
          <w:highlight w:val="none"/>
        </w:rPr>
        <w:t>供 应 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（电子签章）</w:t>
      </w:r>
    </w:p>
    <w:p w14:paraId="398EC732">
      <w:pPr>
        <w:autoSpaceDE w:val="0"/>
        <w:autoSpaceDN w:val="0"/>
        <w:adjustRightInd w:val="0"/>
        <w:spacing w:line="400" w:lineRule="exact"/>
        <w:ind w:left="2940" w:leftChars="1400"/>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highlight w:val="none"/>
        </w:rPr>
        <w:t>签字或</w:t>
      </w:r>
      <w:r>
        <w:rPr>
          <w:rFonts w:hint="eastAsia" w:ascii="宋体" w:hAnsi="宋体" w:eastAsia="宋体" w:cs="宋体"/>
          <w:color w:val="auto"/>
          <w:kern w:val="0"/>
          <w:highlight w:val="none"/>
        </w:rPr>
        <w:t>电子签章）</w:t>
      </w:r>
    </w:p>
    <w:p w14:paraId="1454AE75">
      <w:pPr>
        <w:autoSpaceDE w:val="0"/>
        <w:autoSpaceDN w:val="0"/>
        <w:adjustRightInd w:val="0"/>
        <w:spacing w:line="400" w:lineRule="exact"/>
        <w:ind w:left="2940" w:leftChars="1400"/>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地    址：</w:t>
      </w:r>
      <w:r>
        <w:rPr>
          <w:rFonts w:hint="eastAsia" w:ascii="宋体" w:hAnsi="宋体" w:eastAsia="宋体" w:cs="宋体"/>
          <w:color w:val="auto"/>
          <w:highlight w:val="none"/>
          <w:u w:val="single"/>
        </w:rPr>
        <w:t xml:space="preserve">                                </w:t>
      </w:r>
    </w:p>
    <w:p w14:paraId="2756CF2C">
      <w:pPr>
        <w:autoSpaceDE w:val="0"/>
        <w:autoSpaceDN w:val="0"/>
        <w:adjustRightInd w:val="0"/>
        <w:spacing w:line="400" w:lineRule="exact"/>
        <w:ind w:left="2940" w:leftChars="1400"/>
        <w:rPr>
          <w:rFonts w:hint="eastAsia" w:ascii="宋体" w:hAnsi="宋体" w:eastAsia="宋体" w:cs="宋体"/>
          <w:color w:val="auto"/>
          <w:kern w:val="0"/>
          <w:highlight w:val="none"/>
        </w:rPr>
      </w:pPr>
      <w:r>
        <w:rPr>
          <w:rFonts w:hint="eastAsia" w:ascii="宋体" w:hAnsi="宋体" w:eastAsia="宋体" w:cs="宋体"/>
          <w:color w:val="auto"/>
          <w:kern w:val="0"/>
          <w:highlight w:val="none"/>
        </w:rPr>
        <w:t>网    址：</w:t>
      </w:r>
      <w:r>
        <w:rPr>
          <w:rFonts w:hint="eastAsia" w:ascii="宋体" w:hAnsi="宋体" w:eastAsia="宋体" w:cs="宋体"/>
          <w:color w:val="auto"/>
          <w:highlight w:val="none"/>
          <w:u w:val="single"/>
        </w:rPr>
        <w:t xml:space="preserve">                                </w:t>
      </w:r>
    </w:p>
    <w:p w14:paraId="4E187349">
      <w:pPr>
        <w:autoSpaceDE w:val="0"/>
        <w:autoSpaceDN w:val="0"/>
        <w:adjustRightInd w:val="0"/>
        <w:spacing w:line="400" w:lineRule="exact"/>
        <w:ind w:left="2940" w:leftChars="1400"/>
        <w:rPr>
          <w:rFonts w:hint="eastAsia" w:ascii="宋体" w:hAnsi="宋体" w:eastAsia="宋体" w:cs="宋体"/>
          <w:color w:val="auto"/>
          <w:kern w:val="0"/>
          <w:highlight w:val="none"/>
        </w:rPr>
      </w:pPr>
      <w:r>
        <w:rPr>
          <w:rFonts w:hint="eastAsia" w:ascii="宋体" w:hAnsi="宋体" w:eastAsia="宋体" w:cs="宋体"/>
          <w:color w:val="auto"/>
          <w:kern w:val="0"/>
          <w:highlight w:val="none"/>
        </w:rPr>
        <w:t>电    话：</w:t>
      </w:r>
      <w:r>
        <w:rPr>
          <w:rFonts w:hint="eastAsia" w:ascii="宋体" w:hAnsi="宋体" w:eastAsia="宋体" w:cs="宋体"/>
          <w:color w:val="auto"/>
          <w:highlight w:val="none"/>
          <w:u w:val="single"/>
        </w:rPr>
        <w:t xml:space="preserve">                                </w:t>
      </w:r>
    </w:p>
    <w:p w14:paraId="7D6FEE38">
      <w:pPr>
        <w:autoSpaceDE w:val="0"/>
        <w:autoSpaceDN w:val="0"/>
        <w:adjustRightInd w:val="0"/>
        <w:spacing w:line="400" w:lineRule="exact"/>
        <w:ind w:left="2940" w:leftChars="1400"/>
        <w:rPr>
          <w:rFonts w:hint="eastAsia" w:ascii="宋体" w:hAnsi="宋体" w:eastAsia="宋体" w:cs="宋体"/>
          <w:color w:val="auto"/>
          <w:kern w:val="0"/>
          <w:highlight w:val="none"/>
        </w:rPr>
      </w:pPr>
      <w:r>
        <w:rPr>
          <w:rFonts w:hint="eastAsia" w:ascii="宋体" w:hAnsi="宋体" w:eastAsia="宋体" w:cs="宋体"/>
          <w:color w:val="auto"/>
          <w:kern w:val="0"/>
          <w:highlight w:val="none"/>
        </w:rPr>
        <w:t>传    真：</w:t>
      </w:r>
      <w:r>
        <w:rPr>
          <w:rFonts w:hint="eastAsia" w:ascii="宋体" w:hAnsi="宋体" w:eastAsia="宋体" w:cs="宋体"/>
          <w:color w:val="auto"/>
          <w:highlight w:val="none"/>
          <w:u w:val="single"/>
        </w:rPr>
        <w:t xml:space="preserve">                                 </w:t>
      </w:r>
    </w:p>
    <w:p w14:paraId="566A2AA2">
      <w:pPr>
        <w:autoSpaceDE w:val="0"/>
        <w:autoSpaceDN w:val="0"/>
        <w:adjustRightInd w:val="0"/>
        <w:spacing w:line="400" w:lineRule="exact"/>
        <w:ind w:left="2940" w:leftChars="1400"/>
        <w:rPr>
          <w:rFonts w:hint="eastAsia" w:ascii="宋体" w:hAnsi="宋体" w:eastAsia="宋体" w:cs="宋体"/>
          <w:b/>
          <w:color w:val="auto"/>
          <w:highlight w:val="none"/>
        </w:rPr>
      </w:pPr>
      <w:r>
        <w:rPr>
          <w:rFonts w:hint="eastAsia" w:ascii="宋体" w:hAnsi="宋体" w:eastAsia="宋体" w:cs="宋体"/>
          <w:color w:val="auto"/>
          <w:kern w:val="0"/>
          <w:highlight w:val="none"/>
        </w:rPr>
        <w:t>邮政编码：</w:t>
      </w:r>
      <w:r>
        <w:rPr>
          <w:rFonts w:hint="eastAsia" w:ascii="宋体" w:hAnsi="宋体" w:eastAsia="宋体" w:cs="宋体"/>
          <w:color w:val="auto"/>
          <w:highlight w:val="none"/>
          <w:u w:val="single"/>
        </w:rPr>
        <w:t xml:space="preserve">                                </w:t>
      </w:r>
    </w:p>
    <w:p w14:paraId="1E457B4E">
      <w:pPr>
        <w:ind w:left="2940" w:leftChars="1400"/>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7709D327">
      <w:pPr>
        <w:spacing w:line="360" w:lineRule="auto"/>
        <w:jc w:val="center"/>
        <w:outlineLvl w:val="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br w:type="page"/>
      </w:r>
      <w:bookmarkStart w:id="800" w:name="_Toc20147"/>
      <w:r>
        <w:rPr>
          <w:rFonts w:hint="eastAsia" w:ascii="宋体" w:hAnsi="宋体" w:eastAsia="宋体" w:cs="宋体"/>
          <w:b/>
          <w:bCs/>
          <w:color w:val="auto"/>
          <w:sz w:val="24"/>
          <w:szCs w:val="24"/>
          <w:highlight w:val="none"/>
        </w:rPr>
        <w:t>（二）报价函附录</w:t>
      </w:r>
      <w:bookmarkEnd w:id="793"/>
      <w:bookmarkEnd w:id="800"/>
    </w:p>
    <w:p w14:paraId="40C24FB5">
      <w:pPr>
        <w:jc w:val="center"/>
        <w:rPr>
          <w:rFonts w:hint="eastAsia" w:ascii="宋体" w:hAnsi="宋体" w:eastAsia="宋体" w:cs="宋体"/>
          <w:color w:val="auto"/>
          <w:highlight w:val="none"/>
        </w:rPr>
      </w:pPr>
      <w:r>
        <w:rPr>
          <w:rFonts w:hint="eastAsia" w:ascii="宋体" w:hAnsi="宋体" w:eastAsia="宋体" w:cs="宋体"/>
          <w:b/>
          <w:color w:val="auto"/>
          <w:highlight w:val="none"/>
        </w:rPr>
        <w:t>第一轮报价</w:t>
      </w:r>
    </w:p>
    <w:tbl>
      <w:tblPr>
        <w:tblStyle w:val="28"/>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1688"/>
        <w:gridCol w:w="1592"/>
        <w:gridCol w:w="1593"/>
        <w:gridCol w:w="1622"/>
      </w:tblGrid>
      <w:tr w14:paraId="5F04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2804" w:type="dxa"/>
            <w:vAlign w:val="center"/>
          </w:tcPr>
          <w:p w14:paraId="3CE37E27">
            <w:pPr>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495" w:type="dxa"/>
            <w:gridSpan w:val="4"/>
            <w:vAlign w:val="center"/>
          </w:tcPr>
          <w:p w14:paraId="05328B5C">
            <w:pPr>
              <w:spacing w:line="500" w:lineRule="exact"/>
              <w:jc w:val="center"/>
              <w:rPr>
                <w:rFonts w:hint="eastAsia" w:ascii="宋体" w:hAnsi="宋体" w:eastAsia="宋体" w:cs="宋体"/>
                <w:color w:val="auto"/>
                <w:highlight w:val="none"/>
              </w:rPr>
            </w:pPr>
          </w:p>
        </w:tc>
      </w:tr>
      <w:tr w14:paraId="090F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804" w:type="dxa"/>
            <w:vAlign w:val="center"/>
          </w:tcPr>
          <w:p w14:paraId="32CADABC">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w:t>
            </w:r>
          </w:p>
        </w:tc>
        <w:tc>
          <w:tcPr>
            <w:tcW w:w="6495" w:type="dxa"/>
            <w:gridSpan w:val="4"/>
            <w:vAlign w:val="center"/>
          </w:tcPr>
          <w:p w14:paraId="045A9C46">
            <w:pPr>
              <w:spacing w:line="500" w:lineRule="exact"/>
              <w:jc w:val="center"/>
              <w:rPr>
                <w:rFonts w:hint="eastAsia" w:ascii="宋体" w:hAnsi="宋体" w:eastAsia="宋体" w:cs="宋体"/>
                <w:color w:val="auto"/>
                <w:highlight w:val="none"/>
              </w:rPr>
            </w:pPr>
          </w:p>
        </w:tc>
      </w:tr>
      <w:tr w14:paraId="2B40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804" w:type="dxa"/>
            <w:vAlign w:val="center"/>
          </w:tcPr>
          <w:p w14:paraId="7A7798E3">
            <w:pPr>
              <w:jc w:val="center"/>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1688" w:type="dxa"/>
            <w:vAlign w:val="center"/>
          </w:tcPr>
          <w:p w14:paraId="3F9156FC">
            <w:pPr>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592" w:type="dxa"/>
            <w:vAlign w:val="center"/>
          </w:tcPr>
          <w:p w14:paraId="0F65C34C">
            <w:pPr>
              <w:jc w:val="center"/>
              <w:rPr>
                <w:rFonts w:hint="eastAsia" w:ascii="宋体" w:hAnsi="宋体" w:eastAsia="宋体" w:cs="宋体"/>
                <w:color w:val="auto"/>
                <w:highlight w:val="none"/>
              </w:rPr>
            </w:pPr>
          </w:p>
        </w:tc>
        <w:tc>
          <w:tcPr>
            <w:tcW w:w="1593" w:type="dxa"/>
            <w:vAlign w:val="center"/>
          </w:tcPr>
          <w:p w14:paraId="6025B5B0">
            <w:pPr>
              <w:jc w:val="center"/>
              <w:rPr>
                <w:rFonts w:hint="eastAsia" w:ascii="宋体" w:hAnsi="宋体" w:eastAsia="宋体" w:cs="宋体"/>
                <w:color w:val="auto"/>
                <w:highlight w:val="none"/>
              </w:rPr>
            </w:pPr>
            <w:r>
              <w:rPr>
                <w:rFonts w:hint="eastAsia" w:ascii="宋体" w:hAnsi="宋体" w:eastAsia="宋体" w:cs="宋体"/>
                <w:color w:val="auto"/>
                <w:highlight w:val="none"/>
              </w:rPr>
              <w:t>注册编号</w:t>
            </w:r>
          </w:p>
        </w:tc>
        <w:tc>
          <w:tcPr>
            <w:tcW w:w="1622" w:type="dxa"/>
            <w:vAlign w:val="center"/>
          </w:tcPr>
          <w:p w14:paraId="31F48944">
            <w:pPr>
              <w:spacing w:line="500" w:lineRule="exact"/>
              <w:jc w:val="center"/>
              <w:rPr>
                <w:rFonts w:hint="eastAsia" w:ascii="宋体" w:hAnsi="宋体" w:eastAsia="宋体" w:cs="宋体"/>
                <w:color w:val="auto"/>
                <w:highlight w:val="none"/>
              </w:rPr>
            </w:pPr>
          </w:p>
        </w:tc>
      </w:tr>
      <w:tr w14:paraId="1B1A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804" w:type="dxa"/>
            <w:vAlign w:val="center"/>
          </w:tcPr>
          <w:p w14:paraId="38DF399A">
            <w:pPr>
              <w:jc w:val="center"/>
              <w:rPr>
                <w:rFonts w:hint="eastAsia" w:ascii="宋体" w:hAnsi="宋体" w:eastAsia="宋体" w:cs="宋体"/>
                <w:color w:val="auto"/>
                <w:highlight w:val="none"/>
              </w:rPr>
            </w:pPr>
            <w:r>
              <w:rPr>
                <w:rFonts w:hint="eastAsia" w:ascii="宋体" w:hAnsi="宋体" w:eastAsia="宋体" w:cs="宋体"/>
                <w:color w:val="auto"/>
                <w:highlight w:val="none"/>
              </w:rPr>
              <w:t>磋商</w:t>
            </w:r>
            <w:r>
              <w:rPr>
                <w:rFonts w:hint="eastAsia" w:ascii="宋体" w:hAnsi="宋体" w:eastAsia="宋体" w:cs="宋体"/>
                <w:color w:val="auto"/>
                <w:highlight w:val="none"/>
                <w:lang w:eastAsia="zh-CN"/>
              </w:rPr>
              <w:t>总</w:t>
            </w:r>
            <w:r>
              <w:rPr>
                <w:rFonts w:hint="eastAsia" w:ascii="宋体" w:hAnsi="宋体" w:eastAsia="宋体" w:cs="宋体"/>
                <w:color w:val="auto"/>
                <w:highlight w:val="none"/>
              </w:rPr>
              <w:t>报价</w:t>
            </w:r>
          </w:p>
        </w:tc>
        <w:tc>
          <w:tcPr>
            <w:tcW w:w="6495" w:type="dxa"/>
            <w:gridSpan w:val="4"/>
            <w:vAlign w:val="center"/>
          </w:tcPr>
          <w:p w14:paraId="3D4627C6">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大写：               （小写：        元）</w:t>
            </w:r>
          </w:p>
        </w:tc>
      </w:tr>
      <w:tr w14:paraId="678D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804" w:type="dxa"/>
            <w:vAlign w:val="center"/>
          </w:tcPr>
          <w:p w14:paraId="3519A523">
            <w:pPr>
              <w:jc w:val="center"/>
              <w:rPr>
                <w:rFonts w:hint="eastAsia" w:ascii="宋体" w:hAnsi="宋体" w:eastAsia="宋体" w:cs="宋体"/>
                <w:color w:val="auto"/>
                <w:highlight w:val="none"/>
              </w:rPr>
            </w:pPr>
            <w:r>
              <w:rPr>
                <w:rFonts w:hint="eastAsia" w:ascii="宋体" w:hAnsi="宋体" w:eastAsia="宋体" w:cs="宋体"/>
                <w:color w:val="auto"/>
                <w:highlight w:val="none"/>
              </w:rPr>
              <w:t>磋商范围</w:t>
            </w:r>
          </w:p>
        </w:tc>
        <w:tc>
          <w:tcPr>
            <w:tcW w:w="6495" w:type="dxa"/>
            <w:gridSpan w:val="4"/>
            <w:vAlign w:val="center"/>
          </w:tcPr>
          <w:p w14:paraId="69DE1394">
            <w:pPr>
              <w:spacing w:line="500" w:lineRule="exact"/>
              <w:ind w:firstLine="420" w:firstLineChars="200"/>
              <w:rPr>
                <w:rFonts w:hint="eastAsia" w:ascii="宋体" w:hAnsi="宋体" w:eastAsia="宋体" w:cs="宋体"/>
                <w:color w:val="auto"/>
                <w:highlight w:val="none"/>
              </w:rPr>
            </w:pPr>
          </w:p>
        </w:tc>
      </w:tr>
      <w:tr w14:paraId="698A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804" w:type="dxa"/>
            <w:vAlign w:val="center"/>
          </w:tcPr>
          <w:p w14:paraId="20F6E797">
            <w:pPr>
              <w:jc w:val="center"/>
              <w:rPr>
                <w:rFonts w:hint="eastAsia" w:ascii="宋体" w:hAnsi="宋体" w:eastAsia="宋体" w:cs="宋体"/>
                <w:color w:val="auto"/>
                <w:highlight w:val="none"/>
              </w:rPr>
            </w:pPr>
            <w:r>
              <w:rPr>
                <w:rFonts w:hint="eastAsia" w:ascii="宋体" w:hAnsi="宋体" w:eastAsia="宋体" w:cs="宋体"/>
                <w:color w:val="auto"/>
                <w:highlight w:val="none"/>
              </w:rPr>
              <w:t>磋商质量</w:t>
            </w:r>
          </w:p>
        </w:tc>
        <w:tc>
          <w:tcPr>
            <w:tcW w:w="6495" w:type="dxa"/>
            <w:gridSpan w:val="4"/>
            <w:vAlign w:val="center"/>
          </w:tcPr>
          <w:p w14:paraId="2878176C">
            <w:pPr>
              <w:spacing w:line="500" w:lineRule="exact"/>
              <w:ind w:firstLine="420" w:firstLineChars="200"/>
              <w:rPr>
                <w:rFonts w:hint="eastAsia" w:ascii="宋体" w:hAnsi="宋体" w:eastAsia="宋体" w:cs="宋体"/>
                <w:color w:val="auto"/>
                <w:highlight w:val="none"/>
              </w:rPr>
            </w:pPr>
          </w:p>
        </w:tc>
      </w:tr>
      <w:tr w14:paraId="1242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804" w:type="dxa"/>
            <w:vAlign w:val="center"/>
          </w:tcPr>
          <w:p w14:paraId="0F866145">
            <w:pPr>
              <w:jc w:val="center"/>
              <w:rPr>
                <w:rFonts w:hint="eastAsia" w:ascii="宋体" w:hAnsi="宋体" w:eastAsia="宋体" w:cs="宋体"/>
                <w:color w:val="auto"/>
                <w:highlight w:val="none"/>
              </w:rPr>
            </w:pPr>
            <w:r>
              <w:rPr>
                <w:rFonts w:hint="eastAsia" w:ascii="宋体" w:hAnsi="宋体" w:eastAsia="宋体" w:cs="宋体"/>
                <w:color w:val="auto"/>
                <w:highlight w:val="none"/>
              </w:rPr>
              <w:t>磋商工期</w:t>
            </w:r>
          </w:p>
        </w:tc>
        <w:tc>
          <w:tcPr>
            <w:tcW w:w="6495" w:type="dxa"/>
            <w:gridSpan w:val="4"/>
            <w:vAlign w:val="center"/>
          </w:tcPr>
          <w:p w14:paraId="02419E7D">
            <w:pPr>
              <w:spacing w:line="500" w:lineRule="exact"/>
              <w:ind w:firstLine="420" w:firstLineChars="200"/>
              <w:rPr>
                <w:rFonts w:hint="eastAsia" w:ascii="宋体" w:hAnsi="宋体" w:eastAsia="宋体" w:cs="宋体"/>
                <w:color w:val="auto"/>
                <w:highlight w:val="none"/>
              </w:rPr>
            </w:pPr>
          </w:p>
        </w:tc>
      </w:tr>
      <w:tr w14:paraId="7E5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804" w:type="dxa"/>
            <w:vAlign w:val="center"/>
          </w:tcPr>
          <w:p w14:paraId="4E89B2F4">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质保期</w:t>
            </w:r>
          </w:p>
        </w:tc>
        <w:tc>
          <w:tcPr>
            <w:tcW w:w="6495" w:type="dxa"/>
            <w:gridSpan w:val="4"/>
            <w:vAlign w:val="center"/>
          </w:tcPr>
          <w:p w14:paraId="66055E7E">
            <w:pPr>
              <w:spacing w:line="500" w:lineRule="exact"/>
              <w:ind w:firstLine="420" w:firstLineChars="200"/>
              <w:rPr>
                <w:rFonts w:hint="eastAsia" w:ascii="宋体" w:hAnsi="宋体" w:eastAsia="宋体" w:cs="宋体"/>
                <w:color w:val="auto"/>
                <w:highlight w:val="none"/>
              </w:rPr>
            </w:pPr>
          </w:p>
        </w:tc>
      </w:tr>
      <w:tr w14:paraId="4F62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804" w:type="dxa"/>
            <w:vAlign w:val="center"/>
          </w:tcPr>
          <w:p w14:paraId="294DF20D">
            <w:pPr>
              <w:jc w:val="center"/>
              <w:rPr>
                <w:rFonts w:hint="eastAsia" w:ascii="宋体" w:hAnsi="宋体" w:eastAsia="宋体" w:cs="宋体"/>
                <w:color w:val="auto"/>
                <w:highlight w:val="none"/>
              </w:rPr>
            </w:pPr>
            <w:r>
              <w:rPr>
                <w:rFonts w:hint="eastAsia" w:ascii="宋体" w:hAnsi="宋体" w:eastAsia="宋体" w:cs="宋体"/>
                <w:color w:val="auto"/>
                <w:highlight w:val="none"/>
              </w:rPr>
              <w:t>磋商有效期</w:t>
            </w:r>
          </w:p>
        </w:tc>
        <w:tc>
          <w:tcPr>
            <w:tcW w:w="6495" w:type="dxa"/>
            <w:gridSpan w:val="4"/>
            <w:vAlign w:val="center"/>
          </w:tcPr>
          <w:p w14:paraId="3C26E053">
            <w:pPr>
              <w:jc w:val="center"/>
              <w:rPr>
                <w:rFonts w:hint="eastAsia" w:ascii="宋体" w:hAnsi="宋体" w:eastAsia="宋体" w:cs="宋体"/>
                <w:color w:val="auto"/>
                <w:highlight w:val="none"/>
              </w:rPr>
            </w:pPr>
            <w:r>
              <w:rPr>
                <w:rFonts w:hint="eastAsia" w:ascii="宋体" w:hAnsi="宋体" w:eastAsia="宋体" w:cs="宋体"/>
                <w:color w:val="auto"/>
                <w:highlight w:val="none"/>
              </w:rPr>
              <w:t>自响应文件</w:t>
            </w:r>
            <w:r>
              <w:rPr>
                <w:rFonts w:hint="eastAsia" w:ascii="宋体" w:hAnsi="宋体" w:eastAsia="宋体" w:cs="宋体"/>
                <w:color w:val="auto"/>
                <w:highlight w:val="none"/>
                <w:lang w:val="en-US" w:eastAsia="zh-CN"/>
              </w:rPr>
              <w:t>递交</w:t>
            </w:r>
            <w:r>
              <w:rPr>
                <w:rFonts w:hint="eastAsia" w:ascii="宋体" w:hAnsi="宋体" w:eastAsia="宋体" w:cs="宋体"/>
                <w:color w:val="auto"/>
                <w:highlight w:val="none"/>
              </w:rPr>
              <w:t>截止之日起</w:t>
            </w:r>
            <w:r>
              <w:rPr>
                <w:rFonts w:hint="eastAsia" w:ascii="宋体" w:hAnsi="宋体" w:eastAsia="宋体" w:cs="宋体"/>
                <w:color w:val="auto"/>
                <w:highlight w:val="none"/>
                <w:lang w:val="en-US" w:eastAsia="zh-CN"/>
              </w:rPr>
              <w:t>90</w:t>
            </w:r>
            <w:r>
              <w:rPr>
                <w:rFonts w:hint="eastAsia" w:ascii="宋体" w:hAnsi="宋体" w:eastAsia="宋体" w:cs="宋体"/>
                <w:color w:val="auto"/>
                <w:highlight w:val="none"/>
              </w:rPr>
              <w:t>日历天</w:t>
            </w:r>
          </w:p>
        </w:tc>
      </w:tr>
      <w:tr w14:paraId="496B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804" w:type="dxa"/>
            <w:vAlign w:val="center"/>
          </w:tcPr>
          <w:p w14:paraId="6A99064B">
            <w:pPr>
              <w:jc w:val="center"/>
              <w:rPr>
                <w:rFonts w:hint="eastAsia" w:ascii="宋体" w:hAnsi="宋体" w:eastAsia="宋体" w:cs="宋体"/>
                <w:color w:val="auto"/>
                <w:highlight w:val="none"/>
              </w:rPr>
            </w:pPr>
            <w:r>
              <w:rPr>
                <w:rFonts w:hint="eastAsia" w:ascii="宋体" w:hAnsi="宋体" w:eastAsia="宋体" w:cs="宋体"/>
                <w:color w:val="auto"/>
                <w:highlight w:val="none"/>
              </w:rPr>
              <w:t>权利和义务</w:t>
            </w:r>
          </w:p>
        </w:tc>
        <w:tc>
          <w:tcPr>
            <w:tcW w:w="6495" w:type="dxa"/>
            <w:gridSpan w:val="4"/>
            <w:vAlign w:val="center"/>
          </w:tcPr>
          <w:p w14:paraId="0D10D89A">
            <w:pPr>
              <w:jc w:val="center"/>
              <w:rPr>
                <w:rFonts w:hint="eastAsia" w:ascii="宋体" w:hAnsi="宋体" w:eastAsia="宋体" w:cs="宋体"/>
                <w:color w:val="auto"/>
                <w:highlight w:val="none"/>
              </w:rPr>
            </w:pPr>
            <w:r>
              <w:rPr>
                <w:rFonts w:hint="eastAsia" w:ascii="宋体" w:hAnsi="宋体" w:eastAsia="宋体" w:cs="宋体"/>
                <w:color w:val="auto"/>
                <w:highlight w:val="none"/>
              </w:rPr>
              <w:t>我方完全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竞争性磋商文件第四章“合同条款及格式”的相关规定</w:t>
            </w:r>
          </w:p>
        </w:tc>
      </w:tr>
      <w:tr w14:paraId="5734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804" w:type="dxa"/>
            <w:vAlign w:val="center"/>
          </w:tcPr>
          <w:p w14:paraId="68E2DB57">
            <w:p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技术标准和要求 </w:t>
            </w:r>
          </w:p>
        </w:tc>
        <w:tc>
          <w:tcPr>
            <w:tcW w:w="6495" w:type="dxa"/>
            <w:gridSpan w:val="4"/>
            <w:vAlign w:val="center"/>
          </w:tcPr>
          <w:p w14:paraId="0AFB4769">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符合竞争性磋商文件第七章“技术标准和要求”规定</w:t>
            </w:r>
          </w:p>
        </w:tc>
      </w:tr>
      <w:tr w14:paraId="7098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2804" w:type="dxa"/>
            <w:vAlign w:val="center"/>
          </w:tcPr>
          <w:p w14:paraId="24862D22">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优惠、服务及其它承诺</w:t>
            </w:r>
          </w:p>
        </w:tc>
        <w:tc>
          <w:tcPr>
            <w:tcW w:w="6495" w:type="dxa"/>
            <w:gridSpan w:val="4"/>
            <w:vAlign w:val="center"/>
          </w:tcPr>
          <w:p w14:paraId="5BF30655">
            <w:pPr>
              <w:jc w:val="center"/>
              <w:rPr>
                <w:rFonts w:hint="eastAsia" w:ascii="宋体" w:hAnsi="宋体" w:eastAsia="宋体" w:cs="宋体"/>
                <w:color w:val="auto"/>
                <w:highlight w:val="none"/>
              </w:rPr>
            </w:pPr>
            <w:r>
              <w:rPr>
                <w:rFonts w:hint="eastAsia" w:ascii="宋体" w:hAnsi="宋体" w:eastAsia="宋体" w:cs="宋体"/>
                <w:color w:val="auto"/>
                <w:highlight w:val="none"/>
              </w:rPr>
              <w:t>（也可另加附页）</w:t>
            </w:r>
          </w:p>
        </w:tc>
      </w:tr>
    </w:tbl>
    <w:p w14:paraId="2339A1CA">
      <w:pPr>
        <w:ind w:firstLine="413" w:firstLineChars="196"/>
        <w:rPr>
          <w:rFonts w:hint="eastAsia" w:ascii="宋体" w:hAnsi="宋体" w:eastAsia="宋体" w:cs="宋体"/>
          <w:b/>
          <w:bCs/>
          <w:color w:val="auto"/>
          <w:highlight w:val="none"/>
        </w:rPr>
      </w:pPr>
      <w:r>
        <w:rPr>
          <w:rFonts w:hint="eastAsia" w:ascii="宋体" w:hAnsi="宋体" w:eastAsia="宋体" w:cs="宋体"/>
          <w:b/>
          <w:bCs/>
          <w:color w:val="auto"/>
          <w:highlight w:val="none"/>
        </w:rPr>
        <w:t>备注：供应商在竞争性磋商文件中规定的实质性要求和条件的基础上，可做出其他有利于采购人的承诺。此类承诺可在本表中补充填写，可另附页。</w:t>
      </w:r>
    </w:p>
    <w:p w14:paraId="6385F05F">
      <w:pPr>
        <w:autoSpaceDE w:val="0"/>
        <w:autoSpaceDN w:val="0"/>
        <w:adjustRightInd w:val="0"/>
        <w:spacing w:line="420" w:lineRule="exact"/>
        <w:jc w:val="right"/>
        <w:rPr>
          <w:rFonts w:hint="eastAsia" w:ascii="宋体" w:hAnsi="宋体" w:eastAsia="宋体" w:cs="宋体"/>
          <w:color w:val="auto"/>
          <w:kern w:val="0"/>
          <w:highlight w:val="none"/>
        </w:rPr>
      </w:pPr>
      <w:r>
        <w:rPr>
          <w:rFonts w:hint="eastAsia" w:ascii="宋体" w:hAnsi="宋体" w:eastAsia="宋体" w:cs="宋体"/>
          <w:color w:val="auto"/>
          <w:kern w:val="0"/>
          <w:highlight w:val="none"/>
        </w:rPr>
        <w:t>供应商：</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（电子签章）</w:t>
      </w:r>
    </w:p>
    <w:p w14:paraId="343C825F">
      <w:pPr>
        <w:autoSpaceDE w:val="0"/>
        <w:autoSpaceDN w:val="0"/>
        <w:adjustRightInd w:val="0"/>
        <w:spacing w:line="420" w:lineRule="exact"/>
        <w:jc w:val="right"/>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法定代表人或其委托代理人：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（签字或电子签章）</w:t>
      </w:r>
    </w:p>
    <w:p w14:paraId="52809857">
      <w:pPr>
        <w:spacing w:line="360" w:lineRule="auto"/>
        <w:ind w:left="638" w:hanging="638" w:hangingChars="304"/>
        <w:jc w:val="right"/>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7B5FDE5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133DD1">
      <w:pPr>
        <w:pStyle w:val="19"/>
        <w:rPr>
          <w:rFonts w:hint="eastAsia" w:ascii="宋体" w:hAnsi="宋体" w:eastAsia="宋体" w:cs="宋体"/>
          <w:highlight w:val="none"/>
        </w:rPr>
      </w:pPr>
    </w:p>
    <w:p w14:paraId="330A6B9B">
      <w:pPr>
        <w:pStyle w:val="56"/>
        <w:spacing w:before="0" w:line="360" w:lineRule="auto"/>
        <w:jc w:val="center"/>
        <w:rPr>
          <w:rFonts w:hint="eastAsia" w:ascii="宋体" w:hAnsi="宋体" w:eastAsia="宋体" w:cs="宋体"/>
          <w:color w:val="auto"/>
          <w:highlight w:val="none"/>
        </w:rPr>
      </w:pPr>
      <w:bookmarkStart w:id="801" w:name="_Toc18403"/>
      <w:bookmarkStart w:id="802" w:name="_Toc9852"/>
      <w:bookmarkStart w:id="803" w:name="_Toc20463"/>
      <w:bookmarkStart w:id="804" w:name="_Toc27082"/>
      <w:r>
        <w:rPr>
          <w:rFonts w:hint="eastAsia" w:ascii="宋体" w:hAnsi="宋体" w:eastAsia="宋体" w:cs="宋体"/>
          <w:color w:val="auto"/>
          <w:highlight w:val="none"/>
        </w:rPr>
        <w:t>二、法定代表人身份证明</w:t>
      </w:r>
      <w:bookmarkEnd w:id="801"/>
      <w:bookmarkEnd w:id="802"/>
      <w:bookmarkEnd w:id="803"/>
      <w:bookmarkEnd w:id="804"/>
    </w:p>
    <w:p w14:paraId="15363349">
      <w:pPr>
        <w:spacing w:line="360" w:lineRule="auto"/>
        <w:rPr>
          <w:rFonts w:hint="eastAsia" w:ascii="宋体" w:hAnsi="宋体" w:eastAsia="宋体" w:cs="宋体"/>
          <w:color w:val="auto"/>
          <w:sz w:val="20"/>
          <w:szCs w:val="20"/>
          <w:highlight w:val="none"/>
        </w:rPr>
      </w:pPr>
    </w:p>
    <w:p w14:paraId="7B281722">
      <w:pPr>
        <w:spacing w:line="360" w:lineRule="auto"/>
        <w:rPr>
          <w:rFonts w:hint="eastAsia" w:ascii="宋体" w:hAnsi="宋体" w:eastAsia="宋体" w:cs="宋体"/>
          <w:color w:val="auto"/>
          <w:highlight w:val="none"/>
        </w:rPr>
      </w:pPr>
    </w:p>
    <w:p w14:paraId="1F295FB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77A1A8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单位性质：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104DF48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p>
    <w:p w14:paraId="2AA04F0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w:t>
      </w:r>
    </w:p>
    <w:p w14:paraId="572893B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39DD4B9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p>
    <w:p w14:paraId="3155F91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（供应商名称）的法定代表人。</w:t>
      </w:r>
    </w:p>
    <w:p w14:paraId="44EB3D6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1328F9A4">
      <w:pPr>
        <w:spacing w:line="360" w:lineRule="auto"/>
        <w:rPr>
          <w:rFonts w:hint="eastAsia" w:ascii="宋体" w:hAnsi="宋体" w:eastAsia="宋体" w:cs="宋体"/>
          <w:color w:val="auto"/>
          <w:highlight w:val="none"/>
        </w:rPr>
      </w:pPr>
    </w:p>
    <w:p w14:paraId="22ED31DF">
      <w:pPr>
        <w:spacing w:line="360" w:lineRule="auto"/>
        <w:rPr>
          <w:rFonts w:hint="eastAsia" w:ascii="宋体" w:hAnsi="宋体" w:eastAsia="宋体" w:cs="宋体"/>
          <w:color w:val="auto"/>
          <w:highlight w:val="none"/>
        </w:rPr>
      </w:pPr>
    </w:p>
    <w:p w14:paraId="4D00DE15">
      <w:pPr>
        <w:autoSpaceDE w:val="0"/>
        <w:autoSpaceDN w:val="0"/>
        <w:adjustRightInd w:val="0"/>
        <w:spacing w:line="400" w:lineRule="exact"/>
        <w:ind w:left="720"/>
        <w:jc w:val="center"/>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                                       </w:t>
      </w:r>
      <w:r>
        <w:rPr>
          <w:rFonts w:hint="eastAsia" w:ascii="宋体" w:hAnsi="宋体" w:eastAsia="宋体" w:cs="宋体"/>
          <w:color w:val="auto"/>
          <w:kern w:val="0"/>
          <w:highlight w:val="none"/>
        </w:rPr>
        <w:t>供 应 商：</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（电子签章）</w:t>
      </w:r>
    </w:p>
    <w:p w14:paraId="0672D01B">
      <w:pPr>
        <w:spacing w:line="360" w:lineRule="auto"/>
        <w:jc w:val="right"/>
        <w:rPr>
          <w:rFonts w:hint="eastAsia" w:ascii="宋体" w:hAnsi="宋体" w:eastAsia="宋体" w:cs="宋体"/>
          <w:color w:val="auto"/>
          <w:highlight w:val="none"/>
        </w:rPr>
      </w:pPr>
    </w:p>
    <w:p w14:paraId="54CDE33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           </w:t>
      </w:r>
    </w:p>
    <w:p w14:paraId="6E48AF63">
      <w:pPr>
        <w:spacing w:line="360" w:lineRule="auto"/>
        <w:rPr>
          <w:rFonts w:hint="eastAsia" w:ascii="宋体" w:hAnsi="宋体" w:eastAsia="宋体" w:cs="宋体"/>
          <w:color w:val="auto"/>
          <w:highlight w:val="none"/>
        </w:rPr>
      </w:pPr>
    </w:p>
    <w:p w14:paraId="55663093">
      <w:pPr>
        <w:spacing w:line="360" w:lineRule="auto"/>
        <w:rPr>
          <w:rFonts w:hint="eastAsia" w:ascii="宋体" w:hAnsi="宋体" w:eastAsia="宋体" w:cs="宋体"/>
          <w:color w:val="auto"/>
          <w:highlight w:val="none"/>
        </w:rPr>
      </w:pPr>
    </w:p>
    <w:p w14:paraId="7369111C">
      <w:pPr>
        <w:spacing w:line="360" w:lineRule="auto"/>
        <w:rPr>
          <w:rFonts w:hint="eastAsia" w:ascii="宋体" w:hAnsi="宋体" w:eastAsia="宋体" w:cs="宋体"/>
          <w:color w:val="auto"/>
          <w:highlight w:val="none"/>
        </w:rPr>
      </w:pPr>
    </w:p>
    <w:p w14:paraId="076369C7">
      <w:pPr>
        <w:spacing w:line="360" w:lineRule="auto"/>
        <w:rPr>
          <w:rFonts w:hint="eastAsia" w:ascii="宋体" w:hAnsi="宋体" w:eastAsia="宋体" w:cs="宋体"/>
          <w:color w:val="auto"/>
          <w:highlight w:val="none"/>
        </w:rPr>
      </w:pPr>
    </w:p>
    <w:p w14:paraId="4A185BDC">
      <w:pPr>
        <w:spacing w:line="360" w:lineRule="auto"/>
        <w:rPr>
          <w:rFonts w:hint="eastAsia" w:ascii="宋体" w:hAnsi="宋体" w:eastAsia="宋体" w:cs="宋体"/>
          <w:color w:val="auto"/>
          <w:highlight w:val="none"/>
        </w:rPr>
      </w:pPr>
    </w:p>
    <w:p w14:paraId="47972CA6">
      <w:pPr>
        <w:spacing w:line="360" w:lineRule="auto"/>
        <w:rPr>
          <w:rFonts w:hint="eastAsia" w:ascii="宋体" w:hAnsi="宋体" w:eastAsia="宋体" w:cs="宋体"/>
          <w:color w:val="auto"/>
          <w:highlight w:val="none"/>
        </w:rPr>
      </w:pPr>
    </w:p>
    <w:p w14:paraId="644051D1">
      <w:pPr>
        <w:spacing w:line="360" w:lineRule="auto"/>
        <w:rPr>
          <w:rFonts w:hint="eastAsia" w:ascii="宋体" w:hAnsi="宋体" w:eastAsia="宋体" w:cs="宋体"/>
          <w:color w:val="auto"/>
          <w:highlight w:val="none"/>
        </w:rPr>
      </w:pPr>
    </w:p>
    <w:p w14:paraId="71F57501">
      <w:pPr>
        <w:spacing w:line="360" w:lineRule="auto"/>
        <w:rPr>
          <w:rFonts w:hint="eastAsia" w:ascii="宋体" w:hAnsi="宋体" w:eastAsia="宋体" w:cs="宋体"/>
          <w:color w:val="auto"/>
          <w:highlight w:val="none"/>
        </w:rPr>
      </w:pPr>
    </w:p>
    <w:p w14:paraId="0CC9751A">
      <w:pPr>
        <w:spacing w:line="360" w:lineRule="auto"/>
        <w:rPr>
          <w:rFonts w:hint="eastAsia" w:ascii="宋体" w:hAnsi="宋体" w:eastAsia="宋体" w:cs="宋体"/>
          <w:color w:val="auto"/>
          <w:highlight w:val="none"/>
        </w:rPr>
      </w:pPr>
    </w:p>
    <w:p w14:paraId="3F120E7E">
      <w:pPr>
        <w:spacing w:line="360" w:lineRule="auto"/>
        <w:rPr>
          <w:rFonts w:hint="eastAsia" w:ascii="宋体" w:hAnsi="宋体" w:eastAsia="宋体" w:cs="宋体"/>
          <w:color w:val="auto"/>
          <w:highlight w:val="none"/>
        </w:rPr>
      </w:pPr>
    </w:p>
    <w:p w14:paraId="1BCC5F83">
      <w:pPr>
        <w:spacing w:line="360" w:lineRule="auto"/>
        <w:rPr>
          <w:rFonts w:hint="eastAsia" w:ascii="宋体" w:hAnsi="宋体" w:eastAsia="宋体" w:cs="宋体"/>
          <w:color w:val="auto"/>
          <w:highlight w:val="none"/>
        </w:rPr>
      </w:pPr>
    </w:p>
    <w:p w14:paraId="640427CE">
      <w:pPr>
        <w:spacing w:line="360" w:lineRule="auto"/>
        <w:rPr>
          <w:rFonts w:hint="eastAsia" w:ascii="宋体" w:hAnsi="宋体" w:eastAsia="宋体" w:cs="宋体"/>
          <w:color w:val="auto"/>
          <w:highlight w:val="none"/>
        </w:rPr>
      </w:pPr>
    </w:p>
    <w:p w14:paraId="2D146C6A">
      <w:pPr>
        <w:spacing w:line="360" w:lineRule="auto"/>
        <w:rPr>
          <w:rFonts w:hint="eastAsia" w:ascii="宋体" w:hAnsi="宋体" w:eastAsia="宋体" w:cs="宋体"/>
          <w:color w:val="auto"/>
          <w:highlight w:val="none"/>
        </w:rPr>
      </w:pPr>
    </w:p>
    <w:p w14:paraId="34565B8D">
      <w:pPr>
        <w:spacing w:line="360" w:lineRule="auto"/>
        <w:rPr>
          <w:rFonts w:hint="eastAsia" w:ascii="宋体" w:hAnsi="宋体" w:eastAsia="宋体" w:cs="宋体"/>
          <w:color w:val="auto"/>
          <w:highlight w:val="none"/>
        </w:rPr>
      </w:pPr>
    </w:p>
    <w:p w14:paraId="342D3AF4">
      <w:pPr>
        <w:pStyle w:val="56"/>
        <w:spacing w:before="0" w:line="360" w:lineRule="auto"/>
        <w:jc w:val="center"/>
        <w:rPr>
          <w:rFonts w:hint="eastAsia" w:ascii="宋体" w:hAnsi="宋体" w:eastAsia="宋体" w:cs="宋体"/>
          <w:color w:val="auto"/>
          <w:highlight w:val="none"/>
        </w:rPr>
      </w:pPr>
      <w:bookmarkStart w:id="805" w:name="_Toc28901"/>
      <w:bookmarkStart w:id="806" w:name="_Toc22159"/>
      <w:bookmarkStart w:id="807" w:name="_Toc11791"/>
      <w:bookmarkStart w:id="808" w:name="_Toc2910"/>
      <w:bookmarkStart w:id="809" w:name="_Toc11804"/>
      <w:bookmarkStart w:id="810" w:name="_Toc179632814"/>
      <w:bookmarkStart w:id="811" w:name="_Toc152042583"/>
      <w:bookmarkStart w:id="812" w:name="_Toc152045794"/>
      <w:bookmarkStart w:id="813" w:name="_Toc144974862"/>
      <w:r>
        <w:rPr>
          <w:rFonts w:hint="eastAsia" w:ascii="宋体" w:hAnsi="宋体" w:eastAsia="宋体" w:cs="宋体"/>
          <w:color w:val="auto"/>
          <w:highlight w:val="none"/>
        </w:rPr>
        <w:t>三、授权委托书</w:t>
      </w:r>
      <w:bookmarkEnd w:id="805"/>
      <w:bookmarkEnd w:id="806"/>
      <w:bookmarkEnd w:id="807"/>
      <w:bookmarkEnd w:id="808"/>
      <w:bookmarkEnd w:id="809"/>
    </w:p>
    <w:p w14:paraId="76A08B69">
      <w:pPr>
        <w:snapToGrid w:val="0"/>
        <w:spacing w:line="360" w:lineRule="auto"/>
        <w:rPr>
          <w:rFonts w:hint="eastAsia" w:ascii="宋体" w:hAnsi="宋体" w:eastAsia="宋体" w:cs="宋体"/>
          <w:color w:val="auto"/>
          <w:sz w:val="28"/>
          <w:szCs w:val="28"/>
          <w:highlight w:val="none"/>
        </w:rPr>
      </w:pPr>
    </w:p>
    <w:p w14:paraId="22A1C20B">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（供应商名称）的法定代表人，现委托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（姓名）为我方代理人。代理人根据授权，以我方名义签署、澄清、说明、补正、递交、撤回、修改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（项目名称）响应文件、签订合同和处理有关事宜，其法律后果由我方承担。</w:t>
      </w:r>
    </w:p>
    <w:p w14:paraId="50053421">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color w:val="auto"/>
          <w:highlight w:val="none"/>
          <w:u w:val="single"/>
        </w:rPr>
        <w:t xml:space="preserve">                                 </w:t>
      </w:r>
    </w:p>
    <w:p w14:paraId="6B6CD3A0">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2A2429BB">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附：法定代表人身份证复印件或扫描件、委托代理人身份证复印件或扫描件</w:t>
      </w:r>
    </w:p>
    <w:p w14:paraId="67CF6458">
      <w:pPr>
        <w:snapToGrid w:val="0"/>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t>供  应  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kern w:val="0"/>
          <w:highlight w:val="none"/>
        </w:rPr>
        <w:t>电子签章</w:t>
      </w:r>
      <w:r>
        <w:rPr>
          <w:rFonts w:hint="eastAsia" w:ascii="宋体" w:hAnsi="宋体" w:eastAsia="宋体" w:cs="宋体"/>
          <w:color w:val="auto"/>
          <w:highlight w:val="none"/>
        </w:rPr>
        <w:t>）</w:t>
      </w:r>
    </w:p>
    <w:p w14:paraId="39709042">
      <w:pPr>
        <w:snapToGrid w:val="0"/>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（签字或</w:t>
      </w:r>
      <w:r>
        <w:rPr>
          <w:rFonts w:hint="eastAsia" w:ascii="宋体" w:hAnsi="宋体" w:eastAsia="宋体" w:cs="宋体"/>
          <w:color w:val="auto"/>
          <w:kern w:val="0"/>
          <w:highlight w:val="none"/>
        </w:rPr>
        <w:t>电子签章</w:t>
      </w:r>
      <w:r>
        <w:rPr>
          <w:rFonts w:hint="eastAsia" w:ascii="宋体" w:hAnsi="宋体" w:eastAsia="宋体" w:cs="宋体"/>
          <w:color w:val="auto"/>
          <w:highlight w:val="none"/>
        </w:rPr>
        <w:t>）</w:t>
      </w:r>
    </w:p>
    <w:p w14:paraId="556CA0BE">
      <w:pPr>
        <w:snapToGrid w:val="0"/>
        <w:spacing w:line="360" w:lineRule="auto"/>
        <w:ind w:left="420" w:leftChars="200"/>
        <w:rPr>
          <w:rFonts w:hint="eastAsia" w:ascii="宋体" w:hAnsi="宋体" w:eastAsia="宋体" w:cs="宋体"/>
          <w:color w:val="auto"/>
          <w:highlight w:val="none"/>
          <w:u w:val="single"/>
        </w:rPr>
      </w:pPr>
      <w:r>
        <w:rPr>
          <w:rFonts w:hint="eastAsia" w:ascii="宋体" w:hAnsi="宋体" w:eastAsia="宋体" w:cs="宋体"/>
          <w:color w:val="auto"/>
          <w:highlight w:val="none"/>
        </w:rPr>
        <w:t>身份证号码：</w:t>
      </w:r>
      <w:r>
        <w:rPr>
          <w:rFonts w:hint="eastAsia" w:ascii="宋体" w:hAnsi="宋体" w:eastAsia="宋体" w:cs="宋体"/>
          <w:color w:val="auto"/>
          <w:highlight w:val="none"/>
          <w:u w:val="single"/>
        </w:rPr>
        <w:t xml:space="preserve">                        </w:t>
      </w:r>
    </w:p>
    <w:p w14:paraId="29A0713E">
      <w:pPr>
        <w:snapToGrid w:val="0"/>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t>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4DE8FF40">
      <w:pPr>
        <w:snapToGrid w:val="0"/>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t>身份证号码：</w:t>
      </w:r>
      <w:r>
        <w:rPr>
          <w:rFonts w:hint="eastAsia" w:ascii="宋体" w:hAnsi="宋体" w:eastAsia="宋体" w:cs="宋体"/>
          <w:color w:val="auto"/>
          <w:highlight w:val="none"/>
          <w:u w:val="single"/>
        </w:rPr>
        <w:t xml:space="preserve">                        </w:t>
      </w:r>
    </w:p>
    <w:p w14:paraId="56ADF8C1">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tbl>
      <w:tblPr>
        <w:tblStyle w:val="28"/>
        <w:tblpPr w:leftFromText="180" w:rightFromText="180" w:vertAnchor="text" w:horzAnchor="page" w:tblpXSpec="center" w:tblpY="247"/>
        <w:tblOverlap w:val="never"/>
        <w:tblW w:w="4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tblGrid>
      <w:tr w14:paraId="5E6A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4980" w:type="dxa"/>
            <w:vAlign w:val="center"/>
          </w:tcPr>
          <w:p w14:paraId="00DFDE71">
            <w:pPr>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法定代表人身份证复印件或扫描件</w:t>
            </w:r>
          </w:p>
        </w:tc>
      </w:tr>
    </w:tbl>
    <w:p w14:paraId="5B4EAEFA">
      <w:pPr>
        <w:snapToGrid w:val="0"/>
        <w:spacing w:line="360" w:lineRule="auto"/>
        <w:rPr>
          <w:rFonts w:hint="eastAsia" w:ascii="宋体" w:hAnsi="宋体" w:eastAsia="宋体" w:cs="宋体"/>
          <w:color w:val="auto"/>
          <w:highlight w:val="none"/>
        </w:rPr>
      </w:pPr>
    </w:p>
    <w:p w14:paraId="2CA59560">
      <w:pPr>
        <w:snapToGrid w:val="0"/>
        <w:spacing w:line="360" w:lineRule="auto"/>
        <w:rPr>
          <w:rFonts w:hint="eastAsia" w:ascii="宋体" w:hAnsi="宋体" w:eastAsia="宋体" w:cs="宋体"/>
          <w:vanish/>
          <w:color w:val="auto"/>
          <w:highlight w:val="none"/>
        </w:rPr>
      </w:pPr>
    </w:p>
    <w:p w14:paraId="2F2579C3">
      <w:pPr>
        <w:pStyle w:val="56"/>
        <w:snapToGrid w:val="0"/>
        <w:spacing w:before="0" w:line="360" w:lineRule="auto"/>
        <w:jc w:val="center"/>
        <w:outlineLvl w:val="9"/>
        <w:rPr>
          <w:rFonts w:hint="eastAsia" w:ascii="宋体" w:hAnsi="宋体" w:eastAsia="宋体" w:cs="宋体"/>
          <w:color w:val="auto"/>
          <w:sz w:val="21"/>
          <w:szCs w:val="21"/>
          <w:highlight w:val="none"/>
        </w:rPr>
      </w:pPr>
    </w:p>
    <w:p w14:paraId="3CDA1816">
      <w:pPr>
        <w:snapToGrid w:val="0"/>
        <w:spacing w:line="360" w:lineRule="auto"/>
        <w:rPr>
          <w:rFonts w:hint="eastAsia" w:ascii="宋体" w:hAnsi="宋体" w:eastAsia="宋体" w:cs="宋体"/>
          <w:color w:val="auto"/>
          <w:highlight w:val="none"/>
        </w:rPr>
      </w:pPr>
    </w:p>
    <w:p w14:paraId="42249D71">
      <w:pPr>
        <w:snapToGrid w:val="0"/>
        <w:spacing w:line="360" w:lineRule="auto"/>
        <w:rPr>
          <w:rFonts w:hint="eastAsia" w:ascii="宋体" w:hAnsi="宋体" w:eastAsia="宋体" w:cs="宋体"/>
          <w:color w:val="auto"/>
          <w:highlight w:val="none"/>
        </w:rPr>
      </w:pPr>
    </w:p>
    <w:p w14:paraId="643FBF67">
      <w:pPr>
        <w:snapToGrid w:val="0"/>
        <w:spacing w:line="360" w:lineRule="auto"/>
        <w:rPr>
          <w:rFonts w:hint="eastAsia" w:ascii="宋体" w:hAnsi="宋体" w:eastAsia="宋体" w:cs="宋体"/>
          <w:color w:val="auto"/>
          <w:highlight w:val="none"/>
        </w:rPr>
      </w:pPr>
    </w:p>
    <w:tbl>
      <w:tblPr>
        <w:tblStyle w:val="28"/>
        <w:tblpPr w:leftFromText="180" w:rightFromText="180" w:vertAnchor="text" w:horzAnchor="page" w:tblpXSpec="center" w:tblpY="245"/>
        <w:tblOverlap w:val="never"/>
        <w:tblW w:w="4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0"/>
      </w:tblGrid>
      <w:tr w14:paraId="2DAE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4920" w:type="dxa"/>
            <w:vAlign w:val="center"/>
          </w:tcPr>
          <w:p w14:paraId="7CC2617E">
            <w:pPr>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委托代理人身份证复印件或扫描件</w:t>
            </w:r>
          </w:p>
        </w:tc>
      </w:tr>
    </w:tbl>
    <w:p w14:paraId="4B479455">
      <w:pPr>
        <w:snapToGrid w:val="0"/>
        <w:spacing w:line="360" w:lineRule="auto"/>
        <w:rPr>
          <w:rFonts w:hint="eastAsia" w:ascii="宋体" w:hAnsi="宋体" w:eastAsia="宋体" w:cs="宋体"/>
          <w:color w:val="auto"/>
          <w:highlight w:val="none"/>
        </w:rPr>
      </w:pPr>
    </w:p>
    <w:p w14:paraId="5F541B28">
      <w:pPr>
        <w:snapToGrid w:val="0"/>
        <w:spacing w:line="360" w:lineRule="auto"/>
        <w:jc w:val="left"/>
        <w:rPr>
          <w:rFonts w:hint="eastAsia" w:ascii="宋体" w:hAnsi="宋体" w:eastAsia="宋体" w:cs="宋体"/>
          <w:b/>
          <w:bCs/>
          <w:color w:val="auto"/>
          <w:highlight w:val="none"/>
        </w:rPr>
      </w:pPr>
    </w:p>
    <w:p w14:paraId="1009D0CF">
      <w:pPr>
        <w:snapToGrid w:val="0"/>
        <w:spacing w:line="360" w:lineRule="auto"/>
        <w:jc w:val="left"/>
        <w:rPr>
          <w:rFonts w:hint="eastAsia" w:ascii="宋体" w:hAnsi="宋体" w:eastAsia="宋体" w:cs="宋体"/>
          <w:b/>
          <w:bCs/>
          <w:color w:val="auto"/>
          <w:highlight w:val="none"/>
        </w:rPr>
      </w:pPr>
    </w:p>
    <w:p w14:paraId="55DA9BD0">
      <w:pPr>
        <w:snapToGrid w:val="0"/>
        <w:spacing w:line="360" w:lineRule="auto"/>
        <w:jc w:val="left"/>
        <w:rPr>
          <w:rFonts w:hint="eastAsia" w:ascii="宋体" w:hAnsi="宋体" w:eastAsia="宋体" w:cs="宋体"/>
          <w:b/>
          <w:bCs/>
          <w:color w:val="auto"/>
          <w:highlight w:val="none"/>
        </w:rPr>
      </w:pPr>
    </w:p>
    <w:p w14:paraId="1266CA69">
      <w:pPr>
        <w:tabs>
          <w:tab w:val="center" w:pos="60"/>
        </w:tabs>
        <w:snapToGrid w:val="0"/>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ab/>
      </w:r>
    </w:p>
    <w:p w14:paraId="7D03F697">
      <w:pPr>
        <w:rPr>
          <w:rFonts w:hint="eastAsia" w:ascii="宋体" w:hAnsi="宋体" w:eastAsia="宋体" w:cs="宋体"/>
          <w:color w:val="auto"/>
          <w:highlight w:val="none"/>
        </w:rPr>
      </w:pPr>
      <w:bookmarkStart w:id="814" w:name="_Toc24198"/>
      <w:bookmarkStart w:id="815" w:name="_Toc13653"/>
      <w:r>
        <w:rPr>
          <w:rFonts w:hint="eastAsia" w:ascii="宋体" w:hAnsi="宋体" w:eastAsia="宋体" w:cs="宋体"/>
          <w:color w:val="auto"/>
          <w:highlight w:val="none"/>
        </w:rPr>
        <w:tab/>
      </w:r>
    </w:p>
    <w:p w14:paraId="4ACC7E06">
      <w:pPr>
        <w:pStyle w:val="13"/>
        <w:ind w:left="840" w:hanging="420"/>
        <w:rPr>
          <w:rFonts w:hint="eastAsia" w:ascii="宋体" w:hAnsi="宋体" w:eastAsia="宋体" w:cs="宋体"/>
          <w:color w:val="auto"/>
          <w:highlight w:val="none"/>
        </w:rPr>
      </w:pPr>
    </w:p>
    <w:p w14:paraId="6AAE262D">
      <w:pPr>
        <w:pStyle w:val="13"/>
        <w:ind w:left="840" w:hanging="420"/>
        <w:rPr>
          <w:rFonts w:hint="eastAsia" w:ascii="宋体" w:hAnsi="宋体" w:eastAsia="宋体" w:cs="宋体"/>
          <w:color w:val="auto"/>
          <w:highlight w:val="none"/>
        </w:rPr>
      </w:pPr>
    </w:p>
    <w:p w14:paraId="72BD383E">
      <w:pPr>
        <w:jc w:val="center"/>
        <w:outlineLvl w:val="1"/>
        <w:rPr>
          <w:rFonts w:hint="eastAsia" w:ascii="宋体" w:hAnsi="宋体" w:eastAsia="宋体" w:cs="宋体"/>
          <w:color w:val="auto"/>
          <w:highlight w:val="none"/>
        </w:rPr>
      </w:pPr>
      <w:bookmarkStart w:id="816" w:name="_Toc300835215"/>
      <w:bookmarkStart w:id="817" w:name="_Toc152045793"/>
      <w:bookmarkStart w:id="818" w:name="_Toc22967"/>
      <w:bookmarkStart w:id="819" w:name="_Toc4691"/>
      <w:bookmarkStart w:id="820" w:name="_Toc152042582"/>
      <w:bookmarkStart w:id="821" w:name="_Toc247527833"/>
      <w:bookmarkStart w:id="822" w:name="_Toc247514285"/>
      <w:bookmarkStart w:id="823" w:name="_Toc6567"/>
      <w:r>
        <w:rPr>
          <w:rFonts w:hint="eastAsia" w:ascii="宋体" w:hAnsi="宋体" w:eastAsia="宋体" w:cs="宋体"/>
          <w:color w:val="auto"/>
          <w:highlight w:val="none"/>
        </w:rPr>
        <w:br w:type="page"/>
      </w:r>
      <w:bookmarkEnd w:id="816"/>
      <w:bookmarkEnd w:id="817"/>
      <w:bookmarkEnd w:id="818"/>
      <w:bookmarkEnd w:id="819"/>
      <w:bookmarkEnd w:id="820"/>
      <w:bookmarkEnd w:id="821"/>
      <w:bookmarkEnd w:id="822"/>
      <w:bookmarkStart w:id="824" w:name="_Toc13105"/>
      <w:r>
        <w:rPr>
          <w:rFonts w:hint="eastAsia" w:ascii="宋体" w:hAnsi="宋体" w:eastAsia="宋体" w:cs="宋体"/>
          <w:color w:val="auto"/>
          <w:sz w:val="28"/>
          <w:szCs w:val="28"/>
          <w:highlight w:val="none"/>
        </w:rPr>
        <w:t>四、</w:t>
      </w:r>
      <w:bookmarkEnd w:id="810"/>
      <w:bookmarkEnd w:id="811"/>
      <w:bookmarkEnd w:id="812"/>
      <w:bookmarkEnd w:id="813"/>
      <w:bookmarkEnd w:id="814"/>
      <w:bookmarkEnd w:id="815"/>
      <w:bookmarkEnd w:id="823"/>
      <w:r>
        <w:rPr>
          <w:rFonts w:hint="eastAsia" w:ascii="宋体" w:hAnsi="宋体" w:eastAsia="宋体" w:cs="宋体"/>
          <w:color w:val="auto"/>
          <w:sz w:val="28"/>
          <w:szCs w:val="28"/>
          <w:highlight w:val="none"/>
        </w:rPr>
        <w:t>磋商承诺书</w:t>
      </w:r>
      <w:bookmarkEnd w:id="824"/>
    </w:p>
    <w:p w14:paraId="079E3FA3">
      <w:pPr>
        <w:spacing w:line="360" w:lineRule="auto"/>
        <w:jc w:val="center"/>
        <w:outlineLvl w:val="2"/>
        <w:rPr>
          <w:rFonts w:hint="eastAsia" w:ascii="宋体" w:hAnsi="宋体" w:eastAsia="宋体" w:cs="宋体"/>
          <w:b/>
          <w:bCs/>
          <w:color w:val="auto"/>
          <w:sz w:val="24"/>
          <w:szCs w:val="24"/>
          <w:highlight w:val="none"/>
        </w:rPr>
      </w:pPr>
      <w:bookmarkStart w:id="825" w:name="_Toc817"/>
      <w:r>
        <w:rPr>
          <w:rFonts w:hint="eastAsia" w:ascii="宋体" w:hAnsi="宋体" w:eastAsia="宋体" w:cs="宋体"/>
          <w:b/>
          <w:bCs/>
          <w:color w:val="auto"/>
          <w:sz w:val="24"/>
          <w:szCs w:val="24"/>
          <w:highlight w:val="none"/>
        </w:rPr>
        <w:t>（一）磋商承诺函</w:t>
      </w:r>
      <w:bookmarkEnd w:id="825"/>
    </w:p>
    <w:p w14:paraId="1036366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w:t>
      </w:r>
    </w:p>
    <w:p w14:paraId="0CF83C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我公司作为本次采购项目的供应商，根据竞争性磋商文件要求，现郑重承诺如下：</w:t>
      </w:r>
    </w:p>
    <w:p w14:paraId="7537C5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完全接受和满足本项目竞争性磋商文件中规定的实质性要求，如对竞争性磋商文件有异议，已经在磋商截止时间届满前依法进行维权救济，不存在对竞争性磋商文件有异议的同时又参加磋商以求侥幸成交或者为实现其他非法目的的行为。</w:t>
      </w:r>
    </w:p>
    <w:p w14:paraId="505FF28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二、参加本次磋商活动，不存在为磋商项目提供监理、检测等服务的行为。</w:t>
      </w:r>
    </w:p>
    <w:p w14:paraId="3C505C5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三、响应文件中提供的能够给予采购人带来优惠、好处的任何材料资料和技术、服务、商务等磋商承诺情况都是真实的、有效的、合法的。</w:t>
      </w:r>
    </w:p>
    <w:p w14:paraId="505F056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四、存在以下行为之一的愿意接受相关部门的处理：</w:t>
      </w:r>
    </w:p>
    <w:p w14:paraId="23A4898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（一）磋商有效期内撤销响应文件的；</w:t>
      </w:r>
    </w:p>
    <w:p w14:paraId="04B17B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（二）在采购人确定成交人以前放弃成交候选资格的；</w:t>
      </w:r>
    </w:p>
    <w:p w14:paraId="49F4DC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（三）由于成交人的原因未能按照竞争性磋商文件的规定与采购人签订合同；</w:t>
      </w:r>
    </w:p>
    <w:p w14:paraId="6AABEC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（四）由于成交人的原因未能按照竞争性磋商文件的规定交纳履约保证金；</w:t>
      </w:r>
    </w:p>
    <w:p w14:paraId="18BD75F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（五）在响应文件中提供虚假材料谋取成交；</w:t>
      </w:r>
    </w:p>
    <w:p w14:paraId="2106CE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（六）与采购人、其他供应商或者代理机构恶意串通的；</w:t>
      </w:r>
    </w:p>
    <w:p w14:paraId="2805BE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（七）磋商有效期内，供应商在政府采购活动中有违法、违规、违纪行为。</w:t>
      </w:r>
    </w:p>
    <w:p w14:paraId="3EC1312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由此产生的一切法律后果和责任由我公司承担。我公司声明放弃对此提出任何异议和追索的权利。</w:t>
      </w:r>
    </w:p>
    <w:p w14:paraId="460BDAA5">
      <w:pPr>
        <w:spacing w:line="360" w:lineRule="auto"/>
        <w:ind w:firstLine="420" w:firstLineChars="200"/>
        <w:rPr>
          <w:rFonts w:hint="eastAsia" w:ascii="宋体" w:hAnsi="宋体" w:eastAsia="宋体" w:cs="宋体"/>
          <w:color w:val="auto"/>
          <w:highlight w:val="none"/>
        </w:rPr>
      </w:pPr>
    </w:p>
    <w:p w14:paraId="07A07164">
      <w:pPr>
        <w:spacing w:line="360" w:lineRule="auto"/>
        <w:ind w:firstLine="420" w:firstLineChars="200"/>
        <w:rPr>
          <w:rFonts w:hint="eastAsia" w:ascii="宋体" w:hAnsi="宋体" w:eastAsia="宋体" w:cs="宋体"/>
          <w:color w:val="auto"/>
          <w:highlight w:val="none"/>
        </w:rPr>
      </w:pPr>
    </w:p>
    <w:p w14:paraId="5DB97F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kern w:val="0"/>
          <w:highlight w:val="none"/>
        </w:rPr>
        <w:t>电子签章</w:t>
      </w:r>
      <w:r>
        <w:rPr>
          <w:rFonts w:hint="eastAsia" w:ascii="宋体" w:hAnsi="宋体" w:eastAsia="宋体" w:cs="宋体"/>
          <w:color w:val="auto"/>
          <w:highlight w:val="none"/>
        </w:rPr>
        <w:t>）</w:t>
      </w:r>
    </w:p>
    <w:p w14:paraId="17A682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（签字或</w:t>
      </w:r>
      <w:r>
        <w:rPr>
          <w:rFonts w:hint="eastAsia" w:ascii="宋体" w:hAnsi="宋体" w:eastAsia="宋体" w:cs="宋体"/>
          <w:color w:val="auto"/>
          <w:kern w:val="0"/>
          <w:highlight w:val="none"/>
        </w:rPr>
        <w:t>电子签章</w:t>
      </w:r>
      <w:r>
        <w:rPr>
          <w:rFonts w:hint="eastAsia" w:ascii="宋体" w:hAnsi="宋体" w:eastAsia="宋体" w:cs="宋体"/>
          <w:color w:val="auto"/>
          <w:highlight w:val="none"/>
        </w:rPr>
        <w:t>）</w:t>
      </w:r>
    </w:p>
    <w:p w14:paraId="7A8301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 </w:t>
      </w:r>
    </w:p>
    <w:p w14:paraId="38F2B85D">
      <w:pPr>
        <w:spacing w:line="360" w:lineRule="auto"/>
        <w:ind w:firstLine="420" w:firstLineChars="200"/>
        <w:rPr>
          <w:rFonts w:hint="eastAsia" w:ascii="宋体" w:hAnsi="宋体" w:eastAsia="宋体" w:cs="宋体"/>
          <w:color w:val="auto"/>
          <w:highlight w:val="none"/>
        </w:rPr>
      </w:pPr>
    </w:p>
    <w:p w14:paraId="14843CC5">
      <w:pPr>
        <w:spacing w:line="360" w:lineRule="auto"/>
        <w:ind w:firstLine="420" w:firstLineChars="200"/>
        <w:jc w:val="center"/>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26" w:name="_Toc31542"/>
      <w:r>
        <w:rPr>
          <w:rFonts w:hint="eastAsia" w:ascii="宋体" w:hAnsi="宋体" w:eastAsia="宋体" w:cs="宋体"/>
          <w:b/>
          <w:bCs/>
          <w:color w:val="auto"/>
          <w:sz w:val="24"/>
          <w:szCs w:val="24"/>
          <w:highlight w:val="none"/>
        </w:rPr>
        <w:t>（二）代理服务费及按照规定签合同承诺函</w:t>
      </w:r>
      <w:bookmarkEnd w:id="826"/>
    </w:p>
    <w:p w14:paraId="1F9F4F62">
      <w:pPr>
        <w:pStyle w:val="7"/>
        <w:ind w:firstLine="0"/>
        <w:rPr>
          <w:rFonts w:hint="eastAsia" w:ascii="宋体" w:hAnsi="宋体" w:eastAsia="宋体" w:cs="宋体"/>
          <w:color w:val="auto"/>
          <w:sz w:val="21"/>
          <w:szCs w:val="21"/>
          <w:highlight w:val="none"/>
        </w:rPr>
      </w:pPr>
    </w:p>
    <w:p w14:paraId="0F8694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（采购代理机构）：</w:t>
      </w:r>
    </w:p>
    <w:p w14:paraId="0232F2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我们在贵公司组织的（项目名称：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）磋商中若获成交，我们保证在成交公</w:t>
      </w:r>
      <w:r>
        <w:rPr>
          <w:rFonts w:hint="eastAsia" w:ascii="宋体" w:hAnsi="宋体" w:eastAsia="宋体" w:cs="宋体"/>
          <w:color w:val="auto"/>
          <w:highlight w:val="none"/>
          <w:lang w:val="en-US" w:eastAsia="zh-CN"/>
        </w:rPr>
        <w:t>告</w:t>
      </w:r>
      <w:r>
        <w:rPr>
          <w:rFonts w:hint="eastAsia" w:ascii="宋体" w:hAnsi="宋体" w:eastAsia="宋体" w:cs="宋体"/>
          <w:color w:val="auto"/>
          <w:highlight w:val="none"/>
        </w:rPr>
        <w:t>发布后5个工作日内，按竞争性磋商文件的规定，以银行转账方式向贵公司一次性支付代理服务费用，并且按照规定和业主签订合同。否则，由此产生的一切法律后果和责任由我公司承担。我公司声明放弃对此提出任何异议和追索的权利。</w:t>
      </w:r>
    </w:p>
    <w:p w14:paraId="764807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22CEF872">
      <w:pPr>
        <w:spacing w:line="360" w:lineRule="auto"/>
        <w:ind w:firstLine="420" w:firstLineChars="200"/>
        <w:rPr>
          <w:rFonts w:hint="eastAsia" w:ascii="宋体" w:hAnsi="宋体" w:eastAsia="宋体" w:cs="宋体"/>
          <w:color w:val="auto"/>
          <w:highlight w:val="none"/>
        </w:rPr>
      </w:pPr>
    </w:p>
    <w:p w14:paraId="6998F294">
      <w:pPr>
        <w:pStyle w:val="7"/>
        <w:rPr>
          <w:rFonts w:hint="eastAsia" w:ascii="宋体" w:hAnsi="宋体" w:eastAsia="宋体" w:cs="宋体"/>
          <w:color w:val="auto"/>
          <w:sz w:val="21"/>
          <w:szCs w:val="21"/>
          <w:highlight w:val="none"/>
        </w:rPr>
      </w:pPr>
    </w:p>
    <w:p w14:paraId="21E5AD8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kern w:val="0"/>
          <w:highlight w:val="none"/>
        </w:rPr>
        <w:t>电子签章</w:t>
      </w:r>
      <w:r>
        <w:rPr>
          <w:rFonts w:hint="eastAsia" w:ascii="宋体" w:hAnsi="宋体" w:eastAsia="宋体" w:cs="宋体"/>
          <w:color w:val="auto"/>
          <w:highlight w:val="none"/>
        </w:rPr>
        <w:t>）</w:t>
      </w:r>
    </w:p>
    <w:p w14:paraId="663E4C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（签字或</w:t>
      </w:r>
      <w:r>
        <w:rPr>
          <w:rFonts w:hint="eastAsia" w:ascii="宋体" w:hAnsi="宋体" w:eastAsia="宋体" w:cs="宋体"/>
          <w:color w:val="auto"/>
          <w:kern w:val="0"/>
          <w:highlight w:val="none"/>
        </w:rPr>
        <w:t>电子签章</w:t>
      </w:r>
      <w:r>
        <w:rPr>
          <w:rFonts w:hint="eastAsia" w:ascii="宋体" w:hAnsi="宋体" w:eastAsia="宋体" w:cs="宋体"/>
          <w:color w:val="auto"/>
          <w:highlight w:val="none"/>
        </w:rPr>
        <w:t>）</w:t>
      </w:r>
    </w:p>
    <w:p w14:paraId="1682F1C1">
      <w:pPr>
        <w:spacing w:line="360" w:lineRule="auto"/>
        <w:ind w:firstLine="420" w:firstLineChars="200"/>
        <w:rPr>
          <w:rFonts w:hint="eastAsia" w:ascii="宋体" w:hAnsi="宋体" w:eastAsia="宋体" w:cs="宋体"/>
          <w:color w:val="auto"/>
          <w:spacing w:val="8"/>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201DC1C">
      <w:pPr>
        <w:spacing w:line="360" w:lineRule="auto"/>
        <w:jc w:val="center"/>
        <w:rPr>
          <w:rFonts w:hint="eastAsia" w:ascii="宋体" w:hAnsi="宋体" w:eastAsia="宋体" w:cs="宋体"/>
          <w:b/>
          <w:bCs/>
          <w:color w:val="auto"/>
          <w:highlight w:val="none"/>
        </w:rPr>
      </w:pPr>
    </w:p>
    <w:p w14:paraId="79B39137">
      <w:pPr>
        <w:spacing w:line="360" w:lineRule="auto"/>
        <w:jc w:val="center"/>
        <w:rPr>
          <w:rFonts w:hint="eastAsia" w:ascii="宋体" w:hAnsi="宋体" w:eastAsia="宋体" w:cs="宋体"/>
          <w:b/>
          <w:bCs/>
          <w:color w:val="auto"/>
          <w:highlight w:val="none"/>
        </w:rPr>
      </w:pPr>
    </w:p>
    <w:p w14:paraId="4A4FE868">
      <w:pPr>
        <w:spacing w:line="360" w:lineRule="auto"/>
        <w:jc w:val="center"/>
        <w:rPr>
          <w:rFonts w:hint="eastAsia" w:ascii="宋体" w:hAnsi="宋体" w:eastAsia="宋体" w:cs="宋体"/>
          <w:b/>
          <w:bCs/>
          <w:color w:val="auto"/>
          <w:highlight w:val="none"/>
        </w:rPr>
      </w:pPr>
    </w:p>
    <w:p w14:paraId="5DAC00C2">
      <w:pPr>
        <w:spacing w:line="360" w:lineRule="auto"/>
        <w:jc w:val="center"/>
        <w:rPr>
          <w:rFonts w:hint="eastAsia" w:ascii="宋体" w:hAnsi="宋体" w:eastAsia="宋体" w:cs="宋体"/>
          <w:b/>
          <w:bCs/>
          <w:color w:val="auto"/>
          <w:highlight w:val="none"/>
        </w:rPr>
      </w:pPr>
    </w:p>
    <w:p w14:paraId="0E3D7DB5">
      <w:pPr>
        <w:spacing w:line="360" w:lineRule="auto"/>
        <w:jc w:val="center"/>
        <w:rPr>
          <w:rFonts w:hint="eastAsia" w:ascii="宋体" w:hAnsi="宋体" w:eastAsia="宋体" w:cs="宋体"/>
          <w:b/>
          <w:bCs/>
          <w:color w:val="auto"/>
          <w:highlight w:val="none"/>
        </w:rPr>
      </w:pPr>
    </w:p>
    <w:p w14:paraId="12919F3F">
      <w:pPr>
        <w:spacing w:line="360" w:lineRule="auto"/>
        <w:jc w:val="center"/>
        <w:rPr>
          <w:rFonts w:hint="eastAsia" w:ascii="宋体" w:hAnsi="宋体" w:eastAsia="宋体" w:cs="宋体"/>
          <w:b/>
          <w:bCs/>
          <w:color w:val="auto"/>
          <w:highlight w:val="none"/>
        </w:rPr>
      </w:pPr>
    </w:p>
    <w:p w14:paraId="709176D0">
      <w:pPr>
        <w:spacing w:line="360" w:lineRule="auto"/>
        <w:jc w:val="center"/>
        <w:rPr>
          <w:rFonts w:hint="eastAsia" w:ascii="宋体" w:hAnsi="宋体" w:eastAsia="宋体" w:cs="宋体"/>
          <w:b/>
          <w:bCs/>
          <w:color w:val="auto"/>
          <w:highlight w:val="none"/>
        </w:rPr>
      </w:pPr>
    </w:p>
    <w:p w14:paraId="1C6880A5">
      <w:pPr>
        <w:spacing w:line="360" w:lineRule="auto"/>
        <w:jc w:val="center"/>
        <w:rPr>
          <w:rFonts w:hint="eastAsia" w:ascii="宋体" w:hAnsi="宋体" w:eastAsia="宋体" w:cs="宋体"/>
          <w:b/>
          <w:bCs/>
          <w:color w:val="auto"/>
          <w:highlight w:val="none"/>
        </w:rPr>
      </w:pPr>
    </w:p>
    <w:p w14:paraId="17AF445B">
      <w:pPr>
        <w:spacing w:line="360" w:lineRule="auto"/>
        <w:jc w:val="center"/>
        <w:rPr>
          <w:rFonts w:hint="eastAsia" w:ascii="宋体" w:hAnsi="宋体" w:eastAsia="宋体" w:cs="宋体"/>
          <w:b/>
          <w:bCs/>
          <w:color w:val="auto"/>
          <w:highlight w:val="none"/>
        </w:rPr>
      </w:pPr>
    </w:p>
    <w:p w14:paraId="422A5E75">
      <w:pPr>
        <w:spacing w:line="360" w:lineRule="auto"/>
        <w:jc w:val="center"/>
        <w:rPr>
          <w:rFonts w:hint="eastAsia" w:ascii="宋体" w:hAnsi="宋体" w:eastAsia="宋体" w:cs="宋体"/>
          <w:b/>
          <w:bCs/>
          <w:color w:val="auto"/>
          <w:highlight w:val="none"/>
        </w:rPr>
      </w:pPr>
    </w:p>
    <w:p w14:paraId="73179571">
      <w:pPr>
        <w:spacing w:line="360" w:lineRule="auto"/>
        <w:jc w:val="center"/>
        <w:rPr>
          <w:rFonts w:hint="eastAsia" w:ascii="宋体" w:hAnsi="宋体" w:eastAsia="宋体" w:cs="宋体"/>
          <w:b/>
          <w:bCs/>
          <w:color w:val="auto"/>
          <w:highlight w:val="none"/>
        </w:rPr>
      </w:pPr>
    </w:p>
    <w:p w14:paraId="3FA3EE81">
      <w:pPr>
        <w:spacing w:line="360" w:lineRule="auto"/>
        <w:jc w:val="center"/>
        <w:rPr>
          <w:rFonts w:hint="eastAsia" w:ascii="宋体" w:hAnsi="宋体" w:eastAsia="宋体" w:cs="宋体"/>
          <w:b/>
          <w:bCs/>
          <w:color w:val="auto"/>
          <w:highlight w:val="none"/>
        </w:rPr>
      </w:pPr>
    </w:p>
    <w:p w14:paraId="61D82442">
      <w:pPr>
        <w:spacing w:line="360" w:lineRule="auto"/>
        <w:jc w:val="center"/>
        <w:rPr>
          <w:rFonts w:hint="eastAsia" w:ascii="宋体" w:hAnsi="宋体" w:eastAsia="宋体" w:cs="宋体"/>
          <w:b/>
          <w:bCs/>
          <w:color w:val="auto"/>
          <w:highlight w:val="none"/>
        </w:rPr>
      </w:pPr>
    </w:p>
    <w:p w14:paraId="49809A8C">
      <w:pPr>
        <w:spacing w:line="360" w:lineRule="auto"/>
        <w:jc w:val="center"/>
        <w:rPr>
          <w:rFonts w:hint="eastAsia" w:ascii="宋体" w:hAnsi="宋体" w:eastAsia="宋体" w:cs="宋体"/>
          <w:b/>
          <w:bCs/>
          <w:color w:val="auto"/>
          <w:highlight w:val="none"/>
        </w:rPr>
      </w:pPr>
    </w:p>
    <w:p w14:paraId="04EC9F66">
      <w:pPr>
        <w:spacing w:line="360" w:lineRule="auto"/>
        <w:jc w:val="center"/>
        <w:rPr>
          <w:rFonts w:hint="eastAsia" w:ascii="宋体" w:hAnsi="宋体" w:eastAsia="宋体" w:cs="宋体"/>
          <w:b/>
          <w:bCs/>
          <w:color w:val="auto"/>
          <w:highlight w:val="none"/>
        </w:rPr>
      </w:pPr>
    </w:p>
    <w:p w14:paraId="3E771060">
      <w:pPr>
        <w:spacing w:line="360" w:lineRule="auto"/>
        <w:jc w:val="center"/>
        <w:rPr>
          <w:rFonts w:hint="eastAsia" w:ascii="宋体" w:hAnsi="宋体" w:eastAsia="宋体" w:cs="宋体"/>
          <w:b/>
          <w:bCs/>
          <w:color w:val="auto"/>
          <w:highlight w:val="none"/>
        </w:rPr>
      </w:pPr>
    </w:p>
    <w:p w14:paraId="7D7CF148">
      <w:pPr>
        <w:pStyle w:val="56"/>
        <w:spacing w:before="0"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bookmarkEnd w:id="794"/>
    <w:bookmarkEnd w:id="795"/>
    <w:bookmarkEnd w:id="796"/>
    <w:bookmarkEnd w:id="797"/>
    <w:p w14:paraId="596374D0">
      <w:pPr>
        <w:jc w:val="center"/>
        <w:outlineLvl w:val="1"/>
        <w:rPr>
          <w:rFonts w:hint="eastAsia" w:ascii="宋体" w:hAnsi="宋体" w:eastAsia="宋体" w:cs="宋体"/>
          <w:color w:val="auto"/>
          <w:sz w:val="28"/>
          <w:szCs w:val="28"/>
          <w:highlight w:val="none"/>
        </w:rPr>
      </w:pPr>
      <w:bookmarkStart w:id="827" w:name="_Toc21990"/>
      <w:bookmarkStart w:id="828" w:name="_Toc5383"/>
      <w:bookmarkStart w:id="829" w:name="_Toc9705"/>
      <w:r>
        <w:rPr>
          <w:rFonts w:hint="eastAsia" w:ascii="宋体" w:hAnsi="宋体" w:eastAsia="宋体" w:cs="宋体"/>
          <w:color w:val="auto"/>
          <w:sz w:val="28"/>
          <w:szCs w:val="28"/>
          <w:highlight w:val="none"/>
        </w:rPr>
        <w:t>五、已标价工程量清单</w:t>
      </w:r>
      <w:bookmarkEnd w:id="827"/>
      <w:bookmarkEnd w:id="828"/>
    </w:p>
    <w:p w14:paraId="6C9F6B96">
      <w:pPr>
        <w:spacing w:line="360" w:lineRule="auto"/>
        <w:rPr>
          <w:rFonts w:hint="eastAsia" w:ascii="宋体" w:hAnsi="宋体" w:eastAsia="宋体" w:cs="宋体"/>
          <w:color w:val="auto"/>
          <w:highlight w:val="none"/>
        </w:rPr>
      </w:pPr>
    </w:p>
    <w:p w14:paraId="5E41A52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（可另附）</w:t>
      </w:r>
    </w:p>
    <w:p w14:paraId="582689E0">
      <w:pPr>
        <w:pStyle w:val="49"/>
        <w:rPr>
          <w:rFonts w:hint="eastAsia" w:ascii="宋体" w:hAnsi="宋体" w:eastAsia="宋体" w:cs="宋体"/>
          <w:color w:val="auto"/>
          <w:highlight w:val="none"/>
        </w:rPr>
      </w:pPr>
    </w:p>
    <w:p w14:paraId="44A3BC28">
      <w:pPr>
        <w:spacing w:line="360" w:lineRule="auto"/>
        <w:rPr>
          <w:rFonts w:hint="eastAsia" w:ascii="宋体" w:hAnsi="宋体" w:eastAsia="宋体" w:cs="宋体"/>
          <w:color w:val="auto"/>
          <w:highlight w:val="none"/>
        </w:rPr>
      </w:pPr>
    </w:p>
    <w:p w14:paraId="10D2A466">
      <w:pPr>
        <w:spacing w:line="360" w:lineRule="auto"/>
        <w:rPr>
          <w:rFonts w:hint="eastAsia" w:ascii="宋体" w:hAnsi="宋体" w:eastAsia="宋体" w:cs="宋体"/>
          <w:color w:val="auto"/>
          <w:highlight w:val="none"/>
        </w:rPr>
      </w:pPr>
    </w:p>
    <w:p w14:paraId="51FDF153">
      <w:pPr>
        <w:spacing w:line="360" w:lineRule="auto"/>
        <w:rPr>
          <w:rFonts w:hint="eastAsia" w:ascii="宋体" w:hAnsi="宋体" w:eastAsia="宋体" w:cs="宋体"/>
          <w:color w:val="auto"/>
          <w:highlight w:val="none"/>
        </w:rPr>
      </w:pPr>
    </w:p>
    <w:p w14:paraId="7FD2EA08">
      <w:pPr>
        <w:spacing w:line="360" w:lineRule="auto"/>
        <w:rPr>
          <w:rFonts w:hint="eastAsia" w:ascii="宋体" w:hAnsi="宋体" w:eastAsia="宋体" w:cs="宋体"/>
          <w:color w:val="auto"/>
          <w:highlight w:val="none"/>
        </w:rPr>
      </w:pPr>
    </w:p>
    <w:p w14:paraId="1BB71E06">
      <w:pPr>
        <w:spacing w:line="360" w:lineRule="auto"/>
        <w:rPr>
          <w:rFonts w:hint="eastAsia" w:ascii="宋体" w:hAnsi="宋体" w:eastAsia="宋体" w:cs="宋体"/>
          <w:color w:val="auto"/>
          <w:highlight w:val="none"/>
        </w:rPr>
      </w:pPr>
    </w:p>
    <w:p w14:paraId="5497F1EF">
      <w:pPr>
        <w:spacing w:line="360" w:lineRule="auto"/>
        <w:rPr>
          <w:rFonts w:hint="eastAsia" w:ascii="宋体" w:hAnsi="宋体" w:eastAsia="宋体" w:cs="宋体"/>
          <w:color w:val="auto"/>
          <w:highlight w:val="none"/>
        </w:rPr>
      </w:pPr>
    </w:p>
    <w:p w14:paraId="460164E9">
      <w:pPr>
        <w:spacing w:line="360" w:lineRule="auto"/>
        <w:rPr>
          <w:rFonts w:hint="eastAsia" w:ascii="宋体" w:hAnsi="宋体" w:eastAsia="宋体" w:cs="宋体"/>
          <w:color w:val="auto"/>
          <w:highlight w:val="none"/>
        </w:rPr>
      </w:pPr>
    </w:p>
    <w:p w14:paraId="7F959E53">
      <w:pPr>
        <w:spacing w:line="360" w:lineRule="auto"/>
        <w:rPr>
          <w:rFonts w:hint="eastAsia" w:ascii="宋体" w:hAnsi="宋体" w:eastAsia="宋体" w:cs="宋体"/>
          <w:color w:val="auto"/>
          <w:highlight w:val="none"/>
        </w:rPr>
      </w:pPr>
    </w:p>
    <w:p w14:paraId="33D41B5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0F3E756">
      <w:pPr>
        <w:pStyle w:val="49"/>
        <w:rPr>
          <w:rFonts w:hint="eastAsia" w:ascii="宋体" w:hAnsi="宋体" w:eastAsia="宋体" w:cs="宋体"/>
          <w:b/>
          <w:bCs/>
          <w:color w:val="auto"/>
          <w:szCs w:val="24"/>
          <w:highlight w:val="none"/>
        </w:rPr>
      </w:pPr>
      <w:bookmarkStart w:id="830" w:name="_Toc152045796"/>
      <w:bookmarkStart w:id="831" w:name="_Toc12667"/>
      <w:bookmarkStart w:id="832" w:name="_Toc152042585"/>
      <w:bookmarkStart w:id="833" w:name="_Toc27080"/>
      <w:bookmarkStart w:id="834" w:name="_Toc20976"/>
      <w:bookmarkStart w:id="835" w:name="_Toc179632816"/>
      <w:bookmarkStart w:id="836" w:name="_Toc144974864"/>
    </w:p>
    <w:p w14:paraId="70A10007">
      <w:pPr>
        <w:jc w:val="center"/>
        <w:outlineLvl w:val="1"/>
        <w:rPr>
          <w:rFonts w:hint="eastAsia" w:ascii="宋体" w:hAnsi="宋体" w:eastAsia="宋体" w:cs="宋体"/>
          <w:color w:val="auto"/>
          <w:sz w:val="28"/>
          <w:szCs w:val="28"/>
          <w:highlight w:val="none"/>
        </w:rPr>
      </w:pPr>
      <w:bookmarkStart w:id="837" w:name="_Toc19796"/>
      <w:bookmarkStart w:id="838" w:name="_Toc21543"/>
      <w:r>
        <w:rPr>
          <w:rFonts w:hint="eastAsia" w:ascii="宋体" w:hAnsi="宋体" w:eastAsia="宋体" w:cs="宋体"/>
          <w:color w:val="auto"/>
          <w:sz w:val="28"/>
          <w:szCs w:val="28"/>
          <w:highlight w:val="none"/>
        </w:rPr>
        <w:t>六、施工组织设计</w:t>
      </w:r>
      <w:bookmarkEnd w:id="830"/>
      <w:bookmarkEnd w:id="831"/>
      <w:bookmarkEnd w:id="832"/>
      <w:bookmarkEnd w:id="833"/>
      <w:bookmarkEnd w:id="834"/>
      <w:bookmarkEnd w:id="835"/>
      <w:bookmarkEnd w:id="836"/>
      <w:bookmarkEnd w:id="837"/>
      <w:bookmarkEnd w:id="838"/>
    </w:p>
    <w:p w14:paraId="017C4D0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1．供应商应根据竞争性磋商文件和对现场的勘察情况，采用文字并结合图表形式，按照竞争性磋商文件要点编制本工程的施工组织设计。</w:t>
      </w:r>
    </w:p>
    <w:p w14:paraId="368A936A">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2．施工组织设计除采用文字表述外可附下列图表，图表及格式要求附后。</w:t>
      </w:r>
    </w:p>
    <w:p w14:paraId="7DEDE8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附表一  拟投入本工程的主要施工设备表</w:t>
      </w:r>
    </w:p>
    <w:p w14:paraId="2C0134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附表二  拟配备本工程的试验和检测仪器设备表</w:t>
      </w:r>
    </w:p>
    <w:p w14:paraId="5A74E12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附表三  劳动力计划表</w:t>
      </w:r>
    </w:p>
    <w:p w14:paraId="1857CF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附表四  计划开、完工日期和施工进度网络图</w:t>
      </w:r>
    </w:p>
    <w:p w14:paraId="59D495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附表五  施工总平面图</w:t>
      </w:r>
    </w:p>
    <w:p w14:paraId="22AB44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附表六  临时用地表</w:t>
      </w:r>
    </w:p>
    <w:p w14:paraId="254884BB">
      <w:pPr>
        <w:pStyle w:val="56"/>
        <w:snapToGrid w:val="0"/>
        <w:spacing w:line="360" w:lineRule="auto"/>
        <w:ind w:firstLine="560" w:firstLineChars="200"/>
        <w:outlineLvl w:val="2"/>
        <w:rPr>
          <w:rFonts w:hint="eastAsia" w:ascii="宋体" w:hAnsi="宋体" w:eastAsia="宋体" w:cs="宋体"/>
          <w:b/>
          <w:bCs/>
          <w:color w:val="auto"/>
          <w:sz w:val="21"/>
          <w:highlight w:val="none"/>
        </w:rPr>
      </w:pPr>
      <w:r>
        <w:rPr>
          <w:rFonts w:hint="eastAsia" w:ascii="宋体" w:hAnsi="宋体" w:eastAsia="宋体" w:cs="宋体"/>
          <w:color w:val="auto"/>
          <w:highlight w:val="none"/>
          <w:shd w:val="pct10" w:color="auto" w:fill="FFFFFF"/>
        </w:rPr>
        <w:br w:type="page"/>
      </w:r>
      <w:bookmarkEnd w:id="829"/>
      <w:bookmarkStart w:id="839" w:name="_Toc30646"/>
      <w:bookmarkStart w:id="840" w:name="_Toc152042586"/>
      <w:bookmarkStart w:id="841" w:name="_Toc30879"/>
      <w:bookmarkStart w:id="842" w:name="_Toc144974865"/>
      <w:bookmarkStart w:id="843" w:name="_Toc10631"/>
      <w:bookmarkStart w:id="844" w:name="_Toc9058"/>
      <w:bookmarkStart w:id="845" w:name="_Toc31358"/>
      <w:bookmarkStart w:id="846" w:name="_Toc12753"/>
      <w:bookmarkStart w:id="847" w:name="_Toc15056"/>
      <w:bookmarkStart w:id="848" w:name="_Toc18848"/>
      <w:bookmarkStart w:id="849" w:name="_Toc5950"/>
      <w:bookmarkStart w:id="850" w:name="_Toc10926"/>
      <w:bookmarkStart w:id="851" w:name="_Toc152045797"/>
      <w:bookmarkStart w:id="852" w:name="_Toc9239"/>
      <w:bookmarkStart w:id="853" w:name="_Toc24017"/>
      <w:bookmarkStart w:id="854" w:name="_Toc7424"/>
      <w:bookmarkStart w:id="855" w:name="_Toc179632817"/>
      <w:bookmarkStart w:id="856" w:name="_Toc13559"/>
      <w:bookmarkStart w:id="857" w:name="_Toc23536"/>
      <w:bookmarkStart w:id="858" w:name="_Toc1675"/>
      <w:bookmarkStart w:id="859" w:name="_Toc16967"/>
      <w:bookmarkStart w:id="860" w:name="_Toc332893400"/>
      <w:r>
        <w:rPr>
          <w:rFonts w:hint="eastAsia" w:ascii="宋体" w:hAnsi="宋体" w:eastAsia="宋体" w:cs="宋体"/>
          <w:b/>
          <w:bCs/>
          <w:color w:val="auto"/>
          <w:sz w:val="21"/>
          <w:highlight w:val="none"/>
        </w:rPr>
        <w:t>附表一：拟投入本工程的主要施工设备表</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1651CEE5">
      <w:pPr>
        <w:snapToGrid w:val="0"/>
        <w:spacing w:line="360" w:lineRule="auto"/>
        <w:rPr>
          <w:rFonts w:hint="eastAsia" w:ascii="宋体" w:hAnsi="宋体" w:eastAsia="宋体" w:cs="宋体"/>
          <w:color w:val="auto"/>
          <w:szCs w:val="28"/>
          <w:highlight w:val="none"/>
        </w:rPr>
      </w:pPr>
    </w:p>
    <w:tbl>
      <w:tblPr>
        <w:tblStyle w:val="28"/>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620"/>
        <w:gridCol w:w="1079"/>
        <w:gridCol w:w="1224"/>
        <w:gridCol w:w="1619"/>
        <w:gridCol w:w="1619"/>
      </w:tblGrid>
      <w:tr w14:paraId="40F1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79" w:type="dxa"/>
            <w:vAlign w:val="center"/>
          </w:tcPr>
          <w:p w14:paraId="57E8C82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620" w:type="dxa"/>
            <w:vAlign w:val="center"/>
          </w:tcPr>
          <w:p w14:paraId="539F079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1079" w:type="dxa"/>
            <w:vAlign w:val="center"/>
          </w:tcPr>
          <w:p w14:paraId="098BA2B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541C79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1224" w:type="dxa"/>
            <w:vAlign w:val="center"/>
          </w:tcPr>
          <w:p w14:paraId="0CCEA9F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619" w:type="dxa"/>
            <w:vAlign w:val="center"/>
          </w:tcPr>
          <w:p w14:paraId="137C1E2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用于施工部位</w:t>
            </w:r>
          </w:p>
        </w:tc>
        <w:tc>
          <w:tcPr>
            <w:tcW w:w="1619" w:type="dxa"/>
            <w:vAlign w:val="center"/>
          </w:tcPr>
          <w:p w14:paraId="7CFD393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64FE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79" w:type="dxa"/>
            <w:vAlign w:val="center"/>
          </w:tcPr>
          <w:p w14:paraId="247CF945">
            <w:pPr>
              <w:snapToGrid w:val="0"/>
              <w:spacing w:line="360" w:lineRule="auto"/>
              <w:jc w:val="center"/>
              <w:rPr>
                <w:rFonts w:hint="eastAsia" w:ascii="宋体" w:hAnsi="宋体" w:eastAsia="宋体" w:cs="宋体"/>
                <w:color w:val="auto"/>
                <w:sz w:val="20"/>
                <w:szCs w:val="28"/>
                <w:highlight w:val="none"/>
              </w:rPr>
            </w:pPr>
          </w:p>
        </w:tc>
        <w:tc>
          <w:tcPr>
            <w:tcW w:w="1620" w:type="dxa"/>
            <w:vAlign w:val="center"/>
          </w:tcPr>
          <w:p w14:paraId="4B9E222D">
            <w:pPr>
              <w:snapToGrid w:val="0"/>
              <w:spacing w:line="360" w:lineRule="auto"/>
              <w:jc w:val="center"/>
              <w:rPr>
                <w:rFonts w:hint="eastAsia" w:ascii="宋体" w:hAnsi="宋体" w:eastAsia="宋体" w:cs="宋体"/>
                <w:color w:val="auto"/>
                <w:sz w:val="20"/>
                <w:szCs w:val="28"/>
                <w:highlight w:val="none"/>
              </w:rPr>
            </w:pPr>
          </w:p>
        </w:tc>
        <w:tc>
          <w:tcPr>
            <w:tcW w:w="1079" w:type="dxa"/>
            <w:vAlign w:val="center"/>
          </w:tcPr>
          <w:p w14:paraId="61A8BB4B">
            <w:pPr>
              <w:snapToGrid w:val="0"/>
              <w:spacing w:line="360" w:lineRule="auto"/>
              <w:jc w:val="center"/>
              <w:rPr>
                <w:rFonts w:hint="eastAsia" w:ascii="宋体" w:hAnsi="宋体" w:eastAsia="宋体" w:cs="宋体"/>
                <w:color w:val="auto"/>
                <w:sz w:val="20"/>
                <w:szCs w:val="28"/>
                <w:highlight w:val="none"/>
              </w:rPr>
            </w:pPr>
          </w:p>
        </w:tc>
        <w:tc>
          <w:tcPr>
            <w:tcW w:w="1224" w:type="dxa"/>
            <w:vAlign w:val="center"/>
          </w:tcPr>
          <w:p w14:paraId="73BE0673">
            <w:pPr>
              <w:snapToGrid w:val="0"/>
              <w:spacing w:line="360" w:lineRule="auto"/>
              <w:jc w:val="center"/>
              <w:rPr>
                <w:rFonts w:hint="eastAsia" w:ascii="宋体" w:hAnsi="宋体" w:eastAsia="宋体" w:cs="宋体"/>
                <w:color w:val="auto"/>
                <w:sz w:val="20"/>
                <w:szCs w:val="28"/>
                <w:highlight w:val="none"/>
              </w:rPr>
            </w:pPr>
          </w:p>
        </w:tc>
        <w:tc>
          <w:tcPr>
            <w:tcW w:w="1619" w:type="dxa"/>
            <w:vAlign w:val="center"/>
          </w:tcPr>
          <w:p w14:paraId="0D1CAF08">
            <w:pPr>
              <w:snapToGrid w:val="0"/>
              <w:spacing w:line="360" w:lineRule="auto"/>
              <w:jc w:val="center"/>
              <w:rPr>
                <w:rFonts w:hint="eastAsia" w:ascii="宋体" w:hAnsi="宋体" w:eastAsia="宋体" w:cs="宋体"/>
                <w:color w:val="auto"/>
                <w:sz w:val="20"/>
                <w:szCs w:val="28"/>
                <w:highlight w:val="none"/>
              </w:rPr>
            </w:pPr>
          </w:p>
        </w:tc>
        <w:tc>
          <w:tcPr>
            <w:tcW w:w="1619" w:type="dxa"/>
            <w:vAlign w:val="center"/>
          </w:tcPr>
          <w:p w14:paraId="204DEF78">
            <w:pPr>
              <w:snapToGrid w:val="0"/>
              <w:spacing w:line="360" w:lineRule="auto"/>
              <w:jc w:val="center"/>
              <w:rPr>
                <w:rFonts w:hint="eastAsia" w:ascii="宋体" w:hAnsi="宋体" w:eastAsia="宋体" w:cs="宋体"/>
                <w:color w:val="auto"/>
                <w:sz w:val="20"/>
                <w:szCs w:val="28"/>
                <w:highlight w:val="none"/>
              </w:rPr>
            </w:pPr>
          </w:p>
        </w:tc>
      </w:tr>
      <w:tr w14:paraId="0D86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79" w:type="dxa"/>
            <w:vAlign w:val="center"/>
          </w:tcPr>
          <w:p w14:paraId="04F9DB8F">
            <w:pPr>
              <w:snapToGrid w:val="0"/>
              <w:spacing w:line="360" w:lineRule="auto"/>
              <w:jc w:val="center"/>
              <w:rPr>
                <w:rFonts w:hint="eastAsia" w:ascii="宋体" w:hAnsi="宋体" w:eastAsia="宋体" w:cs="宋体"/>
                <w:color w:val="auto"/>
                <w:sz w:val="20"/>
                <w:szCs w:val="28"/>
                <w:highlight w:val="none"/>
              </w:rPr>
            </w:pPr>
          </w:p>
        </w:tc>
        <w:tc>
          <w:tcPr>
            <w:tcW w:w="1620" w:type="dxa"/>
            <w:vAlign w:val="center"/>
          </w:tcPr>
          <w:p w14:paraId="2318CC9E">
            <w:pPr>
              <w:snapToGrid w:val="0"/>
              <w:spacing w:line="360" w:lineRule="auto"/>
              <w:jc w:val="center"/>
              <w:rPr>
                <w:rFonts w:hint="eastAsia" w:ascii="宋体" w:hAnsi="宋体" w:eastAsia="宋体" w:cs="宋体"/>
                <w:color w:val="auto"/>
                <w:sz w:val="20"/>
                <w:szCs w:val="28"/>
                <w:highlight w:val="none"/>
              </w:rPr>
            </w:pPr>
          </w:p>
        </w:tc>
        <w:tc>
          <w:tcPr>
            <w:tcW w:w="1079" w:type="dxa"/>
            <w:vAlign w:val="center"/>
          </w:tcPr>
          <w:p w14:paraId="65E093FE">
            <w:pPr>
              <w:snapToGrid w:val="0"/>
              <w:spacing w:line="360" w:lineRule="auto"/>
              <w:jc w:val="center"/>
              <w:rPr>
                <w:rFonts w:hint="eastAsia" w:ascii="宋体" w:hAnsi="宋体" w:eastAsia="宋体" w:cs="宋体"/>
                <w:color w:val="auto"/>
                <w:sz w:val="20"/>
                <w:szCs w:val="28"/>
                <w:highlight w:val="none"/>
              </w:rPr>
            </w:pPr>
          </w:p>
        </w:tc>
        <w:tc>
          <w:tcPr>
            <w:tcW w:w="1224" w:type="dxa"/>
            <w:vAlign w:val="center"/>
          </w:tcPr>
          <w:p w14:paraId="41841DCE">
            <w:pPr>
              <w:snapToGrid w:val="0"/>
              <w:spacing w:line="360" w:lineRule="auto"/>
              <w:jc w:val="center"/>
              <w:rPr>
                <w:rFonts w:hint="eastAsia" w:ascii="宋体" w:hAnsi="宋体" w:eastAsia="宋体" w:cs="宋体"/>
                <w:color w:val="auto"/>
                <w:sz w:val="20"/>
                <w:szCs w:val="28"/>
                <w:highlight w:val="none"/>
              </w:rPr>
            </w:pPr>
          </w:p>
        </w:tc>
        <w:tc>
          <w:tcPr>
            <w:tcW w:w="1619" w:type="dxa"/>
            <w:vAlign w:val="center"/>
          </w:tcPr>
          <w:p w14:paraId="4EFD4CE3">
            <w:pPr>
              <w:snapToGrid w:val="0"/>
              <w:spacing w:line="360" w:lineRule="auto"/>
              <w:jc w:val="center"/>
              <w:rPr>
                <w:rFonts w:hint="eastAsia" w:ascii="宋体" w:hAnsi="宋体" w:eastAsia="宋体" w:cs="宋体"/>
                <w:color w:val="auto"/>
                <w:sz w:val="20"/>
                <w:szCs w:val="28"/>
                <w:highlight w:val="none"/>
              </w:rPr>
            </w:pPr>
          </w:p>
        </w:tc>
        <w:tc>
          <w:tcPr>
            <w:tcW w:w="1619" w:type="dxa"/>
            <w:vAlign w:val="center"/>
          </w:tcPr>
          <w:p w14:paraId="38DCE1AB">
            <w:pPr>
              <w:snapToGrid w:val="0"/>
              <w:spacing w:line="360" w:lineRule="auto"/>
              <w:jc w:val="center"/>
              <w:rPr>
                <w:rFonts w:hint="eastAsia" w:ascii="宋体" w:hAnsi="宋体" w:eastAsia="宋体" w:cs="宋体"/>
                <w:color w:val="auto"/>
                <w:sz w:val="20"/>
                <w:szCs w:val="28"/>
                <w:highlight w:val="none"/>
              </w:rPr>
            </w:pPr>
          </w:p>
        </w:tc>
      </w:tr>
    </w:tbl>
    <w:p w14:paraId="7E28ACCC">
      <w:pPr>
        <w:pStyle w:val="56"/>
        <w:snapToGrid w:val="0"/>
        <w:spacing w:line="360" w:lineRule="auto"/>
        <w:ind w:firstLine="422" w:firstLineChars="200"/>
        <w:outlineLvl w:val="2"/>
        <w:rPr>
          <w:rFonts w:hint="eastAsia" w:ascii="宋体" w:hAnsi="宋体" w:eastAsia="宋体" w:cs="宋体"/>
          <w:color w:val="auto"/>
          <w:highlight w:val="none"/>
        </w:rPr>
      </w:pPr>
      <w:bookmarkStart w:id="861" w:name="_Toc24471"/>
      <w:bookmarkStart w:id="862" w:name="_Toc1145"/>
      <w:bookmarkStart w:id="863" w:name="_Toc31965"/>
      <w:bookmarkStart w:id="864" w:name="_Toc8"/>
      <w:bookmarkStart w:id="865" w:name="_Toc22558"/>
      <w:bookmarkStart w:id="866" w:name="_Toc23285"/>
      <w:bookmarkStart w:id="867" w:name="_Toc152045798"/>
      <w:bookmarkStart w:id="868" w:name="_Toc12467"/>
      <w:bookmarkStart w:id="869" w:name="_Toc6823"/>
      <w:bookmarkStart w:id="870" w:name="_Toc8949"/>
      <w:bookmarkStart w:id="871" w:name="_Toc31500"/>
      <w:bookmarkStart w:id="872" w:name="_Toc144974866"/>
      <w:bookmarkStart w:id="873" w:name="_Toc9723"/>
      <w:bookmarkStart w:id="874" w:name="_Toc15537"/>
      <w:bookmarkStart w:id="875" w:name="_Toc17662"/>
      <w:bookmarkStart w:id="876" w:name="_Toc30474"/>
      <w:bookmarkStart w:id="877" w:name="_Toc28532"/>
      <w:bookmarkStart w:id="878" w:name="_Toc179632818"/>
      <w:bookmarkStart w:id="879" w:name="_Toc30867"/>
      <w:bookmarkStart w:id="880" w:name="_Toc152042587"/>
      <w:bookmarkStart w:id="881" w:name="_Toc332893401"/>
      <w:bookmarkStart w:id="882" w:name="_Toc8685"/>
      <w:r>
        <w:rPr>
          <w:rFonts w:hint="eastAsia" w:ascii="宋体" w:hAnsi="宋体" w:eastAsia="宋体" w:cs="宋体"/>
          <w:b/>
          <w:bCs/>
          <w:color w:val="auto"/>
          <w:sz w:val="21"/>
          <w:highlight w:val="none"/>
        </w:rPr>
        <w:t>附表二：拟配备本工程的试验和检测仪器设备表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tbl>
      <w:tblPr>
        <w:tblStyle w:val="28"/>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32"/>
        <w:gridCol w:w="1072"/>
        <w:gridCol w:w="1397"/>
        <w:gridCol w:w="2330"/>
        <w:gridCol w:w="970"/>
      </w:tblGrid>
      <w:tr w14:paraId="1328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39" w:type="dxa"/>
            <w:vAlign w:val="center"/>
          </w:tcPr>
          <w:p w14:paraId="27FAC35F">
            <w:pPr>
              <w:spacing w:line="360" w:lineRule="auto"/>
              <w:jc w:val="center"/>
              <w:rPr>
                <w:rFonts w:hint="eastAsia" w:ascii="宋体" w:hAnsi="宋体" w:eastAsia="宋体" w:cs="宋体"/>
                <w:color w:val="auto"/>
                <w:highlight w:val="none"/>
              </w:rPr>
            </w:pPr>
            <w:bookmarkStart w:id="883" w:name="_Toc152042588"/>
            <w:bookmarkStart w:id="884" w:name="_Toc152045799"/>
            <w:bookmarkStart w:id="885" w:name="_Toc144974867"/>
            <w:bookmarkStart w:id="886" w:name="_Toc332893402"/>
            <w:bookmarkStart w:id="887" w:name="_Toc179632819"/>
            <w:r>
              <w:rPr>
                <w:rFonts w:hint="eastAsia" w:ascii="宋体" w:hAnsi="宋体" w:eastAsia="宋体" w:cs="宋体"/>
                <w:color w:val="auto"/>
                <w:highlight w:val="none"/>
              </w:rPr>
              <w:t>序号</w:t>
            </w:r>
          </w:p>
        </w:tc>
        <w:tc>
          <w:tcPr>
            <w:tcW w:w="1532" w:type="dxa"/>
            <w:vAlign w:val="center"/>
          </w:tcPr>
          <w:p w14:paraId="6003C09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仪器设备名称</w:t>
            </w:r>
          </w:p>
        </w:tc>
        <w:tc>
          <w:tcPr>
            <w:tcW w:w="1072" w:type="dxa"/>
            <w:vAlign w:val="center"/>
          </w:tcPr>
          <w:p w14:paraId="6E2DB1A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3A31A42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1397" w:type="dxa"/>
            <w:vAlign w:val="center"/>
          </w:tcPr>
          <w:p w14:paraId="431E055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2330" w:type="dxa"/>
            <w:vAlign w:val="center"/>
          </w:tcPr>
          <w:p w14:paraId="3B017EB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用途</w:t>
            </w:r>
          </w:p>
        </w:tc>
        <w:tc>
          <w:tcPr>
            <w:tcW w:w="970" w:type="dxa"/>
            <w:vAlign w:val="center"/>
          </w:tcPr>
          <w:p w14:paraId="6B5DF76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6B92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39" w:type="dxa"/>
            <w:vAlign w:val="center"/>
          </w:tcPr>
          <w:p w14:paraId="47C181B2">
            <w:pPr>
              <w:snapToGrid w:val="0"/>
              <w:spacing w:line="360" w:lineRule="auto"/>
              <w:jc w:val="center"/>
              <w:rPr>
                <w:rFonts w:hint="eastAsia" w:ascii="宋体" w:hAnsi="宋体" w:eastAsia="宋体" w:cs="宋体"/>
                <w:color w:val="auto"/>
                <w:sz w:val="20"/>
                <w:szCs w:val="28"/>
                <w:highlight w:val="none"/>
              </w:rPr>
            </w:pPr>
          </w:p>
        </w:tc>
        <w:tc>
          <w:tcPr>
            <w:tcW w:w="1532" w:type="dxa"/>
            <w:vAlign w:val="center"/>
          </w:tcPr>
          <w:p w14:paraId="4D3D1FE8">
            <w:pPr>
              <w:snapToGrid w:val="0"/>
              <w:spacing w:line="360" w:lineRule="auto"/>
              <w:jc w:val="center"/>
              <w:rPr>
                <w:rFonts w:hint="eastAsia" w:ascii="宋体" w:hAnsi="宋体" w:eastAsia="宋体" w:cs="宋体"/>
                <w:color w:val="auto"/>
                <w:sz w:val="20"/>
                <w:szCs w:val="28"/>
                <w:highlight w:val="none"/>
              </w:rPr>
            </w:pPr>
          </w:p>
        </w:tc>
        <w:tc>
          <w:tcPr>
            <w:tcW w:w="1072" w:type="dxa"/>
            <w:vAlign w:val="center"/>
          </w:tcPr>
          <w:p w14:paraId="00442696">
            <w:pPr>
              <w:snapToGrid w:val="0"/>
              <w:spacing w:line="360" w:lineRule="auto"/>
              <w:jc w:val="center"/>
              <w:rPr>
                <w:rFonts w:hint="eastAsia" w:ascii="宋体" w:hAnsi="宋体" w:eastAsia="宋体" w:cs="宋体"/>
                <w:color w:val="auto"/>
                <w:sz w:val="20"/>
                <w:szCs w:val="28"/>
                <w:highlight w:val="none"/>
              </w:rPr>
            </w:pPr>
          </w:p>
        </w:tc>
        <w:tc>
          <w:tcPr>
            <w:tcW w:w="1397" w:type="dxa"/>
            <w:vAlign w:val="center"/>
          </w:tcPr>
          <w:p w14:paraId="32ED8FB7">
            <w:pPr>
              <w:snapToGrid w:val="0"/>
              <w:spacing w:line="360" w:lineRule="auto"/>
              <w:jc w:val="center"/>
              <w:rPr>
                <w:rFonts w:hint="eastAsia" w:ascii="宋体" w:hAnsi="宋体" w:eastAsia="宋体" w:cs="宋体"/>
                <w:color w:val="auto"/>
                <w:sz w:val="20"/>
                <w:szCs w:val="28"/>
                <w:highlight w:val="none"/>
              </w:rPr>
            </w:pPr>
          </w:p>
        </w:tc>
        <w:tc>
          <w:tcPr>
            <w:tcW w:w="2330" w:type="dxa"/>
            <w:vAlign w:val="center"/>
          </w:tcPr>
          <w:p w14:paraId="44F5F373">
            <w:pPr>
              <w:snapToGrid w:val="0"/>
              <w:spacing w:line="360" w:lineRule="auto"/>
              <w:jc w:val="center"/>
              <w:rPr>
                <w:rFonts w:hint="eastAsia" w:ascii="宋体" w:hAnsi="宋体" w:eastAsia="宋体" w:cs="宋体"/>
                <w:color w:val="auto"/>
                <w:sz w:val="20"/>
                <w:szCs w:val="28"/>
                <w:highlight w:val="none"/>
              </w:rPr>
            </w:pPr>
          </w:p>
        </w:tc>
        <w:tc>
          <w:tcPr>
            <w:tcW w:w="970" w:type="dxa"/>
            <w:vAlign w:val="center"/>
          </w:tcPr>
          <w:p w14:paraId="0F82BF5E">
            <w:pPr>
              <w:snapToGrid w:val="0"/>
              <w:spacing w:line="360" w:lineRule="auto"/>
              <w:jc w:val="center"/>
              <w:rPr>
                <w:rFonts w:hint="eastAsia" w:ascii="宋体" w:hAnsi="宋体" w:eastAsia="宋体" w:cs="宋体"/>
                <w:color w:val="auto"/>
                <w:sz w:val="20"/>
                <w:szCs w:val="28"/>
                <w:highlight w:val="none"/>
              </w:rPr>
            </w:pPr>
          </w:p>
        </w:tc>
      </w:tr>
      <w:tr w14:paraId="1148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9" w:type="dxa"/>
            <w:vAlign w:val="center"/>
          </w:tcPr>
          <w:p w14:paraId="070CE3B6">
            <w:pPr>
              <w:snapToGrid w:val="0"/>
              <w:spacing w:line="360" w:lineRule="auto"/>
              <w:jc w:val="center"/>
              <w:rPr>
                <w:rFonts w:hint="eastAsia" w:ascii="宋体" w:hAnsi="宋体" w:eastAsia="宋体" w:cs="宋体"/>
                <w:color w:val="auto"/>
                <w:sz w:val="20"/>
                <w:szCs w:val="28"/>
                <w:highlight w:val="none"/>
              </w:rPr>
            </w:pPr>
          </w:p>
        </w:tc>
        <w:tc>
          <w:tcPr>
            <w:tcW w:w="1532" w:type="dxa"/>
            <w:vAlign w:val="center"/>
          </w:tcPr>
          <w:p w14:paraId="749907BB">
            <w:pPr>
              <w:snapToGrid w:val="0"/>
              <w:spacing w:line="360" w:lineRule="auto"/>
              <w:jc w:val="center"/>
              <w:rPr>
                <w:rFonts w:hint="eastAsia" w:ascii="宋体" w:hAnsi="宋体" w:eastAsia="宋体" w:cs="宋体"/>
                <w:color w:val="auto"/>
                <w:sz w:val="20"/>
                <w:szCs w:val="28"/>
                <w:highlight w:val="none"/>
              </w:rPr>
            </w:pPr>
          </w:p>
        </w:tc>
        <w:tc>
          <w:tcPr>
            <w:tcW w:w="1072" w:type="dxa"/>
            <w:vAlign w:val="center"/>
          </w:tcPr>
          <w:p w14:paraId="6E4F7620">
            <w:pPr>
              <w:snapToGrid w:val="0"/>
              <w:spacing w:line="360" w:lineRule="auto"/>
              <w:jc w:val="center"/>
              <w:rPr>
                <w:rFonts w:hint="eastAsia" w:ascii="宋体" w:hAnsi="宋体" w:eastAsia="宋体" w:cs="宋体"/>
                <w:color w:val="auto"/>
                <w:sz w:val="20"/>
                <w:szCs w:val="28"/>
                <w:highlight w:val="none"/>
              </w:rPr>
            </w:pPr>
          </w:p>
        </w:tc>
        <w:tc>
          <w:tcPr>
            <w:tcW w:w="1397" w:type="dxa"/>
            <w:vAlign w:val="center"/>
          </w:tcPr>
          <w:p w14:paraId="1EECA3D6">
            <w:pPr>
              <w:snapToGrid w:val="0"/>
              <w:spacing w:line="360" w:lineRule="auto"/>
              <w:jc w:val="center"/>
              <w:rPr>
                <w:rFonts w:hint="eastAsia" w:ascii="宋体" w:hAnsi="宋体" w:eastAsia="宋体" w:cs="宋体"/>
                <w:color w:val="auto"/>
                <w:sz w:val="20"/>
                <w:szCs w:val="28"/>
                <w:highlight w:val="none"/>
              </w:rPr>
            </w:pPr>
          </w:p>
        </w:tc>
        <w:tc>
          <w:tcPr>
            <w:tcW w:w="2330" w:type="dxa"/>
            <w:vAlign w:val="center"/>
          </w:tcPr>
          <w:p w14:paraId="681670E7">
            <w:pPr>
              <w:snapToGrid w:val="0"/>
              <w:spacing w:line="360" w:lineRule="auto"/>
              <w:jc w:val="center"/>
              <w:rPr>
                <w:rFonts w:hint="eastAsia" w:ascii="宋体" w:hAnsi="宋体" w:eastAsia="宋体" w:cs="宋体"/>
                <w:color w:val="auto"/>
                <w:sz w:val="20"/>
                <w:szCs w:val="28"/>
                <w:highlight w:val="none"/>
              </w:rPr>
            </w:pPr>
          </w:p>
        </w:tc>
        <w:tc>
          <w:tcPr>
            <w:tcW w:w="970" w:type="dxa"/>
            <w:vAlign w:val="center"/>
          </w:tcPr>
          <w:p w14:paraId="3E1F6997">
            <w:pPr>
              <w:snapToGrid w:val="0"/>
              <w:spacing w:line="360" w:lineRule="auto"/>
              <w:jc w:val="center"/>
              <w:rPr>
                <w:rFonts w:hint="eastAsia" w:ascii="宋体" w:hAnsi="宋体" w:eastAsia="宋体" w:cs="宋体"/>
                <w:color w:val="auto"/>
                <w:sz w:val="20"/>
                <w:szCs w:val="28"/>
                <w:highlight w:val="none"/>
              </w:rPr>
            </w:pPr>
          </w:p>
        </w:tc>
      </w:tr>
    </w:tbl>
    <w:p w14:paraId="71870F57">
      <w:pPr>
        <w:rPr>
          <w:rFonts w:hint="eastAsia" w:ascii="宋体" w:hAnsi="宋体" w:eastAsia="宋体" w:cs="宋体"/>
          <w:color w:val="auto"/>
          <w:highlight w:val="none"/>
        </w:rPr>
      </w:pPr>
    </w:p>
    <w:p w14:paraId="0A8DC66B">
      <w:pPr>
        <w:pStyle w:val="56"/>
        <w:snapToGrid w:val="0"/>
        <w:spacing w:line="360" w:lineRule="auto"/>
        <w:ind w:firstLine="422" w:firstLineChars="200"/>
        <w:outlineLvl w:val="2"/>
        <w:rPr>
          <w:rFonts w:hint="eastAsia" w:ascii="宋体" w:hAnsi="宋体" w:eastAsia="宋体" w:cs="宋体"/>
          <w:b/>
          <w:bCs/>
          <w:color w:val="auto"/>
          <w:sz w:val="21"/>
          <w:highlight w:val="none"/>
        </w:rPr>
      </w:pPr>
      <w:bookmarkStart w:id="888" w:name="_Toc29612"/>
      <w:bookmarkStart w:id="889" w:name="_Toc31206"/>
      <w:bookmarkStart w:id="890" w:name="_Toc13014"/>
      <w:bookmarkStart w:id="891" w:name="_Toc28423"/>
      <w:bookmarkStart w:id="892" w:name="_Toc13993"/>
      <w:bookmarkStart w:id="893" w:name="_Toc10050"/>
      <w:bookmarkStart w:id="894" w:name="_Toc23209"/>
      <w:bookmarkStart w:id="895" w:name="_Toc3228"/>
      <w:bookmarkStart w:id="896" w:name="_Toc1087"/>
      <w:bookmarkStart w:id="897" w:name="_Toc9337"/>
      <w:bookmarkStart w:id="898" w:name="_Toc8397"/>
      <w:bookmarkStart w:id="899" w:name="_Toc24023"/>
      <w:bookmarkStart w:id="900" w:name="_Toc9611"/>
      <w:bookmarkStart w:id="901" w:name="_Toc10429"/>
      <w:bookmarkStart w:id="902" w:name="_Toc29342"/>
      <w:bookmarkStart w:id="903" w:name="_Toc7500"/>
      <w:bookmarkStart w:id="904" w:name="_Toc20752"/>
      <w:r>
        <w:rPr>
          <w:rFonts w:hint="eastAsia" w:ascii="宋体" w:hAnsi="宋体" w:eastAsia="宋体" w:cs="宋体"/>
          <w:b/>
          <w:bCs/>
          <w:color w:val="auto"/>
          <w:sz w:val="21"/>
          <w:highlight w:val="none"/>
        </w:rPr>
        <w:t>附表三：劳动力计划表</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14:paraId="25543FBD">
      <w:pPr>
        <w:snapToGrid w:val="0"/>
        <w:spacing w:line="360" w:lineRule="auto"/>
        <w:ind w:right="200"/>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单位：人</w:t>
      </w:r>
    </w:p>
    <w:tbl>
      <w:tblPr>
        <w:tblStyle w:val="28"/>
        <w:tblW w:w="8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970"/>
      </w:tblGrid>
      <w:tr w14:paraId="084C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39421F8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工种</w:t>
            </w:r>
          </w:p>
        </w:tc>
        <w:tc>
          <w:tcPr>
            <w:tcW w:w="7599" w:type="dxa"/>
            <w:gridSpan w:val="7"/>
            <w:vAlign w:val="center"/>
          </w:tcPr>
          <w:p w14:paraId="23CF01D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按工程施工阶段投入劳动力情况</w:t>
            </w:r>
          </w:p>
        </w:tc>
      </w:tr>
      <w:tr w14:paraId="19C0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39DAB0A5">
            <w:pPr>
              <w:snapToGrid w:val="0"/>
              <w:spacing w:line="360" w:lineRule="auto"/>
              <w:jc w:val="center"/>
              <w:rPr>
                <w:rFonts w:hint="eastAsia" w:ascii="宋体" w:hAnsi="宋体" w:eastAsia="宋体" w:cs="宋体"/>
                <w:color w:val="auto"/>
                <w:sz w:val="20"/>
                <w:szCs w:val="28"/>
                <w:highlight w:val="none"/>
              </w:rPr>
            </w:pPr>
          </w:p>
        </w:tc>
        <w:tc>
          <w:tcPr>
            <w:tcW w:w="1304" w:type="dxa"/>
            <w:vAlign w:val="center"/>
          </w:tcPr>
          <w:p w14:paraId="5E82A60E">
            <w:pPr>
              <w:snapToGrid w:val="0"/>
              <w:spacing w:line="360" w:lineRule="auto"/>
              <w:jc w:val="center"/>
              <w:rPr>
                <w:rFonts w:hint="eastAsia" w:ascii="宋体" w:hAnsi="宋体" w:eastAsia="宋体" w:cs="宋体"/>
                <w:color w:val="auto"/>
                <w:sz w:val="20"/>
                <w:szCs w:val="28"/>
                <w:highlight w:val="none"/>
              </w:rPr>
            </w:pPr>
          </w:p>
        </w:tc>
        <w:tc>
          <w:tcPr>
            <w:tcW w:w="1065" w:type="dxa"/>
            <w:vAlign w:val="center"/>
          </w:tcPr>
          <w:p w14:paraId="671AA464">
            <w:pPr>
              <w:snapToGrid w:val="0"/>
              <w:spacing w:line="360" w:lineRule="auto"/>
              <w:jc w:val="center"/>
              <w:rPr>
                <w:rFonts w:hint="eastAsia" w:ascii="宋体" w:hAnsi="宋体" w:eastAsia="宋体" w:cs="宋体"/>
                <w:color w:val="auto"/>
                <w:sz w:val="20"/>
                <w:szCs w:val="28"/>
                <w:highlight w:val="none"/>
              </w:rPr>
            </w:pPr>
          </w:p>
        </w:tc>
        <w:tc>
          <w:tcPr>
            <w:tcW w:w="1065" w:type="dxa"/>
            <w:vAlign w:val="center"/>
          </w:tcPr>
          <w:p w14:paraId="01C0B04D">
            <w:pPr>
              <w:snapToGrid w:val="0"/>
              <w:spacing w:line="360" w:lineRule="auto"/>
              <w:jc w:val="center"/>
              <w:rPr>
                <w:rFonts w:hint="eastAsia" w:ascii="宋体" w:hAnsi="宋体" w:eastAsia="宋体" w:cs="宋体"/>
                <w:color w:val="auto"/>
                <w:sz w:val="20"/>
                <w:szCs w:val="28"/>
                <w:highlight w:val="none"/>
              </w:rPr>
            </w:pPr>
          </w:p>
        </w:tc>
        <w:tc>
          <w:tcPr>
            <w:tcW w:w="1065" w:type="dxa"/>
            <w:vAlign w:val="center"/>
          </w:tcPr>
          <w:p w14:paraId="07AA82F9">
            <w:pPr>
              <w:snapToGrid w:val="0"/>
              <w:spacing w:line="360" w:lineRule="auto"/>
              <w:jc w:val="center"/>
              <w:rPr>
                <w:rFonts w:hint="eastAsia" w:ascii="宋体" w:hAnsi="宋体" w:eastAsia="宋体" w:cs="宋体"/>
                <w:color w:val="auto"/>
                <w:sz w:val="20"/>
                <w:szCs w:val="28"/>
                <w:highlight w:val="none"/>
              </w:rPr>
            </w:pPr>
          </w:p>
        </w:tc>
        <w:tc>
          <w:tcPr>
            <w:tcW w:w="1065" w:type="dxa"/>
            <w:vAlign w:val="center"/>
          </w:tcPr>
          <w:p w14:paraId="798F243C">
            <w:pPr>
              <w:snapToGrid w:val="0"/>
              <w:spacing w:line="360" w:lineRule="auto"/>
              <w:jc w:val="center"/>
              <w:rPr>
                <w:rFonts w:hint="eastAsia" w:ascii="宋体" w:hAnsi="宋体" w:eastAsia="宋体" w:cs="宋体"/>
                <w:color w:val="auto"/>
                <w:sz w:val="20"/>
                <w:szCs w:val="28"/>
                <w:highlight w:val="none"/>
              </w:rPr>
            </w:pPr>
          </w:p>
        </w:tc>
        <w:tc>
          <w:tcPr>
            <w:tcW w:w="1065" w:type="dxa"/>
            <w:vAlign w:val="center"/>
          </w:tcPr>
          <w:p w14:paraId="2B1FF012">
            <w:pPr>
              <w:snapToGrid w:val="0"/>
              <w:spacing w:line="360" w:lineRule="auto"/>
              <w:jc w:val="center"/>
              <w:rPr>
                <w:rFonts w:hint="eastAsia" w:ascii="宋体" w:hAnsi="宋体" w:eastAsia="宋体" w:cs="宋体"/>
                <w:color w:val="auto"/>
                <w:sz w:val="20"/>
                <w:szCs w:val="28"/>
                <w:highlight w:val="none"/>
              </w:rPr>
            </w:pPr>
          </w:p>
        </w:tc>
        <w:tc>
          <w:tcPr>
            <w:tcW w:w="970" w:type="dxa"/>
            <w:vAlign w:val="center"/>
          </w:tcPr>
          <w:p w14:paraId="6E3FCD20">
            <w:pPr>
              <w:snapToGrid w:val="0"/>
              <w:spacing w:line="360" w:lineRule="auto"/>
              <w:jc w:val="center"/>
              <w:rPr>
                <w:rFonts w:hint="eastAsia" w:ascii="宋体" w:hAnsi="宋体" w:eastAsia="宋体" w:cs="宋体"/>
                <w:color w:val="auto"/>
                <w:sz w:val="20"/>
                <w:szCs w:val="28"/>
                <w:highlight w:val="none"/>
              </w:rPr>
            </w:pPr>
          </w:p>
        </w:tc>
      </w:tr>
      <w:tr w14:paraId="576C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39907C7F">
            <w:pPr>
              <w:snapToGrid w:val="0"/>
              <w:spacing w:line="360" w:lineRule="auto"/>
              <w:jc w:val="center"/>
              <w:rPr>
                <w:rFonts w:hint="eastAsia" w:ascii="宋体" w:hAnsi="宋体" w:eastAsia="宋体" w:cs="宋体"/>
                <w:color w:val="auto"/>
                <w:sz w:val="20"/>
                <w:szCs w:val="28"/>
                <w:highlight w:val="none"/>
              </w:rPr>
            </w:pPr>
          </w:p>
        </w:tc>
        <w:tc>
          <w:tcPr>
            <w:tcW w:w="1304" w:type="dxa"/>
            <w:vAlign w:val="center"/>
          </w:tcPr>
          <w:p w14:paraId="7830B157">
            <w:pPr>
              <w:snapToGrid w:val="0"/>
              <w:spacing w:line="360" w:lineRule="auto"/>
              <w:jc w:val="center"/>
              <w:rPr>
                <w:rFonts w:hint="eastAsia" w:ascii="宋体" w:hAnsi="宋体" w:eastAsia="宋体" w:cs="宋体"/>
                <w:color w:val="auto"/>
                <w:sz w:val="20"/>
                <w:szCs w:val="28"/>
                <w:highlight w:val="none"/>
              </w:rPr>
            </w:pPr>
          </w:p>
        </w:tc>
        <w:tc>
          <w:tcPr>
            <w:tcW w:w="1065" w:type="dxa"/>
            <w:vAlign w:val="center"/>
          </w:tcPr>
          <w:p w14:paraId="3BF400C4">
            <w:pPr>
              <w:snapToGrid w:val="0"/>
              <w:spacing w:line="360" w:lineRule="auto"/>
              <w:jc w:val="center"/>
              <w:rPr>
                <w:rFonts w:hint="eastAsia" w:ascii="宋体" w:hAnsi="宋体" w:eastAsia="宋体" w:cs="宋体"/>
                <w:color w:val="auto"/>
                <w:sz w:val="20"/>
                <w:szCs w:val="28"/>
                <w:highlight w:val="none"/>
              </w:rPr>
            </w:pPr>
          </w:p>
        </w:tc>
        <w:tc>
          <w:tcPr>
            <w:tcW w:w="1065" w:type="dxa"/>
            <w:vAlign w:val="center"/>
          </w:tcPr>
          <w:p w14:paraId="5056D78F">
            <w:pPr>
              <w:snapToGrid w:val="0"/>
              <w:spacing w:line="360" w:lineRule="auto"/>
              <w:jc w:val="center"/>
              <w:rPr>
                <w:rFonts w:hint="eastAsia" w:ascii="宋体" w:hAnsi="宋体" w:eastAsia="宋体" w:cs="宋体"/>
                <w:color w:val="auto"/>
                <w:sz w:val="20"/>
                <w:szCs w:val="28"/>
                <w:highlight w:val="none"/>
              </w:rPr>
            </w:pPr>
          </w:p>
        </w:tc>
        <w:tc>
          <w:tcPr>
            <w:tcW w:w="1065" w:type="dxa"/>
            <w:vAlign w:val="center"/>
          </w:tcPr>
          <w:p w14:paraId="4355BA32">
            <w:pPr>
              <w:snapToGrid w:val="0"/>
              <w:spacing w:line="360" w:lineRule="auto"/>
              <w:jc w:val="center"/>
              <w:rPr>
                <w:rFonts w:hint="eastAsia" w:ascii="宋体" w:hAnsi="宋体" w:eastAsia="宋体" w:cs="宋体"/>
                <w:color w:val="auto"/>
                <w:sz w:val="20"/>
                <w:szCs w:val="28"/>
                <w:highlight w:val="none"/>
              </w:rPr>
            </w:pPr>
          </w:p>
        </w:tc>
        <w:tc>
          <w:tcPr>
            <w:tcW w:w="1065" w:type="dxa"/>
            <w:vAlign w:val="center"/>
          </w:tcPr>
          <w:p w14:paraId="3711F1E0">
            <w:pPr>
              <w:snapToGrid w:val="0"/>
              <w:spacing w:line="360" w:lineRule="auto"/>
              <w:jc w:val="center"/>
              <w:rPr>
                <w:rFonts w:hint="eastAsia" w:ascii="宋体" w:hAnsi="宋体" w:eastAsia="宋体" w:cs="宋体"/>
                <w:color w:val="auto"/>
                <w:sz w:val="20"/>
                <w:szCs w:val="28"/>
                <w:highlight w:val="none"/>
              </w:rPr>
            </w:pPr>
          </w:p>
        </w:tc>
        <w:tc>
          <w:tcPr>
            <w:tcW w:w="1065" w:type="dxa"/>
            <w:vAlign w:val="center"/>
          </w:tcPr>
          <w:p w14:paraId="2E602E07">
            <w:pPr>
              <w:snapToGrid w:val="0"/>
              <w:spacing w:line="360" w:lineRule="auto"/>
              <w:jc w:val="center"/>
              <w:rPr>
                <w:rFonts w:hint="eastAsia" w:ascii="宋体" w:hAnsi="宋体" w:eastAsia="宋体" w:cs="宋体"/>
                <w:color w:val="auto"/>
                <w:sz w:val="20"/>
                <w:szCs w:val="28"/>
                <w:highlight w:val="none"/>
              </w:rPr>
            </w:pPr>
          </w:p>
        </w:tc>
        <w:tc>
          <w:tcPr>
            <w:tcW w:w="970" w:type="dxa"/>
            <w:vAlign w:val="center"/>
          </w:tcPr>
          <w:p w14:paraId="0F62E224">
            <w:pPr>
              <w:snapToGrid w:val="0"/>
              <w:spacing w:line="360" w:lineRule="auto"/>
              <w:jc w:val="center"/>
              <w:rPr>
                <w:rFonts w:hint="eastAsia" w:ascii="宋体" w:hAnsi="宋体" w:eastAsia="宋体" w:cs="宋体"/>
                <w:color w:val="auto"/>
                <w:sz w:val="20"/>
                <w:szCs w:val="28"/>
                <w:highlight w:val="none"/>
              </w:rPr>
            </w:pPr>
          </w:p>
        </w:tc>
      </w:tr>
    </w:tbl>
    <w:p w14:paraId="07EC63C5">
      <w:pPr>
        <w:pStyle w:val="56"/>
        <w:spacing w:line="360" w:lineRule="auto"/>
        <w:ind w:firstLine="422" w:firstLineChars="200"/>
        <w:outlineLvl w:val="9"/>
        <w:rPr>
          <w:rFonts w:hint="eastAsia" w:ascii="宋体" w:hAnsi="宋体" w:eastAsia="宋体" w:cs="宋体"/>
          <w:b/>
          <w:bCs/>
          <w:color w:val="auto"/>
          <w:sz w:val="21"/>
          <w:highlight w:val="none"/>
        </w:rPr>
      </w:pPr>
      <w:bookmarkStart w:id="905" w:name="_Toc24587"/>
      <w:bookmarkStart w:id="906" w:name="_Toc27872"/>
      <w:bookmarkStart w:id="907" w:name="_Toc26884"/>
      <w:bookmarkStart w:id="908" w:name="_Toc19868"/>
      <w:bookmarkStart w:id="909" w:name="_Toc30477"/>
      <w:bookmarkStart w:id="910" w:name="_Toc3742"/>
      <w:bookmarkStart w:id="911" w:name="_Toc16998"/>
      <w:bookmarkStart w:id="912" w:name="_Toc4935"/>
      <w:bookmarkStart w:id="913" w:name="_Toc9560"/>
    </w:p>
    <w:p w14:paraId="63D78835">
      <w:pPr>
        <w:pStyle w:val="56"/>
        <w:spacing w:line="360" w:lineRule="auto"/>
        <w:ind w:firstLine="422" w:firstLineChars="200"/>
        <w:outlineLvl w:val="2"/>
        <w:rPr>
          <w:rFonts w:hint="eastAsia" w:ascii="宋体" w:hAnsi="宋体" w:eastAsia="宋体" w:cs="宋体"/>
          <w:b/>
          <w:bCs/>
          <w:color w:val="auto"/>
          <w:sz w:val="21"/>
          <w:highlight w:val="none"/>
        </w:rPr>
      </w:pPr>
      <w:bookmarkStart w:id="914" w:name="_Toc3824"/>
      <w:bookmarkStart w:id="915" w:name="_Toc4877"/>
      <w:bookmarkStart w:id="916" w:name="_Toc28253"/>
      <w:bookmarkStart w:id="917" w:name="_Toc3797"/>
      <w:bookmarkStart w:id="918" w:name="_Toc6075"/>
      <w:bookmarkStart w:id="919" w:name="_Toc19002"/>
      <w:bookmarkStart w:id="920" w:name="_Toc5485"/>
      <w:bookmarkStart w:id="921" w:name="_Toc32682"/>
      <w:r>
        <w:rPr>
          <w:rFonts w:hint="eastAsia" w:ascii="宋体" w:hAnsi="宋体" w:eastAsia="宋体" w:cs="宋体"/>
          <w:b/>
          <w:bCs/>
          <w:color w:val="auto"/>
          <w:sz w:val="21"/>
          <w:highlight w:val="none"/>
        </w:rPr>
        <w:t>附表四：计划开、完工日期和施工进度网络图</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76250DD0">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 供应商应递交施工进度网络图或施工进度表，说明按竞争性磋商文件要求的计划工期进行施工的各个关键日期。</w:t>
      </w:r>
    </w:p>
    <w:p w14:paraId="043344C1">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 施工进度表可采用网络图（或横道图）表示。</w:t>
      </w:r>
    </w:p>
    <w:p w14:paraId="4EB420AB">
      <w:pPr>
        <w:pStyle w:val="56"/>
        <w:spacing w:line="360" w:lineRule="auto"/>
        <w:ind w:firstLine="422" w:firstLineChars="200"/>
        <w:outlineLvl w:val="2"/>
        <w:rPr>
          <w:rFonts w:hint="eastAsia" w:ascii="宋体" w:hAnsi="宋体" w:eastAsia="宋体" w:cs="宋体"/>
          <w:b/>
          <w:bCs/>
          <w:color w:val="auto"/>
          <w:sz w:val="21"/>
          <w:highlight w:val="none"/>
        </w:rPr>
      </w:pPr>
      <w:bookmarkStart w:id="922" w:name="_Toc16593"/>
      <w:bookmarkStart w:id="923" w:name="_Toc332893404"/>
      <w:bookmarkStart w:id="924" w:name="_Toc15739"/>
      <w:bookmarkStart w:id="925" w:name="_Toc31131"/>
      <w:bookmarkStart w:id="926" w:name="_Toc179632821"/>
      <w:bookmarkStart w:id="927" w:name="_Toc22071"/>
      <w:bookmarkStart w:id="928" w:name="_Toc10423"/>
      <w:bookmarkStart w:id="929" w:name="_Toc3344"/>
      <w:bookmarkStart w:id="930" w:name="_Toc9202"/>
      <w:bookmarkStart w:id="931" w:name="_Toc2565"/>
      <w:bookmarkStart w:id="932" w:name="_Toc152045801"/>
      <w:bookmarkStart w:id="933" w:name="_Toc6949"/>
      <w:bookmarkStart w:id="934" w:name="_Toc152042590"/>
      <w:bookmarkStart w:id="935" w:name="_Toc144974869"/>
      <w:bookmarkStart w:id="936" w:name="_Toc32464"/>
      <w:bookmarkStart w:id="937" w:name="_Toc29783"/>
      <w:bookmarkStart w:id="938" w:name="_Toc23305"/>
      <w:bookmarkStart w:id="939" w:name="_Toc18045"/>
      <w:bookmarkStart w:id="940" w:name="_Toc878"/>
      <w:bookmarkStart w:id="941" w:name="_Toc714"/>
      <w:bookmarkStart w:id="942" w:name="_Toc4311"/>
      <w:bookmarkStart w:id="943" w:name="_Toc20413"/>
      <w:r>
        <w:rPr>
          <w:rFonts w:hint="eastAsia" w:ascii="宋体" w:hAnsi="宋体" w:eastAsia="宋体" w:cs="宋体"/>
          <w:b/>
          <w:bCs/>
          <w:color w:val="auto"/>
          <w:sz w:val="21"/>
          <w:highlight w:val="none"/>
        </w:rPr>
        <w:t>附表五：施工总平面图</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5996F81B">
      <w:pPr>
        <w:spacing w:line="360" w:lineRule="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ab/>
      </w:r>
      <w:r>
        <w:rPr>
          <w:rFonts w:hint="eastAsia" w:ascii="宋体" w:hAnsi="宋体" w:eastAsia="宋体" w:cs="宋体"/>
          <w:color w:val="auto"/>
          <w:szCs w:val="28"/>
          <w:highlight w:val="none"/>
        </w:rPr>
        <w:t>供应商应递交一份施工总平面图，绘出现场临时设施布置图表并附文字说明，说明临时设施、加工车间、现场办公、设备及仓储、供电、供水、卫生、生活、道路、消防等设施的情况。</w:t>
      </w:r>
    </w:p>
    <w:p w14:paraId="5CBDF841">
      <w:pPr>
        <w:pStyle w:val="56"/>
        <w:snapToGrid w:val="0"/>
        <w:spacing w:line="360" w:lineRule="auto"/>
        <w:ind w:firstLine="422" w:firstLineChars="200"/>
        <w:outlineLvl w:val="2"/>
        <w:rPr>
          <w:rFonts w:hint="eastAsia" w:ascii="宋体" w:hAnsi="宋体" w:eastAsia="宋体" w:cs="宋体"/>
          <w:color w:val="auto"/>
          <w:highlight w:val="none"/>
        </w:rPr>
      </w:pPr>
      <w:bookmarkStart w:id="944" w:name="_Toc18394"/>
      <w:bookmarkStart w:id="945" w:name="_Toc144974870"/>
      <w:bookmarkStart w:id="946" w:name="_Toc11568"/>
      <w:bookmarkStart w:id="947" w:name="_Toc15321"/>
      <w:bookmarkStart w:id="948" w:name="_Toc5419"/>
      <w:bookmarkStart w:id="949" w:name="_Toc27876"/>
      <w:bookmarkStart w:id="950" w:name="_Toc152045802"/>
      <w:bookmarkStart w:id="951" w:name="_Toc30623"/>
      <w:bookmarkStart w:id="952" w:name="_Toc179632822"/>
      <w:bookmarkStart w:id="953" w:name="_Toc17890"/>
      <w:bookmarkStart w:id="954" w:name="_Toc25308"/>
      <w:bookmarkStart w:id="955" w:name="_Toc30308"/>
      <w:bookmarkStart w:id="956" w:name="_Toc15343"/>
      <w:bookmarkStart w:id="957" w:name="_Toc332893405"/>
      <w:bookmarkStart w:id="958" w:name="_Toc6210"/>
      <w:bookmarkStart w:id="959" w:name="_Toc25766"/>
      <w:bookmarkStart w:id="960" w:name="_Toc152042591"/>
      <w:bookmarkStart w:id="961" w:name="_Toc22500"/>
      <w:bookmarkStart w:id="962" w:name="_Toc2372"/>
      <w:bookmarkStart w:id="963" w:name="_Toc22732"/>
      <w:bookmarkStart w:id="964" w:name="_Toc11436"/>
      <w:bookmarkStart w:id="965" w:name="_Toc306"/>
      <w:r>
        <w:rPr>
          <w:rFonts w:hint="eastAsia" w:ascii="宋体" w:hAnsi="宋体" w:eastAsia="宋体" w:cs="宋体"/>
          <w:b/>
          <w:bCs/>
          <w:color w:val="auto"/>
          <w:sz w:val="21"/>
          <w:highlight w:val="none"/>
        </w:rPr>
        <w:t>附表六：临时用地表</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54AE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4554EC0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用 途</w:t>
            </w:r>
          </w:p>
        </w:tc>
        <w:tc>
          <w:tcPr>
            <w:tcW w:w="2130" w:type="dxa"/>
          </w:tcPr>
          <w:p w14:paraId="2E82131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面 积（平方米）</w:t>
            </w:r>
          </w:p>
        </w:tc>
        <w:tc>
          <w:tcPr>
            <w:tcW w:w="2131" w:type="dxa"/>
          </w:tcPr>
          <w:p w14:paraId="25019C7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位 置</w:t>
            </w:r>
          </w:p>
        </w:tc>
        <w:tc>
          <w:tcPr>
            <w:tcW w:w="2131" w:type="dxa"/>
          </w:tcPr>
          <w:p w14:paraId="57F61E3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需用时间</w:t>
            </w:r>
          </w:p>
        </w:tc>
      </w:tr>
      <w:tr w14:paraId="7D42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0E02C13E">
            <w:pPr>
              <w:snapToGrid w:val="0"/>
              <w:spacing w:line="360" w:lineRule="auto"/>
              <w:rPr>
                <w:rFonts w:hint="eastAsia" w:ascii="宋体" w:hAnsi="宋体" w:eastAsia="宋体" w:cs="宋体"/>
                <w:color w:val="auto"/>
                <w:sz w:val="20"/>
                <w:szCs w:val="28"/>
                <w:highlight w:val="none"/>
              </w:rPr>
            </w:pPr>
          </w:p>
        </w:tc>
        <w:tc>
          <w:tcPr>
            <w:tcW w:w="2130" w:type="dxa"/>
          </w:tcPr>
          <w:p w14:paraId="0110DD89">
            <w:pPr>
              <w:snapToGrid w:val="0"/>
              <w:spacing w:line="360" w:lineRule="auto"/>
              <w:rPr>
                <w:rFonts w:hint="eastAsia" w:ascii="宋体" w:hAnsi="宋体" w:eastAsia="宋体" w:cs="宋体"/>
                <w:color w:val="auto"/>
                <w:sz w:val="20"/>
                <w:szCs w:val="28"/>
                <w:highlight w:val="none"/>
              </w:rPr>
            </w:pPr>
          </w:p>
        </w:tc>
        <w:tc>
          <w:tcPr>
            <w:tcW w:w="2131" w:type="dxa"/>
          </w:tcPr>
          <w:p w14:paraId="10E681F1">
            <w:pPr>
              <w:snapToGrid w:val="0"/>
              <w:spacing w:line="360" w:lineRule="auto"/>
              <w:rPr>
                <w:rFonts w:hint="eastAsia" w:ascii="宋体" w:hAnsi="宋体" w:eastAsia="宋体" w:cs="宋体"/>
                <w:color w:val="auto"/>
                <w:sz w:val="20"/>
                <w:szCs w:val="28"/>
                <w:highlight w:val="none"/>
              </w:rPr>
            </w:pPr>
          </w:p>
        </w:tc>
        <w:tc>
          <w:tcPr>
            <w:tcW w:w="2131" w:type="dxa"/>
          </w:tcPr>
          <w:p w14:paraId="116B88EB">
            <w:pPr>
              <w:snapToGrid w:val="0"/>
              <w:spacing w:line="360" w:lineRule="auto"/>
              <w:rPr>
                <w:rFonts w:hint="eastAsia" w:ascii="宋体" w:hAnsi="宋体" w:eastAsia="宋体" w:cs="宋体"/>
                <w:color w:val="auto"/>
                <w:sz w:val="20"/>
                <w:szCs w:val="28"/>
                <w:highlight w:val="none"/>
              </w:rPr>
            </w:pPr>
          </w:p>
        </w:tc>
      </w:tr>
      <w:tr w14:paraId="1A0E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4C588776">
            <w:pPr>
              <w:snapToGrid w:val="0"/>
              <w:spacing w:line="360" w:lineRule="auto"/>
              <w:rPr>
                <w:rFonts w:hint="eastAsia" w:ascii="宋体" w:hAnsi="宋体" w:eastAsia="宋体" w:cs="宋体"/>
                <w:color w:val="auto"/>
                <w:sz w:val="20"/>
                <w:szCs w:val="28"/>
                <w:highlight w:val="none"/>
              </w:rPr>
            </w:pPr>
          </w:p>
        </w:tc>
        <w:tc>
          <w:tcPr>
            <w:tcW w:w="2130" w:type="dxa"/>
          </w:tcPr>
          <w:p w14:paraId="48A630F1">
            <w:pPr>
              <w:snapToGrid w:val="0"/>
              <w:spacing w:line="360" w:lineRule="auto"/>
              <w:rPr>
                <w:rFonts w:hint="eastAsia" w:ascii="宋体" w:hAnsi="宋体" w:eastAsia="宋体" w:cs="宋体"/>
                <w:color w:val="auto"/>
                <w:sz w:val="20"/>
                <w:szCs w:val="28"/>
                <w:highlight w:val="none"/>
              </w:rPr>
            </w:pPr>
          </w:p>
        </w:tc>
        <w:tc>
          <w:tcPr>
            <w:tcW w:w="2131" w:type="dxa"/>
          </w:tcPr>
          <w:p w14:paraId="4AD72770">
            <w:pPr>
              <w:snapToGrid w:val="0"/>
              <w:spacing w:line="360" w:lineRule="auto"/>
              <w:rPr>
                <w:rFonts w:hint="eastAsia" w:ascii="宋体" w:hAnsi="宋体" w:eastAsia="宋体" w:cs="宋体"/>
                <w:color w:val="auto"/>
                <w:sz w:val="20"/>
                <w:szCs w:val="28"/>
                <w:highlight w:val="none"/>
              </w:rPr>
            </w:pPr>
          </w:p>
        </w:tc>
        <w:tc>
          <w:tcPr>
            <w:tcW w:w="2131" w:type="dxa"/>
          </w:tcPr>
          <w:p w14:paraId="62443F69">
            <w:pPr>
              <w:snapToGrid w:val="0"/>
              <w:spacing w:line="360" w:lineRule="auto"/>
              <w:rPr>
                <w:rFonts w:hint="eastAsia" w:ascii="宋体" w:hAnsi="宋体" w:eastAsia="宋体" w:cs="宋体"/>
                <w:color w:val="auto"/>
                <w:sz w:val="20"/>
                <w:szCs w:val="28"/>
                <w:highlight w:val="none"/>
              </w:rPr>
            </w:pPr>
          </w:p>
        </w:tc>
      </w:tr>
      <w:tr w14:paraId="41C5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77747CC0">
            <w:pPr>
              <w:snapToGrid w:val="0"/>
              <w:spacing w:line="360" w:lineRule="auto"/>
              <w:rPr>
                <w:rFonts w:hint="eastAsia" w:ascii="宋体" w:hAnsi="宋体" w:eastAsia="宋体" w:cs="宋体"/>
                <w:color w:val="auto"/>
                <w:sz w:val="20"/>
                <w:szCs w:val="28"/>
                <w:highlight w:val="none"/>
              </w:rPr>
            </w:pPr>
          </w:p>
        </w:tc>
        <w:tc>
          <w:tcPr>
            <w:tcW w:w="2130" w:type="dxa"/>
          </w:tcPr>
          <w:p w14:paraId="7CC13C9D">
            <w:pPr>
              <w:snapToGrid w:val="0"/>
              <w:spacing w:line="360" w:lineRule="auto"/>
              <w:rPr>
                <w:rFonts w:hint="eastAsia" w:ascii="宋体" w:hAnsi="宋体" w:eastAsia="宋体" w:cs="宋体"/>
                <w:color w:val="auto"/>
                <w:sz w:val="20"/>
                <w:szCs w:val="28"/>
                <w:highlight w:val="none"/>
              </w:rPr>
            </w:pPr>
          </w:p>
        </w:tc>
        <w:tc>
          <w:tcPr>
            <w:tcW w:w="2131" w:type="dxa"/>
          </w:tcPr>
          <w:p w14:paraId="68690A9C">
            <w:pPr>
              <w:snapToGrid w:val="0"/>
              <w:spacing w:line="360" w:lineRule="auto"/>
              <w:rPr>
                <w:rFonts w:hint="eastAsia" w:ascii="宋体" w:hAnsi="宋体" w:eastAsia="宋体" w:cs="宋体"/>
                <w:color w:val="auto"/>
                <w:sz w:val="20"/>
                <w:szCs w:val="28"/>
                <w:highlight w:val="none"/>
              </w:rPr>
            </w:pPr>
          </w:p>
        </w:tc>
        <w:tc>
          <w:tcPr>
            <w:tcW w:w="2131" w:type="dxa"/>
          </w:tcPr>
          <w:p w14:paraId="7A13BF6D">
            <w:pPr>
              <w:snapToGrid w:val="0"/>
              <w:spacing w:line="360" w:lineRule="auto"/>
              <w:rPr>
                <w:rFonts w:hint="eastAsia" w:ascii="宋体" w:hAnsi="宋体" w:eastAsia="宋体" w:cs="宋体"/>
                <w:color w:val="auto"/>
                <w:sz w:val="20"/>
                <w:szCs w:val="28"/>
                <w:highlight w:val="none"/>
              </w:rPr>
            </w:pPr>
          </w:p>
        </w:tc>
      </w:tr>
    </w:tbl>
    <w:p w14:paraId="0011451F">
      <w:pPr>
        <w:spacing w:line="360" w:lineRule="auto"/>
        <w:rPr>
          <w:rFonts w:hint="eastAsia" w:ascii="宋体" w:hAnsi="宋体" w:eastAsia="宋体" w:cs="宋体"/>
          <w:color w:val="auto"/>
          <w:highlight w:val="none"/>
        </w:rPr>
      </w:pPr>
    </w:p>
    <w:p w14:paraId="491DD8B0">
      <w:pPr>
        <w:jc w:val="center"/>
        <w:outlineLvl w:val="1"/>
        <w:rPr>
          <w:rFonts w:hint="eastAsia" w:ascii="宋体" w:hAnsi="宋体" w:eastAsia="宋体" w:cs="宋体"/>
          <w:color w:val="auto"/>
          <w:sz w:val="28"/>
          <w:szCs w:val="28"/>
          <w:highlight w:val="none"/>
        </w:rPr>
      </w:pPr>
      <w:bookmarkStart w:id="966" w:name="_Toc21705"/>
      <w:bookmarkStart w:id="967" w:name="_Toc25468"/>
      <w:bookmarkStart w:id="968" w:name="_Toc30727"/>
      <w:r>
        <w:rPr>
          <w:rFonts w:hint="eastAsia" w:ascii="宋体" w:hAnsi="宋体" w:eastAsia="宋体" w:cs="宋体"/>
          <w:color w:val="auto"/>
          <w:sz w:val="28"/>
          <w:szCs w:val="28"/>
          <w:highlight w:val="none"/>
        </w:rPr>
        <w:t>七、</w:t>
      </w:r>
      <w:bookmarkEnd w:id="966"/>
      <w:r>
        <w:rPr>
          <w:rFonts w:hint="eastAsia" w:ascii="宋体" w:hAnsi="宋体" w:eastAsia="宋体" w:cs="宋体"/>
          <w:color w:val="auto"/>
          <w:sz w:val="28"/>
          <w:szCs w:val="28"/>
          <w:highlight w:val="none"/>
        </w:rPr>
        <w:t>项目管理机构</w:t>
      </w:r>
      <w:bookmarkEnd w:id="967"/>
      <w:bookmarkEnd w:id="968"/>
    </w:p>
    <w:p w14:paraId="32A12336">
      <w:pPr>
        <w:spacing w:line="360" w:lineRule="auto"/>
        <w:jc w:val="center"/>
        <w:outlineLvl w:val="2"/>
        <w:rPr>
          <w:rFonts w:hint="eastAsia" w:ascii="宋体" w:hAnsi="宋体" w:eastAsia="宋体" w:cs="宋体"/>
          <w:b/>
          <w:bCs/>
          <w:color w:val="auto"/>
          <w:sz w:val="24"/>
          <w:szCs w:val="24"/>
          <w:highlight w:val="none"/>
        </w:rPr>
      </w:pPr>
      <w:bookmarkStart w:id="969" w:name="_Toc152045804"/>
      <w:bookmarkStart w:id="970" w:name="_Toc16744"/>
      <w:bookmarkStart w:id="971" w:name="_Toc18768"/>
      <w:bookmarkStart w:id="972" w:name="_Toc341280458"/>
      <w:bookmarkStart w:id="973" w:name="_Toc152042593"/>
      <w:bookmarkStart w:id="974" w:name="_Toc9294"/>
      <w:bookmarkStart w:id="975" w:name="_Toc14834"/>
      <w:bookmarkStart w:id="976" w:name="_Toc144974872"/>
      <w:bookmarkStart w:id="977" w:name="_Toc1620"/>
      <w:bookmarkStart w:id="978" w:name="_Toc179632824"/>
      <w:r>
        <w:rPr>
          <w:rFonts w:hint="eastAsia" w:ascii="宋体" w:hAnsi="宋体" w:eastAsia="宋体" w:cs="宋体"/>
          <w:b/>
          <w:bCs/>
          <w:color w:val="auto"/>
          <w:sz w:val="24"/>
          <w:szCs w:val="24"/>
          <w:highlight w:val="none"/>
        </w:rPr>
        <w:t>（一）项目管理机构组成表</w:t>
      </w:r>
      <w:bookmarkEnd w:id="969"/>
      <w:bookmarkEnd w:id="970"/>
      <w:bookmarkEnd w:id="971"/>
      <w:bookmarkEnd w:id="972"/>
      <w:bookmarkEnd w:id="973"/>
      <w:bookmarkEnd w:id="974"/>
      <w:bookmarkEnd w:id="975"/>
      <w:bookmarkEnd w:id="976"/>
      <w:bookmarkEnd w:id="977"/>
      <w:bookmarkEnd w:id="978"/>
    </w:p>
    <w:p w14:paraId="4AFBE103">
      <w:pPr>
        <w:rPr>
          <w:rFonts w:hint="eastAsia" w:ascii="宋体" w:hAnsi="宋体" w:eastAsia="宋体" w:cs="宋体"/>
          <w:color w:val="auto"/>
          <w:highlight w:val="none"/>
        </w:rPr>
      </w:pP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62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restart"/>
            <w:vAlign w:val="center"/>
          </w:tcPr>
          <w:p w14:paraId="5C6A820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721" w:type="dxa"/>
            <w:vMerge w:val="restart"/>
            <w:vAlign w:val="center"/>
          </w:tcPr>
          <w:p w14:paraId="1409E0F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719" w:type="dxa"/>
            <w:vMerge w:val="restart"/>
            <w:vAlign w:val="center"/>
          </w:tcPr>
          <w:p w14:paraId="0EE0271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5763" w:type="dxa"/>
            <w:gridSpan w:val="5"/>
            <w:vAlign w:val="center"/>
          </w:tcPr>
          <w:p w14:paraId="252F7AA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执业或职业资格证明</w:t>
            </w:r>
          </w:p>
        </w:tc>
        <w:tc>
          <w:tcPr>
            <w:tcW w:w="672" w:type="dxa"/>
            <w:vAlign w:val="center"/>
          </w:tcPr>
          <w:p w14:paraId="2C9C2C6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6BBF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vAlign w:val="center"/>
          </w:tcPr>
          <w:p w14:paraId="665608D6">
            <w:pPr>
              <w:spacing w:line="360" w:lineRule="auto"/>
              <w:jc w:val="center"/>
              <w:rPr>
                <w:rFonts w:hint="eastAsia" w:ascii="宋体" w:hAnsi="宋体" w:eastAsia="宋体" w:cs="宋体"/>
                <w:color w:val="auto"/>
                <w:highlight w:val="none"/>
              </w:rPr>
            </w:pPr>
          </w:p>
        </w:tc>
        <w:tc>
          <w:tcPr>
            <w:tcW w:w="721" w:type="dxa"/>
            <w:vMerge w:val="continue"/>
            <w:vAlign w:val="center"/>
          </w:tcPr>
          <w:p w14:paraId="20FE4549">
            <w:pPr>
              <w:spacing w:line="360" w:lineRule="auto"/>
              <w:jc w:val="center"/>
              <w:rPr>
                <w:rFonts w:hint="eastAsia" w:ascii="宋体" w:hAnsi="宋体" w:eastAsia="宋体" w:cs="宋体"/>
                <w:color w:val="auto"/>
                <w:highlight w:val="none"/>
              </w:rPr>
            </w:pPr>
          </w:p>
        </w:tc>
        <w:tc>
          <w:tcPr>
            <w:tcW w:w="719" w:type="dxa"/>
            <w:vMerge w:val="continue"/>
            <w:vAlign w:val="center"/>
          </w:tcPr>
          <w:p w14:paraId="13D4966E">
            <w:pPr>
              <w:spacing w:line="360" w:lineRule="auto"/>
              <w:jc w:val="center"/>
              <w:rPr>
                <w:rFonts w:hint="eastAsia" w:ascii="宋体" w:hAnsi="宋体" w:eastAsia="宋体" w:cs="宋体"/>
                <w:color w:val="auto"/>
                <w:highlight w:val="none"/>
              </w:rPr>
            </w:pPr>
          </w:p>
        </w:tc>
        <w:tc>
          <w:tcPr>
            <w:tcW w:w="1081" w:type="dxa"/>
            <w:vAlign w:val="center"/>
          </w:tcPr>
          <w:p w14:paraId="47BE791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719" w:type="dxa"/>
            <w:vAlign w:val="center"/>
          </w:tcPr>
          <w:p w14:paraId="79CA3FE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721" w:type="dxa"/>
            <w:vAlign w:val="center"/>
          </w:tcPr>
          <w:p w14:paraId="5C4BB2A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证号</w:t>
            </w:r>
          </w:p>
        </w:tc>
        <w:tc>
          <w:tcPr>
            <w:tcW w:w="719" w:type="dxa"/>
            <w:vAlign w:val="center"/>
          </w:tcPr>
          <w:p w14:paraId="25016B4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专业</w:t>
            </w:r>
          </w:p>
        </w:tc>
        <w:tc>
          <w:tcPr>
            <w:tcW w:w="2523" w:type="dxa"/>
            <w:vAlign w:val="center"/>
          </w:tcPr>
          <w:p w14:paraId="4512D8F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养老保险</w:t>
            </w:r>
          </w:p>
        </w:tc>
        <w:tc>
          <w:tcPr>
            <w:tcW w:w="672" w:type="dxa"/>
            <w:vAlign w:val="center"/>
          </w:tcPr>
          <w:p w14:paraId="523CCD37">
            <w:pPr>
              <w:spacing w:line="360" w:lineRule="auto"/>
              <w:jc w:val="center"/>
              <w:rPr>
                <w:rFonts w:hint="eastAsia" w:ascii="宋体" w:hAnsi="宋体" w:eastAsia="宋体" w:cs="宋体"/>
                <w:color w:val="auto"/>
                <w:highlight w:val="none"/>
              </w:rPr>
            </w:pPr>
          </w:p>
        </w:tc>
      </w:tr>
      <w:tr w14:paraId="1BAD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7D09E295">
            <w:pPr>
              <w:spacing w:line="360" w:lineRule="auto"/>
              <w:jc w:val="center"/>
              <w:rPr>
                <w:rFonts w:hint="eastAsia" w:ascii="宋体" w:hAnsi="宋体" w:eastAsia="宋体" w:cs="宋体"/>
                <w:color w:val="auto"/>
                <w:sz w:val="20"/>
                <w:szCs w:val="20"/>
                <w:highlight w:val="none"/>
              </w:rPr>
            </w:pPr>
          </w:p>
        </w:tc>
        <w:tc>
          <w:tcPr>
            <w:tcW w:w="721" w:type="dxa"/>
            <w:vAlign w:val="center"/>
          </w:tcPr>
          <w:p w14:paraId="67136170">
            <w:pPr>
              <w:spacing w:line="360" w:lineRule="auto"/>
              <w:jc w:val="center"/>
              <w:rPr>
                <w:rFonts w:hint="eastAsia" w:ascii="宋体" w:hAnsi="宋体" w:eastAsia="宋体" w:cs="宋体"/>
                <w:color w:val="auto"/>
                <w:sz w:val="20"/>
                <w:szCs w:val="20"/>
                <w:highlight w:val="none"/>
              </w:rPr>
            </w:pPr>
          </w:p>
        </w:tc>
        <w:tc>
          <w:tcPr>
            <w:tcW w:w="719" w:type="dxa"/>
            <w:vAlign w:val="center"/>
          </w:tcPr>
          <w:p w14:paraId="01954C4B">
            <w:pPr>
              <w:spacing w:line="360" w:lineRule="auto"/>
              <w:jc w:val="center"/>
              <w:rPr>
                <w:rFonts w:hint="eastAsia" w:ascii="宋体" w:hAnsi="宋体" w:eastAsia="宋体" w:cs="宋体"/>
                <w:color w:val="auto"/>
                <w:sz w:val="20"/>
                <w:szCs w:val="20"/>
                <w:highlight w:val="none"/>
              </w:rPr>
            </w:pPr>
          </w:p>
        </w:tc>
        <w:tc>
          <w:tcPr>
            <w:tcW w:w="1081" w:type="dxa"/>
            <w:vAlign w:val="center"/>
          </w:tcPr>
          <w:p w14:paraId="64615D80">
            <w:pPr>
              <w:spacing w:line="360" w:lineRule="auto"/>
              <w:jc w:val="center"/>
              <w:rPr>
                <w:rFonts w:hint="eastAsia" w:ascii="宋体" w:hAnsi="宋体" w:eastAsia="宋体" w:cs="宋体"/>
                <w:color w:val="auto"/>
                <w:sz w:val="20"/>
                <w:szCs w:val="20"/>
                <w:highlight w:val="none"/>
              </w:rPr>
            </w:pPr>
          </w:p>
        </w:tc>
        <w:tc>
          <w:tcPr>
            <w:tcW w:w="719" w:type="dxa"/>
            <w:vAlign w:val="center"/>
          </w:tcPr>
          <w:p w14:paraId="14972838">
            <w:pPr>
              <w:spacing w:line="360" w:lineRule="auto"/>
              <w:jc w:val="center"/>
              <w:rPr>
                <w:rFonts w:hint="eastAsia" w:ascii="宋体" w:hAnsi="宋体" w:eastAsia="宋体" w:cs="宋体"/>
                <w:color w:val="auto"/>
                <w:sz w:val="20"/>
                <w:szCs w:val="20"/>
                <w:highlight w:val="none"/>
              </w:rPr>
            </w:pPr>
          </w:p>
        </w:tc>
        <w:tc>
          <w:tcPr>
            <w:tcW w:w="721" w:type="dxa"/>
            <w:vAlign w:val="center"/>
          </w:tcPr>
          <w:p w14:paraId="1AEC3421">
            <w:pPr>
              <w:spacing w:line="360" w:lineRule="auto"/>
              <w:jc w:val="center"/>
              <w:rPr>
                <w:rFonts w:hint="eastAsia" w:ascii="宋体" w:hAnsi="宋体" w:eastAsia="宋体" w:cs="宋体"/>
                <w:color w:val="auto"/>
                <w:sz w:val="20"/>
                <w:szCs w:val="20"/>
                <w:highlight w:val="none"/>
              </w:rPr>
            </w:pPr>
          </w:p>
        </w:tc>
        <w:tc>
          <w:tcPr>
            <w:tcW w:w="719" w:type="dxa"/>
            <w:vAlign w:val="center"/>
          </w:tcPr>
          <w:p w14:paraId="37A3C9EA">
            <w:pPr>
              <w:spacing w:line="360" w:lineRule="auto"/>
              <w:jc w:val="center"/>
              <w:rPr>
                <w:rFonts w:hint="eastAsia" w:ascii="宋体" w:hAnsi="宋体" w:eastAsia="宋体" w:cs="宋体"/>
                <w:color w:val="auto"/>
                <w:sz w:val="20"/>
                <w:szCs w:val="20"/>
                <w:highlight w:val="none"/>
              </w:rPr>
            </w:pPr>
          </w:p>
        </w:tc>
        <w:tc>
          <w:tcPr>
            <w:tcW w:w="2523" w:type="dxa"/>
            <w:vAlign w:val="center"/>
          </w:tcPr>
          <w:p w14:paraId="11B9C7BD">
            <w:pPr>
              <w:spacing w:line="360" w:lineRule="auto"/>
              <w:jc w:val="center"/>
              <w:rPr>
                <w:rFonts w:hint="eastAsia" w:ascii="宋体" w:hAnsi="宋体" w:eastAsia="宋体" w:cs="宋体"/>
                <w:color w:val="auto"/>
                <w:sz w:val="20"/>
                <w:szCs w:val="20"/>
                <w:highlight w:val="none"/>
              </w:rPr>
            </w:pPr>
          </w:p>
        </w:tc>
        <w:tc>
          <w:tcPr>
            <w:tcW w:w="672" w:type="dxa"/>
            <w:vAlign w:val="center"/>
          </w:tcPr>
          <w:p w14:paraId="1BE0C375">
            <w:pPr>
              <w:spacing w:line="360" w:lineRule="auto"/>
              <w:jc w:val="center"/>
              <w:rPr>
                <w:rFonts w:hint="eastAsia" w:ascii="宋体" w:hAnsi="宋体" w:eastAsia="宋体" w:cs="宋体"/>
                <w:color w:val="auto"/>
                <w:sz w:val="20"/>
                <w:szCs w:val="20"/>
                <w:highlight w:val="none"/>
              </w:rPr>
            </w:pPr>
          </w:p>
        </w:tc>
      </w:tr>
      <w:tr w14:paraId="7DF8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16016D70">
            <w:pPr>
              <w:spacing w:line="360" w:lineRule="auto"/>
              <w:jc w:val="center"/>
              <w:rPr>
                <w:rFonts w:hint="eastAsia" w:ascii="宋体" w:hAnsi="宋体" w:eastAsia="宋体" w:cs="宋体"/>
                <w:color w:val="auto"/>
                <w:sz w:val="20"/>
                <w:szCs w:val="20"/>
                <w:highlight w:val="none"/>
              </w:rPr>
            </w:pPr>
          </w:p>
        </w:tc>
        <w:tc>
          <w:tcPr>
            <w:tcW w:w="721" w:type="dxa"/>
          </w:tcPr>
          <w:p w14:paraId="1F1C0CB3">
            <w:pPr>
              <w:spacing w:line="360" w:lineRule="auto"/>
              <w:jc w:val="center"/>
              <w:rPr>
                <w:rFonts w:hint="eastAsia" w:ascii="宋体" w:hAnsi="宋体" w:eastAsia="宋体" w:cs="宋体"/>
                <w:color w:val="auto"/>
                <w:sz w:val="20"/>
                <w:szCs w:val="20"/>
                <w:highlight w:val="none"/>
              </w:rPr>
            </w:pPr>
          </w:p>
        </w:tc>
        <w:tc>
          <w:tcPr>
            <w:tcW w:w="719" w:type="dxa"/>
          </w:tcPr>
          <w:p w14:paraId="61ACA137">
            <w:pPr>
              <w:spacing w:line="360" w:lineRule="auto"/>
              <w:jc w:val="center"/>
              <w:rPr>
                <w:rFonts w:hint="eastAsia" w:ascii="宋体" w:hAnsi="宋体" w:eastAsia="宋体" w:cs="宋体"/>
                <w:color w:val="auto"/>
                <w:sz w:val="20"/>
                <w:szCs w:val="20"/>
                <w:highlight w:val="none"/>
              </w:rPr>
            </w:pPr>
          </w:p>
        </w:tc>
        <w:tc>
          <w:tcPr>
            <w:tcW w:w="1081" w:type="dxa"/>
          </w:tcPr>
          <w:p w14:paraId="5C55B15C">
            <w:pPr>
              <w:spacing w:line="360" w:lineRule="auto"/>
              <w:jc w:val="center"/>
              <w:rPr>
                <w:rFonts w:hint="eastAsia" w:ascii="宋体" w:hAnsi="宋体" w:eastAsia="宋体" w:cs="宋体"/>
                <w:color w:val="auto"/>
                <w:sz w:val="20"/>
                <w:szCs w:val="20"/>
                <w:highlight w:val="none"/>
              </w:rPr>
            </w:pPr>
          </w:p>
        </w:tc>
        <w:tc>
          <w:tcPr>
            <w:tcW w:w="719" w:type="dxa"/>
          </w:tcPr>
          <w:p w14:paraId="3809CDFC">
            <w:pPr>
              <w:spacing w:line="360" w:lineRule="auto"/>
              <w:jc w:val="center"/>
              <w:rPr>
                <w:rFonts w:hint="eastAsia" w:ascii="宋体" w:hAnsi="宋体" w:eastAsia="宋体" w:cs="宋体"/>
                <w:color w:val="auto"/>
                <w:sz w:val="20"/>
                <w:szCs w:val="20"/>
                <w:highlight w:val="none"/>
              </w:rPr>
            </w:pPr>
          </w:p>
        </w:tc>
        <w:tc>
          <w:tcPr>
            <w:tcW w:w="721" w:type="dxa"/>
          </w:tcPr>
          <w:p w14:paraId="321CAC69">
            <w:pPr>
              <w:spacing w:line="360" w:lineRule="auto"/>
              <w:jc w:val="center"/>
              <w:rPr>
                <w:rFonts w:hint="eastAsia" w:ascii="宋体" w:hAnsi="宋体" w:eastAsia="宋体" w:cs="宋体"/>
                <w:color w:val="auto"/>
                <w:sz w:val="20"/>
                <w:szCs w:val="20"/>
                <w:highlight w:val="none"/>
              </w:rPr>
            </w:pPr>
          </w:p>
        </w:tc>
        <w:tc>
          <w:tcPr>
            <w:tcW w:w="719" w:type="dxa"/>
          </w:tcPr>
          <w:p w14:paraId="7AF86589">
            <w:pPr>
              <w:spacing w:line="360" w:lineRule="auto"/>
              <w:jc w:val="center"/>
              <w:rPr>
                <w:rFonts w:hint="eastAsia" w:ascii="宋体" w:hAnsi="宋体" w:eastAsia="宋体" w:cs="宋体"/>
                <w:color w:val="auto"/>
                <w:sz w:val="20"/>
                <w:szCs w:val="20"/>
                <w:highlight w:val="none"/>
              </w:rPr>
            </w:pPr>
          </w:p>
        </w:tc>
        <w:tc>
          <w:tcPr>
            <w:tcW w:w="2523" w:type="dxa"/>
          </w:tcPr>
          <w:p w14:paraId="2E6B3C56">
            <w:pPr>
              <w:spacing w:line="360" w:lineRule="auto"/>
              <w:jc w:val="center"/>
              <w:rPr>
                <w:rFonts w:hint="eastAsia" w:ascii="宋体" w:hAnsi="宋体" w:eastAsia="宋体" w:cs="宋体"/>
                <w:color w:val="auto"/>
                <w:sz w:val="20"/>
                <w:szCs w:val="20"/>
                <w:highlight w:val="none"/>
              </w:rPr>
            </w:pPr>
          </w:p>
        </w:tc>
        <w:tc>
          <w:tcPr>
            <w:tcW w:w="672" w:type="dxa"/>
          </w:tcPr>
          <w:p w14:paraId="2676949A">
            <w:pPr>
              <w:spacing w:line="360" w:lineRule="auto"/>
              <w:jc w:val="center"/>
              <w:rPr>
                <w:rFonts w:hint="eastAsia" w:ascii="宋体" w:hAnsi="宋体" w:eastAsia="宋体" w:cs="宋体"/>
                <w:color w:val="auto"/>
                <w:sz w:val="20"/>
                <w:szCs w:val="20"/>
                <w:highlight w:val="none"/>
              </w:rPr>
            </w:pPr>
          </w:p>
        </w:tc>
      </w:tr>
      <w:tr w14:paraId="2354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1A413E05">
            <w:pPr>
              <w:spacing w:line="360" w:lineRule="auto"/>
              <w:jc w:val="center"/>
              <w:rPr>
                <w:rFonts w:hint="eastAsia" w:ascii="宋体" w:hAnsi="宋体" w:eastAsia="宋体" w:cs="宋体"/>
                <w:color w:val="auto"/>
                <w:sz w:val="20"/>
                <w:szCs w:val="20"/>
                <w:highlight w:val="none"/>
              </w:rPr>
            </w:pPr>
          </w:p>
        </w:tc>
        <w:tc>
          <w:tcPr>
            <w:tcW w:w="721" w:type="dxa"/>
          </w:tcPr>
          <w:p w14:paraId="443CBFC6">
            <w:pPr>
              <w:spacing w:line="360" w:lineRule="auto"/>
              <w:jc w:val="center"/>
              <w:rPr>
                <w:rFonts w:hint="eastAsia" w:ascii="宋体" w:hAnsi="宋体" w:eastAsia="宋体" w:cs="宋体"/>
                <w:color w:val="auto"/>
                <w:sz w:val="20"/>
                <w:szCs w:val="20"/>
                <w:highlight w:val="none"/>
              </w:rPr>
            </w:pPr>
          </w:p>
        </w:tc>
        <w:tc>
          <w:tcPr>
            <w:tcW w:w="719" w:type="dxa"/>
          </w:tcPr>
          <w:p w14:paraId="63FE0915">
            <w:pPr>
              <w:spacing w:line="360" w:lineRule="auto"/>
              <w:jc w:val="center"/>
              <w:rPr>
                <w:rFonts w:hint="eastAsia" w:ascii="宋体" w:hAnsi="宋体" w:eastAsia="宋体" w:cs="宋体"/>
                <w:color w:val="auto"/>
                <w:sz w:val="20"/>
                <w:szCs w:val="20"/>
                <w:highlight w:val="none"/>
              </w:rPr>
            </w:pPr>
          </w:p>
        </w:tc>
        <w:tc>
          <w:tcPr>
            <w:tcW w:w="1081" w:type="dxa"/>
          </w:tcPr>
          <w:p w14:paraId="58960AA6">
            <w:pPr>
              <w:spacing w:line="360" w:lineRule="auto"/>
              <w:jc w:val="center"/>
              <w:rPr>
                <w:rFonts w:hint="eastAsia" w:ascii="宋体" w:hAnsi="宋体" w:eastAsia="宋体" w:cs="宋体"/>
                <w:color w:val="auto"/>
                <w:sz w:val="20"/>
                <w:szCs w:val="20"/>
                <w:highlight w:val="none"/>
              </w:rPr>
            </w:pPr>
          </w:p>
        </w:tc>
        <w:tc>
          <w:tcPr>
            <w:tcW w:w="719" w:type="dxa"/>
          </w:tcPr>
          <w:p w14:paraId="799B4204">
            <w:pPr>
              <w:spacing w:line="360" w:lineRule="auto"/>
              <w:jc w:val="center"/>
              <w:rPr>
                <w:rFonts w:hint="eastAsia" w:ascii="宋体" w:hAnsi="宋体" w:eastAsia="宋体" w:cs="宋体"/>
                <w:color w:val="auto"/>
                <w:sz w:val="20"/>
                <w:szCs w:val="20"/>
                <w:highlight w:val="none"/>
              </w:rPr>
            </w:pPr>
          </w:p>
        </w:tc>
        <w:tc>
          <w:tcPr>
            <w:tcW w:w="721" w:type="dxa"/>
          </w:tcPr>
          <w:p w14:paraId="0EC0B0D5">
            <w:pPr>
              <w:spacing w:line="360" w:lineRule="auto"/>
              <w:jc w:val="center"/>
              <w:rPr>
                <w:rFonts w:hint="eastAsia" w:ascii="宋体" w:hAnsi="宋体" w:eastAsia="宋体" w:cs="宋体"/>
                <w:color w:val="auto"/>
                <w:sz w:val="20"/>
                <w:szCs w:val="20"/>
                <w:highlight w:val="none"/>
              </w:rPr>
            </w:pPr>
          </w:p>
        </w:tc>
        <w:tc>
          <w:tcPr>
            <w:tcW w:w="719" w:type="dxa"/>
          </w:tcPr>
          <w:p w14:paraId="37406748">
            <w:pPr>
              <w:spacing w:line="360" w:lineRule="auto"/>
              <w:jc w:val="center"/>
              <w:rPr>
                <w:rFonts w:hint="eastAsia" w:ascii="宋体" w:hAnsi="宋体" w:eastAsia="宋体" w:cs="宋体"/>
                <w:color w:val="auto"/>
                <w:sz w:val="20"/>
                <w:szCs w:val="20"/>
                <w:highlight w:val="none"/>
              </w:rPr>
            </w:pPr>
          </w:p>
        </w:tc>
        <w:tc>
          <w:tcPr>
            <w:tcW w:w="2523" w:type="dxa"/>
          </w:tcPr>
          <w:p w14:paraId="189222B6">
            <w:pPr>
              <w:spacing w:line="360" w:lineRule="auto"/>
              <w:jc w:val="center"/>
              <w:rPr>
                <w:rFonts w:hint="eastAsia" w:ascii="宋体" w:hAnsi="宋体" w:eastAsia="宋体" w:cs="宋体"/>
                <w:color w:val="auto"/>
                <w:sz w:val="20"/>
                <w:szCs w:val="20"/>
                <w:highlight w:val="none"/>
              </w:rPr>
            </w:pPr>
          </w:p>
        </w:tc>
        <w:tc>
          <w:tcPr>
            <w:tcW w:w="672" w:type="dxa"/>
          </w:tcPr>
          <w:p w14:paraId="2E8DC1D1">
            <w:pPr>
              <w:spacing w:line="360" w:lineRule="auto"/>
              <w:jc w:val="center"/>
              <w:rPr>
                <w:rFonts w:hint="eastAsia" w:ascii="宋体" w:hAnsi="宋体" w:eastAsia="宋体" w:cs="宋体"/>
                <w:color w:val="auto"/>
                <w:sz w:val="20"/>
                <w:szCs w:val="20"/>
                <w:highlight w:val="none"/>
              </w:rPr>
            </w:pPr>
          </w:p>
        </w:tc>
      </w:tr>
      <w:tr w14:paraId="5814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0F7A907F">
            <w:pPr>
              <w:spacing w:line="360" w:lineRule="auto"/>
              <w:jc w:val="center"/>
              <w:rPr>
                <w:rFonts w:hint="eastAsia" w:ascii="宋体" w:hAnsi="宋体" w:eastAsia="宋体" w:cs="宋体"/>
                <w:color w:val="auto"/>
                <w:sz w:val="20"/>
                <w:szCs w:val="20"/>
                <w:highlight w:val="none"/>
              </w:rPr>
            </w:pPr>
          </w:p>
        </w:tc>
        <w:tc>
          <w:tcPr>
            <w:tcW w:w="721" w:type="dxa"/>
          </w:tcPr>
          <w:p w14:paraId="280DACD8">
            <w:pPr>
              <w:spacing w:line="360" w:lineRule="auto"/>
              <w:jc w:val="center"/>
              <w:rPr>
                <w:rFonts w:hint="eastAsia" w:ascii="宋体" w:hAnsi="宋体" w:eastAsia="宋体" w:cs="宋体"/>
                <w:color w:val="auto"/>
                <w:sz w:val="20"/>
                <w:szCs w:val="20"/>
                <w:highlight w:val="none"/>
              </w:rPr>
            </w:pPr>
          </w:p>
        </w:tc>
        <w:tc>
          <w:tcPr>
            <w:tcW w:w="719" w:type="dxa"/>
          </w:tcPr>
          <w:p w14:paraId="45F9056B">
            <w:pPr>
              <w:spacing w:line="360" w:lineRule="auto"/>
              <w:jc w:val="center"/>
              <w:rPr>
                <w:rFonts w:hint="eastAsia" w:ascii="宋体" w:hAnsi="宋体" w:eastAsia="宋体" w:cs="宋体"/>
                <w:color w:val="auto"/>
                <w:sz w:val="20"/>
                <w:szCs w:val="20"/>
                <w:highlight w:val="none"/>
              </w:rPr>
            </w:pPr>
          </w:p>
        </w:tc>
        <w:tc>
          <w:tcPr>
            <w:tcW w:w="1081" w:type="dxa"/>
          </w:tcPr>
          <w:p w14:paraId="17F072C9">
            <w:pPr>
              <w:spacing w:line="360" w:lineRule="auto"/>
              <w:jc w:val="center"/>
              <w:rPr>
                <w:rFonts w:hint="eastAsia" w:ascii="宋体" w:hAnsi="宋体" w:eastAsia="宋体" w:cs="宋体"/>
                <w:color w:val="auto"/>
                <w:sz w:val="20"/>
                <w:szCs w:val="20"/>
                <w:highlight w:val="none"/>
              </w:rPr>
            </w:pPr>
          </w:p>
        </w:tc>
        <w:tc>
          <w:tcPr>
            <w:tcW w:w="719" w:type="dxa"/>
          </w:tcPr>
          <w:p w14:paraId="7EB2BB7F">
            <w:pPr>
              <w:spacing w:line="360" w:lineRule="auto"/>
              <w:jc w:val="center"/>
              <w:rPr>
                <w:rFonts w:hint="eastAsia" w:ascii="宋体" w:hAnsi="宋体" w:eastAsia="宋体" w:cs="宋体"/>
                <w:color w:val="auto"/>
                <w:sz w:val="20"/>
                <w:szCs w:val="20"/>
                <w:highlight w:val="none"/>
              </w:rPr>
            </w:pPr>
          </w:p>
        </w:tc>
        <w:tc>
          <w:tcPr>
            <w:tcW w:w="721" w:type="dxa"/>
          </w:tcPr>
          <w:p w14:paraId="3FE5BFE3">
            <w:pPr>
              <w:spacing w:line="360" w:lineRule="auto"/>
              <w:jc w:val="center"/>
              <w:rPr>
                <w:rFonts w:hint="eastAsia" w:ascii="宋体" w:hAnsi="宋体" w:eastAsia="宋体" w:cs="宋体"/>
                <w:color w:val="auto"/>
                <w:sz w:val="20"/>
                <w:szCs w:val="20"/>
                <w:highlight w:val="none"/>
              </w:rPr>
            </w:pPr>
          </w:p>
        </w:tc>
        <w:tc>
          <w:tcPr>
            <w:tcW w:w="719" w:type="dxa"/>
          </w:tcPr>
          <w:p w14:paraId="32302774">
            <w:pPr>
              <w:spacing w:line="360" w:lineRule="auto"/>
              <w:jc w:val="center"/>
              <w:rPr>
                <w:rFonts w:hint="eastAsia" w:ascii="宋体" w:hAnsi="宋体" w:eastAsia="宋体" w:cs="宋体"/>
                <w:color w:val="auto"/>
                <w:sz w:val="20"/>
                <w:szCs w:val="20"/>
                <w:highlight w:val="none"/>
              </w:rPr>
            </w:pPr>
          </w:p>
        </w:tc>
        <w:tc>
          <w:tcPr>
            <w:tcW w:w="2523" w:type="dxa"/>
          </w:tcPr>
          <w:p w14:paraId="450502B3">
            <w:pPr>
              <w:spacing w:line="360" w:lineRule="auto"/>
              <w:jc w:val="center"/>
              <w:rPr>
                <w:rFonts w:hint="eastAsia" w:ascii="宋体" w:hAnsi="宋体" w:eastAsia="宋体" w:cs="宋体"/>
                <w:color w:val="auto"/>
                <w:sz w:val="20"/>
                <w:szCs w:val="20"/>
                <w:highlight w:val="none"/>
              </w:rPr>
            </w:pPr>
          </w:p>
        </w:tc>
        <w:tc>
          <w:tcPr>
            <w:tcW w:w="672" w:type="dxa"/>
          </w:tcPr>
          <w:p w14:paraId="563B762B">
            <w:pPr>
              <w:spacing w:line="360" w:lineRule="auto"/>
              <w:jc w:val="center"/>
              <w:rPr>
                <w:rFonts w:hint="eastAsia" w:ascii="宋体" w:hAnsi="宋体" w:eastAsia="宋体" w:cs="宋体"/>
                <w:color w:val="auto"/>
                <w:sz w:val="20"/>
                <w:szCs w:val="20"/>
                <w:highlight w:val="none"/>
              </w:rPr>
            </w:pPr>
          </w:p>
        </w:tc>
      </w:tr>
      <w:tr w14:paraId="05AC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5FBAAAF7">
            <w:pPr>
              <w:spacing w:line="360" w:lineRule="auto"/>
              <w:jc w:val="center"/>
              <w:rPr>
                <w:rFonts w:hint="eastAsia" w:ascii="宋体" w:hAnsi="宋体" w:eastAsia="宋体" w:cs="宋体"/>
                <w:color w:val="auto"/>
                <w:sz w:val="20"/>
                <w:szCs w:val="20"/>
                <w:highlight w:val="none"/>
              </w:rPr>
            </w:pPr>
          </w:p>
        </w:tc>
        <w:tc>
          <w:tcPr>
            <w:tcW w:w="721" w:type="dxa"/>
          </w:tcPr>
          <w:p w14:paraId="77648868">
            <w:pPr>
              <w:spacing w:line="360" w:lineRule="auto"/>
              <w:jc w:val="center"/>
              <w:rPr>
                <w:rFonts w:hint="eastAsia" w:ascii="宋体" w:hAnsi="宋体" w:eastAsia="宋体" w:cs="宋体"/>
                <w:color w:val="auto"/>
                <w:sz w:val="20"/>
                <w:szCs w:val="20"/>
                <w:highlight w:val="none"/>
              </w:rPr>
            </w:pPr>
          </w:p>
        </w:tc>
        <w:tc>
          <w:tcPr>
            <w:tcW w:w="719" w:type="dxa"/>
          </w:tcPr>
          <w:p w14:paraId="37324D7F">
            <w:pPr>
              <w:spacing w:line="360" w:lineRule="auto"/>
              <w:jc w:val="center"/>
              <w:rPr>
                <w:rFonts w:hint="eastAsia" w:ascii="宋体" w:hAnsi="宋体" w:eastAsia="宋体" w:cs="宋体"/>
                <w:color w:val="auto"/>
                <w:sz w:val="20"/>
                <w:szCs w:val="20"/>
                <w:highlight w:val="none"/>
              </w:rPr>
            </w:pPr>
          </w:p>
        </w:tc>
        <w:tc>
          <w:tcPr>
            <w:tcW w:w="1081" w:type="dxa"/>
          </w:tcPr>
          <w:p w14:paraId="653EABD9">
            <w:pPr>
              <w:spacing w:line="360" w:lineRule="auto"/>
              <w:jc w:val="center"/>
              <w:rPr>
                <w:rFonts w:hint="eastAsia" w:ascii="宋体" w:hAnsi="宋体" w:eastAsia="宋体" w:cs="宋体"/>
                <w:color w:val="auto"/>
                <w:sz w:val="20"/>
                <w:szCs w:val="20"/>
                <w:highlight w:val="none"/>
              </w:rPr>
            </w:pPr>
          </w:p>
        </w:tc>
        <w:tc>
          <w:tcPr>
            <w:tcW w:w="719" w:type="dxa"/>
          </w:tcPr>
          <w:p w14:paraId="1AFD6CE5">
            <w:pPr>
              <w:spacing w:line="360" w:lineRule="auto"/>
              <w:jc w:val="center"/>
              <w:rPr>
                <w:rFonts w:hint="eastAsia" w:ascii="宋体" w:hAnsi="宋体" w:eastAsia="宋体" w:cs="宋体"/>
                <w:color w:val="auto"/>
                <w:sz w:val="20"/>
                <w:szCs w:val="20"/>
                <w:highlight w:val="none"/>
              </w:rPr>
            </w:pPr>
          </w:p>
        </w:tc>
        <w:tc>
          <w:tcPr>
            <w:tcW w:w="721" w:type="dxa"/>
          </w:tcPr>
          <w:p w14:paraId="4BE32658">
            <w:pPr>
              <w:spacing w:line="360" w:lineRule="auto"/>
              <w:jc w:val="center"/>
              <w:rPr>
                <w:rFonts w:hint="eastAsia" w:ascii="宋体" w:hAnsi="宋体" w:eastAsia="宋体" w:cs="宋体"/>
                <w:color w:val="auto"/>
                <w:sz w:val="20"/>
                <w:szCs w:val="20"/>
                <w:highlight w:val="none"/>
              </w:rPr>
            </w:pPr>
          </w:p>
        </w:tc>
        <w:tc>
          <w:tcPr>
            <w:tcW w:w="719" w:type="dxa"/>
          </w:tcPr>
          <w:p w14:paraId="52ADA11C">
            <w:pPr>
              <w:spacing w:line="360" w:lineRule="auto"/>
              <w:jc w:val="center"/>
              <w:rPr>
                <w:rFonts w:hint="eastAsia" w:ascii="宋体" w:hAnsi="宋体" w:eastAsia="宋体" w:cs="宋体"/>
                <w:color w:val="auto"/>
                <w:sz w:val="20"/>
                <w:szCs w:val="20"/>
                <w:highlight w:val="none"/>
              </w:rPr>
            </w:pPr>
          </w:p>
        </w:tc>
        <w:tc>
          <w:tcPr>
            <w:tcW w:w="2523" w:type="dxa"/>
          </w:tcPr>
          <w:p w14:paraId="0BAD4E3E">
            <w:pPr>
              <w:spacing w:line="360" w:lineRule="auto"/>
              <w:jc w:val="center"/>
              <w:rPr>
                <w:rFonts w:hint="eastAsia" w:ascii="宋体" w:hAnsi="宋体" w:eastAsia="宋体" w:cs="宋体"/>
                <w:color w:val="auto"/>
                <w:sz w:val="20"/>
                <w:szCs w:val="20"/>
                <w:highlight w:val="none"/>
              </w:rPr>
            </w:pPr>
          </w:p>
        </w:tc>
        <w:tc>
          <w:tcPr>
            <w:tcW w:w="672" w:type="dxa"/>
          </w:tcPr>
          <w:p w14:paraId="3130B163">
            <w:pPr>
              <w:spacing w:line="360" w:lineRule="auto"/>
              <w:jc w:val="center"/>
              <w:rPr>
                <w:rFonts w:hint="eastAsia" w:ascii="宋体" w:hAnsi="宋体" w:eastAsia="宋体" w:cs="宋体"/>
                <w:color w:val="auto"/>
                <w:sz w:val="20"/>
                <w:szCs w:val="20"/>
                <w:highlight w:val="none"/>
              </w:rPr>
            </w:pPr>
          </w:p>
        </w:tc>
      </w:tr>
      <w:tr w14:paraId="7491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210DEDD5">
            <w:pPr>
              <w:spacing w:line="360" w:lineRule="auto"/>
              <w:jc w:val="center"/>
              <w:rPr>
                <w:rFonts w:hint="eastAsia" w:ascii="宋体" w:hAnsi="宋体" w:eastAsia="宋体" w:cs="宋体"/>
                <w:color w:val="auto"/>
                <w:sz w:val="20"/>
                <w:szCs w:val="20"/>
                <w:highlight w:val="none"/>
              </w:rPr>
            </w:pPr>
          </w:p>
        </w:tc>
        <w:tc>
          <w:tcPr>
            <w:tcW w:w="721" w:type="dxa"/>
          </w:tcPr>
          <w:p w14:paraId="488FE11E">
            <w:pPr>
              <w:spacing w:line="360" w:lineRule="auto"/>
              <w:jc w:val="center"/>
              <w:rPr>
                <w:rFonts w:hint="eastAsia" w:ascii="宋体" w:hAnsi="宋体" w:eastAsia="宋体" w:cs="宋体"/>
                <w:color w:val="auto"/>
                <w:sz w:val="20"/>
                <w:szCs w:val="20"/>
                <w:highlight w:val="none"/>
              </w:rPr>
            </w:pPr>
          </w:p>
        </w:tc>
        <w:tc>
          <w:tcPr>
            <w:tcW w:w="719" w:type="dxa"/>
          </w:tcPr>
          <w:p w14:paraId="29B7C657">
            <w:pPr>
              <w:spacing w:line="360" w:lineRule="auto"/>
              <w:jc w:val="center"/>
              <w:rPr>
                <w:rFonts w:hint="eastAsia" w:ascii="宋体" w:hAnsi="宋体" w:eastAsia="宋体" w:cs="宋体"/>
                <w:color w:val="auto"/>
                <w:sz w:val="20"/>
                <w:szCs w:val="20"/>
                <w:highlight w:val="none"/>
              </w:rPr>
            </w:pPr>
          </w:p>
        </w:tc>
        <w:tc>
          <w:tcPr>
            <w:tcW w:w="1081" w:type="dxa"/>
          </w:tcPr>
          <w:p w14:paraId="7142CAEF">
            <w:pPr>
              <w:spacing w:line="360" w:lineRule="auto"/>
              <w:jc w:val="center"/>
              <w:rPr>
                <w:rFonts w:hint="eastAsia" w:ascii="宋体" w:hAnsi="宋体" w:eastAsia="宋体" w:cs="宋体"/>
                <w:color w:val="auto"/>
                <w:sz w:val="20"/>
                <w:szCs w:val="20"/>
                <w:highlight w:val="none"/>
              </w:rPr>
            </w:pPr>
          </w:p>
        </w:tc>
        <w:tc>
          <w:tcPr>
            <w:tcW w:w="719" w:type="dxa"/>
          </w:tcPr>
          <w:p w14:paraId="679EA280">
            <w:pPr>
              <w:spacing w:line="360" w:lineRule="auto"/>
              <w:jc w:val="center"/>
              <w:rPr>
                <w:rFonts w:hint="eastAsia" w:ascii="宋体" w:hAnsi="宋体" w:eastAsia="宋体" w:cs="宋体"/>
                <w:color w:val="auto"/>
                <w:sz w:val="20"/>
                <w:szCs w:val="20"/>
                <w:highlight w:val="none"/>
              </w:rPr>
            </w:pPr>
          </w:p>
        </w:tc>
        <w:tc>
          <w:tcPr>
            <w:tcW w:w="721" w:type="dxa"/>
          </w:tcPr>
          <w:p w14:paraId="43EEEA9B">
            <w:pPr>
              <w:spacing w:line="360" w:lineRule="auto"/>
              <w:jc w:val="center"/>
              <w:rPr>
                <w:rFonts w:hint="eastAsia" w:ascii="宋体" w:hAnsi="宋体" w:eastAsia="宋体" w:cs="宋体"/>
                <w:color w:val="auto"/>
                <w:sz w:val="20"/>
                <w:szCs w:val="20"/>
                <w:highlight w:val="none"/>
              </w:rPr>
            </w:pPr>
          </w:p>
        </w:tc>
        <w:tc>
          <w:tcPr>
            <w:tcW w:w="719" w:type="dxa"/>
          </w:tcPr>
          <w:p w14:paraId="63C162AC">
            <w:pPr>
              <w:spacing w:line="360" w:lineRule="auto"/>
              <w:jc w:val="center"/>
              <w:rPr>
                <w:rFonts w:hint="eastAsia" w:ascii="宋体" w:hAnsi="宋体" w:eastAsia="宋体" w:cs="宋体"/>
                <w:color w:val="auto"/>
                <w:sz w:val="20"/>
                <w:szCs w:val="20"/>
                <w:highlight w:val="none"/>
              </w:rPr>
            </w:pPr>
          </w:p>
        </w:tc>
        <w:tc>
          <w:tcPr>
            <w:tcW w:w="2523" w:type="dxa"/>
          </w:tcPr>
          <w:p w14:paraId="7350773C">
            <w:pPr>
              <w:spacing w:line="360" w:lineRule="auto"/>
              <w:jc w:val="center"/>
              <w:rPr>
                <w:rFonts w:hint="eastAsia" w:ascii="宋体" w:hAnsi="宋体" w:eastAsia="宋体" w:cs="宋体"/>
                <w:color w:val="auto"/>
                <w:sz w:val="20"/>
                <w:szCs w:val="20"/>
                <w:highlight w:val="none"/>
              </w:rPr>
            </w:pPr>
          </w:p>
        </w:tc>
        <w:tc>
          <w:tcPr>
            <w:tcW w:w="672" w:type="dxa"/>
          </w:tcPr>
          <w:p w14:paraId="77851EFD">
            <w:pPr>
              <w:spacing w:line="360" w:lineRule="auto"/>
              <w:jc w:val="center"/>
              <w:rPr>
                <w:rFonts w:hint="eastAsia" w:ascii="宋体" w:hAnsi="宋体" w:eastAsia="宋体" w:cs="宋体"/>
                <w:color w:val="auto"/>
                <w:sz w:val="20"/>
                <w:szCs w:val="20"/>
                <w:highlight w:val="none"/>
              </w:rPr>
            </w:pPr>
          </w:p>
        </w:tc>
      </w:tr>
      <w:tr w14:paraId="5E65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02BC45D1">
            <w:pPr>
              <w:spacing w:line="360" w:lineRule="auto"/>
              <w:jc w:val="center"/>
              <w:rPr>
                <w:rFonts w:hint="eastAsia" w:ascii="宋体" w:hAnsi="宋体" w:eastAsia="宋体" w:cs="宋体"/>
                <w:color w:val="auto"/>
                <w:sz w:val="20"/>
                <w:szCs w:val="20"/>
                <w:highlight w:val="none"/>
              </w:rPr>
            </w:pPr>
          </w:p>
        </w:tc>
        <w:tc>
          <w:tcPr>
            <w:tcW w:w="721" w:type="dxa"/>
          </w:tcPr>
          <w:p w14:paraId="4BBE90C0">
            <w:pPr>
              <w:spacing w:line="360" w:lineRule="auto"/>
              <w:jc w:val="center"/>
              <w:rPr>
                <w:rFonts w:hint="eastAsia" w:ascii="宋体" w:hAnsi="宋体" w:eastAsia="宋体" w:cs="宋体"/>
                <w:color w:val="auto"/>
                <w:sz w:val="20"/>
                <w:szCs w:val="20"/>
                <w:highlight w:val="none"/>
              </w:rPr>
            </w:pPr>
          </w:p>
        </w:tc>
        <w:tc>
          <w:tcPr>
            <w:tcW w:w="719" w:type="dxa"/>
          </w:tcPr>
          <w:p w14:paraId="0660F625">
            <w:pPr>
              <w:spacing w:line="360" w:lineRule="auto"/>
              <w:jc w:val="center"/>
              <w:rPr>
                <w:rFonts w:hint="eastAsia" w:ascii="宋体" w:hAnsi="宋体" w:eastAsia="宋体" w:cs="宋体"/>
                <w:color w:val="auto"/>
                <w:sz w:val="20"/>
                <w:szCs w:val="20"/>
                <w:highlight w:val="none"/>
              </w:rPr>
            </w:pPr>
          </w:p>
        </w:tc>
        <w:tc>
          <w:tcPr>
            <w:tcW w:w="1081" w:type="dxa"/>
          </w:tcPr>
          <w:p w14:paraId="1D9856FD">
            <w:pPr>
              <w:spacing w:line="360" w:lineRule="auto"/>
              <w:jc w:val="center"/>
              <w:rPr>
                <w:rFonts w:hint="eastAsia" w:ascii="宋体" w:hAnsi="宋体" w:eastAsia="宋体" w:cs="宋体"/>
                <w:color w:val="auto"/>
                <w:sz w:val="20"/>
                <w:szCs w:val="20"/>
                <w:highlight w:val="none"/>
              </w:rPr>
            </w:pPr>
          </w:p>
        </w:tc>
        <w:tc>
          <w:tcPr>
            <w:tcW w:w="719" w:type="dxa"/>
          </w:tcPr>
          <w:p w14:paraId="6BE9C684">
            <w:pPr>
              <w:spacing w:line="360" w:lineRule="auto"/>
              <w:jc w:val="center"/>
              <w:rPr>
                <w:rFonts w:hint="eastAsia" w:ascii="宋体" w:hAnsi="宋体" w:eastAsia="宋体" w:cs="宋体"/>
                <w:color w:val="auto"/>
                <w:sz w:val="20"/>
                <w:szCs w:val="20"/>
                <w:highlight w:val="none"/>
              </w:rPr>
            </w:pPr>
          </w:p>
        </w:tc>
        <w:tc>
          <w:tcPr>
            <w:tcW w:w="721" w:type="dxa"/>
          </w:tcPr>
          <w:p w14:paraId="289CFDA8">
            <w:pPr>
              <w:spacing w:line="360" w:lineRule="auto"/>
              <w:jc w:val="center"/>
              <w:rPr>
                <w:rFonts w:hint="eastAsia" w:ascii="宋体" w:hAnsi="宋体" w:eastAsia="宋体" w:cs="宋体"/>
                <w:color w:val="auto"/>
                <w:sz w:val="20"/>
                <w:szCs w:val="20"/>
                <w:highlight w:val="none"/>
              </w:rPr>
            </w:pPr>
          </w:p>
        </w:tc>
        <w:tc>
          <w:tcPr>
            <w:tcW w:w="719" w:type="dxa"/>
          </w:tcPr>
          <w:p w14:paraId="49FE89E4">
            <w:pPr>
              <w:spacing w:line="360" w:lineRule="auto"/>
              <w:jc w:val="center"/>
              <w:rPr>
                <w:rFonts w:hint="eastAsia" w:ascii="宋体" w:hAnsi="宋体" w:eastAsia="宋体" w:cs="宋体"/>
                <w:color w:val="auto"/>
                <w:sz w:val="20"/>
                <w:szCs w:val="20"/>
                <w:highlight w:val="none"/>
              </w:rPr>
            </w:pPr>
          </w:p>
        </w:tc>
        <w:tc>
          <w:tcPr>
            <w:tcW w:w="2523" w:type="dxa"/>
          </w:tcPr>
          <w:p w14:paraId="5A525080">
            <w:pPr>
              <w:spacing w:line="360" w:lineRule="auto"/>
              <w:jc w:val="center"/>
              <w:rPr>
                <w:rFonts w:hint="eastAsia" w:ascii="宋体" w:hAnsi="宋体" w:eastAsia="宋体" w:cs="宋体"/>
                <w:color w:val="auto"/>
                <w:sz w:val="20"/>
                <w:szCs w:val="20"/>
                <w:highlight w:val="none"/>
              </w:rPr>
            </w:pPr>
          </w:p>
        </w:tc>
        <w:tc>
          <w:tcPr>
            <w:tcW w:w="672" w:type="dxa"/>
          </w:tcPr>
          <w:p w14:paraId="61742C51">
            <w:pPr>
              <w:spacing w:line="360" w:lineRule="auto"/>
              <w:jc w:val="center"/>
              <w:rPr>
                <w:rFonts w:hint="eastAsia" w:ascii="宋体" w:hAnsi="宋体" w:eastAsia="宋体" w:cs="宋体"/>
                <w:color w:val="auto"/>
                <w:sz w:val="20"/>
                <w:szCs w:val="20"/>
                <w:highlight w:val="none"/>
              </w:rPr>
            </w:pPr>
          </w:p>
        </w:tc>
      </w:tr>
      <w:tr w14:paraId="012E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1F9EBB1B">
            <w:pPr>
              <w:spacing w:line="360" w:lineRule="auto"/>
              <w:jc w:val="center"/>
              <w:rPr>
                <w:rFonts w:hint="eastAsia" w:ascii="宋体" w:hAnsi="宋体" w:eastAsia="宋体" w:cs="宋体"/>
                <w:color w:val="auto"/>
                <w:sz w:val="20"/>
                <w:szCs w:val="20"/>
                <w:highlight w:val="none"/>
              </w:rPr>
            </w:pPr>
          </w:p>
        </w:tc>
        <w:tc>
          <w:tcPr>
            <w:tcW w:w="721" w:type="dxa"/>
          </w:tcPr>
          <w:p w14:paraId="0072A3B2">
            <w:pPr>
              <w:spacing w:line="360" w:lineRule="auto"/>
              <w:jc w:val="center"/>
              <w:rPr>
                <w:rFonts w:hint="eastAsia" w:ascii="宋体" w:hAnsi="宋体" w:eastAsia="宋体" w:cs="宋体"/>
                <w:color w:val="auto"/>
                <w:sz w:val="20"/>
                <w:szCs w:val="20"/>
                <w:highlight w:val="none"/>
              </w:rPr>
            </w:pPr>
          </w:p>
        </w:tc>
        <w:tc>
          <w:tcPr>
            <w:tcW w:w="719" w:type="dxa"/>
          </w:tcPr>
          <w:p w14:paraId="552E894D">
            <w:pPr>
              <w:spacing w:line="360" w:lineRule="auto"/>
              <w:jc w:val="center"/>
              <w:rPr>
                <w:rFonts w:hint="eastAsia" w:ascii="宋体" w:hAnsi="宋体" w:eastAsia="宋体" w:cs="宋体"/>
                <w:color w:val="auto"/>
                <w:sz w:val="20"/>
                <w:szCs w:val="20"/>
                <w:highlight w:val="none"/>
              </w:rPr>
            </w:pPr>
          </w:p>
        </w:tc>
        <w:tc>
          <w:tcPr>
            <w:tcW w:w="1081" w:type="dxa"/>
          </w:tcPr>
          <w:p w14:paraId="258CE182">
            <w:pPr>
              <w:spacing w:line="360" w:lineRule="auto"/>
              <w:jc w:val="center"/>
              <w:rPr>
                <w:rFonts w:hint="eastAsia" w:ascii="宋体" w:hAnsi="宋体" w:eastAsia="宋体" w:cs="宋体"/>
                <w:color w:val="auto"/>
                <w:sz w:val="20"/>
                <w:szCs w:val="20"/>
                <w:highlight w:val="none"/>
              </w:rPr>
            </w:pPr>
          </w:p>
        </w:tc>
        <w:tc>
          <w:tcPr>
            <w:tcW w:w="719" w:type="dxa"/>
          </w:tcPr>
          <w:p w14:paraId="5A734DDD">
            <w:pPr>
              <w:spacing w:line="360" w:lineRule="auto"/>
              <w:jc w:val="center"/>
              <w:rPr>
                <w:rFonts w:hint="eastAsia" w:ascii="宋体" w:hAnsi="宋体" w:eastAsia="宋体" w:cs="宋体"/>
                <w:color w:val="auto"/>
                <w:sz w:val="20"/>
                <w:szCs w:val="20"/>
                <w:highlight w:val="none"/>
              </w:rPr>
            </w:pPr>
          </w:p>
        </w:tc>
        <w:tc>
          <w:tcPr>
            <w:tcW w:w="721" w:type="dxa"/>
          </w:tcPr>
          <w:p w14:paraId="59B75AAA">
            <w:pPr>
              <w:spacing w:line="360" w:lineRule="auto"/>
              <w:jc w:val="center"/>
              <w:rPr>
                <w:rFonts w:hint="eastAsia" w:ascii="宋体" w:hAnsi="宋体" w:eastAsia="宋体" w:cs="宋体"/>
                <w:color w:val="auto"/>
                <w:sz w:val="20"/>
                <w:szCs w:val="20"/>
                <w:highlight w:val="none"/>
              </w:rPr>
            </w:pPr>
          </w:p>
        </w:tc>
        <w:tc>
          <w:tcPr>
            <w:tcW w:w="719" w:type="dxa"/>
          </w:tcPr>
          <w:p w14:paraId="3A817643">
            <w:pPr>
              <w:spacing w:line="360" w:lineRule="auto"/>
              <w:jc w:val="center"/>
              <w:rPr>
                <w:rFonts w:hint="eastAsia" w:ascii="宋体" w:hAnsi="宋体" w:eastAsia="宋体" w:cs="宋体"/>
                <w:color w:val="auto"/>
                <w:sz w:val="20"/>
                <w:szCs w:val="20"/>
                <w:highlight w:val="none"/>
              </w:rPr>
            </w:pPr>
          </w:p>
        </w:tc>
        <w:tc>
          <w:tcPr>
            <w:tcW w:w="2523" w:type="dxa"/>
          </w:tcPr>
          <w:p w14:paraId="7989C06C">
            <w:pPr>
              <w:spacing w:line="360" w:lineRule="auto"/>
              <w:jc w:val="center"/>
              <w:rPr>
                <w:rFonts w:hint="eastAsia" w:ascii="宋体" w:hAnsi="宋体" w:eastAsia="宋体" w:cs="宋体"/>
                <w:color w:val="auto"/>
                <w:sz w:val="20"/>
                <w:szCs w:val="20"/>
                <w:highlight w:val="none"/>
              </w:rPr>
            </w:pPr>
          </w:p>
        </w:tc>
        <w:tc>
          <w:tcPr>
            <w:tcW w:w="672" w:type="dxa"/>
          </w:tcPr>
          <w:p w14:paraId="25EEEE8B">
            <w:pPr>
              <w:spacing w:line="360" w:lineRule="auto"/>
              <w:jc w:val="center"/>
              <w:rPr>
                <w:rFonts w:hint="eastAsia" w:ascii="宋体" w:hAnsi="宋体" w:eastAsia="宋体" w:cs="宋体"/>
                <w:color w:val="auto"/>
                <w:sz w:val="20"/>
                <w:szCs w:val="20"/>
                <w:highlight w:val="none"/>
              </w:rPr>
            </w:pPr>
          </w:p>
        </w:tc>
      </w:tr>
      <w:tr w14:paraId="5B28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34F0AF06">
            <w:pPr>
              <w:spacing w:line="360" w:lineRule="auto"/>
              <w:jc w:val="center"/>
              <w:rPr>
                <w:rFonts w:hint="eastAsia" w:ascii="宋体" w:hAnsi="宋体" w:eastAsia="宋体" w:cs="宋体"/>
                <w:color w:val="auto"/>
                <w:sz w:val="20"/>
                <w:szCs w:val="20"/>
                <w:highlight w:val="none"/>
              </w:rPr>
            </w:pPr>
          </w:p>
        </w:tc>
        <w:tc>
          <w:tcPr>
            <w:tcW w:w="721" w:type="dxa"/>
          </w:tcPr>
          <w:p w14:paraId="517A8E06">
            <w:pPr>
              <w:spacing w:line="360" w:lineRule="auto"/>
              <w:jc w:val="center"/>
              <w:rPr>
                <w:rFonts w:hint="eastAsia" w:ascii="宋体" w:hAnsi="宋体" w:eastAsia="宋体" w:cs="宋体"/>
                <w:color w:val="auto"/>
                <w:sz w:val="20"/>
                <w:szCs w:val="20"/>
                <w:highlight w:val="none"/>
              </w:rPr>
            </w:pPr>
          </w:p>
        </w:tc>
        <w:tc>
          <w:tcPr>
            <w:tcW w:w="719" w:type="dxa"/>
          </w:tcPr>
          <w:p w14:paraId="7FCEB7CE">
            <w:pPr>
              <w:spacing w:line="360" w:lineRule="auto"/>
              <w:jc w:val="center"/>
              <w:rPr>
                <w:rFonts w:hint="eastAsia" w:ascii="宋体" w:hAnsi="宋体" w:eastAsia="宋体" w:cs="宋体"/>
                <w:color w:val="auto"/>
                <w:sz w:val="20"/>
                <w:szCs w:val="20"/>
                <w:highlight w:val="none"/>
              </w:rPr>
            </w:pPr>
          </w:p>
        </w:tc>
        <w:tc>
          <w:tcPr>
            <w:tcW w:w="1081" w:type="dxa"/>
          </w:tcPr>
          <w:p w14:paraId="1DBC48A9">
            <w:pPr>
              <w:spacing w:line="360" w:lineRule="auto"/>
              <w:jc w:val="center"/>
              <w:rPr>
                <w:rFonts w:hint="eastAsia" w:ascii="宋体" w:hAnsi="宋体" w:eastAsia="宋体" w:cs="宋体"/>
                <w:color w:val="auto"/>
                <w:sz w:val="20"/>
                <w:szCs w:val="20"/>
                <w:highlight w:val="none"/>
              </w:rPr>
            </w:pPr>
          </w:p>
        </w:tc>
        <w:tc>
          <w:tcPr>
            <w:tcW w:w="719" w:type="dxa"/>
          </w:tcPr>
          <w:p w14:paraId="5C908321">
            <w:pPr>
              <w:spacing w:line="360" w:lineRule="auto"/>
              <w:jc w:val="center"/>
              <w:rPr>
                <w:rFonts w:hint="eastAsia" w:ascii="宋体" w:hAnsi="宋体" w:eastAsia="宋体" w:cs="宋体"/>
                <w:color w:val="auto"/>
                <w:sz w:val="20"/>
                <w:szCs w:val="20"/>
                <w:highlight w:val="none"/>
              </w:rPr>
            </w:pPr>
          </w:p>
        </w:tc>
        <w:tc>
          <w:tcPr>
            <w:tcW w:w="721" w:type="dxa"/>
          </w:tcPr>
          <w:p w14:paraId="52F4817B">
            <w:pPr>
              <w:spacing w:line="360" w:lineRule="auto"/>
              <w:jc w:val="center"/>
              <w:rPr>
                <w:rFonts w:hint="eastAsia" w:ascii="宋体" w:hAnsi="宋体" w:eastAsia="宋体" w:cs="宋体"/>
                <w:color w:val="auto"/>
                <w:sz w:val="20"/>
                <w:szCs w:val="20"/>
                <w:highlight w:val="none"/>
              </w:rPr>
            </w:pPr>
          </w:p>
        </w:tc>
        <w:tc>
          <w:tcPr>
            <w:tcW w:w="719" w:type="dxa"/>
          </w:tcPr>
          <w:p w14:paraId="42B687EE">
            <w:pPr>
              <w:spacing w:line="360" w:lineRule="auto"/>
              <w:jc w:val="center"/>
              <w:rPr>
                <w:rFonts w:hint="eastAsia" w:ascii="宋体" w:hAnsi="宋体" w:eastAsia="宋体" w:cs="宋体"/>
                <w:color w:val="auto"/>
                <w:sz w:val="20"/>
                <w:szCs w:val="20"/>
                <w:highlight w:val="none"/>
              </w:rPr>
            </w:pPr>
          </w:p>
        </w:tc>
        <w:tc>
          <w:tcPr>
            <w:tcW w:w="2523" w:type="dxa"/>
          </w:tcPr>
          <w:p w14:paraId="104DEDA3">
            <w:pPr>
              <w:spacing w:line="360" w:lineRule="auto"/>
              <w:jc w:val="center"/>
              <w:rPr>
                <w:rFonts w:hint="eastAsia" w:ascii="宋体" w:hAnsi="宋体" w:eastAsia="宋体" w:cs="宋体"/>
                <w:color w:val="auto"/>
                <w:sz w:val="20"/>
                <w:szCs w:val="20"/>
                <w:highlight w:val="none"/>
              </w:rPr>
            </w:pPr>
          </w:p>
        </w:tc>
        <w:tc>
          <w:tcPr>
            <w:tcW w:w="672" w:type="dxa"/>
          </w:tcPr>
          <w:p w14:paraId="67C95D21">
            <w:pPr>
              <w:spacing w:line="360" w:lineRule="auto"/>
              <w:jc w:val="center"/>
              <w:rPr>
                <w:rFonts w:hint="eastAsia" w:ascii="宋体" w:hAnsi="宋体" w:eastAsia="宋体" w:cs="宋体"/>
                <w:color w:val="auto"/>
                <w:sz w:val="20"/>
                <w:szCs w:val="20"/>
                <w:highlight w:val="none"/>
              </w:rPr>
            </w:pPr>
          </w:p>
        </w:tc>
      </w:tr>
      <w:tr w14:paraId="29AC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22858758">
            <w:pPr>
              <w:spacing w:line="360" w:lineRule="auto"/>
              <w:jc w:val="center"/>
              <w:rPr>
                <w:rFonts w:hint="eastAsia" w:ascii="宋体" w:hAnsi="宋体" w:eastAsia="宋体" w:cs="宋体"/>
                <w:color w:val="auto"/>
                <w:sz w:val="20"/>
                <w:szCs w:val="20"/>
                <w:highlight w:val="none"/>
              </w:rPr>
            </w:pPr>
          </w:p>
        </w:tc>
        <w:tc>
          <w:tcPr>
            <w:tcW w:w="721" w:type="dxa"/>
          </w:tcPr>
          <w:p w14:paraId="43F66D73">
            <w:pPr>
              <w:spacing w:line="360" w:lineRule="auto"/>
              <w:jc w:val="center"/>
              <w:rPr>
                <w:rFonts w:hint="eastAsia" w:ascii="宋体" w:hAnsi="宋体" w:eastAsia="宋体" w:cs="宋体"/>
                <w:color w:val="auto"/>
                <w:sz w:val="20"/>
                <w:szCs w:val="20"/>
                <w:highlight w:val="none"/>
              </w:rPr>
            </w:pPr>
          </w:p>
        </w:tc>
        <w:tc>
          <w:tcPr>
            <w:tcW w:w="719" w:type="dxa"/>
          </w:tcPr>
          <w:p w14:paraId="752CACCD">
            <w:pPr>
              <w:spacing w:line="360" w:lineRule="auto"/>
              <w:jc w:val="center"/>
              <w:rPr>
                <w:rFonts w:hint="eastAsia" w:ascii="宋体" w:hAnsi="宋体" w:eastAsia="宋体" w:cs="宋体"/>
                <w:color w:val="auto"/>
                <w:sz w:val="20"/>
                <w:szCs w:val="20"/>
                <w:highlight w:val="none"/>
              </w:rPr>
            </w:pPr>
          </w:p>
        </w:tc>
        <w:tc>
          <w:tcPr>
            <w:tcW w:w="1081" w:type="dxa"/>
          </w:tcPr>
          <w:p w14:paraId="6C867405">
            <w:pPr>
              <w:spacing w:line="360" w:lineRule="auto"/>
              <w:jc w:val="center"/>
              <w:rPr>
                <w:rFonts w:hint="eastAsia" w:ascii="宋体" w:hAnsi="宋体" w:eastAsia="宋体" w:cs="宋体"/>
                <w:color w:val="auto"/>
                <w:sz w:val="20"/>
                <w:szCs w:val="20"/>
                <w:highlight w:val="none"/>
              </w:rPr>
            </w:pPr>
          </w:p>
        </w:tc>
        <w:tc>
          <w:tcPr>
            <w:tcW w:w="719" w:type="dxa"/>
          </w:tcPr>
          <w:p w14:paraId="058A4357">
            <w:pPr>
              <w:spacing w:line="360" w:lineRule="auto"/>
              <w:jc w:val="center"/>
              <w:rPr>
                <w:rFonts w:hint="eastAsia" w:ascii="宋体" w:hAnsi="宋体" w:eastAsia="宋体" w:cs="宋体"/>
                <w:color w:val="auto"/>
                <w:sz w:val="20"/>
                <w:szCs w:val="20"/>
                <w:highlight w:val="none"/>
              </w:rPr>
            </w:pPr>
          </w:p>
        </w:tc>
        <w:tc>
          <w:tcPr>
            <w:tcW w:w="721" w:type="dxa"/>
          </w:tcPr>
          <w:p w14:paraId="7BAF84CD">
            <w:pPr>
              <w:spacing w:line="360" w:lineRule="auto"/>
              <w:jc w:val="center"/>
              <w:rPr>
                <w:rFonts w:hint="eastAsia" w:ascii="宋体" w:hAnsi="宋体" w:eastAsia="宋体" w:cs="宋体"/>
                <w:color w:val="auto"/>
                <w:sz w:val="20"/>
                <w:szCs w:val="20"/>
                <w:highlight w:val="none"/>
              </w:rPr>
            </w:pPr>
          </w:p>
        </w:tc>
        <w:tc>
          <w:tcPr>
            <w:tcW w:w="719" w:type="dxa"/>
          </w:tcPr>
          <w:p w14:paraId="3D0982B2">
            <w:pPr>
              <w:spacing w:line="360" w:lineRule="auto"/>
              <w:jc w:val="center"/>
              <w:rPr>
                <w:rFonts w:hint="eastAsia" w:ascii="宋体" w:hAnsi="宋体" w:eastAsia="宋体" w:cs="宋体"/>
                <w:color w:val="auto"/>
                <w:sz w:val="20"/>
                <w:szCs w:val="20"/>
                <w:highlight w:val="none"/>
              </w:rPr>
            </w:pPr>
          </w:p>
        </w:tc>
        <w:tc>
          <w:tcPr>
            <w:tcW w:w="2523" w:type="dxa"/>
          </w:tcPr>
          <w:p w14:paraId="48B26575">
            <w:pPr>
              <w:spacing w:line="360" w:lineRule="auto"/>
              <w:jc w:val="center"/>
              <w:rPr>
                <w:rFonts w:hint="eastAsia" w:ascii="宋体" w:hAnsi="宋体" w:eastAsia="宋体" w:cs="宋体"/>
                <w:color w:val="auto"/>
                <w:sz w:val="20"/>
                <w:szCs w:val="20"/>
                <w:highlight w:val="none"/>
              </w:rPr>
            </w:pPr>
          </w:p>
        </w:tc>
        <w:tc>
          <w:tcPr>
            <w:tcW w:w="672" w:type="dxa"/>
          </w:tcPr>
          <w:p w14:paraId="33B2A5F5">
            <w:pPr>
              <w:spacing w:line="360" w:lineRule="auto"/>
              <w:jc w:val="center"/>
              <w:rPr>
                <w:rFonts w:hint="eastAsia" w:ascii="宋体" w:hAnsi="宋体" w:eastAsia="宋体" w:cs="宋体"/>
                <w:color w:val="auto"/>
                <w:sz w:val="20"/>
                <w:szCs w:val="20"/>
                <w:highlight w:val="none"/>
              </w:rPr>
            </w:pPr>
          </w:p>
        </w:tc>
      </w:tr>
      <w:tr w14:paraId="330C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69A6F596">
            <w:pPr>
              <w:spacing w:line="360" w:lineRule="auto"/>
              <w:jc w:val="center"/>
              <w:rPr>
                <w:rFonts w:hint="eastAsia" w:ascii="宋体" w:hAnsi="宋体" w:eastAsia="宋体" w:cs="宋体"/>
                <w:color w:val="auto"/>
                <w:sz w:val="20"/>
                <w:szCs w:val="20"/>
                <w:highlight w:val="none"/>
              </w:rPr>
            </w:pPr>
          </w:p>
        </w:tc>
        <w:tc>
          <w:tcPr>
            <w:tcW w:w="721" w:type="dxa"/>
          </w:tcPr>
          <w:p w14:paraId="5011F3A5">
            <w:pPr>
              <w:spacing w:line="360" w:lineRule="auto"/>
              <w:jc w:val="center"/>
              <w:rPr>
                <w:rFonts w:hint="eastAsia" w:ascii="宋体" w:hAnsi="宋体" w:eastAsia="宋体" w:cs="宋体"/>
                <w:color w:val="auto"/>
                <w:sz w:val="20"/>
                <w:szCs w:val="20"/>
                <w:highlight w:val="none"/>
              </w:rPr>
            </w:pPr>
          </w:p>
        </w:tc>
        <w:tc>
          <w:tcPr>
            <w:tcW w:w="719" w:type="dxa"/>
          </w:tcPr>
          <w:p w14:paraId="4962C784">
            <w:pPr>
              <w:spacing w:line="360" w:lineRule="auto"/>
              <w:jc w:val="center"/>
              <w:rPr>
                <w:rFonts w:hint="eastAsia" w:ascii="宋体" w:hAnsi="宋体" w:eastAsia="宋体" w:cs="宋体"/>
                <w:color w:val="auto"/>
                <w:sz w:val="20"/>
                <w:szCs w:val="20"/>
                <w:highlight w:val="none"/>
              </w:rPr>
            </w:pPr>
          </w:p>
        </w:tc>
        <w:tc>
          <w:tcPr>
            <w:tcW w:w="1081" w:type="dxa"/>
          </w:tcPr>
          <w:p w14:paraId="56BCD7C6">
            <w:pPr>
              <w:spacing w:line="360" w:lineRule="auto"/>
              <w:jc w:val="center"/>
              <w:rPr>
                <w:rFonts w:hint="eastAsia" w:ascii="宋体" w:hAnsi="宋体" w:eastAsia="宋体" w:cs="宋体"/>
                <w:color w:val="auto"/>
                <w:sz w:val="20"/>
                <w:szCs w:val="20"/>
                <w:highlight w:val="none"/>
              </w:rPr>
            </w:pPr>
          </w:p>
        </w:tc>
        <w:tc>
          <w:tcPr>
            <w:tcW w:w="719" w:type="dxa"/>
          </w:tcPr>
          <w:p w14:paraId="50D448C9">
            <w:pPr>
              <w:spacing w:line="360" w:lineRule="auto"/>
              <w:jc w:val="center"/>
              <w:rPr>
                <w:rFonts w:hint="eastAsia" w:ascii="宋体" w:hAnsi="宋体" w:eastAsia="宋体" w:cs="宋体"/>
                <w:color w:val="auto"/>
                <w:sz w:val="20"/>
                <w:szCs w:val="20"/>
                <w:highlight w:val="none"/>
              </w:rPr>
            </w:pPr>
          </w:p>
        </w:tc>
        <w:tc>
          <w:tcPr>
            <w:tcW w:w="721" w:type="dxa"/>
          </w:tcPr>
          <w:p w14:paraId="2971BB24">
            <w:pPr>
              <w:spacing w:line="360" w:lineRule="auto"/>
              <w:jc w:val="center"/>
              <w:rPr>
                <w:rFonts w:hint="eastAsia" w:ascii="宋体" w:hAnsi="宋体" w:eastAsia="宋体" w:cs="宋体"/>
                <w:color w:val="auto"/>
                <w:sz w:val="20"/>
                <w:szCs w:val="20"/>
                <w:highlight w:val="none"/>
              </w:rPr>
            </w:pPr>
          </w:p>
        </w:tc>
        <w:tc>
          <w:tcPr>
            <w:tcW w:w="719" w:type="dxa"/>
          </w:tcPr>
          <w:p w14:paraId="5F33877E">
            <w:pPr>
              <w:spacing w:line="360" w:lineRule="auto"/>
              <w:jc w:val="center"/>
              <w:rPr>
                <w:rFonts w:hint="eastAsia" w:ascii="宋体" w:hAnsi="宋体" w:eastAsia="宋体" w:cs="宋体"/>
                <w:color w:val="auto"/>
                <w:sz w:val="20"/>
                <w:szCs w:val="20"/>
                <w:highlight w:val="none"/>
              </w:rPr>
            </w:pPr>
          </w:p>
        </w:tc>
        <w:tc>
          <w:tcPr>
            <w:tcW w:w="2523" w:type="dxa"/>
          </w:tcPr>
          <w:p w14:paraId="26AE30B0">
            <w:pPr>
              <w:spacing w:line="360" w:lineRule="auto"/>
              <w:jc w:val="center"/>
              <w:rPr>
                <w:rFonts w:hint="eastAsia" w:ascii="宋体" w:hAnsi="宋体" w:eastAsia="宋体" w:cs="宋体"/>
                <w:color w:val="auto"/>
                <w:sz w:val="20"/>
                <w:szCs w:val="20"/>
                <w:highlight w:val="none"/>
              </w:rPr>
            </w:pPr>
          </w:p>
        </w:tc>
        <w:tc>
          <w:tcPr>
            <w:tcW w:w="672" w:type="dxa"/>
          </w:tcPr>
          <w:p w14:paraId="24ABB02D">
            <w:pPr>
              <w:spacing w:line="360" w:lineRule="auto"/>
              <w:jc w:val="center"/>
              <w:rPr>
                <w:rFonts w:hint="eastAsia" w:ascii="宋体" w:hAnsi="宋体" w:eastAsia="宋体" w:cs="宋体"/>
                <w:color w:val="auto"/>
                <w:sz w:val="20"/>
                <w:szCs w:val="20"/>
                <w:highlight w:val="none"/>
              </w:rPr>
            </w:pPr>
          </w:p>
        </w:tc>
      </w:tr>
      <w:tr w14:paraId="1FB5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65ACF883">
            <w:pPr>
              <w:spacing w:line="360" w:lineRule="auto"/>
              <w:jc w:val="center"/>
              <w:rPr>
                <w:rFonts w:hint="eastAsia" w:ascii="宋体" w:hAnsi="宋体" w:eastAsia="宋体" w:cs="宋体"/>
                <w:color w:val="auto"/>
                <w:sz w:val="20"/>
                <w:szCs w:val="20"/>
                <w:highlight w:val="none"/>
              </w:rPr>
            </w:pPr>
          </w:p>
        </w:tc>
        <w:tc>
          <w:tcPr>
            <w:tcW w:w="721" w:type="dxa"/>
          </w:tcPr>
          <w:p w14:paraId="35EE0A08">
            <w:pPr>
              <w:spacing w:line="360" w:lineRule="auto"/>
              <w:jc w:val="center"/>
              <w:rPr>
                <w:rFonts w:hint="eastAsia" w:ascii="宋体" w:hAnsi="宋体" w:eastAsia="宋体" w:cs="宋体"/>
                <w:color w:val="auto"/>
                <w:sz w:val="20"/>
                <w:szCs w:val="20"/>
                <w:highlight w:val="none"/>
              </w:rPr>
            </w:pPr>
          </w:p>
        </w:tc>
        <w:tc>
          <w:tcPr>
            <w:tcW w:w="719" w:type="dxa"/>
          </w:tcPr>
          <w:p w14:paraId="60AF4040">
            <w:pPr>
              <w:spacing w:line="360" w:lineRule="auto"/>
              <w:jc w:val="center"/>
              <w:rPr>
                <w:rFonts w:hint="eastAsia" w:ascii="宋体" w:hAnsi="宋体" w:eastAsia="宋体" w:cs="宋体"/>
                <w:color w:val="auto"/>
                <w:sz w:val="20"/>
                <w:szCs w:val="20"/>
                <w:highlight w:val="none"/>
              </w:rPr>
            </w:pPr>
          </w:p>
        </w:tc>
        <w:tc>
          <w:tcPr>
            <w:tcW w:w="1081" w:type="dxa"/>
          </w:tcPr>
          <w:p w14:paraId="7776C2D6">
            <w:pPr>
              <w:spacing w:line="360" w:lineRule="auto"/>
              <w:jc w:val="center"/>
              <w:rPr>
                <w:rFonts w:hint="eastAsia" w:ascii="宋体" w:hAnsi="宋体" w:eastAsia="宋体" w:cs="宋体"/>
                <w:color w:val="auto"/>
                <w:sz w:val="20"/>
                <w:szCs w:val="20"/>
                <w:highlight w:val="none"/>
              </w:rPr>
            </w:pPr>
          </w:p>
        </w:tc>
        <w:tc>
          <w:tcPr>
            <w:tcW w:w="719" w:type="dxa"/>
          </w:tcPr>
          <w:p w14:paraId="18C48816">
            <w:pPr>
              <w:spacing w:line="360" w:lineRule="auto"/>
              <w:jc w:val="center"/>
              <w:rPr>
                <w:rFonts w:hint="eastAsia" w:ascii="宋体" w:hAnsi="宋体" w:eastAsia="宋体" w:cs="宋体"/>
                <w:color w:val="auto"/>
                <w:sz w:val="20"/>
                <w:szCs w:val="20"/>
                <w:highlight w:val="none"/>
              </w:rPr>
            </w:pPr>
          </w:p>
        </w:tc>
        <w:tc>
          <w:tcPr>
            <w:tcW w:w="721" w:type="dxa"/>
          </w:tcPr>
          <w:p w14:paraId="79BA615B">
            <w:pPr>
              <w:spacing w:line="360" w:lineRule="auto"/>
              <w:jc w:val="center"/>
              <w:rPr>
                <w:rFonts w:hint="eastAsia" w:ascii="宋体" w:hAnsi="宋体" w:eastAsia="宋体" w:cs="宋体"/>
                <w:color w:val="auto"/>
                <w:sz w:val="20"/>
                <w:szCs w:val="20"/>
                <w:highlight w:val="none"/>
              </w:rPr>
            </w:pPr>
          </w:p>
        </w:tc>
        <w:tc>
          <w:tcPr>
            <w:tcW w:w="719" w:type="dxa"/>
          </w:tcPr>
          <w:p w14:paraId="1DC423A3">
            <w:pPr>
              <w:spacing w:line="360" w:lineRule="auto"/>
              <w:jc w:val="center"/>
              <w:rPr>
                <w:rFonts w:hint="eastAsia" w:ascii="宋体" w:hAnsi="宋体" w:eastAsia="宋体" w:cs="宋体"/>
                <w:color w:val="auto"/>
                <w:sz w:val="20"/>
                <w:szCs w:val="20"/>
                <w:highlight w:val="none"/>
              </w:rPr>
            </w:pPr>
          </w:p>
        </w:tc>
        <w:tc>
          <w:tcPr>
            <w:tcW w:w="2523" w:type="dxa"/>
          </w:tcPr>
          <w:p w14:paraId="0841778B">
            <w:pPr>
              <w:spacing w:line="360" w:lineRule="auto"/>
              <w:jc w:val="center"/>
              <w:rPr>
                <w:rFonts w:hint="eastAsia" w:ascii="宋体" w:hAnsi="宋体" w:eastAsia="宋体" w:cs="宋体"/>
                <w:color w:val="auto"/>
                <w:sz w:val="20"/>
                <w:szCs w:val="20"/>
                <w:highlight w:val="none"/>
              </w:rPr>
            </w:pPr>
          </w:p>
        </w:tc>
        <w:tc>
          <w:tcPr>
            <w:tcW w:w="672" w:type="dxa"/>
          </w:tcPr>
          <w:p w14:paraId="3F071C6F">
            <w:pPr>
              <w:spacing w:line="360" w:lineRule="auto"/>
              <w:jc w:val="center"/>
              <w:rPr>
                <w:rFonts w:hint="eastAsia" w:ascii="宋体" w:hAnsi="宋体" w:eastAsia="宋体" w:cs="宋体"/>
                <w:color w:val="auto"/>
                <w:sz w:val="20"/>
                <w:szCs w:val="20"/>
                <w:highlight w:val="none"/>
              </w:rPr>
            </w:pPr>
          </w:p>
        </w:tc>
      </w:tr>
      <w:tr w14:paraId="5597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6C4C8C67">
            <w:pPr>
              <w:spacing w:line="360" w:lineRule="auto"/>
              <w:jc w:val="center"/>
              <w:rPr>
                <w:rFonts w:hint="eastAsia" w:ascii="宋体" w:hAnsi="宋体" w:eastAsia="宋体" w:cs="宋体"/>
                <w:color w:val="auto"/>
                <w:sz w:val="20"/>
                <w:szCs w:val="20"/>
                <w:highlight w:val="none"/>
              </w:rPr>
            </w:pPr>
          </w:p>
        </w:tc>
        <w:tc>
          <w:tcPr>
            <w:tcW w:w="721" w:type="dxa"/>
          </w:tcPr>
          <w:p w14:paraId="36315E4F">
            <w:pPr>
              <w:spacing w:line="360" w:lineRule="auto"/>
              <w:jc w:val="center"/>
              <w:rPr>
                <w:rFonts w:hint="eastAsia" w:ascii="宋体" w:hAnsi="宋体" w:eastAsia="宋体" w:cs="宋体"/>
                <w:color w:val="auto"/>
                <w:sz w:val="20"/>
                <w:szCs w:val="20"/>
                <w:highlight w:val="none"/>
              </w:rPr>
            </w:pPr>
          </w:p>
        </w:tc>
        <w:tc>
          <w:tcPr>
            <w:tcW w:w="719" w:type="dxa"/>
          </w:tcPr>
          <w:p w14:paraId="3B0A16A3">
            <w:pPr>
              <w:spacing w:line="360" w:lineRule="auto"/>
              <w:jc w:val="center"/>
              <w:rPr>
                <w:rFonts w:hint="eastAsia" w:ascii="宋体" w:hAnsi="宋体" w:eastAsia="宋体" w:cs="宋体"/>
                <w:color w:val="auto"/>
                <w:sz w:val="20"/>
                <w:szCs w:val="20"/>
                <w:highlight w:val="none"/>
              </w:rPr>
            </w:pPr>
          </w:p>
        </w:tc>
        <w:tc>
          <w:tcPr>
            <w:tcW w:w="1081" w:type="dxa"/>
          </w:tcPr>
          <w:p w14:paraId="38AD375E">
            <w:pPr>
              <w:spacing w:line="360" w:lineRule="auto"/>
              <w:jc w:val="center"/>
              <w:rPr>
                <w:rFonts w:hint="eastAsia" w:ascii="宋体" w:hAnsi="宋体" w:eastAsia="宋体" w:cs="宋体"/>
                <w:color w:val="auto"/>
                <w:sz w:val="20"/>
                <w:szCs w:val="20"/>
                <w:highlight w:val="none"/>
              </w:rPr>
            </w:pPr>
          </w:p>
        </w:tc>
        <w:tc>
          <w:tcPr>
            <w:tcW w:w="719" w:type="dxa"/>
          </w:tcPr>
          <w:p w14:paraId="5E39FBB4">
            <w:pPr>
              <w:spacing w:line="360" w:lineRule="auto"/>
              <w:jc w:val="center"/>
              <w:rPr>
                <w:rFonts w:hint="eastAsia" w:ascii="宋体" w:hAnsi="宋体" w:eastAsia="宋体" w:cs="宋体"/>
                <w:color w:val="auto"/>
                <w:sz w:val="20"/>
                <w:szCs w:val="20"/>
                <w:highlight w:val="none"/>
              </w:rPr>
            </w:pPr>
          </w:p>
        </w:tc>
        <w:tc>
          <w:tcPr>
            <w:tcW w:w="721" w:type="dxa"/>
          </w:tcPr>
          <w:p w14:paraId="5F862E8A">
            <w:pPr>
              <w:spacing w:line="360" w:lineRule="auto"/>
              <w:jc w:val="center"/>
              <w:rPr>
                <w:rFonts w:hint="eastAsia" w:ascii="宋体" w:hAnsi="宋体" w:eastAsia="宋体" w:cs="宋体"/>
                <w:color w:val="auto"/>
                <w:sz w:val="20"/>
                <w:szCs w:val="20"/>
                <w:highlight w:val="none"/>
              </w:rPr>
            </w:pPr>
          </w:p>
        </w:tc>
        <w:tc>
          <w:tcPr>
            <w:tcW w:w="719" w:type="dxa"/>
          </w:tcPr>
          <w:p w14:paraId="785D1401">
            <w:pPr>
              <w:spacing w:line="360" w:lineRule="auto"/>
              <w:jc w:val="center"/>
              <w:rPr>
                <w:rFonts w:hint="eastAsia" w:ascii="宋体" w:hAnsi="宋体" w:eastAsia="宋体" w:cs="宋体"/>
                <w:color w:val="auto"/>
                <w:sz w:val="20"/>
                <w:szCs w:val="20"/>
                <w:highlight w:val="none"/>
              </w:rPr>
            </w:pPr>
          </w:p>
        </w:tc>
        <w:tc>
          <w:tcPr>
            <w:tcW w:w="2523" w:type="dxa"/>
          </w:tcPr>
          <w:p w14:paraId="0FC68990">
            <w:pPr>
              <w:spacing w:line="360" w:lineRule="auto"/>
              <w:jc w:val="center"/>
              <w:rPr>
                <w:rFonts w:hint="eastAsia" w:ascii="宋体" w:hAnsi="宋体" w:eastAsia="宋体" w:cs="宋体"/>
                <w:color w:val="auto"/>
                <w:sz w:val="20"/>
                <w:szCs w:val="20"/>
                <w:highlight w:val="none"/>
              </w:rPr>
            </w:pPr>
          </w:p>
        </w:tc>
        <w:tc>
          <w:tcPr>
            <w:tcW w:w="672" w:type="dxa"/>
          </w:tcPr>
          <w:p w14:paraId="1F5E925B">
            <w:pPr>
              <w:spacing w:line="360" w:lineRule="auto"/>
              <w:jc w:val="center"/>
              <w:rPr>
                <w:rFonts w:hint="eastAsia" w:ascii="宋体" w:hAnsi="宋体" w:eastAsia="宋体" w:cs="宋体"/>
                <w:color w:val="auto"/>
                <w:sz w:val="20"/>
                <w:szCs w:val="20"/>
                <w:highlight w:val="none"/>
              </w:rPr>
            </w:pPr>
          </w:p>
        </w:tc>
      </w:tr>
      <w:tr w14:paraId="335E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25E78ED8">
            <w:pPr>
              <w:spacing w:line="360" w:lineRule="auto"/>
              <w:jc w:val="center"/>
              <w:rPr>
                <w:rFonts w:hint="eastAsia" w:ascii="宋体" w:hAnsi="宋体" w:eastAsia="宋体" w:cs="宋体"/>
                <w:color w:val="auto"/>
                <w:sz w:val="20"/>
                <w:szCs w:val="20"/>
                <w:highlight w:val="none"/>
              </w:rPr>
            </w:pPr>
          </w:p>
        </w:tc>
        <w:tc>
          <w:tcPr>
            <w:tcW w:w="721" w:type="dxa"/>
          </w:tcPr>
          <w:p w14:paraId="79615DA8">
            <w:pPr>
              <w:spacing w:line="360" w:lineRule="auto"/>
              <w:jc w:val="center"/>
              <w:rPr>
                <w:rFonts w:hint="eastAsia" w:ascii="宋体" w:hAnsi="宋体" w:eastAsia="宋体" w:cs="宋体"/>
                <w:color w:val="auto"/>
                <w:sz w:val="20"/>
                <w:szCs w:val="20"/>
                <w:highlight w:val="none"/>
              </w:rPr>
            </w:pPr>
          </w:p>
        </w:tc>
        <w:tc>
          <w:tcPr>
            <w:tcW w:w="719" w:type="dxa"/>
          </w:tcPr>
          <w:p w14:paraId="450CA2EC">
            <w:pPr>
              <w:spacing w:line="360" w:lineRule="auto"/>
              <w:jc w:val="center"/>
              <w:rPr>
                <w:rFonts w:hint="eastAsia" w:ascii="宋体" w:hAnsi="宋体" w:eastAsia="宋体" w:cs="宋体"/>
                <w:color w:val="auto"/>
                <w:sz w:val="20"/>
                <w:szCs w:val="20"/>
                <w:highlight w:val="none"/>
              </w:rPr>
            </w:pPr>
          </w:p>
        </w:tc>
        <w:tc>
          <w:tcPr>
            <w:tcW w:w="1081" w:type="dxa"/>
          </w:tcPr>
          <w:p w14:paraId="7CFAE893">
            <w:pPr>
              <w:spacing w:line="360" w:lineRule="auto"/>
              <w:jc w:val="center"/>
              <w:rPr>
                <w:rFonts w:hint="eastAsia" w:ascii="宋体" w:hAnsi="宋体" w:eastAsia="宋体" w:cs="宋体"/>
                <w:color w:val="auto"/>
                <w:sz w:val="20"/>
                <w:szCs w:val="20"/>
                <w:highlight w:val="none"/>
              </w:rPr>
            </w:pPr>
          </w:p>
        </w:tc>
        <w:tc>
          <w:tcPr>
            <w:tcW w:w="719" w:type="dxa"/>
          </w:tcPr>
          <w:p w14:paraId="6DECF0DF">
            <w:pPr>
              <w:spacing w:line="360" w:lineRule="auto"/>
              <w:jc w:val="center"/>
              <w:rPr>
                <w:rFonts w:hint="eastAsia" w:ascii="宋体" w:hAnsi="宋体" w:eastAsia="宋体" w:cs="宋体"/>
                <w:color w:val="auto"/>
                <w:sz w:val="20"/>
                <w:szCs w:val="20"/>
                <w:highlight w:val="none"/>
              </w:rPr>
            </w:pPr>
          </w:p>
        </w:tc>
        <w:tc>
          <w:tcPr>
            <w:tcW w:w="721" w:type="dxa"/>
          </w:tcPr>
          <w:p w14:paraId="5176C6E3">
            <w:pPr>
              <w:spacing w:line="360" w:lineRule="auto"/>
              <w:jc w:val="center"/>
              <w:rPr>
                <w:rFonts w:hint="eastAsia" w:ascii="宋体" w:hAnsi="宋体" w:eastAsia="宋体" w:cs="宋体"/>
                <w:color w:val="auto"/>
                <w:sz w:val="20"/>
                <w:szCs w:val="20"/>
                <w:highlight w:val="none"/>
              </w:rPr>
            </w:pPr>
          </w:p>
        </w:tc>
        <w:tc>
          <w:tcPr>
            <w:tcW w:w="719" w:type="dxa"/>
          </w:tcPr>
          <w:p w14:paraId="108DAE57">
            <w:pPr>
              <w:spacing w:line="360" w:lineRule="auto"/>
              <w:jc w:val="center"/>
              <w:rPr>
                <w:rFonts w:hint="eastAsia" w:ascii="宋体" w:hAnsi="宋体" w:eastAsia="宋体" w:cs="宋体"/>
                <w:color w:val="auto"/>
                <w:sz w:val="20"/>
                <w:szCs w:val="20"/>
                <w:highlight w:val="none"/>
              </w:rPr>
            </w:pPr>
          </w:p>
        </w:tc>
        <w:tc>
          <w:tcPr>
            <w:tcW w:w="2523" w:type="dxa"/>
          </w:tcPr>
          <w:p w14:paraId="40CB8404">
            <w:pPr>
              <w:spacing w:line="360" w:lineRule="auto"/>
              <w:jc w:val="center"/>
              <w:rPr>
                <w:rFonts w:hint="eastAsia" w:ascii="宋体" w:hAnsi="宋体" w:eastAsia="宋体" w:cs="宋体"/>
                <w:color w:val="auto"/>
                <w:sz w:val="20"/>
                <w:szCs w:val="20"/>
                <w:highlight w:val="none"/>
              </w:rPr>
            </w:pPr>
          </w:p>
        </w:tc>
        <w:tc>
          <w:tcPr>
            <w:tcW w:w="672" w:type="dxa"/>
          </w:tcPr>
          <w:p w14:paraId="4C75C133">
            <w:pPr>
              <w:spacing w:line="360" w:lineRule="auto"/>
              <w:jc w:val="center"/>
              <w:rPr>
                <w:rFonts w:hint="eastAsia" w:ascii="宋体" w:hAnsi="宋体" w:eastAsia="宋体" w:cs="宋体"/>
                <w:color w:val="auto"/>
                <w:sz w:val="20"/>
                <w:szCs w:val="20"/>
                <w:highlight w:val="none"/>
              </w:rPr>
            </w:pPr>
          </w:p>
        </w:tc>
      </w:tr>
      <w:tr w14:paraId="0645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5434CA27">
            <w:pPr>
              <w:spacing w:line="360" w:lineRule="auto"/>
              <w:jc w:val="center"/>
              <w:rPr>
                <w:rFonts w:hint="eastAsia" w:ascii="宋体" w:hAnsi="宋体" w:eastAsia="宋体" w:cs="宋体"/>
                <w:color w:val="auto"/>
                <w:sz w:val="20"/>
                <w:szCs w:val="20"/>
                <w:highlight w:val="none"/>
              </w:rPr>
            </w:pPr>
          </w:p>
        </w:tc>
        <w:tc>
          <w:tcPr>
            <w:tcW w:w="721" w:type="dxa"/>
          </w:tcPr>
          <w:p w14:paraId="687BCB65">
            <w:pPr>
              <w:spacing w:line="360" w:lineRule="auto"/>
              <w:jc w:val="center"/>
              <w:rPr>
                <w:rFonts w:hint="eastAsia" w:ascii="宋体" w:hAnsi="宋体" w:eastAsia="宋体" w:cs="宋体"/>
                <w:color w:val="auto"/>
                <w:sz w:val="20"/>
                <w:szCs w:val="20"/>
                <w:highlight w:val="none"/>
              </w:rPr>
            </w:pPr>
          </w:p>
        </w:tc>
        <w:tc>
          <w:tcPr>
            <w:tcW w:w="719" w:type="dxa"/>
          </w:tcPr>
          <w:p w14:paraId="6D370ACC">
            <w:pPr>
              <w:spacing w:line="360" w:lineRule="auto"/>
              <w:jc w:val="center"/>
              <w:rPr>
                <w:rFonts w:hint="eastAsia" w:ascii="宋体" w:hAnsi="宋体" w:eastAsia="宋体" w:cs="宋体"/>
                <w:color w:val="auto"/>
                <w:sz w:val="20"/>
                <w:szCs w:val="20"/>
                <w:highlight w:val="none"/>
              </w:rPr>
            </w:pPr>
          </w:p>
        </w:tc>
        <w:tc>
          <w:tcPr>
            <w:tcW w:w="1081" w:type="dxa"/>
          </w:tcPr>
          <w:p w14:paraId="7B86EAD6">
            <w:pPr>
              <w:spacing w:line="360" w:lineRule="auto"/>
              <w:jc w:val="center"/>
              <w:rPr>
                <w:rFonts w:hint="eastAsia" w:ascii="宋体" w:hAnsi="宋体" w:eastAsia="宋体" w:cs="宋体"/>
                <w:color w:val="auto"/>
                <w:sz w:val="20"/>
                <w:szCs w:val="20"/>
                <w:highlight w:val="none"/>
              </w:rPr>
            </w:pPr>
          </w:p>
        </w:tc>
        <w:tc>
          <w:tcPr>
            <w:tcW w:w="719" w:type="dxa"/>
          </w:tcPr>
          <w:p w14:paraId="4E3404D0">
            <w:pPr>
              <w:spacing w:line="360" w:lineRule="auto"/>
              <w:jc w:val="center"/>
              <w:rPr>
                <w:rFonts w:hint="eastAsia" w:ascii="宋体" w:hAnsi="宋体" w:eastAsia="宋体" w:cs="宋体"/>
                <w:color w:val="auto"/>
                <w:sz w:val="20"/>
                <w:szCs w:val="20"/>
                <w:highlight w:val="none"/>
              </w:rPr>
            </w:pPr>
          </w:p>
        </w:tc>
        <w:tc>
          <w:tcPr>
            <w:tcW w:w="721" w:type="dxa"/>
          </w:tcPr>
          <w:p w14:paraId="138B902F">
            <w:pPr>
              <w:spacing w:line="360" w:lineRule="auto"/>
              <w:jc w:val="center"/>
              <w:rPr>
                <w:rFonts w:hint="eastAsia" w:ascii="宋体" w:hAnsi="宋体" w:eastAsia="宋体" w:cs="宋体"/>
                <w:color w:val="auto"/>
                <w:sz w:val="20"/>
                <w:szCs w:val="20"/>
                <w:highlight w:val="none"/>
              </w:rPr>
            </w:pPr>
          </w:p>
        </w:tc>
        <w:tc>
          <w:tcPr>
            <w:tcW w:w="719" w:type="dxa"/>
          </w:tcPr>
          <w:p w14:paraId="57669B1F">
            <w:pPr>
              <w:spacing w:line="360" w:lineRule="auto"/>
              <w:jc w:val="center"/>
              <w:rPr>
                <w:rFonts w:hint="eastAsia" w:ascii="宋体" w:hAnsi="宋体" w:eastAsia="宋体" w:cs="宋体"/>
                <w:color w:val="auto"/>
                <w:sz w:val="20"/>
                <w:szCs w:val="20"/>
                <w:highlight w:val="none"/>
              </w:rPr>
            </w:pPr>
          </w:p>
        </w:tc>
        <w:tc>
          <w:tcPr>
            <w:tcW w:w="2523" w:type="dxa"/>
          </w:tcPr>
          <w:p w14:paraId="3059BB61">
            <w:pPr>
              <w:spacing w:line="360" w:lineRule="auto"/>
              <w:jc w:val="center"/>
              <w:rPr>
                <w:rFonts w:hint="eastAsia" w:ascii="宋体" w:hAnsi="宋体" w:eastAsia="宋体" w:cs="宋体"/>
                <w:color w:val="auto"/>
                <w:sz w:val="20"/>
                <w:szCs w:val="20"/>
                <w:highlight w:val="none"/>
              </w:rPr>
            </w:pPr>
          </w:p>
        </w:tc>
        <w:tc>
          <w:tcPr>
            <w:tcW w:w="672" w:type="dxa"/>
          </w:tcPr>
          <w:p w14:paraId="02D909D6">
            <w:pPr>
              <w:spacing w:line="360" w:lineRule="auto"/>
              <w:jc w:val="center"/>
              <w:rPr>
                <w:rFonts w:hint="eastAsia" w:ascii="宋体" w:hAnsi="宋体" w:eastAsia="宋体" w:cs="宋体"/>
                <w:color w:val="auto"/>
                <w:sz w:val="20"/>
                <w:szCs w:val="20"/>
                <w:highlight w:val="none"/>
              </w:rPr>
            </w:pPr>
          </w:p>
        </w:tc>
      </w:tr>
      <w:tr w14:paraId="3CDA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7F3AC438">
            <w:pPr>
              <w:spacing w:line="360" w:lineRule="auto"/>
              <w:jc w:val="center"/>
              <w:rPr>
                <w:rFonts w:hint="eastAsia" w:ascii="宋体" w:hAnsi="宋体" w:eastAsia="宋体" w:cs="宋体"/>
                <w:color w:val="auto"/>
                <w:sz w:val="20"/>
                <w:szCs w:val="20"/>
                <w:highlight w:val="none"/>
              </w:rPr>
            </w:pPr>
          </w:p>
        </w:tc>
        <w:tc>
          <w:tcPr>
            <w:tcW w:w="721" w:type="dxa"/>
          </w:tcPr>
          <w:p w14:paraId="5FB50B63">
            <w:pPr>
              <w:spacing w:line="360" w:lineRule="auto"/>
              <w:jc w:val="center"/>
              <w:rPr>
                <w:rFonts w:hint="eastAsia" w:ascii="宋体" w:hAnsi="宋体" w:eastAsia="宋体" w:cs="宋体"/>
                <w:color w:val="auto"/>
                <w:sz w:val="20"/>
                <w:szCs w:val="20"/>
                <w:highlight w:val="none"/>
              </w:rPr>
            </w:pPr>
          </w:p>
        </w:tc>
        <w:tc>
          <w:tcPr>
            <w:tcW w:w="719" w:type="dxa"/>
          </w:tcPr>
          <w:p w14:paraId="687D7BEE">
            <w:pPr>
              <w:spacing w:line="360" w:lineRule="auto"/>
              <w:jc w:val="center"/>
              <w:rPr>
                <w:rFonts w:hint="eastAsia" w:ascii="宋体" w:hAnsi="宋体" w:eastAsia="宋体" w:cs="宋体"/>
                <w:color w:val="auto"/>
                <w:sz w:val="20"/>
                <w:szCs w:val="20"/>
                <w:highlight w:val="none"/>
              </w:rPr>
            </w:pPr>
          </w:p>
        </w:tc>
        <w:tc>
          <w:tcPr>
            <w:tcW w:w="1081" w:type="dxa"/>
          </w:tcPr>
          <w:p w14:paraId="443A6142">
            <w:pPr>
              <w:spacing w:line="360" w:lineRule="auto"/>
              <w:jc w:val="center"/>
              <w:rPr>
                <w:rFonts w:hint="eastAsia" w:ascii="宋体" w:hAnsi="宋体" w:eastAsia="宋体" w:cs="宋体"/>
                <w:color w:val="auto"/>
                <w:sz w:val="20"/>
                <w:szCs w:val="20"/>
                <w:highlight w:val="none"/>
              </w:rPr>
            </w:pPr>
          </w:p>
        </w:tc>
        <w:tc>
          <w:tcPr>
            <w:tcW w:w="719" w:type="dxa"/>
          </w:tcPr>
          <w:p w14:paraId="684A7BCB">
            <w:pPr>
              <w:spacing w:line="360" w:lineRule="auto"/>
              <w:jc w:val="center"/>
              <w:rPr>
                <w:rFonts w:hint="eastAsia" w:ascii="宋体" w:hAnsi="宋体" w:eastAsia="宋体" w:cs="宋体"/>
                <w:color w:val="auto"/>
                <w:sz w:val="20"/>
                <w:szCs w:val="20"/>
                <w:highlight w:val="none"/>
              </w:rPr>
            </w:pPr>
          </w:p>
        </w:tc>
        <w:tc>
          <w:tcPr>
            <w:tcW w:w="721" w:type="dxa"/>
          </w:tcPr>
          <w:p w14:paraId="4E748513">
            <w:pPr>
              <w:spacing w:line="360" w:lineRule="auto"/>
              <w:jc w:val="center"/>
              <w:rPr>
                <w:rFonts w:hint="eastAsia" w:ascii="宋体" w:hAnsi="宋体" w:eastAsia="宋体" w:cs="宋体"/>
                <w:color w:val="auto"/>
                <w:sz w:val="20"/>
                <w:szCs w:val="20"/>
                <w:highlight w:val="none"/>
              </w:rPr>
            </w:pPr>
          </w:p>
        </w:tc>
        <w:tc>
          <w:tcPr>
            <w:tcW w:w="719" w:type="dxa"/>
          </w:tcPr>
          <w:p w14:paraId="52436A22">
            <w:pPr>
              <w:spacing w:line="360" w:lineRule="auto"/>
              <w:jc w:val="center"/>
              <w:rPr>
                <w:rFonts w:hint="eastAsia" w:ascii="宋体" w:hAnsi="宋体" w:eastAsia="宋体" w:cs="宋体"/>
                <w:color w:val="auto"/>
                <w:sz w:val="20"/>
                <w:szCs w:val="20"/>
                <w:highlight w:val="none"/>
              </w:rPr>
            </w:pPr>
          </w:p>
        </w:tc>
        <w:tc>
          <w:tcPr>
            <w:tcW w:w="2523" w:type="dxa"/>
          </w:tcPr>
          <w:p w14:paraId="6F02482A">
            <w:pPr>
              <w:spacing w:line="360" w:lineRule="auto"/>
              <w:jc w:val="center"/>
              <w:rPr>
                <w:rFonts w:hint="eastAsia" w:ascii="宋体" w:hAnsi="宋体" w:eastAsia="宋体" w:cs="宋体"/>
                <w:color w:val="auto"/>
                <w:sz w:val="20"/>
                <w:szCs w:val="20"/>
                <w:highlight w:val="none"/>
              </w:rPr>
            </w:pPr>
          </w:p>
        </w:tc>
        <w:tc>
          <w:tcPr>
            <w:tcW w:w="672" w:type="dxa"/>
          </w:tcPr>
          <w:p w14:paraId="0A008E55">
            <w:pPr>
              <w:spacing w:line="360" w:lineRule="auto"/>
              <w:jc w:val="center"/>
              <w:rPr>
                <w:rFonts w:hint="eastAsia" w:ascii="宋体" w:hAnsi="宋体" w:eastAsia="宋体" w:cs="宋体"/>
                <w:color w:val="auto"/>
                <w:sz w:val="20"/>
                <w:szCs w:val="20"/>
                <w:highlight w:val="none"/>
              </w:rPr>
            </w:pPr>
          </w:p>
        </w:tc>
      </w:tr>
      <w:tr w14:paraId="7770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21277566">
            <w:pPr>
              <w:spacing w:line="360" w:lineRule="auto"/>
              <w:jc w:val="center"/>
              <w:rPr>
                <w:rFonts w:hint="eastAsia" w:ascii="宋体" w:hAnsi="宋体" w:eastAsia="宋体" w:cs="宋体"/>
                <w:color w:val="auto"/>
                <w:sz w:val="20"/>
                <w:szCs w:val="20"/>
                <w:highlight w:val="none"/>
              </w:rPr>
            </w:pPr>
          </w:p>
        </w:tc>
        <w:tc>
          <w:tcPr>
            <w:tcW w:w="721" w:type="dxa"/>
          </w:tcPr>
          <w:p w14:paraId="30A75BAA">
            <w:pPr>
              <w:spacing w:line="360" w:lineRule="auto"/>
              <w:jc w:val="center"/>
              <w:rPr>
                <w:rFonts w:hint="eastAsia" w:ascii="宋体" w:hAnsi="宋体" w:eastAsia="宋体" w:cs="宋体"/>
                <w:color w:val="auto"/>
                <w:sz w:val="20"/>
                <w:szCs w:val="20"/>
                <w:highlight w:val="none"/>
              </w:rPr>
            </w:pPr>
          </w:p>
        </w:tc>
        <w:tc>
          <w:tcPr>
            <w:tcW w:w="719" w:type="dxa"/>
          </w:tcPr>
          <w:p w14:paraId="6015988A">
            <w:pPr>
              <w:spacing w:line="360" w:lineRule="auto"/>
              <w:jc w:val="center"/>
              <w:rPr>
                <w:rFonts w:hint="eastAsia" w:ascii="宋体" w:hAnsi="宋体" w:eastAsia="宋体" w:cs="宋体"/>
                <w:color w:val="auto"/>
                <w:sz w:val="20"/>
                <w:szCs w:val="20"/>
                <w:highlight w:val="none"/>
              </w:rPr>
            </w:pPr>
          </w:p>
        </w:tc>
        <w:tc>
          <w:tcPr>
            <w:tcW w:w="1081" w:type="dxa"/>
          </w:tcPr>
          <w:p w14:paraId="5E689AFD">
            <w:pPr>
              <w:spacing w:line="360" w:lineRule="auto"/>
              <w:jc w:val="center"/>
              <w:rPr>
                <w:rFonts w:hint="eastAsia" w:ascii="宋体" w:hAnsi="宋体" w:eastAsia="宋体" w:cs="宋体"/>
                <w:color w:val="auto"/>
                <w:sz w:val="20"/>
                <w:szCs w:val="20"/>
                <w:highlight w:val="none"/>
              </w:rPr>
            </w:pPr>
          </w:p>
        </w:tc>
        <w:tc>
          <w:tcPr>
            <w:tcW w:w="719" w:type="dxa"/>
          </w:tcPr>
          <w:p w14:paraId="579FBE40">
            <w:pPr>
              <w:spacing w:line="360" w:lineRule="auto"/>
              <w:jc w:val="center"/>
              <w:rPr>
                <w:rFonts w:hint="eastAsia" w:ascii="宋体" w:hAnsi="宋体" w:eastAsia="宋体" w:cs="宋体"/>
                <w:color w:val="auto"/>
                <w:sz w:val="20"/>
                <w:szCs w:val="20"/>
                <w:highlight w:val="none"/>
              </w:rPr>
            </w:pPr>
          </w:p>
        </w:tc>
        <w:tc>
          <w:tcPr>
            <w:tcW w:w="721" w:type="dxa"/>
          </w:tcPr>
          <w:p w14:paraId="7C702347">
            <w:pPr>
              <w:spacing w:line="360" w:lineRule="auto"/>
              <w:jc w:val="center"/>
              <w:rPr>
                <w:rFonts w:hint="eastAsia" w:ascii="宋体" w:hAnsi="宋体" w:eastAsia="宋体" w:cs="宋体"/>
                <w:color w:val="auto"/>
                <w:sz w:val="20"/>
                <w:szCs w:val="20"/>
                <w:highlight w:val="none"/>
              </w:rPr>
            </w:pPr>
          </w:p>
        </w:tc>
        <w:tc>
          <w:tcPr>
            <w:tcW w:w="719" w:type="dxa"/>
          </w:tcPr>
          <w:p w14:paraId="174176EA">
            <w:pPr>
              <w:spacing w:line="360" w:lineRule="auto"/>
              <w:jc w:val="center"/>
              <w:rPr>
                <w:rFonts w:hint="eastAsia" w:ascii="宋体" w:hAnsi="宋体" w:eastAsia="宋体" w:cs="宋体"/>
                <w:color w:val="auto"/>
                <w:sz w:val="20"/>
                <w:szCs w:val="20"/>
                <w:highlight w:val="none"/>
              </w:rPr>
            </w:pPr>
          </w:p>
        </w:tc>
        <w:tc>
          <w:tcPr>
            <w:tcW w:w="2523" w:type="dxa"/>
          </w:tcPr>
          <w:p w14:paraId="53FA87F5">
            <w:pPr>
              <w:spacing w:line="360" w:lineRule="auto"/>
              <w:jc w:val="center"/>
              <w:rPr>
                <w:rFonts w:hint="eastAsia" w:ascii="宋体" w:hAnsi="宋体" w:eastAsia="宋体" w:cs="宋体"/>
                <w:color w:val="auto"/>
                <w:sz w:val="20"/>
                <w:szCs w:val="20"/>
                <w:highlight w:val="none"/>
              </w:rPr>
            </w:pPr>
          </w:p>
        </w:tc>
        <w:tc>
          <w:tcPr>
            <w:tcW w:w="672" w:type="dxa"/>
          </w:tcPr>
          <w:p w14:paraId="3435B6F7">
            <w:pPr>
              <w:spacing w:line="360" w:lineRule="auto"/>
              <w:jc w:val="center"/>
              <w:rPr>
                <w:rFonts w:hint="eastAsia" w:ascii="宋体" w:hAnsi="宋体" w:eastAsia="宋体" w:cs="宋体"/>
                <w:color w:val="auto"/>
                <w:sz w:val="20"/>
                <w:szCs w:val="20"/>
                <w:highlight w:val="none"/>
              </w:rPr>
            </w:pPr>
          </w:p>
        </w:tc>
      </w:tr>
      <w:tr w14:paraId="4CAE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0EDE742F">
            <w:pPr>
              <w:spacing w:line="360" w:lineRule="auto"/>
              <w:jc w:val="center"/>
              <w:rPr>
                <w:rFonts w:hint="eastAsia" w:ascii="宋体" w:hAnsi="宋体" w:eastAsia="宋体" w:cs="宋体"/>
                <w:color w:val="auto"/>
                <w:sz w:val="20"/>
                <w:szCs w:val="20"/>
                <w:highlight w:val="none"/>
              </w:rPr>
            </w:pPr>
          </w:p>
        </w:tc>
        <w:tc>
          <w:tcPr>
            <w:tcW w:w="721" w:type="dxa"/>
          </w:tcPr>
          <w:p w14:paraId="116862CB">
            <w:pPr>
              <w:spacing w:line="360" w:lineRule="auto"/>
              <w:jc w:val="center"/>
              <w:rPr>
                <w:rFonts w:hint="eastAsia" w:ascii="宋体" w:hAnsi="宋体" w:eastAsia="宋体" w:cs="宋体"/>
                <w:color w:val="auto"/>
                <w:sz w:val="20"/>
                <w:szCs w:val="20"/>
                <w:highlight w:val="none"/>
              </w:rPr>
            </w:pPr>
          </w:p>
        </w:tc>
        <w:tc>
          <w:tcPr>
            <w:tcW w:w="719" w:type="dxa"/>
          </w:tcPr>
          <w:p w14:paraId="5B40D522">
            <w:pPr>
              <w:spacing w:line="360" w:lineRule="auto"/>
              <w:jc w:val="center"/>
              <w:rPr>
                <w:rFonts w:hint="eastAsia" w:ascii="宋体" w:hAnsi="宋体" w:eastAsia="宋体" w:cs="宋体"/>
                <w:color w:val="auto"/>
                <w:sz w:val="20"/>
                <w:szCs w:val="20"/>
                <w:highlight w:val="none"/>
              </w:rPr>
            </w:pPr>
          </w:p>
        </w:tc>
        <w:tc>
          <w:tcPr>
            <w:tcW w:w="1081" w:type="dxa"/>
          </w:tcPr>
          <w:p w14:paraId="07428366">
            <w:pPr>
              <w:spacing w:line="360" w:lineRule="auto"/>
              <w:jc w:val="center"/>
              <w:rPr>
                <w:rFonts w:hint="eastAsia" w:ascii="宋体" w:hAnsi="宋体" w:eastAsia="宋体" w:cs="宋体"/>
                <w:color w:val="auto"/>
                <w:sz w:val="20"/>
                <w:szCs w:val="20"/>
                <w:highlight w:val="none"/>
              </w:rPr>
            </w:pPr>
          </w:p>
        </w:tc>
        <w:tc>
          <w:tcPr>
            <w:tcW w:w="719" w:type="dxa"/>
          </w:tcPr>
          <w:p w14:paraId="647CC629">
            <w:pPr>
              <w:spacing w:line="360" w:lineRule="auto"/>
              <w:jc w:val="center"/>
              <w:rPr>
                <w:rFonts w:hint="eastAsia" w:ascii="宋体" w:hAnsi="宋体" w:eastAsia="宋体" w:cs="宋体"/>
                <w:color w:val="auto"/>
                <w:sz w:val="20"/>
                <w:szCs w:val="20"/>
                <w:highlight w:val="none"/>
              </w:rPr>
            </w:pPr>
          </w:p>
        </w:tc>
        <w:tc>
          <w:tcPr>
            <w:tcW w:w="721" w:type="dxa"/>
          </w:tcPr>
          <w:p w14:paraId="6FCDD87C">
            <w:pPr>
              <w:spacing w:line="360" w:lineRule="auto"/>
              <w:jc w:val="center"/>
              <w:rPr>
                <w:rFonts w:hint="eastAsia" w:ascii="宋体" w:hAnsi="宋体" w:eastAsia="宋体" w:cs="宋体"/>
                <w:color w:val="auto"/>
                <w:sz w:val="20"/>
                <w:szCs w:val="20"/>
                <w:highlight w:val="none"/>
              </w:rPr>
            </w:pPr>
          </w:p>
        </w:tc>
        <w:tc>
          <w:tcPr>
            <w:tcW w:w="719" w:type="dxa"/>
          </w:tcPr>
          <w:p w14:paraId="14B1C421">
            <w:pPr>
              <w:spacing w:line="360" w:lineRule="auto"/>
              <w:jc w:val="center"/>
              <w:rPr>
                <w:rFonts w:hint="eastAsia" w:ascii="宋体" w:hAnsi="宋体" w:eastAsia="宋体" w:cs="宋体"/>
                <w:color w:val="auto"/>
                <w:sz w:val="20"/>
                <w:szCs w:val="20"/>
                <w:highlight w:val="none"/>
              </w:rPr>
            </w:pPr>
          </w:p>
        </w:tc>
        <w:tc>
          <w:tcPr>
            <w:tcW w:w="2523" w:type="dxa"/>
          </w:tcPr>
          <w:p w14:paraId="51E69BD2">
            <w:pPr>
              <w:spacing w:line="360" w:lineRule="auto"/>
              <w:jc w:val="center"/>
              <w:rPr>
                <w:rFonts w:hint="eastAsia" w:ascii="宋体" w:hAnsi="宋体" w:eastAsia="宋体" w:cs="宋体"/>
                <w:color w:val="auto"/>
                <w:sz w:val="20"/>
                <w:szCs w:val="20"/>
                <w:highlight w:val="none"/>
              </w:rPr>
            </w:pPr>
          </w:p>
        </w:tc>
        <w:tc>
          <w:tcPr>
            <w:tcW w:w="672" w:type="dxa"/>
          </w:tcPr>
          <w:p w14:paraId="5F18E3FF">
            <w:pPr>
              <w:spacing w:line="360" w:lineRule="auto"/>
              <w:jc w:val="center"/>
              <w:rPr>
                <w:rFonts w:hint="eastAsia" w:ascii="宋体" w:hAnsi="宋体" w:eastAsia="宋体" w:cs="宋体"/>
                <w:color w:val="auto"/>
                <w:sz w:val="20"/>
                <w:szCs w:val="20"/>
                <w:highlight w:val="none"/>
              </w:rPr>
            </w:pPr>
          </w:p>
        </w:tc>
      </w:tr>
      <w:tr w14:paraId="7988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Pr>
          <w:p w14:paraId="3E5077B6">
            <w:pPr>
              <w:spacing w:line="360" w:lineRule="auto"/>
              <w:jc w:val="center"/>
              <w:rPr>
                <w:rFonts w:hint="eastAsia" w:ascii="宋体" w:hAnsi="宋体" w:eastAsia="宋体" w:cs="宋体"/>
                <w:color w:val="auto"/>
                <w:sz w:val="20"/>
                <w:szCs w:val="20"/>
                <w:highlight w:val="none"/>
              </w:rPr>
            </w:pPr>
          </w:p>
        </w:tc>
        <w:tc>
          <w:tcPr>
            <w:tcW w:w="721" w:type="dxa"/>
          </w:tcPr>
          <w:p w14:paraId="0F639B05">
            <w:pPr>
              <w:spacing w:line="360" w:lineRule="auto"/>
              <w:jc w:val="center"/>
              <w:rPr>
                <w:rFonts w:hint="eastAsia" w:ascii="宋体" w:hAnsi="宋体" w:eastAsia="宋体" w:cs="宋体"/>
                <w:color w:val="auto"/>
                <w:sz w:val="20"/>
                <w:szCs w:val="20"/>
                <w:highlight w:val="none"/>
              </w:rPr>
            </w:pPr>
          </w:p>
        </w:tc>
        <w:tc>
          <w:tcPr>
            <w:tcW w:w="719" w:type="dxa"/>
          </w:tcPr>
          <w:p w14:paraId="13838316">
            <w:pPr>
              <w:spacing w:line="360" w:lineRule="auto"/>
              <w:jc w:val="center"/>
              <w:rPr>
                <w:rFonts w:hint="eastAsia" w:ascii="宋体" w:hAnsi="宋体" w:eastAsia="宋体" w:cs="宋体"/>
                <w:color w:val="auto"/>
                <w:sz w:val="20"/>
                <w:szCs w:val="20"/>
                <w:highlight w:val="none"/>
              </w:rPr>
            </w:pPr>
          </w:p>
        </w:tc>
        <w:tc>
          <w:tcPr>
            <w:tcW w:w="1081" w:type="dxa"/>
          </w:tcPr>
          <w:p w14:paraId="1C2583C3">
            <w:pPr>
              <w:spacing w:line="360" w:lineRule="auto"/>
              <w:jc w:val="center"/>
              <w:rPr>
                <w:rFonts w:hint="eastAsia" w:ascii="宋体" w:hAnsi="宋体" w:eastAsia="宋体" w:cs="宋体"/>
                <w:color w:val="auto"/>
                <w:sz w:val="20"/>
                <w:szCs w:val="20"/>
                <w:highlight w:val="none"/>
              </w:rPr>
            </w:pPr>
          </w:p>
        </w:tc>
        <w:tc>
          <w:tcPr>
            <w:tcW w:w="719" w:type="dxa"/>
          </w:tcPr>
          <w:p w14:paraId="04BD981B">
            <w:pPr>
              <w:spacing w:line="360" w:lineRule="auto"/>
              <w:jc w:val="center"/>
              <w:rPr>
                <w:rFonts w:hint="eastAsia" w:ascii="宋体" w:hAnsi="宋体" w:eastAsia="宋体" w:cs="宋体"/>
                <w:color w:val="auto"/>
                <w:sz w:val="20"/>
                <w:szCs w:val="20"/>
                <w:highlight w:val="none"/>
              </w:rPr>
            </w:pPr>
          </w:p>
        </w:tc>
        <w:tc>
          <w:tcPr>
            <w:tcW w:w="721" w:type="dxa"/>
          </w:tcPr>
          <w:p w14:paraId="10ED8B6D">
            <w:pPr>
              <w:spacing w:line="360" w:lineRule="auto"/>
              <w:jc w:val="center"/>
              <w:rPr>
                <w:rFonts w:hint="eastAsia" w:ascii="宋体" w:hAnsi="宋体" w:eastAsia="宋体" w:cs="宋体"/>
                <w:color w:val="auto"/>
                <w:sz w:val="20"/>
                <w:szCs w:val="20"/>
                <w:highlight w:val="none"/>
              </w:rPr>
            </w:pPr>
          </w:p>
        </w:tc>
        <w:tc>
          <w:tcPr>
            <w:tcW w:w="719" w:type="dxa"/>
          </w:tcPr>
          <w:p w14:paraId="34C08336">
            <w:pPr>
              <w:spacing w:line="360" w:lineRule="auto"/>
              <w:jc w:val="center"/>
              <w:rPr>
                <w:rFonts w:hint="eastAsia" w:ascii="宋体" w:hAnsi="宋体" w:eastAsia="宋体" w:cs="宋体"/>
                <w:color w:val="auto"/>
                <w:sz w:val="20"/>
                <w:szCs w:val="20"/>
                <w:highlight w:val="none"/>
              </w:rPr>
            </w:pPr>
          </w:p>
        </w:tc>
        <w:tc>
          <w:tcPr>
            <w:tcW w:w="2523" w:type="dxa"/>
          </w:tcPr>
          <w:p w14:paraId="1D2039BC">
            <w:pPr>
              <w:spacing w:line="360" w:lineRule="auto"/>
              <w:jc w:val="center"/>
              <w:rPr>
                <w:rFonts w:hint="eastAsia" w:ascii="宋体" w:hAnsi="宋体" w:eastAsia="宋体" w:cs="宋体"/>
                <w:color w:val="auto"/>
                <w:sz w:val="20"/>
                <w:szCs w:val="20"/>
                <w:highlight w:val="none"/>
              </w:rPr>
            </w:pPr>
          </w:p>
        </w:tc>
        <w:tc>
          <w:tcPr>
            <w:tcW w:w="672" w:type="dxa"/>
          </w:tcPr>
          <w:p w14:paraId="72C1CCF9">
            <w:pPr>
              <w:spacing w:line="360" w:lineRule="auto"/>
              <w:jc w:val="center"/>
              <w:rPr>
                <w:rFonts w:hint="eastAsia" w:ascii="宋体" w:hAnsi="宋体" w:eastAsia="宋体" w:cs="宋体"/>
                <w:color w:val="auto"/>
                <w:sz w:val="20"/>
                <w:szCs w:val="20"/>
                <w:highlight w:val="none"/>
              </w:rPr>
            </w:pPr>
          </w:p>
        </w:tc>
      </w:tr>
    </w:tbl>
    <w:p w14:paraId="355E521A">
      <w:pPr>
        <w:rPr>
          <w:rFonts w:hint="eastAsia" w:ascii="宋体" w:hAnsi="宋体" w:eastAsia="宋体" w:cs="宋体"/>
          <w:b/>
          <w:bCs/>
          <w:color w:val="auto"/>
          <w:sz w:val="24"/>
          <w:szCs w:val="24"/>
          <w:highlight w:val="none"/>
        </w:rPr>
      </w:pPr>
      <w:bookmarkStart w:id="979" w:name="_Toc152045805"/>
      <w:bookmarkStart w:id="980" w:name="_Toc179632825"/>
      <w:bookmarkStart w:id="981" w:name="_Toc26044"/>
      <w:bookmarkStart w:id="982" w:name="_Toc144974873"/>
      <w:bookmarkStart w:id="983" w:name="_Toc341280459"/>
      <w:bookmarkStart w:id="984" w:name="_Toc24741"/>
      <w:bookmarkStart w:id="985" w:name="_Toc22026"/>
      <w:bookmarkStart w:id="986" w:name="_Toc152042594"/>
      <w:bookmarkStart w:id="987" w:name="_Toc2559"/>
      <w:r>
        <w:rPr>
          <w:rFonts w:hint="eastAsia" w:ascii="宋体" w:hAnsi="宋体" w:eastAsia="宋体" w:cs="宋体"/>
          <w:b/>
          <w:bCs/>
          <w:color w:val="auto"/>
          <w:sz w:val="24"/>
          <w:szCs w:val="24"/>
          <w:highlight w:val="none"/>
        </w:rPr>
        <w:br w:type="page"/>
      </w:r>
    </w:p>
    <w:p w14:paraId="7B88B290">
      <w:pPr>
        <w:spacing w:line="360" w:lineRule="auto"/>
        <w:jc w:val="center"/>
        <w:outlineLvl w:val="2"/>
        <w:rPr>
          <w:rFonts w:hint="eastAsia" w:ascii="宋体" w:hAnsi="宋体" w:eastAsia="宋体" w:cs="宋体"/>
          <w:b/>
          <w:bCs/>
          <w:color w:val="auto"/>
          <w:sz w:val="24"/>
          <w:szCs w:val="24"/>
          <w:highlight w:val="none"/>
        </w:rPr>
      </w:pPr>
      <w:bookmarkStart w:id="988" w:name="_Toc2400"/>
      <w:r>
        <w:rPr>
          <w:rFonts w:hint="eastAsia" w:ascii="宋体" w:hAnsi="宋体" w:eastAsia="宋体" w:cs="宋体"/>
          <w:b/>
          <w:bCs/>
          <w:color w:val="auto"/>
          <w:sz w:val="24"/>
          <w:szCs w:val="24"/>
          <w:highlight w:val="none"/>
        </w:rPr>
        <w:t>（二）主要人员简历表</w:t>
      </w:r>
      <w:bookmarkEnd w:id="979"/>
      <w:bookmarkEnd w:id="980"/>
      <w:bookmarkEnd w:id="981"/>
      <w:bookmarkEnd w:id="982"/>
      <w:bookmarkEnd w:id="983"/>
      <w:bookmarkEnd w:id="984"/>
      <w:bookmarkEnd w:id="985"/>
      <w:bookmarkEnd w:id="986"/>
      <w:bookmarkEnd w:id="987"/>
      <w:bookmarkEnd w:id="988"/>
    </w:p>
    <w:p w14:paraId="6135F28D">
      <w:pPr>
        <w:spacing w:line="360" w:lineRule="auto"/>
        <w:ind w:firstLine="422" w:firstLineChars="200"/>
        <w:rPr>
          <w:rFonts w:hint="eastAsia" w:ascii="宋体" w:hAnsi="宋体" w:eastAsia="宋体" w:cs="宋体"/>
          <w:color w:val="auto"/>
          <w:sz w:val="24"/>
          <w:highlight w:val="none"/>
        </w:rPr>
      </w:pPr>
      <w:r>
        <w:rPr>
          <w:rFonts w:hint="eastAsia" w:ascii="宋体" w:hAnsi="宋体" w:eastAsia="宋体" w:cs="宋体"/>
          <w:b/>
          <w:color w:val="auto"/>
          <w:kern w:val="0"/>
          <w:highlight w:val="none"/>
        </w:rPr>
        <w:t>注：“主要人员简历表”中的项目经理应附注册建造</w:t>
      </w:r>
      <w:r>
        <w:rPr>
          <w:rFonts w:hint="eastAsia" w:ascii="宋体" w:hAnsi="宋体" w:eastAsia="宋体" w:cs="宋体"/>
          <w:b/>
          <w:color w:val="auto"/>
          <w:highlight w:val="none"/>
        </w:rPr>
        <w:t>师证、安全生产考核合格证</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身份</w:t>
      </w:r>
      <w:r>
        <w:rPr>
          <w:rFonts w:hint="eastAsia" w:ascii="宋体" w:hAnsi="宋体" w:eastAsia="宋体" w:cs="宋体"/>
          <w:b/>
          <w:color w:val="auto"/>
          <w:kern w:val="0"/>
          <w:highlight w:val="none"/>
        </w:rPr>
        <w:t>证、</w:t>
      </w:r>
      <w:r>
        <w:rPr>
          <w:rFonts w:hint="eastAsia" w:ascii="宋体" w:hAnsi="宋体" w:eastAsia="宋体" w:cs="宋体"/>
          <w:b/>
          <w:color w:val="auto"/>
          <w:highlight w:val="none"/>
        </w:rPr>
        <w:t>养老保险</w:t>
      </w:r>
      <w:r>
        <w:rPr>
          <w:rFonts w:hint="eastAsia" w:ascii="宋体" w:hAnsi="宋体" w:eastAsia="宋体" w:cs="宋体"/>
          <w:b/>
          <w:color w:val="auto"/>
          <w:highlight w:val="none"/>
          <w:lang w:eastAsia="zh-CN"/>
        </w:rPr>
        <w:t>、劳动合同</w:t>
      </w:r>
      <w:r>
        <w:rPr>
          <w:rFonts w:hint="eastAsia" w:ascii="宋体" w:hAnsi="宋体" w:eastAsia="宋体" w:cs="宋体"/>
          <w:b/>
          <w:color w:val="auto"/>
          <w:kern w:val="0"/>
          <w:highlight w:val="none"/>
        </w:rPr>
        <w:t>复印件；其他主要人员应附资格证（执业证或上岗证书）、</w:t>
      </w:r>
      <w:r>
        <w:rPr>
          <w:rFonts w:hint="eastAsia" w:ascii="宋体" w:hAnsi="宋体" w:eastAsia="宋体" w:cs="宋体"/>
          <w:b/>
          <w:color w:val="auto"/>
          <w:highlight w:val="none"/>
        </w:rPr>
        <w:t>养老保险</w:t>
      </w:r>
      <w:r>
        <w:rPr>
          <w:rFonts w:hint="eastAsia" w:ascii="宋体" w:hAnsi="宋体" w:eastAsia="宋体" w:cs="宋体"/>
          <w:b/>
          <w:color w:val="auto"/>
          <w:highlight w:val="none"/>
          <w:lang w:eastAsia="zh-CN"/>
        </w:rPr>
        <w:t>、</w:t>
      </w:r>
      <w:r>
        <w:rPr>
          <w:rFonts w:hint="eastAsia" w:ascii="宋体" w:hAnsi="宋体" w:eastAsia="宋体" w:cs="宋体"/>
          <w:b/>
          <w:color w:val="auto"/>
          <w:kern w:val="0"/>
          <w:highlight w:val="none"/>
          <w:lang w:eastAsia="zh-CN"/>
        </w:rPr>
        <w:t>劳动合同</w:t>
      </w:r>
      <w:r>
        <w:rPr>
          <w:rFonts w:hint="eastAsia" w:ascii="宋体" w:hAnsi="宋体" w:eastAsia="宋体" w:cs="宋体"/>
          <w:b/>
          <w:color w:val="auto"/>
          <w:highlight w:val="none"/>
        </w:rPr>
        <w:t>复印件</w:t>
      </w:r>
      <w:r>
        <w:rPr>
          <w:rFonts w:hint="eastAsia" w:ascii="宋体" w:hAnsi="宋体" w:eastAsia="宋体" w:cs="宋体"/>
          <w:b/>
          <w:color w:val="auto"/>
          <w:kern w:val="0"/>
          <w:highlight w:val="none"/>
        </w:rPr>
        <w:t>。</w:t>
      </w:r>
    </w:p>
    <w:p w14:paraId="4D1A5BB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附1：</w:t>
      </w:r>
    </w:p>
    <w:p w14:paraId="52DBC14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项目经理简历表</w:t>
      </w:r>
    </w:p>
    <w:tbl>
      <w:tblPr>
        <w:tblStyle w:val="28"/>
        <w:tblW w:w="8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960"/>
        <w:gridCol w:w="945"/>
        <w:gridCol w:w="1160"/>
        <w:gridCol w:w="1795"/>
        <w:gridCol w:w="2160"/>
      </w:tblGrid>
      <w:tr w14:paraId="2B0D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Align w:val="center"/>
          </w:tcPr>
          <w:p w14:paraId="5F4E7B7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960" w:type="dxa"/>
            <w:vAlign w:val="center"/>
          </w:tcPr>
          <w:p w14:paraId="562A31AF">
            <w:pPr>
              <w:spacing w:line="360" w:lineRule="auto"/>
              <w:jc w:val="center"/>
              <w:rPr>
                <w:rFonts w:hint="eastAsia" w:ascii="宋体" w:hAnsi="宋体" w:eastAsia="宋体" w:cs="宋体"/>
                <w:color w:val="auto"/>
                <w:highlight w:val="none"/>
              </w:rPr>
            </w:pPr>
          </w:p>
        </w:tc>
        <w:tc>
          <w:tcPr>
            <w:tcW w:w="945" w:type="dxa"/>
            <w:vAlign w:val="center"/>
          </w:tcPr>
          <w:p w14:paraId="0FD2F10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1160" w:type="dxa"/>
            <w:vAlign w:val="center"/>
          </w:tcPr>
          <w:p w14:paraId="56FE640B">
            <w:pPr>
              <w:spacing w:line="360" w:lineRule="auto"/>
              <w:jc w:val="center"/>
              <w:rPr>
                <w:rFonts w:hint="eastAsia" w:ascii="宋体" w:hAnsi="宋体" w:eastAsia="宋体" w:cs="宋体"/>
                <w:color w:val="auto"/>
                <w:highlight w:val="none"/>
              </w:rPr>
            </w:pPr>
          </w:p>
        </w:tc>
        <w:tc>
          <w:tcPr>
            <w:tcW w:w="1795" w:type="dxa"/>
            <w:vAlign w:val="center"/>
          </w:tcPr>
          <w:p w14:paraId="33BEB3B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学 历</w:t>
            </w:r>
          </w:p>
        </w:tc>
        <w:tc>
          <w:tcPr>
            <w:tcW w:w="2160" w:type="dxa"/>
            <w:vAlign w:val="center"/>
          </w:tcPr>
          <w:p w14:paraId="22E42F49">
            <w:pPr>
              <w:spacing w:line="360" w:lineRule="auto"/>
              <w:jc w:val="center"/>
              <w:rPr>
                <w:rFonts w:hint="eastAsia" w:ascii="宋体" w:hAnsi="宋体" w:eastAsia="宋体" w:cs="宋体"/>
                <w:color w:val="auto"/>
                <w:highlight w:val="none"/>
              </w:rPr>
            </w:pPr>
          </w:p>
        </w:tc>
      </w:tr>
      <w:tr w14:paraId="4BEE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Align w:val="center"/>
          </w:tcPr>
          <w:p w14:paraId="2381587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960" w:type="dxa"/>
            <w:vAlign w:val="center"/>
          </w:tcPr>
          <w:p w14:paraId="2E65B850">
            <w:pPr>
              <w:spacing w:line="360" w:lineRule="auto"/>
              <w:jc w:val="center"/>
              <w:rPr>
                <w:rFonts w:hint="eastAsia" w:ascii="宋体" w:hAnsi="宋体" w:eastAsia="宋体" w:cs="宋体"/>
                <w:color w:val="auto"/>
                <w:highlight w:val="none"/>
              </w:rPr>
            </w:pPr>
          </w:p>
        </w:tc>
        <w:tc>
          <w:tcPr>
            <w:tcW w:w="945" w:type="dxa"/>
            <w:vAlign w:val="center"/>
          </w:tcPr>
          <w:p w14:paraId="34C91EA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职 务</w:t>
            </w:r>
          </w:p>
        </w:tc>
        <w:tc>
          <w:tcPr>
            <w:tcW w:w="1160" w:type="dxa"/>
            <w:vAlign w:val="center"/>
          </w:tcPr>
          <w:p w14:paraId="2AD68E67">
            <w:pPr>
              <w:spacing w:line="360" w:lineRule="auto"/>
              <w:jc w:val="center"/>
              <w:rPr>
                <w:rFonts w:hint="eastAsia" w:ascii="宋体" w:hAnsi="宋体" w:eastAsia="宋体" w:cs="宋体"/>
                <w:color w:val="auto"/>
                <w:highlight w:val="none"/>
              </w:rPr>
            </w:pPr>
          </w:p>
        </w:tc>
        <w:tc>
          <w:tcPr>
            <w:tcW w:w="1795" w:type="dxa"/>
            <w:vAlign w:val="center"/>
          </w:tcPr>
          <w:p w14:paraId="331A9C4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拟在本合同任职</w:t>
            </w:r>
          </w:p>
        </w:tc>
        <w:tc>
          <w:tcPr>
            <w:tcW w:w="2160" w:type="dxa"/>
            <w:vAlign w:val="center"/>
          </w:tcPr>
          <w:p w14:paraId="02D92C2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项目经理</w:t>
            </w:r>
          </w:p>
        </w:tc>
      </w:tr>
      <w:tr w14:paraId="1B5A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108" w:type="dxa"/>
            <w:gridSpan w:val="3"/>
            <w:vAlign w:val="center"/>
          </w:tcPr>
          <w:p w14:paraId="2009BCD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注册建造师资格等级</w:t>
            </w:r>
          </w:p>
        </w:tc>
        <w:tc>
          <w:tcPr>
            <w:tcW w:w="1160" w:type="dxa"/>
            <w:vAlign w:val="center"/>
          </w:tcPr>
          <w:p w14:paraId="094722B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级</w:t>
            </w:r>
          </w:p>
        </w:tc>
        <w:tc>
          <w:tcPr>
            <w:tcW w:w="1795" w:type="dxa"/>
            <w:vAlign w:val="center"/>
          </w:tcPr>
          <w:p w14:paraId="71F6FF9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注册专业</w:t>
            </w:r>
          </w:p>
        </w:tc>
        <w:tc>
          <w:tcPr>
            <w:tcW w:w="2160" w:type="dxa"/>
            <w:vAlign w:val="center"/>
          </w:tcPr>
          <w:p w14:paraId="0C05FF41">
            <w:pPr>
              <w:spacing w:line="360" w:lineRule="auto"/>
              <w:jc w:val="center"/>
              <w:rPr>
                <w:rFonts w:hint="eastAsia" w:ascii="宋体" w:hAnsi="宋体" w:eastAsia="宋体" w:cs="宋体"/>
                <w:color w:val="auto"/>
                <w:highlight w:val="none"/>
              </w:rPr>
            </w:pPr>
          </w:p>
        </w:tc>
      </w:tr>
      <w:tr w14:paraId="10A2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08" w:type="dxa"/>
            <w:gridSpan w:val="3"/>
            <w:vAlign w:val="center"/>
          </w:tcPr>
          <w:p w14:paraId="5814EDD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安全生产考核合格证书</w:t>
            </w:r>
          </w:p>
        </w:tc>
        <w:tc>
          <w:tcPr>
            <w:tcW w:w="5115" w:type="dxa"/>
            <w:gridSpan w:val="3"/>
            <w:vAlign w:val="center"/>
          </w:tcPr>
          <w:p w14:paraId="31CB2C5C">
            <w:pPr>
              <w:spacing w:line="360" w:lineRule="auto"/>
              <w:jc w:val="center"/>
              <w:rPr>
                <w:rFonts w:hint="eastAsia" w:ascii="宋体" w:hAnsi="宋体" w:eastAsia="宋体" w:cs="宋体"/>
                <w:color w:val="auto"/>
                <w:highlight w:val="none"/>
              </w:rPr>
            </w:pPr>
          </w:p>
        </w:tc>
      </w:tr>
      <w:tr w14:paraId="464F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03" w:type="dxa"/>
            <w:vAlign w:val="center"/>
          </w:tcPr>
          <w:p w14:paraId="379EE26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7020" w:type="dxa"/>
            <w:gridSpan w:val="5"/>
            <w:vAlign w:val="center"/>
          </w:tcPr>
          <w:p w14:paraId="761A874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年毕业于            学校        专业</w:t>
            </w:r>
          </w:p>
        </w:tc>
      </w:tr>
      <w:tr w14:paraId="31EC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3" w:type="dxa"/>
            <w:gridSpan w:val="6"/>
            <w:vAlign w:val="center"/>
          </w:tcPr>
          <w:p w14:paraId="277523B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主要工作经历</w:t>
            </w:r>
          </w:p>
        </w:tc>
      </w:tr>
      <w:tr w14:paraId="378E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3" w:type="dxa"/>
            <w:vAlign w:val="center"/>
          </w:tcPr>
          <w:p w14:paraId="34C453D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3065" w:type="dxa"/>
            <w:gridSpan w:val="3"/>
            <w:vAlign w:val="center"/>
          </w:tcPr>
          <w:p w14:paraId="2CAFF1A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参加过的类似项目</w:t>
            </w:r>
          </w:p>
        </w:tc>
        <w:tc>
          <w:tcPr>
            <w:tcW w:w="1795" w:type="dxa"/>
            <w:vAlign w:val="center"/>
          </w:tcPr>
          <w:p w14:paraId="105273A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2160" w:type="dxa"/>
            <w:vAlign w:val="center"/>
          </w:tcPr>
          <w:p w14:paraId="70BEC47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发包人及联系电话</w:t>
            </w:r>
          </w:p>
        </w:tc>
      </w:tr>
      <w:tr w14:paraId="242B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3" w:type="dxa"/>
          </w:tcPr>
          <w:p w14:paraId="7BDA4B60">
            <w:pPr>
              <w:spacing w:line="360" w:lineRule="auto"/>
              <w:rPr>
                <w:rFonts w:hint="eastAsia" w:ascii="宋体" w:hAnsi="宋体" w:eastAsia="宋体" w:cs="宋体"/>
                <w:color w:val="auto"/>
                <w:sz w:val="20"/>
                <w:szCs w:val="20"/>
                <w:highlight w:val="none"/>
              </w:rPr>
            </w:pPr>
          </w:p>
        </w:tc>
        <w:tc>
          <w:tcPr>
            <w:tcW w:w="3065" w:type="dxa"/>
            <w:gridSpan w:val="3"/>
          </w:tcPr>
          <w:p w14:paraId="34A629A7">
            <w:pPr>
              <w:spacing w:line="360" w:lineRule="auto"/>
              <w:rPr>
                <w:rFonts w:hint="eastAsia" w:ascii="宋体" w:hAnsi="宋体" w:eastAsia="宋体" w:cs="宋体"/>
                <w:color w:val="auto"/>
                <w:sz w:val="20"/>
                <w:szCs w:val="20"/>
                <w:highlight w:val="none"/>
              </w:rPr>
            </w:pPr>
          </w:p>
        </w:tc>
        <w:tc>
          <w:tcPr>
            <w:tcW w:w="1795" w:type="dxa"/>
          </w:tcPr>
          <w:p w14:paraId="376C4440">
            <w:pPr>
              <w:spacing w:line="360" w:lineRule="auto"/>
              <w:rPr>
                <w:rFonts w:hint="eastAsia" w:ascii="宋体" w:hAnsi="宋体" w:eastAsia="宋体" w:cs="宋体"/>
                <w:color w:val="auto"/>
                <w:sz w:val="20"/>
                <w:szCs w:val="20"/>
                <w:highlight w:val="none"/>
              </w:rPr>
            </w:pPr>
          </w:p>
        </w:tc>
        <w:tc>
          <w:tcPr>
            <w:tcW w:w="2160" w:type="dxa"/>
          </w:tcPr>
          <w:p w14:paraId="5AEEC6D3">
            <w:pPr>
              <w:spacing w:line="360" w:lineRule="auto"/>
              <w:rPr>
                <w:rFonts w:hint="eastAsia" w:ascii="宋体" w:hAnsi="宋体" w:eastAsia="宋体" w:cs="宋体"/>
                <w:color w:val="auto"/>
                <w:sz w:val="20"/>
                <w:szCs w:val="20"/>
                <w:highlight w:val="none"/>
              </w:rPr>
            </w:pPr>
          </w:p>
        </w:tc>
      </w:tr>
      <w:tr w14:paraId="023D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3" w:type="dxa"/>
          </w:tcPr>
          <w:p w14:paraId="391E0F49">
            <w:pPr>
              <w:spacing w:line="360" w:lineRule="auto"/>
              <w:rPr>
                <w:rFonts w:hint="eastAsia" w:ascii="宋体" w:hAnsi="宋体" w:eastAsia="宋体" w:cs="宋体"/>
                <w:color w:val="auto"/>
                <w:sz w:val="20"/>
                <w:szCs w:val="20"/>
                <w:highlight w:val="none"/>
              </w:rPr>
            </w:pPr>
          </w:p>
        </w:tc>
        <w:tc>
          <w:tcPr>
            <w:tcW w:w="3065" w:type="dxa"/>
            <w:gridSpan w:val="3"/>
          </w:tcPr>
          <w:p w14:paraId="48C1E1F5">
            <w:pPr>
              <w:spacing w:line="360" w:lineRule="auto"/>
              <w:rPr>
                <w:rFonts w:hint="eastAsia" w:ascii="宋体" w:hAnsi="宋体" w:eastAsia="宋体" w:cs="宋体"/>
                <w:color w:val="auto"/>
                <w:sz w:val="20"/>
                <w:szCs w:val="20"/>
                <w:highlight w:val="none"/>
              </w:rPr>
            </w:pPr>
          </w:p>
        </w:tc>
        <w:tc>
          <w:tcPr>
            <w:tcW w:w="1795" w:type="dxa"/>
          </w:tcPr>
          <w:p w14:paraId="250E4A22">
            <w:pPr>
              <w:spacing w:line="360" w:lineRule="auto"/>
              <w:rPr>
                <w:rFonts w:hint="eastAsia" w:ascii="宋体" w:hAnsi="宋体" w:eastAsia="宋体" w:cs="宋体"/>
                <w:color w:val="auto"/>
                <w:sz w:val="20"/>
                <w:szCs w:val="20"/>
                <w:highlight w:val="none"/>
              </w:rPr>
            </w:pPr>
          </w:p>
        </w:tc>
        <w:tc>
          <w:tcPr>
            <w:tcW w:w="2160" w:type="dxa"/>
          </w:tcPr>
          <w:p w14:paraId="448D08E1">
            <w:pPr>
              <w:spacing w:line="360" w:lineRule="auto"/>
              <w:rPr>
                <w:rFonts w:hint="eastAsia" w:ascii="宋体" w:hAnsi="宋体" w:eastAsia="宋体" w:cs="宋体"/>
                <w:color w:val="auto"/>
                <w:sz w:val="20"/>
                <w:szCs w:val="20"/>
                <w:highlight w:val="none"/>
              </w:rPr>
            </w:pPr>
          </w:p>
        </w:tc>
      </w:tr>
      <w:tr w14:paraId="0648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3" w:type="dxa"/>
          </w:tcPr>
          <w:p w14:paraId="27D1C961">
            <w:pPr>
              <w:spacing w:line="360" w:lineRule="auto"/>
              <w:rPr>
                <w:rFonts w:hint="eastAsia" w:ascii="宋体" w:hAnsi="宋体" w:eastAsia="宋体" w:cs="宋体"/>
                <w:color w:val="auto"/>
                <w:sz w:val="20"/>
                <w:szCs w:val="20"/>
                <w:highlight w:val="none"/>
              </w:rPr>
            </w:pPr>
          </w:p>
        </w:tc>
        <w:tc>
          <w:tcPr>
            <w:tcW w:w="3065" w:type="dxa"/>
            <w:gridSpan w:val="3"/>
          </w:tcPr>
          <w:p w14:paraId="41113CD4">
            <w:pPr>
              <w:spacing w:line="360" w:lineRule="auto"/>
              <w:rPr>
                <w:rFonts w:hint="eastAsia" w:ascii="宋体" w:hAnsi="宋体" w:eastAsia="宋体" w:cs="宋体"/>
                <w:color w:val="auto"/>
                <w:sz w:val="20"/>
                <w:szCs w:val="20"/>
                <w:highlight w:val="none"/>
              </w:rPr>
            </w:pPr>
          </w:p>
        </w:tc>
        <w:tc>
          <w:tcPr>
            <w:tcW w:w="1795" w:type="dxa"/>
          </w:tcPr>
          <w:p w14:paraId="491042B8">
            <w:pPr>
              <w:spacing w:line="360" w:lineRule="auto"/>
              <w:rPr>
                <w:rFonts w:hint="eastAsia" w:ascii="宋体" w:hAnsi="宋体" w:eastAsia="宋体" w:cs="宋体"/>
                <w:color w:val="auto"/>
                <w:sz w:val="20"/>
                <w:szCs w:val="20"/>
                <w:highlight w:val="none"/>
              </w:rPr>
            </w:pPr>
          </w:p>
        </w:tc>
        <w:tc>
          <w:tcPr>
            <w:tcW w:w="2160" w:type="dxa"/>
          </w:tcPr>
          <w:p w14:paraId="29FE373A">
            <w:pPr>
              <w:spacing w:line="360" w:lineRule="auto"/>
              <w:rPr>
                <w:rFonts w:hint="eastAsia" w:ascii="宋体" w:hAnsi="宋体" w:eastAsia="宋体" w:cs="宋体"/>
                <w:color w:val="auto"/>
                <w:sz w:val="20"/>
                <w:szCs w:val="20"/>
                <w:highlight w:val="none"/>
              </w:rPr>
            </w:pPr>
          </w:p>
        </w:tc>
      </w:tr>
      <w:tr w14:paraId="2ACA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3" w:type="dxa"/>
            <w:vAlign w:val="center"/>
          </w:tcPr>
          <w:p w14:paraId="5F665A33">
            <w:pPr>
              <w:spacing w:line="360" w:lineRule="auto"/>
              <w:rPr>
                <w:rFonts w:hint="eastAsia" w:ascii="宋体" w:hAnsi="宋体" w:eastAsia="宋体" w:cs="宋体"/>
                <w:color w:val="auto"/>
                <w:sz w:val="20"/>
                <w:szCs w:val="20"/>
                <w:highlight w:val="none"/>
              </w:rPr>
            </w:pPr>
          </w:p>
        </w:tc>
        <w:tc>
          <w:tcPr>
            <w:tcW w:w="3065" w:type="dxa"/>
            <w:gridSpan w:val="3"/>
            <w:vAlign w:val="center"/>
          </w:tcPr>
          <w:p w14:paraId="20097AC2">
            <w:pPr>
              <w:spacing w:line="360" w:lineRule="auto"/>
              <w:rPr>
                <w:rFonts w:hint="eastAsia" w:ascii="宋体" w:hAnsi="宋体" w:eastAsia="宋体" w:cs="宋体"/>
                <w:color w:val="auto"/>
                <w:sz w:val="20"/>
                <w:szCs w:val="20"/>
                <w:highlight w:val="none"/>
              </w:rPr>
            </w:pPr>
          </w:p>
        </w:tc>
        <w:tc>
          <w:tcPr>
            <w:tcW w:w="1795" w:type="dxa"/>
            <w:vAlign w:val="center"/>
          </w:tcPr>
          <w:p w14:paraId="30720601">
            <w:pPr>
              <w:spacing w:line="360" w:lineRule="auto"/>
              <w:rPr>
                <w:rFonts w:hint="eastAsia" w:ascii="宋体" w:hAnsi="宋体" w:eastAsia="宋体" w:cs="宋体"/>
                <w:color w:val="auto"/>
                <w:sz w:val="20"/>
                <w:szCs w:val="20"/>
                <w:highlight w:val="none"/>
              </w:rPr>
            </w:pPr>
          </w:p>
        </w:tc>
        <w:tc>
          <w:tcPr>
            <w:tcW w:w="2160" w:type="dxa"/>
            <w:vAlign w:val="center"/>
          </w:tcPr>
          <w:p w14:paraId="2D072385">
            <w:pPr>
              <w:spacing w:line="360" w:lineRule="auto"/>
              <w:rPr>
                <w:rFonts w:hint="eastAsia" w:ascii="宋体" w:hAnsi="宋体" w:eastAsia="宋体" w:cs="宋体"/>
                <w:color w:val="auto"/>
                <w:sz w:val="20"/>
                <w:szCs w:val="20"/>
                <w:highlight w:val="none"/>
              </w:rPr>
            </w:pPr>
          </w:p>
        </w:tc>
      </w:tr>
      <w:tr w14:paraId="2828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3" w:type="dxa"/>
            <w:vAlign w:val="center"/>
          </w:tcPr>
          <w:p w14:paraId="60CCAF69">
            <w:pPr>
              <w:spacing w:line="360" w:lineRule="auto"/>
              <w:rPr>
                <w:rFonts w:hint="eastAsia" w:ascii="宋体" w:hAnsi="宋体" w:eastAsia="宋体" w:cs="宋体"/>
                <w:color w:val="auto"/>
                <w:sz w:val="20"/>
                <w:szCs w:val="20"/>
                <w:highlight w:val="none"/>
              </w:rPr>
            </w:pPr>
          </w:p>
        </w:tc>
        <w:tc>
          <w:tcPr>
            <w:tcW w:w="3065" w:type="dxa"/>
            <w:gridSpan w:val="3"/>
            <w:vAlign w:val="center"/>
          </w:tcPr>
          <w:p w14:paraId="784A2722">
            <w:pPr>
              <w:spacing w:line="360" w:lineRule="auto"/>
              <w:rPr>
                <w:rFonts w:hint="eastAsia" w:ascii="宋体" w:hAnsi="宋体" w:eastAsia="宋体" w:cs="宋体"/>
                <w:color w:val="auto"/>
                <w:sz w:val="20"/>
                <w:szCs w:val="20"/>
                <w:highlight w:val="none"/>
              </w:rPr>
            </w:pPr>
          </w:p>
        </w:tc>
        <w:tc>
          <w:tcPr>
            <w:tcW w:w="1795" w:type="dxa"/>
            <w:vAlign w:val="center"/>
          </w:tcPr>
          <w:p w14:paraId="33F5F720">
            <w:pPr>
              <w:spacing w:line="360" w:lineRule="auto"/>
              <w:rPr>
                <w:rFonts w:hint="eastAsia" w:ascii="宋体" w:hAnsi="宋体" w:eastAsia="宋体" w:cs="宋体"/>
                <w:color w:val="auto"/>
                <w:sz w:val="20"/>
                <w:szCs w:val="20"/>
                <w:highlight w:val="none"/>
              </w:rPr>
            </w:pPr>
          </w:p>
        </w:tc>
        <w:tc>
          <w:tcPr>
            <w:tcW w:w="2160" w:type="dxa"/>
            <w:vAlign w:val="center"/>
          </w:tcPr>
          <w:p w14:paraId="61FF3556">
            <w:pPr>
              <w:spacing w:line="360" w:lineRule="auto"/>
              <w:rPr>
                <w:rFonts w:hint="eastAsia" w:ascii="宋体" w:hAnsi="宋体" w:eastAsia="宋体" w:cs="宋体"/>
                <w:color w:val="auto"/>
                <w:sz w:val="20"/>
                <w:szCs w:val="20"/>
                <w:highlight w:val="none"/>
              </w:rPr>
            </w:pPr>
          </w:p>
        </w:tc>
      </w:tr>
      <w:tr w14:paraId="67B3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3" w:type="dxa"/>
            <w:vAlign w:val="center"/>
          </w:tcPr>
          <w:p w14:paraId="49D1F50C">
            <w:pPr>
              <w:spacing w:line="360" w:lineRule="auto"/>
              <w:rPr>
                <w:rFonts w:hint="eastAsia" w:ascii="宋体" w:hAnsi="宋体" w:eastAsia="宋体" w:cs="宋体"/>
                <w:color w:val="auto"/>
                <w:sz w:val="20"/>
                <w:szCs w:val="20"/>
                <w:highlight w:val="none"/>
              </w:rPr>
            </w:pPr>
          </w:p>
        </w:tc>
        <w:tc>
          <w:tcPr>
            <w:tcW w:w="3065" w:type="dxa"/>
            <w:gridSpan w:val="3"/>
            <w:vAlign w:val="center"/>
          </w:tcPr>
          <w:p w14:paraId="6548B680">
            <w:pPr>
              <w:spacing w:line="360" w:lineRule="auto"/>
              <w:rPr>
                <w:rFonts w:hint="eastAsia" w:ascii="宋体" w:hAnsi="宋体" w:eastAsia="宋体" w:cs="宋体"/>
                <w:color w:val="auto"/>
                <w:sz w:val="20"/>
                <w:szCs w:val="20"/>
                <w:highlight w:val="none"/>
              </w:rPr>
            </w:pPr>
          </w:p>
        </w:tc>
        <w:tc>
          <w:tcPr>
            <w:tcW w:w="1795" w:type="dxa"/>
            <w:vAlign w:val="center"/>
          </w:tcPr>
          <w:p w14:paraId="4AED77E3">
            <w:pPr>
              <w:spacing w:line="360" w:lineRule="auto"/>
              <w:rPr>
                <w:rFonts w:hint="eastAsia" w:ascii="宋体" w:hAnsi="宋体" w:eastAsia="宋体" w:cs="宋体"/>
                <w:color w:val="auto"/>
                <w:sz w:val="20"/>
                <w:szCs w:val="20"/>
                <w:highlight w:val="none"/>
              </w:rPr>
            </w:pPr>
          </w:p>
        </w:tc>
        <w:tc>
          <w:tcPr>
            <w:tcW w:w="2160" w:type="dxa"/>
            <w:vAlign w:val="center"/>
          </w:tcPr>
          <w:p w14:paraId="4FE12DBA">
            <w:pPr>
              <w:spacing w:line="360" w:lineRule="auto"/>
              <w:rPr>
                <w:rFonts w:hint="eastAsia" w:ascii="宋体" w:hAnsi="宋体" w:eastAsia="宋体" w:cs="宋体"/>
                <w:color w:val="auto"/>
                <w:sz w:val="20"/>
                <w:szCs w:val="20"/>
                <w:highlight w:val="none"/>
              </w:rPr>
            </w:pPr>
          </w:p>
        </w:tc>
      </w:tr>
      <w:tr w14:paraId="0611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3" w:type="dxa"/>
            <w:vAlign w:val="center"/>
          </w:tcPr>
          <w:p w14:paraId="51AC621B">
            <w:pPr>
              <w:spacing w:line="360" w:lineRule="auto"/>
              <w:rPr>
                <w:rFonts w:hint="eastAsia" w:ascii="宋体" w:hAnsi="宋体" w:eastAsia="宋体" w:cs="宋体"/>
                <w:color w:val="auto"/>
                <w:sz w:val="20"/>
                <w:szCs w:val="20"/>
                <w:highlight w:val="none"/>
              </w:rPr>
            </w:pPr>
          </w:p>
        </w:tc>
        <w:tc>
          <w:tcPr>
            <w:tcW w:w="3065" w:type="dxa"/>
            <w:gridSpan w:val="3"/>
            <w:vAlign w:val="center"/>
          </w:tcPr>
          <w:p w14:paraId="7669391D">
            <w:pPr>
              <w:spacing w:line="360" w:lineRule="auto"/>
              <w:rPr>
                <w:rFonts w:hint="eastAsia" w:ascii="宋体" w:hAnsi="宋体" w:eastAsia="宋体" w:cs="宋体"/>
                <w:color w:val="auto"/>
                <w:sz w:val="20"/>
                <w:szCs w:val="20"/>
                <w:highlight w:val="none"/>
              </w:rPr>
            </w:pPr>
          </w:p>
        </w:tc>
        <w:tc>
          <w:tcPr>
            <w:tcW w:w="1795" w:type="dxa"/>
            <w:vAlign w:val="center"/>
          </w:tcPr>
          <w:p w14:paraId="1666A06D">
            <w:pPr>
              <w:spacing w:line="360" w:lineRule="auto"/>
              <w:rPr>
                <w:rFonts w:hint="eastAsia" w:ascii="宋体" w:hAnsi="宋体" w:eastAsia="宋体" w:cs="宋体"/>
                <w:color w:val="auto"/>
                <w:sz w:val="20"/>
                <w:szCs w:val="20"/>
                <w:highlight w:val="none"/>
              </w:rPr>
            </w:pPr>
          </w:p>
        </w:tc>
        <w:tc>
          <w:tcPr>
            <w:tcW w:w="2160" w:type="dxa"/>
            <w:vAlign w:val="center"/>
          </w:tcPr>
          <w:p w14:paraId="112D2793">
            <w:pPr>
              <w:spacing w:line="360" w:lineRule="auto"/>
              <w:rPr>
                <w:rFonts w:hint="eastAsia" w:ascii="宋体" w:hAnsi="宋体" w:eastAsia="宋体" w:cs="宋体"/>
                <w:color w:val="auto"/>
                <w:sz w:val="20"/>
                <w:szCs w:val="20"/>
                <w:highlight w:val="none"/>
              </w:rPr>
            </w:pPr>
          </w:p>
        </w:tc>
      </w:tr>
      <w:tr w14:paraId="1AE1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3" w:type="dxa"/>
            <w:vAlign w:val="center"/>
          </w:tcPr>
          <w:p w14:paraId="40717E36">
            <w:pPr>
              <w:spacing w:line="360" w:lineRule="auto"/>
              <w:rPr>
                <w:rFonts w:hint="eastAsia" w:ascii="宋体" w:hAnsi="宋体" w:eastAsia="宋体" w:cs="宋体"/>
                <w:color w:val="auto"/>
                <w:sz w:val="20"/>
                <w:szCs w:val="20"/>
                <w:highlight w:val="none"/>
              </w:rPr>
            </w:pPr>
          </w:p>
        </w:tc>
        <w:tc>
          <w:tcPr>
            <w:tcW w:w="3065" w:type="dxa"/>
            <w:gridSpan w:val="3"/>
            <w:vAlign w:val="center"/>
          </w:tcPr>
          <w:p w14:paraId="5872BD89">
            <w:pPr>
              <w:spacing w:line="360" w:lineRule="auto"/>
              <w:rPr>
                <w:rFonts w:hint="eastAsia" w:ascii="宋体" w:hAnsi="宋体" w:eastAsia="宋体" w:cs="宋体"/>
                <w:color w:val="auto"/>
                <w:sz w:val="20"/>
                <w:szCs w:val="20"/>
                <w:highlight w:val="none"/>
              </w:rPr>
            </w:pPr>
          </w:p>
        </w:tc>
        <w:tc>
          <w:tcPr>
            <w:tcW w:w="1795" w:type="dxa"/>
            <w:vAlign w:val="center"/>
          </w:tcPr>
          <w:p w14:paraId="6DEEA9AB">
            <w:pPr>
              <w:spacing w:line="360" w:lineRule="auto"/>
              <w:rPr>
                <w:rFonts w:hint="eastAsia" w:ascii="宋体" w:hAnsi="宋体" w:eastAsia="宋体" w:cs="宋体"/>
                <w:color w:val="auto"/>
                <w:sz w:val="20"/>
                <w:szCs w:val="20"/>
                <w:highlight w:val="none"/>
              </w:rPr>
            </w:pPr>
          </w:p>
        </w:tc>
        <w:tc>
          <w:tcPr>
            <w:tcW w:w="2160" w:type="dxa"/>
            <w:vAlign w:val="center"/>
          </w:tcPr>
          <w:p w14:paraId="51924664">
            <w:pPr>
              <w:spacing w:line="360" w:lineRule="auto"/>
              <w:rPr>
                <w:rFonts w:hint="eastAsia" w:ascii="宋体" w:hAnsi="宋体" w:eastAsia="宋体" w:cs="宋体"/>
                <w:color w:val="auto"/>
                <w:sz w:val="20"/>
                <w:szCs w:val="20"/>
                <w:highlight w:val="none"/>
              </w:rPr>
            </w:pPr>
          </w:p>
        </w:tc>
      </w:tr>
    </w:tbl>
    <w:p w14:paraId="6ED1D1FF">
      <w:pPr>
        <w:spacing w:line="360" w:lineRule="auto"/>
        <w:rPr>
          <w:rFonts w:hint="eastAsia" w:ascii="宋体" w:hAnsi="宋体" w:eastAsia="宋体" w:cs="宋体"/>
          <w:color w:val="auto"/>
          <w:sz w:val="24"/>
          <w:highlight w:val="none"/>
        </w:rPr>
        <w:sectPr>
          <w:footerReference r:id="rId5" w:type="default"/>
          <w:pgSz w:w="11906" w:h="16838"/>
          <w:pgMar w:top="1134" w:right="1134" w:bottom="1134" w:left="1134" w:header="851" w:footer="992" w:gutter="0"/>
          <w:pgNumType w:fmt="decimal"/>
          <w:cols w:space="720" w:num="1"/>
          <w:docGrid w:type="lines" w:linePitch="312" w:charSpace="0"/>
        </w:sectPr>
      </w:pPr>
    </w:p>
    <w:p w14:paraId="54E768F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附2： </w:t>
      </w:r>
    </w:p>
    <w:p w14:paraId="6BEC332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主要项目管理人员简历表</w:t>
      </w:r>
    </w:p>
    <w:p w14:paraId="4B05EEAB">
      <w:pPr>
        <w:spacing w:line="360" w:lineRule="auto"/>
        <w:rPr>
          <w:rFonts w:hint="eastAsia" w:ascii="宋体" w:hAnsi="宋体" w:eastAsia="宋体" w:cs="宋体"/>
          <w:color w:val="auto"/>
          <w:highlight w:val="none"/>
        </w:rPr>
      </w:pPr>
    </w:p>
    <w:tbl>
      <w:tblPr>
        <w:tblStyle w:val="28"/>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2837"/>
        <w:gridCol w:w="1656"/>
        <w:gridCol w:w="2299"/>
      </w:tblGrid>
      <w:tr w14:paraId="6AC0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635941E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岗位名称</w:t>
            </w:r>
          </w:p>
        </w:tc>
        <w:tc>
          <w:tcPr>
            <w:tcW w:w="6792" w:type="dxa"/>
            <w:gridSpan w:val="3"/>
            <w:vAlign w:val="center"/>
          </w:tcPr>
          <w:p w14:paraId="6E6EB8E0">
            <w:pPr>
              <w:spacing w:line="360" w:lineRule="auto"/>
              <w:jc w:val="center"/>
              <w:rPr>
                <w:rFonts w:hint="eastAsia" w:ascii="宋体" w:hAnsi="宋体" w:eastAsia="宋体" w:cs="宋体"/>
                <w:color w:val="auto"/>
                <w:highlight w:val="none"/>
              </w:rPr>
            </w:pPr>
          </w:p>
        </w:tc>
      </w:tr>
      <w:tr w14:paraId="770C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3627CA6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837" w:type="dxa"/>
            <w:vAlign w:val="center"/>
          </w:tcPr>
          <w:p w14:paraId="3545EA82">
            <w:pPr>
              <w:spacing w:line="360" w:lineRule="auto"/>
              <w:jc w:val="center"/>
              <w:rPr>
                <w:rFonts w:hint="eastAsia" w:ascii="宋体" w:hAnsi="宋体" w:eastAsia="宋体" w:cs="宋体"/>
                <w:color w:val="auto"/>
                <w:highlight w:val="none"/>
              </w:rPr>
            </w:pPr>
          </w:p>
        </w:tc>
        <w:tc>
          <w:tcPr>
            <w:tcW w:w="1656" w:type="dxa"/>
            <w:vAlign w:val="center"/>
          </w:tcPr>
          <w:p w14:paraId="2A3C49C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2299" w:type="dxa"/>
            <w:vAlign w:val="center"/>
          </w:tcPr>
          <w:p w14:paraId="337E8A7D">
            <w:pPr>
              <w:spacing w:line="360" w:lineRule="auto"/>
              <w:jc w:val="center"/>
              <w:rPr>
                <w:rFonts w:hint="eastAsia" w:ascii="宋体" w:hAnsi="宋体" w:eastAsia="宋体" w:cs="宋体"/>
                <w:color w:val="auto"/>
                <w:highlight w:val="none"/>
              </w:rPr>
            </w:pPr>
          </w:p>
        </w:tc>
      </w:tr>
      <w:tr w14:paraId="6877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33497CB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2837" w:type="dxa"/>
            <w:vAlign w:val="center"/>
          </w:tcPr>
          <w:p w14:paraId="3B0D2825">
            <w:pPr>
              <w:spacing w:line="360" w:lineRule="auto"/>
              <w:jc w:val="center"/>
              <w:rPr>
                <w:rFonts w:hint="eastAsia" w:ascii="宋体" w:hAnsi="宋体" w:eastAsia="宋体" w:cs="宋体"/>
                <w:color w:val="auto"/>
                <w:highlight w:val="none"/>
              </w:rPr>
            </w:pPr>
          </w:p>
        </w:tc>
        <w:tc>
          <w:tcPr>
            <w:tcW w:w="1656" w:type="dxa"/>
            <w:vAlign w:val="center"/>
          </w:tcPr>
          <w:p w14:paraId="31A4D3C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毕业院校</w:t>
            </w:r>
          </w:p>
        </w:tc>
        <w:tc>
          <w:tcPr>
            <w:tcW w:w="2299" w:type="dxa"/>
            <w:vAlign w:val="center"/>
          </w:tcPr>
          <w:p w14:paraId="634AB43A">
            <w:pPr>
              <w:spacing w:line="360" w:lineRule="auto"/>
              <w:jc w:val="center"/>
              <w:rPr>
                <w:rFonts w:hint="eastAsia" w:ascii="宋体" w:hAnsi="宋体" w:eastAsia="宋体" w:cs="宋体"/>
                <w:color w:val="auto"/>
                <w:highlight w:val="none"/>
              </w:rPr>
            </w:pPr>
          </w:p>
        </w:tc>
      </w:tr>
      <w:tr w14:paraId="4B68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511BCA3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学历和专业</w:t>
            </w:r>
          </w:p>
        </w:tc>
        <w:tc>
          <w:tcPr>
            <w:tcW w:w="2837" w:type="dxa"/>
            <w:vAlign w:val="center"/>
          </w:tcPr>
          <w:p w14:paraId="62D30E8F">
            <w:pPr>
              <w:spacing w:line="360" w:lineRule="auto"/>
              <w:jc w:val="center"/>
              <w:rPr>
                <w:rFonts w:hint="eastAsia" w:ascii="宋体" w:hAnsi="宋体" w:eastAsia="宋体" w:cs="宋体"/>
                <w:color w:val="auto"/>
                <w:highlight w:val="none"/>
              </w:rPr>
            </w:pPr>
          </w:p>
        </w:tc>
        <w:tc>
          <w:tcPr>
            <w:tcW w:w="1656" w:type="dxa"/>
            <w:vAlign w:val="center"/>
          </w:tcPr>
          <w:p w14:paraId="74D781B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毕业时间</w:t>
            </w:r>
          </w:p>
        </w:tc>
        <w:tc>
          <w:tcPr>
            <w:tcW w:w="2299" w:type="dxa"/>
            <w:vAlign w:val="center"/>
          </w:tcPr>
          <w:p w14:paraId="0BC8A8A0">
            <w:pPr>
              <w:spacing w:line="360" w:lineRule="auto"/>
              <w:jc w:val="center"/>
              <w:rPr>
                <w:rFonts w:hint="eastAsia" w:ascii="宋体" w:hAnsi="宋体" w:eastAsia="宋体" w:cs="宋体"/>
                <w:color w:val="auto"/>
                <w:highlight w:val="none"/>
              </w:rPr>
            </w:pPr>
          </w:p>
        </w:tc>
      </w:tr>
      <w:tr w14:paraId="797F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64D9A68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拥有的执业资格</w:t>
            </w:r>
          </w:p>
        </w:tc>
        <w:tc>
          <w:tcPr>
            <w:tcW w:w="2837" w:type="dxa"/>
            <w:vAlign w:val="center"/>
          </w:tcPr>
          <w:p w14:paraId="16290B72">
            <w:pPr>
              <w:spacing w:line="360" w:lineRule="auto"/>
              <w:jc w:val="center"/>
              <w:rPr>
                <w:rFonts w:hint="eastAsia" w:ascii="宋体" w:hAnsi="宋体" w:eastAsia="宋体" w:cs="宋体"/>
                <w:color w:val="auto"/>
                <w:highlight w:val="none"/>
              </w:rPr>
            </w:pPr>
          </w:p>
        </w:tc>
        <w:tc>
          <w:tcPr>
            <w:tcW w:w="1656" w:type="dxa"/>
            <w:vAlign w:val="center"/>
          </w:tcPr>
          <w:p w14:paraId="54ABCF3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专业职称</w:t>
            </w:r>
          </w:p>
        </w:tc>
        <w:tc>
          <w:tcPr>
            <w:tcW w:w="2299" w:type="dxa"/>
            <w:vAlign w:val="center"/>
          </w:tcPr>
          <w:p w14:paraId="33D59A6A">
            <w:pPr>
              <w:spacing w:line="360" w:lineRule="auto"/>
              <w:jc w:val="center"/>
              <w:rPr>
                <w:rFonts w:hint="eastAsia" w:ascii="宋体" w:hAnsi="宋体" w:eastAsia="宋体" w:cs="宋体"/>
                <w:color w:val="auto"/>
                <w:highlight w:val="none"/>
              </w:rPr>
            </w:pPr>
          </w:p>
        </w:tc>
      </w:tr>
      <w:tr w14:paraId="2B18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7806992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执业资格证书编号</w:t>
            </w:r>
          </w:p>
        </w:tc>
        <w:tc>
          <w:tcPr>
            <w:tcW w:w="2837" w:type="dxa"/>
            <w:vAlign w:val="center"/>
          </w:tcPr>
          <w:p w14:paraId="079FEA52">
            <w:pPr>
              <w:spacing w:line="360" w:lineRule="auto"/>
              <w:jc w:val="center"/>
              <w:rPr>
                <w:rFonts w:hint="eastAsia" w:ascii="宋体" w:hAnsi="宋体" w:eastAsia="宋体" w:cs="宋体"/>
                <w:color w:val="auto"/>
                <w:highlight w:val="none"/>
              </w:rPr>
            </w:pPr>
          </w:p>
        </w:tc>
        <w:tc>
          <w:tcPr>
            <w:tcW w:w="1656" w:type="dxa"/>
            <w:vAlign w:val="center"/>
          </w:tcPr>
          <w:p w14:paraId="2745B59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工作年限</w:t>
            </w:r>
          </w:p>
        </w:tc>
        <w:tc>
          <w:tcPr>
            <w:tcW w:w="2299" w:type="dxa"/>
            <w:vAlign w:val="center"/>
          </w:tcPr>
          <w:p w14:paraId="6CD27D5D">
            <w:pPr>
              <w:spacing w:line="360" w:lineRule="auto"/>
              <w:jc w:val="center"/>
              <w:rPr>
                <w:rFonts w:hint="eastAsia" w:ascii="宋体" w:hAnsi="宋体" w:eastAsia="宋体" w:cs="宋体"/>
                <w:color w:val="auto"/>
                <w:highlight w:val="none"/>
              </w:rPr>
            </w:pPr>
          </w:p>
        </w:tc>
      </w:tr>
      <w:tr w14:paraId="3B76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2081" w:type="dxa"/>
            <w:vAlign w:val="center"/>
          </w:tcPr>
          <w:p w14:paraId="2770380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主要工作业绩及担任的主要工作</w:t>
            </w:r>
          </w:p>
        </w:tc>
        <w:tc>
          <w:tcPr>
            <w:tcW w:w="6792" w:type="dxa"/>
            <w:gridSpan w:val="3"/>
            <w:vAlign w:val="center"/>
          </w:tcPr>
          <w:p w14:paraId="0C9D30C3">
            <w:pPr>
              <w:spacing w:line="360" w:lineRule="auto"/>
              <w:jc w:val="center"/>
              <w:rPr>
                <w:rFonts w:hint="eastAsia" w:ascii="宋体" w:hAnsi="宋体" w:eastAsia="宋体" w:cs="宋体"/>
                <w:color w:val="auto"/>
                <w:highlight w:val="none"/>
              </w:rPr>
            </w:pPr>
          </w:p>
        </w:tc>
      </w:tr>
    </w:tbl>
    <w:p w14:paraId="06CAAA11">
      <w:pPr>
        <w:spacing w:line="360" w:lineRule="auto"/>
        <w:jc w:val="center"/>
        <w:rPr>
          <w:rFonts w:hint="eastAsia" w:ascii="宋体" w:hAnsi="宋体" w:eastAsia="宋体" w:cs="宋体"/>
          <w:b/>
          <w:bCs/>
          <w:color w:val="auto"/>
          <w:sz w:val="28"/>
          <w:szCs w:val="28"/>
          <w:highlight w:val="none"/>
        </w:rPr>
      </w:pPr>
    </w:p>
    <w:p w14:paraId="2DB98820">
      <w:pPr>
        <w:spacing w:line="360" w:lineRule="auto"/>
        <w:jc w:val="center"/>
        <w:rPr>
          <w:rFonts w:hint="eastAsia" w:ascii="宋体" w:hAnsi="宋体" w:eastAsia="宋体" w:cs="宋体"/>
          <w:b/>
          <w:bCs/>
          <w:color w:val="auto"/>
          <w:sz w:val="28"/>
          <w:szCs w:val="28"/>
          <w:highlight w:val="none"/>
        </w:rPr>
      </w:pPr>
    </w:p>
    <w:p w14:paraId="677CA8AB">
      <w:pPr>
        <w:spacing w:line="360" w:lineRule="auto"/>
        <w:jc w:val="center"/>
        <w:rPr>
          <w:rFonts w:hint="eastAsia" w:ascii="宋体" w:hAnsi="宋体" w:eastAsia="宋体" w:cs="宋体"/>
          <w:b/>
          <w:bCs/>
          <w:color w:val="auto"/>
          <w:sz w:val="28"/>
          <w:szCs w:val="28"/>
          <w:highlight w:val="none"/>
        </w:rPr>
      </w:pPr>
    </w:p>
    <w:p w14:paraId="240A33F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AFB5A1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附3： </w:t>
      </w:r>
    </w:p>
    <w:p w14:paraId="77682C43">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项目经理无在建承诺书</w:t>
      </w:r>
    </w:p>
    <w:p w14:paraId="35B427D8">
      <w:pPr>
        <w:spacing w:line="360" w:lineRule="auto"/>
        <w:rPr>
          <w:rFonts w:hint="eastAsia" w:ascii="宋体" w:hAnsi="宋体" w:eastAsia="宋体" w:cs="宋体"/>
          <w:color w:val="auto"/>
          <w:highlight w:val="none"/>
        </w:rPr>
      </w:pPr>
    </w:p>
    <w:p w14:paraId="00C32CF8">
      <w:pPr>
        <w:spacing w:line="360" w:lineRule="auto"/>
        <w:rPr>
          <w:rFonts w:hint="eastAsia" w:ascii="宋体" w:hAnsi="宋体" w:eastAsia="宋体" w:cs="宋体"/>
          <w:color w:val="auto"/>
          <w:highlight w:val="none"/>
        </w:rPr>
      </w:pPr>
    </w:p>
    <w:p w14:paraId="08962C1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（采购人名称）：</w:t>
      </w:r>
    </w:p>
    <w:p w14:paraId="6660A19B">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 xml:space="preserve">我方在此声明，我方拟派往 </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的项目经理</w:t>
      </w:r>
      <w:r>
        <w:rPr>
          <w:rFonts w:hint="eastAsia" w:ascii="宋体" w:hAnsi="宋体" w:eastAsia="宋体" w:cs="宋体"/>
          <w:color w:val="auto"/>
          <w:highlight w:val="none"/>
          <w:u w:val="single"/>
        </w:rPr>
        <w:t xml:space="preserve">   （项目经理姓名）  </w:t>
      </w:r>
      <w:r>
        <w:rPr>
          <w:rFonts w:hint="eastAsia" w:ascii="宋体" w:hAnsi="宋体" w:eastAsia="宋体" w:cs="宋体"/>
          <w:color w:val="auto"/>
          <w:highlight w:val="none"/>
        </w:rPr>
        <w:t>未担任其他在建项目。</w:t>
      </w:r>
    </w:p>
    <w:p w14:paraId="4E71CBED">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我方保证上述信息的真实和准确，并愿意承担因我方就此弄虚作假所引起的一切法律后果。</w:t>
      </w:r>
    </w:p>
    <w:p w14:paraId="2EAADFC1">
      <w:pPr>
        <w:spacing w:line="360" w:lineRule="auto"/>
        <w:ind w:firstLine="315" w:firstLineChars="150"/>
        <w:rPr>
          <w:rFonts w:hint="eastAsia" w:ascii="宋体" w:hAnsi="宋体" w:eastAsia="宋体" w:cs="宋体"/>
          <w:color w:val="auto"/>
          <w:highlight w:val="none"/>
        </w:rPr>
      </w:pPr>
    </w:p>
    <w:p w14:paraId="7E88910C">
      <w:pPr>
        <w:spacing w:line="360" w:lineRule="auto"/>
        <w:rPr>
          <w:rFonts w:hint="eastAsia" w:ascii="宋体" w:hAnsi="宋体" w:eastAsia="宋体" w:cs="宋体"/>
          <w:color w:val="auto"/>
          <w:highlight w:val="none"/>
        </w:rPr>
      </w:pPr>
    </w:p>
    <w:p w14:paraId="41D9E8D2">
      <w:pPr>
        <w:spacing w:line="360" w:lineRule="auto"/>
        <w:rPr>
          <w:rFonts w:hint="eastAsia" w:ascii="宋体" w:hAnsi="宋体" w:eastAsia="宋体" w:cs="宋体"/>
          <w:color w:val="auto"/>
          <w:highlight w:val="none"/>
        </w:rPr>
      </w:pPr>
    </w:p>
    <w:p w14:paraId="4C034BBD">
      <w:pPr>
        <w:pStyle w:val="25"/>
        <w:spacing w:line="360" w:lineRule="auto"/>
        <w:ind w:firstLine="3045" w:firstLineChars="1450"/>
        <w:rPr>
          <w:rFonts w:hint="eastAsia" w:ascii="宋体" w:hAnsi="宋体" w:eastAsia="宋体" w:cs="宋体"/>
          <w:color w:val="auto"/>
          <w:highlight w:val="none"/>
        </w:rPr>
      </w:pPr>
    </w:p>
    <w:p w14:paraId="5F452C06">
      <w:pPr>
        <w:pStyle w:val="25"/>
        <w:spacing w:line="360" w:lineRule="auto"/>
        <w:ind w:firstLine="3045" w:firstLineChars="1450"/>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kern w:val="0"/>
          <w:highlight w:val="none"/>
        </w:rPr>
        <w:t>电子签章</w:t>
      </w:r>
      <w:r>
        <w:rPr>
          <w:rFonts w:hint="eastAsia" w:ascii="宋体" w:hAnsi="宋体" w:eastAsia="宋体" w:cs="宋体"/>
          <w:color w:val="auto"/>
          <w:highlight w:val="none"/>
        </w:rPr>
        <w:t>）</w:t>
      </w:r>
    </w:p>
    <w:p w14:paraId="6F781DE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（签字或</w:t>
      </w:r>
      <w:r>
        <w:rPr>
          <w:rFonts w:hint="eastAsia" w:ascii="宋体" w:hAnsi="宋体" w:eastAsia="宋体" w:cs="宋体"/>
          <w:color w:val="auto"/>
          <w:kern w:val="0"/>
          <w:highlight w:val="none"/>
        </w:rPr>
        <w:t>电子签章</w:t>
      </w:r>
      <w:r>
        <w:rPr>
          <w:rFonts w:hint="eastAsia" w:ascii="宋体" w:hAnsi="宋体" w:eastAsia="宋体" w:cs="宋体"/>
          <w:color w:val="auto"/>
          <w:highlight w:val="none"/>
        </w:rPr>
        <w:t>）</w:t>
      </w:r>
    </w:p>
    <w:p w14:paraId="0809C0A3">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6E6311A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3F51C7C">
      <w:pPr>
        <w:spacing w:line="360" w:lineRule="auto"/>
        <w:rPr>
          <w:rFonts w:hint="eastAsia" w:ascii="宋体" w:hAnsi="宋体" w:eastAsia="宋体" w:cs="宋体"/>
          <w:color w:val="auto"/>
          <w:highlight w:val="none"/>
        </w:rPr>
      </w:pPr>
    </w:p>
    <w:p w14:paraId="424870D2">
      <w:pPr>
        <w:pStyle w:val="56"/>
        <w:spacing w:line="360" w:lineRule="auto"/>
        <w:jc w:val="center"/>
        <w:outlineLvl w:val="9"/>
        <w:rPr>
          <w:rFonts w:hint="eastAsia" w:ascii="宋体" w:hAnsi="宋体" w:eastAsia="宋体" w:cs="宋体"/>
          <w:b/>
          <w:color w:val="auto"/>
          <w:highlight w:val="none"/>
        </w:rPr>
      </w:pPr>
      <w:bookmarkStart w:id="989" w:name="_Toc152042595"/>
      <w:bookmarkStart w:id="990" w:name="_Toc152045806"/>
      <w:bookmarkStart w:id="991" w:name="_Toc179632826"/>
      <w:bookmarkStart w:id="992" w:name="_Toc144974874"/>
      <w:bookmarkStart w:id="993" w:name="_Toc6026"/>
      <w:bookmarkStart w:id="994" w:name="_Toc2649"/>
      <w:bookmarkStart w:id="995" w:name="_Toc21048"/>
      <w:bookmarkStart w:id="996" w:name="_Toc341280460"/>
      <w:r>
        <w:rPr>
          <w:rFonts w:hint="eastAsia" w:ascii="宋体" w:hAnsi="宋体" w:eastAsia="宋体" w:cs="宋体"/>
          <w:b/>
          <w:color w:val="auto"/>
          <w:highlight w:val="none"/>
        </w:rPr>
        <w:br w:type="page"/>
      </w:r>
    </w:p>
    <w:p w14:paraId="4C1A852D">
      <w:pPr>
        <w:jc w:val="center"/>
        <w:outlineLvl w:val="1"/>
        <w:rPr>
          <w:rFonts w:hint="eastAsia" w:ascii="宋体" w:hAnsi="宋体" w:eastAsia="宋体" w:cs="宋体"/>
          <w:color w:val="auto"/>
          <w:sz w:val="28"/>
          <w:szCs w:val="28"/>
          <w:highlight w:val="none"/>
        </w:rPr>
      </w:pPr>
      <w:bookmarkStart w:id="997" w:name="_Toc11923"/>
      <w:bookmarkStart w:id="998" w:name="_Toc11761"/>
      <w:r>
        <w:rPr>
          <w:rFonts w:hint="eastAsia" w:ascii="宋体" w:hAnsi="宋体" w:eastAsia="宋体" w:cs="宋体"/>
          <w:color w:val="auto"/>
          <w:sz w:val="28"/>
          <w:szCs w:val="28"/>
          <w:highlight w:val="none"/>
        </w:rPr>
        <w:t>八、</w:t>
      </w:r>
      <w:bookmarkEnd w:id="989"/>
      <w:bookmarkEnd w:id="990"/>
      <w:bookmarkEnd w:id="991"/>
      <w:bookmarkEnd w:id="992"/>
      <w:bookmarkStart w:id="999" w:name="_Toc152045807"/>
      <w:bookmarkStart w:id="1000" w:name="_Toc179632827"/>
      <w:bookmarkStart w:id="1001" w:name="_Toc144974875"/>
      <w:bookmarkStart w:id="1002" w:name="_Toc152042596"/>
      <w:r>
        <w:rPr>
          <w:rFonts w:hint="eastAsia" w:ascii="宋体" w:hAnsi="宋体" w:eastAsia="宋体" w:cs="宋体"/>
          <w:color w:val="auto"/>
          <w:sz w:val="28"/>
          <w:szCs w:val="28"/>
          <w:highlight w:val="none"/>
        </w:rPr>
        <w:t>资格审查资料</w:t>
      </w:r>
      <w:bookmarkEnd w:id="993"/>
      <w:bookmarkEnd w:id="994"/>
      <w:bookmarkEnd w:id="995"/>
      <w:bookmarkEnd w:id="996"/>
      <w:bookmarkEnd w:id="997"/>
      <w:bookmarkEnd w:id="998"/>
      <w:bookmarkEnd w:id="999"/>
      <w:bookmarkEnd w:id="1000"/>
      <w:bookmarkEnd w:id="1001"/>
      <w:bookmarkEnd w:id="1002"/>
    </w:p>
    <w:p w14:paraId="378622F5">
      <w:pPr>
        <w:spacing w:line="360" w:lineRule="auto"/>
        <w:jc w:val="center"/>
        <w:outlineLvl w:val="2"/>
        <w:rPr>
          <w:rFonts w:hint="eastAsia" w:ascii="宋体" w:hAnsi="宋体" w:eastAsia="宋体" w:cs="宋体"/>
          <w:b/>
          <w:bCs/>
          <w:color w:val="auto"/>
          <w:sz w:val="24"/>
          <w:szCs w:val="24"/>
          <w:highlight w:val="none"/>
        </w:rPr>
      </w:pPr>
      <w:bookmarkStart w:id="1003" w:name="_Toc179632828"/>
      <w:bookmarkStart w:id="1004" w:name="_Toc144974876"/>
      <w:bookmarkStart w:id="1005" w:name="_Toc341280461"/>
      <w:bookmarkStart w:id="1006" w:name="_Toc152042597"/>
      <w:bookmarkStart w:id="1007" w:name="_Toc152045808"/>
      <w:bookmarkStart w:id="1008" w:name="_Toc11512"/>
      <w:bookmarkStart w:id="1009" w:name="_Toc4796"/>
      <w:bookmarkStart w:id="1010" w:name="_Toc8285"/>
      <w:bookmarkStart w:id="1011" w:name="_Toc19691"/>
      <w:bookmarkStart w:id="1012" w:name="_Toc9665"/>
      <w:bookmarkStart w:id="1013" w:name="_Toc12354"/>
      <w:r>
        <w:rPr>
          <w:rFonts w:hint="eastAsia" w:ascii="宋体" w:hAnsi="宋体" w:eastAsia="宋体" w:cs="宋体"/>
          <w:b/>
          <w:bCs/>
          <w:color w:val="auto"/>
          <w:sz w:val="24"/>
          <w:szCs w:val="24"/>
          <w:highlight w:val="none"/>
        </w:rPr>
        <w:t>（一）供应商基本情况表</w:t>
      </w:r>
      <w:bookmarkEnd w:id="1003"/>
      <w:bookmarkEnd w:id="1004"/>
      <w:bookmarkEnd w:id="1005"/>
      <w:bookmarkEnd w:id="1006"/>
      <w:bookmarkEnd w:id="1007"/>
      <w:bookmarkEnd w:id="1008"/>
      <w:bookmarkEnd w:id="1009"/>
      <w:bookmarkEnd w:id="1010"/>
      <w:bookmarkEnd w:id="1011"/>
      <w:bookmarkEnd w:id="1012"/>
      <w:bookmarkEnd w:id="1013"/>
    </w:p>
    <w:p w14:paraId="2951A48F">
      <w:pPr>
        <w:topLinePunct/>
        <w:spacing w:line="360" w:lineRule="auto"/>
        <w:jc w:val="center"/>
        <w:rPr>
          <w:rFonts w:hint="eastAsia" w:ascii="宋体" w:hAnsi="宋体" w:eastAsia="宋体" w:cs="宋体"/>
          <w:color w:val="auto"/>
          <w:sz w:val="23"/>
          <w:highlight w:val="none"/>
        </w:rPr>
      </w:pPr>
    </w:p>
    <w:tbl>
      <w:tblPr>
        <w:tblStyle w:val="2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1173"/>
        <w:gridCol w:w="1650"/>
        <w:gridCol w:w="945"/>
        <w:gridCol w:w="1223"/>
      </w:tblGrid>
      <w:tr w14:paraId="52D4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362323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123A49C2">
            <w:pPr>
              <w:spacing w:line="360" w:lineRule="auto"/>
              <w:jc w:val="center"/>
              <w:rPr>
                <w:rFonts w:hint="eastAsia" w:ascii="宋体" w:hAnsi="宋体" w:eastAsia="宋体" w:cs="宋体"/>
                <w:color w:val="auto"/>
                <w:highlight w:val="none"/>
              </w:rPr>
            </w:pPr>
          </w:p>
        </w:tc>
      </w:tr>
      <w:tr w14:paraId="76D7D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1753EB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3022" w:type="dxa"/>
            <w:gridSpan w:val="3"/>
            <w:tcBorders>
              <w:top w:val="single" w:color="auto" w:sz="4" w:space="0"/>
              <w:left w:val="single" w:color="auto" w:sz="4" w:space="0"/>
              <w:bottom w:val="single" w:color="auto" w:sz="4" w:space="0"/>
              <w:right w:val="single" w:color="auto" w:sz="4" w:space="0"/>
            </w:tcBorders>
            <w:vAlign w:val="center"/>
          </w:tcPr>
          <w:p w14:paraId="558F5710">
            <w:pPr>
              <w:spacing w:line="360" w:lineRule="auto"/>
              <w:jc w:val="center"/>
              <w:rPr>
                <w:rFonts w:hint="eastAsia" w:ascii="宋体" w:hAnsi="宋体" w:eastAsia="宋体" w:cs="宋体"/>
                <w:color w:val="auto"/>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27567FB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2168" w:type="dxa"/>
            <w:gridSpan w:val="2"/>
            <w:tcBorders>
              <w:top w:val="single" w:color="auto" w:sz="4" w:space="0"/>
              <w:left w:val="single" w:color="auto" w:sz="4" w:space="0"/>
              <w:bottom w:val="single" w:color="auto" w:sz="4" w:space="0"/>
              <w:right w:val="single" w:color="auto" w:sz="4" w:space="0"/>
            </w:tcBorders>
            <w:vAlign w:val="center"/>
          </w:tcPr>
          <w:p w14:paraId="41F559D8">
            <w:pPr>
              <w:spacing w:line="360" w:lineRule="auto"/>
              <w:jc w:val="center"/>
              <w:rPr>
                <w:rFonts w:hint="eastAsia" w:ascii="宋体" w:hAnsi="宋体" w:eastAsia="宋体" w:cs="宋体"/>
                <w:color w:val="auto"/>
                <w:highlight w:val="none"/>
              </w:rPr>
            </w:pPr>
          </w:p>
        </w:tc>
      </w:tr>
      <w:tr w14:paraId="41C36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6709633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0AA9C5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联系人</w:t>
            </w:r>
          </w:p>
        </w:tc>
        <w:tc>
          <w:tcPr>
            <w:tcW w:w="2124" w:type="dxa"/>
            <w:gridSpan w:val="2"/>
            <w:tcBorders>
              <w:top w:val="single" w:color="auto" w:sz="4" w:space="0"/>
              <w:left w:val="single" w:color="auto" w:sz="4" w:space="0"/>
              <w:bottom w:val="single" w:color="auto" w:sz="4" w:space="0"/>
              <w:right w:val="single" w:color="auto" w:sz="4" w:space="0"/>
            </w:tcBorders>
            <w:vAlign w:val="center"/>
          </w:tcPr>
          <w:p w14:paraId="5F9F1EEE">
            <w:pPr>
              <w:spacing w:line="360" w:lineRule="auto"/>
              <w:jc w:val="center"/>
              <w:rPr>
                <w:rFonts w:hint="eastAsia" w:ascii="宋体" w:hAnsi="宋体" w:eastAsia="宋体" w:cs="宋体"/>
                <w:color w:val="auto"/>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3F6D1BA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电 话</w:t>
            </w:r>
          </w:p>
        </w:tc>
        <w:tc>
          <w:tcPr>
            <w:tcW w:w="2168" w:type="dxa"/>
            <w:gridSpan w:val="2"/>
            <w:tcBorders>
              <w:top w:val="single" w:color="auto" w:sz="4" w:space="0"/>
              <w:left w:val="single" w:color="auto" w:sz="4" w:space="0"/>
              <w:bottom w:val="single" w:color="auto" w:sz="4" w:space="0"/>
              <w:right w:val="single" w:color="auto" w:sz="4" w:space="0"/>
            </w:tcBorders>
            <w:vAlign w:val="center"/>
          </w:tcPr>
          <w:p w14:paraId="6E3BB6CB">
            <w:pPr>
              <w:spacing w:line="360" w:lineRule="auto"/>
              <w:jc w:val="center"/>
              <w:rPr>
                <w:rFonts w:hint="eastAsia" w:ascii="宋体" w:hAnsi="宋体" w:eastAsia="宋体" w:cs="宋体"/>
                <w:color w:val="auto"/>
                <w:highlight w:val="none"/>
              </w:rPr>
            </w:pPr>
          </w:p>
        </w:tc>
      </w:tr>
      <w:tr w14:paraId="4BEEB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703A9820">
            <w:pPr>
              <w:spacing w:line="360" w:lineRule="auto"/>
              <w:jc w:val="center"/>
              <w:rPr>
                <w:rFonts w:hint="eastAsia" w:ascii="宋体" w:hAnsi="宋体" w:eastAsia="宋体" w:cs="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7C4EEF6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传  真</w:t>
            </w:r>
          </w:p>
        </w:tc>
        <w:tc>
          <w:tcPr>
            <w:tcW w:w="2124" w:type="dxa"/>
            <w:gridSpan w:val="2"/>
            <w:tcBorders>
              <w:top w:val="single" w:color="auto" w:sz="4" w:space="0"/>
              <w:left w:val="single" w:color="auto" w:sz="4" w:space="0"/>
              <w:bottom w:val="single" w:color="auto" w:sz="4" w:space="0"/>
              <w:right w:val="single" w:color="auto" w:sz="4" w:space="0"/>
            </w:tcBorders>
            <w:vAlign w:val="center"/>
          </w:tcPr>
          <w:p w14:paraId="00082B25">
            <w:pPr>
              <w:spacing w:line="360" w:lineRule="auto"/>
              <w:jc w:val="center"/>
              <w:rPr>
                <w:rFonts w:hint="eastAsia" w:ascii="宋体" w:hAnsi="宋体" w:eastAsia="宋体" w:cs="宋体"/>
                <w:color w:val="auto"/>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6C528AF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网 址</w:t>
            </w:r>
          </w:p>
        </w:tc>
        <w:tc>
          <w:tcPr>
            <w:tcW w:w="2168" w:type="dxa"/>
            <w:gridSpan w:val="2"/>
            <w:tcBorders>
              <w:top w:val="single" w:color="auto" w:sz="4" w:space="0"/>
              <w:left w:val="single" w:color="auto" w:sz="4" w:space="0"/>
              <w:bottom w:val="single" w:color="auto" w:sz="4" w:space="0"/>
              <w:right w:val="single" w:color="auto" w:sz="4" w:space="0"/>
            </w:tcBorders>
            <w:vAlign w:val="center"/>
          </w:tcPr>
          <w:p w14:paraId="48A99CF5">
            <w:pPr>
              <w:spacing w:line="360" w:lineRule="auto"/>
              <w:jc w:val="center"/>
              <w:rPr>
                <w:rFonts w:hint="eastAsia" w:ascii="宋体" w:hAnsi="宋体" w:eastAsia="宋体" w:cs="宋体"/>
                <w:color w:val="auto"/>
                <w:highlight w:val="none"/>
              </w:rPr>
            </w:pPr>
          </w:p>
        </w:tc>
      </w:tr>
      <w:tr w14:paraId="75C56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88A0EA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组织机构</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2C87CEB5">
            <w:pPr>
              <w:spacing w:line="360" w:lineRule="auto"/>
              <w:jc w:val="center"/>
              <w:rPr>
                <w:rFonts w:hint="eastAsia" w:ascii="宋体" w:hAnsi="宋体" w:eastAsia="宋体" w:cs="宋体"/>
                <w:color w:val="auto"/>
                <w:highlight w:val="none"/>
              </w:rPr>
            </w:pPr>
          </w:p>
        </w:tc>
      </w:tr>
      <w:tr w14:paraId="2884A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46448C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0F27291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2151EDE4">
            <w:pPr>
              <w:spacing w:line="360" w:lineRule="auto"/>
              <w:jc w:val="center"/>
              <w:rPr>
                <w:rFonts w:hint="eastAsia" w:ascii="宋体" w:hAnsi="宋体" w:eastAsia="宋体" w:cs="宋体"/>
                <w:color w:val="auto"/>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5AD2B35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650" w:type="dxa"/>
            <w:tcBorders>
              <w:top w:val="single" w:color="auto" w:sz="4" w:space="0"/>
              <w:left w:val="single" w:color="auto" w:sz="4" w:space="0"/>
              <w:bottom w:val="single" w:color="auto" w:sz="4" w:space="0"/>
              <w:right w:val="single" w:color="auto" w:sz="4" w:space="0"/>
            </w:tcBorders>
            <w:vAlign w:val="center"/>
          </w:tcPr>
          <w:p w14:paraId="3F0C1D6A">
            <w:pPr>
              <w:spacing w:line="360" w:lineRule="auto"/>
              <w:jc w:val="center"/>
              <w:rPr>
                <w:rFonts w:hint="eastAsia" w:ascii="宋体" w:hAnsi="宋体" w:eastAsia="宋体" w:cs="宋体"/>
                <w:color w:val="auto"/>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2D90176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223" w:type="dxa"/>
            <w:tcBorders>
              <w:top w:val="single" w:color="auto" w:sz="4" w:space="0"/>
              <w:left w:val="single" w:color="auto" w:sz="4" w:space="0"/>
              <w:bottom w:val="single" w:color="auto" w:sz="4" w:space="0"/>
              <w:right w:val="single" w:color="auto" w:sz="4" w:space="0"/>
            </w:tcBorders>
            <w:vAlign w:val="center"/>
          </w:tcPr>
          <w:p w14:paraId="466DE9B0">
            <w:pPr>
              <w:spacing w:line="360" w:lineRule="auto"/>
              <w:jc w:val="center"/>
              <w:rPr>
                <w:rFonts w:hint="eastAsia" w:ascii="宋体" w:hAnsi="宋体" w:eastAsia="宋体" w:cs="宋体"/>
                <w:color w:val="auto"/>
                <w:highlight w:val="none"/>
              </w:rPr>
            </w:pPr>
          </w:p>
        </w:tc>
      </w:tr>
      <w:tr w14:paraId="00B7E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B51398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5BF16E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55BED6B">
            <w:pPr>
              <w:spacing w:line="360" w:lineRule="auto"/>
              <w:jc w:val="center"/>
              <w:rPr>
                <w:rFonts w:hint="eastAsia" w:ascii="宋体" w:hAnsi="宋体" w:eastAsia="宋体" w:cs="宋体"/>
                <w:color w:val="auto"/>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0BC5222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650" w:type="dxa"/>
            <w:tcBorders>
              <w:top w:val="single" w:color="auto" w:sz="4" w:space="0"/>
              <w:left w:val="single" w:color="auto" w:sz="4" w:space="0"/>
              <w:bottom w:val="single" w:color="auto" w:sz="4" w:space="0"/>
              <w:right w:val="single" w:color="auto" w:sz="4" w:space="0"/>
            </w:tcBorders>
            <w:vAlign w:val="center"/>
          </w:tcPr>
          <w:p w14:paraId="439512FF">
            <w:pPr>
              <w:spacing w:line="360" w:lineRule="auto"/>
              <w:jc w:val="center"/>
              <w:rPr>
                <w:rFonts w:hint="eastAsia" w:ascii="宋体" w:hAnsi="宋体" w:eastAsia="宋体" w:cs="宋体"/>
                <w:color w:val="auto"/>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0FE68E1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223" w:type="dxa"/>
            <w:tcBorders>
              <w:top w:val="single" w:color="auto" w:sz="4" w:space="0"/>
              <w:left w:val="single" w:color="auto" w:sz="4" w:space="0"/>
              <w:bottom w:val="single" w:color="auto" w:sz="4" w:space="0"/>
              <w:right w:val="single" w:color="auto" w:sz="4" w:space="0"/>
            </w:tcBorders>
            <w:vAlign w:val="center"/>
          </w:tcPr>
          <w:p w14:paraId="1D2B4CDE">
            <w:pPr>
              <w:spacing w:line="360" w:lineRule="auto"/>
              <w:jc w:val="center"/>
              <w:rPr>
                <w:rFonts w:hint="eastAsia" w:ascii="宋体" w:hAnsi="宋体" w:eastAsia="宋体" w:cs="宋体"/>
                <w:color w:val="auto"/>
                <w:highlight w:val="none"/>
              </w:rPr>
            </w:pPr>
          </w:p>
        </w:tc>
      </w:tr>
      <w:tr w14:paraId="768E0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DB2A55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3818165">
            <w:pPr>
              <w:spacing w:line="360" w:lineRule="auto"/>
              <w:jc w:val="center"/>
              <w:rPr>
                <w:rFonts w:hint="eastAsia" w:ascii="宋体" w:hAnsi="宋体" w:eastAsia="宋体" w:cs="宋体"/>
                <w:color w:val="auto"/>
                <w:highlight w:val="none"/>
              </w:rPr>
            </w:pPr>
          </w:p>
        </w:tc>
        <w:tc>
          <w:tcPr>
            <w:tcW w:w="4991" w:type="dxa"/>
            <w:gridSpan w:val="4"/>
            <w:tcBorders>
              <w:top w:val="single" w:color="auto" w:sz="4" w:space="0"/>
              <w:left w:val="single" w:color="auto" w:sz="4" w:space="0"/>
              <w:bottom w:val="single" w:color="auto" w:sz="4" w:space="0"/>
              <w:right w:val="single" w:color="auto" w:sz="4" w:space="0"/>
            </w:tcBorders>
            <w:vAlign w:val="center"/>
          </w:tcPr>
          <w:p w14:paraId="12F1A4E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员工总人数：</w:t>
            </w:r>
          </w:p>
        </w:tc>
      </w:tr>
      <w:tr w14:paraId="5C5B9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28BB3A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8CCC08E">
            <w:pPr>
              <w:spacing w:line="360" w:lineRule="auto"/>
              <w:jc w:val="center"/>
              <w:rPr>
                <w:rFonts w:hint="eastAsia" w:ascii="宋体" w:hAnsi="宋体" w:eastAsia="宋体" w:cs="宋体"/>
                <w:color w:val="auto"/>
                <w:highlight w:val="none"/>
              </w:rPr>
            </w:pPr>
          </w:p>
        </w:tc>
        <w:tc>
          <w:tcPr>
            <w:tcW w:w="1173" w:type="dxa"/>
            <w:vMerge w:val="restart"/>
            <w:tcBorders>
              <w:top w:val="single" w:color="auto" w:sz="4" w:space="0"/>
              <w:left w:val="single" w:color="auto" w:sz="4" w:space="0"/>
              <w:bottom w:val="single" w:color="auto" w:sz="4" w:space="0"/>
              <w:right w:val="single" w:color="auto" w:sz="4" w:space="0"/>
            </w:tcBorders>
            <w:vAlign w:val="center"/>
          </w:tcPr>
          <w:p w14:paraId="4F4BF52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1650" w:type="dxa"/>
            <w:tcBorders>
              <w:top w:val="single" w:color="auto" w:sz="4" w:space="0"/>
              <w:left w:val="single" w:color="auto" w:sz="4" w:space="0"/>
              <w:bottom w:val="single" w:color="auto" w:sz="4" w:space="0"/>
              <w:right w:val="single" w:color="auto" w:sz="4" w:space="0"/>
            </w:tcBorders>
            <w:vAlign w:val="center"/>
          </w:tcPr>
          <w:p w14:paraId="49EAC7C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2168" w:type="dxa"/>
            <w:gridSpan w:val="2"/>
            <w:tcBorders>
              <w:top w:val="single" w:color="auto" w:sz="4" w:space="0"/>
              <w:left w:val="single" w:color="auto" w:sz="4" w:space="0"/>
              <w:bottom w:val="single" w:color="auto" w:sz="4" w:space="0"/>
              <w:right w:val="single" w:color="auto" w:sz="4" w:space="0"/>
            </w:tcBorders>
            <w:vAlign w:val="center"/>
          </w:tcPr>
          <w:p w14:paraId="366BB77F">
            <w:pPr>
              <w:spacing w:line="360" w:lineRule="auto"/>
              <w:jc w:val="center"/>
              <w:rPr>
                <w:rFonts w:hint="eastAsia" w:ascii="宋体" w:hAnsi="宋体" w:eastAsia="宋体" w:cs="宋体"/>
                <w:color w:val="auto"/>
                <w:highlight w:val="none"/>
              </w:rPr>
            </w:pPr>
          </w:p>
        </w:tc>
      </w:tr>
      <w:tr w14:paraId="5FEA8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B32972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2B96A3D">
            <w:pPr>
              <w:spacing w:line="360" w:lineRule="auto"/>
              <w:jc w:val="center"/>
              <w:rPr>
                <w:rFonts w:hint="eastAsia" w:ascii="宋体" w:hAnsi="宋体" w:eastAsia="宋体" w:cs="宋体"/>
                <w:color w:val="auto"/>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14:paraId="4456B327">
            <w:pPr>
              <w:spacing w:line="360" w:lineRule="auto"/>
              <w:jc w:val="center"/>
              <w:rPr>
                <w:rFonts w:hint="eastAsia" w:ascii="宋体" w:hAnsi="宋体" w:eastAsia="宋体" w:cs="宋体"/>
                <w:color w:val="auto"/>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3546D46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高级职称人员</w:t>
            </w:r>
          </w:p>
        </w:tc>
        <w:tc>
          <w:tcPr>
            <w:tcW w:w="2168" w:type="dxa"/>
            <w:gridSpan w:val="2"/>
            <w:tcBorders>
              <w:top w:val="single" w:color="auto" w:sz="4" w:space="0"/>
              <w:left w:val="single" w:color="auto" w:sz="4" w:space="0"/>
              <w:bottom w:val="single" w:color="auto" w:sz="4" w:space="0"/>
              <w:right w:val="single" w:color="auto" w:sz="4" w:space="0"/>
            </w:tcBorders>
            <w:vAlign w:val="center"/>
          </w:tcPr>
          <w:p w14:paraId="2920DA6D">
            <w:pPr>
              <w:spacing w:line="360" w:lineRule="auto"/>
              <w:jc w:val="center"/>
              <w:rPr>
                <w:rFonts w:hint="eastAsia" w:ascii="宋体" w:hAnsi="宋体" w:eastAsia="宋体" w:cs="宋体"/>
                <w:color w:val="auto"/>
                <w:highlight w:val="none"/>
              </w:rPr>
            </w:pPr>
          </w:p>
        </w:tc>
      </w:tr>
      <w:tr w14:paraId="03BF0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AA21C2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189098D">
            <w:pPr>
              <w:spacing w:line="360" w:lineRule="auto"/>
              <w:jc w:val="center"/>
              <w:rPr>
                <w:rFonts w:hint="eastAsia" w:ascii="宋体" w:hAnsi="宋体" w:eastAsia="宋体" w:cs="宋体"/>
                <w:color w:val="auto"/>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14:paraId="0488D37C">
            <w:pPr>
              <w:spacing w:line="360" w:lineRule="auto"/>
              <w:jc w:val="center"/>
              <w:rPr>
                <w:rFonts w:hint="eastAsia" w:ascii="宋体" w:hAnsi="宋体" w:eastAsia="宋体" w:cs="宋体"/>
                <w:color w:val="auto"/>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7B242F8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中级职称人员</w:t>
            </w:r>
          </w:p>
        </w:tc>
        <w:tc>
          <w:tcPr>
            <w:tcW w:w="2168" w:type="dxa"/>
            <w:gridSpan w:val="2"/>
            <w:tcBorders>
              <w:top w:val="single" w:color="auto" w:sz="4" w:space="0"/>
              <w:left w:val="single" w:color="auto" w:sz="4" w:space="0"/>
              <w:bottom w:val="single" w:color="auto" w:sz="4" w:space="0"/>
              <w:right w:val="single" w:color="auto" w:sz="4" w:space="0"/>
            </w:tcBorders>
            <w:vAlign w:val="center"/>
          </w:tcPr>
          <w:p w14:paraId="7428A139">
            <w:pPr>
              <w:spacing w:line="360" w:lineRule="auto"/>
              <w:jc w:val="center"/>
              <w:rPr>
                <w:rFonts w:hint="eastAsia" w:ascii="宋体" w:hAnsi="宋体" w:eastAsia="宋体" w:cs="宋体"/>
                <w:color w:val="auto"/>
                <w:highlight w:val="none"/>
              </w:rPr>
            </w:pPr>
          </w:p>
        </w:tc>
      </w:tr>
      <w:tr w14:paraId="4E7DF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9EC8DD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4BB9205">
            <w:pPr>
              <w:spacing w:line="360" w:lineRule="auto"/>
              <w:jc w:val="center"/>
              <w:rPr>
                <w:rFonts w:hint="eastAsia" w:ascii="宋体" w:hAnsi="宋体" w:eastAsia="宋体" w:cs="宋体"/>
                <w:color w:val="auto"/>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14:paraId="21C4C541">
            <w:pPr>
              <w:spacing w:line="360" w:lineRule="auto"/>
              <w:jc w:val="center"/>
              <w:rPr>
                <w:rFonts w:hint="eastAsia" w:ascii="宋体" w:hAnsi="宋体" w:eastAsia="宋体" w:cs="宋体"/>
                <w:color w:val="auto"/>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3C05033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初级职称人员</w:t>
            </w:r>
          </w:p>
        </w:tc>
        <w:tc>
          <w:tcPr>
            <w:tcW w:w="2168" w:type="dxa"/>
            <w:gridSpan w:val="2"/>
            <w:tcBorders>
              <w:top w:val="single" w:color="auto" w:sz="4" w:space="0"/>
              <w:left w:val="single" w:color="auto" w:sz="4" w:space="0"/>
              <w:bottom w:val="single" w:color="auto" w:sz="4" w:space="0"/>
              <w:right w:val="single" w:color="auto" w:sz="4" w:space="0"/>
            </w:tcBorders>
            <w:vAlign w:val="center"/>
          </w:tcPr>
          <w:p w14:paraId="1DD55DCD">
            <w:pPr>
              <w:spacing w:line="360" w:lineRule="auto"/>
              <w:jc w:val="center"/>
              <w:rPr>
                <w:rFonts w:hint="eastAsia" w:ascii="宋体" w:hAnsi="宋体" w:eastAsia="宋体" w:cs="宋体"/>
                <w:color w:val="auto"/>
                <w:highlight w:val="none"/>
              </w:rPr>
            </w:pPr>
          </w:p>
        </w:tc>
      </w:tr>
      <w:tr w14:paraId="5C7ED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E925AD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C31C44E">
            <w:pPr>
              <w:spacing w:line="360" w:lineRule="auto"/>
              <w:jc w:val="center"/>
              <w:rPr>
                <w:rFonts w:hint="eastAsia" w:ascii="宋体" w:hAnsi="宋体" w:eastAsia="宋体" w:cs="宋体"/>
                <w:color w:val="auto"/>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14:paraId="18092E91">
            <w:pPr>
              <w:spacing w:line="360" w:lineRule="auto"/>
              <w:jc w:val="center"/>
              <w:rPr>
                <w:rFonts w:hint="eastAsia" w:ascii="宋体" w:hAnsi="宋体" w:eastAsia="宋体" w:cs="宋体"/>
                <w:color w:val="auto"/>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5DC5DCE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技  工</w:t>
            </w:r>
          </w:p>
        </w:tc>
        <w:tc>
          <w:tcPr>
            <w:tcW w:w="2168" w:type="dxa"/>
            <w:gridSpan w:val="2"/>
            <w:tcBorders>
              <w:top w:val="single" w:color="auto" w:sz="4" w:space="0"/>
              <w:left w:val="single" w:color="auto" w:sz="4" w:space="0"/>
              <w:bottom w:val="single" w:color="auto" w:sz="4" w:space="0"/>
              <w:right w:val="single" w:color="auto" w:sz="4" w:space="0"/>
            </w:tcBorders>
            <w:vAlign w:val="center"/>
          </w:tcPr>
          <w:p w14:paraId="0A899612">
            <w:pPr>
              <w:spacing w:line="360" w:lineRule="auto"/>
              <w:jc w:val="center"/>
              <w:rPr>
                <w:rFonts w:hint="eastAsia" w:ascii="宋体" w:hAnsi="宋体" w:eastAsia="宋体" w:cs="宋体"/>
                <w:color w:val="auto"/>
                <w:highlight w:val="none"/>
              </w:rPr>
            </w:pPr>
          </w:p>
        </w:tc>
      </w:tr>
      <w:tr w14:paraId="6FCA4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vAlign w:val="center"/>
          </w:tcPr>
          <w:p w14:paraId="420C25E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6840" w:type="dxa"/>
            <w:gridSpan w:val="6"/>
            <w:tcBorders>
              <w:top w:val="single" w:color="auto" w:sz="4" w:space="0"/>
              <w:left w:val="single" w:color="auto" w:sz="4" w:space="0"/>
              <w:right w:val="single" w:color="auto" w:sz="4" w:space="0"/>
            </w:tcBorders>
            <w:vAlign w:val="center"/>
          </w:tcPr>
          <w:p w14:paraId="6D47F3E0">
            <w:pPr>
              <w:spacing w:line="360" w:lineRule="auto"/>
              <w:jc w:val="center"/>
              <w:rPr>
                <w:rFonts w:hint="eastAsia" w:ascii="宋体" w:hAnsi="宋体" w:eastAsia="宋体" w:cs="宋体"/>
                <w:color w:val="auto"/>
                <w:highlight w:val="none"/>
              </w:rPr>
            </w:pPr>
          </w:p>
          <w:p w14:paraId="19F36196">
            <w:pPr>
              <w:spacing w:line="360" w:lineRule="auto"/>
              <w:jc w:val="center"/>
              <w:rPr>
                <w:rFonts w:hint="eastAsia" w:ascii="宋体" w:hAnsi="宋体" w:eastAsia="宋体" w:cs="宋体"/>
                <w:color w:val="auto"/>
                <w:highlight w:val="none"/>
              </w:rPr>
            </w:pPr>
          </w:p>
          <w:p w14:paraId="1616DAD4">
            <w:pPr>
              <w:spacing w:line="360" w:lineRule="auto"/>
              <w:jc w:val="center"/>
              <w:rPr>
                <w:rFonts w:hint="eastAsia" w:ascii="宋体" w:hAnsi="宋体" w:eastAsia="宋体" w:cs="宋体"/>
                <w:color w:val="auto"/>
                <w:highlight w:val="none"/>
              </w:rPr>
            </w:pPr>
          </w:p>
          <w:p w14:paraId="3CCEA8E3">
            <w:pPr>
              <w:spacing w:line="360" w:lineRule="auto"/>
              <w:jc w:val="center"/>
              <w:rPr>
                <w:rFonts w:hint="eastAsia" w:ascii="宋体" w:hAnsi="宋体" w:eastAsia="宋体" w:cs="宋体"/>
                <w:color w:val="auto"/>
                <w:highlight w:val="none"/>
              </w:rPr>
            </w:pPr>
          </w:p>
        </w:tc>
      </w:tr>
      <w:tr w14:paraId="06335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C5BF63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7C3AEDBE">
            <w:pPr>
              <w:spacing w:line="360" w:lineRule="auto"/>
              <w:jc w:val="center"/>
              <w:rPr>
                <w:rFonts w:hint="eastAsia" w:ascii="宋体" w:hAnsi="宋体" w:eastAsia="宋体" w:cs="宋体"/>
                <w:color w:val="auto"/>
                <w:highlight w:val="none"/>
              </w:rPr>
            </w:pPr>
          </w:p>
        </w:tc>
      </w:tr>
    </w:tbl>
    <w:p w14:paraId="469871C0">
      <w:pPr>
        <w:pStyle w:val="19"/>
        <w:spacing w:line="360" w:lineRule="auto"/>
        <w:ind w:firstLine="42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1"/>
          <w:highlight w:val="none"/>
        </w:rPr>
        <w:t>备注：本表后附营业执照、资质证书、安全生产许可证等资料。</w:t>
      </w:r>
    </w:p>
    <w:p w14:paraId="47C87BF7">
      <w:pPr>
        <w:pStyle w:val="56"/>
        <w:spacing w:line="360" w:lineRule="auto"/>
        <w:jc w:val="center"/>
        <w:outlineLvl w:val="9"/>
        <w:rPr>
          <w:rFonts w:hint="eastAsia" w:ascii="宋体" w:hAnsi="宋体" w:eastAsia="宋体" w:cs="宋体"/>
          <w:b/>
          <w:color w:val="auto"/>
          <w:sz w:val="24"/>
          <w:szCs w:val="24"/>
          <w:highlight w:val="none"/>
        </w:rPr>
        <w:sectPr>
          <w:pgSz w:w="11906" w:h="16838"/>
          <w:pgMar w:top="1134" w:right="1134" w:bottom="1134" w:left="1134" w:header="851" w:footer="992" w:gutter="0"/>
          <w:pgNumType w:fmt="decimal"/>
          <w:cols w:space="720" w:num="1"/>
          <w:docGrid w:type="lines" w:linePitch="312" w:charSpace="0"/>
        </w:sectPr>
      </w:pPr>
      <w:bookmarkStart w:id="1014" w:name="_Toc32445"/>
      <w:bookmarkStart w:id="1015" w:name="_Toc152042598"/>
      <w:bookmarkStart w:id="1016" w:name="_Toc144974877"/>
      <w:bookmarkStart w:id="1017" w:name="_Toc179632829"/>
      <w:bookmarkStart w:id="1018" w:name="_Toc152045809"/>
      <w:bookmarkStart w:id="1019" w:name="_Toc341280462"/>
      <w:bookmarkStart w:id="1020" w:name="_Toc27267"/>
    </w:p>
    <w:bookmarkEnd w:id="1014"/>
    <w:bookmarkEnd w:id="1015"/>
    <w:bookmarkEnd w:id="1016"/>
    <w:bookmarkEnd w:id="1017"/>
    <w:bookmarkEnd w:id="1018"/>
    <w:bookmarkEnd w:id="1019"/>
    <w:bookmarkEnd w:id="1020"/>
    <w:p w14:paraId="134EF3B9">
      <w:pPr>
        <w:spacing w:line="360" w:lineRule="auto"/>
        <w:jc w:val="center"/>
        <w:outlineLvl w:val="2"/>
        <w:rPr>
          <w:rFonts w:hint="eastAsia" w:ascii="宋体" w:hAnsi="宋体" w:eastAsia="宋体" w:cs="宋体"/>
          <w:b/>
          <w:bCs/>
          <w:color w:val="auto"/>
          <w:sz w:val="24"/>
          <w:szCs w:val="24"/>
          <w:highlight w:val="none"/>
        </w:rPr>
      </w:pPr>
      <w:bookmarkStart w:id="1021" w:name="_Toc383"/>
      <w:bookmarkStart w:id="1022" w:name="_Toc17746"/>
      <w:bookmarkStart w:id="1023" w:name="_Toc32027"/>
      <w:bookmarkStart w:id="1024" w:name="_Toc15609"/>
      <w:bookmarkStart w:id="1025" w:name="_Toc6049"/>
      <w:bookmarkStart w:id="1026" w:name="_Toc11930"/>
      <w:bookmarkStart w:id="1027" w:name="_Toc144974879"/>
      <w:bookmarkStart w:id="1028" w:name="_Toc152045811"/>
      <w:bookmarkStart w:id="1029" w:name="_Toc9212"/>
      <w:bookmarkStart w:id="1030" w:name="_Toc8850"/>
      <w:bookmarkStart w:id="1031" w:name="_Toc341280464"/>
      <w:bookmarkStart w:id="1032" w:name="_Toc9355"/>
      <w:bookmarkStart w:id="1033" w:name="_Toc5309"/>
      <w:bookmarkStart w:id="1034" w:name="_Toc179632831"/>
      <w:bookmarkStart w:id="1035" w:name="_Toc3676"/>
      <w:bookmarkStart w:id="1036" w:name="_Toc152042600"/>
      <w:bookmarkStart w:id="1037" w:name="_Toc27385"/>
      <w:r>
        <w:rPr>
          <w:rFonts w:hint="eastAsia" w:ascii="宋体" w:hAnsi="宋体" w:eastAsia="宋体" w:cs="宋体"/>
          <w:b/>
          <w:bCs/>
          <w:color w:val="auto"/>
          <w:sz w:val="24"/>
          <w:szCs w:val="24"/>
          <w:highlight w:val="none"/>
        </w:rPr>
        <w:t>（二）</w:t>
      </w:r>
      <w:bookmarkEnd w:id="1021"/>
      <w:bookmarkEnd w:id="1022"/>
      <w:bookmarkEnd w:id="1023"/>
      <w:r>
        <w:rPr>
          <w:rFonts w:hint="eastAsia" w:ascii="宋体" w:hAnsi="宋体" w:eastAsia="宋体" w:cs="宋体"/>
          <w:b/>
          <w:bCs/>
          <w:color w:val="auto"/>
          <w:sz w:val="24"/>
          <w:szCs w:val="24"/>
          <w:highlight w:val="none"/>
        </w:rPr>
        <w:t>《中华人民共和国政府采购法》第二十二条规定</w:t>
      </w:r>
      <w:bookmarkEnd w:id="1024"/>
      <w:bookmarkEnd w:id="1025"/>
    </w:p>
    <w:p w14:paraId="453AAAC9">
      <w:pPr>
        <w:spacing w:line="360" w:lineRule="auto"/>
        <w:ind w:firstLine="420" w:firstLineChars="200"/>
        <w:rPr>
          <w:rFonts w:hint="eastAsia" w:ascii="宋体" w:hAnsi="宋体" w:eastAsia="宋体" w:cs="宋体"/>
          <w:color w:val="auto"/>
          <w:highlight w:val="none"/>
        </w:rPr>
      </w:pPr>
    </w:p>
    <w:p w14:paraId="2B533364">
      <w:pPr>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备注：供应商应根据供应商须知的要求在本表后附相关证明材料。</w:t>
      </w:r>
    </w:p>
    <w:p w14:paraId="4CEC2CA3">
      <w:pPr>
        <w:pStyle w:val="54"/>
        <w:rPr>
          <w:rFonts w:hint="eastAsia" w:ascii="宋体" w:hAnsi="宋体" w:eastAsia="宋体" w:cs="宋体"/>
          <w:color w:val="auto"/>
          <w:sz w:val="21"/>
          <w:highlight w:val="none"/>
        </w:rPr>
      </w:pPr>
    </w:p>
    <w:p w14:paraId="683F85F6">
      <w:pPr>
        <w:pStyle w:val="54"/>
        <w:rPr>
          <w:rFonts w:hint="eastAsia" w:ascii="宋体" w:hAnsi="宋体" w:eastAsia="宋体" w:cs="宋体"/>
          <w:color w:val="auto"/>
          <w:sz w:val="21"/>
          <w:highlight w:val="none"/>
        </w:rPr>
      </w:pPr>
    </w:p>
    <w:p w14:paraId="6F09FBEE">
      <w:pPr>
        <w:pStyle w:val="54"/>
        <w:rPr>
          <w:rFonts w:hint="eastAsia" w:ascii="宋体" w:hAnsi="宋体" w:eastAsia="宋体" w:cs="宋体"/>
          <w:color w:val="auto"/>
          <w:sz w:val="21"/>
          <w:highlight w:val="none"/>
        </w:rPr>
      </w:pPr>
    </w:p>
    <w:p w14:paraId="7E37E48A">
      <w:pPr>
        <w:pStyle w:val="54"/>
        <w:rPr>
          <w:rFonts w:hint="eastAsia" w:ascii="宋体" w:hAnsi="宋体" w:eastAsia="宋体" w:cs="宋体"/>
          <w:color w:val="auto"/>
          <w:sz w:val="21"/>
          <w:highlight w:val="none"/>
        </w:rPr>
      </w:pPr>
    </w:p>
    <w:p w14:paraId="0303A49B">
      <w:pPr>
        <w:pStyle w:val="54"/>
        <w:rPr>
          <w:rFonts w:hint="eastAsia" w:ascii="宋体" w:hAnsi="宋体" w:eastAsia="宋体" w:cs="宋体"/>
          <w:color w:val="auto"/>
          <w:sz w:val="21"/>
          <w:highlight w:val="none"/>
        </w:rPr>
      </w:pPr>
    </w:p>
    <w:p w14:paraId="3FDFFA7D">
      <w:pPr>
        <w:pStyle w:val="54"/>
        <w:rPr>
          <w:rFonts w:hint="eastAsia" w:ascii="宋体" w:hAnsi="宋体" w:eastAsia="宋体" w:cs="宋体"/>
          <w:color w:val="auto"/>
          <w:sz w:val="21"/>
          <w:highlight w:val="none"/>
        </w:rPr>
      </w:pPr>
    </w:p>
    <w:p w14:paraId="7BF88889">
      <w:pPr>
        <w:pStyle w:val="54"/>
        <w:rPr>
          <w:rFonts w:hint="eastAsia" w:ascii="宋体" w:hAnsi="宋体" w:eastAsia="宋体" w:cs="宋体"/>
          <w:color w:val="auto"/>
          <w:sz w:val="21"/>
          <w:highlight w:val="none"/>
        </w:rPr>
      </w:pPr>
    </w:p>
    <w:p w14:paraId="3C3F5784">
      <w:pPr>
        <w:pStyle w:val="54"/>
        <w:rPr>
          <w:rFonts w:hint="eastAsia" w:ascii="宋体" w:hAnsi="宋体" w:eastAsia="宋体" w:cs="宋体"/>
          <w:color w:val="auto"/>
          <w:sz w:val="21"/>
          <w:highlight w:val="none"/>
        </w:rPr>
      </w:pPr>
    </w:p>
    <w:p w14:paraId="5665605C">
      <w:pPr>
        <w:pStyle w:val="54"/>
        <w:rPr>
          <w:rFonts w:hint="eastAsia" w:ascii="宋体" w:hAnsi="宋体" w:eastAsia="宋体" w:cs="宋体"/>
          <w:color w:val="auto"/>
          <w:sz w:val="21"/>
          <w:highlight w:val="none"/>
        </w:rPr>
      </w:pPr>
    </w:p>
    <w:p w14:paraId="02C8690C">
      <w:pPr>
        <w:pStyle w:val="54"/>
        <w:rPr>
          <w:rFonts w:hint="eastAsia" w:ascii="宋体" w:hAnsi="宋体" w:eastAsia="宋体" w:cs="宋体"/>
          <w:color w:val="auto"/>
          <w:sz w:val="21"/>
          <w:highlight w:val="none"/>
        </w:rPr>
      </w:pPr>
    </w:p>
    <w:p w14:paraId="1022D492">
      <w:pPr>
        <w:pStyle w:val="54"/>
        <w:rPr>
          <w:rFonts w:hint="eastAsia" w:ascii="宋体" w:hAnsi="宋体" w:eastAsia="宋体" w:cs="宋体"/>
          <w:color w:val="auto"/>
          <w:sz w:val="21"/>
          <w:highlight w:val="none"/>
        </w:rPr>
      </w:pPr>
    </w:p>
    <w:p w14:paraId="0F4FE2FC">
      <w:pPr>
        <w:pStyle w:val="54"/>
        <w:rPr>
          <w:rFonts w:hint="eastAsia" w:ascii="宋体" w:hAnsi="宋体" w:eastAsia="宋体" w:cs="宋体"/>
          <w:color w:val="auto"/>
          <w:sz w:val="21"/>
          <w:highlight w:val="none"/>
        </w:rPr>
      </w:pPr>
    </w:p>
    <w:p w14:paraId="5508183E">
      <w:pPr>
        <w:pStyle w:val="54"/>
        <w:rPr>
          <w:rFonts w:hint="eastAsia" w:ascii="宋体" w:hAnsi="宋体" w:eastAsia="宋体" w:cs="宋体"/>
          <w:color w:val="auto"/>
          <w:sz w:val="21"/>
          <w:highlight w:val="none"/>
        </w:rPr>
        <w:sectPr>
          <w:pgSz w:w="11906" w:h="16838"/>
          <w:pgMar w:top="1417" w:right="1417" w:bottom="1417" w:left="1417" w:header="850" w:footer="992" w:gutter="0"/>
          <w:pgNumType w:fmt="decimal"/>
          <w:cols w:space="0" w:num="1"/>
          <w:docGrid w:type="lines" w:linePitch="318" w:charSpace="0"/>
        </w:sectPr>
      </w:pPr>
    </w:p>
    <w:p w14:paraId="0986BFA7">
      <w:pPr>
        <w:spacing w:line="360" w:lineRule="auto"/>
        <w:jc w:val="center"/>
        <w:outlineLvl w:val="2"/>
        <w:rPr>
          <w:rFonts w:hint="eastAsia" w:ascii="宋体" w:hAnsi="宋体" w:eastAsia="宋体" w:cs="宋体"/>
          <w:b/>
          <w:bCs/>
          <w:color w:val="auto"/>
          <w:sz w:val="24"/>
          <w:szCs w:val="24"/>
          <w:highlight w:val="none"/>
        </w:rPr>
      </w:pPr>
      <w:bookmarkStart w:id="1038" w:name="_Toc11715"/>
      <w:bookmarkStart w:id="1039" w:name="_Toc11455"/>
      <w:bookmarkStart w:id="1040" w:name="_Toc25457"/>
      <w:bookmarkStart w:id="1041" w:name="_Toc4199"/>
      <w:bookmarkStart w:id="1042" w:name="_Toc24852"/>
      <w:r>
        <w:rPr>
          <w:rFonts w:hint="eastAsia" w:ascii="宋体" w:hAnsi="宋体" w:eastAsia="宋体" w:cs="宋体"/>
          <w:b/>
          <w:bCs/>
          <w:color w:val="auto"/>
          <w:sz w:val="24"/>
          <w:szCs w:val="24"/>
          <w:highlight w:val="none"/>
        </w:rPr>
        <w:t>（三）近年发生的诉讼及仲裁情况</w:t>
      </w:r>
      <w:bookmarkEnd w:id="1038"/>
      <w:bookmarkEnd w:id="1039"/>
      <w:bookmarkEnd w:id="1040"/>
      <w:bookmarkEnd w:id="1041"/>
      <w:bookmarkEnd w:id="1042"/>
    </w:p>
    <w:p w14:paraId="1CC0F4BF">
      <w:pPr>
        <w:pStyle w:val="49"/>
        <w:rPr>
          <w:rFonts w:hint="eastAsia" w:ascii="宋体" w:hAnsi="宋体" w:eastAsia="宋体" w:cs="宋体"/>
          <w:color w:val="auto"/>
          <w:sz w:val="21"/>
          <w:highlight w:val="none"/>
        </w:rPr>
      </w:pPr>
    </w:p>
    <w:p w14:paraId="65C8DF4C">
      <w:pPr>
        <w:ind w:firstLine="442"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备注：供应商应根据供应商须知的要求在本表后附相关证明材料。</w:t>
      </w:r>
    </w:p>
    <w:p w14:paraId="300DABB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9AFD22">
      <w:pPr>
        <w:numPr>
          <w:ilvl w:val="0"/>
          <w:numId w:val="9"/>
        </w:numPr>
        <w:spacing w:line="360" w:lineRule="auto"/>
        <w:jc w:val="center"/>
        <w:outlineLvl w:val="2"/>
        <w:rPr>
          <w:rFonts w:hint="eastAsia" w:ascii="宋体" w:hAnsi="宋体" w:eastAsia="宋体" w:cs="宋体"/>
          <w:b/>
          <w:bCs/>
          <w:color w:val="auto"/>
          <w:sz w:val="24"/>
          <w:szCs w:val="24"/>
          <w:highlight w:val="none"/>
        </w:rPr>
      </w:pPr>
      <w:bookmarkStart w:id="1043" w:name="_Toc22118"/>
      <w:bookmarkStart w:id="1044" w:name="_Toc24767"/>
      <w:r>
        <w:rPr>
          <w:rFonts w:hint="eastAsia" w:ascii="宋体" w:hAnsi="宋体" w:eastAsia="宋体" w:cs="宋体"/>
          <w:b/>
          <w:bCs/>
          <w:color w:val="auto"/>
          <w:sz w:val="24"/>
          <w:szCs w:val="24"/>
          <w:highlight w:val="none"/>
        </w:rPr>
        <w:t>信誉</w:t>
      </w:r>
      <w:bookmarkEnd w:id="1043"/>
      <w:r>
        <w:rPr>
          <w:rFonts w:hint="eastAsia" w:ascii="宋体" w:hAnsi="宋体" w:eastAsia="宋体" w:cs="宋体"/>
          <w:b/>
          <w:bCs/>
          <w:color w:val="auto"/>
          <w:sz w:val="24"/>
          <w:szCs w:val="24"/>
          <w:highlight w:val="none"/>
          <w:lang w:eastAsia="zh-CN"/>
        </w:rPr>
        <w:t>要求</w:t>
      </w:r>
      <w:bookmarkEnd w:id="1044"/>
    </w:p>
    <w:p w14:paraId="08A48CE2">
      <w:pPr>
        <w:pStyle w:val="7"/>
        <w:ind w:firstLine="0"/>
        <w:rPr>
          <w:rFonts w:hint="eastAsia" w:ascii="宋体" w:hAnsi="宋体" w:eastAsia="宋体" w:cs="宋体"/>
          <w:color w:val="auto"/>
          <w:highlight w:val="none"/>
        </w:rPr>
      </w:pPr>
    </w:p>
    <w:p w14:paraId="76F51877">
      <w:pPr>
        <w:ind w:firstLine="442"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备注：供应商应根据供应商须知的要求在本表后附相关证明材料。</w:t>
      </w:r>
    </w:p>
    <w:p w14:paraId="0787CE5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AC088BD">
      <w:pPr>
        <w:numPr>
          <w:ilvl w:val="0"/>
          <w:numId w:val="9"/>
        </w:numPr>
        <w:spacing w:line="360" w:lineRule="auto"/>
        <w:jc w:val="center"/>
        <w:outlineLvl w:val="2"/>
        <w:rPr>
          <w:rFonts w:hint="eastAsia" w:ascii="宋体" w:hAnsi="宋体" w:eastAsia="宋体" w:cs="宋体"/>
          <w:b/>
          <w:bCs/>
          <w:color w:val="auto"/>
          <w:sz w:val="24"/>
          <w:szCs w:val="24"/>
          <w:highlight w:val="none"/>
          <w:lang w:val="en-US" w:eastAsia="zh-CN"/>
        </w:rPr>
      </w:pPr>
      <w:bookmarkStart w:id="1045" w:name="_Toc32177"/>
      <w:r>
        <w:rPr>
          <w:rFonts w:hint="eastAsia" w:ascii="宋体" w:hAnsi="宋体" w:eastAsia="宋体" w:cs="宋体"/>
          <w:b/>
          <w:bCs/>
          <w:color w:val="auto"/>
          <w:sz w:val="24"/>
          <w:szCs w:val="24"/>
          <w:highlight w:val="none"/>
          <w:lang w:val="en-US" w:eastAsia="zh-CN"/>
        </w:rPr>
        <w:t>供应商认为应该提供的其他资料</w:t>
      </w:r>
      <w:bookmarkEnd w:id="1045"/>
    </w:p>
    <w:p w14:paraId="159A12B1">
      <w:pPr>
        <w:spacing w:line="360" w:lineRule="auto"/>
        <w:ind w:firstLine="442" w:firstLineChars="200"/>
        <w:rPr>
          <w:rFonts w:hint="eastAsia" w:ascii="宋体" w:hAnsi="宋体" w:eastAsia="宋体" w:cs="宋体"/>
          <w:color w:val="auto"/>
          <w:highlight w:val="none"/>
        </w:rPr>
      </w:pPr>
    </w:p>
    <w:p w14:paraId="7C0204F8">
      <w:pPr>
        <w:spacing w:line="360" w:lineRule="auto"/>
        <w:ind w:firstLine="50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bookmarkEnd w:id="1026"/>
    <w:bookmarkEnd w:id="1027"/>
    <w:bookmarkEnd w:id="1028"/>
    <w:bookmarkEnd w:id="1029"/>
    <w:bookmarkEnd w:id="1030"/>
    <w:bookmarkEnd w:id="1031"/>
    <w:bookmarkEnd w:id="1032"/>
    <w:bookmarkEnd w:id="1033"/>
    <w:bookmarkEnd w:id="1034"/>
    <w:bookmarkEnd w:id="1035"/>
    <w:bookmarkEnd w:id="1036"/>
    <w:bookmarkEnd w:id="1037"/>
    <w:p w14:paraId="65550154">
      <w:pPr>
        <w:pStyle w:val="56"/>
        <w:spacing w:line="360" w:lineRule="auto"/>
        <w:outlineLvl w:val="9"/>
        <w:rPr>
          <w:rFonts w:hint="eastAsia" w:ascii="宋体" w:hAnsi="宋体" w:eastAsia="宋体" w:cs="宋体"/>
          <w:b/>
          <w:color w:val="auto"/>
          <w:highlight w:val="none"/>
        </w:rPr>
      </w:pPr>
      <w:bookmarkStart w:id="1046" w:name="_Toc8692"/>
      <w:bookmarkStart w:id="1047" w:name="_Toc341280467"/>
      <w:bookmarkStart w:id="1048" w:name="_Toc26399"/>
      <w:bookmarkStart w:id="1049" w:name="_Toc2428"/>
      <w:bookmarkStart w:id="1050" w:name="_Toc26989"/>
    </w:p>
    <w:bookmarkEnd w:id="1046"/>
    <w:bookmarkEnd w:id="1047"/>
    <w:bookmarkEnd w:id="1048"/>
    <w:bookmarkEnd w:id="1049"/>
    <w:p w14:paraId="1195D2B1">
      <w:pPr>
        <w:jc w:val="center"/>
        <w:outlineLvl w:val="1"/>
        <w:rPr>
          <w:rFonts w:hint="eastAsia" w:ascii="宋体" w:hAnsi="宋体" w:eastAsia="宋体" w:cs="宋体"/>
          <w:color w:val="auto"/>
          <w:sz w:val="28"/>
          <w:szCs w:val="28"/>
          <w:highlight w:val="none"/>
        </w:rPr>
      </w:pPr>
      <w:bookmarkStart w:id="1051" w:name="_Toc29529"/>
      <w:r>
        <w:rPr>
          <w:rFonts w:hint="eastAsia" w:ascii="宋体" w:hAnsi="宋体" w:eastAsia="宋体" w:cs="宋体"/>
          <w:color w:val="auto"/>
          <w:sz w:val="28"/>
          <w:szCs w:val="28"/>
          <w:highlight w:val="none"/>
        </w:rPr>
        <w:t>九、类似项目情况表</w:t>
      </w:r>
      <w:bookmarkEnd w:id="1051"/>
    </w:p>
    <w:p w14:paraId="72042C06">
      <w:pPr>
        <w:spacing w:line="360" w:lineRule="auto"/>
        <w:jc w:val="center"/>
        <w:outlineLvl w:val="2"/>
        <w:rPr>
          <w:rFonts w:hint="eastAsia" w:ascii="宋体" w:hAnsi="宋体" w:eastAsia="宋体" w:cs="宋体"/>
          <w:b/>
          <w:bCs/>
          <w:color w:val="auto"/>
          <w:sz w:val="24"/>
          <w:szCs w:val="24"/>
          <w:highlight w:val="none"/>
        </w:rPr>
      </w:pPr>
      <w:bookmarkStart w:id="1052" w:name="_Toc23319"/>
      <w:bookmarkStart w:id="1053" w:name="_Toc8791"/>
      <w:bookmarkStart w:id="1054" w:name="_Toc13251"/>
      <w:r>
        <w:rPr>
          <w:rFonts w:hint="eastAsia" w:ascii="宋体" w:hAnsi="宋体" w:eastAsia="宋体" w:cs="宋体"/>
          <w:b/>
          <w:bCs/>
          <w:color w:val="auto"/>
          <w:sz w:val="24"/>
          <w:szCs w:val="24"/>
          <w:highlight w:val="none"/>
        </w:rPr>
        <w:t>（一）近年完成的类似项目情况表</w:t>
      </w:r>
      <w:bookmarkEnd w:id="1052"/>
      <w:bookmarkEnd w:id="1053"/>
      <w:bookmarkEnd w:id="1054"/>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1E33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252F6B8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253" w:type="dxa"/>
          </w:tcPr>
          <w:p w14:paraId="1D981B74">
            <w:pPr>
              <w:spacing w:line="360" w:lineRule="auto"/>
              <w:jc w:val="center"/>
              <w:rPr>
                <w:rFonts w:hint="eastAsia" w:ascii="宋体" w:hAnsi="宋体" w:eastAsia="宋体" w:cs="宋体"/>
                <w:color w:val="auto"/>
                <w:highlight w:val="none"/>
              </w:rPr>
            </w:pPr>
          </w:p>
        </w:tc>
      </w:tr>
      <w:tr w14:paraId="4B78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70598C6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项目所在地</w:t>
            </w:r>
          </w:p>
        </w:tc>
        <w:tc>
          <w:tcPr>
            <w:tcW w:w="6253" w:type="dxa"/>
          </w:tcPr>
          <w:p w14:paraId="46217F9F">
            <w:pPr>
              <w:spacing w:line="360" w:lineRule="auto"/>
              <w:jc w:val="center"/>
              <w:rPr>
                <w:rFonts w:hint="eastAsia" w:ascii="宋体" w:hAnsi="宋体" w:eastAsia="宋体" w:cs="宋体"/>
                <w:color w:val="auto"/>
                <w:highlight w:val="none"/>
              </w:rPr>
            </w:pPr>
          </w:p>
        </w:tc>
      </w:tr>
      <w:tr w14:paraId="12E7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749B88A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6253" w:type="dxa"/>
          </w:tcPr>
          <w:p w14:paraId="0B2C141D">
            <w:pPr>
              <w:spacing w:line="360" w:lineRule="auto"/>
              <w:jc w:val="center"/>
              <w:rPr>
                <w:rFonts w:hint="eastAsia" w:ascii="宋体" w:hAnsi="宋体" w:eastAsia="宋体" w:cs="宋体"/>
                <w:color w:val="auto"/>
                <w:highlight w:val="none"/>
              </w:rPr>
            </w:pPr>
          </w:p>
        </w:tc>
      </w:tr>
      <w:tr w14:paraId="2C6B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25A8A7B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发包人地址</w:t>
            </w:r>
          </w:p>
        </w:tc>
        <w:tc>
          <w:tcPr>
            <w:tcW w:w="6253" w:type="dxa"/>
          </w:tcPr>
          <w:p w14:paraId="06228C41">
            <w:pPr>
              <w:spacing w:line="360" w:lineRule="auto"/>
              <w:jc w:val="center"/>
              <w:rPr>
                <w:rFonts w:hint="eastAsia" w:ascii="宋体" w:hAnsi="宋体" w:eastAsia="宋体" w:cs="宋体"/>
                <w:color w:val="auto"/>
                <w:highlight w:val="none"/>
              </w:rPr>
            </w:pPr>
          </w:p>
        </w:tc>
      </w:tr>
      <w:tr w14:paraId="3486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328E1C0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发包人电话</w:t>
            </w:r>
          </w:p>
        </w:tc>
        <w:tc>
          <w:tcPr>
            <w:tcW w:w="6253" w:type="dxa"/>
          </w:tcPr>
          <w:p w14:paraId="3B3A30EC">
            <w:pPr>
              <w:spacing w:line="360" w:lineRule="auto"/>
              <w:jc w:val="center"/>
              <w:rPr>
                <w:rFonts w:hint="eastAsia" w:ascii="宋体" w:hAnsi="宋体" w:eastAsia="宋体" w:cs="宋体"/>
                <w:color w:val="auto"/>
                <w:highlight w:val="none"/>
              </w:rPr>
            </w:pPr>
          </w:p>
        </w:tc>
      </w:tr>
      <w:tr w14:paraId="1D9E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041B35D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合同价格</w:t>
            </w:r>
          </w:p>
        </w:tc>
        <w:tc>
          <w:tcPr>
            <w:tcW w:w="6253" w:type="dxa"/>
          </w:tcPr>
          <w:p w14:paraId="575C4C6C">
            <w:pPr>
              <w:spacing w:line="360" w:lineRule="auto"/>
              <w:jc w:val="center"/>
              <w:rPr>
                <w:rFonts w:hint="eastAsia" w:ascii="宋体" w:hAnsi="宋体" w:eastAsia="宋体" w:cs="宋体"/>
                <w:color w:val="auto"/>
                <w:highlight w:val="none"/>
              </w:rPr>
            </w:pPr>
          </w:p>
        </w:tc>
      </w:tr>
      <w:tr w14:paraId="7E64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63EB5BC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开工日期</w:t>
            </w:r>
          </w:p>
        </w:tc>
        <w:tc>
          <w:tcPr>
            <w:tcW w:w="6253" w:type="dxa"/>
          </w:tcPr>
          <w:p w14:paraId="4E20EAE5">
            <w:pPr>
              <w:spacing w:line="360" w:lineRule="auto"/>
              <w:jc w:val="center"/>
              <w:rPr>
                <w:rFonts w:hint="eastAsia" w:ascii="宋体" w:hAnsi="宋体" w:eastAsia="宋体" w:cs="宋体"/>
                <w:color w:val="auto"/>
                <w:highlight w:val="none"/>
              </w:rPr>
            </w:pPr>
          </w:p>
        </w:tc>
      </w:tr>
      <w:tr w14:paraId="516F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250DB20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竣工日期</w:t>
            </w:r>
          </w:p>
        </w:tc>
        <w:tc>
          <w:tcPr>
            <w:tcW w:w="6253" w:type="dxa"/>
          </w:tcPr>
          <w:p w14:paraId="397E6852">
            <w:pPr>
              <w:spacing w:line="360" w:lineRule="auto"/>
              <w:jc w:val="center"/>
              <w:rPr>
                <w:rFonts w:hint="eastAsia" w:ascii="宋体" w:hAnsi="宋体" w:eastAsia="宋体" w:cs="宋体"/>
                <w:color w:val="auto"/>
                <w:highlight w:val="none"/>
              </w:rPr>
            </w:pPr>
          </w:p>
        </w:tc>
      </w:tr>
      <w:tr w14:paraId="7F4E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54A606A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承担的工作</w:t>
            </w:r>
          </w:p>
        </w:tc>
        <w:tc>
          <w:tcPr>
            <w:tcW w:w="6253" w:type="dxa"/>
          </w:tcPr>
          <w:p w14:paraId="4A71D1AD">
            <w:pPr>
              <w:spacing w:line="360" w:lineRule="auto"/>
              <w:jc w:val="center"/>
              <w:rPr>
                <w:rFonts w:hint="eastAsia" w:ascii="宋体" w:hAnsi="宋体" w:eastAsia="宋体" w:cs="宋体"/>
                <w:color w:val="auto"/>
                <w:highlight w:val="none"/>
              </w:rPr>
            </w:pPr>
          </w:p>
        </w:tc>
      </w:tr>
      <w:tr w14:paraId="2C69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3F22C03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工程质量</w:t>
            </w:r>
          </w:p>
        </w:tc>
        <w:tc>
          <w:tcPr>
            <w:tcW w:w="6253" w:type="dxa"/>
          </w:tcPr>
          <w:p w14:paraId="1C9FE51E">
            <w:pPr>
              <w:spacing w:line="360" w:lineRule="auto"/>
              <w:jc w:val="center"/>
              <w:rPr>
                <w:rFonts w:hint="eastAsia" w:ascii="宋体" w:hAnsi="宋体" w:eastAsia="宋体" w:cs="宋体"/>
                <w:color w:val="auto"/>
                <w:highlight w:val="none"/>
              </w:rPr>
            </w:pPr>
          </w:p>
        </w:tc>
      </w:tr>
      <w:tr w14:paraId="759E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1B45B36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6253" w:type="dxa"/>
          </w:tcPr>
          <w:p w14:paraId="3B7C19EB">
            <w:pPr>
              <w:spacing w:line="360" w:lineRule="auto"/>
              <w:jc w:val="center"/>
              <w:rPr>
                <w:rFonts w:hint="eastAsia" w:ascii="宋体" w:hAnsi="宋体" w:eastAsia="宋体" w:cs="宋体"/>
                <w:color w:val="auto"/>
                <w:highlight w:val="none"/>
              </w:rPr>
            </w:pPr>
          </w:p>
        </w:tc>
      </w:tr>
      <w:tr w14:paraId="62FF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053D759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技术负责人</w:t>
            </w:r>
          </w:p>
        </w:tc>
        <w:tc>
          <w:tcPr>
            <w:tcW w:w="6253" w:type="dxa"/>
          </w:tcPr>
          <w:p w14:paraId="55A57B9B">
            <w:pPr>
              <w:spacing w:line="360" w:lineRule="auto"/>
              <w:jc w:val="center"/>
              <w:rPr>
                <w:rFonts w:hint="eastAsia" w:ascii="宋体" w:hAnsi="宋体" w:eastAsia="宋体" w:cs="宋体"/>
                <w:color w:val="auto"/>
                <w:highlight w:val="none"/>
              </w:rPr>
            </w:pPr>
          </w:p>
        </w:tc>
      </w:tr>
      <w:tr w14:paraId="566B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35FDA9B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总监理工程师及电话</w:t>
            </w:r>
          </w:p>
        </w:tc>
        <w:tc>
          <w:tcPr>
            <w:tcW w:w="6253" w:type="dxa"/>
          </w:tcPr>
          <w:p w14:paraId="4180FA77">
            <w:pPr>
              <w:spacing w:line="360" w:lineRule="auto"/>
              <w:jc w:val="center"/>
              <w:rPr>
                <w:rFonts w:hint="eastAsia" w:ascii="宋体" w:hAnsi="宋体" w:eastAsia="宋体" w:cs="宋体"/>
                <w:color w:val="auto"/>
                <w:highlight w:val="none"/>
              </w:rPr>
            </w:pPr>
          </w:p>
        </w:tc>
      </w:tr>
      <w:tr w14:paraId="6220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2269" w:type="dxa"/>
            <w:vAlign w:val="center"/>
          </w:tcPr>
          <w:p w14:paraId="31C3481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项目描述</w:t>
            </w:r>
          </w:p>
        </w:tc>
        <w:tc>
          <w:tcPr>
            <w:tcW w:w="6253" w:type="dxa"/>
          </w:tcPr>
          <w:p w14:paraId="2413FDDA">
            <w:pPr>
              <w:spacing w:line="360" w:lineRule="auto"/>
              <w:jc w:val="center"/>
              <w:rPr>
                <w:rFonts w:hint="eastAsia" w:ascii="宋体" w:hAnsi="宋体" w:eastAsia="宋体" w:cs="宋体"/>
                <w:color w:val="auto"/>
                <w:highlight w:val="none"/>
              </w:rPr>
            </w:pPr>
          </w:p>
          <w:p w14:paraId="1BCDC141">
            <w:pPr>
              <w:spacing w:line="360" w:lineRule="auto"/>
              <w:jc w:val="center"/>
              <w:rPr>
                <w:rFonts w:hint="eastAsia" w:ascii="宋体" w:hAnsi="宋体" w:eastAsia="宋体" w:cs="宋体"/>
                <w:color w:val="auto"/>
                <w:highlight w:val="none"/>
              </w:rPr>
            </w:pPr>
          </w:p>
        </w:tc>
      </w:tr>
      <w:tr w14:paraId="5B85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269" w:type="dxa"/>
            <w:vAlign w:val="center"/>
          </w:tcPr>
          <w:p w14:paraId="52581E0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253" w:type="dxa"/>
          </w:tcPr>
          <w:p w14:paraId="346909F7">
            <w:pPr>
              <w:spacing w:line="360" w:lineRule="auto"/>
              <w:jc w:val="center"/>
              <w:rPr>
                <w:rFonts w:hint="eastAsia" w:ascii="宋体" w:hAnsi="宋体" w:eastAsia="宋体" w:cs="宋体"/>
                <w:color w:val="auto"/>
                <w:highlight w:val="none"/>
              </w:rPr>
            </w:pPr>
          </w:p>
        </w:tc>
      </w:tr>
    </w:tbl>
    <w:p w14:paraId="1654594C">
      <w:pPr>
        <w:pStyle w:val="56"/>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4E9E86C7">
      <w:pPr>
        <w:spacing w:line="360" w:lineRule="auto"/>
        <w:jc w:val="center"/>
        <w:outlineLvl w:val="2"/>
        <w:rPr>
          <w:rFonts w:hint="eastAsia" w:ascii="宋体" w:hAnsi="宋体" w:eastAsia="宋体" w:cs="宋体"/>
          <w:b/>
          <w:bCs/>
          <w:color w:val="auto"/>
          <w:sz w:val="24"/>
          <w:szCs w:val="24"/>
          <w:highlight w:val="none"/>
        </w:rPr>
      </w:pPr>
      <w:bookmarkStart w:id="1055" w:name="_Toc10509"/>
      <w:bookmarkStart w:id="1056" w:name="_Toc21948"/>
      <w:bookmarkStart w:id="1057" w:name="_Toc17711"/>
      <w:r>
        <w:rPr>
          <w:rFonts w:hint="eastAsia" w:ascii="宋体" w:hAnsi="宋体" w:eastAsia="宋体" w:cs="宋体"/>
          <w:b/>
          <w:bCs/>
          <w:color w:val="auto"/>
          <w:sz w:val="24"/>
          <w:szCs w:val="24"/>
          <w:highlight w:val="none"/>
        </w:rPr>
        <w:t>（二）正在施工的和正在承接的项目情况表</w:t>
      </w:r>
      <w:bookmarkEnd w:id="1055"/>
      <w:bookmarkEnd w:id="1056"/>
      <w:bookmarkEnd w:id="1057"/>
    </w:p>
    <w:p w14:paraId="4F3F5F78">
      <w:pPr>
        <w:spacing w:line="360" w:lineRule="auto"/>
        <w:rPr>
          <w:rFonts w:hint="eastAsia" w:ascii="宋体" w:hAnsi="宋体" w:eastAsia="宋体" w:cs="宋体"/>
          <w:color w:val="auto"/>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4FB1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0C9243F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403" w:type="dxa"/>
          </w:tcPr>
          <w:p w14:paraId="0A5E6513">
            <w:pPr>
              <w:spacing w:line="360" w:lineRule="auto"/>
              <w:jc w:val="center"/>
              <w:rPr>
                <w:rFonts w:hint="eastAsia" w:ascii="宋体" w:hAnsi="宋体" w:eastAsia="宋体" w:cs="宋体"/>
                <w:color w:val="auto"/>
                <w:highlight w:val="none"/>
              </w:rPr>
            </w:pPr>
          </w:p>
        </w:tc>
      </w:tr>
      <w:tr w14:paraId="7E78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496C028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项目所在地</w:t>
            </w:r>
          </w:p>
        </w:tc>
        <w:tc>
          <w:tcPr>
            <w:tcW w:w="6403" w:type="dxa"/>
          </w:tcPr>
          <w:p w14:paraId="3060036B">
            <w:pPr>
              <w:spacing w:line="360" w:lineRule="auto"/>
              <w:jc w:val="center"/>
              <w:rPr>
                <w:rFonts w:hint="eastAsia" w:ascii="宋体" w:hAnsi="宋体" w:eastAsia="宋体" w:cs="宋体"/>
                <w:color w:val="auto"/>
                <w:highlight w:val="none"/>
              </w:rPr>
            </w:pPr>
          </w:p>
        </w:tc>
      </w:tr>
      <w:tr w14:paraId="0012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2CFCAB1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6403" w:type="dxa"/>
          </w:tcPr>
          <w:p w14:paraId="30C7791A">
            <w:pPr>
              <w:spacing w:line="360" w:lineRule="auto"/>
              <w:jc w:val="center"/>
              <w:rPr>
                <w:rFonts w:hint="eastAsia" w:ascii="宋体" w:hAnsi="宋体" w:eastAsia="宋体" w:cs="宋体"/>
                <w:color w:val="auto"/>
                <w:highlight w:val="none"/>
              </w:rPr>
            </w:pPr>
          </w:p>
        </w:tc>
      </w:tr>
      <w:tr w14:paraId="4F7B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4B46F79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发包人地址</w:t>
            </w:r>
          </w:p>
        </w:tc>
        <w:tc>
          <w:tcPr>
            <w:tcW w:w="6403" w:type="dxa"/>
          </w:tcPr>
          <w:p w14:paraId="6366FBD2">
            <w:pPr>
              <w:spacing w:line="360" w:lineRule="auto"/>
              <w:jc w:val="center"/>
              <w:rPr>
                <w:rFonts w:hint="eastAsia" w:ascii="宋体" w:hAnsi="宋体" w:eastAsia="宋体" w:cs="宋体"/>
                <w:color w:val="auto"/>
                <w:highlight w:val="none"/>
              </w:rPr>
            </w:pPr>
          </w:p>
        </w:tc>
      </w:tr>
      <w:tr w14:paraId="1A91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70AFDB0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发包人电话</w:t>
            </w:r>
          </w:p>
        </w:tc>
        <w:tc>
          <w:tcPr>
            <w:tcW w:w="6403" w:type="dxa"/>
          </w:tcPr>
          <w:p w14:paraId="470027C1">
            <w:pPr>
              <w:spacing w:line="360" w:lineRule="auto"/>
              <w:jc w:val="center"/>
              <w:rPr>
                <w:rFonts w:hint="eastAsia" w:ascii="宋体" w:hAnsi="宋体" w:eastAsia="宋体" w:cs="宋体"/>
                <w:color w:val="auto"/>
                <w:highlight w:val="none"/>
              </w:rPr>
            </w:pPr>
          </w:p>
        </w:tc>
      </w:tr>
      <w:tr w14:paraId="4513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138DFF6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签约合同价</w:t>
            </w:r>
          </w:p>
        </w:tc>
        <w:tc>
          <w:tcPr>
            <w:tcW w:w="6403" w:type="dxa"/>
          </w:tcPr>
          <w:p w14:paraId="5A874275">
            <w:pPr>
              <w:spacing w:line="360" w:lineRule="auto"/>
              <w:jc w:val="center"/>
              <w:rPr>
                <w:rFonts w:hint="eastAsia" w:ascii="宋体" w:hAnsi="宋体" w:eastAsia="宋体" w:cs="宋体"/>
                <w:color w:val="auto"/>
                <w:highlight w:val="none"/>
              </w:rPr>
            </w:pPr>
          </w:p>
        </w:tc>
      </w:tr>
      <w:tr w14:paraId="6D5E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2D0DD50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开工日期</w:t>
            </w:r>
          </w:p>
        </w:tc>
        <w:tc>
          <w:tcPr>
            <w:tcW w:w="6403" w:type="dxa"/>
          </w:tcPr>
          <w:p w14:paraId="44355E3E">
            <w:pPr>
              <w:spacing w:line="360" w:lineRule="auto"/>
              <w:jc w:val="center"/>
              <w:rPr>
                <w:rFonts w:hint="eastAsia" w:ascii="宋体" w:hAnsi="宋体" w:eastAsia="宋体" w:cs="宋体"/>
                <w:color w:val="auto"/>
                <w:highlight w:val="none"/>
              </w:rPr>
            </w:pPr>
          </w:p>
        </w:tc>
      </w:tr>
      <w:tr w14:paraId="132B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69CC0A3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计划竣工日期</w:t>
            </w:r>
          </w:p>
        </w:tc>
        <w:tc>
          <w:tcPr>
            <w:tcW w:w="6403" w:type="dxa"/>
          </w:tcPr>
          <w:p w14:paraId="665D4EF9">
            <w:pPr>
              <w:spacing w:line="360" w:lineRule="auto"/>
              <w:jc w:val="center"/>
              <w:rPr>
                <w:rFonts w:hint="eastAsia" w:ascii="宋体" w:hAnsi="宋体" w:eastAsia="宋体" w:cs="宋体"/>
                <w:color w:val="auto"/>
                <w:highlight w:val="none"/>
              </w:rPr>
            </w:pPr>
          </w:p>
        </w:tc>
      </w:tr>
      <w:tr w14:paraId="631A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7C72B3D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承担的工作</w:t>
            </w:r>
          </w:p>
        </w:tc>
        <w:tc>
          <w:tcPr>
            <w:tcW w:w="6403" w:type="dxa"/>
          </w:tcPr>
          <w:p w14:paraId="062F8848">
            <w:pPr>
              <w:spacing w:line="360" w:lineRule="auto"/>
              <w:jc w:val="center"/>
              <w:rPr>
                <w:rFonts w:hint="eastAsia" w:ascii="宋体" w:hAnsi="宋体" w:eastAsia="宋体" w:cs="宋体"/>
                <w:color w:val="auto"/>
                <w:highlight w:val="none"/>
              </w:rPr>
            </w:pPr>
          </w:p>
        </w:tc>
      </w:tr>
      <w:tr w14:paraId="299D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103E390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工程质量</w:t>
            </w:r>
          </w:p>
        </w:tc>
        <w:tc>
          <w:tcPr>
            <w:tcW w:w="6403" w:type="dxa"/>
          </w:tcPr>
          <w:p w14:paraId="72A6624C">
            <w:pPr>
              <w:spacing w:line="360" w:lineRule="auto"/>
              <w:jc w:val="center"/>
              <w:rPr>
                <w:rFonts w:hint="eastAsia" w:ascii="宋体" w:hAnsi="宋体" w:eastAsia="宋体" w:cs="宋体"/>
                <w:color w:val="auto"/>
                <w:highlight w:val="none"/>
              </w:rPr>
            </w:pPr>
          </w:p>
        </w:tc>
      </w:tr>
      <w:tr w14:paraId="4656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13C57BB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6403" w:type="dxa"/>
          </w:tcPr>
          <w:p w14:paraId="7A6C57E8">
            <w:pPr>
              <w:spacing w:line="360" w:lineRule="auto"/>
              <w:jc w:val="center"/>
              <w:rPr>
                <w:rFonts w:hint="eastAsia" w:ascii="宋体" w:hAnsi="宋体" w:eastAsia="宋体" w:cs="宋体"/>
                <w:color w:val="auto"/>
                <w:highlight w:val="none"/>
              </w:rPr>
            </w:pPr>
          </w:p>
        </w:tc>
      </w:tr>
      <w:tr w14:paraId="25E1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1D403E4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技术负责人</w:t>
            </w:r>
          </w:p>
        </w:tc>
        <w:tc>
          <w:tcPr>
            <w:tcW w:w="6403" w:type="dxa"/>
          </w:tcPr>
          <w:p w14:paraId="7169F9E1">
            <w:pPr>
              <w:spacing w:line="360" w:lineRule="auto"/>
              <w:jc w:val="center"/>
              <w:rPr>
                <w:rFonts w:hint="eastAsia" w:ascii="宋体" w:hAnsi="宋体" w:eastAsia="宋体" w:cs="宋体"/>
                <w:color w:val="auto"/>
                <w:highlight w:val="none"/>
              </w:rPr>
            </w:pPr>
          </w:p>
        </w:tc>
      </w:tr>
      <w:tr w14:paraId="621E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19" w:type="dxa"/>
            <w:vAlign w:val="center"/>
          </w:tcPr>
          <w:p w14:paraId="2B73855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总监理工程师及电话</w:t>
            </w:r>
          </w:p>
        </w:tc>
        <w:tc>
          <w:tcPr>
            <w:tcW w:w="6403" w:type="dxa"/>
          </w:tcPr>
          <w:p w14:paraId="676B0C8C">
            <w:pPr>
              <w:spacing w:line="360" w:lineRule="auto"/>
              <w:jc w:val="center"/>
              <w:rPr>
                <w:rFonts w:hint="eastAsia" w:ascii="宋体" w:hAnsi="宋体" w:eastAsia="宋体" w:cs="宋体"/>
                <w:color w:val="auto"/>
                <w:highlight w:val="none"/>
              </w:rPr>
            </w:pPr>
          </w:p>
        </w:tc>
      </w:tr>
      <w:tr w14:paraId="1CAA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119" w:type="dxa"/>
            <w:vAlign w:val="center"/>
          </w:tcPr>
          <w:p w14:paraId="2EF4990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项目描述</w:t>
            </w:r>
          </w:p>
        </w:tc>
        <w:tc>
          <w:tcPr>
            <w:tcW w:w="6403" w:type="dxa"/>
          </w:tcPr>
          <w:p w14:paraId="639FDCCA">
            <w:pPr>
              <w:spacing w:line="360" w:lineRule="auto"/>
              <w:jc w:val="center"/>
              <w:rPr>
                <w:rFonts w:hint="eastAsia" w:ascii="宋体" w:hAnsi="宋体" w:eastAsia="宋体" w:cs="宋体"/>
                <w:color w:val="auto"/>
                <w:highlight w:val="none"/>
              </w:rPr>
            </w:pPr>
          </w:p>
        </w:tc>
      </w:tr>
      <w:tr w14:paraId="12C8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40BD060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403" w:type="dxa"/>
          </w:tcPr>
          <w:p w14:paraId="767822AD">
            <w:pPr>
              <w:spacing w:line="360" w:lineRule="auto"/>
              <w:jc w:val="center"/>
              <w:rPr>
                <w:rFonts w:hint="eastAsia" w:ascii="宋体" w:hAnsi="宋体" w:eastAsia="宋体" w:cs="宋体"/>
                <w:color w:val="auto"/>
                <w:highlight w:val="none"/>
              </w:rPr>
            </w:pPr>
          </w:p>
        </w:tc>
      </w:tr>
    </w:tbl>
    <w:p w14:paraId="590E4596">
      <w:pPr>
        <w:rPr>
          <w:rFonts w:hint="eastAsia" w:ascii="宋体" w:hAnsi="宋体" w:eastAsia="宋体" w:cs="宋体"/>
          <w:color w:val="auto"/>
          <w:highlight w:val="none"/>
        </w:rPr>
      </w:pPr>
      <w:r>
        <w:rPr>
          <w:rFonts w:hint="eastAsia" w:ascii="宋体" w:hAnsi="宋体" w:eastAsia="宋体" w:cs="宋体"/>
          <w:color w:val="auto"/>
          <w:highlight w:val="none"/>
        </w:rPr>
        <w:t>备注：如果没有正在承接的项目可以在表内填写无。</w:t>
      </w:r>
    </w:p>
    <w:p w14:paraId="73CDB69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03F11D0">
      <w:pPr>
        <w:jc w:val="center"/>
        <w:outlineLvl w:val="1"/>
        <w:rPr>
          <w:rFonts w:hint="eastAsia" w:ascii="宋体" w:hAnsi="宋体" w:eastAsia="宋体" w:cs="宋体"/>
          <w:color w:val="auto"/>
          <w:sz w:val="28"/>
          <w:szCs w:val="28"/>
          <w:highlight w:val="none"/>
        </w:rPr>
      </w:pPr>
      <w:bookmarkStart w:id="1058" w:name="_Toc8824"/>
      <w:bookmarkStart w:id="1059" w:name="_Toc28189"/>
      <w:r>
        <w:rPr>
          <w:rFonts w:hint="eastAsia" w:ascii="宋体" w:hAnsi="宋体" w:eastAsia="宋体" w:cs="宋体"/>
          <w:color w:val="auto"/>
          <w:sz w:val="28"/>
          <w:szCs w:val="28"/>
          <w:highlight w:val="none"/>
        </w:rPr>
        <w:t>十、服务承诺</w:t>
      </w:r>
      <w:bookmarkEnd w:id="1058"/>
      <w:r>
        <w:rPr>
          <w:rFonts w:hint="eastAsia" w:ascii="宋体" w:hAnsi="宋体" w:eastAsia="宋体" w:cs="宋体"/>
          <w:color w:val="auto"/>
          <w:sz w:val="28"/>
          <w:szCs w:val="28"/>
          <w:highlight w:val="none"/>
        </w:rPr>
        <w:br w:type="page"/>
      </w:r>
      <w:bookmarkEnd w:id="1059"/>
    </w:p>
    <w:p w14:paraId="43684AEE">
      <w:pPr>
        <w:jc w:val="center"/>
        <w:outlineLvl w:val="1"/>
        <w:rPr>
          <w:rFonts w:hint="eastAsia" w:ascii="宋体" w:hAnsi="宋体" w:eastAsia="宋体" w:cs="宋体"/>
          <w:color w:val="auto"/>
          <w:sz w:val="28"/>
          <w:szCs w:val="28"/>
          <w:highlight w:val="none"/>
        </w:rPr>
      </w:pPr>
      <w:bookmarkStart w:id="1060" w:name="_Toc7203"/>
      <w:r>
        <w:rPr>
          <w:rFonts w:hint="eastAsia" w:ascii="宋体" w:hAnsi="宋体" w:eastAsia="宋体" w:cs="宋体"/>
          <w:color w:val="auto"/>
          <w:sz w:val="28"/>
          <w:szCs w:val="28"/>
          <w:highlight w:val="none"/>
        </w:rPr>
        <w:t>十一、供应商认为有必要提供的其他资料</w:t>
      </w:r>
      <w:bookmarkEnd w:id="1050"/>
      <w:bookmarkEnd w:id="1060"/>
    </w:p>
    <w:p w14:paraId="05D31CA8">
      <w:pPr>
        <w:spacing w:line="360" w:lineRule="auto"/>
        <w:outlineLvl w:val="2"/>
        <w:rPr>
          <w:rFonts w:hint="eastAsia" w:ascii="宋体" w:hAnsi="宋体" w:eastAsia="宋体" w:cs="宋体"/>
          <w:b/>
          <w:bCs/>
          <w:color w:val="auto"/>
          <w:highlight w:val="none"/>
        </w:rPr>
      </w:pPr>
      <w:bookmarkStart w:id="1061" w:name="_Toc10731"/>
      <w:bookmarkStart w:id="1062" w:name="_Toc16403"/>
      <w:bookmarkStart w:id="1063" w:name="_Toc3691"/>
      <w:bookmarkStart w:id="1064" w:name="_Toc19370"/>
      <w:r>
        <w:rPr>
          <w:rFonts w:hint="eastAsia" w:ascii="宋体" w:hAnsi="宋体" w:eastAsia="宋体" w:cs="宋体"/>
          <w:b/>
          <w:bCs/>
          <w:color w:val="auto"/>
          <w:highlight w:val="none"/>
        </w:rPr>
        <w:t>（一）反商业贿赂承诺书</w:t>
      </w:r>
      <w:bookmarkEnd w:id="1061"/>
      <w:bookmarkEnd w:id="1062"/>
      <w:bookmarkEnd w:id="1063"/>
      <w:bookmarkEnd w:id="1064"/>
    </w:p>
    <w:p w14:paraId="172E0421">
      <w:pPr>
        <w:spacing w:line="360" w:lineRule="auto"/>
        <w:rPr>
          <w:rFonts w:hint="eastAsia" w:ascii="宋体" w:hAnsi="宋体" w:eastAsia="宋体" w:cs="宋体"/>
          <w:color w:val="auto"/>
          <w:highlight w:val="none"/>
        </w:rPr>
      </w:pPr>
    </w:p>
    <w:p w14:paraId="0D60BF8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我公司承诺：</w:t>
      </w:r>
    </w:p>
    <w:p w14:paraId="70254FAF">
      <w:pPr>
        <w:spacing w:line="360" w:lineRule="auto"/>
        <w:ind w:firstLine="442" w:firstLineChars="200"/>
        <w:rPr>
          <w:rFonts w:hint="eastAsia" w:ascii="宋体" w:hAnsi="宋体" w:eastAsia="宋体" w:cs="宋体"/>
          <w:color w:val="auto"/>
          <w:highlight w:val="none"/>
        </w:rPr>
      </w:pPr>
      <w:r>
        <w:rPr>
          <w:rFonts w:hint="eastAsia" w:ascii="宋体" w:hAnsi="宋体" w:eastAsia="宋体" w:cs="宋体"/>
          <w:color w:val="auto"/>
          <w:highlight w:val="none"/>
        </w:rPr>
        <w:t>在</w:t>
      </w:r>
      <w:r>
        <w:rPr>
          <w:rFonts w:hint="eastAsia" w:ascii="宋体" w:hAnsi="宋体" w:eastAsia="宋体" w:cs="宋体"/>
          <w:color w:val="auto"/>
          <w:highlight w:val="none"/>
          <w:u w:val="single"/>
        </w:rPr>
        <w:t>（项目编号、项目名称）</w:t>
      </w:r>
      <w:r>
        <w:rPr>
          <w:rFonts w:hint="eastAsia" w:ascii="宋体" w:hAnsi="宋体" w:eastAsia="宋体" w:cs="宋体"/>
          <w:color w:val="auto"/>
          <w:highlight w:val="none"/>
        </w:rPr>
        <w:t>招标活动中，我公司保证做到：</w:t>
      </w:r>
    </w:p>
    <w:p w14:paraId="0694EF0C">
      <w:pPr>
        <w:spacing w:line="360" w:lineRule="auto"/>
        <w:ind w:firstLine="442" w:firstLineChars="200"/>
        <w:rPr>
          <w:rFonts w:hint="eastAsia" w:ascii="宋体" w:hAnsi="宋体" w:eastAsia="宋体" w:cs="宋体"/>
          <w:color w:val="auto"/>
          <w:highlight w:val="none"/>
        </w:rPr>
      </w:pPr>
      <w:r>
        <w:rPr>
          <w:rFonts w:hint="eastAsia" w:ascii="宋体" w:hAnsi="宋体" w:eastAsia="宋体" w:cs="宋体"/>
          <w:color w:val="auto"/>
          <w:highlight w:val="none"/>
        </w:rPr>
        <w:t>一、公平竞争参加本次招标活动。</w:t>
      </w:r>
    </w:p>
    <w:p w14:paraId="5C285801">
      <w:pPr>
        <w:spacing w:line="360" w:lineRule="auto"/>
        <w:ind w:firstLine="442" w:firstLineChars="200"/>
        <w:rPr>
          <w:rFonts w:hint="eastAsia" w:ascii="宋体" w:hAnsi="宋体" w:eastAsia="宋体" w:cs="宋体"/>
          <w:color w:val="auto"/>
          <w:highlight w:val="none"/>
        </w:rPr>
      </w:pPr>
      <w:r>
        <w:rPr>
          <w:rFonts w:hint="eastAsia" w:ascii="宋体" w:hAnsi="宋体" w:eastAsia="宋体" w:cs="宋体"/>
          <w:color w:val="auto"/>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B890EF9">
      <w:pPr>
        <w:spacing w:line="360" w:lineRule="auto"/>
        <w:ind w:firstLine="442" w:firstLineChars="200"/>
        <w:rPr>
          <w:rFonts w:hint="eastAsia" w:ascii="宋体" w:hAnsi="宋体" w:eastAsia="宋体" w:cs="宋体"/>
          <w:color w:val="auto"/>
          <w:highlight w:val="none"/>
        </w:rPr>
      </w:pPr>
      <w:r>
        <w:rPr>
          <w:rFonts w:hint="eastAsia" w:ascii="宋体" w:hAnsi="宋体" w:eastAsia="宋体" w:cs="宋体"/>
          <w:color w:val="auto"/>
          <w:highlight w:val="none"/>
        </w:rPr>
        <w:t>三、若出现上述行为，我公司及参与投标的工作人员愿意接受按照国家法律法规等有关规定给予的处罚。</w:t>
      </w:r>
    </w:p>
    <w:p w14:paraId="0260D7B6">
      <w:pPr>
        <w:spacing w:line="360" w:lineRule="auto"/>
        <w:jc w:val="right"/>
        <w:rPr>
          <w:rFonts w:hint="eastAsia" w:ascii="宋体" w:hAnsi="宋体" w:eastAsia="宋体" w:cs="宋体"/>
          <w:color w:val="auto"/>
          <w:highlight w:val="none"/>
        </w:rPr>
      </w:pPr>
    </w:p>
    <w:p w14:paraId="0A3C00FE">
      <w:pPr>
        <w:spacing w:line="360" w:lineRule="auto"/>
        <w:jc w:val="right"/>
        <w:rPr>
          <w:rFonts w:hint="eastAsia" w:ascii="宋体" w:hAnsi="宋体" w:eastAsia="宋体" w:cs="宋体"/>
          <w:color w:val="auto"/>
          <w:highlight w:val="none"/>
        </w:rPr>
      </w:pPr>
    </w:p>
    <w:p w14:paraId="230EDC80">
      <w:pPr>
        <w:wordWrap w:val="0"/>
        <w:spacing w:line="360" w:lineRule="auto"/>
        <w:ind w:right="420" w:firstLine="5083" w:firstLineChars="2300"/>
        <w:rPr>
          <w:rFonts w:hint="eastAsia" w:ascii="宋体" w:hAnsi="宋体" w:eastAsia="宋体" w:cs="宋体"/>
          <w:color w:val="auto"/>
          <w:highlight w:val="none"/>
        </w:rPr>
      </w:pPr>
      <w:r>
        <w:rPr>
          <w:rFonts w:hint="eastAsia" w:ascii="宋体" w:hAnsi="宋体" w:eastAsia="宋体" w:cs="宋体"/>
          <w:color w:val="auto"/>
          <w:highlight w:val="none"/>
        </w:rPr>
        <w:t>供 应 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（电子签章）</w:t>
      </w:r>
    </w:p>
    <w:p w14:paraId="42F69AAD">
      <w:pPr>
        <w:wordWrap w:val="0"/>
        <w:spacing w:line="360" w:lineRule="auto"/>
        <w:ind w:right="42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（签字或电子签章）</w:t>
      </w:r>
    </w:p>
    <w:p w14:paraId="2B26921A">
      <w:pPr>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728C3B9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5F6468">
      <w:pPr>
        <w:spacing w:line="360" w:lineRule="auto"/>
        <w:outlineLvl w:val="2"/>
        <w:rPr>
          <w:rFonts w:hint="eastAsia" w:ascii="宋体" w:hAnsi="宋体" w:eastAsia="宋体" w:cs="宋体"/>
          <w:b/>
          <w:bCs/>
          <w:color w:val="auto"/>
          <w:highlight w:val="none"/>
        </w:rPr>
      </w:pPr>
      <w:bookmarkStart w:id="1065" w:name="_Toc30851"/>
      <w:bookmarkStart w:id="1066" w:name="_Toc4332"/>
      <w:r>
        <w:rPr>
          <w:rFonts w:hint="eastAsia" w:ascii="宋体" w:hAnsi="宋体" w:eastAsia="宋体" w:cs="宋体"/>
          <w:b/>
          <w:bCs/>
          <w:color w:val="auto"/>
          <w:highlight w:val="none"/>
        </w:rPr>
        <w:t>（二）其他资料</w:t>
      </w:r>
      <w:bookmarkEnd w:id="1065"/>
      <w:bookmarkEnd w:id="1066"/>
    </w:p>
    <w:p w14:paraId="7C29B778">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可根据采购的要求或自身情况附加其他材料。</w:t>
      </w:r>
    </w:p>
    <w:p w14:paraId="53795B8E">
      <w:pPr>
        <w:pStyle w:val="51"/>
        <w:jc w:val="right"/>
        <w:rPr>
          <w:rFonts w:hint="eastAsia" w:ascii="宋体" w:hAnsi="宋体" w:eastAsia="宋体" w:cs="宋体"/>
          <w:color w:val="auto"/>
          <w:sz w:val="21"/>
          <w:highlight w:val="none"/>
        </w:rPr>
      </w:pPr>
      <w:r>
        <w:rPr>
          <w:rFonts w:hint="eastAsia" w:ascii="宋体" w:hAnsi="宋体" w:eastAsia="宋体" w:cs="宋体"/>
          <w:color w:val="auto"/>
          <w:sz w:val="21"/>
          <w:highlight w:val="none"/>
        </w:rPr>
        <w:br w:type="page"/>
      </w:r>
    </w:p>
    <w:p w14:paraId="26482ACF">
      <w:pPr>
        <w:pStyle w:val="50"/>
        <w:rPr>
          <w:rFonts w:hint="eastAsia" w:ascii="宋体" w:hAnsi="宋体" w:eastAsia="宋体" w:cs="宋体"/>
          <w:color w:val="auto"/>
          <w:sz w:val="21"/>
          <w:highlight w:val="none"/>
        </w:rPr>
        <w:sectPr>
          <w:footerReference r:id="rId8" w:type="first"/>
          <w:headerReference r:id="rId6" w:type="default"/>
          <w:footerReference r:id="rId7" w:type="default"/>
          <w:pgSz w:w="11906" w:h="16838"/>
          <w:pgMar w:top="1440" w:right="991" w:bottom="1440" w:left="1080" w:header="851" w:footer="992" w:gutter="0"/>
          <w:pgNumType w:fmt="decimal"/>
          <w:cols w:space="720" w:num="1"/>
          <w:titlePg/>
          <w:docGrid w:type="linesAndChars" w:linePitch="312" w:charSpace="2457"/>
        </w:sectPr>
      </w:pPr>
    </w:p>
    <w:p w14:paraId="5927833E">
      <w:pPr>
        <w:pStyle w:val="3"/>
        <w:jc w:val="center"/>
        <w:rPr>
          <w:rFonts w:hint="eastAsia" w:ascii="宋体" w:hAnsi="宋体" w:eastAsia="宋体" w:cs="宋体"/>
          <w:b w:val="0"/>
          <w:bCs w:val="0"/>
          <w:color w:val="auto"/>
          <w:sz w:val="28"/>
          <w:szCs w:val="28"/>
          <w:highlight w:val="none"/>
        </w:rPr>
      </w:pPr>
      <w:bookmarkStart w:id="1067" w:name="_Toc14009"/>
      <w:bookmarkStart w:id="1068" w:name="_Toc11776"/>
      <w:bookmarkStart w:id="1069" w:name="_Toc2175"/>
      <w:bookmarkStart w:id="1070" w:name="_Toc21586"/>
      <w:bookmarkStart w:id="1071" w:name="_Toc23709"/>
      <w:bookmarkStart w:id="1072" w:name="_Toc18591"/>
      <w:r>
        <w:rPr>
          <w:rFonts w:hint="eastAsia" w:ascii="宋体" w:hAnsi="宋体" w:eastAsia="宋体" w:cs="宋体"/>
          <w:b w:val="0"/>
          <w:bCs w:val="0"/>
          <w:color w:val="auto"/>
          <w:sz w:val="28"/>
          <w:szCs w:val="28"/>
          <w:highlight w:val="none"/>
        </w:rPr>
        <w:t>十二、中小微企业证明</w:t>
      </w:r>
      <w:bookmarkEnd w:id="1067"/>
      <w:bookmarkEnd w:id="1068"/>
      <w:bookmarkEnd w:id="1069"/>
      <w:bookmarkEnd w:id="1070"/>
      <w:bookmarkEnd w:id="1071"/>
      <w:bookmarkEnd w:id="1072"/>
    </w:p>
    <w:p w14:paraId="7C1CF0F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（包含：中小企业声明函、监狱企业证明、</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"http://www.gov.cn/xinwen/2017-09/02/5222181/files/f1ba446ff1d041aab7b557a51912d058.docx" \t "_blank"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残疾人福利性单位声明函</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14:paraId="31872228">
      <w:pPr>
        <w:widowControl/>
        <w:jc w:val="center"/>
        <w:rPr>
          <w:rFonts w:hint="eastAsia" w:ascii="宋体" w:hAnsi="宋体" w:eastAsia="宋体" w:cs="宋体"/>
          <w:b/>
          <w:color w:val="auto"/>
          <w:kern w:val="0"/>
          <w:sz w:val="24"/>
          <w:szCs w:val="24"/>
          <w:highlight w:val="none"/>
        </w:rPr>
      </w:pPr>
    </w:p>
    <w:p w14:paraId="39FB2740">
      <w:pPr>
        <w:keepNext w:val="0"/>
        <w:keepLines w:val="0"/>
        <w:widowControl/>
        <w:suppressLineNumbers w:val="0"/>
        <w:jc w:val="center"/>
        <w:rPr>
          <w:rFonts w:hint="eastAsia" w:ascii="宋体" w:hAnsi="宋体" w:eastAsia="宋体" w:cs="宋体"/>
          <w:color w:val="auto"/>
          <w:sz w:val="24"/>
          <w:szCs w:val="24"/>
          <w:highlight w:val="none"/>
        </w:rPr>
      </w:pPr>
      <w:bookmarkStart w:id="1073" w:name="OLE_LINK13"/>
      <w:r>
        <w:rPr>
          <w:rFonts w:hint="eastAsia" w:ascii="宋体" w:hAnsi="宋体" w:eastAsia="宋体" w:cs="宋体"/>
          <w:b/>
          <w:color w:val="auto"/>
          <w:kern w:val="0"/>
          <w:sz w:val="24"/>
          <w:szCs w:val="24"/>
          <w:highlight w:val="none"/>
          <w:lang w:val="en-US" w:eastAsia="zh-CN" w:bidi="ar"/>
        </w:rPr>
        <w:t>中小微企业声明函（工程、服务）</w:t>
      </w:r>
    </w:p>
    <w:p w14:paraId="5157C8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lang w:val="en-US" w:eastAsia="zh-CN"/>
        </w:rPr>
        <w:t xml:space="preserve">    （单位名称）    </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u w:val="single"/>
          <w:lang w:val="en-US" w:eastAsia="zh-CN"/>
        </w:rPr>
        <w:t xml:space="preserve">   （项目名称）  </w:t>
      </w:r>
      <w:r>
        <w:rPr>
          <w:rFonts w:hint="eastAsia" w:ascii="宋体" w:hAnsi="宋体" w:eastAsia="宋体" w:cs="宋体"/>
          <w:color w:val="auto"/>
          <w:sz w:val="21"/>
          <w:szCs w:val="21"/>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67A3E3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u w:val="single"/>
          <w:lang w:val="en-US" w:eastAsia="zh-CN"/>
        </w:rPr>
        <w:t xml:space="preserve">    （标的名称）    </w:t>
      </w:r>
      <w:r>
        <w:rPr>
          <w:rFonts w:hint="eastAsia" w:ascii="宋体" w:hAnsi="宋体" w:eastAsia="宋体" w:cs="宋体"/>
          <w:color w:val="auto"/>
          <w:sz w:val="21"/>
          <w:szCs w:val="21"/>
          <w:highlight w:val="none"/>
          <w:lang w:val="en-US" w:eastAsia="zh-CN"/>
        </w:rPr>
        <w:t>，属于</w:t>
      </w:r>
      <w:r>
        <w:rPr>
          <w:rFonts w:hint="eastAsia" w:ascii="宋体" w:hAnsi="宋体" w:eastAsia="宋体" w:cs="宋体"/>
          <w:color w:val="auto"/>
          <w:sz w:val="21"/>
          <w:szCs w:val="21"/>
          <w:highlight w:val="none"/>
          <w:u w:val="single"/>
          <w:lang w:val="en-US" w:eastAsia="zh-CN"/>
        </w:rPr>
        <w:t xml:space="preserve">   （采购文件中明确的所属行业）   </w:t>
      </w:r>
      <w:r>
        <w:rPr>
          <w:rFonts w:hint="eastAsia" w:ascii="宋体" w:hAnsi="宋体" w:eastAsia="宋体" w:cs="宋体"/>
          <w:color w:val="auto"/>
          <w:sz w:val="21"/>
          <w:szCs w:val="21"/>
          <w:highlight w:val="none"/>
          <w:lang w:val="en-US" w:eastAsia="zh-CN"/>
        </w:rPr>
        <w:t>；承建（承接）企业为</w:t>
      </w:r>
      <w:r>
        <w:rPr>
          <w:rFonts w:hint="eastAsia" w:ascii="宋体" w:hAnsi="宋体" w:eastAsia="宋体" w:cs="宋体"/>
          <w:color w:val="auto"/>
          <w:sz w:val="21"/>
          <w:szCs w:val="21"/>
          <w:highlight w:val="none"/>
          <w:u w:val="single"/>
          <w:lang w:val="en-US" w:eastAsia="zh-CN"/>
        </w:rPr>
        <w:t xml:space="preserve">  （企业名称）  </w:t>
      </w:r>
      <w:r>
        <w:rPr>
          <w:rFonts w:hint="eastAsia" w:ascii="宋体" w:hAnsi="宋体" w:eastAsia="宋体" w:cs="宋体"/>
          <w:color w:val="auto"/>
          <w:sz w:val="21"/>
          <w:szCs w:val="21"/>
          <w:highlight w:val="none"/>
          <w:lang w:val="en-US" w:eastAsia="zh-CN"/>
        </w:rPr>
        <w:t>，从业人员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万元，属于</w:t>
      </w:r>
      <w:r>
        <w:rPr>
          <w:rFonts w:hint="eastAsia" w:ascii="宋体" w:hAnsi="宋体" w:eastAsia="宋体" w:cs="宋体"/>
          <w:color w:val="auto"/>
          <w:sz w:val="21"/>
          <w:szCs w:val="21"/>
          <w:highlight w:val="none"/>
          <w:u w:val="single"/>
          <w:lang w:val="en-US" w:eastAsia="zh-CN"/>
        </w:rPr>
        <w:t xml:space="preserve">  （中型企业、小型企业、微型企业）  </w:t>
      </w:r>
      <w:r>
        <w:rPr>
          <w:rFonts w:hint="eastAsia" w:ascii="宋体" w:hAnsi="宋体" w:eastAsia="宋体" w:cs="宋体"/>
          <w:color w:val="auto"/>
          <w:sz w:val="21"/>
          <w:szCs w:val="21"/>
          <w:highlight w:val="none"/>
          <w:lang w:val="en-US" w:eastAsia="zh-CN"/>
        </w:rPr>
        <w:t xml:space="preserve">； </w:t>
      </w:r>
    </w:p>
    <w:p w14:paraId="768E66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u w:val="single"/>
          <w:lang w:val="en-US" w:eastAsia="zh-CN"/>
        </w:rPr>
        <w:t xml:space="preserve">    （标的名称）    </w:t>
      </w:r>
      <w:r>
        <w:rPr>
          <w:rFonts w:hint="eastAsia" w:ascii="宋体" w:hAnsi="宋体" w:eastAsia="宋体" w:cs="宋体"/>
          <w:color w:val="auto"/>
          <w:sz w:val="21"/>
          <w:szCs w:val="21"/>
          <w:highlight w:val="none"/>
          <w:lang w:val="en-US" w:eastAsia="zh-CN"/>
        </w:rPr>
        <w:t>，属于</w:t>
      </w:r>
      <w:r>
        <w:rPr>
          <w:rFonts w:hint="eastAsia" w:ascii="宋体" w:hAnsi="宋体" w:eastAsia="宋体" w:cs="宋体"/>
          <w:color w:val="auto"/>
          <w:sz w:val="21"/>
          <w:szCs w:val="21"/>
          <w:highlight w:val="none"/>
          <w:u w:val="single"/>
          <w:lang w:val="en-US" w:eastAsia="zh-CN"/>
        </w:rPr>
        <w:t xml:space="preserve">    （采购文件中明确的所属行业）    </w:t>
      </w:r>
      <w:r>
        <w:rPr>
          <w:rFonts w:hint="eastAsia" w:ascii="宋体" w:hAnsi="宋体" w:eastAsia="宋体" w:cs="宋体"/>
          <w:color w:val="auto"/>
          <w:sz w:val="21"/>
          <w:szCs w:val="21"/>
          <w:highlight w:val="none"/>
          <w:lang w:val="en-US" w:eastAsia="zh-CN"/>
        </w:rPr>
        <w:t>；承建（承接）企业为</w:t>
      </w:r>
      <w:r>
        <w:rPr>
          <w:rFonts w:hint="eastAsia" w:ascii="宋体" w:hAnsi="宋体" w:eastAsia="宋体" w:cs="宋体"/>
          <w:color w:val="auto"/>
          <w:sz w:val="21"/>
          <w:szCs w:val="21"/>
          <w:highlight w:val="none"/>
          <w:u w:val="single"/>
          <w:lang w:val="en-US" w:eastAsia="zh-CN"/>
        </w:rPr>
        <w:t xml:space="preserve">  （企业名称）  </w:t>
      </w:r>
      <w:r>
        <w:rPr>
          <w:rFonts w:hint="eastAsia" w:ascii="宋体" w:hAnsi="宋体" w:eastAsia="宋体" w:cs="宋体"/>
          <w:color w:val="auto"/>
          <w:sz w:val="21"/>
          <w:szCs w:val="21"/>
          <w:highlight w:val="none"/>
          <w:lang w:val="en-US" w:eastAsia="zh-CN"/>
        </w:rPr>
        <w:t>，从业人员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万元，属于</w:t>
      </w:r>
      <w:r>
        <w:rPr>
          <w:rFonts w:hint="eastAsia" w:ascii="宋体" w:hAnsi="宋体" w:eastAsia="宋体" w:cs="宋体"/>
          <w:color w:val="auto"/>
          <w:sz w:val="21"/>
          <w:szCs w:val="21"/>
          <w:highlight w:val="none"/>
          <w:u w:val="single"/>
          <w:lang w:val="en-US" w:eastAsia="zh-CN"/>
        </w:rPr>
        <w:t xml:space="preserve">  （中型企业、小型企业、微型企业）  </w:t>
      </w:r>
      <w:r>
        <w:rPr>
          <w:rFonts w:hint="eastAsia" w:ascii="宋体" w:hAnsi="宋体" w:eastAsia="宋体" w:cs="宋体"/>
          <w:color w:val="auto"/>
          <w:sz w:val="21"/>
          <w:szCs w:val="21"/>
          <w:highlight w:val="none"/>
          <w:lang w:val="en-US" w:eastAsia="zh-CN"/>
        </w:rPr>
        <w:t>；</w:t>
      </w:r>
    </w:p>
    <w:p w14:paraId="607CEA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p>
    <w:p w14:paraId="11D572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以上企业，不属于大企业的分支机构，不存在控股股东为大企业的情形，也不存在与大企业的负责人为同一人的情形。</w:t>
      </w:r>
    </w:p>
    <w:p w14:paraId="57AD24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本企业对上述声明内容的真实性负责。如有虚假，将依法承担相应责任。 </w:t>
      </w:r>
    </w:p>
    <w:p w14:paraId="0D723284">
      <w:pPr>
        <w:spacing w:line="360" w:lineRule="auto"/>
        <w:ind w:firstLine="420" w:firstLineChars="200"/>
        <w:rPr>
          <w:rFonts w:hint="eastAsia" w:ascii="宋体" w:hAnsi="宋体" w:eastAsia="宋体" w:cs="宋体"/>
          <w:color w:val="auto"/>
          <w:sz w:val="21"/>
          <w:szCs w:val="21"/>
          <w:highlight w:val="none"/>
          <w:lang w:val="en-US" w:eastAsia="zh-CN"/>
        </w:rPr>
      </w:pPr>
    </w:p>
    <w:p w14:paraId="57919E08">
      <w:pPr>
        <w:spacing w:line="360" w:lineRule="auto"/>
        <w:ind w:firstLine="420" w:firstLineChars="200"/>
        <w:rPr>
          <w:rFonts w:hint="eastAsia" w:ascii="宋体" w:hAnsi="宋体" w:eastAsia="宋体" w:cs="宋体"/>
          <w:color w:val="auto"/>
          <w:sz w:val="21"/>
          <w:szCs w:val="21"/>
          <w:highlight w:val="none"/>
          <w:lang w:val="en-US" w:eastAsia="zh-CN"/>
        </w:rPr>
      </w:pPr>
    </w:p>
    <w:p w14:paraId="513FD2CD">
      <w:pPr>
        <w:spacing w:line="360" w:lineRule="auto"/>
        <w:ind w:leftChars="23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企业名称（公章）： </w:t>
      </w:r>
    </w:p>
    <w:p w14:paraId="2BC701FB">
      <w:pPr>
        <w:spacing w:line="360" w:lineRule="auto"/>
        <w:ind w:leftChars="2300" w:firstLine="420" w:firstLineChars="200"/>
        <w:rPr>
          <w:rFonts w:hint="eastAsia" w:ascii="宋体" w:hAnsi="宋体" w:eastAsia="宋体" w:cs="宋体"/>
          <w:color w:val="auto"/>
          <w:sz w:val="21"/>
          <w:szCs w:val="21"/>
          <w:highlight w:val="none"/>
          <w:lang w:val="en-US" w:eastAsia="zh-CN"/>
        </w:rPr>
      </w:pPr>
    </w:p>
    <w:p w14:paraId="492AE860">
      <w:pPr>
        <w:spacing w:line="360" w:lineRule="auto"/>
        <w:ind w:leftChars="2300"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日 期：</w:t>
      </w:r>
    </w:p>
    <w:p w14:paraId="79417644">
      <w:pPr>
        <w:pStyle w:val="48"/>
        <w:rPr>
          <w:rFonts w:hint="eastAsia" w:ascii="宋体" w:hAnsi="宋体" w:eastAsia="宋体" w:cs="宋体"/>
          <w:color w:val="auto"/>
          <w:highlight w:val="none"/>
        </w:rPr>
      </w:pPr>
    </w:p>
    <w:p w14:paraId="2ACA01E1">
      <w:pPr>
        <w:pStyle w:val="48"/>
        <w:rPr>
          <w:rFonts w:hint="eastAsia" w:ascii="宋体" w:hAnsi="宋体" w:eastAsia="宋体" w:cs="宋体"/>
          <w:color w:val="auto"/>
          <w:highlight w:val="none"/>
        </w:rPr>
      </w:pPr>
    </w:p>
    <w:p w14:paraId="39A6CF80">
      <w:pPr>
        <w:pStyle w:val="48"/>
        <w:rPr>
          <w:rFonts w:hint="eastAsia" w:ascii="宋体" w:hAnsi="宋体" w:eastAsia="宋体" w:cs="宋体"/>
          <w:color w:val="auto"/>
          <w:highlight w:val="none"/>
        </w:rPr>
      </w:pPr>
    </w:p>
    <w:p w14:paraId="1F619F39">
      <w:pPr>
        <w:pStyle w:val="48"/>
        <w:rPr>
          <w:rFonts w:hint="eastAsia" w:ascii="宋体" w:hAnsi="宋体" w:eastAsia="宋体" w:cs="宋体"/>
          <w:color w:val="auto"/>
          <w:highlight w:val="none"/>
        </w:rPr>
      </w:pPr>
    </w:p>
    <w:p w14:paraId="509D5468">
      <w:pPr>
        <w:pStyle w:val="48"/>
        <w:rPr>
          <w:rFonts w:hint="eastAsia" w:ascii="宋体" w:hAnsi="宋体" w:eastAsia="宋体" w:cs="宋体"/>
          <w:color w:val="auto"/>
          <w:highlight w:val="none"/>
        </w:rPr>
      </w:pPr>
    </w:p>
    <w:p w14:paraId="3B751EAD">
      <w:pPr>
        <w:widowControl/>
        <w:spacing w:after="240" w:line="360" w:lineRule="auto"/>
        <w:jc w:val="left"/>
        <w:textAlignment w:val="baseline"/>
        <w:rPr>
          <w:rFonts w:hint="eastAsia" w:ascii="宋体" w:hAnsi="宋体" w:eastAsia="宋体" w:cs="宋体"/>
          <w:b/>
          <w:color w:val="auto"/>
          <w:highlight w:val="none"/>
        </w:rPr>
        <w:sectPr>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color w:val="auto"/>
          <w:kern w:val="0"/>
          <w:sz w:val="21"/>
          <w:szCs w:val="21"/>
          <w:highlight w:val="none"/>
          <w:lang w:val="en-US" w:eastAsia="zh-CN"/>
        </w:rPr>
        <w:t>从业人员、营业收入</w:t>
      </w:r>
      <w:r>
        <w:rPr>
          <w:rFonts w:hint="eastAsia" w:ascii="宋体" w:hAnsi="宋体" w:eastAsia="宋体" w:cs="宋体"/>
          <w:color w:val="auto"/>
          <w:sz w:val="21"/>
          <w:szCs w:val="21"/>
          <w:highlight w:val="none"/>
          <w:lang w:val="en-US" w:eastAsia="zh-CN"/>
        </w:rPr>
        <w:t>、资产总额填报上一年度数据，无上一年度数据的新成立企业可不填报。</w:t>
      </w:r>
    </w:p>
    <w:p w14:paraId="2A8CAA51">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监狱企业的证明文件</w:t>
      </w:r>
    </w:p>
    <w:p w14:paraId="209B1008">
      <w:pPr>
        <w:pStyle w:val="57"/>
        <w:spacing w:line="360" w:lineRule="auto"/>
        <w:ind w:firstLine="480" w:firstLineChars="200"/>
        <w:rPr>
          <w:rFonts w:hint="eastAsia" w:ascii="宋体" w:hAnsi="宋体" w:eastAsia="宋体" w:cs="宋体"/>
          <w:color w:val="auto"/>
          <w:kern w:val="0"/>
          <w:sz w:val="24"/>
          <w:highlight w:val="none"/>
        </w:rPr>
      </w:pPr>
    </w:p>
    <w:p w14:paraId="768055DF">
      <w:pPr>
        <w:pStyle w:val="57"/>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说明：监狱企业参加政府采购活动时，应当提供省级以上监狱管理局、戒毒管理局（含新疆生产建设兵团）出具的属于监狱企业的证明文件。</w:t>
      </w:r>
    </w:p>
    <w:p w14:paraId="4333ABD2">
      <w:pPr>
        <w:wordWrap w:val="0"/>
        <w:spacing w:line="360" w:lineRule="auto"/>
        <w:jc w:val="right"/>
        <w:rPr>
          <w:rFonts w:hint="eastAsia" w:ascii="宋体" w:hAnsi="宋体" w:eastAsia="宋体" w:cs="宋体"/>
          <w:color w:val="auto"/>
          <w:highlight w:val="none"/>
        </w:rPr>
      </w:pPr>
    </w:p>
    <w:p w14:paraId="3C734B6B">
      <w:pPr>
        <w:wordWrap w:val="0"/>
        <w:spacing w:line="360" w:lineRule="auto"/>
        <w:jc w:val="right"/>
        <w:rPr>
          <w:rFonts w:hint="eastAsia" w:ascii="宋体" w:hAnsi="宋体" w:eastAsia="宋体" w:cs="宋体"/>
          <w:color w:val="auto"/>
          <w:highlight w:val="none"/>
        </w:rPr>
      </w:pPr>
    </w:p>
    <w:p w14:paraId="1893D440">
      <w:pPr>
        <w:wordWrap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kern w:val="0"/>
          <w:highlight w:val="none"/>
        </w:rPr>
        <w:t>电子签章</w:t>
      </w:r>
      <w:r>
        <w:rPr>
          <w:rFonts w:hint="eastAsia" w:ascii="宋体" w:hAnsi="宋体" w:eastAsia="宋体" w:cs="宋体"/>
          <w:color w:val="auto"/>
          <w:highlight w:val="none"/>
        </w:rPr>
        <w:t>）</w:t>
      </w:r>
    </w:p>
    <w:p w14:paraId="01136EE4">
      <w:pPr>
        <w:wordWrap w:val="0"/>
        <w:spacing w:line="360" w:lineRule="auto"/>
        <w:jc w:val="right"/>
        <w:rPr>
          <w:rFonts w:hint="eastAsia" w:ascii="宋体" w:hAnsi="宋体" w:eastAsia="宋体" w:cs="宋体"/>
          <w:color w:val="auto"/>
          <w:highlight w:val="none"/>
        </w:rPr>
      </w:pP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年</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月</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日</w:t>
      </w:r>
    </w:p>
    <w:p w14:paraId="36AD958C">
      <w:pPr>
        <w:spacing w:line="588" w:lineRule="exact"/>
        <w:jc w:val="center"/>
        <w:rPr>
          <w:rFonts w:hint="eastAsia" w:ascii="宋体" w:hAnsi="宋体" w:eastAsia="宋体" w:cs="宋体"/>
          <w:b/>
          <w:color w:val="auto"/>
          <w:highlight w:val="none"/>
        </w:rPr>
      </w:pPr>
    </w:p>
    <w:p w14:paraId="5BADB4D5">
      <w:pPr>
        <w:spacing w:line="360" w:lineRule="auto"/>
        <w:rPr>
          <w:rFonts w:hint="eastAsia" w:ascii="宋体" w:hAnsi="宋体" w:eastAsia="宋体" w:cs="宋体"/>
          <w:color w:val="auto"/>
          <w:highlight w:val="none"/>
        </w:rPr>
      </w:pPr>
    </w:p>
    <w:p w14:paraId="636136C0">
      <w:pPr>
        <w:pStyle w:val="13"/>
        <w:ind w:left="842" w:hanging="422"/>
        <w:rPr>
          <w:rFonts w:hint="eastAsia" w:ascii="宋体" w:hAnsi="宋体" w:eastAsia="宋体" w:cs="宋体"/>
          <w:b/>
          <w:color w:val="auto"/>
          <w:szCs w:val="21"/>
          <w:highlight w:val="none"/>
        </w:rPr>
      </w:pPr>
    </w:p>
    <w:p w14:paraId="314211C6">
      <w:pPr>
        <w:pStyle w:val="13"/>
        <w:ind w:left="842" w:hanging="422"/>
        <w:rPr>
          <w:rFonts w:hint="eastAsia" w:ascii="宋体" w:hAnsi="宋体" w:eastAsia="宋体" w:cs="宋体"/>
          <w:b/>
          <w:color w:val="auto"/>
          <w:szCs w:val="21"/>
          <w:highlight w:val="none"/>
        </w:rPr>
      </w:pPr>
    </w:p>
    <w:p w14:paraId="5CEF56BF">
      <w:pPr>
        <w:pStyle w:val="13"/>
        <w:ind w:left="842" w:hanging="422"/>
        <w:rPr>
          <w:rFonts w:hint="eastAsia" w:ascii="宋体" w:hAnsi="宋体" w:eastAsia="宋体" w:cs="宋体"/>
          <w:b/>
          <w:color w:val="auto"/>
          <w:szCs w:val="21"/>
          <w:highlight w:val="none"/>
        </w:rPr>
        <w:sectPr>
          <w:pgSz w:w="11906" w:h="16838"/>
          <w:pgMar w:top="1134" w:right="1134" w:bottom="1134" w:left="1134" w:header="851" w:footer="992" w:gutter="0"/>
          <w:pgNumType w:fmt="decimal"/>
          <w:cols w:space="720" w:num="1"/>
          <w:docGrid w:type="lines" w:linePitch="312" w:charSpace="0"/>
        </w:sectPr>
      </w:pPr>
    </w:p>
    <w:p w14:paraId="6E65C69F">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残疾人福利性单位声明函</w:t>
      </w:r>
    </w:p>
    <w:p w14:paraId="74A85507">
      <w:pPr>
        <w:pStyle w:val="45"/>
        <w:rPr>
          <w:rFonts w:hint="eastAsia" w:ascii="宋体" w:hAnsi="宋体" w:eastAsia="宋体" w:cs="宋体"/>
          <w:color w:val="auto"/>
          <w:highlight w:val="none"/>
        </w:rPr>
      </w:pPr>
    </w:p>
    <w:bookmarkEnd w:id="1073"/>
    <w:p w14:paraId="32C07151">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E8641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482583C7">
      <w:pPr>
        <w:spacing w:line="360" w:lineRule="auto"/>
        <w:rPr>
          <w:rFonts w:hint="eastAsia" w:ascii="宋体" w:hAnsi="宋体" w:eastAsia="宋体" w:cs="宋体"/>
          <w:color w:val="auto"/>
          <w:highlight w:val="none"/>
        </w:rPr>
      </w:pPr>
    </w:p>
    <w:p w14:paraId="48DF85EF">
      <w:pPr>
        <w:spacing w:line="360" w:lineRule="auto"/>
        <w:jc w:val="right"/>
        <w:rPr>
          <w:rFonts w:hint="eastAsia" w:ascii="宋体" w:hAnsi="宋体" w:eastAsia="宋体" w:cs="宋体"/>
          <w:color w:val="auto"/>
          <w:highlight w:val="none"/>
        </w:rPr>
      </w:pPr>
    </w:p>
    <w:p w14:paraId="542613DC">
      <w:pPr>
        <w:widowControl/>
        <w:spacing w:after="240" w:line="360" w:lineRule="auto"/>
        <w:ind w:firstLine="480"/>
        <w:jc w:val="right"/>
        <w:textAlignment w:val="baseline"/>
        <w:rPr>
          <w:rFonts w:hint="eastAsia" w:ascii="宋体" w:hAnsi="宋体" w:eastAsia="宋体" w:cs="宋体"/>
          <w:color w:val="auto"/>
          <w:kern w:val="0"/>
          <w:highlight w:val="none"/>
        </w:rPr>
      </w:pPr>
      <w:r>
        <w:rPr>
          <w:rFonts w:hint="eastAsia" w:ascii="宋体" w:hAnsi="宋体" w:eastAsia="宋体" w:cs="宋体"/>
          <w:color w:val="auto"/>
          <w:highlight w:val="none"/>
        </w:rPr>
        <w:t>供应商</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（电子签章）</w:t>
      </w:r>
    </w:p>
    <w:p w14:paraId="5CF497B8">
      <w:pPr>
        <w:widowControl/>
        <w:spacing w:after="240" w:line="360" w:lineRule="auto"/>
        <w:ind w:firstLine="1890" w:firstLineChars="900"/>
        <w:jc w:val="right"/>
        <w:textAlignment w:val="baseline"/>
        <w:rPr>
          <w:rFonts w:hint="eastAsia" w:ascii="宋体" w:hAnsi="宋体" w:eastAsia="宋体" w:cs="宋体"/>
          <w:color w:val="auto"/>
          <w:kern w:val="0"/>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5FC22201">
      <w:pPr>
        <w:spacing w:line="360" w:lineRule="auto"/>
        <w:rPr>
          <w:rFonts w:hint="eastAsia" w:ascii="宋体" w:hAnsi="宋体" w:eastAsia="宋体" w:cs="宋体"/>
          <w:color w:val="auto"/>
          <w:highlight w:val="none"/>
        </w:rPr>
      </w:pPr>
    </w:p>
    <w:p w14:paraId="4251B385">
      <w:pPr>
        <w:rPr>
          <w:rFonts w:hint="eastAsia" w:ascii="宋体" w:hAnsi="宋体" w:eastAsia="宋体" w:cs="宋体"/>
          <w:color w:val="auto"/>
          <w:highlight w:val="none"/>
        </w:rPr>
      </w:pPr>
    </w:p>
    <w:sectPr>
      <w:headerReference r:id="rId9" w:type="default"/>
      <w:footerReference r:id="rId10" w:type="default"/>
      <w:pgSz w:w="11906" w:h="16838"/>
      <w:pgMar w:top="935" w:right="849" w:bottom="1134" w:left="1134"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ourceHanSansCN-Regular">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89E4D">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E73396">
                          <w:pPr>
                            <w:pStyle w:val="17"/>
                            <w:rPr>
                              <w:rStyle w:val="32"/>
                            </w:rPr>
                          </w:pPr>
                          <w:r>
                            <w:fldChar w:fldCharType="begin"/>
                          </w:r>
                          <w:r>
                            <w:rPr>
                              <w:rStyle w:val="32"/>
                            </w:rPr>
                            <w:instrText xml:space="preserve">PAGE  </w:instrText>
                          </w:r>
                          <w:r>
                            <w:fldChar w:fldCharType="separate"/>
                          </w:r>
                          <w:r>
                            <w:rPr>
                              <w:rStyle w:val="32"/>
                            </w:rP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FE73396">
                    <w:pPr>
                      <w:pStyle w:val="17"/>
                      <w:rPr>
                        <w:rStyle w:val="32"/>
                      </w:rPr>
                    </w:pPr>
                    <w:r>
                      <w:fldChar w:fldCharType="begin"/>
                    </w:r>
                    <w:r>
                      <w:rPr>
                        <w:rStyle w:val="32"/>
                      </w:rPr>
                      <w:instrText xml:space="preserve">PAGE  </w:instrText>
                    </w:r>
                    <w:r>
                      <w:fldChar w:fldCharType="separate"/>
                    </w:r>
                    <w:r>
                      <w:rPr>
                        <w:rStyle w:val="32"/>
                      </w:rP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D033">
    <w:pPr>
      <w:pStyle w:val="17"/>
      <w:framePr w:wrap="around" w:vAnchor="text" w:hAnchor="margin" w:xAlign="center" w:y="1"/>
      <w:rPr>
        <w:rStyle w:val="32"/>
      </w:rPr>
    </w:pPr>
    <w:r>
      <w:fldChar w:fldCharType="begin"/>
    </w:r>
    <w:r>
      <w:rPr>
        <w:rStyle w:val="32"/>
      </w:rPr>
      <w:instrText xml:space="preserve">PAGE  </w:instrText>
    </w:r>
    <w:r>
      <w:fldChar w:fldCharType="end"/>
    </w:r>
  </w:p>
  <w:p w14:paraId="2B5C1A11">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06914">
    <w:pPr>
      <w:pStyle w:val="17"/>
      <w:jc w:val="center"/>
      <w:rPr>
        <w:rStyle w:val="32"/>
        <w:sz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A7A0C49">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sP9y65wEAAMcD&#10;AAAOAAAAAAAAAAEAIAAAAB4BAABkcnMvZTJvRG9jLnhtbFBLBQYAAAAABgAGAFkBAAB3BQAAAAA=&#10;">
              <v:fill on="f" focussize="0,0"/>
              <v:stroke on="f"/>
              <v:imagedata o:title=""/>
              <o:lock v:ext="edit" aspectratio="f"/>
              <v:textbox inset="0mm,0mm,0mm,0mm" style="mso-fit-shape-to-text:t;">
                <w:txbxContent>
                  <w:p w14:paraId="2A7A0C4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1929">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D79E18E">
                          <w:pPr>
                            <w:pStyle w:val="17"/>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HUTMhHmAQAAyAMA&#10;AA4AAAAAAAAAAQAgAAAAHgEAAGRycy9lMm9Eb2MueG1sUEsFBgAAAAAGAAYAWQEAAHYFAAAAAA==&#10;">
              <v:fill on="f" focussize="0,0"/>
              <v:stroke on="f"/>
              <v:imagedata o:title=""/>
              <o:lock v:ext="edit" aspectratio="f"/>
              <v:textbox inset="0mm,0mm,0mm,0mm" style="mso-fit-shape-to-text:t;">
                <w:txbxContent>
                  <w:p w14:paraId="2D79E18E">
                    <w:pPr>
                      <w:pStyle w:val="1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9D9D">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B4679DF">
                          <w:pPr>
                            <w:pStyle w:val="17"/>
                          </w:pPr>
                          <w:r>
                            <w:fldChar w:fldCharType="begin"/>
                          </w:r>
                          <w:r>
                            <w:instrText xml:space="preserve"> PAGE  \* MERGEFORMAT </w:instrText>
                          </w:r>
                          <w:r>
                            <w:fldChar w:fldCharType="separate"/>
                          </w:r>
                          <w:r>
                            <w:t>33</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z3h3pegBAADI&#10;AwAADgAAAAAAAAABACAAAAAeAQAAZHJzL2Uyb0RvYy54bWxQSwUGAAAAAAYABgBZAQAAeAUAAAAA&#10;">
              <v:fill on="f" focussize="0,0"/>
              <v:stroke on="f"/>
              <v:imagedata o:title=""/>
              <o:lock v:ext="edit" aspectratio="f"/>
              <v:textbox inset="0mm,0mm,0mm,0mm" style="mso-fit-shape-to-text:t;">
                <w:txbxContent>
                  <w:p w14:paraId="6B4679DF">
                    <w:pPr>
                      <w:pStyle w:val="1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48C52">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379C338">
                          <w:pPr>
                            <w:pStyle w:val="17"/>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MHy8h5wEAAMgD&#10;AAAOAAAAAAAAAAEAIAAAAB4BAABkcnMvZTJvRG9jLnhtbFBLBQYAAAAABgAGAFkBAAB3BQAAAAA=&#10;">
              <v:fill on="f" focussize="0,0"/>
              <v:stroke on="f"/>
              <v:imagedata o:title=""/>
              <o:lock v:ext="edit" aspectratio="f"/>
              <v:textbox inset="0mm,0mm,0mm,0mm" style="mso-fit-shape-to-text:t;">
                <w:txbxContent>
                  <w:p w14:paraId="3379C338">
                    <w:pPr>
                      <w:pStyle w:val="1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75463">
    <w:pPr>
      <w:pStyle w:val="18"/>
      <w:rPr>
        <w:rFonts w:ascii="Cambria" w:hAnsi="Cambria"/>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0D2DC">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1598A"/>
    <w:multiLevelType w:val="singleLevel"/>
    <w:tmpl w:val="AED1598A"/>
    <w:lvl w:ilvl="0" w:tentative="0">
      <w:start w:val="3"/>
      <w:numFmt w:val="decimal"/>
      <w:suff w:val="space"/>
      <w:lvlText w:val="%1."/>
      <w:lvlJc w:val="left"/>
    </w:lvl>
  </w:abstractNum>
  <w:abstractNum w:abstractNumId="1">
    <w:nsid w:val="B635631A"/>
    <w:multiLevelType w:val="singleLevel"/>
    <w:tmpl w:val="B635631A"/>
    <w:lvl w:ilvl="0" w:tentative="0">
      <w:start w:val="1"/>
      <w:numFmt w:val="decimal"/>
      <w:suff w:val="nothing"/>
      <w:lvlText w:val="%1．"/>
      <w:lvlJc w:val="left"/>
    </w:lvl>
  </w:abstractNum>
  <w:abstractNum w:abstractNumId="2">
    <w:nsid w:val="C1178548"/>
    <w:multiLevelType w:val="singleLevel"/>
    <w:tmpl w:val="C1178548"/>
    <w:lvl w:ilvl="0" w:tentative="0">
      <w:start w:val="7"/>
      <w:numFmt w:val="decimal"/>
      <w:suff w:val="space"/>
      <w:lvlText w:val="%1."/>
      <w:lvlJc w:val="left"/>
    </w:lvl>
  </w:abstractNum>
  <w:abstractNum w:abstractNumId="3">
    <w:nsid w:val="CE5F1266"/>
    <w:multiLevelType w:val="singleLevel"/>
    <w:tmpl w:val="CE5F1266"/>
    <w:lvl w:ilvl="0" w:tentative="0">
      <w:start w:val="1"/>
      <w:numFmt w:val="decimal"/>
      <w:suff w:val="nothing"/>
      <w:lvlText w:val="(%1）"/>
      <w:lvlJc w:val="left"/>
    </w:lvl>
  </w:abstractNum>
  <w:abstractNum w:abstractNumId="4">
    <w:nsid w:val="EB816A10"/>
    <w:multiLevelType w:val="singleLevel"/>
    <w:tmpl w:val="EB816A10"/>
    <w:lvl w:ilvl="0" w:tentative="0">
      <w:start w:val="4"/>
      <w:numFmt w:val="chineseCounting"/>
      <w:suff w:val="nothing"/>
      <w:lvlText w:val="（%1）"/>
      <w:lvlJc w:val="left"/>
      <w:rPr>
        <w:rFonts w:hint="eastAsia"/>
      </w:rPr>
    </w:lvl>
  </w:abstractNum>
  <w:abstractNum w:abstractNumId="5">
    <w:nsid w:val="FDDA0744"/>
    <w:multiLevelType w:val="singleLevel"/>
    <w:tmpl w:val="FDDA0744"/>
    <w:lvl w:ilvl="0" w:tentative="0">
      <w:start w:val="1"/>
      <w:numFmt w:val="chineseCounting"/>
      <w:suff w:val="nothing"/>
      <w:lvlText w:val="%1、"/>
      <w:lvlJc w:val="left"/>
      <w:rPr>
        <w:rFonts w:hint="eastAsia"/>
      </w:rPr>
    </w:lvl>
  </w:abstractNum>
  <w:abstractNum w:abstractNumId="6">
    <w:nsid w:val="1F9849C3"/>
    <w:multiLevelType w:val="multilevel"/>
    <w:tmpl w:val="1F9849C3"/>
    <w:lvl w:ilvl="0" w:tentative="0">
      <w:start w:val="1"/>
      <w:numFmt w:val="bullet"/>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1408"/>
        </w:tabs>
        <w:ind w:left="1408" w:hanging="420"/>
      </w:pPr>
      <w:rPr>
        <w:rFonts w:hint="default" w:ascii="Wingdings" w:hAnsi="Wingdings"/>
      </w:rPr>
    </w:lvl>
    <w:lvl w:ilvl="2" w:tentative="0">
      <w:start w:val="1"/>
      <w:numFmt w:val="bullet"/>
      <w:lvlText w:val=""/>
      <w:lvlJc w:val="left"/>
      <w:pPr>
        <w:tabs>
          <w:tab w:val="left" w:pos="1828"/>
        </w:tabs>
        <w:ind w:left="1828" w:hanging="420"/>
      </w:pPr>
      <w:rPr>
        <w:rFonts w:hint="default" w:ascii="Wingdings" w:hAnsi="Wingdings"/>
      </w:rPr>
    </w:lvl>
    <w:lvl w:ilvl="3" w:tentative="0">
      <w:start w:val="1"/>
      <w:numFmt w:val="bullet"/>
      <w:lvlText w:val=""/>
      <w:lvlJc w:val="left"/>
      <w:pPr>
        <w:tabs>
          <w:tab w:val="left" w:pos="2248"/>
        </w:tabs>
        <w:ind w:left="2248" w:hanging="420"/>
      </w:pPr>
      <w:rPr>
        <w:rFonts w:hint="default" w:ascii="Wingdings" w:hAnsi="Wingdings"/>
      </w:rPr>
    </w:lvl>
    <w:lvl w:ilvl="4" w:tentative="0">
      <w:start w:val="1"/>
      <w:numFmt w:val="bullet"/>
      <w:lvlText w:val=""/>
      <w:lvlJc w:val="left"/>
      <w:pPr>
        <w:tabs>
          <w:tab w:val="left" w:pos="2668"/>
        </w:tabs>
        <w:ind w:left="2668" w:hanging="420"/>
      </w:pPr>
      <w:rPr>
        <w:rFonts w:hint="default" w:ascii="Wingdings" w:hAnsi="Wingdings"/>
      </w:rPr>
    </w:lvl>
    <w:lvl w:ilvl="5" w:tentative="0">
      <w:start w:val="1"/>
      <w:numFmt w:val="bullet"/>
      <w:lvlText w:val=""/>
      <w:lvlJc w:val="left"/>
      <w:pPr>
        <w:tabs>
          <w:tab w:val="left" w:pos="3088"/>
        </w:tabs>
        <w:ind w:left="3088" w:hanging="420"/>
      </w:pPr>
      <w:rPr>
        <w:rFonts w:hint="default" w:ascii="Wingdings" w:hAnsi="Wingdings"/>
      </w:rPr>
    </w:lvl>
    <w:lvl w:ilvl="6" w:tentative="0">
      <w:start w:val="1"/>
      <w:numFmt w:val="bullet"/>
      <w:lvlText w:val=""/>
      <w:lvlJc w:val="left"/>
      <w:pPr>
        <w:tabs>
          <w:tab w:val="left" w:pos="3508"/>
        </w:tabs>
        <w:ind w:left="3508" w:hanging="420"/>
      </w:pPr>
      <w:rPr>
        <w:rFonts w:hint="default" w:ascii="Wingdings" w:hAnsi="Wingdings"/>
      </w:rPr>
    </w:lvl>
    <w:lvl w:ilvl="7" w:tentative="0">
      <w:start w:val="1"/>
      <w:numFmt w:val="bullet"/>
      <w:lvlText w:val=""/>
      <w:lvlJc w:val="left"/>
      <w:pPr>
        <w:tabs>
          <w:tab w:val="left" w:pos="3928"/>
        </w:tabs>
        <w:ind w:left="3928" w:hanging="420"/>
      </w:pPr>
      <w:rPr>
        <w:rFonts w:hint="default" w:ascii="Wingdings" w:hAnsi="Wingdings"/>
      </w:rPr>
    </w:lvl>
    <w:lvl w:ilvl="8" w:tentative="0">
      <w:start w:val="1"/>
      <w:numFmt w:val="bullet"/>
      <w:lvlText w:val=""/>
      <w:lvlJc w:val="left"/>
      <w:pPr>
        <w:tabs>
          <w:tab w:val="left" w:pos="4348"/>
        </w:tabs>
        <w:ind w:left="4348" w:hanging="420"/>
      </w:pPr>
      <w:rPr>
        <w:rFonts w:hint="default" w:ascii="Wingdings" w:hAnsi="Wingdings"/>
      </w:rPr>
    </w:lvl>
  </w:abstractNum>
  <w:abstractNum w:abstractNumId="7">
    <w:nsid w:val="46693CE8"/>
    <w:multiLevelType w:val="singleLevel"/>
    <w:tmpl w:val="46693CE8"/>
    <w:lvl w:ilvl="0" w:tentative="0">
      <w:start w:val="1"/>
      <w:numFmt w:val="chineseCounting"/>
      <w:pStyle w:val="2"/>
      <w:suff w:val="nothing"/>
      <w:lvlText w:val="%1、"/>
      <w:lvlJc w:val="left"/>
      <w:pPr>
        <w:ind w:left="0" w:firstLine="420"/>
      </w:pPr>
      <w:rPr>
        <w:rFonts w:hint="eastAsia"/>
      </w:rPr>
    </w:lvl>
  </w:abstractNum>
  <w:abstractNum w:abstractNumId="8">
    <w:nsid w:val="7A5C5ADD"/>
    <w:multiLevelType w:val="singleLevel"/>
    <w:tmpl w:val="7A5C5ADD"/>
    <w:lvl w:ilvl="0" w:tentative="0">
      <w:start w:val="6"/>
      <w:numFmt w:val="chineseCounting"/>
      <w:suff w:val="space"/>
      <w:lvlText w:val="第%1章"/>
      <w:lvlJc w:val="left"/>
      <w:rPr>
        <w:rFonts w:hint="eastAsia"/>
      </w:rPr>
    </w:lvl>
  </w:abstractNum>
  <w:num w:numId="1">
    <w:abstractNumId w:val="7"/>
  </w:num>
  <w:num w:numId="2">
    <w:abstractNumId w:val="5"/>
  </w:num>
  <w:num w:numId="3">
    <w:abstractNumId w:val="3"/>
  </w:num>
  <w:num w:numId="4">
    <w:abstractNumId w:val="6"/>
  </w:num>
  <w:num w:numId="5">
    <w:abstractNumId w:val="8"/>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Dc4YTQwZGRjYmMxZGRiMTg5NjI3YzU0NjY4MTAifQ=="/>
  </w:docVars>
  <w:rsids>
    <w:rsidRoot w:val="210B0AAD"/>
    <w:rsid w:val="000F26DD"/>
    <w:rsid w:val="00497811"/>
    <w:rsid w:val="00721748"/>
    <w:rsid w:val="00B03688"/>
    <w:rsid w:val="00BE17C6"/>
    <w:rsid w:val="00E1286F"/>
    <w:rsid w:val="00FC4D52"/>
    <w:rsid w:val="02B81FC4"/>
    <w:rsid w:val="02BD7169"/>
    <w:rsid w:val="032A1114"/>
    <w:rsid w:val="035C7E18"/>
    <w:rsid w:val="038500F8"/>
    <w:rsid w:val="043E6DE9"/>
    <w:rsid w:val="04AF18B7"/>
    <w:rsid w:val="05A54A82"/>
    <w:rsid w:val="05B60A3D"/>
    <w:rsid w:val="074D2E47"/>
    <w:rsid w:val="078A03D3"/>
    <w:rsid w:val="07A35313"/>
    <w:rsid w:val="07E24FDE"/>
    <w:rsid w:val="07FC2953"/>
    <w:rsid w:val="091C6797"/>
    <w:rsid w:val="09203B00"/>
    <w:rsid w:val="0A295BC1"/>
    <w:rsid w:val="0B107A25"/>
    <w:rsid w:val="0B4F69FF"/>
    <w:rsid w:val="0B955598"/>
    <w:rsid w:val="0BA94BA0"/>
    <w:rsid w:val="0BC35C62"/>
    <w:rsid w:val="0C322DE7"/>
    <w:rsid w:val="0CA91191"/>
    <w:rsid w:val="0D690098"/>
    <w:rsid w:val="0DA74722"/>
    <w:rsid w:val="0DF93BBD"/>
    <w:rsid w:val="0E3B2B5B"/>
    <w:rsid w:val="0E881D0F"/>
    <w:rsid w:val="0E8F2BA9"/>
    <w:rsid w:val="0E987497"/>
    <w:rsid w:val="0EA522B0"/>
    <w:rsid w:val="0ECF491D"/>
    <w:rsid w:val="0F500A84"/>
    <w:rsid w:val="0FA973C8"/>
    <w:rsid w:val="12651123"/>
    <w:rsid w:val="12F6691D"/>
    <w:rsid w:val="13107532"/>
    <w:rsid w:val="133643E8"/>
    <w:rsid w:val="136274CD"/>
    <w:rsid w:val="13763F01"/>
    <w:rsid w:val="156F29B6"/>
    <w:rsid w:val="158A5A42"/>
    <w:rsid w:val="15AC5A09"/>
    <w:rsid w:val="15BC4156"/>
    <w:rsid w:val="16B96089"/>
    <w:rsid w:val="17773980"/>
    <w:rsid w:val="178C67BA"/>
    <w:rsid w:val="17A45FF4"/>
    <w:rsid w:val="186E164B"/>
    <w:rsid w:val="18A84B5D"/>
    <w:rsid w:val="18B84D1E"/>
    <w:rsid w:val="198F1879"/>
    <w:rsid w:val="19E65752"/>
    <w:rsid w:val="1B0847C1"/>
    <w:rsid w:val="1B140288"/>
    <w:rsid w:val="1BE55780"/>
    <w:rsid w:val="1C59115B"/>
    <w:rsid w:val="1CC279BA"/>
    <w:rsid w:val="1D2701CA"/>
    <w:rsid w:val="1DB57FB3"/>
    <w:rsid w:val="1DFA0933"/>
    <w:rsid w:val="1E17137F"/>
    <w:rsid w:val="1E700340"/>
    <w:rsid w:val="1FC55504"/>
    <w:rsid w:val="1FD44EAF"/>
    <w:rsid w:val="207B2B57"/>
    <w:rsid w:val="210B0AAD"/>
    <w:rsid w:val="21725D08"/>
    <w:rsid w:val="21751354"/>
    <w:rsid w:val="22396826"/>
    <w:rsid w:val="23767071"/>
    <w:rsid w:val="237B2C13"/>
    <w:rsid w:val="24747FE9"/>
    <w:rsid w:val="25AD3509"/>
    <w:rsid w:val="25E82A3D"/>
    <w:rsid w:val="264920A0"/>
    <w:rsid w:val="278F0C96"/>
    <w:rsid w:val="28427C92"/>
    <w:rsid w:val="2848070D"/>
    <w:rsid w:val="29C853B7"/>
    <w:rsid w:val="2AB86380"/>
    <w:rsid w:val="2AFB4FC0"/>
    <w:rsid w:val="2B61208E"/>
    <w:rsid w:val="2B8433D3"/>
    <w:rsid w:val="2B892309"/>
    <w:rsid w:val="2BD87718"/>
    <w:rsid w:val="2C264BAB"/>
    <w:rsid w:val="2C5524AE"/>
    <w:rsid w:val="2CD51841"/>
    <w:rsid w:val="2D490293"/>
    <w:rsid w:val="2E132621"/>
    <w:rsid w:val="2E4D468E"/>
    <w:rsid w:val="2E6B537D"/>
    <w:rsid w:val="2E890259"/>
    <w:rsid w:val="2EFB76DD"/>
    <w:rsid w:val="309612FC"/>
    <w:rsid w:val="30D50061"/>
    <w:rsid w:val="30FA1876"/>
    <w:rsid w:val="312B1A2F"/>
    <w:rsid w:val="31350B00"/>
    <w:rsid w:val="31C83722"/>
    <w:rsid w:val="33FE27B0"/>
    <w:rsid w:val="341F6CFD"/>
    <w:rsid w:val="34326CCA"/>
    <w:rsid w:val="343C59FF"/>
    <w:rsid w:val="3511467C"/>
    <w:rsid w:val="355C7052"/>
    <w:rsid w:val="35675000"/>
    <w:rsid w:val="363867DA"/>
    <w:rsid w:val="38392C84"/>
    <w:rsid w:val="38C936B9"/>
    <w:rsid w:val="39CE3F13"/>
    <w:rsid w:val="39F03816"/>
    <w:rsid w:val="3B111C96"/>
    <w:rsid w:val="3B465FC7"/>
    <w:rsid w:val="3BA97324"/>
    <w:rsid w:val="3CD20E2B"/>
    <w:rsid w:val="3D6C47CF"/>
    <w:rsid w:val="3D96406C"/>
    <w:rsid w:val="3E8B3402"/>
    <w:rsid w:val="3F5218F6"/>
    <w:rsid w:val="3F870926"/>
    <w:rsid w:val="40664468"/>
    <w:rsid w:val="40F7317D"/>
    <w:rsid w:val="410302D3"/>
    <w:rsid w:val="42275311"/>
    <w:rsid w:val="422D7539"/>
    <w:rsid w:val="42562684"/>
    <w:rsid w:val="42BF647C"/>
    <w:rsid w:val="444808AC"/>
    <w:rsid w:val="44A205E0"/>
    <w:rsid w:val="45E56D78"/>
    <w:rsid w:val="469C351C"/>
    <w:rsid w:val="473C62ED"/>
    <w:rsid w:val="476A6AE0"/>
    <w:rsid w:val="48311BC9"/>
    <w:rsid w:val="48475D62"/>
    <w:rsid w:val="48A55857"/>
    <w:rsid w:val="49CA6585"/>
    <w:rsid w:val="49E8275C"/>
    <w:rsid w:val="4A0D5D1E"/>
    <w:rsid w:val="4A617E1F"/>
    <w:rsid w:val="4B256B10"/>
    <w:rsid w:val="4B6D5C6F"/>
    <w:rsid w:val="4B9B72E7"/>
    <w:rsid w:val="4BEE4B16"/>
    <w:rsid w:val="4EA349ED"/>
    <w:rsid w:val="50113369"/>
    <w:rsid w:val="52BA32D9"/>
    <w:rsid w:val="536F71A0"/>
    <w:rsid w:val="537D1A5E"/>
    <w:rsid w:val="53DA3583"/>
    <w:rsid w:val="54255DDE"/>
    <w:rsid w:val="543610D6"/>
    <w:rsid w:val="54850701"/>
    <w:rsid w:val="54910143"/>
    <w:rsid w:val="54AC4A19"/>
    <w:rsid w:val="54F16CCE"/>
    <w:rsid w:val="55406745"/>
    <w:rsid w:val="55652CC8"/>
    <w:rsid w:val="55C83890"/>
    <w:rsid w:val="56CE2A0E"/>
    <w:rsid w:val="56F00EA2"/>
    <w:rsid w:val="56F40992"/>
    <w:rsid w:val="57B1418D"/>
    <w:rsid w:val="582901C7"/>
    <w:rsid w:val="5860250E"/>
    <w:rsid w:val="58621B57"/>
    <w:rsid w:val="58A874C4"/>
    <w:rsid w:val="58FA4461"/>
    <w:rsid w:val="5B903DD3"/>
    <w:rsid w:val="5BED775E"/>
    <w:rsid w:val="5BF92263"/>
    <w:rsid w:val="5CF54B1C"/>
    <w:rsid w:val="5D667504"/>
    <w:rsid w:val="5D8F69D3"/>
    <w:rsid w:val="5E004B0E"/>
    <w:rsid w:val="5E3227A2"/>
    <w:rsid w:val="5E713748"/>
    <w:rsid w:val="5ED6156A"/>
    <w:rsid w:val="606264D8"/>
    <w:rsid w:val="60EC6236"/>
    <w:rsid w:val="60F81561"/>
    <w:rsid w:val="61642270"/>
    <w:rsid w:val="620B75D5"/>
    <w:rsid w:val="62E72EBD"/>
    <w:rsid w:val="630737FB"/>
    <w:rsid w:val="634B5B9B"/>
    <w:rsid w:val="63E32064"/>
    <w:rsid w:val="63E40BF4"/>
    <w:rsid w:val="64B01478"/>
    <w:rsid w:val="65185A56"/>
    <w:rsid w:val="66855316"/>
    <w:rsid w:val="66AE6FB9"/>
    <w:rsid w:val="66D4797D"/>
    <w:rsid w:val="66DC1E6F"/>
    <w:rsid w:val="66FD0371"/>
    <w:rsid w:val="693A4562"/>
    <w:rsid w:val="6958090C"/>
    <w:rsid w:val="69692B1A"/>
    <w:rsid w:val="69931944"/>
    <w:rsid w:val="69B30E3F"/>
    <w:rsid w:val="69FA19C4"/>
    <w:rsid w:val="6A2627B9"/>
    <w:rsid w:val="6A5B4B2A"/>
    <w:rsid w:val="6C033CCD"/>
    <w:rsid w:val="6CBB08D7"/>
    <w:rsid w:val="6D2F7BD6"/>
    <w:rsid w:val="6D655CEE"/>
    <w:rsid w:val="6D9E2D5A"/>
    <w:rsid w:val="6DB23E22"/>
    <w:rsid w:val="6DEC357D"/>
    <w:rsid w:val="6E2F1A86"/>
    <w:rsid w:val="6F5557B8"/>
    <w:rsid w:val="703C46C1"/>
    <w:rsid w:val="70A61AEB"/>
    <w:rsid w:val="711800DA"/>
    <w:rsid w:val="71492CF9"/>
    <w:rsid w:val="716D6F1F"/>
    <w:rsid w:val="71E26E4C"/>
    <w:rsid w:val="722F2426"/>
    <w:rsid w:val="72C963D7"/>
    <w:rsid w:val="738F466C"/>
    <w:rsid w:val="73DC65DE"/>
    <w:rsid w:val="74101ED6"/>
    <w:rsid w:val="743E4BA3"/>
    <w:rsid w:val="757027E4"/>
    <w:rsid w:val="760E1178"/>
    <w:rsid w:val="7671125F"/>
    <w:rsid w:val="782A3DBC"/>
    <w:rsid w:val="789F6A3B"/>
    <w:rsid w:val="78C94338"/>
    <w:rsid w:val="78DC293F"/>
    <w:rsid w:val="79574474"/>
    <w:rsid w:val="7972745F"/>
    <w:rsid w:val="79D23821"/>
    <w:rsid w:val="79DD5287"/>
    <w:rsid w:val="79FB791A"/>
    <w:rsid w:val="7A527B9C"/>
    <w:rsid w:val="7B322C67"/>
    <w:rsid w:val="7C876F96"/>
    <w:rsid w:val="7CC52238"/>
    <w:rsid w:val="7CF23C04"/>
    <w:rsid w:val="7E235535"/>
    <w:rsid w:val="7E6F088B"/>
    <w:rsid w:val="7F192494"/>
    <w:rsid w:val="7F2A28F3"/>
    <w:rsid w:val="7F4566AA"/>
    <w:rsid w:val="7FA06711"/>
    <w:rsid w:val="7FAC3308"/>
    <w:rsid w:val="7FE9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240" w:lineRule="auto"/>
      <w:ind w:left="0" w:firstLine="0" w:firstLineChars="0"/>
      <w:outlineLvl w:val="0"/>
    </w:pPr>
    <w:rPr>
      <w:b/>
      <w:kern w:val="44"/>
      <w:sz w:val="28"/>
    </w:rPr>
  </w:style>
  <w:style w:type="paragraph" w:styleId="3">
    <w:name w:val="heading 2"/>
    <w:basedOn w:val="1"/>
    <w:next w:val="4"/>
    <w:unhideWhenUsed/>
    <w:qFormat/>
    <w:uiPriority w:val="0"/>
    <w:pPr>
      <w:keepNext/>
      <w:keepLines/>
      <w:spacing w:before="260" w:after="260" w:line="413" w:lineRule="auto"/>
      <w:outlineLvl w:val="1"/>
    </w:pPr>
    <w:rPr>
      <w:rFonts w:ascii="Arial" w:hAnsi="Arial" w:eastAsia="黑体" w:cs="Arial"/>
      <w:b/>
      <w:bCs/>
      <w:sz w:val="32"/>
      <w:szCs w:val="32"/>
    </w:rPr>
  </w:style>
  <w:style w:type="paragraph" w:styleId="5">
    <w:name w:val="heading 3"/>
    <w:basedOn w:val="1"/>
    <w:next w:val="1"/>
    <w:unhideWhenUsed/>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9"/>
    <w:pPr>
      <w:keepNext/>
      <w:keepLines/>
      <w:jc w:val="center"/>
      <w:outlineLvl w:val="3"/>
    </w:pPr>
    <w:rPr>
      <w:rFonts w:ascii="Cambria" w:hAnsi="Cambria"/>
      <w:b/>
      <w:bCs/>
      <w:sz w:val="32"/>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4"/>
    </w:rPr>
  </w:style>
  <w:style w:type="paragraph" w:styleId="8">
    <w:name w:val="caption"/>
    <w:basedOn w:val="1"/>
    <w:next w:val="1"/>
    <w:qFormat/>
    <w:uiPriority w:val="0"/>
    <w:rPr>
      <w:rFonts w:ascii="Cambria" w:hAnsi="Cambria" w:eastAsia="黑体"/>
      <w:sz w:val="20"/>
      <w:szCs w:val="20"/>
    </w:rPr>
  </w:style>
  <w:style w:type="paragraph" w:styleId="9">
    <w:name w:val="annotation text"/>
    <w:basedOn w:val="1"/>
    <w:qFormat/>
    <w:uiPriority w:val="0"/>
    <w:pPr>
      <w:jc w:val="left"/>
    </w:pPr>
  </w:style>
  <w:style w:type="paragraph" w:styleId="10">
    <w:name w:val="Body Text"/>
    <w:basedOn w:val="1"/>
    <w:qFormat/>
    <w:uiPriority w:val="0"/>
    <w:pPr>
      <w:adjustRightInd w:val="0"/>
      <w:jc w:val="left"/>
      <w:textAlignment w:val="baseline"/>
    </w:pPr>
    <w:rPr>
      <w:rFonts w:ascii="楷体_GB2312" w:eastAsia="楷体_GB2312"/>
      <w:kern w:val="0"/>
      <w:sz w:val="28"/>
    </w:rPr>
  </w:style>
  <w:style w:type="paragraph" w:styleId="11">
    <w:name w:val="Body Text Indent"/>
    <w:basedOn w:val="1"/>
    <w:next w:val="12"/>
    <w:qFormat/>
    <w:uiPriority w:val="0"/>
    <w:pPr>
      <w:ind w:left="884"/>
    </w:pPr>
    <w:rPr>
      <w:sz w:val="24"/>
    </w:rPr>
  </w:style>
  <w:style w:type="paragraph" w:styleId="12">
    <w:name w:val="envelope return"/>
    <w:basedOn w:val="1"/>
    <w:qFormat/>
    <w:uiPriority w:val="0"/>
    <w:pPr>
      <w:snapToGrid w:val="0"/>
      <w:spacing w:line="360" w:lineRule="auto"/>
      <w:ind w:firstLine="200" w:firstLineChars="200"/>
    </w:pPr>
    <w:rPr>
      <w:rFonts w:ascii="Arial" w:hAnsi="Arial" w:eastAsia="仿宋_GB2312" w:cs="Arial"/>
      <w:sz w:val="24"/>
      <w:szCs w:val="24"/>
    </w:rPr>
  </w:style>
  <w:style w:type="paragraph" w:styleId="13">
    <w:name w:val="List 2"/>
    <w:basedOn w:val="1"/>
    <w:qFormat/>
    <w:uiPriority w:val="0"/>
    <w:pPr>
      <w:ind w:left="100" w:leftChars="200" w:hanging="200" w:hangingChars="200"/>
    </w:pPr>
    <w:rPr>
      <w:rFonts w:ascii="Times New Roman" w:hAnsi="Times New Roman"/>
      <w:szCs w:val="24"/>
    </w:rPr>
  </w:style>
  <w:style w:type="paragraph" w:styleId="14">
    <w:name w:val="toc 3"/>
    <w:basedOn w:val="1"/>
    <w:next w:val="1"/>
    <w:qFormat/>
    <w:uiPriority w:val="39"/>
    <w:pPr>
      <w:ind w:left="840" w:leftChars="400"/>
    </w:pPr>
  </w:style>
  <w:style w:type="paragraph" w:styleId="15">
    <w:name w:val="Plain Text"/>
    <w:basedOn w:val="1"/>
    <w:qFormat/>
    <w:uiPriority w:val="0"/>
    <w:rPr>
      <w:rFonts w:ascii="宋体" w:hAnsi="Courier New"/>
    </w:rPr>
  </w:style>
  <w:style w:type="paragraph" w:styleId="16">
    <w:name w:val="Body Text Indent 2"/>
    <w:basedOn w:val="1"/>
    <w:next w:val="11"/>
    <w:qFormat/>
    <w:uiPriority w:val="0"/>
    <w:pPr>
      <w:tabs>
        <w:tab w:val="left" w:pos="0"/>
      </w:tabs>
      <w:spacing w:line="240" w:lineRule="auto"/>
      <w:ind w:left="464"/>
    </w:pPr>
    <w:rPr>
      <w:rFonts w:ascii="Calibri" w:hAnsi="Calibri" w:eastAsia="宋体" w:cs="Times New Roman"/>
      <w:szCs w:val="21"/>
    </w:rPr>
  </w:style>
  <w:style w:type="paragraph" w:styleId="17">
    <w:name w:val="footer"/>
    <w:basedOn w:val="1"/>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toc 1"/>
    <w:basedOn w:val="1"/>
    <w:next w:val="1"/>
    <w:qFormat/>
    <w:uiPriority w:val="39"/>
    <w:pPr>
      <w:spacing w:before="120" w:after="120"/>
      <w:jc w:val="left"/>
    </w:pPr>
    <w:rPr>
      <w:b/>
      <w:bCs/>
      <w:caps/>
      <w:sz w:val="20"/>
      <w:szCs w:val="20"/>
    </w:rPr>
  </w:style>
  <w:style w:type="paragraph" w:styleId="20">
    <w:name w:val="footnote text"/>
    <w:basedOn w:val="1"/>
    <w:unhideWhenUsed/>
    <w:qFormat/>
    <w:uiPriority w:val="0"/>
    <w:pPr>
      <w:snapToGrid w:val="0"/>
    </w:pPr>
    <w:rPr>
      <w:sz w:val="18"/>
    </w:rPr>
  </w:style>
  <w:style w:type="paragraph" w:styleId="21">
    <w:name w:val="toc 2"/>
    <w:basedOn w:val="1"/>
    <w:next w:val="1"/>
    <w:qFormat/>
    <w:uiPriority w:val="39"/>
    <w:pPr>
      <w:ind w:left="210"/>
      <w:jc w:val="left"/>
    </w:pPr>
    <w:rPr>
      <w:smallCaps/>
      <w:sz w:val="20"/>
      <w:szCs w:val="20"/>
    </w:rPr>
  </w:style>
  <w:style w:type="paragraph" w:styleId="22">
    <w:name w:val="Body Text 2"/>
    <w:basedOn w:val="1"/>
    <w:qFormat/>
    <w:uiPriority w:val="0"/>
    <w:pPr>
      <w:spacing w:line="360" w:lineRule="auto"/>
    </w:pPr>
    <w:rPr>
      <w:sz w:val="24"/>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24">
    <w:name w:val="Normal (Web)"/>
    <w:basedOn w:val="1"/>
    <w:qFormat/>
    <w:uiPriority w:val="0"/>
    <w:pPr>
      <w:spacing w:beforeAutospacing="1" w:afterAutospacing="1"/>
      <w:jc w:val="left"/>
    </w:pPr>
    <w:rPr>
      <w:kern w:val="0"/>
      <w:sz w:val="24"/>
    </w:rPr>
  </w:style>
  <w:style w:type="paragraph" w:styleId="25">
    <w:name w:val="index 1"/>
    <w:basedOn w:val="1"/>
    <w:next w:val="1"/>
    <w:qFormat/>
    <w:uiPriority w:val="0"/>
  </w:style>
  <w:style w:type="paragraph" w:styleId="26">
    <w:name w:val="Body Text First Indent"/>
    <w:basedOn w:val="10"/>
    <w:next w:val="1"/>
    <w:qFormat/>
    <w:uiPriority w:val="0"/>
    <w:pPr>
      <w:ind w:firstLine="420"/>
    </w:pPr>
    <w:rPr>
      <w:rFonts w:eastAsia="楷体_GB2312"/>
      <w:sz w:val="32"/>
    </w:rPr>
  </w:style>
  <w:style w:type="paragraph" w:styleId="27">
    <w:name w:val="Body Text First Indent 2"/>
    <w:basedOn w:val="11"/>
    <w:next w:val="1"/>
    <w:qFormat/>
    <w:uiPriority w:val="0"/>
    <w:pPr>
      <w:tabs>
        <w:tab w:val="left" w:pos="945"/>
        <w:tab w:val="left" w:pos="1155"/>
        <w:tab w:val="left" w:pos="1158"/>
        <w:tab w:val="left" w:pos="1544"/>
      </w:tabs>
      <w:ind w:firstLine="420"/>
    </w:pPr>
    <w:rPr>
      <w:rFonts w:hint="eastAsia"/>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bCs/>
    </w:rPr>
  </w:style>
  <w:style w:type="character" w:styleId="32">
    <w:name w:val="page number"/>
    <w:basedOn w:val="30"/>
    <w:qFormat/>
    <w:uiPriority w:val="0"/>
    <w:rPr>
      <w:rFonts w:cs="Times New Roman"/>
    </w:rPr>
  </w:style>
  <w:style w:type="character" w:styleId="33">
    <w:name w:val="FollowedHyperlink"/>
    <w:basedOn w:val="30"/>
    <w:qFormat/>
    <w:uiPriority w:val="0"/>
    <w:rPr>
      <w:color w:val="5C5C5C"/>
      <w:u w:val="none"/>
    </w:rPr>
  </w:style>
  <w:style w:type="character" w:styleId="34">
    <w:name w:val="Emphasis"/>
    <w:basedOn w:val="30"/>
    <w:qFormat/>
    <w:uiPriority w:val="0"/>
    <w:rPr>
      <w:b/>
      <w:bCs/>
    </w:rPr>
  </w:style>
  <w:style w:type="character" w:styleId="35">
    <w:name w:val="HTML Definition"/>
    <w:basedOn w:val="30"/>
    <w:qFormat/>
    <w:uiPriority w:val="0"/>
  </w:style>
  <w:style w:type="character" w:styleId="36">
    <w:name w:val="HTML Typewriter"/>
    <w:basedOn w:val="30"/>
    <w:qFormat/>
    <w:uiPriority w:val="0"/>
    <w:rPr>
      <w:rFonts w:hint="default" w:ascii="monospace" w:hAnsi="monospace" w:eastAsia="monospace" w:cs="monospace"/>
      <w:sz w:val="20"/>
    </w:rPr>
  </w:style>
  <w:style w:type="character" w:styleId="37">
    <w:name w:val="HTML Acronym"/>
    <w:basedOn w:val="30"/>
    <w:qFormat/>
    <w:uiPriority w:val="0"/>
    <w:rPr>
      <w:bdr w:val="none" w:color="auto" w:sz="0" w:space="0"/>
    </w:rPr>
  </w:style>
  <w:style w:type="character" w:styleId="38">
    <w:name w:val="HTML Variable"/>
    <w:basedOn w:val="30"/>
    <w:qFormat/>
    <w:uiPriority w:val="0"/>
  </w:style>
  <w:style w:type="character" w:styleId="39">
    <w:name w:val="Hyperlink"/>
    <w:basedOn w:val="30"/>
    <w:qFormat/>
    <w:uiPriority w:val="0"/>
    <w:rPr>
      <w:color w:val="5C5C5C"/>
      <w:u w:val="none"/>
    </w:rPr>
  </w:style>
  <w:style w:type="character" w:styleId="40">
    <w:name w:val="HTML Code"/>
    <w:basedOn w:val="30"/>
    <w:qFormat/>
    <w:uiPriority w:val="0"/>
    <w:rPr>
      <w:rFonts w:hint="default" w:ascii="monospace" w:hAnsi="monospace" w:eastAsia="monospace" w:cs="monospace"/>
      <w:sz w:val="20"/>
    </w:rPr>
  </w:style>
  <w:style w:type="character" w:styleId="41">
    <w:name w:val="HTML Cite"/>
    <w:basedOn w:val="30"/>
    <w:qFormat/>
    <w:uiPriority w:val="0"/>
  </w:style>
  <w:style w:type="character" w:styleId="42">
    <w:name w:val="HTML Keyboard"/>
    <w:basedOn w:val="30"/>
    <w:qFormat/>
    <w:uiPriority w:val="0"/>
    <w:rPr>
      <w:rFonts w:hint="default" w:ascii="monospace" w:hAnsi="monospace" w:eastAsia="monospace" w:cs="monospace"/>
      <w:color w:val="5C5C5C"/>
      <w:sz w:val="18"/>
      <w:szCs w:val="18"/>
      <w:bdr w:val="single" w:color="EBEBEB" w:sz="6" w:space="0"/>
      <w:shd w:val="clear" w:color="auto" w:fill="FFFFFF"/>
    </w:rPr>
  </w:style>
  <w:style w:type="character" w:styleId="43">
    <w:name w:val="HTML Sample"/>
    <w:basedOn w:val="30"/>
    <w:qFormat/>
    <w:uiPriority w:val="0"/>
    <w:rPr>
      <w:rFonts w:ascii="monospace" w:hAnsi="monospace" w:eastAsia="monospace" w:cs="monospace"/>
    </w:rPr>
  </w:style>
  <w:style w:type="paragraph" w:customStyle="1" w:styleId="44">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5">
    <w:name w:val="无间隔1"/>
    <w:basedOn w:val="46"/>
    <w:next w:val="47"/>
    <w:qFormat/>
    <w:uiPriority w:val="1"/>
    <w:pPr>
      <w:spacing w:line="400" w:lineRule="exact"/>
    </w:pPr>
    <w:rPr>
      <w:sz w:val="24"/>
    </w:rPr>
  </w:style>
  <w:style w:type="paragraph" w:customStyle="1" w:styleId="46">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48">
    <w:name w:val="No Spacing"/>
    <w:basedOn w:val="1"/>
    <w:qFormat/>
    <w:uiPriority w:val="0"/>
    <w:pPr>
      <w:spacing w:after="0" w:afterLines="0" w:line="400" w:lineRule="exact"/>
    </w:pPr>
    <w:rPr>
      <w:rFonts w:eastAsia="宋体"/>
      <w:sz w:val="24"/>
    </w:rPr>
  </w:style>
  <w:style w:type="paragraph" w:customStyle="1" w:styleId="49">
    <w:name w:val="无间隔11"/>
    <w:basedOn w:val="1"/>
    <w:next w:val="47"/>
    <w:qFormat/>
    <w:uiPriority w:val="1"/>
    <w:pPr>
      <w:spacing w:line="400" w:lineRule="exact"/>
    </w:pPr>
    <w:rPr>
      <w:sz w:val="24"/>
    </w:rPr>
  </w:style>
  <w:style w:type="paragraph" w:customStyle="1" w:styleId="50">
    <w:name w:val="无间隔111"/>
    <w:basedOn w:val="1"/>
    <w:qFormat/>
    <w:uiPriority w:val="1"/>
    <w:pPr>
      <w:spacing w:line="400" w:lineRule="exact"/>
    </w:pPr>
    <w:rPr>
      <w:sz w:val="24"/>
    </w:rPr>
  </w:style>
  <w:style w:type="paragraph" w:customStyle="1" w:styleId="51">
    <w:name w:val="无间隔2"/>
    <w:basedOn w:val="1"/>
    <w:qFormat/>
    <w:uiPriority w:val="1"/>
    <w:pPr>
      <w:spacing w:line="400" w:lineRule="exact"/>
    </w:pPr>
    <w:rPr>
      <w:sz w:val="24"/>
    </w:rPr>
  </w:style>
  <w:style w:type="paragraph" w:customStyle="1" w:styleId="52">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4"/>
    </w:rPr>
  </w:style>
  <w:style w:type="paragraph" w:customStyle="1" w:styleId="53">
    <w:name w:val="Body text|1"/>
    <w:basedOn w:val="1"/>
    <w:qFormat/>
    <w:uiPriority w:val="0"/>
    <w:pPr>
      <w:spacing w:line="480" w:lineRule="auto"/>
      <w:ind w:firstLine="400"/>
    </w:pPr>
    <w:rPr>
      <w:rFonts w:ascii="宋体" w:hAnsi="宋体" w:cs="宋体"/>
      <w:sz w:val="26"/>
      <w:szCs w:val="26"/>
      <w:lang w:val="zh-TW" w:eastAsia="zh-TW" w:bidi="zh-TW"/>
    </w:rPr>
  </w:style>
  <w:style w:type="paragraph" w:customStyle="1" w:styleId="54">
    <w:name w:val="无间隔21"/>
    <w:basedOn w:val="1"/>
    <w:qFormat/>
    <w:uiPriority w:val="1"/>
    <w:pPr>
      <w:spacing w:line="400" w:lineRule="exact"/>
    </w:pPr>
    <w:rPr>
      <w:sz w:val="24"/>
    </w:rPr>
  </w:style>
  <w:style w:type="paragraph" w:customStyle="1" w:styleId="55">
    <w:name w:val="Default"/>
    <w:next w:val="20"/>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6">
    <w:name w:val="样式 标题 2 + Times New Roman 四号 非加粗 段前: 5 磅 段后: 0 磅 行距: 固定值 20..."/>
    <w:basedOn w:val="3"/>
    <w:qFormat/>
    <w:uiPriority w:val="0"/>
    <w:pPr>
      <w:spacing w:before="100" w:after="0" w:line="400" w:lineRule="exact"/>
    </w:pPr>
    <w:rPr>
      <w:rFonts w:ascii="Times New Roman" w:hAnsi="Times New Roman" w:cs="Times New Roman"/>
      <w:b w:val="0"/>
      <w:bCs w:val="0"/>
      <w:sz w:val="28"/>
      <w:szCs w:val="28"/>
    </w:rPr>
  </w:style>
  <w:style w:type="paragraph" w:customStyle="1" w:styleId="57">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hover1"/>
    <w:basedOn w:val="30"/>
    <w:qFormat/>
    <w:uiPriority w:val="0"/>
  </w:style>
  <w:style w:type="character" w:customStyle="1" w:styleId="59">
    <w:name w:val="hover2"/>
    <w:basedOn w:val="30"/>
    <w:qFormat/>
    <w:uiPriority w:val="0"/>
    <w:rPr>
      <w:color w:val="2590EB"/>
    </w:rPr>
  </w:style>
  <w:style w:type="character" w:customStyle="1" w:styleId="60">
    <w:name w:val="hover3"/>
    <w:basedOn w:val="30"/>
    <w:qFormat/>
    <w:uiPriority w:val="0"/>
    <w:rPr>
      <w:color w:val="2590EB"/>
    </w:rPr>
  </w:style>
  <w:style w:type="character" w:customStyle="1" w:styleId="61">
    <w:name w:val="hover4"/>
    <w:basedOn w:val="30"/>
    <w:qFormat/>
    <w:uiPriority w:val="0"/>
    <w:rPr>
      <w:color w:val="2590EB"/>
      <w:shd w:val="clear" w:color="auto" w:fill="E9F4FD"/>
    </w:rPr>
  </w:style>
  <w:style w:type="character" w:customStyle="1" w:styleId="62">
    <w:name w:val="mini-outputtext1"/>
    <w:basedOn w:val="30"/>
    <w:qFormat/>
    <w:uiPriority w:val="0"/>
  </w:style>
  <w:style w:type="paragraph" w:customStyle="1" w:styleId="63">
    <w:name w:val="表格"/>
    <w:basedOn w:val="1"/>
    <w:qFormat/>
    <w:uiPriority w:val="0"/>
    <w:pPr>
      <w:ind w:firstLine="0" w:firstLineChars="0"/>
      <w:jc w:val="center"/>
    </w:pPr>
    <w:rPr>
      <w:rFonts w:hint="eastAsia"/>
    </w:rPr>
  </w:style>
  <w:style w:type="character" w:customStyle="1" w:styleId="64">
    <w:name w:val="hover"/>
    <w:basedOn w:val="30"/>
    <w:qFormat/>
    <w:uiPriority w:val="0"/>
    <w:rPr>
      <w:color w:val="2590EB"/>
    </w:rPr>
  </w:style>
  <w:style w:type="paragraph" w:customStyle="1" w:styleId="65">
    <w:name w:val="Table Text"/>
    <w:basedOn w:val="1"/>
    <w:semiHidden/>
    <w:qFormat/>
    <w:uiPriority w:val="0"/>
    <w:rPr>
      <w:rFonts w:ascii="宋体" w:hAnsi="宋体" w:eastAsia="宋体" w:cs="宋体"/>
    </w:rPr>
  </w:style>
  <w:style w:type="table" w:customStyle="1" w:styleId="66">
    <w:name w:val="Table Normal"/>
    <w:unhideWhenUsed/>
    <w:qFormat/>
    <w:uiPriority w:val="0"/>
    <w:tblPr>
      <w:tblCellMar>
        <w:top w:w="0" w:type="dxa"/>
        <w:left w:w="0" w:type="dxa"/>
        <w:bottom w:w="0" w:type="dxa"/>
        <w:right w:w="0" w:type="dxa"/>
      </w:tblCellMar>
    </w:tblPr>
  </w:style>
  <w:style w:type="paragraph" w:customStyle="1" w:styleId="67">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68">
    <w:name w:val="表格字体-靠左"/>
    <w:basedOn w:val="69"/>
    <w:next w:val="1"/>
    <w:qFormat/>
    <w:uiPriority w:val="0"/>
    <w:pPr>
      <w:ind w:firstLine="280" w:firstLineChars="100"/>
      <w:jc w:val="left"/>
    </w:pPr>
  </w:style>
  <w:style w:type="paragraph" w:customStyle="1" w:styleId="69">
    <w:name w:val="表格字体-居中"/>
    <w:basedOn w:val="1"/>
    <w:next w:val="1"/>
    <w:qFormat/>
    <w:uiPriority w:val="0"/>
    <w:pPr>
      <w:spacing w:line="240" w:lineRule="auto"/>
      <w:ind w:firstLine="0" w:firstLineChars="0"/>
      <w:jc w:val="center"/>
    </w:pPr>
  </w:style>
  <w:style w:type="paragraph" w:customStyle="1" w:styleId="70">
    <w:name w:val="_Style 8"/>
    <w:basedOn w:val="2"/>
    <w:next w:val="1"/>
    <w:qFormat/>
    <w:uiPriority w:val="0"/>
    <w:pPr>
      <w:outlineLvl w:val="9"/>
    </w:pPr>
  </w:style>
  <w:style w:type="character" w:customStyle="1" w:styleId="71">
    <w:name w:val="样式 标书正文 + 下划线 Char"/>
    <w:qFormat/>
    <w:uiPriority w:val="0"/>
    <w:rPr>
      <w:rFonts w:eastAsia="楷体_GB2312"/>
      <w:kern w:val="2"/>
      <w:sz w:val="28"/>
      <w:u w:val="single"/>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128</Pages>
  <Words>6134</Words>
  <Characters>7026</Characters>
  <Lines>241</Lines>
  <Paragraphs>67</Paragraphs>
  <TotalTime>7</TotalTime>
  <ScaleCrop>false</ScaleCrop>
  <LinksUpToDate>false</LinksUpToDate>
  <CharactersWithSpaces>7187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2022-06-16T07:08:00Z</dcterms:created>
  <dc:creator>52赫兹的鲸</dc:creator>
  <cp:lastModifiedBy>13213185717</cp:lastModifiedBy>
  <cp:lastPrinted>2025-05-19T08:57:00Z</cp:lastPrinted>
  <dcterms:modified xsi:type="dcterms:W3CDTF">2026-05-21T01:35:15Z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8BCEF7DD1F564DBE814F6EF2F2A4E573_13</vt:lpwstr>
  </property>
  <property fmtid="{D5CDD505-2E9C-101B-9397-08002B2CF9AE}" pid="4" name="KSOTemplateDocerSaveRecord">
    <vt:lpwstr>eyJoZGlkIjoiNGY3Y2IyN2M5YmUyYWUwMDYxODQ2NGZkNWU1NjQ3ZDciLCJ1c2VySWQiOiIxNDI3OTU4NjA0In0=</vt:lpwstr>
  </property>
</Properties>
</file>